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0895724"/>
        <w:docPartObj>
          <w:docPartGallery w:val="Cover Pages"/>
          <w:docPartUnique/>
        </w:docPartObj>
      </w:sdtPr>
      <w:sdtEndPr>
        <w:rPr>
          <w:sz w:val="30"/>
          <w:szCs w:val="30"/>
        </w:rPr>
      </w:sdtEndPr>
      <w:sdtContent>
        <w:p w14:paraId="5887FA03" w14:textId="6FCD1953" w:rsidR="00D26AE7" w:rsidRPr="006921A4" w:rsidRDefault="000859C9" w:rsidP="006921A4">
          <w:r>
            <w:rPr>
              <w:noProof/>
            </w:rPr>
            <w:drawing>
              <wp:anchor distT="0" distB="0" distL="114300" distR="114300" simplePos="0" relativeHeight="251658240" behindDoc="0" locked="0" layoutInCell="1" allowOverlap="1" wp14:anchorId="375015FE" wp14:editId="16D6E7D2">
                <wp:simplePos x="0" y="0"/>
                <wp:positionH relativeFrom="column">
                  <wp:posOffset>-1066800</wp:posOffset>
                </wp:positionH>
                <wp:positionV relativeFrom="page">
                  <wp:posOffset>-250190</wp:posOffset>
                </wp:positionV>
                <wp:extent cx="7753350" cy="10970895"/>
                <wp:effectExtent l="0" t="0" r="6350"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
                          <a:extLst>
                            <a:ext uri="{28A0092B-C50C-407E-A947-70E740481C1C}">
                              <a14:useLocalDpi xmlns:a14="http://schemas.microsoft.com/office/drawing/2010/main" val="0"/>
                            </a:ext>
                          </a:extLst>
                        </a:blip>
                        <a:stretch>
                          <a:fillRect/>
                        </a:stretch>
                      </pic:blipFill>
                      <pic:spPr>
                        <a:xfrm>
                          <a:off x="0" y="0"/>
                          <a:ext cx="7753350" cy="10970895"/>
                        </a:xfrm>
                        <a:prstGeom prst="rect">
                          <a:avLst/>
                        </a:prstGeom>
                      </pic:spPr>
                    </pic:pic>
                  </a:graphicData>
                </a:graphic>
                <wp14:sizeRelH relativeFrom="page">
                  <wp14:pctWidth>0</wp14:pctWidth>
                </wp14:sizeRelH>
                <wp14:sizeRelV relativeFrom="page">
                  <wp14:pctHeight>0</wp14:pctHeight>
                </wp14:sizeRelV>
              </wp:anchor>
            </w:drawing>
          </w:r>
          <w:r w:rsidR="00D26AE7">
            <w:rPr>
              <w:sz w:val="30"/>
              <w:szCs w:val="30"/>
            </w:rPr>
            <w:br w:type="page"/>
          </w:r>
        </w:p>
      </w:sdtContent>
    </w:sdt>
    <w:p w14:paraId="10454FB9" w14:textId="6A1C3E1E" w:rsidR="008B3CD6" w:rsidRDefault="008B3CD6" w:rsidP="008B3CD6">
      <w:pPr>
        <w:pStyle w:val="Heading1"/>
        <w:ind w:left="0" w:firstLine="0"/>
      </w:pPr>
      <w:r>
        <w:rPr>
          <w:sz w:val="30"/>
          <w:szCs w:val="30"/>
        </w:rPr>
        <w:lastRenderedPageBreak/>
        <w:t>INTRODUCTION </w:t>
      </w:r>
    </w:p>
    <w:p w14:paraId="4E1020BB" w14:textId="5A3C710D" w:rsidR="008B3CD6" w:rsidRDefault="008B3CD6" w:rsidP="008B3CD6">
      <w:pPr>
        <w:pStyle w:val="NormalWeb"/>
        <w:spacing w:before="0" w:beforeAutospacing="0" w:after="0" w:afterAutospacing="0"/>
        <w:jc w:val="both"/>
      </w:pPr>
      <w:r>
        <w:rPr>
          <w:rFonts w:ascii="Calibri" w:hAnsi="Calibri" w:cs="Calibri"/>
          <w:color w:val="000000"/>
          <w:sz w:val="22"/>
          <w:szCs w:val="22"/>
        </w:rPr>
        <w:t>Manushya Foundation respectfully present</w:t>
      </w:r>
      <w:r w:rsidR="00FE52F1">
        <w:rPr>
          <w:rFonts w:ascii="Calibri" w:hAnsi="Calibri" w:cs="Calibri"/>
          <w:color w:val="000000"/>
          <w:sz w:val="22"/>
          <w:szCs w:val="22"/>
        </w:rPr>
        <w:t>s</w:t>
      </w:r>
      <w:r>
        <w:rPr>
          <w:rFonts w:ascii="Calibri" w:hAnsi="Calibri" w:cs="Calibri"/>
          <w:color w:val="000000"/>
          <w:sz w:val="22"/>
          <w:szCs w:val="22"/>
        </w:rPr>
        <w:t xml:space="preserve"> this report </w:t>
      </w:r>
      <w:r w:rsidRPr="00335C3B">
        <w:rPr>
          <w:rFonts w:ascii="Calibri" w:hAnsi="Calibri" w:cs="Calibri"/>
          <w:color w:val="000000"/>
          <w:sz w:val="22"/>
          <w:szCs w:val="22"/>
        </w:rPr>
        <w:t>for your consideration</w:t>
      </w:r>
      <w:r>
        <w:rPr>
          <w:rFonts w:ascii="Calibri" w:hAnsi="Calibri" w:cs="Calibri"/>
          <w:color w:val="000000"/>
          <w:sz w:val="22"/>
          <w:szCs w:val="22"/>
        </w:rPr>
        <w:t xml:space="preserve"> for the adoption of List of Issues by the Committee for the Elimination of Discrimination against Women during the pre-sessional working group for its 85th session (31 October to 4 November 2022). This report relates to </w:t>
      </w:r>
      <w:r w:rsidRPr="00EC1FD5">
        <w:rPr>
          <w:rFonts w:ascii="Calibri" w:hAnsi="Calibri" w:cs="Calibri"/>
          <w:b/>
          <w:bCs/>
          <w:color w:val="000000"/>
          <w:sz w:val="22"/>
          <w:szCs w:val="22"/>
        </w:rPr>
        <w:t>Articles 6 to</w:t>
      </w:r>
      <w:r w:rsidR="0040034D" w:rsidRPr="00EC1FD5">
        <w:rPr>
          <w:rFonts w:ascii="Calibri" w:hAnsi="Calibri" w:cs="Calibri"/>
          <w:b/>
          <w:bCs/>
          <w:color w:val="000000"/>
          <w:sz w:val="22"/>
          <w:szCs w:val="22"/>
        </w:rPr>
        <w:t xml:space="preserve"> 10</w:t>
      </w:r>
      <w:r>
        <w:rPr>
          <w:rFonts w:ascii="Calibri" w:hAnsi="Calibri" w:cs="Calibri"/>
          <w:color w:val="000000"/>
          <w:sz w:val="22"/>
          <w:szCs w:val="22"/>
        </w:rPr>
        <w:t xml:space="preserve"> of the Convention and provides an inclusive and accurate overview of the most challenging issues faced by women and marginalized women in Thailand – including women with disabilities; older women; indigenous, ethnic and religious minority women; Malay Muslim women; migrant stateless, refugee and asylum-seeking women; women living with HIV; women sex workers; migrant workers; and LBTIQ+ women – with respect to gender-based discrimination in their daily life, but as well during the COVID-19 pandemic. </w:t>
      </w:r>
      <w:r w:rsidR="00335C3B">
        <w:rPr>
          <w:rFonts w:ascii="Calibri" w:hAnsi="Calibri" w:cs="Calibri"/>
          <w:color w:val="000000"/>
          <w:sz w:val="22"/>
          <w:szCs w:val="22"/>
        </w:rPr>
        <w:t>A</w:t>
      </w:r>
      <w:r>
        <w:rPr>
          <w:rFonts w:ascii="Calibri" w:hAnsi="Calibri" w:cs="Calibri"/>
          <w:color w:val="000000"/>
          <w:sz w:val="22"/>
          <w:szCs w:val="22"/>
        </w:rPr>
        <w:t xml:space="preserve"> set of recommendations is </w:t>
      </w:r>
      <w:r w:rsidR="00335C3B">
        <w:rPr>
          <w:rFonts w:ascii="Calibri" w:hAnsi="Calibri" w:cs="Calibri"/>
          <w:color w:val="000000"/>
          <w:sz w:val="22"/>
          <w:szCs w:val="22"/>
        </w:rPr>
        <w:t xml:space="preserve">also </w:t>
      </w:r>
      <w:r>
        <w:rPr>
          <w:rFonts w:ascii="Calibri" w:hAnsi="Calibri" w:cs="Calibri"/>
          <w:color w:val="000000"/>
          <w:sz w:val="22"/>
          <w:szCs w:val="22"/>
        </w:rPr>
        <w:t>provided</w:t>
      </w:r>
      <w:r w:rsidR="00335C3B">
        <w:rPr>
          <w:rFonts w:ascii="Calibri" w:hAnsi="Calibri" w:cs="Calibri"/>
          <w:color w:val="000000"/>
          <w:sz w:val="22"/>
          <w:szCs w:val="22"/>
        </w:rPr>
        <w:t>.</w:t>
      </w:r>
    </w:p>
    <w:p w14:paraId="5BC48C6F" w14:textId="77777777" w:rsidR="008B3CD6" w:rsidRDefault="008B3CD6" w:rsidP="008B3CD6"/>
    <w:p w14:paraId="1E4C6ABF" w14:textId="418FD335" w:rsidR="008B3CD6" w:rsidRDefault="008B3CD6" w:rsidP="008B3CD6">
      <w:pPr>
        <w:pStyle w:val="NormalWeb"/>
        <w:spacing w:before="0" w:beforeAutospacing="0" w:after="0" w:afterAutospacing="0"/>
        <w:jc w:val="both"/>
        <w:rPr>
          <w:rFonts w:ascii="Calibri" w:hAnsi="Calibri" w:cs="Calibri"/>
          <w:color w:val="000000"/>
          <w:sz w:val="22"/>
          <w:szCs w:val="22"/>
        </w:rPr>
      </w:pPr>
      <w:r>
        <w:rPr>
          <w:rFonts w:ascii="Calibri" w:hAnsi="Calibri" w:cs="Calibri"/>
          <w:color w:val="000000"/>
          <w:sz w:val="22"/>
          <w:szCs w:val="22"/>
        </w:rPr>
        <w:t>This List of Issues is informed by communities on the ground facing and representing women who face gender-based discrimination, particularly by members of the Thai BHR Network. The submission also includes information sourced from various authorities including UN human rights mechanisms and entities, government notifications, intergovernmental bodies, submissions by civil society, news articles, reports, studies, and other analysis. </w:t>
      </w:r>
    </w:p>
    <w:p w14:paraId="45A66222" w14:textId="264968D4" w:rsidR="008B3CD6" w:rsidRDefault="008B3CD6" w:rsidP="008B3CD6">
      <w:pPr>
        <w:pStyle w:val="NormalWeb"/>
        <w:spacing w:before="0" w:beforeAutospacing="0" w:after="0" w:afterAutospacing="0"/>
        <w:jc w:val="both"/>
        <w:rPr>
          <w:rFonts w:ascii="Calibri" w:hAnsi="Calibri" w:cs="Calibri"/>
          <w:color w:val="000000"/>
          <w:sz w:val="22"/>
          <w:szCs w:val="22"/>
        </w:rPr>
      </w:pPr>
    </w:p>
    <w:p w14:paraId="69474F66" w14:textId="77777777" w:rsidR="008A1E90" w:rsidRDefault="008A1E90" w:rsidP="008B3CD6">
      <w:pPr>
        <w:pStyle w:val="NormalWeb"/>
        <w:spacing w:before="0" w:beforeAutospacing="0" w:after="0" w:afterAutospacing="0"/>
        <w:jc w:val="both"/>
        <w:rPr>
          <w:rFonts w:ascii="Calibri" w:hAnsi="Calibri" w:cs="Calibri"/>
          <w:color w:val="000000"/>
          <w:sz w:val="22"/>
          <w:szCs w:val="22"/>
        </w:rPr>
      </w:pPr>
    </w:p>
    <w:p w14:paraId="694298E4" w14:textId="77777777" w:rsidR="00335C3B" w:rsidRDefault="00000000" w:rsidP="00335C3B">
      <w:r>
        <w:rPr>
          <w:noProof/>
        </w:rPr>
        <w:pict w14:anchorId="28A01DBC">
          <v:rect id="_x0000_i1025" alt="" style="width:451.3pt;height:.05pt;mso-width-percent:0;mso-height-percent:0;mso-width-percent:0;mso-height-percent:0" o:hralign="center" o:hrstd="t" o:hr="t" fillcolor="#a0a0a0" stroked="f"/>
        </w:pict>
      </w:r>
    </w:p>
    <w:p w14:paraId="3AF05F36" w14:textId="77777777" w:rsidR="00335C3B" w:rsidRDefault="00335C3B" w:rsidP="00335C3B">
      <w:pPr>
        <w:pStyle w:val="NormalWeb"/>
        <w:spacing w:before="0" w:beforeAutospacing="0" w:after="0" w:afterAutospacing="0"/>
        <w:jc w:val="both"/>
      </w:pPr>
      <w:r>
        <w:rPr>
          <w:rFonts w:ascii="Calibri" w:hAnsi="Calibri" w:cs="Calibri"/>
          <w:b/>
          <w:bCs/>
          <w:color w:val="DD3382"/>
        </w:rPr>
        <w:t>About Manushya Foundation</w:t>
      </w:r>
    </w:p>
    <w:p w14:paraId="3F11BF02" w14:textId="27466A32" w:rsidR="008B3CD6" w:rsidRDefault="00335C3B" w:rsidP="00335C3B">
      <w:pPr>
        <w:pStyle w:val="NormalWeb"/>
        <w:spacing w:before="0" w:beforeAutospacing="0" w:after="0" w:afterAutospacing="0"/>
        <w:jc w:val="both"/>
        <w:rPr>
          <w:rStyle w:val="Hyperlink"/>
          <w:rFonts w:ascii="Calibri" w:eastAsia="Arial" w:hAnsi="Calibri" w:cs="Calibri"/>
          <w:color w:val="1155CC"/>
          <w:sz w:val="22"/>
          <w:szCs w:val="22"/>
        </w:rPr>
      </w:pPr>
      <w:r>
        <w:rPr>
          <w:rFonts w:ascii="Calibri" w:hAnsi="Calibri" w:cs="Calibri"/>
          <w:color w:val="000000"/>
          <w:sz w:val="22"/>
          <w:szCs w:val="22"/>
        </w:rPr>
        <w:t xml:space="preserve">Manushya Foundation was founded in 2017 with the vision to build a movement of Equal Human Beings </w:t>
      </w:r>
      <w:r>
        <w:rPr>
          <w:rFonts w:ascii="Calibri" w:hAnsi="Calibri" w:cs="Calibri"/>
          <w:i/>
          <w:iCs/>
          <w:color w:val="000000"/>
          <w:sz w:val="22"/>
          <w:szCs w:val="22"/>
        </w:rPr>
        <w:t>#WeAreManushyan</w:t>
      </w:r>
      <w:r>
        <w:rPr>
          <w:rFonts w:ascii="Calibri" w:hAnsi="Calibri" w:cs="Calibri"/>
          <w:color w:val="000000"/>
          <w:sz w:val="22"/>
          <w:szCs w:val="22"/>
        </w:rPr>
        <w:t xml:space="preserve">. Manushya is an intersectional feminist human rights organization reinforcing the power of humans, in particular women, human rights defenders, indigenous peoples, forest-dependent communities, environmental defenders, LGBTI groups, and Youth, to be at the heart of decision-making processes that concern them and to speak truth to power at the forefront of their fight for Human Rights, Equality, Social Justice and Peace. For further information on the work of Manushya Foundation, visit: </w:t>
      </w:r>
      <w:hyperlink r:id="rId8" w:history="1">
        <w:r>
          <w:rPr>
            <w:rStyle w:val="Hyperlink"/>
            <w:rFonts w:ascii="Calibri" w:eastAsia="Arial" w:hAnsi="Calibri" w:cs="Calibri"/>
            <w:color w:val="1155CC"/>
            <w:sz w:val="22"/>
            <w:szCs w:val="22"/>
          </w:rPr>
          <w:t>https://www.manushyafoundation.org/</w:t>
        </w:r>
      </w:hyperlink>
    </w:p>
    <w:p w14:paraId="52CAC738" w14:textId="7103B57C" w:rsidR="00335C3B" w:rsidRDefault="00335C3B" w:rsidP="00335C3B">
      <w:pPr>
        <w:pStyle w:val="NormalWeb"/>
        <w:spacing w:before="0" w:beforeAutospacing="0" w:after="0" w:afterAutospacing="0"/>
        <w:jc w:val="both"/>
      </w:pPr>
    </w:p>
    <w:p w14:paraId="365642B2" w14:textId="77777777" w:rsidR="008A1E90" w:rsidRDefault="008A1E90" w:rsidP="00335C3B">
      <w:pPr>
        <w:pStyle w:val="NormalWeb"/>
        <w:spacing w:before="0" w:beforeAutospacing="0" w:after="0" w:afterAutospacing="0"/>
        <w:jc w:val="both"/>
      </w:pPr>
    </w:p>
    <w:p w14:paraId="22E2E723" w14:textId="75CA013A" w:rsidR="008A1E90" w:rsidRDefault="00000000" w:rsidP="00335C3B">
      <w:pPr>
        <w:pStyle w:val="NormalWeb"/>
        <w:spacing w:before="0" w:beforeAutospacing="0" w:after="0" w:afterAutospacing="0"/>
        <w:jc w:val="both"/>
      </w:pPr>
      <w:r>
        <w:rPr>
          <w:noProof/>
        </w:rPr>
        <w:pict w14:anchorId="619E1444">
          <v:rect id="_x0000_i1026" alt="" style="width:451.3pt;height:.05pt;mso-width-percent:0;mso-height-percent:0;mso-width-percent:0;mso-height-percent:0" o:hralign="center" o:hrstd="t" o:hr="t" fillcolor="#a0a0a0" stroked="f"/>
        </w:pict>
      </w:r>
    </w:p>
    <w:p w14:paraId="3C47D673" w14:textId="77777777" w:rsidR="00335C3B" w:rsidRPr="0040034D" w:rsidRDefault="00335C3B" w:rsidP="00335C3B">
      <w:pPr>
        <w:pStyle w:val="NormalWeb"/>
        <w:spacing w:before="0" w:beforeAutospacing="0" w:after="0" w:afterAutospacing="0"/>
        <w:jc w:val="both"/>
      </w:pPr>
      <w:r w:rsidRPr="0040034D">
        <w:rPr>
          <w:rFonts w:ascii="Calibri" w:hAnsi="Calibri" w:cs="Calibri"/>
          <w:b/>
          <w:bCs/>
          <w:color w:val="000000"/>
        </w:rPr>
        <w:t>For more information, please contact:</w:t>
      </w:r>
    </w:p>
    <w:p w14:paraId="127F6BD0" w14:textId="2AFAD39E" w:rsidR="00335C3B" w:rsidRPr="00335C3B" w:rsidRDefault="00335C3B" w:rsidP="0040034D">
      <w:pPr>
        <w:pStyle w:val="NormalWeb"/>
        <w:spacing w:before="0" w:beforeAutospacing="0" w:after="0" w:afterAutospacing="0"/>
        <w:rPr>
          <w:sz w:val="22"/>
          <w:szCs w:val="22"/>
        </w:rPr>
      </w:pPr>
      <w:r w:rsidRPr="00335C3B">
        <w:rPr>
          <w:rFonts w:ascii="Calibri" w:hAnsi="Calibri" w:cs="Calibri"/>
          <w:color w:val="000000"/>
          <w:sz w:val="22"/>
          <w:szCs w:val="22"/>
        </w:rPr>
        <w:t xml:space="preserve">Ms. Emilie Palamy Pradichit, Founder and Executive Director of Manushya Foundation </w:t>
      </w:r>
      <w:hyperlink r:id="rId9" w:history="1">
        <w:r w:rsidRPr="00335C3B">
          <w:rPr>
            <w:rStyle w:val="Hyperlink"/>
            <w:rFonts w:ascii="Calibri" w:eastAsia="Arial" w:hAnsi="Calibri" w:cs="Calibri"/>
            <w:color w:val="1155CC"/>
            <w:sz w:val="22"/>
            <w:szCs w:val="22"/>
          </w:rPr>
          <w:t>emilie@manushyafoundation.org</w:t>
        </w:r>
      </w:hyperlink>
    </w:p>
    <w:p w14:paraId="6B75880B" w14:textId="16F0F3D4" w:rsidR="00335C3B" w:rsidRDefault="00335C3B" w:rsidP="00335C3B">
      <w:pPr>
        <w:pStyle w:val="NormalWeb"/>
        <w:spacing w:before="0" w:beforeAutospacing="0" w:after="0" w:afterAutospacing="0"/>
        <w:jc w:val="both"/>
      </w:pPr>
    </w:p>
    <w:p w14:paraId="34C6B9CC" w14:textId="67DB03C1" w:rsidR="00335C3B" w:rsidRDefault="00335C3B" w:rsidP="00335C3B">
      <w:pPr>
        <w:pStyle w:val="NormalWeb"/>
        <w:spacing w:before="0" w:beforeAutospacing="0" w:after="0" w:afterAutospacing="0"/>
        <w:jc w:val="both"/>
      </w:pPr>
    </w:p>
    <w:p w14:paraId="582BEDA9" w14:textId="28495179" w:rsidR="00FE52F1" w:rsidRDefault="00FE52F1" w:rsidP="00335C3B">
      <w:pPr>
        <w:pStyle w:val="NormalWeb"/>
        <w:spacing w:before="0" w:beforeAutospacing="0" w:after="0" w:afterAutospacing="0"/>
        <w:jc w:val="both"/>
      </w:pPr>
    </w:p>
    <w:p w14:paraId="1FC76A12" w14:textId="403D0995" w:rsidR="00FE52F1" w:rsidRDefault="00FE52F1" w:rsidP="00335C3B">
      <w:pPr>
        <w:pStyle w:val="NormalWeb"/>
        <w:spacing w:before="0" w:beforeAutospacing="0" w:after="0" w:afterAutospacing="0"/>
        <w:jc w:val="both"/>
      </w:pPr>
    </w:p>
    <w:p w14:paraId="00A57931" w14:textId="6726FB08" w:rsidR="00FE52F1" w:rsidRDefault="00FE52F1" w:rsidP="00335C3B">
      <w:pPr>
        <w:pStyle w:val="NormalWeb"/>
        <w:spacing w:before="0" w:beforeAutospacing="0" w:after="0" w:afterAutospacing="0"/>
        <w:jc w:val="both"/>
      </w:pPr>
    </w:p>
    <w:p w14:paraId="5D793E84" w14:textId="0F6046BE" w:rsidR="00FE52F1" w:rsidRDefault="00FE52F1" w:rsidP="00335C3B">
      <w:pPr>
        <w:pStyle w:val="NormalWeb"/>
        <w:spacing w:before="0" w:beforeAutospacing="0" w:after="0" w:afterAutospacing="0"/>
        <w:jc w:val="both"/>
      </w:pPr>
    </w:p>
    <w:p w14:paraId="7B869301" w14:textId="74C27F1A" w:rsidR="00FE52F1" w:rsidRDefault="00FE52F1" w:rsidP="00335C3B">
      <w:pPr>
        <w:pStyle w:val="NormalWeb"/>
        <w:spacing w:before="0" w:beforeAutospacing="0" w:after="0" w:afterAutospacing="0"/>
        <w:jc w:val="both"/>
      </w:pPr>
    </w:p>
    <w:p w14:paraId="6492FE75" w14:textId="7638ABA3" w:rsidR="00FE52F1" w:rsidRDefault="00FE52F1" w:rsidP="00335C3B">
      <w:pPr>
        <w:pStyle w:val="NormalWeb"/>
        <w:spacing w:before="0" w:beforeAutospacing="0" w:after="0" w:afterAutospacing="0"/>
        <w:jc w:val="both"/>
      </w:pPr>
    </w:p>
    <w:p w14:paraId="771D83F2" w14:textId="425BE54F" w:rsidR="00FE52F1" w:rsidRDefault="00FE52F1" w:rsidP="00335C3B">
      <w:pPr>
        <w:pStyle w:val="NormalWeb"/>
        <w:spacing w:before="0" w:beforeAutospacing="0" w:after="0" w:afterAutospacing="0"/>
        <w:jc w:val="both"/>
      </w:pPr>
    </w:p>
    <w:p w14:paraId="0DF9FE94" w14:textId="5C800690" w:rsidR="00FE52F1" w:rsidRDefault="00FE52F1" w:rsidP="00335C3B">
      <w:pPr>
        <w:pStyle w:val="NormalWeb"/>
        <w:spacing w:before="0" w:beforeAutospacing="0" w:after="0" w:afterAutospacing="0"/>
        <w:jc w:val="both"/>
      </w:pPr>
    </w:p>
    <w:p w14:paraId="3688A3B8" w14:textId="32FDA8C7" w:rsidR="00FE52F1" w:rsidRDefault="00FE52F1" w:rsidP="00335C3B">
      <w:pPr>
        <w:pStyle w:val="NormalWeb"/>
        <w:spacing w:before="0" w:beforeAutospacing="0" w:after="0" w:afterAutospacing="0"/>
        <w:jc w:val="both"/>
      </w:pPr>
    </w:p>
    <w:p w14:paraId="4840B974" w14:textId="761764D7" w:rsidR="00FE52F1" w:rsidRDefault="00FE52F1" w:rsidP="00335C3B">
      <w:pPr>
        <w:pStyle w:val="NormalWeb"/>
        <w:spacing w:before="0" w:beforeAutospacing="0" w:after="0" w:afterAutospacing="0"/>
        <w:jc w:val="both"/>
      </w:pPr>
    </w:p>
    <w:p w14:paraId="7A8473CE" w14:textId="77777777" w:rsidR="00FE52F1" w:rsidRDefault="00FE52F1" w:rsidP="00335C3B">
      <w:pPr>
        <w:pStyle w:val="NormalWeb"/>
        <w:spacing w:before="0" w:beforeAutospacing="0" w:after="0" w:afterAutospacing="0"/>
        <w:jc w:val="both"/>
      </w:pPr>
    </w:p>
    <w:p w14:paraId="34A26686" w14:textId="3C4FA090" w:rsidR="00335C3B" w:rsidRDefault="00335C3B" w:rsidP="00335C3B">
      <w:pPr>
        <w:pStyle w:val="NormalWeb"/>
        <w:spacing w:before="0" w:beforeAutospacing="0" w:after="0" w:afterAutospacing="0"/>
        <w:jc w:val="both"/>
      </w:pPr>
    </w:p>
    <w:p w14:paraId="55CF7786" w14:textId="6C5FEB68" w:rsidR="00F22E70" w:rsidRDefault="00F22E70" w:rsidP="00335C3B">
      <w:pPr>
        <w:pStyle w:val="NormalWeb"/>
        <w:spacing w:before="0" w:beforeAutospacing="0" w:after="0" w:afterAutospacing="0"/>
        <w:jc w:val="both"/>
      </w:pPr>
    </w:p>
    <w:p w14:paraId="36D6E0D4" w14:textId="1EB13EE8" w:rsidR="00F22E70" w:rsidRDefault="00F22E70" w:rsidP="00335C3B">
      <w:pPr>
        <w:pStyle w:val="NormalWeb"/>
        <w:spacing w:before="0" w:beforeAutospacing="0" w:after="0" w:afterAutospacing="0"/>
        <w:jc w:val="both"/>
      </w:pPr>
    </w:p>
    <w:p w14:paraId="10C7069A" w14:textId="528FF793" w:rsidR="00F22E70" w:rsidRDefault="00F22E70" w:rsidP="00335C3B">
      <w:pPr>
        <w:pStyle w:val="NormalWeb"/>
        <w:spacing w:before="0" w:beforeAutospacing="0" w:after="0" w:afterAutospacing="0"/>
        <w:jc w:val="both"/>
      </w:pPr>
    </w:p>
    <w:p w14:paraId="4A7CA92C" w14:textId="77777777" w:rsidR="00F22E70" w:rsidRDefault="00F22E70" w:rsidP="00335C3B">
      <w:pPr>
        <w:pStyle w:val="NormalWeb"/>
        <w:spacing w:before="0" w:beforeAutospacing="0" w:after="0" w:afterAutospacing="0"/>
        <w:jc w:val="both"/>
      </w:pPr>
    </w:p>
    <w:p w14:paraId="172778AD" w14:textId="77777777" w:rsidR="008B3CD6" w:rsidRDefault="00000000" w:rsidP="008B3CD6">
      <w:pPr>
        <w:jc w:val="both"/>
        <w:rPr>
          <w:rFonts w:ascii="Calibri" w:eastAsia="Calibri" w:hAnsi="Calibri" w:cs="Calibri"/>
        </w:rPr>
      </w:pPr>
      <w:r>
        <w:rPr>
          <w:noProof/>
        </w:rPr>
        <w:pict w14:anchorId="28B0A1A3">
          <v:rect id="_x0000_i1027" alt="" style="width:451.3pt;height:.05pt;mso-width-percent:0;mso-height-percent:0;mso-width-percent:0;mso-height-percent:0" o:hralign="center" o:hrstd="t" o:hr="t" fillcolor="#a0a0a0" stroked="f"/>
        </w:pict>
      </w:r>
    </w:p>
    <w:p w14:paraId="604D418A" w14:textId="2CA071DB" w:rsidR="008B3CD6" w:rsidRDefault="008B3CD6" w:rsidP="008B3CD6">
      <w:pPr>
        <w:pStyle w:val="Heading1"/>
        <w:numPr>
          <w:ilvl w:val="0"/>
          <w:numId w:val="1"/>
        </w:numPr>
        <w:tabs>
          <w:tab w:val="num" w:pos="360"/>
        </w:tabs>
        <w:jc w:val="left"/>
      </w:pPr>
      <w:bookmarkStart w:id="0" w:name="_yazvgrtio9y" w:colFirst="0" w:colLast="0"/>
      <w:bookmarkEnd w:id="0"/>
      <w:r>
        <w:t xml:space="preserve">ARTICLE 6: TRAFFICKING AND PROSTITUTION </w:t>
      </w:r>
    </w:p>
    <w:p w14:paraId="223CB660" w14:textId="0E2D5639" w:rsidR="00EC1FD5" w:rsidRPr="00EC1FD5" w:rsidRDefault="00000000" w:rsidP="00EC1FD5">
      <w:r>
        <w:rPr>
          <w:noProof/>
        </w:rPr>
        <w:pict w14:anchorId="7C5177E9">
          <v:rect id="_x0000_i1028" alt="" style="width:451.3pt;height:.05pt;mso-width-percent:0;mso-height-percent:0;mso-width-percent:0;mso-height-percent:0" o:hralign="center" o:hrstd="t" o:hr="t" fillcolor="#a0a0a0" stroked="f"/>
        </w:pict>
      </w:r>
    </w:p>
    <w:p w14:paraId="0ED829EC" w14:textId="77777777" w:rsidR="008B3CD6" w:rsidRDefault="008B3CD6" w:rsidP="008B3CD6">
      <w:pPr>
        <w:jc w:val="both"/>
        <w:rPr>
          <w:rFonts w:ascii="Calibri" w:eastAsia="Calibri" w:hAnsi="Calibri" w:cs="Calibri"/>
        </w:rPr>
      </w:pPr>
      <w:r>
        <w:rPr>
          <w:rFonts w:ascii="Calibri" w:eastAsia="Calibri" w:hAnsi="Calibri" w:cs="Calibri"/>
        </w:rPr>
        <w:t>Prostitution and trafficking are confused in Thailand and law conflates sex work with human trafficking. The Criminal Code</w:t>
      </w:r>
      <w:r>
        <w:rPr>
          <w:rFonts w:ascii="Calibri" w:eastAsia="Calibri" w:hAnsi="Calibri" w:cs="Calibri"/>
          <w:vertAlign w:val="superscript"/>
        </w:rPr>
        <w:endnoteReference w:id="1"/>
      </w:r>
      <w:r>
        <w:rPr>
          <w:rFonts w:ascii="Calibri" w:eastAsia="Calibri" w:hAnsi="Calibri" w:cs="Calibri"/>
        </w:rPr>
        <w:t xml:space="preserve"> and the Prevention and Suppression of Prostitution Act of 1996</w:t>
      </w:r>
      <w:r>
        <w:rPr>
          <w:rFonts w:ascii="Calibri" w:eastAsia="Calibri" w:hAnsi="Calibri" w:cs="Calibri"/>
          <w:vertAlign w:val="superscript"/>
        </w:rPr>
        <w:endnoteReference w:id="2"/>
      </w:r>
      <w:r>
        <w:rPr>
          <w:rFonts w:ascii="Calibri" w:eastAsia="Calibri" w:hAnsi="Calibri" w:cs="Calibri"/>
        </w:rPr>
        <w:t xml:space="preserve"> (“the Prostitution Act”) proscribe sex work and impose hefty punishments: a fine of up to THB40,000 or imprisonment of up to two years, or both.</w:t>
      </w:r>
      <w:r>
        <w:rPr>
          <w:rFonts w:ascii="Calibri" w:eastAsia="Calibri" w:hAnsi="Calibri" w:cs="Calibri"/>
          <w:color w:val="333434"/>
        </w:rPr>
        <w:t xml:space="preserve"> </w:t>
      </w:r>
      <w:r>
        <w:rPr>
          <w:rFonts w:ascii="Calibri" w:eastAsia="Calibri" w:hAnsi="Calibri" w:cs="Calibri"/>
        </w:rPr>
        <w:t>When sex workers are persecuted under the Prostitution Act, some of them are also charged under human trafficking laws.</w:t>
      </w:r>
      <w:r>
        <w:rPr>
          <w:rFonts w:ascii="Calibri" w:eastAsia="Calibri" w:hAnsi="Calibri" w:cs="Calibri"/>
          <w:vertAlign w:val="superscript"/>
        </w:rPr>
        <w:endnoteReference w:id="3"/>
      </w:r>
      <w:r>
        <w:rPr>
          <w:rFonts w:ascii="Calibri" w:eastAsia="Calibri" w:hAnsi="Calibri" w:cs="Calibri"/>
        </w:rPr>
        <w:t xml:space="preserve"> The NAP on BHR likewise fails to recognize sex work as work,</w:t>
      </w:r>
      <w:r>
        <w:rPr>
          <w:rFonts w:ascii="Calibri" w:eastAsia="Calibri" w:hAnsi="Calibri" w:cs="Calibri"/>
          <w:vertAlign w:val="superscript"/>
        </w:rPr>
        <w:endnoteReference w:id="4"/>
      </w:r>
      <w:r>
        <w:rPr>
          <w:rFonts w:ascii="Calibri" w:eastAsia="Calibri" w:hAnsi="Calibri" w:cs="Calibri"/>
        </w:rPr>
        <w:t xml:space="preserve"> thereby dismissing the rights of sex workers who consequently face systemic discrimination and stigma. Sex workers who are migrants have to register as working for a different employer, as they cannot reveal their real job.</w:t>
      </w:r>
      <w:r>
        <w:rPr>
          <w:rFonts w:ascii="Calibri" w:eastAsia="Calibri" w:hAnsi="Calibri" w:cs="Calibri"/>
          <w:vertAlign w:val="superscript"/>
        </w:rPr>
        <w:endnoteReference w:id="5"/>
      </w:r>
    </w:p>
    <w:p w14:paraId="15CCED99" w14:textId="77777777" w:rsidR="008B3CD6" w:rsidRDefault="008B3CD6" w:rsidP="008B3CD6">
      <w:pPr>
        <w:jc w:val="both"/>
        <w:rPr>
          <w:rFonts w:ascii="Calibri" w:eastAsia="Calibri" w:hAnsi="Calibri" w:cs="Calibri"/>
        </w:rPr>
      </w:pPr>
    </w:p>
    <w:p w14:paraId="71C3B629" w14:textId="77777777" w:rsidR="008B3CD6" w:rsidRDefault="008B3CD6" w:rsidP="008B3CD6">
      <w:pPr>
        <w:jc w:val="both"/>
        <w:rPr>
          <w:rFonts w:ascii="Calibri" w:eastAsia="Calibri" w:hAnsi="Calibri" w:cs="Calibri"/>
        </w:rPr>
      </w:pPr>
      <w:r>
        <w:rPr>
          <w:rFonts w:ascii="Calibri" w:eastAsia="Calibri" w:hAnsi="Calibri" w:cs="Calibri"/>
        </w:rPr>
        <w:t>Citing human trafficking, the police raids on entertainment establishments to arrest and detain sex workers, either as criminals under the Criminal Code and the Prevention and Suppression of Prostitution Act, or as victims of trafficking under the Anti-Trafficking in Persons Act of 2008 (“the Anti-Trafficking Act”).</w:t>
      </w:r>
      <w:r>
        <w:rPr>
          <w:rFonts w:ascii="Calibri" w:eastAsia="Calibri" w:hAnsi="Calibri" w:cs="Calibri"/>
          <w:vertAlign w:val="superscript"/>
        </w:rPr>
        <w:endnoteReference w:id="6"/>
      </w:r>
      <w:r>
        <w:rPr>
          <w:rFonts w:ascii="Calibri" w:eastAsia="Calibri" w:hAnsi="Calibri" w:cs="Calibri"/>
        </w:rPr>
        <w:t xml:space="preserve"> Widespread corruption and official complicity continue to hinder efforts in the fight against trafficking. Police officials accept bribes in exchange for protection from raids, inspections, and prosecutions, and even purposely compromise investigations and withhold evidence from prosecutors.</w:t>
      </w:r>
      <w:r>
        <w:rPr>
          <w:rFonts w:ascii="Calibri" w:eastAsia="Calibri" w:hAnsi="Calibri" w:cs="Calibri"/>
          <w:vertAlign w:val="superscript"/>
        </w:rPr>
        <w:endnoteReference w:id="7"/>
      </w:r>
      <w:r>
        <w:rPr>
          <w:rFonts w:ascii="Calibri" w:eastAsia="Calibri" w:hAnsi="Calibri" w:cs="Calibri"/>
        </w:rPr>
        <w:t xml:space="preserve"> </w:t>
      </w:r>
    </w:p>
    <w:p w14:paraId="7C3029D8" w14:textId="77777777" w:rsidR="008B3CD6" w:rsidRDefault="008B3CD6" w:rsidP="008B3CD6">
      <w:pPr>
        <w:jc w:val="both"/>
        <w:rPr>
          <w:rFonts w:ascii="Calibri" w:eastAsia="Calibri" w:hAnsi="Calibri" w:cs="Calibri"/>
        </w:rPr>
      </w:pPr>
    </w:p>
    <w:p w14:paraId="5EC2337C" w14:textId="77777777" w:rsidR="008B3CD6" w:rsidRDefault="008B3CD6" w:rsidP="008B3CD6">
      <w:pPr>
        <w:jc w:val="both"/>
        <w:rPr>
          <w:rFonts w:ascii="Calibri" w:eastAsia="Calibri" w:hAnsi="Calibri" w:cs="Calibri"/>
        </w:rPr>
      </w:pPr>
      <w:r>
        <w:rPr>
          <w:rFonts w:ascii="Calibri" w:eastAsia="Calibri" w:hAnsi="Calibri" w:cs="Calibri"/>
          <w:b/>
        </w:rPr>
        <w:t>Marginalized women victims of human trafficking</w:t>
      </w:r>
      <w:r>
        <w:rPr>
          <w:rFonts w:ascii="Calibri" w:eastAsia="Calibri" w:hAnsi="Calibri" w:cs="Calibri"/>
        </w:rPr>
        <w:t xml:space="preserve"> are disproportionately affected. </w:t>
      </w:r>
      <w:r>
        <w:rPr>
          <w:rFonts w:ascii="Calibri" w:eastAsia="Calibri" w:hAnsi="Calibri" w:cs="Calibri"/>
          <w:b/>
        </w:rPr>
        <w:t>Migrant women workers</w:t>
      </w:r>
      <w:r>
        <w:rPr>
          <w:rFonts w:ascii="Calibri" w:eastAsia="Calibri" w:hAnsi="Calibri" w:cs="Calibri"/>
        </w:rPr>
        <w:t xml:space="preserve"> who are victims of human trafficking are only allowed to stay in Thailand during court hearings, and they are sent back immediately if they are found to be victims of trafficking. Because these workers do not want to be sent home, they do not want to come forward as victims of trafficking. Many migrants had to sell their house, cars, and everything they have in order to uproot and move to find jobs in Thailand, and upon coming back home they are heavily stigmatized, therefore going back to their home country is often not an option.</w:t>
      </w:r>
      <w:r>
        <w:rPr>
          <w:rFonts w:ascii="Calibri" w:eastAsia="Calibri" w:hAnsi="Calibri" w:cs="Calibri"/>
          <w:vertAlign w:val="superscript"/>
        </w:rPr>
        <w:endnoteReference w:id="8"/>
      </w:r>
      <w:r>
        <w:rPr>
          <w:rFonts w:ascii="Calibri" w:eastAsia="Calibri" w:hAnsi="Calibri" w:cs="Calibri"/>
          <w:color w:val="1D1C1D"/>
        </w:rPr>
        <w:t xml:space="preserve"> </w:t>
      </w:r>
      <w:r>
        <w:rPr>
          <w:rFonts w:ascii="Calibri" w:eastAsia="Calibri" w:hAnsi="Calibri" w:cs="Calibri"/>
        </w:rPr>
        <w:t>Moreover, language barriers bar them from avenues to access justice,</w:t>
      </w:r>
      <w:r>
        <w:rPr>
          <w:rFonts w:ascii="Calibri" w:eastAsia="Calibri" w:hAnsi="Calibri" w:cs="Calibri"/>
          <w:vertAlign w:val="superscript"/>
        </w:rPr>
        <w:endnoteReference w:id="9"/>
      </w:r>
      <w:r>
        <w:rPr>
          <w:rFonts w:ascii="Calibri" w:eastAsia="Calibri" w:hAnsi="Calibri" w:cs="Calibri"/>
        </w:rPr>
        <w:t xml:space="preserve"> and if convicted of prostitution, migrant workers are not permitted to return to their home countries because of the nature of the sex work charge.</w:t>
      </w:r>
      <w:r>
        <w:rPr>
          <w:rFonts w:ascii="Calibri" w:eastAsia="Calibri" w:hAnsi="Calibri" w:cs="Calibri"/>
          <w:vertAlign w:val="superscript"/>
        </w:rPr>
        <w:endnoteReference w:id="10"/>
      </w:r>
    </w:p>
    <w:p w14:paraId="5B3E0B2A" w14:textId="77777777" w:rsidR="008B3CD6" w:rsidRDefault="008B3CD6" w:rsidP="008B3CD6">
      <w:pPr>
        <w:jc w:val="both"/>
        <w:rPr>
          <w:rFonts w:ascii="Calibri" w:eastAsia="Calibri" w:hAnsi="Calibri" w:cs="Calibri"/>
        </w:rPr>
      </w:pPr>
    </w:p>
    <w:p w14:paraId="763F3268" w14:textId="77777777" w:rsidR="008B3CD6" w:rsidRDefault="008B3CD6" w:rsidP="008B3CD6">
      <w:pPr>
        <w:jc w:val="both"/>
        <w:rPr>
          <w:rFonts w:ascii="Calibri" w:eastAsia="Calibri" w:hAnsi="Calibri" w:cs="Calibri"/>
        </w:rPr>
      </w:pPr>
      <w:r>
        <w:rPr>
          <w:rFonts w:ascii="Calibri" w:eastAsia="Calibri" w:hAnsi="Calibri" w:cs="Calibri"/>
          <w:b/>
        </w:rPr>
        <w:t>Indigenous women</w:t>
      </w:r>
      <w:r>
        <w:rPr>
          <w:rFonts w:ascii="Calibri" w:eastAsia="Calibri" w:hAnsi="Calibri" w:cs="Calibri"/>
        </w:rPr>
        <w:t>’s statelessness and limited access to education exacerbate their vulnerability, being less likely to report the cases and seek assistance or remedy.</w:t>
      </w:r>
      <w:r>
        <w:rPr>
          <w:rFonts w:ascii="Calibri" w:eastAsia="Calibri" w:hAnsi="Calibri" w:cs="Calibri"/>
          <w:vertAlign w:val="superscript"/>
        </w:rPr>
        <w:endnoteReference w:id="11"/>
      </w:r>
      <w:r>
        <w:rPr>
          <w:rFonts w:ascii="Calibri" w:eastAsia="Calibri" w:hAnsi="Calibri" w:cs="Calibri"/>
        </w:rPr>
        <w:t xml:space="preserve"> Despite intense trafficking and voluntary sex work activities in the SBPs, there exist no data or statistics which show the precise number of identified victims and perpetrators, and the routes or areas where they operate.</w:t>
      </w:r>
      <w:r>
        <w:rPr>
          <w:rFonts w:ascii="Calibri" w:eastAsia="Calibri" w:hAnsi="Calibri" w:cs="Calibri"/>
          <w:vertAlign w:val="superscript"/>
        </w:rPr>
        <w:endnoteReference w:id="12"/>
      </w:r>
      <w:r>
        <w:rPr>
          <w:rFonts w:ascii="Calibri" w:eastAsia="Calibri" w:hAnsi="Calibri" w:cs="Calibri"/>
        </w:rPr>
        <w:t xml:space="preserve"> </w:t>
      </w:r>
    </w:p>
    <w:p w14:paraId="717DAC0D" w14:textId="77777777" w:rsidR="008B3CD6" w:rsidRDefault="008B3CD6" w:rsidP="008B3CD6">
      <w:pPr>
        <w:jc w:val="both"/>
        <w:rPr>
          <w:rFonts w:ascii="Calibri" w:eastAsia="Calibri" w:hAnsi="Calibri" w:cs="Calibri"/>
        </w:rPr>
      </w:pPr>
    </w:p>
    <w:p w14:paraId="7D3E5AB1" w14:textId="77777777" w:rsidR="008B3CD6" w:rsidRDefault="008B3CD6" w:rsidP="008B3CD6">
      <w:pPr>
        <w:jc w:val="both"/>
        <w:rPr>
          <w:rFonts w:ascii="Calibri" w:eastAsia="Calibri" w:hAnsi="Calibri" w:cs="Calibri"/>
        </w:rPr>
      </w:pPr>
      <w:r>
        <w:rPr>
          <w:rFonts w:ascii="Calibri" w:eastAsia="Calibri" w:hAnsi="Calibri" w:cs="Calibri"/>
        </w:rPr>
        <w:t>CSOs working on labor rights do not cover sex worker issues and distance themselves from them. Moreover, CSOs working on women issues also do not consider or work on the issues of transgender or non-binary women and sex workers who are transgender or non-binary are often alienated.</w:t>
      </w:r>
      <w:r>
        <w:rPr>
          <w:rFonts w:ascii="Calibri" w:eastAsia="Calibri" w:hAnsi="Calibri" w:cs="Calibri"/>
          <w:vertAlign w:val="superscript"/>
        </w:rPr>
        <w:endnoteReference w:id="13"/>
      </w:r>
      <w:r>
        <w:rPr>
          <w:rFonts w:ascii="Calibri" w:eastAsia="Calibri" w:hAnsi="Calibri" w:cs="Calibri"/>
        </w:rPr>
        <w:t xml:space="preserve"> </w:t>
      </w:r>
    </w:p>
    <w:p w14:paraId="5C2A2EC3" w14:textId="77777777" w:rsidR="008B3CD6" w:rsidRDefault="008B3CD6" w:rsidP="008B3CD6">
      <w:pPr>
        <w:jc w:val="both"/>
        <w:rPr>
          <w:rFonts w:ascii="Calibri" w:eastAsia="Calibri" w:hAnsi="Calibri" w:cs="Calibri"/>
        </w:rPr>
      </w:pPr>
    </w:p>
    <w:p w14:paraId="5950CF6C" w14:textId="32AD90E8" w:rsidR="008B3CD6" w:rsidRDefault="00000000" w:rsidP="008B3CD6">
      <w:pPr>
        <w:pStyle w:val="Heading1"/>
        <w:ind w:firstLine="0"/>
        <w:jc w:val="left"/>
      </w:pPr>
      <w:bookmarkStart w:id="1" w:name="_bfmzzqq86am8" w:colFirst="0" w:colLast="0"/>
      <w:bookmarkEnd w:id="1"/>
      <w:r>
        <w:rPr>
          <w:noProof/>
        </w:rPr>
        <w:pict w14:anchorId="479CD458">
          <v:rect id="_x0000_i1029" alt="" style="width:424.65pt;height:.05pt;mso-width-percent:0;mso-height-percent:0;mso-width-percent:0;mso-height-percent:0" o:hrpct="941" o:hralign="center" o:hrstd="t" o:hr="t" fillcolor="#a0a0a0" stroked="f"/>
        </w:pict>
      </w:r>
    </w:p>
    <w:p w14:paraId="0C32413F" w14:textId="2D4B6462" w:rsidR="008B3CD6" w:rsidRDefault="008B3CD6" w:rsidP="008B3CD6">
      <w:pPr>
        <w:pStyle w:val="Heading1"/>
        <w:numPr>
          <w:ilvl w:val="0"/>
          <w:numId w:val="1"/>
        </w:numPr>
        <w:tabs>
          <w:tab w:val="num" w:pos="360"/>
        </w:tabs>
        <w:jc w:val="left"/>
      </w:pPr>
      <w:bookmarkStart w:id="2" w:name="_wmplglngb7eu" w:colFirst="0" w:colLast="0"/>
      <w:bookmarkEnd w:id="2"/>
      <w:r>
        <w:t>ARTICLE 7: POLITICAL AND PUBLIC LIFE</w:t>
      </w:r>
    </w:p>
    <w:p w14:paraId="4056BD39" w14:textId="5AA60155" w:rsidR="00EC1FD5" w:rsidRPr="00EC1FD5" w:rsidRDefault="00000000" w:rsidP="00EC1FD5">
      <w:r>
        <w:rPr>
          <w:noProof/>
        </w:rPr>
        <w:pict w14:anchorId="2D8DFA9D">
          <v:rect id="_x0000_i1030" alt="" style="width:451.3pt;height:.05pt;mso-width-percent:0;mso-height-percent:0;mso-width-percent:0;mso-height-percent:0" o:hralign="center" o:hrstd="t" o:hr="t" fillcolor="#a0a0a0" stroked="f"/>
        </w:pict>
      </w:r>
    </w:p>
    <w:p w14:paraId="7EFDCDA6" w14:textId="2004955C" w:rsidR="008B3CD6" w:rsidRDefault="008B3CD6" w:rsidP="008B3CD6">
      <w:pPr>
        <w:jc w:val="both"/>
        <w:rPr>
          <w:rFonts w:ascii="Calibri" w:eastAsia="Calibri" w:hAnsi="Calibri" w:cs="Calibri"/>
          <w:highlight w:val="yellow"/>
        </w:rPr>
      </w:pPr>
      <w:r>
        <w:rPr>
          <w:rFonts w:ascii="Calibri" w:eastAsia="Calibri" w:hAnsi="Calibri" w:cs="Calibri"/>
        </w:rPr>
        <w:t xml:space="preserve">Insufficient representation in politics is a bold issue. Women have assumed positions of leadership in a variety of societal areas, including politics. However, the rise of the all-male military junta has </w:t>
      </w:r>
      <w:r>
        <w:rPr>
          <w:rFonts w:ascii="Calibri" w:eastAsia="Calibri" w:hAnsi="Calibri" w:cs="Calibri"/>
        </w:rPr>
        <w:lastRenderedPageBreak/>
        <w:t>widened gender inequality, with women being underrepresented at all levels of decision-making and still suffering from sexist stereotypes.</w:t>
      </w:r>
      <w:r>
        <w:rPr>
          <w:rFonts w:ascii="Calibri" w:eastAsia="Calibri" w:hAnsi="Calibri" w:cs="Calibri"/>
          <w:vertAlign w:val="superscript"/>
        </w:rPr>
        <w:endnoteReference w:id="14"/>
      </w:r>
      <w:r>
        <w:rPr>
          <w:rFonts w:ascii="Calibri" w:eastAsia="Calibri" w:hAnsi="Calibri" w:cs="Calibri"/>
        </w:rPr>
        <w:t xml:space="preserve"> </w:t>
      </w:r>
      <w:r w:rsidR="00F22E70">
        <w:rPr>
          <w:rFonts w:ascii="Calibri" w:eastAsia="Calibri" w:hAnsi="Calibri" w:cs="Calibri"/>
          <w:b/>
        </w:rPr>
        <w:t>W</w:t>
      </w:r>
      <w:r>
        <w:rPr>
          <w:rFonts w:ascii="Calibri" w:eastAsia="Calibri" w:hAnsi="Calibri" w:cs="Calibri"/>
          <w:b/>
        </w:rPr>
        <w:t>omen</w:t>
      </w:r>
      <w:r>
        <w:rPr>
          <w:rFonts w:ascii="Calibri" w:eastAsia="Calibri" w:hAnsi="Calibri" w:cs="Calibri"/>
        </w:rPr>
        <w:t xml:space="preserve"> represent only 16% of parliamentarians at the National Assembly, thereby occupying only 77 seats out of 489.</w:t>
      </w:r>
      <w:r>
        <w:rPr>
          <w:rFonts w:ascii="Calibri" w:eastAsia="Calibri" w:hAnsi="Calibri" w:cs="Calibri"/>
          <w:vertAlign w:val="superscript"/>
        </w:rPr>
        <w:endnoteReference w:id="15"/>
      </w:r>
      <w:r>
        <w:rPr>
          <w:rFonts w:ascii="Calibri" w:eastAsia="Calibri" w:hAnsi="Calibri" w:cs="Calibri"/>
        </w:rPr>
        <w:t xml:space="preserve"> Moreover, there is neither a quota for female </w:t>
      </w:r>
      <w:r w:rsidRPr="00C1286B">
        <w:rPr>
          <w:rFonts w:ascii="Calibri" w:eastAsia="Calibri" w:hAnsi="Calibri" w:cs="Calibri"/>
        </w:rPr>
        <w:t>officials dictated in the Thai law nor provisions requiring that there are seats reserved for women, or that women have to be involved.</w:t>
      </w:r>
      <w:r w:rsidRPr="00C1286B">
        <w:rPr>
          <w:rFonts w:ascii="Calibri" w:eastAsia="Calibri" w:hAnsi="Calibri" w:cs="Calibri"/>
          <w:vertAlign w:val="superscript"/>
        </w:rPr>
        <w:endnoteReference w:id="16"/>
      </w:r>
      <w:r w:rsidRPr="00C1286B">
        <w:rPr>
          <w:rFonts w:ascii="Calibri" w:eastAsia="Calibri" w:hAnsi="Calibri" w:cs="Calibri"/>
        </w:rPr>
        <w:t xml:space="preserve"> On the other hand, due to patriarchy, gender bias against female leaders persists, and men frequently refuse to recognize and appreciate them in a team that is predominately male.</w:t>
      </w:r>
      <w:r w:rsidRPr="00C1286B">
        <w:rPr>
          <w:rFonts w:ascii="Calibri" w:eastAsia="Calibri" w:hAnsi="Calibri" w:cs="Calibri"/>
          <w:vertAlign w:val="superscript"/>
        </w:rPr>
        <w:endnoteReference w:id="17"/>
      </w:r>
    </w:p>
    <w:p w14:paraId="69C7493F" w14:textId="77777777" w:rsidR="008B3CD6" w:rsidRDefault="008B3CD6" w:rsidP="008B3CD6">
      <w:pPr>
        <w:jc w:val="both"/>
        <w:rPr>
          <w:rFonts w:ascii="Calibri" w:eastAsia="Calibri" w:hAnsi="Calibri" w:cs="Calibri"/>
          <w:shd w:val="clear" w:color="auto" w:fill="E6B8AF"/>
        </w:rPr>
      </w:pPr>
      <w:r>
        <w:rPr>
          <w:rFonts w:ascii="Calibri" w:eastAsia="Calibri" w:hAnsi="Calibri" w:cs="Calibri"/>
          <w:shd w:val="clear" w:color="auto" w:fill="E6B8AF"/>
        </w:rPr>
        <w:t xml:space="preserve"> </w:t>
      </w:r>
    </w:p>
    <w:p w14:paraId="1D51DE1D" w14:textId="77777777" w:rsidR="008B3CD6" w:rsidRDefault="008B3CD6" w:rsidP="008B3CD6">
      <w:pPr>
        <w:jc w:val="both"/>
        <w:rPr>
          <w:rFonts w:ascii="Calibri" w:eastAsia="Calibri" w:hAnsi="Calibri" w:cs="Calibri"/>
          <w:color w:val="333434"/>
        </w:rPr>
      </w:pPr>
      <w:r>
        <w:rPr>
          <w:rFonts w:ascii="Calibri" w:eastAsia="Calibri" w:hAnsi="Calibri" w:cs="Calibri"/>
        </w:rPr>
        <w:t xml:space="preserve">The representation of the </w:t>
      </w:r>
      <w:r>
        <w:rPr>
          <w:rFonts w:ascii="Calibri" w:eastAsia="Calibri" w:hAnsi="Calibri" w:cs="Calibri"/>
          <w:b/>
        </w:rPr>
        <w:t>LGBTIQ+ community</w:t>
      </w:r>
      <w:r>
        <w:rPr>
          <w:rFonts w:ascii="Calibri" w:eastAsia="Calibri" w:hAnsi="Calibri" w:cs="Calibri"/>
        </w:rPr>
        <w:t xml:space="preserve"> in the Parliament remains insufficient compared to the vibrant and large LGBTIQ+ community in the country. There has been only one transgender woman in parliament, but she was dismissed.</w:t>
      </w:r>
      <w:r>
        <w:rPr>
          <w:rFonts w:ascii="Calibri" w:eastAsia="Calibri" w:hAnsi="Calibri" w:cs="Calibri"/>
          <w:vertAlign w:val="superscript"/>
        </w:rPr>
        <w:endnoteReference w:id="18"/>
      </w:r>
      <w:r>
        <w:rPr>
          <w:rFonts w:ascii="Calibri" w:eastAsia="Calibri" w:hAnsi="Calibri" w:cs="Calibri"/>
        </w:rPr>
        <w:t xml:space="preserve"> </w:t>
      </w:r>
    </w:p>
    <w:p w14:paraId="68C2CB69" w14:textId="77777777" w:rsidR="008B3CD6" w:rsidRDefault="008B3CD6" w:rsidP="008B3CD6">
      <w:pPr>
        <w:jc w:val="both"/>
        <w:rPr>
          <w:rFonts w:ascii="Calibri" w:eastAsia="Calibri" w:hAnsi="Calibri" w:cs="Calibri"/>
          <w:shd w:val="clear" w:color="auto" w:fill="C9DAF8"/>
        </w:rPr>
      </w:pPr>
      <w:r>
        <w:rPr>
          <w:rFonts w:ascii="Calibri" w:eastAsia="Calibri" w:hAnsi="Calibri" w:cs="Calibri"/>
          <w:shd w:val="clear" w:color="auto" w:fill="E6B8AF"/>
        </w:rPr>
        <w:br/>
      </w:r>
      <w:r>
        <w:rPr>
          <w:rFonts w:ascii="Calibri" w:eastAsia="Calibri" w:hAnsi="Calibri" w:cs="Calibri"/>
        </w:rPr>
        <w:t>Law enforcement is also considered a male dominated occupation resulting in the underrepresentation of women in police personnel positions. In 2018, the Royal Police Cadet Academy (RPCA) announced that the RCPA will accept only men from 2019 onwards.</w:t>
      </w:r>
      <w:r>
        <w:rPr>
          <w:rFonts w:ascii="Calibri" w:eastAsia="Calibri" w:hAnsi="Calibri" w:cs="Calibri"/>
          <w:vertAlign w:val="superscript"/>
        </w:rPr>
        <w:endnoteReference w:id="19"/>
      </w:r>
      <w:r>
        <w:rPr>
          <w:rFonts w:ascii="Calibri" w:eastAsia="Calibri" w:hAnsi="Calibri" w:cs="Calibri"/>
        </w:rPr>
        <w:t xml:space="preserve"> </w:t>
      </w:r>
    </w:p>
    <w:p w14:paraId="140262EC" w14:textId="77777777" w:rsidR="008B3CD6" w:rsidRDefault="008B3CD6" w:rsidP="008B3CD6">
      <w:pPr>
        <w:jc w:val="both"/>
        <w:rPr>
          <w:rFonts w:ascii="Calibri" w:eastAsia="Calibri" w:hAnsi="Calibri" w:cs="Calibri"/>
        </w:rPr>
      </w:pPr>
    </w:p>
    <w:p w14:paraId="3A99C12A" w14:textId="3BCAAF35" w:rsidR="008B3CD6" w:rsidRDefault="008B3CD6" w:rsidP="008B3CD6">
      <w:pPr>
        <w:jc w:val="both"/>
        <w:rPr>
          <w:rFonts w:ascii="Calibri" w:eastAsia="Calibri" w:hAnsi="Calibri" w:cs="Calibri"/>
          <w:shd w:val="clear" w:color="auto" w:fill="E6B8AF"/>
        </w:rPr>
      </w:pPr>
      <w:r>
        <w:rPr>
          <w:rFonts w:ascii="Calibri" w:eastAsia="Calibri" w:hAnsi="Calibri" w:cs="Calibri"/>
          <w:b/>
        </w:rPr>
        <w:t>Indigenous women</w:t>
      </w:r>
      <w:r>
        <w:rPr>
          <w:rFonts w:ascii="Calibri" w:eastAsia="Calibri" w:hAnsi="Calibri" w:cs="Calibri"/>
        </w:rPr>
        <w:t xml:space="preserve"> are predisposed to a complexity of challenges and barriers </w:t>
      </w:r>
      <w:r w:rsidR="00F22E70">
        <w:rPr>
          <w:rFonts w:ascii="Calibri" w:eastAsia="Calibri" w:hAnsi="Calibri" w:cs="Calibri"/>
        </w:rPr>
        <w:t>to participate</w:t>
      </w:r>
      <w:r>
        <w:rPr>
          <w:rFonts w:ascii="Calibri" w:eastAsia="Calibri" w:hAnsi="Calibri" w:cs="Calibri"/>
        </w:rPr>
        <w:t xml:space="preserve"> in the public and political life</w:t>
      </w:r>
      <w:r w:rsidR="00F22E70">
        <w:rPr>
          <w:rFonts w:ascii="Calibri" w:eastAsia="Calibri" w:hAnsi="Calibri" w:cs="Calibri"/>
        </w:rPr>
        <w:t xml:space="preserve">. </w:t>
      </w:r>
      <w:r>
        <w:rPr>
          <w:rFonts w:ascii="Calibri" w:eastAsia="Calibri" w:hAnsi="Calibri" w:cs="Calibri"/>
        </w:rPr>
        <w:t>Due to the difficulties associated with obtaining citizenship, or the lack thereof, their ability to vote is compromised.</w:t>
      </w:r>
      <w:r>
        <w:rPr>
          <w:rFonts w:ascii="Calibri" w:eastAsia="Calibri" w:hAnsi="Calibri" w:cs="Calibri"/>
          <w:highlight w:val="white"/>
          <w:vertAlign w:val="superscript"/>
        </w:rPr>
        <w:t xml:space="preserve"> </w:t>
      </w:r>
      <w:r>
        <w:rPr>
          <w:rFonts w:ascii="Calibri" w:eastAsia="Calibri" w:hAnsi="Calibri" w:cs="Calibri"/>
        </w:rPr>
        <w:t>The roles they are expected to play provide them with little, if any, space for autonomy or decision-making regarding matters affecting them. Indigenous women were excluded from the consultation process to develop the Draft Protection and Promotion of the Way of Life of Ethnic Groups Act,</w:t>
      </w:r>
      <w:r>
        <w:rPr>
          <w:rFonts w:ascii="Calibri" w:eastAsia="Calibri" w:hAnsi="Calibri" w:cs="Calibri"/>
          <w:vertAlign w:val="superscript"/>
        </w:rPr>
        <w:endnoteReference w:id="20"/>
      </w:r>
      <w:r>
        <w:rPr>
          <w:rFonts w:ascii="Calibri" w:eastAsia="Calibri" w:hAnsi="Calibri" w:cs="Calibri"/>
        </w:rPr>
        <w:t xml:space="preserve"> and their concerns were not incorporated in amendments to the Draft Act.</w:t>
      </w:r>
      <w:r>
        <w:rPr>
          <w:rFonts w:ascii="Calibri" w:eastAsia="Calibri" w:hAnsi="Calibri" w:cs="Calibri"/>
          <w:vertAlign w:val="superscript"/>
        </w:rPr>
        <w:endnoteReference w:id="21"/>
      </w:r>
      <w:r>
        <w:rPr>
          <w:rFonts w:ascii="Calibri" w:eastAsia="Calibri" w:hAnsi="Calibri" w:cs="Calibri"/>
        </w:rPr>
        <w:t xml:space="preserve"> </w:t>
      </w:r>
      <w:r>
        <w:rPr>
          <w:rFonts w:ascii="Calibri" w:eastAsia="Calibri" w:hAnsi="Calibri" w:cs="Calibri"/>
          <w:color w:val="333434"/>
        </w:rPr>
        <w:t xml:space="preserve"> </w:t>
      </w:r>
      <w:r w:rsidR="00F22E70">
        <w:rPr>
          <w:rFonts w:ascii="Calibri" w:eastAsia="Calibri" w:hAnsi="Calibri" w:cs="Calibri"/>
        </w:rPr>
        <w:t>T</w:t>
      </w:r>
      <w:r>
        <w:rPr>
          <w:rFonts w:ascii="Calibri" w:eastAsia="Calibri" w:hAnsi="Calibri" w:cs="Calibri"/>
        </w:rPr>
        <w:t>he government does not value the opinions of local communities and regard them as uneducated. Although certain law propositions are open for public consultation, ethnic and rural groups, due to lack of access to technology or internet, and insufficient knowledge surrounding human rights and international law</w:t>
      </w:r>
      <w:r w:rsidR="00F22E70">
        <w:rPr>
          <w:rFonts w:ascii="Calibri" w:eastAsia="Calibri" w:hAnsi="Calibri" w:cs="Calibri"/>
        </w:rPr>
        <w:t>,</w:t>
      </w:r>
      <w:r>
        <w:rPr>
          <w:rFonts w:ascii="Calibri" w:eastAsia="Calibri" w:hAnsi="Calibri" w:cs="Calibri"/>
        </w:rPr>
        <w:t xml:space="preserve"> cannot effectively take part.</w:t>
      </w:r>
      <w:r>
        <w:rPr>
          <w:rFonts w:ascii="Calibri" w:eastAsia="Calibri" w:hAnsi="Calibri" w:cs="Calibri"/>
          <w:vertAlign w:val="superscript"/>
        </w:rPr>
        <w:endnoteReference w:id="22"/>
      </w:r>
      <w:r>
        <w:rPr>
          <w:rFonts w:ascii="Calibri" w:eastAsia="Calibri" w:hAnsi="Calibri" w:cs="Calibri"/>
        </w:rPr>
        <w:t xml:space="preserve"> </w:t>
      </w:r>
      <w:r>
        <w:rPr>
          <w:rFonts w:ascii="Calibri" w:eastAsia="Calibri" w:hAnsi="Calibri" w:cs="Calibri"/>
          <w:shd w:val="clear" w:color="auto" w:fill="E6B8AF"/>
        </w:rPr>
        <w:t xml:space="preserve"> </w:t>
      </w:r>
    </w:p>
    <w:p w14:paraId="37944266" w14:textId="77777777" w:rsidR="008B3CD6" w:rsidRDefault="008B3CD6" w:rsidP="008B3CD6">
      <w:pPr>
        <w:jc w:val="both"/>
        <w:rPr>
          <w:rFonts w:ascii="Calibri" w:eastAsia="Calibri" w:hAnsi="Calibri" w:cs="Calibri"/>
          <w:shd w:val="clear" w:color="auto" w:fill="E6B8AF"/>
        </w:rPr>
      </w:pPr>
    </w:p>
    <w:p w14:paraId="4DC40A3C" w14:textId="78423FD0" w:rsidR="008B3CD6" w:rsidRDefault="008B3CD6" w:rsidP="008B3CD6">
      <w:pPr>
        <w:jc w:val="both"/>
        <w:rPr>
          <w:rFonts w:ascii="Calibri" w:eastAsia="Calibri" w:hAnsi="Calibri" w:cs="Calibri"/>
        </w:rPr>
      </w:pPr>
      <w:r w:rsidRPr="00797337">
        <w:rPr>
          <w:rFonts w:ascii="Calibri" w:eastAsia="Calibri" w:hAnsi="Calibri" w:cs="Calibri"/>
        </w:rPr>
        <w:t xml:space="preserve">In recent years, the government </w:t>
      </w:r>
      <w:r>
        <w:rPr>
          <w:rFonts w:ascii="Calibri" w:eastAsia="Calibri" w:hAnsi="Calibri" w:cs="Calibri"/>
        </w:rPr>
        <w:t xml:space="preserve">has </w:t>
      </w:r>
      <w:r w:rsidRPr="00797337">
        <w:rPr>
          <w:rFonts w:ascii="Calibri" w:eastAsia="Calibri" w:hAnsi="Calibri" w:cs="Calibri"/>
        </w:rPr>
        <w:t>imposed</w:t>
      </w:r>
      <w:r>
        <w:rPr>
          <w:rFonts w:ascii="Calibri" w:eastAsia="Calibri" w:hAnsi="Calibri" w:cs="Calibri"/>
        </w:rPr>
        <w:t xml:space="preserve"> policies that have negatively impacted the well-being of Indigenous communities, overlooking the impact on Indigenous women</w:t>
      </w:r>
      <w:r>
        <w:rPr>
          <w:rFonts w:ascii="Calibri" w:eastAsia="Calibri" w:hAnsi="Calibri" w:cs="Calibri"/>
          <w:vertAlign w:val="superscript"/>
        </w:rPr>
        <w:endnoteReference w:id="23"/>
      </w:r>
      <w:r>
        <w:rPr>
          <w:rFonts w:ascii="Calibri" w:eastAsia="Calibri" w:hAnsi="Calibri" w:cs="Calibri"/>
        </w:rPr>
        <w:t xml:space="preserve"> – the primary custodians of land and resources. They are restricted from participating in dispute resolution mechanisms, even when the dispute concerns them</w:t>
      </w:r>
      <w:r w:rsidR="00F22E70">
        <w:rPr>
          <w:rFonts w:ascii="Calibri" w:eastAsia="Calibri" w:hAnsi="Calibri" w:cs="Calibri"/>
        </w:rPr>
        <w:t>, as in the case of</w:t>
      </w:r>
      <w:r>
        <w:rPr>
          <w:rFonts w:ascii="Calibri" w:eastAsia="Calibri" w:hAnsi="Calibri" w:cs="Calibri"/>
        </w:rPr>
        <w:t xml:space="preserve"> land grabbing in </w:t>
      </w:r>
      <w:proofErr w:type="spellStart"/>
      <w:r>
        <w:rPr>
          <w:rFonts w:ascii="Calibri" w:eastAsia="Calibri" w:hAnsi="Calibri" w:cs="Calibri"/>
        </w:rPr>
        <w:t>Sireh</w:t>
      </w:r>
      <w:proofErr w:type="spellEnd"/>
      <w:r>
        <w:rPr>
          <w:rFonts w:ascii="Calibri" w:eastAsia="Calibri" w:hAnsi="Calibri" w:cs="Calibri"/>
        </w:rPr>
        <w:t xml:space="preserve"> Island, where the </w:t>
      </w:r>
      <w:proofErr w:type="spellStart"/>
      <w:r>
        <w:rPr>
          <w:rFonts w:ascii="Calibri" w:eastAsia="Calibri" w:hAnsi="Calibri" w:cs="Calibri"/>
        </w:rPr>
        <w:t>Urak</w:t>
      </w:r>
      <w:proofErr w:type="spellEnd"/>
      <w:r>
        <w:rPr>
          <w:rFonts w:ascii="Calibri" w:eastAsia="Calibri" w:hAnsi="Calibri" w:cs="Calibri"/>
        </w:rPr>
        <w:t xml:space="preserve"> </w:t>
      </w:r>
      <w:proofErr w:type="spellStart"/>
      <w:r>
        <w:rPr>
          <w:rFonts w:ascii="Calibri" w:eastAsia="Calibri" w:hAnsi="Calibri" w:cs="Calibri"/>
        </w:rPr>
        <w:t>Lawoi</w:t>
      </w:r>
      <w:proofErr w:type="spellEnd"/>
      <w:r>
        <w:rPr>
          <w:rFonts w:ascii="Calibri" w:eastAsia="Calibri" w:hAnsi="Calibri" w:cs="Calibri"/>
        </w:rPr>
        <w:t xml:space="preserve"> Indigenous women were excluded from the consultative process </w:t>
      </w:r>
      <w:r w:rsidR="00F22E70">
        <w:rPr>
          <w:rFonts w:ascii="Calibri" w:eastAsia="Calibri" w:hAnsi="Calibri" w:cs="Calibri"/>
        </w:rPr>
        <w:t>and</w:t>
      </w:r>
      <w:r>
        <w:rPr>
          <w:rFonts w:ascii="Calibri" w:eastAsia="Calibri" w:hAnsi="Calibri" w:cs="Calibri"/>
        </w:rPr>
        <w:t xml:space="preserve"> court proceedings.</w:t>
      </w:r>
      <w:r>
        <w:rPr>
          <w:rFonts w:ascii="Calibri" w:eastAsia="Calibri" w:hAnsi="Calibri" w:cs="Calibri"/>
          <w:vertAlign w:val="superscript"/>
        </w:rPr>
        <w:endnoteReference w:id="24"/>
      </w:r>
      <w:r>
        <w:rPr>
          <w:rFonts w:ascii="Calibri" w:eastAsia="Calibri" w:hAnsi="Calibri" w:cs="Calibri"/>
        </w:rPr>
        <w:t xml:space="preserve"> </w:t>
      </w:r>
    </w:p>
    <w:p w14:paraId="74C98F10" w14:textId="77777777" w:rsidR="008B3CD6" w:rsidRDefault="008B3CD6" w:rsidP="008B3CD6">
      <w:pPr>
        <w:jc w:val="both"/>
        <w:rPr>
          <w:rFonts w:ascii="Calibri" w:eastAsia="Calibri" w:hAnsi="Calibri" w:cs="Calibri"/>
        </w:rPr>
      </w:pPr>
    </w:p>
    <w:p w14:paraId="73824EE6" w14:textId="23D038B8" w:rsidR="008B3CD6" w:rsidRDefault="008B3CD6" w:rsidP="008B3CD6">
      <w:pPr>
        <w:jc w:val="both"/>
        <w:rPr>
          <w:rFonts w:ascii="Calibri" w:eastAsia="Calibri" w:hAnsi="Calibri" w:cs="Calibri"/>
        </w:rPr>
      </w:pPr>
      <w:r>
        <w:rPr>
          <w:rFonts w:ascii="Calibri" w:eastAsia="Calibri" w:hAnsi="Calibri" w:cs="Calibri"/>
        </w:rPr>
        <w:t xml:space="preserve">In the SPBs, </w:t>
      </w:r>
      <w:r>
        <w:rPr>
          <w:rFonts w:ascii="Calibri" w:eastAsia="Calibri" w:hAnsi="Calibri" w:cs="Calibri"/>
          <w:b/>
        </w:rPr>
        <w:t>Malay Muslim women</w:t>
      </w:r>
      <w:r>
        <w:rPr>
          <w:rFonts w:ascii="Calibri" w:eastAsia="Calibri" w:hAnsi="Calibri" w:cs="Calibri"/>
        </w:rPr>
        <w:t xml:space="preserve"> bear the impact of the conflict, yet they are not meaningfully engaged in peace talks. </w:t>
      </w:r>
      <w:r w:rsidR="00F22E70">
        <w:rPr>
          <w:rFonts w:ascii="Calibri" w:eastAsia="Calibri" w:hAnsi="Calibri" w:cs="Calibri"/>
        </w:rPr>
        <w:t>T</w:t>
      </w:r>
      <w:r>
        <w:rPr>
          <w:rFonts w:ascii="Calibri" w:eastAsia="Calibri" w:hAnsi="Calibri" w:cs="Calibri"/>
        </w:rPr>
        <w:t>hey struggle to acquire information on the progress of the discussion that will enable them to develop and provide inputs to the peace process. Women are</w:t>
      </w:r>
      <w:r w:rsidR="00F22E70">
        <w:rPr>
          <w:rFonts w:ascii="Calibri" w:eastAsia="Calibri" w:hAnsi="Calibri" w:cs="Calibri"/>
        </w:rPr>
        <w:t xml:space="preserve"> </w:t>
      </w:r>
      <w:r>
        <w:rPr>
          <w:rFonts w:ascii="Calibri" w:eastAsia="Calibri" w:hAnsi="Calibri" w:cs="Calibri"/>
        </w:rPr>
        <w:t>not allowed to sit on Islamic committees established to partake in such peace talks, addressing many issues including the right to self-determination and land titles without a gender-sensitive approach.</w:t>
      </w:r>
      <w:r>
        <w:rPr>
          <w:rFonts w:ascii="Calibri" w:eastAsia="Calibri" w:hAnsi="Calibri" w:cs="Calibri"/>
          <w:vertAlign w:val="superscript"/>
        </w:rPr>
        <w:endnoteReference w:id="25"/>
      </w:r>
    </w:p>
    <w:p w14:paraId="6919B195" w14:textId="77777777" w:rsidR="008B3CD6" w:rsidRDefault="008B3CD6" w:rsidP="008B3CD6">
      <w:pPr>
        <w:jc w:val="both"/>
        <w:rPr>
          <w:rFonts w:ascii="Calibri" w:eastAsia="Calibri" w:hAnsi="Calibri" w:cs="Calibri"/>
        </w:rPr>
      </w:pPr>
    </w:p>
    <w:p w14:paraId="19BE8DDA" w14:textId="061CAC69" w:rsidR="008B3CD6" w:rsidRDefault="008B3CD6" w:rsidP="008B3CD6">
      <w:pPr>
        <w:jc w:val="both"/>
        <w:rPr>
          <w:rFonts w:ascii="Calibri" w:eastAsia="Calibri" w:hAnsi="Calibri" w:cs="Calibri"/>
        </w:rPr>
      </w:pPr>
      <w:r>
        <w:rPr>
          <w:rFonts w:ascii="Calibri" w:eastAsia="Calibri" w:hAnsi="Calibri" w:cs="Calibri"/>
          <w:b/>
        </w:rPr>
        <w:t>WHRDs</w:t>
      </w:r>
      <w:r>
        <w:rPr>
          <w:rFonts w:ascii="Calibri" w:eastAsia="Calibri" w:hAnsi="Calibri" w:cs="Calibri"/>
        </w:rPr>
        <w:t xml:space="preserve"> also face challenges in participating in public life and have increasingly become targets of violence, threats, and judicial harassment through SLAPP cases.</w:t>
      </w:r>
      <w:r>
        <w:rPr>
          <w:rFonts w:ascii="Calibri" w:eastAsia="Calibri" w:hAnsi="Calibri" w:cs="Calibri"/>
          <w:vertAlign w:val="superscript"/>
        </w:rPr>
        <w:endnoteReference w:id="26"/>
      </w:r>
      <w:r>
        <w:rPr>
          <w:rFonts w:ascii="Calibri" w:eastAsia="Calibri" w:hAnsi="Calibri" w:cs="Calibri"/>
        </w:rPr>
        <w:t xml:space="preserve"> The majority of pro-democracy movement leaders are men, and women movement leaders are perceived negatively and their queries have often been brushed aside by the government.</w:t>
      </w:r>
      <w:r>
        <w:rPr>
          <w:rFonts w:ascii="Calibri" w:eastAsia="Calibri" w:hAnsi="Calibri" w:cs="Calibri"/>
          <w:vertAlign w:val="superscript"/>
        </w:rPr>
        <w:endnoteReference w:id="27"/>
      </w:r>
      <w:r>
        <w:rPr>
          <w:rFonts w:ascii="Calibri" w:eastAsia="Calibri" w:hAnsi="Calibri" w:cs="Calibri"/>
        </w:rPr>
        <w:t xml:space="preserve"> Local human rights activists may be invited to small-scale events in their areas, but in national events, their voices are not amplified, and gender issues are treated separately from other political issues.</w:t>
      </w:r>
      <w:r>
        <w:rPr>
          <w:rFonts w:ascii="Calibri" w:eastAsia="Calibri" w:hAnsi="Calibri" w:cs="Calibri"/>
          <w:vertAlign w:val="superscript"/>
        </w:rPr>
        <w:endnoteReference w:id="28"/>
      </w:r>
      <w:r>
        <w:rPr>
          <w:rFonts w:ascii="Calibri" w:eastAsia="Calibri" w:hAnsi="Calibri" w:cs="Calibri"/>
        </w:rPr>
        <w:t xml:space="preserve"> </w:t>
      </w:r>
    </w:p>
    <w:p w14:paraId="3E54AD2D" w14:textId="150EE927" w:rsidR="008B3CD6" w:rsidRDefault="008B3CD6" w:rsidP="008B3CD6">
      <w:pPr>
        <w:jc w:val="both"/>
        <w:rPr>
          <w:rFonts w:ascii="Calibri" w:eastAsia="Calibri" w:hAnsi="Calibri" w:cs="Calibri"/>
          <w:shd w:val="clear" w:color="auto" w:fill="E6B8AF"/>
        </w:rPr>
      </w:pPr>
      <w:r>
        <w:rPr>
          <w:rFonts w:ascii="Calibri" w:eastAsia="Calibri" w:hAnsi="Calibri" w:cs="Calibri"/>
        </w:rPr>
        <w:lastRenderedPageBreak/>
        <w:br/>
        <w:t xml:space="preserve">Moreover, there were reports alleging to the lack of credibility given to </w:t>
      </w:r>
      <w:r>
        <w:rPr>
          <w:rFonts w:ascii="Calibri" w:eastAsia="Calibri" w:hAnsi="Calibri" w:cs="Calibri"/>
          <w:b/>
        </w:rPr>
        <w:t>transgender women</w:t>
      </w:r>
      <w:r>
        <w:rPr>
          <w:rFonts w:ascii="Calibri" w:eastAsia="Calibri" w:hAnsi="Calibri" w:cs="Calibri"/>
        </w:rPr>
        <w:t xml:space="preserve"> </w:t>
      </w:r>
      <w:r>
        <w:rPr>
          <w:rFonts w:ascii="Calibri" w:eastAsia="Calibri" w:hAnsi="Calibri" w:cs="Calibri"/>
          <w:b/>
        </w:rPr>
        <w:t>activists</w:t>
      </w:r>
      <w:r>
        <w:rPr>
          <w:rFonts w:ascii="Calibri" w:eastAsia="Calibri" w:hAnsi="Calibri" w:cs="Calibri"/>
        </w:rPr>
        <w:t>, who are only trusted to work on LGBTQ+ issues, and not given credibility on other issues, such as poverty or communities’ livelihoods.</w:t>
      </w:r>
      <w:r>
        <w:rPr>
          <w:rFonts w:ascii="Calibri" w:eastAsia="Calibri" w:hAnsi="Calibri" w:cs="Calibri"/>
          <w:vertAlign w:val="superscript"/>
        </w:rPr>
        <w:endnoteReference w:id="29"/>
      </w:r>
      <w:r>
        <w:rPr>
          <w:rFonts w:ascii="Calibri" w:eastAsia="Calibri" w:hAnsi="Calibri" w:cs="Calibri"/>
        </w:rPr>
        <w:t xml:space="preserve"> In the online space, they face harassment, abuse, and hate speech. Transgender activists are also mocked by police officers for their appearance and gender, and when they seek help, they also experience verbal harassment from them.</w:t>
      </w:r>
      <w:r>
        <w:rPr>
          <w:rFonts w:ascii="Calibri" w:eastAsia="Calibri" w:hAnsi="Calibri" w:cs="Calibri"/>
          <w:vertAlign w:val="superscript"/>
        </w:rPr>
        <w:endnoteReference w:id="30"/>
      </w:r>
      <w:r>
        <w:rPr>
          <w:rFonts w:ascii="Calibri" w:eastAsia="Calibri" w:hAnsi="Calibri" w:cs="Calibri"/>
        </w:rPr>
        <w:t xml:space="preserve"> Similarly, there have been reports of WHRDs being mocked and even threatened. A pro-democracy female activist received threatening letters with pornographic pictures. After reporting these incidents to the police, they responded by saying “This is what you should expect.”</w:t>
      </w:r>
      <w:r>
        <w:rPr>
          <w:rFonts w:ascii="Calibri" w:eastAsia="Calibri" w:hAnsi="Calibri" w:cs="Calibri"/>
          <w:vertAlign w:val="superscript"/>
        </w:rPr>
        <w:endnoteReference w:id="31"/>
      </w:r>
    </w:p>
    <w:p w14:paraId="51846E0A" w14:textId="77777777" w:rsidR="008B3CD6" w:rsidRDefault="008B3CD6" w:rsidP="008B3CD6">
      <w:pPr>
        <w:jc w:val="both"/>
        <w:rPr>
          <w:rFonts w:ascii="Calibri" w:eastAsia="Calibri" w:hAnsi="Calibri" w:cs="Calibri"/>
        </w:rPr>
      </w:pPr>
    </w:p>
    <w:p w14:paraId="607E558A" w14:textId="77777777" w:rsidR="008B3CD6" w:rsidRDefault="00000000" w:rsidP="008B3CD6">
      <w:pPr>
        <w:jc w:val="both"/>
        <w:rPr>
          <w:rFonts w:ascii="Calibri" w:eastAsia="Calibri" w:hAnsi="Calibri" w:cs="Calibri"/>
        </w:rPr>
      </w:pPr>
      <w:r>
        <w:rPr>
          <w:noProof/>
        </w:rPr>
        <w:pict w14:anchorId="68CD7F9B">
          <v:rect id="_x0000_i1031" alt="" style="width:451.3pt;height:.05pt;mso-width-percent:0;mso-height-percent:0;mso-width-percent:0;mso-height-percent:0" o:hralign="center" o:hrstd="t" o:hr="t" fillcolor="#a0a0a0" stroked="f"/>
        </w:pict>
      </w:r>
    </w:p>
    <w:p w14:paraId="69A47C27" w14:textId="0DBB59C2" w:rsidR="008B3CD6" w:rsidRDefault="008B3CD6" w:rsidP="008B3CD6">
      <w:pPr>
        <w:pStyle w:val="Heading1"/>
        <w:numPr>
          <w:ilvl w:val="0"/>
          <w:numId w:val="1"/>
        </w:numPr>
        <w:tabs>
          <w:tab w:val="num" w:pos="360"/>
        </w:tabs>
        <w:jc w:val="left"/>
      </w:pPr>
      <w:bookmarkStart w:id="3" w:name="_ag718140c22r" w:colFirst="0" w:colLast="0"/>
      <w:bookmarkEnd w:id="3"/>
      <w:r>
        <w:t>ARTICLE 8: PARTICIPATION AT THE INTERNATIONAL LEVEL</w:t>
      </w:r>
      <w:r w:rsidR="00000000">
        <w:rPr>
          <w:noProof/>
        </w:rPr>
        <w:pict w14:anchorId="5F9DD6F2">
          <v:rect id="_x0000_i1032" alt="" style="width:424.65pt;height:.05pt;mso-width-percent:0;mso-height-percent:0;mso-width-percent:0;mso-height-percent:0" o:hrpct="941" o:hralign="center" o:hrstd="t" o:hr="t" fillcolor="#a0a0a0" stroked="f"/>
        </w:pict>
      </w:r>
    </w:p>
    <w:p w14:paraId="663BC905" w14:textId="77777777" w:rsidR="008B3CD6" w:rsidRDefault="008B3CD6" w:rsidP="008B3CD6">
      <w:pPr>
        <w:jc w:val="both"/>
        <w:rPr>
          <w:rFonts w:ascii="Calibri" w:eastAsia="Calibri" w:hAnsi="Calibri" w:cs="Calibri"/>
          <w:sz w:val="21"/>
          <w:szCs w:val="21"/>
        </w:rPr>
      </w:pPr>
      <w:r>
        <w:rPr>
          <w:rFonts w:ascii="Calibri" w:eastAsia="Calibri" w:hAnsi="Calibri" w:cs="Calibri"/>
        </w:rPr>
        <w:t>No systematic efforts have been made to equalize the gender ratio in the Thai foreign service, and women are still highly underrepresented. Out of 65 Thai embassies abroad, there are 15 women sitting as ambassadors.</w:t>
      </w:r>
      <w:r>
        <w:rPr>
          <w:rFonts w:ascii="Calibri" w:eastAsia="Calibri" w:hAnsi="Calibri" w:cs="Calibri"/>
          <w:vertAlign w:val="superscript"/>
        </w:rPr>
        <w:endnoteReference w:id="32"/>
      </w:r>
      <w:r>
        <w:rPr>
          <w:rFonts w:ascii="Calibri" w:eastAsia="Calibri" w:hAnsi="Calibri" w:cs="Calibri"/>
        </w:rPr>
        <w:t xml:space="preserve"> Nonetheless, </w:t>
      </w:r>
      <w:r>
        <w:rPr>
          <w:rFonts w:ascii="Calibri" w:eastAsia="Calibri" w:hAnsi="Calibri" w:cs="Calibri"/>
          <w:sz w:val="21"/>
          <w:szCs w:val="21"/>
          <w:highlight w:val="white"/>
        </w:rPr>
        <w:t>two of the Deputy Permanent Secretaries (out of 4) at the Ministry of Foreign Affairs are women.</w:t>
      </w:r>
      <w:r>
        <w:rPr>
          <w:rFonts w:ascii="Calibri" w:eastAsia="Calibri" w:hAnsi="Calibri" w:cs="Calibri"/>
          <w:sz w:val="21"/>
          <w:szCs w:val="21"/>
          <w:highlight w:val="white"/>
          <w:vertAlign w:val="superscript"/>
        </w:rPr>
        <w:endnoteReference w:id="33"/>
      </w:r>
    </w:p>
    <w:p w14:paraId="1E9BB164" w14:textId="77777777" w:rsidR="008B3CD6" w:rsidRDefault="008B3CD6" w:rsidP="008B3CD6">
      <w:pPr>
        <w:jc w:val="both"/>
        <w:rPr>
          <w:rFonts w:ascii="Calibri" w:eastAsia="Calibri" w:hAnsi="Calibri" w:cs="Calibri"/>
          <w:sz w:val="21"/>
          <w:szCs w:val="21"/>
        </w:rPr>
      </w:pPr>
    </w:p>
    <w:p w14:paraId="55F1045F" w14:textId="77777777" w:rsidR="008B3CD6" w:rsidRDefault="008B3CD6" w:rsidP="008B3CD6">
      <w:pPr>
        <w:jc w:val="both"/>
        <w:rPr>
          <w:rFonts w:ascii="Calibri" w:eastAsia="Calibri" w:hAnsi="Calibri" w:cs="Calibri"/>
        </w:rPr>
      </w:pPr>
      <w:r>
        <w:rPr>
          <w:rFonts w:ascii="Calibri" w:eastAsia="Calibri" w:hAnsi="Calibri" w:cs="Calibri"/>
        </w:rPr>
        <w:t>International mechanisms are not accessible by local communities, especially ethnic groups. If given opportunities to participate at the international levels, local human rights activists are not sponsored by the government, and their issues are not taken seriously, with no visible progress ahead.</w:t>
      </w:r>
      <w:r>
        <w:rPr>
          <w:rFonts w:ascii="Calibri" w:eastAsia="Calibri" w:hAnsi="Calibri" w:cs="Calibri"/>
          <w:vertAlign w:val="superscript"/>
        </w:rPr>
        <w:endnoteReference w:id="34"/>
      </w:r>
      <w:r>
        <w:rPr>
          <w:rFonts w:ascii="Calibri" w:eastAsia="Calibri" w:hAnsi="Calibri" w:cs="Calibri"/>
        </w:rPr>
        <w:t xml:space="preserve"> </w:t>
      </w:r>
    </w:p>
    <w:p w14:paraId="1A418F73" w14:textId="77777777" w:rsidR="008B3CD6" w:rsidRDefault="008B3CD6" w:rsidP="008B3CD6">
      <w:pPr>
        <w:jc w:val="both"/>
        <w:rPr>
          <w:rFonts w:ascii="Calibri" w:eastAsia="Calibri" w:hAnsi="Calibri" w:cs="Calibri"/>
        </w:rPr>
      </w:pPr>
    </w:p>
    <w:p w14:paraId="6028E792" w14:textId="77777777" w:rsidR="008B3CD6" w:rsidRDefault="00000000" w:rsidP="008B3CD6">
      <w:pPr>
        <w:jc w:val="both"/>
        <w:rPr>
          <w:rFonts w:ascii="Calibri" w:eastAsia="Calibri" w:hAnsi="Calibri" w:cs="Calibri"/>
        </w:rPr>
      </w:pPr>
      <w:r>
        <w:rPr>
          <w:noProof/>
        </w:rPr>
        <w:pict w14:anchorId="33603828">
          <v:rect id="_x0000_i1033" alt="" style="width:451.3pt;height:.05pt;mso-width-percent:0;mso-height-percent:0;mso-width-percent:0;mso-height-percent:0" o:hralign="center" o:hrstd="t" o:hr="t" fillcolor="#a0a0a0" stroked="f"/>
        </w:pict>
      </w:r>
    </w:p>
    <w:p w14:paraId="1C48C01B" w14:textId="1AD6BF4E" w:rsidR="008B3CD6" w:rsidRDefault="008B3CD6" w:rsidP="008B3CD6">
      <w:pPr>
        <w:pStyle w:val="Heading1"/>
        <w:numPr>
          <w:ilvl w:val="0"/>
          <w:numId w:val="1"/>
        </w:numPr>
        <w:tabs>
          <w:tab w:val="num" w:pos="360"/>
        </w:tabs>
        <w:jc w:val="left"/>
      </w:pPr>
      <w:bookmarkStart w:id="4" w:name="_ih4j56v2wil" w:colFirst="0" w:colLast="0"/>
      <w:bookmarkEnd w:id="4"/>
      <w:r>
        <w:t>ARTICLE 9: NATIONALITY</w:t>
      </w:r>
      <w:r w:rsidR="00000000">
        <w:rPr>
          <w:noProof/>
        </w:rPr>
        <w:pict w14:anchorId="3B75E096">
          <v:rect id="_x0000_i1034" alt="" style="width:424.65pt;height:.05pt;mso-width-percent:0;mso-height-percent:0;mso-width-percent:0;mso-height-percent:0" o:hrpct="941" o:hralign="center" o:hrstd="t" o:hr="t" fillcolor="#a0a0a0" stroked="f"/>
        </w:pict>
      </w:r>
    </w:p>
    <w:p w14:paraId="2DFE8D26" w14:textId="781328B3" w:rsidR="008B3CD6" w:rsidRDefault="008B3CD6" w:rsidP="008B3CD6">
      <w:pPr>
        <w:jc w:val="both"/>
        <w:rPr>
          <w:rFonts w:ascii="Calibri" w:eastAsia="Calibri" w:hAnsi="Calibri" w:cs="Calibri"/>
          <w:highlight w:val="yellow"/>
        </w:rPr>
      </w:pPr>
      <w:r>
        <w:rPr>
          <w:rFonts w:ascii="Calibri" w:eastAsia="Calibri" w:hAnsi="Calibri" w:cs="Calibri"/>
        </w:rPr>
        <w:t>Thailand is one of the countries with the highest number of stateless people in the world,</w:t>
      </w:r>
      <w:r>
        <w:rPr>
          <w:rFonts w:ascii="Calibri" w:eastAsia="Calibri" w:hAnsi="Calibri" w:cs="Calibri"/>
          <w:vertAlign w:val="superscript"/>
        </w:rPr>
        <w:endnoteReference w:id="35"/>
      </w:r>
      <w:r>
        <w:rPr>
          <w:rFonts w:ascii="Calibri" w:eastAsia="Calibri" w:hAnsi="Calibri" w:cs="Calibri"/>
        </w:rPr>
        <w:t xml:space="preserve"> and gaps in the national law are considered to be the major cause. Although it is estimated that at least 50% of stateless people in Thailand have a legitimate claim for citizenship, the procedures to apply for nationality are complicated and lengthy, which is worsened by corruption among local officers, discrimination and stereotypes</w:t>
      </w:r>
      <w:r w:rsidRPr="00C1286B">
        <w:rPr>
          <w:rFonts w:ascii="Calibri" w:eastAsia="Calibri" w:hAnsi="Calibri" w:cs="Calibri"/>
        </w:rPr>
        <w:t xml:space="preserve">. In </w:t>
      </w:r>
      <w:proofErr w:type="spellStart"/>
      <w:r w:rsidRPr="00C1286B">
        <w:rPr>
          <w:rFonts w:ascii="Calibri" w:eastAsia="Calibri" w:hAnsi="Calibri" w:cs="Calibri"/>
        </w:rPr>
        <w:t>Omkoi</w:t>
      </w:r>
      <w:proofErr w:type="spellEnd"/>
      <w:r w:rsidRPr="00C1286B">
        <w:rPr>
          <w:rFonts w:ascii="Calibri" w:eastAsia="Calibri" w:hAnsi="Calibri" w:cs="Calibri"/>
        </w:rPr>
        <w:t xml:space="preserve"> district, local government officers were found to engage in corruption and wrongful subrogation of IDs. Indigenous peoples were asked to pay illegal fees in order to start procedures to obtain citizenship and even threatened with arrest. The </w:t>
      </w:r>
      <w:proofErr w:type="spellStart"/>
      <w:r w:rsidRPr="00C1286B">
        <w:rPr>
          <w:rFonts w:ascii="Calibri" w:eastAsia="Calibri" w:hAnsi="Calibri" w:cs="Calibri"/>
        </w:rPr>
        <w:t>Omkoi</w:t>
      </w:r>
      <w:proofErr w:type="spellEnd"/>
      <w:r w:rsidRPr="00C1286B">
        <w:rPr>
          <w:rFonts w:ascii="Calibri" w:eastAsia="Calibri" w:hAnsi="Calibri" w:cs="Calibri"/>
        </w:rPr>
        <w:t xml:space="preserve"> villagers have mobilized at the community level to address the challenges to access citizenship, assisting the stateless people in registering their names and gathering the necessary supporting documentation for the citizenship procedure. One of the villagers even informed the National Human Rights Commission of Thailand (NHRCT) and submitted a petition to the Provincial Administrative Department of the Ministry of Interior. NGOs likewise played an important role. The case was documented by Manushya Foundation and the Indigenous Women's Network of Thailand (IWNT). In addition to providing technical training on the citizenship law, IWNT helped to document the life stories of the stateless people and to collect supporting documents and evidence needed to apply for citizenship.</w:t>
      </w:r>
      <w:r w:rsidRPr="00C1286B">
        <w:rPr>
          <w:rFonts w:ascii="Calibri" w:eastAsia="Calibri" w:hAnsi="Calibri" w:cs="Calibri"/>
          <w:vertAlign w:val="superscript"/>
        </w:rPr>
        <w:endnoteReference w:id="36"/>
      </w:r>
      <w:r w:rsidRPr="00C1286B">
        <w:rPr>
          <w:rFonts w:ascii="Calibri" w:eastAsia="Calibri" w:hAnsi="Calibri" w:cs="Calibri"/>
        </w:rPr>
        <w:t xml:space="preserve"> Thanks to the feminist community-led research conducted by IWNT and Manushya Foundation, 228 Indigenous people were granted Thai citizenship.</w:t>
      </w:r>
      <w:r w:rsidRPr="00C1286B">
        <w:rPr>
          <w:rFonts w:ascii="Calibri" w:eastAsia="Calibri" w:hAnsi="Calibri" w:cs="Calibri"/>
          <w:vertAlign w:val="superscript"/>
        </w:rPr>
        <w:endnoteReference w:id="37"/>
      </w:r>
      <w:r w:rsidRPr="00C1286B">
        <w:rPr>
          <w:rFonts w:ascii="Calibri" w:eastAsia="Calibri" w:hAnsi="Calibri" w:cs="Calibri"/>
        </w:rPr>
        <w:t xml:space="preserve"> This marked a significant turning point in their lives, finally being granted the right that had been unfairly withheld from them for too long.</w:t>
      </w:r>
    </w:p>
    <w:p w14:paraId="1979AD45" w14:textId="77777777" w:rsidR="008B3CD6" w:rsidRDefault="008B3CD6" w:rsidP="008B3CD6">
      <w:pPr>
        <w:jc w:val="both"/>
        <w:rPr>
          <w:rFonts w:ascii="Calibri" w:eastAsia="Calibri" w:hAnsi="Calibri" w:cs="Calibri"/>
        </w:rPr>
      </w:pPr>
      <w:r>
        <w:rPr>
          <w:rFonts w:ascii="Calibri" w:eastAsia="Calibri" w:hAnsi="Calibri" w:cs="Calibri"/>
        </w:rPr>
        <w:br/>
        <w:t xml:space="preserve">Disenfranchisement of citizenship is therefore one of the fundamental challenges for Indigenous </w:t>
      </w:r>
      <w:r>
        <w:rPr>
          <w:rFonts w:ascii="Calibri" w:eastAsia="Calibri" w:hAnsi="Calibri" w:cs="Calibri"/>
        </w:rPr>
        <w:lastRenderedPageBreak/>
        <w:t>groups.</w:t>
      </w:r>
      <w:r>
        <w:rPr>
          <w:rFonts w:ascii="Calibri" w:eastAsia="Calibri" w:hAnsi="Calibri" w:cs="Calibri"/>
          <w:sz w:val="20"/>
          <w:szCs w:val="20"/>
          <w:vertAlign w:val="superscript"/>
        </w:rPr>
        <w:endnoteReference w:id="38"/>
      </w:r>
      <w:r>
        <w:rPr>
          <w:rFonts w:ascii="Calibri" w:eastAsia="Calibri" w:hAnsi="Calibri" w:cs="Calibri"/>
          <w:sz w:val="20"/>
          <w:szCs w:val="20"/>
          <w:vertAlign w:val="superscript"/>
        </w:rPr>
        <w:t xml:space="preserve"> </w:t>
      </w:r>
      <w:r>
        <w:rPr>
          <w:rFonts w:ascii="Calibri" w:eastAsia="Calibri" w:hAnsi="Calibri" w:cs="Calibri"/>
        </w:rPr>
        <w:t xml:space="preserve">Among them, men are reportedly given priority to register for nationality, leaving a disproportionate number of </w:t>
      </w:r>
      <w:r>
        <w:rPr>
          <w:rFonts w:ascii="Calibri" w:eastAsia="Calibri" w:hAnsi="Calibri" w:cs="Calibri"/>
          <w:b/>
        </w:rPr>
        <w:t>Indigenous women</w:t>
      </w:r>
      <w:r>
        <w:rPr>
          <w:rFonts w:ascii="Calibri" w:eastAsia="Calibri" w:hAnsi="Calibri" w:cs="Calibri"/>
        </w:rPr>
        <w:t xml:space="preserve"> without nationality.</w:t>
      </w:r>
      <w:r>
        <w:rPr>
          <w:rFonts w:ascii="Calibri" w:eastAsia="Calibri" w:hAnsi="Calibri" w:cs="Calibri"/>
          <w:sz w:val="20"/>
          <w:szCs w:val="20"/>
          <w:vertAlign w:val="superscript"/>
        </w:rPr>
        <w:endnoteReference w:id="39"/>
      </w:r>
      <w:r>
        <w:rPr>
          <w:rFonts w:ascii="Calibri" w:eastAsia="Calibri" w:hAnsi="Calibri" w:cs="Calibri"/>
        </w:rPr>
        <w:t xml:space="preserve"> Barriers to citizenship are among the main reasons for violations of Indigenous women’s fundamental human rights and freedoms since citizenship is a condition to be able to access healthcare, education, employment, to travel freely and obtain land titles, among others.</w:t>
      </w:r>
      <w:r>
        <w:rPr>
          <w:rFonts w:ascii="Calibri" w:eastAsia="Calibri" w:hAnsi="Calibri" w:cs="Calibri"/>
          <w:vertAlign w:val="superscript"/>
        </w:rPr>
        <w:endnoteReference w:id="40"/>
      </w:r>
      <w:r>
        <w:rPr>
          <w:rFonts w:ascii="Calibri" w:eastAsia="Calibri" w:hAnsi="Calibri" w:cs="Calibri"/>
        </w:rPr>
        <w:t xml:space="preserve"> For instance, women in Northern Thailand’s hill tribes are not able to participate in capacity training programs without proof of citizenship.</w:t>
      </w:r>
      <w:r>
        <w:rPr>
          <w:rFonts w:ascii="Calibri" w:eastAsia="Calibri" w:hAnsi="Calibri" w:cs="Calibri"/>
          <w:vertAlign w:val="superscript"/>
        </w:rPr>
        <w:endnoteReference w:id="41"/>
      </w:r>
    </w:p>
    <w:p w14:paraId="6BF8E7F6" w14:textId="77777777" w:rsidR="008B3CD6" w:rsidRDefault="008B3CD6" w:rsidP="008B3CD6">
      <w:pPr>
        <w:jc w:val="both"/>
        <w:rPr>
          <w:rFonts w:ascii="Calibri" w:eastAsia="Calibri" w:hAnsi="Calibri" w:cs="Calibri"/>
          <w:color w:val="1D1C1D"/>
        </w:rPr>
      </w:pPr>
    </w:p>
    <w:p w14:paraId="46E7B58A" w14:textId="77777777" w:rsidR="008B3CD6" w:rsidRDefault="008B3CD6" w:rsidP="008B3CD6">
      <w:pPr>
        <w:jc w:val="both"/>
        <w:rPr>
          <w:rFonts w:ascii="Calibri" w:eastAsia="Calibri" w:hAnsi="Calibri" w:cs="Calibri"/>
        </w:rPr>
      </w:pPr>
      <w:r>
        <w:rPr>
          <w:rFonts w:ascii="Calibri" w:eastAsia="Calibri" w:hAnsi="Calibri" w:cs="Calibri"/>
        </w:rPr>
        <w:t xml:space="preserve">Citizenship can be acquired also through marriage to a male Thai citizen; however, </w:t>
      </w:r>
      <w:r>
        <w:rPr>
          <w:rFonts w:ascii="Calibri" w:eastAsia="Calibri" w:hAnsi="Calibri" w:cs="Calibri"/>
          <w:b/>
        </w:rPr>
        <w:t>women</w:t>
      </w:r>
      <w:r>
        <w:rPr>
          <w:rFonts w:ascii="Calibri" w:eastAsia="Calibri" w:hAnsi="Calibri" w:cs="Calibri"/>
        </w:rPr>
        <w:t xml:space="preserve"> and men do not enjoy equal rights to confer their nationality on foreign spouses, which is sex-discriminatory.</w:t>
      </w:r>
      <w:r>
        <w:rPr>
          <w:rFonts w:ascii="Calibri" w:eastAsia="Calibri" w:hAnsi="Calibri" w:cs="Calibri"/>
          <w:vertAlign w:val="superscript"/>
        </w:rPr>
        <w:endnoteReference w:id="42"/>
      </w:r>
      <w:r>
        <w:rPr>
          <w:rFonts w:ascii="Calibri" w:eastAsia="Calibri" w:hAnsi="Calibri" w:cs="Calibri"/>
        </w:rPr>
        <w:t xml:space="preserve"> Moreover, the law is also racially biased. If a </w:t>
      </w:r>
      <w:r>
        <w:rPr>
          <w:rFonts w:ascii="Calibri" w:eastAsia="Calibri" w:hAnsi="Calibri" w:cs="Calibri"/>
          <w:b/>
        </w:rPr>
        <w:t>migrant woman</w:t>
      </w:r>
      <w:r>
        <w:rPr>
          <w:rFonts w:ascii="Calibri" w:eastAsia="Calibri" w:hAnsi="Calibri" w:cs="Calibri"/>
        </w:rPr>
        <w:t xml:space="preserve"> gets married to a Thai man, acquiring a marriage certificate is expensive and more difficult than the process of acquiring a marriage certificate between Thai persons.</w:t>
      </w:r>
      <w:r>
        <w:rPr>
          <w:rFonts w:ascii="Calibri" w:eastAsia="Calibri" w:hAnsi="Calibri" w:cs="Calibri"/>
          <w:vertAlign w:val="superscript"/>
        </w:rPr>
        <w:endnoteReference w:id="43"/>
      </w:r>
      <w:r>
        <w:rPr>
          <w:rFonts w:ascii="Calibri" w:eastAsia="Calibri" w:hAnsi="Calibri" w:cs="Calibri"/>
        </w:rPr>
        <w:t xml:space="preserve"> In the case of a Thai husband abandoning his migrant wife and their children, it can be very difficult for children to get identification documents, since the law currently requires that for children to get an ID for the first time, a Thai parent has to be present. As a result, if a migrant single mom is taking care of her child(ren) born out of a Thai father, the child(ren) cannot get identification papers, and sometimes, cannot access legal documents, leaving them in a vicious cycle of being unable to claim their rights.</w:t>
      </w:r>
      <w:r>
        <w:rPr>
          <w:rFonts w:ascii="Calibri" w:eastAsia="Calibri" w:hAnsi="Calibri" w:cs="Calibri"/>
          <w:vertAlign w:val="superscript"/>
        </w:rPr>
        <w:endnoteReference w:id="44"/>
      </w:r>
      <w:r>
        <w:rPr>
          <w:rFonts w:ascii="Calibri" w:eastAsia="Calibri" w:hAnsi="Calibri" w:cs="Calibri"/>
        </w:rPr>
        <w:t xml:space="preserve"> </w:t>
      </w:r>
    </w:p>
    <w:p w14:paraId="422C3BA3" w14:textId="77777777" w:rsidR="008B3CD6" w:rsidRDefault="008B3CD6" w:rsidP="008B3CD6">
      <w:pPr>
        <w:jc w:val="both"/>
        <w:rPr>
          <w:rFonts w:ascii="Calibri" w:eastAsia="Calibri" w:hAnsi="Calibri" w:cs="Calibri"/>
          <w:shd w:val="clear" w:color="auto" w:fill="E6B8AF"/>
        </w:rPr>
      </w:pPr>
    </w:p>
    <w:p w14:paraId="35F8A126" w14:textId="77777777" w:rsidR="008B3CD6" w:rsidRDefault="00000000" w:rsidP="008B3CD6">
      <w:pPr>
        <w:jc w:val="both"/>
        <w:rPr>
          <w:rFonts w:ascii="Calibri" w:eastAsia="Calibri" w:hAnsi="Calibri" w:cs="Calibri"/>
          <w:color w:val="1D1C1D"/>
        </w:rPr>
      </w:pPr>
      <w:r>
        <w:rPr>
          <w:noProof/>
        </w:rPr>
        <w:pict w14:anchorId="45ECEA3F">
          <v:rect id="_x0000_i1035" alt="" style="width:451.3pt;height:.05pt;mso-width-percent:0;mso-height-percent:0;mso-width-percent:0;mso-height-percent:0" o:hralign="center" o:hrstd="t" o:hr="t" fillcolor="#a0a0a0" stroked="f"/>
        </w:pict>
      </w:r>
    </w:p>
    <w:p w14:paraId="1E4B0CD8" w14:textId="238146E4" w:rsidR="008B3CD6" w:rsidRDefault="008B3CD6" w:rsidP="008B3CD6">
      <w:pPr>
        <w:pStyle w:val="Heading1"/>
        <w:numPr>
          <w:ilvl w:val="0"/>
          <w:numId w:val="1"/>
        </w:numPr>
        <w:tabs>
          <w:tab w:val="num" w:pos="360"/>
        </w:tabs>
        <w:jc w:val="left"/>
      </w:pPr>
      <w:bookmarkStart w:id="5" w:name="_o2zs6imjfz30" w:colFirst="0" w:colLast="0"/>
      <w:bookmarkEnd w:id="5"/>
      <w:r>
        <w:t xml:space="preserve">ARTICLE 10: EQUALITY IN EDUCATION </w:t>
      </w:r>
      <w:r w:rsidR="00000000">
        <w:rPr>
          <w:noProof/>
        </w:rPr>
        <w:pict w14:anchorId="31896A0D">
          <v:rect id="_x0000_i1036" alt="" style="width:424.65pt;height:.05pt;mso-width-percent:0;mso-height-percent:0;mso-width-percent:0;mso-height-percent:0" o:hrpct="941" o:hralign="center" o:hrstd="t" o:hr="t" fillcolor="#a0a0a0" stroked="f"/>
        </w:pict>
      </w:r>
    </w:p>
    <w:p w14:paraId="40386C5F" w14:textId="77777777" w:rsidR="008B3CD6" w:rsidRDefault="008B3CD6" w:rsidP="008B3CD6">
      <w:pPr>
        <w:jc w:val="both"/>
        <w:rPr>
          <w:rFonts w:ascii="Calibri" w:eastAsia="Calibri" w:hAnsi="Calibri" w:cs="Calibri"/>
        </w:rPr>
      </w:pPr>
      <w:r>
        <w:rPr>
          <w:rFonts w:ascii="Calibri" w:eastAsia="Calibri" w:hAnsi="Calibri" w:cs="Calibri"/>
        </w:rPr>
        <w:t xml:space="preserve">Gender segregation in higher education and gender bias in the school curriculum and textbooks are a reality in Thailand, reinforcing traditional gender stereotypes. Girls and women belonging to </w:t>
      </w:r>
      <w:r>
        <w:rPr>
          <w:rFonts w:ascii="Calibri" w:eastAsia="Calibri" w:hAnsi="Calibri" w:cs="Calibri"/>
          <w:b/>
        </w:rPr>
        <w:t>ethnic groups</w:t>
      </w:r>
      <w:r>
        <w:rPr>
          <w:rFonts w:ascii="Calibri" w:eastAsia="Calibri" w:hAnsi="Calibri" w:cs="Calibri"/>
        </w:rPr>
        <w:t xml:space="preserve"> are further discriminated against, as they face barriers in accessing education, which is not provided in their mother tongue.</w:t>
      </w:r>
      <w:r>
        <w:rPr>
          <w:rFonts w:ascii="Calibri" w:eastAsia="Calibri" w:hAnsi="Calibri" w:cs="Calibri"/>
          <w:vertAlign w:val="superscript"/>
        </w:rPr>
        <w:endnoteReference w:id="45"/>
      </w:r>
      <w:r>
        <w:rPr>
          <w:rFonts w:ascii="Calibri" w:eastAsia="Calibri" w:hAnsi="Calibri" w:cs="Calibri"/>
        </w:rPr>
        <w:t xml:space="preserve"> In the SPBs, languages other than Thai are not spoken in government schools.</w:t>
      </w:r>
      <w:r>
        <w:rPr>
          <w:rFonts w:ascii="Calibri" w:eastAsia="Calibri" w:hAnsi="Calibri" w:cs="Calibri"/>
          <w:vertAlign w:val="superscript"/>
        </w:rPr>
        <w:endnoteReference w:id="46"/>
      </w:r>
      <w:r>
        <w:rPr>
          <w:rFonts w:ascii="Calibri" w:eastAsia="Calibri" w:hAnsi="Calibri" w:cs="Calibri"/>
        </w:rPr>
        <w:t xml:space="preserve"> Religious schools in the region also provide compulsory education; however, sex education is not included, considered to go against religious teachings and encourage non-marital sex.</w:t>
      </w:r>
      <w:r>
        <w:rPr>
          <w:rFonts w:ascii="Calibri" w:eastAsia="Calibri" w:hAnsi="Calibri" w:cs="Calibri"/>
          <w:vertAlign w:val="superscript"/>
        </w:rPr>
        <w:endnoteReference w:id="47"/>
      </w:r>
      <w:r>
        <w:rPr>
          <w:rFonts w:ascii="Calibri" w:eastAsia="Calibri" w:hAnsi="Calibri" w:cs="Calibri"/>
        </w:rPr>
        <w:t xml:space="preserve"> Transgender women who go to these schools are also subjected to punitive measures.</w:t>
      </w:r>
      <w:r>
        <w:rPr>
          <w:rFonts w:ascii="Calibri" w:eastAsia="Calibri" w:hAnsi="Calibri" w:cs="Calibri"/>
          <w:vertAlign w:val="superscript"/>
        </w:rPr>
        <w:endnoteReference w:id="48"/>
      </w:r>
      <w:r>
        <w:rPr>
          <w:rFonts w:ascii="Calibri" w:eastAsia="Calibri" w:hAnsi="Calibri" w:cs="Calibri"/>
        </w:rPr>
        <w:t xml:space="preserve"> Moreover, </w:t>
      </w:r>
      <w:r>
        <w:rPr>
          <w:rFonts w:ascii="Calibri" w:eastAsia="Calibri" w:hAnsi="Calibri" w:cs="Calibri"/>
          <w:b/>
        </w:rPr>
        <w:t>Malay Muslim women</w:t>
      </w:r>
      <w:r>
        <w:rPr>
          <w:rFonts w:ascii="Calibri" w:eastAsia="Calibri" w:hAnsi="Calibri" w:cs="Calibri"/>
        </w:rPr>
        <w:t xml:space="preserve"> who wish to attend university do not have access to financial aid from the government or support by their communities.</w:t>
      </w:r>
      <w:r>
        <w:rPr>
          <w:rFonts w:ascii="Calibri" w:eastAsia="Calibri" w:hAnsi="Calibri" w:cs="Calibri"/>
          <w:vertAlign w:val="superscript"/>
        </w:rPr>
        <w:endnoteReference w:id="49"/>
      </w:r>
      <w:r>
        <w:rPr>
          <w:rFonts w:ascii="Calibri" w:eastAsia="Calibri" w:hAnsi="Calibri" w:cs="Calibri"/>
        </w:rPr>
        <w:t xml:space="preserve"> On the other hand, students with </w:t>
      </w:r>
      <w:r>
        <w:rPr>
          <w:rFonts w:ascii="Calibri" w:eastAsia="Calibri" w:hAnsi="Calibri" w:cs="Calibri"/>
          <w:b/>
        </w:rPr>
        <w:t>disabilities</w:t>
      </w:r>
      <w:r>
        <w:rPr>
          <w:rFonts w:ascii="Calibri" w:eastAsia="Calibri" w:hAnsi="Calibri" w:cs="Calibri"/>
        </w:rPr>
        <w:t xml:space="preserve"> are often excluded from education, as some schools refuse to admit them. Pro-democracy activists are discriminated in the university settings, and one women activist declared to have been expelled from university on account of her political activism.</w:t>
      </w:r>
      <w:r>
        <w:rPr>
          <w:rFonts w:ascii="Calibri" w:eastAsia="Calibri" w:hAnsi="Calibri" w:cs="Calibri"/>
          <w:vertAlign w:val="superscript"/>
        </w:rPr>
        <w:endnoteReference w:id="50"/>
      </w:r>
    </w:p>
    <w:p w14:paraId="4FA2514D" w14:textId="77777777" w:rsidR="008B3CD6" w:rsidRDefault="008B3CD6" w:rsidP="008B3CD6">
      <w:pPr>
        <w:jc w:val="both"/>
        <w:rPr>
          <w:rFonts w:ascii="Calibri" w:eastAsia="Calibri" w:hAnsi="Calibri" w:cs="Calibri"/>
        </w:rPr>
      </w:pPr>
    </w:p>
    <w:p w14:paraId="2115DA2E" w14:textId="77777777" w:rsidR="008B3CD6" w:rsidRDefault="008B3CD6" w:rsidP="008B3CD6">
      <w:pPr>
        <w:jc w:val="both"/>
        <w:rPr>
          <w:rFonts w:ascii="Calibri" w:eastAsia="Calibri" w:hAnsi="Calibri" w:cs="Calibri"/>
        </w:rPr>
      </w:pPr>
      <w:r>
        <w:rPr>
          <w:rFonts w:ascii="Calibri" w:eastAsia="Calibri" w:hAnsi="Calibri" w:cs="Calibri"/>
        </w:rPr>
        <w:t xml:space="preserve">The education of women and girls who are </w:t>
      </w:r>
      <w:r>
        <w:rPr>
          <w:rFonts w:ascii="Calibri" w:eastAsia="Calibri" w:hAnsi="Calibri" w:cs="Calibri"/>
          <w:b/>
        </w:rPr>
        <w:t>stateless</w:t>
      </w:r>
      <w:r>
        <w:rPr>
          <w:rFonts w:ascii="Calibri" w:eastAsia="Calibri" w:hAnsi="Calibri" w:cs="Calibri"/>
        </w:rPr>
        <w:t xml:space="preserve">, </w:t>
      </w:r>
      <w:r>
        <w:rPr>
          <w:rFonts w:ascii="Calibri" w:eastAsia="Calibri" w:hAnsi="Calibri" w:cs="Calibri"/>
          <w:b/>
        </w:rPr>
        <w:t>refugee</w:t>
      </w:r>
      <w:r>
        <w:rPr>
          <w:rFonts w:ascii="Calibri" w:eastAsia="Calibri" w:hAnsi="Calibri" w:cs="Calibri"/>
        </w:rPr>
        <w:t xml:space="preserve"> or </w:t>
      </w:r>
      <w:r>
        <w:rPr>
          <w:rFonts w:ascii="Calibri" w:eastAsia="Calibri" w:hAnsi="Calibri" w:cs="Calibri"/>
          <w:b/>
        </w:rPr>
        <w:t>undocumented</w:t>
      </w:r>
      <w:r>
        <w:rPr>
          <w:rFonts w:ascii="Calibri" w:eastAsia="Calibri" w:hAnsi="Calibri" w:cs="Calibri"/>
        </w:rPr>
        <w:t xml:space="preserve"> </w:t>
      </w:r>
      <w:r>
        <w:rPr>
          <w:rFonts w:ascii="Calibri" w:eastAsia="Calibri" w:hAnsi="Calibri" w:cs="Calibri"/>
          <w:b/>
        </w:rPr>
        <w:t>migrants</w:t>
      </w:r>
      <w:r>
        <w:rPr>
          <w:rFonts w:ascii="Calibri" w:eastAsia="Calibri" w:hAnsi="Calibri" w:cs="Calibri"/>
        </w:rPr>
        <w:t xml:space="preserve"> is also on the brink of collapse.</w:t>
      </w:r>
      <w:r>
        <w:rPr>
          <w:rFonts w:ascii="Calibri" w:eastAsia="Calibri" w:hAnsi="Calibri" w:cs="Calibri"/>
          <w:vertAlign w:val="superscript"/>
        </w:rPr>
        <w:endnoteReference w:id="51"/>
      </w:r>
      <w:r>
        <w:rPr>
          <w:rFonts w:ascii="Calibri" w:eastAsia="Calibri" w:hAnsi="Calibri" w:cs="Calibri"/>
        </w:rPr>
        <w:t xml:space="preserve">  In shelters along the Thai-Myanmar border, residents depend largely on NGOs to provide education.</w:t>
      </w:r>
      <w:r>
        <w:rPr>
          <w:rFonts w:ascii="Calibri" w:eastAsia="Calibri" w:hAnsi="Calibri" w:cs="Calibri"/>
          <w:vertAlign w:val="superscript"/>
        </w:rPr>
        <w:endnoteReference w:id="52"/>
      </w:r>
      <w:r>
        <w:rPr>
          <w:rFonts w:ascii="Calibri" w:eastAsia="Calibri" w:hAnsi="Calibri" w:cs="Calibri"/>
        </w:rPr>
        <w:t xml:space="preserve"> However, The Thai government denies Migrant Learning Centers (MLCs) formal school recognition and withhold MLC teachers the ability to legally teach.</w:t>
      </w:r>
      <w:r>
        <w:rPr>
          <w:rFonts w:ascii="Calibri" w:eastAsia="Calibri" w:hAnsi="Calibri" w:cs="Calibri"/>
          <w:vertAlign w:val="superscript"/>
        </w:rPr>
        <w:endnoteReference w:id="53"/>
      </w:r>
      <w:r>
        <w:rPr>
          <w:rFonts w:ascii="Calibri" w:eastAsia="Calibri" w:hAnsi="Calibri" w:cs="Calibri"/>
        </w:rPr>
        <w:t xml:space="preserve"> Children of urban refugees are also unable to attend schools because parents do not have the financial means to pay tuition fees, and moreover, children risk being arrested or detained by authorities.</w:t>
      </w:r>
      <w:r>
        <w:rPr>
          <w:rFonts w:ascii="Calibri" w:eastAsia="Calibri" w:hAnsi="Calibri" w:cs="Calibri"/>
          <w:vertAlign w:val="superscript"/>
        </w:rPr>
        <w:endnoteReference w:id="54"/>
      </w:r>
      <w:r>
        <w:rPr>
          <w:rFonts w:ascii="Calibri" w:eastAsia="Calibri" w:hAnsi="Calibri" w:cs="Calibri"/>
        </w:rPr>
        <w:t xml:space="preserve"> </w:t>
      </w:r>
    </w:p>
    <w:p w14:paraId="5E5FDD11" w14:textId="77777777" w:rsidR="008B3CD6" w:rsidRDefault="008B3CD6" w:rsidP="008B3CD6">
      <w:pPr>
        <w:jc w:val="both"/>
        <w:rPr>
          <w:rFonts w:ascii="Calibri" w:eastAsia="Calibri" w:hAnsi="Calibri" w:cs="Calibri"/>
        </w:rPr>
      </w:pPr>
    </w:p>
    <w:p w14:paraId="1EB0C486" w14:textId="77777777" w:rsidR="008B3CD6" w:rsidRPr="00C1286B" w:rsidRDefault="008B3CD6" w:rsidP="008B3CD6">
      <w:pPr>
        <w:jc w:val="both"/>
        <w:rPr>
          <w:rFonts w:ascii="Calibri" w:eastAsia="Calibri" w:hAnsi="Calibri" w:cs="Calibri"/>
        </w:rPr>
      </w:pPr>
      <w:r w:rsidRPr="00C1286B">
        <w:rPr>
          <w:rFonts w:ascii="Calibri" w:eastAsia="Calibri" w:hAnsi="Calibri" w:cs="Calibri"/>
        </w:rPr>
        <w:t>Many children of informal workers do not have access to education as they are driven into work to help their families who face financial challenges. They work as street vendors or are involved in similar jobs. Child labor cuts children off from schooling, restricting their fundamental rights and threatening their futures.</w:t>
      </w:r>
      <w:r w:rsidRPr="00C1286B">
        <w:rPr>
          <w:rFonts w:ascii="Calibri" w:eastAsia="Calibri" w:hAnsi="Calibri" w:cs="Calibri"/>
          <w:vertAlign w:val="superscript"/>
        </w:rPr>
        <w:endnoteReference w:id="55"/>
      </w:r>
    </w:p>
    <w:p w14:paraId="127F372F" w14:textId="77777777" w:rsidR="006F727D" w:rsidRDefault="00000000" w:rsidP="006F727D">
      <w:pPr>
        <w:pStyle w:val="Heading1"/>
        <w:ind w:left="0" w:firstLine="0"/>
        <w:jc w:val="left"/>
        <w:rPr>
          <w:sz w:val="28"/>
          <w:szCs w:val="28"/>
        </w:rPr>
      </w:pPr>
      <w:r>
        <w:rPr>
          <w:noProof/>
        </w:rPr>
        <w:lastRenderedPageBreak/>
        <w:pict w14:anchorId="5B01DC41">
          <v:rect id="_x0000_i1037" alt="" style="width:451.3pt;height:.05pt;mso-width-percent:0;mso-height-percent:0;mso-width-percent:0;mso-height-percent:0" o:hralign="center" o:hrstd="t" o:hr="t" fillcolor="#a0a0a0" stroked="f"/>
        </w:pict>
      </w:r>
      <w:r w:rsidR="006F727D">
        <w:rPr>
          <w:sz w:val="28"/>
          <w:szCs w:val="28"/>
        </w:rPr>
        <w:t>RECOMMENDATIONS</w:t>
      </w:r>
      <w:r>
        <w:rPr>
          <w:noProof/>
        </w:rPr>
        <w:pict w14:anchorId="4676359A">
          <v:rect id="_x0000_i1038" alt="" style="width:451.3pt;height:.05pt;mso-width-percent:0;mso-height-percent:0;mso-width-percent:0;mso-height-percent:0" o:hralign="center" o:hrstd="t" o:hr="t" fillcolor="#a0a0a0" stroked="f"/>
        </w:pict>
      </w:r>
    </w:p>
    <w:p w14:paraId="3574C04B" w14:textId="77777777" w:rsidR="006F727D" w:rsidRDefault="006F727D" w:rsidP="006F727D">
      <w:pPr>
        <w:rPr>
          <w:rFonts w:ascii="Calibri" w:eastAsia="Calibri" w:hAnsi="Calibri" w:cs="Calibri"/>
          <w:b/>
          <w:sz w:val="24"/>
          <w:szCs w:val="24"/>
        </w:rPr>
      </w:pPr>
    </w:p>
    <w:p w14:paraId="49F57D81" w14:textId="77777777" w:rsidR="008B3CD6" w:rsidRDefault="008B3CD6" w:rsidP="0040034D">
      <w:pPr>
        <w:rPr>
          <w:rFonts w:ascii="Calibri" w:eastAsia="Calibri" w:hAnsi="Calibri" w:cs="Calibri"/>
          <w:b/>
          <w:sz w:val="24"/>
          <w:szCs w:val="24"/>
        </w:rPr>
      </w:pPr>
      <w:r>
        <w:rPr>
          <w:rFonts w:ascii="Calibri" w:eastAsia="Calibri" w:hAnsi="Calibri" w:cs="Calibri"/>
          <w:b/>
          <w:sz w:val="24"/>
          <w:szCs w:val="24"/>
        </w:rPr>
        <w:t xml:space="preserve">Article 6: Trafficking and Prostitution </w:t>
      </w:r>
    </w:p>
    <w:p w14:paraId="69DC9A19"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 xml:space="preserve">Commit firmly to a policy of zero tolerance of trafficking-related corruption and complicity by government officials. Offenders should be prosecuted and adequately punished with a view to dissuade such practices, in accordance with the 2012 Report of the Special Rapporteur on Trafficking in Persons, Especially Women and Children; </w:t>
      </w:r>
    </w:p>
    <w:p w14:paraId="4F10A1EC"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Intensify efforts to raise awareness about the nature of trafficking. Mandatory training should be carried out to ensure that government officials are cognizant of the difference between “trafficking victims” and “illegal immigrants”;</w:t>
      </w:r>
    </w:p>
    <w:p w14:paraId="4C20C9B4"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Ensure that awareness-raising activities appropriately target specific groups at higher risk of being trafficked, such as migrant workers and indigenous peoples;</w:t>
      </w:r>
    </w:p>
    <w:p w14:paraId="20E6D89B"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Take concrete steps and comprehensive measures to combat human trafficking and provide services to victims, ensuring that rights of Indigenous women and girls are respected, protected, and fulfilled;</w:t>
      </w:r>
    </w:p>
    <w:p w14:paraId="53108075"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Decriminalize sex work by repealing the 1996 Prevention and Suppression of Prostitution Act and other legislation on the subject, in line with the 2017 Concluding Observations by the Committee on the Elimination of Discrimination against Women to Thailand and the 2019 Report of the Working Group on the Issue of Human Rights and Transnational Corporations and Other Business Enterprises;</w:t>
      </w:r>
    </w:p>
    <w:p w14:paraId="3B1CF3A7"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Conduct consultations with sex workers on how exploitation within the industry is best addressed. The following forms of exploitation, as recognized by sex workers, should be urgently addressed: salary cuts; compulsory alcohol consumption; interference with their freedom to choose or refuse customer; and receipt of any less than 50% share of the earnings. For migrant sex workers, the additional elements of passport retention and/or movement restriction should be recognized as exploitative;</w:t>
      </w:r>
    </w:p>
    <w:p w14:paraId="60BC1DC4"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Take steps to reform regulatory and legislative frameworks applicable to the sex work industry. Reforms must take into account labor standards including work hours, proper inspection aided by sex worker unions and law enforcement, and occupational safety and health;</w:t>
      </w:r>
    </w:p>
    <w:p w14:paraId="341CD6C8" w14:textId="77777777" w:rsidR="008B3CD6" w:rsidRDefault="008B3CD6" w:rsidP="008B3CD6">
      <w:pPr>
        <w:numPr>
          <w:ilvl w:val="0"/>
          <w:numId w:val="4"/>
        </w:numPr>
        <w:jc w:val="both"/>
        <w:rPr>
          <w:rFonts w:ascii="Calibri" w:eastAsia="Calibri" w:hAnsi="Calibri" w:cs="Calibri"/>
        </w:rPr>
      </w:pPr>
      <w:r>
        <w:rPr>
          <w:rFonts w:ascii="Calibri" w:eastAsia="Calibri" w:hAnsi="Calibri" w:cs="Calibri"/>
        </w:rPr>
        <w:t>Immediately cease raids of entertainment venues, entrapment operations, and extortions. Hold responsible State agents and police officers involved in such activities.</w:t>
      </w:r>
    </w:p>
    <w:p w14:paraId="51687FDC" w14:textId="77777777" w:rsidR="008B3CD6" w:rsidRDefault="008B3CD6" w:rsidP="008B3CD6">
      <w:pPr>
        <w:ind w:left="720"/>
        <w:jc w:val="both"/>
        <w:rPr>
          <w:rFonts w:ascii="Calibri" w:eastAsia="Calibri" w:hAnsi="Calibri" w:cs="Calibri"/>
        </w:rPr>
      </w:pPr>
    </w:p>
    <w:p w14:paraId="30FE0685" w14:textId="77777777" w:rsidR="008B3CD6" w:rsidRDefault="008B3CD6" w:rsidP="008B3CD6">
      <w:pPr>
        <w:rPr>
          <w:rFonts w:ascii="Calibri" w:eastAsia="Calibri" w:hAnsi="Calibri" w:cs="Calibri"/>
          <w:b/>
          <w:sz w:val="24"/>
          <w:szCs w:val="24"/>
        </w:rPr>
      </w:pPr>
      <w:r>
        <w:rPr>
          <w:rFonts w:ascii="Calibri" w:eastAsia="Calibri" w:hAnsi="Calibri" w:cs="Calibri"/>
          <w:b/>
          <w:sz w:val="24"/>
          <w:szCs w:val="24"/>
        </w:rPr>
        <w:t xml:space="preserve">Article 7: Political and Public Life and Article 8: Participation at the International Level </w:t>
      </w:r>
    </w:p>
    <w:p w14:paraId="1C4CEFDD" w14:textId="77777777" w:rsidR="008B3CD6" w:rsidRDefault="008B3CD6" w:rsidP="008B3CD6">
      <w:pPr>
        <w:numPr>
          <w:ilvl w:val="0"/>
          <w:numId w:val="5"/>
        </w:numPr>
        <w:jc w:val="both"/>
        <w:rPr>
          <w:rFonts w:ascii="Calibri" w:eastAsia="Calibri" w:hAnsi="Calibri" w:cs="Calibri"/>
        </w:rPr>
      </w:pPr>
      <w:r>
        <w:rPr>
          <w:rFonts w:ascii="Calibri" w:eastAsia="Calibri" w:hAnsi="Calibri" w:cs="Calibri"/>
        </w:rPr>
        <w:t>Guarantee representation and participation of indigenous women in the decision-making process for matters concerning them, in line with the 2017 Concluding Observations of the Committee on the Elimination of Discrimination against Women to Thailand;</w:t>
      </w:r>
    </w:p>
    <w:p w14:paraId="4E9AB911" w14:textId="77777777" w:rsidR="008B3CD6" w:rsidRDefault="008B3CD6" w:rsidP="008B3CD6">
      <w:pPr>
        <w:numPr>
          <w:ilvl w:val="0"/>
          <w:numId w:val="5"/>
        </w:numPr>
        <w:jc w:val="both"/>
        <w:rPr>
          <w:rFonts w:ascii="Calibri" w:eastAsia="Calibri" w:hAnsi="Calibri" w:cs="Calibri"/>
        </w:rPr>
      </w:pPr>
      <w:r>
        <w:rPr>
          <w:rFonts w:ascii="Calibri" w:eastAsia="Calibri" w:hAnsi="Calibri" w:cs="Calibri"/>
        </w:rPr>
        <w:t xml:space="preserve">Enact specific domestic legislation recognizing and protecting indigenous peoples’ rights in lieu of the Draft Protection and Promotion of the Way of Life of Ethnic Groups Act and ensure that every member of the Indigenous communities – women or men or gender nonconforming individuals – can all meaningfully participate in the drafting process. The </w:t>
      </w:r>
      <w:r>
        <w:rPr>
          <w:rFonts w:ascii="Calibri" w:eastAsia="Calibri" w:hAnsi="Calibri" w:cs="Calibri"/>
        </w:rPr>
        <w:lastRenderedPageBreak/>
        <w:t>legislation must be in accordance with the United Nations Declaration on the Rights of Indigenous Peoples (UNDRIP) and the ILO Convention 169;</w:t>
      </w:r>
    </w:p>
    <w:p w14:paraId="20BA9B77" w14:textId="19A775AE" w:rsidR="008B3CD6" w:rsidRDefault="008B3CD6" w:rsidP="008B3CD6">
      <w:pPr>
        <w:numPr>
          <w:ilvl w:val="0"/>
          <w:numId w:val="5"/>
        </w:numPr>
        <w:jc w:val="both"/>
        <w:rPr>
          <w:rFonts w:ascii="Calibri" w:eastAsia="Calibri" w:hAnsi="Calibri" w:cs="Calibri"/>
        </w:rPr>
      </w:pPr>
      <w:r>
        <w:rPr>
          <w:rFonts w:ascii="Calibri" w:eastAsia="Calibri" w:hAnsi="Calibri" w:cs="Calibri"/>
        </w:rPr>
        <w:t>Formulate measures</w:t>
      </w:r>
      <w:r w:rsidR="00F22E70">
        <w:rPr>
          <w:rFonts w:ascii="Calibri" w:eastAsia="Calibri" w:hAnsi="Calibri" w:cs="Calibri"/>
        </w:rPr>
        <w:t xml:space="preserve"> </w:t>
      </w:r>
      <w:r>
        <w:rPr>
          <w:rFonts w:ascii="Calibri" w:eastAsia="Calibri" w:hAnsi="Calibri" w:cs="Calibri"/>
        </w:rPr>
        <w:t>to improve the participation of women in the public and political spheres, including the executive, legislative, and judicial branches, as well as law enforcement agencies, the diplomatic service and academic institutions;</w:t>
      </w:r>
    </w:p>
    <w:p w14:paraId="31EAF95A" w14:textId="77777777" w:rsidR="008B3CD6" w:rsidRDefault="008B3CD6" w:rsidP="008B3CD6">
      <w:pPr>
        <w:numPr>
          <w:ilvl w:val="0"/>
          <w:numId w:val="5"/>
        </w:numPr>
        <w:jc w:val="both"/>
        <w:rPr>
          <w:rFonts w:ascii="Calibri" w:eastAsia="Calibri" w:hAnsi="Calibri" w:cs="Calibri"/>
        </w:rPr>
      </w:pPr>
      <w:r>
        <w:rPr>
          <w:rFonts w:ascii="Calibri" w:eastAsia="Calibri" w:hAnsi="Calibri" w:cs="Calibri"/>
        </w:rPr>
        <w:t>Adopt all necessary measures to ensure that land title deeds include women’s names;</w:t>
      </w:r>
    </w:p>
    <w:p w14:paraId="1E6CB25C" w14:textId="4A888798" w:rsidR="008B3CD6" w:rsidRDefault="008B3CD6" w:rsidP="008B3CD6">
      <w:pPr>
        <w:numPr>
          <w:ilvl w:val="0"/>
          <w:numId w:val="5"/>
        </w:numPr>
        <w:jc w:val="both"/>
        <w:rPr>
          <w:rFonts w:ascii="Calibri" w:eastAsia="Calibri" w:hAnsi="Calibri" w:cs="Calibri"/>
        </w:rPr>
      </w:pPr>
      <w:r>
        <w:rPr>
          <w:rFonts w:ascii="Calibri" w:eastAsia="Calibri" w:hAnsi="Calibri" w:cs="Calibri"/>
        </w:rPr>
        <w:t>Effectively protect and define ‘human rights defenders’ under the Constitution, in line with the UN Declaration on HRDs;</w:t>
      </w:r>
    </w:p>
    <w:p w14:paraId="4B0343E5" w14:textId="77777777" w:rsidR="008B3CD6" w:rsidRDefault="008B3CD6" w:rsidP="008B3CD6">
      <w:pPr>
        <w:numPr>
          <w:ilvl w:val="0"/>
          <w:numId w:val="5"/>
        </w:numPr>
        <w:jc w:val="both"/>
        <w:rPr>
          <w:rFonts w:ascii="Calibri" w:eastAsia="Calibri" w:hAnsi="Calibri" w:cs="Calibri"/>
        </w:rPr>
      </w:pPr>
      <w:r>
        <w:rPr>
          <w:rFonts w:ascii="Calibri" w:eastAsia="Calibri" w:hAnsi="Calibri" w:cs="Calibri"/>
        </w:rPr>
        <w:t>Enact a standalone anti-SLAPP law to ensure legal protections against Strategic Lawsuits against Public Participation (SLAPP) aiming at silencing dissents, and protect individuals from judicial harassment by the state and corporations. In the meantime, enforce Sections 161/1 and 165/2 of the Criminal Procedure Code and publish statistics on its use to assess its effectiveness in addressing SLAPP cases;</w:t>
      </w:r>
    </w:p>
    <w:p w14:paraId="5750852D" w14:textId="77777777" w:rsidR="008B3CD6" w:rsidRDefault="008B3CD6" w:rsidP="008B3CD6">
      <w:pPr>
        <w:ind w:left="720"/>
        <w:jc w:val="both"/>
        <w:rPr>
          <w:rFonts w:ascii="Calibri" w:eastAsia="Calibri" w:hAnsi="Calibri" w:cs="Calibri"/>
        </w:rPr>
      </w:pPr>
    </w:p>
    <w:p w14:paraId="4711F925" w14:textId="77777777" w:rsidR="008B3CD6" w:rsidRDefault="008B3CD6" w:rsidP="008B3CD6">
      <w:pPr>
        <w:jc w:val="both"/>
        <w:rPr>
          <w:rFonts w:ascii="Calibri" w:eastAsia="Calibri" w:hAnsi="Calibri" w:cs="Calibri"/>
          <w:b/>
          <w:sz w:val="24"/>
          <w:szCs w:val="24"/>
        </w:rPr>
      </w:pPr>
      <w:r>
        <w:rPr>
          <w:rFonts w:ascii="Calibri" w:eastAsia="Calibri" w:hAnsi="Calibri" w:cs="Calibri"/>
          <w:b/>
          <w:sz w:val="24"/>
          <w:szCs w:val="24"/>
        </w:rPr>
        <w:t>Article 9: Nationality</w:t>
      </w:r>
    </w:p>
    <w:p w14:paraId="178FEC91" w14:textId="3F4AFE6F" w:rsidR="008B3CD6" w:rsidRDefault="008B3CD6" w:rsidP="008B3CD6">
      <w:pPr>
        <w:numPr>
          <w:ilvl w:val="0"/>
          <w:numId w:val="3"/>
        </w:numPr>
        <w:jc w:val="both"/>
        <w:rPr>
          <w:rFonts w:ascii="Calibri" w:eastAsia="Calibri" w:hAnsi="Calibri" w:cs="Calibri"/>
        </w:rPr>
      </w:pPr>
      <w:r>
        <w:rPr>
          <w:rFonts w:ascii="Calibri" w:eastAsia="Calibri" w:hAnsi="Calibri" w:cs="Calibri"/>
        </w:rPr>
        <w:t xml:space="preserve">Expedite the process of granting Thai citizenship to indigenous persons with necessary reforms in the laws, policies, and processes for registration of nationality in order to ensure their access to social services, access to justice, and legal protections; </w:t>
      </w:r>
      <w:r w:rsidR="00F22E70">
        <w:rPr>
          <w:rFonts w:ascii="Calibri" w:eastAsia="Calibri" w:hAnsi="Calibri" w:cs="Calibri"/>
        </w:rPr>
        <w:t>Take all the necessary steps to facilitate access to citizenship;</w:t>
      </w:r>
    </w:p>
    <w:p w14:paraId="07732E47" w14:textId="77777777" w:rsidR="008B3CD6" w:rsidRDefault="008B3CD6" w:rsidP="008B3CD6">
      <w:pPr>
        <w:numPr>
          <w:ilvl w:val="0"/>
          <w:numId w:val="3"/>
        </w:numPr>
        <w:jc w:val="both"/>
        <w:rPr>
          <w:rFonts w:ascii="Calibri" w:eastAsia="Calibri" w:hAnsi="Calibri" w:cs="Calibri"/>
        </w:rPr>
      </w:pPr>
      <w:r>
        <w:rPr>
          <w:rFonts w:ascii="Calibri" w:eastAsia="Calibri" w:hAnsi="Calibri" w:cs="Calibri"/>
        </w:rPr>
        <w:t>In line with Articles 9 of CEDAW and Article 6 of UNDRIP, ensure indigenous women have equal access to nationality as men, taking into account the limitations which currently restrict them from doing so;</w:t>
      </w:r>
    </w:p>
    <w:p w14:paraId="68C304BA" w14:textId="77777777" w:rsidR="008B3CD6" w:rsidRDefault="008B3CD6" w:rsidP="008B3CD6">
      <w:pPr>
        <w:numPr>
          <w:ilvl w:val="0"/>
          <w:numId w:val="3"/>
        </w:numPr>
        <w:jc w:val="both"/>
        <w:rPr>
          <w:rFonts w:ascii="Calibri" w:eastAsia="Calibri" w:hAnsi="Calibri" w:cs="Calibri"/>
        </w:rPr>
      </w:pPr>
      <w:r>
        <w:rPr>
          <w:rFonts w:ascii="Calibri" w:eastAsia="Calibri" w:hAnsi="Calibri" w:cs="Calibri"/>
        </w:rPr>
        <w:t>Take effective measures to address the obstacles encountered in the acquisition of citizenship by those who qualify for it, including with regard to obtaining the required documentation from local authorities;</w:t>
      </w:r>
    </w:p>
    <w:p w14:paraId="1C99307C" w14:textId="77777777" w:rsidR="008B3CD6" w:rsidRDefault="008B3CD6" w:rsidP="008B3CD6">
      <w:pPr>
        <w:numPr>
          <w:ilvl w:val="0"/>
          <w:numId w:val="3"/>
        </w:numPr>
        <w:jc w:val="both"/>
        <w:rPr>
          <w:rFonts w:ascii="Calibri" w:eastAsia="Calibri" w:hAnsi="Calibri" w:cs="Calibri"/>
        </w:rPr>
      </w:pPr>
      <w:r>
        <w:rPr>
          <w:rFonts w:ascii="Calibri" w:eastAsia="Calibri" w:hAnsi="Calibri" w:cs="Calibri"/>
        </w:rPr>
        <w:t>Strengthen efforts to facilitate the registration of births, including by allowing late registration as well as registration through the healthcare system;</w:t>
      </w:r>
    </w:p>
    <w:p w14:paraId="1D7E5201" w14:textId="77777777" w:rsidR="0040034D" w:rsidRDefault="0040034D" w:rsidP="008B3CD6">
      <w:pPr>
        <w:ind w:left="90"/>
        <w:jc w:val="both"/>
        <w:rPr>
          <w:rFonts w:ascii="Calibri" w:eastAsia="Calibri" w:hAnsi="Calibri" w:cs="Calibri"/>
          <w:b/>
          <w:sz w:val="24"/>
          <w:szCs w:val="24"/>
        </w:rPr>
      </w:pPr>
    </w:p>
    <w:p w14:paraId="7168FEF6" w14:textId="77777777" w:rsidR="008B3CD6" w:rsidRDefault="008B3CD6" w:rsidP="008B3CD6">
      <w:pPr>
        <w:ind w:left="90"/>
        <w:jc w:val="both"/>
        <w:rPr>
          <w:rFonts w:ascii="Calibri" w:eastAsia="Calibri" w:hAnsi="Calibri" w:cs="Calibri"/>
          <w:b/>
          <w:i/>
        </w:rPr>
      </w:pPr>
      <w:r>
        <w:rPr>
          <w:rFonts w:ascii="Calibri" w:eastAsia="Calibri" w:hAnsi="Calibri" w:cs="Calibri"/>
          <w:b/>
          <w:sz w:val="24"/>
          <w:szCs w:val="24"/>
        </w:rPr>
        <w:t xml:space="preserve">Article 10: Equality in Education </w:t>
      </w:r>
    </w:p>
    <w:p w14:paraId="640A1E9F" w14:textId="77777777" w:rsidR="008B3CD6" w:rsidRDefault="008B3CD6" w:rsidP="008B3CD6">
      <w:pPr>
        <w:numPr>
          <w:ilvl w:val="0"/>
          <w:numId w:val="2"/>
        </w:numPr>
        <w:jc w:val="both"/>
        <w:rPr>
          <w:rFonts w:ascii="Calibri" w:eastAsia="Calibri" w:hAnsi="Calibri" w:cs="Calibri"/>
        </w:rPr>
      </w:pPr>
      <w:r>
        <w:rPr>
          <w:rFonts w:ascii="Calibri" w:eastAsia="Calibri" w:hAnsi="Calibri" w:cs="Calibri"/>
        </w:rPr>
        <w:t>Scale up efforts aimed at improving access to basic education for girls and women in its jurisdiction regardless of their legal status. Address the root cases for high numbers of school dropouts and refine the quality of gender-sensitive learning materials;</w:t>
      </w:r>
    </w:p>
    <w:p w14:paraId="7345B252" w14:textId="77777777" w:rsidR="008B3CD6" w:rsidRDefault="008B3CD6" w:rsidP="008B3CD6">
      <w:pPr>
        <w:numPr>
          <w:ilvl w:val="0"/>
          <w:numId w:val="2"/>
        </w:numPr>
        <w:jc w:val="both"/>
        <w:rPr>
          <w:rFonts w:ascii="Calibri" w:eastAsia="Calibri" w:hAnsi="Calibri" w:cs="Calibri"/>
        </w:rPr>
      </w:pPr>
      <w:r>
        <w:rPr>
          <w:rFonts w:ascii="Calibri" w:eastAsia="Calibri" w:hAnsi="Calibri" w:cs="Calibri"/>
        </w:rPr>
        <w:t>Introduce human rights education in the national school curriculum, accessible to all;</w:t>
      </w:r>
    </w:p>
    <w:p w14:paraId="53D6D798" w14:textId="77777777" w:rsidR="008B3CD6" w:rsidRDefault="008B3CD6" w:rsidP="008B3CD6">
      <w:pPr>
        <w:numPr>
          <w:ilvl w:val="0"/>
          <w:numId w:val="2"/>
        </w:numPr>
        <w:jc w:val="both"/>
        <w:rPr>
          <w:rFonts w:ascii="Calibri" w:eastAsia="Calibri" w:hAnsi="Calibri" w:cs="Calibri"/>
        </w:rPr>
      </w:pPr>
      <w:r>
        <w:rPr>
          <w:rFonts w:ascii="Calibri" w:eastAsia="Calibri" w:hAnsi="Calibri" w:cs="Calibri"/>
        </w:rPr>
        <w:t>Strengthen efforts to protect and conserve ethnic languages, and promote the teaching of ethnic languages in schools, in line with the 2012 Concluding Observations of the CERD Committee to Thailand;</w:t>
      </w:r>
    </w:p>
    <w:p w14:paraId="7419B9F5" w14:textId="77777777" w:rsidR="008B3CD6" w:rsidRDefault="008B3CD6" w:rsidP="008B3CD6">
      <w:pPr>
        <w:numPr>
          <w:ilvl w:val="0"/>
          <w:numId w:val="2"/>
        </w:numPr>
        <w:jc w:val="both"/>
        <w:rPr>
          <w:rFonts w:ascii="Calibri" w:eastAsia="Calibri" w:hAnsi="Calibri" w:cs="Calibri"/>
        </w:rPr>
      </w:pPr>
      <w:r>
        <w:rPr>
          <w:rFonts w:ascii="Calibri" w:eastAsia="Calibri" w:hAnsi="Calibri" w:cs="Calibri"/>
        </w:rPr>
        <w:t>Improve access to education with interventions targeted towards understanding and overcoming specific barriers faced by indigenous peoples and children and adopt necessary laws and policies to provide adequate resources for the implementation of mother education (MTB/MLE);</w:t>
      </w:r>
    </w:p>
    <w:p w14:paraId="19FFE0BF" w14:textId="77777777" w:rsidR="008B3CD6" w:rsidRDefault="008B3CD6" w:rsidP="008B3CD6">
      <w:pPr>
        <w:numPr>
          <w:ilvl w:val="0"/>
          <w:numId w:val="2"/>
        </w:numPr>
        <w:jc w:val="both"/>
        <w:rPr>
          <w:rFonts w:ascii="Calibri" w:eastAsia="Calibri" w:hAnsi="Calibri" w:cs="Calibri"/>
        </w:rPr>
      </w:pPr>
      <w:r>
        <w:rPr>
          <w:rFonts w:ascii="Calibri" w:eastAsia="Calibri" w:hAnsi="Calibri" w:cs="Calibri"/>
        </w:rPr>
        <w:t>Ensure the continuity of the academic learning of children; that all migrant children, being documented or undocumented, are not denied enrolment/getting back to schools and are provided with equitable and inclusive access to good learning conditions;</w:t>
      </w:r>
    </w:p>
    <w:p w14:paraId="085DB2DE" w14:textId="77777777" w:rsidR="008B3CD6" w:rsidRPr="00C1286B" w:rsidRDefault="008B3CD6" w:rsidP="008B3CD6">
      <w:pPr>
        <w:numPr>
          <w:ilvl w:val="0"/>
          <w:numId w:val="2"/>
        </w:numPr>
        <w:jc w:val="both"/>
        <w:rPr>
          <w:rFonts w:ascii="Calibri" w:eastAsia="Calibri" w:hAnsi="Calibri" w:cs="Calibri"/>
        </w:rPr>
      </w:pPr>
      <w:r w:rsidRPr="00C1286B">
        <w:rPr>
          <w:rFonts w:ascii="Calibri" w:eastAsia="Calibri" w:hAnsi="Calibri" w:cs="Calibri"/>
        </w:rPr>
        <w:t>Improve the overall education for all and ensure children of informal workers enjoy their right to education.</w:t>
      </w:r>
    </w:p>
    <w:p w14:paraId="74A7F4DB" w14:textId="77777777" w:rsidR="008B3CD6" w:rsidRDefault="008B3CD6" w:rsidP="008B3CD6"/>
    <w:p w14:paraId="0F4BBB91" w14:textId="1A1B254A" w:rsidR="00335C3B" w:rsidRPr="00EC1FD5" w:rsidRDefault="00EC1FD5">
      <w:pPr>
        <w:rPr>
          <w:rFonts w:asciiTheme="minorHAnsi" w:hAnsiTheme="minorHAnsi" w:cstheme="minorHAnsi"/>
          <w:b/>
          <w:bCs/>
          <w:color w:val="ED6D31"/>
          <w:sz w:val="28"/>
          <w:szCs w:val="28"/>
        </w:rPr>
      </w:pPr>
      <w:r w:rsidRPr="00EC1FD5">
        <w:rPr>
          <w:rFonts w:asciiTheme="minorHAnsi" w:hAnsiTheme="minorHAnsi" w:cstheme="minorHAnsi"/>
          <w:b/>
          <w:bCs/>
          <w:color w:val="ED6D31"/>
          <w:sz w:val="28"/>
          <w:szCs w:val="28"/>
        </w:rPr>
        <w:t xml:space="preserve">Annex 1: </w:t>
      </w:r>
      <w:r w:rsidR="00335C3B" w:rsidRPr="00EC1FD5">
        <w:rPr>
          <w:rFonts w:asciiTheme="minorHAnsi" w:hAnsiTheme="minorHAnsi" w:cstheme="minorHAnsi"/>
          <w:b/>
          <w:bCs/>
          <w:color w:val="ED6D31"/>
          <w:sz w:val="28"/>
          <w:szCs w:val="28"/>
        </w:rPr>
        <w:t>Endnotes</w:t>
      </w:r>
    </w:p>
    <w:sectPr w:rsidR="00335C3B" w:rsidRPr="00EC1FD5" w:rsidSect="00D26AE7">
      <w:headerReference w:type="default" r:id="rId10"/>
      <w:footerReference w:type="even" r:id="rId11"/>
      <w:footerReference w:type="default" r:id="rId12"/>
      <w:endnotePr>
        <w:numFmt w:val="decimal"/>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51D4F" w14:textId="77777777" w:rsidR="005953F1" w:rsidRDefault="005953F1" w:rsidP="008B3CD6">
      <w:pPr>
        <w:spacing w:line="240" w:lineRule="auto"/>
      </w:pPr>
      <w:r>
        <w:separator/>
      </w:r>
    </w:p>
  </w:endnote>
  <w:endnote w:type="continuationSeparator" w:id="0">
    <w:p w14:paraId="55A230AA" w14:textId="77777777" w:rsidR="005953F1" w:rsidRDefault="005953F1" w:rsidP="008B3CD6">
      <w:pPr>
        <w:spacing w:line="240" w:lineRule="auto"/>
      </w:pPr>
      <w:r>
        <w:continuationSeparator/>
      </w:r>
    </w:p>
  </w:endnote>
  <w:endnote w:id="1">
    <w:p w14:paraId="22A338A8"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256030">
        <w:rPr>
          <w:rFonts w:asciiTheme="majorHAnsi" w:hAnsiTheme="majorHAnsi" w:cstheme="majorHAnsi"/>
          <w:vertAlign w:val="superscript"/>
        </w:rPr>
        <w:endnoteRef/>
      </w:r>
      <w:r w:rsidRPr="00256030">
        <w:rPr>
          <w:rFonts w:asciiTheme="majorHAnsi" w:eastAsia="Calibri" w:hAnsiTheme="majorHAnsi" w:cstheme="majorHAnsi"/>
          <w:sz w:val="20"/>
          <w:szCs w:val="20"/>
        </w:rPr>
        <w:t xml:space="preserve"> </w:t>
      </w:r>
      <w:r>
        <w:rPr>
          <w:rFonts w:asciiTheme="majorHAnsi" w:eastAsia="Calibri" w:hAnsiTheme="majorHAnsi" w:cstheme="majorHAnsi"/>
          <w:sz w:val="20"/>
          <w:szCs w:val="20"/>
        </w:rPr>
        <w:tab/>
      </w:r>
      <w:r w:rsidRPr="00335C3B">
        <w:rPr>
          <w:rFonts w:asciiTheme="minorHAnsi" w:eastAsia="Calibri" w:hAnsiTheme="minorHAnsi" w:cstheme="minorHAnsi"/>
          <w:sz w:val="20"/>
          <w:szCs w:val="20"/>
        </w:rPr>
        <w:t xml:space="preserve">Criminal Code, B.E. 2499 (1956), available at: </w:t>
      </w:r>
      <w:hyperlink r:id="rId1">
        <w:r w:rsidRPr="00335C3B">
          <w:rPr>
            <w:rFonts w:asciiTheme="minorHAnsi" w:eastAsia="Calibri" w:hAnsiTheme="minorHAnsi" w:cstheme="minorHAnsi"/>
            <w:color w:val="1155CC"/>
            <w:sz w:val="20"/>
            <w:szCs w:val="20"/>
            <w:u w:val="single"/>
          </w:rPr>
          <w:t>https://www.ilo.org/dyn/natlex/natlex4.detail?p_lang=en&amp;p_isn=82844</w:t>
        </w:r>
      </w:hyperlink>
      <w:r w:rsidRPr="00335C3B">
        <w:rPr>
          <w:rFonts w:asciiTheme="minorHAnsi" w:eastAsia="Calibri" w:hAnsiTheme="minorHAnsi" w:cstheme="minorHAnsi"/>
          <w:sz w:val="20"/>
          <w:szCs w:val="20"/>
        </w:rPr>
        <w:t xml:space="preserve"> </w:t>
      </w:r>
    </w:p>
  </w:endnote>
  <w:endnote w:id="2">
    <w:p w14:paraId="6AC13B34"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Prevention and Suppression of Prostitution Act, B.E. 2539 (1996), available at: </w:t>
      </w:r>
      <w:hyperlink r:id="rId2">
        <w:r w:rsidRPr="00335C3B">
          <w:rPr>
            <w:rFonts w:asciiTheme="minorHAnsi" w:eastAsia="Calibri" w:hAnsiTheme="minorHAnsi" w:cstheme="minorHAnsi"/>
            <w:color w:val="1155CC"/>
            <w:sz w:val="20"/>
            <w:szCs w:val="20"/>
            <w:u w:val="single"/>
          </w:rPr>
          <w:t>https://www.ilo.org/dyn/natlex/natlex4.detail?p_lang=en&amp;p_isn=46403</w:t>
        </w:r>
      </w:hyperlink>
      <w:r w:rsidRPr="00335C3B">
        <w:rPr>
          <w:rFonts w:asciiTheme="minorHAnsi" w:eastAsia="Calibri" w:hAnsiTheme="minorHAnsi" w:cstheme="minorHAnsi"/>
          <w:sz w:val="20"/>
          <w:szCs w:val="20"/>
        </w:rPr>
        <w:t xml:space="preserve"> </w:t>
      </w:r>
    </w:p>
  </w:endnote>
  <w:endnote w:id="3">
    <w:p w14:paraId="1209203F"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4">
    <w:p w14:paraId="0326C903"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Comments on the Final Draft National Action Plan (NAP) on Business and Human Rights (BHR) In Thailand, Chapter 2: Labour Rights &amp; Standards</w:t>
      </w:r>
      <w:r w:rsidRPr="00335C3B">
        <w:rPr>
          <w:rFonts w:asciiTheme="minorHAnsi" w:eastAsia="Calibri" w:hAnsiTheme="minorHAnsi" w:cstheme="minorHAnsi"/>
          <w:sz w:val="20"/>
          <w:szCs w:val="20"/>
        </w:rPr>
        <w:t xml:space="preserve">, available at: </w:t>
      </w:r>
      <w:hyperlink r:id="rId3">
        <w:r w:rsidRPr="00335C3B">
          <w:rPr>
            <w:rFonts w:asciiTheme="minorHAnsi" w:eastAsia="Calibri" w:hAnsiTheme="minorHAnsi" w:cstheme="minorHAnsi"/>
            <w:color w:val="1155CC"/>
            <w:sz w:val="20"/>
            <w:szCs w:val="20"/>
            <w:u w:val="single"/>
          </w:rPr>
          <w:t>https://www.manushyafoundation.org/comments-on-the-nap-on-bhr</w:t>
        </w:r>
      </w:hyperlink>
      <w:r w:rsidRPr="00335C3B">
        <w:rPr>
          <w:rFonts w:asciiTheme="minorHAnsi" w:eastAsia="Calibri" w:hAnsiTheme="minorHAnsi" w:cstheme="minorHAnsi"/>
          <w:sz w:val="20"/>
          <w:szCs w:val="20"/>
        </w:rPr>
        <w:t xml:space="preserve">; Manushya Foundation, </w:t>
      </w:r>
      <w:r w:rsidRPr="00335C3B">
        <w:rPr>
          <w:rFonts w:asciiTheme="minorHAnsi" w:eastAsia="Calibri" w:hAnsiTheme="minorHAnsi" w:cstheme="minorHAnsi"/>
          <w:i/>
          <w:sz w:val="20"/>
          <w:szCs w:val="20"/>
        </w:rPr>
        <w:t>Independent CSO National Baseline Assessment (NBA) On Business &amp; Human Rights - Working Paper: Applying A Gender Lens To The UNGPS In The Context Of Thailand</w:t>
      </w:r>
      <w:r w:rsidRPr="00335C3B">
        <w:rPr>
          <w:rFonts w:asciiTheme="minorHAnsi" w:eastAsia="Calibri" w:hAnsiTheme="minorHAnsi" w:cstheme="minorHAnsi"/>
          <w:sz w:val="20"/>
          <w:szCs w:val="20"/>
        </w:rPr>
        <w:t xml:space="preserve">, (March 2019), available at:  </w:t>
      </w:r>
      <w:hyperlink r:id="rId4">
        <w:r w:rsidRPr="00335C3B">
          <w:rPr>
            <w:rFonts w:asciiTheme="minorHAnsi" w:eastAsia="Calibri" w:hAnsiTheme="minorHAnsi" w:cstheme="minorHAnsi"/>
            <w:color w:val="1155CC"/>
            <w:sz w:val="20"/>
            <w:szCs w:val="20"/>
            <w:u w:val="single"/>
          </w:rPr>
          <w:t>https://www.manushyafoundation.org/nba-bhr-working-paper-gender-lens</w:t>
        </w:r>
      </w:hyperlink>
      <w:r w:rsidRPr="00335C3B">
        <w:rPr>
          <w:rFonts w:asciiTheme="minorHAnsi" w:eastAsia="Calibri" w:hAnsiTheme="minorHAnsi" w:cstheme="minorHAnsi"/>
          <w:sz w:val="20"/>
          <w:szCs w:val="20"/>
        </w:rPr>
        <w:t xml:space="preserve">  </w:t>
      </w:r>
    </w:p>
  </w:endnote>
  <w:endnote w:id="5">
    <w:p w14:paraId="01FA2D71"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6">
    <w:p w14:paraId="75AE081D"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Anti-Trafficking in Persons Act B.E 2551 (2008), available at: </w:t>
      </w:r>
      <w:hyperlink r:id="rId5">
        <w:r w:rsidRPr="00335C3B">
          <w:rPr>
            <w:rFonts w:asciiTheme="minorHAnsi" w:eastAsia="Calibri" w:hAnsiTheme="minorHAnsi" w:cstheme="minorHAnsi"/>
            <w:color w:val="1155CC"/>
            <w:sz w:val="20"/>
            <w:szCs w:val="20"/>
            <w:u w:val="single"/>
          </w:rPr>
          <w:t>https://library.siam-legal.com/anti-trafficking-persons-act-b-e-2551-2008/</w:t>
        </w:r>
      </w:hyperlink>
      <w:r w:rsidRPr="00335C3B">
        <w:rPr>
          <w:rFonts w:asciiTheme="minorHAnsi" w:eastAsia="Calibri" w:hAnsiTheme="minorHAnsi" w:cstheme="minorHAnsi"/>
          <w:sz w:val="20"/>
          <w:szCs w:val="20"/>
        </w:rPr>
        <w:t xml:space="preserve">. The Act criminalizes sex trafficking and offenses involving an adult victim are subject to penalties in the form of four to 12 years’ imprisonment and a fine of THB 400,000 to 1,2 million, while offenses involving a child victim are subject to six to 20 years’ imprisonment and a fine of THB 600,000 to two million. </w:t>
      </w:r>
    </w:p>
  </w:endnote>
  <w:endnote w:id="7">
    <w:p w14:paraId="307A3CF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Human Trafficking: Thailand's Third Universal Periodic Review Cycle,</w:t>
      </w:r>
      <w:r w:rsidRPr="00335C3B">
        <w:rPr>
          <w:rFonts w:asciiTheme="minorHAnsi" w:eastAsia="Calibri" w:hAnsiTheme="minorHAnsi" w:cstheme="minorHAnsi"/>
          <w:sz w:val="20"/>
          <w:szCs w:val="20"/>
        </w:rPr>
        <w:t xml:space="preserve"> (29 September 2021), available at: </w:t>
      </w:r>
      <w:hyperlink r:id="rId6">
        <w:r w:rsidRPr="00335C3B">
          <w:rPr>
            <w:rFonts w:asciiTheme="minorHAnsi" w:eastAsia="Calibri" w:hAnsiTheme="minorHAnsi" w:cstheme="minorHAnsi"/>
            <w:color w:val="1155CC"/>
            <w:sz w:val="20"/>
            <w:szCs w:val="20"/>
            <w:u w:val="single"/>
          </w:rPr>
          <w:t>https://www.manushyafoundation.org/thailand-third-upr-cycle-factsheet-human-trafficking</w:t>
        </w:r>
      </w:hyperlink>
      <w:r w:rsidRPr="00335C3B">
        <w:rPr>
          <w:rFonts w:asciiTheme="minorHAnsi" w:eastAsia="Calibri" w:hAnsiTheme="minorHAnsi" w:cstheme="minorHAnsi"/>
          <w:sz w:val="20"/>
          <w:szCs w:val="20"/>
        </w:rPr>
        <w:t xml:space="preserve"> </w:t>
      </w:r>
    </w:p>
  </w:endnote>
  <w:endnote w:id="8">
    <w:p w14:paraId="5C827CDE"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9">
    <w:p w14:paraId="14FD2B04"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Human Trafficking: Thailand's Third Universal Periodic Review Cycle,</w:t>
      </w:r>
      <w:r w:rsidRPr="00335C3B">
        <w:rPr>
          <w:rFonts w:asciiTheme="minorHAnsi" w:eastAsia="Calibri" w:hAnsiTheme="minorHAnsi" w:cstheme="minorHAnsi"/>
          <w:sz w:val="20"/>
          <w:szCs w:val="20"/>
        </w:rPr>
        <w:t xml:space="preserve"> (29 September 2021), available at: </w:t>
      </w:r>
      <w:hyperlink r:id="rId7">
        <w:r w:rsidRPr="00335C3B">
          <w:rPr>
            <w:rFonts w:asciiTheme="minorHAnsi" w:eastAsia="Calibri" w:hAnsiTheme="minorHAnsi" w:cstheme="minorHAnsi"/>
            <w:color w:val="1155CC"/>
            <w:sz w:val="20"/>
            <w:szCs w:val="20"/>
            <w:u w:val="single"/>
          </w:rPr>
          <w:t>https://www.manushyafoundation.org/thailand-third-upr-cycle-factsheet-human-trafficking</w:t>
        </w:r>
      </w:hyperlink>
      <w:r w:rsidRPr="00335C3B">
        <w:rPr>
          <w:rFonts w:asciiTheme="minorHAnsi" w:eastAsia="Calibri" w:hAnsiTheme="minorHAnsi" w:cstheme="minorHAnsi"/>
          <w:sz w:val="20"/>
          <w:szCs w:val="20"/>
        </w:rPr>
        <w:t xml:space="preserve"> </w:t>
      </w:r>
    </w:p>
  </w:endnote>
  <w:endnote w:id="10">
    <w:p w14:paraId="4F67EE2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11">
    <w:p w14:paraId="61291740"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hAnsiTheme="minorHAnsi" w:cstheme="minorHAnsi"/>
          <w:sz w:val="20"/>
          <w:szCs w:val="20"/>
        </w:rPr>
        <w:t xml:space="preserve"> </w:t>
      </w:r>
      <w:r w:rsidRPr="00335C3B">
        <w:rPr>
          <w:rFonts w:asciiTheme="minorHAnsi" w:hAnsiTheme="minorHAnsi" w:cstheme="minorHAnsi"/>
          <w:sz w:val="20"/>
          <w:szCs w:val="20"/>
        </w:rPr>
        <w:tab/>
      </w:r>
      <w:r w:rsidRPr="00335C3B">
        <w:rPr>
          <w:rFonts w:asciiTheme="minorHAnsi" w:eastAsia="Calibri" w:hAnsiTheme="minorHAnsi" w:cstheme="minorHAnsi"/>
          <w:sz w:val="20"/>
          <w:szCs w:val="20"/>
        </w:rPr>
        <w:t xml:space="preserve">Manushya Foundation, </w:t>
      </w:r>
      <w:r w:rsidRPr="00335C3B">
        <w:rPr>
          <w:rFonts w:asciiTheme="minorHAnsi" w:eastAsia="Calibri" w:hAnsiTheme="minorHAnsi" w:cstheme="minorHAnsi"/>
          <w:i/>
          <w:sz w:val="20"/>
          <w:szCs w:val="20"/>
        </w:rPr>
        <w:t>Human Trafficking: Thailand's Third Universal Periodic Review Cycle,</w:t>
      </w:r>
      <w:r w:rsidRPr="00335C3B">
        <w:rPr>
          <w:rFonts w:asciiTheme="minorHAnsi" w:eastAsia="Calibri" w:hAnsiTheme="minorHAnsi" w:cstheme="minorHAnsi"/>
          <w:sz w:val="20"/>
          <w:szCs w:val="20"/>
        </w:rPr>
        <w:t xml:space="preserve"> (29 September 2021), available at: </w:t>
      </w:r>
      <w:hyperlink r:id="rId8">
        <w:r w:rsidRPr="00335C3B">
          <w:rPr>
            <w:rFonts w:asciiTheme="minorHAnsi" w:eastAsia="Calibri" w:hAnsiTheme="minorHAnsi" w:cstheme="minorHAnsi"/>
            <w:color w:val="1155CC"/>
            <w:sz w:val="20"/>
            <w:szCs w:val="20"/>
            <w:u w:val="single"/>
          </w:rPr>
          <w:t>https://www.manushyafoundation.org/thailand-third-upr-cycle-factsheet-human-trafficking</w:t>
        </w:r>
      </w:hyperlink>
      <w:r w:rsidRPr="00335C3B">
        <w:rPr>
          <w:rFonts w:asciiTheme="minorHAnsi" w:hAnsiTheme="minorHAnsi" w:cstheme="minorHAnsi"/>
          <w:sz w:val="20"/>
          <w:szCs w:val="20"/>
        </w:rPr>
        <w:t xml:space="preserve">; </w:t>
      </w:r>
      <w:r w:rsidRPr="00335C3B">
        <w:rPr>
          <w:rFonts w:asciiTheme="minorHAnsi" w:eastAsia="Calibri" w:hAnsiTheme="minorHAnsi" w:cstheme="minorHAnsi"/>
          <w:sz w:val="20"/>
          <w:szCs w:val="20"/>
        </w:rPr>
        <w:t xml:space="preserve">Manushya Foundation, </w:t>
      </w:r>
      <w:r w:rsidRPr="00335C3B">
        <w:rPr>
          <w:rFonts w:asciiTheme="minorHAnsi" w:eastAsia="Calibri" w:hAnsiTheme="minorHAnsi" w:cstheme="minorHAnsi"/>
          <w:i/>
          <w:sz w:val="20"/>
          <w:szCs w:val="20"/>
        </w:rPr>
        <w:t>The Rights of Indigenous Women In Thailand: Joint Submission to the UN Universal Periodic Review (UPR) For Thailand's Third UPR Cycle, 39th Session Of The UPR Working Group</w:t>
      </w:r>
      <w:r w:rsidRPr="00335C3B">
        <w:rPr>
          <w:rFonts w:asciiTheme="minorHAnsi" w:eastAsia="Calibri" w:hAnsiTheme="minorHAnsi" w:cstheme="minorHAnsi"/>
          <w:sz w:val="20"/>
          <w:szCs w:val="20"/>
        </w:rPr>
        <w:t xml:space="preserve">, (16 April 2021), available at: </w:t>
      </w:r>
    </w:p>
    <w:p w14:paraId="006DE977" w14:textId="77777777" w:rsidR="008B3CD6" w:rsidRPr="00335C3B" w:rsidRDefault="00000000" w:rsidP="008B3CD6">
      <w:pPr>
        <w:spacing w:line="240" w:lineRule="auto"/>
        <w:ind w:left="360"/>
        <w:rPr>
          <w:rFonts w:asciiTheme="minorHAnsi" w:eastAsia="Calibri" w:hAnsiTheme="minorHAnsi" w:cstheme="minorHAnsi"/>
          <w:sz w:val="20"/>
          <w:szCs w:val="20"/>
        </w:rPr>
      </w:pPr>
      <w:hyperlink r:id="rId9" w:history="1">
        <w:r w:rsidR="008B3CD6" w:rsidRPr="00335C3B">
          <w:rPr>
            <w:rStyle w:val="Hyperlink"/>
            <w:rFonts w:asciiTheme="minorHAnsi" w:eastAsia="Calibri" w:hAnsiTheme="minorHAnsi" w:cstheme="minorHAnsi"/>
            <w:sz w:val="20"/>
            <w:szCs w:val="20"/>
          </w:rPr>
          <w:t>https://www.manushyafoundation.org/joint-upr-submission-ipwomen</w:t>
        </w:r>
      </w:hyperlink>
      <w:r w:rsidR="008B3CD6" w:rsidRPr="00335C3B">
        <w:rPr>
          <w:rFonts w:asciiTheme="minorHAnsi" w:eastAsia="Calibri" w:hAnsiTheme="minorHAnsi" w:cstheme="minorHAnsi"/>
          <w:sz w:val="20"/>
          <w:szCs w:val="20"/>
        </w:rPr>
        <w:t xml:space="preserve"> </w:t>
      </w:r>
    </w:p>
  </w:endnote>
  <w:endnote w:id="12">
    <w:p w14:paraId="13A22D56"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13">
    <w:p w14:paraId="4FB1EB13"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w:t>
      </w:r>
      <w:r w:rsidRPr="00335C3B">
        <w:rPr>
          <w:rFonts w:asciiTheme="minorHAnsi" w:eastAsia="Calibri" w:hAnsiTheme="minorHAnsi" w:cstheme="minorHAnsi"/>
          <w:color w:val="1D1C1D"/>
          <w:sz w:val="20"/>
          <w:szCs w:val="20"/>
        </w:rPr>
        <w:t xml:space="preserve">nformation obtained from interviews conducted by Manushya Foundation to inform this report, </w:t>
      </w:r>
      <w:r w:rsidRPr="00335C3B">
        <w:rPr>
          <w:rFonts w:asciiTheme="minorHAnsi" w:eastAsia="Calibri" w:hAnsiTheme="minorHAnsi" w:cstheme="minorHAnsi"/>
          <w:sz w:val="20"/>
          <w:szCs w:val="20"/>
        </w:rPr>
        <w:t>(August-September 2022)</w:t>
      </w:r>
    </w:p>
  </w:endnote>
  <w:endnote w:id="14">
    <w:p w14:paraId="77940B08"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For example, there has been an accusation that the political movement of a female political figure only gets attention from the governor because they are “pretty-looking movement” (</w:t>
      </w:r>
      <w:r w:rsidRPr="00335C3B">
        <w:rPr>
          <w:rFonts w:ascii="Browallia New" w:eastAsia="Calibri" w:hAnsi="Browallia New" w:cs="Browallia New"/>
          <w:sz w:val="20"/>
          <w:szCs w:val="20"/>
        </w:rPr>
        <w:t>ม็อบหน้าสวย</w:t>
      </w:r>
      <w:r w:rsidRPr="00335C3B">
        <w:rPr>
          <w:rFonts w:asciiTheme="minorHAnsi" w:eastAsia="Calibri" w:hAnsiTheme="minorHAnsi" w:cstheme="minorHAnsi"/>
          <w:sz w:val="20"/>
          <w:szCs w:val="20"/>
        </w:rPr>
        <w:t>). Information obtained from interviews conducted by Manushya Foundation to inform this report, (August-September 2022)</w:t>
      </w:r>
    </w:p>
  </w:endnote>
  <w:endnote w:id="15">
    <w:p w14:paraId="0578333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International Institute for Democracy and Electoral Assistance, Gender Quota Database - Thailand, (2022), available at: </w:t>
      </w:r>
      <w:hyperlink r:id="rId10">
        <w:r w:rsidRPr="00335C3B">
          <w:rPr>
            <w:rFonts w:asciiTheme="minorHAnsi" w:eastAsia="Calibri" w:hAnsiTheme="minorHAnsi" w:cstheme="minorHAnsi"/>
            <w:color w:val="1155CC"/>
            <w:sz w:val="20"/>
            <w:szCs w:val="20"/>
            <w:u w:val="single"/>
          </w:rPr>
          <w:t>https://www.idea.int/data-tools/data/gender-quotas/country-view/280/35</w:t>
        </w:r>
      </w:hyperlink>
      <w:r w:rsidRPr="00335C3B">
        <w:rPr>
          <w:rFonts w:asciiTheme="minorHAnsi" w:eastAsia="Calibri" w:hAnsiTheme="minorHAnsi" w:cstheme="minorHAnsi"/>
          <w:sz w:val="20"/>
          <w:szCs w:val="20"/>
        </w:rPr>
        <w:t xml:space="preserve"> .</w:t>
      </w:r>
    </w:p>
  </w:endnote>
  <w:endnote w:id="16">
    <w:p w14:paraId="6F524C0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Information obtained from interviews conducted by Manushya Foundation to inform this report, (August-September 2022) </w:t>
      </w:r>
    </w:p>
  </w:endnote>
  <w:endnote w:id="17">
    <w:p w14:paraId="433C84F6"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18">
    <w:p w14:paraId="03C59D20"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France24, </w:t>
      </w:r>
      <w:r w:rsidRPr="00335C3B">
        <w:rPr>
          <w:rFonts w:asciiTheme="minorHAnsi" w:eastAsia="Calibri" w:hAnsiTheme="minorHAnsi" w:cstheme="minorHAnsi"/>
          <w:i/>
          <w:sz w:val="20"/>
          <w:szCs w:val="20"/>
        </w:rPr>
        <w:t>Thailand's first transgender MP dismissed from parliament,</w:t>
      </w:r>
      <w:r w:rsidRPr="00335C3B">
        <w:rPr>
          <w:rFonts w:asciiTheme="minorHAnsi" w:eastAsia="Calibri" w:hAnsiTheme="minorHAnsi" w:cstheme="minorHAnsi"/>
          <w:sz w:val="20"/>
          <w:szCs w:val="20"/>
        </w:rPr>
        <w:t xml:space="preserve"> (28 October 2020), available at:  </w:t>
      </w:r>
      <w:hyperlink r:id="rId11">
        <w:r w:rsidRPr="00335C3B">
          <w:rPr>
            <w:rFonts w:asciiTheme="minorHAnsi" w:eastAsia="Calibri" w:hAnsiTheme="minorHAnsi" w:cstheme="minorHAnsi"/>
            <w:color w:val="1155CC"/>
            <w:sz w:val="20"/>
            <w:szCs w:val="20"/>
            <w:u w:val="single"/>
          </w:rPr>
          <w:t>https://www.france24.com/en/live-news/20201028-thailand-s-first-transgender-mp-dismissed-from-parliament</w:t>
        </w:r>
      </w:hyperlink>
      <w:r w:rsidRPr="00335C3B">
        <w:rPr>
          <w:rFonts w:asciiTheme="minorHAnsi" w:eastAsia="Calibri" w:hAnsiTheme="minorHAnsi" w:cstheme="minorHAnsi"/>
          <w:sz w:val="20"/>
          <w:szCs w:val="20"/>
        </w:rPr>
        <w:t xml:space="preserve"> </w:t>
      </w:r>
    </w:p>
  </w:endnote>
  <w:endnote w:id="19">
    <w:p w14:paraId="4F297A3D"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Bangkok Post, </w:t>
      </w:r>
      <w:r w:rsidRPr="00335C3B">
        <w:rPr>
          <w:rFonts w:asciiTheme="minorHAnsi" w:eastAsia="Calibri" w:hAnsiTheme="minorHAnsi" w:cstheme="minorHAnsi"/>
          <w:i/>
          <w:sz w:val="20"/>
          <w:szCs w:val="20"/>
          <w:highlight w:val="white"/>
        </w:rPr>
        <w:t>Police to end female admissions to cadet school</w:t>
      </w:r>
      <w:r w:rsidRPr="00335C3B">
        <w:rPr>
          <w:rFonts w:asciiTheme="minorHAnsi" w:eastAsia="Calibri" w:hAnsiTheme="minorHAnsi" w:cstheme="minorHAnsi"/>
          <w:sz w:val="20"/>
          <w:szCs w:val="20"/>
          <w:highlight w:val="white"/>
        </w:rPr>
        <w:t xml:space="preserve">, (2 September 2018), available at: </w:t>
      </w:r>
      <w:hyperlink r:id="rId12">
        <w:r w:rsidRPr="00335C3B">
          <w:rPr>
            <w:rFonts w:asciiTheme="minorHAnsi" w:eastAsia="Calibri" w:hAnsiTheme="minorHAnsi" w:cstheme="minorHAnsi"/>
            <w:color w:val="1155CC"/>
            <w:sz w:val="20"/>
            <w:szCs w:val="20"/>
            <w:highlight w:val="white"/>
            <w:u w:val="single"/>
          </w:rPr>
          <w:t>https://www.bangkokpost.com/thailand/general/1532718/police-to-end-female-admissions-to-cadet-school</w:t>
        </w:r>
      </w:hyperlink>
      <w:r w:rsidRPr="00335C3B">
        <w:rPr>
          <w:rFonts w:asciiTheme="minorHAnsi" w:eastAsia="Calibri" w:hAnsiTheme="minorHAnsi" w:cstheme="minorHAnsi"/>
          <w:sz w:val="20"/>
          <w:szCs w:val="20"/>
          <w:highlight w:val="white"/>
        </w:rPr>
        <w:t xml:space="preserve"> </w:t>
      </w:r>
    </w:p>
  </w:endnote>
  <w:endnote w:id="20">
    <w:p w14:paraId="0543570C"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The Draft was prepared by the public organization Princess Maha Chakri Sirindhorn Anthropology Center. If the law is passed, it would be the first national legislation to specifically address issues particular to ethnic minorities and indigenous peoples in Thailand.</w:t>
      </w:r>
    </w:p>
  </w:endnote>
  <w:endnote w:id="21">
    <w:p w14:paraId="036F1585"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Indigenous Women: Thailand's Third Universal Periodic Review Cycle</w:t>
      </w:r>
      <w:r w:rsidRPr="00335C3B">
        <w:rPr>
          <w:rFonts w:asciiTheme="minorHAnsi" w:eastAsia="Calibri" w:hAnsiTheme="minorHAnsi" w:cstheme="minorHAnsi"/>
          <w:sz w:val="20"/>
          <w:szCs w:val="20"/>
        </w:rPr>
        <w:t xml:space="preserve">, (29 September 2021), available at:  </w:t>
      </w:r>
      <w:hyperlink r:id="rId13">
        <w:r w:rsidRPr="00335C3B">
          <w:rPr>
            <w:rFonts w:asciiTheme="minorHAnsi" w:eastAsia="Calibri" w:hAnsiTheme="minorHAnsi" w:cstheme="minorHAnsi"/>
            <w:color w:val="1155CC"/>
            <w:sz w:val="20"/>
            <w:szCs w:val="20"/>
            <w:u w:val="single"/>
          </w:rPr>
          <w:t>https://www.manushyafoundation.org/thailand-third-upr-cycle-factsheet-indigenous-women</w:t>
        </w:r>
      </w:hyperlink>
      <w:r w:rsidRPr="00335C3B">
        <w:rPr>
          <w:rFonts w:asciiTheme="minorHAnsi" w:eastAsia="Calibri" w:hAnsiTheme="minorHAnsi" w:cstheme="minorHAnsi"/>
          <w:sz w:val="20"/>
          <w:szCs w:val="20"/>
        </w:rPr>
        <w:t xml:space="preserve">; Manushya Foundation, </w:t>
      </w:r>
      <w:r w:rsidRPr="00335C3B">
        <w:rPr>
          <w:rFonts w:asciiTheme="minorHAnsi" w:eastAsia="Calibri" w:hAnsiTheme="minorHAnsi" w:cstheme="minorHAnsi"/>
          <w:i/>
          <w:sz w:val="20"/>
          <w:szCs w:val="20"/>
        </w:rPr>
        <w:t>Indigenous Peoples' Rights in Thailand: Thailand's Third Universal Periodic Review Cycle</w:t>
      </w:r>
      <w:r w:rsidRPr="00335C3B">
        <w:rPr>
          <w:rFonts w:asciiTheme="minorHAnsi" w:eastAsia="Calibri" w:hAnsiTheme="minorHAnsi" w:cstheme="minorHAnsi"/>
          <w:sz w:val="20"/>
          <w:szCs w:val="20"/>
        </w:rPr>
        <w:t xml:space="preserve">, (9 September 2021), available at: </w:t>
      </w:r>
      <w:hyperlink r:id="rId14">
        <w:r w:rsidRPr="00335C3B">
          <w:rPr>
            <w:rFonts w:asciiTheme="minorHAnsi" w:eastAsia="Calibri" w:hAnsiTheme="minorHAnsi" w:cstheme="minorHAnsi"/>
            <w:color w:val="1155CC"/>
            <w:sz w:val="20"/>
            <w:szCs w:val="20"/>
            <w:u w:val="single"/>
          </w:rPr>
          <w:t>https://www.manushyafoundation.org/thailand-third-upr-cycle-factsheet-indigenous-peoples-rights</w:t>
        </w:r>
      </w:hyperlink>
      <w:r w:rsidRPr="00335C3B">
        <w:rPr>
          <w:rFonts w:asciiTheme="minorHAnsi" w:eastAsia="Calibri" w:hAnsiTheme="minorHAnsi" w:cstheme="minorHAnsi"/>
          <w:sz w:val="20"/>
          <w:szCs w:val="20"/>
        </w:rPr>
        <w:t xml:space="preserve"> </w:t>
      </w:r>
    </w:p>
  </w:endnote>
  <w:endnote w:id="22">
    <w:p w14:paraId="57993E98"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23">
    <w:p w14:paraId="2D033EA9" w14:textId="77777777" w:rsidR="008B3CD6" w:rsidRPr="00335C3B" w:rsidRDefault="008B3CD6" w:rsidP="008B3CD6">
      <w:pPr>
        <w:spacing w:line="240" w:lineRule="auto"/>
        <w:ind w:left="360" w:hanging="360"/>
        <w:rPr>
          <w:rFonts w:asciiTheme="minorHAnsi" w:hAnsiTheme="minorHAnsi" w:cstheme="minorHAnsi"/>
          <w:sz w:val="18"/>
          <w:szCs w:val="18"/>
        </w:rPr>
      </w:pPr>
      <w:r w:rsidRPr="00335C3B">
        <w:rPr>
          <w:rFonts w:asciiTheme="minorHAnsi" w:hAnsiTheme="minorHAnsi" w:cstheme="minorHAnsi"/>
          <w:vertAlign w:val="superscript"/>
        </w:rPr>
        <w:endnoteRef/>
      </w:r>
      <w:r w:rsidRPr="00335C3B">
        <w:rPr>
          <w:rFonts w:asciiTheme="minorHAnsi" w:eastAsia="Calibri" w:hAnsiTheme="minorHAnsi" w:cstheme="minorHAnsi"/>
          <w:sz w:val="18"/>
          <w:szCs w:val="18"/>
        </w:rPr>
        <w:t xml:space="preserve"> </w:t>
      </w:r>
      <w:r w:rsidRPr="00335C3B">
        <w:rPr>
          <w:rFonts w:asciiTheme="minorHAnsi" w:eastAsia="Calibri" w:hAnsiTheme="minorHAnsi" w:cstheme="minorHAnsi"/>
          <w:sz w:val="18"/>
          <w:szCs w:val="18"/>
        </w:rPr>
        <w:tab/>
      </w:r>
      <w:r w:rsidRPr="00335C3B">
        <w:rPr>
          <w:rFonts w:asciiTheme="minorHAnsi" w:eastAsia="Calibri" w:hAnsiTheme="minorHAnsi" w:cstheme="minorHAnsi"/>
          <w:sz w:val="20"/>
          <w:szCs w:val="20"/>
        </w:rPr>
        <w:t>In cases of relocation, they are denied financial compensation provided per household, and frequently face gendered and systematic abuse</w:t>
      </w:r>
    </w:p>
  </w:endnote>
  <w:endnote w:id="24">
    <w:p w14:paraId="7087B361"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hAnsiTheme="minorHAnsi" w:cstheme="minorHAnsi"/>
          <w:sz w:val="20"/>
          <w:szCs w:val="20"/>
        </w:rPr>
        <w:t xml:space="preserve"> </w:t>
      </w:r>
      <w:r w:rsidRPr="00335C3B">
        <w:rPr>
          <w:rFonts w:asciiTheme="minorHAnsi" w:hAnsiTheme="minorHAnsi" w:cstheme="minorHAnsi"/>
          <w:sz w:val="20"/>
          <w:szCs w:val="20"/>
        </w:rPr>
        <w:tab/>
      </w:r>
      <w:r w:rsidRPr="00335C3B">
        <w:rPr>
          <w:rFonts w:asciiTheme="minorHAnsi" w:eastAsia="Calibri" w:hAnsiTheme="minorHAnsi" w:cstheme="minorHAnsi"/>
          <w:sz w:val="20"/>
          <w:szCs w:val="20"/>
        </w:rPr>
        <w:t xml:space="preserve">The Urak Lawoi indigenous women of Koh Sireh Island were excluded from the preparation and proceedings of the lawsuit and their concerns were not taken into consideration, despite having lived on their ancestral grounds for almost a century, have experienced increasing issues as a result of the island's rapid business expansion and building, which is primarily tied to tourism and real estate projects. Due to a lack of proper land titles, the Urak Lawoi's lands were sold to investors in 2012, and the community was served with an eviction notice. The Urak Lawoi have been fighting a long legal battle to keep their ancestral lands. The Urak Lawoi Women sought to participate actively in the preparation of their Appeal Court lawsuit, being the major voices raising concerns about malpractices of the legal proceedings. </w:t>
      </w:r>
      <w:r w:rsidRPr="00335C3B">
        <w:rPr>
          <w:rFonts w:asciiTheme="minorHAnsi" w:eastAsia="Calibri" w:hAnsiTheme="minorHAnsi" w:cstheme="minorHAnsi"/>
          <w:i/>
          <w:sz w:val="20"/>
          <w:szCs w:val="20"/>
        </w:rPr>
        <w:t xml:space="preserve">See </w:t>
      </w:r>
      <w:r w:rsidRPr="00335C3B">
        <w:rPr>
          <w:rFonts w:asciiTheme="minorHAnsi" w:eastAsia="Calibri" w:hAnsiTheme="minorHAnsi" w:cstheme="minorHAnsi"/>
          <w:sz w:val="20"/>
          <w:szCs w:val="20"/>
        </w:rPr>
        <w:t xml:space="preserve">Manushya Foundation, </w:t>
      </w:r>
      <w:r w:rsidRPr="00335C3B">
        <w:rPr>
          <w:rFonts w:asciiTheme="minorHAnsi" w:eastAsia="Calibri" w:hAnsiTheme="minorHAnsi" w:cstheme="minorHAnsi"/>
          <w:i/>
          <w:sz w:val="20"/>
          <w:szCs w:val="20"/>
        </w:rPr>
        <w:t>Community-Led &amp; Participatory Research Report 'raising Our Voices To Save Our Future'</w:t>
      </w:r>
      <w:r w:rsidRPr="00335C3B">
        <w:rPr>
          <w:rFonts w:asciiTheme="minorHAnsi" w:eastAsia="Calibri" w:hAnsiTheme="minorHAnsi" w:cstheme="minorHAnsi"/>
          <w:sz w:val="20"/>
          <w:szCs w:val="20"/>
        </w:rPr>
        <w:t xml:space="preserve">, (September 2019), available at: </w:t>
      </w:r>
      <w:hyperlink r:id="rId15">
        <w:r w:rsidRPr="00335C3B">
          <w:rPr>
            <w:rFonts w:asciiTheme="minorHAnsi" w:eastAsia="Calibri" w:hAnsiTheme="minorHAnsi" w:cstheme="minorHAnsi"/>
            <w:color w:val="1155CC"/>
            <w:sz w:val="20"/>
            <w:szCs w:val="20"/>
            <w:u w:val="single"/>
          </w:rPr>
          <w:t>https://www.manushyafoundation.org/iwnt-report</w:t>
        </w:r>
      </w:hyperlink>
      <w:r w:rsidRPr="00335C3B">
        <w:rPr>
          <w:rFonts w:asciiTheme="minorHAnsi" w:eastAsia="Calibri" w:hAnsiTheme="minorHAnsi" w:cstheme="minorHAnsi"/>
          <w:sz w:val="20"/>
          <w:szCs w:val="20"/>
        </w:rPr>
        <w:t xml:space="preserve"> </w:t>
      </w:r>
    </w:p>
  </w:endnote>
  <w:endnote w:id="25">
    <w:p w14:paraId="20F99636"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26">
    <w:p w14:paraId="220466C4"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The government fails to meet its obligation to ensure human rights defenders can carry out their work in a safe and enabling environment, as it neither recognizes HRDs in the 2017 Constitution and national legislation nor has specific provisions comprehensively protecting whistleblowers and strengthening their rights. This aspect is partially covered by two relevant Acts: The Organic Act on Counter Corruption of 1999 amended in 2011, and the Witness Protection Act of 2003 prescribing measures for protecting the person giving testimony or for whistleblowers, although the Acts do not define the term “whistleblower”, and with many provisions being vague and discretionary. Strategic Lawsuit Against Public Participation (SLAPP) is often employed to deter potential dissidents and opponents of the government from speaking out, resulting in the creation of an environment that lacks a democratic space for human rights defenders to voice their concerns. </w:t>
      </w:r>
      <w:r w:rsidRPr="00335C3B">
        <w:rPr>
          <w:rFonts w:asciiTheme="minorHAnsi" w:eastAsia="Calibri" w:hAnsiTheme="minorHAnsi" w:cstheme="minorHAnsi"/>
          <w:i/>
          <w:sz w:val="20"/>
          <w:szCs w:val="20"/>
        </w:rPr>
        <w:t xml:space="preserve">See </w:t>
      </w:r>
      <w:r w:rsidRPr="00335C3B">
        <w:rPr>
          <w:rFonts w:asciiTheme="minorHAnsi" w:eastAsia="Calibri" w:hAnsiTheme="minorHAnsi" w:cstheme="minorHAnsi"/>
          <w:sz w:val="20"/>
          <w:szCs w:val="20"/>
        </w:rPr>
        <w:t xml:space="preserve">Manushya Foundation, </w:t>
      </w:r>
      <w:r w:rsidRPr="00335C3B">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335C3B">
        <w:rPr>
          <w:rFonts w:asciiTheme="minorHAnsi" w:eastAsia="Calibri" w:hAnsiTheme="minorHAnsi" w:cstheme="minorHAnsi"/>
          <w:sz w:val="20"/>
          <w:szCs w:val="20"/>
        </w:rPr>
        <w:t xml:space="preserve">, (25 October 2021), available at: </w:t>
      </w:r>
    </w:p>
    <w:p w14:paraId="1DE73C2E" w14:textId="77777777" w:rsidR="008B3CD6" w:rsidRPr="00335C3B" w:rsidRDefault="00000000" w:rsidP="008B3CD6">
      <w:pPr>
        <w:spacing w:line="240" w:lineRule="auto"/>
        <w:ind w:left="360"/>
        <w:rPr>
          <w:rFonts w:asciiTheme="minorHAnsi" w:eastAsia="Calibri" w:hAnsiTheme="minorHAnsi" w:cstheme="minorHAnsi"/>
          <w:sz w:val="20"/>
          <w:szCs w:val="20"/>
        </w:rPr>
      </w:pPr>
      <w:hyperlink r:id="rId16" w:history="1">
        <w:r w:rsidR="008B3CD6" w:rsidRPr="00335C3B">
          <w:rPr>
            <w:rStyle w:val="Hyperlink"/>
            <w:rFonts w:asciiTheme="minorHAnsi" w:eastAsia="Calibri" w:hAnsiTheme="minorHAnsi" w:cstheme="minorHAnsi"/>
            <w:sz w:val="20"/>
            <w:szCs w:val="20"/>
          </w:rPr>
          <w:t>https://www.manushyafoundation.org/joint-civil-society-cerd-shadow-report</w:t>
        </w:r>
      </w:hyperlink>
      <w:r w:rsidR="008B3CD6" w:rsidRPr="00335C3B">
        <w:rPr>
          <w:rFonts w:asciiTheme="minorHAnsi" w:eastAsia="Calibri" w:hAnsiTheme="minorHAnsi" w:cstheme="minorHAnsi"/>
          <w:i/>
          <w:sz w:val="20"/>
          <w:szCs w:val="20"/>
        </w:rPr>
        <w:t xml:space="preserve">; </w:t>
      </w:r>
      <w:r w:rsidR="008B3CD6" w:rsidRPr="00335C3B">
        <w:rPr>
          <w:rFonts w:asciiTheme="minorHAnsi" w:eastAsia="Calibri" w:hAnsiTheme="minorHAnsi" w:cstheme="minorHAnsi"/>
          <w:sz w:val="20"/>
          <w:szCs w:val="20"/>
        </w:rPr>
        <w:t xml:space="preserve">Manushya Foundation, </w:t>
      </w:r>
      <w:r w:rsidR="008B3CD6" w:rsidRPr="00335C3B">
        <w:rPr>
          <w:rFonts w:asciiTheme="minorHAnsi" w:eastAsia="Calibri" w:hAnsiTheme="minorHAnsi" w:cstheme="minorHAnsi"/>
          <w:i/>
          <w:sz w:val="20"/>
          <w:szCs w:val="20"/>
        </w:rPr>
        <w:t>People and Planet Over Profit: Thailand's Third Universal Periodic Review Cycle,</w:t>
      </w:r>
      <w:r w:rsidR="008B3CD6" w:rsidRPr="00335C3B">
        <w:rPr>
          <w:rFonts w:asciiTheme="minorHAnsi" w:eastAsia="Calibri" w:hAnsiTheme="minorHAnsi" w:cstheme="minorHAnsi"/>
          <w:sz w:val="20"/>
          <w:szCs w:val="20"/>
        </w:rPr>
        <w:t xml:space="preserve"> (13 September 2021), available at: </w:t>
      </w:r>
      <w:hyperlink r:id="rId17">
        <w:r w:rsidR="008B3CD6" w:rsidRPr="00335C3B">
          <w:rPr>
            <w:rFonts w:asciiTheme="minorHAnsi" w:eastAsia="Calibri" w:hAnsiTheme="minorHAnsi" w:cstheme="minorHAnsi"/>
            <w:color w:val="1155CC"/>
            <w:sz w:val="20"/>
            <w:szCs w:val="20"/>
            <w:u w:val="single"/>
          </w:rPr>
          <w:t>https://www.manushyafoundation.org/thailand-third-upr-cycle-factsheet-people-and-planet-over-profit</w:t>
        </w:r>
      </w:hyperlink>
      <w:r w:rsidR="008B3CD6" w:rsidRPr="00335C3B">
        <w:rPr>
          <w:rFonts w:asciiTheme="minorHAnsi" w:eastAsia="Calibri" w:hAnsiTheme="minorHAnsi" w:cstheme="minorHAnsi"/>
          <w:sz w:val="20"/>
          <w:szCs w:val="20"/>
        </w:rPr>
        <w:t xml:space="preserve">; Manushya Foundation, </w:t>
      </w:r>
      <w:r w:rsidR="008B3CD6" w:rsidRPr="00335C3B">
        <w:rPr>
          <w:rFonts w:asciiTheme="minorHAnsi" w:eastAsia="Calibri" w:hAnsiTheme="minorHAnsi" w:cstheme="minorHAnsi"/>
          <w:i/>
          <w:sz w:val="20"/>
          <w:szCs w:val="20"/>
        </w:rPr>
        <w:t>Women Human Rights Defenders push back against SLAPP charges!</w:t>
      </w:r>
      <w:r w:rsidR="008B3CD6" w:rsidRPr="00335C3B">
        <w:rPr>
          <w:rFonts w:asciiTheme="minorHAnsi" w:eastAsia="Calibri" w:hAnsiTheme="minorHAnsi" w:cstheme="minorHAnsi"/>
          <w:sz w:val="20"/>
          <w:szCs w:val="20"/>
        </w:rPr>
        <w:t xml:space="preserve">, (29 September 2022), available at: </w:t>
      </w:r>
      <w:hyperlink r:id="rId18">
        <w:r w:rsidR="008B3CD6" w:rsidRPr="00335C3B">
          <w:rPr>
            <w:rFonts w:asciiTheme="minorHAnsi" w:eastAsia="Calibri" w:hAnsiTheme="minorHAnsi" w:cstheme="minorHAnsi"/>
            <w:color w:val="1155CC"/>
            <w:sz w:val="20"/>
            <w:szCs w:val="20"/>
            <w:u w:val="single"/>
          </w:rPr>
          <w:t>https://www.manushyafoundation.org/post/women-human-rights-defenders-push-back-against-slapp-charges</w:t>
        </w:r>
      </w:hyperlink>
    </w:p>
  </w:endnote>
  <w:endnote w:id="27">
    <w:p w14:paraId="4AFC756B"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28">
    <w:p w14:paraId="5231795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w:t>
      </w:r>
      <w:r w:rsidRPr="00335C3B">
        <w:rPr>
          <w:rFonts w:asciiTheme="minorHAnsi" w:eastAsia="Calibri" w:hAnsiTheme="minorHAnsi" w:cstheme="minorHAnsi"/>
          <w:color w:val="1D1C1D"/>
          <w:sz w:val="20"/>
          <w:szCs w:val="20"/>
        </w:rPr>
        <w:t xml:space="preserve">nformation obtained from interviews conducted by Manushya Foundation to inform this report, </w:t>
      </w:r>
      <w:r w:rsidRPr="00335C3B">
        <w:rPr>
          <w:rFonts w:asciiTheme="minorHAnsi" w:eastAsia="Calibri" w:hAnsiTheme="minorHAnsi" w:cstheme="minorHAnsi"/>
          <w:sz w:val="20"/>
          <w:szCs w:val="20"/>
        </w:rPr>
        <w:t>(August-September 2022)</w:t>
      </w:r>
    </w:p>
  </w:endnote>
  <w:endnote w:id="29">
    <w:p w14:paraId="4F09C96A"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w:t>
      </w:r>
      <w:r w:rsidRPr="00335C3B">
        <w:rPr>
          <w:rFonts w:asciiTheme="minorHAnsi" w:eastAsia="Calibri" w:hAnsiTheme="minorHAnsi" w:cstheme="minorHAnsi"/>
          <w:color w:val="1D1C1D"/>
          <w:sz w:val="20"/>
          <w:szCs w:val="20"/>
        </w:rPr>
        <w:t xml:space="preserve">nformation obtained from interviews conducted by Manushya Foundation to inform this report, </w:t>
      </w:r>
      <w:r w:rsidRPr="00335C3B">
        <w:rPr>
          <w:rFonts w:asciiTheme="minorHAnsi" w:eastAsia="Calibri" w:hAnsiTheme="minorHAnsi" w:cstheme="minorHAnsi"/>
          <w:sz w:val="20"/>
          <w:szCs w:val="20"/>
        </w:rPr>
        <w:t>(August-September 2022)</w:t>
      </w:r>
    </w:p>
  </w:endnote>
  <w:endnote w:id="30">
    <w:p w14:paraId="4580BF2D"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w:t>
      </w:r>
      <w:r w:rsidRPr="00335C3B">
        <w:rPr>
          <w:rFonts w:asciiTheme="minorHAnsi" w:eastAsia="Calibri" w:hAnsiTheme="minorHAnsi" w:cstheme="minorHAnsi"/>
          <w:color w:val="1D1C1D"/>
          <w:sz w:val="20"/>
          <w:szCs w:val="20"/>
        </w:rPr>
        <w:t xml:space="preserve">nformation obtained from interviews conducted by Manushya Foundation to inform this report, </w:t>
      </w:r>
      <w:r w:rsidRPr="00335C3B">
        <w:rPr>
          <w:rFonts w:asciiTheme="minorHAnsi" w:eastAsia="Calibri" w:hAnsiTheme="minorHAnsi" w:cstheme="minorHAnsi"/>
          <w:sz w:val="20"/>
          <w:szCs w:val="20"/>
        </w:rPr>
        <w:t>(August-September 2022)</w:t>
      </w:r>
    </w:p>
  </w:endnote>
  <w:endnote w:id="31">
    <w:p w14:paraId="7732E8C0"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w:t>
      </w:r>
      <w:r w:rsidRPr="00335C3B">
        <w:rPr>
          <w:rFonts w:asciiTheme="minorHAnsi" w:eastAsia="Calibri" w:hAnsiTheme="minorHAnsi" w:cstheme="minorHAnsi"/>
          <w:color w:val="1D1C1D"/>
          <w:sz w:val="20"/>
          <w:szCs w:val="20"/>
        </w:rPr>
        <w:t xml:space="preserve">nformation obtained from interviews conducted by Manushya Foundation to inform this report, </w:t>
      </w:r>
      <w:r w:rsidRPr="00335C3B">
        <w:rPr>
          <w:rFonts w:asciiTheme="minorHAnsi" w:eastAsia="Calibri" w:hAnsiTheme="minorHAnsi" w:cstheme="minorHAnsi"/>
          <w:sz w:val="20"/>
          <w:szCs w:val="20"/>
        </w:rPr>
        <w:t>(August-September 2022)</w:t>
      </w:r>
    </w:p>
  </w:endnote>
  <w:endnote w:id="32">
    <w:p w14:paraId="771811EC"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Ministry of Foreign Affairs of the Kingdom of Thailand, available at: </w:t>
      </w:r>
      <w:hyperlink r:id="rId19">
        <w:r w:rsidRPr="00335C3B">
          <w:rPr>
            <w:rFonts w:asciiTheme="minorHAnsi" w:eastAsia="Calibri" w:hAnsiTheme="minorHAnsi" w:cstheme="minorHAnsi"/>
            <w:color w:val="1155CC"/>
            <w:sz w:val="20"/>
            <w:szCs w:val="20"/>
            <w:u w:val="single"/>
          </w:rPr>
          <w:t>https://www.mfa.go.th/th/organization?menu=5d5bd3c615e39c306002a866</w:t>
        </w:r>
      </w:hyperlink>
      <w:r w:rsidRPr="00335C3B">
        <w:rPr>
          <w:rFonts w:asciiTheme="minorHAnsi" w:eastAsia="Calibri" w:hAnsiTheme="minorHAnsi" w:cstheme="minorHAnsi"/>
          <w:sz w:val="20"/>
          <w:szCs w:val="20"/>
        </w:rPr>
        <w:t xml:space="preserve"> </w:t>
      </w:r>
    </w:p>
  </w:endnote>
  <w:endnote w:id="33">
    <w:p w14:paraId="71747475"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highlight w:val="white"/>
        </w:rPr>
        <w:t xml:space="preserve"> </w:t>
      </w:r>
      <w:r w:rsidRPr="00335C3B">
        <w:rPr>
          <w:rFonts w:asciiTheme="minorHAnsi" w:eastAsia="Calibri" w:hAnsiTheme="minorHAnsi" w:cstheme="minorHAnsi"/>
          <w:sz w:val="20"/>
          <w:szCs w:val="20"/>
        </w:rPr>
        <w:tab/>
        <w:t xml:space="preserve">Ministry of Foreign Affairs of the Kingdom of Thailand, available at: </w:t>
      </w:r>
      <w:hyperlink r:id="rId20">
        <w:r w:rsidRPr="00335C3B">
          <w:rPr>
            <w:rFonts w:asciiTheme="minorHAnsi" w:eastAsia="Calibri" w:hAnsiTheme="minorHAnsi" w:cstheme="minorHAnsi"/>
            <w:color w:val="1A73E8"/>
            <w:sz w:val="20"/>
            <w:szCs w:val="20"/>
            <w:highlight w:val="white"/>
            <w:u w:val="single"/>
          </w:rPr>
          <w:t>https://www.mfa.go.th/th/page/%E0%B8%97%E0%B8%B3%E0%B9%80%E0%B8%99%E0%B8%B5%E0%B8%A2%E0%B8%9A%E0%B8%9C%E0%B8%B9%E0%B9%89%E0%B8%9A%E0%B8%A3%E0%B8%B4%E0%B8%AB%E0%B8%B2%E0%B8%A3?menu=6090a9c6777e90632833f262</w:t>
        </w:r>
      </w:hyperlink>
      <w:r w:rsidRPr="00335C3B">
        <w:rPr>
          <w:rFonts w:asciiTheme="minorHAnsi" w:eastAsia="Calibri" w:hAnsiTheme="minorHAnsi" w:cstheme="minorHAnsi"/>
          <w:sz w:val="20"/>
          <w:szCs w:val="20"/>
        </w:rPr>
        <w:t xml:space="preserve"> </w:t>
      </w:r>
    </w:p>
  </w:endnote>
  <w:endnote w:id="34">
    <w:p w14:paraId="1BA491BC"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w:t>
      </w:r>
      <w:r w:rsidRPr="00335C3B">
        <w:rPr>
          <w:rFonts w:asciiTheme="minorHAnsi" w:eastAsia="Calibri" w:hAnsiTheme="minorHAnsi" w:cstheme="minorHAnsi"/>
          <w:color w:val="1D1C1D"/>
          <w:sz w:val="20"/>
          <w:szCs w:val="20"/>
        </w:rPr>
        <w:t xml:space="preserve">nformation obtained from interviews conducted by Manushya Foundation to inform this report, </w:t>
      </w:r>
      <w:r w:rsidRPr="00335C3B">
        <w:rPr>
          <w:rFonts w:asciiTheme="minorHAnsi" w:eastAsia="Calibri" w:hAnsiTheme="minorHAnsi" w:cstheme="minorHAnsi"/>
          <w:sz w:val="20"/>
          <w:szCs w:val="20"/>
        </w:rPr>
        <w:t>(August-September 2022)</w:t>
      </w:r>
      <w:r w:rsidRPr="00335C3B">
        <w:rPr>
          <w:rFonts w:asciiTheme="minorHAnsi" w:eastAsia="Calibri" w:hAnsiTheme="minorHAnsi" w:cstheme="minorHAnsi"/>
          <w:color w:val="1D1C1D"/>
          <w:sz w:val="20"/>
          <w:szCs w:val="20"/>
        </w:rPr>
        <w:t>.</w:t>
      </w:r>
      <w:r w:rsidRPr="00335C3B">
        <w:rPr>
          <w:rFonts w:asciiTheme="minorHAnsi" w:eastAsia="Calibri" w:hAnsiTheme="minorHAnsi" w:cstheme="minorHAnsi"/>
          <w:color w:val="1D1C1D"/>
          <w:sz w:val="20"/>
          <w:szCs w:val="20"/>
          <w:shd w:val="clear" w:color="auto" w:fill="F8F8F8"/>
        </w:rPr>
        <w:t xml:space="preserve"> </w:t>
      </w:r>
    </w:p>
  </w:endnote>
  <w:endnote w:id="35">
    <w:p w14:paraId="13779C10"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Official numbers point towards half a million people without citizenship in 2021. </w:t>
      </w:r>
      <w:r w:rsidRPr="00335C3B">
        <w:rPr>
          <w:rFonts w:asciiTheme="minorHAnsi" w:eastAsia="Calibri" w:hAnsiTheme="minorHAnsi" w:cstheme="minorHAnsi"/>
          <w:i/>
          <w:sz w:val="20"/>
          <w:szCs w:val="20"/>
        </w:rPr>
        <w:t>See</w:t>
      </w:r>
      <w:r w:rsidRPr="00335C3B">
        <w:rPr>
          <w:rFonts w:asciiTheme="minorHAnsi" w:eastAsia="Calibri" w:hAnsiTheme="minorHAnsi" w:cstheme="minorHAnsi"/>
          <w:sz w:val="20"/>
          <w:szCs w:val="20"/>
        </w:rPr>
        <w:t xml:space="preserve"> UNHCR Thailand, Statelessness, available at: </w:t>
      </w:r>
      <w:hyperlink r:id="rId21">
        <w:r w:rsidRPr="00335C3B">
          <w:rPr>
            <w:rFonts w:asciiTheme="minorHAnsi" w:eastAsia="Calibri" w:hAnsiTheme="minorHAnsi" w:cstheme="minorHAnsi"/>
            <w:color w:val="1155CC"/>
            <w:sz w:val="20"/>
            <w:szCs w:val="20"/>
            <w:u w:val="single"/>
          </w:rPr>
          <w:t>https://www.unhcr.org/th/en/statelessness</w:t>
        </w:r>
      </w:hyperlink>
      <w:r w:rsidRPr="00335C3B">
        <w:rPr>
          <w:rFonts w:asciiTheme="minorHAnsi" w:eastAsia="Calibri" w:hAnsiTheme="minorHAnsi" w:cstheme="minorHAnsi"/>
          <w:sz w:val="20"/>
          <w:szCs w:val="20"/>
        </w:rPr>
        <w:t xml:space="preserve"> </w:t>
      </w:r>
    </w:p>
  </w:endnote>
  <w:endnote w:id="36">
    <w:p w14:paraId="6EAABF37"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Community-Led &amp; Participatory Research Report 'raising Our Voices To Save Our Future'</w:t>
      </w:r>
      <w:r w:rsidRPr="00335C3B">
        <w:rPr>
          <w:rFonts w:asciiTheme="minorHAnsi" w:eastAsia="Calibri" w:hAnsiTheme="minorHAnsi" w:cstheme="minorHAnsi"/>
          <w:sz w:val="20"/>
          <w:szCs w:val="20"/>
        </w:rPr>
        <w:t xml:space="preserve">, (September 2019), available at: </w:t>
      </w:r>
      <w:hyperlink r:id="rId22">
        <w:r w:rsidRPr="00335C3B">
          <w:rPr>
            <w:rFonts w:asciiTheme="minorHAnsi" w:eastAsia="Calibri" w:hAnsiTheme="minorHAnsi" w:cstheme="minorHAnsi"/>
            <w:color w:val="1155CC"/>
            <w:sz w:val="20"/>
            <w:szCs w:val="20"/>
            <w:u w:val="single"/>
          </w:rPr>
          <w:t>https://www.manushyafoundation.org/iwnt-report</w:t>
        </w:r>
      </w:hyperlink>
      <w:r w:rsidRPr="00335C3B">
        <w:rPr>
          <w:rFonts w:asciiTheme="minorHAnsi" w:eastAsia="Calibri" w:hAnsiTheme="minorHAnsi" w:cstheme="minorHAnsi"/>
          <w:sz w:val="20"/>
          <w:szCs w:val="20"/>
        </w:rPr>
        <w:t xml:space="preserve"> </w:t>
      </w:r>
    </w:p>
  </w:endnote>
  <w:endnote w:id="37">
    <w:p w14:paraId="2776A408"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Tuenjai Deetes Facebook Page, </w:t>
      </w:r>
      <w:r w:rsidRPr="00335C3B">
        <w:rPr>
          <w:rFonts w:asciiTheme="minorHAnsi" w:eastAsia="Calibri" w:hAnsiTheme="minorHAnsi" w:cstheme="minorHAnsi"/>
          <w:i/>
          <w:sz w:val="20"/>
          <w:szCs w:val="20"/>
        </w:rPr>
        <w:t>Public Post of 25 August 2022 about the ceremony summary by a former Commissioner of the National Human Rights Commission who received the complaint from IWNT and Manushya Foundation and diligently worked to process the citizenship</w:t>
      </w:r>
      <w:r w:rsidRPr="00335C3B">
        <w:rPr>
          <w:rFonts w:asciiTheme="minorHAnsi" w:eastAsia="Calibri" w:hAnsiTheme="minorHAnsi" w:cstheme="minorHAnsi"/>
          <w:sz w:val="20"/>
          <w:szCs w:val="20"/>
        </w:rPr>
        <w:t xml:space="preserve">, (25 August 2022), available at: </w:t>
      </w:r>
      <w:hyperlink r:id="rId23">
        <w:r w:rsidRPr="00335C3B">
          <w:rPr>
            <w:rFonts w:asciiTheme="minorHAnsi" w:eastAsia="Calibri" w:hAnsiTheme="minorHAnsi" w:cstheme="minorHAnsi"/>
            <w:color w:val="1155CC"/>
            <w:sz w:val="20"/>
            <w:szCs w:val="20"/>
            <w:u w:val="single"/>
          </w:rPr>
          <w:t>https://www.facebook.com/tuenjai.deetes.9/posts/pfbid033867Uo9qZphNfcax3CkaaiNuEtebXzgsni1Q9SFjJq1sQoB6v7fS43egAx7tfGyYl</w:t>
        </w:r>
      </w:hyperlink>
      <w:r w:rsidRPr="00335C3B">
        <w:rPr>
          <w:rFonts w:asciiTheme="minorHAnsi" w:eastAsia="Calibri" w:hAnsiTheme="minorHAnsi" w:cstheme="minorHAnsi"/>
          <w:sz w:val="20"/>
          <w:szCs w:val="20"/>
        </w:rPr>
        <w:t xml:space="preserve"> </w:t>
      </w:r>
    </w:p>
  </w:endnote>
  <w:endnote w:id="38">
    <w:p w14:paraId="0D7F94E9" w14:textId="77777777" w:rsidR="008B3CD6" w:rsidRPr="00335C3B" w:rsidRDefault="008B3CD6" w:rsidP="008B3CD6">
      <w:pPr>
        <w:spacing w:line="240" w:lineRule="auto"/>
        <w:ind w:left="360" w:hanging="360"/>
        <w:rPr>
          <w:rFonts w:asciiTheme="minorHAnsi" w:eastAsia="Calibri" w:hAnsiTheme="minorHAnsi" w:cstheme="minorHAnsi"/>
          <w: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The Rights Of Indigenous Women In Thailand: Joint Submission</w:t>
      </w:r>
    </w:p>
    <w:p w14:paraId="7280657D" w14:textId="77777777" w:rsidR="008B3CD6" w:rsidRPr="00335C3B" w:rsidRDefault="008B3CD6" w:rsidP="008B3CD6">
      <w:pPr>
        <w:spacing w:line="240" w:lineRule="auto"/>
        <w:ind w:left="360"/>
        <w:rPr>
          <w:rFonts w:asciiTheme="minorHAnsi" w:eastAsia="Calibri" w:hAnsiTheme="minorHAnsi" w:cstheme="minorHAnsi"/>
          <w:sz w:val="20"/>
          <w:szCs w:val="20"/>
        </w:rPr>
      </w:pPr>
      <w:r w:rsidRPr="00335C3B">
        <w:rPr>
          <w:rFonts w:asciiTheme="minorHAnsi" w:eastAsia="Calibri" w:hAnsiTheme="minorHAnsi" w:cstheme="minorHAnsi"/>
          <w:i/>
          <w:sz w:val="20"/>
          <w:szCs w:val="20"/>
        </w:rPr>
        <w:t>To The UN Universal Periodic Review (UPR) For Thailand's Third UPR Cycle, 39th Session Of The UPR Working Group,</w:t>
      </w:r>
      <w:r w:rsidRPr="00335C3B">
        <w:rPr>
          <w:rFonts w:asciiTheme="minorHAnsi" w:eastAsia="Calibri" w:hAnsiTheme="minorHAnsi" w:cstheme="minorHAnsi"/>
          <w:sz w:val="20"/>
          <w:szCs w:val="20"/>
        </w:rPr>
        <w:t xml:space="preserve"> (16 April 2021), available at:  </w:t>
      </w:r>
      <w:hyperlink r:id="rId24">
        <w:r w:rsidRPr="00335C3B">
          <w:rPr>
            <w:rFonts w:asciiTheme="minorHAnsi" w:eastAsia="Calibri" w:hAnsiTheme="minorHAnsi" w:cstheme="minorHAnsi"/>
            <w:color w:val="1155CC"/>
            <w:sz w:val="20"/>
            <w:szCs w:val="20"/>
            <w:u w:val="single"/>
          </w:rPr>
          <w:t>https://www.manushyafoundation.org/joint-upr-submission-ipwomen</w:t>
        </w:r>
      </w:hyperlink>
      <w:r w:rsidRPr="00335C3B">
        <w:rPr>
          <w:rFonts w:asciiTheme="minorHAnsi" w:eastAsia="Calibri" w:hAnsiTheme="minorHAnsi" w:cstheme="minorHAnsi"/>
          <w:sz w:val="20"/>
          <w:szCs w:val="20"/>
        </w:rPr>
        <w:t xml:space="preserve"> </w:t>
      </w:r>
    </w:p>
  </w:endnote>
  <w:endnote w:id="39">
    <w:p w14:paraId="42C26B1D" w14:textId="77777777" w:rsidR="008B3CD6" w:rsidRPr="00335C3B" w:rsidRDefault="008B3CD6" w:rsidP="008B3CD6">
      <w:pPr>
        <w:spacing w:line="240" w:lineRule="auto"/>
        <w:ind w:left="360" w:hanging="360"/>
        <w:rPr>
          <w:rFonts w:asciiTheme="minorHAnsi" w:eastAsia="Calibri" w:hAnsiTheme="minorHAnsi" w:cstheme="minorHAnsi"/>
          <w: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The Rights Of Indigenous Women In Thailand: Joint Submission</w:t>
      </w:r>
    </w:p>
    <w:p w14:paraId="3794175F" w14:textId="77777777" w:rsidR="008B3CD6" w:rsidRPr="00335C3B" w:rsidRDefault="008B3CD6" w:rsidP="008B3CD6">
      <w:pPr>
        <w:spacing w:line="240" w:lineRule="auto"/>
        <w:ind w:left="360"/>
        <w:rPr>
          <w:rFonts w:asciiTheme="minorHAnsi" w:eastAsia="Calibri" w:hAnsiTheme="minorHAnsi" w:cstheme="minorHAnsi"/>
          <w:sz w:val="20"/>
          <w:szCs w:val="20"/>
        </w:rPr>
      </w:pPr>
      <w:r w:rsidRPr="00335C3B">
        <w:rPr>
          <w:rFonts w:asciiTheme="minorHAnsi" w:eastAsia="Calibri" w:hAnsiTheme="minorHAnsi" w:cstheme="minorHAnsi"/>
          <w:i/>
          <w:sz w:val="20"/>
          <w:szCs w:val="20"/>
        </w:rPr>
        <w:t>To The UN Universal Periodic Review (UPR) For Thailand's Third UPR Cycle, 39th Session Of The UPR Working Group,</w:t>
      </w:r>
      <w:r w:rsidRPr="00335C3B">
        <w:rPr>
          <w:rFonts w:asciiTheme="minorHAnsi" w:eastAsia="Calibri" w:hAnsiTheme="minorHAnsi" w:cstheme="minorHAnsi"/>
          <w:sz w:val="20"/>
          <w:szCs w:val="20"/>
        </w:rPr>
        <w:t xml:space="preserve"> (16 April 2021), available at:  </w:t>
      </w:r>
      <w:hyperlink r:id="rId25">
        <w:r w:rsidRPr="00335C3B">
          <w:rPr>
            <w:rFonts w:asciiTheme="minorHAnsi" w:eastAsia="Calibri" w:hAnsiTheme="minorHAnsi" w:cstheme="minorHAnsi"/>
            <w:color w:val="1155CC"/>
            <w:sz w:val="20"/>
            <w:szCs w:val="20"/>
            <w:u w:val="single"/>
          </w:rPr>
          <w:t>https://www.manushyafoundation.org/joint-upr-submission-ipwomen</w:t>
        </w:r>
      </w:hyperlink>
      <w:r w:rsidRPr="00335C3B">
        <w:rPr>
          <w:rFonts w:asciiTheme="minorHAnsi" w:eastAsia="Calibri" w:hAnsiTheme="minorHAnsi" w:cstheme="minorHAnsi"/>
          <w:sz w:val="20"/>
          <w:szCs w:val="20"/>
        </w:rPr>
        <w:t xml:space="preserve"> </w:t>
      </w:r>
    </w:p>
  </w:endnote>
  <w:endnote w:id="40">
    <w:p w14:paraId="47515733" w14:textId="77777777" w:rsidR="008B3CD6" w:rsidRPr="00335C3B" w:rsidRDefault="008B3CD6" w:rsidP="008B3CD6">
      <w:pPr>
        <w:spacing w:line="240" w:lineRule="auto"/>
        <w:ind w:left="360" w:hanging="360"/>
        <w:rPr>
          <w:rFonts w:asciiTheme="minorHAnsi" w:hAnsiTheme="minorHAnsi" w:cstheme="minorHAnsi"/>
          <w:sz w:val="20"/>
          <w:szCs w:val="20"/>
          <w:highlight w:val="yellow"/>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Manushya Foundation, </w:t>
      </w:r>
      <w:r w:rsidRPr="00335C3B">
        <w:rPr>
          <w:rFonts w:asciiTheme="minorHAnsi" w:eastAsia="Calibri" w:hAnsiTheme="minorHAnsi" w:cstheme="minorHAnsi"/>
          <w:i/>
          <w:sz w:val="20"/>
          <w:szCs w:val="20"/>
        </w:rPr>
        <w:t>Community-Led &amp; Participatory Research Report 'Raising Our Voices To Save Our Future'</w:t>
      </w:r>
      <w:r w:rsidRPr="00335C3B">
        <w:rPr>
          <w:rFonts w:asciiTheme="minorHAnsi" w:eastAsia="Calibri" w:hAnsiTheme="minorHAnsi" w:cstheme="minorHAnsi"/>
          <w:sz w:val="20"/>
          <w:szCs w:val="20"/>
        </w:rPr>
        <w:t xml:space="preserve">, (September 2019), available at: </w:t>
      </w:r>
      <w:hyperlink r:id="rId26">
        <w:r w:rsidRPr="00335C3B">
          <w:rPr>
            <w:rFonts w:asciiTheme="minorHAnsi" w:eastAsia="Calibri" w:hAnsiTheme="minorHAnsi" w:cstheme="minorHAnsi"/>
            <w:color w:val="1155CC"/>
            <w:sz w:val="20"/>
            <w:szCs w:val="20"/>
            <w:u w:val="single"/>
          </w:rPr>
          <w:t>https://www.manushyafoundation.org/iwnt-report</w:t>
        </w:r>
      </w:hyperlink>
      <w:r w:rsidRPr="00335C3B">
        <w:rPr>
          <w:rFonts w:asciiTheme="minorHAnsi" w:eastAsia="Calibri" w:hAnsiTheme="minorHAnsi" w:cstheme="minorHAnsi"/>
          <w:sz w:val="20"/>
          <w:szCs w:val="20"/>
        </w:rPr>
        <w:t xml:space="preserve"> </w:t>
      </w:r>
    </w:p>
  </w:endnote>
  <w:endnote w:id="41">
    <w:p w14:paraId="168B2881"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r>
      <w:r w:rsidRPr="00335C3B">
        <w:rPr>
          <w:rFonts w:asciiTheme="minorHAnsi" w:eastAsia="Calibri" w:hAnsiTheme="minorHAnsi" w:cstheme="minorHAnsi"/>
          <w:color w:val="1D1C1D"/>
          <w:sz w:val="20"/>
          <w:szCs w:val="20"/>
        </w:rPr>
        <w:t xml:space="preserve">Information obtained from interviews conducted by Manushya Foundation to inform this report, </w:t>
      </w:r>
      <w:r w:rsidRPr="00335C3B">
        <w:rPr>
          <w:rFonts w:asciiTheme="minorHAnsi" w:eastAsia="Calibri" w:hAnsiTheme="minorHAnsi" w:cstheme="minorHAnsi"/>
          <w:sz w:val="20"/>
          <w:szCs w:val="20"/>
        </w:rPr>
        <w:t>(August-September 2022)</w:t>
      </w:r>
    </w:p>
  </w:endnote>
  <w:endnote w:id="42">
    <w:p w14:paraId="739DA2B2"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Nationality Act B.E. 2508 (1965) as amended up to the Nationality Act (No. 5), B.E. 2555 (2012), available at:</w:t>
      </w:r>
    </w:p>
    <w:p w14:paraId="01776B99"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r>
      <w:hyperlink r:id="rId27" w:history="1">
        <w:r w:rsidRPr="00335C3B">
          <w:rPr>
            <w:rStyle w:val="Hyperlink"/>
            <w:rFonts w:asciiTheme="minorHAnsi" w:eastAsia="Calibri" w:hAnsiTheme="minorHAnsi" w:cstheme="minorHAnsi"/>
            <w:sz w:val="20"/>
            <w:szCs w:val="20"/>
          </w:rPr>
          <w:t>http://web.krisdika.go.th/data/document/ext810/810050_0001.pdf</w:t>
        </w:r>
      </w:hyperlink>
      <w:r w:rsidRPr="00335C3B">
        <w:rPr>
          <w:rFonts w:asciiTheme="minorHAnsi" w:eastAsia="Calibri" w:hAnsiTheme="minorHAnsi" w:cstheme="minorHAnsi"/>
          <w:sz w:val="20"/>
          <w:szCs w:val="20"/>
        </w:rPr>
        <w:t xml:space="preserve"> </w:t>
      </w:r>
    </w:p>
  </w:endnote>
  <w:endnote w:id="43">
    <w:p w14:paraId="5D677378"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44">
    <w:p w14:paraId="64C5A6D9"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45">
    <w:p w14:paraId="0D9EB97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hAnsiTheme="minorHAnsi" w:cstheme="minorHAnsi"/>
          <w:sz w:val="18"/>
          <w:szCs w:val="18"/>
        </w:rPr>
        <w:t xml:space="preserve"> </w:t>
      </w:r>
      <w:r w:rsidRPr="00335C3B">
        <w:rPr>
          <w:rFonts w:asciiTheme="minorHAnsi" w:hAnsiTheme="minorHAnsi" w:cstheme="minorHAnsi"/>
          <w:sz w:val="18"/>
          <w:szCs w:val="18"/>
        </w:rPr>
        <w:tab/>
      </w:r>
      <w:r w:rsidRPr="00335C3B">
        <w:rPr>
          <w:rFonts w:asciiTheme="minorHAnsi" w:eastAsia="Calibri" w:hAnsiTheme="minorHAnsi" w:cstheme="minorHAnsi"/>
          <w:sz w:val="20"/>
          <w:szCs w:val="20"/>
        </w:rPr>
        <w:t xml:space="preserve">The Thai national school system demands that teaching be conducted only in Thai language, despite the promulgation of Promotion and Conservation of Intangible Cultural Heritage Act of 2016, meant to protect and conserve ethnic languages through the registration of 27 local languages, and the drafting of the Strategic Plan to drive forward the National Language Policy to maintain and promote ethnic languages used in Thailand. </w:t>
      </w:r>
      <w:r w:rsidRPr="00335C3B">
        <w:rPr>
          <w:rFonts w:asciiTheme="minorHAnsi" w:eastAsia="Calibri" w:hAnsiTheme="minorHAnsi" w:cstheme="minorHAnsi"/>
          <w:i/>
          <w:sz w:val="20"/>
          <w:szCs w:val="20"/>
        </w:rPr>
        <w:t>See</w:t>
      </w:r>
      <w:r w:rsidRPr="00335C3B">
        <w:rPr>
          <w:rFonts w:asciiTheme="minorHAnsi" w:eastAsia="Calibri" w:hAnsiTheme="minorHAnsi" w:cstheme="minorHAnsi"/>
          <w:sz w:val="20"/>
          <w:szCs w:val="20"/>
        </w:rPr>
        <w:t xml:space="preserve"> Manushya Foundation, </w:t>
      </w:r>
      <w:r w:rsidRPr="00335C3B">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335C3B">
        <w:rPr>
          <w:rFonts w:asciiTheme="minorHAnsi" w:eastAsia="Calibri" w:hAnsiTheme="minorHAnsi" w:cstheme="minorHAnsi"/>
          <w:sz w:val="20"/>
          <w:szCs w:val="20"/>
        </w:rPr>
        <w:t>, (25 October 2021), available at:</w:t>
      </w:r>
    </w:p>
    <w:p w14:paraId="1D3E9E0B" w14:textId="77777777" w:rsidR="008B3CD6" w:rsidRPr="00335C3B" w:rsidRDefault="00000000" w:rsidP="008B3CD6">
      <w:pPr>
        <w:spacing w:line="240" w:lineRule="auto"/>
        <w:ind w:left="360"/>
        <w:rPr>
          <w:rFonts w:asciiTheme="minorHAnsi" w:eastAsia="Calibri" w:hAnsiTheme="minorHAnsi" w:cstheme="minorHAnsi"/>
          <w:sz w:val="20"/>
          <w:szCs w:val="20"/>
        </w:rPr>
      </w:pPr>
      <w:hyperlink r:id="rId28" w:history="1">
        <w:r w:rsidR="008B3CD6" w:rsidRPr="00335C3B">
          <w:rPr>
            <w:rStyle w:val="Hyperlink"/>
            <w:rFonts w:asciiTheme="minorHAnsi" w:eastAsia="Calibri" w:hAnsiTheme="minorHAnsi" w:cstheme="minorHAnsi"/>
            <w:sz w:val="20"/>
            <w:szCs w:val="20"/>
          </w:rPr>
          <w:t>https://www.manushyafoundation.org/joint-civil-society-cerd-shadow-report</w:t>
        </w:r>
      </w:hyperlink>
      <w:r w:rsidR="008B3CD6" w:rsidRPr="00335C3B">
        <w:rPr>
          <w:rFonts w:asciiTheme="minorHAnsi" w:eastAsia="Calibri" w:hAnsiTheme="minorHAnsi" w:cstheme="minorHAnsi"/>
          <w:sz w:val="20"/>
          <w:szCs w:val="20"/>
        </w:rPr>
        <w:t xml:space="preserve">; Manushya Foundation, </w:t>
      </w:r>
      <w:r w:rsidR="008B3CD6" w:rsidRPr="00335C3B">
        <w:rPr>
          <w:rFonts w:asciiTheme="minorHAnsi" w:eastAsia="Calibri" w:hAnsiTheme="minorHAnsi" w:cstheme="minorHAnsi"/>
          <w:i/>
          <w:sz w:val="20"/>
          <w:szCs w:val="20"/>
        </w:rPr>
        <w:t>Khon Isaan: Thailand's Third Universal Periodic Review Cycle</w:t>
      </w:r>
      <w:r w:rsidR="008B3CD6" w:rsidRPr="00335C3B">
        <w:rPr>
          <w:rFonts w:asciiTheme="minorHAnsi" w:eastAsia="Calibri" w:hAnsiTheme="minorHAnsi" w:cstheme="minorHAnsi"/>
          <w:sz w:val="20"/>
          <w:szCs w:val="20"/>
        </w:rPr>
        <w:t xml:space="preserve">, (9 September 2021), available at: </w:t>
      </w:r>
      <w:hyperlink r:id="rId29">
        <w:r w:rsidR="008B3CD6" w:rsidRPr="00335C3B">
          <w:rPr>
            <w:rFonts w:asciiTheme="minorHAnsi" w:eastAsia="Calibri" w:hAnsiTheme="minorHAnsi" w:cstheme="minorHAnsi"/>
            <w:color w:val="1155CC"/>
            <w:sz w:val="20"/>
            <w:szCs w:val="20"/>
            <w:u w:val="single"/>
          </w:rPr>
          <w:t>https://www.manushyafoundation.org/thailand-third-upr-cycle-factsheet-khon-isaan</w:t>
        </w:r>
      </w:hyperlink>
      <w:r w:rsidR="008B3CD6" w:rsidRPr="00335C3B">
        <w:rPr>
          <w:rFonts w:asciiTheme="minorHAnsi" w:eastAsia="Calibri" w:hAnsiTheme="minorHAnsi" w:cstheme="minorHAnsi"/>
          <w:sz w:val="20"/>
          <w:szCs w:val="20"/>
        </w:rPr>
        <w:t xml:space="preserve"> </w:t>
      </w:r>
    </w:p>
  </w:endnote>
  <w:endnote w:id="46">
    <w:p w14:paraId="0641D73A"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In the government schools, students cannot learn in their mother tongue and cultural heritage and history courses are neither provided, despite the government's claim to maintain diversity in the education sector. Instead, they attend CSO-run private schools. In 2019, such a school was visited by the Internal Security Operations Command (ISOC), which forced the school to close down because it was suspected to have supported a group the government identifies as separatist group. This action of ISOC created fear amongst teachers, students, and parents, and it discredited similar schools in the area. </w:t>
      </w:r>
      <w:r w:rsidRPr="00335C3B">
        <w:rPr>
          <w:rFonts w:asciiTheme="minorHAnsi" w:eastAsia="Calibri" w:hAnsiTheme="minorHAnsi" w:cstheme="minorHAnsi"/>
          <w:i/>
          <w:sz w:val="20"/>
          <w:szCs w:val="20"/>
        </w:rPr>
        <w:t xml:space="preserve">See </w:t>
      </w:r>
      <w:r w:rsidRPr="00335C3B">
        <w:rPr>
          <w:rFonts w:asciiTheme="minorHAnsi" w:eastAsia="Calibri" w:hAnsiTheme="minorHAnsi" w:cstheme="minorHAnsi"/>
          <w:sz w:val="20"/>
          <w:szCs w:val="20"/>
        </w:rPr>
        <w:t xml:space="preserve">Manushya Foundation, </w:t>
      </w:r>
      <w:r w:rsidRPr="00335C3B">
        <w:rPr>
          <w:rFonts w:asciiTheme="minorHAnsi" w:eastAsia="Calibri" w:hAnsiTheme="minorHAnsi" w:cstheme="minorHAnsi"/>
          <w:i/>
          <w:sz w:val="20"/>
          <w:szCs w:val="20"/>
        </w:rPr>
        <w:t>Armed Conflict &amp; The Human Rights Situation In The Southern Border Provinces In Thailand: Joint Submission  To The UN Universal Periodic Review (UPR) For Thailand's Third UPR Cycle, 39th Session Of The UPR Working Group</w:t>
      </w:r>
      <w:r w:rsidRPr="00335C3B">
        <w:rPr>
          <w:rFonts w:asciiTheme="minorHAnsi" w:eastAsia="Calibri" w:hAnsiTheme="minorHAnsi" w:cstheme="minorHAnsi"/>
          <w:sz w:val="20"/>
          <w:szCs w:val="20"/>
        </w:rPr>
        <w:t xml:space="preserve">, (16 April 2021), available at: </w:t>
      </w:r>
      <w:hyperlink r:id="rId30">
        <w:r w:rsidRPr="00335C3B">
          <w:rPr>
            <w:rFonts w:asciiTheme="minorHAnsi" w:eastAsia="Calibri" w:hAnsiTheme="minorHAnsi" w:cstheme="minorHAnsi"/>
            <w:color w:val="1155CC"/>
            <w:sz w:val="20"/>
            <w:szCs w:val="20"/>
            <w:u w:val="single"/>
          </w:rPr>
          <w:t>https://www.manushyafoundation.org/joint-upr-submission-armedconflicts</w:t>
        </w:r>
      </w:hyperlink>
      <w:r w:rsidRPr="00335C3B">
        <w:rPr>
          <w:rFonts w:asciiTheme="minorHAnsi" w:eastAsia="Calibri" w:hAnsiTheme="minorHAnsi" w:cstheme="minorHAnsi"/>
          <w:sz w:val="20"/>
          <w:szCs w:val="20"/>
        </w:rPr>
        <w:t xml:space="preserve">; Manushya Foundation, </w:t>
      </w:r>
      <w:r w:rsidRPr="00335C3B">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335C3B">
        <w:rPr>
          <w:rFonts w:asciiTheme="minorHAnsi" w:eastAsia="Calibri" w:hAnsiTheme="minorHAnsi" w:cstheme="minorHAnsi"/>
          <w:sz w:val="20"/>
          <w:szCs w:val="20"/>
        </w:rPr>
        <w:t>, (25 October 2021), available at:</w:t>
      </w:r>
    </w:p>
    <w:p w14:paraId="26EA8DA2" w14:textId="77777777" w:rsidR="008B3CD6" w:rsidRPr="00335C3B" w:rsidRDefault="00000000" w:rsidP="008B3CD6">
      <w:pPr>
        <w:spacing w:line="240" w:lineRule="auto"/>
        <w:ind w:left="360"/>
        <w:rPr>
          <w:rFonts w:asciiTheme="minorHAnsi" w:eastAsia="Calibri" w:hAnsiTheme="minorHAnsi" w:cstheme="minorHAnsi"/>
          <w:sz w:val="20"/>
          <w:szCs w:val="20"/>
        </w:rPr>
      </w:pPr>
      <w:hyperlink r:id="rId31" w:history="1">
        <w:r w:rsidR="008B3CD6" w:rsidRPr="00335C3B">
          <w:rPr>
            <w:rStyle w:val="Hyperlink"/>
            <w:rFonts w:asciiTheme="minorHAnsi" w:eastAsia="Calibri" w:hAnsiTheme="minorHAnsi" w:cstheme="minorHAnsi"/>
            <w:sz w:val="20"/>
            <w:szCs w:val="20"/>
          </w:rPr>
          <w:t>https://www.manushyafoundation.org/joint-civil-society-cerd-shadow-report</w:t>
        </w:r>
      </w:hyperlink>
      <w:r w:rsidR="008B3CD6" w:rsidRPr="00335C3B">
        <w:rPr>
          <w:rFonts w:asciiTheme="minorHAnsi" w:eastAsia="Calibri" w:hAnsiTheme="minorHAnsi" w:cstheme="minorHAnsi"/>
          <w:sz w:val="20"/>
          <w:szCs w:val="20"/>
        </w:rPr>
        <w:t xml:space="preserve"> </w:t>
      </w:r>
    </w:p>
  </w:endnote>
  <w:endnote w:id="47">
    <w:p w14:paraId="0F485739"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48">
    <w:p w14:paraId="6546D13D"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49">
    <w:p w14:paraId="68D5FF74"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50">
    <w:p w14:paraId="74B5ED5D"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 w:id="51">
    <w:p w14:paraId="025FFC07"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Although the Royal Thai Government adopted the Education for All (EFA) policy in 1990 to promote education for all children regardless of their nationality and legal status, the policy implementation imposes some barriers that prohibit migrant and stateless children, in particular, from enjoying their full rights to education. </w:t>
      </w:r>
      <w:r w:rsidRPr="00335C3B">
        <w:rPr>
          <w:rFonts w:asciiTheme="minorHAnsi" w:eastAsia="Calibri" w:hAnsiTheme="minorHAnsi" w:cstheme="minorHAnsi"/>
          <w:i/>
          <w:sz w:val="20"/>
          <w:szCs w:val="20"/>
        </w:rPr>
        <w:t xml:space="preserve">See </w:t>
      </w:r>
      <w:r w:rsidRPr="00335C3B">
        <w:rPr>
          <w:rFonts w:asciiTheme="minorHAnsi" w:eastAsia="Calibri" w:hAnsiTheme="minorHAnsi" w:cstheme="minorHAnsi"/>
          <w:sz w:val="20"/>
          <w:szCs w:val="20"/>
        </w:rPr>
        <w:t xml:space="preserve">Manushya Foundation, </w:t>
      </w:r>
      <w:r w:rsidRPr="00335C3B">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335C3B">
        <w:rPr>
          <w:rFonts w:asciiTheme="minorHAnsi" w:eastAsia="Calibri" w:hAnsiTheme="minorHAnsi" w:cstheme="minorHAnsi"/>
          <w:sz w:val="20"/>
          <w:szCs w:val="20"/>
        </w:rPr>
        <w:t>, (25 October 2021), available at:</w:t>
      </w:r>
    </w:p>
    <w:p w14:paraId="37545A1B" w14:textId="77777777" w:rsidR="008B3CD6" w:rsidRPr="00335C3B" w:rsidRDefault="00000000" w:rsidP="008B3CD6">
      <w:pPr>
        <w:spacing w:line="240" w:lineRule="auto"/>
        <w:ind w:left="360"/>
        <w:rPr>
          <w:rFonts w:asciiTheme="minorHAnsi" w:eastAsia="Calibri" w:hAnsiTheme="minorHAnsi" w:cstheme="minorHAnsi"/>
          <w:i/>
          <w:sz w:val="20"/>
          <w:szCs w:val="20"/>
        </w:rPr>
      </w:pPr>
      <w:hyperlink r:id="rId32" w:history="1">
        <w:r w:rsidR="008B3CD6" w:rsidRPr="00335C3B">
          <w:rPr>
            <w:rStyle w:val="Hyperlink"/>
            <w:rFonts w:asciiTheme="minorHAnsi" w:eastAsia="Calibri" w:hAnsiTheme="minorHAnsi" w:cstheme="minorHAnsi"/>
            <w:sz w:val="20"/>
            <w:szCs w:val="20"/>
          </w:rPr>
          <w:t>https://www.manushyafoundation.org/joint-civil-society-cerd-shadow-report</w:t>
        </w:r>
      </w:hyperlink>
    </w:p>
  </w:endnote>
  <w:endnote w:id="52">
    <w:p w14:paraId="3A11952E"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Forced Migration Review, </w:t>
      </w:r>
      <w:r w:rsidRPr="00335C3B">
        <w:rPr>
          <w:rFonts w:asciiTheme="minorHAnsi" w:eastAsia="Calibri" w:hAnsiTheme="minorHAnsi" w:cstheme="minorHAnsi"/>
          <w:i/>
          <w:sz w:val="20"/>
          <w:szCs w:val="20"/>
        </w:rPr>
        <w:t>Education: needs, rights and access in displacement,</w:t>
      </w:r>
      <w:r w:rsidRPr="00335C3B">
        <w:rPr>
          <w:rFonts w:asciiTheme="minorHAnsi" w:eastAsia="Calibri" w:hAnsiTheme="minorHAnsi" w:cstheme="minorHAnsi"/>
          <w:sz w:val="20"/>
          <w:szCs w:val="20"/>
        </w:rPr>
        <w:t xml:space="preserve"> (March 2019), available at: </w:t>
      </w:r>
      <w:hyperlink r:id="rId33">
        <w:r w:rsidRPr="00335C3B">
          <w:rPr>
            <w:rFonts w:asciiTheme="minorHAnsi" w:eastAsia="Calibri" w:hAnsiTheme="minorHAnsi" w:cstheme="minorHAnsi"/>
            <w:color w:val="1155CC"/>
            <w:sz w:val="20"/>
            <w:szCs w:val="20"/>
            <w:u w:val="single"/>
          </w:rPr>
          <w:t>https://www.fmreview.org/education-displacement</w:t>
        </w:r>
      </w:hyperlink>
      <w:r w:rsidRPr="00335C3B">
        <w:rPr>
          <w:rFonts w:asciiTheme="minorHAnsi" w:eastAsia="Calibri" w:hAnsiTheme="minorHAnsi" w:cstheme="minorHAnsi"/>
          <w:sz w:val="20"/>
          <w:szCs w:val="20"/>
        </w:rPr>
        <w:t xml:space="preserve"> </w:t>
      </w:r>
    </w:p>
  </w:endnote>
  <w:endnote w:id="53">
    <w:p w14:paraId="4F94C83F"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Forced Migration Review, </w:t>
      </w:r>
      <w:r w:rsidRPr="00335C3B">
        <w:rPr>
          <w:rFonts w:asciiTheme="minorHAnsi" w:eastAsia="Calibri" w:hAnsiTheme="minorHAnsi" w:cstheme="minorHAnsi"/>
          <w:i/>
          <w:sz w:val="20"/>
          <w:szCs w:val="20"/>
        </w:rPr>
        <w:t>Education: needs, rights and access in displacement,</w:t>
      </w:r>
      <w:r w:rsidRPr="00335C3B">
        <w:rPr>
          <w:rFonts w:asciiTheme="minorHAnsi" w:eastAsia="Calibri" w:hAnsiTheme="minorHAnsi" w:cstheme="minorHAnsi"/>
          <w:sz w:val="20"/>
          <w:szCs w:val="20"/>
        </w:rPr>
        <w:t xml:space="preserve"> (March 2019), available at: </w:t>
      </w:r>
      <w:hyperlink r:id="rId34">
        <w:r w:rsidRPr="00335C3B">
          <w:rPr>
            <w:rFonts w:asciiTheme="minorHAnsi" w:eastAsia="Calibri" w:hAnsiTheme="minorHAnsi" w:cstheme="minorHAnsi"/>
            <w:color w:val="1155CC"/>
            <w:sz w:val="20"/>
            <w:szCs w:val="20"/>
            <w:u w:val="single"/>
          </w:rPr>
          <w:t>https://www.fmreview.org/education-displacement</w:t>
        </w:r>
      </w:hyperlink>
      <w:r w:rsidRPr="00335C3B">
        <w:rPr>
          <w:rFonts w:asciiTheme="minorHAnsi" w:eastAsia="Calibri" w:hAnsiTheme="minorHAnsi" w:cstheme="minorHAnsi"/>
          <w:sz w:val="20"/>
          <w:szCs w:val="20"/>
        </w:rPr>
        <w:t xml:space="preserve"> </w:t>
      </w:r>
    </w:p>
  </w:endnote>
  <w:endnote w:id="54">
    <w:p w14:paraId="19D2FE1E" w14:textId="77777777" w:rsidR="008B3CD6" w:rsidRPr="00335C3B" w:rsidRDefault="008B3CD6" w:rsidP="008B3CD6">
      <w:pPr>
        <w:spacing w:line="240" w:lineRule="auto"/>
        <w:ind w:left="360" w:hanging="360"/>
        <w:rPr>
          <w:rFonts w:asciiTheme="minorHAnsi" w:eastAsia="Calibr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 xml:space="preserve">UCA News, </w:t>
      </w:r>
      <w:r w:rsidRPr="00335C3B">
        <w:rPr>
          <w:rFonts w:asciiTheme="minorHAnsi" w:eastAsia="Calibri" w:hAnsiTheme="minorHAnsi" w:cstheme="minorHAnsi"/>
          <w:i/>
          <w:sz w:val="20"/>
          <w:szCs w:val="20"/>
        </w:rPr>
        <w:t>No hiding place: Myanmar refugees face arrest in Thailand</w:t>
      </w:r>
      <w:r w:rsidRPr="00335C3B">
        <w:rPr>
          <w:rFonts w:asciiTheme="minorHAnsi" w:eastAsia="Calibri" w:hAnsiTheme="minorHAnsi" w:cstheme="minorHAnsi"/>
          <w:sz w:val="20"/>
          <w:szCs w:val="20"/>
        </w:rPr>
        <w:t>,</w:t>
      </w:r>
      <w:r w:rsidRPr="00335C3B">
        <w:rPr>
          <w:rFonts w:asciiTheme="minorHAnsi" w:eastAsia="Calibri" w:hAnsiTheme="minorHAnsi" w:cstheme="minorHAnsi"/>
          <w:i/>
          <w:sz w:val="20"/>
          <w:szCs w:val="20"/>
        </w:rPr>
        <w:t xml:space="preserve"> </w:t>
      </w:r>
      <w:r w:rsidRPr="00335C3B">
        <w:rPr>
          <w:rFonts w:asciiTheme="minorHAnsi" w:eastAsia="Calibri" w:hAnsiTheme="minorHAnsi" w:cstheme="minorHAnsi"/>
          <w:sz w:val="20"/>
          <w:szCs w:val="20"/>
        </w:rPr>
        <w:t xml:space="preserve">(13 April 2021), available at: </w:t>
      </w:r>
      <w:hyperlink r:id="rId35">
        <w:r w:rsidRPr="00335C3B">
          <w:rPr>
            <w:rFonts w:asciiTheme="minorHAnsi" w:eastAsia="Calibri" w:hAnsiTheme="minorHAnsi" w:cstheme="minorHAnsi"/>
            <w:color w:val="1155CC"/>
            <w:sz w:val="20"/>
            <w:szCs w:val="20"/>
            <w:u w:val="single"/>
          </w:rPr>
          <w:t>https://www.ucanews.com/news/no-hiding-place-myanmar-refugees-face-arrest-in-thailand/92079</w:t>
        </w:r>
      </w:hyperlink>
      <w:r w:rsidRPr="00335C3B">
        <w:rPr>
          <w:rFonts w:asciiTheme="minorHAnsi" w:eastAsia="Calibri" w:hAnsiTheme="minorHAnsi" w:cstheme="minorHAnsi"/>
          <w:color w:val="474444"/>
          <w:sz w:val="20"/>
          <w:szCs w:val="20"/>
        </w:rPr>
        <w:t xml:space="preserve"> </w:t>
      </w:r>
    </w:p>
  </w:endnote>
  <w:endnote w:id="55">
    <w:p w14:paraId="4E6B8796" w14:textId="77777777" w:rsidR="008B3CD6" w:rsidRPr="00335C3B" w:rsidRDefault="008B3CD6" w:rsidP="008B3CD6">
      <w:pPr>
        <w:spacing w:line="240" w:lineRule="auto"/>
        <w:ind w:left="360" w:hanging="360"/>
        <w:rPr>
          <w:rFonts w:asciiTheme="minorHAnsi" w:hAnsiTheme="minorHAnsi" w:cstheme="minorHAnsi"/>
          <w:sz w:val="20"/>
          <w:szCs w:val="20"/>
        </w:rPr>
      </w:pPr>
      <w:r w:rsidRPr="00335C3B">
        <w:rPr>
          <w:rFonts w:asciiTheme="minorHAnsi" w:hAnsiTheme="minorHAnsi" w:cstheme="minorHAnsi"/>
          <w:vertAlign w:val="superscript"/>
        </w:rPr>
        <w:endnoteRef/>
      </w:r>
      <w:r w:rsidRPr="00335C3B">
        <w:rPr>
          <w:rFonts w:asciiTheme="minorHAnsi" w:eastAsia="Calibri" w:hAnsiTheme="minorHAnsi" w:cstheme="minorHAnsi"/>
          <w:sz w:val="20"/>
          <w:szCs w:val="20"/>
        </w:rPr>
        <w:t xml:space="preserve"> </w:t>
      </w:r>
      <w:r w:rsidRPr="00335C3B">
        <w:rPr>
          <w:rFonts w:asciiTheme="minorHAnsi" w:eastAsia="Calibri" w:hAnsiTheme="minorHAnsi" w:cstheme="minorHAnsi"/>
          <w:sz w:val="20"/>
          <w:szCs w:val="20"/>
        </w:rPr>
        <w:tab/>
        <w:t>Information obtained from interviews conducted by Manushya Foundation to inform this report, (August-September 2022)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668019"/>
      <w:docPartObj>
        <w:docPartGallery w:val="Page Numbers (Bottom of Page)"/>
        <w:docPartUnique/>
      </w:docPartObj>
    </w:sdtPr>
    <w:sdtContent>
      <w:p w14:paraId="0672BF24" w14:textId="2DDBDE05" w:rsidR="00335C3B" w:rsidRDefault="00335C3B" w:rsidP="008B7D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17F083" w14:textId="77777777" w:rsidR="00335C3B" w:rsidRDefault="00335C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color w:val="ED7931"/>
      </w:rPr>
      <w:id w:val="-716589859"/>
      <w:docPartObj>
        <w:docPartGallery w:val="Page Numbers (Bottom of Page)"/>
        <w:docPartUnique/>
      </w:docPartObj>
    </w:sdtPr>
    <w:sdtEndPr>
      <w:rPr>
        <w:rStyle w:val="PageNumber"/>
        <w:rFonts w:asciiTheme="minorHAnsi" w:hAnsiTheme="minorHAnsi" w:cstheme="minorHAnsi"/>
        <w:sz w:val="20"/>
        <w:szCs w:val="20"/>
      </w:rPr>
    </w:sdtEndPr>
    <w:sdtContent>
      <w:p w14:paraId="6F33408C" w14:textId="5B977D80" w:rsidR="00335C3B" w:rsidRPr="0040034D" w:rsidRDefault="00335C3B" w:rsidP="008B7D95">
        <w:pPr>
          <w:pStyle w:val="Footer"/>
          <w:framePr w:wrap="none" w:vAnchor="text" w:hAnchor="margin" w:xAlign="center" w:y="1"/>
          <w:rPr>
            <w:rStyle w:val="PageNumber"/>
            <w:rFonts w:asciiTheme="minorHAnsi" w:hAnsiTheme="minorHAnsi" w:cstheme="minorHAnsi"/>
            <w:color w:val="ED7931"/>
            <w:sz w:val="20"/>
            <w:szCs w:val="20"/>
          </w:rPr>
        </w:pPr>
        <w:r w:rsidRPr="0040034D">
          <w:rPr>
            <w:rStyle w:val="PageNumber"/>
            <w:rFonts w:asciiTheme="minorHAnsi" w:hAnsiTheme="minorHAnsi" w:cstheme="minorHAnsi"/>
            <w:color w:val="ED7931"/>
            <w:sz w:val="20"/>
            <w:szCs w:val="20"/>
          </w:rPr>
          <w:fldChar w:fldCharType="begin"/>
        </w:r>
        <w:r w:rsidRPr="0040034D">
          <w:rPr>
            <w:rStyle w:val="PageNumber"/>
            <w:rFonts w:asciiTheme="minorHAnsi" w:hAnsiTheme="minorHAnsi" w:cstheme="minorHAnsi"/>
            <w:color w:val="ED7931"/>
            <w:sz w:val="20"/>
            <w:szCs w:val="20"/>
          </w:rPr>
          <w:instrText xml:space="preserve"> PAGE </w:instrText>
        </w:r>
        <w:r w:rsidRPr="0040034D">
          <w:rPr>
            <w:rStyle w:val="PageNumber"/>
            <w:rFonts w:asciiTheme="minorHAnsi" w:hAnsiTheme="minorHAnsi" w:cstheme="minorHAnsi"/>
            <w:color w:val="ED7931"/>
            <w:sz w:val="20"/>
            <w:szCs w:val="20"/>
          </w:rPr>
          <w:fldChar w:fldCharType="separate"/>
        </w:r>
        <w:r w:rsidRPr="0040034D">
          <w:rPr>
            <w:rStyle w:val="PageNumber"/>
            <w:rFonts w:asciiTheme="minorHAnsi" w:hAnsiTheme="minorHAnsi" w:cstheme="minorHAnsi"/>
            <w:noProof/>
            <w:color w:val="ED7931"/>
            <w:sz w:val="20"/>
            <w:szCs w:val="20"/>
          </w:rPr>
          <w:t>1</w:t>
        </w:r>
        <w:r w:rsidRPr="0040034D">
          <w:rPr>
            <w:rStyle w:val="PageNumber"/>
            <w:rFonts w:asciiTheme="minorHAnsi" w:hAnsiTheme="minorHAnsi" w:cstheme="minorHAnsi"/>
            <w:color w:val="ED7931"/>
            <w:sz w:val="20"/>
            <w:szCs w:val="20"/>
          </w:rPr>
          <w:fldChar w:fldCharType="end"/>
        </w:r>
      </w:p>
    </w:sdtContent>
  </w:sdt>
  <w:p w14:paraId="5E11E2B6" w14:textId="77777777" w:rsidR="00335C3B" w:rsidRPr="00335C3B" w:rsidRDefault="00335C3B">
    <w:pPr>
      <w:pStyle w:val="Footer"/>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5424F" w14:textId="77777777" w:rsidR="005953F1" w:rsidRDefault="005953F1" w:rsidP="008B3CD6">
      <w:pPr>
        <w:spacing w:line="240" w:lineRule="auto"/>
      </w:pPr>
      <w:r>
        <w:separator/>
      </w:r>
    </w:p>
  </w:footnote>
  <w:footnote w:type="continuationSeparator" w:id="0">
    <w:p w14:paraId="63B8EDD5" w14:textId="77777777" w:rsidR="005953F1" w:rsidRDefault="005953F1" w:rsidP="008B3C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F1CE3" w14:textId="0DDDC3AB" w:rsidR="0040034D" w:rsidRDefault="0040034D">
    <w:pPr>
      <w:pStyle w:val="Header"/>
    </w:pPr>
    <w:r>
      <w:rPr>
        <w:noProof/>
      </w:rPr>
      <w:drawing>
        <wp:anchor distT="114300" distB="114300" distL="114300" distR="114300" simplePos="0" relativeHeight="251661312" behindDoc="0" locked="0" layoutInCell="1" hidden="0" allowOverlap="1" wp14:anchorId="1A675679" wp14:editId="0B6EC76F">
          <wp:simplePos x="0" y="0"/>
          <wp:positionH relativeFrom="column">
            <wp:posOffset>1798631</wp:posOffset>
          </wp:positionH>
          <wp:positionV relativeFrom="paragraph">
            <wp:posOffset>15875</wp:posOffset>
          </wp:positionV>
          <wp:extent cx="1918335" cy="271463"/>
          <wp:effectExtent l="0" t="0" r="0" b="0"/>
          <wp:wrapNone/>
          <wp:docPr id="18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918335" cy="271463"/>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E3707BD" wp14:editId="635D3065">
          <wp:simplePos x="0" y="0"/>
          <wp:positionH relativeFrom="page">
            <wp:posOffset>-204281</wp:posOffset>
          </wp:positionH>
          <wp:positionV relativeFrom="page">
            <wp:posOffset>-611640</wp:posOffset>
          </wp:positionV>
          <wp:extent cx="2452688" cy="1463908"/>
          <wp:effectExtent l="0" t="0" r="0" b="0"/>
          <wp:wrapSquare wrapText="bothSides" distT="0" distB="0" distL="114300" distR="114300"/>
          <wp:docPr id="17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t="11776" b="11775"/>
                  <a:stretch>
                    <a:fillRect/>
                  </a:stretch>
                </pic:blipFill>
                <pic:spPr>
                  <a:xfrm>
                    <a:off x="0" y="0"/>
                    <a:ext cx="2452688" cy="146390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B7FE5"/>
    <w:multiLevelType w:val="multilevel"/>
    <w:tmpl w:val="9A5EB766"/>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4AE1601"/>
    <w:multiLevelType w:val="multilevel"/>
    <w:tmpl w:val="AA109602"/>
    <w:lvl w:ilvl="0">
      <w:start w:val="1"/>
      <w:numFmt w:val="upperRoman"/>
      <w:lvlText w:val="%1."/>
      <w:lvlJc w:val="right"/>
      <w:pPr>
        <w:ind w:left="90" w:firstLine="180"/>
      </w:pPr>
      <w:rPr>
        <w:rFonts w:ascii="Calibri" w:eastAsia="Calibri" w:hAnsi="Calibri" w:cs="Calibri"/>
        <w:b/>
        <w:color w:val="FF6D00"/>
        <w:sz w:val="24"/>
        <w:szCs w:val="24"/>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3482DE3"/>
    <w:multiLevelType w:val="multilevel"/>
    <w:tmpl w:val="2EAE3E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71433B9"/>
    <w:multiLevelType w:val="multilevel"/>
    <w:tmpl w:val="EF6CA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0E608E3"/>
    <w:multiLevelType w:val="multilevel"/>
    <w:tmpl w:val="3F3404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24890873">
    <w:abstractNumId w:val="1"/>
  </w:num>
  <w:num w:numId="2" w16cid:durableId="1995453047">
    <w:abstractNumId w:val="3"/>
  </w:num>
  <w:num w:numId="3" w16cid:durableId="886840837">
    <w:abstractNumId w:val="2"/>
  </w:num>
  <w:num w:numId="4" w16cid:durableId="1850171592">
    <w:abstractNumId w:val="0"/>
  </w:num>
  <w:num w:numId="5" w16cid:durableId="881599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6"/>
    <w:rsid w:val="00004055"/>
    <w:rsid w:val="000859C9"/>
    <w:rsid w:val="00156BBA"/>
    <w:rsid w:val="00213245"/>
    <w:rsid w:val="00335C3B"/>
    <w:rsid w:val="0040034D"/>
    <w:rsid w:val="005535B7"/>
    <w:rsid w:val="00562C6C"/>
    <w:rsid w:val="0057768B"/>
    <w:rsid w:val="005808B7"/>
    <w:rsid w:val="005953F1"/>
    <w:rsid w:val="00600BD6"/>
    <w:rsid w:val="006921A4"/>
    <w:rsid w:val="006F727D"/>
    <w:rsid w:val="008060F3"/>
    <w:rsid w:val="00897573"/>
    <w:rsid w:val="008A1E90"/>
    <w:rsid w:val="008B3CD6"/>
    <w:rsid w:val="00907D3D"/>
    <w:rsid w:val="00A64794"/>
    <w:rsid w:val="00B53B8D"/>
    <w:rsid w:val="00B861C7"/>
    <w:rsid w:val="00C13234"/>
    <w:rsid w:val="00C67904"/>
    <w:rsid w:val="00D26AE7"/>
    <w:rsid w:val="00E54B56"/>
    <w:rsid w:val="00E675E9"/>
    <w:rsid w:val="00E83BB3"/>
    <w:rsid w:val="00EC1FD5"/>
    <w:rsid w:val="00F12D84"/>
    <w:rsid w:val="00F22E70"/>
    <w:rsid w:val="00F7289B"/>
    <w:rsid w:val="00FE52F1"/>
  </w:rsids>
  <m:mathPr>
    <m:mathFont m:val="Cambria Math"/>
    <m:brkBin m:val="before"/>
    <m:brkBinSub m:val="--"/>
    <m:smallFrac m:val="0"/>
    <m:dispDef/>
    <m:lMargin m:val="0"/>
    <m:rMargin m:val="0"/>
    <m:defJc m:val="centerGroup"/>
    <m:wrapIndent m:val="1440"/>
    <m:intLim m:val="subSup"/>
    <m:naryLim m:val="undOvr"/>
  </m:mathPr>
  <w:themeFontLang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D69A6"/>
  <w15:chartTrackingRefBased/>
  <w15:docId w15:val="{75CC22EA-E6AA-F64B-B0A4-A6D877BC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CD6"/>
    <w:pPr>
      <w:spacing w:line="276" w:lineRule="auto"/>
    </w:pPr>
    <w:rPr>
      <w:rFonts w:ascii="Arial" w:eastAsia="Arial" w:hAnsi="Arial" w:cs="Arial"/>
      <w:sz w:val="22"/>
      <w:szCs w:val="22"/>
      <w:lang w:val="en" w:eastAsia="en-GB"/>
    </w:rPr>
  </w:style>
  <w:style w:type="paragraph" w:styleId="Heading1">
    <w:name w:val="heading 1"/>
    <w:basedOn w:val="Normal"/>
    <w:next w:val="Normal"/>
    <w:link w:val="Heading1Char"/>
    <w:uiPriority w:val="9"/>
    <w:qFormat/>
    <w:rsid w:val="008B3CD6"/>
    <w:pPr>
      <w:keepNext/>
      <w:keepLines/>
      <w:ind w:left="90" w:firstLine="180"/>
      <w:jc w:val="both"/>
      <w:outlineLvl w:val="0"/>
    </w:pPr>
    <w:rPr>
      <w:rFonts w:ascii="Calibri" w:eastAsia="Calibri" w:hAnsi="Calibri" w:cs="Calibri"/>
      <w:b/>
      <w:color w:val="FF6D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CD6"/>
    <w:rPr>
      <w:rFonts w:ascii="Calibri" w:eastAsia="Calibri" w:hAnsi="Calibri" w:cs="Calibri"/>
      <w:b/>
      <w:color w:val="FF6D00"/>
      <w:lang w:val="en" w:eastAsia="en-GB"/>
    </w:rPr>
  </w:style>
  <w:style w:type="paragraph" w:styleId="NormalWeb">
    <w:name w:val="Normal (Web)"/>
    <w:basedOn w:val="Normal"/>
    <w:uiPriority w:val="99"/>
    <w:semiHidden/>
    <w:unhideWhenUsed/>
    <w:rsid w:val="008B3CD6"/>
    <w:pPr>
      <w:spacing w:before="100" w:beforeAutospacing="1" w:after="100" w:afterAutospacing="1" w:line="240" w:lineRule="auto"/>
    </w:pPr>
    <w:rPr>
      <w:rFonts w:ascii="Times New Roman" w:eastAsia="Times New Roman" w:hAnsi="Times New Roman" w:cs="Times New Roman"/>
      <w:sz w:val="24"/>
      <w:szCs w:val="24"/>
      <w:lang w:eastAsia="en-US" w:bidi="th-TH"/>
    </w:rPr>
  </w:style>
  <w:style w:type="character" w:styleId="Hyperlink">
    <w:name w:val="Hyperlink"/>
    <w:basedOn w:val="DefaultParagraphFont"/>
    <w:uiPriority w:val="99"/>
    <w:unhideWhenUsed/>
    <w:rsid w:val="008B3CD6"/>
    <w:rPr>
      <w:color w:val="0563C1" w:themeColor="hyperlink"/>
      <w:u w:val="single"/>
    </w:rPr>
  </w:style>
  <w:style w:type="paragraph" w:styleId="Subtitle">
    <w:name w:val="Subtitle"/>
    <w:basedOn w:val="Normal"/>
    <w:next w:val="Normal"/>
    <w:link w:val="SubtitleChar"/>
    <w:uiPriority w:val="11"/>
    <w:qFormat/>
    <w:rsid w:val="00335C3B"/>
    <w:pPr>
      <w:keepNext/>
      <w:keepLines/>
      <w:spacing w:after="320"/>
    </w:pPr>
    <w:rPr>
      <w:color w:val="666666"/>
      <w:sz w:val="30"/>
      <w:szCs w:val="30"/>
    </w:rPr>
  </w:style>
  <w:style w:type="character" w:customStyle="1" w:styleId="SubtitleChar">
    <w:name w:val="Subtitle Char"/>
    <w:basedOn w:val="DefaultParagraphFont"/>
    <w:link w:val="Subtitle"/>
    <w:uiPriority w:val="11"/>
    <w:rsid w:val="00335C3B"/>
    <w:rPr>
      <w:rFonts w:ascii="Arial" w:eastAsia="Arial" w:hAnsi="Arial" w:cs="Arial"/>
      <w:color w:val="666666"/>
      <w:sz w:val="30"/>
      <w:szCs w:val="30"/>
      <w:lang w:val="en" w:eastAsia="en-GB"/>
    </w:rPr>
  </w:style>
  <w:style w:type="paragraph" w:styleId="Footer">
    <w:name w:val="footer"/>
    <w:basedOn w:val="Normal"/>
    <w:link w:val="FooterChar"/>
    <w:uiPriority w:val="99"/>
    <w:unhideWhenUsed/>
    <w:rsid w:val="00335C3B"/>
    <w:pPr>
      <w:tabs>
        <w:tab w:val="center" w:pos="4513"/>
        <w:tab w:val="right" w:pos="9026"/>
      </w:tabs>
      <w:spacing w:line="240" w:lineRule="auto"/>
    </w:pPr>
  </w:style>
  <w:style w:type="character" w:customStyle="1" w:styleId="FooterChar">
    <w:name w:val="Footer Char"/>
    <w:basedOn w:val="DefaultParagraphFont"/>
    <w:link w:val="Footer"/>
    <w:uiPriority w:val="99"/>
    <w:rsid w:val="00335C3B"/>
    <w:rPr>
      <w:rFonts w:ascii="Arial" w:eastAsia="Arial" w:hAnsi="Arial" w:cs="Arial"/>
      <w:sz w:val="22"/>
      <w:szCs w:val="22"/>
      <w:lang w:val="en" w:eastAsia="en-GB"/>
    </w:rPr>
  </w:style>
  <w:style w:type="character" w:styleId="PageNumber">
    <w:name w:val="page number"/>
    <w:basedOn w:val="DefaultParagraphFont"/>
    <w:uiPriority w:val="99"/>
    <w:semiHidden/>
    <w:unhideWhenUsed/>
    <w:rsid w:val="00335C3B"/>
  </w:style>
  <w:style w:type="paragraph" w:styleId="Header">
    <w:name w:val="header"/>
    <w:basedOn w:val="Normal"/>
    <w:link w:val="HeaderChar"/>
    <w:uiPriority w:val="99"/>
    <w:unhideWhenUsed/>
    <w:rsid w:val="00335C3B"/>
    <w:pPr>
      <w:tabs>
        <w:tab w:val="center" w:pos="4513"/>
        <w:tab w:val="right" w:pos="9026"/>
      </w:tabs>
      <w:spacing w:line="240" w:lineRule="auto"/>
    </w:pPr>
  </w:style>
  <w:style w:type="character" w:customStyle="1" w:styleId="HeaderChar">
    <w:name w:val="Header Char"/>
    <w:basedOn w:val="DefaultParagraphFont"/>
    <w:link w:val="Header"/>
    <w:uiPriority w:val="99"/>
    <w:rsid w:val="00335C3B"/>
    <w:rPr>
      <w:rFonts w:ascii="Arial" w:eastAsia="Arial" w:hAnsi="Arial" w:cs="Arial"/>
      <w:sz w:val="22"/>
      <w:szCs w:val="22"/>
      <w:lang w:val="en" w:eastAsia="en-GB"/>
    </w:rPr>
  </w:style>
  <w:style w:type="paragraph" w:styleId="Revision">
    <w:name w:val="Revision"/>
    <w:hidden/>
    <w:uiPriority w:val="99"/>
    <w:semiHidden/>
    <w:rsid w:val="00F22E70"/>
    <w:rPr>
      <w:rFonts w:ascii="Arial" w:eastAsia="Arial" w:hAnsi="Arial" w:cs="Arial"/>
      <w:sz w:val="22"/>
      <w:szCs w:val="22"/>
      <w:lang w:val="en" w:eastAsia="en-GB"/>
    </w:rPr>
  </w:style>
  <w:style w:type="paragraph" w:styleId="NoSpacing">
    <w:name w:val="No Spacing"/>
    <w:link w:val="NoSpacingChar"/>
    <w:uiPriority w:val="1"/>
    <w:qFormat/>
    <w:rsid w:val="00D26AE7"/>
    <w:rPr>
      <w:rFonts w:eastAsiaTheme="minorEastAsia"/>
      <w:sz w:val="22"/>
      <w:szCs w:val="22"/>
      <w:lang w:val="en-US" w:eastAsia="zh-CN"/>
    </w:rPr>
  </w:style>
  <w:style w:type="character" w:customStyle="1" w:styleId="NoSpacingChar">
    <w:name w:val="No Spacing Char"/>
    <w:basedOn w:val="DefaultParagraphFont"/>
    <w:link w:val="NoSpacing"/>
    <w:uiPriority w:val="1"/>
    <w:rsid w:val="00D26AE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ushyafoundatio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milie@manushyafoundation.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manushyafoundation.org/thailand-third-upr-cycle-factsheet-indigenous-women" TargetMode="External"/><Relationship Id="rId18" Type="http://schemas.openxmlformats.org/officeDocument/2006/relationships/hyperlink" Target="https://www.manushyafoundation.org/post/women-human-rights-defenders-push-back-against-slapp-charges" TargetMode="External"/><Relationship Id="rId26" Type="http://schemas.openxmlformats.org/officeDocument/2006/relationships/hyperlink" Target="https://www.manushyafoundation.org/iwnt-report" TargetMode="External"/><Relationship Id="rId3" Type="http://schemas.openxmlformats.org/officeDocument/2006/relationships/hyperlink" Target="https://www.manushyafoundation.org/comments-on-the-nap-on-bhr" TargetMode="External"/><Relationship Id="rId21" Type="http://schemas.openxmlformats.org/officeDocument/2006/relationships/hyperlink" Target="https://www.unhcr.org/th/en/statelessness" TargetMode="External"/><Relationship Id="rId34" Type="http://schemas.openxmlformats.org/officeDocument/2006/relationships/hyperlink" Target="https://www.fmreview.org/education-displacement" TargetMode="External"/><Relationship Id="rId7" Type="http://schemas.openxmlformats.org/officeDocument/2006/relationships/hyperlink" Target="https://www.manushyafoundation.org/thailand-third-upr-cycle-factsheet-human-trafficking" TargetMode="External"/><Relationship Id="rId12" Type="http://schemas.openxmlformats.org/officeDocument/2006/relationships/hyperlink" Target="https://www.bangkokpost.com/thailand/general/1532718/police-to-end-female-admissions-to-cadet-school" TargetMode="External"/><Relationship Id="rId17" Type="http://schemas.openxmlformats.org/officeDocument/2006/relationships/hyperlink" Target="https://www.manushyafoundation.org/thailand-third-upr-cycle-factsheet-people-and-planet-over-profit" TargetMode="External"/><Relationship Id="rId25" Type="http://schemas.openxmlformats.org/officeDocument/2006/relationships/hyperlink" Target="https://www.manushyafoundation.org/joint-upr-submission-ipwomen" TargetMode="External"/><Relationship Id="rId33" Type="http://schemas.openxmlformats.org/officeDocument/2006/relationships/hyperlink" Target="https://www.fmreview.org/education-displacement" TargetMode="External"/><Relationship Id="rId2" Type="http://schemas.openxmlformats.org/officeDocument/2006/relationships/hyperlink" Target="https://www.ilo.org/dyn/natlex/natlex4.detail?p_lang=en&amp;p_isn=46403" TargetMode="External"/><Relationship Id="rId16" Type="http://schemas.openxmlformats.org/officeDocument/2006/relationships/hyperlink" Target="https://www.manushyafoundation.org/joint-civil-society-cerd-shadow-report" TargetMode="External"/><Relationship Id="rId20" Type="http://schemas.openxmlformats.org/officeDocument/2006/relationships/hyperlink" Target="https://www.mfa.go.th/th/page/%E0%B8%97%E0%B8%B3%E0%B9%80%E0%B8%99%E0%B8%B5%E0%B8%A2%E0%B8%9A%E0%B8%9C%E0%B8%B9%E0%B9%89%E0%B8%9A%E0%B8%A3%E0%B8%B4%E0%B8%AB%E0%B8%B2%E0%B8%A3?menu=6090a9c6777e90632833f262" TargetMode="External"/><Relationship Id="rId29" Type="http://schemas.openxmlformats.org/officeDocument/2006/relationships/hyperlink" Target="https://www.manushyafoundation.org/thailand-third-upr-cycle-factsheet-khon-isaan" TargetMode="External"/><Relationship Id="rId1" Type="http://schemas.openxmlformats.org/officeDocument/2006/relationships/hyperlink" Target="https://www.ilo.org/dyn/natlex/natlex4.detail?p_lang=en&amp;p_isn=82844" TargetMode="External"/><Relationship Id="rId6" Type="http://schemas.openxmlformats.org/officeDocument/2006/relationships/hyperlink" Target="https://www.manushyafoundation.org/thailand-third-upr-cycle-factsheet-human-trafficking" TargetMode="External"/><Relationship Id="rId11" Type="http://schemas.openxmlformats.org/officeDocument/2006/relationships/hyperlink" Target="https://www.france24.com/en/live-news/20201028-thailand-s-first-transgender-mp-dismissed-from-parliament" TargetMode="External"/><Relationship Id="rId24" Type="http://schemas.openxmlformats.org/officeDocument/2006/relationships/hyperlink" Target="https://www.manushyafoundation.org/joint-upr-submission-ipwomen" TargetMode="External"/><Relationship Id="rId32" Type="http://schemas.openxmlformats.org/officeDocument/2006/relationships/hyperlink" Target="https://www.manushyafoundation.org/joint-civil-society-cerd-shadow-report" TargetMode="External"/><Relationship Id="rId5" Type="http://schemas.openxmlformats.org/officeDocument/2006/relationships/hyperlink" Target="https://library.siam-legal.com/anti-trafficking-persons-act-b-e-2551-2008/" TargetMode="External"/><Relationship Id="rId15" Type="http://schemas.openxmlformats.org/officeDocument/2006/relationships/hyperlink" Target="https://www.manushyafoundation.org/iwnt-report" TargetMode="External"/><Relationship Id="rId23" Type="http://schemas.openxmlformats.org/officeDocument/2006/relationships/hyperlink" Target="https://www.facebook.com/tuenjai.deetes.9/posts/pfbid033867Uo9qZphNfcax3CkaaiNuEtebXzgsni1Q9SFjJq1sQoB6v7fS43egAx7tfGyYl" TargetMode="External"/><Relationship Id="rId28" Type="http://schemas.openxmlformats.org/officeDocument/2006/relationships/hyperlink" Target="https://www.manushyafoundation.org/joint-civil-society-cerd-shadow-report" TargetMode="External"/><Relationship Id="rId10" Type="http://schemas.openxmlformats.org/officeDocument/2006/relationships/hyperlink" Target="https://www.idea.int/data-tools/data/gender-quotas/country-view/280/35" TargetMode="External"/><Relationship Id="rId19" Type="http://schemas.openxmlformats.org/officeDocument/2006/relationships/hyperlink" Target="https://www.mfa.go.th/th/organization?menu=5d5bd3c615e39c306002a866" TargetMode="External"/><Relationship Id="rId31" Type="http://schemas.openxmlformats.org/officeDocument/2006/relationships/hyperlink" Target="https://www.manushyafoundation.org/joint-civil-society-cerd-shadow-report" TargetMode="External"/><Relationship Id="rId4" Type="http://schemas.openxmlformats.org/officeDocument/2006/relationships/hyperlink" Target="https://www.manushyafoundation.org/nba-bhr-working-paper-gender-lens" TargetMode="External"/><Relationship Id="rId9" Type="http://schemas.openxmlformats.org/officeDocument/2006/relationships/hyperlink" Target="https://www.manushyafoundation.org/joint-upr-submission-ipwomen" TargetMode="External"/><Relationship Id="rId14" Type="http://schemas.openxmlformats.org/officeDocument/2006/relationships/hyperlink" Target="https://www.manushyafoundation.org/thailand-third-upr-cycle-factsheet-indigenous-peoples-rights" TargetMode="External"/><Relationship Id="rId22" Type="http://schemas.openxmlformats.org/officeDocument/2006/relationships/hyperlink" Target="https://www.manushyafoundation.org/iwnt-report" TargetMode="External"/><Relationship Id="rId27" Type="http://schemas.openxmlformats.org/officeDocument/2006/relationships/hyperlink" Target="http://web.krisdika.go.th/data/document/ext810/810050_0001.pdf" TargetMode="External"/><Relationship Id="rId30" Type="http://schemas.openxmlformats.org/officeDocument/2006/relationships/hyperlink" Target="https://www.manushyafoundation.org/joint-upr-submission-armedconflicts" TargetMode="External"/><Relationship Id="rId35" Type="http://schemas.openxmlformats.org/officeDocument/2006/relationships/hyperlink" Target="https://www.ucanews.com/news/no-hiding-place-myanmar-refugees-face-arrest-in-thailand/92079" TargetMode="External"/><Relationship Id="rId8" Type="http://schemas.openxmlformats.org/officeDocument/2006/relationships/hyperlink" Target="https://www.manushyafoundation.org/thailand-third-upr-cycle-factsheet-human-traffick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F17713-550D-492E-AFD5-FDE1962B106F}"/>
</file>

<file path=customXml/itemProps2.xml><?xml version="1.0" encoding="utf-8"?>
<ds:datastoreItem xmlns:ds="http://schemas.openxmlformats.org/officeDocument/2006/customXml" ds:itemID="{463514DA-EBDE-4798-848C-46E0E0F11C7A}"/>
</file>

<file path=customXml/itemProps3.xml><?xml version="1.0" encoding="utf-8"?>
<ds:datastoreItem xmlns:ds="http://schemas.openxmlformats.org/officeDocument/2006/customXml" ds:itemID="{47342759-082B-4A87-BDB2-C3030899E10B}"/>
</file>

<file path=docProps/app.xml><?xml version="1.0" encoding="utf-8"?>
<Properties xmlns="http://schemas.openxmlformats.org/officeDocument/2006/extended-properties" xmlns:vt="http://schemas.openxmlformats.org/officeDocument/2006/docPropsVTypes">
  <Template>Normal</Template>
  <TotalTime>1</TotalTime>
  <Pages>12</Pages>
  <Words>3301</Words>
  <Characters>18817</Characters>
  <Application>Microsoft Office Word</Application>
  <DocSecurity>0</DocSecurity>
  <Lines>156</Lines>
  <Paragraphs>44</Paragraphs>
  <ScaleCrop>false</ScaleCrop>
  <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Manushya Foundation</dc:creator>
  <cp:keywords/>
  <dc:description/>
  <cp:lastModifiedBy>Emilie Palamy Pradichit</cp:lastModifiedBy>
  <cp:revision>2</cp:revision>
  <dcterms:created xsi:type="dcterms:W3CDTF">2022-10-10T07:11:00Z</dcterms:created>
  <dcterms:modified xsi:type="dcterms:W3CDTF">2022-10-10T07:11:00Z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