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FBD58" w14:textId="162434F7" w:rsidR="00D2799B" w:rsidRDefault="00D2799B" w:rsidP="00D2799B">
      <w:pPr>
        <w:spacing w:after="120" w:line="276" w:lineRule="auto"/>
        <w:jc w:val="center"/>
      </w:pPr>
    </w:p>
    <w:p w14:paraId="488FACF7" w14:textId="1E7BEE55" w:rsidR="00D2799B" w:rsidRDefault="00D2799B" w:rsidP="00D2799B">
      <w:pPr>
        <w:spacing w:after="120" w:line="276" w:lineRule="auto"/>
        <w:jc w:val="center"/>
      </w:pPr>
      <w:r>
        <w:t xml:space="preserve">Shadow Report for the 74th Session of the Committee on the Elimination of All Forms of Discrimination Against Women (CEDAW) </w:t>
      </w:r>
    </w:p>
    <w:p w14:paraId="4AEB4AF5" w14:textId="0A3E8A17" w:rsidR="00D2799B" w:rsidRDefault="00D2799B" w:rsidP="00D2799B">
      <w:pPr>
        <w:spacing w:after="120" w:line="276" w:lineRule="auto"/>
        <w:jc w:val="center"/>
      </w:pPr>
      <w:r>
        <w:t>6th Periodic Review of the Royal Government of Cambodia</w:t>
      </w:r>
    </w:p>
    <w:p w14:paraId="3FA780EE" w14:textId="4292F685" w:rsidR="00D2799B" w:rsidRDefault="00D2799B" w:rsidP="00D2799B">
      <w:pPr>
        <w:spacing w:after="120" w:line="276" w:lineRule="auto"/>
        <w:jc w:val="center"/>
        <w:rPr>
          <w:b/>
          <w:lang w:val="en-US"/>
        </w:rPr>
      </w:pPr>
    </w:p>
    <w:p w14:paraId="180A01D5" w14:textId="59876746" w:rsidR="00D2799B" w:rsidRPr="00941964" w:rsidRDefault="00D2799B" w:rsidP="00D2799B">
      <w:pPr>
        <w:spacing w:after="120" w:line="276" w:lineRule="auto"/>
        <w:jc w:val="center"/>
        <w:rPr>
          <w:b/>
          <w:sz w:val="32"/>
          <w:lang w:val="en-US"/>
        </w:rPr>
      </w:pPr>
      <w:r w:rsidRPr="00941964">
        <w:rPr>
          <w:b/>
          <w:sz w:val="32"/>
          <w:lang w:val="en-US"/>
        </w:rPr>
        <w:t>ACCESS TO JUSTICE</w:t>
      </w:r>
    </w:p>
    <w:p w14:paraId="52F4F3E9" w14:textId="15AA2F76" w:rsidR="00D2799B" w:rsidRDefault="00D2799B" w:rsidP="00D2799B">
      <w:pPr>
        <w:spacing w:after="120" w:line="276" w:lineRule="auto"/>
        <w:jc w:val="center"/>
        <w:rPr>
          <w:b/>
          <w:lang w:val="en-US"/>
        </w:rPr>
      </w:pPr>
    </w:p>
    <w:p w14:paraId="1A3E1FF1" w14:textId="742B51BE" w:rsidR="00D2799B" w:rsidRDefault="00D2799B" w:rsidP="00D2799B">
      <w:pPr>
        <w:spacing w:after="120" w:line="276" w:lineRule="auto"/>
        <w:jc w:val="center"/>
        <w:rPr>
          <w:lang w:val="en-US"/>
        </w:rPr>
      </w:pPr>
      <w:r>
        <w:rPr>
          <w:lang w:val="en-US"/>
        </w:rPr>
        <w:t>Joint NGO submission by:</w:t>
      </w:r>
    </w:p>
    <w:p w14:paraId="5C5C2269" w14:textId="15B8244E" w:rsidR="00D2799B" w:rsidRDefault="00D2799B" w:rsidP="00D2799B">
      <w:pPr>
        <w:spacing w:after="120" w:line="276" w:lineRule="auto"/>
        <w:jc w:val="center"/>
      </w:pPr>
      <w:r>
        <w:rPr>
          <w:lang w:val="en-US"/>
        </w:rPr>
        <w:t xml:space="preserve">the Cambodian Center for Human Rights (CCHR), the </w:t>
      </w:r>
      <w:r w:rsidRPr="008C411F">
        <w:t>Cambodian Human Rights and Development Association</w:t>
      </w:r>
      <w:r>
        <w:t xml:space="preserve"> (ADHOC)</w:t>
      </w:r>
      <w:r w:rsidR="00607553">
        <w:t xml:space="preserve">, </w:t>
      </w:r>
      <w:r>
        <w:t>Destination Justice</w:t>
      </w:r>
      <w:r w:rsidR="00366688">
        <w:t>,</w:t>
      </w:r>
      <w:r w:rsidR="00607553">
        <w:t xml:space="preserve"> Klahaan and Women Peace Makers</w:t>
      </w:r>
    </w:p>
    <w:p w14:paraId="55A10962" w14:textId="7CED6E38" w:rsidR="00D2799B" w:rsidRDefault="00D2799B" w:rsidP="00D2799B">
      <w:pPr>
        <w:spacing w:after="120" w:line="276" w:lineRule="auto"/>
      </w:pPr>
    </w:p>
    <w:p w14:paraId="1DF1DC61" w14:textId="3A201B1D" w:rsidR="00D2799B" w:rsidRDefault="00D2799B" w:rsidP="00D2799B">
      <w:pPr>
        <w:spacing w:after="120" w:line="276" w:lineRule="auto"/>
      </w:pPr>
      <w:r>
        <w:rPr>
          <w:noProof/>
          <w:lang w:val="fr-FR"/>
        </w:rPr>
        <w:drawing>
          <wp:anchor distT="114300" distB="114300" distL="114300" distR="114300" simplePos="0" relativeHeight="251659264" behindDoc="0" locked="0" layoutInCell="1" hidden="0" allowOverlap="1" wp14:anchorId="5EDA4115" wp14:editId="776C6E41">
            <wp:simplePos x="0" y="0"/>
            <wp:positionH relativeFrom="margin">
              <wp:posOffset>1285240</wp:posOffset>
            </wp:positionH>
            <wp:positionV relativeFrom="paragraph">
              <wp:posOffset>110490</wp:posOffset>
            </wp:positionV>
            <wp:extent cx="980440" cy="1647825"/>
            <wp:effectExtent l="0" t="0" r="0" b="3175"/>
            <wp:wrapSquare wrapText="bothSides" distT="114300" distB="114300" distL="114300" distR="114300"/>
            <wp:docPr id="5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980440" cy="164782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B41EC55" wp14:editId="5B145C4F">
            <wp:extent cx="2540000" cy="82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CHR Logo png.png"/>
                    <pic:cNvPicPr/>
                  </pic:nvPicPr>
                  <pic:blipFill>
                    <a:blip r:embed="rId9"/>
                    <a:stretch>
                      <a:fillRect/>
                    </a:stretch>
                  </pic:blipFill>
                  <pic:spPr>
                    <a:xfrm>
                      <a:off x="0" y="0"/>
                      <a:ext cx="2557333" cy="831133"/>
                    </a:xfrm>
                    <a:prstGeom prst="rect">
                      <a:avLst/>
                    </a:prstGeom>
                  </pic:spPr>
                </pic:pic>
              </a:graphicData>
            </a:graphic>
          </wp:inline>
        </w:drawing>
      </w:r>
    </w:p>
    <w:p w14:paraId="62A03EAB" w14:textId="696F05E8" w:rsidR="00D2799B" w:rsidRDefault="006D1E57" w:rsidP="00D2799B">
      <w:pPr>
        <w:spacing w:after="120" w:line="276" w:lineRule="auto"/>
      </w:pPr>
      <w:r>
        <w:rPr>
          <w:noProof/>
        </w:rPr>
        <w:drawing>
          <wp:anchor distT="0" distB="0" distL="114300" distR="114300" simplePos="0" relativeHeight="251661312" behindDoc="0" locked="0" layoutInCell="1" allowOverlap="1" wp14:anchorId="7C0192FF" wp14:editId="07FE1ACE">
            <wp:simplePos x="0" y="0"/>
            <wp:positionH relativeFrom="margin">
              <wp:posOffset>2764204</wp:posOffset>
            </wp:positionH>
            <wp:positionV relativeFrom="paragraph">
              <wp:posOffset>1033145</wp:posOffset>
            </wp:positionV>
            <wp:extent cx="1323975" cy="982980"/>
            <wp:effectExtent l="0" t="0" r="952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PM Logo_final.jpg"/>
                    <pic:cNvPicPr/>
                  </pic:nvPicPr>
                  <pic:blipFill>
                    <a:blip r:embed="rId10"/>
                    <a:stretch>
                      <a:fillRect/>
                    </a:stretch>
                  </pic:blipFill>
                  <pic:spPr>
                    <a:xfrm>
                      <a:off x="0" y="0"/>
                      <a:ext cx="1323975" cy="982980"/>
                    </a:xfrm>
                    <a:prstGeom prst="rect">
                      <a:avLst/>
                    </a:prstGeom>
                  </pic:spPr>
                </pic:pic>
              </a:graphicData>
            </a:graphic>
            <wp14:sizeRelH relativeFrom="margin">
              <wp14:pctWidth>0</wp14:pctWidth>
            </wp14:sizeRelH>
            <wp14:sizeRelV relativeFrom="margin">
              <wp14:pctHeight>0</wp14:pctHeight>
            </wp14:sizeRelV>
          </wp:anchor>
        </w:drawing>
      </w:r>
      <w:r w:rsidR="00D2799B">
        <w:rPr>
          <w:noProof/>
        </w:rPr>
        <w:drawing>
          <wp:inline distT="0" distB="0" distL="0" distR="0" wp14:anchorId="37261E0A" wp14:editId="3F92AAA6">
            <wp:extent cx="1849120" cy="927224"/>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7-10 at 16.48.57.png"/>
                    <pic:cNvPicPr/>
                  </pic:nvPicPr>
                  <pic:blipFill>
                    <a:blip r:embed="rId11"/>
                    <a:stretch>
                      <a:fillRect/>
                    </a:stretch>
                  </pic:blipFill>
                  <pic:spPr>
                    <a:xfrm>
                      <a:off x="0" y="0"/>
                      <a:ext cx="1915073" cy="960295"/>
                    </a:xfrm>
                    <a:prstGeom prst="rect">
                      <a:avLst/>
                    </a:prstGeom>
                  </pic:spPr>
                </pic:pic>
              </a:graphicData>
            </a:graphic>
          </wp:inline>
        </w:drawing>
      </w:r>
    </w:p>
    <w:p w14:paraId="38910043" w14:textId="634277E3" w:rsidR="00D2799B" w:rsidRDefault="006D1E57" w:rsidP="00D2799B">
      <w:pPr>
        <w:spacing w:after="120" w:line="276" w:lineRule="auto"/>
        <w:jc w:val="center"/>
      </w:pPr>
      <w:r>
        <w:rPr>
          <w:noProof/>
        </w:rPr>
        <w:drawing>
          <wp:anchor distT="0" distB="0" distL="114300" distR="114300" simplePos="0" relativeHeight="251660288" behindDoc="0" locked="0" layoutInCell="1" allowOverlap="1" wp14:anchorId="7434F3C6" wp14:editId="39B746EE">
            <wp:simplePos x="0" y="0"/>
            <wp:positionH relativeFrom="column">
              <wp:posOffset>1215390</wp:posOffset>
            </wp:positionH>
            <wp:positionV relativeFrom="paragraph">
              <wp:posOffset>8890</wp:posOffset>
            </wp:positionV>
            <wp:extent cx="1428750" cy="10109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jpg"/>
                    <pic:cNvPicPr/>
                  </pic:nvPicPr>
                  <pic:blipFill rotWithShape="1">
                    <a:blip r:embed="rId12"/>
                    <a:srcRect l="9917" t="7860" r="9957" b="11848"/>
                    <a:stretch/>
                  </pic:blipFill>
                  <pic:spPr bwMode="auto">
                    <a:xfrm>
                      <a:off x="0" y="0"/>
                      <a:ext cx="1428750" cy="1010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C3D186" w14:textId="6AC87CBE" w:rsidR="00D2799B" w:rsidRDefault="00D2799B" w:rsidP="00D2799B">
      <w:pPr>
        <w:spacing w:after="120" w:line="276" w:lineRule="auto"/>
        <w:jc w:val="center"/>
      </w:pPr>
    </w:p>
    <w:p w14:paraId="4C49CA96" w14:textId="13592436" w:rsidR="00D2799B" w:rsidRDefault="00D2799B" w:rsidP="00D2799B">
      <w:pPr>
        <w:spacing w:after="120" w:line="276" w:lineRule="auto"/>
        <w:jc w:val="center"/>
      </w:pPr>
    </w:p>
    <w:p w14:paraId="0EE04637" w14:textId="4CF276C2" w:rsidR="00445758" w:rsidRDefault="00445758" w:rsidP="00D2799B">
      <w:pPr>
        <w:spacing w:after="120" w:line="276" w:lineRule="auto"/>
        <w:jc w:val="center"/>
      </w:pPr>
    </w:p>
    <w:p w14:paraId="0CC2D4F5" w14:textId="297084BC" w:rsidR="00445758" w:rsidRDefault="00445758" w:rsidP="00D2799B">
      <w:pPr>
        <w:spacing w:after="120" w:line="276" w:lineRule="auto"/>
        <w:jc w:val="center"/>
      </w:pPr>
    </w:p>
    <w:p w14:paraId="5CA0EFF2" w14:textId="2521F3FA" w:rsidR="00445758" w:rsidRDefault="00445758" w:rsidP="00D2799B">
      <w:pPr>
        <w:spacing w:after="120" w:line="276" w:lineRule="auto"/>
        <w:jc w:val="center"/>
      </w:pPr>
    </w:p>
    <w:p w14:paraId="2299883A" w14:textId="770BDAB4" w:rsidR="00445758" w:rsidRDefault="00445758" w:rsidP="00D2799B">
      <w:pPr>
        <w:spacing w:after="120" w:line="276" w:lineRule="auto"/>
        <w:jc w:val="center"/>
      </w:pPr>
    </w:p>
    <w:p w14:paraId="1CD23017" w14:textId="77777777" w:rsidR="00445758" w:rsidRDefault="00445758" w:rsidP="00D2799B">
      <w:pPr>
        <w:spacing w:after="120" w:line="276" w:lineRule="auto"/>
        <w:jc w:val="center"/>
      </w:pPr>
    </w:p>
    <w:p w14:paraId="45EDAC37" w14:textId="77777777" w:rsidR="00D2799B" w:rsidRDefault="00D2799B" w:rsidP="00D2799B">
      <w:pPr>
        <w:spacing w:after="120" w:line="276" w:lineRule="auto"/>
        <w:jc w:val="center"/>
      </w:pPr>
      <w:bookmarkStart w:id="0" w:name="_GoBack"/>
      <w:bookmarkEnd w:id="0"/>
    </w:p>
    <w:p w14:paraId="49F49E02" w14:textId="77777777" w:rsidR="00D2799B" w:rsidRPr="00941964" w:rsidRDefault="00D2799B" w:rsidP="00D2799B">
      <w:pPr>
        <w:spacing w:after="120" w:line="276" w:lineRule="auto"/>
        <w:jc w:val="center"/>
      </w:pPr>
    </w:p>
    <w:p w14:paraId="485E9F5F" w14:textId="5511FC1D" w:rsidR="00D2799B" w:rsidRPr="00941964" w:rsidRDefault="00D2799B" w:rsidP="00D2799B">
      <w:pPr>
        <w:spacing w:after="120" w:line="276" w:lineRule="auto"/>
        <w:jc w:val="center"/>
        <w:rPr>
          <w:lang w:val="en-US"/>
        </w:rPr>
      </w:pPr>
      <w:r>
        <w:rPr>
          <w:lang w:val="en-US"/>
        </w:rPr>
        <w:t>Phnom Penh</w:t>
      </w:r>
      <w:r w:rsidR="007220AD">
        <w:rPr>
          <w:lang w:val="en-US"/>
        </w:rPr>
        <w:t xml:space="preserve">, </w:t>
      </w:r>
      <w:r>
        <w:rPr>
          <w:lang w:val="en-US"/>
        </w:rPr>
        <w:t xml:space="preserve"> </w:t>
      </w:r>
      <w:r w:rsidR="007220AD" w:rsidRPr="000B0385">
        <w:rPr>
          <w:lang w:val="en-US"/>
        </w:rPr>
        <w:t xml:space="preserve">9 September </w:t>
      </w:r>
      <w:r>
        <w:rPr>
          <w:lang w:val="en-US"/>
        </w:rPr>
        <w:t>2019</w:t>
      </w:r>
    </w:p>
    <w:p w14:paraId="7114E7E2" w14:textId="77777777" w:rsidR="00D2799B" w:rsidRPr="004734EB" w:rsidRDefault="00D2799B" w:rsidP="00D2799B">
      <w:pPr>
        <w:spacing w:after="120" w:line="276" w:lineRule="auto"/>
        <w:jc w:val="center"/>
        <w:rPr>
          <w:b/>
          <w:lang w:val="en-US"/>
        </w:rPr>
      </w:pPr>
    </w:p>
    <w:p w14:paraId="4A10CA47" w14:textId="77777777" w:rsidR="00D2799B" w:rsidRDefault="00D2799B" w:rsidP="00D2799B">
      <w:pPr>
        <w:rPr>
          <w:b/>
          <w:lang w:val="en-US"/>
        </w:rPr>
      </w:pPr>
      <w:r>
        <w:rPr>
          <w:b/>
          <w:lang w:val="en-US"/>
        </w:rPr>
        <w:br w:type="page"/>
      </w:r>
    </w:p>
    <w:sdt>
      <w:sdtPr>
        <w:rPr>
          <w:rFonts w:asciiTheme="minorHAnsi" w:eastAsiaTheme="minorHAnsi" w:hAnsiTheme="minorHAnsi" w:cstheme="minorBidi"/>
          <w:color w:val="auto"/>
          <w:sz w:val="24"/>
          <w:szCs w:val="24"/>
          <w:lang w:val="en-GB"/>
        </w:rPr>
        <w:id w:val="-1305538714"/>
        <w:docPartObj>
          <w:docPartGallery w:val="Table of Contents"/>
          <w:docPartUnique/>
        </w:docPartObj>
      </w:sdtPr>
      <w:sdtEndPr>
        <w:rPr>
          <w:bCs/>
          <w:noProof/>
        </w:rPr>
      </w:sdtEndPr>
      <w:sdtContent>
        <w:p w14:paraId="012CE555" w14:textId="7B2A44EE" w:rsidR="00D2799B" w:rsidRDefault="00D2799B" w:rsidP="00D2799B">
          <w:pPr>
            <w:pStyle w:val="TOCHeading"/>
            <w:rPr>
              <w:rFonts w:asciiTheme="minorHAnsi" w:hAnsiTheme="minorHAnsi" w:cstheme="minorHAnsi"/>
              <w:b/>
              <w:color w:val="000000" w:themeColor="text1"/>
            </w:rPr>
          </w:pPr>
          <w:r w:rsidRPr="00362F5D">
            <w:rPr>
              <w:rFonts w:asciiTheme="minorHAnsi" w:hAnsiTheme="minorHAnsi" w:cstheme="minorHAnsi"/>
              <w:b/>
              <w:color w:val="000000" w:themeColor="text1"/>
            </w:rPr>
            <w:t>Table of Contents</w:t>
          </w:r>
        </w:p>
        <w:p w14:paraId="1FA366C2" w14:textId="77777777" w:rsidR="00FD1840" w:rsidRPr="00FD1840" w:rsidRDefault="00FD1840" w:rsidP="00FD1840">
          <w:pPr>
            <w:rPr>
              <w:lang w:val="en-US"/>
            </w:rPr>
          </w:pPr>
        </w:p>
        <w:p w14:paraId="326691B2" w14:textId="1B1DD980" w:rsidR="00D2799B" w:rsidRPr="00DF0F5D" w:rsidRDefault="00D2799B" w:rsidP="00D2799B">
          <w:pPr>
            <w:pStyle w:val="TOC1"/>
            <w:tabs>
              <w:tab w:val="left" w:pos="480"/>
              <w:tab w:val="right" w:leader="dot" w:pos="9010"/>
            </w:tabs>
            <w:rPr>
              <w:rFonts w:eastAsiaTheme="minorEastAsia"/>
              <w:bCs/>
              <w:i/>
              <w:iCs/>
              <w:noProof/>
            </w:rPr>
          </w:pPr>
          <w:r w:rsidRPr="00DF0F5D">
            <w:rPr>
              <w:bCs/>
            </w:rPr>
            <w:fldChar w:fldCharType="begin"/>
          </w:r>
          <w:r w:rsidRPr="00DF0F5D">
            <w:instrText xml:space="preserve"> TOC \o "1-3" \h \z \u </w:instrText>
          </w:r>
          <w:r w:rsidRPr="00DF0F5D">
            <w:rPr>
              <w:bCs/>
            </w:rPr>
            <w:fldChar w:fldCharType="separate"/>
          </w:r>
          <w:hyperlink w:anchor="_Toc13747269" w:history="1">
            <w:r w:rsidRPr="00DF0F5D">
              <w:rPr>
                <w:rStyle w:val="Hyperlink"/>
                <w:rFonts w:cstheme="minorHAnsi"/>
                <w:noProof/>
                <w:lang w:val="en-US"/>
              </w:rPr>
              <w:t>1.</w:t>
            </w:r>
            <w:r w:rsidRPr="00DF0F5D">
              <w:rPr>
                <w:rFonts w:eastAsiaTheme="minorEastAsia"/>
                <w:bCs/>
                <w:i/>
                <w:iCs/>
                <w:noProof/>
              </w:rPr>
              <w:tab/>
            </w:r>
            <w:r w:rsidRPr="00DF0F5D">
              <w:rPr>
                <w:rStyle w:val="Hyperlink"/>
                <w:rFonts w:cstheme="minorHAnsi"/>
                <w:noProof/>
                <w:lang w:val="en-US"/>
              </w:rPr>
              <w:t>Legal, Institutional and Procedural Barriers to Access to Justice</w:t>
            </w:r>
            <w:r w:rsidRPr="00DF0F5D">
              <w:rPr>
                <w:noProof/>
                <w:webHidden/>
              </w:rPr>
              <w:tab/>
            </w:r>
            <w:r w:rsidRPr="00DF0F5D">
              <w:rPr>
                <w:noProof/>
                <w:webHidden/>
              </w:rPr>
              <w:fldChar w:fldCharType="begin"/>
            </w:r>
            <w:r w:rsidRPr="00DF0F5D">
              <w:rPr>
                <w:noProof/>
                <w:webHidden/>
              </w:rPr>
              <w:instrText xml:space="preserve"> PAGEREF _Toc13747269 \h </w:instrText>
            </w:r>
            <w:r w:rsidRPr="00DF0F5D">
              <w:rPr>
                <w:noProof/>
                <w:webHidden/>
              </w:rPr>
            </w:r>
            <w:r w:rsidRPr="00DF0F5D">
              <w:rPr>
                <w:noProof/>
                <w:webHidden/>
              </w:rPr>
              <w:fldChar w:fldCharType="separate"/>
            </w:r>
            <w:r w:rsidR="00673FCE">
              <w:rPr>
                <w:noProof/>
                <w:webHidden/>
              </w:rPr>
              <w:t>3</w:t>
            </w:r>
            <w:r w:rsidRPr="00DF0F5D">
              <w:rPr>
                <w:noProof/>
                <w:webHidden/>
              </w:rPr>
              <w:fldChar w:fldCharType="end"/>
            </w:r>
          </w:hyperlink>
        </w:p>
        <w:p w14:paraId="4FF204AD" w14:textId="6BAEE80B" w:rsidR="00D2799B" w:rsidRPr="001C44B9" w:rsidRDefault="00DF0F5D" w:rsidP="001C44B9">
          <w:pPr>
            <w:pStyle w:val="TOC2"/>
            <w:rPr>
              <w:rFonts w:eastAsiaTheme="minorEastAsia"/>
              <w:bCs/>
            </w:rPr>
          </w:pPr>
          <w:r w:rsidRPr="001C44B9">
            <w:rPr>
              <w:rStyle w:val="Hyperlink"/>
              <w:color w:val="000000" w:themeColor="text1"/>
              <w:u w:val="none"/>
            </w:rPr>
            <w:t xml:space="preserve">1.1. </w:t>
          </w:r>
          <w:hyperlink w:anchor="_Toc13747271" w:history="1">
            <w:r w:rsidR="00D2799B" w:rsidRPr="001C44B9">
              <w:rPr>
                <w:rStyle w:val="Hyperlink"/>
                <w:rFonts w:cstheme="minorHAnsi"/>
                <w:color w:val="000000" w:themeColor="text1"/>
                <w:u w:val="none"/>
                <w:lang w:val="en-US"/>
              </w:rPr>
              <w:t>Laws designed to protect women from gender-based violence (GBV) are inadequate and flawed</w:t>
            </w:r>
            <w:r w:rsidR="00D2799B" w:rsidRPr="001C44B9">
              <w:rPr>
                <w:webHidden/>
              </w:rPr>
              <w:tab/>
            </w:r>
            <w:r w:rsidR="00D2799B" w:rsidRPr="001C44B9">
              <w:rPr>
                <w:webHidden/>
              </w:rPr>
              <w:fldChar w:fldCharType="begin"/>
            </w:r>
            <w:r w:rsidR="00D2799B" w:rsidRPr="001C44B9">
              <w:rPr>
                <w:webHidden/>
              </w:rPr>
              <w:instrText xml:space="preserve"> PAGEREF _Toc13747271 \h </w:instrText>
            </w:r>
            <w:r w:rsidR="00D2799B" w:rsidRPr="001C44B9">
              <w:rPr>
                <w:webHidden/>
              </w:rPr>
            </w:r>
            <w:r w:rsidR="00D2799B" w:rsidRPr="001C44B9">
              <w:rPr>
                <w:webHidden/>
              </w:rPr>
              <w:fldChar w:fldCharType="separate"/>
            </w:r>
            <w:r w:rsidR="00673FCE">
              <w:rPr>
                <w:webHidden/>
              </w:rPr>
              <w:t>3</w:t>
            </w:r>
            <w:r w:rsidR="00D2799B" w:rsidRPr="001C44B9">
              <w:rPr>
                <w:webHidden/>
              </w:rPr>
              <w:fldChar w:fldCharType="end"/>
            </w:r>
          </w:hyperlink>
        </w:p>
        <w:p w14:paraId="12AA3C27" w14:textId="5D7F5C20" w:rsidR="00D2799B" w:rsidRPr="00DF0F5D" w:rsidRDefault="00AE71A3" w:rsidP="001C44B9">
          <w:pPr>
            <w:pStyle w:val="TOC2"/>
            <w:rPr>
              <w:rFonts w:eastAsiaTheme="minorEastAsia"/>
              <w:bCs/>
            </w:rPr>
          </w:pPr>
          <w:hyperlink w:anchor="_Toc13747272" w:history="1">
            <w:r w:rsidR="00D2799B" w:rsidRPr="00DF0F5D">
              <w:rPr>
                <w:rStyle w:val="Hyperlink"/>
                <w:rFonts w:cstheme="minorHAnsi"/>
                <w:lang w:val="en-US"/>
              </w:rPr>
              <w:t>1.2.</w:t>
            </w:r>
            <w:r w:rsidR="001C44B9">
              <w:rPr>
                <w:rFonts w:eastAsiaTheme="minorEastAsia"/>
                <w:bCs/>
              </w:rPr>
              <w:t xml:space="preserve"> </w:t>
            </w:r>
            <w:r w:rsidR="00D2799B" w:rsidRPr="00DF0F5D">
              <w:rPr>
                <w:rStyle w:val="Hyperlink"/>
                <w:rFonts w:cstheme="minorHAnsi"/>
                <w:lang w:val="en-US"/>
              </w:rPr>
              <w:t>Women are underrepresented in the justice system</w:t>
            </w:r>
            <w:r w:rsidR="00D2799B" w:rsidRPr="00DF0F5D">
              <w:rPr>
                <w:webHidden/>
              </w:rPr>
              <w:tab/>
            </w:r>
            <w:r w:rsidR="00D2799B" w:rsidRPr="00DF0F5D">
              <w:rPr>
                <w:webHidden/>
              </w:rPr>
              <w:fldChar w:fldCharType="begin"/>
            </w:r>
            <w:r w:rsidR="00D2799B" w:rsidRPr="00DF0F5D">
              <w:rPr>
                <w:webHidden/>
              </w:rPr>
              <w:instrText xml:space="preserve"> PAGEREF _Toc13747272 \h </w:instrText>
            </w:r>
            <w:r w:rsidR="00D2799B" w:rsidRPr="00DF0F5D">
              <w:rPr>
                <w:webHidden/>
              </w:rPr>
            </w:r>
            <w:r w:rsidR="00D2799B" w:rsidRPr="00DF0F5D">
              <w:rPr>
                <w:webHidden/>
              </w:rPr>
              <w:fldChar w:fldCharType="separate"/>
            </w:r>
            <w:r w:rsidR="00673FCE">
              <w:rPr>
                <w:webHidden/>
              </w:rPr>
              <w:t>4</w:t>
            </w:r>
            <w:r w:rsidR="00D2799B" w:rsidRPr="00DF0F5D">
              <w:rPr>
                <w:webHidden/>
              </w:rPr>
              <w:fldChar w:fldCharType="end"/>
            </w:r>
          </w:hyperlink>
        </w:p>
        <w:p w14:paraId="27D25120" w14:textId="22753977" w:rsidR="00D2799B" w:rsidRPr="00DF0F5D" w:rsidRDefault="00AE71A3" w:rsidP="001C44B9">
          <w:pPr>
            <w:pStyle w:val="TOC2"/>
            <w:rPr>
              <w:rFonts w:eastAsiaTheme="minorEastAsia"/>
              <w:bCs/>
            </w:rPr>
          </w:pPr>
          <w:hyperlink w:anchor="_Toc13747273" w:history="1">
            <w:r w:rsidR="00D2799B" w:rsidRPr="00DF0F5D">
              <w:rPr>
                <w:rStyle w:val="Hyperlink"/>
                <w:rFonts w:cstheme="minorHAnsi"/>
                <w:lang w:val="en-US"/>
              </w:rPr>
              <w:t>1.3.</w:t>
            </w:r>
            <w:r w:rsidR="00D2799B" w:rsidRPr="00DF0F5D">
              <w:rPr>
                <w:rFonts w:eastAsiaTheme="minorEastAsia"/>
                <w:bCs/>
              </w:rPr>
              <w:tab/>
            </w:r>
            <w:r w:rsidR="00D2799B" w:rsidRPr="00DF0F5D">
              <w:rPr>
                <w:rStyle w:val="Hyperlink"/>
                <w:rFonts w:cstheme="minorHAnsi"/>
                <w:lang w:val="en-US"/>
              </w:rPr>
              <w:t>Discriminative attitudes and gender stereotyping are prevalent throughout the justice system</w:t>
            </w:r>
            <w:r w:rsidR="00D2799B" w:rsidRPr="00DF0F5D">
              <w:rPr>
                <w:webHidden/>
              </w:rPr>
              <w:tab/>
            </w:r>
            <w:r w:rsidR="00D2799B" w:rsidRPr="00DF0F5D">
              <w:rPr>
                <w:webHidden/>
              </w:rPr>
              <w:fldChar w:fldCharType="begin"/>
            </w:r>
            <w:r w:rsidR="00D2799B" w:rsidRPr="00DF0F5D">
              <w:rPr>
                <w:webHidden/>
              </w:rPr>
              <w:instrText xml:space="preserve"> PAGEREF _Toc13747273 \h </w:instrText>
            </w:r>
            <w:r w:rsidR="00D2799B" w:rsidRPr="00DF0F5D">
              <w:rPr>
                <w:webHidden/>
              </w:rPr>
            </w:r>
            <w:r w:rsidR="00D2799B" w:rsidRPr="00DF0F5D">
              <w:rPr>
                <w:webHidden/>
              </w:rPr>
              <w:fldChar w:fldCharType="separate"/>
            </w:r>
            <w:r w:rsidR="00673FCE">
              <w:rPr>
                <w:webHidden/>
              </w:rPr>
              <w:t>5</w:t>
            </w:r>
            <w:r w:rsidR="00D2799B" w:rsidRPr="00DF0F5D">
              <w:rPr>
                <w:webHidden/>
              </w:rPr>
              <w:fldChar w:fldCharType="end"/>
            </w:r>
          </w:hyperlink>
        </w:p>
        <w:p w14:paraId="4A7F11DD" w14:textId="210EF214" w:rsidR="00D2799B" w:rsidRPr="00DF0F5D" w:rsidRDefault="00AE71A3" w:rsidP="001C44B9">
          <w:pPr>
            <w:pStyle w:val="TOC2"/>
            <w:rPr>
              <w:rFonts w:eastAsiaTheme="minorEastAsia"/>
              <w:bCs/>
            </w:rPr>
          </w:pPr>
          <w:hyperlink w:anchor="_Toc13747274" w:history="1">
            <w:r w:rsidR="00D2799B" w:rsidRPr="00DF0F5D">
              <w:rPr>
                <w:rStyle w:val="Hyperlink"/>
                <w:rFonts w:cstheme="minorHAnsi"/>
                <w:lang w:val="en-US"/>
              </w:rPr>
              <w:t>1.4.</w:t>
            </w:r>
            <w:r w:rsidR="001C44B9">
              <w:rPr>
                <w:rFonts w:eastAsiaTheme="minorEastAsia"/>
                <w:bCs/>
              </w:rPr>
              <w:t xml:space="preserve"> </w:t>
            </w:r>
            <w:r w:rsidR="00D2799B" w:rsidRPr="00DF0F5D">
              <w:rPr>
                <w:rStyle w:val="Hyperlink"/>
                <w:rFonts w:cstheme="minorHAnsi"/>
                <w:lang w:val="en-US"/>
              </w:rPr>
              <w:t>Corruption and rampant impunity abjectly inhibit women’s access to justice</w:t>
            </w:r>
            <w:r w:rsidR="00D2799B" w:rsidRPr="00DF0F5D">
              <w:rPr>
                <w:webHidden/>
              </w:rPr>
              <w:tab/>
            </w:r>
            <w:r w:rsidR="00D2799B" w:rsidRPr="00DF0F5D">
              <w:rPr>
                <w:webHidden/>
              </w:rPr>
              <w:fldChar w:fldCharType="begin"/>
            </w:r>
            <w:r w:rsidR="00D2799B" w:rsidRPr="00DF0F5D">
              <w:rPr>
                <w:webHidden/>
              </w:rPr>
              <w:instrText xml:space="preserve"> PAGEREF _Toc13747274 \h </w:instrText>
            </w:r>
            <w:r w:rsidR="00D2799B" w:rsidRPr="00DF0F5D">
              <w:rPr>
                <w:webHidden/>
              </w:rPr>
            </w:r>
            <w:r w:rsidR="00D2799B" w:rsidRPr="00DF0F5D">
              <w:rPr>
                <w:webHidden/>
              </w:rPr>
              <w:fldChar w:fldCharType="separate"/>
            </w:r>
            <w:r w:rsidR="00673FCE">
              <w:rPr>
                <w:webHidden/>
              </w:rPr>
              <w:t>6</w:t>
            </w:r>
            <w:r w:rsidR="00D2799B" w:rsidRPr="00DF0F5D">
              <w:rPr>
                <w:webHidden/>
              </w:rPr>
              <w:fldChar w:fldCharType="end"/>
            </w:r>
          </w:hyperlink>
        </w:p>
        <w:p w14:paraId="07DD31F1" w14:textId="52669766" w:rsidR="00D2799B" w:rsidRPr="00DF0F5D" w:rsidRDefault="00AE71A3" w:rsidP="00D2799B">
          <w:pPr>
            <w:pStyle w:val="TOC1"/>
            <w:tabs>
              <w:tab w:val="left" w:pos="480"/>
              <w:tab w:val="right" w:leader="dot" w:pos="9010"/>
            </w:tabs>
            <w:rPr>
              <w:rFonts w:eastAsiaTheme="minorEastAsia"/>
              <w:bCs/>
              <w:i/>
              <w:iCs/>
              <w:noProof/>
            </w:rPr>
          </w:pPr>
          <w:hyperlink w:anchor="_Toc13747277" w:history="1">
            <w:r w:rsidR="00D2799B" w:rsidRPr="00DF0F5D">
              <w:rPr>
                <w:rStyle w:val="Hyperlink"/>
                <w:rFonts w:cstheme="minorHAnsi"/>
                <w:noProof/>
                <w:lang w:val="en-US"/>
              </w:rPr>
              <w:t>2.</w:t>
            </w:r>
            <w:r w:rsidR="00D2799B" w:rsidRPr="00DF0F5D">
              <w:rPr>
                <w:rFonts w:eastAsiaTheme="minorEastAsia"/>
                <w:bCs/>
                <w:i/>
                <w:iCs/>
                <w:noProof/>
              </w:rPr>
              <w:tab/>
            </w:r>
            <w:r w:rsidR="00D2799B" w:rsidRPr="00DF0F5D">
              <w:rPr>
                <w:rStyle w:val="Hyperlink"/>
                <w:rFonts w:cstheme="minorHAnsi"/>
                <w:noProof/>
                <w:lang w:val="en-US"/>
              </w:rPr>
              <w:t>Economic, Social and Practical Barriers to Access to Justice</w:t>
            </w:r>
            <w:r w:rsidR="00D2799B" w:rsidRPr="00DF0F5D">
              <w:rPr>
                <w:noProof/>
                <w:webHidden/>
              </w:rPr>
              <w:tab/>
            </w:r>
            <w:r w:rsidR="00D2799B" w:rsidRPr="00DF0F5D">
              <w:rPr>
                <w:noProof/>
                <w:webHidden/>
              </w:rPr>
              <w:fldChar w:fldCharType="begin"/>
            </w:r>
            <w:r w:rsidR="00D2799B" w:rsidRPr="00DF0F5D">
              <w:rPr>
                <w:noProof/>
                <w:webHidden/>
              </w:rPr>
              <w:instrText xml:space="preserve"> PAGEREF _Toc13747277 \h </w:instrText>
            </w:r>
            <w:r w:rsidR="00D2799B" w:rsidRPr="00DF0F5D">
              <w:rPr>
                <w:noProof/>
                <w:webHidden/>
              </w:rPr>
            </w:r>
            <w:r w:rsidR="00D2799B" w:rsidRPr="00DF0F5D">
              <w:rPr>
                <w:noProof/>
                <w:webHidden/>
              </w:rPr>
              <w:fldChar w:fldCharType="separate"/>
            </w:r>
            <w:r w:rsidR="00673FCE">
              <w:rPr>
                <w:noProof/>
                <w:webHidden/>
              </w:rPr>
              <w:t>8</w:t>
            </w:r>
            <w:r w:rsidR="00D2799B" w:rsidRPr="00DF0F5D">
              <w:rPr>
                <w:noProof/>
                <w:webHidden/>
              </w:rPr>
              <w:fldChar w:fldCharType="end"/>
            </w:r>
          </w:hyperlink>
        </w:p>
        <w:p w14:paraId="4BD1982F" w14:textId="3A6F8C62" w:rsidR="00D2799B" w:rsidRPr="00DF0F5D" w:rsidRDefault="00AE71A3" w:rsidP="001C44B9">
          <w:pPr>
            <w:pStyle w:val="TOC2"/>
            <w:rPr>
              <w:rFonts w:eastAsiaTheme="minorEastAsia"/>
              <w:bCs/>
            </w:rPr>
          </w:pPr>
          <w:hyperlink w:anchor="_Toc13747278" w:history="1">
            <w:r w:rsidR="00D2799B" w:rsidRPr="00DF0F5D">
              <w:rPr>
                <w:rStyle w:val="Hyperlink"/>
                <w:rFonts w:cstheme="minorHAnsi"/>
                <w:lang w:val="en-US"/>
              </w:rPr>
              <w:t>2.1.</w:t>
            </w:r>
            <w:r w:rsidR="001C44B9">
              <w:rPr>
                <w:rFonts w:eastAsiaTheme="minorEastAsia"/>
                <w:bCs/>
              </w:rPr>
              <w:t xml:space="preserve"> </w:t>
            </w:r>
            <w:r w:rsidR="00D2799B" w:rsidRPr="00DF0F5D">
              <w:rPr>
                <w:rStyle w:val="Hyperlink"/>
                <w:rFonts w:cstheme="minorHAnsi"/>
                <w:lang w:val="en-US"/>
              </w:rPr>
              <w:t>Inadequate legal aid provisions disproportionately affect women</w:t>
            </w:r>
            <w:r w:rsidR="00D2799B" w:rsidRPr="00DF0F5D">
              <w:rPr>
                <w:webHidden/>
              </w:rPr>
              <w:tab/>
            </w:r>
            <w:r w:rsidR="00D2799B" w:rsidRPr="00DF0F5D">
              <w:rPr>
                <w:webHidden/>
              </w:rPr>
              <w:fldChar w:fldCharType="begin"/>
            </w:r>
            <w:r w:rsidR="00D2799B" w:rsidRPr="00DF0F5D">
              <w:rPr>
                <w:webHidden/>
              </w:rPr>
              <w:instrText xml:space="preserve"> PAGEREF _Toc13747278 \h </w:instrText>
            </w:r>
            <w:r w:rsidR="00D2799B" w:rsidRPr="00DF0F5D">
              <w:rPr>
                <w:webHidden/>
              </w:rPr>
            </w:r>
            <w:r w:rsidR="00D2799B" w:rsidRPr="00DF0F5D">
              <w:rPr>
                <w:webHidden/>
              </w:rPr>
              <w:fldChar w:fldCharType="separate"/>
            </w:r>
            <w:r w:rsidR="00673FCE">
              <w:rPr>
                <w:webHidden/>
              </w:rPr>
              <w:t>8</w:t>
            </w:r>
            <w:r w:rsidR="00D2799B" w:rsidRPr="00DF0F5D">
              <w:rPr>
                <w:webHidden/>
              </w:rPr>
              <w:fldChar w:fldCharType="end"/>
            </w:r>
          </w:hyperlink>
        </w:p>
        <w:p w14:paraId="42C80E4D" w14:textId="370CD843" w:rsidR="00D2799B" w:rsidRPr="00DF0F5D" w:rsidRDefault="00AE71A3" w:rsidP="001C44B9">
          <w:pPr>
            <w:pStyle w:val="TOC2"/>
            <w:rPr>
              <w:rFonts w:eastAsiaTheme="minorEastAsia"/>
              <w:bCs/>
            </w:rPr>
          </w:pPr>
          <w:hyperlink w:anchor="_Toc13747279" w:history="1">
            <w:r w:rsidR="00D2799B" w:rsidRPr="00DF0F5D">
              <w:rPr>
                <w:rStyle w:val="Hyperlink"/>
                <w:rFonts w:cstheme="minorHAnsi"/>
                <w:lang w:val="en-US"/>
              </w:rPr>
              <w:t>2.2 Attitudes regarding marriage and the family result in pressure to use informal mediation to address incidents of domestic violence</w:t>
            </w:r>
            <w:r w:rsidR="00D2799B" w:rsidRPr="00DF0F5D">
              <w:rPr>
                <w:webHidden/>
              </w:rPr>
              <w:tab/>
            </w:r>
            <w:r w:rsidR="00D2799B" w:rsidRPr="00DF0F5D">
              <w:rPr>
                <w:webHidden/>
              </w:rPr>
              <w:fldChar w:fldCharType="begin"/>
            </w:r>
            <w:r w:rsidR="00D2799B" w:rsidRPr="00DF0F5D">
              <w:rPr>
                <w:webHidden/>
              </w:rPr>
              <w:instrText xml:space="preserve"> PAGEREF _Toc13747279 \h </w:instrText>
            </w:r>
            <w:r w:rsidR="00D2799B" w:rsidRPr="00DF0F5D">
              <w:rPr>
                <w:webHidden/>
              </w:rPr>
            </w:r>
            <w:r w:rsidR="00D2799B" w:rsidRPr="00DF0F5D">
              <w:rPr>
                <w:webHidden/>
              </w:rPr>
              <w:fldChar w:fldCharType="separate"/>
            </w:r>
            <w:r w:rsidR="00673FCE">
              <w:rPr>
                <w:webHidden/>
              </w:rPr>
              <w:t>10</w:t>
            </w:r>
            <w:r w:rsidR="00D2799B" w:rsidRPr="00DF0F5D">
              <w:rPr>
                <w:webHidden/>
              </w:rPr>
              <w:fldChar w:fldCharType="end"/>
            </w:r>
          </w:hyperlink>
        </w:p>
        <w:p w14:paraId="0FD987E7" w14:textId="34CA2262" w:rsidR="00D2799B" w:rsidRPr="00DF0F5D" w:rsidRDefault="00AE71A3" w:rsidP="00D2799B">
          <w:pPr>
            <w:pStyle w:val="TOC1"/>
            <w:tabs>
              <w:tab w:val="right" w:leader="dot" w:pos="9010"/>
            </w:tabs>
            <w:rPr>
              <w:rFonts w:eastAsiaTheme="minorEastAsia"/>
              <w:bCs/>
              <w:i/>
              <w:iCs/>
              <w:noProof/>
            </w:rPr>
          </w:pPr>
          <w:hyperlink w:anchor="_Toc13747280" w:history="1">
            <w:r w:rsidR="00D2799B" w:rsidRPr="00DF0F5D">
              <w:rPr>
                <w:rStyle w:val="Hyperlink"/>
                <w:rFonts w:cstheme="minorHAnsi"/>
                <w:noProof/>
                <w:lang w:val="en-US"/>
              </w:rPr>
              <w:t xml:space="preserve">3. </w:t>
            </w:r>
            <w:r w:rsidR="00D2799B" w:rsidRPr="00DF0F5D">
              <w:rPr>
                <w:rStyle w:val="Hyperlink"/>
                <w:rFonts w:cstheme="minorHAnsi"/>
                <w:noProof/>
              </w:rPr>
              <w:t>Intersectional Barriers to Access to Justice</w:t>
            </w:r>
            <w:r w:rsidR="00D2799B" w:rsidRPr="00DF0F5D">
              <w:rPr>
                <w:noProof/>
                <w:webHidden/>
              </w:rPr>
              <w:tab/>
            </w:r>
            <w:r w:rsidR="00D2799B" w:rsidRPr="00DF0F5D">
              <w:rPr>
                <w:noProof/>
                <w:webHidden/>
              </w:rPr>
              <w:fldChar w:fldCharType="begin"/>
            </w:r>
            <w:r w:rsidR="00D2799B" w:rsidRPr="00DF0F5D">
              <w:rPr>
                <w:noProof/>
                <w:webHidden/>
              </w:rPr>
              <w:instrText xml:space="preserve"> PAGEREF _Toc13747280 \h </w:instrText>
            </w:r>
            <w:r w:rsidR="00D2799B" w:rsidRPr="00DF0F5D">
              <w:rPr>
                <w:noProof/>
                <w:webHidden/>
              </w:rPr>
            </w:r>
            <w:r w:rsidR="00D2799B" w:rsidRPr="00DF0F5D">
              <w:rPr>
                <w:noProof/>
                <w:webHidden/>
              </w:rPr>
              <w:fldChar w:fldCharType="separate"/>
            </w:r>
            <w:r w:rsidR="00673FCE">
              <w:rPr>
                <w:noProof/>
                <w:webHidden/>
              </w:rPr>
              <w:t>11</w:t>
            </w:r>
            <w:r w:rsidR="00D2799B" w:rsidRPr="00DF0F5D">
              <w:rPr>
                <w:noProof/>
                <w:webHidden/>
              </w:rPr>
              <w:fldChar w:fldCharType="end"/>
            </w:r>
          </w:hyperlink>
        </w:p>
        <w:p w14:paraId="273F59EC" w14:textId="16320F81" w:rsidR="00D2799B" w:rsidRPr="00DF0F5D" w:rsidRDefault="00AE71A3" w:rsidP="001C44B9">
          <w:pPr>
            <w:pStyle w:val="TOC2"/>
            <w:rPr>
              <w:rFonts w:eastAsiaTheme="minorEastAsia"/>
              <w:bCs/>
            </w:rPr>
          </w:pPr>
          <w:hyperlink w:anchor="_Toc13747281" w:history="1">
            <w:r w:rsidR="00D2799B" w:rsidRPr="00DF0F5D">
              <w:rPr>
                <w:rStyle w:val="Hyperlink"/>
                <w:rFonts w:cstheme="minorHAnsi"/>
                <w:lang w:val="en-US"/>
              </w:rPr>
              <w:t>3.1.</w:t>
            </w:r>
            <w:r w:rsidR="001C44B9">
              <w:rPr>
                <w:rFonts w:eastAsiaTheme="minorEastAsia"/>
                <w:bCs/>
              </w:rPr>
              <w:t xml:space="preserve"> </w:t>
            </w:r>
            <w:r w:rsidR="00D2799B" w:rsidRPr="00DF0F5D">
              <w:rPr>
                <w:rStyle w:val="Hyperlink"/>
                <w:rFonts w:cstheme="minorHAnsi"/>
                <w:lang w:val="en-US"/>
              </w:rPr>
              <w:t>Rural women</w:t>
            </w:r>
            <w:r w:rsidR="00D2799B" w:rsidRPr="00DF0F5D">
              <w:rPr>
                <w:webHidden/>
              </w:rPr>
              <w:tab/>
            </w:r>
            <w:r w:rsidR="00D2799B" w:rsidRPr="00DF0F5D">
              <w:rPr>
                <w:webHidden/>
              </w:rPr>
              <w:fldChar w:fldCharType="begin"/>
            </w:r>
            <w:r w:rsidR="00D2799B" w:rsidRPr="00DF0F5D">
              <w:rPr>
                <w:webHidden/>
              </w:rPr>
              <w:instrText xml:space="preserve"> PAGEREF _Toc13747281 \h </w:instrText>
            </w:r>
            <w:r w:rsidR="00D2799B" w:rsidRPr="00DF0F5D">
              <w:rPr>
                <w:webHidden/>
              </w:rPr>
            </w:r>
            <w:r w:rsidR="00D2799B" w:rsidRPr="00DF0F5D">
              <w:rPr>
                <w:webHidden/>
              </w:rPr>
              <w:fldChar w:fldCharType="separate"/>
            </w:r>
            <w:r w:rsidR="00673FCE">
              <w:rPr>
                <w:webHidden/>
              </w:rPr>
              <w:t>11</w:t>
            </w:r>
            <w:r w:rsidR="00D2799B" w:rsidRPr="00DF0F5D">
              <w:rPr>
                <w:webHidden/>
              </w:rPr>
              <w:fldChar w:fldCharType="end"/>
            </w:r>
          </w:hyperlink>
        </w:p>
        <w:p w14:paraId="446984A2" w14:textId="4C951006" w:rsidR="00D2799B" w:rsidRPr="00DF0F5D" w:rsidRDefault="00AE71A3" w:rsidP="001C44B9">
          <w:pPr>
            <w:pStyle w:val="TOC2"/>
            <w:rPr>
              <w:rFonts w:eastAsiaTheme="minorEastAsia"/>
              <w:bCs/>
            </w:rPr>
          </w:pPr>
          <w:hyperlink w:anchor="_Toc13747282" w:history="1">
            <w:r w:rsidR="00D2799B" w:rsidRPr="00DF0F5D">
              <w:rPr>
                <w:rStyle w:val="Hyperlink"/>
                <w:rFonts w:cstheme="minorHAnsi"/>
                <w:lang w:val="en-US"/>
              </w:rPr>
              <w:t>3.2.</w:t>
            </w:r>
            <w:r w:rsidR="001C44B9">
              <w:rPr>
                <w:rFonts w:eastAsiaTheme="minorEastAsia"/>
                <w:bCs/>
              </w:rPr>
              <w:t xml:space="preserve"> </w:t>
            </w:r>
            <w:r w:rsidR="00D2799B" w:rsidRPr="00DF0F5D">
              <w:rPr>
                <w:rStyle w:val="Hyperlink"/>
                <w:rFonts w:cstheme="minorHAnsi"/>
                <w:lang w:val="en-US"/>
              </w:rPr>
              <w:t>Trafficked women</w:t>
            </w:r>
            <w:r w:rsidR="00D2799B" w:rsidRPr="00DF0F5D">
              <w:rPr>
                <w:webHidden/>
              </w:rPr>
              <w:tab/>
            </w:r>
            <w:r w:rsidR="00D2799B" w:rsidRPr="00DF0F5D">
              <w:rPr>
                <w:webHidden/>
              </w:rPr>
              <w:fldChar w:fldCharType="begin"/>
            </w:r>
            <w:r w:rsidR="00D2799B" w:rsidRPr="00DF0F5D">
              <w:rPr>
                <w:webHidden/>
              </w:rPr>
              <w:instrText xml:space="preserve"> PAGEREF _Toc13747282 \h </w:instrText>
            </w:r>
            <w:r w:rsidR="00D2799B" w:rsidRPr="00DF0F5D">
              <w:rPr>
                <w:webHidden/>
              </w:rPr>
            </w:r>
            <w:r w:rsidR="00D2799B" w:rsidRPr="00DF0F5D">
              <w:rPr>
                <w:webHidden/>
              </w:rPr>
              <w:fldChar w:fldCharType="separate"/>
            </w:r>
            <w:r w:rsidR="00673FCE">
              <w:rPr>
                <w:webHidden/>
              </w:rPr>
              <w:t>11</w:t>
            </w:r>
            <w:r w:rsidR="00D2799B" w:rsidRPr="00DF0F5D">
              <w:rPr>
                <w:webHidden/>
              </w:rPr>
              <w:fldChar w:fldCharType="end"/>
            </w:r>
          </w:hyperlink>
        </w:p>
        <w:p w14:paraId="1F1202C9" w14:textId="18713577" w:rsidR="00D2799B" w:rsidRPr="00DF0F5D" w:rsidRDefault="00AE71A3" w:rsidP="001C44B9">
          <w:pPr>
            <w:pStyle w:val="TOC2"/>
            <w:rPr>
              <w:rFonts w:eastAsiaTheme="minorEastAsia"/>
              <w:bCs/>
            </w:rPr>
          </w:pPr>
          <w:hyperlink w:anchor="_Toc13747283" w:history="1">
            <w:r w:rsidR="00D2799B" w:rsidRPr="00DF0F5D">
              <w:rPr>
                <w:rStyle w:val="Hyperlink"/>
                <w:rFonts w:cstheme="minorHAnsi"/>
                <w:lang w:val="en-US"/>
              </w:rPr>
              <w:t>3.3.</w:t>
            </w:r>
            <w:r w:rsidR="001C44B9">
              <w:rPr>
                <w:rFonts w:eastAsiaTheme="minorEastAsia"/>
                <w:bCs/>
              </w:rPr>
              <w:t xml:space="preserve"> </w:t>
            </w:r>
            <w:r w:rsidR="00D2799B" w:rsidRPr="00DF0F5D">
              <w:rPr>
                <w:rStyle w:val="Hyperlink"/>
                <w:rFonts w:cstheme="minorHAnsi"/>
                <w:lang w:val="en-US"/>
              </w:rPr>
              <w:t>LGBTIQ women</w:t>
            </w:r>
            <w:r w:rsidR="00D2799B" w:rsidRPr="00DF0F5D">
              <w:rPr>
                <w:webHidden/>
              </w:rPr>
              <w:tab/>
            </w:r>
            <w:r w:rsidR="00D2799B" w:rsidRPr="00DF0F5D">
              <w:rPr>
                <w:webHidden/>
              </w:rPr>
              <w:fldChar w:fldCharType="begin"/>
            </w:r>
            <w:r w:rsidR="00D2799B" w:rsidRPr="00DF0F5D">
              <w:rPr>
                <w:webHidden/>
              </w:rPr>
              <w:instrText xml:space="preserve"> PAGEREF _Toc13747283 \h </w:instrText>
            </w:r>
            <w:r w:rsidR="00D2799B" w:rsidRPr="00DF0F5D">
              <w:rPr>
                <w:webHidden/>
              </w:rPr>
            </w:r>
            <w:r w:rsidR="00D2799B" w:rsidRPr="00DF0F5D">
              <w:rPr>
                <w:webHidden/>
              </w:rPr>
              <w:fldChar w:fldCharType="separate"/>
            </w:r>
            <w:r w:rsidR="00673FCE">
              <w:rPr>
                <w:webHidden/>
              </w:rPr>
              <w:t>13</w:t>
            </w:r>
            <w:r w:rsidR="00D2799B" w:rsidRPr="00DF0F5D">
              <w:rPr>
                <w:webHidden/>
              </w:rPr>
              <w:fldChar w:fldCharType="end"/>
            </w:r>
          </w:hyperlink>
        </w:p>
        <w:p w14:paraId="11019AE2" w14:textId="4D70168E" w:rsidR="00D2799B" w:rsidRPr="00DF0F5D" w:rsidRDefault="00AE71A3" w:rsidP="00D2799B">
          <w:pPr>
            <w:pStyle w:val="TOC1"/>
            <w:tabs>
              <w:tab w:val="left" w:pos="480"/>
              <w:tab w:val="right" w:leader="dot" w:pos="9010"/>
            </w:tabs>
            <w:rPr>
              <w:rFonts w:eastAsiaTheme="minorEastAsia"/>
              <w:bCs/>
              <w:i/>
              <w:iCs/>
              <w:noProof/>
            </w:rPr>
          </w:pPr>
          <w:hyperlink w:anchor="_Toc13747284" w:history="1">
            <w:r w:rsidR="00D2799B" w:rsidRPr="00DF0F5D">
              <w:rPr>
                <w:rStyle w:val="Hyperlink"/>
                <w:rFonts w:cstheme="minorHAnsi"/>
                <w:noProof/>
                <w:lang w:val="en-US"/>
              </w:rPr>
              <w:t>4.</w:t>
            </w:r>
            <w:r w:rsidR="00D2799B" w:rsidRPr="00DF0F5D">
              <w:rPr>
                <w:rFonts w:eastAsiaTheme="minorEastAsia"/>
                <w:bCs/>
                <w:i/>
                <w:iCs/>
                <w:noProof/>
              </w:rPr>
              <w:tab/>
            </w:r>
            <w:r w:rsidR="00D2799B" w:rsidRPr="00DF0F5D">
              <w:rPr>
                <w:rStyle w:val="Hyperlink"/>
                <w:rFonts w:cstheme="minorHAnsi"/>
                <w:noProof/>
                <w:lang w:val="en-US"/>
              </w:rPr>
              <w:t>Incarcerated Women</w:t>
            </w:r>
            <w:r w:rsidR="00D2799B" w:rsidRPr="00DF0F5D">
              <w:rPr>
                <w:noProof/>
                <w:webHidden/>
              </w:rPr>
              <w:tab/>
            </w:r>
            <w:r w:rsidR="00D2799B" w:rsidRPr="00DF0F5D">
              <w:rPr>
                <w:noProof/>
                <w:webHidden/>
              </w:rPr>
              <w:fldChar w:fldCharType="begin"/>
            </w:r>
            <w:r w:rsidR="00D2799B" w:rsidRPr="00DF0F5D">
              <w:rPr>
                <w:noProof/>
                <w:webHidden/>
              </w:rPr>
              <w:instrText xml:space="preserve"> PAGEREF _Toc13747284 \h </w:instrText>
            </w:r>
            <w:r w:rsidR="00D2799B" w:rsidRPr="00DF0F5D">
              <w:rPr>
                <w:noProof/>
                <w:webHidden/>
              </w:rPr>
            </w:r>
            <w:r w:rsidR="00D2799B" w:rsidRPr="00DF0F5D">
              <w:rPr>
                <w:noProof/>
                <w:webHidden/>
              </w:rPr>
              <w:fldChar w:fldCharType="separate"/>
            </w:r>
            <w:r w:rsidR="00673FCE">
              <w:rPr>
                <w:noProof/>
                <w:webHidden/>
              </w:rPr>
              <w:t>13</w:t>
            </w:r>
            <w:r w:rsidR="00D2799B" w:rsidRPr="00DF0F5D">
              <w:rPr>
                <w:noProof/>
                <w:webHidden/>
              </w:rPr>
              <w:fldChar w:fldCharType="end"/>
            </w:r>
          </w:hyperlink>
        </w:p>
        <w:p w14:paraId="059F9CFB" w14:textId="7F3543EE" w:rsidR="00D2799B" w:rsidRPr="00DF0F5D" w:rsidRDefault="00AE71A3" w:rsidP="001C44B9">
          <w:pPr>
            <w:pStyle w:val="TOC2"/>
            <w:rPr>
              <w:rFonts w:eastAsiaTheme="minorEastAsia"/>
              <w:bCs/>
            </w:rPr>
          </w:pPr>
          <w:hyperlink w:anchor="_Toc13747285" w:history="1">
            <w:r w:rsidR="00D2799B" w:rsidRPr="00DF0F5D">
              <w:rPr>
                <w:rStyle w:val="Hyperlink"/>
                <w:rFonts w:cstheme="minorHAnsi"/>
                <w:lang w:val="en-US"/>
              </w:rPr>
              <w:t>4.1.</w:t>
            </w:r>
            <w:r w:rsidR="001C44B9">
              <w:rPr>
                <w:rFonts w:eastAsiaTheme="minorEastAsia"/>
                <w:bCs/>
              </w:rPr>
              <w:t xml:space="preserve"> </w:t>
            </w:r>
            <w:r w:rsidR="00D2799B" w:rsidRPr="00DF0F5D">
              <w:rPr>
                <w:rStyle w:val="Hyperlink"/>
                <w:rFonts w:cstheme="minorHAnsi"/>
                <w:lang w:val="en-US"/>
              </w:rPr>
              <w:t>Corruption leads to serious human rights abuses against female defendants</w:t>
            </w:r>
            <w:r w:rsidR="00D2799B" w:rsidRPr="00DF0F5D">
              <w:rPr>
                <w:webHidden/>
              </w:rPr>
              <w:tab/>
            </w:r>
            <w:r w:rsidR="00D2799B" w:rsidRPr="00DF0F5D">
              <w:rPr>
                <w:webHidden/>
              </w:rPr>
              <w:fldChar w:fldCharType="begin"/>
            </w:r>
            <w:r w:rsidR="00D2799B" w:rsidRPr="00DF0F5D">
              <w:rPr>
                <w:webHidden/>
              </w:rPr>
              <w:instrText xml:space="preserve"> PAGEREF _Toc13747285 \h </w:instrText>
            </w:r>
            <w:r w:rsidR="00D2799B" w:rsidRPr="00DF0F5D">
              <w:rPr>
                <w:webHidden/>
              </w:rPr>
            </w:r>
            <w:r w:rsidR="00D2799B" w:rsidRPr="00DF0F5D">
              <w:rPr>
                <w:webHidden/>
              </w:rPr>
              <w:fldChar w:fldCharType="separate"/>
            </w:r>
            <w:r w:rsidR="00673FCE">
              <w:rPr>
                <w:webHidden/>
              </w:rPr>
              <w:t>14</w:t>
            </w:r>
            <w:r w:rsidR="00D2799B" w:rsidRPr="00DF0F5D">
              <w:rPr>
                <w:webHidden/>
              </w:rPr>
              <w:fldChar w:fldCharType="end"/>
            </w:r>
          </w:hyperlink>
        </w:p>
        <w:p w14:paraId="57560A98" w14:textId="63C35AD0" w:rsidR="00D2799B" w:rsidRPr="00DF0F5D" w:rsidRDefault="00AE71A3" w:rsidP="001C44B9">
          <w:pPr>
            <w:pStyle w:val="TOC2"/>
            <w:rPr>
              <w:rFonts w:eastAsiaTheme="minorEastAsia"/>
              <w:bCs/>
            </w:rPr>
          </w:pPr>
          <w:hyperlink w:anchor="_Toc13747286" w:history="1">
            <w:r w:rsidR="00D2799B" w:rsidRPr="00DF0F5D">
              <w:rPr>
                <w:rStyle w:val="Hyperlink"/>
                <w:rFonts w:cstheme="minorHAnsi"/>
                <w:lang w:val="en-US"/>
              </w:rPr>
              <w:t>4.2.</w:t>
            </w:r>
            <w:r w:rsidR="001C44B9">
              <w:rPr>
                <w:rFonts w:eastAsiaTheme="minorEastAsia"/>
                <w:bCs/>
              </w:rPr>
              <w:t xml:space="preserve"> </w:t>
            </w:r>
            <w:r w:rsidR="00D2799B" w:rsidRPr="00DF0F5D">
              <w:rPr>
                <w:rStyle w:val="Hyperlink"/>
                <w:rFonts w:cstheme="minorHAnsi"/>
                <w:lang w:val="en-US"/>
              </w:rPr>
              <w:t>The unnecessary incarceration of mothers and pregnant women has devastating effects</w:t>
            </w:r>
            <w:r w:rsidR="00D2799B" w:rsidRPr="00DF0F5D">
              <w:rPr>
                <w:webHidden/>
              </w:rPr>
              <w:tab/>
            </w:r>
            <w:r w:rsidR="00D2799B" w:rsidRPr="00DF0F5D">
              <w:rPr>
                <w:webHidden/>
              </w:rPr>
              <w:fldChar w:fldCharType="begin"/>
            </w:r>
            <w:r w:rsidR="00D2799B" w:rsidRPr="00DF0F5D">
              <w:rPr>
                <w:webHidden/>
              </w:rPr>
              <w:instrText xml:space="preserve"> PAGEREF _Toc13747286 \h </w:instrText>
            </w:r>
            <w:r w:rsidR="00D2799B" w:rsidRPr="00DF0F5D">
              <w:rPr>
                <w:webHidden/>
              </w:rPr>
            </w:r>
            <w:r w:rsidR="00D2799B" w:rsidRPr="00DF0F5D">
              <w:rPr>
                <w:webHidden/>
              </w:rPr>
              <w:fldChar w:fldCharType="separate"/>
            </w:r>
            <w:r w:rsidR="00673FCE">
              <w:rPr>
                <w:webHidden/>
              </w:rPr>
              <w:t>14</w:t>
            </w:r>
            <w:r w:rsidR="00D2799B" w:rsidRPr="00DF0F5D">
              <w:rPr>
                <w:webHidden/>
              </w:rPr>
              <w:fldChar w:fldCharType="end"/>
            </w:r>
          </w:hyperlink>
        </w:p>
        <w:p w14:paraId="1AE15904" w14:textId="3988BB1D" w:rsidR="00D2799B" w:rsidRPr="00DF0F5D" w:rsidRDefault="00AE71A3" w:rsidP="00D2799B">
          <w:pPr>
            <w:pStyle w:val="TOC1"/>
            <w:tabs>
              <w:tab w:val="right" w:leader="dot" w:pos="9010"/>
            </w:tabs>
            <w:rPr>
              <w:rFonts w:eastAsiaTheme="minorEastAsia"/>
              <w:bCs/>
              <w:i/>
              <w:iCs/>
              <w:noProof/>
            </w:rPr>
          </w:pPr>
          <w:hyperlink w:anchor="_Toc13747287" w:history="1">
            <w:r w:rsidR="00D2799B" w:rsidRPr="00DF0F5D">
              <w:rPr>
                <w:rStyle w:val="Hyperlink"/>
                <w:rFonts w:cstheme="minorHAnsi"/>
                <w:noProof/>
                <w:lang w:val="en-US"/>
              </w:rPr>
              <w:t>5. Recommendations</w:t>
            </w:r>
            <w:r w:rsidR="00D2799B" w:rsidRPr="00DF0F5D">
              <w:rPr>
                <w:noProof/>
                <w:webHidden/>
              </w:rPr>
              <w:tab/>
            </w:r>
            <w:r w:rsidR="00D2799B" w:rsidRPr="00DF0F5D">
              <w:rPr>
                <w:noProof/>
                <w:webHidden/>
              </w:rPr>
              <w:fldChar w:fldCharType="begin"/>
            </w:r>
            <w:r w:rsidR="00D2799B" w:rsidRPr="00DF0F5D">
              <w:rPr>
                <w:noProof/>
                <w:webHidden/>
              </w:rPr>
              <w:instrText xml:space="preserve"> PAGEREF _Toc13747287 \h </w:instrText>
            </w:r>
            <w:r w:rsidR="00D2799B" w:rsidRPr="00DF0F5D">
              <w:rPr>
                <w:noProof/>
                <w:webHidden/>
              </w:rPr>
            </w:r>
            <w:r w:rsidR="00D2799B" w:rsidRPr="00DF0F5D">
              <w:rPr>
                <w:noProof/>
                <w:webHidden/>
              </w:rPr>
              <w:fldChar w:fldCharType="separate"/>
            </w:r>
            <w:r w:rsidR="00673FCE">
              <w:rPr>
                <w:noProof/>
                <w:webHidden/>
              </w:rPr>
              <w:t>16</w:t>
            </w:r>
            <w:r w:rsidR="00D2799B" w:rsidRPr="00DF0F5D">
              <w:rPr>
                <w:noProof/>
                <w:webHidden/>
              </w:rPr>
              <w:fldChar w:fldCharType="end"/>
            </w:r>
          </w:hyperlink>
        </w:p>
        <w:p w14:paraId="5220A23A" w14:textId="0B3DB687" w:rsidR="00D2799B" w:rsidRPr="00DF0F5D" w:rsidRDefault="00D2799B" w:rsidP="00D2799B">
          <w:r w:rsidRPr="00DF0F5D">
            <w:rPr>
              <w:bCs/>
              <w:noProof/>
            </w:rPr>
            <w:fldChar w:fldCharType="end"/>
          </w:r>
        </w:p>
      </w:sdtContent>
    </w:sdt>
    <w:p w14:paraId="48FC789E" w14:textId="77777777" w:rsidR="00D2799B" w:rsidRDefault="00D2799B" w:rsidP="00D2799B">
      <w:pPr>
        <w:rPr>
          <w:b/>
          <w:lang w:val="en-US"/>
        </w:rPr>
      </w:pPr>
    </w:p>
    <w:p w14:paraId="1BAD9610" w14:textId="0082F8DB" w:rsidR="00D2799B" w:rsidRDefault="00D2799B" w:rsidP="00D2799B">
      <w:pPr>
        <w:rPr>
          <w:b/>
          <w:lang w:val="en-US"/>
        </w:rPr>
      </w:pPr>
      <w:r>
        <w:rPr>
          <w:b/>
          <w:lang w:val="en-US"/>
        </w:rPr>
        <w:br w:type="page"/>
      </w:r>
    </w:p>
    <w:p w14:paraId="6D62A17A" w14:textId="77777777" w:rsidR="00D2799B" w:rsidRPr="004734EB" w:rsidRDefault="00D2799B" w:rsidP="00D2799B">
      <w:pPr>
        <w:spacing w:after="120" w:line="276" w:lineRule="auto"/>
        <w:jc w:val="center"/>
        <w:rPr>
          <w:b/>
          <w:lang w:val="en-US"/>
        </w:rPr>
      </w:pPr>
      <w:r w:rsidRPr="004734EB">
        <w:rPr>
          <w:b/>
          <w:lang w:val="en-US"/>
        </w:rPr>
        <w:lastRenderedPageBreak/>
        <w:t xml:space="preserve">ACCESS TO JUSTICE </w:t>
      </w:r>
    </w:p>
    <w:p w14:paraId="698D3941" w14:textId="78C03375" w:rsidR="00D2799B" w:rsidRPr="00BD2486" w:rsidRDefault="00D2799B" w:rsidP="00D2799B">
      <w:pPr>
        <w:spacing w:line="276" w:lineRule="auto"/>
        <w:jc w:val="both"/>
        <w:rPr>
          <w:rFonts w:ascii="Calibri" w:hAnsi="Calibri" w:cs="Calibri"/>
          <w:sz w:val="22"/>
          <w:szCs w:val="22"/>
          <w:lang w:val="en-US"/>
        </w:rPr>
      </w:pPr>
      <w:r w:rsidRPr="004734EB">
        <w:rPr>
          <w:sz w:val="22"/>
          <w:szCs w:val="22"/>
          <w:lang w:val="en-US"/>
        </w:rPr>
        <w:t>Cambodia’s judicial system is widely criticized as weak, ineffective and lacking independence</w:t>
      </w:r>
      <w:r>
        <w:rPr>
          <w:sz w:val="22"/>
          <w:szCs w:val="22"/>
          <w:lang w:val="en-US"/>
        </w:rPr>
        <w:t>,</w:t>
      </w:r>
      <w:r w:rsidRPr="004734EB">
        <w:rPr>
          <w:rStyle w:val="FootnoteReference"/>
          <w:sz w:val="22"/>
          <w:szCs w:val="22"/>
          <w:lang w:val="en-US"/>
        </w:rPr>
        <w:footnoteReference w:id="1"/>
      </w:r>
      <w:r w:rsidRPr="004734EB">
        <w:rPr>
          <w:sz w:val="22"/>
          <w:szCs w:val="22"/>
          <w:lang w:val="en-US"/>
        </w:rPr>
        <w:t xml:space="preserve"> which greatly interferes with the fulfilment of women’s rights. Patriarchal structures and discriminatory social norms weave a web of barriers to Cambodian women’s access to </w:t>
      </w:r>
      <w:r w:rsidRPr="004734EB">
        <w:rPr>
          <w:rFonts w:ascii="Calibri" w:hAnsi="Calibri" w:cs="Calibri"/>
          <w:sz w:val="22"/>
          <w:szCs w:val="22"/>
          <w:lang w:val="en-US"/>
        </w:rPr>
        <w:t>justice. Such barriers are both symptomatic of, and enable, women’s inequality.</w:t>
      </w:r>
    </w:p>
    <w:p w14:paraId="69DA5B70" w14:textId="77777777" w:rsidR="00D2799B" w:rsidRPr="00362F5D" w:rsidRDefault="00D2799B" w:rsidP="00D2799B">
      <w:pPr>
        <w:pStyle w:val="Heading1"/>
        <w:numPr>
          <w:ilvl w:val="0"/>
          <w:numId w:val="27"/>
        </w:numPr>
        <w:rPr>
          <w:rFonts w:asciiTheme="minorHAnsi" w:hAnsiTheme="minorHAnsi" w:cstheme="minorHAnsi"/>
          <w:b/>
          <w:color w:val="000000" w:themeColor="text1"/>
          <w:sz w:val="24"/>
          <w:szCs w:val="24"/>
          <w:u w:val="single"/>
          <w:lang w:val="en-US"/>
        </w:rPr>
      </w:pPr>
      <w:bookmarkStart w:id="1" w:name="_Toc13747269"/>
      <w:r w:rsidRPr="00362F5D">
        <w:rPr>
          <w:rFonts w:asciiTheme="minorHAnsi" w:hAnsiTheme="minorHAnsi" w:cstheme="minorHAnsi"/>
          <w:b/>
          <w:color w:val="000000" w:themeColor="text1"/>
          <w:sz w:val="24"/>
          <w:szCs w:val="24"/>
          <w:u w:val="single"/>
          <w:lang w:val="en-US"/>
        </w:rPr>
        <w:t>Legal, Institutional and Procedural Barriers to Access to Justice</w:t>
      </w:r>
      <w:bookmarkEnd w:id="1"/>
    </w:p>
    <w:p w14:paraId="78F2B5F2" w14:textId="77777777" w:rsidR="00D2799B" w:rsidRDefault="00D2799B" w:rsidP="00D2799B">
      <w:pPr>
        <w:spacing w:line="276" w:lineRule="auto"/>
        <w:jc w:val="both"/>
        <w:rPr>
          <w:sz w:val="22"/>
          <w:szCs w:val="22"/>
          <w:lang w:val="en-US"/>
        </w:rPr>
      </w:pPr>
    </w:p>
    <w:p w14:paraId="123AF216" w14:textId="77777777" w:rsidR="00D2799B" w:rsidRDefault="00D2799B" w:rsidP="00D2799B">
      <w:pPr>
        <w:spacing w:line="276" w:lineRule="auto"/>
        <w:jc w:val="both"/>
        <w:rPr>
          <w:sz w:val="22"/>
          <w:szCs w:val="22"/>
          <w:lang w:val="en-US"/>
        </w:rPr>
      </w:pPr>
      <w:r w:rsidRPr="004734EB">
        <w:rPr>
          <w:sz w:val="22"/>
          <w:szCs w:val="22"/>
          <w:lang w:val="en-US"/>
        </w:rPr>
        <w:t xml:space="preserve">Though Cambodian women are granted </w:t>
      </w:r>
      <w:r w:rsidRPr="004734EB">
        <w:rPr>
          <w:i/>
          <w:sz w:val="22"/>
          <w:szCs w:val="22"/>
          <w:lang w:val="en-US"/>
        </w:rPr>
        <w:t>de jure</w:t>
      </w:r>
      <w:r w:rsidRPr="004734EB">
        <w:rPr>
          <w:sz w:val="22"/>
          <w:szCs w:val="22"/>
          <w:lang w:val="en-US"/>
        </w:rPr>
        <w:t xml:space="preserve"> equality with men, they are </w:t>
      </w:r>
      <w:r w:rsidRPr="004734EB">
        <w:rPr>
          <w:i/>
          <w:sz w:val="22"/>
          <w:szCs w:val="22"/>
          <w:lang w:val="en-US"/>
        </w:rPr>
        <w:t>de facto</w:t>
      </w:r>
      <w:r w:rsidRPr="004734EB">
        <w:rPr>
          <w:sz w:val="22"/>
          <w:szCs w:val="22"/>
          <w:lang w:val="en-US"/>
        </w:rPr>
        <w:t xml:space="preserve"> denied access to such equality by a legal system that reflects a male-centric worldview.</w:t>
      </w:r>
    </w:p>
    <w:p w14:paraId="7A66027E" w14:textId="77777777" w:rsidR="00D2799B" w:rsidRPr="004734EB" w:rsidRDefault="00D2799B" w:rsidP="00D2799B">
      <w:pPr>
        <w:spacing w:line="276" w:lineRule="auto"/>
        <w:jc w:val="both"/>
        <w:rPr>
          <w:b/>
          <w:u w:val="single"/>
          <w:lang w:val="en-US"/>
        </w:rPr>
      </w:pPr>
    </w:p>
    <w:p w14:paraId="367A8712" w14:textId="77777777" w:rsidR="00D2799B" w:rsidRPr="00362F5D" w:rsidRDefault="00D2799B" w:rsidP="00D2799B">
      <w:pPr>
        <w:pStyle w:val="Heading2"/>
        <w:rPr>
          <w:rFonts w:asciiTheme="minorHAnsi" w:hAnsiTheme="minorHAnsi" w:cstheme="minorHAnsi"/>
          <w:color w:val="000000" w:themeColor="text1"/>
          <w:sz w:val="22"/>
          <w:szCs w:val="22"/>
          <w:lang w:val="en-US"/>
        </w:rPr>
      </w:pPr>
      <w:bookmarkStart w:id="2" w:name="_Toc13747270"/>
      <w:r w:rsidRPr="00362F5D">
        <w:rPr>
          <w:rFonts w:asciiTheme="minorHAnsi" w:hAnsiTheme="minorHAnsi" w:cstheme="minorHAnsi"/>
          <w:b/>
          <w:color w:val="000000" w:themeColor="text1"/>
          <w:sz w:val="22"/>
          <w:szCs w:val="22"/>
          <w:lang w:val="en-US"/>
        </w:rPr>
        <w:t>1.1.</w:t>
      </w:r>
      <w:bookmarkEnd w:id="2"/>
      <w:r>
        <w:rPr>
          <w:rFonts w:asciiTheme="minorHAnsi" w:hAnsiTheme="minorHAnsi" w:cstheme="minorHAnsi"/>
          <w:b/>
          <w:color w:val="000000" w:themeColor="text1"/>
          <w:sz w:val="22"/>
          <w:szCs w:val="22"/>
          <w:lang w:val="en-US"/>
        </w:rPr>
        <w:t xml:space="preserve"> </w:t>
      </w:r>
      <w:bookmarkStart w:id="3" w:name="_Toc13747271"/>
      <w:r w:rsidRPr="00362F5D">
        <w:rPr>
          <w:rFonts w:asciiTheme="minorHAnsi" w:hAnsiTheme="minorHAnsi" w:cstheme="minorHAnsi"/>
          <w:b/>
          <w:color w:val="000000" w:themeColor="text1"/>
          <w:sz w:val="22"/>
          <w:szCs w:val="22"/>
          <w:lang w:val="en-US"/>
        </w:rPr>
        <w:t>Laws designed to protect women from gender-based violence (GBV) are inadequate and flawed</w:t>
      </w:r>
      <w:bookmarkStart w:id="4" w:name="_Toc13746791"/>
      <w:bookmarkEnd w:id="3"/>
      <w:bookmarkEnd w:id="4"/>
    </w:p>
    <w:p w14:paraId="159C9B94" w14:textId="77777777" w:rsidR="00D2799B" w:rsidRPr="00362F5D" w:rsidRDefault="00D2799B" w:rsidP="00D2799B">
      <w:pPr>
        <w:pStyle w:val="ListParagraph"/>
        <w:numPr>
          <w:ilvl w:val="2"/>
          <w:numId w:val="3"/>
        </w:numPr>
        <w:spacing w:after="120" w:line="276" w:lineRule="auto"/>
        <w:ind w:left="567" w:hanging="567"/>
        <w:rPr>
          <w:sz w:val="22"/>
          <w:szCs w:val="22"/>
        </w:rPr>
      </w:pPr>
      <w:r w:rsidRPr="00F439CA">
        <w:rPr>
          <w:sz w:val="22"/>
          <w:szCs w:val="22"/>
          <w:lang w:val="en-US"/>
        </w:rPr>
        <w:t>Protections against gender-based violence (GBV) are enshrined in both the Criminal Code of the Kingdom of Cambodia (Criminal Code)</w:t>
      </w:r>
      <w:r w:rsidRPr="00F439CA">
        <w:rPr>
          <w:sz w:val="22"/>
          <w:szCs w:val="22"/>
          <w:vertAlign w:val="superscript"/>
          <w:lang w:val="en-US"/>
        </w:rPr>
        <w:footnoteReference w:id="2"/>
      </w:r>
      <w:r w:rsidRPr="00F439CA">
        <w:rPr>
          <w:sz w:val="22"/>
          <w:szCs w:val="22"/>
          <w:lang w:val="en-US"/>
        </w:rPr>
        <w:t xml:space="preserve"> and the Law on the Prevention of Domestic Violence and the Protection of Victims (Domestic Violence Law).</w:t>
      </w:r>
      <w:r w:rsidRPr="00F439CA">
        <w:rPr>
          <w:sz w:val="22"/>
          <w:szCs w:val="22"/>
          <w:vertAlign w:val="superscript"/>
          <w:lang w:val="en-US"/>
        </w:rPr>
        <w:footnoteReference w:id="3"/>
      </w:r>
      <w:r w:rsidRPr="00F439CA">
        <w:rPr>
          <w:sz w:val="22"/>
          <w:szCs w:val="22"/>
          <w:lang w:val="en-US"/>
        </w:rPr>
        <w:t xml:space="preserve"> However, these protections do not sufficiently address the complex and diverse ways in which women experience GBV. </w:t>
      </w:r>
    </w:p>
    <w:p w14:paraId="34092EAB" w14:textId="77777777" w:rsidR="00D2799B" w:rsidRPr="00F439CA" w:rsidRDefault="00D2799B" w:rsidP="00D2799B">
      <w:pPr>
        <w:pStyle w:val="ListParagraph"/>
        <w:spacing w:after="120"/>
        <w:ind w:left="567"/>
        <w:rPr>
          <w:sz w:val="22"/>
          <w:szCs w:val="22"/>
        </w:rPr>
      </w:pPr>
    </w:p>
    <w:p w14:paraId="5F502EE9" w14:textId="77777777" w:rsidR="00D2799B" w:rsidRPr="004734EB"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Definitions contained within the Domestic Violence Law, including what constitutes domestic violence and who can be considered a victim,</w:t>
      </w:r>
      <w:r w:rsidRPr="004734EB">
        <w:rPr>
          <w:rStyle w:val="FootnoteReference"/>
          <w:sz w:val="22"/>
          <w:szCs w:val="22"/>
          <w:lang w:val="en-US"/>
        </w:rPr>
        <w:footnoteReference w:id="4"/>
      </w:r>
      <w:r w:rsidRPr="004734EB">
        <w:rPr>
          <w:sz w:val="22"/>
          <w:szCs w:val="22"/>
          <w:lang w:val="en-US"/>
        </w:rPr>
        <w:t xml:space="preserve"> fail to capture many types of domestic abuse. For instance, there is no reference to consent in the law’s delineation of “sexual aggression”, which prohibits “violent sex” but not coercive sex.</w:t>
      </w:r>
      <w:r w:rsidRPr="004734EB">
        <w:rPr>
          <w:rStyle w:val="FootnoteReference"/>
          <w:sz w:val="22"/>
          <w:szCs w:val="22"/>
          <w:lang w:val="en-US"/>
        </w:rPr>
        <w:footnoteReference w:id="5"/>
      </w:r>
      <w:r w:rsidRPr="004734EB">
        <w:rPr>
          <w:sz w:val="22"/>
          <w:szCs w:val="22"/>
          <w:lang w:val="en-US"/>
        </w:rPr>
        <w:t xml:space="preserve"> The Extraordinary Chambers in the Courts of Cambodia (ECCC) has chosen to limit its investigation of GBV during the Khmer Rouge regime to </w:t>
      </w:r>
      <w:r>
        <w:rPr>
          <w:sz w:val="22"/>
          <w:szCs w:val="22"/>
          <w:lang w:val="en-US"/>
        </w:rPr>
        <w:t xml:space="preserve">only </w:t>
      </w:r>
      <w:r w:rsidRPr="004734EB">
        <w:rPr>
          <w:sz w:val="22"/>
          <w:szCs w:val="22"/>
          <w:lang w:val="en-US"/>
        </w:rPr>
        <w:t>rape</w:t>
      </w:r>
      <w:r>
        <w:rPr>
          <w:sz w:val="22"/>
          <w:szCs w:val="22"/>
          <w:lang w:val="en-US"/>
        </w:rPr>
        <w:t xml:space="preserve"> </w:t>
      </w:r>
      <w:r w:rsidRPr="004734EB">
        <w:rPr>
          <w:sz w:val="22"/>
          <w:szCs w:val="22"/>
          <w:lang w:val="en-US"/>
        </w:rPr>
        <w:t xml:space="preserve">within the context of forced marriage </w:t>
      </w:r>
      <w:r>
        <w:rPr>
          <w:sz w:val="22"/>
          <w:szCs w:val="22"/>
          <w:lang w:val="en-US"/>
        </w:rPr>
        <w:t xml:space="preserve">under the argument </w:t>
      </w:r>
      <w:r w:rsidRPr="004734EB">
        <w:rPr>
          <w:sz w:val="22"/>
          <w:szCs w:val="22"/>
          <w:lang w:val="en-US"/>
        </w:rPr>
        <w:t xml:space="preserve">that the regime itself had </w:t>
      </w:r>
      <w:r>
        <w:rPr>
          <w:sz w:val="22"/>
          <w:szCs w:val="22"/>
          <w:lang w:val="en-US"/>
        </w:rPr>
        <w:t xml:space="preserve">a </w:t>
      </w:r>
      <w:r w:rsidRPr="004734EB">
        <w:rPr>
          <w:sz w:val="22"/>
          <w:szCs w:val="22"/>
          <w:lang w:val="en-US"/>
        </w:rPr>
        <w:t>polic</w:t>
      </w:r>
      <w:r>
        <w:rPr>
          <w:sz w:val="22"/>
          <w:szCs w:val="22"/>
          <w:lang w:val="en-US"/>
        </w:rPr>
        <w:t>y</w:t>
      </w:r>
      <w:r w:rsidRPr="004734EB">
        <w:rPr>
          <w:sz w:val="22"/>
          <w:szCs w:val="22"/>
          <w:lang w:val="en-US"/>
        </w:rPr>
        <w:t xml:space="preserve"> </w:t>
      </w:r>
      <w:r>
        <w:rPr>
          <w:sz w:val="22"/>
          <w:szCs w:val="22"/>
          <w:lang w:val="en-US"/>
        </w:rPr>
        <w:t xml:space="preserve">in place </w:t>
      </w:r>
      <w:r w:rsidRPr="004734EB">
        <w:rPr>
          <w:sz w:val="22"/>
          <w:szCs w:val="22"/>
          <w:lang w:val="en-US"/>
        </w:rPr>
        <w:t>to prevent</w:t>
      </w:r>
      <w:r>
        <w:rPr>
          <w:sz w:val="22"/>
          <w:szCs w:val="22"/>
          <w:lang w:val="en-US"/>
        </w:rPr>
        <w:t xml:space="preserve"> rape occurrences</w:t>
      </w:r>
      <w:r w:rsidRPr="004734EB">
        <w:rPr>
          <w:sz w:val="22"/>
          <w:szCs w:val="22"/>
          <w:lang w:val="en-US"/>
        </w:rPr>
        <w:t>.</w:t>
      </w:r>
      <w:r w:rsidRPr="004734EB">
        <w:rPr>
          <w:rStyle w:val="FootnoteReference"/>
          <w:sz w:val="22"/>
          <w:szCs w:val="22"/>
          <w:lang w:val="en-US"/>
        </w:rPr>
        <w:footnoteReference w:id="6"/>
      </w:r>
    </w:p>
    <w:p w14:paraId="222483DA" w14:textId="77777777" w:rsidR="00D2799B" w:rsidRPr="004734EB" w:rsidRDefault="00D2799B" w:rsidP="00D2799B">
      <w:pPr>
        <w:pStyle w:val="ListParagraph"/>
        <w:spacing w:after="120" w:line="276" w:lineRule="auto"/>
        <w:ind w:left="567"/>
        <w:jc w:val="both"/>
        <w:rPr>
          <w:sz w:val="22"/>
          <w:szCs w:val="22"/>
          <w:lang w:val="en-US"/>
        </w:rPr>
      </w:pPr>
    </w:p>
    <w:p w14:paraId="6DE3088D" w14:textId="514773EC" w:rsidR="00D2799B" w:rsidRPr="003B1D75" w:rsidRDefault="00E3238B" w:rsidP="00D2799B">
      <w:pPr>
        <w:pStyle w:val="ListParagraph"/>
        <w:numPr>
          <w:ilvl w:val="2"/>
          <w:numId w:val="3"/>
        </w:numPr>
        <w:spacing w:after="120" w:line="276" w:lineRule="auto"/>
        <w:ind w:left="567" w:hanging="567"/>
        <w:jc w:val="both"/>
        <w:rPr>
          <w:sz w:val="22"/>
          <w:szCs w:val="22"/>
          <w:lang w:val="en-US"/>
        </w:rPr>
      </w:pPr>
      <w:r>
        <w:rPr>
          <w:sz w:val="22"/>
          <w:szCs w:val="22"/>
          <w:lang w:val="en-US"/>
        </w:rPr>
        <w:t>T</w:t>
      </w:r>
      <w:r w:rsidR="00D2799B" w:rsidRPr="003B1D75">
        <w:rPr>
          <w:sz w:val="22"/>
          <w:szCs w:val="22"/>
          <w:lang w:val="en-US"/>
        </w:rPr>
        <w:t xml:space="preserve">he Domestic Violence Law </w:t>
      </w:r>
      <w:r>
        <w:rPr>
          <w:sz w:val="22"/>
          <w:szCs w:val="22"/>
          <w:lang w:val="en-US"/>
        </w:rPr>
        <w:t>briefly</w:t>
      </w:r>
      <w:r w:rsidR="00D2799B" w:rsidRPr="003B1D75">
        <w:rPr>
          <w:sz w:val="22"/>
          <w:szCs w:val="22"/>
          <w:lang w:val="en-US"/>
        </w:rPr>
        <w:t xml:space="preserve"> refer</w:t>
      </w:r>
      <w:r>
        <w:rPr>
          <w:sz w:val="22"/>
          <w:szCs w:val="22"/>
          <w:lang w:val="en-US"/>
        </w:rPr>
        <w:t>s</w:t>
      </w:r>
      <w:r w:rsidR="00D2799B" w:rsidRPr="003B1D75">
        <w:rPr>
          <w:sz w:val="22"/>
          <w:szCs w:val="22"/>
          <w:lang w:val="en-US"/>
        </w:rPr>
        <w:t xml:space="preserve"> to economic violence</w:t>
      </w:r>
      <w:r w:rsidR="00B6755A">
        <w:rPr>
          <w:sz w:val="22"/>
          <w:szCs w:val="22"/>
          <w:lang w:val="en-US"/>
        </w:rPr>
        <w:t>,</w:t>
      </w:r>
      <w:r w:rsidR="00E97DA9">
        <w:rPr>
          <w:sz w:val="22"/>
          <w:szCs w:val="22"/>
          <w:lang w:val="en-US"/>
        </w:rPr>
        <w:t xml:space="preserve"> </w:t>
      </w:r>
      <w:r w:rsidR="00E97DA9" w:rsidRPr="003B1D75">
        <w:rPr>
          <w:sz w:val="22"/>
          <w:szCs w:val="22"/>
          <w:lang w:val="en-US"/>
        </w:rPr>
        <w:t>as recognized by CEDAW as a form of GBV in its General Recommendations</w:t>
      </w:r>
      <w:r w:rsidR="00685BE8">
        <w:rPr>
          <w:sz w:val="22"/>
          <w:szCs w:val="22"/>
          <w:lang w:val="en-US"/>
        </w:rPr>
        <w:t>.</w:t>
      </w:r>
      <w:r w:rsidR="009B41D2">
        <w:rPr>
          <w:rStyle w:val="FootnoteReference"/>
          <w:sz w:val="22"/>
          <w:szCs w:val="22"/>
          <w:lang w:val="en-US"/>
        </w:rPr>
        <w:footnoteReference w:id="7"/>
      </w:r>
      <w:r w:rsidR="00685BE8">
        <w:rPr>
          <w:sz w:val="22"/>
          <w:szCs w:val="22"/>
          <w:lang w:val="en-US"/>
        </w:rPr>
        <w:t xml:space="preserve"> However, economic violence is only mentioned</w:t>
      </w:r>
      <w:r w:rsidR="00E97DA9" w:rsidRPr="00E97DA9">
        <w:rPr>
          <w:sz w:val="22"/>
          <w:szCs w:val="22"/>
          <w:lang w:val="en-US"/>
        </w:rPr>
        <w:t xml:space="preserve"> </w:t>
      </w:r>
      <w:r w:rsidR="00E97DA9">
        <w:rPr>
          <w:sz w:val="22"/>
          <w:szCs w:val="22"/>
          <w:lang w:val="en-US"/>
        </w:rPr>
        <w:t>in relation to mediation</w:t>
      </w:r>
      <w:r w:rsidR="00B6755A">
        <w:rPr>
          <w:sz w:val="22"/>
          <w:szCs w:val="22"/>
          <w:lang w:val="en-US"/>
        </w:rPr>
        <w:t xml:space="preserve"> and</w:t>
      </w:r>
      <w:r w:rsidR="00685BE8">
        <w:rPr>
          <w:sz w:val="22"/>
          <w:szCs w:val="22"/>
          <w:lang w:val="en-US"/>
        </w:rPr>
        <w:t xml:space="preserve"> the concept of economic violence is not defined</w:t>
      </w:r>
      <w:r w:rsidR="00E97DA9">
        <w:rPr>
          <w:sz w:val="22"/>
          <w:szCs w:val="22"/>
          <w:lang w:val="en-US"/>
        </w:rPr>
        <w:t>.</w:t>
      </w:r>
      <w:r w:rsidR="00E97DA9" w:rsidRPr="004734EB">
        <w:rPr>
          <w:rStyle w:val="FootnoteReference"/>
          <w:sz w:val="22"/>
          <w:szCs w:val="22"/>
          <w:lang w:val="en-US"/>
        </w:rPr>
        <w:footnoteReference w:id="8"/>
      </w:r>
      <w:r w:rsidR="00E97DA9" w:rsidRPr="003B1D75">
        <w:rPr>
          <w:sz w:val="22"/>
          <w:szCs w:val="22"/>
          <w:lang w:val="en-US"/>
        </w:rPr>
        <w:t xml:space="preserve"> </w:t>
      </w:r>
      <w:r w:rsidR="009D4C4A">
        <w:rPr>
          <w:sz w:val="22"/>
          <w:szCs w:val="22"/>
          <w:lang w:val="en-US"/>
        </w:rPr>
        <w:t xml:space="preserve">Additionally, the </w:t>
      </w:r>
      <w:r w:rsidR="009D4C4A">
        <w:rPr>
          <w:sz w:val="22"/>
          <w:szCs w:val="22"/>
          <w:lang w:val="en-US"/>
        </w:rPr>
        <w:lastRenderedPageBreak/>
        <w:t>Domestic Violence Law</w:t>
      </w:r>
      <w:r w:rsidR="00D2799B" w:rsidRPr="003B1D75">
        <w:rPr>
          <w:sz w:val="22"/>
          <w:szCs w:val="22"/>
          <w:lang w:val="en-US"/>
        </w:rPr>
        <w:t xml:space="preserve"> </w:t>
      </w:r>
      <w:r w:rsidR="009D4C4A">
        <w:rPr>
          <w:sz w:val="22"/>
          <w:szCs w:val="22"/>
          <w:lang w:val="en-US"/>
        </w:rPr>
        <w:t xml:space="preserve">does not </w:t>
      </w:r>
      <w:r w:rsidR="00D2799B" w:rsidRPr="003B1D75">
        <w:rPr>
          <w:sz w:val="22"/>
          <w:szCs w:val="22"/>
          <w:lang w:val="en-US"/>
        </w:rPr>
        <w:t xml:space="preserve">include </w:t>
      </w:r>
      <w:r w:rsidR="009E0E12">
        <w:rPr>
          <w:sz w:val="22"/>
          <w:szCs w:val="22"/>
          <w:lang w:val="en-US"/>
        </w:rPr>
        <w:t xml:space="preserve">specific </w:t>
      </w:r>
      <w:r w:rsidR="00D2799B" w:rsidRPr="003B1D75">
        <w:rPr>
          <w:sz w:val="22"/>
          <w:szCs w:val="22"/>
          <w:lang w:val="en-US"/>
        </w:rPr>
        <w:t>punishment or penalty provisions. A study by rights group LICADHO found that only 20% of domestic violence cases monitored between January 2014 and December 2016 actually led to criminal proceedings.</w:t>
      </w:r>
      <w:r w:rsidR="00D2799B" w:rsidRPr="004734EB">
        <w:rPr>
          <w:rStyle w:val="FootnoteReference"/>
          <w:sz w:val="22"/>
          <w:szCs w:val="22"/>
          <w:lang w:val="en-US"/>
        </w:rPr>
        <w:footnoteReference w:id="9"/>
      </w:r>
      <w:r w:rsidR="00D2799B" w:rsidRPr="003B1D75">
        <w:rPr>
          <w:sz w:val="22"/>
          <w:szCs w:val="22"/>
          <w:lang w:val="en-US"/>
        </w:rPr>
        <w:t xml:space="preserve"> In addition, of </w:t>
      </w:r>
      <w:r w:rsidR="00D2799B">
        <w:rPr>
          <w:sz w:val="22"/>
          <w:szCs w:val="22"/>
          <w:lang w:val="en-US"/>
        </w:rPr>
        <w:t>a total of</w:t>
      </w:r>
      <w:r w:rsidR="00D2799B" w:rsidRPr="003B1D75">
        <w:rPr>
          <w:sz w:val="22"/>
          <w:szCs w:val="22"/>
          <w:lang w:val="en-US"/>
        </w:rPr>
        <w:t xml:space="preserve"> 242 victims that sought legal support from the Cambodian Women’s Crisis Center </w:t>
      </w:r>
      <w:r w:rsidR="00D2799B">
        <w:rPr>
          <w:sz w:val="22"/>
          <w:szCs w:val="22"/>
          <w:lang w:val="en-US"/>
        </w:rPr>
        <w:t xml:space="preserve">(CWCC) </w:t>
      </w:r>
      <w:r w:rsidR="00D2799B" w:rsidRPr="003B1D75">
        <w:rPr>
          <w:sz w:val="22"/>
          <w:szCs w:val="22"/>
          <w:lang w:val="en-US"/>
        </w:rPr>
        <w:t>in 2016, a total of 122 domestic violence cases were filed to the court, 76 went to trial, and only one perpetrator was sentenced in prison.</w:t>
      </w:r>
      <w:r w:rsidR="00D2799B">
        <w:rPr>
          <w:rStyle w:val="FootnoteReference"/>
          <w:sz w:val="22"/>
          <w:szCs w:val="22"/>
          <w:lang w:val="en-US"/>
        </w:rPr>
        <w:footnoteReference w:id="10"/>
      </w:r>
      <w:r w:rsidR="00D2799B" w:rsidRPr="003B1D75">
        <w:rPr>
          <w:sz w:val="22"/>
          <w:szCs w:val="22"/>
          <w:lang w:val="en-US"/>
        </w:rPr>
        <w:t xml:space="preserve"> </w:t>
      </w:r>
    </w:p>
    <w:p w14:paraId="39CBF891" w14:textId="77777777" w:rsidR="00D2799B" w:rsidRPr="00801DA9" w:rsidRDefault="00D2799B" w:rsidP="00D2799B">
      <w:pPr>
        <w:pStyle w:val="ListParagraph"/>
        <w:spacing w:after="120" w:line="276" w:lineRule="auto"/>
        <w:ind w:left="567"/>
        <w:jc w:val="both"/>
        <w:rPr>
          <w:sz w:val="22"/>
          <w:szCs w:val="22"/>
          <w:lang w:val="en-US"/>
        </w:rPr>
      </w:pPr>
    </w:p>
    <w:p w14:paraId="610BA984" w14:textId="77777777" w:rsidR="00D2799B" w:rsidRPr="00F4119D" w:rsidRDefault="00D2799B" w:rsidP="00D2799B">
      <w:pPr>
        <w:pStyle w:val="ListParagraph"/>
        <w:numPr>
          <w:ilvl w:val="2"/>
          <w:numId w:val="3"/>
        </w:numPr>
        <w:spacing w:after="120" w:line="276" w:lineRule="auto"/>
        <w:ind w:left="567" w:hanging="567"/>
        <w:jc w:val="both"/>
        <w:rPr>
          <w:color w:val="000000" w:themeColor="text1"/>
          <w:sz w:val="22"/>
          <w:szCs w:val="22"/>
          <w:lang w:val="en-US"/>
        </w:rPr>
      </w:pPr>
      <w:r w:rsidRPr="00770F0D">
        <w:rPr>
          <w:sz w:val="22"/>
          <w:szCs w:val="22"/>
          <w:lang w:val="en-US"/>
        </w:rPr>
        <w:t xml:space="preserve">Further, it is noted that </w:t>
      </w:r>
      <w:r w:rsidRPr="00956A36">
        <w:rPr>
          <w:sz w:val="22"/>
          <w:szCs w:val="22"/>
          <w:lang w:val="en-US"/>
        </w:rPr>
        <w:t>even where there are functional laws in place</w:t>
      </w:r>
      <w:r>
        <w:rPr>
          <w:sz w:val="22"/>
          <w:szCs w:val="22"/>
          <w:lang w:val="en-US"/>
        </w:rPr>
        <w:t>,</w:t>
      </w:r>
      <w:r w:rsidRPr="00956A36">
        <w:rPr>
          <w:sz w:val="22"/>
          <w:szCs w:val="22"/>
          <w:lang w:val="en-US"/>
        </w:rPr>
        <w:t xml:space="preserve"> they are not always effectively used. For example, </w:t>
      </w:r>
      <w:r>
        <w:rPr>
          <w:sz w:val="22"/>
          <w:szCs w:val="22"/>
          <w:lang w:val="en-US"/>
        </w:rPr>
        <w:t xml:space="preserve">although </w:t>
      </w:r>
      <w:r w:rsidRPr="00956A36">
        <w:rPr>
          <w:sz w:val="22"/>
          <w:szCs w:val="22"/>
          <w:lang w:val="en-US"/>
        </w:rPr>
        <w:t xml:space="preserve">under Cambodian law, Protection Orders can be granted to women who remain at risk of violence, </w:t>
      </w:r>
      <w:r w:rsidRPr="002040C9">
        <w:rPr>
          <w:sz w:val="22"/>
          <w:szCs w:val="22"/>
          <w:lang w:val="en-US"/>
        </w:rPr>
        <w:t>the figures provided by</w:t>
      </w:r>
      <w:r w:rsidRPr="007E424E">
        <w:rPr>
          <w:sz w:val="22"/>
          <w:szCs w:val="22"/>
          <w:lang w:val="en-US"/>
        </w:rPr>
        <w:t xml:space="preserve"> the Royal Government of Cambodia (RGC) show that only 19 such orders</w:t>
      </w:r>
      <w:r w:rsidRPr="00770F0D">
        <w:rPr>
          <w:sz w:val="22"/>
          <w:szCs w:val="22"/>
          <w:lang w:val="en-US"/>
        </w:rPr>
        <w:t xml:space="preserve"> were granted during the three</w:t>
      </w:r>
      <w:r w:rsidRPr="00956A36">
        <w:rPr>
          <w:sz w:val="22"/>
          <w:szCs w:val="22"/>
          <w:lang w:val="en-US"/>
        </w:rPr>
        <w:t>-year period from 2014 to 2016.</w:t>
      </w:r>
      <w:r w:rsidRPr="004734EB">
        <w:rPr>
          <w:rStyle w:val="FootnoteReference"/>
          <w:sz w:val="22"/>
          <w:szCs w:val="22"/>
          <w:lang w:val="en-US"/>
        </w:rPr>
        <w:footnoteReference w:id="11"/>
      </w:r>
      <w:r w:rsidRPr="00770F0D">
        <w:rPr>
          <w:sz w:val="22"/>
          <w:szCs w:val="22"/>
          <w:lang w:val="en-US"/>
        </w:rPr>
        <w:t xml:space="preserve"> </w:t>
      </w:r>
      <w:r>
        <w:rPr>
          <w:sz w:val="22"/>
          <w:szCs w:val="22"/>
          <w:lang w:val="en-US"/>
        </w:rPr>
        <w:t>D</w:t>
      </w:r>
      <w:r w:rsidRPr="00956A36">
        <w:rPr>
          <w:sz w:val="22"/>
          <w:szCs w:val="22"/>
          <w:lang w:val="en-US"/>
        </w:rPr>
        <w:t>uring the same period</w:t>
      </w:r>
      <w:r>
        <w:rPr>
          <w:sz w:val="22"/>
          <w:szCs w:val="22"/>
          <w:lang w:val="en-US"/>
        </w:rPr>
        <w:t>,</w:t>
      </w:r>
      <w:r w:rsidRPr="00956A36">
        <w:rPr>
          <w:sz w:val="22"/>
          <w:szCs w:val="22"/>
          <w:lang w:val="en-US"/>
        </w:rPr>
        <w:t xml:space="preserve"> one NGO alone monitored nearly 400 cases of domestic violence.</w:t>
      </w:r>
      <w:r>
        <w:rPr>
          <w:rStyle w:val="FootnoteReference"/>
          <w:sz w:val="22"/>
          <w:szCs w:val="22"/>
          <w:lang w:val="en-US"/>
        </w:rPr>
        <w:footnoteReference w:id="12"/>
      </w:r>
      <w:r w:rsidRPr="00770F0D">
        <w:rPr>
          <w:sz w:val="22"/>
          <w:szCs w:val="22"/>
          <w:lang w:val="en-US"/>
        </w:rPr>
        <w:t xml:space="preserve"> </w:t>
      </w:r>
      <w:r w:rsidRPr="00956A36">
        <w:rPr>
          <w:sz w:val="22"/>
          <w:szCs w:val="22"/>
          <w:lang w:val="en-US"/>
        </w:rPr>
        <w:t xml:space="preserve">District Based Multi-Sectoral </w:t>
      </w:r>
      <w:r w:rsidRPr="002040C9">
        <w:rPr>
          <w:sz w:val="22"/>
          <w:szCs w:val="22"/>
          <w:lang w:val="en-US"/>
        </w:rPr>
        <w:t>Network</w:t>
      </w:r>
      <w:r>
        <w:rPr>
          <w:sz w:val="22"/>
          <w:szCs w:val="22"/>
          <w:lang w:val="en-US"/>
        </w:rPr>
        <w:t xml:space="preserve">s, innovative networks designed to engage all key stakeholders in responding to GBV cases, consisting of </w:t>
      </w:r>
      <w:r w:rsidRPr="00362F5D">
        <w:rPr>
          <w:sz w:val="22"/>
          <w:szCs w:val="22"/>
          <w:lang w:val="en-US"/>
        </w:rPr>
        <w:t>local authorities, police, health personnel, teachers, Commune Committees for Women and Children, officials from district offices and community resource persons</w:t>
      </w:r>
      <w:r>
        <w:rPr>
          <w:sz w:val="22"/>
          <w:szCs w:val="22"/>
          <w:lang w:val="en-US"/>
        </w:rPr>
        <w:t xml:space="preserve">, </w:t>
      </w:r>
      <w:r w:rsidRPr="002040C9">
        <w:rPr>
          <w:sz w:val="22"/>
          <w:szCs w:val="22"/>
          <w:lang w:val="en-US"/>
        </w:rPr>
        <w:t>intervened in a total of 3</w:t>
      </w:r>
      <w:r>
        <w:rPr>
          <w:sz w:val="22"/>
          <w:szCs w:val="22"/>
          <w:lang w:val="en-US"/>
        </w:rPr>
        <w:t>,</w:t>
      </w:r>
      <w:r w:rsidRPr="002040C9">
        <w:rPr>
          <w:sz w:val="22"/>
          <w:szCs w:val="22"/>
          <w:lang w:val="en-US"/>
        </w:rPr>
        <w:t>035 cases related to domestic violence in 2016 alone.</w:t>
      </w:r>
      <w:r>
        <w:rPr>
          <w:rStyle w:val="FootnoteReference"/>
          <w:sz w:val="22"/>
          <w:szCs w:val="22"/>
          <w:lang w:val="en-US"/>
        </w:rPr>
        <w:footnoteReference w:id="13"/>
      </w:r>
      <w:r w:rsidRPr="00956A36">
        <w:rPr>
          <w:sz w:val="22"/>
          <w:szCs w:val="22"/>
          <w:lang w:val="en-US"/>
        </w:rPr>
        <w:t xml:space="preserve"> This is an indication </w:t>
      </w:r>
      <w:r>
        <w:rPr>
          <w:sz w:val="22"/>
          <w:szCs w:val="22"/>
          <w:lang w:val="en-US"/>
        </w:rPr>
        <w:t>that</w:t>
      </w:r>
      <w:r w:rsidRPr="00956A36">
        <w:rPr>
          <w:sz w:val="22"/>
          <w:szCs w:val="22"/>
          <w:lang w:val="en-US"/>
        </w:rPr>
        <w:t xml:space="preserve"> the actual </w:t>
      </w:r>
      <w:r>
        <w:rPr>
          <w:sz w:val="22"/>
          <w:szCs w:val="22"/>
          <w:lang w:val="en-US"/>
        </w:rPr>
        <w:t>number</w:t>
      </w:r>
      <w:r w:rsidRPr="00956A36">
        <w:rPr>
          <w:sz w:val="22"/>
          <w:szCs w:val="22"/>
          <w:lang w:val="en-US"/>
        </w:rPr>
        <w:t xml:space="preserve"> of </w:t>
      </w:r>
      <w:r>
        <w:rPr>
          <w:sz w:val="22"/>
          <w:szCs w:val="22"/>
          <w:lang w:val="en-US"/>
        </w:rPr>
        <w:t>women who require Protection Orders is</w:t>
      </w:r>
      <w:r w:rsidRPr="00956A36">
        <w:rPr>
          <w:sz w:val="22"/>
          <w:szCs w:val="22"/>
          <w:lang w:val="en-US"/>
        </w:rPr>
        <w:t xml:space="preserve"> </w:t>
      </w:r>
      <w:r>
        <w:rPr>
          <w:sz w:val="22"/>
          <w:szCs w:val="22"/>
          <w:lang w:val="en-US"/>
        </w:rPr>
        <w:t>far</w:t>
      </w:r>
      <w:r w:rsidRPr="00956A36">
        <w:rPr>
          <w:sz w:val="22"/>
          <w:szCs w:val="22"/>
          <w:lang w:val="en-US"/>
        </w:rPr>
        <w:t xml:space="preserve"> higher</w:t>
      </w:r>
      <w:r>
        <w:rPr>
          <w:sz w:val="22"/>
          <w:szCs w:val="22"/>
          <w:lang w:val="en-US"/>
        </w:rPr>
        <w:t xml:space="preserve"> than the number of Orders </w:t>
      </w:r>
      <w:r w:rsidRPr="00F4119D">
        <w:rPr>
          <w:color w:val="000000" w:themeColor="text1"/>
          <w:sz w:val="22"/>
          <w:szCs w:val="22"/>
          <w:lang w:val="en-US"/>
        </w:rPr>
        <w:t xml:space="preserve">granted, thus questioning the effectiveness of the law. </w:t>
      </w:r>
    </w:p>
    <w:p w14:paraId="17731ACD" w14:textId="77777777" w:rsidR="00D2799B" w:rsidRPr="00F4119D" w:rsidRDefault="00D2799B" w:rsidP="00D2799B">
      <w:pPr>
        <w:pStyle w:val="ListParagraph"/>
        <w:spacing w:after="120" w:line="276" w:lineRule="auto"/>
        <w:ind w:left="567"/>
        <w:jc w:val="both"/>
        <w:rPr>
          <w:color w:val="000000" w:themeColor="text1"/>
          <w:sz w:val="22"/>
          <w:szCs w:val="22"/>
          <w:lang w:val="en-US"/>
        </w:rPr>
      </w:pPr>
    </w:p>
    <w:p w14:paraId="35D7E8E4" w14:textId="77777777" w:rsidR="00D2799B" w:rsidRPr="00F4119D" w:rsidRDefault="00D2799B" w:rsidP="00D2799B">
      <w:pPr>
        <w:pStyle w:val="Heading2"/>
        <w:numPr>
          <w:ilvl w:val="1"/>
          <w:numId w:val="3"/>
        </w:numPr>
        <w:rPr>
          <w:rFonts w:asciiTheme="minorHAnsi" w:hAnsiTheme="minorHAnsi" w:cstheme="minorHAnsi"/>
          <w:b/>
          <w:color w:val="000000" w:themeColor="text1"/>
          <w:sz w:val="22"/>
          <w:szCs w:val="22"/>
          <w:lang w:val="en-US"/>
        </w:rPr>
      </w:pPr>
      <w:bookmarkStart w:id="5" w:name="_Toc13747272"/>
      <w:r w:rsidRPr="00F4119D">
        <w:rPr>
          <w:rFonts w:asciiTheme="minorHAnsi" w:hAnsiTheme="minorHAnsi" w:cstheme="minorHAnsi"/>
          <w:b/>
          <w:color w:val="000000" w:themeColor="text1"/>
          <w:sz w:val="22"/>
          <w:szCs w:val="22"/>
          <w:lang w:val="en-US"/>
        </w:rPr>
        <w:t>Women are underrepresented in the justice system</w:t>
      </w:r>
      <w:bookmarkEnd w:id="5"/>
    </w:p>
    <w:p w14:paraId="370E3212" w14:textId="77777777" w:rsidR="00D2799B" w:rsidRPr="006D75FE" w:rsidRDefault="00D2799B" w:rsidP="00D2799B">
      <w:pPr>
        <w:pStyle w:val="ListParagraph"/>
        <w:numPr>
          <w:ilvl w:val="2"/>
          <w:numId w:val="3"/>
        </w:numPr>
        <w:spacing w:after="120" w:line="276" w:lineRule="auto"/>
        <w:ind w:left="567" w:hanging="567"/>
        <w:jc w:val="both"/>
        <w:rPr>
          <w:sz w:val="22"/>
          <w:szCs w:val="22"/>
          <w:lang w:val="en-US"/>
        </w:rPr>
      </w:pPr>
      <w:r w:rsidRPr="006D75FE">
        <w:rPr>
          <w:rFonts w:ascii="Calibri" w:hAnsi="Calibri" w:cs="Calibri"/>
          <w:sz w:val="22"/>
          <w:szCs w:val="22"/>
          <w:lang w:val="en-US"/>
        </w:rPr>
        <w:t xml:space="preserve">Women are underrepresented throughout the justice system. For example, from 2012 until 2017, </w:t>
      </w:r>
      <w:r w:rsidRPr="001E2522">
        <w:rPr>
          <w:rFonts w:ascii="Calibri" w:hAnsi="Calibri" w:cs="Calibri"/>
          <w:sz w:val="22"/>
          <w:szCs w:val="22"/>
          <w:lang w:val="en-US"/>
        </w:rPr>
        <w:t>about 14</w:t>
      </w:r>
      <w:r w:rsidRPr="00FB6EED">
        <w:rPr>
          <w:rFonts w:ascii="Calibri" w:hAnsi="Calibri" w:cs="Calibri"/>
          <w:sz w:val="22"/>
          <w:szCs w:val="22"/>
          <w:lang w:val="en-US"/>
        </w:rPr>
        <w:t>%</w:t>
      </w:r>
      <w:r w:rsidRPr="00B96B9D">
        <w:rPr>
          <w:rFonts w:ascii="Calibri" w:hAnsi="Calibri" w:cs="Calibri"/>
          <w:sz w:val="22"/>
          <w:szCs w:val="22"/>
          <w:lang w:val="en-US"/>
        </w:rPr>
        <w:t xml:space="preserve"> of </w:t>
      </w:r>
      <w:r w:rsidRPr="00302BCB">
        <w:rPr>
          <w:rFonts w:ascii="Calibri" w:hAnsi="Calibri" w:cs="Calibri"/>
          <w:sz w:val="22"/>
          <w:szCs w:val="22"/>
          <w:lang w:val="en-US"/>
        </w:rPr>
        <w:t>judges were women</w:t>
      </w:r>
      <w:r w:rsidRPr="00617B50">
        <w:rPr>
          <w:rFonts w:ascii="Calibri" w:hAnsi="Calibri" w:cs="Calibri"/>
          <w:sz w:val="22"/>
          <w:szCs w:val="22"/>
          <w:lang w:val="en-US"/>
        </w:rPr>
        <w:t xml:space="preserve">, </w:t>
      </w:r>
      <w:r>
        <w:rPr>
          <w:rFonts w:ascii="Calibri" w:hAnsi="Calibri" w:cs="Calibri"/>
          <w:sz w:val="22"/>
          <w:szCs w:val="22"/>
          <w:lang w:val="en-US"/>
        </w:rPr>
        <w:t>and</w:t>
      </w:r>
      <w:r w:rsidRPr="00617B50">
        <w:rPr>
          <w:rFonts w:ascii="Calibri" w:hAnsi="Calibri" w:cs="Calibri"/>
          <w:sz w:val="22"/>
          <w:szCs w:val="22"/>
          <w:lang w:val="en-US"/>
        </w:rPr>
        <w:t xml:space="preserve"> the number of female prosecutors increased </w:t>
      </w:r>
      <w:r>
        <w:rPr>
          <w:rFonts w:ascii="Calibri" w:hAnsi="Calibri" w:cs="Calibri"/>
          <w:sz w:val="22"/>
          <w:szCs w:val="22"/>
          <w:lang w:val="en-US"/>
        </w:rPr>
        <w:t xml:space="preserve">from just </w:t>
      </w:r>
      <w:r w:rsidRPr="00617B50">
        <w:rPr>
          <w:rFonts w:ascii="Calibri" w:hAnsi="Calibri" w:cs="Calibri"/>
          <w:sz w:val="22"/>
          <w:szCs w:val="22"/>
          <w:lang w:val="en-US"/>
        </w:rPr>
        <w:t>15 to 23</w:t>
      </w:r>
      <w:r w:rsidRPr="002A0209">
        <w:rPr>
          <w:rFonts w:ascii="Calibri" w:eastAsia="Times New Roman" w:hAnsi="Calibri" w:cs="Calibri"/>
          <w:color w:val="1A1A1A"/>
          <w:sz w:val="22"/>
          <w:szCs w:val="22"/>
          <w:shd w:val="clear" w:color="auto" w:fill="FFFFFF"/>
          <w:lang w:val="en-US"/>
        </w:rPr>
        <w:t>.</w:t>
      </w:r>
      <w:r w:rsidRPr="004734EB">
        <w:rPr>
          <w:rStyle w:val="FootnoteReference"/>
          <w:rFonts w:ascii="Calibri" w:eastAsia="Times New Roman" w:hAnsi="Calibri" w:cs="Calibri"/>
          <w:color w:val="1A1A1A"/>
          <w:sz w:val="22"/>
          <w:szCs w:val="22"/>
          <w:shd w:val="clear" w:color="auto" w:fill="FFFFFF"/>
          <w:lang w:val="en-US"/>
        </w:rPr>
        <w:footnoteReference w:id="14"/>
      </w:r>
      <w:r w:rsidRPr="006D75FE">
        <w:rPr>
          <w:rFonts w:ascii="Calibri" w:eastAsia="Times New Roman" w:hAnsi="Calibri" w:cs="Calibri"/>
          <w:color w:val="1A1A1A"/>
          <w:sz w:val="22"/>
          <w:szCs w:val="22"/>
          <w:shd w:val="clear" w:color="auto" w:fill="FFFFFF"/>
          <w:lang w:val="en-US"/>
        </w:rPr>
        <w:t xml:space="preserve"> </w:t>
      </w:r>
    </w:p>
    <w:p w14:paraId="36A39BB4" w14:textId="77777777" w:rsidR="00D2799B" w:rsidRPr="00941964" w:rsidRDefault="00D2799B" w:rsidP="00D2799B">
      <w:pPr>
        <w:pStyle w:val="ListParagraph"/>
        <w:spacing w:after="120" w:line="276" w:lineRule="auto"/>
        <w:ind w:left="567"/>
        <w:jc w:val="both"/>
        <w:rPr>
          <w:sz w:val="22"/>
          <w:szCs w:val="22"/>
          <w:lang w:val="en-US"/>
        </w:rPr>
      </w:pPr>
    </w:p>
    <w:p w14:paraId="3D9926F3" w14:textId="77777777" w:rsidR="00D2799B" w:rsidRPr="004734EB" w:rsidRDefault="00D2799B" w:rsidP="00D2799B">
      <w:pPr>
        <w:pStyle w:val="ListParagraph"/>
        <w:numPr>
          <w:ilvl w:val="2"/>
          <w:numId w:val="3"/>
        </w:numPr>
        <w:spacing w:after="120" w:line="276" w:lineRule="auto"/>
        <w:ind w:left="567" w:hanging="567"/>
        <w:jc w:val="both"/>
        <w:rPr>
          <w:sz w:val="22"/>
          <w:szCs w:val="22"/>
          <w:lang w:val="en-US"/>
        </w:rPr>
      </w:pPr>
      <w:r w:rsidRPr="00130CCE">
        <w:rPr>
          <w:rFonts w:ascii="Calibri" w:eastAsia="Times New Roman" w:hAnsi="Calibri" w:cs="Calibri"/>
          <w:color w:val="1A1A1A"/>
          <w:sz w:val="22"/>
          <w:szCs w:val="22"/>
          <w:shd w:val="clear" w:color="auto" w:fill="FFFFFF"/>
          <w:lang w:val="en-US"/>
        </w:rPr>
        <w:lastRenderedPageBreak/>
        <w:t>The number of female lawyers is similarly low; in 2017, of the 1019 registered lawyers, only 206 (20%) were women.</w:t>
      </w:r>
      <w:r w:rsidRPr="004734EB">
        <w:rPr>
          <w:rStyle w:val="FootnoteReference"/>
          <w:rFonts w:ascii="Calibri" w:eastAsia="Times New Roman" w:hAnsi="Calibri" w:cs="Calibri"/>
          <w:color w:val="1A1A1A"/>
          <w:sz w:val="22"/>
          <w:szCs w:val="22"/>
          <w:shd w:val="clear" w:color="auto" w:fill="FFFFFF"/>
          <w:lang w:val="en-US"/>
        </w:rPr>
        <w:footnoteReference w:id="15"/>
      </w:r>
      <w:r w:rsidRPr="00130CCE">
        <w:rPr>
          <w:sz w:val="22"/>
          <w:szCs w:val="22"/>
          <w:lang w:val="en-US"/>
        </w:rPr>
        <w:t xml:space="preserve"> </w:t>
      </w:r>
      <w:r w:rsidRPr="00130CCE">
        <w:rPr>
          <w:rFonts w:ascii="Calibri" w:hAnsi="Calibri" w:cs="Calibri"/>
          <w:sz w:val="22"/>
          <w:szCs w:val="22"/>
          <w:lang w:val="en-US"/>
        </w:rPr>
        <w:t>The RGC reports that this figure represents an increase in female lawyers</w:t>
      </w:r>
      <w:r w:rsidRPr="004734EB">
        <w:rPr>
          <w:rStyle w:val="FootnoteReference"/>
          <w:rFonts w:ascii="Calibri" w:hAnsi="Calibri" w:cs="Calibri"/>
          <w:sz w:val="22"/>
          <w:szCs w:val="22"/>
          <w:lang w:val="en-US"/>
        </w:rPr>
        <w:footnoteReference w:id="16"/>
      </w:r>
      <w:r w:rsidRPr="00130CCE">
        <w:rPr>
          <w:rFonts w:ascii="Calibri" w:hAnsi="Calibri" w:cs="Calibri"/>
          <w:sz w:val="22"/>
          <w:szCs w:val="22"/>
          <w:lang w:val="en-US"/>
        </w:rPr>
        <w:t xml:space="preserve"> and whilst this increase is welcomed, it is noted that the figures in the annex to the RGC report reveal that the total number of lawyers has also increased during this period.</w:t>
      </w:r>
      <w:r w:rsidRPr="004734EB">
        <w:rPr>
          <w:rStyle w:val="FootnoteReference"/>
          <w:rFonts w:ascii="Calibri" w:hAnsi="Calibri" w:cs="Calibri"/>
          <w:sz w:val="22"/>
          <w:szCs w:val="22"/>
          <w:lang w:val="en-US"/>
        </w:rPr>
        <w:footnoteReference w:id="17"/>
      </w:r>
      <w:r w:rsidRPr="00130CCE">
        <w:rPr>
          <w:rFonts w:ascii="Calibri" w:hAnsi="Calibri" w:cs="Calibri"/>
          <w:sz w:val="22"/>
          <w:szCs w:val="22"/>
          <w:lang w:val="en-US"/>
        </w:rPr>
        <w:t xml:space="preserve"> Therefore, despite this increase in raw numbers</w:t>
      </w:r>
      <w:r>
        <w:rPr>
          <w:rFonts w:ascii="Calibri" w:hAnsi="Calibri" w:cs="Calibri"/>
          <w:sz w:val="22"/>
          <w:szCs w:val="22"/>
          <w:lang w:val="en-US"/>
        </w:rPr>
        <w:t>,</w:t>
      </w:r>
      <w:r w:rsidRPr="00130CCE">
        <w:rPr>
          <w:rFonts w:ascii="Calibri" w:hAnsi="Calibri" w:cs="Calibri"/>
          <w:sz w:val="22"/>
          <w:szCs w:val="22"/>
          <w:lang w:val="en-US"/>
        </w:rPr>
        <w:t xml:space="preserve"> female lawyers only increased from 18% to 20% of the profession in </w:t>
      </w:r>
      <w:r>
        <w:rPr>
          <w:rFonts w:ascii="Calibri" w:hAnsi="Calibri" w:cs="Calibri"/>
          <w:sz w:val="22"/>
          <w:szCs w:val="22"/>
          <w:lang w:val="en-US"/>
        </w:rPr>
        <w:t>four</w:t>
      </w:r>
      <w:r w:rsidRPr="00130CCE">
        <w:rPr>
          <w:rFonts w:ascii="Calibri" w:hAnsi="Calibri" w:cs="Calibri"/>
          <w:sz w:val="22"/>
          <w:szCs w:val="22"/>
          <w:lang w:val="en-US"/>
        </w:rPr>
        <w:t xml:space="preserve"> years, </w:t>
      </w:r>
      <w:r>
        <w:rPr>
          <w:rFonts w:ascii="Calibri" w:hAnsi="Calibri" w:cs="Calibri"/>
          <w:sz w:val="22"/>
          <w:szCs w:val="22"/>
          <w:lang w:val="en-US"/>
        </w:rPr>
        <w:t>and thus continue to be</w:t>
      </w:r>
      <w:r w:rsidRPr="00130CCE">
        <w:rPr>
          <w:rFonts w:ascii="Calibri" w:hAnsi="Calibri" w:cs="Calibri"/>
          <w:sz w:val="22"/>
          <w:szCs w:val="22"/>
          <w:lang w:val="en-US"/>
        </w:rPr>
        <w:t xml:space="preserve"> significantly unrepresented. Female lawyers are most likely to have an impact on legal issues affecting women’s interests.</w:t>
      </w:r>
      <w:r>
        <w:rPr>
          <w:rStyle w:val="FootnoteReference"/>
          <w:rFonts w:ascii="Calibri" w:hAnsi="Calibri" w:cs="Calibri"/>
          <w:sz w:val="22"/>
          <w:szCs w:val="22"/>
          <w:lang w:val="en-US"/>
        </w:rPr>
        <w:footnoteReference w:id="18"/>
      </w:r>
      <w:r w:rsidRPr="00130CCE">
        <w:rPr>
          <w:rFonts w:ascii="Calibri" w:hAnsi="Calibri" w:cs="Calibri"/>
          <w:sz w:val="22"/>
          <w:szCs w:val="22"/>
          <w:lang w:val="en-US"/>
        </w:rPr>
        <w:t xml:space="preserve"> Therefore, the lack of female representation can be construed as a barrier to access to justice for women. </w:t>
      </w:r>
    </w:p>
    <w:p w14:paraId="37781AF5" w14:textId="77777777" w:rsidR="00D2799B" w:rsidRPr="00130CCE" w:rsidRDefault="00D2799B" w:rsidP="00D2799B">
      <w:pPr>
        <w:pStyle w:val="ListParagraph"/>
        <w:spacing w:after="120" w:line="276" w:lineRule="auto"/>
        <w:ind w:left="567"/>
        <w:jc w:val="both"/>
        <w:rPr>
          <w:sz w:val="22"/>
          <w:szCs w:val="22"/>
          <w:lang w:val="en-US"/>
        </w:rPr>
      </w:pPr>
    </w:p>
    <w:p w14:paraId="15AF0B50" w14:textId="77777777" w:rsidR="00D2799B" w:rsidRPr="00362F5D" w:rsidRDefault="00D2799B" w:rsidP="00D2799B">
      <w:pPr>
        <w:pStyle w:val="Heading2"/>
        <w:numPr>
          <w:ilvl w:val="1"/>
          <w:numId w:val="3"/>
        </w:numPr>
        <w:rPr>
          <w:rFonts w:asciiTheme="minorHAnsi" w:hAnsiTheme="minorHAnsi" w:cstheme="minorHAnsi"/>
          <w:b/>
          <w:color w:val="000000" w:themeColor="text1"/>
          <w:sz w:val="22"/>
          <w:szCs w:val="22"/>
          <w:lang w:val="en-US"/>
        </w:rPr>
      </w:pPr>
      <w:bookmarkStart w:id="6" w:name="_Toc13747273"/>
      <w:r w:rsidRPr="00362F5D">
        <w:rPr>
          <w:rFonts w:asciiTheme="minorHAnsi" w:hAnsiTheme="minorHAnsi" w:cstheme="minorHAnsi"/>
          <w:b/>
          <w:color w:val="000000" w:themeColor="text1"/>
          <w:sz w:val="22"/>
          <w:szCs w:val="22"/>
          <w:lang w:val="en-US"/>
        </w:rPr>
        <w:t>Discriminative attitudes and gender stereotyping are prevalent throughout the justice system</w:t>
      </w:r>
      <w:bookmarkEnd w:id="6"/>
      <w:r w:rsidRPr="00362F5D">
        <w:rPr>
          <w:rFonts w:asciiTheme="minorHAnsi" w:hAnsiTheme="minorHAnsi" w:cstheme="minorHAnsi"/>
          <w:b/>
          <w:color w:val="000000" w:themeColor="text1"/>
          <w:sz w:val="22"/>
          <w:szCs w:val="22"/>
          <w:lang w:val="en-US"/>
        </w:rPr>
        <w:t xml:space="preserve"> </w:t>
      </w:r>
    </w:p>
    <w:p w14:paraId="7751BB86" w14:textId="77777777" w:rsidR="00D2799B" w:rsidRPr="004734EB"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 xml:space="preserve">The RGC’s Second National Action Plan to Prevent Violence Against Women (“NAPVAW II”) </w:t>
      </w:r>
      <w:r>
        <w:rPr>
          <w:sz w:val="22"/>
          <w:szCs w:val="22"/>
          <w:lang w:val="en-US"/>
        </w:rPr>
        <w:t xml:space="preserve">and the incorporation of training on relevant laws and gender sensitive approaches into the curriculum of the Royal Academy of National Police, Judicial Professionals and Royal Military Police </w:t>
      </w:r>
      <w:r w:rsidRPr="004734EB">
        <w:rPr>
          <w:sz w:val="22"/>
          <w:szCs w:val="22"/>
          <w:lang w:val="en-US"/>
        </w:rPr>
        <w:t>is a welcome statement of intent</w:t>
      </w:r>
      <w:r>
        <w:rPr>
          <w:sz w:val="22"/>
          <w:szCs w:val="22"/>
          <w:lang w:val="en-US"/>
        </w:rPr>
        <w:t>.</w:t>
      </w:r>
      <w:r w:rsidRPr="004734EB">
        <w:rPr>
          <w:rStyle w:val="FootnoteReference"/>
          <w:sz w:val="22"/>
          <w:szCs w:val="22"/>
          <w:lang w:val="en-US"/>
        </w:rPr>
        <w:footnoteReference w:id="19"/>
      </w:r>
      <w:r w:rsidRPr="004734EB">
        <w:rPr>
          <w:sz w:val="22"/>
          <w:szCs w:val="22"/>
          <w:lang w:val="en-US"/>
        </w:rPr>
        <w:t xml:space="preserve"> However, no details are provided on how the training is conducted or which </w:t>
      </w:r>
      <w:r>
        <w:rPr>
          <w:sz w:val="22"/>
          <w:szCs w:val="22"/>
          <w:lang w:val="en-US"/>
        </w:rPr>
        <w:t xml:space="preserve">specific </w:t>
      </w:r>
      <w:r w:rsidRPr="004734EB">
        <w:rPr>
          <w:sz w:val="22"/>
          <w:szCs w:val="22"/>
          <w:lang w:val="en-US"/>
        </w:rPr>
        <w:t xml:space="preserve">topics it covers. </w:t>
      </w:r>
      <w:r>
        <w:rPr>
          <w:sz w:val="22"/>
          <w:szCs w:val="22"/>
          <w:lang w:val="en-US"/>
        </w:rPr>
        <w:t>P</w:t>
      </w:r>
      <w:r w:rsidRPr="004734EB">
        <w:rPr>
          <w:sz w:val="22"/>
          <w:szCs w:val="22"/>
          <w:lang w:val="en-US"/>
        </w:rPr>
        <w:t xml:space="preserve">rejudicial attitudes towards women proliferate </w:t>
      </w:r>
      <w:r>
        <w:rPr>
          <w:sz w:val="22"/>
          <w:szCs w:val="22"/>
          <w:lang w:val="en-US"/>
        </w:rPr>
        <w:t xml:space="preserve">in </w:t>
      </w:r>
      <w:r w:rsidRPr="004734EB">
        <w:rPr>
          <w:sz w:val="22"/>
          <w:szCs w:val="22"/>
          <w:lang w:val="en-US"/>
        </w:rPr>
        <w:t>the justice system</w:t>
      </w:r>
      <w:r>
        <w:rPr>
          <w:sz w:val="22"/>
          <w:szCs w:val="22"/>
          <w:lang w:val="en-US"/>
        </w:rPr>
        <w:t xml:space="preserve">, which can negatively affect </w:t>
      </w:r>
      <w:r w:rsidRPr="004734EB">
        <w:rPr>
          <w:sz w:val="22"/>
          <w:szCs w:val="22"/>
          <w:lang w:val="en-US"/>
        </w:rPr>
        <w:t xml:space="preserve">women who come into contact with </w:t>
      </w:r>
      <w:r>
        <w:rPr>
          <w:sz w:val="22"/>
          <w:szCs w:val="22"/>
          <w:lang w:val="en-US"/>
        </w:rPr>
        <w:t>the system, such as defendants, victims and witnesses.</w:t>
      </w:r>
      <w:r>
        <w:rPr>
          <w:rStyle w:val="FootnoteReference"/>
          <w:sz w:val="22"/>
          <w:szCs w:val="22"/>
          <w:lang w:val="en-US"/>
        </w:rPr>
        <w:footnoteReference w:id="20"/>
      </w:r>
      <w:r w:rsidRPr="004734EB">
        <w:rPr>
          <w:sz w:val="22"/>
          <w:szCs w:val="22"/>
          <w:lang w:val="en-US"/>
        </w:rPr>
        <w:t xml:space="preserve"> Some women prosecutors and lawyers claim they are not taken seriously by judges, while victims of GBV have reported being blamed, ridiculed and re-traumatized by insensitive courts.</w:t>
      </w:r>
      <w:r w:rsidRPr="004734EB">
        <w:rPr>
          <w:rStyle w:val="FootnoteReference"/>
          <w:sz w:val="22"/>
          <w:szCs w:val="22"/>
          <w:lang w:val="en-US"/>
        </w:rPr>
        <w:footnoteReference w:id="21"/>
      </w:r>
    </w:p>
    <w:p w14:paraId="1593FE1E" w14:textId="77777777" w:rsidR="00D2799B" w:rsidRPr="004734EB" w:rsidRDefault="00D2799B" w:rsidP="00D2799B">
      <w:pPr>
        <w:pStyle w:val="ListParagraph"/>
        <w:spacing w:after="120" w:line="276" w:lineRule="auto"/>
        <w:ind w:left="567"/>
        <w:jc w:val="both"/>
        <w:rPr>
          <w:sz w:val="22"/>
          <w:szCs w:val="22"/>
          <w:lang w:val="en-US"/>
        </w:rPr>
      </w:pPr>
    </w:p>
    <w:p w14:paraId="698870E1" w14:textId="77777777" w:rsidR="00D2799B" w:rsidRPr="004734EB"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It is recognized that the RGC has continued to distribute the D</w:t>
      </w:r>
      <w:r>
        <w:rPr>
          <w:sz w:val="22"/>
          <w:szCs w:val="22"/>
          <w:lang w:val="en-US"/>
        </w:rPr>
        <w:t xml:space="preserve">omestic </w:t>
      </w:r>
      <w:r w:rsidRPr="004734EB">
        <w:rPr>
          <w:sz w:val="22"/>
          <w:szCs w:val="22"/>
          <w:lang w:val="en-US"/>
        </w:rPr>
        <w:t>V</w:t>
      </w:r>
      <w:r>
        <w:rPr>
          <w:sz w:val="22"/>
          <w:szCs w:val="22"/>
          <w:lang w:val="en-US"/>
        </w:rPr>
        <w:t>iolence</w:t>
      </w:r>
      <w:r w:rsidRPr="004734EB">
        <w:rPr>
          <w:sz w:val="22"/>
          <w:szCs w:val="22"/>
          <w:lang w:val="en-US"/>
        </w:rPr>
        <w:t xml:space="preserve"> Law (reaching 2,899 people) and that in 2016 </w:t>
      </w:r>
      <w:r>
        <w:rPr>
          <w:sz w:val="22"/>
          <w:szCs w:val="22"/>
          <w:lang w:val="en-US"/>
        </w:rPr>
        <w:t xml:space="preserve">the </w:t>
      </w:r>
      <w:r w:rsidRPr="00106B81">
        <w:rPr>
          <w:sz w:val="22"/>
          <w:szCs w:val="22"/>
          <w:lang w:val="en-US"/>
        </w:rPr>
        <w:t>“</w:t>
      </w:r>
      <w:r w:rsidRPr="00941964">
        <w:rPr>
          <w:sz w:val="22"/>
          <w:szCs w:val="22"/>
          <w:lang w:val="en-US"/>
        </w:rPr>
        <w:t>Minimum Standards for Basic Counselling for Women and Girl Survivors of GBV” was finalized and incorporated in the new curriculum of the Royal Police Academy</w:t>
      </w:r>
      <w:r w:rsidRPr="00106B81">
        <w:rPr>
          <w:sz w:val="22"/>
          <w:szCs w:val="22"/>
          <w:lang w:val="en-US"/>
        </w:rPr>
        <w:t>.</w:t>
      </w:r>
      <w:r w:rsidRPr="004734EB">
        <w:rPr>
          <w:rStyle w:val="FootnoteReference"/>
          <w:sz w:val="22"/>
          <w:szCs w:val="22"/>
          <w:lang w:val="en-US"/>
        </w:rPr>
        <w:footnoteReference w:id="22"/>
      </w:r>
      <w:r w:rsidRPr="004734EB">
        <w:rPr>
          <w:sz w:val="22"/>
          <w:szCs w:val="22"/>
          <w:lang w:val="en-US"/>
        </w:rPr>
        <w:t xml:space="preserve"> However, </w:t>
      </w:r>
      <w:r>
        <w:rPr>
          <w:sz w:val="22"/>
          <w:szCs w:val="22"/>
          <w:lang w:val="en-US"/>
        </w:rPr>
        <w:t xml:space="preserve">it is unclear what the impact has been </w:t>
      </w:r>
      <w:r w:rsidRPr="004734EB">
        <w:rPr>
          <w:sz w:val="22"/>
          <w:szCs w:val="22"/>
          <w:lang w:val="en-US"/>
        </w:rPr>
        <w:t xml:space="preserve">and whether </w:t>
      </w:r>
      <w:r>
        <w:rPr>
          <w:sz w:val="22"/>
          <w:szCs w:val="22"/>
          <w:lang w:val="en-US"/>
        </w:rPr>
        <w:t xml:space="preserve">these moves </w:t>
      </w:r>
      <w:r w:rsidRPr="004734EB">
        <w:rPr>
          <w:sz w:val="22"/>
          <w:szCs w:val="22"/>
          <w:lang w:val="en-US"/>
        </w:rPr>
        <w:t xml:space="preserve">have </w:t>
      </w:r>
      <w:r>
        <w:rPr>
          <w:sz w:val="22"/>
          <w:szCs w:val="22"/>
          <w:lang w:val="en-US"/>
        </w:rPr>
        <w:t xml:space="preserve">reduced the stigma associated with </w:t>
      </w:r>
      <w:r w:rsidRPr="004734EB">
        <w:rPr>
          <w:sz w:val="22"/>
          <w:szCs w:val="22"/>
          <w:lang w:val="en-US"/>
        </w:rPr>
        <w:t xml:space="preserve">reporting GBV and other forms of domestic violence. It </w:t>
      </w:r>
      <w:r w:rsidRPr="004734EB">
        <w:rPr>
          <w:sz w:val="22"/>
          <w:szCs w:val="22"/>
          <w:lang w:val="en-US"/>
        </w:rPr>
        <w:lastRenderedPageBreak/>
        <w:t>remains a concern that discriminatory attitudes continue to be a barrier to effective access to justice for</w:t>
      </w:r>
      <w:r>
        <w:rPr>
          <w:sz w:val="22"/>
          <w:szCs w:val="22"/>
          <w:lang w:val="en-US"/>
        </w:rPr>
        <w:t xml:space="preserve"> female</w:t>
      </w:r>
      <w:r w:rsidRPr="004734EB">
        <w:rPr>
          <w:sz w:val="22"/>
          <w:szCs w:val="22"/>
          <w:lang w:val="en-US"/>
        </w:rPr>
        <w:t xml:space="preserve"> victims of </w:t>
      </w:r>
      <w:r>
        <w:rPr>
          <w:sz w:val="22"/>
          <w:szCs w:val="22"/>
          <w:lang w:val="en-US"/>
        </w:rPr>
        <w:t xml:space="preserve">GBV. </w:t>
      </w:r>
      <w:r w:rsidRPr="004734EB">
        <w:rPr>
          <w:sz w:val="22"/>
          <w:szCs w:val="22"/>
          <w:lang w:val="en-US"/>
        </w:rPr>
        <w:t xml:space="preserve"> </w:t>
      </w:r>
    </w:p>
    <w:p w14:paraId="325F597B" w14:textId="77777777" w:rsidR="00D2799B" w:rsidRPr="004734EB" w:rsidRDefault="00D2799B" w:rsidP="00D2799B">
      <w:pPr>
        <w:pStyle w:val="ListParagraph"/>
        <w:spacing w:after="120" w:line="276" w:lineRule="auto"/>
        <w:ind w:left="567"/>
        <w:jc w:val="both"/>
        <w:rPr>
          <w:sz w:val="22"/>
          <w:szCs w:val="22"/>
          <w:lang w:val="en-US"/>
        </w:rPr>
      </w:pPr>
    </w:p>
    <w:p w14:paraId="0EF89330" w14:textId="77777777" w:rsidR="00D2799B" w:rsidRPr="00362F5D"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It is further noted that there is still no explicit law in Cambodia which prevents discrimination on the basis of gender (</w:t>
      </w:r>
      <w:r>
        <w:rPr>
          <w:sz w:val="22"/>
          <w:szCs w:val="22"/>
          <w:lang w:val="en-US"/>
        </w:rPr>
        <w:t>and</w:t>
      </w:r>
      <w:r w:rsidRPr="004734EB">
        <w:rPr>
          <w:sz w:val="22"/>
          <w:szCs w:val="22"/>
          <w:lang w:val="en-US"/>
        </w:rPr>
        <w:t xml:space="preserve"> other protected characteristics), leaving women vulnerable to harmful and discriminatory practices.</w:t>
      </w:r>
      <w:r>
        <w:rPr>
          <w:sz w:val="22"/>
          <w:szCs w:val="22"/>
          <w:lang w:val="en-US"/>
        </w:rPr>
        <w:t xml:space="preserve"> Two countries recommended Cambodia to introduce such legislation in th</w:t>
      </w:r>
      <w:r w:rsidRPr="00D43EBA">
        <w:rPr>
          <w:sz w:val="22"/>
          <w:szCs w:val="22"/>
          <w:lang w:val="en-US"/>
        </w:rPr>
        <w:t>e</w:t>
      </w:r>
      <w:r w:rsidRPr="00D43EBA">
        <w:rPr>
          <w:sz w:val="22"/>
          <w:szCs w:val="22"/>
          <w:vertAlign w:val="superscript"/>
          <w:lang w:val="en-US"/>
        </w:rPr>
        <w:t xml:space="preserve"> </w:t>
      </w:r>
      <w:r w:rsidRPr="00D43EBA">
        <w:rPr>
          <w:sz w:val="22"/>
          <w:szCs w:val="22"/>
          <w:lang w:val="en-US"/>
        </w:rPr>
        <w:t>third cycle of the Universal Periodic Review (UPR) of Cambodia.</w:t>
      </w:r>
      <w:r w:rsidRPr="00D43EBA">
        <w:rPr>
          <w:rStyle w:val="FootnoteReference"/>
          <w:sz w:val="22"/>
          <w:szCs w:val="22"/>
          <w:lang w:val="en-US"/>
        </w:rPr>
        <w:footnoteReference w:id="23"/>
      </w:r>
      <w:r w:rsidRPr="00D43EBA">
        <w:rPr>
          <w:sz w:val="22"/>
          <w:szCs w:val="22"/>
          <w:lang w:val="en-US"/>
        </w:rPr>
        <w:t xml:space="preserve"> </w:t>
      </w:r>
      <w:r w:rsidRPr="00362F5D">
        <w:rPr>
          <w:sz w:val="22"/>
          <w:szCs w:val="22"/>
        </w:rPr>
        <w:t>Iceland and Australia</w:t>
      </w:r>
      <w:r>
        <w:rPr>
          <w:sz w:val="22"/>
          <w:szCs w:val="22"/>
        </w:rPr>
        <w:t xml:space="preserve"> both made</w:t>
      </w:r>
      <w:r w:rsidRPr="00362F5D">
        <w:rPr>
          <w:sz w:val="22"/>
          <w:szCs w:val="22"/>
        </w:rPr>
        <w:t xml:space="preserve"> recommendations </w:t>
      </w:r>
      <w:r>
        <w:rPr>
          <w:sz w:val="22"/>
          <w:szCs w:val="22"/>
        </w:rPr>
        <w:t>to introduce</w:t>
      </w:r>
      <w:r w:rsidRPr="00362F5D">
        <w:rPr>
          <w:sz w:val="22"/>
          <w:szCs w:val="22"/>
        </w:rPr>
        <w:t xml:space="preserve"> an anti-discrimination law guaranteeing and explicitly prohibiting all kinds of discrimination, including on the basis of sexual orientation, gender identity and expression or sex characteristics. </w:t>
      </w:r>
      <w:r w:rsidRPr="00362F5D">
        <w:rPr>
          <w:sz w:val="22"/>
          <w:szCs w:val="22"/>
          <w:lang w:val="en-US"/>
        </w:rPr>
        <w:t>It is commended that the RGC accepted both of these recommendations, laying the foundations for an explicit Cambodian law preventing discrimination on the basis of gender.</w:t>
      </w:r>
      <w:r w:rsidRPr="00D43EBA">
        <w:rPr>
          <w:rStyle w:val="FootnoteReference"/>
          <w:sz w:val="22"/>
          <w:szCs w:val="22"/>
          <w:lang w:val="en-US"/>
        </w:rPr>
        <w:footnoteReference w:id="24"/>
      </w:r>
      <w:r w:rsidRPr="00362F5D">
        <w:rPr>
          <w:sz w:val="22"/>
          <w:szCs w:val="22"/>
          <w:lang w:val="en-US"/>
        </w:rPr>
        <w:t xml:space="preserve"> </w:t>
      </w:r>
    </w:p>
    <w:p w14:paraId="71334132" w14:textId="77777777" w:rsidR="00D2799B" w:rsidRDefault="00D2799B" w:rsidP="00D2799B">
      <w:pPr>
        <w:pStyle w:val="ListParagraph"/>
        <w:spacing w:after="120" w:line="276" w:lineRule="auto"/>
        <w:ind w:left="567"/>
        <w:jc w:val="both"/>
        <w:rPr>
          <w:sz w:val="22"/>
          <w:szCs w:val="22"/>
          <w:lang w:val="en-US"/>
        </w:rPr>
      </w:pPr>
    </w:p>
    <w:p w14:paraId="5659142C" w14:textId="77777777" w:rsidR="00D2799B" w:rsidRPr="004734EB"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 xml:space="preserve">The ECCC has established a number of measures </w:t>
      </w:r>
      <w:r>
        <w:rPr>
          <w:sz w:val="22"/>
          <w:szCs w:val="22"/>
          <w:lang w:val="en-US"/>
        </w:rPr>
        <w:t xml:space="preserve">in line with the procedural rules of regular Cambodian courts </w:t>
      </w:r>
      <w:r w:rsidRPr="004734EB">
        <w:rPr>
          <w:sz w:val="22"/>
          <w:szCs w:val="22"/>
          <w:lang w:val="en-US"/>
        </w:rPr>
        <w:t xml:space="preserve">to protect the interests of </w:t>
      </w:r>
      <w:r>
        <w:rPr>
          <w:sz w:val="22"/>
          <w:szCs w:val="22"/>
          <w:lang w:val="en-US"/>
        </w:rPr>
        <w:t>women</w:t>
      </w:r>
      <w:r w:rsidRPr="004734EB">
        <w:rPr>
          <w:sz w:val="22"/>
          <w:szCs w:val="22"/>
          <w:lang w:val="en-US"/>
        </w:rPr>
        <w:t xml:space="preserve"> victims</w:t>
      </w:r>
      <w:r>
        <w:rPr>
          <w:sz w:val="22"/>
          <w:szCs w:val="22"/>
          <w:lang w:val="en-US"/>
        </w:rPr>
        <w:t>,</w:t>
      </w:r>
      <w:r w:rsidRPr="004734EB">
        <w:rPr>
          <w:sz w:val="22"/>
          <w:szCs w:val="22"/>
          <w:lang w:val="en-US"/>
        </w:rPr>
        <w:t xml:space="preserve"> </w:t>
      </w:r>
      <w:r>
        <w:rPr>
          <w:sz w:val="22"/>
          <w:szCs w:val="22"/>
          <w:lang w:val="en-US"/>
        </w:rPr>
        <w:t xml:space="preserve">for example, </w:t>
      </w:r>
      <w:r w:rsidRPr="004734EB">
        <w:rPr>
          <w:sz w:val="22"/>
          <w:szCs w:val="22"/>
          <w:lang w:val="en-US"/>
        </w:rPr>
        <w:t xml:space="preserve">closed-door hearings </w:t>
      </w:r>
      <w:r>
        <w:rPr>
          <w:sz w:val="22"/>
          <w:szCs w:val="22"/>
          <w:lang w:val="en-US"/>
        </w:rPr>
        <w:t xml:space="preserve">in order </w:t>
      </w:r>
      <w:r w:rsidRPr="004734EB">
        <w:rPr>
          <w:sz w:val="22"/>
          <w:szCs w:val="22"/>
          <w:lang w:val="en-US"/>
        </w:rPr>
        <w:t>to protect the identity of the individual</w:t>
      </w:r>
      <w:r>
        <w:rPr>
          <w:sz w:val="22"/>
          <w:szCs w:val="22"/>
          <w:lang w:val="en-US"/>
        </w:rPr>
        <w:t>s</w:t>
      </w:r>
      <w:r w:rsidRPr="004734EB">
        <w:rPr>
          <w:sz w:val="22"/>
          <w:szCs w:val="22"/>
          <w:lang w:val="en-US"/>
        </w:rPr>
        <w:t xml:space="preserve"> testi</w:t>
      </w:r>
      <w:r>
        <w:rPr>
          <w:sz w:val="22"/>
          <w:szCs w:val="22"/>
          <w:lang w:val="en-US"/>
        </w:rPr>
        <w:t>fying.</w:t>
      </w:r>
      <w:r w:rsidRPr="004734EB">
        <w:rPr>
          <w:rStyle w:val="FootnoteReference"/>
          <w:sz w:val="22"/>
          <w:szCs w:val="22"/>
          <w:lang w:val="en-US"/>
        </w:rPr>
        <w:footnoteReference w:id="25"/>
      </w:r>
      <w:r w:rsidRPr="004734EB">
        <w:rPr>
          <w:sz w:val="22"/>
          <w:szCs w:val="22"/>
          <w:lang w:val="en-US"/>
        </w:rPr>
        <w:t xml:space="preserve"> </w:t>
      </w:r>
      <w:r>
        <w:rPr>
          <w:sz w:val="22"/>
          <w:szCs w:val="22"/>
          <w:lang w:val="en-US"/>
        </w:rPr>
        <w:t xml:space="preserve">However, it should be noted that these measures have never been used at the ECCC. </w:t>
      </w:r>
      <w:r w:rsidRPr="004734EB">
        <w:rPr>
          <w:sz w:val="22"/>
          <w:szCs w:val="22"/>
          <w:lang w:val="en-US"/>
        </w:rPr>
        <w:t xml:space="preserve">Further, the ECCC has a Victim Support Section (VSS) and </w:t>
      </w:r>
      <w:r>
        <w:rPr>
          <w:sz w:val="22"/>
          <w:szCs w:val="22"/>
          <w:lang w:val="en-US"/>
        </w:rPr>
        <w:t>woman</w:t>
      </w:r>
      <w:r w:rsidRPr="004734EB">
        <w:rPr>
          <w:sz w:val="22"/>
          <w:szCs w:val="22"/>
          <w:lang w:val="en-US"/>
        </w:rPr>
        <w:t xml:space="preserve"> victims of GBV under the Khmer Rouge have benefitted from accompaniment in court by a psychological professional</w:t>
      </w:r>
      <w:r>
        <w:rPr>
          <w:sz w:val="22"/>
          <w:szCs w:val="22"/>
          <w:lang w:val="en-US"/>
        </w:rPr>
        <w:t>. Such psychological support</w:t>
      </w:r>
      <w:r w:rsidRPr="004734EB">
        <w:rPr>
          <w:sz w:val="22"/>
          <w:szCs w:val="22"/>
          <w:lang w:val="en-US"/>
        </w:rPr>
        <w:t xml:space="preserve"> do</w:t>
      </w:r>
      <w:r>
        <w:rPr>
          <w:sz w:val="22"/>
          <w:szCs w:val="22"/>
          <w:lang w:val="en-US"/>
        </w:rPr>
        <w:t>es</w:t>
      </w:r>
      <w:r w:rsidRPr="004734EB">
        <w:rPr>
          <w:sz w:val="22"/>
          <w:szCs w:val="22"/>
          <w:lang w:val="en-US"/>
        </w:rPr>
        <w:t xml:space="preserve"> not exist in regular Cambodian courts.</w:t>
      </w:r>
      <w:r w:rsidRPr="004734EB">
        <w:rPr>
          <w:rStyle w:val="FootnoteReference"/>
          <w:sz w:val="22"/>
          <w:szCs w:val="22"/>
          <w:lang w:val="en-US"/>
        </w:rPr>
        <w:footnoteReference w:id="26"/>
      </w:r>
    </w:p>
    <w:p w14:paraId="3267C350" w14:textId="77777777" w:rsidR="00D2799B" w:rsidRPr="004734EB" w:rsidRDefault="00D2799B" w:rsidP="00D2799B">
      <w:pPr>
        <w:pStyle w:val="ListParagraph"/>
        <w:spacing w:after="120" w:line="276" w:lineRule="auto"/>
        <w:ind w:left="567"/>
        <w:jc w:val="both"/>
        <w:rPr>
          <w:b/>
          <w:sz w:val="22"/>
          <w:szCs w:val="22"/>
          <w:lang w:val="en-US"/>
        </w:rPr>
      </w:pPr>
    </w:p>
    <w:p w14:paraId="51BC9A0B" w14:textId="77777777" w:rsidR="00D2799B" w:rsidRPr="00362F5D" w:rsidRDefault="00D2799B" w:rsidP="00D2799B">
      <w:pPr>
        <w:pStyle w:val="Heading2"/>
        <w:numPr>
          <w:ilvl w:val="1"/>
          <w:numId w:val="3"/>
        </w:numPr>
        <w:rPr>
          <w:rFonts w:asciiTheme="minorHAnsi" w:hAnsiTheme="minorHAnsi" w:cstheme="minorHAnsi"/>
          <w:b/>
          <w:color w:val="000000" w:themeColor="text1"/>
          <w:sz w:val="22"/>
          <w:szCs w:val="22"/>
          <w:lang w:val="en-US"/>
        </w:rPr>
      </w:pPr>
      <w:bookmarkStart w:id="7" w:name="_Toc13747274"/>
      <w:r w:rsidRPr="00362F5D">
        <w:rPr>
          <w:rFonts w:asciiTheme="minorHAnsi" w:hAnsiTheme="minorHAnsi" w:cstheme="minorHAnsi"/>
          <w:b/>
          <w:color w:val="000000" w:themeColor="text1"/>
          <w:sz w:val="22"/>
          <w:szCs w:val="22"/>
          <w:lang w:val="en-US"/>
        </w:rPr>
        <w:t>Corruption and rampant impunity abjectly inhibit women’s access to justice</w:t>
      </w:r>
      <w:bookmarkEnd w:id="7"/>
      <w:r w:rsidRPr="00362F5D">
        <w:rPr>
          <w:rFonts w:asciiTheme="minorHAnsi" w:hAnsiTheme="minorHAnsi" w:cstheme="minorHAnsi"/>
          <w:b/>
          <w:color w:val="000000" w:themeColor="text1"/>
          <w:sz w:val="22"/>
          <w:szCs w:val="22"/>
          <w:lang w:val="en-US"/>
        </w:rPr>
        <w:tab/>
      </w:r>
    </w:p>
    <w:p w14:paraId="4B6E8ADC" w14:textId="77777777" w:rsidR="00D2799B" w:rsidRPr="00941964" w:rsidRDefault="00D2799B" w:rsidP="00D2799B">
      <w:pPr>
        <w:pStyle w:val="ListParagraph"/>
        <w:numPr>
          <w:ilvl w:val="2"/>
          <w:numId w:val="3"/>
        </w:numPr>
        <w:spacing w:after="120" w:line="276" w:lineRule="auto"/>
        <w:ind w:left="567" w:hanging="567"/>
        <w:jc w:val="both"/>
        <w:rPr>
          <w:sz w:val="22"/>
          <w:szCs w:val="22"/>
          <w:lang w:val="en-US"/>
        </w:rPr>
      </w:pPr>
      <w:r w:rsidRPr="00317508">
        <w:rPr>
          <w:sz w:val="22"/>
          <w:szCs w:val="22"/>
          <w:lang w:val="en-US"/>
        </w:rPr>
        <w:t>In 2019, Cambodia ranked 125 out of 126 countries in the World Justice Project’s Rule of Law Index, which measures nations’ adherence to the rule of law.</w:t>
      </w:r>
      <w:r>
        <w:rPr>
          <w:rStyle w:val="FootnoteReference"/>
          <w:sz w:val="22"/>
          <w:szCs w:val="22"/>
          <w:lang w:val="en-US"/>
        </w:rPr>
        <w:footnoteReference w:id="27"/>
      </w:r>
      <w:r w:rsidRPr="00317508">
        <w:rPr>
          <w:sz w:val="22"/>
          <w:szCs w:val="22"/>
          <w:lang w:val="en-US"/>
        </w:rPr>
        <w:t xml:space="preserve"> With regard to th</w:t>
      </w:r>
      <w:r>
        <w:rPr>
          <w:sz w:val="22"/>
          <w:szCs w:val="22"/>
          <w:lang w:val="en-US"/>
        </w:rPr>
        <w:t>e</w:t>
      </w:r>
      <w:r w:rsidRPr="00317508">
        <w:rPr>
          <w:sz w:val="22"/>
          <w:szCs w:val="22"/>
          <w:lang w:val="en-US"/>
        </w:rPr>
        <w:t xml:space="preserve"> civil and criminal justice system Cambodia ranked 126 and</w:t>
      </w:r>
      <w:r>
        <w:rPr>
          <w:sz w:val="22"/>
          <w:szCs w:val="22"/>
          <w:lang w:val="en-US"/>
        </w:rPr>
        <w:t xml:space="preserve"> </w:t>
      </w:r>
      <w:r w:rsidRPr="00317508">
        <w:rPr>
          <w:sz w:val="22"/>
          <w:szCs w:val="22"/>
          <w:lang w:val="en-US"/>
        </w:rPr>
        <w:t>12</w:t>
      </w:r>
      <w:r>
        <w:rPr>
          <w:sz w:val="22"/>
          <w:szCs w:val="22"/>
          <w:lang w:val="en-US"/>
        </w:rPr>
        <w:t>4 respectively</w:t>
      </w:r>
      <w:r w:rsidRPr="00317508">
        <w:rPr>
          <w:sz w:val="22"/>
          <w:szCs w:val="22"/>
          <w:lang w:val="en-US"/>
        </w:rPr>
        <w:t xml:space="preserve"> out of </w:t>
      </w:r>
      <w:r>
        <w:rPr>
          <w:sz w:val="22"/>
          <w:szCs w:val="22"/>
          <w:lang w:val="en-US"/>
        </w:rPr>
        <w:t>126.</w:t>
      </w:r>
      <w:r>
        <w:rPr>
          <w:rStyle w:val="FootnoteReference"/>
          <w:sz w:val="22"/>
          <w:szCs w:val="22"/>
          <w:lang w:val="en-US"/>
        </w:rPr>
        <w:footnoteReference w:id="28"/>
      </w:r>
      <w:r>
        <w:rPr>
          <w:sz w:val="22"/>
          <w:szCs w:val="22"/>
          <w:lang w:val="en-US"/>
        </w:rPr>
        <w:t xml:space="preserve"> </w:t>
      </w:r>
      <w:r w:rsidRPr="00941964">
        <w:rPr>
          <w:sz w:val="22"/>
          <w:szCs w:val="22"/>
          <w:lang w:val="en-US"/>
        </w:rPr>
        <w:t xml:space="preserve">Cambodia also scored </w:t>
      </w:r>
      <w:r>
        <w:rPr>
          <w:sz w:val="22"/>
          <w:szCs w:val="22"/>
          <w:lang w:val="en-US"/>
        </w:rPr>
        <w:t>0 out of 4</w:t>
      </w:r>
      <w:r w:rsidRPr="00941964">
        <w:rPr>
          <w:sz w:val="22"/>
          <w:szCs w:val="22"/>
          <w:lang w:val="en-US"/>
        </w:rPr>
        <w:t xml:space="preserve"> in terms of </w:t>
      </w:r>
      <w:r>
        <w:rPr>
          <w:sz w:val="22"/>
          <w:szCs w:val="22"/>
          <w:lang w:val="en-US"/>
        </w:rPr>
        <w:t>independence of its judiciary</w:t>
      </w:r>
      <w:r w:rsidRPr="00941964">
        <w:rPr>
          <w:sz w:val="22"/>
          <w:szCs w:val="22"/>
          <w:lang w:val="en-US"/>
        </w:rPr>
        <w:t xml:space="preserve"> in a 2019 evaluation by Freedom House.</w:t>
      </w:r>
      <w:r w:rsidRPr="004734EB">
        <w:rPr>
          <w:rStyle w:val="FootnoteReference"/>
          <w:sz w:val="22"/>
          <w:szCs w:val="22"/>
          <w:lang w:val="en-US"/>
        </w:rPr>
        <w:footnoteReference w:id="29"/>
      </w:r>
      <w:r w:rsidRPr="00941964">
        <w:rPr>
          <w:sz w:val="22"/>
          <w:szCs w:val="22"/>
          <w:lang w:val="en-US"/>
        </w:rPr>
        <w:t xml:space="preserve"> </w:t>
      </w:r>
      <w:r>
        <w:rPr>
          <w:sz w:val="22"/>
          <w:szCs w:val="22"/>
          <w:lang w:val="en-US"/>
        </w:rPr>
        <w:t xml:space="preserve"> </w:t>
      </w:r>
    </w:p>
    <w:p w14:paraId="6AD20538" w14:textId="77777777" w:rsidR="00D2799B" w:rsidRPr="004734EB" w:rsidRDefault="00D2799B" w:rsidP="00D2799B">
      <w:pPr>
        <w:pStyle w:val="ListParagraph"/>
        <w:spacing w:after="120" w:line="276" w:lineRule="auto"/>
        <w:ind w:left="567"/>
        <w:jc w:val="both"/>
        <w:rPr>
          <w:sz w:val="22"/>
          <w:szCs w:val="22"/>
          <w:lang w:val="en-US"/>
        </w:rPr>
      </w:pPr>
    </w:p>
    <w:p w14:paraId="161F1362" w14:textId="77777777" w:rsidR="00D2799B" w:rsidRPr="004734EB"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lastRenderedPageBreak/>
        <w:t xml:space="preserve">The RGC’s intentions to </w:t>
      </w:r>
      <w:r>
        <w:rPr>
          <w:sz w:val="22"/>
          <w:szCs w:val="22"/>
          <w:lang w:val="en-US"/>
        </w:rPr>
        <w:t xml:space="preserve">attach high priority to the fight against corruption, including strengthening the capacity of the Anti-Corruption Unit, </w:t>
      </w:r>
      <w:r w:rsidRPr="004734EB">
        <w:rPr>
          <w:sz w:val="22"/>
          <w:szCs w:val="22"/>
          <w:lang w:val="en-US"/>
        </w:rPr>
        <w:t xml:space="preserve">are </w:t>
      </w:r>
      <w:r>
        <w:rPr>
          <w:sz w:val="22"/>
          <w:szCs w:val="22"/>
          <w:lang w:val="en-US"/>
        </w:rPr>
        <w:t>appreciated</w:t>
      </w:r>
      <w:r w:rsidRPr="004734EB">
        <w:rPr>
          <w:sz w:val="22"/>
          <w:szCs w:val="22"/>
          <w:lang w:val="en-US"/>
        </w:rPr>
        <w:t>.</w:t>
      </w:r>
      <w:r w:rsidRPr="004734EB">
        <w:rPr>
          <w:rStyle w:val="FootnoteReference"/>
          <w:sz w:val="22"/>
          <w:szCs w:val="22"/>
          <w:lang w:val="en-US"/>
        </w:rPr>
        <w:footnoteReference w:id="30"/>
      </w:r>
      <w:r w:rsidRPr="004734EB">
        <w:rPr>
          <w:sz w:val="22"/>
          <w:szCs w:val="22"/>
          <w:lang w:val="en-US"/>
        </w:rPr>
        <w:t xml:space="preserve"> </w:t>
      </w:r>
      <w:r>
        <w:rPr>
          <w:sz w:val="22"/>
          <w:szCs w:val="22"/>
          <w:lang w:val="en-US"/>
        </w:rPr>
        <w:t xml:space="preserve">However, Cambodia still ranked 125 out of 126 with regard to factor 2 of the Rule of Law Index 2019, which measures the </w:t>
      </w:r>
      <w:r w:rsidRPr="00941964">
        <w:rPr>
          <w:sz w:val="22"/>
          <w:szCs w:val="22"/>
          <w:lang w:val="en-US"/>
        </w:rPr>
        <w:t xml:space="preserve">absence of corruption </w:t>
      </w:r>
      <w:r>
        <w:rPr>
          <w:sz w:val="22"/>
          <w:szCs w:val="22"/>
          <w:lang w:val="en-US"/>
        </w:rPr>
        <w:t>within the government.</w:t>
      </w:r>
      <w:r>
        <w:rPr>
          <w:rStyle w:val="FootnoteReference"/>
          <w:sz w:val="22"/>
          <w:szCs w:val="22"/>
          <w:lang w:val="en-US"/>
        </w:rPr>
        <w:footnoteReference w:id="31"/>
      </w:r>
      <w:r>
        <w:rPr>
          <w:sz w:val="22"/>
          <w:szCs w:val="22"/>
          <w:lang w:val="en-US"/>
        </w:rPr>
        <w:t xml:space="preserve"> In</w:t>
      </w:r>
      <w:r w:rsidRPr="004734EB">
        <w:rPr>
          <w:sz w:val="22"/>
          <w:szCs w:val="22"/>
          <w:lang w:val="en-US"/>
        </w:rPr>
        <w:t xml:space="preserve"> 2013</w:t>
      </w:r>
      <w:r>
        <w:rPr>
          <w:sz w:val="22"/>
          <w:szCs w:val="22"/>
          <w:lang w:val="en-US"/>
        </w:rPr>
        <w:t>,</w:t>
      </w:r>
      <w:r w:rsidRPr="004734EB">
        <w:rPr>
          <w:sz w:val="22"/>
          <w:szCs w:val="22"/>
          <w:lang w:val="en-US"/>
        </w:rPr>
        <w:t xml:space="preserve"> the CEDAW Committee </w:t>
      </w:r>
      <w:r>
        <w:rPr>
          <w:sz w:val="22"/>
          <w:szCs w:val="22"/>
          <w:lang w:val="en-US"/>
        </w:rPr>
        <w:t>urged</w:t>
      </w:r>
      <w:r w:rsidRPr="004734EB">
        <w:rPr>
          <w:sz w:val="22"/>
          <w:szCs w:val="22"/>
          <w:lang w:val="en-US"/>
        </w:rPr>
        <w:t xml:space="preserve"> Cambodia</w:t>
      </w:r>
      <w:r>
        <w:rPr>
          <w:sz w:val="22"/>
          <w:szCs w:val="22"/>
          <w:lang w:val="en-US"/>
        </w:rPr>
        <w:t xml:space="preserve"> to continue to</w:t>
      </w:r>
      <w:r w:rsidRPr="004734EB">
        <w:rPr>
          <w:sz w:val="22"/>
          <w:szCs w:val="22"/>
          <w:lang w:val="en-US"/>
        </w:rPr>
        <w:t xml:space="preserve"> investigate and prosecut</w:t>
      </w:r>
      <w:r>
        <w:rPr>
          <w:sz w:val="22"/>
          <w:szCs w:val="22"/>
          <w:lang w:val="en-US"/>
        </w:rPr>
        <w:t>e</w:t>
      </w:r>
      <w:r w:rsidRPr="004734EB">
        <w:rPr>
          <w:sz w:val="22"/>
          <w:szCs w:val="22"/>
          <w:lang w:val="en-US"/>
        </w:rPr>
        <w:t xml:space="preserve"> allegations of corruption,</w:t>
      </w:r>
      <w:r w:rsidRPr="004734EB">
        <w:rPr>
          <w:rStyle w:val="FootnoteReference"/>
          <w:sz w:val="22"/>
          <w:szCs w:val="22"/>
          <w:lang w:val="en-US"/>
        </w:rPr>
        <w:footnoteReference w:id="32"/>
      </w:r>
      <w:r w:rsidRPr="004734EB">
        <w:rPr>
          <w:sz w:val="22"/>
          <w:szCs w:val="22"/>
          <w:lang w:val="en-US"/>
        </w:rPr>
        <w:t xml:space="preserve"> yet the RGC</w:t>
      </w:r>
      <w:r>
        <w:rPr>
          <w:sz w:val="22"/>
          <w:szCs w:val="22"/>
          <w:lang w:val="en-US"/>
        </w:rPr>
        <w:t xml:space="preserve"> </w:t>
      </w:r>
      <w:r w:rsidRPr="004734EB">
        <w:rPr>
          <w:sz w:val="22"/>
          <w:szCs w:val="22"/>
          <w:lang w:val="en-US"/>
        </w:rPr>
        <w:t>has provided no information regarding any investigations or prosecutions of corruption.</w:t>
      </w:r>
      <w:r>
        <w:rPr>
          <w:rStyle w:val="FootnoteReference"/>
          <w:sz w:val="22"/>
          <w:szCs w:val="22"/>
          <w:lang w:val="en-US"/>
        </w:rPr>
        <w:footnoteReference w:id="33"/>
      </w:r>
    </w:p>
    <w:p w14:paraId="41374894" w14:textId="77777777" w:rsidR="00D2799B" w:rsidRPr="004734EB" w:rsidRDefault="00D2799B" w:rsidP="00D2799B">
      <w:pPr>
        <w:pStyle w:val="ListParagraph"/>
        <w:spacing w:after="120" w:line="276" w:lineRule="auto"/>
        <w:ind w:left="567"/>
        <w:jc w:val="both"/>
        <w:rPr>
          <w:sz w:val="22"/>
          <w:szCs w:val="22"/>
          <w:lang w:val="en-US"/>
        </w:rPr>
      </w:pPr>
    </w:p>
    <w:p w14:paraId="00E83587" w14:textId="77777777" w:rsidR="00D2799B" w:rsidRDefault="00D2799B" w:rsidP="00D2799B">
      <w:pPr>
        <w:pStyle w:val="ListParagraph"/>
        <w:numPr>
          <w:ilvl w:val="2"/>
          <w:numId w:val="3"/>
        </w:numPr>
        <w:spacing w:after="120" w:line="276" w:lineRule="auto"/>
        <w:ind w:left="567" w:hanging="567"/>
        <w:jc w:val="both"/>
        <w:rPr>
          <w:sz w:val="22"/>
          <w:szCs w:val="22"/>
          <w:lang w:val="en-US"/>
        </w:rPr>
      </w:pPr>
      <w:r>
        <w:rPr>
          <w:sz w:val="22"/>
          <w:szCs w:val="22"/>
          <w:lang w:val="en-US"/>
        </w:rPr>
        <w:t>During the Working Group session on the UPR in January 2019, several countries made general recommendations with regard to strengthening the independence and impartiality of the judiciary and the fight against corruption.</w:t>
      </w:r>
      <w:r>
        <w:rPr>
          <w:rStyle w:val="FootnoteReference"/>
          <w:sz w:val="22"/>
          <w:szCs w:val="22"/>
          <w:lang w:val="en-US"/>
        </w:rPr>
        <w:footnoteReference w:id="34"/>
      </w:r>
      <w:r>
        <w:rPr>
          <w:sz w:val="22"/>
          <w:szCs w:val="22"/>
          <w:lang w:val="en-US"/>
        </w:rPr>
        <w:t xml:space="preserve"> One recommendation specifically addressed the need to conduct thorough investigations of domestic and sexual violence cases ensuring that perpetrators are prosecuted and victims are adequately compensated.</w:t>
      </w:r>
      <w:r>
        <w:rPr>
          <w:rStyle w:val="FootnoteReference"/>
          <w:sz w:val="22"/>
          <w:szCs w:val="22"/>
          <w:lang w:val="en-US"/>
        </w:rPr>
        <w:footnoteReference w:id="35"/>
      </w:r>
    </w:p>
    <w:p w14:paraId="675A34C3" w14:textId="77777777" w:rsidR="00D2799B" w:rsidRPr="00941964" w:rsidRDefault="00D2799B" w:rsidP="00D2799B">
      <w:pPr>
        <w:pStyle w:val="ListParagraph"/>
        <w:rPr>
          <w:sz w:val="22"/>
          <w:szCs w:val="22"/>
          <w:lang w:val="en-US"/>
        </w:rPr>
      </w:pPr>
    </w:p>
    <w:p w14:paraId="0AA709F1" w14:textId="77777777" w:rsidR="00D2799B"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 xml:space="preserve">Despite efforts by the RGC, </w:t>
      </w:r>
      <w:r>
        <w:rPr>
          <w:sz w:val="22"/>
          <w:szCs w:val="22"/>
          <w:lang w:val="en-US"/>
        </w:rPr>
        <w:t>impunity</w:t>
      </w:r>
      <w:r w:rsidRPr="004734EB">
        <w:rPr>
          <w:sz w:val="22"/>
          <w:szCs w:val="22"/>
          <w:lang w:val="en-US"/>
        </w:rPr>
        <w:t xml:space="preserve"> remains </w:t>
      </w:r>
      <w:r>
        <w:rPr>
          <w:sz w:val="22"/>
          <w:szCs w:val="22"/>
          <w:lang w:val="en-US"/>
        </w:rPr>
        <w:t>rampant,</w:t>
      </w:r>
      <w:r w:rsidRPr="004734EB">
        <w:rPr>
          <w:sz w:val="22"/>
          <w:szCs w:val="22"/>
          <w:lang w:val="en-US"/>
        </w:rPr>
        <w:t xml:space="preserve"> which </w:t>
      </w:r>
      <w:r>
        <w:rPr>
          <w:sz w:val="22"/>
          <w:szCs w:val="22"/>
          <w:lang w:val="en-US"/>
        </w:rPr>
        <w:t>prevents</w:t>
      </w:r>
      <w:r w:rsidRPr="004734EB">
        <w:rPr>
          <w:sz w:val="22"/>
          <w:szCs w:val="22"/>
          <w:lang w:val="en-US"/>
        </w:rPr>
        <w:t xml:space="preserve"> women from </w:t>
      </w:r>
      <w:r>
        <w:rPr>
          <w:sz w:val="22"/>
          <w:szCs w:val="22"/>
          <w:lang w:val="en-US"/>
        </w:rPr>
        <w:t xml:space="preserve">obtaining </w:t>
      </w:r>
      <w:r w:rsidRPr="004734EB">
        <w:rPr>
          <w:sz w:val="22"/>
          <w:szCs w:val="22"/>
          <w:lang w:val="en-US"/>
        </w:rPr>
        <w:t>justice.</w:t>
      </w:r>
      <w:r w:rsidRPr="004734EB">
        <w:rPr>
          <w:rStyle w:val="FootnoteReference"/>
          <w:sz w:val="22"/>
          <w:szCs w:val="22"/>
          <w:lang w:val="en-US"/>
        </w:rPr>
        <w:footnoteReference w:id="36"/>
      </w:r>
      <w:r w:rsidRPr="004734EB">
        <w:rPr>
          <w:sz w:val="22"/>
          <w:szCs w:val="22"/>
          <w:lang w:val="en-US"/>
        </w:rPr>
        <w:t xml:space="preserve"> Perpetrators of violent crimes frequently escape justice</w:t>
      </w:r>
      <w:r>
        <w:rPr>
          <w:sz w:val="22"/>
          <w:szCs w:val="22"/>
          <w:lang w:val="en-US"/>
        </w:rPr>
        <w:t>,</w:t>
      </w:r>
      <w:r w:rsidRPr="004734EB">
        <w:rPr>
          <w:sz w:val="22"/>
          <w:szCs w:val="22"/>
          <w:lang w:val="en-US"/>
        </w:rPr>
        <w:t xml:space="preserve"> an issue that is magnified in the context of crimes against women.</w:t>
      </w:r>
      <w:r w:rsidRPr="004734EB">
        <w:rPr>
          <w:rStyle w:val="FootnoteReference"/>
          <w:sz w:val="22"/>
          <w:szCs w:val="22"/>
          <w:lang w:val="en-US"/>
        </w:rPr>
        <w:footnoteReference w:id="37"/>
      </w:r>
      <w:r w:rsidRPr="004734EB">
        <w:rPr>
          <w:sz w:val="22"/>
          <w:szCs w:val="22"/>
          <w:lang w:val="en-US"/>
        </w:rPr>
        <w:t xml:space="preserve"> One such case occurred in January 2017, when sex worker Pen Kunthea was chased through Phnom Penh’s Riverside district by Daun Penh security guards. When Kunthea fell into the river, the guards allegedly watched her drown and stopped bystanders from assisting her.</w:t>
      </w:r>
      <w:r w:rsidRPr="004734EB">
        <w:rPr>
          <w:rStyle w:val="FootnoteReference"/>
          <w:sz w:val="22"/>
          <w:szCs w:val="22"/>
          <w:lang w:val="en-US"/>
        </w:rPr>
        <w:footnoteReference w:id="38"/>
      </w:r>
      <w:r w:rsidRPr="004734EB">
        <w:rPr>
          <w:sz w:val="22"/>
          <w:szCs w:val="22"/>
          <w:lang w:val="en-US"/>
        </w:rPr>
        <w:t xml:space="preserve"> Despite repeated calls for an independent investigation into the circumstances surrounding her death, no meaningful action has been taken.</w:t>
      </w:r>
      <w:r w:rsidRPr="004734EB">
        <w:rPr>
          <w:rStyle w:val="FootnoteReference"/>
          <w:sz w:val="22"/>
          <w:szCs w:val="22"/>
          <w:lang w:val="en-US"/>
        </w:rPr>
        <w:footnoteReference w:id="39"/>
      </w:r>
      <w:r w:rsidRPr="004734EB">
        <w:rPr>
          <w:sz w:val="22"/>
          <w:szCs w:val="22"/>
          <w:lang w:val="en-US"/>
        </w:rPr>
        <w:t xml:space="preserve"> The RGC has also omitted to provide any details of the disciplinary procedures and mechanisms which are available to redress corrupt practices by officials, despite the CEDAW Committee highlighting that tackling corruption is a key component of eliminating discrimination.</w:t>
      </w:r>
      <w:r w:rsidRPr="004734EB">
        <w:rPr>
          <w:rStyle w:val="FootnoteReference"/>
          <w:sz w:val="22"/>
          <w:szCs w:val="22"/>
          <w:lang w:val="en-US"/>
        </w:rPr>
        <w:footnoteReference w:id="40"/>
      </w:r>
    </w:p>
    <w:p w14:paraId="45350D1C" w14:textId="77777777" w:rsidR="00D2799B" w:rsidRDefault="00D2799B" w:rsidP="00D2799B">
      <w:pPr>
        <w:pStyle w:val="ListParagraph"/>
        <w:spacing w:after="120" w:line="276" w:lineRule="auto"/>
        <w:ind w:left="567"/>
        <w:jc w:val="both"/>
        <w:rPr>
          <w:sz w:val="22"/>
          <w:szCs w:val="22"/>
          <w:lang w:val="en-US"/>
        </w:rPr>
      </w:pPr>
    </w:p>
    <w:p w14:paraId="1F44CB9B" w14:textId="77777777" w:rsidR="00D2799B" w:rsidRPr="00362F5D" w:rsidRDefault="00D2799B" w:rsidP="00D2799B">
      <w:pPr>
        <w:pStyle w:val="ListParagraph"/>
        <w:numPr>
          <w:ilvl w:val="2"/>
          <w:numId w:val="3"/>
        </w:numPr>
        <w:spacing w:after="120" w:line="276" w:lineRule="auto"/>
        <w:ind w:left="567" w:hanging="567"/>
        <w:jc w:val="both"/>
        <w:rPr>
          <w:sz w:val="22"/>
          <w:szCs w:val="22"/>
          <w:lang w:val="en-US"/>
        </w:rPr>
      </w:pPr>
      <w:r>
        <w:rPr>
          <w:sz w:val="22"/>
          <w:szCs w:val="22"/>
          <w:lang w:val="en-US"/>
        </w:rPr>
        <w:t xml:space="preserve">In </w:t>
      </w:r>
      <w:r w:rsidRPr="00362F5D">
        <w:rPr>
          <w:rFonts w:cstheme="minorHAnsi"/>
          <w:sz w:val="22"/>
          <w:szCs w:val="22"/>
          <w:lang w:val="en-US"/>
        </w:rPr>
        <w:t xml:space="preserve">2017, </w:t>
      </w:r>
      <w:r>
        <w:rPr>
          <w:rFonts w:cstheme="minorHAnsi"/>
          <w:sz w:val="22"/>
          <w:szCs w:val="22"/>
          <w:lang w:val="en-US"/>
        </w:rPr>
        <w:t>of</w:t>
      </w:r>
      <w:r w:rsidRPr="00362F5D">
        <w:rPr>
          <w:rFonts w:cstheme="minorHAnsi"/>
          <w:color w:val="212529"/>
          <w:sz w:val="22"/>
          <w:szCs w:val="22"/>
          <w:shd w:val="clear" w:color="auto" w:fill="FFFFFF"/>
        </w:rPr>
        <w:t xml:space="preserve"> 134 rape cases</w:t>
      </w:r>
      <w:r>
        <w:rPr>
          <w:rFonts w:cstheme="minorHAnsi"/>
          <w:color w:val="212529"/>
          <w:sz w:val="22"/>
          <w:szCs w:val="22"/>
          <w:shd w:val="clear" w:color="auto" w:fill="FFFFFF"/>
        </w:rPr>
        <w:t xml:space="preserve"> handled by human rights NGO ADHOC</w:t>
      </w:r>
      <w:r w:rsidRPr="00362F5D">
        <w:rPr>
          <w:rFonts w:cstheme="minorHAnsi"/>
          <w:color w:val="212529"/>
          <w:sz w:val="22"/>
          <w:szCs w:val="22"/>
          <w:shd w:val="clear" w:color="auto" w:fill="FFFFFF"/>
        </w:rPr>
        <w:t xml:space="preserve">, 60% of the perpetrators were arrested at some point by authorities. However, </w:t>
      </w:r>
      <w:r>
        <w:rPr>
          <w:rFonts w:cstheme="minorHAnsi"/>
          <w:color w:val="212529"/>
          <w:sz w:val="22"/>
          <w:szCs w:val="22"/>
          <w:shd w:val="clear" w:color="auto" w:fill="FFFFFF"/>
        </w:rPr>
        <w:t xml:space="preserve">in </w:t>
      </w:r>
      <w:r w:rsidRPr="00362F5D">
        <w:rPr>
          <w:rFonts w:cstheme="minorHAnsi"/>
          <w:color w:val="212529"/>
          <w:sz w:val="22"/>
          <w:szCs w:val="22"/>
          <w:shd w:val="clear" w:color="auto" w:fill="FFFFFF"/>
        </w:rPr>
        <w:t>only 2.2% (</w:t>
      </w:r>
      <w:r>
        <w:rPr>
          <w:rFonts w:cstheme="minorHAnsi"/>
          <w:color w:val="212529"/>
          <w:sz w:val="22"/>
          <w:szCs w:val="22"/>
          <w:shd w:val="clear" w:color="auto" w:fill="FFFFFF"/>
        </w:rPr>
        <w:t>three</w:t>
      </w:r>
      <w:r w:rsidRPr="00362F5D">
        <w:rPr>
          <w:rFonts w:cstheme="minorHAnsi"/>
          <w:color w:val="212529"/>
          <w:sz w:val="22"/>
          <w:szCs w:val="22"/>
          <w:shd w:val="clear" w:color="auto" w:fill="FFFFFF"/>
        </w:rPr>
        <w:t xml:space="preserve"> of 134 cases) were </w:t>
      </w:r>
      <w:r>
        <w:rPr>
          <w:rFonts w:cstheme="minorHAnsi"/>
          <w:color w:val="212529"/>
          <w:sz w:val="22"/>
          <w:szCs w:val="22"/>
          <w:shd w:val="clear" w:color="auto" w:fill="FFFFFF"/>
        </w:rPr>
        <w:lastRenderedPageBreak/>
        <w:t xml:space="preserve">perpetrators </w:t>
      </w:r>
      <w:r w:rsidRPr="00362F5D">
        <w:rPr>
          <w:rFonts w:cstheme="minorHAnsi"/>
          <w:color w:val="212529"/>
          <w:sz w:val="22"/>
          <w:szCs w:val="22"/>
          <w:shd w:val="clear" w:color="auto" w:fill="FFFFFF"/>
        </w:rPr>
        <w:t xml:space="preserve">sentenced by </w:t>
      </w:r>
      <w:r>
        <w:rPr>
          <w:rFonts w:cstheme="minorHAnsi"/>
          <w:color w:val="212529"/>
          <w:sz w:val="22"/>
          <w:szCs w:val="22"/>
          <w:shd w:val="clear" w:color="auto" w:fill="FFFFFF"/>
        </w:rPr>
        <w:t xml:space="preserve">the </w:t>
      </w:r>
      <w:r w:rsidRPr="00362F5D">
        <w:rPr>
          <w:rFonts w:cstheme="minorHAnsi"/>
          <w:color w:val="212529"/>
          <w:sz w:val="22"/>
          <w:szCs w:val="22"/>
          <w:shd w:val="clear" w:color="auto" w:fill="FFFFFF"/>
        </w:rPr>
        <w:t xml:space="preserve">courts. Similarly, </w:t>
      </w:r>
      <w:r>
        <w:rPr>
          <w:rFonts w:cstheme="minorHAnsi"/>
          <w:color w:val="212529"/>
          <w:sz w:val="22"/>
          <w:szCs w:val="22"/>
          <w:shd w:val="clear" w:color="auto" w:fill="FFFFFF"/>
        </w:rPr>
        <w:t>in 2018, o</w:t>
      </w:r>
      <w:r w:rsidRPr="00362F5D">
        <w:rPr>
          <w:rFonts w:cstheme="minorHAnsi"/>
          <w:color w:val="212529"/>
          <w:sz w:val="22"/>
          <w:szCs w:val="22"/>
          <w:shd w:val="clear" w:color="auto" w:fill="FFFFFF"/>
        </w:rPr>
        <w:t>f 93 rape cases, 71% of perpetrators were arrested (66 cases out of 93). Yet, only 5</w:t>
      </w:r>
      <w:r>
        <w:rPr>
          <w:rFonts w:cstheme="minorHAnsi"/>
          <w:color w:val="212529"/>
          <w:sz w:val="22"/>
          <w:szCs w:val="22"/>
          <w:shd w:val="clear" w:color="auto" w:fill="FFFFFF"/>
        </w:rPr>
        <w:t>.</w:t>
      </w:r>
      <w:r w:rsidRPr="00362F5D">
        <w:rPr>
          <w:rFonts w:cstheme="minorHAnsi"/>
          <w:color w:val="212529"/>
          <w:sz w:val="22"/>
          <w:szCs w:val="22"/>
          <w:shd w:val="clear" w:color="auto" w:fill="FFFFFF"/>
        </w:rPr>
        <w:t>37% cases ended in the perpetrator being convicted by a court (</w:t>
      </w:r>
      <w:r>
        <w:rPr>
          <w:rFonts w:cstheme="minorHAnsi"/>
          <w:color w:val="212529"/>
          <w:sz w:val="22"/>
          <w:szCs w:val="22"/>
          <w:shd w:val="clear" w:color="auto" w:fill="FFFFFF"/>
        </w:rPr>
        <w:t>five</w:t>
      </w:r>
      <w:r w:rsidRPr="00362F5D">
        <w:rPr>
          <w:rFonts w:cstheme="minorHAnsi"/>
          <w:color w:val="212529"/>
          <w:sz w:val="22"/>
          <w:szCs w:val="22"/>
          <w:shd w:val="clear" w:color="auto" w:fill="FFFFFF"/>
        </w:rPr>
        <w:t xml:space="preserve"> cases out of 93).</w:t>
      </w:r>
      <w:r>
        <w:rPr>
          <w:rStyle w:val="FootnoteReference"/>
          <w:rFonts w:cstheme="minorHAnsi"/>
          <w:color w:val="212529"/>
          <w:sz w:val="22"/>
          <w:szCs w:val="22"/>
          <w:shd w:val="clear" w:color="auto" w:fill="FFFFFF"/>
        </w:rPr>
        <w:footnoteReference w:id="41"/>
      </w:r>
    </w:p>
    <w:p w14:paraId="2D43CA62" w14:textId="77777777" w:rsidR="00D2799B" w:rsidRDefault="00D2799B" w:rsidP="00D2799B">
      <w:pPr>
        <w:pStyle w:val="ListParagraph"/>
        <w:spacing w:after="120" w:line="276" w:lineRule="auto"/>
        <w:ind w:left="567"/>
        <w:jc w:val="both"/>
        <w:rPr>
          <w:sz w:val="22"/>
          <w:szCs w:val="22"/>
          <w:lang w:val="en-US"/>
        </w:rPr>
      </w:pPr>
    </w:p>
    <w:p w14:paraId="1CB7D99C" w14:textId="77777777" w:rsidR="00D2799B" w:rsidRPr="00362F5D"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 xml:space="preserve">While justice is inaccessible for some, the courts </w:t>
      </w:r>
      <w:r>
        <w:rPr>
          <w:sz w:val="22"/>
          <w:szCs w:val="22"/>
          <w:lang w:val="en-US"/>
        </w:rPr>
        <w:t xml:space="preserve">conversely </w:t>
      </w:r>
      <w:r w:rsidRPr="004734EB">
        <w:rPr>
          <w:sz w:val="22"/>
          <w:szCs w:val="22"/>
          <w:lang w:val="en-US"/>
        </w:rPr>
        <w:t xml:space="preserve">often work quickly </w:t>
      </w:r>
      <w:r>
        <w:rPr>
          <w:sz w:val="22"/>
          <w:szCs w:val="22"/>
          <w:lang w:val="en-US"/>
        </w:rPr>
        <w:t xml:space="preserve">to prosecute </w:t>
      </w:r>
      <w:r w:rsidRPr="004734EB">
        <w:rPr>
          <w:sz w:val="22"/>
          <w:szCs w:val="22"/>
          <w:lang w:val="en-US"/>
        </w:rPr>
        <w:t>women human rights defenders (WHRDs), who are routinely subjected to judicial harassment, including imprisonment, often with devastating effects.</w:t>
      </w:r>
      <w:r w:rsidRPr="004734EB">
        <w:rPr>
          <w:rStyle w:val="FootnoteReference"/>
          <w:sz w:val="22"/>
          <w:szCs w:val="22"/>
          <w:lang w:val="en-US"/>
        </w:rPr>
        <w:footnoteReference w:id="42"/>
      </w:r>
      <w:r>
        <w:rPr>
          <w:sz w:val="22"/>
          <w:szCs w:val="22"/>
          <w:lang w:val="en-US"/>
        </w:rPr>
        <w:t xml:space="preserve"> In particular, WHRDs who are advocating for the protection of their community’s land are subject to widespread judicial harassment.</w:t>
      </w:r>
      <w:r>
        <w:rPr>
          <w:rStyle w:val="FootnoteReference"/>
          <w:sz w:val="22"/>
          <w:szCs w:val="22"/>
          <w:lang w:val="en-US"/>
        </w:rPr>
        <w:footnoteReference w:id="43"/>
      </w:r>
      <w:r>
        <w:rPr>
          <w:sz w:val="22"/>
          <w:szCs w:val="22"/>
          <w:lang w:val="en-US"/>
        </w:rPr>
        <w:t xml:space="preserve"> Several case studies illustrate that WHRDs are being summoned, interrogated, arrested and detained specifically in order to prevent them from advocating for their rights.</w:t>
      </w:r>
      <w:r>
        <w:rPr>
          <w:rStyle w:val="FootnoteReference"/>
          <w:sz w:val="22"/>
          <w:szCs w:val="22"/>
          <w:lang w:val="en-US"/>
        </w:rPr>
        <w:footnoteReference w:id="44"/>
      </w:r>
      <w:r>
        <w:rPr>
          <w:sz w:val="22"/>
          <w:szCs w:val="22"/>
          <w:lang w:val="en-US"/>
        </w:rPr>
        <w:t xml:space="preserve"> </w:t>
      </w:r>
    </w:p>
    <w:p w14:paraId="5423FE80" w14:textId="77777777" w:rsidR="00D2799B" w:rsidRDefault="00D2799B" w:rsidP="00D2799B">
      <w:pPr>
        <w:pStyle w:val="Heading1"/>
        <w:numPr>
          <w:ilvl w:val="0"/>
          <w:numId w:val="3"/>
        </w:numPr>
        <w:rPr>
          <w:rFonts w:asciiTheme="minorHAnsi" w:hAnsiTheme="minorHAnsi" w:cstheme="minorHAnsi"/>
          <w:b/>
          <w:color w:val="000000" w:themeColor="text1"/>
          <w:sz w:val="24"/>
          <w:szCs w:val="24"/>
          <w:u w:val="single"/>
          <w:lang w:val="en-US"/>
        </w:rPr>
      </w:pPr>
      <w:bookmarkStart w:id="8" w:name="_Toc13746796"/>
      <w:bookmarkStart w:id="9" w:name="_Toc13746823"/>
      <w:bookmarkStart w:id="10" w:name="_Toc13746859"/>
      <w:bookmarkStart w:id="11" w:name="_Toc13746916"/>
      <w:bookmarkStart w:id="12" w:name="_Toc13746998"/>
      <w:bookmarkStart w:id="13" w:name="_Toc13747112"/>
      <w:bookmarkStart w:id="14" w:name="_Toc13747162"/>
      <w:bookmarkStart w:id="15" w:name="_Toc13747182"/>
      <w:bookmarkStart w:id="16" w:name="_Toc13747275"/>
      <w:bookmarkStart w:id="17" w:name="_Toc13746797"/>
      <w:bookmarkStart w:id="18" w:name="_Toc13746824"/>
      <w:bookmarkStart w:id="19" w:name="_Toc13746860"/>
      <w:bookmarkStart w:id="20" w:name="_Toc13746917"/>
      <w:bookmarkStart w:id="21" w:name="_Toc13746999"/>
      <w:bookmarkStart w:id="22" w:name="_Toc13747113"/>
      <w:bookmarkStart w:id="23" w:name="_Toc13747163"/>
      <w:bookmarkStart w:id="24" w:name="_Toc13747183"/>
      <w:bookmarkStart w:id="25" w:name="_Toc13747276"/>
      <w:bookmarkStart w:id="26" w:name="_Toc1374727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362F5D">
        <w:rPr>
          <w:rFonts w:asciiTheme="minorHAnsi" w:hAnsiTheme="minorHAnsi" w:cstheme="minorHAnsi"/>
          <w:b/>
          <w:color w:val="000000" w:themeColor="text1"/>
          <w:sz w:val="24"/>
          <w:szCs w:val="24"/>
          <w:u w:val="single"/>
          <w:lang w:val="en-US"/>
        </w:rPr>
        <w:t>Economic, Social and Practical Barriers to Access to Justice</w:t>
      </w:r>
      <w:bookmarkEnd w:id="26"/>
    </w:p>
    <w:p w14:paraId="03E7639F" w14:textId="77777777" w:rsidR="00D2799B" w:rsidRPr="00362F5D" w:rsidRDefault="00D2799B" w:rsidP="00D2799B">
      <w:pPr>
        <w:rPr>
          <w:lang w:val="en-US"/>
        </w:rPr>
      </w:pPr>
    </w:p>
    <w:p w14:paraId="5EE58C8C" w14:textId="77777777" w:rsidR="00D2799B" w:rsidRDefault="00D2799B" w:rsidP="00D2799B">
      <w:pPr>
        <w:spacing w:line="276" w:lineRule="auto"/>
        <w:jc w:val="both"/>
        <w:rPr>
          <w:sz w:val="22"/>
          <w:szCs w:val="22"/>
          <w:lang w:val="en-US"/>
        </w:rPr>
      </w:pPr>
      <w:r w:rsidRPr="004734EB">
        <w:rPr>
          <w:sz w:val="22"/>
          <w:szCs w:val="22"/>
          <w:lang w:val="en-US"/>
        </w:rPr>
        <w:t xml:space="preserve">Given the economic, social and political obstacles faced by women, </w:t>
      </w:r>
      <w:r>
        <w:rPr>
          <w:sz w:val="22"/>
          <w:szCs w:val="22"/>
          <w:lang w:val="en-US"/>
        </w:rPr>
        <w:t xml:space="preserve">simply </w:t>
      </w:r>
      <w:r w:rsidRPr="004734EB">
        <w:rPr>
          <w:sz w:val="22"/>
          <w:szCs w:val="22"/>
          <w:lang w:val="en-US"/>
        </w:rPr>
        <w:t>getting within reach of justice services can be an insurmountable challenge, leading to their exclusion from the judicial system</w:t>
      </w:r>
      <w:r>
        <w:rPr>
          <w:sz w:val="22"/>
          <w:szCs w:val="22"/>
          <w:lang w:val="en-US"/>
        </w:rPr>
        <w:t xml:space="preserve"> altogether.</w:t>
      </w:r>
    </w:p>
    <w:p w14:paraId="274DC322" w14:textId="77777777" w:rsidR="00D2799B" w:rsidRPr="004734EB" w:rsidRDefault="00D2799B" w:rsidP="00D2799B">
      <w:pPr>
        <w:spacing w:line="276" w:lineRule="auto"/>
        <w:jc w:val="both"/>
        <w:rPr>
          <w:b/>
          <w:u w:val="single"/>
          <w:lang w:val="en-US"/>
        </w:rPr>
      </w:pPr>
    </w:p>
    <w:p w14:paraId="6D43B4E2" w14:textId="77777777" w:rsidR="00D2799B" w:rsidRPr="00362F5D" w:rsidRDefault="00D2799B" w:rsidP="00D2799B">
      <w:pPr>
        <w:pStyle w:val="Heading2"/>
        <w:numPr>
          <w:ilvl w:val="1"/>
          <w:numId w:val="3"/>
        </w:numPr>
        <w:rPr>
          <w:rFonts w:asciiTheme="minorHAnsi" w:hAnsiTheme="minorHAnsi" w:cstheme="minorHAnsi"/>
          <w:b/>
          <w:color w:val="000000" w:themeColor="text1"/>
          <w:sz w:val="22"/>
          <w:szCs w:val="22"/>
          <w:lang w:val="en-US"/>
        </w:rPr>
      </w:pPr>
      <w:bookmarkStart w:id="27" w:name="_Toc13747278"/>
      <w:r w:rsidRPr="00362F5D">
        <w:rPr>
          <w:rFonts w:asciiTheme="minorHAnsi" w:hAnsiTheme="minorHAnsi" w:cstheme="minorHAnsi"/>
          <w:b/>
          <w:color w:val="000000" w:themeColor="text1"/>
          <w:sz w:val="22"/>
          <w:szCs w:val="22"/>
          <w:lang w:val="en-US"/>
        </w:rPr>
        <w:t>Inadequate legal aid provisions disproportionately affect women</w:t>
      </w:r>
      <w:bookmarkEnd w:id="27"/>
    </w:p>
    <w:p w14:paraId="597F3185" w14:textId="77777777" w:rsidR="00D2799B" w:rsidRPr="004734EB" w:rsidRDefault="00D2799B" w:rsidP="00D2799B">
      <w:pPr>
        <w:pStyle w:val="ListParagraph"/>
        <w:numPr>
          <w:ilvl w:val="2"/>
          <w:numId w:val="3"/>
        </w:numPr>
        <w:spacing w:after="120" w:line="276" w:lineRule="auto"/>
        <w:ind w:left="567" w:hanging="567"/>
        <w:jc w:val="both"/>
        <w:rPr>
          <w:lang w:val="en-US"/>
        </w:rPr>
      </w:pPr>
      <w:r w:rsidRPr="004734EB">
        <w:rPr>
          <w:sz w:val="22"/>
          <w:szCs w:val="22"/>
          <w:lang w:val="en-US"/>
        </w:rPr>
        <w:t xml:space="preserve">Legal aid is available in Cambodia to those who are unable to afford legal representation and the RGC is commended </w:t>
      </w:r>
      <w:r>
        <w:rPr>
          <w:sz w:val="22"/>
          <w:szCs w:val="22"/>
          <w:lang w:val="en-US"/>
        </w:rPr>
        <w:t>for</w:t>
      </w:r>
      <w:r w:rsidRPr="004734EB">
        <w:rPr>
          <w:sz w:val="22"/>
          <w:szCs w:val="22"/>
          <w:lang w:val="en-US"/>
        </w:rPr>
        <w:t xml:space="preserve"> increasing the legal aid budget from 300 million riel [USD 75,000] in 2014 to 600 million riel [USD 150,000] in 201</w:t>
      </w:r>
      <w:r>
        <w:rPr>
          <w:sz w:val="22"/>
          <w:szCs w:val="22"/>
          <w:lang w:val="en-US"/>
        </w:rPr>
        <w:t>7</w:t>
      </w:r>
      <w:r w:rsidRPr="004734EB">
        <w:rPr>
          <w:sz w:val="22"/>
          <w:szCs w:val="22"/>
          <w:lang w:val="en-US"/>
        </w:rPr>
        <w:t>,</w:t>
      </w:r>
      <w:r w:rsidRPr="004734EB">
        <w:rPr>
          <w:rStyle w:val="FootnoteReference"/>
          <w:sz w:val="22"/>
          <w:szCs w:val="22"/>
          <w:lang w:val="en-US"/>
        </w:rPr>
        <w:footnoteReference w:id="45"/>
      </w:r>
      <w:r w:rsidRPr="004734EB">
        <w:rPr>
          <w:sz w:val="22"/>
          <w:szCs w:val="22"/>
          <w:lang w:val="en-US"/>
        </w:rPr>
        <w:t xml:space="preserve"> and further </w:t>
      </w:r>
      <w:r>
        <w:rPr>
          <w:sz w:val="22"/>
          <w:szCs w:val="22"/>
          <w:lang w:val="en-US"/>
        </w:rPr>
        <w:t>increasing the</w:t>
      </w:r>
      <w:r w:rsidRPr="004734EB">
        <w:rPr>
          <w:sz w:val="22"/>
          <w:szCs w:val="22"/>
          <w:lang w:val="en-US"/>
        </w:rPr>
        <w:t xml:space="preserve"> </w:t>
      </w:r>
      <w:r>
        <w:rPr>
          <w:sz w:val="22"/>
          <w:szCs w:val="22"/>
          <w:lang w:val="en-US"/>
        </w:rPr>
        <w:t xml:space="preserve">budget </w:t>
      </w:r>
      <w:r w:rsidRPr="004734EB">
        <w:rPr>
          <w:sz w:val="22"/>
          <w:szCs w:val="22"/>
          <w:lang w:val="en-US"/>
        </w:rPr>
        <w:t>to 1</w:t>
      </w:r>
      <w:r>
        <w:rPr>
          <w:sz w:val="22"/>
          <w:szCs w:val="22"/>
          <w:lang w:val="en-US"/>
        </w:rPr>
        <w:t>.2</w:t>
      </w:r>
      <w:r w:rsidRPr="004734EB">
        <w:rPr>
          <w:sz w:val="22"/>
          <w:szCs w:val="22"/>
          <w:lang w:val="en-US"/>
        </w:rPr>
        <w:t xml:space="preserve"> billion riel [USD </w:t>
      </w:r>
      <w:r>
        <w:rPr>
          <w:sz w:val="22"/>
          <w:szCs w:val="22"/>
          <w:lang w:val="en-US"/>
        </w:rPr>
        <w:t>300</w:t>
      </w:r>
      <w:r w:rsidRPr="004734EB">
        <w:rPr>
          <w:sz w:val="22"/>
          <w:szCs w:val="22"/>
          <w:lang w:val="en-US"/>
        </w:rPr>
        <w:t>,000] in 2019.</w:t>
      </w:r>
      <w:r w:rsidRPr="004734EB">
        <w:rPr>
          <w:rStyle w:val="FootnoteReference"/>
          <w:sz w:val="22"/>
          <w:szCs w:val="22"/>
          <w:lang w:val="en-US"/>
        </w:rPr>
        <w:footnoteReference w:id="46"/>
      </w:r>
      <w:r w:rsidRPr="004734EB">
        <w:rPr>
          <w:sz w:val="22"/>
          <w:szCs w:val="22"/>
          <w:lang w:val="en-US"/>
        </w:rPr>
        <w:t xml:space="preserve"> However, </w:t>
      </w:r>
      <w:r>
        <w:rPr>
          <w:sz w:val="22"/>
          <w:szCs w:val="22"/>
          <w:lang w:val="en-US"/>
        </w:rPr>
        <w:t xml:space="preserve">the </w:t>
      </w:r>
      <w:r w:rsidRPr="004734EB">
        <w:rPr>
          <w:sz w:val="22"/>
          <w:szCs w:val="22"/>
          <w:lang w:val="en-US"/>
        </w:rPr>
        <w:t xml:space="preserve">legal aid </w:t>
      </w:r>
      <w:r>
        <w:rPr>
          <w:sz w:val="22"/>
          <w:szCs w:val="22"/>
          <w:lang w:val="en-US"/>
        </w:rPr>
        <w:t>budget</w:t>
      </w:r>
      <w:r w:rsidRPr="004734EB">
        <w:rPr>
          <w:sz w:val="22"/>
          <w:szCs w:val="22"/>
          <w:lang w:val="en-US"/>
        </w:rPr>
        <w:t xml:space="preserve"> in Cambodia h</w:t>
      </w:r>
      <w:r>
        <w:rPr>
          <w:sz w:val="22"/>
          <w:szCs w:val="22"/>
          <w:lang w:val="en-US"/>
        </w:rPr>
        <w:t>as,</w:t>
      </w:r>
      <w:r w:rsidRPr="004734EB">
        <w:rPr>
          <w:sz w:val="22"/>
          <w:szCs w:val="22"/>
          <w:lang w:val="en-US"/>
        </w:rPr>
        <w:t xml:space="preserve"> to date</w:t>
      </w:r>
      <w:r>
        <w:rPr>
          <w:sz w:val="22"/>
          <w:szCs w:val="22"/>
          <w:lang w:val="en-US"/>
        </w:rPr>
        <w:t>,</w:t>
      </w:r>
      <w:r w:rsidRPr="004734EB">
        <w:rPr>
          <w:sz w:val="22"/>
          <w:szCs w:val="22"/>
          <w:lang w:val="en-US"/>
        </w:rPr>
        <w:t xml:space="preserve"> remained woefully inadequate</w:t>
      </w:r>
      <w:r>
        <w:rPr>
          <w:sz w:val="22"/>
          <w:szCs w:val="22"/>
          <w:lang w:val="en-US"/>
        </w:rPr>
        <w:t>.</w:t>
      </w:r>
      <w:r w:rsidRPr="004734EB">
        <w:rPr>
          <w:sz w:val="22"/>
          <w:szCs w:val="22"/>
          <w:lang w:val="en-US"/>
        </w:rPr>
        <w:t xml:space="preserve"> </w:t>
      </w:r>
    </w:p>
    <w:p w14:paraId="7F9B990C" w14:textId="77777777" w:rsidR="00D2799B" w:rsidRPr="004734EB" w:rsidRDefault="00D2799B" w:rsidP="00D2799B">
      <w:pPr>
        <w:pStyle w:val="ListParagraph"/>
        <w:spacing w:after="120" w:line="276" w:lineRule="auto"/>
        <w:ind w:left="567"/>
        <w:jc w:val="both"/>
        <w:rPr>
          <w:lang w:val="en-US"/>
        </w:rPr>
      </w:pPr>
    </w:p>
    <w:p w14:paraId="0F4B6A7B" w14:textId="77777777" w:rsidR="00D2799B" w:rsidRPr="0090424B" w:rsidRDefault="00D2799B" w:rsidP="00D2799B">
      <w:pPr>
        <w:pStyle w:val="ListParagraph"/>
        <w:numPr>
          <w:ilvl w:val="2"/>
          <w:numId w:val="3"/>
        </w:numPr>
        <w:spacing w:after="120" w:line="276" w:lineRule="auto"/>
        <w:ind w:left="567" w:hanging="567"/>
        <w:jc w:val="both"/>
        <w:rPr>
          <w:lang w:val="en-US"/>
        </w:rPr>
      </w:pPr>
      <w:r w:rsidRPr="004734EB">
        <w:rPr>
          <w:sz w:val="22"/>
          <w:szCs w:val="22"/>
          <w:lang w:val="en-US"/>
        </w:rPr>
        <w:t>In 2017, legal aid was provided in only 2000 out of 5000 mandatory cases which requested support.</w:t>
      </w:r>
      <w:r w:rsidRPr="004734EB">
        <w:rPr>
          <w:rStyle w:val="FootnoteReference"/>
          <w:sz w:val="22"/>
          <w:szCs w:val="22"/>
          <w:lang w:val="en-US"/>
        </w:rPr>
        <w:footnoteReference w:id="47"/>
      </w:r>
      <w:r w:rsidRPr="004734EB">
        <w:rPr>
          <w:sz w:val="22"/>
          <w:szCs w:val="22"/>
          <w:lang w:val="en-US"/>
        </w:rPr>
        <w:t xml:space="preserve"> Mandatory cases include felonies and cases involving minors only, meaning these numbers do not include cases involving misdemeanors. Furthermore, state-sponsored legal aid lawyers are, in practice, only able to claim compensation for costs incurred,</w:t>
      </w:r>
      <w:r w:rsidRPr="004734EB">
        <w:rPr>
          <w:rStyle w:val="FootnoteReference"/>
          <w:sz w:val="22"/>
          <w:szCs w:val="22"/>
          <w:lang w:val="en-US"/>
        </w:rPr>
        <w:footnoteReference w:id="48"/>
      </w:r>
      <w:r w:rsidRPr="004734EB">
        <w:rPr>
          <w:sz w:val="22"/>
          <w:szCs w:val="22"/>
          <w:lang w:val="en-US"/>
        </w:rPr>
        <w:t xml:space="preserve"> and are not </w:t>
      </w:r>
      <w:r w:rsidRPr="004734EB">
        <w:rPr>
          <w:sz w:val="22"/>
          <w:szCs w:val="22"/>
          <w:lang w:val="en-US"/>
        </w:rPr>
        <w:lastRenderedPageBreak/>
        <w:t>supported during investigative and appeal stages, or if proceedings are delayed.</w:t>
      </w:r>
      <w:r w:rsidRPr="004734EB">
        <w:rPr>
          <w:rStyle w:val="FootnoteReference"/>
          <w:sz w:val="22"/>
          <w:szCs w:val="22"/>
          <w:lang w:val="en-US"/>
        </w:rPr>
        <w:footnoteReference w:id="49"/>
      </w:r>
      <w:r w:rsidRPr="004734EB">
        <w:rPr>
          <w:sz w:val="22"/>
          <w:szCs w:val="22"/>
          <w:lang w:val="en-US"/>
        </w:rPr>
        <w:t xml:space="preserve"> </w:t>
      </w:r>
      <w:r>
        <w:rPr>
          <w:sz w:val="22"/>
          <w:szCs w:val="22"/>
          <w:lang w:val="en-US"/>
        </w:rPr>
        <w:br/>
      </w:r>
    </w:p>
    <w:p w14:paraId="5B40B3BE" w14:textId="77777777" w:rsidR="00D2799B" w:rsidRDefault="00D2799B" w:rsidP="00D2799B">
      <w:pPr>
        <w:pStyle w:val="ListParagraph"/>
        <w:numPr>
          <w:ilvl w:val="2"/>
          <w:numId w:val="3"/>
        </w:numPr>
        <w:spacing w:after="120" w:line="276" w:lineRule="auto"/>
        <w:ind w:left="567" w:hanging="567"/>
        <w:jc w:val="both"/>
        <w:rPr>
          <w:sz w:val="22"/>
          <w:szCs w:val="22"/>
          <w:lang w:val="en-US"/>
        </w:rPr>
      </w:pPr>
      <w:r w:rsidRPr="004734EB">
        <w:rPr>
          <w:sz w:val="22"/>
          <w:szCs w:val="22"/>
          <w:lang w:val="en-US"/>
        </w:rPr>
        <w:t>It is noted that a further 200 million riels [USD 50,000] is provided to support the Judicial Police Officers (“JPO”) scheme</w:t>
      </w:r>
      <w:r w:rsidRPr="004734EB">
        <w:rPr>
          <w:rStyle w:val="FootnoteReference"/>
          <w:sz w:val="22"/>
          <w:szCs w:val="22"/>
          <w:lang w:val="en-US"/>
        </w:rPr>
        <w:footnoteReference w:id="50"/>
      </w:r>
      <w:r w:rsidRPr="004734EB">
        <w:rPr>
          <w:sz w:val="22"/>
          <w:szCs w:val="22"/>
          <w:lang w:val="en-US"/>
        </w:rPr>
        <w:t xml:space="preserve"> and that in 2016</w:t>
      </w:r>
      <w:r>
        <w:rPr>
          <w:sz w:val="22"/>
          <w:szCs w:val="22"/>
          <w:lang w:val="en-US"/>
        </w:rPr>
        <w:t>,</w:t>
      </w:r>
      <w:r w:rsidRPr="004734EB">
        <w:rPr>
          <w:sz w:val="22"/>
          <w:szCs w:val="22"/>
          <w:lang w:val="en-US"/>
        </w:rPr>
        <w:t xml:space="preserve"> 94 official</w:t>
      </w:r>
      <w:r>
        <w:rPr>
          <w:sz w:val="22"/>
          <w:szCs w:val="22"/>
          <w:lang w:val="en-US"/>
        </w:rPr>
        <w:t>s</w:t>
      </w:r>
      <w:r w:rsidRPr="004734EB">
        <w:rPr>
          <w:sz w:val="22"/>
          <w:szCs w:val="22"/>
          <w:lang w:val="en-US"/>
        </w:rPr>
        <w:t xml:space="preserve"> were designated as JPOs</w:t>
      </w:r>
      <w:r>
        <w:rPr>
          <w:sz w:val="22"/>
          <w:szCs w:val="22"/>
          <w:lang w:val="en-US"/>
        </w:rPr>
        <w:t xml:space="preserve"> responsible for protecting and assisting GBV survivors</w:t>
      </w:r>
      <w:r w:rsidRPr="004734EB">
        <w:rPr>
          <w:sz w:val="22"/>
          <w:szCs w:val="22"/>
          <w:lang w:val="en-US"/>
        </w:rPr>
        <w:t>.</w:t>
      </w:r>
      <w:r w:rsidRPr="004734EB">
        <w:rPr>
          <w:rStyle w:val="FootnoteReference"/>
          <w:sz w:val="22"/>
          <w:szCs w:val="22"/>
          <w:lang w:val="en-US"/>
        </w:rPr>
        <w:footnoteReference w:id="51"/>
      </w:r>
      <w:r w:rsidRPr="004734EB">
        <w:rPr>
          <w:sz w:val="22"/>
          <w:szCs w:val="22"/>
          <w:lang w:val="en-US"/>
        </w:rPr>
        <w:t xml:space="preserve"> Whilst the appointment of JPOs to signpost appropriate access to justice for female victims is positive, this scheme is not a sufficient substitute for adequate legal aid for female victims of violence and abuse. </w:t>
      </w:r>
      <w:r>
        <w:rPr>
          <w:sz w:val="22"/>
          <w:szCs w:val="22"/>
          <w:lang w:val="en-US"/>
        </w:rPr>
        <w:t xml:space="preserve">During the third UPR of Cambodia, Australia </w:t>
      </w:r>
      <w:r w:rsidRPr="004734EB">
        <w:rPr>
          <w:sz w:val="22"/>
          <w:szCs w:val="22"/>
          <w:lang w:val="en-US"/>
        </w:rPr>
        <w:t xml:space="preserve">recommended that </w:t>
      </w:r>
      <w:r>
        <w:rPr>
          <w:sz w:val="22"/>
          <w:szCs w:val="22"/>
          <w:lang w:val="en-US"/>
        </w:rPr>
        <w:t>“</w:t>
      </w:r>
      <w:r w:rsidRPr="004734EB">
        <w:rPr>
          <w:sz w:val="22"/>
          <w:szCs w:val="22"/>
          <w:lang w:val="en-US"/>
        </w:rPr>
        <w:t>one-stop service centers</w:t>
      </w:r>
      <w:r>
        <w:rPr>
          <w:sz w:val="22"/>
          <w:szCs w:val="22"/>
          <w:lang w:val="en-US"/>
        </w:rPr>
        <w:t>”</w:t>
      </w:r>
      <w:r w:rsidRPr="004734EB">
        <w:rPr>
          <w:sz w:val="22"/>
          <w:szCs w:val="22"/>
          <w:lang w:val="en-US"/>
        </w:rPr>
        <w:t xml:space="preserve"> </w:t>
      </w:r>
      <w:r>
        <w:rPr>
          <w:sz w:val="22"/>
          <w:szCs w:val="22"/>
          <w:lang w:val="en-US"/>
        </w:rPr>
        <w:t>should be</w:t>
      </w:r>
      <w:r w:rsidRPr="004734EB">
        <w:rPr>
          <w:sz w:val="22"/>
          <w:szCs w:val="22"/>
          <w:lang w:val="en-US"/>
        </w:rPr>
        <w:t xml:space="preserve"> established (at least </w:t>
      </w:r>
      <w:r>
        <w:rPr>
          <w:sz w:val="22"/>
          <w:szCs w:val="22"/>
          <w:lang w:val="en-US"/>
        </w:rPr>
        <w:t>five</w:t>
      </w:r>
      <w:r w:rsidRPr="004734EB">
        <w:rPr>
          <w:sz w:val="22"/>
          <w:szCs w:val="22"/>
          <w:lang w:val="en-US"/>
        </w:rPr>
        <w:t xml:space="preserve"> by 2024) </w:t>
      </w:r>
      <w:r>
        <w:rPr>
          <w:sz w:val="22"/>
          <w:szCs w:val="22"/>
          <w:lang w:val="en-US"/>
        </w:rPr>
        <w:t>to</w:t>
      </w:r>
      <w:r w:rsidRPr="004734EB">
        <w:rPr>
          <w:sz w:val="22"/>
          <w:szCs w:val="22"/>
          <w:lang w:val="en-US"/>
        </w:rPr>
        <w:t xml:space="preserve"> provide </w:t>
      </w:r>
      <w:r>
        <w:rPr>
          <w:sz w:val="22"/>
          <w:szCs w:val="22"/>
          <w:lang w:val="en-US"/>
        </w:rPr>
        <w:t xml:space="preserve">legal </w:t>
      </w:r>
      <w:r w:rsidRPr="004734EB">
        <w:rPr>
          <w:sz w:val="22"/>
          <w:szCs w:val="22"/>
          <w:lang w:val="en-US"/>
        </w:rPr>
        <w:t>services to GBV victims free of charge.</w:t>
      </w:r>
      <w:r w:rsidRPr="004734EB">
        <w:rPr>
          <w:rStyle w:val="FootnoteReference"/>
          <w:sz w:val="22"/>
          <w:szCs w:val="22"/>
          <w:lang w:val="en-US"/>
        </w:rPr>
        <w:footnoteReference w:id="52"/>
      </w:r>
      <w:r w:rsidRPr="004734EB">
        <w:rPr>
          <w:sz w:val="22"/>
          <w:szCs w:val="22"/>
          <w:lang w:val="en-US"/>
        </w:rPr>
        <w:t xml:space="preserve"> This mirrors the recommendation of the CEDAW Committee which itself recommen</w:t>
      </w:r>
      <w:r>
        <w:rPr>
          <w:sz w:val="22"/>
          <w:szCs w:val="22"/>
          <w:lang w:val="en-US"/>
        </w:rPr>
        <w:t>ds</w:t>
      </w:r>
      <w:r w:rsidRPr="004734EB">
        <w:rPr>
          <w:sz w:val="22"/>
          <w:szCs w:val="22"/>
          <w:lang w:val="en-US"/>
        </w:rPr>
        <w:t xml:space="preserve"> </w:t>
      </w:r>
      <w:r>
        <w:rPr>
          <w:sz w:val="22"/>
          <w:szCs w:val="22"/>
          <w:lang w:val="en-US"/>
        </w:rPr>
        <w:t>“</w:t>
      </w:r>
      <w:r w:rsidRPr="004734EB">
        <w:rPr>
          <w:sz w:val="22"/>
          <w:szCs w:val="22"/>
          <w:lang w:val="en-US"/>
        </w:rPr>
        <w:t>one-stop center</w:t>
      </w:r>
      <w:r>
        <w:rPr>
          <w:sz w:val="22"/>
          <w:szCs w:val="22"/>
          <w:lang w:val="en-US"/>
        </w:rPr>
        <w:t>s”</w:t>
      </w:r>
      <w:r w:rsidRPr="004734EB">
        <w:rPr>
          <w:rStyle w:val="FootnoteReference"/>
          <w:sz w:val="22"/>
          <w:szCs w:val="22"/>
          <w:lang w:val="en-US"/>
        </w:rPr>
        <w:footnoteReference w:id="53"/>
      </w:r>
      <w:r w:rsidRPr="004734EB">
        <w:rPr>
          <w:sz w:val="22"/>
          <w:szCs w:val="22"/>
          <w:lang w:val="en-US"/>
        </w:rPr>
        <w:t xml:space="preserve"> and awareness-raising of legal aid and public defense,</w:t>
      </w:r>
      <w:r w:rsidRPr="004734EB">
        <w:rPr>
          <w:rStyle w:val="FootnoteReference"/>
          <w:sz w:val="22"/>
          <w:szCs w:val="22"/>
          <w:lang w:val="en-US"/>
        </w:rPr>
        <w:footnoteReference w:id="54"/>
      </w:r>
      <w:r w:rsidRPr="004734EB">
        <w:rPr>
          <w:sz w:val="22"/>
          <w:szCs w:val="22"/>
          <w:lang w:val="en-US"/>
        </w:rPr>
        <w:t xml:space="preserve"> which</w:t>
      </w:r>
      <w:r>
        <w:rPr>
          <w:sz w:val="22"/>
          <w:szCs w:val="22"/>
          <w:lang w:val="en-US"/>
        </w:rPr>
        <w:t xml:space="preserve"> would</w:t>
      </w:r>
      <w:r w:rsidRPr="004734EB">
        <w:rPr>
          <w:sz w:val="22"/>
          <w:szCs w:val="22"/>
          <w:lang w:val="en-US"/>
        </w:rPr>
        <w:t xml:space="preserve"> </w:t>
      </w:r>
      <w:r>
        <w:rPr>
          <w:sz w:val="22"/>
          <w:szCs w:val="22"/>
          <w:lang w:val="en-US"/>
        </w:rPr>
        <w:t>most likely</w:t>
      </w:r>
      <w:r w:rsidRPr="004734EB">
        <w:rPr>
          <w:sz w:val="22"/>
          <w:szCs w:val="22"/>
          <w:lang w:val="en-US"/>
        </w:rPr>
        <w:t xml:space="preserve"> result in more efficient resources </w:t>
      </w:r>
      <w:r>
        <w:rPr>
          <w:sz w:val="22"/>
          <w:szCs w:val="22"/>
          <w:lang w:val="en-US"/>
        </w:rPr>
        <w:t>for</w:t>
      </w:r>
      <w:r w:rsidRPr="004734EB">
        <w:rPr>
          <w:sz w:val="22"/>
          <w:szCs w:val="22"/>
          <w:lang w:val="en-US"/>
        </w:rPr>
        <w:t xml:space="preserve"> female victims.</w:t>
      </w:r>
      <w:r>
        <w:rPr>
          <w:sz w:val="22"/>
          <w:szCs w:val="22"/>
          <w:lang w:val="en-US"/>
        </w:rPr>
        <w:t xml:space="preserve"> These calls for safe shelters for GBV victims are not only made on an international level, but also on the national level. On </w:t>
      </w:r>
      <w:r w:rsidRPr="00941964">
        <w:rPr>
          <w:sz w:val="22"/>
          <w:szCs w:val="22"/>
          <w:lang w:val="en-US"/>
        </w:rPr>
        <w:t>International Women’s Day</w:t>
      </w:r>
      <w:r>
        <w:rPr>
          <w:sz w:val="22"/>
          <w:szCs w:val="22"/>
          <w:lang w:val="en-US"/>
        </w:rPr>
        <w:t xml:space="preserve"> 2019, local NGOs and activists were prevented by Phnom Penh’s municipal security forces from delivering a joint petition to the Council of Ministers calling on the RGC to continue to address the challenges women face. The petition was eventually collected by authorities.</w:t>
      </w:r>
      <w:r>
        <w:rPr>
          <w:rStyle w:val="FootnoteReference"/>
          <w:sz w:val="22"/>
          <w:szCs w:val="22"/>
          <w:lang w:val="en-US"/>
        </w:rPr>
        <w:footnoteReference w:id="55"/>
      </w:r>
      <w:r>
        <w:rPr>
          <w:sz w:val="22"/>
          <w:szCs w:val="22"/>
          <w:lang w:val="en-US"/>
        </w:rPr>
        <w:t xml:space="preserve"> Demand 2 of the petition called upon the RGC to “provide safe shelters for women suffering from domestic violence and for women domestic workers”.</w:t>
      </w:r>
      <w:r>
        <w:rPr>
          <w:rStyle w:val="FootnoteReference"/>
          <w:sz w:val="22"/>
          <w:szCs w:val="22"/>
          <w:lang w:val="en-US"/>
        </w:rPr>
        <w:footnoteReference w:id="56"/>
      </w:r>
      <w:r>
        <w:rPr>
          <w:sz w:val="22"/>
          <w:szCs w:val="22"/>
          <w:lang w:val="en-US"/>
        </w:rPr>
        <w:t xml:space="preserve"> </w:t>
      </w:r>
    </w:p>
    <w:p w14:paraId="5C3C6FAA" w14:textId="77777777" w:rsidR="00D2799B" w:rsidRDefault="00D2799B" w:rsidP="00D2799B">
      <w:pPr>
        <w:pStyle w:val="ListParagraph"/>
        <w:spacing w:after="120" w:line="276" w:lineRule="auto"/>
        <w:ind w:left="432"/>
        <w:jc w:val="both"/>
        <w:rPr>
          <w:sz w:val="22"/>
          <w:szCs w:val="22"/>
          <w:lang w:val="en-US"/>
        </w:rPr>
      </w:pPr>
    </w:p>
    <w:p w14:paraId="1594BF53" w14:textId="77777777" w:rsidR="00D2799B" w:rsidRDefault="00D2799B" w:rsidP="00D2799B">
      <w:pPr>
        <w:pStyle w:val="ListParagraph"/>
        <w:numPr>
          <w:ilvl w:val="2"/>
          <w:numId w:val="3"/>
        </w:numPr>
        <w:spacing w:after="120" w:line="276" w:lineRule="auto"/>
        <w:ind w:left="567" w:hanging="567"/>
        <w:jc w:val="both"/>
        <w:rPr>
          <w:lang w:val="en-US"/>
        </w:rPr>
      </w:pPr>
      <w:r w:rsidRPr="00941964">
        <w:rPr>
          <w:sz w:val="22"/>
          <w:szCs w:val="22"/>
          <w:lang w:val="en-US"/>
        </w:rPr>
        <w:t xml:space="preserve">It is noted that the Ministry of Justice intends to establish legal offices close to each of the regional appeal courts which are being built (see paragraph 3.1.2 below) to enable individuals </w:t>
      </w:r>
      <w:r w:rsidRPr="00941964">
        <w:rPr>
          <w:sz w:val="22"/>
          <w:szCs w:val="22"/>
          <w:lang w:val="en-US"/>
        </w:rPr>
        <w:lastRenderedPageBreak/>
        <w:t>to access these services without travelling to Phnom Penh.</w:t>
      </w:r>
      <w:r w:rsidRPr="008553FF">
        <w:rPr>
          <w:rStyle w:val="FootnoteReference"/>
          <w:sz w:val="22"/>
          <w:szCs w:val="22"/>
          <w:lang w:val="en-US"/>
        </w:rPr>
        <w:footnoteReference w:id="57"/>
      </w:r>
      <w:r w:rsidRPr="00941964">
        <w:rPr>
          <w:sz w:val="22"/>
          <w:szCs w:val="22"/>
          <w:lang w:val="en-US"/>
        </w:rPr>
        <w:t xml:space="preserve"> Such centers would decrease reliance on JPOs and may have the impact of enabling victims of violence to seek additional legal opinions regarding their rights. It is imperative that the Ministry of Justice follows through with such plans. In addition, it is welcomed that a special team </w:t>
      </w:r>
      <w:r>
        <w:rPr>
          <w:sz w:val="22"/>
          <w:szCs w:val="22"/>
          <w:lang w:val="en-US"/>
        </w:rPr>
        <w:t>has been</w:t>
      </w:r>
      <w:r w:rsidRPr="00941964">
        <w:rPr>
          <w:sz w:val="22"/>
          <w:szCs w:val="22"/>
          <w:lang w:val="en-US"/>
        </w:rPr>
        <w:t xml:space="preserve"> formed to assist </w:t>
      </w:r>
      <w:r w:rsidRPr="00362F5D">
        <w:rPr>
          <w:sz w:val="22"/>
          <w:szCs w:val="22"/>
          <w:lang w:val="en-US"/>
        </w:rPr>
        <w:t>impoverished</w:t>
      </w:r>
      <w:r>
        <w:rPr>
          <w:sz w:val="22"/>
          <w:szCs w:val="22"/>
          <w:lang w:val="en-US"/>
        </w:rPr>
        <w:t xml:space="preserve"> </w:t>
      </w:r>
      <w:r w:rsidRPr="00941964">
        <w:rPr>
          <w:sz w:val="22"/>
          <w:szCs w:val="22"/>
          <w:lang w:val="en-US"/>
        </w:rPr>
        <w:t>women who cannot afford to pay for legal services when suffering harm or abuse.</w:t>
      </w:r>
      <w:r w:rsidRPr="00362F5D">
        <w:rPr>
          <w:rStyle w:val="FootnoteReference"/>
          <w:sz w:val="22"/>
          <w:szCs w:val="22"/>
          <w:lang w:val="en-US"/>
        </w:rPr>
        <w:footnoteReference w:id="58"/>
      </w:r>
      <w:r w:rsidRPr="00941964">
        <w:rPr>
          <w:sz w:val="22"/>
          <w:szCs w:val="22"/>
          <w:lang w:val="en-US"/>
        </w:rPr>
        <w:t xml:space="preserve"> However, it is concerning that the legal team  only consists of volunteers and funds for this team do not come from the national budget</w:t>
      </w:r>
      <w:r>
        <w:rPr>
          <w:sz w:val="22"/>
          <w:szCs w:val="22"/>
          <w:lang w:val="en-US"/>
        </w:rPr>
        <w:t>,</w:t>
      </w:r>
      <w:r w:rsidRPr="00941964">
        <w:rPr>
          <w:sz w:val="22"/>
          <w:szCs w:val="22"/>
          <w:lang w:val="en-US"/>
        </w:rPr>
        <w:t xml:space="preserve"> but</w:t>
      </w:r>
      <w:r>
        <w:rPr>
          <w:sz w:val="22"/>
          <w:szCs w:val="22"/>
          <w:lang w:val="en-US"/>
        </w:rPr>
        <w:t xml:space="preserve"> Prime Minister</w:t>
      </w:r>
      <w:r w:rsidRPr="00941964">
        <w:rPr>
          <w:sz w:val="22"/>
          <w:szCs w:val="22"/>
          <w:lang w:val="en-US"/>
        </w:rPr>
        <w:t xml:space="preserve"> Hun Sen’s private funds</w:t>
      </w:r>
      <w:r>
        <w:rPr>
          <w:sz w:val="22"/>
          <w:szCs w:val="22"/>
          <w:lang w:val="en-US"/>
        </w:rPr>
        <w:t>.</w:t>
      </w:r>
      <w:r w:rsidRPr="00362F5D">
        <w:rPr>
          <w:rStyle w:val="FootnoteReference"/>
          <w:sz w:val="22"/>
          <w:szCs w:val="22"/>
          <w:lang w:val="en-US"/>
        </w:rPr>
        <w:footnoteReference w:id="59"/>
      </w:r>
      <w:r>
        <w:rPr>
          <w:sz w:val="22"/>
          <w:szCs w:val="22"/>
          <w:lang w:val="en-US"/>
        </w:rPr>
        <w:t xml:space="preserve"> This makes not only the</w:t>
      </w:r>
      <w:r w:rsidRPr="00941964">
        <w:rPr>
          <w:sz w:val="22"/>
          <w:szCs w:val="22"/>
          <w:lang w:val="en-US"/>
        </w:rPr>
        <w:t xml:space="preserve"> sustainability of such a scheme questionable</w:t>
      </w:r>
      <w:r>
        <w:rPr>
          <w:sz w:val="22"/>
          <w:szCs w:val="22"/>
          <w:lang w:val="en-US"/>
        </w:rPr>
        <w:t>, but also questions the effectiveness, neutrality and inclusiveness of the scheme if the women concerned, for example, demonstrated a critical stance against the government</w:t>
      </w:r>
      <w:r w:rsidRPr="00941964">
        <w:rPr>
          <w:sz w:val="22"/>
          <w:szCs w:val="22"/>
          <w:lang w:val="en-US"/>
        </w:rPr>
        <w:t>.</w:t>
      </w:r>
    </w:p>
    <w:p w14:paraId="067CA295" w14:textId="77777777" w:rsidR="00D2799B" w:rsidRDefault="00D2799B" w:rsidP="00D2799B">
      <w:pPr>
        <w:pStyle w:val="CommentText"/>
        <w:rPr>
          <w:sz w:val="22"/>
          <w:szCs w:val="22"/>
          <w:lang w:val="en-US"/>
        </w:rPr>
      </w:pPr>
    </w:p>
    <w:p w14:paraId="7675CFEB" w14:textId="77777777" w:rsidR="00D2799B" w:rsidRPr="00362F5D" w:rsidRDefault="00D2799B" w:rsidP="00D2799B">
      <w:pPr>
        <w:pStyle w:val="Heading2"/>
        <w:rPr>
          <w:rFonts w:asciiTheme="minorHAnsi" w:hAnsiTheme="minorHAnsi" w:cstheme="minorHAnsi"/>
          <w:color w:val="000000" w:themeColor="text1"/>
          <w:sz w:val="22"/>
          <w:szCs w:val="22"/>
          <w:lang w:val="en-US"/>
        </w:rPr>
      </w:pPr>
      <w:bookmarkStart w:id="28" w:name="_Toc13747279"/>
      <w:r w:rsidRPr="00362F5D">
        <w:rPr>
          <w:rFonts w:asciiTheme="minorHAnsi" w:hAnsiTheme="minorHAnsi" w:cstheme="minorHAnsi"/>
          <w:b/>
          <w:color w:val="000000" w:themeColor="text1"/>
          <w:sz w:val="22"/>
          <w:szCs w:val="22"/>
          <w:lang w:val="en-US"/>
        </w:rPr>
        <w:t>2.2 Attitudes regarding marriage and the family result in pressure to use informal mediation to address incidents of domestic violence</w:t>
      </w:r>
      <w:bookmarkEnd w:id="28"/>
    </w:p>
    <w:p w14:paraId="20B66781" w14:textId="77777777" w:rsidR="00D2799B" w:rsidRPr="00941964" w:rsidRDefault="00D2799B" w:rsidP="00D2799B">
      <w:pPr>
        <w:pStyle w:val="ListParagraph"/>
        <w:numPr>
          <w:ilvl w:val="1"/>
          <w:numId w:val="10"/>
        </w:numPr>
        <w:spacing w:line="276" w:lineRule="auto"/>
        <w:ind w:left="567" w:hanging="567"/>
        <w:jc w:val="both"/>
        <w:rPr>
          <w:sz w:val="22"/>
          <w:szCs w:val="22"/>
          <w:lang w:val="en-US"/>
        </w:rPr>
      </w:pPr>
      <w:r w:rsidRPr="004734EB">
        <w:rPr>
          <w:sz w:val="22"/>
          <w:szCs w:val="22"/>
          <w:lang w:val="en-US"/>
        </w:rPr>
        <w:t>There is a general misconception among Cambodian authorities that domestic violence is a “private” matter that does not belong in the courtroom.</w:t>
      </w:r>
      <w:r w:rsidRPr="004734EB">
        <w:rPr>
          <w:rStyle w:val="FootnoteReference"/>
          <w:sz w:val="22"/>
          <w:szCs w:val="22"/>
          <w:lang w:val="en-US"/>
        </w:rPr>
        <w:footnoteReference w:id="60"/>
      </w:r>
      <w:r w:rsidRPr="004734EB">
        <w:rPr>
          <w:sz w:val="22"/>
          <w:szCs w:val="22"/>
          <w:lang w:val="en-US"/>
        </w:rPr>
        <w:t xml:space="preserve"> Many women suffering from domestic violence are pressured to seek redress through informal mediation as opposed to </w:t>
      </w:r>
      <w:r>
        <w:rPr>
          <w:sz w:val="22"/>
          <w:szCs w:val="22"/>
          <w:lang w:val="en-US"/>
        </w:rPr>
        <w:t xml:space="preserve">the </w:t>
      </w:r>
      <w:r w:rsidRPr="004734EB">
        <w:rPr>
          <w:sz w:val="22"/>
          <w:szCs w:val="22"/>
          <w:lang w:val="en-US"/>
        </w:rPr>
        <w:t>criminal justice</w:t>
      </w:r>
      <w:r>
        <w:rPr>
          <w:sz w:val="22"/>
          <w:szCs w:val="22"/>
          <w:lang w:val="en-US"/>
        </w:rPr>
        <w:t xml:space="preserve"> system</w:t>
      </w:r>
      <w:r w:rsidRPr="004734EB">
        <w:rPr>
          <w:sz w:val="22"/>
          <w:szCs w:val="22"/>
          <w:lang w:val="en-US"/>
        </w:rPr>
        <w:t>.</w:t>
      </w:r>
      <w:r w:rsidRPr="004734EB">
        <w:rPr>
          <w:rStyle w:val="FootnoteReference"/>
          <w:sz w:val="22"/>
          <w:szCs w:val="22"/>
          <w:lang w:val="en-US"/>
        </w:rPr>
        <w:footnoteReference w:id="61"/>
      </w:r>
      <w:r w:rsidRPr="004734EB">
        <w:rPr>
          <w:sz w:val="22"/>
          <w:szCs w:val="22"/>
          <w:lang w:val="en-US"/>
        </w:rPr>
        <w:t xml:space="preserve"> The RGC’s efforts to strengthen legal responses to violence against women are welcomed,</w:t>
      </w:r>
      <w:r w:rsidRPr="004734EB">
        <w:rPr>
          <w:rStyle w:val="FootnoteReference"/>
          <w:sz w:val="22"/>
          <w:szCs w:val="22"/>
          <w:lang w:val="en-US"/>
        </w:rPr>
        <w:footnoteReference w:id="62"/>
      </w:r>
      <w:r w:rsidRPr="004734EB">
        <w:rPr>
          <w:sz w:val="22"/>
          <w:szCs w:val="22"/>
          <w:lang w:val="en-US"/>
        </w:rPr>
        <w:t xml:space="preserve"> however, mediation remains widely practiced.</w:t>
      </w:r>
      <w:r w:rsidRPr="004734EB">
        <w:rPr>
          <w:rStyle w:val="FootnoteReference"/>
          <w:sz w:val="22"/>
          <w:szCs w:val="22"/>
          <w:lang w:val="en-US"/>
        </w:rPr>
        <w:footnoteReference w:id="63"/>
      </w:r>
      <w:r w:rsidRPr="004734EB">
        <w:rPr>
          <w:sz w:val="22"/>
          <w:szCs w:val="22"/>
          <w:lang w:val="en-US"/>
        </w:rPr>
        <w:t xml:space="preserve"> </w:t>
      </w:r>
      <w:r>
        <w:rPr>
          <w:sz w:val="22"/>
          <w:szCs w:val="22"/>
          <w:lang w:val="en-US"/>
        </w:rPr>
        <w:t>Alt</w:t>
      </w:r>
      <w:r w:rsidRPr="004734EB">
        <w:rPr>
          <w:sz w:val="22"/>
          <w:szCs w:val="22"/>
          <w:lang w:val="en-US"/>
        </w:rPr>
        <w:t>hough mediation can be beneficial, women’s capacity to make a free choice in such scenarios is questionable due to power imbalances and social pressure. For instance, the Domestic Violence Law provides that mediation can be appropriate in cases of psychological abuse, so long as both parties consent.</w:t>
      </w:r>
      <w:r w:rsidRPr="004734EB">
        <w:rPr>
          <w:rStyle w:val="FootnoteReference"/>
          <w:sz w:val="22"/>
          <w:szCs w:val="22"/>
          <w:lang w:val="en-US"/>
        </w:rPr>
        <w:footnoteReference w:id="64"/>
      </w:r>
      <w:r w:rsidRPr="004734EB">
        <w:rPr>
          <w:sz w:val="22"/>
          <w:szCs w:val="22"/>
          <w:lang w:val="en-US"/>
        </w:rPr>
        <w:t xml:space="preserve"> This practice directly contradicts General Recommendation</w:t>
      </w:r>
      <w:r>
        <w:rPr>
          <w:sz w:val="22"/>
          <w:szCs w:val="22"/>
          <w:lang w:val="en-US"/>
        </w:rPr>
        <w:t xml:space="preserve"> No.</w:t>
      </w:r>
      <w:r w:rsidRPr="004734EB">
        <w:rPr>
          <w:sz w:val="22"/>
          <w:szCs w:val="22"/>
          <w:lang w:val="en-US"/>
        </w:rPr>
        <w:t xml:space="preserve"> 33</w:t>
      </w:r>
      <w:r>
        <w:rPr>
          <w:sz w:val="22"/>
          <w:szCs w:val="22"/>
          <w:lang w:val="en-US"/>
        </w:rPr>
        <w:t xml:space="preserve"> advocating for no alternative dispute resolution procedures in cases of violence against women,</w:t>
      </w:r>
      <w:r w:rsidRPr="004734EB">
        <w:rPr>
          <w:rStyle w:val="FootnoteReference"/>
          <w:sz w:val="22"/>
          <w:szCs w:val="22"/>
          <w:lang w:val="en-US"/>
        </w:rPr>
        <w:footnoteReference w:id="65"/>
      </w:r>
      <w:r w:rsidRPr="00941964">
        <w:rPr>
          <w:sz w:val="22"/>
          <w:szCs w:val="22"/>
          <w:lang w:val="en-US"/>
        </w:rPr>
        <w:t xml:space="preserve"> and demonstrates a severe </w:t>
      </w:r>
      <w:r w:rsidRPr="00941964">
        <w:rPr>
          <w:sz w:val="22"/>
          <w:szCs w:val="22"/>
          <w:lang w:val="en-US"/>
        </w:rPr>
        <w:lastRenderedPageBreak/>
        <w:t>lack of understanding about the nature of psychological abuse and the mental and emotional capacity of victims to refuse mediation.</w:t>
      </w:r>
    </w:p>
    <w:p w14:paraId="10AD8088" w14:textId="77777777" w:rsidR="00D2799B" w:rsidRPr="004734EB" w:rsidRDefault="00D2799B" w:rsidP="00D2799B">
      <w:pPr>
        <w:pStyle w:val="ListParagraph"/>
        <w:spacing w:after="120" w:line="276" w:lineRule="auto"/>
        <w:ind w:left="567"/>
        <w:jc w:val="both"/>
        <w:rPr>
          <w:sz w:val="22"/>
          <w:szCs w:val="22"/>
          <w:lang w:val="en-US"/>
        </w:rPr>
      </w:pPr>
    </w:p>
    <w:p w14:paraId="6B288B83" w14:textId="77777777" w:rsidR="00D2799B" w:rsidRDefault="00D2799B" w:rsidP="00D2799B">
      <w:pPr>
        <w:spacing w:line="276" w:lineRule="auto"/>
        <w:ind w:left="567" w:hanging="567"/>
        <w:jc w:val="both"/>
        <w:rPr>
          <w:sz w:val="22"/>
          <w:szCs w:val="22"/>
          <w:lang w:val="en-US"/>
        </w:rPr>
      </w:pPr>
      <w:r>
        <w:rPr>
          <w:sz w:val="22"/>
          <w:szCs w:val="22"/>
          <w:lang w:val="en-US"/>
        </w:rPr>
        <w:t xml:space="preserve">2.2.2. </w:t>
      </w:r>
      <w:r w:rsidRPr="00941964">
        <w:rPr>
          <w:sz w:val="22"/>
          <w:szCs w:val="22"/>
          <w:lang w:val="en-US"/>
        </w:rPr>
        <w:t>The RGC states that it is making efforts to ensure that a “woman-centered approach” is taken in cases of mediation.</w:t>
      </w:r>
      <w:r w:rsidRPr="004734EB">
        <w:rPr>
          <w:rStyle w:val="FootnoteReference"/>
          <w:sz w:val="22"/>
          <w:szCs w:val="22"/>
          <w:lang w:val="en-US"/>
        </w:rPr>
        <w:footnoteReference w:id="66"/>
      </w:r>
      <w:r w:rsidRPr="00941964">
        <w:rPr>
          <w:sz w:val="22"/>
          <w:szCs w:val="22"/>
          <w:lang w:val="en-US"/>
        </w:rPr>
        <w:t xml:space="preserve"> Although a new curriculum is being developed for the Royal Police Academy and operational standards and codes of conduct for police officers who regularly deal with emergency assistance to GBV cases have been implemented, it is unclear how these measures will effectively contribute to a “woman-centered approach” in mediation.</w:t>
      </w:r>
    </w:p>
    <w:p w14:paraId="0D7D23F1" w14:textId="77777777" w:rsidR="00D2799B" w:rsidRPr="00362F5D" w:rsidRDefault="00D2799B" w:rsidP="00D2799B">
      <w:pPr>
        <w:spacing w:line="276" w:lineRule="auto"/>
        <w:ind w:left="567" w:hanging="567"/>
        <w:jc w:val="both"/>
        <w:rPr>
          <w:rFonts w:cstheme="minorHAnsi"/>
          <w:b/>
          <w:color w:val="000000" w:themeColor="text1"/>
          <w:u w:val="single"/>
          <w:lang w:val="en-US"/>
        </w:rPr>
      </w:pPr>
    </w:p>
    <w:p w14:paraId="14D89810" w14:textId="77777777" w:rsidR="00D2799B" w:rsidRPr="00362F5D" w:rsidRDefault="00D2799B" w:rsidP="00D2799B">
      <w:pPr>
        <w:pStyle w:val="Heading1"/>
        <w:spacing w:before="0"/>
        <w:rPr>
          <w:rFonts w:asciiTheme="minorHAnsi" w:hAnsiTheme="minorHAnsi" w:cstheme="minorHAnsi"/>
          <w:b/>
          <w:color w:val="000000" w:themeColor="text1"/>
          <w:sz w:val="24"/>
          <w:szCs w:val="24"/>
          <w:u w:val="single"/>
          <w:lang w:val="en-US"/>
        </w:rPr>
      </w:pPr>
      <w:bookmarkStart w:id="29" w:name="_Toc13747280"/>
      <w:r w:rsidRPr="00362F5D">
        <w:rPr>
          <w:rFonts w:asciiTheme="minorHAnsi" w:hAnsiTheme="minorHAnsi" w:cstheme="minorHAnsi"/>
          <w:b/>
          <w:color w:val="000000" w:themeColor="text1"/>
          <w:sz w:val="24"/>
          <w:szCs w:val="24"/>
          <w:u w:val="single"/>
          <w:lang w:val="en-US"/>
        </w:rPr>
        <w:t xml:space="preserve">3. </w:t>
      </w:r>
      <w:r w:rsidRPr="00362F5D">
        <w:rPr>
          <w:rFonts w:asciiTheme="minorHAnsi" w:hAnsiTheme="minorHAnsi" w:cstheme="minorHAnsi"/>
          <w:b/>
          <w:color w:val="000000" w:themeColor="text1"/>
          <w:sz w:val="24"/>
          <w:szCs w:val="24"/>
          <w:u w:val="single"/>
        </w:rPr>
        <w:t>Intersectional Barriers to Access to Justice</w:t>
      </w:r>
      <w:bookmarkEnd w:id="29"/>
    </w:p>
    <w:p w14:paraId="544E6A8A" w14:textId="77777777" w:rsidR="00D2799B" w:rsidRPr="00362F5D" w:rsidRDefault="00D2799B" w:rsidP="00D2799B">
      <w:pPr>
        <w:rPr>
          <w:lang w:val="en-US"/>
        </w:rPr>
      </w:pPr>
    </w:p>
    <w:p w14:paraId="5F5A09F8" w14:textId="77777777" w:rsidR="00D2799B" w:rsidRDefault="00D2799B" w:rsidP="00D2799B">
      <w:pPr>
        <w:spacing w:line="276" w:lineRule="auto"/>
        <w:jc w:val="both"/>
        <w:rPr>
          <w:rFonts w:ascii="Calibri" w:hAnsi="Calibri" w:cs="Calibri"/>
          <w:sz w:val="22"/>
          <w:szCs w:val="22"/>
          <w:lang w:val="en-US"/>
        </w:rPr>
      </w:pPr>
      <w:r w:rsidRPr="004734EB">
        <w:rPr>
          <w:rFonts w:ascii="Calibri" w:hAnsi="Calibri" w:cs="Calibri"/>
          <w:sz w:val="22"/>
          <w:szCs w:val="22"/>
          <w:lang w:val="en-US"/>
        </w:rPr>
        <w:t>For many women, discrimination on the basis o</w:t>
      </w:r>
      <w:r>
        <w:rPr>
          <w:rFonts w:ascii="Calibri" w:hAnsi="Calibri" w:cs="Calibri"/>
          <w:sz w:val="22"/>
          <w:szCs w:val="22"/>
          <w:lang w:val="en-US"/>
        </w:rPr>
        <w:t>f sex and</w:t>
      </w:r>
      <w:r w:rsidRPr="004734EB">
        <w:rPr>
          <w:rFonts w:ascii="Calibri" w:hAnsi="Calibri" w:cs="Calibri"/>
          <w:sz w:val="22"/>
          <w:szCs w:val="22"/>
          <w:lang w:val="en-US"/>
        </w:rPr>
        <w:t xml:space="preserve"> gender intersects with other </w:t>
      </w:r>
      <w:r>
        <w:rPr>
          <w:rFonts w:ascii="Calibri" w:hAnsi="Calibri" w:cs="Calibri"/>
          <w:sz w:val="22"/>
          <w:szCs w:val="22"/>
          <w:lang w:val="en-US"/>
        </w:rPr>
        <w:t xml:space="preserve">identifying </w:t>
      </w:r>
      <w:r w:rsidRPr="004734EB">
        <w:rPr>
          <w:rFonts w:ascii="Calibri" w:hAnsi="Calibri" w:cs="Calibri"/>
          <w:sz w:val="22"/>
          <w:szCs w:val="22"/>
          <w:lang w:val="en-US"/>
        </w:rPr>
        <w:t>f</w:t>
      </w:r>
      <w:r>
        <w:rPr>
          <w:rFonts w:ascii="Calibri" w:hAnsi="Calibri" w:cs="Calibri"/>
          <w:sz w:val="22"/>
          <w:szCs w:val="22"/>
          <w:lang w:val="en-US"/>
        </w:rPr>
        <w:t>actors</w:t>
      </w:r>
      <w:r w:rsidRPr="004734EB">
        <w:rPr>
          <w:rFonts w:ascii="Calibri" w:hAnsi="Calibri" w:cs="Calibri"/>
          <w:sz w:val="22"/>
          <w:szCs w:val="22"/>
          <w:lang w:val="en-US"/>
        </w:rPr>
        <w:t xml:space="preserve"> </w:t>
      </w:r>
      <w:r>
        <w:rPr>
          <w:rFonts w:ascii="Calibri" w:hAnsi="Calibri" w:cs="Calibri"/>
          <w:sz w:val="22"/>
          <w:szCs w:val="22"/>
          <w:lang w:val="en-US"/>
        </w:rPr>
        <w:t>affecting women, such as age, ethnicity, health, race, religion or belief, sexual orientation and gender identity or expression</w:t>
      </w:r>
      <w:r w:rsidRPr="004734EB">
        <w:rPr>
          <w:rFonts w:ascii="Calibri" w:hAnsi="Calibri" w:cs="Calibri"/>
          <w:sz w:val="22"/>
          <w:szCs w:val="22"/>
          <w:lang w:val="en-US"/>
        </w:rPr>
        <w:t>.</w:t>
      </w:r>
      <w:r w:rsidRPr="004734EB">
        <w:rPr>
          <w:rStyle w:val="FootnoteReference"/>
          <w:rFonts w:ascii="Calibri" w:hAnsi="Calibri" w:cs="Calibri"/>
          <w:sz w:val="22"/>
          <w:szCs w:val="22"/>
          <w:lang w:val="en-US"/>
        </w:rPr>
        <w:footnoteReference w:id="67"/>
      </w:r>
    </w:p>
    <w:p w14:paraId="1C3D6722" w14:textId="77777777" w:rsidR="00D2799B" w:rsidRDefault="00D2799B" w:rsidP="00D2799B">
      <w:pPr>
        <w:spacing w:line="276" w:lineRule="auto"/>
        <w:jc w:val="both"/>
        <w:rPr>
          <w:rFonts w:ascii="Calibri" w:hAnsi="Calibri" w:cs="Calibri"/>
          <w:sz w:val="22"/>
          <w:szCs w:val="22"/>
          <w:lang w:val="en-US"/>
        </w:rPr>
      </w:pPr>
    </w:p>
    <w:p w14:paraId="7AAA3660" w14:textId="77777777" w:rsidR="00D2799B" w:rsidRPr="00362F5D" w:rsidRDefault="00D2799B" w:rsidP="00D2799B">
      <w:pPr>
        <w:pStyle w:val="Heading2"/>
        <w:numPr>
          <w:ilvl w:val="1"/>
          <w:numId w:val="28"/>
        </w:numPr>
        <w:rPr>
          <w:rFonts w:asciiTheme="minorHAnsi" w:hAnsiTheme="minorHAnsi" w:cstheme="minorHAnsi"/>
          <w:b/>
          <w:color w:val="000000" w:themeColor="text1"/>
          <w:sz w:val="22"/>
          <w:szCs w:val="22"/>
          <w:lang w:val="en-US"/>
        </w:rPr>
      </w:pPr>
      <w:bookmarkStart w:id="30" w:name="_Toc13747281"/>
      <w:r w:rsidRPr="00362F5D">
        <w:rPr>
          <w:rFonts w:asciiTheme="minorHAnsi" w:hAnsiTheme="minorHAnsi" w:cstheme="minorHAnsi"/>
          <w:b/>
          <w:color w:val="000000" w:themeColor="text1"/>
          <w:sz w:val="22"/>
          <w:szCs w:val="22"/>
          <w:lang w:val="en-US"/>
        </w:rPr>
        <w:t>Rural women</w:t>
      </w:r>
      <w:bookmarkEnd w:id="30"/>
      <w:r w:rsidRPr="00362F5D">
        <w:rPr>
          <w:rFonts w:asciiTheme="minorHAnsi" w:hAnsiTheme="minorHAnsi" w:cstheme="minorHAnsi"/>
          <w:b/>
          <w:color w:val="000000" w:themeColor="text1"/>
          <w:sz w:val="22"/>
          <w:szCs w:val="22"/>
          <w:lang w:val="en-US"/>
        </w:rPr>
        <w:tab/>
      </w:r>
    </w:p>
    <w:p w14:paraId="6EF4F576" w14:textId="77777777" w:rsidR="00D2799B" w:rsidRDefault="00D2799B" w:rsidP="00D2799B">
      <w:pPr>
        <w:pStyle w:val="ListParagraph"/>
        <w:numPr>
          <w:ilvl w:val="2"/>
          <w:numId w:val="28"/>
        </w:numPr>
        <w:tabs>
          <w:tab w:val="left" w:pos="567"/>
        </w:tabs>
        <w:spacing w:after="120" w:line="276" w:lineRule="auto"/>
        <w:ind w:left="426" w:hanging="432"/>
        <w:jc w:val="both"/>
        <w:rPr>
          <w:sz w:val="22"/>
          <w:szCs w:val="22"/>
          <w:lang w:val="en-US"/>
        </w:rPr>
      </w:pPr>
      <w:r w:rsidRPr="004734EB">
        <w:rPr>
          <w:sz w:val="22"/>
          <w:szCs w:val="22"/>
          <w:lang w:val="en-US"/>
        </w:rPr>
        <w:t>There is currently only one Court of Appeal and one Supreme Court in Cambodia, both located in Phnom Penh.</w:t>
      </w:r>
      <w:r>
        <w:rPr>
          <w:sz w:val="22"/>
          <w:szCs w:val="22"/>
          <w:lang w:val="en-US"/>
        </w:rPr>
        <w:t xml:space="preserve"> </w:t>
      </w:r>
      <w:r w:rsidRPr="004734EB">
        <w:rPr>
          <w:sz w:val="22"/>
          <w:szCs w:val="22"/>
          <w:lang w:val="en-US"/>
        </w:rPr>
        <w:t>This creates significant economic and practical challenges for those living in rural areas, as travelling to appeal courts can be expensive and time-consuming</w:t>
      </w:r>
      <w:r>
        <w:rPr>
          <w:sz w:val="22"/>
          <w:szCs w:val="22"/>
          <w:lang w:val="en-US"/>
        </w:rPr>
        <w:t>.</w:t>
      </w:r>
      <w:r w:rsidRPr="004734EB">
        <w:rPr>
          <w:sz w:val="22"/>
          <w:szCs w:val="22"/>
          <w:lang w:val="en-US"/>
        </w:rPr>
        <w:t xml:space="preserve"> These challenges are compounded by the social obligations women experience, such as childcare and household responsibilities. As a result, a significant number of appeal hearings take place </w:t>
      </w:r>
      <w:r w:rsidRPr="004734EB">
        <w:rPr>
          <w:i/>
          <w:sz w:val="22"/>
          <w:szCs w:val="22"/>
          <w:lang w:val="en-US"/>
        </w:rPr>
        <w:t>in absentia</w:t>
      </w:r>
      <w:r w:rsidRPr="004734EB">
        <w:rPr>
          <w:sz w:val="22"/>
          <w:szCs w:val="22"/>
          <w:lang w:val="en-US"/>
        </w:rPr>
        <w:t>.</w:t>
      </w:r>
      <w:r w:rsidRPr="004734EB">
        <w:rPr>
          <w:rStyle w:val="FootnoteReference"/>
          <w:sz w:val="22"/>
          <w:szCs w:val="22"/>
          <w:lang w:val="en-US"/>
        </w:rPr>
        <w:footnoteReference w:id="68"/>
      </w:r>
      <w:r w:rsidRPr="004734EB">
        <w:rPr>
          <w:sz w:val="22"/>
          <w:szCs w:val="22"/>
          <w:lang w:val="en-US"/>
        </w:rPr>
        <w:t xml:space="preserve"> Similarly, the vast majority of legal aid lawyers are located in the capital, creating additional barriers for rural women to access legal aid.</w:t>
      </w:r>
      <w:r w:rsidRPr="004734EB">
        <w:rPr>
          <w:rStyle w:val="FootnoteReference"/>
          <w:sz w:val="22"/>
          <w:szCs w:val="22"/>
          <w:lang w:val="en-US"/>
        </w:rPr>
        <w:footnoteReference w:id="69"/>
      </w:r>
    </w:p>
    <w:p w14:paraId="4679A1FC" w14:textId="77777777" w:rsidR="00D2799B" w:rsidRPr="004734EB" w:rsidRDefault="00D2799B" w:rsidP="00D2799B">
      <w:pPr>
        <w:pStyle w:val="ListParagraph"/>
        <w:tabs>
          <w:tab w:val="left" w:pos="567"/>
        </w:tabs>
        <w:spacing w:after="120" w:line="276" w:lineRule="auto"/>
        <w:ind w:left="426"/>
        <w:jc w:val="both"/>
        <w:rPr>
          <w:sz w:val="22"/>
          <w:szCs w:val="22"/>
          <w:lang w:val="en-US"/>
        </w:rPr>
      </w:pPr>
    </w:p>
    <w:p w14:paraId="43480C99" w14:textId="77777777" w:rsidR="00D2799B" w:rsidRPr="00941964" w:rsidRDefault="00D2799B" w:rsidP="00D2799B">
      <w:pPr>
        <w:pStyle w:val="ListParagraph"/>
        <w:numPr>
          <w:ilvl w:val="2"/>
          <w:numId w:val="28"/>
        </w:numPr>
        <w:tabs>
          <w:tab w:val="left" w:pos="567"/>
        </w:tabs>
        <w:spacing w:after="120" w:line="276" w:lineRule="auto"/>
        <w:ind w:left="426" w:hanging="432"/>
        <w:jc w:val="both"/>
        <w:rPr>
          <w:b/>
          <w:sz w:val="22"/>
          <w:szCs w:val="22"/>
          <w:lang w:val="en-US"/>
        </w:rPr>
      </w:pPr>
      <w:r w:rsidRPr="004734EB">
        <w:rPr>
          <w:sz w:val="22"/>
          <w:szCs w:val="22"/>
          <w:lang w:val="en-US"/>
        </w:rPr>
        <w:t>However, the RGC is commended on its commitment to building new regional appeal courts in seven provinces</w:t>
      </w:r>
      <w:r>
        <w:rPr>
          <w:sz w:val="22"/>
          <w:szCs w:val="22"/>
          <w:lang w:val="en-US"/>
        </w:rPr>
        <w:t xml:space="preserve"> to reduce the backlog of cases and to provide judicial services closer to people living outside the capital</w:t>
      </w:r>
      <w:r w:rsidRPr="004734EB">
        <w:rPr>
          <w:sz w:val="22"/>
          <w:szCs w:val="22"/>
          <w:lang w:val="en-US"/>
        </w:rPr>
        <w:t>.</w:t>
      </w:r>
      <w:r>
        <w:rPr>
          <w:rStyle w:val="FootnoteReference"/>
          <w:sz w:val="22"/>
          <w:szCs w:val="22"/>
          <w:lang w:val="en-US"/>
        </w:rPr>
        <w:footnoteReference w:id="70"/>
      </w:r>
      <w:r>
        <w:rPr>
          <w:sz w:val="22"/>
          <w:szCs w:val="22"/>
          <w:lang w:val="en-US"/>
        </w:rPr>
        <w:t xml:space="preserve"> The</w:t>
      </w:r>
      <w:r w:rsidRPr="00941964">
        <w:rPr>
          <w:sz w:val="22"/>
          <w:szCs w:val="22"/>
          <w:lang w:val="en-US"/>
        </w:rPr>
        <w:t xml:space="preserve"> first two appeal courts are currently being constructed</w:t>
      </w:r>
      <w:r>
        <w:rPr>
          <w:sz w:val="22"/>
          <w:szCs w:val="22"/>
          <w:lang w:val="en-US"/>
        </w:rPr>
        <w:t xml:space="preserve"> </w:t>
      </w:r>
      <w:r w:rsidRPr="00941964">
        <w:rPr>
          <w:sz w:val="22"/>
          <w:szCs w:val="22"/>
          <w:lang w:val="en-US"/>
        </w:rPr>
        <w:t>in Battambang and Tbong Khmum provinces</w:t>
      </w:r>
      <w:r>
        <w:rPr>
          <w:sz w:val="22"/>
          <w:szCs w:val="22"/>
          <w:lang w:val="en-US"/>
        </w:rPr>
        <w:t xml:space="preserve"> and</w:t>
      </w:r>
      <w:r w:rsidRPr="00941964">
        <w:rPr>
          <w:sz w:val="22"/>
          <w:szCs w:val="22"/>
          <w:lang w:val="en-US"/>
        </w:rPr>
        <w:t xml:space="preserve"> are </w:t>
      </w:r>
      <w:r>
        <w:rPr>
          <w:sz w:val="22"/>
          <w:szCs w:val="22"/>
          <w:lang w:val="en-US"/>
        </w:rPr>
        <w:t>expected</w:t>
      </w:r>
      <w:r w:rsidRPr="00941964">
        <w:rPr>
          <w:sz w:val="22"/>
          <w:szCs w:val="22"/>
          <w:lang w:val="en-US"/>
        </w:rPr>
        <w:t xml:space="preserve"> to be completed by the end of 2019.</w:t>
      </w:r>
      <w:r w:rsidRPr="004734EB">
        <w:rPr>
          <w:rStyle w:val="FootnoteReference"/>
          <w:sz w:val="22"/>
          <w:szCs w:val="22"/>
          <w:lang w:val="en-US"/>
        </w:rPr>
        <w:footnoteReference w:id="71"/>
      </w:r>
      <w:r w:rsidRPr="00941964">
        <w:rPr>
          <w:sz w:val="22"/>
          <w:szCs w:val="22"/>
          <w:lang w:val="en-US"/>
        </w:rPr>
        <w:t xml:space="preserve"> </w:t>
      </w:r>
    </w:p>
    <w:p w14:paraId="3E18316F" w14:textId="77777777" w:rsidR="00D2799B" w:rsidRPr="004734EB" w:rsidRDefault="00D2799B" w:rsidP="00D2799B">
      <w:pPr>
        <w:pStyle w:val="ListParagraph"/>
        <w:tabs>
          <w:tab w:val="left" w:pos="567"/>
        </w:tabs>
        <w:spacing w:after="120" w:line="276" w:lineRule="auto"/>
        <w:ind w:left="426"/>
        <w:jc w:val="both"/>
        <w:rPr>
          <w:b/>
          <w:sz w:val="22"/>
          <w:szCs w:val="22"/>
          <w:lang w:val="en-US"/>
        </w:rPr>
      </w:pPr>
    </w:p>
    <w:p w14:paraId="412D3FB9" w14:textId="77777777" w:rsidR="00D2799B" w:rsidRPr="00362F5D" w:rsidRDefault="00D2799B" w:rsidP="00D2799B">
      <w:pPr>
        <w:pStyle w:val="Heading2"/>
        <w:numPr>
          <w:ilvl w:val="1"/>
          <w:numId w:val="28"/>
        </w:numPr>
        <w:rPr>
          <w:rFonts w:asciiTheme="minorHAnsi" w:hAnsiTheme="minorHAnsi" w:cstheme="minorHAnsi"/>
          <w:b/>
          <w:color w:val="000000" w:themeColor="text1"/>
          <w:sz w:val="22"/>
          <w:szCs w:val="22"/>
          <w:lang w:val="en-US"/>
        </w:rPr>
      </w:pPr>
      <w:bookmarkStart w:id="31" w:name="_Toc13747282"/>
      <w:r w:rsidRPr="00362F5D">
        <w:rPr>
          <w:rFonts w:asciiTheme="minorHAnsi" w:hAnsiTheme="minorHAnsi" w:cstheme="minorHAnsi"/>
          <w:b/>
          <w:color w:val="000000" w:themeColor="text1"/>
          <w:sz w:val="22"/>
          <w:szCs w:val="22"/>
          <w:lang w:val="en-US"/>
        </w:rPr>
        <w:lastRenderedPageBreak/>
        <w:t>Trafficked women</w:t>
      </w:r>
      <w:bookmarkEnd w:id="31"/>
    </w:p>
    <w:p w14:paraId="7FF27239" w14:textId="77777777" w:rsidR="00D2799B" w:rsidRDefault="00D2799B" w:rsidP="00D2799B">
      <w:pPr>
        <w:pStyle w:val="ListParagraph"/>
        <w:numPr>
          <w:ilvl w:val="2"/>
          <w:numId w:val="21"/>
        </w:numPr>
        <w:spacing w:line="276" w:lineRule="auto"/>
        <w:ind w:left="567" w:hanging="567"/>
        <w:jc w:val="both"/>
        <w:rPr>
          <w:sz w:val="22"/>
          <w:szCs w:val="22"/>
          <w:lang w:val="en-US"/>
        </w:rPr>
      </w:pPr>
      <w:r w:rsidRPr="00A650B6">
        <w:rPr>
          <w:sz w:val="22"/>
          <w:szCs w:val="22"/>
          <w:lang w:val="en-US"/>
        </w:rPr>
        <w:t>The key mechanism to counter trafficking in persons and sexual exploitation is the National Committee for Counter Trafficking (NCCT).</w:t>
      </w:r>
      <w:r>
        <w:rPr>
          <w:rStyle w:val="FootnoteReference"/>
          <w:sz w:val="22"/>
          <w:szCs w:val="22"/>
          <w:lang w:val="en-US"/>
        </w:rPr>
        <w:footnoteReference w:id="72"/>
      </w:r>
      <w:r w:rsidRPr="00A650B6">
        <w:rPr>
          <w:sz w:val="22"/>
          <w:szCs w:val="22"/>
          <w:lang w:val="en-US"/>
        </w:rPr>
        <w:t xml:space="preserve"> </w:t>
      </w:r>
      <w:r>
        <w:rPr>
          <w:sz w:val="22"/>
          <w:szCs w:val="22"/>
          <w:lang w:val="en-US"/>
        </w:rPr>
        <w:t>However, a</w:t>
      </w:r>
      <w:r w:rsidRPr="00A650B6">
        <w:rPr>
          <w:sz w:val="22"/>
          <w:szCs w:val="22"/>
          <w:lang w:val="en-US"/>
        </w:rPr>
        <w:t xml:space="preserve">lthough a Royal Decree modified the NCCT membership, structure and key activities in order to </w:t>
      </w:r>
      <w:r>
        <w:rPr>
          <w:sz w:val="22"/>
          <w:szCs w:val="22"/>
          <w:lang w:val="en-US"/>
        </w:rPr>
        <w:t>make that mechanism</w:t>
      </w:r>
      <w:r w:rsidRPr="00A650B6">
        <w:rPr>
          <w:sz w:val="22"/>
          <w:szCs w:val="22"/>
          <w:lang w:val="en-US"/>
        </w:rPr>
        <w:t xml:space="preserve"> more effective and </w:t>
      </w:r>
      <w:r>
        <w:rPr>
          <w:sz w:val="22"/>
          <w:szCs w:val="22"/>
          <w:lang w:val="en-US"/>
        </w:rPr>
        <w:t>Cambodia has signed</w:t>
      </w:r>
      <w:r w:rsidRPr="00A650B6">
        <w:rPr>
          <w:sz w:val="22"/>
          <w:szCs w:val="22"/>
          <w:lang w:val="en-US"/>
        </w:rPr>
        <w:t xml:space="preserve"> several bi-lateral treaties to combat human trafficking, s</w:t>
      </w:r>
      <w:r w:rsidRPr="00941964">
        <w:rPr>
          <w:sz w:val="22"/>
          <w:szCs w:val="22"/>
          <w:lang w:val="en-US"/>
        </w:rPr>
        <w:t>ex and labor trafficking remain</w:t>
      </w:r>
      <w:r>
        <w:rPr>
          <w:sz w:val="22"/>
          <w:szCs w:val="22"/>
          <w:lang w:val="en-US"/>
        </w:rPr>
        <w:t>s</w:t>
      </w:r>
      <w:r w:rsidRPr="00941964">
        <w:rPr>
          <w:sz w:val="22"/>
          <w:szCs w:val="22"/>
          <w:lang w:val="en-US"/>
        </w:rPr>
        <w:t xml:space="preserve"> a significant problem</w:t>
      </w:r>
      <w:r w:rsidRPr="00A650B6">
        <w:rPr>
          <w:sz w:val="22"/>
          <w:szCs w:val="22"/>
          <w:lang w:val="en-US"/>
        </w:rPr>
        <w:t>.</w:t>
      </w:r>
      <w:r>
        <w:rPr>
          <w:rStyle w:val="FootnoteReference"/>
          <w:sz w:val="22"/>
          <w:szCs w:val="22"/>
          <w:lang w:val="en-US"/>
        </w:rPr>
        <w:footnoteReference w:id="73"/>
      </w:r>
      <w:r>
        <w:rPr>
          <w:sz w:val="22"/>
          <w:szCs w:val="22"/>
          <w:lang w:val="en-US"/>
        </w:rPr>
        <w:t xml:space="preserve"> For example, due to a lack of jobs, some Cambodian women and girls leave their homes in rural areas in order to try to find work in tourist destination cities, in many cases</w:t>
      </w:r>
      <w:r w:rsidRPr="007605E7">
        <w:rPr>
          <w:sz w:val="22"/>
          <w:szCs w:val="22"/>
          <w:lang w:val="en-US"/>
        </w:rPr>
        <w:t xml:space="preserve"> leading to traffickers exploiting them </w:t>
      </w:r>
      <w:r>
        <w:rPr>
          <w:sz w:val="22"/>
          <w:szCs w:val="22"/>
          <w:lang w:val="en-US"/>
        </w:rPr>
        <w:t>through</w:t>
      </w:r>
      <w:r w:rsidRPr="007605E7">
        <w:rPr>
          <w:sz w:val="22"/>
          <w:szCs w:val="22"/>
          <w:lang w:val="en-US"/>
        </w:rPr>
        <w:t xml:space="preserve"> sex trafficking.</w:t>
      </w:r>
      <w:r>
        <w:rPr>
          <w:rStyle w:val="FootnoteReference"/>
          <w:sz w:val="22"/>
          <w:szCs w:val="22"/>
          <w:lang w:val="en-US"/>
        </w:rPr>
        <w:footnoteReference w:id="74"/>
      </w:r>
    </w:p>
    <w:p w14:paraId="1314E2A1" w14:textId="77777777" w:rsidR="00D2799B" w:rsidRDefault="00D2799B" w:rsidP="00D2799B">
      <w:pPr>
        <w:pStyle w:val="ListParagraph"/>
        <w:spacing w:line="276" w:lineRule="auto"/>
        <w:ind w:left="567"/>
        <w:jc w:val="both"/>
        <w:rPr>
          <w:sz w:val="22"/>
          <w:szCs w:val="22"/>
          <w:lang w:val="en-US"/>
        </w:rPr>
      </w:pPr>
    </w:p>
    <w:p w14:paraId="2346FFF3" w14:textId="77777777" w:rsidR="00D2799B" w:rsidRPr="00362F5D" w:rsidRDefault="00D2799B" w:rsidP="00D2799B">
      <w:pPr>
        <w:pStyle w:val="ListParagraph"/>
        <w:numPr>
          <w:ilvl w:val="2"/>
          <w:numId w:val="21"/>
        </w:numPr>
        <w:spacing w:line="276" w:lineRule="auto"/>
        <w:ind w:left="567" w:hanging="567"/>
        <w:jc w:val="both"/>
        <w:rPr>
          <w:sz w:val="22"/>
          <w:szCs w:val="22"/>
          <w:lang w:val="en-US"/>
        </w:rPr>
      </w:pPr>
      <w:r w:rsidRPr="00362F5D">
        <w:rPr>
          <w:sz w:val="22"/>
          <w:szCs w:val="22"/>
          <w:lang w:val="en-US"/>
        </w:rPr>
        <w:t xml:space="preserve">It is commended that the RGC </w:t>
      </w:r>
      <w:r>
        <w:rPr>
          <w:sz w:val="22"/>
          <w:szCs w:val="22"/>
          <w:lang w:val="en-US"/>
        </w:rPr>
        <w:t xml:space="preserve">has </w:t>
      </w:r>
      <w:r w:rsidRPr="00362F5D">
        <w:rPr>
          <w:sz w:val="22"/>
          <w:szCs w:val="22"/>
          <w:lang w:val="en-US"/>
        </w:rPr>
        <w:t>continued their considerable efforts to prosecute and convict traffickers and increased the training of law enforcement officials.</w:t>
      </w:r>
      <w:r w:rsidRPr="00214663">
        <w:rPr>
          <w:rStyle w:val="FootnoteReference"/>
          <w:sz w:val="22"/>
          <w:szCs w:val="22"/>
          <w:lang w:val="en-US"/>
        </w:rPr>
        <w:footnoteReference w:id="75"/>
      </w:r>
      <w:r w:rsidRPr="00362F5D">
        <w:rPr>
          <w:sz w:val="22"/>
          <w:szCs w:val="22"/>
          <w:lang w:val="en-US"/>
        </w:rPr>
        <w:t xml:space="preserve"> Nevertheless, the steps taken by the government still do not fully meet the minimum standards for the elimination of trafficking.</w:t>
      </w:r>
      <w:r w:rsidRPr="00214663">
        <w:rPr>
          <w:rStyle w:val="FootnoteReference"/>
          <w:sz w:val="22"/>
          <w:szCs w:val="22"/>
          <w:lang w:val="en-US"/>
        </w:rPr>
        <w:footnoteReference w:id="76"/>
      </w:r>
      <w:r w:rsidRPr="00362F5D">
        <w:rPr>
          <w:sz w:val="22"/>
          <w:szCs w:val="22"/>
          <w:lang w:val="en-US"/>
        </w:rPr>
        <w:t xml:space="preserve"> Recently conducted research suggest that against the backdrop of inadequate government oversight and accountability measures, authorities failed to investigate credible reports of human trafficking via debt-based coercion.</w:t>
      </w:r>
      <w:r w:rsidRPr="00214663">
        <w:rPr>
          <w:rStyle w:val="FootnoteReference"/>
          <w:sz w:val="22"/>
          <w:szCs w:val="22"/>
          <w:lang w:val="en-US"/>
        </w:rPr>
        <w:footnoteReference w:id="77"/>
      </w:r>
      <w:r w:rsidRPr="00362F5D">
        <w:rPr>
          <w:sz w:val="22"/>
          <w:szCs w:val="22"/>
          <w:lang w:val="en-US"/>
        </w:rPr>
        <w:t xml:space="preserve"> Furthermore, in various high-profile cases, anti-trafficking legislation and law enforcement resources were used by the government to target the political opposition, and other non-traffickers who attempted to document the country’s trafficking circumstances.</w:t>
      </w:r>
      <w:r w:rsidRPr="00214663">
        <w:rPr>
          <w:rStyle w:val="FootnoteReference"/>
          <w:sz w:val="22"/>
          <w:szCs w:val="22"/>
          <w:lang w:val="en-US"/>
        </w:rPr>
        <w:footnoteReference w:id="78"/>
      </w:r>
      <w:r w:rsidRPr="00362F5D">
        <w:rPr>
          <w:sz w:val="22"/>
          <w:szCs w:val="22"/>
          <w:lang w:val="en-US"/>
        </w:rPr>
        <w:t xml:space="preserve"> Although the RGC does not provide data on sentencing traffickers, courts allegedly continue to convict suspects on lesser charges and decide sex trafficking cases with cash settlements in lieu of prison sentences.</w:t>
      </w:r>
      <w:r w:rsidRPr="00214663">
        <w:rPr>
          <w:rStyle w:val="FootnoteReference"/>
          <w:sz w:val="22"/>
          <w:szCs w:val="22"/>
          <w:lang w:val="en-US"/>
        </w:rPr>
        <w:footnoteReference w:id="79"/>
      </w:r>
      <w:r w:rsidRPr="00362F5D">
        <w:rPr>
          <w:sz w:val="22"/>
          <w:szCs w:val="22"/>
          <w:lang w:val="en-US"/>
        </w:rPr>
        <w:t xml:space="preserve"> Between April 2016 and September 2018, only 2% of trafficking cases investigated by rights group ADHOC led to criminal convictions.</w:t>
      </w:r>
      <w:r w:rsidRPr="00214663">
        <w:rPr>
          <w:rStyle w:val="FootnoteReference"/>
          <w:sz w:val="22"/>
          <w:szCs w:val="22"/>
          <w:lang w:val="en-US"/>
        </w:rPr>
        <w:footnoteReference w:id="80"/>
      </w:r>
    </w:p>
    <w:p w14:paraId="75D5CF5C" w14:textId="77777777" w:rsidR="00D2799B" w:rsidRPr="004734EB" w:rsidRDefault="00D2799B" w:rsidP="00D2799B">
      <w:pPr>
        <w:pStyle w:val="ListParagraph"/>
        <w:spacing w:after="120" w:line="276" w:lineRule="auto"/>
        <w:ind w:left="567"/>
        <w:jc w:val="both"/>
        <w:rPr>
          <w:sz w:val="22"/>
          <w:szCs w:val="22"/>
          <w:lang w:val="en-US"/>
        </w:rPr>
      </w:pPr>
    </w:p>
    <w:p w14:paraId="26810492" w14:textId="77777777" w:rsidR="00D2799B" w:rsidRPr="00362F5D" w:rsidRDefault="00D2799B" w:rsidP="00D2799B">
      <w:pPr>
        <w:pStyle w:val="ListParagraph"/>
        <w:numPr>
          <w:ilvl w:val="2"/>
          <w:numId w:val="21"/>
        </w:numPr>
        <w:spacing w:line="276" w:lineRule="auto"/>
        <w:ind w:left="567" w:hanging="567"/>
        <w:jc w:val="both"/>
        <w:rPr>
          <w:color w:val="000000" w:themeColor="text1"/>
          <w:sz w:val="22"/>
          <w:szCs w:val="22"/>
          <w:lang w:val="en-US"/>
        </w:rPr>
      </w:pPr>
      <w:r w:rsidRPr="00047E76">
        <w:rPr>
          <w:sz w:val="22"/>
          <w:szCs w:val="22"/>
          <w:lang w:val="en-US"/>
        </w:rPr>
        <w:lastRenderedPageBreak/>
        <w:t>There is a lack of access to safe shelters available for women victims of violence.</w:t>
      </w:r>
      <w:r w:rsidRPr="000755BB">
        <w:rPr>
          <w:rStyle w:val="FootnoteReference"/>
          <w:sz w:val="22"/>
          <w:szCs w:val="22"/>
          <w:lang w:val="en-US"/>
        </w:rPr>
        <w:footnoteReference w:id="81"/>
      </w:r>
      <w:r w:rsidRPr="00047E76">
        <w:rPr>
          <w:sz w:val="22"/>
          <w:szCs w:val="22"/>
          <w:lang w:val="en-US"/>
        </w:rPr>
        <w:t xml:space="preserve"> The number of shelters for women has fluctuated over the years, from 6 to over 20.</w:t>
      </w:r>
      <w:r w:rsidRPr="000755BB">
        <w:rPr>
          <w:rStyle w:val="FootnoteReference"/>
          <w:sz w:val="22"/>
          <w:szCs w:val="22"/>
          <w:lang w:val="en-US"/>
        </w:rPr>
        <w:footnoteReference w:id="82"/>
      </w:r>
      <w:r w:rsidRPr="00047E76">
        <w:rPr>
          <w:sz w:val="22"/>
          <w:szCs w:val="22"/>
          <w:lang w:val="en-US"/>
        </w:rPr>
        <w:t xml:space="preserve"> There is no accurate data on the number of safe shelters currently operating in Cambodia. However, it is known that almost all </w:t>
      </w:r>
      <w:r>
        <w:rPr>
          <w:sz w:val="22"/>
          <w:szCs w:val="22"/>
          <w:lang w:val="en-US"/>
        </w:rPr>
        <w:t>such</w:t>
      </w:r>
      <w:r w:rsidRPr="00047E76">
        <w:rPr>
          <w:sz w:val="22"/>
          <w:szCs w:val="22"/>
          <w:lang w:val="en-US"/>
        </w:rPr>
        <w:t xml:space="preserve"> shelters have been provided by NGOs.</w:t>
      </w:r>
      <w:r w:rsidRPr="000755BB">
        <w:rPr>
          <w:rStyle w:val="FootnoteReference"/>
          <w:sz w:val="22"/>
          <w:szCs w:val="22"/>
          <w:lang w:val="en-US"/>
        </w:rPr>
        <w:footnoteReference w:id="83"/>
      </w:r>
      <w:r w:rsidRPr="00047E76">
        <w:rPr>
          <w:sz w:val="22"/>
          <w:szCs w:val="22"/>
          <w:lang w:val="en-US"/>
        </w:rPr>
        <w:t xml:space="preserve"> A recommendation made by the United Kingdom of Great Britain and Northern Ireland during the </w:t>
      </w:r>
      <w:r>
        <w:rPr>
          <w:sz w:val="22"/>
          <w:szCs w:val="22"/>
          <w:lang w:val="en-US"/>
        </w:rPr>
        <w:t xml:space="preserve">third </w:t>
      </w:r>
      <w:r w:rsidRPr="00047E76">
        <w:rPr>
          <w:sz w:val="22"/>
          <w:szCs w:val="22"/>
          <w:lang w:val="en-US"/>
        </w:rPr>
        <w:t xml:space="preserve">UPR </w:t>
      </w:r>
      <w:r>
        <w:rPr>
          <w:sz w:val="22"/>
          <w:szCs w:val="22"/>
          <w:lang w:val="en-US"/>
        </w:rPr>
        <w:t>of Cambodia</w:t>
      </w:r>
      <w:r w:rsidRPr="00047E76">
        <w:rPr>
          <w:sz w:val="22"/>
          <w:szCs w:val="22"/>
          <w:lang w:val="en-US"/>
        </w:rPr>
        <w:t xml:space="preserve"> was to ensure </w:t>
      </w:r>
      <w:r w:rsidRPr="00362F5D">
        <w:rPr>
          <w:color w:val="000000" w:themeColor="text1"/>
          <w:sz w:val="22"/>
          <w:szCs w:val="22"/>
          <w:lang w:val="en-US"/>
        </w:rPr>
        <w:t>adequate access and supporting services and sheltered accommodation for victims of human trafficking.</w:t>
      </w:r>
      <w:r w:rsidRPr="00362F5D">
        <w:rPr>
          <w:rStyle w:val="FootnoteReference"/>
          <w:color w:val="000000" w:themeColor="text1"/>
          <w:sz w:val="22"/>
          <w:szCs w:val="22"/>
          <w:lang w:val="en-US"/>
        </w:rPr>
        <w:footnoteReference w:id="84"/>
      </w:r>
      <w:r w:rsidRPr="00362F5D">
        <w:rPr>
          <w:color w:val="000000" w:themeColor="text1"/>
          <w:sz w:val="22"/>
          <w:szCs w:val="22"/>
          <w:lang w:val="en-US"/>
        </w:rPr>
        <w:t xml:space="preserve"> </w:t>
      </w:r>
    </w:p>
    <w:p w14:paraId="3E990A2A" w14:textId="77777777" w:rsidR="00D2799B" w:rsidRPr="00F4119D" w:rsidRDefault="00D2799B" w:rsidP="00D2799B">
      <w:pPr>
        <w:rPr>
          <w:b/>
          <w:color w:val="000000" w:themeColor="text1"/>
          <w:sz w:val="22"/>
          <w:szCs w:val="22"/>
          <w:lang w:val="en-US"/>
        </w:rPr>
      </w:pPr>
    </w:p>
    <w:p w14:paraId="5FCECA1C" w14:textId="7840A577" w:rsidR="00D2799B" w:rsidRPr="00F4119D" w:rsidRDefault="00D2799B" w:rsidP="00F4119D">
      <w:pPr>
        <w:pStyle w:val="Heading2"/>
        <w:numPr>
          <w:ilvl w:val="1"/>
          <w:numId w:val="29"/>
        </w:numPr>
        <w:rPr>
          <w:rFonts w:asciiTheme="minorHAnsi" w:hAnsiTheme="minorHAnsi" w:cstheme="minorHAnsi"/>
          <w:b/>
          <w:color w:val="000000" w:themeColor="text1"/>
          <w:sz w:val="22"/>
          <w:szCs w:val="22"/>
          <w:lang w:val="en-US"/>
        </w:rPr>
      </w:pPr>
      <w:bookmarkStart w:id="32" w:name="_Toc13747283"/>
      <w:r w:rsidRPr="00F4119D">
        <w:rPr>
          <w:rFonts w:asciiTheme="minorHAnsi" w:hAnsiTheme="minorHAnsi" w:cstheme="minorHAnsi"/>
          <w:b/>
          <w:color w:val="000000" w:themeColor="text1"/>
          <w:sz w:val="22"/>
          <w:szCs w:val="22"/>
          <w:lang w:val="en-US"/>
        </w:rPr>
        <w:t>LGBTIQ women</w:t>
      </w:r>
      <w:bookmarkEnd w:id="32"/>
    </w:p>
    <w:p w14:paraId="1B2C6AA4" w14:textId="77777777" w:rsidR="00D2799B" w:rsidRPr="00362F5D" w:rsidRDefault="00D2799B" w:rsidP="00D2799B">
      <w:pPr>
        <w:pStyle w:val="ListParagraph"/>
        <w:numPr>
          <w:ilvl w:val="2"/>
          <w:numId w:val="29"/>
        </w:numPr>
        <w:rPr>
          <w:sz w:val="22"/>
          <w:szCs w:val="22"/>
          <w:lang w:val="en-US"/>
        </w:rPr>
      </w:pPr>
      <w:r w:rsidRPr="00362F5D">
        <w:rPr>
          <w:sz w:val="22"/>
          <w:szCs w:val="22"/>
          <w:lang w:val="en-US"/>
        </w:rPr>
        <w:t>Although the LGBTIQ community faces particular social and economic vulnerabilities, the justice system is silent when it comes to LGBTIQ individuals.</w:t>
      </w:r>
      <w:r w:rsidRPr="00362F5D">
        <w:rPr>
          <w:rStyle w:val="FootnoteReference"/>
          <w:sz w:val="22"/>
          <w:szCs w:val="22"/>
          <w:lang w:val="en-US"/>
        </w:rPr>
        <w:footnoteReference w:id="85"/>
      </w:r>
      <w:r w:rsidRPr="00362F5D">
        <w:rPr>
          <w:sz w:val="22"/>
          <w:szCs w:val="22"/>
          <w:lang w:val="en-US"/>
        </w:rPr>
        <w:t xml:space="preserve"> Therefore, LGBTIQ individuals often find themselves in precarious situations when trying to access the Cambodian justice system, relying on too few lawyers providing pro bono services and/or some civil society organizations providing free legal advice.</w:t>
      </w:r>
      <w:r w:rsidRPr="00362F5D">
        <w:rPr>
          <w:rStyle w:val="FootnoteReference"/>
          <w:sz w:val="22"/>
          <w:szCs w:val="22"/>
          <w:lang w:val="en-US"/>
        </w:rPr>
        <w:footnoteReference w:id="86"/>
      </w:r>
      <w:r w:rsidRPr="00362F5D">
        <w:rPr>
          <w:sz w:val="22"/>
          <w:szCs w:val="22"/>
          <w:lang w:val="en-US"/>
        </w:rPr>
        <w:t xml:space="preserve"> Recently conducted research found that there is a widespread lack of knowledge within the LGBTIQ community in Cambodia on how and where to access lawyers when they face legal issues.</w:t>
      </w:r>
      <w:r w:rsidRPr="00362F5D">
        <w:rPr>
          <w:rStyle w:val="FootnoteReference"/>
          <w:sz w:val="22"/>
          <w:szCs w:val="22"/>
          <w:lang w:val="en-US"/>
        </w:rPr>
        <w:footnoteReference w:id="87"/>
      </w:r>
      <w:r w:rsidRPr="00362F5D">
        <w:rPr>
          <w:sz w:val="22"/>
          <w:szCs w:val="22"/>
          <w:lang w:val="en-US"/>
        </w:rPr>
        <w:t xml:space="preserve"> In addition, the LGBTIQ community has a low understanding of the concept of legal aid which, together with poor access to information about legal aid in general, results in mistrust in lawyers providing legal aid.</w:t>
      </w:r>
      <w:r w:rsidRPr="00362F5D">
        <w:rPr>
          <w:rStyle w:val="FootnoteReference"/>
          <w:sz w:val="22"/>
          <w:szCs w:val="22"/>
          <w:lang w:val="en-US"/>
        </w:rPr>
        <w:footnoteReference w:id="88"/>
      </w:r>
    </w:p>
    <w:p w14:paraId="1203E096" w14:textId="77777777" w:rsidR="00D2799B" w:rsidRPr="00362F5D" w:rsidRDefault="00D2799B" w:rsidP="00D2799B">
      <w:pPr>
        <w:pStyle w:val="ListParagraph"/>
        <w:spacing w:line="276" w:lineRule="auto"/>
        <w:jc w:val="both"/>
        <w:rPr>
          <w:sz w:val="22"/>
          <w:szCs w:val="22"/>
          <w:lang w:val="en-US"/>
        </w:rPr>
      </w:pPr>
    </w:p>
    <w:p w14:paraId="39CB8726" w14:textId="77777777" w:rsidR="00D2799B" w:rsidRPr="00362F5D" w:rsidRDefault="00D2799B" w:rsidP="00D2799B">
      <w:pPr>
        <w:pStyle w:val="ListParagraph"/>
        <w:numPr>
          <w:ilvl w:val="2"/>
          <w:numId w:val="29"/>
        </w:numPr>
        <w:rPr>
          <w:sz w:val="22"/>
          <w:szCs w:val="22"/>
          <w:lang w:val="en-US"/>
        </w:rPr>
      </w:pPr>
      <w:r w:rsidRPr="00362F5D">
        <w:rPr>
          <w:sz w:val="22"/>
          <w:szCs w:val="22"/>
          <w:lang w:val="en-US"/>
        </w:rPr>
        <w:t>Law enforcement authorities are among the worst abusers of transgender women’s rights in Cambodia.</w:t>
      </w:r>
      <w:r w:rsidRPr="00362F5D">
        <w:rPr>
          <w:rStyle w:val="FootnoteReference"/>
          <w:sz w:val="22"/>
          <w:szCs w:val="22"/>
          <w:lang w:val="en-US"/>
        </w:rPr>
        <w:footnoteReference w:id="89"/>
      </w:r>
      <w:r w:rsidRPr="00362F5D">
        <w:rPr>
          <w:sz w:val="22"/>
          <w:szCs w:val="22"/>
          <w:lang w:val="en-US"/>
        </w:rPr>
        <w:t xml:space="preserve"> Transgender women are regularly arrested and detained on the basis of their trans identities, often in order to extort money from them.</w:t>
      </w:r>
      <w:r w:rsidRPr="00362F5D">
        <w:rPr>
          <w:rStyle w:val="FootnoteReference"/>
          <w:sz w:val="22"/>
          <w:szCs w:val="22"/>
          <w:lang w:val="en-US"/>
        </w:rPr>
        <w:footnoteReference w:id="90"/>
      </w:r>
      <w:r w:rsidRPr="00362F5D">
        <w:rPr>
          <w:sz w:val="22"/>
          <w:szCs w:val="22"/>
          <w:lang w:val="en-US"/>
        </w:rPr>
        <w:t xml:space="preserve"> Research shows that from the interviewed trans women who had been arrested (38.7%), more than 91% believed they were arrested due to their transgender identity; a significant number of transgender women interviewed also reported experiencing physical, sexual and verbal abuse from police officers.</w:t>
      </w:r>
      <w:r w:rsidRPr="00362F5D">
        <w:rPr>
          <w:rStyle w:val="FootnoteReference"/>
          <w:sz w:val="22"/>
          <w:szCs w:val="22"/>
          <w:lang w:val="en-US"/>
        </w:rPr>
        <w:footnoteReference w:id="91"/>
      </w:r>
      <w:r w:rsidRPr="00362F5D">
        <w:rPr>
          <w:sz w:val="22"/>
          <w:szCs w:val="22"/>
          <w:lang w:val="en-US"/>
        </w:rPr>
        <w:t xml:space="preserve"> Most victims of such abuse see no point in reporting their experiences, believing </w:t>
      </w:r>
      <w:r w:rsidRPr="00362F5D">
        <w:rPr>
          <w:sz w:val="22"/>
          <w:szCs w:val="22"/>
          <w:lang w:val="en-US"/>
        </w:rPr>
        <w:lastRenderedPageBreak/>
        <w:t>justice to be unattainable.</w:t>
      </w:r>
      <w:r w:rsidRPr="00362F5D">
        <w:rPr>
          <w:rStyle w:val="FootnoteReference"/>
          <w:sz w:val="22"/>
          <w:szCs w:val="22"/>
          <w:lang w:val="en-US"/>
        </w:rPr>
        <w:footnoteReference w:id="92"/>
      </w:r>
      <w:r w:rsidRPr="00362F5D">
        <w:rPr>
          <w:sz w:val="22"/>
          <w:szCs w:val="22"/>
          <w:lang w:val="en-US"/>
        </w:rPr>
        <w:t xml:space="preserve"> Follow-up research in 2018 revealed only a modest improvement of access to justice for transgender women.</w:t>
      </w:r>
      <w:r w:rsidRPr="00362F5D">
        <w:rPr>
          <w:rStyle w:val="FootnoteReference"/>
          <w:sz w:val="22"/>
          <w:szCs w:val="22"/>
          <w:lang w:val="en-US"/>
        </w:rPr>
        <w:footnoteReference w:id="93"/>
      </w:r>
    </w:p>
    <w:p w14:paraId="500CA089" w14:textId="77777777" w:rsidR="00D2799B" w:rsidRDefault="00D2799B" w:rsidP="00D2799B">
      <w:pPr>
        <w:pStyle w:val="Heading1"/>
        <w:numPr>
          <w:ilvl w:val="0"/>
          <w:numId w:val="29"/>
        </w:numPr>
        <w:rPr>
          <w:rFonts w:asciiTheme="minorHAnsi" w:hAnsiTheme="minorHAnsi" w:cstheme="minorHAnsi"/>
          <w:b/>
          <w:color w:val="000000" w:themeColor="text1"/>
          <w:sz w:val="24"/>
          <w:szCs w:val="24"/>
          <w:u w:val="single"/>
          <w:lang w:val="en-US"/>
        </w:rPr>
      </w:pPr>
      <w:bookmarkStart w:id="33" w:name="_Toc13747284"/>
      <w:r w:rsidRPr="00362F5D">
        <w:rPr>
          <w:rFonts w:asciiTheme="minorHAnsi" w:hAnsiTheme="minorHAnsi" w:cstheme="minorHAnsi"/>
          <w:b/>
          <w:color w:val="000000" w:themeColor="text1"/>
          <w:sz w:val="24"/>
          <w:szCs w:val="24"/>
          <w:u w:val="single"/>
          <w:lang w:val="en-US"/>
        </w:rPr>
        <w:t>Incarcerated Women</w:t>
      </w:r>
      <w:bookmarkEnd w:id="33"/>
    </w:p>
    <w:p w14:paraId="0F77788C" w14:textId="77777777" w:rsidR="00D2799B" w:rsidRPr="00362F5D" w:rsidRDefault="00D2799B" w:rsidP="00D2799B">
      <w:pPr>
        <w:rPr>
          <w:lang w:val="en-US"/>
        </w:rPr>
      </w:pPr>
    </w:p>
    <w:p w14:paraId="75583EFD" w14:textId="77777777" w:rsidR="00D2799B" w:rsidRDefault="00D2799B" w:rsidP="00D2799B">
      <w:pPr>
        <w:spacing w:after="120" w:line="276" w:lineRule="auto"/>
        <w:jc w:val="both"/>
        <w:rPr>
          <w:sz w:val="22"/>
          <w:szCs w:val="22"/>
          <w:lang w:val="en-US"/>
        </w:rPr>
      </w:pPr>
      <w:r w:rsidRPr="004734EB">
        <w:rPr>
          <w:sz w:val="22"/>
          <w:szCs w:val="22"/>
          <w:lang w:val="en-US"/>
        </w:rPr>
        <w:t xml:space="preserve">Women’s marginality is perpetuated in Cambodia’s justice system, particularly for incarcerated women, whose daily lives unfold within the confines of a system that fails to uphold their rights under international law. </w:t>
      </w:r>
      <w:r>
        <w:rPr>
          <w:sz w:val="22"/>
          <w:szCs w:val="22"/>
          <w:lang w:val="en-US"/>
        </w:rPr>
        <w:t>Although the periodic report of the RGC for the CEDAW Committee did not touch upon the issue of incarcerated women, the pre-sessional working group of the CEDAW Committee included the situation of women in detention in their list of issues and questions, which underscores the importance of this issue.</w:t>
      </w:r>
      <w:r>
        <w:rPr>
          <w:rStyle w:val="FootnoteReference"/>
          <w:sz w:val="22"/>
          <w:szCs w:val="22"/>
          <w:lang w:val="en-US"/>
        </w:rPr>
        <w:footnoteReference w:id="94"/>
      </w:r>
      <w:r>
        <w:rPr>
          <w:sz w:val="22"/>
          <w:szCs w:val="22"/>
          <w:lang w:val="en-US"/>
        </w:rPr>
        <w:t xml:space="preserve"> </w:t>
      </w:r>
      <w:r w:rsidRPr="00941964">
        <w:rPr>
          <w:sz w:val="22"/>
          <w:szCs w:val="22"/>
          <w:lang w:val="en-US"/>
        </w:rPr>
        <w:t>By July 2018, there were 30,444 detainees</w:t>
      </w:r>
      <w:r>
        <w:rPr>
          <w:sz w:val="22"/>
          <w:szCs w:val="22"/>
          <w:lang w:val="en-US"/>
        </w:rPr>
        <w:t xml:space="preserve"> in Cambodian prisons</w:t>
      </w:r>
      <w:r w:rsidRPr="00941964">
        <w:rPr>
          <w:sz w:val="22"/>
          <w:szCs w:val="22"/>
          <w:lang w:val="en-US"/>
        </w:rPr>
        <w:t>,</w:t>
      </w:r>
      <w:r w:rsidRPr="00AF10B3">
        <w:rPr>
          <w:sz w:val="22"/>
          <w:szCs w:val="22"/>
          <w:lang w:val="en-US"/>
        </w:rPr>
        <w:t xml:space="preserve"> of which </w:t>
      </w:r>
      <w:r w:rsidRPr="00941964">
        <w:rPr>
          <w:sz w:val="22"/>
          <w:szCs w:val="22"/>
          <w:lang w:val="en-US"/>
        </w:rPr>
        <w:t>2,616 women and 1,551 minors</w:t>
      </w:r>
      <w:r w:rsidRPr="00AF10B3">
        <w:rPr>
          <w:sz w:val="22"/>
          <w:szCs w:val="22"/>
          <w:lang w:val="en-US"/>
        </w:rPr>
        <w:t>.</w:t>
      </w:r>
      <w:r w:rsidRPr="00AF10B3">
        <w:rPr>
          <w:rStyle w:val="FootnoteReference"/>
          <w:sz w:val="22"/>
          <w:szCs w:val="22"/>
          <w:lang w:val="en-US"/>
        </w:rPr>
        <w:footnoteReference w:id="95"/>
      </w:r>
      <w:r>
        <w:rPr>
          <w:sz w:val="22"/>
          <w:szCs w:val="22"/>
          <w:lang w:val="en-US"/>
        </w:rPr>
        <w:t xml:space="preserve"> Currently, around 80% of female inmates are imprisoned on drug charges.</w:t>
      </w:r>
      <w:r>
        <w:rPr>
          <w:rStyle w:val="FootnoteReference"/>
          <w:sz w:val="22"/>
          <w:szCs w:val="22"/>
          <w:lang w:val="en-US"/>
        </w:rPr>
        <w:footnoteReference w:id="96"/>
      </w:r>
      <w:r>
        <w:rPr>
          <w:sz w:val="22"/>
          <w:szCs w:val="22"/>
          <w:lang w:val="en-US"/>
        </w:rPr>
        <w:t xml:space="preserve"> </w:t>
      </w:r>
    </w:p>
    <w:p w14:paraId="55756F96" w14:textId="77777777" w:rsidR="00D2799B" w:rsidRDefault="00D2799B" w:rsidP="00D2799B">
      <w:pPr>
        <w:rPr>
          <w:sz w:val="22"/>
          <w:szCs w:val="22"/>
          <w:lang w:val="en-US"/>
        </w:rPr>
      </w:pPr>
    </w:p>
    <w:p w14:paraId="1546BB1D" w14:textId="77777777" w:rsidR="00D2799B" w:rsidRPr="00362F5D" w:rsidRDefault="00D2799B" w:rsidP="00D2799B">
      <w:pPr>
        <w:pStyle w:val="Heading2"/>
        <w:numPr>
          <w:ilvl w:val="1"/>
          <w:numId w:val="30"/>
        </w:numPr>
        <w:rPr>
          <w:rFonts w:asciiTheme="minorHAnsi" w:hAnsiTheme="minorHAnsi" w:cstheme="minorHAnsi"/>
          <w:b/>
          <w:sz w:val="22"/>
          <w:szCs w:val="22"/>
          <w:lang w:val="en-US"/>
        </w:rPr>
      </w:pPr>
      <w:bookmarkStart w:id="34" w:name="_Toc13747285"/>
      <w:r w:rsidRPr="00362F5D">
        <w:rPr>
          <w:rFonts w:asciiTheme="minorHAnsi" w:hAnsiTheme="minorHAnsi" w:cstheme="minorHAnsi"/>
          <w:b/>
          <w:color w:val="000000" w:themeColor="text1"/>
          <w:sz w:val="22"/>
          <w:szCs w:val="22"/>
          <w:lang w:val="en-US"/>
        </w:rPr>
        <w:t>Corruption leads to serious human rights abuses against female defendants</w:t>
      </w:r>
      <w:bookmarkEnd w:id="34"/>
      <w:r w:rsidRPr="00362F5D">
        <w:rPr>
          <w:rFonts w:asciiTheme="minorHAnsi" w:hAnsiTheme="minorHAnsi" w:cstheme="minorHAnsi"/>
          <w:b/>
          <w:sz w:val="22"/>
          <w:szCs w:val="22"/>
          <w:lang w:val="en-US"/>
        </w:rPr>
        <w:tab/>
      </w:r>
    </w:p>
    <w:p w14:paraId="55851768" w14:textId="77777777" w:rsidR="00D2799B" w:rsidRDefault="00D2799B" w:rsidP="00D2799B">
      <w:pPr>
        <w:pStyle w:val="ListParagraph"/>
        <w:numPr>
          <w:ilvl w:val="2"/>
          <w:numId w:val="30"/>
        </w:numPr>
        <w:spacing w:after="120" w:line="276" w:lineRule="auto"/>
        <w:ind w:left="567" w:hanging="567"/>
        <w:jc w:val="both"/>
        <w:rPr>
          <w:sz w:val="22"/>
          <w:szCs w:val="22"/>
          <w:lang w:val="en-US"/>
        </w:rPr>
      </w:pPr>
      <w:r>
        <w:rPr>
          <w:sz w:val="22"/>
          <w:szCs w:val="22"/>
          <w:lang w:val="en-US"/>
        </w:rPr>
        <w:t>R</w:t>
      </w:r>
      <w:r w:rsidRPr="004734EB">
        <w:rPr>
          <w:sz w:val="22"/>
          <w:szCs w:val="22"/>
          <w:lang w:val="en-US"/>
        </w:rPr>
        <w:t xml:space="preserve">esearch </w:t>
      </w:r>
      <w:r>
        <w:rPr>
          <w:sz w:val="22"/>
          <w:szCs w:val="22"/>
          <w:lang w:val="en-US"/>
        </w:rPr>
        <w:t xml:space="preserve">has shown </w:t>
      </w:r>
      <w:r w:rsidRPr="004734EB">
        <w:rPr>
          <w:sz w:val="22"/>
          <w:szCs w:val="22"/>
          <w:lang w:val="en-US"/>
        </w:rPr>
        <w:t>that a number of women convicted of homicide in Cambodia reported being forced to sign confessions</w:t>
      </w:r>
      <w:r>
        <w:rPr>
          <w:sz w:val="22"/>
          <w:szCs w:val="22"/>
          <w:lang w:val="en-US"/>
        </w:rPr>
        <w:t>,</w:t>
      </w:r>
      <w:r w:rsidRPr="004734EB">
        <w:rPr>
          <w:rStyle w:val="FootnoteReference"/>
          <w:sz w:val="22"/>
          <w:szCs w:val="22"/>
          <w:lang w:val="en-US"/>
        </w:rPr>
        <w:footnoteReference w:id="97"/>
      </w:r>
      <w:r>
        <w:rPr>
          <w:sz w:val="22"/>
          <w:szCs w:val="22"/>
          <w:lang w:val="en-US"/>
        </w:rPr>
        <w:t xml:space="preserve"> directly violating Article 38 of the Cambodian Constitution.</w:t>
      </w:r>
      <w:r w:rsidRPr="004734EB">
        <w:rPr>
          <w:sz w:val="22"/>
          <w:szCs w:val="22"/>
          <w:lang w:val="en-US"/>
        </w:rPr>
        <w:t xml:space="preserve"> Few of the women interviewed were deemed “primary offenders” of the violent crimes for which they were convicted, with most claiming culpability through association with male partners or relatives.</w:t>
      </w:r>
      <w:r w:rsidRPr="004734EB">
        <w:rPr>
          <w:rStyle w:val="FootnoteReference"/>
          <w:sz w:val="22"/>
          <w:szCs w:val="22"/>
          <w:lang w:val="en-US"/>
        </w:rPr>
        <w:footnoteReference w:id="98"/>
      </w:r>
      <w:r w:rsidRPr="004734EB">
        <w:rPr>
          <w:sz w:val="22"/>
          <w:szCs w:val="22"/>
          <w:lang w:val="en-US"/>
        </w:rPr>
        <w:t xml:space="preserve"> The vast majority claimed they were “intimidated, threatened or assaulted during police questioning”.</w:t>
      </w:r>
      <w:r w:rsidRPr="004734EB">
        <w:rPr>
          <w:rStyle w:val="FootnoteReference"/>
          <w:sz w:val="22"/>
          <w:szCs w:val="22"/>
          <w:lang w:val="en-US"/>
        </w:rPr>
        <w:footnoteReference w:id="99"/>
      </w:r>
    </w:p>
    <w:p w14:paraId="6DDFE2BF" w14:textId="77777777" w:rsidR="00D2799B" w:rsidRPr="004734EB" w:rsidRDefault="00D2799B" w:rsidP="00D2799B">
      <w:pPr>
        <w:pStyle w:val="ListParagraph"/>
        <w:spacing w:after="120" w:line="276" w:lineRule="auto"/>
        <w:ind w:left="567"/>
        <w:jc w:val="both"/>
        <w:rPr>
          <w:sz w:val="22"/>
          <w:szCs w:val="22"/>
          <w:lang w:val="en-US"/>
        </w:rPr>
      </w:pPr>
    </w:p>
    <w:p w14:paraId="410A9DCA" w14:textId="77777777" w:rsidR="00D2799B" w:rsidRPr="004734EB" w:rsidRDefault="00D2799B" w:rsidP="00D2799B">
      <w:pPr>
        <w:pStyle w:val="ListParagraph"/>
        <w:numPr>
          <w:ilvl w:val="2"/>
          <w:numId w:val="30"/>
        </w:numPr>
        <w:spacing w:after="120" w:line="276" w:lineRule="auto"/>
        <w:ind w:left="567" w:hanging="567"/>
        <w:jc w:val="both"/>
        <w:rPr>
          <w:sz w:val="22"/>
          <w:szCs w:val="22"/>
          <w:lang w:val="en-US"/>
        </w:rPr>
      </w:pPr>
      <w:r w:rsidRPr="004734EB">
        <w:rPr>
          <w:sz w:val="22"/>
          <w:szCs w:val="22"/>
          <w:lang w:val="en-US"/>
        </w:rPr>
        <w:t>Guards demand bribes</w:t>
      </w:r>
      <w:r>
        <w:rPr>
          <w:sz w:val="22"/>
          <w:szCs w:val="22"/>
          <w:lang w:val="en-US"/>
        </w:rPr>
        <w:t xml:space="preserve"> in prison</w:t>
      </w:r>
      <w:r w:rsidRPr="004734EB">
        <w:rPr>
          <w:sz w:val="22"/>
          <w:szCs w:val="22"/>
          <w:lang w:val="en-US"/>
        </w:rPr>
        <w:t xml:space="preserve"> for even the most basic provisions, and family members are required to pay for visitation rights.</w:t>
      </w:r>
      <w:r w:rsidRPr="004734EB">
        <w:rPr>
          <w:rStyle w:val="FootnoteReference"/>
          <w:sz w:val="22"/>
          <w:szCs w:val="22"/>
          <w:lang w:val="en-US"/>
        </w:rPr>
        <w:footnoteReference w:id="100"/>
      </w:r>
      <w:r w:rsidRPr="004734EB">
        <w:rPr>
          <w:sz w:val="22"/>
          <w:szCs w:val="22"/>
          <w:lang w:val="en-US"/>
        </w:rPr>
        <w:t xml:space="preserve"> Some female prisoners are subject to sexual abuse and forced labor. In December 2015, 32 prison officials submitted a complaint to the Prison Department about Tin Sovanny, Rattankiri’s provincial prison director, whom they claimed forced female prisoners to have sex with him hundreds of times, and forced them to work in his </w:t>
      </w:r>
      <w:r w:rsidRPr="004734EB">
        <w:rPr>
          <w:sz w:val="22"/>
          <w:szCs w:val="22"/>
          <w:lang w:val="en-US"/>
        </w:rPr>
        <w:lastRenderedPageBreak/>
        <w:t>friends’ homes.</w:t>
      </w:r>
      <w:r w:rsidRPr="004734EB">
        <w:rPr>
          <w:rStyle w:val="FootnoteReference"/>
          <w:sz w:val="22"/>
          <w:szCs w:val="22"/>
          <w:lang w:val="en-US"/>
        </w:rPr>
        <w:footnoteReference w:id="101"/>
      </w:r>
      <w:r w:rsidRPr="004734EB">
        <w:rPr>
          <w:sz w:val="22"/>
          <w:szCs w:val="22"/>
          <w:lang w:val="en-US"/>
        </w:rPr>
        <w:t xml:space="preserve"> Tin Sovanny was later cleared by the Prison Department and the officials who signed the complaint were either moved to other prisons or fired.</w:t>
      </w:r>
      <w:r w:rsidRPr="004734EB">
        <w:rPr>
          <w:rStyle w:val="FootnoteReference"/>
          <w:sz w:val="22"/>
          <w:szCs w:val="22"/>
          <w:lang w:val="en-US"/>
        </w:rPr>
        <w:footnoteReference w:id="102"/>
      </w:r>
    </w:p>
    <w:p w14:paraId="4F543782" w14:textId="77777777" w:rsidR="00D2799B" w:rsidRDefault="00D2799B" w:rsidP="00D2799B">
      <w:pPr>
        <w:pStyle w:val="ListParagraph"/>
        <w:spacing w:after="120" w:line="276" w:lineRule="auto"/>
        <w:ind w:left="567"/>
        <w:jc w:val="both"/>
        <w:rPr>
          <w:sz w:val="22"/>
          <w:szCs w:val="22"/>
          <w:lang w:val="en-US"/>
        </w:rPr>
      </w:pPr>
    </w:p>
    <w:p w14:paraId="6CE249FE" w14:textId="77777777" w:rsidR="00D2799B" w:rsidRPr="00362F5D" w:rsidRDefault="00D2799B" w:rsidP="00D2799B">
      <w:pPr>
        <w:pStyle w:val="Heading2"/>
        <w:numPr>
          <w:ilvl w:val="1"/>
          <w:numId w:val="30"/>
        </w:numPr>
        <w:rPr>
          <w:rFonts w:asciiTheme="minorHAnsi" w:hAnsiTheme="minorHAnsi" w:cstheme="minorHAnsi"/>
          <w:b/>
          <w:sz w:val="22"/>
          <w:szCs w:val="22"/>
          <w:lang w:val="en-US"/>
        </w:rPr>
      </w:pPr>
      <w:bookmarkStart w:id="35" w:name="_Toc13747286"/>
      <w:r w:rsidRPr="00362F5D">
        <w:rPr>
          <w:rFonts w:asciiTheme="minorHAnsi" w:hAnsiTheme="minorHAnsi" w:cstheme="minorHAnsi"/>
          <w:b/>
          <w:color w:val="000000" w:themeColor="text1"/>
          <w:sz w:val="22"/>
          <w:szCs w:val="22"/>
          <w:lang w:val="en-US"/>
        </w:rPr>
        <w:t>The unnecessary incarceration of mothers and pregnant women has devastating effects</w:t>
      </w:r>
      <w:bookmarkEnd w:id="35"/>
    </w:p>
    <w:p w14:paraId="403D9853" w14:textId="77777777" w:rsidR="00D2799B" w:rsidRDefault="00D2799B" w:rsidP="00D2799B">
      <w:pPr>
        <w:pStyle w:val="ListParagraph"/>
        <w:numPr>
          <w:ilvl w:val="2"/>
          <w:numId w:val="30"/>
        </w:numPr>
        <w:spacing w:after="120" w:line="276" w:lineRule="auto"/>
        <w:ind w:left="567" w:hanging="567"/>
        <w:jc w:val="both"/>
        <w:rPr>
          <w:sz w:val="22"/>
          <w:szCs w:val="22"/>
          <w:lang w:val="en-US"/>
        </w:rPr>
      </w:pPr>
      <w:r w:rsidRPr="004734EB">
        <w:rPr>
          <w:sz w:val="22"/>
          <w:szCs w:val="22"/>
          <w:lang w:val="en-US"/>
        </w:rPr>
        <w:t>Rates of pre-trial detention in Cambodian prisons are exceptionally high, particularly among women and juveniles</w:t>
      </w:r>
      <w:r>
        <w:rPr>
          <w:sz w:val="22"/>
          <w:szCs w:val="22"/>
          <w:lang w:val="en-US"/>
        </w:rPr>
        <w:t>.</w:t>
      </w:r>
      <w:r w:rsidRPr="004734EB">
        <w:rPr>
          <w:rStyle w:val="FootnoteReference"/>
          <w:sz w:val="22"/>
          <w:szCs w:val="22"/>
          <w:lang w:val="en-US"/>
        </w:rPr>
        <w:footnoteReference w:id="103"/>
      </w:r>
      <w:r w:rsidRPr="004734EB">
        <w:rPr>
          <w:sz w:val="22"/>
          <w:szCs w:val="22"/>
          <w:lang w:val="en-US"/>
        </w:rPr>
        <w:t xml:space="preserve"> This contravenes</w:t>
      </w:r>
      <w:r>
        <w:rPr>
          <w:sz w:val="22"/>
          <w:szCs w:val="22"/>
          <w:lang w:val="en-US"/>
        </w:rPr>
        <w:t xml:space="preserve"> not only the </w:t>
      </w:r>
      <w:r w:rsidRPr="004734EB">
        <w:rPr>
          <w:sz w:val="22"/>
          <w:szCs w:val="22"/>
          <w:lang w:val="en-US"/>
        </w:rPr>
        <w:t>recommendation</w:t>
      </w:r>
      <w:r>
        <w:rPr>
          <w:sz w:val="22"/>
          <w:szCs w:val="22"/>
          <w:lang w:val="en-US"/>
        </w:rPr>
        <w:t xml:space="preserve"> of the CEDAW Committee</w:t>
      </w:r>
      <w:r w:rsidRPr="004734EB">
        <w:rPr>
          <w:sz w:val="22"/>
          <w:szCs w:val="22"/>
          <w:lang w:val="en-US"/>
        </w:rPr>
        <w:t xml:space="preserve"> to use such detention </w:t>
      </w:r>
      <w:r>
        <w:rPr>
          <w:sz w:val="22"/>
          <w:szCs w:val="22"/>
          <w:lang w:val="en-US"/>
        </w:rPr>
        <w:t>solely</w:t>
      </w:r>
      <w:r w:rsidRPr="004734EB">
        <w:rPr>
          <w:sz w:val="22"/>
          <w:szCs w:val="22"/>
          <w:lang w:val="en-US"/>
        </w:rPr>
        <w:t xml:space="preserve"> as a last resort</w:t>
      </w:r>
      <w:r>
        <w:rPr>
          <w:sz w:val="22"/>
          <w:szCs w:val="22"/>
          <w:lang w:val="en-US"/>
        </w:rPr>
        <w:t>, but also Article 203 of the Cambodian Code of Criminal Procedure, which stipulates that “in principle, the charged person shall remain at liberty”.</w:t>
      </w:r>
      <w:r w:rsidRPr="004734EB">
        <w:rPr>
          <w:rStyle w:val="FootnoteReference"/>
          <w:sz w:val="22"/>
          <w:szCs w:val="22"/>
          <w:lang w:val="en-US"/>
        </w:rPr>
        <w:footnoteReference w:id="104"/>
      </w:r>
      <w:r w:rsidRPr="004734EB">
        <w:rPr>
          <w:sz w:val="22"/>
          <w:szCs w:val="22"/>
          <w:lang w:val="en-US"/>
        </w:rPr>
        <w:t xml:space="preserve"> Out of 76 cases with woman defendants monitored at the Court of Appeal between November 2016 and June 2018 (involving a total of 97 women), 53% were held in pre-trial detention.</w:t>
      </w:r>
      <w:r w:rsidRPr="004734EB">
        <w:rPr>
          <w:rStyle w:val="FootnoteReference"/>
          <w:sz w:val="22"/>
          <w:szCs w:val="22"/>
          <w:lang w:val="en-US"/>
        </w:rPr>
        <w:footnoteReference w:id="105"/>
      </w:r>
      <w:r w:rsidRPr="004734EB">
        <w:rPr>
          <w:sz w:val="22"/>
          <w:szCs w:val="22"/>
          <w:lang w:val="en-US"/>
        </w:rPr>
        <w:t xml:space="preserve"> </w:t>
      </w:r>
    </w:p>
    <w:p w14:paraId="16097628" w14:textId="77777777" w:rsidR="00D2799B" w:rsidRDefault="00D2799B" w:rsidP="00D2799B">
      <w:pPr>
        <w:pStyle w:val="ListParagraph"/>
        <w:spacing w:after="120" w:line="276" w:lineRule="auto"/>
        <w:ind w:left="567"/>
        <w:jc w:val="both"/>
        <w:rPr>
          <w:sz w:val="22"/>
          <w:szCs w:val="22"/>
          <w:lang w:val="en-US"/>
        </w:rPr>
      </w:pPr>
    </w:p>
    <w:p w14:paraId="04069362" w14:textId="77777777" w:rsidR="00D2799B" w:rsidRPr="00E22E6B" w:rsidRDefault="00D2799B" w:rsidP="00D2799B">
      <w:pPr>
        <w:pStyle w:val="ListParagraph"/>
        <w:numPr>
          <w:ilvl w:val="2"/>
          <w:numId w:val="30"/>
        </w:numPr>
        <w:spacing w:after="120" w:line="276" w:lineRule="auto"/>
        <w:ind w:left="567" w:hanging="567"/>
        <w:jc w:val="both"/>
        <w:rPr>
          <w:sz w:val="22"/>
          <w:szCs w:val="22"/>
          <w:lang w:val="en-US"/>
        </w:rPr>
      </w:pPr>
      <w:r w:rsidRPr="00E22E6B">
        <w:rPr>
          <w:sz w:val="22"/>
          <w:szCs w:val="22"/>
          <w:lang w:val="en-US"/>
        </w:rPr>
        <w:t>Contrary to international standards,</w:t>
      </w:r>
      <w:r w:rsidRPr="00D61FB4">
        <w:rPr>
          <w:rStyle w:val="FootnoteReference"/>
          <w:sz w:val="22"/>
          <w:szCs w:val="22"/>
          <w:lang w:val="en-US"/>
        </w:rPr>
        <w:footnoteReference w:id="106"/>
      </w:r>
      <w:r w:rsidRPr="00E22E6B">
        <w:rPr>
          <w:sz w:val="22"/>
          <w:szCs w:val="22"/>
          <w:lang w:val="en-US"/>
        </w:rPr>
        <w:t xml:space="preserve"> Cambodian courts do not take into account women’s specific situations when making decisions about detention.</w:t>
      </w:r>
      <w:r w:rsidRPr="00D61FB4">
        <w:rPr>
          <w:rStyle w:val="FootnoteReference"/>
          <w:sz w:val="22"/>
          <w:szCs w:val="22"/>
          <w:lang w:val="en-US"/>
        </w:rPr>
        <w:footnoteReference w:id="107"/>
      </w:r>
      <w:r w:rsidRPr="00E22E6B">
        <w:rPr>
          <w:sz w:val="22"/>
          <w:szCs w:val="22"/>
          <w:lang w:val="en-US"/>
        </w:rPr>
        <w:t xml:space="preserve"> Mothers and pregnant women are incarcerated unnecessarily, with devastating effects for families; thousands of children are left without caregivers, or are imprisoned with their mothers who have no alternative means of housing them.</w:t>
      </w:r>
      <w:r w:rsidRPr="00D61FB4">
        <w:rPr>
          <w:rStyle w:val="FootnoteReference"/>
          <w:sz w:val="22"/>
          <w:szCs w:val="22"/>
          <w:lang w:val="en-US"/>
        </w:rPr>
        <w:footnoteReference w:id="108"/>
      </w:r>
      <w:r w:rsidRPr="00E22E6B">
        <w:rPr>
          <w:sz w:val="22"/>
          <w:szCs w:val="22"/>
          <w:lang w:val="en-US"/>
        </w:rPr>
        <w:t xml:space="preserve"> According to a recent report by LICADHO, between 2015 and 2018 the number of children in detention with their mothers rose from 30 to 138.</w:t>
      </w:r>
      <w:r w:rsidRPr="00D61FB4">
        <w:rPr>
          <w:rStyle w:val="FootnoteReference"/>
          <w:sz w:val="22"/>
          <w:szCs w:val="22"/>
          <w:lang w:val="en-US"/>
        </w:rPr>
        <w:footnoteReference w:id="109"/>
      </w:r>
      <w:r w:rsidRPr="00E22E6B">
        <w:rPr>
          <w:sz w:val="22"/>
          <w:szCs w:val="22"/>
          <w:lang w:val="en-US"/>
        </w:rPr>
        <w:t xml:space="preserve"> Although the actual numbers are unknown, the latest estimate is that there are between 135 and 170 mothers living in prisons with their children and 50 pregnant women currently detained.</w:t>
      </w:r>
      <w:r w:rsidRPr="00D61FB4">
        <w:rPr>
          <w:rStyle w:val="FootnoteReference"/>
          <w:sz w:val="22"/>
          <w:szCs w:val="22"/>
          <w:lang w:val="en-US"/>
        </w:rPr>
        <w:footnoteReference w:id="110"/>
      </w:r>
      <w:r w:rsidRPr="00E22E6B">
        <w:rPr>
          <w:sz w:val="22"/>
          <w:szCs w:val="22"/>
          <w:lang w:val="en-US"/>
        </w:rPr>
        <w:t xml:space="preserve"> </w:t>
      </w:r>
      <w:r>
        <w:rPr>
          <w:sz w:val="22"/>
          <w:szCs w:val="22"/>
          <w:lang w:val="en-US"/>
        </w:rPr>
        <w:t xml:space="preserve">Adult </w:t>
      </w:r>
      <w:r w:rsidRPr="00E22E6B">
        <w:rPr>
          <w:sz w:val="22"/>
          <w:szCs w:val="22"/>
          <w:lang w:val="en-US"/>
        </w:rPr>
        <w:t>women prisoners are housed in the same facilities as juvenile</w:t>
      </w:r>
      <w:r>
        <w:rPr>
          <w:sz w:val="22"/>
          <w:szCs w:val="22"/>
          <w:lang w:val="en-US"/>
        </w:rPr>
        <w:t>s, and women being held in pre-trial detention are detained alongside women who have been finally convicted of crimes</w:t>
      </w:r>
      <w:r w:rsidRPr="00E22E6B">
        <w:rPr>
          <w:sz w:val="22"/>
          <w:szCs w:val="22"/>
          <w:lang w:val="en-US"/>
        </w:rPr>
        <w:t>.</w:t>
      </w:r>
      <w:r>
        <w:rPr>
          <w:rStyle w:val="FootnoteReference"/>
          <w:sz w:val="22"/>
          <w:szCs w:val="22"/>
          <w:lang w:val="en-US"/>
        </w:rPr>
        <w:footnoteReference w:id="111"/>
      </w:r>
      <w:r w:rsidRPr="00E22E6B">
        <w:rPr>
          <w:sz w:val="22"/>
          <w:szCs w:val="22"/>
          <w:lang w:val="en-US"/>
        </w:rPr>
        <w:t xml:space="preserve"> These </w:t>
      </w:r>
      <w:r w:rsidRPr="00E22E6B">
        <w:rPr>
          <w:sz w:val="22"/>
          <w:szCs w:val="22"/>
          <w:lang w:val="en-US"/>
        </w:rPr>
        <w:lastRenderedPageBreak/>
        <w:t>conditions are in violation of Rule 8 of the UN’s Standard Minimum Rules for the Treatment of Prisoners.</w:t>
      </w:r>
      <w:r>
        <w:rPr>
          <w:sz w:val="22"/>
          <w:szCs w:val="22"/>
          <w:lang w:val="en-US"/>
        </w:rPr>
        <w:t xml:space="preserve"> </w:t>
      </w:r>
      <w:r w:rsidRPr="00E22E6B">
        <w:rPr>
          <w:sz w:val="22"/>
          <w:szCs w:val="22"/>
          <w:lang w:val="en-US"/>
        </w:rPr>
        <w:t>Such issues are particularly concerning given the squalid conditions of Cambodian prisons, their unsafe social environments, and the insufficient provision of essential services</w:t>
      </w:r>
      <w:r>
        <w:rPr>
          <w:sz w:val="22"/>
          <w:szCs w:val="22"/>
          <w:lang w:val="en-US"/>
        </w:rPr>
        <w:t xml:space="preserve"> in prisons</w:t>
      </w:r>
      <w:r w:rsidRPr="00E22E6B">
        <w:rPr>
          <w:sz w:val="22"/>
          <w:szCs w:val="22"/>
          <w:lang w:val="en-US"/>
        </w:rPr>
        <w:t>.</w:t>
      </w:r>
      <w:r w:rsidRPr="00D61FB4">
        <w:rPr>
          <w:rStyle w:val="FootnoteReference"/>
          <w:sz w:val="22"/>
          <w:szCs w:val="22"/>
          <w:lang w:val="en-US"/>
        </w:rPr>
        <w:footnoteReference w:id="112"/>
      </w:r>
      <w:r w:rsidRPr="00E22E6B">
        <w:rPr>
          <w:sz w:val="22"/>
          <w:szCs w:val="22"/>
          <w:lang w:val="en-US"/>
        </w:rPr>
        <w:t xml:space="preserve"> </w:t>
      </w:r>
    </w:p>
    <w:p w14:paraId="0B50C895" w14:textId="77777777" w:rsidR="00D2799B" w:rsidRDefault="00D2799B" w:rsidP="00D2799B">
      <w:pPr>
        <w:pStyle w:val="ListParagraph"/>
        <w:spacing w:after="120" w:line="276" w:lineRule="auto"/>
        <w:ind w:left="567"/>
        <w:jc w:val="both"/>
        <w:rPr>
          <w:sz w:val="22"/>
          <w:szCs w:val="22"/>
          <w:lang w:val="en-US"/>
        </w:rPr>
      </w:pPr>
    </w:p>
    <w:p w14:paraId="68DFB4C3" w14:textId="6F0CC014" w:rsidR="00D2799B" w:rsidRPr="00F4119D" w:rsidRDefault="00D2799B" w:rsidP="00D2799B">
      <w:pPr>
        <w:pStyle w:val="ListParagraph"/>
        <w:numPr>
          <w:ilvl w:val="2"/>
          <w:numId w:val="30"/>
        </w:numPr>
        <w:spacing w:after="120" w:line="276" w:lineRule="auto"/>
        <w:ind w:left="567" w:hanging="567"/>
        <w:jc w:val="both"/>
        <w:rPr>
          <w:sz w:val="22"/>
          <w:szCs w:val="22"/>
          <w:lang w:val="en-US"/>
        </w:rPr>
      </w:pPr>
      <w:r w:rsidRPr="00F05A6F">
        <w:rPr>
          <w:sz w:val="22"/>
          <w:szCs w:val="22"/>
          <w:lang w:val="en-US"/>
        </w:rPr>
        <w:t xml:space="preserve">Research </w:t>
      </w:r>
      <w:r>
        <w:rPr>
          <w:sz w:val="22"/>
          <w:szCs w:val="22"/>
          <w:lang w:val="en-US"/>
        </w:rPr>
        <w:t xml:space="preserve">has </w:t>
      </w:r>
      <w:r w:rsidRPr="00F05A6F">
        <w:rPr>
          <w:sz w:val="22"/>
          <w:szCs w:val="22"/>
          <w:lang w:val="en-US"/>
        </w:rPr>
        <w:t xml:space="preserve">shown that the Cambodian </w:t>
      </w:r>
      <w:r>
        <w:rPr>
          <w:sz w:val="22"/>
          <w:szCs w:val="22"/>
          <w:lang w:val="en-US"/>
        </w:rPr>
        <w:t xml:space="preserve">prison </w:t>
      </w:r>
      <w:r w:rsidRPr="00F05A6F">
        <w:rPr>
          <w:sz w:val="22"/>
          <w:szCs w:val="22"/>
          <w:lang w:val="en-US"/>
        </w:rPr>
        <w:t xml:space="preserve">system is incapable of providing for </w:t>
      </w:r>
      <w:r>
        <w:rPr>
          <w:sz w:val="22"/>
          <w:szCs w:val="22"/>
          <w:lang w:val="en-US"/>
        </w:rPr>
        <w:t xml:space="preserve">the </w:t>
      </w:r>
      <w:r w:rsidRPr="00F05A6F">
        <w:rPr>
          <w:sz w:val="22"/>
          <w:szCs w:val="22"/>
          <w:lang w:val="en-US"/>
        </w:rPr>
        <w:t>most basic needs of children, including education, medical care, proper nutrition, and social interaction.</w:t>
      </w:r>
      <w:r>
        <w:rPr>
          <w:rStyle w:val="FootnoteReference"/>
          <w:sz w:val="22"/>
          <w:szCs w:val="22"/>
          <w:lang w:val="en-US"/>
        </w:rPr>
        <w:footnoteReference w:id="113"/>
      </w:r>
      <w:r w:rsidRPr="00F05A6F">
        <w:rPr>
          <w:sz w:val="22"/>
          <w:szCs w:val="22"/>
          <w:lang w:val="en-US"/>
        </w:rPr>
        <w:t xml:space="preserve"> Young children are susceptible to potentially lifelong negative consequences because of their time spen</w:t>
      </w:r>
      <w:r>
        <w:rPr>
          <w:sz w:val="22"/>
          <w:szCs w:val="22"/>
          <w:lang w:val="en-US"/>
        </w:rPr>
        <w:t>t</w:t>
      </w:r>
      <w:r w:rsidRPr="00F05A6F">
        <w:rPr>
          <w:sz w:val="22"/>
          <w:szCs w:val="22"/>
          <w:lang w:val="en-US"/>
        </w:rPr>
        <w:t xml:space="preserve"> behind bars.</w:t>
      </w:r>
      <w:r>
        <w:rPr>
          <w:rStyle w:val="FootnoteReference"/>
          <w:sz w:val="22"/>
          <w:szCs w:val="22"/>
          <w:lang w:val="en-US"/>
        </w:rPr>
        <w:footnoteReference w:id="114"/>
      </w:r>
      <w:r w:rsidRPr="00F05A6F">
        <w:rPr>
          <w:sz w:val="22"/>
          <w:szCs w:val="22"/>
          <w:lang w:val="en-US"/>
        </w:rPr>
        <w:t xml:space="preserve"> In addition, pregnant women are not provided with pre- or postnatal care, and are in some occasions forced to return to prison within only one day after giving birth.</w:t>
      </w:r>
      <w:r>
        <w:rPr>
          <w:rStyle w:val="FootnoteReference"/>
          <w:sz w:val="22"/>
          <w:szCs w:val="22"/>
          <w:lang w:val="en-US"/>
        </w:rPr>
        <w:footnoteReference w:id="115"/>
      </w:r>
      <w:r w:rsidRPr="00F05A6F">
        <w:rPr>
          <w:sz w:val="22"/>
          <w:szCs w:val="22"/>
          <w:lang w:val="en-US"/>
        </w:rPr>
        <w:t xml:space="preserve"> Although statements made by Prime</w:t>
      </w:r>
      <w:r w:rsidRPr="00941964">
        <w:rPr>
          <w:sz w:val="22"/>
          <w:szCs w:val="22"/>
          <w:lang w:val="en-US"/>
        </w:rPr>
        <w:t xml:space="preserve"> Minister </w:t>
      </w:r>
      <w:r>
        <w:rPr>
          <w:sz w:val="22"/>
          <w:szCs w:val="22"/>
          <w:lang w:val="en-US"/>
        </w:rPr>
        <w:t xml:space="preserve">Hun Sen </w:t>
      </w:r>
      <w:r w:rsidRPr="00F05A6F">
        <w:rPr>
          <w:sz w:val="22"/>
          <w:szCs w:val="22"/>
          <w:lang w:val="en-US"/>
        </w:rPr>
        <w:t>encourag</w:t>
      </w:r>
      <w:r>
        <w:rPr>
          <w:sz w:val="22"/>
          <w:szCs w:val="22"/>
          <w:lang w:val="en-US"/>
        </w:rPr>
        <w:t>ing</w:t>
      </w:r>
      <w:r w:rsidRPr="00941964">
        <w:rPr>
          <w:sz w:val="22"/>
          <w:szCs w:val="22"/>
          <w:lang w:val="en-US"/>
        </w:rPr>
        <w:t xml:space="preserve"> more compassion in sentencing women with children and call</w:t>
      </w:r>
      <w:r>
        <w:rPr>
          <w:sz w:val="22"/>
          <w:szCs w:val="22"/>
          <w:lang w:val="en-US"/>
        </w:rPr>
        <w:t xml:space="preserve">ing </w:t>
      </w:r>
      <w:r w:rsidRPr="00941964">
        <w:rPr>
          <w:sz w:val="22"/>
          <w:szCs w:val="22"/>
          <w:lang w:val="en-US"/>
        </w:rPr>
        <w:t xml:space="preserve">on </w:t>
      </w:r>
      <w:r>
        <w:rPr>
          <w:sz w:val="22"/>
          <w:szCs w:val="22"/>
          <w:lang w:val="en-US"/>
        </w:rPr>
        <w:t xml:space="preserve">government </w:t>
      </w:r>
      <w:r w:rsidRPr="00941964">
        <w:rPr>
          <w:sz w:val="22"/>
          <w:szCs w:val="22"/>
          <w:lang w:val="en-US"/>
        </w:rPr>
        <w:t xml:space="preserve">ministries to accelerate trial procedures and reduce the sentences </w:t>
      </w:r>
      <w:r w:rsidRPr="00F05A6F">
        <w:rPr>
          <w:sz w:val="22"/>
          <w:szCs w:val="22"/>
          <w:lang w:val="en-US"/>
        </w:rPr>
        <w:t>of</w:t>
      </w:r>
      <w:r w:rsidRPr="00941964">
        <w:rPr>
          <w:sz w:val="22"/>
          <w:szCs w:val="22"/>
          <w:lang w:val="en-US"/>
        </w:rPr>
        <w:t xml:space="preserve"> female detainees who are single mothers</w:t>
      </w:r>
      <w:r w:rsidRPr="00F05A6F">
        <w:rPr>
          <w:sz w:val="22"/>
          <w:szCs w:val="22"/>
          <w:lang w:val="en-US"/>
        </w:rPr>
        <w:t xml:space="preserve"> </w:t>
      </w:r>
      <w:r>
        <w:rPr>
          <w:sz w:val="22"/>
          <w:szCs w:val="22"/>
          <w:lang w:val="en-US"/>
        </w:rPr>
        <w:t>are</w:t>
      </w:r>
      <w:r w:rsidRPr="00F05A6F">
        <w:rPr>
          <w:sz w:val="22"/>
          <w:szCs w:val="22"/>
          <w:lang w:val="en-US"/>
        </w:rPr>
        <w:t xml:space="preserve"> welcomed, it is imperative that the responsible ministries take concrete steps to ensure th</w:t>
      </w:r>
      <w:r>
        <w:rPr>
          <w:sz w:val="22"/>
          <w:szCs w:val="22"/>
          <w:lang w:val="en-US"/>
        </w:rPr>
        <w:t>ese</w:t>
      </w:r>
      <w:r w:rsidRPr="00F05A6F">
        <w:rPr>
          <w:sz w:val="22"/>
          <w:szCs w:val="22"/>
          <w:lang w:val="en-US"/>
        </w:rPr>
        <w:t xml:space="preserve"> outcome</w:t>
      </w:r>
      <w:r>
        <w:rPr>
          <w:sz w:val="22"/>
          <w:szCs w:val="22"/>
          <w:lang w:val="en-US"/>
        </w:rPr>
        <w:t>s</w:t>
      </w:r>
      <w:r w:rsidRPr="00941964">
        <w:rPr>
          <w:sz w:val="22"/>
          <w:szCs w:val="22"/>
          <w:lang w:val="en-US"/>
        </w:rPr>
        <w:t>.</w:t>
      </w:r>
      <w:r>
        <w:rPr>
          <w:rStyle w:val="FootnoteReference"/>
          <w:sz w:val="22"/>
          <w:szCs w:val="22"/>
          <w:lang w:val="en-US"/>
        </w:rPr>
        <w:footnoteReference w:id="116"/>
      </w:r>
    </w:p>
    <w:p w14:paraId="692689EF" w14:textId="77777777" w:rsidR="00D2799B" w:rsidRDefault="00D2799B" w:rsidP="00D2799B">
      <w:pPr>
        <w:pStyle w:val="Heading1"/>
        <w:rPr>
          <w:rFonts w:asciiTheme="minorHAnsi" w:hAnsiTheme="minorHAnsi" w:cstheme="minorHAnsi"/>
          <w:b/>
          <w:color w:val="000000" w:themeColor="text1"/>
          <w:sz w:val="24"/>
          <w:szCs w:val="24"/>
          <w:u w:val="single"/>
          <w:lang w:val="en-US"/>
        </w:rPr>
      </w:pPr>
      <w:bookmarkStart w:id="36" w:name="_Toc13747287"/>
      <w:r w:rsidRPr="00362F5D">
        <w:rPr>
          <w:rFonts w:asciiTheme="minorHAnsi" w:hAnsiTheme="minorHAnsi" w:cstheme="minorHAnsi"/>
          <w:b/>
          <w:color w:val="000000" w:themeColor="text1"/>
          <w:sz w:val="24"/>
          <w:szCs w:val="24"/>
          <w:u w:val="single"/>
          <w:lang w:val="en-US"/>
        </w:rPr>
        <w:t>5. Recommendations</w:t>
      </w:r>
      <w:bookmarkEnd w:id="36"/>
    </w:p>
    <w:p w14:paraId="068681A6" w14:textId="77777777" w:rsidR="00D2799B" w:rsidRPr="00362F5D" w:rsidRDefault="00D2799B" w:rsidP="00D2799B">
      <w:pPr>
        <w:rPr>
          <w:lang w:val="en-US"/>
        </w:rPr>
      </w:pPr>
    </w:p>
    <w:p w14:paraId="71287F64" w14:textId="77777777" w:rsidR="00D2799B" w:rsidRPr="004734EB" w:rsidRDefault="00D2799B" w:rsidP="00D2799B">
      <w:pPr>
        <w:spacing w:after="120" w:line="276" w:lineRule="auto"/>
        <w:jc w:val="both"/>
        <w:rPr>
          <w:sz w:val="22"/>
          <w:szCs w:val="22"/>
          <w:lang w:val="en-US"/>
        </w:rPr>
      </w:pPr>
      <w:r w:rsidRPr="004734EB">
        <w:rPr>
          <w:sz w:val="22"/>
          <w:szCs w:val="22"/>
          <w:lang w:val="en-US"/>
        </w:rPr>
        <w:t xml:space="preserve">By the time of the next CEDAW reporting cycle, we call upon the RGC to: </w:t>
      </w:r>
    </w:p>
    <w:p w14:paraId="39AC011C" w14:textId="77777777" w:rsidR="00D2799B" w:rsidRPr="004734EB" w:rsidRDefault="00D2799B" w:rsidP="00D2799B">
      <w:pPr>
        <w:spacing w:after="120" w:line="276" w:lineRule="auto"/>
        <w:jc w:val="both"/>
        <w:rPr>
          <w:sz w:val="22"/>
          <w:szCs w:val="22"/>
          <w:lang w:val="en-US"/>
        </w:rPr>
      </w:pPr>
      <w:r w:rsidRPr="004734EB">
        <w:rPr>
          <w:b/>
          <w:sz w:val="22"/>
          <w:szCs w:val="22"/>
          <w:lang w:val="en-US"/>
        </w:rPr>
        <w:t>5.1</w:t>
      </w:r>
      <w:r w:rsidRPr="004734EB">
        <w:rPr>
          <w:sz w:val="22"/>
          <w:szCs w:val="22"/>
          <w:lang w:val="en-US"/>
        </w:rPr>
        <w:t xml:space="preserve"> </w:t>
      </w:r>
      <w:r w:rsidRPr="004734EB">
        <w:rPr>
          <w:i/>
          <w:sz w:val="22"/>
          <w:szCs w:val="22"/>
          <w:lang w:val="en-US"/>
        </w:rPr>
        <w:t>Amend the Domestic Violence Law and Criminal Code to comprehensively address the complex and diverse forms of GBV experienced by women in Cambodia.</w:t>
      </w:r>
    </w:p>
    <w:p w14:paraId="16B36AAA" w14:textId="77777777" w:rsidR="00D2799B" w:rsidRPr="004734EB" w:rsidRDefault="00D2799B" w:rsidP="00D2799B">
      <w:pPr>
        <w:spacing w:after="120" w:line="276" w:lineRule="auto"/>
        <w:jc w:val="both"/>
        <w:rPr>
          <w:iCs/>
          <w:sz w:val="22"/>
          <w:szCs w:val="22"/>
          <w:highlight w:val="white"/>
          <w:lang w:val="en-US"/>
        </w:rPr>
      </w:pPr>
      <w:r w:rsidRPr="004734EB">
        <w:rPr>
          <w:b/>
          <w:iCs/>
          <w:sz w:val="22"/>
          <w:szCs w:val="22"/>
          <w:highlight w:val="white"/>
          <w:lang w:val="en-US"/>
        </w:rPr>
        <w:t>5.2</w:t>
      </w:r>
      <w:r w:rsidRPr="004734EB">
        <w:rPr>
          <w:iCs/>
          <w:sz w:val="22"/>
          <w:szCs w:val="22"/>
          <w:highlight w:val="white"/>
          <w:lang w:val="en-US"/>
        </w:rPr>
        <w:t xml:space="preserve"> </w:t>
      </w:r>
      <w:r w:rsidRPr="004734EB">
        <w:rPr>
          <w:i/>
          <w:iCs/>
          <w:sz w:val="22"/>
          <w:szCs w:val="22"/>
          <w:highlight w:val="white"/>
          <w:lang w:val="en-US"/>
        </w:rPr>
        <w:t xml:space="preserve">Adopt legislation incorporating protections for victims of GBV, focusing on respect </w:t>
      </w:r>
      <w:r>
        <w:rPr>
          <w:i/>
          <w:iCs/>
          <w:sz w:val="22"/>
          <w:szCs w:val="22"/>
          <w:highlight w:val="white"/>
          <w:lang w:val="en-US"/>
        </w:rPr>
        <w:t>for</w:t>
      </w:r>
      <w:r w:rsidRPr="004734EB">
        <w:rPr>
          <w:i/>
          <w:iCs/>
          <w:sz w:val="22"/>
          <w:szCs w:val="22"/>
          <w:highlight w:val="white"/>
          <w:lang w:val="en-US"/>
        </w:rPr>
        <w:t xml:space="preserve"> privacy as well psychological support, in compliance with SDG 5.2</w:t>
      </w:r>
      <w:r w:rsidRPr="004734EB">
        <w:rPr>
          <w:i/>
          <w:sz w:val="22"/>
          <w:szCs w:val="22"/>
          <w:lang w:val="en-US"/>
        </w:rPr>
        <w:t>.</w:t>
      </w:r>
    </w:p>
    <w:p w14:paraId="7C0FA6EA" w14:textId="77777777" w:rsidR="00D2799B" w:rsidRPr="004734EB" w:rsidRDefault="00D2799B" w:rsidP="00D2799B">
      <w:pPr>
        <w:spacing w:after="120" w:line="276" w:lineRule="auto"/>
        <w:jc w:val="both"/>
        <w:rPr>
          <w:sz w:val="22"/>
          <w:szCs w:val="22"/>
          <w:lang w:val="en-US"/>
        </w:rPr>
      </w:pPr>
      <w:r w:rsidRPr="004734EB">
        <w:rPr>
          <w:b/>
          <w:sz w:val="22"/>
          <w:szCs w:val="22"/>
          <w:lang w:val="en-US"/>
        </w:rPr>
        <w:t>5.3</w:t>
      </w:r>
      <w:r w:rsidRPr="004734EB">
        <w:rPr>
          <w:sz w:val="22"/>
          <w:szCs w:val="22"/>
          <w:lang w:val="en-US"/>
        </w:rPr>
        <w:t xml:space="preserve"> </w:t>
      </w:r>
      <w:r w:rsidRPr="004734EB">
        <w:rPr>
          <w:i/>
          <w:sz w:val="22"/>
          <w:szCs w:val="22"/>
          <w:lang w:val="en-US"/>
        </w:rPr>
        <w:t>Adopt temporary special measures to ensure equal representation of men and women in the justice sector, particularly among judges, prosecutors and lawyers, in line with article 4 of the Convention.</w:t>
      </w:r>
    </w:p>
    <w:p w14:paraId="7F8350D2" w14:textId="77777777" w:rsidR="00D2799B" w:rsidRPr="004734EB" w:rsidRDefault="00D2799B" w:rsidP="00D2799B">
      <w:pPr>
        <w:spacing w:after="120" w:line="276" w:lineRule="auto"/>
        <w:jc w:val="both"/>
        <w:rPr>
          <w:rFonts w:cstheme="minorHAnsi"/>
          <w:i/>
          <w:iCs/>
          <w:sz w:val="22"/>
          <w:szCs w:val="22"/>
          <w:lang w:val="en-US"/>
        </w:rPr>
      </w:pPr>
      <w:r w:rsidRPr="004734EB">
        <w:rPr>
          <w:b/>
          <w:sz w:val="22"/>
          <w:szCs w:val="22"/>
          <w:lang w:val="en-US"/>
        </w:rPr>
        <w:t>5.</w:t>
      </w:r>
      <w:r w:rsidRPr="004734EB">
        <w:rPr>
          <w:rFonts w:cstheme="minorHAnsi"/>
          <w:b/>
          <w:sz w:val="22"/>
          <w:szCs w:val="22"/>
          <w:lang w:val="en-US"/>
        </w:rPr>
        <w:t>4</w:t>
      </w:r>
      <w:r w:rsidRPr="004734EB">
        <w:rPr>
          <w:rFonts w:cstheme="minorHAnsi"/>
          <w:sz w:val="22"/>
          <w:szCs w:val="22"/>
          <w:lang w:val="en-US"/>
        </w:rPr>
        <w:t xml:space="preserve"> </w:t>
      </w:r>
      <w:r w:rsidRPr="004734EB">
        <w:rPr>
          <w:rFonts w:cstheme="minorHAnsi"/>
          <w:i/>
          <w:sz w:val="22"/>
          <w:szCs w:val="22"/>
          <w:lang w:val="en-US"/>
        </w:rPr>
        <w:t>Take meaningful steps to eliminate discriminatory attitudes towards women in institutions of justice, in line with article 5 of CEDAW</w:t>
      </w:r>
      <w:r w:rsidRPr="004734EB">
        <w:rPr>
          <w:rFonts w:eastAsia="Raleway" w:cstheme="minorHAnsi"/>
          <w:i/>
          <w:iCs/>
          <w:szCs w:val="32"/>
          <w:lang w:val="en-US" w:bidi="km-KH"/>
        </w:rPr>
        <w:t xml:space="preserve">, </w:t>
      </w:r>
      <w:r w:rsidRPr="004734EB">
        <w:rPr>
          <w:rFonts w:eastAsia="Raleway" w:cstheme="minorHAnsi"/>
          <w:i/>
          <w:iCs/>
          <w:sz w:val="22"/>
          <w:szCs w:val="22"/>
          <w:lang w:val="en-US" w:bidi="km-KH"/>
        </w:rPr>
        <w:t>for instance by a</w:t>
      </w:r>
      <w:r w:rsidRPr="004734EB">
        <w:rPr>
          <w:rFonts w:cstheme="minorHAnsi"/>
          <w:i/>
          <w:iCs/>
          <w:sz w:val="22"/>
          <w:szCs w:val="22"/>
          <w:lang w:val="en-US"/>
        </w:rPr>
        <w:t>dequately training judicial actors and law enforcement officials about gender-specific issues, including Sexual Orientation, Gender Identity and Expression and Sex Characteristics, in accordance with SDGs 5.2 and 5.C.</w:t>
      </w:r>
    </w:p>
    <w:p w14:paraId="6BC08531" w14:textId="77777777" w:rsidR="00D2799B" w:rsidRPr="004734EB" w:rsidRDefault="00D2799B" w:rsidP="00D2799B">
      <w:pPr>
        <w:spacing w:after="120" w:line="276" w:lineRule="auto"/>
        <w:jc w:val="both"/>
        <w:rPr>
          <w:i/>
          <w:sz w:val="22"/>
          <w:szCs w:val="22"/>
          <w:highlight w:val="white"/>
          <w:lang w:val="en-US"/>
        </w:rPr>
      </w:pPr>
      <w:r w:rsidRPr="004734EB">
        <w:rPr>
          <w:b/>
          <w:sz w:val="22"/>
          <w:szCs w:val="22"/>
          <w:highlight w:val="white"/>
          <w:lang w:val="en-US"/>
        </w:rPr>
        <w:lastRenderedPageBreak/>
        <w:t>5.5</w:t>
      </w:r>
      <w:r w:rsidRPr="004734EB">
        <w:rPr>
          <w:sz w:val="22"/>
          <w:szCs w:val="22"/>
          <w:highlight w:val="white"/>
          <w:lang w:val="en-US"/>
        </w:rPr>
        <w:t xml:space="preserve"> </w:t>
      </w:r>
      <w:r w:rsidRPr="004734EB">
        <w:rPr>
          <w:i/>
          <w:sz w:val="22"/>
          <w:szCs w:val="22"/>
          <w:highlight w:val="white"/>
          <w:lang w:val="en-US"/>
        </w:rPr>
        <w:t xml:space="preserve">Take all </w:t>
      </w:r>
      <w:r>
        <w:rPr>
          <w:i/>
          <w:sz w:val="22"/>
          <w:szCs w:val="22"/>
          <w:highlight w:val="white"/>
          <w:lang w:val="en-US"/>
        </w:rPr>
        <w:t xml:space="preserve">necessary </w:t>
      </w:r>
      <w:r w:rsidRPr="004734EB">
        <w:rPr>
          <w:i/>
          <w:sz w:val="22"/>
          <w:szCs w:val="22"/>
          <w:highlight w:val="white"/>
          <w:lang w:val="en-US"/>
        </w:rPr>
        <w:t>measures</w:t>
      </w:r>
      <w:r>
        <w:rPr>
          <w:i/>
          <w:sz w:val="22"/>
          <w:szCs w:val="22"/>
          <w:highlight w:val="white"/>
          <w:lang w:val="en-US"/>
        </w:rPr>
        <w:t xml:space="preserve"> </w:t>
      </w:r>
      <w:r w:rsidRPr="004734EB">
        <w:rPr>
          <w:i/>
          <w:sz w:val="22"/>
          <w:szCs w:val="22"/>
          <w:highlight w:val="white"/>
          <w:lang w:val="en-US"/>
        </w:rPr>
        <w:t>to effectively combat impunity for acts of violence against women</w:t>
      </w:r>
      <w:r>
        <w:rPr>
          <w:i/>
          <w:sz w:val="22"/>
          <w:szCs w:val="22"/>
          <w:highlight w:val="white"/>
          <w:lang w:val="en-US"/>
        </w:rPr>
        <w:t xml:space="preserve"> by ensuring that </w:t>
      </w:r>
      <w:r w:rsidRPr="004734EB">
        <w:rPr>
          <w:i/>
          <w:sz w:val="22"/>
          <w:szCs w:val="22"/>
          <w:highlight w:val="white"/>
          <w:lang w:val="en-US"/>
        </w:rPr>
        <w:t>step</w:t>
      </w:r>
      <w:r>
        <w:rPr>
          <w:i/>
          <w:sz w:val="22"/>
          <w:szCs w:val="22"/>
          <w:highlight w:val="white"/>
          <w:lang w:val="en-US"/>
        </w:rPr>
        <w:t>s are taken</w:t>
      </w:r>
      <w:r w:rsidRPr="004734EB">
        <w:rPr>
          <w:i/>
          <w:sz w:val="22"/>
          <w:szCs w:val="22"/>
          <w:highlight w:val="white"/>
          <w:lang w:val="en-US"/>
        </w:rPr>
        <w:t xml:space="preserve"> to independently investigate, prosecute and sanction </w:t>
      </w:r>
      <w:r>
        <w:rPr>
          <w:i/>
          <w:sz w:val="22"/>
          <w:szCs w:val="22"/>
          <w:highlight w:val="white"/>
          <w:lang w:val="en-US"/>
        </w:rPr>
        <w:t xml:space="preserve">all </w:t>
      </w:r>
      <w:r w:rsidRPr="004734EB">
        <w:rPr>
          <w:i/>
          <w:sz w:val="22"/>
          <w:szCs w:val="22"/>
          <w:highlight w:val="white"/>
          <w:lang w:val="en-US"/>
        </w:rPr>
        <w:t>acts of violence</w:t>
      </w:r>
      <w:r>
        <w:rPr>
          <w:i/>
          <w:sz w:val="22"/>
          <w:szCs w:val="22"/>
          <w:highlight w:val="white"/>
          <w:lang w:val="en-US"/>
        </w:rPr>
        <w:t xml:space="preserve"> against women, including violence</w:t>
      </w:r>
      <w:r w:rsidRPr="004734EB">
        <w:rPr>
          <w:i/>
          <w:sz w:val="22"/>
          <w:szCs w:val="22"/>
          <w:highlight w:val="white"/>
          <w:lang w:val="en-US"/>
        </w:rPr>
        <w:t xml:space="preserve"> perpetrated by State agents, in accordance with SDG 16.3. </w:t>
      </w:r>
    </w:p>
    <w:p w14:paraId="53C2A136" w14:textId="77777777" w:rsidR="00D2799B" w:rsidRDefault="00D2799B" w:rsidP="00D2799B">
      <w:pPr>
        <w:spacing w:after="120" w:line="276" w:lineRule="auto"/>
        <w:jc w:val="both"/>
        <w:rPr>
          <w:i/>
          <w:iCs/>
          <w:sz w:val="22"/>
          <w:szCs w:val="22"/>
          <w:highlight w:val="white"/>
          <w:lang w:val="en-US"/>
        </w:rPr>
      </w:pPr>
      <w:r w:rsidRPr="004734EB">
        <w:rPr>
          <w:b/>
          <w:sz w:val="22"/>
          <w:szCs w:val="22"/>
          <w:highlight w:val="white"/>
          <w:lang w:val="en-US"/>
        </w:rPr>
        <w:t>5.6</w:t>
      </w:r>
      <w:r w:rsidRPr="004734EB">
        <w:rPr>
          <w:sz w:val="22"/>
          <w:szCs w:val="22"/>
          <w:highlight w:val="white"/>
          <w:lang w:val="en-US"/>
        </w:rPr>
        <w:t xml:space="preserve"> </w:t>
      </w:r>
      <w:r w:rsidRPr="004734EB">
        <w:rPr>
          <w:i/>
          <w:iCs/>
          <w:sz w:val="22"/>
          <w:szCs w:val="22"/>
          <w:highlight w:val="white"/>
          <w:lang w:val="en-US"/>
        </w:rPr>
        <w:t xml:space="preserve">Ensure all criminally accused persons have access to legal aid in accordance with the Code of Criminal Procedure of the Kingdom of Cambodia, the International Covenant on Civil and Political Rights (ICCPR) and SDG 16.3. </w:t>
      </w:r>
    </w:p>
    <w:p w14:paraId="6CAF6A8F" w14:textId="77777777" w:rsidR="00D2799B" w:rsidRDefault="00D2799B" w:rsidP="00D2799B">
      <w:pPr>
        <w:spacing w:after="120" w:line="276" w:lineRule="auto"/>
        <w:jc w:val="both"/>
        <w:rPr>
          <w:i/>
          <w:iCs/>
          <w:sz w:val="22"/>
          <w:szCs w:val="22"/>
          <w:highlight w:val="white"/>
          <w:lang w:val="en-US"/>
        </w:rPr>
      </w:pPr>
      <w:r w:rsidRPr="00D2799B">
        <w:rPr>
          <w:b/>
          <w:iCs/>
          <w:sz w:val="22"/>
          <w:szCs w:val="22"/>
          <w:highlight w:val="white"/>
          <w:lang w:val="en-US"/>
        </w:rPr>
        <w:t>5.7</w:t>
      </w:r>
      <w:r>
        <w:rPr>
          <w:i/>
          <w:iCs/>
          <w:sz w:val="22"/>
          <w:szCs w:val="22"/>
          <w:highlight w:val="white"/>
          <w:lang w:val="en-US"/>
        </w:rPr>
        <w:t xml:space="preserve"> </w:t>
      </w:r>
      <w:r w:rsidRPr="004734EB">
        <w:rPr>
          <w:i/>
          <w:iCs/>
          <w:sz w:val="22"/>
          <w:szCs w:val="22"/>
          <w:highlight w:val="white"/>
          <w:lang w:val="en-US"/>
        </w:rPr>
        <w:t>Ensure that victims of GBV have access to effective legal support in pursuing justice in accordance with the UN Principles and Guidelines on Access to Legal Aid in Criminal Justice Systems</w:t>
      </w:r>
      <w:r>
        <w:rPr>
          <w:i/>
          <w:iCs/>
          <w:sz w:val="22"/>
          <w:szCs w:val="22"/>
          <w:highlight w:val="white"/>
          <w:lang w:val="en-US"/>
        </w:rPr>
        <w:t>, and ensure the realization of one-stop service centers to provide support services free of charge to GBV victims.</w:t>
      </w:r>
    </w:p>
    <w:p w14:paraId="2097D6E7" w14:textId="77777777" w:rsidR="00D2799B" w:rsidRPr="004734EB" w:rsidRDefault="00D2799B" w:rsidP="00D2799B">
      <w:pPr>
        <w:spacing w:after="120" w:line="276" w:lineRule="auto"/>
        <w:jc w:val="both"/>
        <w:rPr>
          <w:i/>
          <w:iCs/>
          <w:sz w:val="22"/>
          <w:szCs w:val="22"/>
          <w:highlight w:val="white"/>
          <w:lang w:val="en-US"/>
        </w:rPr>
      </w:pPr>
      <w:r w:rsidRPr="004734EB">
        <w:rPr>
          <w:b/>
          <w:iCs/>
          <w:sz w:val="22"/>
          <w:szCs w:val="22"/>
          <w:highlight w:val="white"/>
          <w:lang w:val="en-US"/>
        </w:rPr>
        <w:t>5.</w:t>
      </w:r>
      <w:r>
        <w:rPr>
          <w:b/>
          <w:iCs/>
          <w:sz w:val="22"/>
          <w:szCs w:val="22"/>
          <w:highlight w:val="white"/>
          <w:lang w:val="en-US"/>
        </w:rPr>
        <w:t>8</w:t>
      </w:r>
      <w:r w:rsidRPr="004734EB">
        <w:rPr>
          <w:iCs/>
          <w:sz w:val="22"/>
          <w:szCs w:val="22"/>
          <w:highlight w:val="white"/>
          <w:lang w:val="en-US"/>
        </w:rPr>
        <w:t xml:space="preserve"> </w:t>
      </w:r>
      <w:r w:rsidRPr="004734EB">
        <w:rPr>
          <w:i/>
          <w:iCs/>
          <w:sz w:val="22"/>
          <w:szCs w:val="22"/>
          <w:highlight w:val="white"/>
          <w:lang w:val="en-US"/>
        </w:rPr>
        <w:t>Establish regional Appeal Courts to increase access to justice in Cambodian provinces, in accordance with the Law on the Organization of the Courts</w:t>
      </w:r>
      <w:r>
        <w:rPr>
          <w:i/>
          <w:iCs/>
          <w:sz w:val="22"/>
          <w:szCs w:val="22"/>
          <w:highlight w:val="white"/>
          <w:lang w:val="en-US"/>
        </w:rPr>
        <w:t>,</w:t>
      </w:r>
      <w:r w:rsidRPr="004734EB">
        <w:rPr>
          <w:i/>
          <w:iCs/>
          <w:sz w:val="22"/>
          <w:szCs w:val="22"/>
          <w:highlight w:val="white"/>
          <w:lang w:val="en-US"/>
        </w:rPr>
        <w:t xml:space="preserve"> and ensure their proper operationalization.</w:t>
      </w:r>
    </w:p>
    <w:p w14:paraId="7C1C2592" w14:textId="77777777" w:rsidR="00D2799B" w:rsidRPr="00570544" w:rsidRDefault="00D2799B" w:rsidP="00D2799B">
      <w:pPr>
        <w:rPr>
          <w:lang w:val="en-US"/>
        </w:rPr>
      </w:pPr>
      <w:r w:rsidRPr="004734EB">
        <w:rPr>
          <w:b/>
          <w:sz w:val="22"/>
          <w:szCs w:val="22"/>
          <w:highlight w:val="white"/>
          <w:lang w:val="en-US"/>
        </w:rPr>
        <w:t>5.</w:t>
      </w:r>
      <w:r>
        <w:rPr>
          <w:b/>
          <w:sz w:val="22"/>
          <w:szCs w:val="22"/>
          <w:highlight w:val="white"/>
          <w:lang w:val="en-US"/>
        </w:rPr>
        <w:t>9</w:t>
      </w:r>
      <w:r w:rsidRPr="004734EB">
        <w:rPr>
          <w:sz w:val="22"/>
          <w:szCs w:val="22"/>
          <w:highlight w:val="white"/>
          <w:lang w:val="en-US"/>
        </w:rPr>
        <w:t xml:space="preserve"> </w:t>
      </w:r>
      <w:r w:rsidRPr="004734EB">
        <w:rPr>
          <w:i/>
          <w:sz w:val="22"/>
          <w:szCs w:val="22"/>
          <w:highlight w:val="white"/>
          <w:lang w:val="en-US"/>
        </w:rPr>
        <w:t>Ensure the greater use of alternatives to pre-trial detention, including judicial supervision, in accordance with SDG 16.3.2</w:t>
      </w:r>
      <w:r w:rsidRPr="004734EB">
        <w:rPr>
          <w:i/>
          <w:sz w:val="22"/>
          <w:szCs w:val="22"/>
          <w:lang w:val="en-US"/>
        </w:rPr>
        <w:t>.</w:t>
      </w:r>
    </w:p>
    <w:p w14:paraId="3750B52A" w14:textId="6CA55376" w:rsidR="0019757B" w:rsidRPr="00D2799B" w:rsidRDefault="0019757B" w:rsidP="00D2799B"/>
    <w:sectPr w:rsidR="0019757B" w:rsidRPr="00D2799B" w:rsidSect="00EC0625">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31CD9" w14:textId="77777777" w:rsidR="00AE71A3" w:rsidRDefault="00AE71A3" w:rsidP="00A71184">
      <w:r>
        <w:separator/>
      </w:r>
    </w:p>
  </w:endnote>
  <w:endnote w:type="continuationSeparator" w:id="0">
    <w:p w14:paraId="2FCDDE5E" w14:textId="77777777" w:rsidR="00AE71A3" w:rsidRDefault="00AE71A3" w:rsidP="00A7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aunPenh">
    <w:altName w:val="Arial"/>
    <w:panose1 w:val="020B0604020202020204"/>
    <w:charset w:val="00"/>
    <w:family w:val="auto"/>
    <w:pitch w:val="variable"/>
    <w:sig w:usb0="80000003" w:usb1="00000000" w:usb2="00010000" w:usb3="00000000" w:csb0="00000001"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oolBoran">
    <w:altName w:val="Arial"/>
    <w:panose1 w:val="020B0604020202020204"/>
    <w:charset w:val="00"/>
    <w:family w:val="swiss"/>
    <w:pitch w:val="variable"/>
    <w:sig w:usb0="80000003" w:usb1="00000000" w:usb2="00010000" w:usb3="00000000" w:csb0="00000001" w:csb1="00000000"/>
  </w:font>
  <w:font w:name="Raleway">
    <w:altName w:val="Trebuchet MS"/>
    <w:panose1 w:val="020B0604020202020204"/>
    <w:charset w:val="4D"/>
    <w:family w:val="swiss"/>
    <w:pitch w:val="variable"/>
    <w:sig w:usb0="A00002FF" w:usb1="5000205B" w:usb2="00000000" w:usb3="00000000" w:csb0="00000097" w:csb1="00000000"/>
  </w:font>
  <w:font w:name="Helvetica Neue">
    <w:panose1 w:val="02000503000000020004"/>
    <w:charset w:val="00"/>
    <w:family w:val="auto"/>
    <w:pitch w:val="variable"/>
    <w:sig w:usb0="E50002FF" w:usb1="500079DB" w:usb2="0000001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0423838"/>
      <w:docPartObj>
        <w:docPartGallery w:val="Page Numbers (Bottom of Page)"/>
        <w:docPartUnique/>
      </w:docPartObj>
    </w:sdtPr>
    <w:sdtEndPr>
      <w:rPr>
        <w:rStyle w:val="PageNumber"/>
      </w:rPr>
    </w:sdtEndPr>
    <w:sdtContent>
      <w:p w14:paraId="4BFC6317" w14:textId="77777777" w:rsidR="00202040" w:rsidRDefault="00202040" w:rsidP="008D24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7251F5" w14:textId="77777777" w:rsidR="00202040" w:rsidRDefault="00202040" w:rsidP="00DA27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szCs w:val="22"/>
      </w:rPr>
      <w:id w:val="-1603412704"/>
      <w:docPartObj>
        <w:docPartGallery w:val="Page Numbers (Bottom of Page)"/>
        <w:docPartUnique/>
      </w:docPartObj>
    </w:sdtPr>
    <w:sdtEndPr>
      <w:rPr>
        <w:rStyle w:val="PageNumber"/>
      </w:rPr>
    </w:sdtEndPr>
    <w:sdtContent>
      <w:p w14:paraId="0FA4B598" w14:textId="77777777" w:rsidR="00202040" w:rsidRPr="00DA2746" w:rsidRDefault="00202040" w:rsidP="008D24DE">
        <w:pPr>
          <w:pStyle w:val="Footer"/>
          <w:framePr w:wrap="none" w:vAnchor="text" w:hAnchor="margin" w:xAlign="right" w:y="1"/>
          <w:rPr>
            <w:rStyle w:val="PageNumber"/>
            <w:sz w:val="22"/>
            <w:szCs w:val="22"/>
          </w:rPr>
        </w:pPr>
        <w:r w:rsidRPr="00DA2746">
          <w:rPr>
            <w:rStyle w:val="PageNumber"/>
            <w:sz w:val="22"/>
            <w:szCs w:val="22"/>
          </w:rPr>
          <w:fldChar w:fldCharType="begin"/>
        </w:r>
        <w:r w:rsidRPr="00DA2746">
          <w:rPr>
            <w:rStyle w:val="PageNumber"/>
            <w:sz w:val="22"/>
            <w:szCs w:val="22"/>
          </w:rPr>
          <w:instrText xml:space="preserve"> PAGE </w:instrText>
        </w:r>
        <w:r w:rsidRPr="00DA2746">
          <w:rPr>
            <w:rStyle w:val="PageNumber"/>
            <w:sz w:val="22"/>
            <w:szCs w:val="22"/>
          </w:rPr>
          <w:fldChar w:fldCharType="separate"/>
        </w:r>
        <w:r>
          <w:rPr>
            <w:rStyle w:val="PageNumber"/>
            <w:noProof/>
            <w:sz w:val="22"/>
            <w:szCs w:val="22"/>
          </w:rPr>
          <w:t>1</w:t>
        </w:r>
        <w:r w:rsidRPr="00DA2746">
          <w:rPr>
            <w:rStyle w:val="PageNumber"/>
            <w:sz w:val="22"/>
            <w:szCs w:val="22"/>
          </w:rPr>
          <w:fldChar w:fldCharType="end"/>
        </w:r>
      </w:p>
    </w:sdtContent>
  </w:sdt>
  <w:p w14:paraId="3CD75386" w14:textId="77777777" w:rsidR="00202040" w:rsidRPr="00DA2746" w:rsidRDefault="00202040" w:rsidP="00DA2746">
    <w:pPr>
      <w:pStyle w:val="Footer"/>
      <w:ind w:right="360"/>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15DB5" w14:textId="77777777" w:rsidR="00AE71A3" w:rsidRDefault="00AE71A3" w:rsidP="00A71184">
      <w:r>
        <w:separator/>
      </w:r>
    </w:p>
  </w:footnote>
  <w:footnote w:type="continuationSeparator" w:id="0">
    <w:p w14:paraId="18A985F6" w14:textId="77777777" w:rsidR="00AE71A3" w:rsidRDefault="00AE71A3" w:rsidP="00A71184">
      <w:r>
        <w:continuationSeparator/>
      </w:r>
    </w:p>
  </w:footnote>
  <w:footnote w:id="1">
    <w:p w14:paraId="588119CD"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780371">
        <w:rPr>
          <w:rStyle w:val="Hyperlink"/>
          <w:rFonts w:cstheme="minorHAnsi"/>
          <w:sz w:val="18"/>
          <w:szCs w:val="18"/>
        </w:rPr>
        <w:t xml:space="preserve">‘Rule of Law Index’, World Justice Project, 2019, </w:t>
      </w:r>
      <w:hyperlink r:id="rId1" w:history="1">
        <w:r w:rsidRPr="00B62D4A">
          <w:rPr>
            <w:rStyle w:val="Hyperlink"/>
            <w:rFonts w:cstheme="minorHAnsi"/>
            <w:sz w:val="18"/>
            <w:szCs w:val="18"/>
          </w:rPr>
          <w:t>https://worldjusticeproject.org/sites/default/files/documents/WJP-ROLI-2019-Single%20Page%20View-Reduced.pdf</w:t>
        </w:r>
      </w:hyperlink>
      <w:r w:rsidRPr="00B62D4A">
        <w:rPr>
          <w:rStyle w:val="Hyperlink"/>
          <w:rFonts w:cstheme="minorHAnsi"/>
          <w:sz w:val="18"/>
          <w:szCs w:val="18"/>
        </w:rPr>
        <w:t>, pages 17 and 28 – 29</w:t>
      </w:r>
      <w:r>
        <w:rPr>
          <w:rStyle w:val="Hyperlink"/>
          <w:rFonts w:cstheme="minorHAnsi"/>
          <w:sz w:val="18"/>
          <w:szCs w:val="18"/>
        </w:rPr>
        <w:t xml:space="preserve">; </w:t>
      </w:r>
      <w:r w:rsidRPr="00780371">
        <w:rPr>
          <w:rFonts w:cstheme="minorHAnsi"/>
          <w:sz w:val="18"/>
          <w:szCs w:val="18"/>
        </w:rPr>
        <w:t xml:space="preserve">‘Freedom in the World 2019, Cambodia’, Freedom House, 2019, </w:t>
      </w:r>
      <w:hyperlink r:id="rId2" w:history="1">
        <w:r w:rsidRPr="00780371">
          <w:rPr>
            <w:rStyle w:val="Hyperlink"/>
            <w:rFonts w:cstheme="minorHAnsi"/>
            <w:sz w:val="18"/>
            <w:szCs w:val="18"/>
          </w:rPr>
          <w:t>https://freedomhouse.org/report/freedom-world/2019/cambodia</w:t>
        </w:r>
      </w:hyperlink>
      <w:r w:rsidRPr="00780371">
        <w:rPr>
          <w:rFonts w:cstheme="minorHAnsi"/>
          <w:sz w:val="18"/>
          <w:szCs w:val="18"/>
        </w:rPr>
        <w:t xml:space="preserve">, para F1 </w:t>
      </w:r>
      <w:r>
        <w:rPr>
          <w:rFonts w:cstheme="minorHAnsi"/>
          <w:sz w:val="18"/>
          <w:szCs w:val="18"/>
        </w:rPr>
        <w:t xml:space="preserve">, Human Rights Watch, ‘World report 2019, events of 2018’, 2019, </w:t>
      </w:r>
      <w:hyperlink r:id="rId3" w:history="1">
        <w:r w:rsidRPr="005872F2">
          <w:rPr>
            <w:rFonts w:cstheme="minorHAnsi"/>
            <w:sz w:val="18"/>
            <w:szCs w:val="18"/>
          </w:rPr>
          <w:t>https://www.hrw.org/sites/default/files/world_report_download/hrw_world_report_2019.pdf</w:t>
        </w:r>
      </w:hyperlink>
      <w:r>
        <w:rPr>
          <w:rFonts w:cstheme="minorHAnsi"/>
          <w:sz w:val="18"/>
          <w:szCs w:val="18"/>
        </w:rPr>
        <w:t>, p 107.</w:t>
      </w:r>
    </w:p>
  </w:footnote>
  <w:footnote w:id="2">
    <w:p w14:paraId="6BC7B4A6"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Criminal Code of the Kingdom of Cambodia, </w:t>
      </w:r>
      <w:hyperlink r:id="rId4" w:history="1">
        <w:r w:rsidRPr="00780371">
          <w:rPr>
            <w:rStyle w:val="Hyperlink"/>
            <w:rFonts w:cstheme="minorHAnsi"/>
            <w:sz w:val="18"/>
            <w:szCs w:val="18"/>
            <w:lang w:val="en-US"/>
          </w:rPr>
          <w:t>https://www.ajne.org/sites/default/files/resource/laws/7195/criminal-code-cambodia-en-kh.pdf</w:t>
        </w:r>
      </w:hyperlink>
    </w:p>
  </w:footnote>
  <w:footnote w:id="3">
    <w:p w14:paraId="676A22B6"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Law on the Prevention of Domestic Violence and Protection of Victims, 2005, </w:t>
      </w:r>
      <w:hyperlink r:id="rId5" w:history="1">
        <w:r w:rsidRPr="00780371">
          <w:rPr>
            <w:rStyle w:val="Hyperlink"/>
            <w:rFonts w:cstheme="minorHAnsi"/>
            <w:sz w:val="18"/>
            <w:szCs w:val="18"/>
            <w:lang w:val="en-US"/>
          </w:rPr>
          <w:t>https://www.wcwonline.org/pdf/lawcompilation/Cambodia_dv_victims2005.pdf</w:t>
        </w:r>
      </w:hyperlink>
    </w:p>
  </w:footnote>
  <w:footnote w:id="4">
    <w:p w14:paraId="6DC29B39"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i/>
          <w:sz w:val="18"/>
          <w:szCs w:val="18"/>
        </w:rPr>
        <w:t xml:space="preserve"> Ibid</w:t>
      </w:r>
      <w:r w:rsidRPr="00780371">
        <w:rPr>
          <w:rFonts w:cstheme="minorHAnsi"/>
          <w:sz w:val="18"/>
          <w:szCs w:val="18"/>
        </w:rPr>
        <w:t xml:space="preserve"> Article 2</w:t>
      </w:r>
    </w:p>
  </w:footnote>
  <w:footnote w:id="5">
    <w:p w14:paraId="5DC9C441" w14:textId="77777777" w:rsidR="00D2799B" w:rsidRPr="00780371" w:rsidRDefault="00D2799B" w:rsidP="00D2799B">
      <w:pPr>
        <w:pStyle w:val="FootnoteText"/>
        <w:rPr>
          <w:rFonts w:cstheme="minorHAnsi"/>
          <w:i/>
          <w:sz w:val="18"/>
          <w:szCs w:val="18"/>
          <w:lang w:val="en-US"/>
        </w:rPr>
      </w:pPr>
      <w:r w:rsidRPr="00780371">
        <w:rPr>
          <w:rStyle w:val="FootnoteReference"/>
          <w:rFonts w:cstheme="minorHAnsi"/>
          <w:sz w:val="18"/>
          <w:szCs w:val="18"/>
        </w:rPr>
        <w:footnoteRef/>
      </w:r>
      <w:r w:rsidRPr="00780371">
        <w:rPr>
          <w:rFonts w:cstheme="minorHAnsi"/>
          <w:i/>
          <w:sz w:val="18"/>
          <w:szCs w:val="18"/>
          <w:lang w:val="en-US"/>
        </w:rPr>
        <w:t xml:space="preserve"> Ibid </w:t>
      </w:r>
      <w:r w:rsidRPr="00780371">
        <w:rPr>
          <w:rFonts w:cstheme="minorHAnsi"/>
          <w:sz w:val="18"/>
          <w:szCs w:val="18"/>
          <w:lang w:val="en-US"/>
        </w:rPr>
        <w:t>Article 7</w:t>
      </w:r>
      <w:r w:rsidRPr="00780371">
        <w:rPr>
          <w:rFonts w:cstheme="minorHAnsi"/>
          <w:i/>
          <w:sz w:val="18"/>
          <w:szCs w:val="18"/>
          <w:lang w:val="en-US"/>
        </w:rPr>
        <w:t xml:space="preserve"> </w:t>
      </w:r>
    </w:p>
  </w:footnote>
  <w:footnote w:id="6">
    <w:p w14:paraId="207AD6D8"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paras 29 &amp; 21, </w:t>
      </w:r>
      <w:hyperlink r:id="rId6" w:history="1">
        <w:r w:rsidRPr="00941964">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7">
    <w:p w14:paraId="6DB92359" w14:textId="44E9CE67" w:rsidR="009B41D2" w:rsidRPr="009B41D2" w:rsidRDefault="009B41D2">
      <w:pPr>
        <w:pStyle w:val="FootnoteText"/>
      </w:pPr>
      <w:r>
        <w:rPr>
          <w:rStyle w:val="FootnoteReference"/>
        </w:rPr>
        <w:footnoteRef/>
      </w:r>
      <w:r>
        <w:t xml:space="preserve"> </w:t>
      </w:r>
      <w:r w:rsidRPr="00780371">
        <w:rPr>
          <w:rFonts w:cstheme="minorHAnsi"/>
          <w:sz w:val="18"/>
          <w:szCs w:val="18"/>
          <w:lang w:val="en-US"/>
        </w:rPr>
        <w:t xml:space="preserve">‘General recommendation no. 35 on gender-based violence against women, updating general recommendation no. 19’, CEDAW, 26 July 2017, CEDAW/C/GC/35, para 14, </w:t>
      </w:r>
      <w:hyperlink r:id="rId7" w:history="1">
        <w:r w:rsidRPr="00B6755A">
          <w:rPr>
            <w:rStyle w:val="Hyperlink"/>
            <w:rFonts w:cstheme="minorHAnsi"/>
            <w:sz w:val="18"/>
            <w:szCs w:val="18"/>
          </w:rPr>
          <w:t>http://docstore.ohchr.org/SelfServices/FilesHandler.ashx?enc=6QkG1d%2fPPRiCAqhKb7yhsldCrOlUTvLRFDjh6%2fx1pWAeqJn4T68N1uqnZjLbtFua2OBKh3UEqlB%2fCyQIg86A6bUD6S2nt0Ii%2bndbh67tt1%2bO99yEEGWYpmnzM8vDxmwt</w:t>
        </w:r>
      </w:hyperlink>
    </w:p>
  </w:footnote>
  <w:footnote w:id="8">
    <w:p w14:paraId="130FA604" w14:textId="46059499" w:rsidR="00E97DA9" w:rsidRPr="00780371" w:rsidRDefault="00E97DA9" w:rsidP="00E97DA9">
      <w:pPr>
        <w:pStyle w:val="FootnoteText"/>
        <w:rPr>
          <w:rFonts w:cstheme="minorHAnsi"/>
          <w:sz w:val="18"/>
          <w:szCs w:val="18"/>
          <w:lang w:val="en-US"/>
        </w:rPr>
      </w:pPr>
      <w:r w:rsidRPr="00780371">
        <w:rPr>
          <w:rStyle w:val="FootnoteReference"/>
          <w:rFonts w:cstheme="minorHAnsi"/>
          <w:sz w:val="18"/>
          <w:szCs w:val="18"/>
        </w:rPr>
        <w:footnoteRef/>
      </w:r>
      <w:r>
        <w:rPr>
          <w:rFonts w:cstheme="minorHAnsi"/>
          <w:sz w:val="18"/>
          <w:szCs w:val="18"/>
          <w:lang w:val="en-US"/>
        </w:rPr>
        <w:t xml:space="preserve"> </w:t>
      </w:r>
      <w:r w:rsidRPr="00780371">
        <w:rPr>
          <w:rFonts w:cstheme="minorHAnsi"/>
          <w:sz w:val="18"/>
          <w:szCs w:val="18"/>
          <w:lang w:val="en-US"/>
        </w:rPr>
        <w:t xml:space="preserve">Law on the Prevention of Domestic Violence and Protection of Victims, 2005, </w:t>
      </w:r>
      <w:r>
        <w:rPr>
          <w:rFonts w:cstheme="minorHAnsi"/>
          <w:sz w:val="18"/>
          <w:szCs w:val="18"/>
          <w:lang w:val="en-US"/>
        </w:rPr>
        <w:t xml:space="preserve">Article 26, </w:t>
      </w:r>
      <w:hyperlink r:id="rId8" w:history="1">
        <w:r w:rsidR="00C2289A" w:rsidRPr="00C2289A">
          <w:rPr>
            <w:rStyle w:val="Hyperlink"/>
            <w:rFonts w:cstheme="minorHAnsi"/>
            <w:sz w:val="18"/>
            <w:szCs w:val="18"/>
            <w:lang w:val="en-US"/>
          </w:rPr>
          <w:t>https://www.wcwonline.org/pdf/lawcompilation/Cambodia_dv_victims2005.pdf</w:t>
        </w:r>
      </w:hyperlink>
      <w:r>
        <w:rPr>
          <w:rStyle w:val="Hyperlink"/>
          <w:rFonts w:cstheme="minorHAnsi"/>
          <w:sz w:val="18"/>
          <w:szCs w:val="18"/>
          <w:lang w:val="en-US"/>
        </w:rPr>
        <w:t xml:space="preserve">; </w:t>
      </w:r>
      <w:r w:rsidRPr="00780371">
        <w:rPr>
          <w:rFonts w:cstheme="minorHAnsi"/>
          <w:sz w:val="18"/>
          <w:szCs w:val="18"/>
          <w:lang w:val="en-US"/>
        </w:rPr>
        <w:t xml:space="preserve"> ‘General recommendation no. 35 on gender-based violence against women, updating general recommendation no. 19’, CEDAW, 26 July 2017, CEDAW/C/GC/35, para 14, </w:t>
      </w:r>
      <w:hyperlink r:id="rId9" w:history="1">
        <w:r w:rsidR="00BF5C9F" w:rsidRPr="00BF5C9F">
          <w:rPr>
            <w:rStyle w:val="Hyperlink"/>
            <w:rFonts w:cstheme="minorHAnsi"/>
            <w:sz w:val="18"/>
            <w:szCs w:val="18"/>
          </w:rPr>
          <w:t>http://docstore.ohchr.org/SelfServices/FilesHandler.ashx?enc=6QkG1d%2fPPRiCAqhKb7yhsldCrOlUTvLRFDjh6%2fx1pWAeqJn4T68N1uqnZjLbtFua2OBKh3UEqlB%2fCyQIg86A6bUD6S2nt0Ii%2bndbh67tt1%2bO99yEEGWYpmnzM8vDxmwt</w:t>
        </w:r>
      </w:hyperlink>
    </w:p>
  </w:footnote>
  <w:footnote w:id="9">
    <w:p w14:paraId="07CDCE56" w14:textId="77777777" w:rsidR="00D2799B" w:rsidRPr="00780371" w:rsidRDefault="00D2799B" w:rsidP="00D2799B">
      <w:pPr>
        <w:pStyle w:val="FootnoteText"/>
        <w:rPr>
          <w:rFonts w:cstheme="minorHAnsi"/>
          <w:i/>
          <w:sz w:val="18"/>
          <w:szCs w:val="18"/>
        </w:rPr>
      </w:pPr>
      <w:r w:rsidRPr="00780371">
        <w:rPr>
          <w:rStyle w:val="FootnoteReference"/>
          <w:rFonts w:cstheme="minorHAnsi"/>
          <w:sz w:val="18"/>
          <w:szCs w:val="18"/>
        </w:rPr>
        <w:footnoteRef/>
      </w:r>
      <w:r w:rsidRPr="00780371">
        <w:rPr>
          <w:rFonts w:cstheme="minorHAnsi"/>
          <w:sz w:val="18"/>
          <w:szCs w:val="18"/>
        </w:rPr>
        <w:t xml:space="preserve"> ‘No Punishment, No Protection: Cambodia’s Response to Domestic Violence’, LICADHO, December 2017, </w:t>
      </w:r>
      <w:hyperlink r:id="rId10" w:history="1">
        <w:r w:rsidRPr="00780371">
          <w:rPr>
            <w:rStyle w:val="Hyperlink"/>
            <w:rFonts w:cstheme="minorHAnsi"/>
            <w:sz w:val="18"/>
            <w:szCs w:val="18"/>
          </w:rPr>
          <w:t>https://www.licadho-cambodia.org/reports/files/225DV_Report_Eng_20171201.pdf</w:t>
        </w:r>
      </w:hyperlink>
    </w:p>
  </w:footnote>
  <w:footnote w:id="10">
    <w:p w14:paraId="7D7173AF" w14:textId="77777777" w:rsidR="00D2799B" w:rsidRPr="000F71ED" w:rsidRDefault="00D2799B" w:rsidP="00D2799B">
      <w:pPr>
        <w:pStyle w:val="FootnoteText"/>
      </w:pPr>
      <w:r>
        <w:rPr>
          <w:rStyle w:val="FootnoteReference"/>
        </w:rPr>
        <w:footnoteRef/>
      </w:r>
      <w:r>
        <w:t xml:space="preserve"> </w:t>
      </w:r>
      <w:r w:rsidRPr="00F86BC1">
        <w:rPr>
          <w:sz w:val="18"/>
          <w:szCs w:val="18"/>
        </w:rPr>
        <w:t>Cambodian Women’s Crisis Center, ‘Annual Report 2016’, 2016, p 23</w:t>
      </w:r>
    </w:p>
  </w:footnote>
  <w:footnote w:id="11">
    <w:p w14:paraId="046FF47E"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66, </w:t>
      </w:r>
      <w:hyperlink r:id="rId11"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12">
    <w:p w14:paraId="56033940" w14:textId="77777777" w:rsidR="00D2799B" w:rsidRPr="00EE78E1" w:rsidRDefault="00D2799B" w:rsidP="00D2799B">
      <w:pPr>
        <w:pStyle w:val="FootnoteText"/>
      </w:pPr>
      <w:r>
        <w:rPr>
          <w:rStyle w:val="FootnoteReference"/>
        </w:rPr>
        <w:footnoteRef/>
      </w:r>
      <w:r>
        <w:t xml:space="preserve"> </w:t>
      </w:r>
      <w:r w:rsidRPr="00941964">
        <w:rPr>
          <w:sz w:val="18"/>
        </w:rPr>
        <w:t xml:space="preserve">LICADHO, ‘No punishment, no protection: Cambodia’s response to domestic violence’, December 2017, p 1, </w:t>
      </w:r>
      <w:hyperlink r:id="rId12" w:history="1">
        <w:r w:rsidRPr="00941964">
          <w:rPr>
            <w:rStyle w:val="Hyperlink"/>
            <w:sz w:val="18"/>
          </w:rPr>
          <w:t>http://www.licadho-cambodia.org/reports/files/225DV_Report_Eng_20171201.pdf</w:t>
        </w:r>
      </w:hyperlink>
    </w:p>
  </w:footnote>
  <w:footnote w:id="13">
    <w:p w14:paraId="54B81DEC" w14:textId="77777777" w:rsidR="00D2799B" w:rsidRPr="00956A36" w:rsidRDefault="00D2799B" w:rsidP="00D2799B">
      <w:pPr>
        <w:pStyle w:val="FootnoteText"/>
      </w:pPr>
      <w:r>
        <w:rPr>
          <w:rStyle w:val="FootnoteReference"/>
        </w:rPr>
        <w:footnoteRef/>
      </w:r>
      <w:r>
        <w:t xml:space="preserve"> </w:t>
      </w:r>
      <w:r w:rsidRPr="00941964">
        <w:rPr>
          <w:sz w:val="18"/>
          <w:szCs w:val="18"/>
        </w:rPr>
        <w:t>Cambodian Women’s Crisis Center, ‘Annual Report 2016’, 2016, p 23</w:t>
      </w:r>
    </w:p>
  </w:footnote>
  <w:footnote w:id="14">
    <w:p w14:paraId="3660C020"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216, </w:t>
      </w:r>
      <w:hyperlink r:id="rId13"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r w:rsidRPr="00780371">
        <w:rPr>
          <w:rFonts w:cstheme="minorHAnsi"/>
          <w:sz w:val="18"/>
          <w:szCs w:val="18"/>
        </w:rPr>
        <w:t xml:space="preserve">; Leonie Kijewski and Yon Sineat, ‘In Cambodia’s courts it’s a man’s world – with the effects felt by female employees and victims alike’, Phnom Penh Post, 23 February 2018, </w:t>
      </w:r>
      <w:hyperlink r:id="rId14" w:history="1">
        <w:r w:rsidRPr="00780371">
          <w:rPr>
            <w:rStyle w:val="Hyperlink"/>
            <w:rFonts w:cstheme="minorHAnsi"/>
            <w:sz w:val="18"/>
            <w:szCs w:val="18"/>
          </w:rPr>
          <w:t>https://www.phnompenhpost.com/national-post-depth/cambodias-courts-its-mans-world-effects-felt-female-employees-and-victims-alike</w:t>
        </w:r>
      </w:hyperlink>
    </w:p>
  </w:footnote>
  <w:footnote w:id="15">
    <w:p w14:paraId="38B759DA" w14:textId="77777777" w:rsidR="00D2799B" w:rsidRPr="00941964"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‘Annex to sixth national report on the implementation of the Convention on the Elimination of All Forms of Discrimination Against Women’, CEDAW, 12 June 2018, CEDAW/C/KHM/6, </w:t>
      </w:r>
      <w:r w:rsidRPr="00780371">
        <w:rPr>
          <w:rFonts w:cstheme="minorHAnsi"/>
          <w:sz w:val="18"/>
          <w:szCs w:val="18"/>
          <w:lang w:val="en-US"/>
        </w:rPr>
        <w:t xml:space="preserve">table 27, </w:t>
      </w:r>
      <w:hyperlink r:id="rId15" w:history="1">
        <w:r w:rsidRPr="004F158A">
          <w:rPr>
            <w:rStyle w:val="Hyperlink"/>
            <w:rFonts w:cstheme="minorHAnsi"/>
            <w:sz w:val="18"/>
            <w:szCs w:val="18"/>
            <w:lang w:val="en-US"/>
          </w:rPr>
          <w:t>https://tbinternet.ohchr.org/Treaties/CEDAW/Shared%20Documents/KHM/INT_CEDAW_ADR_KHM_31420_E.pdf</w:t>
        </w:r>
      </w:hyperlink>
      <w:r w:rsidRPr="00780371" w:rsidDel="00CD5B2B">
        <w:rPr>
          <w:rFonts w:cstheme="minorHAnsi"/>
          <w:sz w:val="18"/>
          <w:szCs w:val="18"/>
        </w:rPr>
        <w:t xml:space="preserve"> </w:t>
      </w:r>
    </w:p>
  </w:footnote>
  <w:footnote w:id="16">
    <w:p w14:paraId="6CFECBF2"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23, </w:t>
      </w:r>
      <w:hyperlink r:id="rId16"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17">
    <w:p w14:paraId="05E2F542"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‘Annex to sixth national report on the implementation of the Convention on the Elimination of All Forms of Discrimination Against Women’, CEDAW, 12 June 2018, CEDAW/C/KHM/6, </w:t>
      </w:r>
      <w:r w:rsidRPr="00780371">
        <w:rPr>
          <w:rFonts w:cstheme="minorHAnsi"/>
          <w:sz w:val="18"/>
          <w:szCs w:val="18"/>
          <w:lang w:val="en-US"/>
        </w:rPr>
        <w:t xml:space="preserve">table 27, </w:t>
      </w:r>
      <w:hyperlink r:id="rId17" w:history="1">
        <w:r w:rsidRPr="00941964">
          <w:rPr>
            <w:rStyle w:val="Hyperlink"/>
            <w:rFonts w:cstheme="minorHAnsi"/>
            <w:sz w:val="18"/>
            <w:szCs w:val="18"/>
            <w:lang w:val="en-US"/>
          </w:rPr>
          <w:t>https://tbinternet.ohchr.org/Treaties/CEDAW/Shared%20Documents/KHM/INT_CEDAW_ADR_KHM_31420_E.pdf</w:t>
        </w:r>
      </w:hyperlink>
    </w:p>
  </w:footnote>
  <w:footnote w:id="18">
    <w:p w14:paraId="6EE79FA5"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Elizabeth Gorman, ‘Women in the Legal Profession’</w:t>
      </w:r>
      <w:r w:rsidRPr="00780371">
        <w:rPr>
          <w:rFonts w:cstheme="minorHAnsi"/>
          <w:sz w:val="18"/>
          <w:szCs w:val="18"/>
        </w:rPr>
        <w:t xml:space="preserve"> [</w:t>
      </w:r>
      <w:r w:rsidRPr="00941964">
        <w:rPr>
          <w:rFonts w:cstheme="minorHAnsi"/>
          <w:sz w:val="18"/>
          <w:szCs w:val="18"/>
        </w:rPr>
        <w:t>2008</w:t>
      </w:r>
      <w:r w:rsidRPr="00780371">
        <w:rPr>
          <w:rFonts w:cstheme="minorHAnsi"/>
          <w:sz w:val="18"/>
          <w:szCs w:val="18"/>
        </w:rPr>
        <w:t>] Annual Review of Law and Social Science &lt;</w:t>
      </w:r>
      <w:hyperlink r:id="rId18" w:history="1">
        <w:r w:rsidRPr="00941964">
          <w:rPr>
            <w:rStyle w:val="Hyperlink"/>
            <w:rFonts w:cstheme="minorHAnsi"/>
            <w:sz w:val="18"/>
            <w:szCs w:val="18"/>
          </w:rPr>
          <w:t>https://www.researchgate.net/publication/228144616_Women_in_the_Legal_Profession</w:t>
        </w:r>
      </w:hyperlink>
      <w:r w:rsidRPr="00941964">
        <w:rPr>
          <w:rFonts w:cstheme="minorHAnsi"/>
          <w:sz w:val="18"/>
          <w:szCs w:val="18"/>
        </w:rPr>
        <w:t>&gt;</w:t>
      </w:r>
      <w:r w:rsidRPr="00780371">
        <w:rPr>
          <w:rFonts w:cstheme="minorHAnsi"/>
          <w:sz w:val="18"/>
          <w:szCs w:val="18"/>
        </w:rPr>
        <w:t xml:space="preserve"> </w:t>
      </w:r>
    </w:p>
  </w:footnote>
  <w:footnote w:id="19">
    <w:p w14:paraId="46E45F66"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para</w:t>
      </w:r>
      <w:r>
        <w:rPr>
          <w:rFonts w:cstheme="minorHAnsi"/>
          <w:sz w:val="18"/>
          <w:szCs w:val="18"/>
          <w:lang w:val="en-US"/>
        </w:rPr>
        <w:t>s</w:t>
      </w:r>
      <w:r w:rsidRPr="00780371">
        <w:rPr>
          <w:rFonts w:cstheme="minorHAnsi"/>
          <w:sz w:val="18"/>
          <w:szCs w:val="18"/>
          <w:lang w:val="en-US"/>
        </w:rPr>
        <w:t xml:space="preserve"> 33 &amp; 35, </w:t>
      </w:r>
      <w:hyperlink r:id="rId19"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r w:rsidRPr="00780371">
        <w:rPr>
          <w:rFonts w:cstheme="minorHAnsi"/>
          <w:sz w:val="18"/>
          <w:szCs w:val="18"/>
          <w:lang w:val="en-US"/>
        </w:rPr>
        <w:t xml:space="preserve"> </w:t>
      </w:r>
    </w:p>
  </w:footnote>
  <w:footnote w:id="20">
    <w:p w14:paraId="422C999B" w14:textId="77777777" w:rsidR="00D2799B" w:rsidRPr="001008BE" w:rsidRDefault="00D2799B" w:rsidP="00D2799B">
      <w:pPr>
        <w:pStyle w:val="FootnoteText"/>
      </w:pPr>
      <w:r>
        <w:rPr>
          <w:rStyle w:val="FootnoteReference"/>
        </w:rPr>
        <w:footnoteRef/>
      </w:r>
      <w:r>
        <w:t xml:space="preserve"> </w:t>
      </w:r>
      <w:r w:rsidRPr="00780371">
        <w:rPr>
          <w:rFonts w:cstheme="minorHAnsi"/>
          <w:sz w:val="18"/>
          <w:szCs w:val="18"/>
        </w:rPr>
        <w:t xml:space="preserve">Leonie Kijewski and Yon Sineat, ‘In Cambodia’s courts it’s a man’s world – with the effects felt by female employees and victims alike’, Phnom Penh Post, 23 February 2018, </w:t>
      </w:r>
      <w:hyperlink r:id="rId20" w:history="1">
        <w:r w:rsidRPr="00780371">
          <w:rPr>
            <w:rStyle w:val="Hyperlink"/>
            <w:rFonts w:cstheme="minorHAnsi"/>
            <w:sz w:val="18"/>
            <w:szCs w:val="18"/>
          </w:rPr>
          <w:t>https://www.phnompenhpost.com/national-post-depth/cambodias-courts-its-mans-world-effects-felt-female-employees-and-victims-alike</w:t>
        </w:r>
      </w:hyperlink>
      <w:r>
        <w:t xml:space="preserve"> </w:t>
      </w:r>
    </w:p>
  </w:footnote>
  <w:footnote w:id="21">
    <w:p w14:paraId="440DA913"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i/>
          <w:sz w:val="18"/>
          <w:szCs w:val="18"/>
        </w:rPr>
        <w:t>Ibid</w:t>
      </w:r>
    </w:p>
  </w:footnote>
  <w:footnote w:id="22">
    <w:p w14:paraId="5B1C089B"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para</w:t>
      </w:r>
      <w:r>
        <w:rPr>
          <w:rFonts w:cstheme="minorHAnsi"/>
          <w:sz w:val="18"/>
          <w:szCs w:val="18"/>
          <w:lang w:val="en-US"/>
        </w:rPr>
        <w:t>s</w:t>
      </w:r>
      <w:r w:rsidRPr="00780371">
        <w:rPr>
          <w:rFonts w:cstheme="minorHAnsi"/>
          <w:sz w:val="18"/>
          <w:szCs w:val="18"/>
          <w:lang w:val="en-US"/>
        </w:rPr>
        <w:t xml:space="preserve"> 60 &amp; 61, </w:t>
      </w:r>
      <w:hyperlink r:id="rId21"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23">
    <w:p w14:paraId="5D82FFD1"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 xml:space="preserve">‘Report of the Working Group on the Universal Periodic Review Cambodia’, </w:t>
      </w:r>
      <w:r w:rsidRPr="00780371">
        <w:rPr>
          <w:rFonts w:cstheme="minorHAnsi"/>
          <w:sz w:val="18"/>
          <w:szCs w:val="18"/>
        </w:rPr>
        <w:t xml:space="preserve">HRC, </w:t>
      </w:r>
      <w:r w:rsidRPr="00941964">
        <w:rPr>
          <w:rFonts w:cstheme="minorHAnsi"/>
          <w:sz w:val="18"/>
          <w:szCs w:val="18"/>
        </w:rPr>
        <w:t>5 April 2019,</w:t>
      </w:r>
      <w:r w:rsidRPr="00780371">
        <w:rPr>
          <w:rFonts w:cstheme="minorHAnsi"/>
          <w:sz w:val="18"/>
          <w:szCs w:val="18"/>
        </w:rPr>
        <w:t xml:space="preserve"> </w:t>
      </w:r>
      <w:r w:rsidRPr="00941964">
        <w:rPr>
          <w:rFonts w:cstheme="minorHAnsi"/>
          <w:sz w:val="18"/>
          <w:szCs w:val="18"/>
        </w:rPr>
        <w:t>A/HRC/41/17</w:t>
      </w:r>
      <w:r w:rsidRPr="00780371">
        <w:rPr>
          <w:rFonts w:cstheme="minorHAnsi"/>
          <w:sz w:val="18"/>
          <w:szCs w:val="18"/>
        </w:rPr>
        <w:t>,</w:t>
      </w:r>
      <w:r w:rsidRPr="00941964">
        <w:rPr>
          <w:rFonts w:cstheme="minorHAnsi"/>
          <w:sz w:val="18"/>
          <w:szCs w:val="18"/>
        </w:rPr>
        <w:t xml:space="preserve"> paras </w:t>
      </w:r>
      <w:r>
        <w:rPr>
          <w:rFonts w:cstheme="minorHAnsi"/>
          <w:sz w:val="18"/>
          <w:szCs w:val="18"/>
        </w:rPr>
        <w:t>110.45, 110.54,</w:t>
      </w:r>
      <w:r w:rsidRPr="00780371">
        <w:rPr>
          <w:rFonts w:cstheme="minorHAnsi"/>
          <w:sz w:val="18"/>
          <w:szCs w:val="18"/>
        </w:rPr>
        <w:t xml:space="preserve"> </w:t>
      </w:r>
      <w:hyperlink r:id="rId22" w:history="1">
        <w:r w:rsidRPr="00941964">
          <w:rPr>
            <w:rStyle w:val="Hyperlink"/>
            <w:rFonts w:cstheme="minorHAnsi"/>
            <w:sz w:val="18"/>
            <w:szCs w:val="18"/>
          </w:rPr>
          <w:t>https://documents-dds-ny.un.org/doc/UNDOC/GEN/G19/098/90/PDF/G1909890.pdf?OpenElement</w:t>
        </w:r>
      </w:hyperlink>
    </w:p>
  </w:footnote>
  <w:footnote w:id="24">
    <w:p w14:paraId="059CE925" w14:textId="77777777" w:rsidR="00D2799B" w:rsidRPr="000B1D6B" w:rsidRDefault="00D2799B" w:rsidP="00D2799B">
      <w:pPr>
        <w:pStyle w:val="FootnoteText"/>
      </w:pPr>
      <w:r>
        <w:rPr>
          <w:rStyle w:val="FootnoteReference"/>
        </w:rPr>
        <w:footnoteRef/>
      </w:r>
      <w:r>
        <w:t xml:space="preserve"> </w:t>
      </w:r>
      <w:r w:rsidRPr="00362F5D">
        <w:rPr>
          <w:sz w:val="18"/>
        </w:rPr>
        <w:t>‘Addendum Report of the Working Group on the Universal Periodic Review Cambodia</w:t>
      </w:r>
      <w:r>
        <w:rPr>
          <w:sz w:val="18"/>
        </w:rPr>
        <w:t xml:space="preserve"> -</w:t>
      </w:r>
      <w:r w:rsidRPr="00362F5D">
        <w:rPr>
          <w:sz w:val="18"/>
        </w:rPr>
        <w:t xml:space="preserve"> Views on conclusions and/or </w:t>
      </w:r>
      <w:r w:rsidRPr="00F369E0">
        <w:rPr>
          <w:sz w:val="18"/>
        </w:rPr>
        <w:t>recommendations</w:t>
      </w:r>
      <w:r w:rsidRPr="00362F5D">
        <w:rPr>
          <w:sz w:val="18"/>
        </w:rPr>
        <w:t xml:space="preserve">, voluntary commitments and replies presented by the State under review’, HRC, 18 April 2019, </w:t>
      </w:r>
      <w:r>
        <w:rPr>
          <w:sz w:val="18"/>
        </w:rPr>
        <w:t xml:space="preserve">A/HRC/41/1/Add.1, 2, </w:t>
      </w:r>
      <w:hyperlink r:id="rId23" w:history="1">
        <w:r w:rsidRPr="00362F5D">
          <w:rPr>
            <w:rStyle w:val="Hyperlink"/>
            <w:sz w:val="18"/>
          </w:rPr>
          <w:t>https://documents-dds-ny.un.org/doc/UNDOC/GEN/G19/110/92/PDF/G1911092.pdf?OpenElement</w:t>
        </w:r>
      </w:hyperlink>
    </w:p>
  </w:footnote>
  <w:footnote w:id="25">
    <w:p w14:paraId="6FA8D95A"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Pr>
          <w:rFonts w:cstheme="minorHAnsi"/>
          <w:sz w:val="18"/>
          <w:szCs w:val="18"/>
        </w:rPr>
        <w:t xml:space="preserve"> </w:t>
      </w:r>
      <w:r w:rsidRPr="00780371">
        <w:rPr>
          <w:rFonts w:cstheme="minorHAnsi"/>
          <w:sz w:val="18"/>
          <w:szCs w:val="18"/>
        </w:rPr>
        <w:t xml:space="preserve">Article 33 New, ECCC Law, </w:t>
      </w:r>
      <w:hyperlink r:id="rId24" w:history="1">
        <w:r w:rsidRPr="00780371">
          <w:rPr>
            <w:rStyle w:val="Hyperlink"/>
            <w:rFonts w:cstheme="minorHAnsi"/>
            <w:sz w:val="18"/>
            <w:szCs w:val="18"/>
          </w:rPr>
          <w:t>https://www.eccc.gov.kh/sites/default/files/legal-documents/KR_Law_as_amended_27_Oct_2004_Eng.pdf</w:t>
        </w:r>
      </w:hyperlink>
    </w:p>
  </w:footnote>
  <w:footnote w:id="26">
    <w:p w14:paraId="3BA73247" w14:textId="77777777" w:rsidR="00D2799B" w:rsidRPr="00780371" w:rsidRDefault="00D2799B" w:rsidP="00D2799B">
      <w:pPr>
        <w:pStyle w:val="FootnoteText"/>
        <w:rPr>
          <w:rFonts w:cstheme="minorHAnsi"/>
          <w:b/>
          <w:sz w:val="18"/>
          <w:szCs w:val="18"/>
        </w:rPr>
      </w:pPr>
      <w:r w:rsidRPr="00780371">
        <w:rPr>
          <w:rStyle w:val="FootnoteReference"/>
          <w:rFonts w:cstheme="minorHAnsi"/>
          <w:sz w:val="18"/>
          <w:szCs w:val="18"/>
        </w:rPr>
        <w:footnoteRef/>
      </w:r>
      <w:r w:rsidRPr="00780371">
        <w:rPr>
          <w:rFonts w:cstheme="minorHAnsi"/>
          <w:sz w:val="18"/>
          <w:szCs w:val="18"/>
        </w:rPr>
        <w:t xml:space="preserve"> TPO Cambodia, Women in Transitional Justice, Project Activities: psychologically support civil parties at the ECCC (before, during and after proceedings), </w:t>
      </w:r>
      <w:hyperlink r:id="rId25" w:tgtFrame="_blank" w:history="1">
        <w:r w:rsidRPr="00780371">
          <w:rPr>
            <w:rStyle w:val="Hyperlink"/>
            <w:rFonts w:cstheme="minorHAnsi"/>
            <w:sz w:val="18"/>
            <w:szCs w:val="18"/>
          </w:rPr>
          <w:t>https://tpocambodia.org/women-in-transitional-justice/</w:t>
        </w:r>
      </w:hyperlink>
      <w:r>
        <w:rPr>
          <w:rStyle w:val="Hyperlink"/>
          <w:rFonts w:cstheme="minorHAnsi"/>
          <w:sz w:val="18"/>
          <w:szCs w:val="18"/>
        </w:rPr>
        <w:t xml:space="preserve">; </w:t>
      </w:r>
      <w:r w:rsidRPr="00780371">
        <w:rPr>
          <w:rFonts w:cstheme="minorHAnsi"/>
          <w:sz w:val="18"/>
          <w:szCs w:val="18"/>
        </w:rPr>
        <w:t>CCHR, ‘</w:t>
      </w:r>
      <w:r w:rsidRPr="00780371">
        <w:rPr>
          <w:rFonts w:cstheme="minorHAnsi"/>
          <w:bCs/>
          <w:sz w:val="18"/>
          <w:szCs w:val="18"/>
        </w:rPr>
        <w:t xml:space="preserve">Fair Trial Rights Newsletter: </w:t>
      </w:r>
      <w:r w:rsidRPr="00780371">
        <w:rPr>
          <w:rFonts w:cstheme="minorHAnsi"/>
          <w:sz w:val="18"/>
          <w:szCs w:val="18"/>
        </w:rPr>
        <w:t xml:space="preserve">Fair Trial Rights for Women in Cambodia’, August 2018, </w:t>
      </w:r>
      <w:hyperlink r:id="rId26" w:history="1">
        <w:r w:rsidRPr="00780371">
          <w:rPr>
            <w:rStyle w:val="Hyperlink"/>
            <w:rFonts w:cstheme="minorHAnsi"/>
            <w:sz w:val="18"/>
            <w:szCs w:val="18"/>
          </w:rPr>
          <w:t>https://cchrcambodia.org/admin/media/newsletter/newsletter/english/CCHR%20Fair%20Trial%20Rights%20Newsletter%20on%20Women%20in%20Cambodia%20-English.pdf</w:t>
        </w:r>
      </w:hyperlink>
    </w:p>
  </w:footnote>
  <w:footnote w:id="27">
    <w:p w14:paraId="1840ACE1"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Style w:val="Hyperlink"/>
          <w:rFonts w:cstheme="minorHAnsi"/>
          <w:sz w:val="18"/>
          <w:szCs w:val="18"/>
        </w:rPr>
        <w:t>‘</w:t>
      </w:r>
      <w:r w:rsidRPr="00941964">
        <w:rPr>
          <w:rStyle w:val="Hyperlink"/>
          <w:rFonts w:cstheme="minorHAnsi"/>
          <w:color w:val="000000" w:themeColor="text1"/>
          <w:sz w:val="18"/>
          <w:szCs w:val="18"/>
          <w:u w:val="none"/>
        </w:rPr>
        <w:t>Rule of Law Index’, World Justice Project, 2019,</w:t>
      </w:r>
      <w:r w:rsidRPr="00941964">
        <w:rPr>
          <w:rStyle w:val="Hyperlink"/>
          <w:rFonts w:cstheme="minorHAnsi"/>
          <w:color w:val="000000" w:themeColor="text1"/>
          <w:sz w:val="18"/>
          <w:szCs w:val="18"/>
        </w:rPr>
        <w:t xml:space="preserve"> </w:t>
      </w:r>
      <w:hyperlink r:id="rId27" w:history="1">
        <w:r w:rsidRPr="00941964">
          <w:rPr>
            <w:rStyle w:val="Hyperlink"/>
            <w:rFonts w:cstheme="minorHAnsi"/>
            <w:sz w:val="18"/>
            <w:szCs w:val="18"/>
          </w:rPr>
          <w:t>https://worldjusticeproject.org/sites/default/files/documents/WJP-ROLI-2019-Single%20Page%20View-Reduced.pdf</w:t>
        </w:r>
      </w:hyperlink>
      <w:r w:rsidRPr="00941964">
        <w:rPr>
          <w:rStyle w:val="Hyperlink"/>
          <w:rFonts w:cstheme="minorHAnsi"/>
          <w:color w:val="000000" w:themeColor="text1"/>
          <w:sz w:val="18"/>
          <w:szCs w:val="18"/>
          <w:u w:val="none"/>
        </w:rPr>
        <w:t>, p 17</w:t>
      </w:r>
    </w:p>
  </w:footnote>
  <w:footnote w:id="28">
    <w:p w14:paraId="0434FA79"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780371">
        <w:rPr>
          <w:rStyle w:val="Hyperlink"/>
          <w:rFonts w:cstheme="minorHAnsi"/>
          <w:sz w:val="18"/>
          <w:szCs w:val="18"/>
        </w:rPr>
        <w:t xml:space="preserve">‘Rule of Law Index’, World Justice Project, 2019, </w:t>
      </w:r>
      <w:hyperlink r:id="rId28" w:history="1">
        <w:r w:rsidRPr="00780371">
          <w:rPr>
            <w:rStyle w:val="Hyperlink"/>
            <w:rFonts w:cstheme="minorHAnsi"/>
            <w:sz w:val="18"/>
            <w:szCs w:val="18"/>
          </w:rPr>
          <w:t>https://worldjusticeproject.org/sites/default/files/documents/WJP-ROLI-2019-Single%20Page%20View-Reduced.pdf</w:t>
        </w:r>
      </w:hyperlink>
      <w:r w:rsidRPr="00780371">
        <w:rPr>
          <w:rStyle w:val="Hyperlink"/>
          <w:rFonts w:cstheme="minorHAnsi"/>
          <w:sz w:val="18"/>
          <w:szCs w:val="18"/>
        </w:rPr>
        <w:t>, pages 28 – 29</w:t>
      </w:r>
    </w:p>
  </w:footnote>
  <w:footnote w:id="29">
    <w:p w14:paraId="7F79B969"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‘Freedom in the World 2019, Cambodia’, Freedom House, 2019, </w:t>
      </w:r>
      <w:hyperlink r:id="rId29" w:history="1">
        <w:r w:rsidRPr="00780371">
          <w:rPr>
            <w:rStyle w:val="Hyperlink"/>
            <w:rFonts w:cstheme="minorHAnsi"/>
            <w:sz w:val="18"/>
            <w:szCs w:val="18"/>
          </w:rPr>
          <w:t>https://freedomhouse.org/report/freedom-world/2019/cambodia</w:t>
        </w:r>
      </w:hyperlink>
      <w:r w:rsidRPr="00780371">
        <w:rPr>
          <w:rFonts w:cstheme="minorHAnsi"/>
          <w:sz w:val="18"/>
          <w:szCs w:val="18"/>
        </w:rPr>
        <w:t>, para F1</w:t>
      </w:r>
    </w:p>
  </w:footnote>
  <w:footnote w:id="30">
    <w:p w14:paraId="7BCAFFF4"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28, </w:t>
      </w:r>
      <w:hyperlink r:id="rId30"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31">
    <w:p w14:paraId="35CA3BF0"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780371">
        <w:rPr>
          <w:rStyle w:val="Hyperlink"/>
          <w:rFonts w:cstheme="minorHAnsi"/>
          <w:sz w:val="18"/>
          <w:szCs w:val="18"/>
        </w:rPr>
        <w:t xml:space="preserve">‘Rule of Law Index’, World Justice Project, 2019, </w:t>
      </w:r>
      <w:hyperlink r:id="rId31" w:history="1">
        <w:r w:rsidRPr="00780371">
          <w:rPr>
            <w:rStyle w:val="Hyperlink"/>
            <w:rFonts w:cstheme="minorHAnsi"/>
            <w:sz w:val="18"/>
            <w:szCs w:val="18"/>
          </w:rPr>
          <w:t>https://worldjusticeproject.org/sites/default/files/documents/WJP-ROLI-2019-Single%20Page%20View-Reduced.pdf</w:t>
        </w:r>
      </w:hyperlink>
      <w:r w:rsidRPr="00780371">
        <w:rPr>
          <w:rStyle w:val="Hyperlink"/>
          <w:rFonts w:cstheme="minorHAnsi"/>
          <w:sz w:val="18"/>
          <w:szCs w:val="18"/>
        </w:rPr>
        <w:t>, pages 23</w:t>
      </w:r>
    </w:p>
  </w:footnote>
  <w:footnote w:id="32">
    <w:p w14:paraId="2A6A2940"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‘Concluding observations on the combined fourth and fifth periodic reports of Cambodia’ CEDAW, 29 October 2013, CEDAW/C/KHM/CO/4-5*, </w:t>
      </w:r>
      <w:r w:rsidRPr="00780371">
        <w:rPr>
          <w:rFonts w:cstheme="minorHAnsi"/>
          <w:sz w:val="18"/>
          <w:szCs w:val="18"/>
          <w:lang w:val="en-US"/>
        </w:rPr>
        <w:t xml:space="preserve">para 13(c) </w:t>
      </w:r>
    </w:p>
  </w:footnote>
  <w:footnote w:id="33">
    <w:p w14:paraId="45BD4588"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para 28</w:t>
      </w:r>
    </w:p>
  </w:footnote>
  <w:footnote w:id="34">
    <w:p w14:paraId="09213E9D"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 xml:space="preserve">‘Report of the Working Group on the Universal Periodic Review Cambodia’, </w:t>
      </w:r>
      <w:r w:rsidRPr="00780371">
        <w:rPr>
          <w:rFonts w:cstheme="minorHAnsi"/>
          <w:sz w:val="18"/>
          <w:szCs w:val="18"/>
        </w:rPr>
        <w:t xml:space="preserve">HRC, </w:t>
      </w:r>
      <w:r w:rsidRPr="00941964">
        <w:rPr>
          <w:rFonts w:cstheme="minorHAnsi"/>
          <w:sz w:val="18"/>
          <w:szCs w:val="18"/>
        </w:rPr>
        <w:t>5 April 2019,</w:t>
      </w:r>
      <w:r w:rsidRPr="00780371">
        <w:rPr>
          <w:rFonts w:cstheme="minorHAnsi"/>
          <w:sz w:val="18"/>
          <w:szCs w:val="18"/>
        </w:rPr>
        <w:t xml:space="preserve"> </w:t>
      </w:r>
      <w:r w:rsidRPr="00941964">
        <w:rPr>
          <w:rFonts w:cstheme="minorHAnsi"/>
          <w:sz w:val="18"/>
          <w:szCs w:val="18"/>
        </w:rPr>
        <w:t>A/HRC/41/17</w:t>
      </w:r>
      <w:r w:rsidRPr="00780371">
        <w:rPr>
          <w:rFonts w:cstheme="minorHAnsi"/>
          <w:sz w:val="18"/>
          <w:szCs w:val="18"/>
        </w:rPr>
        <w:t>,</w:t>
      </w:r>
      <w:r w:rsidRPr="00941964">
        <w:rPr>
          <w:rFonts w:cstheme="minorHAnsi"/>
          <w:sz w:val="18"/>
          <w:szCs w:val="18"/>
        </w:rPr>
        <w:t xml:space="preserve"> paras 110.119, 110.121, 110.25</w:t>
      </w:r>
      <w:r w:rsidRPr="00780371">
        <w:rPr>
          <w:rFonts w:cstheme="minorHAnsi"/>
          <w:sz w:val="18"/>
          <w:szCs w:val="18"/>
        </w:rPr>
        <w:t xml:space="preserve">, 110.129 </w:t>
      </w:r>
      <w:hyperlink r:id="rId32" w:history="1">
        <w:r w:rsidRPr="00941964">
          <w:rPr>
            <w:rStyle w:val="Hyperlink"/>
            <w:rFonts w:cstheme="minorHAnsi"/>
            <w:sz w:val="18"/>
            <w:szCs w:val="18"/>
          </w:rPr>
          <w:t>https://documents-dds-ny.un.org/doc/UNDOC/GEN/G19/098/90/PDF/G1909890.pdf?OpenElement</w:t>
        </w:r>
      </w:hyperlink>
    </w:p>
  </w:footnote>
  <w:footnote w:id="35">
    <w:p w14:paraId="5B6BB618"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‘Report of the Working Group on the Universal Periodic Review Cambodia’, HRC, 5 April 2019, A/HRC/41/17, para 110.184, </w:t>
      </w:r>
      <w:hyperlink r:id="rId33" w:history="1">
        <w:r w:rsidRPr="00780371">
          <w:rPr>
            <w:rStyle w:val="Hyperlink"/>
            <w:rFonts w:cstheme="minorHAnsi"/>
            <w:sz w:val="18"/>
            <w:szCs w:val="18"/>
          </w:rPr>
          <w:t>https://documents-dds-ny.un.org/doc/UNDOC/GEN/G19/098/90/PDF/G1909890.pdf?OpenElement</w:t>
        </w:r>
      </w:hyperlink>
    </w:p>
  </w:footnote>
  <w:footnote w:id="36">
    <w:p w14:paraId="4E35A53D"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LICADHO, ‘No Punishment, No Protection: Cambodia’s Response to Domestic Violence’, December 2017, </w:t>
      </w:r>
      <w:hyperlink r:id="rId34" w:history="1">
        <w:r w:rsidRPr="00780371">
          <w:rPr>
            <w:rStyle w:val="Hyperlink"/>
            <w:rFonts w:cstheme="minorHAnsi"/>
            <w:sz w:val="18"/>
            <w:szCs w:val="18"/>
          </w:rPr>
          <w:t>http://www.licadho-cambodia.org/reports/files/225DV_Report_Eng_20171201.pdf</w:t>
        </w:r>
      </w:hyperlink>
    </w:p>
  </w:footnote>
  <w:footnote w:id="37">
    <w:p w14:paraId="7B10EBED" w14:textId="77777777" w:rsidR="00D2799B" w:rsidRPr="00780371" w:rsidRDefault="00D2799B" w:rsidP="00D2799B">
      <w:pPr>
        <w:pStyle w:val="FootnoteText"/>
        <w:rPr>
          <w:rFonts w:cstheme="minorHAnsi"/>
          <w:i/>
          <w:sz w:val="18"/>
          <w:szCs w:val="18"/>
        </w:rPr>
      </w:pPr>
      <w:r w:rsidRPr="00780371">
        <w:rPr>
          <w:rStyle w:val="FootnoteReference"/>
          <w:rFonts w:cstheme="minorHAnsi"/>
          <w:sz w:val="18"/>
          <w:szCs w:val="18"/>
        </w:rPr>
        <w:footnoteRef/>
      </w:r>
      <w:r>
        <w:rPr>
          <w:rFonts w:cstheme="minorHAnsi"/>
          <w:i/>
          <w:sz w:val="18"/>
          <w:szCs w:val="18"/>
        </w:rPr>
        <w:t xml:space="preserve"> </w:t>
      </w:r>
      <w:r w:rsidRPr="00780371">
        <w:rPr>
          <w:rFonts w:cstheme="minorHAnsi"/>
          <w:i/>
          <w:sz w:val="18"/>
          <w:szCs w:val="18"/>
        </w:rPr>
        <w:t>Ibid.</w:t>
      </w:r>
    </w:p>
  </w:footnote>
  <w:footnote w:id="38">
    <w:p w14:paraId="5337C9F9"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Sen David and Martin de Bourmont, ‘Sex worker’s death haints women of Wat Phnom’, Phnom Penh Post, 9 February</w:t>
      </w:r>
      <w:r>
        <w:rPr>
          <w:rFonts w:cstheme="minorHAnsi"/>
          <w:sz w:val="18"/>
          <w:szCs w:val="18"/>
        </w:rPr>
        <w:t xml:space="preserve"> </w:t>
      </w:r>
      <w:r w:rsidRPr="00780371">
        <w:rPr>
          <w:rFonts w:cstheme="minorHAnsi"/>
          <w:sz w:val="18"/>
          <w:szCs w:val="18"/>
        </w:rPr>
        <w:t xml:space="preserve">2017, </w:t>
      </w:r>
      <w:hyperlink r:id="rId35" w:history="1">
        <w:r w:rsidRPr="00780371">
          <w:rPr>
            <w:rStyle w:val="Hyperlink"/>
            <w:rFonts w:cstheme="minorHAnsi"/>
            <w:sz w:val="18"/>
            <w:szCs w:val="18"/>
          </w:rPr>
          <w:t>https://www.phnompenhpost.com/national/sex-workers-death-haunts-women-wat-phnom</w:t>
        </w:r>
      </w:hyperlink>
    </w:p>
  </w:footnote>
  <w:footnote w:id="39">
    <w:p w14:paraId="1E4C3E6F" w14:textId="77777777" w:rsidR="00D2799B" w:rsidRPr="00780371" w:rsidRDefault="00D2799B" w:rsidP="00D2799B">
      <w:pPr>
        <w:pStyle w:val="FootnoteText"/>
        <w:rPr>
          <w:rFonts w:cstheme="minorHAnsi"/>
          <w:i/>
          <w:sz w:val="18"/>
          <w:szCs w:val="18"/>
          <w:lang w:val="en-US"/>
        </w:rPr>
      </w:pPr>
      <w:r w:rsidRPr="00780371">
        <w:rPr>
          <w:rStyle w:val="FootnoteReference"/>
          <w:rFonts w:cstheme="minorHAnsi"/>
          <w:sz w:val="18"/>
          <w:szCs w:val="18"/>
        </w:rPr>
        <w:footnoteRef/>
      </w:r>
      <w:r w:rsidRPr="00780371">
        <w:rPr>
          <w:rFonts w:cstheme="minorHAnsi"/>
          <w:sz w:val="18"/>
          <w:szCs w:val="18"/>
        </w:rPr>
        <w:t xml:space="preserve"> Leonie Kijewski, ‘Sex worker’s death still unpunished’, Phnom Penh Post, 4 January 2018, </w:t>
      </w:r>
      <w:hyperlink r:id="rId36" w:history="1">
        <w:r w:rsidRPr="00780371">
          <w:rPr>
            <w:rStyle w:val="Hyperlink"/>
            <w:rFonts w:cstheme="minorHAnsi"/>
            <w:sz w:val="18"/>
            <w:szCs w:val="18"/>
          </w:rPr>
          <w:t>https://www.phnompenhpost.com/national/sex-workers-death-still-unpunished</w:t>
        </w:r>
      </w:hyperlink>
    </w:p>
  </w:footnote>
  <w:footnote w:id="40">
    <w:p w14:paraId="6E03EE28"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‘General recommendation No. 33 on women’s access to justice’, CEDAW, 3 August 2015, CEDAW/C/GC/33, para 15(e), </w:t>
      </w:r>
      <w:hyperlink r:id="rId37" w:history="1">
        <w:r w:rsidRPr="00941964">
          <w:rPr>
            <w:rStyle w:val="Hyperlink"/>
            <w:rFonts w:cstheme="minorHAnsi"/>
            <w:sz w:val="18"/>
            <w:szCs w:val="18"/>
          </w:rPr>
          <w:t>http://docstore.ohchr.org/SelfServices/FilesHandler.ashx?enc=6QkG1d%2fPPRiCAqhKb7yhsldCrOlUTvLRFDjh6%2fx1pWCd9kc8NuhsZOT1QuzhrDy1rIpOgSyxJmK%2fSo2p3MpTl9diLSL02wtx8JPse1mlicqCgIo0em30unjIY%2fnkmn3g</w:t>
        </w:r>
      </w:hyperlink>
    </w:p>
  </w:footnote>
  <w:footnote w:id="41">
    <w:p w14:paraId="27D45976" w14:textId="77777777" w:rsidR="00D2799B" w:rsidRDefault="00D2799B" w:rsidP="00D2799B">
      <w:pPr>
        <w:pStyle w:val="FootnoteText"/>
      </w:pPr>
      <w:r>
        <w:rPr>
          <w:rStyle w:val="FootnoteReference"/>
        </w:rPr>
        <w:footnoteRef/>
      </w:r>
      <w:r>
        <w:t xml:space="preserve"> </w:t>
      </w:r>
      <w:r w:rsidRPr="00362F5D">
        <w:rPr>
          <w:sz w:val="18"/>
          <w:szCs w:val="18"/>
        </w:rPr>
        <w:t>Figures obtained from The Cambodian Human Rights and Development Association (ADHOC) Annual Report 2017 and 2018.</w:t>
      </w:r>
      <w:r>
        <w:rPr>
          <w:sz w:val="18"/>
          <w:szCs w:val="18"/>
        </w:rPr>
        <w:t xml:space="preserve"> In 2017, </w:t>
      </w:r>
      <w:r w:rsidRPr="002E65AC">
        <w:rPr>
          <w:sz w:val="18"/>
          <w:szCs w:val="18"/>
          <w:lang w:val="en-US"/>
        </w:rPr>
        <w:t xml:space="preserve">the Women’s and Children’s rights section of ADHOC </w:t>
      </w:r>
      <w:r w:rsidRPr="002E65AC">
        <w:rPr>
          <w:sz w:val="18"/>
          <w:szCs w:val="18"/>
        </w:rPr>
        <w:t>handled 339 new cases. Among them, 51 concerned domestic violence and 134 concerned rape.</w:t>
      </w:r>
      <w:r>
        <w:rPr>
          <w:sz w:val="18"/>
          <w:szCs w:val="18"/>
        </w:rPr>
        <w:t xml:space="preserve"> In 2018, ADHOC </w:t>
      </w:r>
      <w:r w:rsidRPr="00AF3966">
        <w:rPr>
          <w:sz w:val="18"/>
          <w:szCs w:val="18"/>
        </w:rPr>
        <w:t>received and handled 222 new cases, among them, 77 concerned domestic violence and 93 concerned rape.</w:t>
      </w:r>
    </w:p>
  </w:footnote>
  <w:footnote w:id="42">
    <w:p w14:paraId="1878D11F"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See section 4 below, ‘Incarcerated Women’.</w:t>
      </w:r>
    </w:p>
  </w:footnote>
  <w:footnote w:id="43">
    <w:p w14:paraId="6DFB5026" w14:textId="77777777" w:rsidR="00D2799B" w:rsidRPr="00BC6B40" w:rsidRDefault="00D2799B" w:rsidP="00D2799B">
      <w:pPr>
        <w:pStyle w:val="FootnoteText"/>
        <w:rPr>
          <w:sz w:val="18"/>
          <w:szCs w:val="18"/>
        </w:rPr>
      </w:pPr>
      <w:r w:rsidRPr="00BC6B40">
        <w:rPr>
          <w:rStyle w:val="FootnoteReference"/>
          <w:sz w:val="18"/>
          <w:szCs w:val="18"/>
        </w:rPr>
        <w:footnoteRef/>
      </w:r>
      <w:r w:rsidRPr="00BC6B40">
        <w:rPr>
          <w:sz w:val="18"/>
          <w:szCs w:val="18"/>
        </w:rPr>
        <w:t xml:space="preserve"> CCHR, ‘Cambodia’s Women in Land Conflict’, September 2016, </w:t>
      </w:r>
      <w:hyperlink r:id="rId38" w:history="1">
        <w:r w:rsidRPr="00BC6B40">
          <w:rPr>
            <w:rStyle w:val="Hyperlink"/>
            <w:sz w:val="18"/>
            <w:szCs w:val="18"/>
          </w:rPr>
          <w:t>https://cchrcambodia.org/index_old.php?url=media/media.php&amp;p=report_detail.php&amp;reid=116&amp;id=5</w:t>
        </w:r>
      </w:hyperlink>
    </w:p>
  </w:footnote>
  <w:footnote w:id="44">
    <w:p w14:paraId="5D3EC35B" w14:textId="77777777" w:rsidR="00D2799B" w:rsidRPr="00AE38E9" w:rsidRDefault="00D2799B" w:rsidP="00D2799B">
      <w:pPr>
        <w:pStyle w:val="FootnoteText"/>
      </w:pPr>
      <w:r>
        <w:rPr>
          <w:rStyle w:val="FootnoteReference"/>
        </w:rPr>
        <w:footnoteRef/>
      </w:r>
      <w:r>
        <w:t xml:space="preserve"> </w:t>
      </w:r>
      <w:r w:rsidRPr="00941964">
        <w:rPr>
          <w:rFonts w:cstheme="minorHAnsi"/>
          <w:sz w:val="18"/>
          <w:szCs w:val="18"/>
        </w:rPr>
        <w:t>CCHR, ‘Women on the Frontline</w:t>
      </w:r>
      <w:r>
        <w:rPr>
          <w:rFonts w:cstheme="minorHAnsi"/>
          <w:sz w:val="18"/>
          <w:szCs w:val="18"/>
        </w:rPr>
        <w:t xml:space="preserve"> </w:t>
      </w:r>
      <w:r w:rsidRPr="00941964">
        <w:rPr>
          <w:rFonts w:cstheme="minorHAnsi"/>
          <w:sz w:val="18"/>
          <w:szCs w:val="18"/>
        </w:rPr>
        <w:t xml:space="preserve">The Situation of Woman Human Rights Defenders in Cambodia in 2015’, December 2015, </w:t>
      </w:r>
      <w:hyperlink r:id="rId39" w:history="1">
        <w:r w:rsidRPr="00941964">
          <w:rPr>
            <w:rStyle w:val="Hyperlink"/>
            <w:rFonts w:cstheme="minorHAnsi"/>
            <w:sz w:val="18"/>
            <w:szCs w:val="18"/>
          </w:rPr>
          <w:t>https://cchrcambodia.org/admin/media/analysis/analysis/english/2015_12_28_CCHR_BR_Women_on_Frontline_Situation_of_WHRDs_in_Cam_in_2015_ENG.pdf</w:t>
        </w:r>
      </w:hyperlink>
    </w:p>
  </w:footnote>
  <w:footnote w:id="45">
    <w:p w14:paraId="4BD95625"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26, </w:t>
      </w:r>
      <w:hyperlink r:id="rId40"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46">
    <w:p w14:paraId="6BCAAC58"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w:t>
      </w:r>
      <w:r>
        <w:rPr>
          <w:rFonts w:cstheme="minorHAnsi"/>
          <w:sz w:val="18"/>
          <w:szCs w:val="18"/>
        </w:rPr>
        <w:t xml:space="preserve">Voun Dara, ‘Workshop educates on legal aid’, 22 March 2019, </w:t>
      </w:r>
      <w:hyperlink r:id="rId41" w:history="1">
        <w:r w:rsidRPr="00362F5D">
          <w:rPr>
            <w:rStyle w:val="Hyperlink"/>
            <w:sz w:val="18"/>
          </w:rPr>
          <w:t>https://www.phnompenhpost.com/national/workshop-educates-legal-aid</w:t>
        </w:r>
      </w:hyperlink>
    </w:p>
  </w:footnote>
  <w:footnote w:id="47">
    <w:p w14:paraId="5942A32E"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lang w:val="en-US"/>
        </w:rPr>
        <w:t xml:space="preserve"> Kai Hauerstein, </w:t>
      </w:r>
      <w:r w:rsidRPr="00780371">
        <w:rPr>
          <w:rFonts w:cstheme="minorHAnsi"/>
          <w:i/>
          <w:sz w:val="18"/>
          <w:szCs w:val="18"/>
          <w:lang w:val="en-US"/>
        </w:rPr>
        <w:t>Assessment Report: Assessing the provision of legal aid and proposing policy recommendations</w:t>
      </w:r>
      <w:r w:rsidRPr="00780371">
        <w:rPr>
          <w:rFonts w:cstheme="minorHAnsi"/>
          <w:sz w:val="18"/>
          <w:szCs w:val="18"/>
          <w:lang w:val="en-US"/>
        </w:rPr>
        <w:t>, Final Draft, June 2018, p 47</w:t>
      </w:r>
    </w:p>
  </w:footnote>
  <w:footnote w:id="48">
    <w:p w14:paraId="6C7AF53F"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Kai Hauerstein, ‘</w:t>
      </w:r>
      <w:r w:rsidRPr="00780371">
        <w:rPr>
          <w:rFonts w:cstheme="minorHAnsi"/>
          <w:iCs/>
          <w:sz w:val="18"/>
          <w:szCs w:val="18"/>
          <w:lang w:val="en-US"/>
        </w:rPr>
        <w:t>Assessment Report: Assessing the provision of legal aid and proposing policy recommendations’</w:t>
      </w:r>
      <w:r w:rsidRPr="00780371">
        <w:rPr>
          <w:rFonts w:cstheme="minorHAnsi"/>
          <w:sz w:val="18"/>
          <w:szCs w:val="18"/>
          <w:lang w:val="en-US"/>
        </w:rPr>
        <w:t>, Final Draft, June 2018, p 48.</w:t>
      </w:r>
    </w:p>
  </w:footnote>
  <w:footnote w:id="49">
    <w:p w14:paraId="441F7469" w14:textId="77777777" w:rsidR="00D2799B" w:rsidRPr="00780371" w:rsidRDefault="00D2799B" w:rsidP="00D2799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Ben Sokhean, ‘Bar members bemoan low payment for pro bono work’, The Phnom Penh Post, 17 October 2017, </w:t>
      </w:r>
      <w:hyperlink r:id="rId42" w:history="1">
        <w:r w:rsidRPr="00362F5D">
          <w:rPr>
            <w:rStyle w:val="Hyperlink"/>
          </w:rPr>
          <w:t>https://www.phnompenhpost.com/national/bar-members-bemoan-low-payment-pro-bono-work</w:t>
        </w:r>
      </w:hyperlink>
      <w:r w:rsidRPr="00362F5D">
        <w:rPr>
          <w:rStyle w:val="Hyperlink"/>
        </w:rPr>
        <w:t>;</w:t>
      </w:r>
      <w:r w:rsidRPr="00362F5D">
        <w:rPr>
          <w:rFonts w:cstheme="minorHAnsi"/>
          <w:sz w:val="12"/>
          <w:szCs w:val="18"/>
          <w:lang w:val="en-US"/>
        </w:rPr>
        <w:t xml:space="preserve"> </w:t>
      </w:r>
      <w:r w:rsidRPr="00780371">
        <w:rPr>
          <w:rFonts w:cstheme="minorHAnsi"/>
          <w:sz w:val="18"/>
          <w:szCs w:val="18"/>
          <w:lang w:val="en-US"/>
        </w:rPr>
        <w:t>Kai Hauerstein, ‘</w:t>
      </w:r>
      <w:r w:rsidRPr="00780371">
        <w:rPr>
          <w:rFonts w:cstheme="minorHAnsi"/>
          <w:iCs/>
          <w:sz w:val="18"/>
          <w:szCs w:val="18"/>
          <w:lang w:val="en-US"/>
        </w:rPr>
        <w:t>Assessment Report: Assessing the provision of legal aid and proposing policy recommendations’</w:t>
      </w:r>
      <w:r w:rsidRPr="00780371">
        <w:rPr>
          <w:rFonts w:cstheme="minorHAnsi"/>
          <w:sz w:val="18"/>
          <w:szCs w:val="18"/>
          <w:lang w:val="en-US"/>
        </w:rPr>
        <w:t xml:space="preserve">, Final Draft, June 2018, p 67. </w:t>
      </w:r>
    </w:p>
  </w:footnote>
  <w:footnote w:id="50">
    <w:p w14:paraId="05C1CA2C"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27, </w:t>
      </w:r>
      <w:hyperlink r:id="rId43"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51">
    <w:p w14:paraId="7675AE48"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paras 25 &amp; 60, </w:t>
      </w:r>
      <w:hyperlink r:id="rId44"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52">
    <w:p w14:paraId="1BABF81E" w14:textId="77777777" w:rsidR="00D2799B" w:rsidRPr="00941964"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‘Report of the Working Group on the Universal Periodic Review Cambodia’, HRC, 5 April 2019, A/HRC/41/17, para 110.183, </w:t>
      </w:r>
      <w:hyperlink r:id="rId45" w:history="1">
        <w:r w:rsidRPr="00780371">
          <w:rPr>
            <w:rStyle w:val="Hyperlink"/>
            <w:rFonts w:cstheme="minorHAnsi"/>
            <w:sz w:val="18"/>
            <w:szCs w:val="18"/>
          </w:rPr>
          <w:t>https://documents-dds-ny.un.org/doc/UNDOC/GEN/G19/098/90/PDF/G1909890.pdf?OpenElement</w:t>
        </w:r>
      </w:hyperlink>
      <w:r w:rsidRPr="00780371">
        <w:rPr>
          <w:rFonts w:cstheme="minorHAnsi"/>
          <w:sz w:val="18"/>
          <w:szCs w:val="18"/>
          <w:lang w:val="en-US"/>
        </w:rPr>
        <w:t xml:space="preserve">; See also </w:t>
      </w:r>
      <w:r w:rsidRPr="00780371">
        <w:rPr>
          <w:rFonts w:cstheme="minorHAnsi"/>
          <w:sz w:val="18"/>
          <w:szCs w:val="18"/>
        </w:rPr>
        <w:t>‘General recommendation No. 33 on women’s access to justice’, CEDAW, 3 August 2015, CEDAW/C/GC/33, para</w:t>
      </w:r>
      <w:r>
        <w:rPr>
          <w:rFonts w:cstheme="minorHAnsi"/>
          <w:sz w:val="18"/>
          <w:szCs w:val="18"/>
        </w:rPr>
        <w:t>s</w:t>
      </w:r>
      <w:r w:rsidRPr="00780371">
        <w:rPr>
          <w:rFonts w:cstheme="minorHAnsi"/>
          <w:sz w:val="18"/>
          <w:szCs w:val="18"/>
        </w:rPr>
        <w:t xml:space="preserve"> 17(e) – 17 (f), </w:t>
      </w:r>
      <w:hyperlink r:id="rId46" w:history="1">
        <w:r w:rsidRPr="00780371">
          <w:rPr>
            <w:rStyle w:val="Hyperlink"/>
            <w:rFonts w:cstheme="minorHAnsi"/>
            <w:sz w:val="18"/>
            <w:szCs w:val="18"/>
          </w:rPr>
          <w:t>http://docstore.ohchr.org/SelfServices/FilesHandler.ashx?enc=6QkG1d%2fPPRiCAqhKb7yhsldCrOlUTvLRFDjh6%2fx1pWCd9kc8NuhsZOT1QuzhrDy1rIpOgSyxJmK%2fSo2p3MpTl9diLSL02wtx8JPse1mlicqCgIo0em30unjIY%2fnkmn3g</w:t>
        </w:r>
      </w:hyperlink>
    </w:p>
  </w:footnote>
  <w:footnote w:id="53">
    <w:p w14:paraId="2F5A6965"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‘General recommendation No. 33 on women’s access to justice’, CEDAW, 3 August 2015, CEDAW/C/GC/33, para 17(f), </w:t>
      </w:r>
      <w:hyperlink r:id="rId47" w:history="1">
        <w:r w:rsidRPr="00780371">
          <w:rPr>
            <w:rStyle w:val="Hyperlink"/>
            <w:rFonts w:cstheme="minorHAnsi"/>
            <w:sz w:val="18"/>
            <w:szCs w:val="18"/>
          </w:rPr>
          <w:t>http://docstore.ohchr.org/SelfServices/FilesHandler.ashx?enc=6QkG1d%2fPPRiCAqhKb7yhsldCrOlUTvLRFDjh6%2fx1pWCd9kc8NuhsZOT1QuzhrDy1rIpOgSyxJmK%2fSo2p3MpTl9diLSL02wtx8JPse1mlicqCgIo0em30unjIY%2fnkmn3g</w:t>
        </w:r>
      </w:hyperlink>
    </w:p>
  </w:footnote>
  <w:footnote w:id="54">
    <w:p w14:paraId="3A8A2102"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‘General recommendation No. 33 on women’s access to justice’, CEDAW, 3 August 2015, CEDAW/C/GC/33, para 37(c), </w:t>
      </w:r>
      <w:hyperlink r:id="rId48" w:history="1">
        <w:r w:rsidRPr="00780371">
          <w:rPr>
            <w:rStyle w:val="Hyperlink"/>
            <w:rFonts w:cstheme="minorHAnsi"/>
            <w:sz w:val="18"/>
            <w:szCs w:val="18"/>
          </w:rPr>
          <w:t>http://docstore.ohchr.org/SelfServices/FilesHandler.ashx?enc=6QkG1d%2fPPRiCAqhKb7yhsldCrOlUTvLRFDjh6%2fx1pWCd9kc8NuhsZOT1QuzhrDy1rIpOgSyxJmK%2fSo2p3MpTl9diLSL02wtx8JPse1mlicqCgIo0em30unjIY%2fnkmn3g</w:t>
        </w:r>
      </w:hyperlink>
    </w:p>
  </w:footnote>
  <w:footnote w:id="55">
    <w:p w14:paraId="602110FB" w14:textId="77777777" w:rsidR="00D2799B" w:rsidRPr="00F55C35" w:rsidRDefault="00D2799B" w:rsidP="00D2799B">
      <w:pPr>
        <w:pStyle w:val="FootnoteText"/>
      </w:pPr>
      <w:r>
        <w:rPr>
          <w:rStyle w:val="FootnoteReference"/>
        </w:rPr>
        <w:footnoteRef/>
      </w:r>
      <w:r>
        <w:t xml:space="preserve"> </w:t>
      </w:r>
      <w:r w:rsidRPr="00941964">
        <w:rPr>
          <w:rFonts w:cstheme="minorHAnsi"/>
          <w:sz w:val="18"/>
          <w:szCs w:val="18"/>
          <w:lang w:val="en-US"/>
        </w:rPr>
        <w:t xml:space="preserve">The Khmer Times, ‘NGOS draft petition to improve women’s rights’, 5 March 2019, </w:t>
      </w:r>
      <w:hyperlink r:id="rId49" w:history="1">
        <w:r w:rsidRPr="00941964">
          <w:rPr>
            <w:rFonts w:cstheme="minorHAnsi"/>
            <w:sz w:val="18"/>
            <w:szCs w:val="18"/>
            <w:lang w:val="en-US"/>
          </w:rPr>
          <w:t>https://www.khmertimeskh.com/50583888/ngos-draft-petition-to-improve-womens-rights/</w:t>
        </w:r>
      </w:hyperlink>
      <w:r>
        <w:rPr>
          <w:rFonts w:cstheme="minorHAnsi"/>
          <w:sz w:val="18"/>
          <w:szCs w:val="18"/>
          <w:lang w:val="en-US"/>
        </w:rPr>
        <w:t xml:space="preserve">; The Phnom Penh Post, </w:t>
      </w:r>
      <w:r w:rsidRPr="00F55C35">
        <w:rPr>
          <w:rFonts w:cstheme="minorHAnsi"/>
          <w:sz w:val="18"/>
          <w:szCs w:val="18"/>
          <w:lang w:val="en-US"/>
        </w:rPr>
        <w:t xml:space="preserve">‘Forces prevent Women's Day march', 11 March 2019, </w:t>
      </w:r>
      <w:hyperlink r:id="rId50" w:history="1">
        <w:r w:rsidRPr="00941964">
          <w:rPr>
            <w:rStyle w:val="Hyperlink"/>
            <w:sz w:val="18"/>
            <w:szCs w:val="18"/>
          </w:rPr>
          <w:t>https://www.phnompenhpost.com/national/forces-prevent-womens-day-march</w:t>
        </w:r>
      </w:hyperlink>
      <w:r w:rsidRPr="00941964">
        <w:rPr>
          <w:sz w:val="18"/>
          <w:szCs w:val="18"/>
        </w:rPr>
        <w:t xml:space="preserve">; Focus on the Global South, ‘Cambodia: Petition for Solutions to Priority Women’s Issues, 8 March 2019, </w:t>
      </w:r>
      <w:hyperlink r:id="rId51" w:history="1">
        <w:r w:rsidRPr="00941964">
          <w:rPr>
            <w:rStyle w:val="Hyperlink"/>
            <w:sz w:val="18"/>
            <w:szCs w:val="18"/>
          </w:rPr>
          <w:t>https://focusweb.org/cambodia-petition-for-solutions-to-priority-womens-issues/</w:t>
        </w:r>
      </w:hyperlink>
    </w:p>
  </w:footnote>
  <w:footnote w:id="56">
    <w:p w14:paraId="6F95636B" w14:textId="77777777" w:rsidR="00D2799B" w:rsidRPr="0008119C" w:rsidRDefault="00D2799B" w:rsidP="00D2799B">
      <w:pPr>
        <w:pStyle w:val="FootnoteText"/>
      </w:pPr>
      <w:r>
        <w:rPr>
          <w:rStyle w:val="FootnoteReference"/>
        </w:rPr>
        <w:footnoteRef/>
      </w:r>
      <w:r>
        <w:t xml:space="preserve"> </w:t>
      </w:r>
      <w:r w:rsidRPr="00FE4D01">
        <w:rPr>
          <w:sz w:val="18"/>
          <w:szCs w:val="18"/>
        </w:rPr>
        <w:t xml:space="preserve">Focus on the Global South, ‘Cambodia: Petition for Solutions to Priority Women’s Issues, 8 March 2019, </w:t>
      </w:r>
      <w:hyperlink r:id="rId52" w:history="1">
        <w:r w:rsidRPr="00FE4D01">
          <w:rPr>
            <w:rStyle w:val="Hyperlink"/>
            <w:sz w:val="18"/>
            <w:szCs w:val="18"/>
          </w:rPr>
          <w:t>https://focusweb.org/cambodia-petition-for-solutions-to-priority-womens-issues/</w:t>
        </w:r>
      </w:hyperlink>
    </w:p>
  </w:footnote>
  <w:footnote w:id="57">
    <w:p w14:paraId="5113F1D6"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w:t>
      </w:r>
      <w:r w:rsidRPr="00780371">
        <w:rPr>
          <w:rFonts w:cstheme="minorHAnsi"/>
          <w:sz w:val="18"/>
          <w:szCs w:val="18"/>
          <w:lang w:val="en-US"/>
        </w:rPr>
        <w:t>The Khmer Times ‘Appeal courts’ construction ahead of schedule’, 14 February 2019, https://www.khmertimeskh.com/50577879/appeal-courts-construction-ahead-of-schedule/</w:t>
      </w:r>
    </w:p>
  </w:footnote>
  <w:footnote w:id="58">
    <w:p w14:paraId="0531833A" w14:textId="77777777" w:rsidR="00D2799B" w:rsidRPr="00941964"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 xml:space="preserve">The Phnom Penh Post, ‘PM tasks Lawyer’s Council to form special team for women’, 20 February 2019, </w:t>
      </w:r>
      <w:hyperlink r:id="rId53" w:history="1">
        <w:r w:rsidRPr="00941964">
          <w:rPr>
            <w:rStyle w:val="Hyperlink"/>
            <w:rFonts w:cstheme="minorHAnsi"/>
            <w:sz w:val="18"/>
            <w:szCs w:val="18"/>
          </w:rPr>
          <w:t>https://www.khmertimeskh.com/50579742/pm-tasks-lawyers-council-to-form-special-team-for-women/</w:t>
        </w:r>
      </w:hyperlink>
      <w:r w:rsidRPr="00780371">
        <w:rPr>
          <w:rFonts w:cstheme="minorHAnsi"/>
          <w:sz w:val="18"/>
          <w:szCs w:val="18"/>
        </w:rPr>
        <w:t xml:space="preserve">; The Phnom Penh Post, ‘Special legal team urged to aid pre-trial female detainees’, 6 March 2019, </w:t>
      </w:r>
      <w:hyperlink r:id="rId54" w:history="1">
        <w:r w:rsidRPr="00941964">
          <w:rPr>
            <w:rStyle w:val="Hyperlink"/>
            <w:rFonts w:cstheme="minorHAnsi"/>
            <w:sz w:val="18"/>
            <w:szCs w:val="18"/>
          </w:rPr>
          <w:t>https://www.khmertimeskh.com/50584275/special-legal-team-urged-to-aid-pre-trial-female-detainees/</w:t>
        </w:r>
      </w:hyperlink>
    </w:p>
  </w:footnote>
  <w:footnote w:id="59">
    <w:p w14:paraId="5783EB6F" w14:textId="77777777" w:rsidR="00D2799B" w:rsidRPr="00CA02F4" w:rsidRDefault="00D2799B" w:rsidP="00D2799B">
      <w:pPr>
        <w:pStyle w:val="FootnoteText"/>
        <w:rPr>
          <w:i/>
        </w:rPr>
      </w:pPr>
      <w:r>
        <w:rPr>
          <w:rStyle w:val="FootnoteReference"/>
        </w:rPr>
        <w:footnoteRef/>
      </w:r>
      <w:r>
        <w:t xml:space="preserve"> </w:t>
      </w:r>
      <w:r w:rsidRPr="00CA02F4">
        <w:rPr>
          <w:i/>
        </w:rPr>
        <w:t>Ibid</w:t>
      </w:r>
    </w:p>
  </w:footnote>
  <w:footnote w:id="60">
    <w:p w14:paraId="7AEBF755"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Theresa de Langis, 'ECCC Baseline Study on Gender Sensitivity in Transitional Justice Processes in Cambodia', Extraordinary Chambers of the Courts of Cambodia, March 2012, </w:t>
      </w:r>
      <w:hyperlink r:id="rId55" w:history="1">
        <w:r w:rsidRPr="00780371">
          <w:rPr>
            <w:rStyle w:val="Hyperlink"/>
            <w:rFonts w:cstheme="minorHAnsi"/>
            <w:sz w:val="18"/>
            <w:szCs w:val="18"/>
          </w:rPr>
          <w:t>https://www.researchgate.net/publication/306056007_ECCC_Baseline_Study_on_Gender_Sensitivity_in_Transitional_Justice_Processes_in_Cambodia_Phnom_Penh_Extraordinary_Chambers_in_the_Courts_of_Cambodia_2012</w:t>
        </w:r>
      </w:hyperlink>
    </w:p>
  </w:footnote>
  <w:footnote w:id="61">
    <w:p w14:paraId="497C7B4E"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NiemChheng and Erin Handley, ‘Spousal killings call commune officials’ mediation role into question’, Phnom Penh Post, 19 January 2018, </w:t>
      </w:r>
      <w:hyperlink r:id="rId56" w:history="1">
        <w:r w:rsidRPr="00780371">
          <w:rPr>
            <w:rStyle w:val="Hyperlink"/>
            <w:rFonts w:cstheme="minorHAnsi"/>
            <w:sz w:val="18"/>
            <w:szCs w:val="18"/>
          </w:rPr>
          <w:t>https://www.phnompenhpost.com/national-post-depth/spousal-killings-call-commune-officials-mediation-role-question</w:t>
        </w:r>
      </w:hyperlink>
    </w:p>
  </w:footnote>
  <w:footnote w:id="62">
    <w:p w14:paraId="479329E4"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57, </w:t>
      </w:r>
      <w:hyperlink r:id="rId57"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63">
    <w:p w14:paraId="73BADF66"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59, </w:t>
      </w:r>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p>
  </w:footnote>
  <w:footnote w:id="64">
    <w:p w14:paraId="63194882"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Law on the Prevention of Domestic Violence and Protection of Victims, Article 26, 2005, </w:t>
      </w:r>
      <w:hyperlink r:id="rId58" w:history="1">
        <w:r w:rsidRPr="00780371">
          <w:rPr>
            <w:rStyle w:val="Hyperlink"/>
            <w:rFonts w:cstheme="minorHAnsi"/>
            <w:sz w:val="18"/>
            <w:szCs w:val="18"/>
            <w:lang w:val="en-US"/>
          </w:rPr>
          <w:t>https://www.wcwonline.org/pdf/lawcompilation/Cambodia_dv_victims2005.pdf</w:t>
        </w:r>
      </w:hyperlink>
    </w:p>
  </w:footnote>
  <w:footnote w:id="65">
    <w:p w14:paraId="5BFF9830"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‘General recommendation No. 33 on women’s access to justice’, CEDAW, 3 August 2015, CEDAW/C/GC/33, para 58(c), </w:t>
      </w:r>
      <w:hyperlink r:id="rId59" w:history="1">
        <w:r w:rsidRPr="00780371">
          <w:rPr>
            <w:rStyle w:val="Hyperlink"/>
            <w:rFonts w:cstheme="minorHAnsi"/>
            <w:sz w:val="18"/>
            <w:szCs w:val="18"/>
          </w:rPr>
          <w:t>http://docstore.ohchr.org/SelfServices/FilesHandler.ashx?enc=6QkG1d%2fPPRiCAqhKb7yhsldCrOlUTvLRFDjh6%2fx1pWCd9kc8NuhsZOT1QuzhrDy1rIpOgSyxJmK%2fSo2p3MpTl9diLSL02wtx8JPse1mlicqCgIo0em30unjIY%2fnkmn3g</w:t>
        </w:r>
      </w:hyperlink>
    </w:p>
  </w:footnote>
  <w:footnote w:id="66">
    <w:p w14:paraId="777E5807"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59, </w:t>
      </w:r>
      <w:hyperlink r:id="rId60"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67">
    <w:p w14:paraId="450408A4" w14:textId="77777777" w:rsidR="00D2799B" w:rsidRPr="00941964" w:rsidRDefault="00D2799B" w:rsidP="00D2799B">
      <w:pPr>
        <w:rPr>
          <w:rFonts w:cstheme="minorHAnsi"/>
          <w:sz w:val="18"/>
          <w:szCs w:val="18"/>
        </w:rPr>
      </w:pPr>
      <w:r w:rsidRPr="00941964">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See ‘General Recommendation No. 28 on the Core Obligations of States Parties Under Article 2 of the Convention on the Elimination of All Forms of Discrimination Against Women’, CEDAW, 1</w:t>
      </w:r>
      <w:r w:rsidRPr="00780371">
        <w:rPr>
          <w:rFonts w:cstheme="minorHAnsi"/>
          <w:sz w:val="18"/>
          <w:szCs w:val="18"/>
        </w:rPr>
        <w:t>6</w:t>
      </w:r>
      <w:r w:rsidRPr="00941964">
        <w:rPr>
          <w:rFonts w:cstheme="minorHAnsi"/>
          <w:sz w:val="18"/>
          <w:szCs w:val="18"/>
        </w:rPr>
        <w:t xml:space="preserve"> </w:t>
      </w:r>
      <w:r w:rsidRPr="00780371">
        <w:rPr>
          <w:rFonts w:cstheme="minorHAnsi"/>
          <w:sz w:val="18"/>
          <w:szCs w:val="18"/>
        </w:rPr>
        <w:t>December</w:t>
      </w:r>
      <w:r w:rsidRPr="00941964">
        <w:rPr>
          <w:rFonts w:cstheme="minorHAnsi"/>
          <w:sz w:val="18"/>
          <w:szCs w:val="18"/>
        </w:rPr>
        <w:t xml:space="preserve"> 2010, </w:t>
      </w:r>
      <w:r w:rsidRPr="00780371">
        <w:rPr>
          <w:rFonts w:cstheme="minorHAnsi"/>
          <w:sz w:val="18"/>
          <w:szCs w:val="18"/>
        </w:rPr>
        <w:t>CEDAW/C/GC/28</w:t>
      </w:r>
      <w:r w:rsidRPr="00941964">
        <w:rPr>
          <w:rFonts w:cstheme="minorHAnsi"/>
          <w:sz w:val="18"/>
          <w:szCs w:val="18"/>
        </w:rPr>
        <w:t xml:space="preserve">, para 18, </w:t>
      </w:r>
      <w:hyperlink r:id="rId61" w:history="1">
        <w:r w:rsidRPr="00941964">
          <w:rPr>
            <w:rStyle w:val="Hyperlink"/>
            <w:rFonts w:cstheme="minorHAnsi"/>
            <w:sz w:val="18"/>
            <w:szCs w:val="18"/>
          </w:rPr>
          <w:t>https://documents-dds-ny.un.org/doc/UNDOC/GEN/G10/472/60/PDF/G1047260.pdf?OpenElement</w:t>
        </w:r>
      </w:hyperlink>
    </w:p>
  </w:footnote>
  <w:footnote w:id="68">
    <w:p w14:paraId="46CC5E69" w14:textId="77777777" w:rsidR="00D2799B" w:rsidRPr="00780371" w:rsidRDefault="00D2799B" w:rsidP="00D2799B">
      <w:pPr>
        <w:pStyle w:val="FootnoteText"/>
        <w:rPr>
          <w:rFonts w:cstheme="minorHAnsi"/>
          <w:sz w:val="18"/>
          <w:szCs w:val="18"/>
        </w:rPr>
      </w:pPr>
      <w:r w:rsidRPr="00780371">
        <w:rPr>
          <w:rStyle w:val="FootnoteReference"/>
          <w:rFonts w:cstheme="minorHAnsi"/>
          <w:color w:val="000000" w:themeColor="text1"/>
          <w:sz w:val="18"/>
          <w:szCs w:val="18"/>
        </w:rPr>
        <w:footnoteRef/>
      </w:r>
      <w:r w:rsidRPr="00780371">
        <w:rPr>
          <w:rFonts w:cstheme="minorHAnsi"/>
          <w:color w:val="000000" w:themeColor="text1"/>
          <w:sz w:val="18"/>
          <w:szCs w:val="18"/>
        </w:rPr>
        <w:t xml:space="preserve"> CCHR, ‘Fair Trial Rights in Cambodia: Monitoring at the Court of Appeal‘, June 2018, p 17 – 18, </w:t>
      </w:r>
      <w:hyperlink r:id="rId62" w:history="1">
        <w:r w:rsidRPr="00780371">
          <w:rPr>
            <w:rStyle w:val="Hyperlink"/>
            <w:rFonts w:cstheme="minorHAnsi"/>
            <w:sz w:val="18"/>
            <w:szCs w:val="18"/>
          </w:rPr>
          <w:t>https://cchrcambodia.org/admin/media/report/report/english/CCHR%20Report%20on%20Fair%20Trial%20Rights_%20ENG_.pdf</w:t>
        </w:r>
      </w:hyperlink>
    </w:p>
  </w:footnote>
  <w:footnote w:id="69">
    <w:p w14:paraId="294EAC07" w14:textId="77777777" w:rsidR="00D2799B" w:rsidRPr="00941964" w:rsidRDefault="00D2799B" w:rsidP="00D2799B">
      <w:pPr>
        <w:pStyle w:val="FootnoteText"/>
        <w:rPr>
          <w:rFonts w:cstheme="minorHAnsi"/>
          <w:sz w:val="18"/>
          <w:szCs w:val="18"/>
          <w:lang w:val="en-US"/>
        </w:rPr>
      </w:pPr>
      <w:r w:rsidRPr="00941964">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 xml:space="preserve">‘Justice versus corruption: Challenges to the independence of the judiciary in Cambodia’, IBAHRI, September 2015, </w:t>
      </w:r>
      <w:r w:rsidRPr="00780371">
        <w:rPr>
          <w:rFonts w:cstheme="minorHAnsi"/>
          <w:sz w:val="18"/>
          <w:szCs w:val="18"/>
        </w:rPr>
        <w:t xml:space="preserve">p 65, </w:t>
      </w:r>
      <w:hyperlink r:id="rId63" w:history="1">
        <w:r w:rsidRPr="00941964">
          <w:rPr>
            <w:rStyle w:val="Hyperlink"/>
            <w:rFonts w:cstheme="minorHAnsi"/>
            <w:sz w:val="18"/>
            <w:szCs w:val="18"/>
          </w:rPr>
          <w:t>https://www.ibanet.org/Document/Default.aspx?DocumentUid=4b065d2c-d691-46e5-86bf-0a17c993c938</w:t>
        </w:r>
      </w:hyperlink>
      <w:r w:rsidRPr="00941964">
        <w:rPr>
          <w:rFonts w:cstheme="minorHAnsi"/>
          <w:sz w:val="18"/>
          <w:szCs w:val="18"/>
        </w:rPr>
        <w:t>; Kai Hauerstein, ‘Assessment Report: Assessing the provision of legal aid and proposing policy recommendations’, Final Draft, June 2018, p. 72</w:t>
      </w:r>
    </w:p>
  </w:footnote>
  <w:footnote w:id="70">
    <w:p w14:paraId="4A2A3FC4"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The Phnom Penh Post, ‘Battambang, Tbong Khmum courts to be finished this year’, 22 May 2019, </w:t>
      </w:r>
      <w:hyperlink r:id="rId64" w:history="1">
        <w:r w:rsidRPr="00780371">
          <w:rPr>
            <w:rStyle w:val="Hyperlink"/>
            <w:rFonts w:cstheme="minorHAnsi"/>
            <w:sz w:val="18"/>
            <w:szCs w:val="18"/>
          </w:rPr>
          <w:t>https://www.phnompenhpost.com/national/battambang-tbong-khmum-courts-be-finished-year</w:t>
        </w:r>
      </w:hyperlink>
    </w:p>
  </w:footnote>
  <w:footnote w:id="71">
    <w:p w14:paraId="51DD1705" w14:textId="77777777" w:rsidR="00D2799B" w:rsidRPr="00941964"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The Phnom Penh Post, ‘Battambang, Tbong Khmum courts to be finished this year’, 22 May 2019, </w:t>
      </w:r>
      <w:hyperlink r:id="rId65" w:history="1">
        <w:r w:rsidRPr="00941964">
          <w:rPr>
            <w:rStyle w:val="Hyperlink"/>
            <w:rFonts w:cstheme="minorHAnsi"/>
            <w:sz w:val="18"/>
            <w:szCs w:val="18"/>
          </w:rPr>
          <w:t>https://www.phnompenhpost.com/national/battambang-tbong-khmum-courts-be-finished-year</w:t>
        </w:r>
      </w:hyperlink>
    </w:p>
  </w:footnote>
  <w:footnote w:id="72">
    <w:p w14:paraId="29C90C56"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para 70, </w:t>
      </w:r>
      <w:hyperlink r:id="rId66"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73">
    <w:p w14:paraId="20EAF9D7"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para 85 – 89, </w:t>
      </w:r>
      <w:hyperlink r:id="rId67"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r w:rsidRPr="00780371">
        <w:rPr>
          <w:rStyle w:val="Hyperlink"/>
          <w:rFonts w:cstheme="minorHAnsi"/>
          <w:sz w:val="18"/>
          <w:szCs w:val="18"/>
          <w:lang w:val="en-US"/>
        </w:rPr>
        <w:t xml:space="preserve">; ‘Freedom in the world 2019 Cambodia’, Freedom House, 2019, </w:t>
      </w:r>
      <w:hyperlink r:id="rId68" w:history="1">
        <w:r w:rsidRPr="00941964">
          <w:rPr>
            <w:rStyle w:val="Hyperlink"/>
            <w:rFonts w:cstheme="minorHAnsi"/>
            <w:sz w:val="18"/>
            <w:szCs w:val="18"/>
          </w:rPr>
          <w:t>https://freedomhouse.org/report/freedom-world/2019/cambodi</w:t>
        </w:r>
        <w:r w:rsidRPr="00780371">
          <w:rPr>
            <w:rStyle w:val="Hyperlink"/>
            <w:rFonts w:cstheme="minorHAnsi"/>
            <w:sz w:val="18"/>
            <w:szCs w:val="18"/>
          </w:rPr>
          <w:t>a</w:t>
        </w:r>
      </w:hyperlink>
    </w:p>
  </w:footnote>
  <w:footnote w:id="74">
    <w:p w14:paraId="717F623A" w14:textId="77777777" w:rsidR="00D2799B" w:rsidRPr="009561A6" w:rsidRDefault="00D2799B" w:rsidP="00D2799B">
      <w:pPr>
        <w:pStyle w:val="FootnoteText"/>
      </w:pPr>
      <w:r>
        <w:rPr>
          <w:rStyle w:val="FootnoteReference"/>
        </w:rPr>
        <w:footnoteRef/>
      </w:r>
      <w:r>
        <w:t xml:space="preserve"> </w:t>
      </w:r>
      <w:r w:rsidRPr="00CA02F4">
        <w:rPr>
          <w:rFonts w:cstheme="minorHAnsi"/>
          <w:sz w:val="18"/>
          <w:szCs w:val="18"/>
          <w:lang w:val="en-US"/>
        </w:rPr>
        <w:t>United States Department of State, </w:t>
      </w:r>
      <w:r>
        <w:rPr>
          <w:rFonts w:cstheme="minorHAnsi"/>
          <w:sz w:val="18"/>
          <w:szCs w:val="18"/>
          <w:lang w:val="en-US"/>
        </w:rPr>
        <w:t>‘</w:t>
      </w:r>
      <w:r w:rsidRPr="00CA02F4">
        <w:rPr>
          <w:rFonts w:cstheme="minorHAnsi"/>
          <w:sz w:val="18"/>
          <w:szCs w:val="18"/>
          <w:lang w:val="en-US"/>
        </w:rPr>
        <w:t>Trafficking in Persons Report</w:t>
      </w:r>
      <w:r>
        <w:rPr>
          <w:rFonts w:cstheme="minorHAnsi"/>
          <w:sz w:val="18"/>
          <w:szCs w:val="18"/>
          <w:lang w:val="en-US"/>
        </w:rPr>
        <w:t xml:space="preserve"> June 2019’</w:t>
      </w:r>
      <w:r w:rsidRPr="00CA02F4">
        <w:rPr>
          <w:rFonts w:cstheme="minorHAnsi"/>
          <w:sz w:val="18"/>
          <w:szCs w:val="18"/>
          <w:lang w:val="en-US"/>
        </w:rPr>
        <w:t>, June 201</w:t>
      </w:r>
      <w:r>
        <w:rPr>
          <w:rFonts w:cstheme="minorHAnsi"/>
          <w:sz w:val="18"/>
          <w:szCs w:val="18"/>
          <w:lang w:val="en-US"/>
        </w:rPr>
        <w:t>9</w:t>
      </w:r>
      <w:r w:rsidRPr="00CA02F4">
        <w:rPr>
          <w:rFonts w:cstheme="minorHAnsi"/>
          <w:sz w:val="18"/>
          <w:szCs w:val="18"/>
          <w:lang w:val="en-US"/>
        </w:rPr>
        <w:t>,</w:t>
      </w:r>
      <w:r>
        <w:rPr>
          <w:rFonts w:cstheme="minorHAnsi"/>
          <w:sz w:val="18"/>
          <w:szCs w:val="18"/>
          <w:lang w:val="en-US"/>
        </w:rPr>
        <w:t xml:space="preserve"> p 3, </w:t>
      </w:r>
      <w:r w:rsidRPr="00CA02F4">
        <w:rPr>
          <w:rFonts w:cstheme="minorHAnsi"/>
          <w:sz w:val="18"/>
          <w:szCs w:val="18"/>
          <w:lang w:val="en-US"/>
        </w:rPr>
        <w:t xml:space="preserve">available at: </w:t>
      </w:r>
      <w:hyperlink r:id="rId69" w:history="1">
        <w:r w:rsidRPr="007605E7">
          <w:rPr>
            <w:rStyle w:val="Hyperlink"/>
            <w:sz w:val="18"/>
            <w:szCs w:val="18"/>
          </w:rPr>
          <w:t>https://www.state.gov/wp-content/uploads/2019/06/2019-Trafficking-in-Persons-Report.pdf</w:t>
        </w:r>
      </w:hyperlink>
    </w:p>
  </w:footnote>
  <w:footnote w:id="75">
    <w:p w14:paraId="3EE842F5" w14:textId="77777777" w:rsidR="00D2799B" w:rsidRPr="00C72E30" w:rsidRDefault="00D2799B" w:rsidP="00D2799B">
      <w:pPr>
        <w:pStyle w:val="FootnoteText"/>
      </w:pPr>
      <w:r>
        <w:rPr>
          <w:rStyle w:val="FootnoteReference"/>
        </w:rPr>
        <w:footnoteRef/>
      </w:r>
      <w:r>
        <w:t xml:space="preserve"> </w:t>
      </w:r>
      <w:r w:rsidRPr="00CA02F4">
        <w:rPr>
          <w:rFonts w:cstheme="minorHAnsi"/>
          <w:sz w:val="18"/>
          <w:szCs w:val="18"/>
          <w:lang w:val="en-US"/>
        </w:rPr>
        <w:t>United States Department of State, </w:t>
      </w:r>
      <w:r>
        <w:rPr>
          <w:rFonts w:cstheme="minorHAnsi"/>
          <w:sz w:val="18"/>
          <w:szCs w:val="18"/>
          <w:lang w:val="en-US"/>
        </w:rPr>
        <w:t>‘</w:t>
      </w:r>
      <w:r w:rsidRPr="00CA02F4">
        <w:rPr>
          <w:rFonts w:cstheme="minorHAnsi"/>
          <w:sz w:val="18"/>
          <w:szCs w:val="18"/>
          <w:lang w:val="en-US"/>
        </w:rPr>
        <w:t>Trafficking in Persons Report</w:t>
      </w:r>
      <w:r>
        <w:rPr>
          <w:rFonts w:cstheme="minorHAnsi"/>
          <w:sz w:val="18"/>
          <w:szCs w:val="18"/>
          <w:lang w:val="en-US"/>
        </w:rPr>
        <w:t xml:space="preserve"> June 2019’</w:t>
      </w:r>
      <w:r w:rsidRPr="00CA02F4">
        <w:rPr>
          <w:rFonts w:cstheme="minorHAnsi"/>
          <w:sz w:val="18"/>
          <w:szCs w:val="18"/>
          <w:lang w:val="en-US"/>
        </w:rPr>
        <w:t>, June 201</w:t>
      </w:r>
      <w:r>
        <w:rPr>
          <w:rFonts w:cstheme="minorHAnsi"/>
          <w:sz w:val="18"/>
          <w:szCs w:val="18"/>
          <w:lang w:val="en-US"/>
        </w:rPr>
        <w:t>9</w:t>
      </w:r>
      <w:r w:rsidRPr="00CA02F4">
        <w:rPr>
          <w:rFonts w:cstheme="minorHAnsi"/>
          <w:sz w:val="18"/>
          <w:szCs w:val="18"/>
          <w:lang w:val="en-US"/>
        </w:rPr>
        <w:t>,</w:t>
      </w:r>
      <w:r>
        <w:rPr>
          <w:rFonts w:cstheme="minorHAnsi"/>
          <w:sz w:val="18"/>
          <w:szCs w:val="18"/>
          <w:lang w:val="en-US"/>
        </w:rPr>
        <w:t xml:space="preserve"> p 125 - 126, </w:t>
      </w:r>
      <w:r w:rsidRPr="00CA02F4">
        <w:rPr>
          <w:rFonts w:cstheme="minorHAnsi"/>
          <w:sz w:val="18"/>
          <w:szCs w:val="18"/>
          <w:lang w:val="en-US"/>
        </w:rPr>
        <w:t xml:space="preserve">available at: </w:t>
      </w:r>
      <w:hyperlink r:id="rId70" w:history="1">
        <w:r w:rsidRPr="007605E7">
          <w:rPr>
            <w:rStyle w:val="Hyperlink"/>
            <w:sz w:val="18"/>
            <w:szCs w:val="18"/>
          </w:rPr>
          <w:t>https://www.state.gov/wp-content/uploads/2019/06/2019-Trafficking-in-Persons-Report.pdf</w:t>
        </w:r>
      </w:hyperlink>
    </w:p>
  </w:footnote>
  <w:footnote w:id="76">
    <w:p w14:paraId="6F5D7C74" w14:textId="77777777" w:rsidR="00D2799B" w:rsidRPr="00C72E30" w:rsidRDefault="00D2799B" w:rsidP="00D2799B">
      <w:pPr>
        <w:pStyle w:val="FootnoteText"/>
      </w:pPr>
      <w:r>
        <w:rPr>
          <w:rStyle w:val="FootnoteReference"/>
        </w:rPr>
        <w:footnoteRef/>
      </w:r>
      <w:r>
        <w:t xml:space="preserve"> </w:t>
      </w:r>
      <w:r w:rsidRPr="00CA02F4">
        <w:rPr>
          <w:rFonts w:cstheme="minorHAnsi"/>
          <w:sz w:val="18"/>
          <w:szCs w:val="18"/>
          <w:lang w:val="en-US"/>
        </w:rPr>
        <w:t>United States Department of State, </w:t>
      </w:r>
      <w:r>
        <w:rPr>
          <w:rFonts w:cstheme="minorHAnsi"/>
          <w:sz w:val="18"/>
          <w:szCs w:val="18"/>
          <w:lang w:val="en-US"/>
        </w:rPr>
        <w:t>‘</w:t>
      </w:r>
      <w:r w:rsidRPr="00CA02F4">
        <w:rPr>
          <w:rFonts w:cstheme="minorHAnsi"/>
          <w:sz w:val="18"/>
          <w:szCs w:val="18"/>
          <w:lang w:val="en-US"/>
        </w:rPr>
        <w:t>Trafficking in Persons Report</w:t>
      </w:r>
      <w:r>
        <w:rPr>
          <w:rFonts w:cstheme="minorHAnsi"/>
          <w:sz w:val="18"/>
          <w:szCs w:val="18"/>
          <w:lang w:val="en-US"/>
        </w:rPr>
        <w:t xml:space="preserve"> June 2019’</w:t>
      </w:r>
      <w:r w:rsidRPr="00CA02F4">
        <w:rPr>
          <w:rFonts w:cstheme="minorHAnsi"/>
          <w:sz w:val="18"/>
          <w:szCs w:val="18"/>
          <w:lang w:val="en-US"/>
        </w:rPr>
        <w:t>, June 201</w:t>
      </w:r>
      <w:r>
        <w:rPr>
          <w:rFonts w:cstheme="minorHAnsi"/>
          <w:sz w:val="18"/>
          <w:szCs w:val="18"/>
          <w:lang w:val="en-US"/>
        </w:rPr>
        <w:t>9</w:t>
      </w:r>
      <w:r w:rsidRPr="00CA02F4">
        <w:rPr>
          <w:rFonts w:cstheme="minorHAnsi"/>
          <w:sz w:val="18"/>
          <w:szCs w:val="18"/>
          <w:lang w:val="en-US"/>
        </w:rPr>
        <w:t>,</w:t>
      </w:r>
      <w:r>
        <w:rPr>
          <w:rFonts w:cstheme="minorHAnsi"/>
          <w:sz w:val="18"/>
          <w:szCs w:val="18"/>
          <w:lang w:val="en-US"/>
        </w:rPr>
        <w:t xml:space="preserve"> p 125 - 126, </w:t>
      </w:r>
      <w:r w:rsidRPr="00CA02F4">
        <w:rPr>
          <w:rFonts w:cstheme="minorHAnsi"/>
          <w:sz w:val="18"/>
          <w:szCs w:val="18"/>
          <w:lang w:val="en-US"/>
        </w:rPr>
        <w:t xml:space="preserve">available at: </w:t>
      </w:r>
      <w:hyperlink r:id="rId71" w:history="1">
        <w:r w:rsidRPr="007605E7">
          <w:rPr>
            <w:rStyle w:val="Hyperlink"/>
            <w:sz w:val="18"/>
            <w:szCs w:val="18"/>
          </w:rPr>
          <w:t>https://www.state.gov/wp-content/uploads/2019/06/2019-Trafficking-in-Persons-Report.pdf</w:t>
        </w:r>
      </w:hyperlink>
    </w:p>
  </w:footnote>
  <w:footnote w:id="77">
    <w:p w14:paraId="707C6AF8" w14:textId="77777777" w:rsidR="00D2799B" w:rsidRPr="00533F46" w:rsidRDefault="00D2799B" w:rsidP="00D2799B">
      <w:pPr>
        <w:pStyle w:val="FootnoteText"/>
      </w:pPr>
      <w:r>
        <w:rPr>
          <w:rStyle w:val="FootnoteReference"/>
        </w:rPr>
        <w:footnoteRef/>
      </w:r>
      <w:r>
        <w:t xml:space="preserve"> </w:t>
      </w:r>
      <w:r w:rsidRPr="00CA02F4">
        <w:rPr>
          <w:rFonts w:cstheme="minorHAnsi"/>
          <w:sz w:val="18"/>
          <w:szCs w:val="18"/>
          <w:lang w:val="en-US"/>
        </w:rPr>
        <w:t>United States Department of State, </w:t>
      </w:r>
      <w:r>
        <w:rPr>
          <w:rFonts w:cstheme="minorHAnsi"/>
          <w:sz w:val="18"/>
          <w:szCs w:val="18"/>
          <w:lang w:val="en-US"/>
        </w:rPr>
        <w:t>‘</w:t>
      </w:r>
      <w:r w:rsidRPr="00CA02F4">
        <w:rPr>
          <w:rFonts w:cstheme="minorHAnsi"/>
          <w:sz w:val="18"/>
          <w:szCs w:val="18"/>
          <w:lang w:val="en-US"/>
        </w:rPr>
        <w:t>Trafficking in Persons Report</w:t>
      </w:r>
      <w:r>
        <w:rPr>
          <w:rFonts w:cstheme="minorHAnsi"/>
          <w:sz w:val="18"/>
          <w:szCs w:val="18"/>
          <w:lang w:val="en-US"/>
        </w:rPr>
        <w:t xml:space="preserve"> June 2019’</w:t>
      </w:r>
      <w:r w:rsidRPr="00CA02F4">
        <w:rPr>
          <w:rFonts w:cstheme="minorHAnsi"/>
          <w:sz w:val="18"/>
          <w:szCs w:val="18"/>
          <w:lang w:val="en-US"/>
        </w:rPr>
        <w:t>, June 201</w:t>
      </w:r>
      <w:r>
        <w:rPr>
          <w:rFonts w:cstheme="minorHAnsi"/>
          <w:sz w:val="18"/>
          <w:szCs w:val="18"/>
          <w:lang w:val="en-US"/>
        </w:rPr>
        <w:t>9</w:t>
      </w:r>
      <w:r w:rsidRPr="00CA02F4">
        <w:rPr>
          <w:rFonts w:cstheme="minorHAnsi"/>
          <w:sz w:val="18"/>
          <w:szCs w:val="18"/>
          <w:lang w:val="en-US"/>
        </w:rPr>
        <w:t>,</w:t>
      </w:r>
      <w:r>
        <w:rPr>
          <w:rFonts w:cstheme="minorHAnsi"/>
          <w:sz w:val="18"/>
          <w:szCs w:val="18"/>
          <w:lang w:val="en-US"/>
        </w:rPr>
        <w:t xml:space="preserve"> p 126, </w:t>
      </w:r>
      <w:r w:rsidRPr="00CA02F4">
        <w:rPr>
          <w:rFonts w:cstheme="minorHAnsi"/>
          <w:sz w:val="18"/>
          <w:szCs w:val="18"/>
          <w:lang w:val="en-US"/>
        </w:rPr>
        <w:t xml:space="preserve">available at: </w:t>
      </w:r>
      <w:hyperlink r:id="rId72" w:history="1">
        <w:r w:rsidRPr="007605E7">
          <w:rPr>
            <w:rStyle w:val="Hyperlink"/>
            <w:sz w:val="18"/>
            <w:szCs w:val="18"/>
          </w:rPr>
          <w:t>https://www.state.gov/wp-content/uploads/2019/06/2019-Trafficking-in-Persons-Report.pdf</w:t>
        </w:r>
      </w:hyperlink>
    </w:p>
  </w:footnote>
  <w:footnote w:id="78">
    <w:p w14:paraId="70209D9C" w14:textId="77777777" w:rsidR="00D2799B" w:rsidRPr="00937552" w:rsidRDefault="00D2799B" w:rsidP="00D2799B">
      <w:pPr>
        <w:pStyle w:val="FootnoteText"/>
      </w:pPr>
      <w:r>
        <w:rPr>
          <w:rStyle w:val="FootnoteReference"/>
        </w:rPr>
        <w:footnoteRef/>
      </w:r>
      <w:r>
        <w:t xml:space="preserve"> </w:t>
      </w:r>
      <w:r w:rsidRPr="00941964">
        <w:rPr>
          <w:sz w:val="18"/>
          <w:szCs w:val="18"/>
        </w:rPr>
        <w:t>Ibid</w:t>
      </w:r>
    </w:p>
  </w:footnote>
  <w:footnote w:id="79">
    <w:p w14:paraId="2E4B4AB5" w14:textId="77777777" w:rsidR="00D2799B" w:rsidRPr="00E4559B" w:rsidRDefault="00D2799B" w:rsidP="00D2799B">
      <w:pPr>
        <w:pStyle w:val="FootnoteText"/>
      </w:pPr>
      <w:r>
        <w:rPr>
          <w:rStyle w:val="FootnoteReference"/>
        </w:rPr>
        <w:footnoteRef/>
      </w:r>
      <w:r>
        <w:t xml:space="preserve"> Ibid</w:t>
      </w:r>
    </w:p>
  </w:footnote>
  <w:footnote w:id="80">
    <w:p w14:paraId="197DBDED"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lang w:val="en-US"/>
        </w:rPr>
        <w:t xml:space="preserve"> Figures obtained from </w:t>
      </w:r>
      <w:r w:rsidRPr="00780371">
        <w:rPr>
          <w:rFonts w:cstheme="minorHAnsi"/>
          <w:sz w:val="18"/>
          <w:szCs w:val="18"/>
        </w:rPr>
        <w:t>The Cambodian Human Rights and Development Association (ADHOC)</w:t>
      </w:r>
      <w:r w:rsidRPr="00780371">
        <w:rPr>
          <w:rFonts w:cstheme="minorHAnsi"/>
          <w:sz w:val="18"/>
          <w:szCs w:val="18"/>
          <w:lang w:val="en-US"/>
        </w:rPr>
        <w:t>. From April 2016 until September 2018, ADHOC monitored and investigated 143 cases concerning trafficking-in-persons (involving male and female survivors). Of these, three cases have reached a conviction, 10 cases remain active under court processes as of October 2018.</w:t>
      </w:r>
    </w:p>
  </w:footnote>
  <w:footnote w:id="81">
    <w:p w14:paraId="07EBDB1B"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67, </w:t>
      </w:r>
      <w:hyperlink r:id="rId73"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p>
  </w:footnote>
  <w:footnote w:id="82">
    <w:p w14:paraId="7E416283"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Ibid</w:t>
      </w:r>
    </w:p>
  </w:footnote>
  <w:footnote w:id="83">
    <w:p w14:paraId="2D6D3546" w14:textId="77777777" w:rsidR="00D2799B" w:rsidRPr="00941964" w:rsidRDefault="00D2799B" w:rsidP="00D2799B">
      <w:pPr>
        <w:pStyle w:val="FootnoteText"/>
      </w:pPr>
      <w:r w:rsidRPr="00780371">
        <w:rPr>
          <w:rStyle w:val="FootnoteReference"/>
          <w:rFonts w:cstheme="minorHAnsi"/>
          <w:sz w:val="18"/>
          <w:szCs w:val="18"/>
        </w:rPr>
        <w:footnoteRef/>
      </w:r>
      <w:r w:rsidRPr="00780371">
        <w:rPr>
          <w:rFonts w:cstheme="minorHAnsi"/>
          <w:sz w:val="18"/>
          <w:szCs w:val="18"/>
        </w:rPr>
        <w:t xml:space="preserve"> ‘Sixth periodic report submitted by Cambodia under article 18 of the Convention, due in 2017’, CEDAW, 9 July 2018, CEDAW/C/KHM/6, </w:t>
      </w:r>
      <w:r w:rsidRPr="00780371">
        <w:rPr>
          <w:rFonts w:cstheme="minorHAnsi"/>
          <w:sz w:val="18"/>
          <w:szCs w:val="18"/>
          <w:lang w:val="en-US"/>
        </w:rPr>
        <w:t xml:space="preserve">para 67, </w:t>
      </w:r>
      <w:hyperlink r:id="rId74" w:history="1">
        <w:r w:rsidRPr="00780371">
          <w:rPr>
            <w:rStyle w:val="Hyperlink"/>
            <w:rFonts w:cstheme="minorHAnsi"/>
            <w:sz w:val="18"/>
            <w:szCs w:val="18"/>
            <w:lang w:val="en-US"/>
          </w:rPr>
          <w:t>http://docstore.ohchr.org/SelfServices/FilesHandler.ashx?enc=6QkG1d%2fPPRiCAqhKb7yhsglff%2fiazrVw%2bcyfdY9GxZ7TB4fGyJNlHM4%2boFUnvkb8gSMnO%2bcQb8a03CmcpzN9Esa8ebpcFBZyhUr6iK%2fKsfm2FmUQnkW3xj8UPWUItfWo</w:t>
        </w:r>
      </w:hyperlink>
      <w:r>
        <w:rPr>
          <w:rFonts w:cstheme="minorHAnsi"/>
          <w:sz w:val="18"/>
          <w:szCs w:val="18"/>
        </w:rPr>
        <w:t xml:space="preserve">; </w:t>
      </w:r>
      <w:r w:rsidRPr="00CA02F4">
        <w:rPr>
          <w:rFonts w:cstheme="minorHAnsi"/>
          <w:sz w:val="18"/>
          <w:szCs w:val="18"/>
          <w:lang w:val="en-US"/>
        </w:rPr>
        <w:t>United States Department of State, </w:t>
      </w:r>
      <w:r>
        <w:rPr>
          <w:rFonts w:cstheme="minorHAnsi"/>
          <w:sz w:val="18"/>
          <w:szCs w:val="18"/>
          <w:lang w:val="en-US"/>
        </w:rPr>
        <w:t>‘</w:t>
      </w:r>
      <w:r w:rsidRPr="00CA02F4">
        <w:rPr>
          <w:rFonts w:cstheme="minorHAnsi"/>
          <w:sz w:val="18"/>
          <w:szCs w:val="18"/>
          <w:lang w:val="en-US"/>
        </w:rPr>
        <w:t>Trafficking in Persons Report</w:t>
      </w:r>
      <w:r>
        <w:rPr>
          <w:rFonts w:cstheme="minorHAnsi"/>
          <w:sz w:val="18"/>
          <w:szCs w:val="18"/>
          <w:lang w:val="en-US"/>
        </w:rPr>
        <w:t xml:space="preserve"> June 2019’</w:t>
      </w:r>
      <w:r w:rsidRPr="00CA02F4">
        <w:rPr>
          <w:rFonts w:cstheme="minorHAnsi"/>
          <w:sz w:val="18"/>
          <w:szCs w:val="18"/>
          <w:lang w:val="en-US"/>
        </w:rPr>
        <w:t>, June 201</w:t>
      </w:r>
      <w:r>
        <w:rPr>
          <w:rFonts w:cstheme="minorHAnsi"/>
          <w:sz w:val="18"/>
          <w:szCs w:val="18"/>
          <w:lang w:val="en-US"/>
        </w:rPr>
        <w:t>9</w:t>
      </w:r>
      <w:r w:rsidRPr="00CA02F4">
        <w:rPr>
          <w:rFonts w:cstheme="minorHAnsi"/>
          <w:sz w:val="18"/>
          <w:szCs w:val="18"/>
          <w:lang w:val="en-US"/>
        </w:rPr>
        <w:t>,</w:t>
      </w:r>
      <w:r>
        <w:rPr>
          <w:rFonts w:cstheme="minorHAnsi"/>
          <w:sz w:val="18"/>
          <w:szCs w:val="18"/>
          <w:lang w:val="en-US"/>
        </w:rPr>
        <w:t xml:space="preserve"> p 127, </w:t>
      </w:r>
      <w:r w:rsidRPr="00CA02F4">
        <w:rPr>
          <w:rFonts w:cstheme="minorHAnsi"/>
          <w:sz w:val="18"/>
          <w:szCs w:val="18"/>
          <w:lang w:val="en-US"/>
        </w:rPr>
        <w:t xml:space="preserve">available at: </w:t>
      </w:r>
      <w:hyperlink r:id="rId75" w:history="1">
        <w:r w:rsidRPr="007605E7">
          <w:rPr>
            <w:rStyle w:val="Hyperlink"/>
            <w:sz w:val="18"/>
            <w:szCs w:val="18"/>
          </w:rPr>
          <w:t>https://www.state.gov/wp-content/uploads/2019/06/2019-Trafficking-in-Persons-Report.pdf</w:t>
        </w:r>
      </w:hyperlink>
    </w:p>
  </w:footnote>
  <w:footnote w:id="84">
    <w:p w14:paraId="51A197AB" w14:textId="77777777" w:rsidR="00D2799B" w:rsidRPr="00CF03B5" w:rsidRDefault="00D2799B" w:rsidP="00D2799B">
      <w:pPr>
        <w:pStyle w:val="FootnoteText"/>
      </w:pPr>
      <w:r>
        <w:rPr>
          <w:rStyle w:val="FootnoteReference"/>
        </w:rPr>
        <w:footnoteRef/>
      </w:r>
      <w:r>
        <w:t xml:space="preserve"> </w:t>
      </w:r>
      <w:r w:rsidRPr="00780371">
        <w:rPr>
          <w:rFonts w:cstheme="minorHAnsi"/>
          <w:sz w:val="18"/>
          <w:szCs w:val="18"/>
        </w:rPr>
        <w:t>‘Report of the Working Group on the Universal Periodic Review Cambodia’, HRC, 5 April 2019, A/HRC/41/17, para 110</w:t>
      </w:r>
      <w:r>
        <w:rPr>
          <w:rFonts w:cstheme="minorHAnsi"/>
          <w:sz w:val="18"/>
          <w:szCs w:val="18"/>
        </w:rPr>
        <w:t>.75</w:t>
      </w:r>
      <w:r w:rsidRPr="00780371">
        <w:rPr>
          <w:rFonts w:cstheme="minorHAnsi"/>
          <w:sz w:val="18"/>
          <w:szCs w:val="18"/>
        </w:rPr>
        <w:t xml:space="preserve">, </w:t>
      </w:r>
      <w:hyperlink r:id="rId76" w:history="1">
        <w:r w:rsidRPr="00780371">
          <w:rPr>
            <w:rStyle w:val="Hyperlink"/>
            <w:rFonts w:cstheme="minorHAnsi"/>
            <w:sz w:val="18"/>
            <w:szCs w:val="18"/>
          </w:rPr>
          <w:t>https://documents-dds-ny.un.org/doc/UNDOC/GEN/G19/098/90/PDF/G1909890.pdf?OpenElement</w:t>
        </w:r>
      </w:hyperlink>
    </w:p>
  </w:footnote>
  <w:footnote w:id="85">
    <w:p w14:paraId="3F4461C6"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 xml:space="preserve">Destination Justice, ‘Rainbow Legal Aid Access to Legal Aid for the LGBTIQ Community in Cambodia’, February 2019, </w:t>
      </w:r>
      <w:r w:rsidRPr="00780371">
        <w:rPr>
          <w:rFonts w:cstheme="minorHAnsi"/>
          <w:sz w:val="18"/>
          <w:szCs w:val="18"/>
        </w:rPr>
        <w:t xml:space="preserve">p 5, </w:t>
      </w:r>
      <w:r w:rsidRPr="00941964">
        <w:rPr>
          <w:rFonts w:cstheme="minorHAnsi"/>
          <w:sz w:val="18"/>
          <w:szCs w:val="18"/>
        </w:rPr>
        <w:t xml:space="preserve">to be found on: </w:t>
      </w:r>
      <w:hyperlink r:id="rId77" w:history="1">
        <w:r w:rsidRPr="00941964">
          <w:rPr>
            <w:rStyle w:val="Hyperlink"/>
            <w:rFonts w:cstheme="minorHAnsi"/>
            <w:sz w:val="18"/>
            <w:szCs w:val="18"/>
          </w:rPr>
          <w:t>http://destinationjustice.org/launching-the-rainbow-legal-aid-in-cambodia-report/</w:t>
        </w:r>
      </w:hyperlink>
    </w:p>
  </w:footnote>
  <w:footnote w:id="86">
    <w:p w14:paraId="3D67BCED"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Destination Justice, ‘Rainbow Legal Aid Access to Legal Aid for the LGBTIQ Community in Cambodia’, February 2019, p 5, to be found on: </w:t>
      </w:r>
      <w:hyperlink r:id="rId78" w:history="1">
        <w:r w:rsidRPr="00780371">
          <w:rPr>
            <w:rStyle w:val="Hyperlink"/>
            <w:rFonts w:cstheme="minorHAnsi"/>
            <w:sz w:val="18"/>
            <w:szCs w:val="18"/>
          </w:rPr>
          <w:t>http://destinationjustice.org/launching-the-rainbow-legal-aid-in-cambodia-report/</w:t>
        </w:r>
      </w:hyperlink>
    </w:p>
  </w:footnote>
  <w:footnote w:id="87">
    <w:p w14:paraId="4FC79B53"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Destination Justice, ‘Rainbow Legal Aid Access to Legal Aid for the LGBTIQ Community in Cambodia’, February 2019, p 9, to be found on: </w:t>
      </w:r>
      <w:hyperlink r:id="rId79" w:history="1">
        <w:r w:rsidRPr="00780371">
          <w:rPr>
            <w:rStyle w:val="Hyperlink"/>
            <w:rFonts w:cstheme="minorHAnsi"/>
            <w:sz w:val="18"/>
            <w:szCs w:val="18"/>
          </w:rPr>
          <w:t>http://destinationjustice.org/launching-the-rainbow-legal-aid-in-cambodia-report/</w:t>
        </w:r>
      </w:hyperlink>
    </w:p>
  </w:footnote>
  <w:footnote w:id="88">
    <w:p w14:paraId="379EA714"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Destination Justice, ‘Rainbow Legal Aid Access to Legal Aid for the LGBTIQ Community in Cambodia’, February 2019, p 9, to be found on: </w:t>
      </w:r>
      <w:hyperlink r:id="rId80" w:history="1">
        <w:r w:rsidRPr="00780371">
          <w:rPr>
            <w:rStyle w:val="Hyperlink"/>
            <w:rFonts w:cstheme="minorHAnsi"/>
            <w:sz w:val="18"/>
            <w:szCs w:val="18"/>
          </w:rPr>
          <w:t>http://destinationjustice.org/launching-the-rainbow-legal-aid-in-cambodia-report/</w:t>
        </w:r>
      </w:hyperlink>
    </w:p>
  </w:footnote>
  <w:footnote w:id="89">
    <w:p w14:paraId="5C7C81A1"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780371">
        <w:rPr>
          <w:rFonts w:cstheme="minorHAnsi"/>
          <w:sz w:val="18"/>
          <w:szCs w:val="18"/>
          <w:lang w:val="en-US"/>
        </w:rPr>
        <w:t xml:space="preserve">Discrimination against transgender women in Cambodia’s urban centers’, Cambodian Center for Human Rights, September 2016, p 18, </w:t>
      </w:r>
      <w:hyperlink r:id="rId81" w:history="1">
        <w:r w:rsidRPr="00780371">
          <w:rPr>
            <w:rStyle w:val="Hyperlink"/>
            <w:rFonts w:cstheme="minorHAnsi"/>
            <w:sz w:val="18"/>
            <w:szCs w:val="18"/>
            <w:lang w:val="en-US"/>
          </w:rPr>
          <w:t>https://cchrcambodia.org/admin/media/report/report/english/2016_09_21_SOGI_Report_Eng.pdf</w:t>
        </w:r>
      </w:hyperlink>
    </w:p>
  </w:footnote>
  <w:footnote w:id="90">
    <w:p w14:paraId="2F85F5C0"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Ibid</w:t>
      </w:r>
    </w:p>
  </w:footnote>
  <w:footnote w:id="91">
    <w:p w14:paraId="41318EAE"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Ibid</w:t>
      </w:r>
    </w:p>
  </w:footnote>
  <w:footnote w:id="92">
    <w:p w14:paraId="253B9170" w14:textId="77777777" w:rsidR="00D2799B" w:rsidRPr="00780371" w:rsidRDefault="00D2799B" w:rsidP="00D2799B">
      <w:pPr>
        <w:pStyle w:val="FootnoteText"/>
        <w:rPr>
          <w:rFonts w:cstheme="minorHAnsi"/>
          <w:i/>
          <w:sz w:val="18"/>
          <w:szCs w:val="18"/>
          <w:lang w:val="en-US"/>
        </w:rPr>
      </w:pPr>
      <w:r w:rsidRPr="00780371">
        <w:rPr>
          <w:rStyle w:val="FootnoteReference"/>
          <w:rFonts w:cstheme="minorHAnsi"/>
          <w:sz w:val="18"/>
          <w:szCs w:val="18"/>
        </w:rPr>
        <w:footnoteRef/>
      </w:r>
      <w:r w:rsidRPr="00780371">
        <w:rPr>
          <w:rFonts w:cstheme="minorHAnsi"/>
          <w:i/>
          <w:sz w:val="18"/>
          <w:szCs w:val="18"/>
          <w:lang w:val="en-US"/>
        </w:rPr>
        <w:t xml:space="preserve"> </w:t>
      </w:r>
      <w:r w:rsidRPr="00941964">
        <w:rPr>
          <w:rFonts w:cstheme="minorHAnsi"/>
          <w:sz w:val="18"/>
          <w:szCs w:val="18"/>
          <w:lang w:val="en-US"/>
        </w:rPr>
        <w:t>Ibid</w:t>
      </w:r>
    </w:p>
  </w:footnote>
  <w:footnote w:id="93">
    <w:p w14:paraId="79474290"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Information obtained from the Cambodian Center for Human Rights (CCHR), 2018</w:t>
      </w:r>
    </w:p>
  </w:footnote>
  <w:footnote w:id="94">
    <w:p w14:paraId="3DD17617"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941964">
        <w:rPr>
          <w:rFonts w:cstheme="minorHAnsi"/>
          <w:sz w:val="18"/>
          <w:szCs w:val="18"/>
        </w:rPr>
        <w:t xml:space="preserve"> ‘List of issues and questions in relation to the sixth periodic report of Cambodia’, CEDAW, 18 March 2019, CEDAW/C/KHM/Q/6, </w:t>
      </w:r>
      <w:r w:rsidRPr="00780371">
        <w:rPr>
          <w:rFonts w:cstheme="minorHAnsi"/>
          <w:sz w:val="18"/>
          <w:szCs w:val="18"/>
        </w:rPr>
        <w:t xml:space="preserve">para 22, </w:t>
      </w:r>
      <w:hyperlink r:id="rId82" w:history="1">
        <w:r w:rsidRPr="00941964">
          <w:rPr>
            <w:rStyle w:val="Hyperlink"/>
            <w:rFonts w:cstheme="minorHAnsi"/>
            <w:sz w:val="18"/>
            <w:szCs w:val="18"/>
          </w:rPr>
          <w:t>http://docstore.ohchr.org/SelfServices/FilesHandler.ashx?enc=6QkG1d%2fPPRiCAqhKb7yhsglff%2fiazrVw%2bcyfdY9GxZ5qsiPlzMHaS7D9K%2bQCA6BBU4Snb11Vb7EspUT6L9XKcyIh%2bE53VmsSpjg%2fudK%2bd2qT3ZUliqayFFl1YvLaDBZc</w:t>
        </w:r>
      </w:hyperlink>
    </w:p>
  </w:footnote>
  <w:footnote w:id="95">
    <w:p w14:paraId="27AC19DD"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‘National report submitted in accordance with paragraph 5 of the annex to Human Rights Council resolution 16/21 Cambodia’, HRC, 15 November 2018, A/HRC/WG.6/32/KHM/1, para 40, </w:t>
      </w:r>
      <w:hyperlink r:id="rId83" w:history="1">
        <w:r w:rsidRPr="00941964">
          <w:rPr>
            <w:rStyle w:val="Hyperlink"/>
            <w:rFonts w:cstheme="minorHAnsi"/>
            <w:sz w:val="18"/>
            <w:szCs w:val="18"/>
          </w:rPr>
          <w:t>https://documents-dds-ny.un.org/doc/UNDOC/GEN/G18/341/00/PDF/G1834100.pdf?OpenElement</w:t>
        </w:r>
      </w:hyperlink>
    </w:p>
  </w:footnote>
  <w:footnote w:id="96">
    <w:p w14:paraId="1068EE08"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The Phnom Penh Post, ‘most female inmates jailed on drug charges’, 26 A</w:t>
      </w:r>
      <w:r w:rsidRPr="00780371">
        <w:rPr>
          <w:rFonts w:cstheme="minorHAnsi"/>
          <w:sz w:val="18"/>
          <w:szCs w:val="18"/>
        </w:rPr>
        <w:t>pr</w:t>
      </w:r>
      <w:r w:rsidRPr="00941964">
        <w:rPr>
          <w:rFonts w:cstheme="minorHAnsi"/>
          <w:sz w:val="18"/>
          <w:szCs w:val="18"/>
        </w:rPr>
        <w:t xml:space="preserve">il 2019, </w:t>
      </w:r>
      <w:hyperlink r:id="rId84" w:history="1">
        <w:r w:rsidRPr="00941964">
          <w:rPr>
            <w:rStyle w:val="Hyperlink"/>
            <w:rFonts w:cstheme="minorHAnsi"/>
            <w:sz w:val="18"/>
            <w:szCs w:val="18"/>
          </w:rPr>
          <w:t>https://www.phnompenhpost.com/national/most-female-inmates-jailed-drug-charges</w:t>
        </w:r>
      </w:hyperlink>
    </w:p>
  </w:footnote>
  <w:footnote w:id="97">
    <w:p w14:paraId="24806BF8"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Samantha Jeffries and Chontit Chuenurah, 'Pathways to prison in Cambodia for homicide offending: exploring women’s life history narratives', SAGE Journals, 26:2, 12 April 2018, p</w:t>
      </w:r>
      <w:r>
        <w:rPr>
          <w:rFonts w:cstheme="minorHAnsi"/>
          <w:sz w:val="18"/>
          <w:szCs w:val="18"/>
          <w:lang w:val="en-US"/>
        </w:rPr>
        <w:t>p</w:t>
      </w:r>
      <w:r w:rsidRPr="00780371">
        <w:rPr>
          <w:rFonts w:cstheme="minorHAnsi"/>
          <w:sz w:val="18"/>
          <w:szCs w:val="18"/>
          <w:lang w:val="en-US"/>
        </w:rPr>
        <w:t xml:space="preserve"> 117 – 119, </w:t>
      </w:r>
      <w:hyperlink r:id="rId85" w:history="1">
        <w:r w:rsidRPr="00780371">
          <w:rPr>
            <w:rStyle w:val="Hyperlink"/>
            <w:rFonts w:cstheme="minorHAnsi"/>
            <w:sz w:val="18"/>
            <w:szCs w:val="18"/>
            <w:lang w:val="en-US"/>
          </w:rPr>
          <w:t>http://journals.sagepub.com/doi/abs/10.1177/0967828X18769223?journalCode=sera</w:t>
        </w:r>
      </w:hyperlink>
    </w:p>
  </w:footnote>
  <w:footnote w:id="98">
    <w:p w14:paraId="6DBAD25F"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i/>
          <w:sz w:val="18"/>
          <w:szCs w:val="18"/>
          <w:lang w:val="en-US"/>
        </w:rPr>
        <w:t xml:space="preserve"> </w:t>
      </w:r>
      <w:r w:rsidRPr="00780371">
        <w:rPr>
          <w:rFonts w:cstheme="minorHAnsi"/>
          <w:sz w:val="18"/>
          <w:szCs w:val="18"/>
          <w:lang w:val="en-US"/>
        </w:rPr>
        <w:t xml:space="preserve">Samantha Jeffries and Chontit Chuenurah, 'Pathways to prison in Cambodia for homicide offending: exploring women’s life history narratives', SAGE Journals, 26:2, 12 April 2018, p 116, </w:t>
      </w:r>
      <w:hyperlink r:id="rId86" w:history="1">
        <w:r w:rsidRPr="00780371">
          <w:rPr>
            <w:rStyle w:val="Hyperlink"/>
            <w:rFonts w:cstheme="minorHAnsi"/>
            <w:sz w:val="18"/>
            <w:szCs w:val="18"/>
            <w:lang w:val="en-US"/>
          </w:rPr>
          <w:t>http://journals.sagepub.com/doi/abs/10.1177/0967828X18769223?journalCode=sera</w:t>
        </w:r>
      </w:hyperlink>
    </w:p>
  </w:footnote>
  <w:footnote w:id="99">
    <w:p w14:paraId="33257914"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i/>
          <w:sz w:val="18"/>
          <w:szCs w:val="18"/>
          <w:lang w:val="en-US"/>
        </w:rPr>
        <w:t xml:space="preserve"> </w:t>
      </w:r>
      <w:r w:rsidRPr="00780371">
        <w:rPr>
          <w:rFonts w:cstheme="minorHAnsi"/>
          <w:sz w:val="18"/>
          <w:szCs w:val="18"/>
          <w:lang w:val="en-US"/>
        </w:rPr>
        <w:t>Samantha Jeffries and Chontit Chuenurah, 'Pathways to prison in Cambodia for homicide offending: exploring women’s life history narratives', SAGE Journals, 26:2, 12 April 2018, p</w:t>
      </w:r>
      <w:r>
        <w:rPr>
          <w:rFonts w:cstheme="minorHAnsi"/>
          <w:sz w:val="18"/>
          <w:szCs w:val="18"/>
          <w:lang w:val="en-US"/>
        </w:rPr>
        <w:t>p</w:t>
      </w:r>
      <w:r w:rsidRPr="00780371">
        <w:rPr>
          <w:rFonts w:cstheme="minorHAnsi"/>
          <w:sz w:val="18"/>
          <w:szCs w:val="18"/>
          <w:lang w:val="en-US"/>
        </w:rPr>
        <w:t xml:space="preserve"> 117 and 119, </w:t>
      </w:r>
      <w:hyperlink r:id="rId87" w:history="1">
        <w:r w:rsidRPr="00780371">
          <w:rPr>
            <w:rStyle w:val="Hyperlink"/>
            <w:rFonts w:cstheme="minorHAnsi"/>
            <w:sz w:val="18"/>
            <w:szCs w:val="18"/>
            <w:lang w:val="en-US"/>
          </w:rPr>
          <w:t>http://journals.sagepub.com/doi/abs/10.1177/0967828X18769223?journalCode=sera</w:t>
        </w:r>
      </w:hyperlink>
    </w:p>
  </w:footnote>
  <w:footnote w:id="100">
    <w:p w14:paraId="3FA2C3C4"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LICADHO, ‘Rights at a price: life inside Cambodia’s prisons’, 20 January 2015, </w:t>
      </w:r>
      <w:hyperlink r:id="rId88" w:history="1">
        <w:r w:rsidRPr="00780371">
          <w:rPr>
            <w:rStyle w:val="Hyperlink"/>
            <w:rFonts w:cstheme="minorHAnsi"/>
            <w:sz w:val="18"/>
            <w:szCs w:val="18"/>
            <w:lang w:val="en-US"/>
          </w:rPr>
          <w:t>http://www.licadho-cambodia.org/pressrelease.php?perm=369</w:t>
        </w:r>
      </w:hyperlink>
    </w:p>
  </w:footnote>
  <w:footnote w:id="101">
    <w:p w14:paraId="623D0553"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’14 years: the horrors of Prey Sar’, Khmer Times, 16 June 2016, </w:t>
      </w:r>
      <w:hyperlink r:id="rId89" w:history="1">
        <w:r w:rsidRPr="00780371">
          <w:rPr>
            <w:rStyle w:val="Hyperlink"/>
            <w:rFonts w:cstheme="minorHAnsi"/>
            <w:sz w:val="18"/>
            <w:szCs w:val="18"/>
            <w:lang w:val="en-US"/>
          </w:rPr>
          <w:t>https://www.khmertimeskh.com/news/26182/14-years--the-horrors-of-prey-sar/</w:t>
        </w:r>
      </w:hyperlink>
    </w:p>
  </w:footnote>
  <w:footnote w:id="102">
    <w:p w14:paraId="5A023A29"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i/>
          <w:sz w:val="18"/>
          <w:szCs w:val="18"/>
          <w:lang w:val="en-US"/>
        </w:rPr>
        <w:t xml:space="preserve"> Ibid </w:t>
      </w:r>
    </w:p>
  </w:footnote>
  <w:footnote w:id="103">
    <w:p w14:paraId="227E1E26"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LICADHO, </w:t>
      </w:r>
      <w:r w:rsidRPr="00780371">
        <w:rPr>
          <w:rFonts w:cstheme="minorHAnsi"/>
          <w:sz w:val="18"/>
          <w:szCs w:val="18"/>
          <w:lang w:val="en-US"/>
        </w:rPr>
        <w:t xml:space="preserve">‘Rights at a price: life inside Cambodia’s prisons’, 20 January 2015, p 18, </w:t>
      </w:r>
      <w:hyperlink r:id="rId90" w:history="1">
        <w:r w:rsidRPr="00780371">
          <w:rPr>
            <w:rStyle w:val="Hyperlink"/>
            <w:rFonts w:cstheme="minorHAnsi"/>
            <w:sz w:val="18"/>
            <w:szCs w:val="18"/>
            <w:lang w:val="en-US"/>
          </w:rPr>
          <w:t>http://www.licadho-cambodia.org/pressrelease.php?perm=369</w:t>
        </w:r>
      </w:hyperlink>
      <w:r w:rsidRPr="00780371">
        <w:rPr>
          <w:rStyle w:val="Hyperlink"/>
          <w:rFonts w:cstheme="minorHAnsi"/>
          <w:sz w:val="18"/>
          <w:szCs w:val="18"/>
          <w:lang w:val="en-US"/>
        </w:rPr>
        <w:t>;</w:t>
      </w:r>
      <w:r w:rsidRPr="00046EF2">
        <w:rPr>
          <w:rStyle w:val="Hyperlink"/>
          <w:rFonts w:cstheme="minorHAnsi"/>
          <w:sz w:val="18"/>
          <w:szCs w:val="18"/>
          <w:lang w:val="en-US"/>
        </w:rPr>
        <w:t xml:space="preserve"> </w:t>
      </w:r>
      <w:r w:rsidRPr="00941964">
        <w:rPr>
          <w:rStyle w:val="Hyperlink"/>
          <w:rFonts w:cstheme="minorHAnsi"/>
          <w:sz w:val="18"/>
          <w:szCs w:val="18"/>
          <w:lang w:val="en-US"/>
        </w:rPr>
        <w:t xml:space="preserve">The Phnom Penh Post, ‘Kids don’t belong in prison, 8 March 2019, </w:t>
      </w:r>
      <w:hyperlink r:id="rId91" w:history="1">
        <w:r w:rsidRPr="00941964">
          <w:rPr>
            <w:rStyle w:val="Hyperlink"/>
            <w:rFonts w:cstheme="minorHAnsi"/>
            <w:sz w:val="18"/>
            <w:szCs w:val="18"/>
          </w:rPr>
          <w:t>https://www.phnompenhpost.com/opinion/kids-dont-belong-prison</w:t>
        </w:r>
      </w:hyperlink>
      <w:r w:rsidRPr="00780371">
        <w:rPr>
          <w:rFonts w:cstheme="minorHAnsi"/>
          <w:sz w:val="18"/>
          <w:szCs w:val="18"/>
        </w:rPr>
        <w:t xml:space="preserve">; LICADHO, ‘Time for Bail: Ending Needless Mass Detention’, October 2018, p 3, </w:t>
      </w:r>
      <w:hyperlink r:id="rId92" w:history="1">
        <w:r w:rsidRPr="00941964">
          <w:rPr>
            <w:rStyle w:val="Hyperlink"/>
            <w:rFonts w:cstheme="minorHAnsi"/>
            <w:sz w:val="18"/>
            <w:szCs w:val="18"/>
          </w:rPr>
          <w:t>http://www.licadho-cambodia.org/reports/files/227Time%20for%20Bail_Ending%20Needless%20Mass%20Detention_fin.pdf</w:t>
        </w:r>
      </w:hyperlink>
    </w:p>
  </w:footnote>
  <w:footnote w:id="104">
    <w:p w14:paraId="5B5756D1"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‘General recommendation No. 33 on women’s access to justice’, CEDAW, 3 August 2015, CEDAW/C/GC/33, para 51(p), </w:t>
      </w:r>
      <w:hyperlink r:id="rId93" w:history="1">
        <w:r w:rsidRPr="00780371">
          <w:rPr>
            <w:rStyle w:val="Hyperlink"/>
            <w:rFonts w:cstheme="minorHAnsi"/>
            <w:sz w:val="18"/>
            <w:szCs w:val="18"/>
          </w:rPr>
          <w:t>http://docstore.ohchr.org/SelfServices/FilesHandler.ashx?enc=6QkG1d%2fPPRiCAqhKb7yhsldCrOlUTvLRFDjh6%2fx1pWCd9kc8NuhsZOT1QuzhrDy1rIpOgSyxJmK%2fSo2p3MpTl9diLSL02wtx8JPse1mlicqCgIo0em30unjIY%2fnkmn3g</w:t>
        </w:r>
      </w:hyperlink>
      <w:r>
        <w:rPr>
          <w:rStyle w:val="Hyperlink"/>
          <w:rFonts w:cstheme="minorHAnsi"/>
          <w:sz w:val="18"/>
          <w:szCs w:val="18"/>
        </w:rPr>
        <w:t xml:space="preserve">; </w:t>
      </w:r>
      <w:r w:rsidRPr="00362F5D">
        <w:rPr>
          <w:sz w:val="18"/>
        </w:rPr>
        <w:t>Article 203 of</w:t>
      </w:r>
      <w:r w:rsidRPr="0020047E">
        <w:rPr>
          <w:sz w:val="18"/>
        </w:rPr>
        <w:t xml:space="preserve"> the Cambodian Code of Criminal Procedure, to be found at:</w:t>
      </w:r>
      <w:r w:rsidRPr="00362F5D">
        <w:rPr>
          <w:sz w:val="18"/>
        </w:rPr>
        <w:t xml:space="preserve"> </w:t>
      </w:r>
      <w:hyperlink r:id="rId94" w:history="1">
        <w:r w:rsidRPr="00362F5D">
          <w:rPr>
            <w:rStyle w:val="Hyperlink"/>
            <w:sz w:val="18"/>
          </w:rPr>
          <w:t>http://cambodia.ohchr.org/~cambodiaohchr/sites/default/files/Annotated%20Cambodian%20Code%20of%20Criminal%20Procedure%20%5BEN%5D%20%5BMaster%20-%20Final%5D.pdf</w:t>
        </w:r>
      </w:hyperlink>
    </w:p>
  </w:footnote>
  <w:footnote w:id="105">
    <w:p w14:paraId="40AA86EA"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CCHR, ‘</w:t>
      </w:r>
      <w:r w:rsidRPr="00780371">
        <w:rPr>
          <w:rFonts w:cstheme="minorHAnsi"/>
          <w:bCs/>
          <w:sz w:val="18"/>
          <w:szCs w:val="18"/>
        </w:rPr>
        <w:t xml:space="preserve">Fair Trial Rights Newsletter: </w:t>
      </w:r>
      <w:r w:rsidRPr="00780371">
        <w:rPr>
          <w:rFonts w:cstheme="minorHAnsi"/>
          <w:sz w:val="18"/>
          <w:szCs w:val="18"/>
        </w:rPr>
        <w:t xml:space="preserve">Fair Trial Rights for Women in Cambodia’, August 2018, p 1, </w:t>
      </w:r>
      <w:hyperlink r:id="rId95" w:history="1">
        <w:r w:rsidRPr="00941964">
          <w:rPr>
            <w:rStyle w:val="Hyperlink"/>
            <w:rFonts w:cstheme="minorHAnsi"/>
            <w:sz w:val="18"/>
            <w:szCs w:val="18"/>
          </w:rPr>
          <w:t>https://cchrcambodia.org/admin/media/newsletter/newsletter/english/CCHR%20Fair%20Trial%20Rights%20Newsletter%20on%20Women%20in%20Cambodia%20-English.pdf</w:t>
        </w:r>
      </w:hyperlink>
    </w:p>
  </w:footnote>
  <w:footnote w:id="106">
    <w:p w14:paraId="69068391"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See The Bangkok Rules, </w:t>
      </w:r>
      <w:hyperlink r:id="rId96" w:history="1">
        <w:r w:rsidRPr="00780371">
          <w:rPr>
            <w:rStyle w:val="Hyperlink"/>
            <w:rFonts w:cstheme="minorHAnsi"/>
            <w:sz w:val="18"/>
            <w:szCs w:val="18"/>
          </w:rPr>
          <w:t>http://www.un.org/en/ecosoc/docs/2010/res%202010-16.pdf</w:t>
        </w:r>
      </w:hyperlink>
    </w:p>
  </w:footnote>
  <w:footnote w:id="107">
    <w:p w14:paraId="39F2333C"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CCHR, ‘</w:t>
      </w:r>
      <w:r w:rsidRPr="00780371">
        <w:rPr>
          <w:rFonts w:cstheme="minorHAnsi"/>
          <w:bCs/>
          <w:sz w:val="18"/>
          <w:szCs w:val="18"/>
        </w:rPr>
        <w:t xml:space="preserve">Fair Trial Rights Newsletter: </w:t>
      </w:r>
      <w:r w:rsidRPr="00780371">
        <w:rPr>
          <w:rFonts w:cstheme="minorHAnsi"/>
          <w:sz w:val="18"/>
          <w:szCs w:val="18"/>
        </w:rPr>
        <w:t xml:space="preserve">Fair Trial Rights for Women in Cambodia’, August 2018, </w:t>
      </w:r>
      <w:hyperlink r:id="rId97" w:history="1">
        <w:r w:rsidRPr="00780371">
          <w:rPr>
            <w:rStyle w:val="Hyperlink"/>
            <w:rFonts w:cstheme="minorHAnsi"/>
            <w:sz w:val="18"/>
            <w:szCs w:val="18"/>
          </w:rPr>
          <w:t>https://cchrcambodia.org/admin/media/newsletter/newsletter/english/CCHR%20Fair%20Trial%20Rights%20Newsletter%20on%20Women%20in%20Cambodia%20-English.pdf</w:t>
        </w:r>
      </w:hyperlink>
    </w:p>
  </w:footnote>
  <w:footnote w:id="108">
    <w:p w14:paraId="1BA44B4F"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LICADHO, </w:t>
      </w:r>
      <w:r w:rsidRPr="00780371">
        <w:rPr>
          <w:rFonts w:cstheme="minorHAnsi"/>
          <w:sz w:val="18"/>
          <w:szCs w:val="18"/>
          <w:lang w:val="en-US"/>
        </w:rPr>
        <w:t xml:space="preserve">‘Mothers behind bars: the impact of detention on women and their children’, 26 May 2015, </w:t>
      </w:r>
      <w:hyperlink r:id="rId98" w:history="1">
        <w:r w:rsidRPr="00780371">
          <w:rPr>
            <w:rStyle w:val="Hyperlink"/>
            <w:rFonts w:cstheme="minorHAnsi"/>
            <w:sz w:val="18"/>
            <w:szCs w:val="18"/>
            <w:lang w:val="en-US"/>
          </w:rPr>
          <w:t>http://www.licadho-cambodia.org/pressrelease.php?perm=384</w:t>
        </w:r>
      </w:hyperlink>
    </w:p>
  </w:footnote>
  <w:footnote w:id="109">
    <w:p w14:paraId="08E9C642"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rPr>
        <w:t xml:space="preserve"> LICADHO, ‘Time for Bail: Ending Needless Mass Detention’, October 2018, p 3, </w:t>
      </w:r>
      <w:hyperlink r:id="rId99" w:history="1">
        <w:r w:rsidRPr="00780371">
          <w:rPr>
            <w:rStyle w:val="Hyperlink"/>
            <w:rFonts w:cstheme="minorHAnsi"/>
            <w:sz w:val="18"/>
            <w:szCs w:val="18"/>
          </w:rPr>
          <w:t>https://www.licadho-cambodia.org/reports/files/227Time%20for%20Bail_Ending%20Needless%20Mass%20Detention_fin.pdf</w:t>
        </w:r>
      </w:hyperlink>
    </w:p>
  </w:footnote>
  <w:footnote w:id="110">
    <w:p w14:paraId="0B677A11"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 xml:space="preserve">The Phnom Penh Post, ‘Kids don’t belong in prison’, 8 March 2019, </w:t>
      </w:r>
      <w:hyperlink r:id="rId100" w:history="1">
        <w:r w:rsidRPr="00941964">
          <w:rPr>
            <w:rStyle w:val="Hyperlink"/>
            <w:rFonts w:cstheme="minorHAnsi"/>
            <w:sz w:val="18"/>
            <w:szCs w:val="18"/>
          </w:rPr>
          <w:t>https://www.phnompenhpost.com/opinion/kids-dont-belong-prison</w:t>
        </w:r>
      </w:hyperlink>
      <w:r w:rsidRPr="00780371">
        <w:rPr>
          <w:rFonts w:cstheme="minorHAnsi"/>
          <w:sz w:val="18"/>
          <w:szCs w:val="18"/>
        </w:rPr>
        <w:t xml:space="preserve">; Khmer Times, ‘Drug offenders crowding prisons’, 20 March 2019, </w:t>
      </w:r>
      <w:hyperlink r:id="rId101" w:history="1">
        <w:r w:rsidRPr="00941964">
          <w:rPr>
            <w:rStyle w:val="Hyperlink"/>
            <w:rFonts w:cstheme="minorHAnsi"/>
            <w:sz w:val="18"/>
            <w:szCs w:val="18"/>
          </w:rPr>
          <w:t>https://www.khmertimeskh.com/50588464/drug-offenders-crowding-prisons/</w:t>
        </w:r>
      </w:hyperlink>
    </w:p>
  </w:footnote>
  <w:footnote w:id="111">
    <w:p w14:paraId="1BC29879" w14:textId="77777777" w:rsidR="00D2799B" w:rsidRPr="00362F5D" w:rsidRDefault="00D2799B" w:rsidP="00D2799B">
      <w:pPr>
        <w:pStyle w:val="FootnoteText"/>
        <w:rPr>
          <w:sz w:val="18"/>
          <w:szCs w:val="18"/>
        </w:rPr>
      </w:pPr>
      <w:r w:rsidRPr="00362F5D">
        <w:rPr>
          <w:rStyle w:val="FootnoteReference"/>
          <w:sz w:val="18"/>
          <w:szCs w:val="18"/>
        </w:rPr>
        <w:footnoteRef/>
      </w:r>
      <w:r w:rsidRPr="00362F5D">
        <w:rPr>
          <w:sz w:val="18"/>
          <w:szCs w:val="18"/>
        </w:rPr>
        <w:t xml:space="preserve"> LICADHO, ‘Rights at a </w:t>
      </w:r>
      <w:r>
        <w:rPr>
          <w:sz w:val="18"/>
          <w:szCs w:val="18"/>
        </w:rPr>
        <w:t xml:space="preserve">Price: Life Inside Cambodia’s Prisons’, January 2015, </w:t>
      </w:r>
      <w:hyperlink r:id="rId102" w:history="1">
        <w:r w:rsidRPr="00F07036">
          <w:rPr>
            <w:rStyle w:val="Hyperlink"/>
            <w:sz w:val="18"/>
            <w:szCs w:val="18"/>
          </w:rPr>
          <w:t>http://www.licadho-cambodia.org/collection/25/life_inside_cambodia_prison</w:t>
        </w:r>
      </w:hyperlink>
    </w:p>
  </w:footnote>
  <w:footnote w:id="112">
    <w:p w14:paraId="13601993" w14:textId="77777777" w:rsidR="00D2799B" w:rsidRPr="00780371" w:rsidRDefault="00D2799B" w:rsidP="00D2799B">
      <w:pPr>
        <w:pStyle w:val="FootnoteText"/>
        <w:rPr>
          <w:rFonts w:cstheme="minorHAnsi"/>
          <w:sz w:val="18"/>
          <w:szCs w:val="18"/>
          <w:lang w:val="en-US"/>
        </w:rPr>
      </w:pPr>
      <w:r w:rsidRPr="00780371">
        <w:rPr>
          <w:rStyle w:val="FootnoteReference"/>
          <w:rFonts w:cstheme="minorHAnsi"/>
          <w:sz w:val="18"/>
          <w:szCs w:val="18"/>
        </w:rPr>
        <w:footnoteRef/>
      </w:r>
      <w:r w:rsidRPr="00780371">
        <w:rPr>
          <w:rFonts w:cstheme="minorHAnsi"/>
          <w:sz w:val="18"/>
          <w:szCs w:val="18"/>
          <w:lang w:val="en-US"/>
        </w:rPr>
        <w:t xml:space="preserve"> LICADHO, ‘Mothers behind bars: the impact of detention on women and their children’, May 2015, </w:t>
      </w:r>
      <w:hyperlink r:id="rId103" w:history="1">
        <w:r w:rsidRPr="00780371">
          <w:rPr>
            <w:rStyle w:val="Hyperlink"/>
            <w:rFonts w:cstheme="minorHAnsi"/>
            <w:sz w:val="18"/>
            <w:szCs w:val="18"/>
            <w:lang w:val="en-US"/>
          </w:rPr>
          <w:t>http://www.licadho-cambodia.org/pressrelease.php?perm=384</w:t>
        </w:r>
      </w:hyperlink>
      <w:r w:rsidRPr="00780371">
        <w:rPr>
          <w:rFonts w:cstheme="minorHAnsi"/>
          <w:sz w:val="18"/>
          <w:szCs w:val="18"/>
          <w:lang w:val="en-US"/>
        </w:rPr>
        <w:t xml:space="preserve">; </w:t>
      </w:r>
      <w:r w:rsidRPr="00780371">
        <w:rPr>
          <w:rFonts w:cstheme="minorHAnsi"/>
          <w:sz w:val="18"/>
          <w:szCs w:val="18"/>
        </w:rPr>
        <w:t xml:space="preserve">LICADHO, ‘Time for Bail: Ending Needless Mass Detention’, October 2018, p 3, </w:t>
      </w:r>
      <w:hyperlink r:id="rId104" w:history="1">
        <w:r w:rsidRPr="00780371">
          <w:rPr>
            <w:rStyle w:val="Hyperlink"/>
            <w:rFonts w:cstheme="minorHAnsi"/>
            <w:sz w:val="18"/>
            <w:szCs w:val="18"/>
          </w:rPr>
          <w:t>https://www.licadho-cambodia.org/reports/files/227Time%20for%20Bail_Ending%20Needless%20Mass%20Detention_fin.pdf</w:t>
        </w:r>
      </w:hyperlink>
      <w:r w:rsidRPr="00780371">
        <w:rPr>
          <w:rStyle w:val="Hyperlink"/>
          <w:rFonts w:cstheme="minorHAnsi"/>
          <w:sz w:val="18"/>
          <w:szCs w:val="18"/>
        </w:rPr>
        <w:t>; This Life Cambodia, ‘Why children accompany mothers into prison an insight into factors influencing this decision in Cambodia’, March 2019, p 7 and 26</w:t>
      </w:r>
    </w:p>
  </w:footnote>
  <w:footnote w:id="113">
    <w:p w14:paraId="68C1D80B"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LICADHO, ‘Childhood Behind Bars: Growing up in a Cambodian prison Dara’s story, February 2015, </w:t>
      </w:r>
      <w:hyperlink r:id="rId105" w:history="1">
        <w:r w:rsidRPr="00780371">
          <w:rPr>
            <w:rStyle w:val="Hyperlink"/>
            <w:rFonts w:cstheme="minorHAnsi"/>
            <w:sz w:val="18"/>
            <w:szCs w:val="18"/>
          </w:rPr>
          <w:t>https://www.licadho-cambodia.org/reports/files/203LICADHOReportChildhoodBehindBars-English.pdf</w:t>
        </w:r>
      </w:hyperlink>
      <w:r w:rsidRPr="00780371">
        <w:rPr>
          <w:rFonts w:cstheme="minorHAnsi"/>
          <w:sz w:val="18"/>
          <w:szCs w:val="18"/>
        </w:rPr>
        <w:t xml:space="preserve">; LICADHO, ‘Time for Bail: Ending Needless Mass Detention’, October 2018, </w:t>
      </w:r>
      <w:hyperlink r:id="rId106" w:history="1">
        <w:r w:rsidRPr="00780371">
          <w:rPr>
            <w:rStyle w:val="Hyperlink"/>
            <w:rFonts w:cstheme="minorHAnsi"/>
            <w:sz w:val="18"/>
            <w:szCs w:val="18"/>
          </w:rPr>
          <w:t>http://www.licadho-cambodia.org/reports/files/227Time%20for%20Bail_Ending%20Needless%20Mass%20Detention_fin.pdf</w:t>
        </w:r>
      </w:hyperlink>
      <w:r w:rsidRPr="00780371">
        <w:rPr>
          <w:rFonts w:cstheme="minorHAnsi"/>
          <w:sz w:val="18"/>
          <w:szCs w:val="18"/>
        </w:rPr>
        <w:t xml:space="preserve">. </w:t>
      </w:r>
    </w:p>
  </w:footnote>
  <w:footnote w:id="114">
    <w:p w14:paraId="6F8A0E50"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‘Time for Bail: Ending Needless Mass Detention’, October 2018, p 3, </w:t>
      </w:r>
      <w:hyperlink r:id="rId107" w:history="1">
        <w:r w:rsidRPr="00780371">
          <w:rPr>
            <w:rStyle w:val="Hyperlink"/>
            <w:rFonts w:cstheme="minorHAnsi"/>
            <w:sz w:val="18"/>
            <w:szCs w:val="18"/>
          </w:rPr>
          <w:t>http://www.licadho-cambodia.org/reports/files/227Time%20for%20Bail_Ending%20Needless%20Mass%20Detention_fin.pdf</w:t>
        </w:r>
      </w:hyperlink>
      <w:r w:rsidRPr="00780371">
        <w:rPr>
          <w:rFonts w:cstheme="minorHAnsi"/>
          <w:sz w:val="18"/>
          <w:szCs w:val="18"/>
        </w:rPr>
        <w:t xml:space="preserve">. </w:t>
      </w:r>
    </w:p>
  </w:footnote>
  <w:footnote w:id="115">
    <w:p w14:paraId="1E53F79E"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‘Time for Bail: Ending Needless Mass Detention’, October 2018, p 3, </w:t>
      </w:r>
      <w:hyperlink r:id="rId108" w:history="1">
        <w:r w:rsidRPr="00780371">
          <w:rPr>
            <w:rStyle w:val="Hyperlink"/>
            <w:rFonts w:cstheme="minorHAnsi"/>
            <w:sz w:val="18"/>
            <w:szCs w:val="18"/>
          </w:rPr>
          <w:t>http://www.licadho-cambodia.org/reports/files/227Time%20for%20Bail_Ending%20Needless%20Mass%20Detention_fin.pdf</w:t>
        </w:r>
      </w:hyperlink>
      <w:r w:rsidRPr="00780371">
        <w:rPr>
          <w:rFonts w:cstheme="minorHAnsi"/>
          <w:sz w:val="18"/>
          <w:szCs w:val="18"/>
        </w:rPr>
        <w:t>.</w:t>
      </w:r>
    </w:p>
  </w:footnote>
  <w:footnote w:id="116">
    <w:p w14:paraId="164F3940" w14:textId="77777777" w:rsidR="00D2799B" w:rsidRPr="00780371" w:rsidRDefault="00D2799B" w:rsidP="00D2799B">
      <w:pPr>
        <w:pStyle w:val="FootnoteText"/>
        <w:rPr>
          <w:rFonts w:cstheme="minorHAnsi"/>
          <w:sz w:val="18"/>
          <w:szCs w:val="18"/>
        </w:rPr>
      </w:pPr>
      <w:r w:rsidRPr="00780371">
        <w:rPr>
          <w:rStyle w:val="FootnoteReference"/>
          <w:rFonts w:cstheme="minorHAnsi"/>
          <w:sz w:val="18"/>
          <w:szCs w:val="18"/>
        </w:rPr>
        <w:footnoteRef/>
      </w:r>
      <w:r w:rsidRPr="00780371">
        <w:rPr>
          <w:rFonts w:cstheme="minorHAnsi"/>
          <w:sz w:val="18"/>
          <w:szCs w:val="18"/>
        </w:rPr>
        <w:t xml:space="preserve"> </w:t>
      </w:r>
      <w:r w:rsidRPr="00941964">
        <w:rPr>
          <w:rFonts w:cstheme="minorHAnsi"/>
          <w:sz w:val="18"/>
          <w:szCs w:val="18"/>
        </w:rPr>
        <w:t xml:space="preserve">The Phnom Penh Post, ‘PM calls for mercy in sentencing women with children’, 19 February 2019, </w:t>
      </w:r>
      <w:hyperlink r:id="rId109" w:history="1">
        <w:r w:rsidRPr="00941964">
          <w:rPr>
            <w:rStyle w:val="Hyperlink"/>
            <w:rFonts w:cstheme="minorHAnsi"/>
            <w:sz w:val="18"/>
            <w:szCs w:val="18"/>
          </w:rPr>
          <w:t>https://www.phnompenhpost.com/national/pm-calls-mercy-sentencing-women-children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6C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E455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D11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A318AA"/>
    <w:multiLevelType w:val="multilevel"/>
    <w:tmpl w:val="B35C4670"/>
    <w:lvl w:ilvl="0">
      <w:start w:val="1"/>
      <w:numFmt w:val="decimal"/>
      <w:lvlText w:val="%1."/>
      <w:lvlJc w:val="left"/>
      <w:pPr>
        <w:ind w:left="360" w:hanging="360"/>
      </w:pPr>
      <w:rPr>
        <w:rFonts w:hint="default"/>
      </w:rPr>
    </w:lvl>
    <w:lvl w:ilvl="1">
      <w:start w:val="2"/>
      <w:numFmt w:val="none"/>
      <w:lvlText w:val="2.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9F3287"/>
    <w:multiLevelType w:val="hybridMultilevel"/>
    <w:tmpl w:val="4B205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FD4A3E"/>
    <w:multiLevelType w:val="multilevel"/>
    <w:tmpl w:val="D30E613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0641F3"/>
    <w:multiLevelType w:val="multilevel"/>
    <w:tmpl w:val="8D0C80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E456FC"/>
    <w:multiLevelType w:val="multilevel"/>
    <w:tmpl w:val="0088DA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C915E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0D513F"/>
    <w:multiLevelType w:val="multilevel"/>
    <w:tmpl w:val="50F092B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8416B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8B18C4"/>
    <w:multiLevelType w:val="multilevel"/>
    <w:tmpl w:val="9BF243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D1F39FF"/>
    <w:multiLevelType w:val="multilevel"/>
    <w:tmpl w:val="B35C4670"/>
    <w:lvl w:ilvl="0">
      <w:start w:val="1"/>
      <w:numFmt w:val="decimal"/>
      <w:lvlText w:val="%1."/>
      <w:lvlJc w:val="left"/>
      <w:pPr>
        <w:ind w:left="360" w:hanging="360"/>
      </w:pPr>
      <w:rPr>
        <w:rFonts w:hint="default"/>
      </w:rPr>
    </w:lvl>
    <w:lvl w:ilvl="1">
      <w:start w:val="2"/>
      <w:numFmt w:val="none"/>
      <w:lvlText w:val="2.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FB325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90D56D1"/>
    <w:multiLevelType w:val="hybridMultilevel"/>
    <w:tmpl w:val="9FF29C3E"/>
    <w:lvl w:ilvl="0" w:tplc="3FB09688">
      <w:start w:val="1"/>
      <w:numFmt w:val="lowerRoman"/>
      <w:pStyle w:val="Quote"/>
      <w:lvlText w:val="%1."/>
      <w:lvlJc w:val="righ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5" w15:restartNumberingAfterBreak="0">
    <w:nsid w:val="3A063F9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E01AF3"/>
    <w:multiLevelType w:val="multilevel"/>
    <w:tmpl w:val="7EE8F03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D2A3A99"/>
    <w:multiLevelType w:val="multilevel"/>
    <w:tmpl w:val="B35C4670"/>
    <w:lvl w:ilvl="0">
      <w:start w:val="1"/>
      <w:numFmt w:val="decimal"/>
      <w:lvlText w:val="%1."/>
      <w:lvlJc w:val="left"/>
      <w:pPr>
        <w:ind w:left="360" w:hanging="360"/>
      </w:pPr>
      <w:rPr>
        <w:rFonts w:hint="default"/>
      </w:rPr>
    </w:lvl>
    <w:lvl w:ilvl="1">
      <w:start w:val="2"/>
      <w:numFmt w:val="none"/>
      <w:lvlText w:val="2.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D82635"/>
    <w:multiLevelType w:val="multilevel"/>
    <w:tmpl w:val="7E226778"/>
    <w:lvl w:ilvl="0">
      <w:start w:val="3"/>
      <w:numFmt w:val="decimal"/>
      <w:lvlText w:val="%1."/>
      <w:lvlJc w:val="left"/>
      <w:pPr>
        <w:ind w:left="381" w:hanging="381"/>
      </w:pPr>
      <w:rPr>
        <w:rFonts w:hint="default"/>
      </w:rPr>
    </w:lvl>
    <w:lvl w:ilvl="1">
      <w:start w:val="3"/>
      <w:numFmt w:val="decimal"/>
      <w:lvlText w:val="%1.%2."/>
      <w:lvlJc w:val="left"/>
      <w:pPr>
        <w:ind w:left="381" w:hanging="381"/>
      </w:pPr>
      <w:rPr>
        <w:rFonts w:hint="default"/>
        <w:b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14708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1F1B1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9C4B37"/>
    <w:multiLevelType w:val="multilevel"/>
    <w:tmpl w:val="7EE8F03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E35615"/>
    <w:multiLevelType w:val="multilevel"/>
    <w:tmpl w:val="B35C4670"/>
    <w:lvl w:ilvl="0">
      <w:start w:val="1"/>
      <w:numFmt w:val="decimal"/>
      <w:lvlText w:val="%1."/>
      <w:lvlJc w:val="left"/>
      <w:pPr>
        <w:ind w:left="360" w:hanging="360"/>
      </w:pPr>
      <w:rPr>
        <w:rFonts w:hint="default"/>
      </w:rPr>
    </w:lvl>
    <w:lvl w:ilvl="1">
      <w:start w:val="2"/>
      <w:numFmt w:val="none"/>
      <w:lvlText w:val="2.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DB11936"/>
    <w:multiLevelType w:val="hybridMultilevel"/>
    <w:tmpl w:val="B1E8B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FB2C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3602CD"/>
    <w:multiLevelType w:val="multilevel"/>
    <w:tmpl w:val="50F092B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026593"/>
    <w:multiLevelType w:val="multilevel"/>
    <w:tmpl w:val="70FCF9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05301B5"/>
    <w:multiLevelType w:val="multilevel"/>
    <w:tmpl w:val="A2DA2DB4"/>
    <w:lvl w:ilvl="0">
      <w:start w:val="1"/>
      <w:numFmt w:val="decimal"/>
      <w:lvlText w:val="%1."/>
      <w:lvlJc w:val="left"/>
      <w:pPr>
        <w:ind w:left="360" w:hanging="360"/>
      </w:pPr>
    </w:lvl>
    <w:lvl w:ilvl="1">
      <w:start w:val="1"/>
      <w:numFmt w:val="decimal"/>
      <w:lvlText w:val="%1.%2."/>
      <w:lvlJc w:val="left"/>
      <w:pPr>
        <w:ind w:left="432" w:hanging="432"/>
      </w:pPr>
      <w:rPr>
        <w:sz w:val="22"/>
        <w:szCs w:val="22"/>
      </w:rPr>
    </w:lvl>
    <w:lvl w:ilvl="2">
      <w:start w:val="1"/>
      <w:numFmt w:val="decimal"/>
      <w:lvlText w:val="%1.%2.%3."/>
      <w:lvlJc w:val="left"/>
      <w:pPr>
        <w:ind w:left="1781"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4EA0295"/>
    <w:multiLevelType w:val="multilevel"/>
    <w:tmpl w:val="6666EE22"/>
    <w:lvl w:ilvl="0">
      <w:start w:val="4"/>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9" w15:restartNumberingAfterBreak="0">
    <w:nsid w:val="75330470"/>
    <w:multiLevelType w:val="hybridMultilevel"/>
    <w:tmpl w:val="D6FAA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0"/>
  </w:num>
  <w:num w:numId="3">
    <w:abstractNumId w:val="27"/>
  </w:num>
  <w:num w:numId="4">
    <w:abstractNumId w:val="29"/>
  </w:num>
  <w:num w:numId="5">
    <w:abstractNumId w:val="8"/>
  </w:num>
  <w:num w:numId="6">
    <w:abstractNumId w:val="10"/>
  </w:num>
  <w:num w:numId="7">
    <w:abstractNumId w:val="13"/>
  </w:num>
  <w:num w:numId="8">
    <w:abstractNumId w:val="2"/>
  </w:num>
  <w:num w:numId="9">
    <w:abstractNumId w:val="16"/>
  </w:num>
  <w:num w:numId="10">
    <w:abstractNumId w:val="17"/>
  </w:num>
  <w:num w:numId="11">
    <w:abstractNumId w:val="26"/>
  </w:num>
  <w:num w:numId="12">
    <w:abstractNumId w:val="7"/>
  </w:num>
  <w:num w:numId="13">
    <w:abstractNumId w:val="21"/>
  </w:num>
  <w:num w:numId="14">
    <w:abstractNumId w:val="20"/>
  </w:num>
  <w:num w:numId="15">
    <w:abstractNumId w:val="15"/>
  </w:num>
  <w:num w:numId="16">
    <w:abstractNumId w:val="3"/>
  </w:num>
  <w:num w:numId="17">
    <w:abstractNumId w:val="22"/>
  </w:num>
  <w:num w:numId="18">
    <w:abstractNumId w:val="19"/>
  </w:num>
  <w:num w:numId="19">
    <w:abstractNumId w:val="12"/>
  </w:num>
  <w:num w:numId="20">
    <w:abstractNumId w:val="1"/>
  </w:num>
  <w:num w:numId="21">
    <w:abstractNumId w:val="9"/>
  </w:num>
  <w:num w:numId="22">
    <w:abstractNumId w:val="24"/>
  </w:num>
  <w:num w:numId="23">
    <w:abstractNumId w:val="25"/>
  </w:num>
  <w:num w:numId="24">
    <w:abstractNumId w:val="4"/>
  </w:num>
  <w:num w:numId="25">
    <w:abstractNumId w:val="23"/>
  </w:num>
  <w:num w:numId="26">
    <w:abstractNumId w:val="5"/>
  </w:num>
  <w:num w:numId="27">
    <w:abstractNumId w:val="11"/>
  </w:num>
  <w:num w:numId="28">
    <w:abstractNumId w:val="6"/>
  </w:num>
  <w:num w:numId="29">
    <w:abstractNumId w:val="18"/>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B6C"/>
    <w:rsid w:val="000001DA"/>
    <w:rsid w:val="00002645"/>
    <w:rsid w:val="0000384E"/>
    <w:rsid w:val="0000387D"/>
    <w:rsid w:val="000042F1"/>
    <w:rsid w:val="00004ADC"/>
    <w:rsid w:val="00007E36"/>
    <w:rsid w:val="00011921"/>
    <w:rsid w:val="00011D53"/>
    <w:rsid w:val="00013BC7"/>
    <w:rsid w:val="00014C05"/>
    <w:rsid w:val="0001514F"/>
    <w:rsid w:val="00015DA7"/>
    <w:rsid w:val="00016218"/>
    <w:rsid w:val="0001637C"/>
    <w:rsid w:val="000168F0"/>
    <w:rsid w:val="000235CD"/>
    <w:rsid w:val="000246B7"/>
    <w:rsid w:val="00024CAA"/>
    <w:rsid w:val="0002501D"/>
    <w:rsid w:val="00030887"/>
    <w:rsid w:val="00030EE7"/>
    <w:rsid w:val="000311B6"/>
    <w:rsid w:val="00036235"/>
    <w:rsid w:val="00037A62"/>
    <w:rsid w:val="000403DB"/>
    <w:rsid w:val="0004279A"/>
    <w:rsid w:val="000447C5"/>
    <w:rsid w:val="00046013"/>
    <w:rsid w:val="000466BF"/>
    <w:rsid w:val="00046EF2"/>
    <w:rsid w:val="00047E76"/>
    <w:rsid w:val="00050005"/>
    <w:rsid w:val="0005016A"/>
    <w:rsid w:val="00051948"/>
    <w:rsid w:val="00053685"/>
    <w:rsid w:val="000538DE"/>
    <w:rsid w:val="000562EB"/>
    <w:rsid w:val="00057700"/>
    <w:rsid w:val="00061922"/>
    <w:rsid w:val="000657AE"/>
    <w:rsid w:val="000665E4"/>
    <w:rsid w:val="000668EB"/>
    <w:rsid w:val="00067754"/>
    <w:rsid w:val="000716C7"/>
    <w:rsid w:val="00071C2B"/>
    <w:rsid w:val="00072D3A"/>
    <w:rsid w:val="00072F85"/>
    <w:rsid w:val="00074DE4"/>
    <w:rsid w:val="000755BB"/>
    <w:rsid w:val="00075BA4"/>
    <w:rsid w:val="00075C9C"/>
    <w:rsid w:val="00077C20"/>
    <w:rsid w:val="00080097"/>
    <w:rsid w:val="0008119C"/>
    <w:rsid w:val="00081D49"/>
    <w:rsid w:val="00082076"/>
    <w:rsid w:val="0008250D"/>
    <w:rsid w:val="000831FF"/>
    <w:rsid w:val="00085EE0"/>
    <w:rsid w:val="000860EA"/>
    <w:rsid w:val="00086B3F"/>
    <w:rsid w:val="0008701B"/>
    <w:rsid w:val="0009100F"/>
    <w:rsid w:val="00091772"/>
    <w:rsid w:val="00093BFF"/>
    <w:rsid w:val="00095E78"/>
    <w:rsid w:val="00097C22"/>
    <w:rsid w:val="000A05AF"/>
    <w:rsid w:val="000A10E1"/>
    <w:rsid w:val="000A4E08"/>
    <w:rsid w:val="000A55D2"/>
    <w:rsid w:val="000A58C6"/>
    <w:rsid w:val="000A5DA6"/>
    <w:rsid w:val="000A64CE"/>
    <w:rsid w:val="000A78B5"/>
    <w:rsid w:val="000B0385"/>
    <w:rsid w:val="000B058F"/>
    <w:rsid w:val="000B11B4"/>
    <w:rsid w:val="000B1D6B"/>
    <w:rsid w:val="000B2925"/>
    <w:rsid w:val="000B2DE8"/>
    <w:rsid w:val="000B531B"/>
    <w:rsid w:val="000B5AB0"/>
    <w:rsid w:val="000B66B1"/>
    <w:rsid w:val="000B6ABB"/>
    <w:rsid w:val="000B7569"/>
    <w:rsid w:val="000B7B14"/>
    <w:rsid w:val="000C0406"/>
    <w:rsid w:val="000C0FCF"/>
    <w:rsid w:val="000C4B42"/>
    <w:rsid w:val="000C7A0C"/>
    <w:rsid w:val="000D0BB8"/>
    <w:rsid w:val="000D1ED8"/>
    <w:rsid w:val="000D3533"/>
    <w:rsid w:val="000D3650"/>
    <w:rsid w:val="000D3BB3"/>
    <w:rsid w:val="000D3D92"/>
    <w:rsid w:val="000D45D3"/>
    <w:rsid w:val="000D4652"/>
    <w:rsid w:val="000D54A3"/>
    <w:rsid w:val="000D65EE"/>
    <w:rsid w:val="000D691E"/>
    <w:rsid w:val="000D70AE"/>
    <w:rsid w:val="000E139F"/>
    <w:rsid w:val="000E1508"/>
    <w:rsid w:val="000E3A53"/>
    <w:rsid w:val="000E4FAA"/>
    <w:rsid w:val="000E5F35"/>
    <w:rsid w:val="000E75C9"/>
    <w:rsid w:val="000F060B"/>
    <w:rsid w:val="000F326C"/>
    <w:rsid w:val="000F4161"/>
    <w:rsid w:val="000F5C63"/>
    <w:rsid w:val="000F5EB5"/>
    <w:rsid w:val="000F6EF2"/>
    <w:rsid w:val="000F71ED"/>
    <w:rsid w:val="001007F5"/>
    <w:rsid w:val="001008BE"/>
    <w:rsid w:val="00100A4A"/>
    <w:rsid w:val="00101404"/>
    <w:rsid w:val="00102A4C"/>
    <w:rsid w:val="00102AE9"/>
    <w:rsid w:val="0010468D"/>
    <w:rsid w:val="00106B7C"/>
    <w:rsid w:val="00106B81"/>
    <w:rsid w:val="001102E3"/>
    <w:rsid w:val="001107A8"/>
    <w:rsid w:val="00111188"/>
    <w:rsid w:val="00111FE3"/>
    <w:rsid w:val="00115D67"/>
    <w:rsid w:val="001239B5"/>
    <w:rsid w:val="00123CF3"/>
    <w:rsid w:val="00130CCE"/>
    <w:rsid w:val="00134442"/>
    <w:rsid w:val="001346CA"/>
    <w:rsid w:val="00136B2A"/>
    <w:rsid w:val="001375E4"/>
    <w:rsid w:val="001402B8"/>
    <w:rsid w:val="00140732"/>
    <w:rsid w:val="001410A3"/>
    <w:rsid w:val="001438BF"/>
    <w:rsid w:val="00143DA4"/>
    <w:rsid w:val="001553F9"/>
    <w:rsid w:val="001562B3"/>
    <w:rsid w:val="0015687B"/>
    <w:rsid w:val="0015791F"/>
    <w:rsid w:val="00160937"/>
    <w:rsid w:val="001621EE"/>
    <w:rsid w:val="00163309"/>
    <w:rsid w:val="0016354B"/>
    <w:rsid w:val="0016360D"/>
    <w:rsid w:val="0016464F"/>
    <w:rsid w:val="00164F08"/>
    <w:rsid w:val="00167FBF"/>
    <w:rsid w:val="00172A3C"/>
    <w:rsid w:val="001735FE"/>
    <w:rsid w:val="001736F3"/>
    <w:rsid w:val="0017697E"/>
    <w:rsid w:val="001769B3"/>
    <w:rsid w:val="0017738C"/>
    <w:rsid w:val="001858E3"/>
    <w:rsid w:val="00186161"/>
    <w:rsid w:val="00190102"/>
    <w:rsid w:val="00191D72"/>
    <w:rsid w:val="0019232E"/>
    <w:rsid w:val="00192484"/>
    <w:rsid w:val="00192764"/>
    <w:rsid w:val="00192A2C"/>
    <w:rsid w:val="00193596"/>
    <w:rsid w:val="00195DDC"/>
    <w:rsid w:val="0019757B"/>
    <w:rsid w:val="001A1636"/>
    <w:rsid w:val="001A3B78"/>
    <w:rsid w:val="001A3DE9"/>
    <w:rsid w:val="001A3FFA"/>
    <w:rsid w:val="001A47EF"/>
    <w:rsid w:val="001A4902"/>
    <w:rsid w:val="001A63B7"/>
    <w:rsid w:val="001A6B70"/>
    <w:rsid w:val="001A79A9"/>
    <w:rsid w:val="001B0015"/>
    <w:rsid w:val="001B0299"/>
    <w:rsid w:val="001B2DCC"/>
    <w:rsid w:val="001B6638"/>
    <w:rsid w:val="001B67C5"/>
    <w:rsid w:val="001B7C63"/>
    <w:rsid w:val="001C44B9"/>
    <w:rsid w:val="001D001C"/>
    <w:rsid w:val="001D049E"/>
    <w:rsid w:val="001D31FA"/>
    <w:rsid w:val="001E00C2"/>
    <w:rsid w:val="001E0521"/>
    <w:rsid w:val="001E248D"/>
    <w:rsid w:val="001E2522"/>
    <w:rsid w:val="001E2575"/>
    <w:rsid w:val="001E2DA7"/>
    <w:rsid w:val="001E405D"/>
    <w:rsid w:val="001E422F"/>
    <w:rsid w:val="001E5542"/>
    <w:rsid w:val="001E5B24"/>
    <w:rsid w:val="001E5F4A"/>
    <w:rsid w:val="001E6346"/>
    <w:rsid w:val="001F0874"/>
    <w:rsid w:val="001F0A71"/>
    <w:rsid w:val="001F28CD"/>
    <w:rsid w:val="001F3D35"/>
    <w:rsid w:val="001F5159"/>
    <w:rsid w:val="001F5163"/>
    <w:rsid w:val="001F5991"/>
    <w:rsid w:val="001F7375"/>
    <w:rsid w:val="001F7841"/>
    <w:rsid w:val="002001CC"/>
    <w:rsid w:val="0020047E"/>
    <w:rsid w:val="002004CA"/>
    <w:rsid w:val="0020155A"/>
    <w:rsid w:val="00202040"/>
    <w:rsid w:val="002040C9"/>
    <w:rsid w:val="0020415B"/>
    <w:rsid w:val="00207026"/>
    <w:rsid w:val="00210318"/>
    <w:rsid w:val="00210FA3"/>
    <w:rsid w:val="0021397C"/>
    <w:rsid w:val="00214016"/>
    <w:rsid w:val="002143A6"/>
    <w:rsid w:val="00214663"/>
    <w:rsid w:val="00215385"/>
    <w:rsid w:val="00217F3A"/>
    <w:rsid w:val="00220F41"/>
    <w:rsid w:val="0022217D"/>
    <w:rsid w:val="00223AAF"/>
    <w:rsid w:val="0022613F"/>
    <w:rsid w:val="002273AC"/>
    <w:rsid w:val="00227672"/>
    <w:rsid w:val="002276B4"/>
    <w:rsid w:val="00227C2E"/>
    <w:rsid w:val="00227DDC"/>
    <w:rsid w:val="00230A91"/>
    <w:rsid w:val="00232147"/>
    <w:rsid w:val="00232CBB"/>
    <w:rsid w:val="002339E5"/>
    <w:rsid w:val="002349B1"/>
    <w:rsid w:val="0023637B"/>
    <w:rsid w:val="0023775F"/>
    <w:rsid w:val="00240FBB"/>
    <w:rsid w:val="0024468F"/>
    <w:rsid w:val="002446B6"/>
    <w:rsid w:val="00245913"/>
    <w:rsid w:val="0024598D"/>
    <w:rsid w:val="00245DCD"/>
    <w:rsid w:val="00246089"/>
    <w:rsid w:val="00246B37"/>
    <w:rsid w:val="00247079"/>
    <w:rsid w:val="002470A7"/>
    <w:rsid w:val="00250190"/>
    <w:rsid w:val="002511E2"/>
    <w:rsid w:val="0025216C"/>
    <w:rsid w:val="00252224"/>
    <w:rsid w:val="00252640"/>
    <w:rsid w:val="002541E4"/>
    <w:rsid w:val="00254301"/>
    <w:rsid w:val="002565B5"/>
    <w:rsid w:val="00256837"/>
    <w:rsid w:val="00256BC0"/>
    <w:rsid w:val="00256DA9"/>
    <w:rsid w:val="002575DF"/>
    <w:rsid w:val="00257B93"/>
    <w:rsid w:val="002604F5"/>
    <w:rsid w:val="00260B3B"/>
    <w:rsid w:val="00261168"/>
    <w:rsid w:val="00261295"/>
    <w:rsid w:val="002613DE"/>
    <w:rsid w:val="00263CAC"/>
    <w:rsid w:val="00264C2D"/>
    <w:rsid w:val="00265C70"/>
    <w:rsid w:val="00266E92"/>
    <w:rsid w:val="002704BB"/>
    <w:rsid w:val="002708F8"/>
    <w:rsid w:val="00275D52"/>
    <w:rsid w:val="00277D25"/>
    <w:rsid w:val="00280E9F"/>
    <w:rsid w:val="00282CE5"/>
    <w:rsid w:val="00283A34"/>
    <w:rsid w:val="00283C39"/>
    <w:rsid w:val="002867CF"/>
    <w:rsid w:val="00286CEA"/>
    <w:rsid w:val="0029159C"/>
    <w:rsid w:val="0029195F"/>
    <w:rsid w:val="00292082"/>
    <w:rsid w:val="002931DD"/>
    <w:rsid w:val="00296A1C"/>
    <w:rsid w:val="0029724C"/>
    <w:rsid w:val="002A0209"/>
    <w:rsid w:val="002A1D9D"/>
    <w:rsid w:val="002A43C2"/>
    <w:rsid w:val="002A52DA"/>
    <w:rsid w:val="002B019E"/>
    <w:rsid w:val="002B06D7"/>
    <w:rsid w:val="002B0854"/>
    <w:rsid w:val="002B0911"/>
    <w:rsid w:val="002B1A08"/>
    <w:rsid w:val="002B1EA9"/>
    <w:rsid w:val="002B1F3D"/>
    <w:rsid w:val="002B372A"/>
    <w:rsid w:val="002B5321"/>
    <w:rsid w:val="002B6844"/>
    <w:rsid w:val="002B7AAF"/>
    <w:rsid w:val="002C0F4B"/>
    <w:rsid w:val="002C1A95"/>
    <w:rsid w:val="002C2EE9"/>
    <w:rsid w:val="002C3677"/>
    <w:rsid w:val="002C45C0"/>
    <w:rsid w:val="002C4D61"/>
    <w:rsid w:val="002C5652"/>
    <w:rsid w:val="002D019D"/>
    <w:rsid w:val="002D01A5"/>
    <w:rsid w:val="002D0E0C"/>
    <w:rsid w:val="002D14BA"/>
    <w:rsid w:val="002D184C"/>
    <w:rsid w:val="002D1EF0"/>
    <w:rsid w:val="002D2C21"/>
    <w:rsid w:val="002D361D"/>
    <w:rsid w:val="002D395D"/>
    <w:rsid w:val="002D39F4"/>
    <w:rsid w:val="002D3F8A"/>
    <w:rsid w:val="002D51B2"/>
    <w:rsid w:val="002D7364"/>
    <w:rsid w:val="002D7707"/>
    <w:rsid w:val="002E0976"/>
    <w:rsid w:val="002E234C"/>
    <w:rsid w:val="002E49D3"/>
    <w:rsid w:val="002E5727"/>
    <w:rsid w:val="002E65AC"/>
    <w:rsid w:val="002E66C9"/>
    <w:rsid w:val="002E741F"/>
    <w:rsid w:val="002E7BDD"/>
    <w:rsid w:val="002F1350"/>
    <w:rsid w:val="002F34B5"/>
    <w:rsid w:val="002F37CB"/>
    <w:rsid w:val="002F38E3"/>
    <w:rsid w:val="002F425F"/>
    <w:rsid w:val="002F4E56"/>
    <w:rsid w:val="002F78E8"/>
    <w:rsid w:val="002F7C4B"/>
    <w:rsid w:val="002F7E33"/>
    <w:rsid w:val="00300160"/>
    <w:rsid w:val="0030062F"/>
    <w:rsid w:val="0030116D"/>
    <w:rsid w:val="003012E9"/>
    <w:rsid w:val="0030223A"/>
    <w:rsid w:val="00302BCB"/>
    <w:rsid w:val="00305BF6"/>
    <w:rsid w:val="003060C9"/>
    <w:rsid w:val="00306626"/>
    <w:rsid w:val="003066F1"/>
    <w:rsid w:val="0030703A"/>
    <w:rsid w:val="00310DA6"/>
    <w:rsid w:val="00310FDF"/>
    <w:rsid w:val="00311B6F"/>
    <w:rsid w:val="00312433"/>
    <w:rsid w:val="00313720"/>
    <w:rsid w:val="00314FFA"/>
    <w:rsid w:val="003157BE"/>
    <w:rsid w:val="00316C3C"/>
    <w:rsid w:val="00316D09"/>
    <w:rsid w:val="00317508"/>
    <w:rsid w:val="00320819"/>
    <w:rsid w:val="00322A59"/>
    <w:rsid w:val="00323317"/>
    <w:rsid w:val="003238A9"/>
    <w:rsid w:val="00323B51"/>
    <w:rsid w:val="00325EE7"/>
    <w:rsid w:val="003264D2"/>
    <w:rsid w:val="00327166"/>
    <w:rsid w:val="0033353F"/>
    <w:rsid w:val="00333B34"/>
    <w:rsid w:val="00333EDD"/>
    <w:rsid w:val="00334157"/>
    <w:rsid w:val="00336608"/>
    <w:rsid w:val="00336EE3"/>
    <w:rsid w:val="00337E05"/>
    <w:rsid w:val="0034052E"/>
    <w:rsid w:val="00342132"/>
    <w:rsid w:val="003437B2"/>
    <w:rsid w:val="00345F21"/>
    <w:rsid w:val="003460A0"/>
    <w:rsid w:val="00347306"/>
    <w:rsid w:val="00353777"/>
    <w:rsid w:val="00354433"/>
    <w:rsid w:val="003544F3"/>
    <w:rsid w:val="003570AF"/>
    <w:rsid w:val="0035785E"/>
    <w:rsid w:val="00361CA1"/>
    <w:rsid w:val="003625AC"/>
    <w:rsid w:val="0036280D"/>
    <w:rsid w:val="00362C71"/>
    <w:rsid w:val="00363632"/>
    <w:rsid w:val="00364D06"/>
    <w:rsid w:val="003653FB"/>
    <w:rsid w:val="00366688"/>
    <w:rsid w:val="003671AF"/>
    <w:rsid w:val="00367793"/>
    <w:rsid w:val="00372B59"/>
    <w:rsid w:val="00374D56"/>
    <w:rsid w:val="0037599F"/>
    <w:rsid w:val="003807F8"/>
    <w:rsid w:val="0038096E"/>
    <w:rsid w:val="00384050"/>
    <w:rsid w:val="003854A3"/>
    <w:rsid w:val="00385DF6"/>
    <w:rsid w:val="0038612E"/>
    <w:rsid w:val="00390DC5"/>
    <w:rsid w:val="003911AA"/>
    <w:rsid w:val="00392E4A"/>
    <w:rsid w:val="003943BE"/>
    <w:rsid w:val="00396758"/>
    <w:rsid w:val="00396993"/>
    <w:rsid w:val="003972C7"/>
    <w:rsid w:val="003A256C"/>
    <w:rsid w:val="003A2B1B"/>
    <w:rsid w:val="003A30FD"/>
    <w:rsid w:val="003A39DA"/>
    <w:rsid w:val="003A3F1B"/>
    <w:rsid w:val="003A54F6"/>
    <w:rsid w:val="003B0D78"/>
    <w:rsid w:val="003B1922"/>
    <w:rsid w:val="003B1A48"/>
    <w:rsid w:val="003B1D75"/>
    <w:rsid w:val="003B2539"/>
    <w:rsid w:val="003B2DE9"/>
    <w:rsid w:val="003B3639"/>
    <w:rsid w:val="003B537D"/>
    <w:rsid w:val="003B57EA"/>
    <w:rsid w:val="003B5FB5"/>
    <w:rsid w:val="003B6DE5"/>
    <w:rsid w:val="003B7B1F"/>
    <w:rsid w:val="003C1D4A"/>
    <w:rsid w:val="003C2100"/>
    <w:rsid w:val="003C4C07"/>
    <w:rsid w:val="003C5578"/>
    <w:rsid w:val="003D0064"/>
    <w:rsid w:val="003D15B4"/>
    <w:rsid w:val="003D2888"/>
    <w:rsid w:val="003D3DD0"/>
    <w:rsid w:val="003D4F2B"/>
    <w:rsid w:val="003D5ADA"/>
    <w:rsid w:val="003E2BB8"/>
    <w:rsid w:val="003E2FE9"/>
    <w:rsid w:val="003E540A"/>
    <w:rsid w:val="003E66AE"/>
    <w:rsid w:val="003E6839"/>
    <w:rsid w:val="003E7879"/>
    <w:rsid w:val="003E7D01"/>
    <w:rsid w:val="003F1874"/>
    <w:rsid w:val="003F4CE5"/>
    <w:rsid w:val="003F6291"/>
    <w:rsid w:val="003F639F"/>
    <w:rsid w:val="003F6B7F"/>
    <w:rsid w:val="0040097F"/>
    <w:rsid w:val="00401AA3"/>
    <w:rsid w:val="00402922"/>
    <w:rsid w:val="00404C5E"/>
    <w:rsid w:val="00405025"/>
    <w:rsid w:val="0040652B"/>
    <w:rsid w:val="004076D2"/>
    <w:rsid w:val="00410749"/>
    <w:rsid w:val="00410944"/>
    <w:rsid w:val="00412619"/>
    <w:rsid w:val="004128E4"/>
    <w:rsid w:val="00414C08"/>
    <w:rsid w:val="004154FE"/>
    <w:rsid w:val="004166FE"/>
    <w:rsid w:val="0042059A"/>
    <w:rsid w:val="0042318C"/>
    <w:rsid w:val="0042396B"/>
    <w:rsid w:val="004271EE"/>
    <w:rsid w:val="00430FEE"/>
    <w:rsid w:val="004312E9"/>
    <w:rsid w:val="00431BF4"/>
    <w:rsid w:val="00431CF2"/>
    <w:rsid w:val="00432287"/>
    <w:rsid w:val="00432B33"/>
    <w:rsid w:val="004351D4"/>
    <w:rsid w:val="00435612"/>
    <w:rsid w:val="00435C79"/>
    <w:rsid w:val="00435CD3"/>
    <w:rsid w:val="00437007"/>
    <w:rsid w:val="00437AEB"/>
    <w:rsid w:val="00442712"/>
    <w:rsid w:val="004429B1"/>
    <w:rsid w:val="00443B6A"/>
    <w:rsid w:val="00445758"/>
    <w:rsid w:val="0045418B"/>
    <w:rsid w:val="00454695"/>
    <w:rsid w:val="00454B91"/>
    <w:rsid w:val="00455B9A"/>
    <w:rsid w:val="004600EF"/>
    <w:rsid w:val="0046068A"/>
    <w:rsid w:val="00460C5D"/>
    <w:rsid w:val="00461279"/>
    <w:rsid w:val="004618DE"/>
    <w:rsid w:val="004629CD"/>
    <w:rsid w:val="00463840"/>
    <w:rsid w:val="0046447E"/>
    <w:rsid w:val="00465943"/>
    <w:rsid w:val="004669AC"/>
    <w:rsid w:val="00470707"/>
    <w:rsid w:val="0047184D"/>
    <w:rsid w:val="00472787"/>
    <w:rsid w:val="00472860"/>
    <w:rsid w:val="004734EB"/>
    <w:rsid w:val="00473B7C"/>
    <w:rsid w:val="004740CD"/>
    <w:rsid w:val="00476277"/>
    <w:rsid w:val="0048031A"/>
    <w:rsid w:val="00481C62"/>
    <w:rsid w:val="00481C66"/>
    <w:rsid w:val="00482269"/>
    <w:rsid w:val="00484566"/>
    <w:rsid w:val="0048495C"/>
    <w:rsid w:val="00486E01"/>
    <w:rsid w:val="00492844"/>
    <w:rsid w:val="004941A8"/>
    <w:rsid w:val="00495086"/>
    <w:rsid w:val="0049564C"/>
    <w:rsid w:val="0049631D"/>
    <w:rsid w:val="00496FCA"/>
    <w:rsid w:val="00497947"/>
    <w:rsid w:val="004A0542"/>
    <w:rsid w:val="004A1E6A"/>
    <w:rsid w:val="004A3817"/>
    <w:rsid w:val="004A42CD"/>
    <w:rsid w:val="004A7052"/>
    <w:rsid w:val="004A7552"/>
    <w:rsid w:val="004B0A54"/>
    <w:rsid w:val="004B3592"/>
    <w:rsid w:val="004B3FB2"/>
    <w:rsid w:val="004B4223"/>
    <w:rsid w:val="004B48F9"/>
    <w:rsid w:val="004B57A7"/>
    <w:rsid w:val="004B669C"/>
    <w:rsid w:val="004B68DC"/>
    <w:rsid w:val="004B6998"/>
    <w:rsid w:val="004B75E6"/>
    <w:rsid w:val="004C0EF8"/>
    <w:rsid w:val="004C2E49"/>
    <w:rsid w:val="004C4396"/>
    <w:rsid w:val="004C4C18"/>
    <w:rsid w:val="004C77A3"/>
    <w:rsid w:val="004D153E"/>
    <w:rsid w:val="004D2AF8"/>
    <w:rsid w:val="004D3856"/>
    <w:rsid w:val="004D4803"/>
    <w:rsid w:val="004D48E0"/>
    <w:rsid w:val="004D4998"/>
    <w:rsid w:val="004D7F91"/>
    <w:rsid w:val="004E03F9"/>
    <w:rsid w:val="004E11B8"/>
    <w:rsid w:val="004E1D62"/>
    <w:rsid w:val="004E3248"/>
    <w:rsid w:val="004E3B68"/>
    <w:rsid w:val="004E3CA1"/>
    <w:rsid w:val="004E5431"/>
    <w:rsid w:val="004E5B5A"/>
    <w:rsid w:val="004E7633"/>
    <w:rsid w:val="004F1316"/>
    <w:rsid w:val="004F49F9"/>
    <w:rsid w:val="004F4CEA"/>
    <w:rsid w:val="004F56EF"/>
    <w:rsid w:val="004F73BB"/>
    <w:rsid w:val="00501519"/>
    <w:rsid w:val="00502108"/>
    <w:rsid w:val="00502805"/>
    <w:rsid w:val="0050305C"/>
    <w:rsid w:val="005035ED"/>
    <w:rsid w:val="00503635"/>
    <w:rsid w:val="00504226"/>
    <w:rsid w:val="005054D6"/>
    <w:rsid w:val="005069B7"/>
    <w:rsid w:val="00506B29"/>
    <w:rsid w:val="0050790F"/>
    <w:rsid w:val="0051017F"/>
    <w:rsid w:val="005136EF"/>
    <w:rsid w:val="00513C3D"/>
    <w:rsid w:val="00514099"/>
    <w:rsid w:val="0051409C"/>
    <w:rsid w:val="00514A01"/>
    <w:rsid w:val="005246DF"/>
    <w:rsid w:val="00525830"/>
    <w:rsid w:val="00525DA1"/>
    <w:rsid w:val="00531326"/>
    <w:rsid w:val="00533F46"/>
    <w:rsid w:val="005349EF"/>
    <w:rsid w:val="00536516"/>
    <w:rsid w:val="00536F90"/>
    <w:rsid w:val="0053743A"/>
    <w:rsid w:val="0053747D"/>
    <w:rsid w:val="00540E08"/>
    <w:rsid w:val="005430DB"/>
    <w:rsid w:val="00545155"/>
    <w:rsid w:val="0054736B"/>
    <w:rsid w:val="00551D2A"/>
    <w:rsid w:val="0055238D"/>
    <w:rsid w:val="005523DD"/>
    <w:rsid w:val="0055365B"/>
    <w:rsid w:val="005544F5"/>
    <w:rsid w:val="0055496D"/>
    <w:rsid w:val="00554D4C"/>
    <w:rsid w:val="00555375"/>
    <w:rsid w:val="005558F8"/>
    <w:rsid w:val="00555D3B"/>
    <w:rsid w:val="00556647"/>
    <w:rsid w:val="00557435"/>
    <w:rsid w:val="00560F28"/>
    <w:rsid w:val="00561C98"/>
    <w:rsid w:val="00562937"/>
    <w:rsid w:val="00564952"/>
    <w:rsid w:val="005652B0"/>
    <w:rsid w:val="005667BC"/>
    <w:rsid w:val="00570400"/>
    <w:rsid w:val="00570544"/>
    <w:rsid w:val="005716A7"/>
    <w:rsid w:val="00571C6F"/>
    <w:rsid w:val="00572B78"/>
    <w:rsid w:val="00573CAC"/>
    <w:rsid w:val="00575863"/>
    <w:rsid w:val="005777B6"/>
    <w:rsid w:val="00577954"/>
    <w:rsid w:val="00577C13"/>
    <w:rsid w:val="005818AC"/>
    <w:rsid w:val="00581F88"/>
    <w:rsid w:val="00586E3C"/>
    <w:rsid w:val="00587264"/>
    <w:rsid w:val="005872F2"/>
    <w:rsid w:val="0059039D"/>
    <w:rsid w:val="0059191E"/>
    <w:rsid w:val="00594FD0"/>
    <w:rsid w:val="0059543F"/>
    <w:rsid w:val="005957D8"/>
    <w:rsid w:val="00596850"/>
    <w:rsid w:val="005968BD"/>
    <w:rsid w:val="00597E33"/>
    <w:rsid w:val="005A1D3D"/>
    <w:rsid w:val="005A2558"/>
    <w:rsid w:val="005A2778"/>
    <w:rsid w:val="005A3B97"/>
    <w:rsid w:val="005A72A5"/>
    <w:rsid w:val="005B098A"/>
    <w:rsid w:val="005B0C1E"/>
    <w:rsid w:val="005B0CC3"/>
    <w:rsid w:val="005B30C0"/>
    <w:rsid w:val="005B3F0E"/>
    <w:rsid w:val="005B496F"/>
    <w:rsid w:val="005B4CE6"/>
    <w:rsid w:val="005B637E"/>
    <w:rsid w:val="005B646C"/>
    <w:rsid w:val="005B6FB9"/>
    <w:rsid w:val="005C0677"/>
    <w:rsid w:val="005C096B"/>
    <w:rsid w:val="005C1405"/>
    <w:rsid w:val="005C15E4"/>
    <w:rsid w:val="005C1D3F"/>
    <w:rsid w:val="005C2C8B"/>
    <w:rsid w:val="005C3AB6"/>
    <w:rsid w:val="005C599D"/>
    <w:rsid w:val="005C5EB1"/>
    <w:rsid w:val="005C6B43"/>
    <w:rsid w:val="005D1B97"/>
    <w:rsid w:val="005D20F7"/>
    <w:rsid w:val="005D238C"/>
    <w:rsid w:val="005D3ED5"/>
    <w:rsid w:val="005D4C4E"/>
    <w:rsid w:val="005D5A8A"/>
    <w:rsid w:val="005D70F7"/>
    <w:rsid w:val="005E11D0"/>
    <w:rsid w:val="005E24A8"/>
    <w:rsid w:val="005E2A6D"/>
    <w:rsid w:val="005F03BA"/>
    <w:rsid w:val="005F1DA3"/>
    <w:rsid w:val="005F2F3F"/>
    <w:rsid w:val="005F5291"/>
    <w:rsid w:val="005F59BF"/>
    <w:rsid w:val="005F5FC5"/>
    <w:rsid w:val="005F60C9"/>
    <w:rsid w:val="005F71EB"/>
    <w:rsid w:val="00600415"/>
    <w:rsid w:val="0060443A"/>
    <w:rsid w:val="00604D61"/>
    <w:rsid w:val="00607222"/>
    <w:rsid w:val="00607553"/>
    <w:rsid w:val="0061071D"/>
    <w:rsid w:val="00610B75"/>
    <w:rsid w:val="00611588"/>
    <w:rsid w:val="0061214B"/>
    <w:rsid w:val="00613605"/>
    <w:rsid w:val="0061382A"/>
    <w:rsid w:val="00613CD7"/>
    <w:rsid w:val="00617B50"/>
    <w:rsid w:val="00621559"/>
    <w:rsid w:val="006224C8"/>
    <w:rsid w:val="006236FC"/>
    <w:rsid w:val="00623D30"/>
    <w:rsid w:val="00624799"/>
    <w:rsid w:val="00624CFD"/>
    <w:rsid w:val="00626AE3"/>
    <w:rsid w:val="00627F6C"/>
    <w:rsid w:val="00633D44"/>
    <w:rsid w:val="00636354"/>
    <w:rsid w:val="00637FAB"/>
    <w:rsid w:val="00640516"/>
    <w:rsid w:val="00641B9E"/>
    <w:rsid w:val="00641CD2"/>
    <w:rsid w:val="0064451F"/>
    <w:rsid w:val="00646EF7"/>
    <w:rsid w:val="006470C4"/>
    <w:rsid w:val="006533F6"/>
    <w:rsid w:val="00660138"/>
    <w:rsid w:val="00662F20"/>
    <w:rsid w:val="006633FB"/>
    <w:rsid w:val="00663E46"/>
    <w:rsid w:val="00663E5B"/>
    <w:rsid w:val="00664754"/>
    <w:rsid w:val="0066608B"/>
    <w:rsid w:val="00670CD5"/>
    <w:rsid w:val="00671D91"/>
    <w:rsid w:val="00672AA8"/>
    <w:rsid w:val="00672C8C"/>
    <w:rsid w:val="00672EB5"/>
    <w:rsid w:val="00673FCE"/>
    <w:rsid w:val="0067418B"/>
    <w:rsid w:val="0067461E"/>
    <w:rsid w:val="00674F4D"/>
    <w:rsid w:val="00676A57"/>
    <w:rsid w:val="00676E4A"/>
    <w:rsid w:val="00680747"/>
    <w:rsid w:val="00680E69"/>
    <w:rsid w:val="00681B87"/>
    <w:rsid w:val="0068321C"/>
    <w:rsid w:val="0068372A"/>
    <w:rsid w:val="00683DB5"/>
    <w:rsid w:val="00685384"/>
    <w:rsid w:val="00685BE8"/>
    <w:rsid w:val="0069091A"/>
    <w:rsid w:val="00690AF4"/>
    <w:rsid w:val="00690BDD"/>
    <w:rsid w:val="006912A2"/>
    <w:rsid w:val="006917C7"/>
    <w:rsid w:val="0069249D"/>
    <w:rsid w:val="00693258"/>
    <w:rsid w:val="00693287"/>
    <w:rsid w:val="0069613D"/>
    <w:rsid w:val="00696BBD"/>
    <w:rsid w:val="00697729"/>
    <w:rsid w:val="006A2418"/>
    <w:rsid w:val="006A2A97"/>
    <w:rsid w:val="006A307B"/>
    <w:rsid w:val="006A4803"/>
    <w:rsid w:val="006A77E5"/>
    <w:rsid w:val="006B061F"/>
    <w:rsid w:val="006B42B8"/>
    <w:rsid w:val="006B4F6E"/>
    <w:rsid w:val="006C01E8"/>
    <w:rsid w:val="006C142B"/>
    <w:rsid w:val="006C2340"/>
    <w:rsid w:val="006C26A4"/>
    <w:rsid w:val="006C38D3"/>
    <w:rsid w:val="006C4039"/>
    <w:rsid w:val="006C4C51"/>
    <w:rsid w:val="006C4D9D"/>
    <w:rsid w:val="006C5F17"/>
    <w:rsid w:val="006C66C0"/>
    <w:rsid w:val="006C6AA7"/>
    <w:rsid w:val="006C6CD3"/>
    <w:rsid w:val="006C6E02"/>
    <w:rsid w:val="006D1E38"/>
    <w:rsid w:val="006D1E57"/>
    <w:rsid w:val="006D223D"/>
    <w:rsid w:val="006D2754"/>
    <w:rsid w:val="006D301C"/>
    <w:rsid w:val="006D4ADB"/>
    <w:rsid w:val="006D75FE"/>
    <w:rsid w:val="006E1653"/>
    <w:rsid w:val="006E2100"/>
    <w:rsid w:val="006E2120"/>
    <w:rsid w:val="006E34E9"/>
    <w:rsid w:val="006E581C"/>
    <w:rsid w:val="006E5DB2"/>
    <w:rsid w:val="006E73DF"/>
    <w:rsid w:val="006F1A8A"/>
    <w:rsid w:val="006F1E83"/>
    <w:rsid w:val="006F285D"/>
    <w:rsid w:val="006F35B1"/>
    <w:rsid w:val="00701698"/>
    <w:rsid w:val="007026A7"/>
    <w:rsid w:val="00703A97"/>
    <w:rsid w:val="0070499B"/>
    <w:rsid w:val="007055B9"/>
    <w:rsid w:val="00706F20"/>
    <w:rsid w:val="00707060"/>
    <w:rsid w:val="00707A3B"/>
    <w:rsid w:val="00711573"/>
    <w:rsid w:val="0071206E"/>
    <w:rsid w:val="007131B1"/>
    <w:rsid w:val="007141E0"/>
    <w:rsid w:val="00715CB6"/>
    <w:rsid w:val="00715D65"/>
    <w:rsid w:val="00716A95"/>
    <w:rsid w:val="0071702A"/>
    <w:rsid w:val="00720316"/>
    <w:rsid w:val="00720728"/>
    <w:rsid w:val="00720B5F"/>
    <w:rsid w:val="0072184E"/>
    <w:rsid w:val="00721BB8"/>
    <w:rsid w:val="007220AD"/>
    <w:rsid w:val="007224B0"/>
    <w:rsid w:val="00722749"/>
    <w:rsid w:val="00722E21"/>
    <w:rsid w:val="007230D5"/>
    <w:rsid w:val="007233BF"/>
    <w:rsid w:val="00723FF3"/>
    <w:rsid w:val="00726E87"/>
    <w:rsid w:val="00730053"/>
    <w:rsid w:val="00731669"/>
    <w:rsid w:val="007327E6"/>
    <w:rsid w:val="007335F0"/>
    <w:rsid w:val="00733AB7"/>
    <w:rsid w:val="007345B8"/>
    <w:rsid w:val="007349FE"/>
    <w:rsid w:val="007352BA"/>
    <w:rsid w:val="00736537"/>
    <w:rsid w:val="007378E9"/>
    <w:rsid w:val="00745C36"/>
    <w:rsid w:val="00746AB2"/>
    <w:rsid w:val="0074795E"/>
    <w:rsid w:val="00750C84"/>
    <w:rsid w:val="00751827"/>
    <w:rsid w:val="00752933"/>
    <w:rsid w:val="00755D7A"/>
    <w:rsid w:val="0075716E"/>
    <w:rsid w:val="00761AA0"/>
    <w:rsid w:val="007638CF"/>
    <w:rsid w:val="00763F8A"/>
    <w:rsid w:val="00764A44"/>
    <w:rsid w:val="007652DB"/>
    <w:rsid w:val="00765609"/>
    <w:rsid w:val="007659A3"/>
    <w:rsid w:val="00766FA7"/>
    <w:rsid w:val="00767679"/>
    <w:rsid w:val="00767817"/>
    <w:rsid w:val="00770F0D"/>
    <w:rsid w:val="00772388"/>
    <w:rsid w:val="00774E6B"/>
    <w:rsid w:val="00775820"/>
    <w:rsid w:val="00775A15"/>
    <w:rsid w:val="0077639A"/>
    <w:rsid w:val="00777884"/>
    <w:rsid w:val="00780371"/>
    <w:rsid w:val="00780659"/>
    <w:rsid w:val="00781315"/>
    <w:rsid w:val="00783A58"/>
    <w:rsid w:val="007842CC"/>
    <w:rsid w:val="007843E3"/>
    <w:rsid w:val="00784EB8"/>
    <w:rsid w:val="00785B57"/>
    <w:rsid w:val="00785FFD"/>
    <w:rsid w:val="007860A3"/>
    <w:rsid w:val="007862BC"/>
    <w:rsid w:val="007868AA"/>
    <w:rsid w:val="00787319"/>
    <w:rsid w:val="007905D5"/>
    <w:rsid w:val="00791521"/>
    <w:rsid w:val="007916BC"/>
    <w:rsid w:val="00792EE9"/>
    <w:rsid w:val="00793293"/>
    <w:rsid w:val="0079618A"/>
    <w:rsid w:val="007A1528"/>
    <w:rsid w:val="007A1AEB"/>
    <w:rsid w:val="007A251D"/>
    <w:rsid w:val="007A421E"/>
    <w:rsid w:val="007A48E7"/>
    <w:rsid w:val="007A4A52"/>
    <w:rsid w:val="007B10A4"/>
    <w:rsid w:val="007B15BC"/>
    <w:rsid w:val="007B21E7"/>
    <w:rsid w:val="007B2504"/>
    <w:rsid w:val="007B4A55"/>
    <w:rsid w:val="007B5D76"/>
    <w:rsid w:val="007B5DF3"/>
    <w:rsid w:val="007B6B80"/>
    <w:rsid w:val="007B79C2"/>
    <w:rsid w:val="007B7E43"/>
    <w:rsid w:val="007C185D"/>
    <w:rsid w:val="007C1A30"/>
    <w:rsid w:val="007C22FB"/>
    <w:rsid w:val="007C27B4"/>
    <w:rsid w:val="007C2825"/>
    <w:rsid w:val="007C3E00"/>
    <w:rsid w:val="007C5F3F"/>
    <w:rsid w:val="007C6BA4"/>
    <w:rsid w:val="007C799E"/>
    <w:rsid w:val="007C7D04"/>
    <w:rsid w:val="007D0A2C"/>
    <w:rsid w:val="007D0FFF"/>
    <w:rsid w:val="007D2098"/>
    <w:rsid w:val="007D2DD3"/>
    <w:rsid w:val="007D6984"/>
    <w:rsid w:val="007D7539"/>
    <w:rsid w:val="007D7D1F"/>
    <w:rsid w:val="007E176F"/>
    <w:rsid w:val="007E17A2"/>
    <w:rsid w:val="007E424E"/>
    <w:rsid w:val="007F0942"/>
    <w:rsid w:val="007F5E10"/>
    <w:rsid w:val="007F665B"/>
    <w:rsid w:val="00801DA9"/>
    <w:rsid w:val="00804F07"/>
    <w:rsid w:val="00805550"/>
    <w:rsid w:val="008055FD"/>
    <w:rsid w:val="0080605B"/>
    <w:rsid w:val="00806514"/>
    <w:rsid w:val="00807693"/>
    <w:rsid w:val="00810EF7"/>
    <w:rsid w:val="0081185F"/>
    <w:rsid w:val="008133DC"/>
    <w:rsid w:val="008147FA"/>
    <w:rsid w:val="00814923"/>
    <w:rsid w:val="00814C6D"/>
    <w:rsid w:val="00816A30"/>
    <w:rsid w:val="00817FE0"/>
    <w:rsid w:val="008246F7"/>
    <w:rsid w:val="00825400"/>
    <w:rsid w:val="0082599B"/>
    <w:rsid w:val="00826A51"/>
    <w:rsid w:val="00830390"/>
    <w:rsid w:val="00832F1F"/>
    <w:rsid w:val="008331BD"/>
    <w:rsid w:val="00835EC5"/>
    <w:rsid w:val="00836060"/>
    <w:rsid w:val="008369FD"/>
    <w:rsid w:val="00836C6E"/>
    <w:rsid w:val="008376B6"/>
    <w:rsid w:val="008409B8"/>
    <w:rsid w:val="00841054"/>
    <w:rsid w:val="008437D2"/>
    <w:rsid w:val="00843BE9"/>
    <w:rsid w:val="0084526D"/>
    <w:rsid w:val="0084684E"/>
    <w:rsid w:val="008503EA"/>
    <w:rsid w:val="00852BA1"/>
    <w:rsid w:val="00853019"/>
    <w:rsid w:val="008553FF"/>
    <w:rsid w:val="0085675E"/>
    <w:rsid w:val="008613ED"/>
    <w:rsid w:val="00861441"/>
    <w:rsid w:val="00861E59"/>
    <w:rsid w:val="00862EE8"/>
    <w:rsid w:val="008647D6"/>
    <w:rsid w:val="00867666"/>
    <w:rsid w:val="00871B74"/>
    <w:rsid w:val="00873196"/>
    <w:rsid w:val="00873239"/>
    <w:rsid w:val="008759A1"/>
    <w:rsid w:val="008762F1"/>
    <w:rsid w:val="008766C1"/>
    <w:rsid w:val="00882FAB"/>
    <w:rsid w:val="008848EC"/>
    <w:rsid w:val="00884C12"/>
    <w:rsid w:val="008858E4"/>
    <w:rsid w:val="00885CE9"/>
    <w:rsid w:val="0088693C"/>
    <w:rsid w:val="00887E25"/>
    <w:rsid w:val="0089156D"/>
    <w:rsid w:val="008940EB"/>
    <w:rsid w:val="0089466B"/>
    <w:rsid w:val="00895911"/>
    <w:rsid w:val="008966C0"/>
    <w:rsid w:val="0089781C"/>
    <w:rsid w:val="008A07A9"/>
    <w:rsid w:val="008A0876"/>
    <w:rsid w:val="008A143F"/>
    <w:rsid w:val="008A3B85"/>
    <w:rsid w:val="008A5A11"/>
    <w:rsid w:val="008B0259"/>
    <w:rsid w:val="008B0819"/>
    <w:rsid w:val="008B17BE"/>
    <w:rsid w:val="008B199F"/>
    <w:rsid w:val="008B2507"/>
    <w:rsid w:val="008B30B6"/>
    <w:rsid w:val="008B34FB"/>
    <w:rsid w:val="008B5419"/>
    <w:rsid w:val="008B591A"/>
    <w:rsid w:val="008B5B6A"/>
    <w:rsid w:val="008B6CDE"/>
    <w:rsid w:val="008B6D9A"/>
    <w:rsid w:val="008C09A5"/>
    <w:rsid w:val="008C3D2E"/>
    <w:rsid w:val="008C411F"/>
    <w:rsid w:val="008C558F"/>
    <w:rsid w:val="008C55BC"/>
    <w:rsid w:val="008C5646"/>
    <w:rsid w:val="008C5800"/>
    <w:rsid w:val="008C72C4"/>
    <w:rsid w:val="008C78EB"/>
    <w:rsid w:val="008D0BDF"/>
    <w:rsid w:val="008D24DE"/>
    <w:rsid w:val="008D470E"/>
    <w:rsid w:val="008D576F"/>
    <w:rsid w:val="008D6228"/>
    <w:rsid w:val="008D6266"/>
    <w:rsid w:val="008D7BD4"/>
    <w:rsid w:val="008D7EEE"/>
    <w:rsid w:val="008E05F1"/>
    <w:rsid w:val="008E0F87"/>
    <w:rsid w:val="008E101D"/>
    <w:rsid w:val="008E141D"/>
    <w:rsid w:val="008E17CD"/>
    <w:rsid w:val="008E28B5"/>
    <w:rsid w:val="008E2C78"/>
    <w:rsid w:val="008E3917"/>
    <w:rsid w:val="008E3FA9"/>
    <w:rsid w:val="008E59DC"/>
    <w:rsid w:val="008F123F"/>
    <w:rsid w:val="008F174C"/>
    <w:rsid w:val="008F24FE"/>
    <w:rsid w:val="008F30F8"/>
    <w:rsid w:val="008F37CE"/>
    <w:rsid w:val="008F3ACC"/>
    <w:rsid w:val="008F3ADB"/>
    <w:rsid w:val="008F41C7"/>
    <w:rsid w:val="008F46D2"/>
    <w:rsid w:val="008F66A1"/>
    <w:rsid w:val="008F71EE"/>
    <w:rsid w:val="0090030D"/>
    <w:rsid w:val="00900593"/>
    <w:rsid w:val="009011A5"/>
    <w:rsid w:val="0090424B"/>
    <w:rsid w:val="009042F8"/>
    <w:rsid w:val="0090496D"/>
    <w:rsid w:val="009072D4"/>
    <w:rsid w:val="0090773F"/>
    <w:rsid w:val="009114D1"/>
    <w:rsid w:val="009129AA"/>
    <w:rsid w:val="009149B0"/>
    <w:rsid w:val="00916DAB"/>
    <w:rsid w:val="0091716C"/>
    <w:rsid w:val="00920EC4"/>
    <w:rsid w:val="00924E2E"/>
    <w:rsid w:val="009278D0"/>
    <w:rsid w:val="009305C1"/>
    <w:rsid w:val="0093189B"/>
    <w:rsid w:val="00931D4B"/>
    <w:rsid w:val="00934A4C"/>
    <w:rsid w:val="00934BCB"/>
    <w:rsid w:val="009356AF"/>
    <w:rsid w:val="00936D72"/>
    <w:rsid w:val="00937552"/>
    <w:rsid w:val="00937D1F"/>
    <w:rsid w:val="009411B5"/>
    <w:rsid w:val="00941964"/>
    <w:rsid w:val="0094693B"/>
    <w:rsid w:val="00947747"/>
    <w:rsid w:val="00950A09"/>
    <w:rsid w:val="00951718"/>
    <w:rsid w:val="009523A8"/>
    <w:rsid w:val="00955AE4"/>
    <w:rsid w:val="00955FB4"/>
    <w:rsid w:val="00956195"/>
    <w:rsid w:val="009561A6"/>
    <w:rsid w:val="0095675F"/>
    <w:rsid w:val="009567CE"/>
    <w:rsid w:val="00956A36"/>
    <w:rsid w:val="00956B4F"/>
    <w:rsid w:val="009577E9"/>
    <w:rsid w:val="00957E61"/>
    <w:rsid w:val="00960B34"/>
    <w:rsid w:val="0096283C"/>
    <w:rsid w:val="00962EBE"/>
    <w:rsid w:val="00963E67"/>
    <w:rsid w:val="0096485F"/>
    <w:rsid w:val="00965596"/>
    <w:rsid w:val="009655AA"/>
    <w:rsid w:val="009662D2"/>
    <w:rsid w:val="0096790D"/>
    <w:rsid w:val="00970B7D"/>
    <w:rsid w:val="00972116"/>
    <w:rsid w:val="00973241"/>
    <w:rsid w:val="00973B7A"/>
    <w:rsid w:val="00975DC5"/>
    <w:rsid w:val="00975E5B"/>
    <w:rsid w:val="00976354"/>
    <w:rsid w:val="00976FF5"/>
    <w:rsid w:val="00977427"/>
    <w:rsid w:val="0098008B"/>
    <w:rsid w:val="009813A2"/>
    <w:rsid w:val="00982B7C"/>
    <w:rsid w:val="00983E71"/>
    <w:rsid w:val="00986C27"/>
    <w:rsid w:val="00987278"/>
    <w:rsid w:val="00987A9C"/>
    <w:rsid w:val="00987AAD"/>
    <w:rsid w:val="00993411"/>
    <w:rsid w:val="0099381F"/>
    <w:rsid w:val="00995224"/>
    <w:rsid w:val="0099631D"/>
    <w:rsid w:val="009A03C5"/>
    <w:rsid w:val="009A1670"/>
    <w:rsid w:val="009A2007"/>
    <w:rsid w:val="009A33E3"/>
    <w:rsid w:val="009A47E5"/>
    <w:rsid w:val="009A6C6E"/>
    <w:rsid w:val="009B1E2F"/>
    <w:rsid w:val="009B41D2"/>
    <w:rsid w:val="009B4B27"/>
    <w:rsid w:val="009B56F2"/>
    <w:rsid w:val="009B6AC0"/>
    <w:rsid w:val="009B6B34"/>
    <w:rsid w:val="009C0B31"/>
    <w:rsid w:val="009C0E2C"/>
    <w:rsid w:val="009C0F5D"/>
    <w:rsid w:val="009C154B"/>
    <w:rsid w:val="009C1718"/>
    <w:rsid w:val="009C39CF"/>
    <w:rsid w:val="009C48F5"/>
    <w:rsid w:val="009C4F9F"/>
    <w:rsid w:val="009C68F7"/>
    <w:rsid w:val="009D0035"/>
    <w:rsid w:val="009D0D87"/>
    <w:rsid w:val="009D0ECB"/>
    <w:rsid w:val="009D163E"/>
    <w:rsid w:val="009D1875"/>
    <w:rsid w:val="009D2CE5"/>
    <w:rsid w:val="009D4601"/>
    <w:rsid w:val="009D4C4A"/>
    <w:rsid w:val="009D73B5"/>
    <w:rsid w:val="009D78BD"/>
    <w:rsid w:val="009D7FA0"/>
    <w:rsid w:val="009E00F2"/>
    <w:rsid w:val="009E0E12"/>
    <w:rsid w:val="009E2C9F"/>
    <w:rsid w:val="009E2E06"/>
    <w:rsid w:val="009E4785"/>
    <w:rsid w:val="009E5BD7"/>
    <w:rsid w:val="009E5DF7"/>
    <w:rsid w:val="009E6349"/>
    <w:rsid w:val="009E6B5E"/>
    <w:rsid w:val="009F0342"/>
    <w:rsid w:val="009F1489"/>
    <w:rsid w:val="009F1E5F"/>
    <w:rsid w:val="009F2328"/>
    <w:rsid w:val="009F25DD"/>
    <w:rsid w:val="009F2CDA"/>
    <w:rsid w:val="009F2E54"/>
    <w:rsid w:val="009F4079"/>
    <w:rsid w:val="009F44C3"/>
    <w:rsid w:val="009F4C0F"/>
    <w:rsid w:val="009F5C2F"/>
    <w:rsid w:val="009F6CC6"/>
    <w:rsid w:val="009F6CF4"/>
    <w:rsid w:val="009F7410"/>
    <w:rsid w:val="009F7B60"/>
    <w:rsid w:val="00A00646"/>
    <w:rsid w:val="00A021F1"/>
    <w:rsid w:val="00A02ED5"/>
    <w:rsid w:val="00A03510"/>
    <w:rsid w:val="00A03715"/>
    <w:rsid w:val="00A0465F"/>
    <w:rsid w:val="00A05933"/>
    <w:rsid w:val="00A07307"/>
    <w:rsid w:val="00A07411"/>
    <w:rsid w:val="00A12418"/>
    <w:rsid w:val="00A13C00"/>
    <w:rsid w:val="00A16ED9"/>
    <w:rsid w:val="00A20798"/>
    <w:rsid w:val="00A21B16"/>
    <w:rsid w:val="00A23A30"/>
    <w:rsid w:val="00A24A76"/>
    <w:rsid w:val="00A25187"/>
    <w:rsid w:val="00A270CF"/>
    <w:rsid w:val="00A271BA"/>
    <w:rsid w:val="00A27443"/>
    <w:rsid w:val="00A27C1E"/>
    <w:rsid w:val="00A27C90"/>
    <w:rsid w:val="00A27EC0"/>
    <w:rsid w:val="00A30D92"/>
    <w:rsid w:val="00A3115E"/>
    <w:rsid w:val="00A31EF2"/>
    <w:rsid w:val="00A32EDB"/>
    <w:rsid w:val="00A338E1"/>
    <w:rsid w:val="00A343DE"/>
    <w:rsid w:val="00A34CE7"/>
    <w:rsid w:val="00A3581E"/>
    <w:rsid w:val="00A365E7"/>
    <w:rsid w:val="00A36ECD"/>
    <w:rsid w:val="00A3701E"/>
    <w:rsid w:val="00A41C57"/>
    <w:rsid w:val="00A41CA1"/>
    <w:rsid w:val="00A43944"/>
    <w:rsid w:val="00A43D61"/>
    <w:rsid w:val="00A443B9"/>
    <w:rsid w:val="00A44464"/>
    <w:rsid w:val="00A44753"/>
    <w:rsid w:val="00A44A85"/>
    <w:rsid w:val="00A45C26"/>
    <w:rsid w:val="00A463E3"/>
    <w:rsid w:val="00A46C80"/>
    <w:rsid w:val="00A5007E"/>
    <w:rsid w:val="00A52559"/>
    <w:rsid w:val="00A530E1"/>
    <w:rsid w:val="00A54266"/>
    <w:rsid w:val="00A54BD6"/>
    <w:rsid w:val="00A56481"/>
    <w:rsid w:val="00A6339B"/>
    <w:rsid w:val="00A63B07"/>
    <w:rsid w:val="00A63E0B"/>
    <w:rsid w:val="00A644FF"/>
    <w:rsid w:val="00A649E9"/>
    <w:rsid w:val="00A650B6"/>
    <w:rsid w:val="00A67EBD"/>
    <w:rsid w:val="00A70561"/>
    <w:rsid w:val="00A71184"/>
    <w:rsid w:val="00A771A3"/>
    <w:rsid w:val="00A77552"/>
    <w:rsid w:val="00A77F7C"/>
    <w:rsid w:val="00A80478"/>
    <w:rsid w:val="00A81188"/>
    <w:rsid w:val="00A818DA"/>
    <w:rsid w:val="00A830D8"/>
    <w:rsid w:val="00A83453"/>
    <w:rsid w:val="00A85898"/>
    <w:rsid w:val="00A85942"/>
    <w:rsid w:val="00A860EE"/>
    <w:rsid w:val="00A86257"/>
    <w:rsid w:val="00A8793F"/>
    <w:rsid w:val="00A90B32"/>
    <w:rsid w:val="00A90E0C"/>
    <w:rsid w:val="00A92B81"/>
    <w:rsid w:val="00A93A9B"/>
    <w:rsid w:val="00A93DAF"/>
    <w:rsid w:val="00A94BA1"/>
    <w:rsid w:val="00A94C23"/>
    <w:rsid w:val="00A95674"/>
    <w:rsid w:val="00A96262"/>
    <w:rsid w:val="00A96D3C"/>
    <w:rsid w:val="00A97BE7"/>
    <w:rsid w:val="00AA043F"/>
    <w:rsid w:val="00AA3181"/>
    <w:rsid w:val="00AA3DEE"/>
    <w:rsid w:val="00AA4029"/>
    <w:rsid w:val="00AA5690"/>
    <w:rsid w:val="00AA573A"/>
    <w:rsid w:val="00AA5B40"/>
    <w:rsid w:val="00AA5CBA"/>
    <w:rsid w:val="00AB0345"/>
    <w:rsid w:val="00AB04D0"/>
    <w:rsid w:val="00AB17D0"/>
    <w:rsid w:val="00AB48F8"/>
    <w:rsid w:val="00AB4D04"/>
    <w:rsid w:val="00AB584C"/>
    <w:rsid w:val="00AB62C9"/>
    <w:rsid w:val="00AB71E3"/>
    <w:rsid w:val="00AB7848"/>
    <w:rsid w:val="00AC0C6C"/>
    <w:rsid w:val="00AC28B5"/>
    <w:rsid w:val="00AC2B1B"/>
    <w:rsid w:val="00AC2C80"/>
    <w:rsid w:val="00AC30D3"/>
    <w:rsid w:val="00AC4218"/>
    <w:rsid w:val="00AC49E1"/>
    <w:rsid w:val="00AC67A7"/>
    <w:rsid w:val="00AC6EE1"/>
    <w:rsid w:val="00AD116C"/>
    <w:rsid w:val="00AD2A16"/>
    <w:rsid w:val="00AD4229"/>
    <w:rsid w:val="00AD4BAD"/>
    <w:rsid w:val="00AE036F"/>
    <w:rsid w:val="00AE17AC"/>
    <w:rsid w:val="00AE1FF8"/>
    <w:rsid w:val="00AE2634"/>
    <w:rsid w:val="00AE35F7"/>
    <w:rsid w:val="00AE38E9"/>
    <w:rsid w:val="00AE5918"/>
    <w:rsid w:val="00AE71A3"/>
    <w:rsid w:val="00AE7F8E"/>
    <w:rsid w:val="00AF10B3"/>
    <w:rsid w:val="00AF3966"/>
    <w:rsid w:val="00AF7048"/>
    <w:rsid w:val="00AF76CE"/>
    <w:rsid w:val="00B013A1"/>
    <w:rsid w:val="00B01805"/>
    <w:rsid w:val="00B0302B"/>
    <w:rsid w:val="00B03FB4"/>
    <w:rsid w:val="00B04DFB"/>
    <w:rsid w:val="00B06ADD"/>
    <w:rsid w:val="00B06D22"/>
    <w:rsid w:val="00B105FD"/>
    <w:rsid w:val="00B12309"/>
    <w:rsid w:val="00B12869"/>
    <w:rsid w:val="00B13C11"/>
    <w:rsid w:val="00B14BC0"/>
    <w:rsid w:val="00B1530B"/>
    <w:rsid w:val="00B15CA7"/>
    <w:rsid w:val="00B15E9E"/>
    <w:rsid w:val="00B16859"/>
    <w:rsid w:val="00B17156"/>
    <w:rsid w:val="00B2038C"/>
    <w:rsid w:val="00B20580"/>
    <w:rsid w:val="00B21ED6"/>
    <w:rsid w:val="00B22629"/>
    <w:rsid w:val="00B2495F"/>
    <w:rsid w:val="00B265F6"/>
    <w:rsid w:val="00B30067"/>
    <w:rsid w:val="00B31613"/>
    <w:rsid w:val="00B32642"/>
    <w:rsid w:val="00B35AD0"/>
    <w:rsid w:val="00B35B27"/>
    <w:rsid w:val="00B431E0"/>
    <w:rsid w:val="00B43585"/>
    <w:rsid w:val="00B457B2"/>
    <w:rsid w:val="00B4602F"/>
    <w:rsid w:val="00B46193"/>
    <w:rsid w:val="00B462DF"/>
    <w:rsid w:val="00B46B80"/>
    <w:rsid w:val="00B47779"/>
    <w:rsid w:val="00B55103"/>
    <w:rsid w:val="00B55E97"/>
    <w:rsid w:val="00B56A80"/>
    <w:rsid w:val="00B576E1"/>
    <w:rsid w:val="00B577EA"/>
    <w:rsid w:val="00B578E8"/>
    <w:rsid w:val="00B604E6"/>
    <w:rsid w:val="00B60E7B"/>
    <w:rsid w:val="00B621BD"/>
    <w:rsid w:val="00B62D4A"/>
    <w:rsid w:val="00B63492"/>
    <w:rsid w:val="00B63B9C"/>
    <w:rsid w:val="00B65934"/>
    <w:rsid w:val="00B66D3B"/>
    <w:rsid w:val="00B670A1"/>
    <w:rsid w:val="00B6755A"/>
    <w:rsid w:val="00B67ECA"/>
    <w:rsid w:val="00B704BA"/>
    <w:rsid w:val="00B7105A"/>
    <w:rsid w:val="00B71899"/>
    <w:rsid w:val="00B77E47"/>
    <w:rsid w:val="00B8024C"/>
    <w:rsid w:val="00B81B47"/>
    <w:rsid w:val="00B82107"/>
    <w:rsid w:val="00B82D6C"/>
    <w:rsid w:val="00B835F8"/>
    <w:rsid w:val="00B84D81"/>
    <w:rsid w:val="00B853F1"/>
    <w:rsid w:val="00B85B89"/>
    <w:rsid w:val="00B85D84"/>
    <w:rsid w:val="00B868F9"/>
    <w:rsid w:val="00B87202"/>
    <w:rsid w:val="00B87642"/>
    <w:rsid w:val="00B90239"/>
    <w:rsid w:val="00B91DE2"/>
    <w:rsid w:val="00B929BF"/>
    <w:rsid w:val="00B92A8F"/>
    <w:rsid w:val="00B92BB6"/>
    <w:rsid w:val="00B96B9D"/>
    <w:rsid w:val="00BA030A"/>
    <w:rsid w:val="00BA068B"/>
    <w:rsid w:val="00BA0C7F"/>
    <w:rsid w:val="00BA0E6B"/>
    <w:rsid w:val="00BA12D7"/>
    <w:rsid w:val="00BA1686"/>
    <w:rsid w:val="00BA1941"/>
    <w:rsid w:val="00BA271D"/>
    <w:rsid w:val="00BA3262"/>
    <w:rsid w:val="00BA4725"/>
    <w:rsid w:val="00BA5B91"/>
    <w:rsid w:val="00BA5BE7"/>
    <w:rsid w:val="00BA62A6"/>
    <w:rsid w:val="00BA7B49"/>
    <w:rsid w:val="00BB1010"/>
    <w:rsid w:val="00BB15BA"/>
    <w:rsid w:val="00BB2BEA"/>
    <w:rsid w:val="00BB38D8"/>
    <w:rsid w:val="00BB689C"/>
    <w:rsid w:val="00BB6B52"/>
    <w:rsid w:val="00BB7E1D"/>
    <w:rsid w:val="00BC414F"/>
    <w:rsid w:val="00BC43AB"/>
    <w:rsid w:val="00BC5CBC"/>
    <w:rsid w:val="00BC5FCD"/>
    <w:rsid w:val="00BC6212"/>
    <w:rsid w:val="00BC6B40"/>
    <w:rsid w:val="00BC7CA3"/>
    <w:rsid w:val="00BD2486"/>
    <w:rsid w:val="00BD28B7"/>
    <w:rsid w:val="00BD3EE6"/>
    <w:rsid w:val="00BD49B4"/>
    <w:rsid w:val="00BD6AE2"/>
    <w:rsid w:val="00BE2127"/>
    <w:rsid w:val="00BE266A"/>
    <w:rsid w:val="00BE579B"/>
    <w:rsid w:val="00BE7667"/>
    <w:rsid w:val="00BF0B19"/>
    <w:rsid w:val="00BF1AEC"/>
    <w:rsid w:val="00BF1E1D"/>
    <w:rsid w:val="00BF2302"/>
    <w:rsid w:val="00BF39E9"/>
    <w:rsid w:val="00BF490F"/>
    <w:rsid w:val="00BF4A26"/>
    <w:rsid w:val="00BF5540"/>
    <w:rsid w:val="00BF5B04"/>
    <w:rsid w:val="00BF5C9F"/>
    <w:rsid w:val="00C001B9"/>
    <w:rsid w:val="00C011D6"/>
    <w:rsid w:val="00C023E8"/>
    <w:rsid w:val="00C024DF"/>
    <w:rsid w:val="00C025B8"/>
    <w:rsid w:val="00C03B43"/>
    <w:rsid w:val="00C054A8"/>
    <w:rsid w:val="00C06D82"/>
    <w:rsid w:val="00C10179"/>
    <w:rsid w:val="00C1079B"/>
    <w:rsid w:val="00C107C3"/>
    <w:rsid w:val="00C10B2C"/>
    <w:rsid w:val="00C1191B"/>
    <w:rsid w:val="00C1229D"/>
    <w:rsid w:val="00C13F3B"/>
    <w:rsid w:val="00C1502C"/>
    <w:rsid w:val="00C16844"/>
    <w:rsid w:val="00C17CE8"/>
    <w:rsid w:val="00C2137D"/>
    <w:rsid w:val="00C21CD4"/>
    <w:rsid w:val="00C2289A"/>
    <w:rsid w:val="00C2426D"/>
    <w:rsid w:val="00C25246"/>
    <w:rsid w:val="00C25E4D"/>
    <w:rsid w:val="00C276C3"/>
    <w:rsid w:val="00C27F81"/>
    <w:rsid w:val="00C30295"/>
    <w:rsid w:val="00C32537"/>
    <w:rsid w:val="00C35BC1"/>
    <w:rsid w:val="00C36C79"/>
    <w:rsid w:val="00C37767"/>
    <w:rsid w:val="00C4231B"/>
    <w:rsid w:val="00C45ABA"/>
    <w:rsid w:val="00C461C6"/>
    <w:rsid w:val="00C51743"/>
    <w:rsid w:val="00C51CD2"/>
    <w:rsid w:val="00C56502"/>
    <w:rsid w:val="00C577F7"/>
    <w:rsid w:val="00C61CD3"/>
    <w:rsid w:val="00C629C5"/>
    <w:rsid w:val="00C63F88"/>
    <w:rsid w:val="00C64320"/>
    <w:rsid w:val="00C64A56"/>
    <w:rsid w:val="00C64CE4"/>
    <w:rsid w:val="00C64E96"/>
    <w:rsid w:val="00C653DB"/>
    <w:rsid w:val="00C65AB1"/>
    <w:rsid w:val="00C671B7"/>
    <w:rsid w:val="00C72B1D"/>
    <w:rsid w:val="00C72E30"/>
    <w:rsid w:val="00C72FDD"/>
    <w:rsid w:val="00C73A54"/>
    <w:rsid w:val="00C74621"/>
    <w:rsid w:val="00C8016A"/>
    <w:rsid w:val="00C8059F"/>
    <w:rsid w:val="00C81515"/>
    <w:rsid w:val="00C83A60"/>
    <w:rsid w:val="00C8444D"/>
    <w:rsid w:val="00C84658"/>
    <w:rsid w:val="00C85719"/>
    <w:rsid w:val="00C85EAE"/>
    <w:rsid w:val="00C86C33"/>
    <w:rsid w:val="00C905B5"/>
    <w:rsid w:val="00C91B4F"/>
    <w:rsid w:val="00C92C5C"/>
    <w:rsid w:val="00C93456"/>
    <w:rsid w:val="00C97881"/>
    <w:rsid w:val="00C97D14"/>
    <w:rsid w:val="00CA0EBB"/>
    <w:rsid w:val="00CA2CA9"/>
    <w:rsid w:val="00CA52E4"/>
    <w:rsid w:val="00CA577D"/>
    <w:rsid w:val="00CA6920"/>
    <w:rsid w:val="00CB2849"/>
    <w:rsid w:val="00CB5CFF"/>
    <w:rsid w:val="00CB5FE5"/>
    <w:rsid w:val="00CC0477"/>
    <w:rsid w:val="00CC0E65"/>
    <w:rsid w:val="00CC0FB4"/>
    <w:rsid w:val="00CC1064"/>
    <w:rsid w:val="00CC2A83"/>
    <w:rsid w:val="00CC3704"/>
    <w:rsid w:val="00CC384E"/>
    <w:rsid w:val="00CD06C1"/>
    <w:rsid w:val="00CD25B6"/>
    <w:rsid w:val="00CD2F3F"/>
    <w:rsid w:val="00CD33D9"/>
    <w:rsid w:val="00CD582B"/>
    <w:rsid w:val="00CD5A91"/>
    <w:rsid w:val="00CD5B2B"/>
    <w:rsid w:val="00CD7688"/>
    <w:rsid w:val="00CE0711"/>
    <w:rsid w:val="00CE16C8"/>
    <w:rsid w:val="00CE18B2"/>
    <w:rsid w:val="00CE1AB6"/>
    <w:rsid w:val="00CE2AC7"/>
    <w:rsid w:val="00CE30E6"/>
    <w:rsid w:val="00CE40E9"/>
    <w:rsid w:val="00CE42B6"/>
    <w:rsid w:val="00CE4957"/>
    <w:rsid w:val="00CE4F93"/>
    <w:rsid w:val="00CE56A1"/>
    <w:rsid w:val="00CE5D75"/>
    <w:rsid w:val="00CE7EA6"/>
    <w:rsid w:val="00CF03B5"/>
    <w:rsid w:val="00CF047C"/>
    <w:rsid w:val="00CF18BB"/>
    <w:rsid w:val="00CF196A"/>
    <w:rsid w:val="00CF1CF2"/>
    <w:rsid w:val="00CF2205"/>
    <w:rsid w:val="00CF5D9D"/>
    <w:rsid w:val="00CF6556"/>
    <w:rsid w:val="00CF6D85"/>
    <w:rsid w:val="00CF7207"/>
    <w:rsid w:val="00D0007A"/>
    <w:rsid w:val="00D00347"/>
    <w:rsid w:val="00D003B4"/>
    <w:rsid w:val="00D0077B"/>
    <w:rsid w:val="00D0094C"/>
    <w:rsid w:val="00D00AF7"/>
    <w:rsid w:val="00D012D8"/>
    <w:rsid w:val="00D02F89"/>
    <w:rsid w:val="00D03F31"/>
    <w:rsid w:val="00D05646"/>
    <w:rsid w:val="00D07657"/>
    <w:rsid w:val="00D1449B"/>
    <w:rsid w:val="00D14F79"/>
    <w:rsid w:val="00D17E3A"/>
    <w:rsid w:val="00D20DD3"/>
    <w:rsid w:val="00D240FF"/>
    <w:rsid w:val="00D2799B"/>
    <w:rsid w:val="00D31B42"/>
    <w:rsid w:val="00D36F61"/>
    <w:rsid w:val="00D375CE"/>
    <w:rsid w:val="00D43EBA"/>
    <w:rsid w:val="00D46675"/>
    <w:rsid w:val="00D466EA"/>
    <w:rsid w:val="00D46ED8"/>
    <w:rsid w:val="00D47BA3"/>
    <w:rsid w:val="00D51907"/>
    <w:rsid w:val="00D52392"/>
    <w:rsid w:val="00D53A27"/>
    <w:rsid w:val="00D5545D"/>
    <w:rsid w:val="00D57606"/>
    <w:rsid w:val="00D57C1B"/>
    <w:rsid w:val="00D57F68"/>
    <w:rsid w:val="00D610BF"/>
    <w:rsid w:val="00D61347"/>
    <w:rsid w:val="00D61FB4"/>
    <w:rsid w:val="00D634A5"/>
    <w:rsid w:val="00D639F5"/>
    <w:rsid w:val="00D655E7"/>
    <w:rsid w:val="00D65D1F"/>
    <w:rsid w:val="00D66D79"/>
    <w:rsid w:val="00D73252"/>
    <w:rsid w:val="00D74BA8"/>
    <w:rsid w:val="00D75AA8"/>
    <w:rsid w:val="00D75C42"/>
    <w:rsid w:val="00D81F69"/>
    <w:rsid w:val="00D824C5"/>
    <w:rsid w:val="00D845EB"/>
    <w:rsid w:val="00D85379"/>
    <w:rsid w:val="00D853F9"/>
    <w:rsid w:val="00D87A7D"/>
    <w:rsid w:val="00D90420"/>
    <w:rsid w:val="00D90B75"/>
    <w:rsid w:val="00D910B1"/>
    <w:rsid w:val="00D91577"/>
    <w:rsid w:val="00D9172C"/>
    <w:rsid w:val="00D93166"/>
    <w:rsid w:val="00D942F7"/>
    <w:rsid w:val="00D94678"/>
    <w:rsid w:val="00D95D86"/>
    <w:rsid w:val="00D95F88"/>
    <w:rsid w:val="00D95F89"/>
    <w:rsid w:val="00D96A66"/>
    <w:rsid w:val="00DA01D6"/>
    <w:rsid w:val="00DA05C7"/>
    <w:rsid w:val="00DA162E"/>
    <w:rsid w:val="00DA1D8F"/>
    <w:rsid w:val="00DA2746"/>
    <w:rsid w:val="00DA3828"/>
    <w:rsid w:val="00DA3C63"/>
    <w:rsid w:val="00DA4F56"/>
    <w:rsid w:val="00DA54BC"/>
    <w:rsid w:val="00DA6940"/>
    <w:rsid w:val="00DA7395"/>
    <w:rsid w:val="00DA7538"/>
    <w:rsid w:val="00DA7563"/>
    <w:rsid w:val="00DB0796"/>
    <w:rsid w:val="00DB1FBE"/>
    <w:rsid w:val="00DB48D9"/>
    <w:rsid w:val="00DB5487"/>
    <w:rsid w:val="00DB55CF"/>
    <w:rsid w:val="00DB5D58"/>
    <w:rsid w:val="00DB7FE2"/>
    <w:rsid w:val="00DC4EC2"/>
    <w:rsid w:val="00DC5021"/>
    <w:rsid w:val="00DC53EE"/>
    <w:rsid w:val="00DC6B55"/>
    <w:rsid w:val="00DC706F"/>
    <w:rsid w:val="00DD3F43"/>
    <w:rsid w:val="00DD4269"/>
    <w:rsid w:val="00DD4A1A"/>
    <w:rsid w:val="00DD596E"/>
    <w:rsid w:val="00DD6069"/>
    <w:rsid w:val="00DD6EF0"/>
    <w:rsid w:val="00DD754A"/>
    <w:rsid w:val="00DE092F"/>
    <w:rsid w:val="00DE1498"/>
    <w:rsid w:val="00DE28CA"/>
    <w:rsid w:val="00DE3088"/>
    <w:rsid w:val="00DE4B6C"/>
    <w:rsid w:val="00DE5008"/>
    <w:rsid w:val="00DE5022"/>
    <w:rsid w:val="00DE5152"/>
    <w:rsid w:val="00DE5FCE"/>
    <w:rsid w:val="00DF01FD"/>
    <w:rsid w:val="00DF0427"/>
    <w:rsid w:val="00DF0F5D"/>
    <w:rsid w:val="00DF280A"/>
    <w:rsid w:val="00DF2AF3"/>
    <w:rsid w:val="00DF3CD7"/>
    <w:rsid w:val="00DF4F4B"/>
    <w:rsid w:val="00DF53D6"/>
    <w:rsid w:val="00DF5845"/>
    <w:rsid w:val="00DF781F"/>
    <w:rsid w:val="00DF7A2B"/>
    <w:rsid w:val="00E00879"/>
    <w:rsid w:val="00E01004"/>
    <w:rsid w:val="00E010FA"/>
    <w:rsid w:val="00E01C3B"/>
    <w:rsid w:val="00E01CB2"/>
    <w:rsid w:val="00E020D9"/>
    <w:rsid w:val="00E03E10"/>
    <w:rsid w:val="00E04FEA"/>
    <w:rsid w:val="00E05B9A"/>
    <w:rsid w:val="00E06525"/>
    <w:rsid w:val="00E06DEB"/>
    <w:rsid w:val="00E07080"/>
    <w:rsid w:val="00E10800"/>
    <w:rsid w:val="00E11B06"/>
    <w:rsid w:val="00E1422B"/>
    <w:rsid w:val="00E1505B"/>
    <w:rsid w:val="00E15578"/>
    <w:rsid w:val="00E15764"/>
    <w:rsid w:val="00E15D1E"/>
    <w:rsid w:val="00E17652"/>
    <w:rsid w:val="00E20DCE"/>
    <w:rsid w:val="00E20EB4"/>
    <w:rsid w:val="00E22CDD"/>
    <w:rsid w:val="00E22E6B"/>
    <w:rsid w:val="00E25409"/>
    <w:rsid w:val="00E272E4"/>
    <w:rsid w:val="00E30462"/>
    <w:rsid w:val="00E31B6C"/>
    <w:rsid w:val="00E31F23"/>
    <w:rsid w:val="00E3220D"/>
    <w:rsid w:val="00E3238B"/>
    <w:rsid w:val="00E32FE8"/>
    <w:rsid w:val="00E35D69"/>
    <w:rsid w:val="00E40037"/>
    <w:rsid w:val="00E41FBC"/>
    <w:rsid w:val="00E432DD"/>
    <w:rsid w:val="00E43BC0"/>
    <w:rsid w:val="00E44975"/>
    <w:rsid w:val="00E4510A"/>
    <w:rsid w:val="00E4559B"/>
    <w:rsid w:val="00E50B88"/>
    <w:rsid w:val="00E51A73"/>
    <w:rsid w:val="00E51D88"/>
    <w:rsid w:val="00E529E8"/>
    <w:rsid w:val="00E545A2"/>
    <w:rsid w:val="00E55886"/>
    <w:rsid w:val="00E55B11"/>
    <w:rsid w:val="00E567E9"/>
    <w:rsid w:val="00E61571"/>
    <w:rsid w:val="00E63B86"/>
    <w:rsid w:val="00E63E26"/>
    <w:rsid w:val="00E64578"/>
    <w:rsid w:val="00E668C6"/>
    <w:rsid w:val="00E72903"/>
    <w:rsid w:val="00E733F2"/>
    <w:rsid w:val="00E73842"/>
    <w:rsid w:val="00E74E54"/>
    <w:rsid w:val="00E7500E"/>
    <w:rsid w:val="00E75216"/>
    <w:rsid w:val="00E7543E"/>
    <w:rsid w:val="00E754B2"/>
    <w:rsid w:val="00E761CC"/>
    <w:rsid w:val="00E772F0"/>
    <w:rsid w:val="00E8132C"/>
    <w:rsid w:val="00E8158D"/>
    <w:rsid w:val="00E81D2F"/>
    <w:rsid w:val="00E82009"/>
    <w:rsid w:val="00E8212B"/>
    <w:rsid w:val="00E9089E"/>
    <w:rsid w:val="00E92045"/>
    <w:rsid w:val="00E9556E"/>
    <w:rsid w:val="00E97DA9"/>
    <w:rsid w:val="00EA0094"/>
    <w:rsid w:val="00EA0846"/>
    <w:rsid w:val="00EA092F"/>
    <w:rsid w:val="00EA2895"/>
    <w:rsid w:val="00EA2AA1"/>
    <w:rsid w:val="00EA36E5"/>
    <w:rsid w:val="00EA44FA"/>
    <w:rsid w:val="00EA6240"/>
    <w:rsid w:val="00EA6897"/>
    <w:rsid w:val="00EB1083"/>
    <w:rsid w:val="00EB110A"/>
    <w:rsid w:val="00EB187F"/>
    <w:rsid w:val="00EB1A45"/>
    <w:rsid w:val="00EB544F"/>
    <w:rsid w:val="00EB5887"/>
    <w:rsid w:val="00EB6F35"/>
    <w:rsid w:val="00EB7956"/>
    <w:rsid w:val="00EC0625"/>
    <w:rsid w:val="00EC063C"/>
    <w:rsid w:val="00EC2856"/>
    <w:rsid w:val="00EC3985"/>
    <w:rsid w:val="00EC496F"/>
    <w:rsid w:val="00EC5B6A"/>
    <w:rsid w:val="00ED021B"/>
    <w:rsid w:val="00ED09B8"/>
    <w:rsid w:val="00ED0EA9"/>
    <w:rsid w:val="00ED3119"/>
    <w:rsid w:val="00ED4E83"/>
    <w:rsid w:val="00ED57D6"/>
    <w:rsid w:val="00ED5826"/>
    <w:rsid w:val="00EE0E4A"/>
    <w:rsid w:val="00EE10DF"/>
    <w:rsid w:val="00EE15EA"/>
    <w:rsid w:val="00EE195D"/>
    <w:rsid w:val="00EE1BC6"/>
    <w:rsid w:val="00EE1C50"/>
    <w:rsid w:val="00EE2CD2"/>
    <w:rsid w:val="00EE315E"/>
    <w:rsid w:val="00EE48FF"/>
    <w:rsid w:val="00EE4DF9"/>
    <w:rsid w:val="00EE54C7"/>
    <w:rsid w:val="00EE78E1"/>
    <w:rsid w:val="00EF0420"/>
    <w:rsid w:val="00EF0578"/>
    <w:rsid w:val="00EF3EF6"/>
    <w:rsid w:val="00EF4EA7"/>
    <w:rsid w:val="00EF595F"/>
    <w:rsid w:val="00EF6593"/>
    <w:rsid w:val="00F00F89"/>
    <w:rsid w:val="00F0186F"/>
    <w:rsid w:val="00F01A12"/>
    <w:rsid w:val="00F01A70"/>
    <w:rsid w:val="00F03EFC"/>
    <w:rsid w:val="00F049FC"/>
    <w:rsid w:val="00F04ED3"/>
    <w:rsid w:val="00F05A6F"/>
    <w:rsid w:val="00F07036"/>
    <w:rsid w:val="00F10BAE"/>
    <w:rsid w:val="00F119DC"/>
    <w:rsid w:val="00F12202"/>
    <w:rsid w:val="00F145F7"/>
    <w:rsid w:val="00F1478F"/>
    <w:rsid w:val="00F15A75"/>
    <w:rsid w:val="00F17D1D"/>
    <w:rsid w:val="00F20419"/>
    <w:rsid w:val="00F20F56"/>
    <w:rsid w:val="00F21642"/>
    <w:rsid w:val="00F22109"/>
    <w:rsid w:val="00F221CE"/>
    <w:rsid w:val="00F22B02"/>
    <w:rsid w:val="00F22D72"/>
    <w:rsid w:val="00F234E2"/>
    <w:rsid w:val="00F238FF"/>
    <w:rsid w:val="00F23AEA"/>
    <w:rsid w:val="00F23D2A"/>
    <w:rsid w:val="00F262B6"/>
    <w:rsid w:val="00F27137"/>
    <w:rsid w:val="00F27A91"/>
    <w:rsid w:val="00F3081B"/>
    <w:rsid w:val="00F31C8D"/>
    <w:rsid w:val="00F3362E"/>
    <w:rsid w:val="00F33CCD"/>
    <w:rsid w:val="00F33E34"/>
    <w:rsid w:val="00F33E38"/>
    <w:rsid w:val="00F358DF"/>
    <w:rsid w:val="00F35F90"/>
    <w:rsid w:val="00F369E0"/>
    <w:rsid w:val="00F374E0"/>
    <w:rsid w:val="00F4119D"/>
    <w:rsid w:val="00F427FA"/>
    <w:rsid w:val="00F42EA6"/>
    <w:rsid w:val="00F4312D"/>
    <w:rsid w:val="00F439CA"/>
    <w:rsid w:val="00F43E8C"/>
    <w:rsid w:val="00F44D8F"/>
    <w:rsid w:val="00F4512A"/>
    <w:rsid w:val="00F46CFA"/>
    <w:rsid w:val="00F473E9"/>
    <w:rsid w:val="00F501A3"/>
    <w:rsid w:val="00F52618"/>
    <w:rsid w:val="00F53290"/>
    <w:rsid w:val="00F533AA"/>
    <w:rsid w:val="00F54930"/>
    <w:rsid w:val="00F55AE7"/>
    <w:rsid w:val="00F55C35"/>
    <w:rsid w:val="00F568C7"/>
    <w:rsid w:val="00F56992"/>
    <w:rsid w:val="00F56C6F"/>
    <w:rsid w:val="00F57AA5"/>
    <w:rsid w:val="00F57E22"/>
    <w:rsid w:val="00F57FE6"/>
    <w:rsid w:val="00F615D5"/>
    <w:rsid w:val="00F61D19"/>
    <w:rsid w:val="00F6274F"/>
    <w:rsid w:val="00F63724"/>
    <w:rsid w:val="00F64A98"/>
    <w:rsid w:val="00F651C5"/>
    <w:rsid w:val="00F66FA6"/>
    <w:rsid w:val="00F678E0"/>
    <w:rsid w:val="00F67EB0"/>
    <w:rsid w:val="00F718A8"/>
    <w:rsid w:val="00F723AD"/>
    <w:rsid w:val="00F7370D"/>
    <w:rsid w:val="00F743B7"/>
    <w:rsid w:val="00F76678"/>
    <w:rsid w:val="00F767F4"/>
    <w:rsid w:val="00F772B2"/>
    <w:rsid w:val="00F77D6A"/>
    <w:rsid w:val="00F80496"/>
    <w:rsid w:val="00F81E64"/>
    <w:rsid w:val="00F82A64"/>
    <w:rsid w:val="00F83B1D"/>
    <w:rsid w:val="00F83D4A"/>
    <w:rsid w:val="00F84A8F"/>
    <w:rsid w:val="00F8556A"/>
    <w:rsid w:val="00F86AF7"/>
    <w:rsid w:val="00F87BD9"/>
    <w:rsid w:val="00F87E98"/>
    <w:rsid w:val="00F9057D"/>
    <w:rsid w:val="00F90801"/>
    <w:rsid w:val="00F90970"/>
    <w:rsid w:val="00F92AB6"/>
    <w:rsid w:val="00F93463"/>
    <w:rsid w:val="00F94C1C"/>
    <w:rsid w:val="00F95EF0"/>
    <w:rsid w:val="00F96564"/>
    <w:rsid w:val="00F96E89"/>
    <w:rsid w:val="00F978E6"/>
    <w:rsid w:val="00FA0722"/>
    <w:rsid w:val="00FA07AF"/>
    <w:rsid w:val="00FA0B3F"/>
    <w:rsid w:val="00FA0C33"/>
    <w:rsid w:val="00FA1969"/>
    <w:rsid w:val="00FA31A2"/>
    <w:rsid w:val="00FA31E8"/>
    <w:rsid w:val="00FA62C3"/>
    <w:rsid w:val="00FA6816"/>
    <w:rsid w:val="00FA74E8"/>
    <w:rsid w:val="00FA7D6F"/>
    <w:rsid w:val="00FB3B86"/>
    <w:rsid w:val="00FB472E"/>
    <w:rsid w:val="00FB5A64"/>
    <w:rsid w:val="00FB6EED"/>
    <w:rsid w:val="00FC18E3"/>
    <w:rsid w:val="00FC19D5"/>
    <w:rsid w:val="00FC337E"/>
    <w:rsid w:val="00FC55C6"/>
    <w:rsid w:val="00FC6262"/>
    <w:rsid w:val="00FC627E"/>
    <w:rsid w:val="00FC66A8"/>
    <w:rsid w:val="00FC6F97"/>
    <w:rsid w:val="00FD0576"/>
    <w:rsid w:val="00FD0608"/>
    <w:rsid w:val="00FD1840"/>
    <w:rsid w:val="00FD203C"/>
    <w:rsid w:val="00FD3330"/>
    <w:rsid w:val="00FD40E5"/>
    <w:rsid w:val="00FD4690"/>
    <w:rsid w:val="00FD6221"/>
    <w:rsid w:val="00FD63E3"/>
    <w:rsid w:val="00FE3155"/>
    <w:rsid w:val="00FE47ED"/>
    <w:rsid w:val="00FE6D8E"/>
    <w:rsid w:val="00FE721F"/>
    <w:rsid w:val="00FE731E"/>
    <w:rsid w:val="00FE7EC5"/>
    <w:rsid w:val="00FF1401"/>
    <w:rsid w:val="00FF20FF"/>
    <w:rsid w:val="00FF25FE"/>
    <w:rsid w:val="00FF399E"/>
    <w:rsid w:val="00FF4041"/>
    <w:rsid w:val="00FF47D6"/>
    <w:rsid w:val="00FF5CC7"/>
    <w:rsid w:val="00FF66B9"/>
    <w:rsid w:val="00FF6873"/>
    <w:rsid w:val="00FF71FF"/>
    <w:rsid w:val="00FF7B32"/>
  </w:rsids>
  <m:mathPr>
    <m:mathFont m:val="Cambria Math"/>
    <m:brkBin m:val="before"/>
    <m:brkBinSub m:val="--"/>
    <m:smallFrac/>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A7841B"/>
  <w15:docId w15:val="{7BCA46CF-5CF6-6646-801A-FA8B89A42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799B"/>
  </w:style>
  <w:style w:type="paragraph" w:styleId="Heading1">
    <w:name w:val="heading 1"/>
    <w:basedOn w:val="Normal"/>
    <w:next w:val="Normal"/>
    <w:link w:val="Heading1Char"/>
    <w:uiPriority w:val="9"/>
    <w:qFormat/>
    <w:rsid w:val="0049794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50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411B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87AA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Appel note de bas de page, BVI fnr,BVI fnr, BVI fnr Car Car,BVI fnr Car, BVI fnr Car Car Car Car, BVI fnr Car Car Car Car Char,Footnote in Body Text Lea Char,Footnote Reference Char Char Char"/>
    <w:basedOn w:val="DefaultParagraphFont"/>
    <w:link w:val="FootnoteinBodyTextLea"/>
    <w:unhideWhenUsed/>
    <w:rsid w:val="00A71184"/>
    <w:rPr>
      <w:vertAlign w:val="superscript"/>
    </w:rPr>
  </w:style>
  <w:style w:type="character" w:styleId="Hyperlink">
    <w:name w:val="Hyperlink"/>
    <w:basedOn w:val="DefaultParagraphFont"/>
    <w:uiPriority w:val="99"/>
    <w:unhideWhenUsed/>
    <w:rsid w:val="00956195"/>
    <w:rPr>
      <w:color w:val="0563C1" w:themeColor="hyperlink"/>
      <w:u w:val="single"/>
    </w:rPr>
  </w:style>
  <w:style w:type="character" w:customStyle="1" w:styleId="UnresolvedMention1">
    <w:name w:val="Unresolved Mention1"/>
    <w:basedOn w:val="DefaultParagraphFont"/>
    <w:uiPriority w:val="99"/>
    <w:semiHidden/>
    <w:unhideWhenUsed/>
    <w:rsid w:val="00956195"/>
    <w:rPr>
      <w:color w:val="605E5C"/>
      <w:shd w:val="clear" w:color="auto" w:fill="E1DFDD"/>
    </w:rPr>
  </w:style>
  <w:style w:type="paragraph" w:styleId="FootnoteText">
    <w:name w:val="footnote text"/>
    <w:aliases w:val="Footnote Text Char Char Char Char,FA,FA Fußnotentext Char Char,Footnote Text Char1 Char,Footnote Text Char Char Char Char Char Char,Footnote Text Char Char Char,FA Fußnotentext Char Char Char Char Char Char,Footnote Text Char1 Char3, Char"/>
    <w:basedOn w:val="Normal"/>
    <w:link w:val="FootnoteTextChar"/>
    <w:unhideWhenUsed/>
    <w:qFormat/>
    <w:rsid w:val="001A1636"/>
    <w:rPr>
      <w:sz w:val="20"/>
      <w:szCs w:val="20"/>
    </w:rPr>
  </w:style>
  <w:style w:type="character" w:customStyle="1" w:styleId="FootnoteTextChar">
    <w:name w:val="Footnote Text Char"/>
    <w:aliases w:val="Footnote Text Char Char Char Char Char,FA Char,FA Fußnotentext Char Char Char,Footnote Text Char1 Char Char,Footnote Text Char Char Char Char Char Char Char,Footnote Text Char Char Char Char1,Footnote Text Char1 Char3 Char, Char Char"/>
    <w:basedOn w:val="DefaultParagraphFont"/>
    <w:link w:val="FootnoteText"/>
    <w:rsid w:val="001A1636"/>
    <w:rPr>
      <w:sz w:val="20"/>
      <w:szCs w:val="20"/>
    </w:rPr>
  </w:style>
  <w:style w:type="character" w:styleId="FollowedHyperlink">
    <w:name w:val="FollowedHyperlink"/>
    <w:basedOn w:val="DefaultParagraphFont"/>
    <w:uiPriority w:val="99"/>
    <w:semiHidden/>
    <w:unhideWhenUsed/>
    <w:rsid w:val="001621EE"/>
    <w:rPr>
      <w:color w:val="954F72" w:themeColor="followedHyperlink"/>
      <w:u w:val="single"/>
    </w:rPr>
  </w:style>
  <w:style w:type="paragraph" w:styleId="Quote">
    <w:name w:val="Quote"/>
    <w:aliases w:val="Rec"/>
    <w:basedOn w:val="Normal"/>
    <w:next w:val="Normal"/>
    <w:link w:val="QuoteChar"/>
    <w:uiPriority w:val="29"/>
    <w:qFormat/>
    <w:rsid w:val="00CC0FB4"/>
    <w:pPr>
      <w:widowControl w:val="0"/>
      <w:numPr>
        <w:numId w:val="1"/>
      </w:numPr>
      <w:spacing w:before="200" w:after="160" w:line="360" w:lineRule="auto"/>
      <w:ind w:left="1080" w:right="144"/>
      <w:contextualSpacing/>
      <w:jc w:val="both"/>
    </w:pPr>
    <w:rPr>
      <w:rFonts w:ascii="Times New Roman" w:eastAsia="Raleway" w:hAnsi="Times New Roman" w:cs="Raleway"/>
      <w:iCs/>
      <w:szCs w:val="32"/>
      <w:lang w:val="en-US" w:bidi="km-KH"/>
    </w:rPr>
  </w:style>
  <w:style w:type="character" w:customStyle="1" w:styleId="QuoteChar">
    <w:name w:val="Quote Char"/>
    <w:aliases w:val="Rec Char"/>
    <w:basedOn w:val="DefaultParagraphFont"/>
    <w:link w:val="Quote"/>
    <w:uiPriority w:val="29"/>
    <w:rsid w:val="00CC0FB4"/>
    <w:rPr>
      <w:rFonts w:ascii="Times New Roman" w:eastAsia="Raleway" w:hAnsi="Times New Roman" w:cs="Raleway"/>
      <w:iCs/>
      <w:szCs w:val="32"/>
      <w:lang w:val="en-US" w:bidi="km-KH"/>
    </w:rPr>
  </w:style>
  <w:style w:type="paragraph" w:styleId="Footer">
    <w:name w:val="footer"/>
    <w:basedOn w:val="Normal"/>
    <w:link w:val="FooterChar"/>
    <w:uiPriority w:val="99"/>
    <w:unhideWhenUsed/>
    <w:rsid w:val="00DA2746"/>
    <w:pPr>
      <w:tabs>
        <w:tab w:val="center" w:pos="4680"/>
        <w:tab w:val="right" w:pos="9360"/>
      </w:tabs>
    </w:pPr>
  </w:style>
  <w:style w:type="character" w:customStyle="1" w:styleId="FooterChar">
    <w:name w:val="Footer Char"/>
    <w:basedOn w:val="DefaultParagraphFont"/>
    <w:link w:val="Footer"/>
    <w:uiPriority w:val="99"/>
    <w:rsid w:val="00DA2746"/>
  </w:style>
  <w:style w:type="character" w:styleId="PageNumber">
    <w:name w:val="page number"/>
    <w:basedOn w:val="DefaultParagraphFont"/>
    <w:uiPriority w:val="99"/>
    <w:semiHidden/>
    <w:unhideWhenUsed/>
    <w:rsid w:val="00DA2746"/>
  </w:style>
  <w:style w:type="paragraph" w:styleId="BalloonText">
    <w:name w:val="Balloon Text"/>
    <w:basedOn w:val="Normal"/>
    <w:link w:val="BalloonTextChar"/>
    <w:uiPriority w:val="99"/>
    <w:semiHidden/>
    <w:unhideWhenUsed/>
    <w:rsid w:val="00DA274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A2746"/>
    <w:rPr>
      <w:rFonts w:ascii="Times New Roman" w:hAnsi="Times New Roman" w:cs="Times New Roman"/>
      <w:sz w:val="18"/>
      <w:szCs w:val="18"/>
    </w:rPr>
  </w:style>
  <w:style w:type="paragraph" w:styleId="Revision">
    <w:name w:val="Revision"/>
    <w:hidden/>
    <w:uiPriority w:val="99"/>
    <w:semiHidden/>
    <w:rsid w:val="00DA2746"/>
  </w:style>
  <w:style w:type="paragraph" w:styleId="Header">
    <w:name w:val="header"/>
    <w:basedOn w:val="Normal"/>
    <w:link w:val="HeaderChar"/>
    <w:uiPriority w:val="99"/>
    <w:unhideWhenUsed/>
    <w:rsid w:val="00DA2746"/>
    <w:pPr>
      <w:tabs>
        <w:tab w:val="center" w:pos="4680"/>
        <w:tab w:val="right" w:pos="9360"/>
      </w:tabs>
    </w:pPr>
  </w:style>
  <w:style w:type="character" w:customStyle="1" w:styleId="HeaderChar">
    <w:name w:val="Header Char"/>
    <w:basedOn w:val="DefaultParagraphFont"/>
    <w:link w:val="Header"/>
    <w:uiPriority w:val="99"/>
    <w:rsid w:val="00DA2746"/>
  </w:style>
  <w:style w:type="paragraph" w:styleId="ListParagraph">
    <w:name w:val="List Paragraph"/>
    <w:aliases w:val="H.4,L1"/>
    <w:basedOn w:val="Normal"/>
    <w:uiPriority w:val="34"/>
    <w:qFormat/>
    <w:rsid w:val="00C03B43"/>
    <w:pPr>
      <w:ind w:left="720"/>
      <w:contextualSpacing/>
    </w:pPr>
  </w:style>
  <w:style w:type="character" w:customStyle="1" w:styleId="UnresolvedMention2">
    <w:name w:val="Unresolved Mention2"/>
    <w:basedOn w:val="DefaultParagraphFont"/>
    <w:uiPriority w:val="99"/>
    <w:rsid w:val="00707A3B"/>
    <w:rPr>
      <w:color w:val="605E5C"/>
      <w:shd w:val="clear" w:color="auto" w:fill="E1DFDD"/>
    </w:rPr>
  </w:style>
  <w:style w:type="character" w:customStyle="1" w:styleId="Heading2Char">
    <w:name w:val="Heading 2 Char"/>
    <w:basedOn w:val="DefaultParagraphFont"/>
    <w:link w:val="Heading2"/>
    <w:uiPriority w:val="9"/>
    <w:rsid w:val="00C1502C"/>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unhideWhenUsed/>
    <w:rsid w:val="00B90239"/>
    <w:rPr>
      <w:sz w:val="16"/>
      <w:szCs w:val="16"/>
    </w:rPr>
  </w:style>
  <w:style w:type="paragraph" w:styleId="CommentText">
    <w:name w:val="annotation text"/>
    <w:basedOn w:val="Normal"/>
    <w:link w:val="CommentTextChar"/>
    <w:uiPriority w:val="99"/>
    <w:unhideWhenUsed/>
    <w:rsid w:val="00B90239"/>
    <w:rPr>
      <w:sz w:val="20"/>
      <w:szCs w:val="20"/>
    </w:rPr>
  </w:style>
  <w:style w:type="character" w:customStyle="1" w:styleId="CommentTextChar">
    <w:name w:val="Comment Text Char"/>
    <w:basedOn w:val="DefaultParagraphFont"/>
    <w:link w:val="CommentText"/>
    <w:uiPriority w:val="99"/>
    <w:rsid w:val="00B90239"/>
    <w:rPr>
      <w:sz w:val="20"/>
      <w:szCs w:val="20"/>
    </w:rPr>
  </w:style>
  <w:style w:type="paragraph" w:styleId="CommentSubject">
    <w:name w:val="annotation subject"/>
    <w:basedOn w:val="CommentText"/>
    <w:next w:val="CommentText"/>
    <w:link w:val="CommentSubjectChar"/>
    <w:uiPriority w:val="99"/>
    <w:semiHidden/>
    <w:unhideWhenUsed/>
    <w:rsid w:val="00B90239"/>
    <w:rPr>
      <w:b/>
      <w:bCs/>
    </w:rPr>
  </w:style>
  <w:style w:type="character" w:customStyle="1" w:styleId="CommentSubjectChar">
    <w:name w:val="Comment Subject Char"/>
    <w:basedOn w:val="CommentTextChar"/>
    <w:link w:val="CommentSubject"/>
    <w:uiPriority w:val="99"/>
    <w:semiHidden/>
    <w:rsid w:val="00B90239"/>
    <w:rPr>
      <w:b/>
      <w:bCs/>
      <w:sz w:val="20"/>
      <w:szCs w:val="20"/>
    </w:rPr>
  </w:style>
  <w:style w:type="character" w:customStyle="1" w:styleId="UnresolvedMention3">
    <w:name w:val="Unresolved Mention3"/>
    <w:basedOn w:val="DefaultParagraphFont"/>
    <w:uiPriority w:val="99"/>
    <w:semiHidden/>
    <w:unhideWhenUsed/>
    <w:rsid w:val="00F33E34"/>
    <w:rPr>
      <w:color w:val="605E5C"/>
      <w:shd w:val="clear" w:color="auto" w:fill="E1DFDD"/>
    </w:rPr>
  </w:style>
  <w:style w:type="character" w:customStyle="1" w:styleId="UnresolvedMention4">
    <w:name w:val="Unresolved Mention4"/>
    <w:basedOn w:val="DefaultParagraphFont"/>
    <w:uiPriority w:val="99"/>
    <w:semiHidden/>
    <w:unhideWhenUsed/>
    <w:rsid w:val="005C5EB1"/>
    <w:rPr>
      <w:color w:val="605E5C"/>
      <w:shd w:val="clear" w:color="auto" w:fill="E1DFDD"/>
    </w:rPr>
  </w:style>
  <w:style w:type="character" w:styleId="UnresolvedMention">
    <w:name w:val="Unresolved Mention"/>
    <w:basedOn w:val="DefaultParagraphFont"/>
    <w:uiPriority w:val="99"/>
    <w:semiHidden/>
    <w:unhideWhenUsed/>
    <w:rsid w:val="00EC496F"/>
    <w:rPr>
      <w:color w:val="605E5C"/>
      <w:shd w:val="clear" w:color="auto" w:fill="E1DFDD"/>
    </w:rPr>
  </w:style>
  <w:style w:type="paragraph" w:customStyle="1" w:styleId="FootnoteinBodyTextLea">
    <w:name w:val="Footnote in Body Text Lea"/>
    <w:basedOn w:val="Normal"/>
    <w:link w:val="FootnoteReference"/>
    <w:qFormat/>
    <w:rsid w:val="00431BF4"/>
    <w:pPr>
      <w:framePr w:wrap="around" w:vAnchor="text" w:hAnchor="text" w:y="1"/>
      <w:jc w:val="both"/>
    </w:pPr>
    <w:rPr>
      <w:vertAlign w:val="superscript"/>
    </w:rPr>
  </w:style>
  <w:style w:type="character" w:customStyle="1" w:styleId="Hyperlink0">
    <w:name w:val="Hyperlink.0"/>
    <w:basedOn w:val="Hyperlink"/>
    <w:rsid w:val="00431BF4"/>
    <w:rPr>
      <w:color w:val="0000FF"/>
      <w:u w:val="single"/>
    </w:rPr>
  </w:style>
  <w:style w:type="character" w:customStyle="1" w:styleId="Aucun">
    <w:name w:val="Aucun"/>
    <w:rsid w:val="00431BF4"/>
  </w:style>
  <w:style w:type="paragraph" w:customStyle="1" w:styleId="Notedebasdepage">
    <w:name w:val="Note de bas de page"/>
    <w:rsid w:val="00431BF4"/>
    <w:pPr>
      <w:pBdr>
        <w:top w:val="nil"/>
        <w:left w:val="nil"/>
        <w:bottom w:val="nil"/>
        <w:right w:val="nil"/>
        <w:between w:val="nil"/>
        <w:bar w:val="nil"/>
      </w:pBdr>
    </w:pPr>
    <w:rPr>
      <w:rFonts w:ascii="Helvetica Neue" w:eastAsia="Helvetica Neue" w:hAnsi="Helvetica Neue" w:cs="Helvetica Neue"/>
      <w:color w:val="000000"/>
      <w:sz w:val="22"/>
      <w:szCs w:val="22"/>
      <w:bdr w:val="nil"/>
      <w:lang w:val="fr-FR" w:bidi="km-KH"/>
    </w:rPr>
  </w:style>
  <w:style w:type="paragraph" w:styleId="NormalWeb">
    <w:name w:val="Normal (Web)"/>
    <w:basedOn w:val="Normal"/>
    <w:uiPriority w:val="99"/>
    <w:unhideWhenUsed/>
    <w:rsid w:val="006633FB"/>
    <w:rPr>
      <w:rFonts w:ascii="Times New Roman" w:hAnsi="Times New Roman" w:cs="Times New Roman"/>
    </w:rPr>
  </w:style>
  <w:style w:type="character" w:customStyle="1" w:styleId="Heading3Char">
    <w:name w:val="Heading 3 Char"/>
    <w:basedOn w:val="DefaultParagraphFont"/>
    <w:link w:val="Heading3"/>
    <w:uiPriority w:val="9"/>
    <w:semiHidden/>
    <w:rsid w:val="009411B5"/>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4979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7947"/>
    <w:pPr>
      <w:spacing w:line="259" w:lineRule="auto"/>
      <w:outlineLvl w:val="9"/>
    </w:pPr>
    <w:rPr>
      <w:lang w:val="en-US"/>
    </w:rPr>
  </w:style>
  <w:style w:type="character" w:customStyle="1" w:styleId="Heading4Char">
    <w:name w:val="Heading 4 Char"/>
    <w:basedOn w:val="DefaultParagraphFont"/>
    <w:link w:val="Heading4"/>
    <w:uiPriority w:val="9"/>
    <w:semiHidden/>
    <w:rsid w:val="00987A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987AAD"/>
    <w:rPr>
      <w:b/>
      <w:bCs/>
    </w:rPr>
  </w:style>
  <w:style w:type="paragraph" w:styleId="TOC1">
    <w:name w:val="toc 1"/>
    <w:basedOn w:val="Normal"/>
    <w:next w:val="Normal"/>
    <w:autoRedefine/>
    <w:uiPriority w:val="39"/>
    <w:unhideWhenUsed/>
    <w:rsid w:val="00D2799B"/>
    <w:pPr>
      <w:spacing w:after="100"/>
    </w:pPr>
  </w:style>
  <w:style w:type="paragraph" w:styleId="TOC2">
    <w:name w:val="toc 2"/>
    <w:basedOn w:val="Normal"/>
    <w:next w:val="Normal"/>
    <w:autoRedefine/>
    <w:uiPriority w:val="39"/>
    <w:unhideWhenUsed/>
    <w:rsid w:val="001C44B9"/>
    <w:pPr>
      <w:tabs>
        <w:tab w:val="right" w:leader="dot" w:pos="9010"/>
      </w:tabs>
      <w:spacing w:after="100"/>
      <w:ind w:left="240"/>
    </w:pPr>
    <w:rPr>
      <w:noProof/>
      <w:color w:val="000000" w:themeColor="text1"/>
    </w:rPr>
  </w:style>
  <w:style w:type="paragraph" w:styleId="TOC3">
    <w:name w:val="toc 3"/>
    <w:basedOn w:val="Normal"/>
    <w:next w:val="Normal"/>
    <w:autoRedefine/>
    <w:uiPriority w:val="39"/>
    <w:semiHidden/>
    <w:unhideWhenUsed/>
    <w:rsid w:val="00D2799B"/>
    <w:pPr>
      <w:ind w:left="480"/>
    </w:pPr>
    <w:rPr>
      <w:rFonts w:cstheme="minorHAnsi"/>
      <w:sz w:val="20"/>
      <w:szCs w:val="20"/>
    </w:rPr>
  </w:style>
  <w:style w:type="paragraph" w:styleId="TOC4">
    <w:name w:val="toc 4"/>
    <w:basedOn w:val="Normal"/>
    <w:next w:val="Normal"/>
    <w:autoRedefine/>
    <w:uiPriority w:val="39"/>
    <w:semiHidden/>
    <w:unhideWhenUsed/>
    <w:rsid w:val="00D2799B"/>
    <w:pPr>
      <w:ind w:left="720"/>
    </w:pPr>
    <w:rPr>
      <w:rFonts w:cstheme="minorHAnsi"/>
      <w:sz w:val="20"/>
      <w:szCs w:val="20"/>
    </w:rPr>
  </w:style>
  <w:style w:type="paragraph" w:styleId="TOC5">
    <w:name w:val="toc 5"/>
    <w:basedOn w:val="Normal"/>
    <w:next w:val="Normal"/>
    <w:autoRedefine/>
    <w:uiPriority w:val="39"/>
    <w:semiHidden/>
    <w:unhideWhenUsed/>
    <w:rsid w:val="00D2799B"/>
    <w:pPr>
      <w:ind w:left="960"/>
    </w:pPr>
    <w:rPr>
      <w:rFonts w:cstheme="minorHAnsi"/>
      <w:sz w:val="20"/>
      <w:szCs w:val="20"/>
    </w:rPr>
  </w:style>
  <w:style w:type="paragraph" w:styleId="TOC6">
    <w:name w:val="toc 6"/>
    <w:basedOn w:val="Normal"/>
    <w:next w:val="Normal"/>
    <w:autoRedefine/>
    <w:uiPriority w:val="39"/>
    <w:semiHidden/>
    <w:unhideWhenUsed/>
    <w:rsid w:val="00D2799B"/>
    <w:pPr>
      <w:ind w:left="1200"/>
    </w:pPr>
    <w:rPr>
      <w:rFonts w:cstheme="minorHAnsi"/>
      <w:sz w:val="20"/>
      <w:szCs w:val="20"/>
    </w:rPr>
  </w:style>
  <w:style w:type="paragraph" w:styleId="TOC7">
    <w:name w:val="toc 7"/>
    <w:basedOn w:val="Normal"/>
    <w:next w:val="Normal"/>
    <w:autoRedefine/>
    <w:uiPriority w:val="39"/>
    <w:semiHidden/>
    <w:unhideWhenUsed/>
    <w:rsid w:val="00D2799B"/>
    <w:pPr>
      <w:ind w:left="1440"/>
    </w:pPr>
    <w:rPr>
      <w:rFonts w:cstheme="minorHAnsi"/>
      <w:sz w:val="20"/>
      <w:szCs w:val="20"/>
    </w:rPr>
  </w:style>
  <w:style w:type="paragraph" w:styleId="TOC8">
    <w:name w:val="toc 8"/>
    <w:basedOn w:val="Normal"/>
    <w:next w:val="Normal"/>
    <w:autoRedefine/>
    <w:uiPriority w:val="39"/>
    <w:semiHidden/>
    <w:unhideWhenUsed/>
    <w:rsid w:val="00D2799B"/>
    <w:pPr>
      <w:ind w:left="1680"/>
    </w:pPr>
    <w:rPr>
      <w:rFonts w:cstheme="minorHAnsi"/>
      <w:sz w:val="20"/>
      <w:szCs w:val="20"/>
    </w:rPr>
  </w:style>
  <w:style w:type="paragraph" w:styleId="TOC9">
    <w:name w:val="toc 9"/>
    <w:basedOn w:val="Normal"/>
    <w:next w:val="Normal"/>
    <w:autoRedefine/>
    <w:uiPriority w:val="39"/>
    <w:semiHidden/>
    <w:unhideWhenUsed/>
    <w:rsid w:val="00D2799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79361">
      <w:bodyDiv w:val="1"/>
      <w:marLeft w:val="0"/>
      <w:marRight w:val="0"/>
      <w:marTop w:val="0"/>
      <w:marBottom w:val="0"/>
      <w:divBdr>
        <w:top w:val="none" w:sz="0" w:space="0" w:color="auto"/>
        <w:left w:val="none" w:sz="0" w:space="0" w:color="auto"/>
        <w:bottom w:val="none" w:sz="0" w:space="0" w:color="auto"/>
        <w:right w:val="none" w:sz="0" w:space="0" w:color="auto"/>
      </w:divBdr>
    </w:div>
    <w:div w:id="97481918">
      <w:bodyDiv w:val="1"/>
      <w:marLeft w:val="0"/>
      <w:marRight w:val="0"/>
      <w:marTop w:val="0"/>
      <w:marBottom w:val="0"/>
      <w:divBdr>
        <w:top w:val="none" w:sz="0" w:space="0" w:color="auto"/>
        <w:left w:val="none" w:sz="0" w:space="0" w:color="auto"/>
        <w:bottom w:val="none" w:sz="0" w:space="0" w:color="auto"/>
        <w:right w:val="none" w:sz="0" w:space="0" w:color="auto"/>
      </w:divBdr>
    </w:div>
    <w:div w:id="141125130">
      <w:bodyDiv w:val="1"/>
      <w:marLeft w:val="0"/>
      <w:marRight w:val="0"/>
      <w:marTop w:val="0"/>
      <w:marBottom w:val="0"/>
      <w:divBdr>
        <w:top w:val="none" w:sz="0" w:space="0" w:color="auto"/>
        <w:left w:val="none" w:sz="0" w:space="0" w:color="auto"/>
        <w:bottom w:val="none" w:sz="0" w:space="0" w:color="auto"/>
        <w:right w:val="none" w:sz="0" w:space="0" w:color="auto"/>
      </w:divBdr>
    </w:div>
    <w:div w:id="158280522">
      <w:bodyDiv w:val="1"/>
      <w:marLeft w:val="0"/>
      <w:marRight w:val="0"/>
      <w:marTop w:val="0"/>
      <w:marBottom w:val="0"/>
      <w:divBdr>
        <w:top w:val="none" w:sz="0" w:space="0" w:color="auto"/>
        <w:left w:val="none" w:sz="0" w:space="0" w:color="auto"/>
        <w:bottom w:val="none" w:sz="0" w:space="0" w:color="auto"/>
        <w:right w:val="none" w:sz="0" w:space="0" w:color="auto"/>
      </w:divBdr>
    </w:div>
    <w:div w:id="273252346">
      <w:bodyDiv w:val="1"/>
      <w:marLeft w:val="0"/>
      <w:marRight w:val="0"/>
      <w:marTop w:val="0"/>
      <w:marBottom w:val="0"/>
      <w:divBdr>
        <w:top w:val="none" w:sz="0" w:space="0" w:color="auto"/>
        <w:left w:val="none" w:sz="0" w:space="0" w:color="auto"/>
        <w:bottom w:val="none" w:sz="0" w:space="0" w:color="auto"/>
        <w:right w:val="none" w:sz="0" w:space="0" w:color="auto"/>
      </w:divBdr>
    </w:div>
    <w:div w:id="291836648">
      <w:bodyDiv w:val="1"/>
      <w:marLeft w:val="0"/>
      <w:marRight w:val="0"/>
      <w:marTop w:val="0"/>
      <w:marBottom w:val="0"/>
      <w:divBdr>
        <w:top w:val="none" w:sz="0" w:space="0" w:color="auto"/>
        <w:left w:val="none" w:sz="0" w:space="0" w:color="auto"/>
        <w:bottom w:val="none" w:sz="0" w:space="0" w:color="auto"/>
        <w:right w:val="none" w:sz="0" w:space="0" w:color="auto"/>
      </w:divBdr>
    </w:div>
    <w:div w:id="301011114">
      <w:bodyDiv w:val="1"/>
      <w:marLeft w:val="0"/>
      <w:marRight w:val="0"/>
      <w:marTop w:val="0"/>
      <w:marBottom w:val="0"/>
      <w:divBdr>
        <w:top w:val="none" w:sz="0" w:space="0" w:color="auto"/>
        <w:left w:val="none" w:sz="0" w:space="0" w:color="auto"/>
        <w:bottom w:val="none" w:sz="0" w:space="0" w:color="auto"/>
        <w:right w:val="none" w:sz="0" w:space="0" w:color="auto"/>
      </w:divBdr>
    </w:div>
    <w:div w:id="400636506">
      <w:bodyDiv w:val="1"/>
      <w:marLeft w:val="0"/>
      <w:marRight w:val="0"/>
      <w:marTop w:val="0"/>
      <w:marBottom w:val="0"/>
      <w:divBdr>
        <w:top w:val="none" w:sz="0" w:space="0" w:color="auto"/>
        <w:left w:val="none" w:sz="0" w:space="0" w:color="auto"/>
        <w:bottom w:val="none" w:sz="0" w:space="0" w:color="auto"/>
        <w:right w:val="none" w:sz="0" w:space="0" w:color="auto"/>
      </w:divBdr>
      <w:divsChild>
        <w:div w:id="917863990">
          <w:marLeft w:val="0"/>
          <w:marRight w:val="0"/>
          <w:marTop w:val="0"/>
          <w:marBottom w:val="300"/>
          <w:divBdr>
            <w:top w:val="single" w:sz="6" w:space="19" w:color="E8E8E8"/>
            <w:left w:val="none" w:sz="0" w:space="0" w:color="auto"/>
            <w:bottom w:val="single" w:sz="6" w:space="19" w:color="E8E8E8"/>
            <w:right w:val="none" w:sz="0" w:space="0" w:color="auto"/>
          </w:divBdr>
        </w:div>
      </w:divsChild>
    </w:div>
    <w:div w:id="606815425">
      <w:bodyDiv w:val="1"/>
      <w:marLeft w:val="0"/>
      <w:marRight w:val="0"/>
      <w:marTop w:val="0"/>
      <w:marBottom w:val="0"/>
      <w:divBdr>
        <w:top w:val="none" w:sz="0" w:space="0" w:color="auto"/>
        <w:left w:val="none" w:sz="0" w:space="0" w:color="auto"/>
        <w:bottom w:val="none" w:sz="0" w:space="0" w:color="auto"/>
        <w:right w:val="none" w:sz="0" w:space="0" w:color="auto"/>
      </w:divBdr>
    </w:div>
    <w:div w:id="620496305">
      <w:bodyDiv w:val="1"/>
      <w:marLeft w:val="0"/>
      <w:marRight w:val="0"/>
      <w:marTop w:val="0"/>
      <w:marBottom w:val="0"/>
      <w:divBdr>
        <w:top w:val="none" w:sz="0" w:space="0" w:color="auto"/>
        <w:left w:val="none" w:sz="0" w:space="0" w:color="auto"/>
        <w:bottom w:val="none" w:sz="0" w:space="0" w:color="auto"/>
        <w:right w:val="none" w:sz="0" w:space="0" w:color="auto"/>
      </w:divBdr>
    </w:div>
    <w:div w:id="652951994">
      <w:bodyDiv w:val="1"/>
      <w:marLeft w:val="0"/>
      <w:marRight w:val="0"/>
      <w:marTop w:val="0"/>
      <w:marBottom w:val="0"/>
      <w:divBdr>
        <w:top w:val="none" w:sz="0" w:space="0" w:color="auto"/>
        <w:left w:val="none" w:sz="0" w:space="0" w:color="auto"/>
        <w:bottom w:val="none" w:sz="0" w:space="0" w:color="auto"/>
        <w:right w:val="none" w:sz="0" w:space="0" w:color="auto"/>
      </w:divBdr>
    </w:div>
    <w:div w:id="682052000">
      <w:bodyDiv w:val="1"/>
      <w:marLeft w:val="0"/>
      <w:marRight w:val="0"/>
      <w:marTop w:val="0"/>
      <w:marBottom w:val="0"/>
      <w:divBdr>
        <w:top w:val="none" w:sz="0" w:space="0" w:color="auto"/>
        <w:left w:val="none" w:sz="0" w:space="0" w:color="auto"/>
        <w:bottom w:val="none" w:sz="0" w:space="0" w:color="auto"/>
        <w:right w:val="none" w:sz="0" w:space="0" w:color="auto"/>
      </w:divBdr>
    </w:div>
    <w:div w:id="682627826">
      <w:bodyDiv w:val="1"/>
      <w:marLeft w:val="0"/>
      <w:marRight w:val="0"/>
      <w:marTop w:val="0"/>
      <w:marBottom w:val="0"/>
      <w:divBdr>
        <w:top w:val="none" w:sz="0" w:space="0" w:color="auto"/>
        <w:left w:val="none" w:sz="0" w:space="0" w:color="auto"/>
        <w:bottom w:val="none" w:sz="0" w:space="0" w:color="auto"/>
        <w:right w:val="none" w:sz="0" w:space="0" w:color="auto"/>
      </w:divBdr>
    </w:div>
    <w:div w:id="756636248">
      <w:bodyDiv w:val="1"/>
      <w:marLeft w:val="0"/>
      <w:marRight w:val="0"/>
      <w:marTop w:val="0"/>
      <w:marBottom w:val="0"/>
      <w:divBdr>
        <w:top w:val="none" w:sz="0" w:space="0" w:color="auto"/>
        <w:left w:val="none" w:sz="0" w:space="0" w:color="auto"/>
        <w:bottom w:val="none" w:sz="0" w:space="0" w:color="auto"/>
        <w:right w:val="none" w:sz="0" w:space="0" w:color="auto"/>
      </w:divBdr>
    </w:div>
    <w:div w:id="814834997">
      <w:bodyDiv w:val="1"/>
      <w:marLeft w:val="0"/>
      <w:marRight w:val="0"/>
      <w:marTop w:val="0"/>
      <w:marBottom w:val="0"/>
      <w:divBdr>
        <w:top w:val="none" w:sz="0" w:space="0" w:color="auto"/>
        <w:left w:val="none" w:sz="0" w:space="0" w:color="auto"/>
        <w:bottom w:val="none" w:sz="0" w:space="0" w:color="auto"/>
        <w:right w:val="none" w:sz="0" w:space="0" w:color="auto"/>
      </w:divBdr>
    </w:div>
    <w:div w:id="829831828">
      <w:bodyDiv w:val="1"/>
      <w:marLeft w:val="0"/>
      <w:marRight w:val="0"/>
      <w:marTop w:val="0"/>
      <w:marBottom w:val="0"/>
      <w:divBdr>
        <w:top w:val="none" w:sz="0" w:space="0" w:color="auto"/>
        <w:left w:val="none" w:sz="0" w:space="0" w:color="auto"/>
        <w:bottom w:val="none" w:sz="0" w:space="0" w:color="auto"/>
        <w:right w:val="none" w:sz="0" w:space="0" w:color="auto"/>
      </w:divBdr>
    </w:div>
    <w:div w:id="894000529">
      <w:bodyDiv w:val="1"/>
      <w:marLeft w:val="0"/>
      <w:marRight w:val="0"/>
      <w:marTop w:val="0"/>
      <w:marBottom w:val="0"/>
      <w:divBdr>
        <w:top w:val="none" w:sz="0" w:space="0" w:color="auto"/>
        <w:left w:val="none" w:sz="0" w:space="0" w:color="auto"/>
        <w:bottom w:val="none" w:sz="0" w:space="0" w:color="auto"/>
        <w:right w:val="none" w:sz="0" w:space="0" w:color="auto"/>
      </w:divBdr>
    </w:div>
    <w:div w:id="975448718">
      <w:bodyDiv w:val="1"/>
      <w:marLeft w:val="0"/>
      <w:marRight w:val="0"/>
      <w:marTop w:val="0"/>
      <w:marBottom w:val="0"/>
      <w:divBdr>
        <w:top w:val="none" w:sz="0" w:space="0" w:color="auto"/>
        <w:left w:val="none" w:sz="0" w:space="0" w:color="auto"/>
        <w:bottom w:val="none" w:sz="0" w:space="0" w:color="auto"/>
        <w:right w:val="none" w:sz="0" w:space="0" w:color="auto"/>
      </w:divBdr>
    </w:div>
    <w:div w:id="978070450">
      <w:bodyDiv w:val="1"/>
      <w:marLeft w:val="0"/>
      <w:marRight w:val="0"/>
      <w:marTop w:val="0"/>
      <w:marBottom w:val="0"/>
      <w:divBdr>
        <w:top w:val="none" w:sz="0" w:space="0" w:color="auto"/>
        <w:left w:val="none" w:sz="0" w:space="0" w:color="auto"/>
        <w:bottom w:val="none" w:sz="0" w:space="0" w:color="auto"/>
        <w:right w:val="none" w:sz="0" w:space="0" w:color="auto"/>
      </w:divBdr>
    </w:div>
    <w:div w:id="1032001687">
      <w:bodyDiv w:val="1"/>
      <w:marLeft w:val="0"/>
      <w:marRight w:val="0"/>
      <w:marTop w:val="0"/>
      <w:marBottom w:val="0"/>
      <w:divBdr>
        <w:top w:val="none" w:sz="0" w:space="0" w:color="auto"/>
        <w:left w:val="none" w:sz="0" w:space="0" w:color="auto"/>
        <w:bottom w:val="none" w:sz="0" w:space="0" w:color="auto"/>
        <w:right w:val="none" w:sz="0" w:space="0" w:color="auto"/>
      </w:divBdr>
    </w:div>
    <w:div w:id="1044450224">
      <w:bodyDiv w:val="1"/>
      <w:marLeft w:val="0"/>
      <w:marRight w:val="0"/>
      <w:marTop w:val="0"/>
      <w:marBottom w:val="0"/>
      <w:divBdr>
        <w:top w:val="none" w:sz="0" w:space="0" w:color="auto"/>
        <w:left w:val="none" w:sz="0" w:space="0" w:color="auto"/>
        <w:bottom w:val="none" w:sz="0" w:space="0" w:color="auto"/>
        <w:right w:val="none" w:sz="0" w:space="0" w:color="auto"/>
      </w:divBdr>
    </w:div>
    <w:div w:id="1098524716">
      <w:bodyDiv w:val="1"/>
      <w:marLeft w:val="0"/>
      <w:marRight w:val="0"/>
      <w:marTop w:val="0"/>
      <w:marBottom w:val="0"/>
      <w:divBdr>
        <w:top w:val="none" w:sz="0" w:space="0" w:color="auto"/>
        <w:left w:val="none" w:sz="0" w:space="0" w:color="auto"/>
        <w:bottom w:val="none" w:sz="0" w:space="0" w:color="auto"/>
        <w:right w:val="none" w:sz="0" w:space="0" w:color="auto"/>
      </w:divBdr>
    </w:div>
    <w:div w:id="1114012297">
      <w:bodyDiv w:val="1"/>
      <w:marLeft w:val="0"/>
      <w:marRight w:val="0"/>
      <w:marTop w:val="0"/>
      <w:marBottom w:val="0"/>
      <w:divBdr>
        <w:top w:val="none" w:sz="0" w:space="0" w:color="auto"/>
        <w:left w:val="none" w:sz="0" w:space="0" w:color="auto"/>
        <w:bottom w:val="none" w:sz="0" w:space="0" w:color="auto"/>
        <w:right w:val="none" w:sz="0" w:space="0" w:color="auto"/>
      </w:divBdr>
    </w:div>
    <w:div w:id="1153909498">
      <w:bodyDiv w:val="1"/>
      <w:marLeft w:val="0"/>
      <w:marRight w:val="0"/>
      <w:marTop w:val="0"/>
      <w:marBottom w:val="0"/>
      <w:divBdr>
        <w:top w:val="none" w:sz="0" w:space="0" w:color="auto"/>
        <w:left w:val="none" w:sz="0" w:space="0" w:color="auto"/>
        <w:bottom w:val="none" w:sz="0" w:space="0" w:color="auto"/>
        <w:right w:val="none" w:sz="0" w:space="0" w:color="auto"/>
      </w:divBdr>
    </w:div>
    <w:div w:id="1156922609">
      <w:bodyDiv w:val="1"/>
      <w:marLeft w:val="0"/>
      <w:marRight w:val="0"/>
      <w:marTop w:val="0"/>
      <w:marBottom w:val="0"/>
      <w:divBdr>
        <w:top w:val="none" w:sz="0" w:space="0" w:color="auto"/>
        <w:left w:val="none" w:sz="0" w:space="0" w:color="auto"/>
        <w:bottom w:val="none" w:sz="0" w:space="0" w:color="auto"/>
        <w:right w:val="none" w:sz="0" w:space="0" w:color="auto"/>
      </w:divBdr>
    </w:div>
    <w:div w:id="1177380697">
      <w:bodyDiv w:val="1"/>
      <w:marLeft w:val="0"/>
      <w:marRight w:val="0"/>
      <w:marTop w:val="0"/>
      <w:marBottom w:val="0"/>
      <w:divBdr>
        <w:top w:val="none" w:sz="0" w:space="0" w:color="auto"/>
        <w:left w:val="none" w:sz="0" w:space="0" w:color="auto"/>
        <w:bottom w:val="none" w:sz="0" w:space="0" w:color="auto"/>
        <w:right w:val="none" w:sz="0" w:space="0" w:color="auto"/>
      </w:divBdr>
    </w:div>
    <w:div w:id="1215627837">
      <w:bodyDiv w:val="1"/>
      <w:marLeft w:val="0"/>
      <w:marRight w:val="0"/>
      <w:marTop w:val="0"/>
      <w:marBottom w:val="0"/>
      <w:divBdr>
        <w:top w:val="none" w:sz="0" w:space="0" w:color="auto"/>
        <w:left w:val="none" w:sz="0" w:space="0" w:color="auto"/>
        <w:bottom w:val="none" w:sz="0" w:space="0" w:color="auto"/>
        <w:right w:val="none" w:sz="0" w:space="0" w:color="auto"/>
      </w:divBdr>
      <w:divsChild>
        <w:div w:id="635112254">
          <w:marLeft w:val="0"/>
          <w:marRight w:val="0"/>
          <w:marTop w:val="0"/>
          <w:marBottom w:val="0"/>
          <w:divBdr>
            <w:top w:val="none" w:sz="0" w:space="0" w:color="auto"/>
            <w:left w:val="none" w:sz="0" w:space="0" w:color="auto"/>
            <w:bottom w:val="none" w:sz="0" w:space="0" w:color="auto"/>
            <w:right w:val="none" w:sz="0" w:space="0" w:color="auto"/>
          </w:divBdr>
          <w:divsChild>
            <w:div w:id="461116442">
              <w:marLeft w:val="0"/>
              <w:marRight w:val="0"/>
              <w:marTop w:val="0"/>
              <w:marBottom w:val="0"/>
              <w:divBdr>
                <w:top w:val="none" w:sz="0" w:space="0" w:color="auto"/>
                <w:left w:val="none" w:sz="0" w:space="0" w:color="auto"/>
                <w:bottom w:val="none" w:sz="0" w:space="0" w:color="auto"/>
                <w:right w:val="none" w:sz="0" w:space="0" w:color="auto"/>
              </w:divBdr>
              <w:divsChild>
                <w:div w:id="81953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54788">
      <w:bodyDiv w:val="1"/>
      <w:marLeft w:val="0"/>
      <w:marRight w:val="0"/>
      <w:marTop w:val="0"/>
      <w:marBottom w:val="0"/>
      <w:divBdr>
        <w:top w:val="none" w:sz="0" w:space="0" w:color="auto"/>
        <w:left w:val="none" w:sz="0" w:space="0" w:color="auto"/>
        <w:bottom w:val="none" w:sz="0" w:space="0" w:color="auto"/>
        <w:right w:val="none" w:sz="0" w:space="0" w:color="auto"/>
      </w:divBdr>
    </w:div>
    <w:div w:id="1260261817">
      <w:bodyDiv w:val="1"/>
      <w:marLeft w:val="0"/>
      <w:marRight w:val="0"/>
      <w:marTop w:val="0"/>
      <w:marBottom w:val="0"/>
      <w:divBdr>
        <w:top w:val="none" w:sz="0" w:space="0" w:color="auto"/>
        <w:left w:val="none" w:sz="0" w:space="0" w:color="auto"/>
        <w:bottom w:val="none" w:sz="0" w:space="0" w:color="auto"/>
        <w:right w:val="none" w:sz="0" w:space="0" w:color="auto"/>
      </w:divBdr>
      <w:divsChild>
        <w:div w:id="329335925">
          <w:marLeft w:val="0"/>
          <w:marRight w:val="0"/>
          <w:marTop w:val="0"/>
          <w:marBottom w:val="0"/>
          <w:divBdr>
            <w:top w:val="none" w:sz="0" w:space="0" w:color="auto"/>
            <w:left w:val="none" w:sz="0" w:space="0" w:color="auto"/>
            <w:bottom w:val="none" w:sz="0" w:space="0" w:color="auto"/>
            <w:right w:val="none" w:sz="0" w:space="0" w:color="auto"/>
          </w:divBdr>
          <w:divsChild>
            <w:div w:id="1956322697">
              <w:marLeft w:val="0"/>
              <w:marRight w:val="0"/>
              <w:marTop w:val="0"/>
              <w:marBottom w:val="0"/>
              <w:divBdr>
                <w:top w:val="none" w:sz="0" w:space="0" w:color="auto"/>
                <w:left w:val="none" w:sz="0" w:space="0" w:color="auto"/>
                <w:bottom w:val="none" w:sz="0" w:space="0" w:color="auto"/>
                <w:right w:val="none" w:sz="0" w:space="0" w:color="auto"/>
              </w:divBdr>
              <w:divsChild>
                <w:div w:id="214245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917917">
      <w:bodyDiv w:val="1"/>
      <w:marLeft w:val="0"/>
      <w:marRight w:val="0"/>
      <w:marTop w:val="0"/>
      <w:marBottom w:val="0"/>
      <w:divBdr>
        <w:top w:val="none" w:sz="0" w:space="0" w:color="auto"/>
        <w:left w:val="none" w:sz="0" w:space="0" w:color="auto"/>
        <w:bottom w:val="none" w:sz="0" w:space="0" w:color="auto"/>
        <w:right w:val="none" w:sz="0" w:space="0" w:color="auto"/>
      </w:divBdr>
    </w:div>
    <w:div w:id="1291784523">
      <w:bodyDiv w:val="1"/>
      <w:marLeft w:val="0"/>
      <w:marRight w:val="0"/>
      <w:marTop w:val="0"/>
      <w:marBottom w:val="0"/>
      <w:divBdr>
        <w:top w:val="none" w:sz="0" w:space="0" w:color="auto"/>
        <w:left w:val="none" w:sz="0" w:space="0" w:color="auto"/>
        <w:bottom w:val="none" w:sz="0" w:space="0" w:color="auto"/>
        <w:right w:val="none" w:sz="0" w:space="0" w:color="auto"/>
      </w:divBdr>
    </w:div>
    <w:div w:id="1297838498">
      <w:bodyDiv w:val="1"/>
      <w:marLeft w:val="0"/>
      <w:marRight w:val="0"/>
      <w:marTop w:val="0"/>
      <w:marBottom w:val="0"/>
      <w:divBdr>
        <w:top w:val="none" w:sz="0" w:space="0" w:color="auto"/>
        <w:left w:val="none" w:sz="0" w:space="0" w:color="auto"/>
        <w:bottom w:val="none" w:sz="0" w:space="0" w:color="auto"/>
        <w:right w:val="none" w:sz="0" w:space="0" w:color="auto"/>
      </w:divBdr>
    </w:div>
    <w:div w:id="1326857873">
      <w:bodyDiv w:val="1"/>
      <w:marLeft w:val="0"/>
      <w:marRight w:val="0"/>
      <w:marTop w:val="0"/>
      <w:marBottom w:val="0"/>
      <w:divBdr>
        <w:top w:val="none" w:sz="0" w:space="0" w:color="auto"/>
        <w:left w:val="none" w:sz="0" w:space="0" w:color="auto"/>
        <w:bottom w:val="none" w:sz="0" w:space="0" w:color="auto"/>
        <w:right w:val="none" w:sz="0" w:space="0" w:color="auto"/>
      </w:divBdr>
    </w:div>
    <w:div w:id="1332491555">
      <w:bodyDiv w:val="1"/>
      <w:marLeft w:val="0"/>
      <w:marRight w:val="0"/>
      <w:marTop w:val="0"/>
      <w:marBottom w:val="0"/>
      <w:divBdr>
        <w:top w:val="none" w:sz="0" w:space="0" w:color="auto"/>
        <w:left w:val="none" w:sz="0" w:space="0" w:color="auto"/>
        <w:bottom w:val="none" w:sz="0" w:space="0" w:color="auto"/>
        <w:right w:val="none" w:sz="0" w:space="0" w:color="auto"/>
      </w:divBdr>
    </w:div>
    <w:div w:id="1352877589">
      <w:bodyDiv w:val="1"/>
      <w:marLeft w:val="0"/>
      <w:marRight w:val="0"/>
      <w:marTop w:val="0"/>
      <w:marBottom w:val="0"/>
      <w:divBdr>
        <w:top w:val="none" w:sz="0" w:space="0" w:color="auto"/>
        <w:left w:val="none" w:sz="0" w:space="0" w:color="auto"/>
        <w:bottom w:val="none" w:sz="0" w:space="0" w:color="auto"/>
        <w:right w:val="none" w:sz="0" w:space="0" w:color="auto"/>
      </w:divBdr>
    </w:div>
    <w:div w:id="1390616746">
      <w:bodyDiv w:val="1"/>
      <w:marLeft w:val="0"/>
      <w:marRight w:val="0"/>
      <w:marTop w:val="0"/>
      <w:marBottom w:val="0"/>
      <w:divBdr>
        <w:top w:val="none" w:sz="0" w:space="0" w:color="auto"/>
        <w:left w:val="none" w:sz="0" w:space="0" w:color="auto"/>
        <w:bottom w:val="none" w:sz="0" w:space="0" w:color="auto"/>
        <w:right w:val="none" w:sz="0" w:space="0" w:color="auto"/>
      </w:divBdr>
    </w:div>
    <w:div w:id="1595362920">
      <w:bodyDiv w:val="1"/>
      <w:marLeft w:val="0"/>
      <w:marRight w:val="0"/>
      <w:marTop w:val="0"/>
      <w:marBottom w:val="0"/>
      <w:divBdr>
        <w:top w:val="none" w:sz="0" w:space="0" w:color="auto"/>
        <w:left w:val="none" w:sz="0" w:space="0" w:color="auto"/>
        <w:bottom w:val="none" w:sz="0" w:space="0" w:color="auto"/>
        <w:right w:val="none" w:sz="0" w:space="0" w:color="auto"/>
      </w:divBdr>
    </w:div>
    <w:div w:id="1613321351">
      <w:bodyDiv w:val="1"/>
      <w:marLeft w:val="0"/>
      <w:marRight w:val="0"/>
      <w:marTop w:val="0"/>
      <w:marBottom w:val="0"/>
      <w:divBdr>
        <w:top w:val="none" w:sz="0" w:space="0" w:color="auto"/>
        <w:left w:val="none" w:sz="0" w:space="0" w:color="auto"/>
        <w:bottom w:val="none" w:sz="0" w:space="0" w:color="auto"/>
        <w:right w:val="none" w:sz="0" w:space="0" w:color="auto"/>
      </w:divBdr>
    </w:div>
    <w:div w:id="1725331298">
      <w:bodyDiv w:val="1"/>
      <w:marLeft w:val="0"/>
      <w:marRight w:val="0"/>
      <w:marTop w:val="0"/>
      <w:marBottom w:val="0"/>
      <w:divBdr>
        <w:top w:val="none" w:sz="0" w:space="0" w:color="auto"/>
        <w:left w:val="none" w:sz="0" w:space="0" w:color="auto"/>
        <w:bottom w:val="none" w:sz="0" w:space="0" w:color="auto"/>
        <w:right w:val="none" w:sz="0" w:space="0" w:color="auto"/>
      </w:divBdr>
      <w:divsChild>
        <w:div w:id="837355376">
          <w:marLeft w:val="0"/>
          <w:marRight w:val="0"/>
          <w:marTop w:val="0"/>
          <w:marBottom w:val="0"/>
          <w:divBdr>
            <w:top w:val="none" w:sz="0" w:space="0" w:color="auto"/>
            <w:left w:val="none" w:sz="0" w:space="0" w:color="auto"/>
            <w:bottom w:val="none" w:sz="0" w:space="0" w:color="auto"/>
            <w:right w:val="none" w:sz="0" w:space="0" w:color="auto"/>
          </w:divBdr>
          <w:divsChild>
            <w:div w:id="1125807384">
              <w:marLeft w:val="0"/>
              <w:marRight w:val="0"/>
              <w:marTop w:val="0"/>
              <w:marBottom w:val="0"/>
              <w:divBdr>
                <w:top w:val="none" w:sz="0" w:space="0" w:color="auto"/>
                <w:left w:val="none" w:sz="0" w:space="0" w:color="auto"/>
                <w:bottom w:val="none" w:sz="0" w:space="0" w:color="auto"/>
                <w:right w:val="none" w:sz="0" w:space="0" w:color="auto"/>
              </w:divBdr>
              <w:divsChild>
                <w:div w:id="4177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764841">
      <w:bodyDiv w:val="1"/>
      <w:marLeft w:val="0"/>
      <w:marRight w:val="0"/>
      <w:marTop w:val="0"/>
      <w:marBottom w:val="0"/>
      <w:divBdr>
        <w:top w:val="none" w:sz="0" w:space="0" w:color="auto"/>
        <w:left w:val="none" w:sz="0" w:space="0" w:color="auto"/>
        <w:bottom w:val="none" w:sz="0" w:space="0" w:color="auto"/>
        <w:right w:val="none" w:sz="0" w:space="0" w:color="auto"/>
      </w:divBdr>
    </w:div>
    <w:div w:id="1854301139">
      <w:bodyDiv w:val="1"/>
      <w:marLeft w:val="0"/>
      <w:marRight w:val="0"/>
      <w:marTop w:val="0"/>
      <w:marBottom w:val="0"/>
      <w:divBdr>
        <w:top w:val="none" w:sz="0" w:space="0" w:color="auto"/>
        <w:left w:val="none" w:sz="0" w:space="0" w:color="auto"/>
        <w:bottom w:val="none" w:sz="0" w:space="0" w:color="auto"/>
        <w:right w:val="none" w:sz="0" w:space="0" w:color="auto"/>
      </w:divBdr>
    </w:div>
    <w:div w:id="1855027091">
      <w:bodyDiv w:val="1"/>
      <w:marLeft w:val="0"/>
      <w:marRight w:val="0"/>
      <w:marTop w:val="0"/>
      <w:marBottom w:val="0"/>
      <w:divBdr>
        <w:top w:val="none" w:sz="0" w:space="0" w:color="auto"/>
        <w:left w:val="none" w:sz="0" w:space="0" w:color="auto"/>
        <w:bottom w:val="none" w:sz="0" w:space="0" w:color="auto"/>
        <w:right w:val="none" w:sz="0" w:space="0" w:color="auto"/>
      </w:divBdr>
    </w:div>
    <w:div w:id="1856840613">
      <w:bodyDiv w:val="1"/>
      <w:marLeft w:val="0"/>
      <w:marRight w:val="0"/>
      <w:marTop w:val="0"/>
      <w:marBottom w:val="0"/>
      <w:divBdr>
        <w:top w:val="none" w:sz="0" w:space="0" w:color="auto"/>
        <w:left w:val="none" w:sz="0" w:space="0" w:color="auto"/>
        <w:bottom w:val="none" w:sz="0" w:space="0" w:color="auto"/>
        <w:right w:val="none" w:sz="0" w:space="0" w:color="auto"/>
      </w:divBdr>
    </w:div>
    <w:div w:id="1873491157">
      <w:bodyDiv w:val="1"/>
      <w:marLeft w:val="0"/>
      <w:marRight w:val="0"/>
      <w:marTop w:val="0"/>
      <w:marBottom w:val="0"/>
      <w:divBdr>
        <w:top w:val="none" w:sz="0" w:space="0" w:color="auto"/>
        <w:left w:val="none" w:sz="0" w:space="0" w:color="auto"/>
        <w:bottom w:val="none" w:sz="0" w:space="0" w:color="auto"/>
        <w:right w:val="none" w:sz="0" w:space="0" w:color="auto"/>
      </w:divBdr>
    </w:div>
    <w:div w:id="1945114604">
      <w:bodyDiv w:val="1"/>
      <w:marLeft w:val="0"/>
      <w:marRight w:val="0"/>
      <w:marTop w:val="0"/>
      <w:marBottom w:val="0"/>
      <w:divBdr>
        <w:top w:val="none" w:sz="0" w:space="0" w:color="auto"/>
        <w:left w:val="none" w:sz="0" w:space="0" w:color="auto"/>
        <w:bottom w:val="none" w:sz="0" w:space="0" w:color="auto"/>
        <w:right w:val="none" w:sz="0" w:space="0" w:color="auto"/>
      </w:divBdr>
    </w:div>
    <w:div w:id="2036230978">
      <w:bodyDiv w:val="1"/>
      <w:marLeft w:val="0"/>
      <w:marRight w:val="0"/>
      <w:marTop w:val="0"/>
      <w:marBottom w:val="0"/>
      <w:divBdr>
        <w:top w:val="none" w:sz="0" w:space="0" w:color="auto"/>
        <w:left w:val="none" w:sz="0" w:space="0" w:color="auto"/>
        <w:bottom w:val="none" w:sz="0" w:space="0" w:color="auto"/>
        <w:right w:val="none" w:sz="0" w:space="0" w:color="auto"/>
      </w:divBdr>
    </w:div>
    <w:div w:id="2095854026">
      <w:bodyDiv w:val="1"/>
      <w:marLeft w:val="0"/>
      <w:marRight w:val="0"/>
      <w:marTop w:val="0"/>
      <w:marBottom w:val="0"/>
      <w:divBdr>
        <w:top w:val="none" w:sz="0" w:space="0" w:color="auto"/>
        <w:left w:val="none" w:sz="0" w:space="0" w:color="auto"/>
        <w:bottom w:val="none" w:sz="0" w:space="0" w:color="auto"/>
        <w:right w:val="none" w:sz="0" w:space="0" w:color="auto"/>
      </w:divBdr>
    </w:div>
    <w:div w:id="210981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6" Type="http://schemas.openxmlformats.org/officeDocument/2006/relationships/hyperlink" Target="https://cchrcambodia.org/admin/media/newsletter/newsletter/english/CCHR%20Fair%20Trial%20Rights%20Newsletter%20on%20Women%20in%20Cambodia%20-English.pdf" TargetMode="External"/><Relationship Id="rId21"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42" Type="http://schemas.openxmlformats.org/officeDocument/2006/relationships/hyperlink" Target="https://www.phnompenhpost.com/national/bar-members-bemoan-low-payment-pro-bono-work" TargetMode="External"/><Relationship Id="rId47" Type="http://schemas.openxmlformats.org/officeDocument/2006/relationships/hyperlink" Target="http://docstore.ohchr.org/SelfServices/FilesHandler.ashx?enc=6QkG1d%2fPPRiCAqhKb7yhsldCrOlUTvLRFDjh6%2fx1pWCd9kc8NuhsZOT1QuzhrDy1rIpOgSyxJmK%2fSo2p3MpTl9diLSL02wtx8JPse1mlicqCgIo0em30unjIY%2fnkmn3g" TargetMode="External"/><Relationship Id="rId63" Type="http://schemas.openxmlformats.org/officeDocument/2006/relationships/hyperlink" Target="https://www.ibanet.org/Document/Default.aspx?DocumentUid=4b065d2c-d691-46e5-86bf-0a17c993c938" TargetMode="External"/><Relationship Id="rId68" Type="http://schemas.openxmlformats.org/officeDocument/2006/relationships/hyperlink" Target="https://freedomhouse.org/report/freedom-world/2019/cambodia" TargetMode="External"/><Relationship Id="rId84" Type="http://schemas.openxmlformats.org/officeDocument/2006/relationships/hyperlink" Target="https://www.phnompenhpost.com/national/most-female-inmates-jailed-drug-charges" TargetMode="External"/><Relationship Id="rId89" Type="http://schemas.openxmlformats.org/officeDocument/2006/relationships/hyperlink" Target="https://www.khmertimeskh.com/news/26182/14-years--the-horrors-of-prey-sar/" TargetMode="External"/><Relationship Id="rId16"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107" Type="http://schemas.openxmlformats.org/officeDocument/2006/relationships/hyperlink" Target="http://www.licadho-cambodia.org/reports/files/227Time%20for%20Bail_Ending%20Needless%20Mass%20Detention_fin.pdf" TargetMode="External"/><Relationship Id="rId11"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32" Type="http://schemas.openxmlformats.org/officeDocument/2006/relationships/hyperlink" Target="https://documents-dds-ny.un.org/doc/UNDOC/GEN/G19/098/90/PDF/G1909890.pdf?OpenElement" TargetMode="External"/><Relationship Id="rId37" Type="http://schemas.openxmlformats.org/officeDocument/2006/relationships/hyperlink" Target="http://docstore.ohchr.org/SelfServices/FilesHandler.ashx?enc=6QkG1d%2fPPRiCAqhKb7yhsldCrOlUTvLRFDjh6%2fx1pWCd9kc8NuhsZOT1QuzhrDy1rIpOgSyxJmK%2fSo2p3MpTl9diLSL02wtx8JPse1mlicqCgIo0em30unjIY%2fnkmn3g" TargetMode="External"/><Relationship Id="rId53" Type="http://schemas.openxmlformats.org/officeDocument/2006/relationships/hyperlink" Target="https://www.khmertimeskh.com/50579742/pm-tasks-lawyers-council-to-form-special-team-for-women/" TargetMode="External"/><Relationship Id="rId58" Type="http://schemas.openxmlformats.org/officeDocument/2006/relationships/hyperlink" Target="https://www.wcwonline.org/pdf/lawcompilation/Cambodia_dv_victims2005.pdf" TargetMode="External"/><Relationship Id="rId74"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79" Type="http://schemas.openxmlformats.org/officeDocument/2006/relationships/hyperlink" Target="http://destinationjustice.org/launching-the-rainbow-legal-aid-in-cambodia-report/" TargetMode="External"/><Relationship Id="rId102" Type="http://schemas.openxmlformats.org/officeDocument/2006/relationships/hyperlink" Target="http://www.licadho-cambodia.org/collection/25/life_inside_cambodia_prison" TargetMode="External"/><Relationship Id="rId5" Type="http://schemas.openxmlformats.org/officeDocument/2006/relationships/hyperlink" Target="https://www.wcwonline.org/pdf/lawcompilation/Cambodia_dv_victims2005.pdf" TargetMode="External"/><Relationship Id="rId90" Type="http://schemas.openxmlformats.org/officeDocument/2006/relationships/hyperlink" Target="http://www.licadho-cambodia.org/pressrelease.php?perm=369" TargetMode="External"/><Relationship Id="rId95" Type="http://schemas.openxmlformats.org/officeDocument/2006/relationships/hyperlink" Target="https://cchrcambodia.org/admin/media/newsletter/newsletter/english/CCHR%20Fair%20Trial%20Rights%20Newsletter%20on%20Women%20in%20Cambodia%20-English.pdf" TargetMode="External"/><Relationship Id="rId22" Type="http://schemas.openxmlformats.org/officeDocument/2006/relationships/hyperlink" Target="https://documents-dds-ny.un.org/doc/UNDOC/GEN/G19/098/90/PDF/G1909890.pdf?OpenElement" TargetMode="External"/><Relationship Id="rId27" Type="http://schemas.openxmlformats.org/officeDocument/2006/relationships/hyperlink" Target="https://worldjusticeproject.org/sites/default/files/documents/WJP-ROLI-2019-Single%20Page%20View-Reduced.pdf" TargetMode="External"/><Relationship Id="rId43"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48" Type="http://schemas.openxmlformats.org/officeDocument/2006/relationships/hyperlink" Target="http://docstore.ohchr.org/SelfServices/FilesHandler.ashx?enc=6QkG1d%2fPPRiCAqhKb7yhsldCrOlUTvLRFDjh6%2fx1pWCd9kc8NuhsZOT1QuzhrDy1rIpOgSyxJmK%2fSo2p3MpTl9diLSL02wtx8JPse1mlicqCgIo0em30unjIY%2fnkmn3g" TargetMode="External"/><Relationship Id="rId64" Type="http://schemas.openxmlformats.org/officeDocument/2006/relationships/hyperlink" Target="https://www.phnompenhpost.com/national/battambang-tbong-khmum-courts-be-finished-year" TargetMode="External"/><Relationship Id="rId69" Type="http://schemas.openxmlformats.org/officeDocument/2006/relationships/hyperlink" Target="https://www.state.gov/wp-content/uploads/2019/06/2019-Trafficking-in-Persons-Report.pdf" TargetMode="External"/><Relationship Id="rId80" Type="http://schemas.openxmlformats.org/officeDocument/2006/relationships/hyperlink" Target="http://destinationjustice.org/launching-the-rainbow-legal-aid-in-cambodia-report/" TargetMode="External"/><Relationship Id="rId85" Type="http://schemas.openxmlformats.org/officeDocument/2006/relationships/hyperlink" Target="http://journals.sagepub.com/doi/abs/10.1177/0967828X18769223?journalCode=sera" TargetMode="External"/><Relationship Id="rId12" Type="http://schemas.openxmlformats.org/officeDocument/2006/relationships/hyperlink" Target="http://www.licadho-cambodia.org/reports/files/225DV_Report_Eng_20171201.pdf" TargetMode="External"/><Relationship Id="rId17" Type="http://schemas.openxmlformats.org/officeDocument/2006/relationships/hyperlink" Target="https://tbinternet.ohchr.org/Treaties/CEDAW/Shared%20Documents/KHM/INT_CEDAW_ADR_KHM_31420_E.pdf" TargetMode="External"/><Relationship Id="rId33" Type="http://schemas.openxmlformats.org/officeDocument/2006/relationships/hyperlink" Target="https://documents-dds-ny.un.org/doc/UNDOC/GEN/G19/098/90/PDF/G1909890.pdf?OpenElement" TargetMode="External"/><Relationship Id="rId38" Type="http://schemas.openxmlformats.org/officeDocument/2006/relationships/hyperlink" Target="https://cchrcambodia.org/index_old.php?url=media/media.php&amp;p=report_detail.php&amp;reid=116&amp;id=5" TargetMode="External"/><Relationship Id="rId59" Type="http://schemas.openxmlformats.org/officeDocument/2006/relationships/hyperlink" Target="http://docstore.ohchr.org/SelfServices/FilesHandler.ashx?enc=6QkG1d%2fPPRiCAqhKb7yhsldCrOlUTvLRFDjh6%2fx1pWCd9kc8NuhsZOT1QuzhrDy1rIpOgSyxJmK%2fSo2p3MpTl9diLSL02wtx8JPse1mlicqCgIo0em30unjIY%2fnkmn3g" TargetMode="External"/><Relationship Id="rId103" Type="http://schemas.openxmlformats.org/officeDocument/2006/relationships/hyperlink" Target="http://www.licadho-cambodia.org/pressrelease.php?perm=384" TargetMode="External"/><Relationship Id="rId108" Type="http://schemas.openxmlformats.org/officeDocument/2006/relationships/hyperlink" Target="http://www.licadho-cambodia.org/reports/files/227Time%20for%20Bail_Ending%20Needless%20Mass%20Detention_fin.pdf" TargetMode="External"/><Relationship Id="rId54" Type="http://schemas.openxmlformats.org/officeDocument/2006/relationships/hyperlink" Target="https://www.khmertimeskh.com/50584275/special-legal-team-urged-to-aid-pre-trial-female-detainees/" TargetMode="External"/><Relationship Id="rId70" Type="http://schemas.openxmlformats.org/officeDocument/2006/relationships/hyperlink" Target="https://www.state.gov/wp-content/uploads/2019/06/2019-Trafficking-in-Persons-Report.pdf" TargetMode="External"/><Relationship Id="rId75" Type="http://schemas.openxmlformats.org/officeDocument/2006/relationships/hyperlink" Target="https://www.state.gov/wp-content/uploads/2019/06/2019-Trafficking-in-Persons-Report.pdf" TargetMode="External"/><Relationship Id="rId91" Type="http://schemas.openxmlformats.org/officeDocument/2006/relationships/hyperlink" Target="https://www.phnompenhpost.com/opinion/kids-dont-belong-prison" TargetMode="External"/><Relationship Id="rId96" Type="http://schemas.openxmlformats.org/officeDocument/2006/relationships/hyperlink" Target="http://www.un.org/en/ecosoc/docs/2010/res%202010-16.pdf" TargetMode="External"/><Relationship Id="rId1" Type="http://schemas.openxmlformats.org/officeDocument/2006/relationships/hyperlink" Target="https://worldjusticeproject.org/sites/default/files/documents/WJP-ROLI-2019-Single%20Page%20View-Reduced.pdf" TargetMode="External"/><Relationship Id="rId6"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15" Type="http://schemas.openxmlformats.org/officeDocument/2006/relationships/hyperlink" Target="https://tbinternet.ohchr.org/Treaties/CEDAW/Shared%20Documents/KHM/INT_CEDAW_ADR_KHM_31420_E.pdf" TargetMode="External"/><Relationship Id="rId23" Type="http://schemas.openxmlformats.org/officeDocument/2006/relationships/hyperlink" Target="https://documents-dds-ny.un.org/doc/UNDOC/GEN/G19/110/92/PDF/G1911092.pdf?OpenElement" TargetMode="External"/><Relationship Id="rId28" Type="http://schemas.openxmlformats.org/officeDocument/2006/relationships/hyperlink" Target="https://worldjusticeproject.org/sites/default/files/documents/WJP-ROLI-2019-Single%20Page%20View-Reduced.pdf" TargetMode="External"/><Relationship Id="rId36" Type="http://schemas.openxmlformats.org/officeDocument/2006/relationships/hyperlink" Target="https://www.phnompenhpost.com/national/sex-workers-death-still-unpunished" TargetMode="External"/><Relationship Id="rId49" Type="http://schemas.openxmlformats.org/officeDocument/2006/relationships/hyperlink" Target="https://www.khmertimeskh.com/50583888/ngos-draft-petition-to-improve-womens-rights/" TargetMode="External"/><Relationship Id="rId57"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106" Type="http://schemas.openxmlformats.org/officeDocument/2006/relationships/hyperlink" Target="http://www.licadho-cambodia.org/reports/files/227Time%20for%20Bail_Ending%20Needless%20Mass%20Detention_fin.pdf" TargetMode="External"/><Relationship Id="rId10" Type="http://schemas.openxmlformats.org/officeDocument/2006/relationships/hyperlink" Target="https://www.licadho-cambodia.org/reports/files/225DV_Report_Eng_20171201.pdf" TargetMode="External"/><Relationship Id="rId31" Type="http://schemas.openxmlformats.org/officeDocument/2006/relationships/hyperlink" Target="https://worldjusticeproject.org/sites/default/files/documents/WJP-ROLI-2019-Single%20Page%20View-Reduced.pdf" TargetMode="External"/><Relationship Id="rId44"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52" Type="http://schemas.openxmlformats.org/officeDocument/2006/relationships/hyperlink" Target="https://focusweb.org/cambodia-petition-for-solutions-to-priority-womens-issues/" TargetMode="External"/><Relationship Id="rId60"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65" Type="http://schemas.openxmlformats.org/officeDocument/2006/relationships/hyperlink" Target="https://www.phnompenhpost.com/national/battambang-tbong-khmum-courts-be-finished-year" TargetMode="External"/><Relationship Id="rId73"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78" Type="http://schemas.openxmlformats.org/officeDocument/2006/relationships/hyperlink" Target="http://destinationjustice.org/launching-the-rainbow-legal-aid-in-cambodia-report/" TargetMode="External"/><Relationship Id="rId81" Type="http://schemas.openxmlformats.org/officeDocument/2006/relationships/hyperlink" Target="https://cchrcambodia.org/admin/media/report/report/english/2016_09_21_SOGI_Report_Eng.pdf" TargetMode="External"/><Relationship Id="rId86" Type="http://schemas.openxmlformats.org/officeDocument/2006/relationships/hyperlink" Target="http://journals.sagepub.com/doi/abs/10.1177/0967828X18769223?journalCode=sera" TargetMode="External"/><Relationship Id="rId94" Type="http://schemas.openxmlformats.org/officeDocument/2006/relationships/hyperlink" Target="http://cambodia.ohchr.org/~cambodiaohchr/sites/default/files/Annotated%20Cambodian%20Code%20of%20Criminal%20Procedure%20%5BEN%5D%20%5BMaster%20-%20Final%5D.pdf" TargetMode="External"/><Relationship Id="rId99" Type="http://schemas.openxmlformats.org/officeDocument/2006/relationships/hyperlink" Target="https://www.licadho-cambodia.org/reports/files/227Time%20for%20Bail_Ending%20Needless%20Mass%20Detention_fin.pdf" TargetMode="External"/><Relationship Id="rId101" Type="http://schemas.openxmlformats.org/officeDocument/2006/relationships/hyperlink" Target="https://www.khmertimeskh.com/50588464/drug-offenders-crowding-prisons/" TargetMode="External"/><Relationship Id="rId4" Type="http://schemas.openxmlformats.org/officeDocument/2006/relationships/hyperlink" Target="https://www.ajne.org/sites/default/files/resource/laws/7195/criminal-code-cambodia-en-kh.pdf" TargetMode="External"/><Relationship Id="rId9" Type="http://schemas.openxmlformats.org/officeDocument/2006/relationships/hyperlink" Target="http://docstore.ohchr.org/SelfServices/FilesHandler.ashx?enc=6QkG1d%2fPPRiCAqhKb7yhsldCrOlUTvLRFDjh6%2fx1pWAeqJn4T68N1uqnZjLbtFua2OBKh3UEqlB%2fCyQIg86A6bUD6S2nt0Ii%2bndbh67tt1%2bO99yEEGWYpmnzM8vDxmwt" TargetMode="External"/><Relationship Id="rId13"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18" Type="http://schemas.openxmlformats.org/officeDocument/2006/relationships/hyperlink" Target="https://www.researchgate.net/publication/228144616_Women_in_the_Legal_Profession" TargetMode="External"/><Relationship Id="rId39" Type="http://schemas.openxmlformats.org/officeDocument/2006/relationships/hyperlink" Target="https://cchrcambodia.org/admin/media/analysis/analysis/english/2015_12_28_CCHR_BR_Women_on_Frontline_Situation_of_WHRDs_in_Cam_in_2015_ENG.pdf" TargetMode="External"/><Relationship Id="rId109" Type="http://schemas.openxmlformats.org/officeDocument/2006/relationships/hyperlink" Target="https://www.phnompenhpost.com/national/pm-calls-mercy-sentencing-women-children" TargetMode="External"/><Relationship Id="rId34" Type="http://schemas.openxmlformats.org/officeDocument/2006/relationships/hyperlink" Target="http://www.licadho-cambodia.org/reports/files/225DV_Report_Eng_20171201.pdf" TargetMode="External"/><Relationship Id="rId50" Type="http://schemas.openxmlformats.org/officeDocument/2006/relationships/hyperlink" Target="https://www.phnompenhpost.com/national/forces-prevent-womens-day-march" TargetMode="External"/><Relationship Id="rId55" Type="http://schemas.openxmlformats.org/officeDocument/2006/relationships/hyperlink" Target="https://www.researchgate.net/publication/306056007_ECCC_Baseline_Study_on_Gender_Sensitivity_in_Transitional_Justice_Processes_in_Cambodia_Phnom_Penh_Extraordinary_Chambers_in_the_Courts_of_Cambodia_2012" TargetMode="External"/><Relationship Id="rId76" Type="http://schemas.openxmlformats.org/officeDocument/2006/relationships/hyperlink" Target="https://documents-dds-ny.un.org/doc/UNDOC/GEN/G19/098/90/PDF/G1909890.pdf?OpenElement" TargetMode="External"/><Relationship Id="rId97" Type="http://schemas.openxmlformats.org/officeDocument/2006/relationships/hyperlink" Target="https://cchrcambodia.org/admin/media/newsletter/newsletter/english/CCHR%20Fair%20Trial%20Rights%20Newsletter%20on%20Women%20in%20Cambodia%20-English.pdf" TargetMode="External"/><Relationship Id="rId104" Type="http://schemas.openxmlformats.org/officeDocument/2006/relationships/hyperlink" Target="https://www.licadho-cambodia.org/reports/files/227Time%20for%20Bail_Ending%20Needless%20Mass%20Detention_fin.pdf" TargetMode="External"/><Relationship Id="rId7" Type="http://schemas.openxmlformats.org/officeDocument/2006/relationships/hyperlink" Target="http://docstore.ohchr.org/SelfServices/FilesHandler.ashx?enc=6QkG1d%2fPPRiCAqhKb7yhsldCrOlUTvLRFDjh6%2fx1pWAeqJn4T68N1uqnZjLbtFua2OBKh3UEqlB%2fCyQIg86A6bUD6S2nt0Ii%2bndbh67tt1%2bO99yEEGWYpmnzM8vDxmwt" TargetMode="External"/><Relationship Id="rId71" Type="http://schemas.openxmlformats.org/officeDocument/2006/relationships/hyperlink" Target="https://www.state.gov/wp-content/uploads/2019/06/2019-Trafficking-in-Persons-Report.pdf" TargetMode="External"/><Relationship Id="rId92" Type="http://schemas.openxmlformats.org/officeDocument/2006/relationships/hyperlink" Target="http://www.licadho-cambodia.org/reports/files/227Time%20for%20Bail_Ending%20Needless%20Mass%20Detention_fin.pdf" TargetMode="External"/><Relationship Id="rId2" Type="http://schemas.openxmlformats.org/officeDocument/2006/relationships/hyperlink" Target="https://freedomhouse.org/report/freedom-world/2019/cambodia" TargetMode="External"/><Relationship Id="rId29" Type="http://schemas.openxmlformats.org/officeDocument/2006/relationships/hyperlink" Target="https://freedomhouse.org/report/freedom-world/2019/cambodia" TargetMode="External"/><Relationship Id="rId24" Type="http://schemas.openxmlformats.org/officeDocument/2006/relationships/hyperlink" Target="https://www.eccc.gov.kh/sites/default/files/legal-documents/KR_Law_as_amended_27_Oct_2004_Eng.pdf" TargetMode="External"/><Relationship Id="rId40"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45" Type="http://schemas.openxmlformats.org/officeDocument/2006/relationships/hyperlink" Target="https://documents-dds-ny.un.org/doc/UNDOC/GEN/G19/098/90/PDF/G1909890.pdf?OpenElement" TargetMode="External"/><Relationship Id="rId66"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87" Type="http://schemas.openxmlformats.org/officeDocument/2006/relationships/hyperlink" Target="http://journals.sagepub.com/doi/abs/10.1177/0967828X18769223?journalCode=sera" TargetMode="External"/><Relationship Id="rId61" Type="http://schemas.openxmlformats.org/officeDocument/2006/relationships/hyperlink" Target="https://documents-dds-ny.un.org/doc/UNDOC/GEN/G10/472/60/PDF/G1047260.pdf?OpenElement" TargetMode="External"/><Relationship Id="rId82" Type="http://schemas.openxmlformats.org/officeDocument/2006/relationships/hyperlink" Target="http://docstore.ohchr.org/SelfServices/FilesHandler.ashx?enc=6QkG1d%2fPPRiCAqhKb7yhsglff%2fiazrVw%2bcyfdY9GxZ5qsiPlzMHaS7D9K%2bQCA6BBU4Snb11Vb7EspUT6L9XKcyIh%2bE53VmsSpjg%2fudK%2bd2qT3ZUliqayFFl1YvLaDBZc" TargetMode="External"/><Relationship Id="rId19"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14" Type="http://schemas.openxmlformats.org/officeDocument/2006/relationships/hyperlink" Target="https://www.phnompenhpost.com/national-post-depth/cambodias-courts-its-mans-world-effects-felt-female-employees-and-victims-alike" TargetMode="External"/><Relationship Id="rId30"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35" Type="http://schemas.openxmlformats.org/officeDocument/2006/relationships/hyperlink" Target="https://www.phnompenhpost.com/national/sex-workers-death-haunts-women-wat-phnom" TargetMode="External"/><Relationship Id="rId56" Type="http://schemas.openxmlformats.org/officeDocument/2006/relationships/hyperlink" Target="https://www.phnompenhpost.com/national-post-depth/spousal-killings-call-commune-officials-mediation-role-question" TargetMode="External"/><Relationship Id="rId77" Type="http://schemas.openxmlformats.org/officeDocument/2006/relationships/hyperlink" Target="http://destinationjustice.org/launching-the-rainbow-legal-aid-in-cambodia-report/" TargetMode="External"/><Relationship Id="rId100" Type="http://schemas.openxmlformats.org/officeDocument/2006/relationships/hyperlink" Target="https://www.phnompenhpost.com/opinion/kids-dont-belong-prison" TargetMode="External"/><Relationship Id="rId105" Type="http://schemas.openxmlformats.org/officeDocument/2006/relationships/hyperlink" Target="https://www.licadho-cambodia.org/reports/files/203LICADHOReportChildhoodBehindBars-English.pdf" TargetMode="External"/><Relationship Id="rId8" Type="http://schemas.openxmlformats.org/officeDocument/2006/relationships/hyperlink" Target="https://www.wcwonline.org/pdf/lawcompilation/Cambodia_dv_victims2005.pdf" TargetMode="External"/><Relationship Id="rId51" Type="http://schemas.openxmlformats.org/officeDocument/2006/relationships/hyperlink" Target="https://focusweb.org/cambodia-petition-for-solutions-to-priority-womens-issues/" TargetMode="External"/><Relationship Id="rId72" Type="http://schemas.openxmlformats.org/officeDocument/2006/relationships/hyperlink" Target="https://www.state.gov/wp-content/uploads/2019/06/2019-Trafficking-in-Persons-Report.pdf" TargetMode="External"/><Relationship Id="rId93" Type="http://schemas.openxmlformats.org/officeDocument/2006/relationships/hyperlink" Target="http://docstore.ohchr.org/SelfServices/FilesHandler.ashx?enc=6QkG1d%2fPPRiCAqhKb7yhsldCrOlUTvLRFDjh6%2fx1pWCd9kc8NuhsZOT1QuzhrDy1rIpOgSyxJmK%2fSo2p3MpTl9diLSL02wtx8JPse1mlicqCgIo0em30unjIY%2fnkmn3g" TargetMode="External"/><Relationship Id="rId98" Type="http://schemas.openxmlformats.org/officeDocument/2006/relationships/hyperlink" Target="http://www.licadho-cambodia.org/pressrelease.php?perm=384" TargetMode="External"/><Relationship Id="rId3" Type="http://schemas.openxmlformats.org/officeDocument/2006/relationships/hyperlink" Target="https://www.hrw.org/sites/default/files/world_report_download/hrw_world_report_2019.pdf" TargetMode="External"/><Relationship Id="rId25" Type="http://schemas.openxmlformats.org/officeDocument/2006/relationships/hyperlink" Target="https://www.google.com/url?q=https://tpocambodia.org/women-in-transitional-justice/&amp;sa=D&amp;source=hangouts&amp;ust=1541567235480000&amp;usg=AFQjCNGbFJN-XnNU_7o0hvh8ajtnaH3sAg" TargetMode="External"/><Relationship Id="rId46" Type="http://schemas.openxmlformats.org/officeDocument/2006/relationships/hyperlink" Target="http://docstore.ohchr.org/SelfServices/FilesHandler.ashx?enc=6QkG1d%2fPPRiCAqhKb7yhsldCrOlUTvLRFDjh6%2fx1pWCd9kc8NuhsZOT1QuzhrDy1rIpOgSyxJmK%2fSo2p3MpTl9diLSL02wtx8JPse1mlicqCgIo0em30unjIY%2fnkmn3g" TargetMode="External"/><Relationship Id="rId67" Type="http://schemas.openxmlformats.org/officeDocument/2006/relationships/hyperlink" Target="http://docstore.ohchr.org/SelfServices/FilesHandler.ashx?enc=6QkG1d%2fPPRiCAqhKb7yhsglff%2fiazrVw%2bcyfdY9GxZ7TB4fGyJNlHM4%2boFUnvkb8gSMnO%2bcQb8a03CmcpzN9Esa8ebpcFBZyhUr6iK%2fKsfm2FmUQnkW3xj8UPWUItfWo" TargetMode="External"/><Relationship Id="rId20" Type="http://schemas.openxmlformats.org/officeDocument/2006/relationships/hyperlink" Target="https://www.phnompenhpost.com/national-post-depth/cambodias-courts-its-mans-world-effects-felt-female-employees-and-victims-alike" TargetMode="External"/><Relationship Id="rId41" Type="http://schemas.openxmlformats.org/officeDocument/2006/relationships/hyperlink" Target="https://www.phnompenhpost.com/national/workshop-educates-legal-aid" TargetMode="External"/><Relationship Id="rId62" Type="http://schemas.openxmlformats.org/officeDocument/2006/relationships/hyperlink" Target="https://cchrcambodia.org/admin/media/report/report/english/CCHR%20Report%20on%20Fair%20Trial%20Rights_%20ENG_.pdf" TargetMode="External"/><Relationship Id="rId83" Type="http://schemas.openxmlformats.org/officeDocument/2006/relationships/hyperlink" Target="https://documents-dds-ny.un.org/doc/UNDOC/GEN/G18/341/00/PDF/G1834100.pdf?OpenElement" TargetMode="External"/><Relationship Id="rId88" Type="http://schemas.openxmlformats.org/officeDocument/2006/relationships/hyperlink" Target="http://www.licadho-cambodia.org/pressrelease.php?perm=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89E6BF-9C95-9E44-8DF3-3631D84BBF5E}">
  <ds:schemaRefs>
    <ds:schemaRef ds:uri="http://schemas.openxmlformats.org/officeDocument/2006/bibliography"/>
  </ds:schemaRefs>
</ds:datastoreItem>
</file>

<file path=customXml/itemProps2.xml><?xml version="1.0" encoding="utf-8"?>
<ds:datastoreItem xmlns:ds="http://schemas.openxmlformats.org/officeDocument/2006/customXml" ds:itemID="{CB749740-0D14-4985-8C16-7569BEB8E480}"/>
</file>

<file path=customXml/itemProps3.xml><?xml version="1.0" encoding="utf-8"?>
<ds:datastoreItem xmlns:ds="http://schemas.openxmlformats.org/officeDocument/2006/customXml" ds:itemID="{530BD43D-CE0B-401E-8AF3-AF49CF9606CB}"/>
</file>

<file path=customXml/itemProps4.xml><?xml version="1.0" encoding="utf-8"?>
<ds:datastoreItem xmlns:ds="http://schemas.openxmlformats.org/officeDocument/2006/customXml" ds:itemID="{CE361D30-1394-4D64-8859-345D8F9A25FF}"/>
</file>

<file path=docProps/app.xml><?xml version="1.0" encoding="utf-8"?>
<Properties xmlns="http://schemas.openxmlformats.org/officeDocument/2006/extended-properties" xmlns:vt="http://schemas.openxmlformats.org/officeDocument/2006/docPropsVTypes">
  <Template>Normal.dotm</Template>
  <TotalTime>21</TotalTime>
  <Pages>17</Pages>
  <Words>4543</Words>
  <Characters>25901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Benn</dc:creator>
  <cp:lastModifiedBy>Sarah C.</cp:lastModifiedBy>
  <cp:revision>5</cp:revision>
  <dcterms:created xsi:type="dcterms:W3CDTF">2019-07-29T03:24:00Z</dcterms:created>
  <dcterms:modified xsi:type="dcterms:W3CDTF">2019-09-05T02:24:00Z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