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7458CA" w14:textId="77777777" w:rsidR="00F50736" w:rsidRPr="00292C07" w:rsidRDefault="00F50736" w:rsidP="00F50736">
      <w:pPr>
        <w:spacing w:after="0" w:line="240" w:lineRule="auto"/>
        <w:jc w:val="center"/>
        <w:rPr>
          <w:rFonts w:ascii="MetaPro-Norm" w:hAnsi="MetaPro-Norm"/>
        </w:rPr>
      </w:pPr>
      <w:r w:rsidRPr="00292C07">
        <w:rPr>
          <w:rFonts w:ascii="MetaPro-Norm" w:hAnsi="MetaPro-Norm"/>
          <w:noProof/>
        </w:rPr>
        <w:drawing>
          <wp:inline distT="0" distB="0" distL="0" distR="0" wp14:anchorId="47D0761B" wp14:editId="234FD542">
            <wp:extent cx="1341120" cy="134112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41120" cy="1341120"/>
                    </a:xfrm>
                    <a:prstGeom prst="rect">
                      <a:avLst/>
                    </a:prstGeom>
                    <a:noFill/>
                    <a:ln>
                      <a:noFill/>
                    </a:ln>
                  </pic:spPr>
                </pic:pic>
              </a:graphicData>
            </a:graphic>
          </wp:inline>
        </w:drawing>
      </w:r>
    </w:p>
    <w:p w14:paraId="693B01B6" w14:textId="77777777" w:rsidR="00F50736" w:rsidRPr="00292C07" w:rsidRDefault="00F50736" w:rsidP="00F50736">
      <w:pPr>
        <w:spacing w:after="0" w:line="240" w:lineRule="auto"/>
        <w:rPr>
          <w:rFonts w:ascii="MetaPro-Norm" w:hAnsi="MetaPro-Norm"/>
          <w:b/>
        </w:rPr>
      </w:pPr>
    </w:p>
    <w:p w14:paraId="6119AC68" w14:textId="3F604019" w:rsidR="00B01D9B" w:rsidRPr="00B01D9B" w:rsidRDefault="00B01D9B" w:rsidP="00B01D9B">
      <w:pPr>
        <w:jc w:val="center"/>
        <w:rPr>
          <w:rFonts w:ascii="MetaPro-Norm" w:hAnsi="MetaPro-Norm"/>
          <w:b/>
          <w:bCs/>
          <w:iCs/>
          <w:sz w:val="30"/>
          <w:szCs w:val="30"/>
        </w:rPr>
      </w:pPr>
      <w:bookmarkStart w:id="0" w:name="_GoBack"/>
      <w:r w:rsidRPr="00B01D9B">
        <w:rPr>
          <w:rFonts w:ascii="MetaPro-Norm" w:hAnsi="MetaPro-Norm"/>
          <w:b/>
          <w:bCs/>
          <w:iCs/>
          <w:sz w:val="30"/>
          <w:szCs w:val="30"/>
        </w:rPr>
        <w:t xml:space="preserve">Human Rights Watch Submission to the CEDAW Committee on </w:t>
      </w:r>
      <w:r>
        <w:rPr>
          <w:rFonts w:ascii="MetaPro-Norm" w:hAnsi="MetaPro-Norm"/>
          <w:b/>
          <w:bCs/>
          <w:iCs/>
          <w:sz w:val="30"/>
          <w:szCs w:val="30"/>
        </w:rPr>
        <w:t>Cambodia</w:t>
      </w:r>
      <w:r w:rsidRPr="00B01D9B">
        <w:rPr>
          <w:rFonts w:ascii="MetaPro-Norm" w:hAnsi="MetaPro-Norm"/>
          <w:b/>
          <w:bCs/>
          <w:iCs/>
          <w:sz w:val="30"/>
          <w:szCs w:val="30"/>
        </w:rPr>
        <w:t>’s Periodic Report for the 7</w:t>
      </w:r>
      <w:r>
        <w:rPr>
          <w:rFonts w:ascii="MetaPro-Norm" w:hAnsi="MetaPro-Norm"/>
          <w:b/>
          <w:bCs/>
          <w:iCs/>
          <w:sz w:val="30"/>
          <w:szCs w:val="30"/>
        </w:rPr>
        <w:t>4th</w:t>
      </w:r>
      <w:r w:rsidRPr="00B01D9B">
        <w:rPr>
          <w:rFonts w:ascii="MetaPro-Norm" w:hAnsi="MetaPro-Norm"/>
          <w:b/>
          <w:bCs/>
          <w:iCs/>
          <w:sz w:val="30"/>
          <w:szCs w:val="30"/>
        </w:rPr>
        <w:t xml:space="preserve"> Session</w:t>
      </w:r>
    </w:p>
    <w:bookmarkEnd w:id="0"/>
    <w:p w14:paraId="09EDF7B4" w14:textId="4D81EF8A" w:rsidR="00F50736" w:rsidRPr="004E4B36" w:rsidRDefault="004E4B36" w:rsidP="004E4B36">
      <w:pPr>
        <w:jc w:val="center"/>
        <w:rPr>
          <w:rFonts w:ascii="MetaPro-Norm" w:hAnsi="MetaPro-Norm" w:cs="MetaPro-Norm"/>
          <w:sz w:val="24"/>
          <w:szCs w:val="24"/>
          <w:lang w:val="en-US"/>
        </w:rPr>
      </w:pPr>
      <w:r w:rsidRPr="004E4B36">
        <w:rPr>
          <w:rFonts w:ascii="MetaPro-Norm" w:hAnsi="MetaPro-Norm"/>
          <w:b/>
          <w:bCs/>
          <w:iCs/>
          <w:sz w:val="24"/>
          <w:szCs w:val="24"/>
        </w:rPr>
        <w:t>September 2019</w:t>
      </w:r>
      <w:hyperlink r:id="rId11" w:history="1">
        <w:r w:rsidR="00B01D9B" w:rsidRPr="004E4B36">
          <w:rPr>
            <w:rFonts w:ascii="Garamond" w:eastAsia="Times New Roman" w:hAnsi="Garamond" w:cs="Times New Roman"/>
            <w:color w:val="0B81C3"/>
            <w:sz w:val="24"/>
            <w:szCs w:val="24"/>
            <w:lang w:eastAsia="en-GB"/>
          </w:rPr>
          <w:br/>
        </w:r>
      </w:hyperlink>
    </w:p>
    <w:p w14:paraId="0FAE5718" w14:textId="74ACB04E" w:rsidR="001614BA" w:rsidRPr="001614BA" w:rsidRDefault="00F50736" w:rsidP="001614BA">
      <w:pPr>
        <w:pStyle w:val="ListParagraph"/>
        <w:numPr>
          <w:ilvl w:val="0"/>
          <w:numId w:val="3"/>
        </w:numPr>
        <w:rPr>
          <w:rFonts w:ascii="MetaPro-Norm" w:hAnsi="MetaPro-Norm"/>
          <w:b/>
          <w:bCs/>
          <w:iCs/>
        </w:rPr>
      </w:pPr>
      <w:r w:rsidRPr="0007506E">
        <w:rPr>
          <w:rFonts w:ascii="MetaPro-Norm" w:hAnsi="MetaPro-Norm"/>
          <w:b/>
          <w:bCs/>
          <w:iCs/>
        </w:rPr>
        <w:t>Protection of Education During Armed Conflict (CEDAW article 10)</w:t>
      </w:r>
    </w:p>
    <w:p w14:paraId="0549F0B2" w14:textId="59AEA6D3" w:rsidR="001614BA" w:rsidRDefault="00FB1EC8" w:rsidP="001614BA">
      <w:pPr>
        <w:rPr>
          <w:rFonts w:ascii="MetaPro-Norm" w:hAnsi="MetaPro-Norm"/>
          <w:color w:val="000000" w:themeColor="text1"/>
          <w:sz w:val="24"/>
          <w:szCs w:val="24"/>
          <w:lang w:val="en-US"/>
        </w:rPr>
      </w:pPr>
      <w:r>
        <w:rPr>
          <w:rFonts w:ascii="MetaPro-Norm" w:hAnsi="MetaPro-Norm"/>
          <w:color w:val="000000" w:themeColor="text1"/>
          <w:sz w:val="24"/>
          <w:szCs w:val="24"/>
          <w:lang w:val="en-US"/>
        </w:rPr>
        <w:t xml:space="preserve">Between 2005 and </w:t>
      </w:r>
      <w:r w:rsidR="001614BA" w:rsidRPr="001614BA">
        <w:rPr>
          <w:rFonts w:ascii="MetaPro-Norm" w:hAnsi="MetaPro-Norm"/>
          <w:color w:val="000000" w:themeColor="text1"/>
          <w:sz w:val="24"/>
          <w:szCs w:val="24"/>
          <w:lang w:val="en-US"/>
        </w:rPr>
        <w:t>March 2019, Cambodia has sent 5,783 troops, including 277 women, to assist in U</w:t>
      </w:r>
      <w:r w:rsidR="00A921BD">
        <w:rPr>
          <w:rFonts w:ascii="MetaPro-Norm" w:hAnsi="MetaPro-Norm"/>
          <w:color w:val="000000" w:themeColor="text1"/>
          <w:sz w:val="24"/>
          <w:szCs w:val="24"/>
          <w:lang w:val="en-US"/>
        </w:rPr>
        <w:t xml:space="preserve">nited </w:t>
      </w:r>
      <w:r w:rsidR="001614BA" w:rsidRPr="001614BA">
        <w:rPr>
          <w:rFonts w:ascii="MetaPro-Norm" w:hAnsi="MetaPro-Norm"/>
          <w:color w:val="000000" w:themeColor="text1"/>
          <w:sz w:val="24"/>
          <w:szCs w:val="24"/>
          <w:lang w:val="en-US"/>
        </w:rPr>
        <w:t>N</w:t>
      </w:r>
      <w:r w:rsidR="00A921BD">
        <w:rPr>
          <w:rFonts w:ascii="MetaPro-Norm" w:hAnsi="MetaPro-Norm"/>
          <w:color w:val="000000" w:themeColor="text1"/>
          <w:sz w:val="24"/>
          <w:szCs w:val="24"/>
          <w:lang w:val="en-US"/>
        </w:rPr>
        <w:t>ations</w:t>
      </w:r>
      <w:r w:rsidR="001614BA" w:rsidRPr="001614BA">
        <w:rPr>
          <w:rFonts w:ascii="MetaPro-Norm" w:hAnsi="MetaPro-Norm"/>
          <w:color w:val="000000" w:themeColor="text1"/>
          <w:sz w:val="24"/>
          <w:szCs w:val="24"/>
          <w:lang w:val="en-US"/>
        </w:rPr>
        <w:t xml:space="preserve"> peacekeeping missions and thus is the third largest contributor of UN peacekeeping forces in the ASEAN region.</w:t>
      </w:r>
      <w:r w:rsidR="001614BA" w:rsidRPr="001614BA">
        <w:rPr>
          <w:rFonts w:ascii="MetaPro-Norm" w:hAnsi="MetaPro-Norm"/>
          <w:color w:val="000000" w:themeColor="text1"/>
          <w:sz w:val="24"/>
          <w:szCs w:val="24"/>
          <w:vertAlign w:val="superscript"/>
          <w:lang w:val="en-US"/>
        </w:rPr>
        <w:footnoteReference w:id="1"/>
      </w:r>
      <w:r w:rsidR="001614BA" w:rsidRPr="001614BA">
        <w:rPr>
          <w:rFonts w:ascii="MetaPro-Norm" w:hAnsi="MetaPro-Norm"/>
          <w:color w:val="000000" w:themeColor="text1"/>
          <w:sz w:val="24"/>
          <w:szCs w:val="24"/>
          <w:lang w:val="en-US"/>
        </w:rPr>
        <w:t xml:space="preserve"> </w:t>
      </w:r>
    </w:p>
    <w:p w14:paraId="58DE8FE1" w14:textId="77777777" w:rsidR="004E4B36" w:rsidRDefault="001614BA" w:rsidP="001614BA">
      <w:pPr>
        <w:rPr>
          <w:rFonts w:ascii="MetaPro-Norm" w:hAnsi="MetaPro-Norm"/>
          <w:color w:val="000000" w:themeColor="text1"/>
          <w:sz w:val="24"/>
          <w:szCs w:val="24"/>
          <w:lang w:val="en-US"/>
        </w:rPr>
      </w:pPr>
      <w:r w:rsidRPr="001614BA">
        <w:rPr>
          <w:rFonts w:ascii="MetaPro-Norm" w:hAnsi="MetaPro-Norm"/>
          <w:color w:val="000000" w:themeColor="text1"/>
          <w:sz w:val="24"/>
          <w:szCs w:val="24"/>
          <w:lang w:val="en-US"/>
        </w:rPr>
        <w:t>As of July 2019, Cambodia is contributing 744 troops and 18 staff officers to UN peacekeeping forces</w:t>
      </w:r>
      <w:r>
        <w:rPr>
          <w:rFonts w:ascii="MetaPro-Norm" w:hAnsi="MetaPro-Norm"/>
          <w:color w:val="000000" w:themeColor="text1"/>
          <w:sz w:val="24"/>
          <w:szCs w:val="24"/>
          <w:lang w:val="en-US"/>
        </w:rPr>
        <w:t>.</w:t>
      </w:r>
      <w:r w:rsidRPr="001614BA">
        <w:rPr>
          <w:rFonts w:ascii="MetaPro-Norm" w:hAnsi="MetaPro-Norm"/>
          <w:color w:val="000000" w:themeColor="text1"/>
          <w:sz w:val="24"/>
          <w:szCs w:val="24"/>
          <w:lang w:val="en-US"/>
        </w:rPr>
        <w:t xml:space="preserve"> Cambodia’s peacekeeping troops are deployed in the Central African Republic, South Sudan, Lebanon, and Mali</w:t>
      </w:r>
      <w:r w:rsidR="00FB1EC8">
        <w:rPr>
          <w:rFonts w:ascii="MetaPro-Norm" w:hAnsi="MetaPro-Norm"/>
          <w:color w:val="000000" w:themeColor="text1"/>
          <w:sz w:val="24"/>
          <w:szCs w:val="24"/>
          <w:lang w:val="en-US"/>
        </w:rPr>
        <w:t xml:space="preserve">, </w:t>
      </w:r>
      <w:r w:rsidRPr="001614BA">
        <w:rPr>
          <w:rFonts w:ascii="MetaPro-Norm" w:hAnsi="MetaPro-Norm"/>
          <w:color w:val="000000" w:themeColor="text1"/>
          <w:sz w:val="24"/>
          <w:szCs w:val="24"/>
          <w:lang w:val="en-US"/>
        </w:rPr>
        <w:t xml:space="preserve">all countries where attacks on students and schools, </w:t>
      </w:r>
      <w:r w:rsidR="00FB1EC8">
        <w:rPr>
          <w:rFonts w:ascii="MetaPro-Norm" w:hAnsi="MetaPro-Norm"/>
          <w:color w:val="000000" w:themeColor="text1"/>
          <w:sz w:val="24"/>
          <w:szCs w:val="24"/>
          <w:lang w:val="en-US"/>
        </w:rPr>
        <w:t xml:space="preserve">or </w:t>
      </w:r>
      <w:r w:rsidRPr="001614BA">
        <w:rPr>
          <w:rFonts w:ascii="MetaPro-Norm" w:hAnsi="MetaPro-Norm"/>
          <w:color w:val="000000" w:themeColor="text1"/>
          <w:sz w:val="24"/>
          <w:szCs w:val="24"/>
          <w:lang w:val="en-US"/>
        </w:rPr>
        <w:t>the military use of schools</w:t>
      </w:r>
      <w:r w:rsidR="00D405FB">
        <w:rPr>
          <w:rFonts w:ascii="MetaPro-Norm" w:hAnsi="MetaPro-Norm"/>
          <w:color w:val="000000" w:themeColor="text1"/>
          <w:sz w:val="24"/>
          <w:szCs w:val="24"/>
          <w:lang w:val="en-US"/>
        </w:rPr>
        <w:t>,</w:t>
      </w:r>
      <w:r w:rsidRPr="001614BA">
        <w:rPr>
          <w:rFonts w:ascii="MetaPro-Norm" w:hAnsi="MetaPro-Norm"/>
          <w:color w:val="000000" w:themeColor="text1"/>
          <w:sz w:val="24"/>
          <w:szCs w:val="24"/>
          <w:lang w:val="en-US"/>
        </w:rPr>
        <w:t xml:space="preserve"> have been documented.</w:t>
      </w:r>
      <w:r w:rsidRPr="001614BA">
        <w:rPr>
          <w:rFonts w:ascii="MetaPro-Norm" w:hAnsi="MetaPro-Norm"/>
          <w:color w:val="000000" w:themeColor="text1"/>
          <w:sz w:val="24"/>
          <w:szCs w:val="24"/>
          <w:vertAlign w:val="superscript"/>
          <w:lang w:val="en-US"/>
        </w:rPr>
        <w:footnoteReference w:id="2"/>
      </w:r>
      <w:r w:rsidRPr="001614BA">
        <w:rPr>
          <w:rFonts w:ascii="MetaPro-Norm" w:hAnsi="MetaPro-Norm"/>
          <w:color w:val="000000" w:themeColor="text1"/>
          <w:sz w:val="24"/>
          <w:szCs w:val="24"/>
          <w:lang w:val="en-US"/>
        </w:rPr>
        <w:t xml:space="preserve"> </w:t>
      </w:r>
    </w:p>
    <w:p w14:paraId="30491331" w14:textId="358560C7" w:rsidR="00FB1EC8" w:rsidRDefault="001614BA" w:rsidP="001614BA">
      <w:pPr>
        <w:rPr>
          <w:rFonts w:ascii="MetaPro-Norm" w:hAnsi="MetaPro-Norm"/>
          <w:color w:val="000000" w:themeColor="text1"/>
          <w:sz w:val="24"/>
          <w:szCs w:val="24"/>
          <w:lang w:val="en-US"/>
        </w:rPr>
      </w:pPr>
      <w:r w:rsidRPr="001614BA">
        <w:rPr>
          <w:rFonts w:ascii="MetaPro-Norm" w:hAnsi="MetaPro-Norm"/>
          <w:color w:val="000000" w:themeColor="text1"/>
          <w:sz w:val="24"/>
          <w:szCs w:val="24"/>
          <w:lang w:val="en-US"/>
        </w:rPr>
        <w:t>Peacekeeping troops are required to comply with the UN Department of Peacekeeping Operations “UN Infantry Battalion Manual” (2012), which includes the provision that “schools shall not be used by the military in their operations.”</w:t>
      </w:r>
      <w:r w:rsidRPr="001614BA">
        <w:rPr>
          <w:rFonts w:ascii="MetaPro-Norm" w:hAnsi="MetaPro-Norm"/>
          <w:color w:val="000000" w:themeColor="text1"/>
          <w:sz w:val="24"/>
          <w:szCs w:val="24"/>
          <w:vertAlign w:val="superscript"/>
          <w:lang w:val="en-US"/>
        </w:rPr>
        <w:footnoteReference w:id="3"/>
      </w:r>
      <w:r w:rsidR="00FB1EC8">
        <w:rPr>
          <w:rFonts w:ascii="MetaPro-Norm" w:hAnsi="MetaPro-Norm"/>
          <w:color w:val="000000" w:themeColor="text1"/>
          <w:sz w:val="24"/>
          <w:szCs w:val="24"/>
          <w:lang w:val="en-US"/>
        </w:rPr>
        <w:t xml:space="preserve"> </w:t>
      </w:r>
    </w:p>
    <w:p w14:paraId="766B673B" w14:textId="77777777" w:rsidR="00FB1EC8" w:rsidRPr="001614BA" w:rsidRDefault="00FB1EC8" w:rsidP="00FB1EC8">
      <w:pPr>
        <w:rPr>
          <w:rFonts w:ascii="MetaPro-Norm" w:hAnsi="MetaPro-Norm"/>
          <w:color w:val="000000" w:themeColor="text1"/>
          <w:sz w:val="24"/>
          <w:szCs w:val="24"/>
          <w:lang w:val="en-US"/>
        </w:rPr>
      </w:pPr>
      <w:r w:rsidRPr="001614BA">
        <w:rPr>
          <w:rFonts w:ascii="MetaPro-Norm" w:hAnsi="MetaPro-Norm"/>
          <w:color w:val="000000" w:themeColor="text1"/>
          <w:sz w:val="24"/>
          <w:szCs w:val="24"/>
          <w:lang w:val="en-US"/>
        </w:rPr>
        <w:t xml:space="preserve">Moreover, the 2017 Child Protection Policy of the UN Department of Peacekeeping Operations, Department of Field Support, and Department of Political Affairs notes: </w:t>
      </w:r>
    </w:p>
    <w:p w14:paraId="116434DA" w14:textId="6D427F8E" w:rsidR="00FB1EC8" w:rsidRDefault="00FB1EC8" w:rsidP="00FB1EC8">
      <w:pPr>
        <w:ind w:left="720" w:right="1106"/>
        <w:rPr>
          <w:rFonts w:ascii="MetaPro-Norm" w:hAnsi="MetaPro-Norm"/>
          <w:color w:val="000000" w:themeColor="text1"/>
          <w:sz w:val="24"/>
          <w:szCs w:val="24"/>
          <w:lang w:val="en-US"/>
        </w:rPr>
      </w:pPr>
      <w:r w:rsidRPr="001614BA">
        <w:rPr>
          <w:rFonts w:ascii="MetaPro-Norm" w:hAnsi="MetaPro-Norm"/>
          <w:color w:val="000000" w:themeColor="text1"/>
          <w:sz w:val="24"/>
          <w:szCs w:val="24"/>
          <w:lang w:val="en-US"/>
        </w:rPr>
        <w:t xml:space="preserve">United Nations peace operations should refrain from all actions that impede children's access to education, including the use of school </w:t>
      </w:r>
      <w:r w:rsidRPr="001614BA">
        <w:rPr>
          <w:rFonts w:ascii="MetaPro-Norm" w:hAnsi="MetaPro-Norm"/>
          <w:color w:val="000000" w:themeColor="text1"/>
          <w:sz w:val="24"/>
          <w:szCs w:val="24"/>
          <w:lang w:val="en-US"/>
        </w:rPr>
        <w:lastRenderedPageBreak/>
        <w:t>premises. This applies particularly to uniformed personnel. Furthermore … United Nations peace operations personnel shall at no time and for no amount of time use schools for military purposes.</w:t>
      </w:r>
      <w:r w:rsidRPr="001614BA">
        <w:rPr>
          <w:rFonts w:ascii="MetaPro-Norm" w:hAnsi="MetaPro-Norm"/>
          <w:color w:val="000000" w:themeColor="text1"/>
          <w:sz w:val="24"/>
          <w:szCs w:val="24"/>
          <w:vertAlign w:val="superscript"/>
          <w:lang w:val="en-US"/>
        </w:rPr>
        <w:footnoteReference w:id="4"/>
      </w:r>
    </w:p>
    <w:p w14:paraId="7995B097" w14:textId="4A54837A" w:rsidR="001614BA" w:rsidRPr="001614BA" w:rsidRDefault="00FB1EC8" w:rsidP="001614BA">
      <w:pPr>
        <w:rPr>
          <w:rFonts w:ascii="MetaPro-Norm" w:hAnsi="MetaPro-Norm"/>
          <w:color w:val="000000" w:themeColor="text1"/>
          <w:sz w:val="24"/>
          <w:szCs w:val="24"/>
          <w:lang w:val="en-US"/>
        </w:rPr>
      </w:pPr>
      <w:r w:rsidRPr="001614BA">
        <w:rPr>
          <w:rFonts w:ascii="MetaPro-Norm" w:hAnsi="MetaPro-Norm"/>
          <w:color w:val="000000" w:themeColor="text1"/>
          <w:sz w:val="24"/>
          <w:szCs w:val="24"/>
          <w:lang w:val="en-US"/>
        </w:rPr>
        <w:t>According to Cambodia’s “2006 Defense White Paper,” Cambodia’s rationale for providing UN peacekeepers</w:t>
      </w:r>
      <w:r>
        <w:rPr>
          <w:rFonts w:ascii="MetaPro-Norm" w:hAnsi="MetaPro-Norm"/>
          <w:color w:val="000000" w:themeColor="text1"/>
          <w:sz w:val="24"/>
          <w:szCs w:val="24"/>
          <w:lang w:val="en-US"/>
        </w:rPr>
        <w:t>—</w:t>
      </w:r>
      <w:r w:rsidRPr="001614BA">
        <w:rPr>
          <w:rFonts w:ascii="MetaPro-Norm" w:hAnsi="MetaPro-Norm"/>
          <w:color w:val="000000" w:themeColor="text1"/>
          <w:sz w:val="24"/>
          <w:szCs w:val="24"/>
          <w:lang w:val="en-US"/>
        </w:rPr>
        <w:t>to build “prestige in the international arena” for the Royal Cambodian Armed Forces</w:t>
      </w:r>
      <w:r>
        <w:rPr>
          <w:rFonts w:ascii="MetaPro-Norm" w:hAnsi="MetaPro-Norm"/>
          <w:color w:val="000000" w:themeColor="text1"/>
          <w:sz w:val="24"/>
          <w:szCs w:val="24"/>
          <w:lang w:val="en-US"/>
        </w:rPr>
        <w:t>—</w:t>
      </w:r>
      <w:r w:rsidRPr="001614BA">
        <w:rPr>
          <w:rFonts w:ascii="MetaPro-Norm" w:hAnsi="MetaPro-Norm"/>
          <w:color w:val="000000" w:themeColor="text1"/>
          <w:sz w:val="24"/>
          <w:szCs w:val="24"/>
          <w:lang w:val="en-US"/>
        </w:rPr>
        <w:t>should be reflected in its commitment to promote and protect international human rights law and international humanitarian law.</w:t>
      </w:r>
      <w:r w:rsidRPr="001614BA">
        <w:rPr>
          <w:rFonts w:ascii="MetaPro-Norm" w:hAnsi="MetaPro-Norm"/>
          <w:color w:val="000000" w:themeColor="text1"/>
          <w:sz w:val="24"/>
          <w:szCs w:val="24"/>
          <w:vertAlign w:val="superscript"/>
          <w:lang w:val="en-US"/>
        </w:rPr>
        <w:footnoteReference w:id="5"/>
      </w:r>
      <w:r>
        <w:rPr>
          <w:rFonts w:ascii="MetaPro-Norm" w:hAnsi="MetaPro-Norm"/>
          <w:color w:val="000000" w:themeColor="text1"/>
          <w:sz w:val="24"/>
          <w:szCs w:val="24"/>
          <w:lang w:val="en-US"/>
        </w:rPr>
        <w:t xml:space="preserve"> </w:t>
      </w:r>
      <w:r w:rsidR="001614BA" w:rsidRPr="001614BA">
        <w:rPr>
          <w:rFonts w:ascii="MetaPro-Norm" w:hAnsi="MetaPro-Norm"/>
          <w:color w:val="000000" w:themeColor="text1"/>
          <w:sz w:val="24"/>
          <w:szCs w:val="24"/>
          <w:lang w:val="en-US"/>
        </w:rPr>
        <w:t>The Safe Schools Declaration is an inter-governmental political commitment that provides countries the opportunity to express political support for the protection of students, teachers, and schools during times of armed conflict</w:t>
      </w:r>
      <w:r w:rsidR="001614BA" w:rsidRPr="001614BA">
        <w:rPr>
          <w:rFonts w:ascii="MetaPro-Norm" w:hAnsi="MetaPro-Norm"/>
          <w:color w:val="000000" w:themeColor="text1"/>
          <w:sz w:val="24"/>
          <w:szCs w:val="24"/>
          <w:vertAlign w:val="superscript"/>
          <w:lang w:val="en-US"/>
        </w:rPr>
        <w:footnoteReference w:id="6"/>
      </w:r>
      <w:r w:rsidR="001614BA" w:rsidRPr="001614BA">
        <w:rPr>
          <w:rFonts w:ascii="MetaPro-Norm" w:hAnsi="MetaPro-Norm"/>
          <w:color w:val="000000" w:themeColor="text1"/>
          <w:sz w:val="24"/>
          <w:szCs w:val="24"/>
          <w:lang w:val="en-US"/>
        </w:rPr>
        <w:t xml:space="preserve">; the importance of the continuation of education during armed conflict; and the implementation of the </w:t>
      </w:r>
      <w:r w:rsidR="001614BA" w:rsidRPr="001614BA">
        <w:rPr>
          <w:rFonts w:ascii="MetaPro-Norm" w:hAnsi="MetaPro-Norm"/>
          <w:i/>
          <w:color w:val="000000" w:themeColor="text1"/>
          <w:sz w:val="24"/>
          <w:szCs w:val="24"/>
          <w:lang w:val="en-US"/>
        </w:rPr>
        <w:t>Guidelines for Protecting Schools and Universities from Military Use during Armed Conflict.</w:t>
      </w:r>
      <w:r w:rsidR="001614BA" w:rsidRPr="001614BA">
        <w:rPr>
          <w:rFonts w:ascii="MetaPro-Norm" w:hAnsi="MetaPro-Norm"/>
          <w:sz w:val="24"/>
          <w:szCs w:val="24"/>
          <w:vertAlign w:val="superscript"/>
          <w:lang w:val="en-US"/>
        </w:rPr>
        <w:footnoteReference w:id="7"/>
      </w:r>
      <w:r w:rsidR="001614BA" w:rsidRPr="001614BA">
        <w:rPr>
          <w:rFonts w:ascii="MetaPro-Norm" w:hAnsi="MetaPro-Norm"/>
          <w:color w:val="000000" w:themeColor="text1"/>
          <w:sz w:val="24"/>
          <w:szCs w:val="24"/>
          <w:lang w:val="en-US"/>
        </w:rPr>
        <w:t xml:space="preserve"> As of </w:t>
      </w:r>
      <w:r w:rsidR="00B86E10">
        <w:rPr>
          <w:rFonts w:ascii="MetaPro-Norm" w:hAnsi="MetaPro-Norm"/>
          <w:color w:val="000000" w:themeColor="text1"/>
          <w:sz w:val="24"/>
          <w:szCs w:val="24"/>
          <w:lang w:val="en-US"/>
        </w:rPr>
        <w:t>August</w:t>
      </w:r>
      <w:r w:rsidR="001614BA" w:rsidRPr="001614BA">
        <w:rPr>
          <w:rFonts w:ascii="MetaPro-Norm" w:hAnsi="MetaPro-Norm"/>
          <w:color w:val="000000" w:themeColor="text1"/>
          <w:sz w:val="24"/>
          <w:szCs w:val="24"/>
          <w:lang w:val="en-US"/>
        </w:rPr>
        <w:t xml:space="preserve"> 2019, 9</w:t>
      </w:r>
      <w:r w:rsidR="00B86E10">
        <w:rPr>
          <w:rFonts w:ascii="MetaPro-Norm" w:hAnsi="MetaPro-Norm"/>
          <w:color w:val="000000" w:themeColor="text1"/>
          <w:sz w:val="24"/>
          <w:szCs w:val="24"/>
          <w:lang w:val="en-US"/>
        </w:rPr>
        <w:t>5</w:t>
      </w:r>
      <w:r w:rsidR="001614BA" w:rsidRPr="001614BA">
        <w:rPr>
          <w:rFonts w:ascii="MetaPro-Norm" w:hAnsi="MetaPro-Norm"/>
          <w:color w:val="000000" w:themeColor="text1"/>
          <w:sz w:val="24"/>
          <w:szCs w:val="24"/>
          <w:lang w:val="en-US"/>
        </w:rPr>
        <w:t xml:space="preserve"> countries have endorsed the Safe Schools Declaration.</w:t>
      </w:r>
      <w:r w:rsidR="001614BA" w:rsidRPr="001614BA">
        <w:rPr>
          <w:rFonts w:ascii="MetaPro-Norm" w:hAnsi="MetaPro-Norm"/>
          <w:color w:val="000000" w:themeColor="text1"/>
          <w:sz w:val="24"/>
          <w:szCs w:val="24"/>
          <w:vertAlign w:val="superscript"/>
          <w:lang w:val="en-US"/>
        </w:rPr>
        <w:footnoteReference w:id="8"/>
      </w:r>
      <w:r w:rsidR="001614BA" w:rsidRPr="001614BA">
        <w:rPr>
          <w:rFonts w:ascii="MetaPro-Norm" w:hAnsi="MetaPro-Norm"/>
          <w:color w:val="000000" w:themeColor="text1"/>
          <w:sz w:val="24"/>
          <w:szCs w:val="24"/>
          <w:lang w:val="en-US"/>
        </w:rPr>
        <w:t xml:space="preserve">  </w:t>
      </w:r>
    </w:p>
    <w:p w14:paraId="175DF7EC" w14:textId="33EB5063" w:rsidR="001614BA" w:rsidRPr="001614BA" w:rsidRDefault="00CA295B" w:rsidP="00AA7ADB">
      <w:pPr>
        <w:ind w:right="1106"/>
        <w:rPr>
          <w:rFonts w:ascii="MetaPro-Norm" w:hAnsi="MetaPro-Norm"/>
          <w:color w:val="000000" w:themeColor="text1"/>
          <w:sz w:val="24"/>
          <w:szCs w:val="24"/>
          <w:lang w:val="en-US"/>
        </w:rPr>
      </w:pPr>
      <w:r>
        <w:rPr>
          <w:rFonts w:ascii="MetaPro-Norm" w:hAnsi="MetaPro-Norm"/>
          <w:color w:val="000000" w:themeColor="text1"/>
          <w:sz w:val="24"/>
          <w:szCs w:val="24"/>
          <w:lang w:val="en-US"/>
        </w:rPr>
        <w:t>Cambodia</w:t>
      </w:r>
      <w:r w:rsidR="001614BA" w:rsidRPr="001614BA">
        <w:rPr>
          <w:rFonts w:ascii="MetaPro-Norm" w:hAnsi="MetaPro-Norm"/>
          <w:color w:val="000000" w:themeColor="text1"/>
          <w:sz w:val="24"/>
          <w:szCs w:val="24"/>
          <w:lang w:val="en-US"/>
        </w:rPr>
        <w:t xml:space="preserve"> participated in the Third International Conference on Safe Schools in Palma de Mallorca, Spain, in May 2019</w:t>
      </w:r>
      <w:r w:rsidR="00FB1EC8">
        <w:rPr>
          <w:rFonts w:ascii="MetaPro-Norm" w:hAnsi="MetaPro-Norm"/>
          <w:color w:val="000000" w:themeColor="text1"/>
          <w:sz w:val="24"/>
          <w:szCs w:val="24"/>
          <w:lang w:val="en-US"/>
        </w:rPr>
        <w:t>, but has not endorsed the declaration</w:t>
      </w:r>
      <w:r>
        <w:rPr>
          <w:rFonts w:ascii="MetaPro-Norm" w:hAnsi="MetaPro-Norm"/>
          <w:color w:val="000000" w:themeColor="text1"/>
          <w:sz w:val="24"/>
          <w:szCs w:val="24"/>
          <w:lang w:val="en-US"/>
        </w:rPr>
        <w:t>.</w:t>
      </w:r>
    </w:p>
    <w:p w14:paraId="29214B7E" w14:textId="77777777" w:rsidR="001614BA" w:rsidRPr="001614BA" w:rsidRDefault="001614BA" w:rsidP="001614BA">
      <w:pPr>
        <w:rPr>
          <w:rFonts w:ascii="MetaPro-Norm" w:hAnsi="MetaPro-Norm"/>
          <w:i/>
          <w:sz w:val="24"/>
          <w:szCs w:val="24"/>
          <w:lang w:val="en-US"/>
        </w:rPr>
      </w:pPr>
      <w:r w:rsidRPr="001614BA">
        <w:rPr>
          <w:rFonts w:ascii="MetaPro-Norm" w:hAnsi="MetaPro-Norm"/>
          <w:i/>
          <w:sz w:val="24"/>
          <w:szCs w:val="24"/>
          <w:lang w:val="en-US"/>
        </w:rPr>
        <w:t>Human Rights Watch recommends that the Committee ask the government of Cambodia:</w:t>
      </w:r>
    </w:p>
    <w:p w14:paraId="7D59E75A" w14:textId="77777777" w:rsidR="001614BA" w:rsidRPr="001614BA" w:rsidRDefault="001614BA" w:rsidP="001614BA">
      <w:pPr>
        <w:numPr>
          <w:ilvl w:val="0"/>
          <w:numId w:val="5"/>
        </w:numPr>
        <w:contextualSpacing/>
        <w:rPr>
          <w:rFonts w:ascii="MetaPro-Norm" w:hAnsi="MetaPro-Norm"/>
          <w:i/>
          <w:sz w:val="24"/>
          <w:szCs w:val="24"/>
          <w:lang w:val="en-US"/>
        </w:rPr>
      </w:pPr>
      <w:r w:rsidRPr="001614BA">
        <w:rPr>
          <w:rFonts w:ascii="MetaPro-Norm" w:hAnsi="MetaPro-Norm"/>
          <w:sz w:val="24"/>
          <w:szCs w:val="24"/>
          <w:lang w:val="en-US"/>
        </w:rPr>
        <w:t>Are protections for schools from military use included in the pre-deployment training provided to Cambodian troops participating in peacekeeping missions?</w:t>
      </w:r>
    </w:p>
    <w:p w14:paraId="7D0D6BF1" w14:textId="5FD36C7B" w:rsidR="001614BA" w:rsidRPr="00CA295B" w:rsidRDefault="001614BA" w:rsidP="001614BA">
      <w:pPr>
        <w:numPr>
          <w:ilvl w:val="0"/>
          <w:numId w:val="5"/>
        </w:numPr>
        <w:contextualSpacing/>
        <w:rPr>
          <w:rFonts w:ascii="MetaPro-Norm" w:hAnsi="MetaPro-Norm"/>
          <w:i/>
          <w:sz w:val="24"/>
          <w:szCs w:val="24"/>
          <w:lang w:val="en-US"/>
        </w:rPr>
      </w:pPr>
      <w:r w:rsidRPr="001614BA">
        <w:rPr>
          <w:rFonts w:ascii="MetaPro-Norm" w:hAnsi="MetaPro-Norm"/>
          <w:sz w:val="24"/>
          <w:szCs w:val="24"/>
          <w:lang w:val="en-US"/>
        </w:rPr>
        <w:t xml:space="preserve">Do any Cambodian laws, policies, or trainings provide explicit protection for schools and universities from military use during armed conflict? </w:t>
      </w:r>
    </w:p>
    <w:p w14:paraId="4CF584F9" w14:textId="77777777" w:rsidR="00CA295B" w:rsidRPr="001614BA" w:rsidRDefault="00CA295B" w:rsidP="00CA295B">
      <w:pPr>
        <w:ind w:left="720"/>
        <w:contextualSpacing/>
        <w:rPr>
          <w:rFonts w:ascii="MetaPro-Norm" w:hAnsi="MetaPro-Norm"/>
          <w:i/>
          <w:sz w:val="24"/>
          <w:szCs w:val="24"/>
          <w:lang w:val="en-US"/>
        </w:rPr>
      </w:pPr>
    </w:p>
    <w:p w14:paraId="06F2ED52" w14:textId="3CB5C2A4" w:rsidR="001614BA" w:rsidRPr="001614BA" w:rsidRDefault="001614BA" w:rsidP="001614BA">
      <w:pPr>
        <w:rPr>
          <w:rFonts w:ascii="MetaPro-Norm" w:hAnsi="MetaPro-Norm"/>
          <w:i/>
          <w:color w:val="000000" w:themeColor="text1"/>
          <w:sz w:val="24"/>
          <w:szCs w:val="24"/>
          <w:lang w:val="en-US"/>
        </w:rPr>
      </w:pPr>
      <w:r w:rsidRPr="001614BA">
        <w:rPr>
          <w:rFonts w:ascii="MetaPro-Norm" w:hAnsi="MetaPro-Norm"/>
          <w:i/>
          <w:color w:val="000000" w:themeColor="text1"/>
          <w:sz w:val="24"/>
          <w:szCs w:val="24"/>
          <w:lang w:val="en-US"/>
        </w:rPr>
        <w:t>Human Rights Watch recommends t</w:t>
      </w:r>
      <w:r w:rsidR="008122D7">
        <w:rPr>
          <w:rFonts w:ascii="MetaPro-Norm" w:hAnsi="MetaPro-Norm"/>
          <w:i/>
          <w:color w:val="000000" w:themeColor="text1"/>
          <w:sz w:val="24"/>
          <w:szCs w:val="24"/>
          <w:lang w:val="en-US"/>
        </w:rPr>
        <w:t>hat</w:t>
      </w:r>
      <w:r w:rsidRPr="001614BA">
        <w:rPr>
          <w:rFonts w:ascii="MetaPro-Norm" w:hAnsi="MetaPro-Norm"/>
          <w:i/>
          <w:color w:val="000000" w:themeColor="text1"/>
          <w:sz w:val="24"/>
          <w:szCs w:val="24"/>
          <w:lang w:val="en-US"/>
        </w:rPr>
        <w:t xml:space="preserve"> the Committee </w:t>
      </w:r>
      <w:r w:rsidR="008122D7">
        <w:rPr>
          <w:rFonts w:ascii="MetaPro-Norm" w:hAnsi="MetaPro-Norm"/>
          <w:i/>
          <w:color w:val="000000" w:themeColor="text1"/>
          <w:sz w:val="24"/>
          <w:szCs w:val="24"/>
          <w:lang w:val="en-US"/>
        </w:rPr>
        <w:t>calls on</w:t>
      </w:r>
      <w:r w:rsidR="00D405FB" w:rsidRPr="004E4B36">
        <w:rPr>
          <w:rFonts w:ascii="MetaPro-Norm" w:hAnsi="MetaPro-Norm"/>
          <w:i/>
          <w:color w:val="000000" w:themeColor="text1"/>
          <w:sz w:val="24"/>
          <w:szCs w:val="24"/>
          <w:lang w:val="en-US"/>
        </w:rPr>
        <w:t xml:space="preserve"> Cambodia to</w:t>
      </w:r>
      <w:r w:rsidRPr="001614BA">
        <w:rPr>
          <w:rFonts w:ascii="MetaPro-Norm" w:hAnsi="MetaPro-Norm"/>
          <w:i/>
          <w:color w:val="000000" w:themeColor="text1"/>
          <w:sz w:val="24"/>
          <w:szCs w:val="24"/>
          <w:lang w:val="en-US"/>
        </w:rPr>
        <w:t>:</w:t>
      </w:r>
    </w:p>
    <w:p w14:paraId="5761179E" w14:textId="4E8159B4" w:rsidR="00184490" w:rsidRDefault="008122D7" w:rsidP="00536F21">
      <w:pPr>
        <w:numPr>
          <w:ilvl w:val="0"/>
          <w:numId w:val="4"/>
        </w:numPr>
        <w:contextualSpacing/>
        <w:rPr>
          <w:rFonts w:ascii="MetaPro-Norm" w:hAnsi="MetaPro-Norm"/>
          <w:color w:val="000000" w:themeColor="text1"/>
          <w:sz w:val="24"/>
          <w:szCs w:val="24"/>
          <w:lang w:val="en-US"/>
        </w:rPr>
      </w:pPr>
      <w:r>
        <w:rPr>
          <w:rFonts w:ascii="MetaPro-Norm" w:hAnsi="MetaPro-Norm"/>
          <w:color w:val="000000" w:themeColor="text1"/>
          <w:sz w:val="24"/>
          <w:szCs w:val="24"/>
          <w:lang w:val="en-US"/>
        </w:rPr>
        <w:lastRenderedPageBreak/>
        <w:t>E</w:t>
      </w:r>
      <w:r w:rsidR="001614BA" w:rsidRPr="001614BA">
        <w:rPr>
          <w:rFonts w:ascii="MetaPro-Norm" w:hAnsi="MetaPro-Norm"/>
          <w:color w:val="000000" w:themeColor="text1"/>
          <w:sz w:val="24"/>
          <w:szCs w:val="24"/>
          <w:lang w:val="en-US"/>
        </w:rPr>
        <w:t xml:space="preserve">ndorse and implement the Safe Schools Declaration to deter the military use of schools, including by bringing the </w:t>
      </w:r>
      <w:r w:rsidR="001614BA" w:rsidRPr="001614BA">
        <w:rPr>
          <w:rFonts w:ascii="MetaPro-Norm" w:hAnsi="MetaPro-Norm"/>
          <w:i/>
          <w:color w:val="000000" w:themeColor="text1"/>
          <w:sz w:val="24"/>
          <w:szCs w:val="24"/>
          <w:lang w:val="en-US"/>
        </w:rPr>
        <w:t>Guidelines for Protecting Schools and Universities from Military Use during Armed Conflict</w:t>
      </w:r>
      <w:r w:rsidR="001614BA" w:rsidRPr="001614BA">
        <w:rPr>
          <w:rFonts w:ascii="MetaPro-Norm" w:hAnsi="MetaPro-Norm"/>
          <w:color w:val="000000" w:themeColor="text1"/>
          <w:sz w:val="24"/>
          <w:szCs w:val="24"/>
          <w:lang w:val="en-US"/>
        </w:rPr>
        <w:t xml:space="preserve"> into domestic military policy and operational frameworks.</w:t>
      </w:r>
    </w:p>
    <w:p w14:paraId="5B53FD5B" w14:textId="77777777" w:rsidR="004C50DA" w:rsidRDefault="004C50DA" w:rsidP="004C50DA">
      <w:pPr>
        <w:contextualSpacing/>
        <w:rPr>
          <w:rFonts w:ascii="MetaPro-Norm" w:hAnsi="MetaPro-Norm"/>
          <w:color w:val="000000" w:themeColor="text1"/>
          <w:sz w:val="24"/>
          <w:szCs w:val="24"/>
          <w:lang w:val="en-US"/>
        </w:rPr>
      </w:pPr>
    </w:p>
    <w:p w14:paraId="0947A89B" w14:textId="235B5C66" w:rsidR="00B01D9B" w:rsidRPr="00D405FB" w:rsidRDefault="00B01D9B" w:rsidP="00B01D9B">
      <w:pPr>
        <w:pStyle w:val="ListParagraph"/>
        <w:numPr>
          <w:ilvl w:val="0"/>
          <w:numId w:val="3"/>
        </w:numPr>
        <w:rPr>
          <w:rFonts w:ascii="MetaPro-Norm" w:hAnsi="MetaPro-Norm"/>
          <w:b/>
          <w:bCs/>
          <w:iCs/>
          <w:sz w:val="24"/>
          <w:szCs w:val="24"/>
        </w:rPr>
      </w:pPr>
      <w:proofErr w:type="spellStart"/>
      <w:r w:rsidRPr="00D405FB">
        <w:rPr>
          <w:rFonts w:ascii="MetaPro-Norm" w:hAnsi="MetaPro-Norm"/>
          <w:b/>
          <w:bCs/>
          <w:iCs/>
          <w:sz w:val="24"/>
          <w:szCs w:val="24"/>
        </w:rPr>
        <w:t>Labor</w:t>
      </w:r>
      <w:proofErr w:type="spellEnd"/>
      <w:r w:rsidRPr="00D405FB">
        <w:rPr>
          <w:rFonts w:ascii="MetaPro-Norm" w:hAnsi="MetaPro-Norm"/>
          <w:b/>
          <w:bCs/>
          <w:iCs/>
          <w:sz w:val="24"/>
          <w:szCs w:val="24"/>
        </w:rPr>
        <w:t xml:space="preserve"> Rights (</w:t>
      </w:r>
      <w:r w:rsidR="00936713" w:rsidRPr="00D405FB">
        <w:rPr>
          <w:rFonts w:ascii="MetaPro-Norm" w:hAnsi="MetaPro-Norm"/>
          <w:b/>
          <w:bCs/>
          <w:iCs/>
          <w:sz w:val="24"/>
          <w:szCs w:val="24"/>
        </w:rPr>
        <w:t xml:space="preserve">CEDAW </w:t>
      </w:r>
      <w:r w:rsidRPr="00D405FB">
        <w:rPr>
          <w:rFonts w:ascii="MetaPro-Norm" w:hAnsi="MetaPro-Norm"/>
          <w:b/>
          <w:bCs/>
          <w:iCs/>
          <w:sz w:val="24"/>
          <w:szCs w:val="24"/>
        </w:rPr>
        <w:t>Article 11)</w:t>
      </w:r>
    </w:p>
    <w:p w14:paraId="643016C7" w14:textId="46592EB5" w:rsidR="00B01D9B" w:rsidRPr="00D405FB" w:rsidRDefault="00B01D9B" w:rsidP="00B01D9B">
      <w:pPr>
        <w:ind w:right="1106"/>
        <w:rPr>
          <w:rFonts w:ascii="MetaPro-Norm" w:hAnsi="MetaPro-Norm"/>
          <w:color w:val="000000" w:themeColor="text1"/>
          <w:sz w:val="24"/>
          <w:szCs w:val="24"/>
          <w:lang w:val="en-US"/>
        </w:rPr>
      </w:pPr>
      <w:r w:rsidRPr="00D405FB">
        <w:rPr>
          <w:rFonts w:ascii="MetaPro-Norm" w:hAnsi="MetaPro-Norm"/>
          <w:color w:val="000000" w:themeColor="text1"/>
          <w:sz w:val="24"/>
          <w:szCs w:val="24"/>
          <w:lang w:val="en-US"/>
        </w:rPr>
        <w:t>Cambodia does not have comprehensive law governing</w:t>
      </w:r>
      <w:r w:rsidR="00D405FB">
        <w:rPr>
          <w:rFonts w:ascii="MetaPro-Norm" w:hAnsi="MetaPro-Norm"/>
          <w:color w:val="000000" w:themeColor="text1"/>
          <w:sz w:val="24"/>
          <w:szCs w:val="24"/>
          <w:lang w:val="en-US"/>
        </w:rPr>
        <w:t xml:space="preserve"> </w:t>
      </w:r>
      <w:r w:rsidRPr="00D405FB">
        <w:rPr>
          <w:rFonts w:ascii="MetaPro-Norm" w:hAnsi="MetaPro-Norm"/>
          <w:color w:val="000000" w:themeColor="text1"/>
          <w:sz w:val="24"/>
          <w:szCs w:val="24"/>
          <w:lang w:val="en-US"/>
        </w:rPr>
        <w:t>violence and harassment</w:t>
      </w:r>
      <w:r w:rsidR="008122D7">
        <w:rPr>
          <w:rFonts w:ascii="MetaPro-Norm" w:hAnsi="MetaPro-Norm"/>
          <w:color w:val="000000" w:themeColor="text1"/>
          <w:sz w:val="24"/>
          <w:szCs w:val="24"/>
          <w:lang w:val="en-US"/>
        </w:rPr>
        <w:t>, especially sexual harassment,</w:t>
      </w:r>
      <w:r w:rsidRPr="00D405FB">
        <w:rPr>
          <w:rFonts w:ascii="MetaPro-Norm" w:hAnsi="MetaPro-Norm"/>
          <w:color w:val="000000" w:themeColor="text1"/>
          <w:sz w:val="24"/>
          <w:szCs w:val="24"/>
          <w:lang w:val="en-US"/>
        </w:rPr>
        <w:t xml:space="preserve"> at work. The Cambodian garment industry is the sector employing the greatest number of women in the country. According to a study conducted by the International </w:t>
      </w:r>
      <w:proofErr w:type="spellStart"/>
      <w:r w:rsidRPr="00D405FB">
        <w:rPr>
          <w:rFonts w:ascii="MetaPro-Norm" w:hAnsi="MetaPro-Norm"/>
          <w:color w:val="000000" w:themeColor="text1"/>
          <w:sz w:val="24"/>
          <w:szCs w:val="24"/>
          <w:lang w:val="en-US"/>
        </w:rPr>
        <w:t>Labour</w:t>
      </w:r>
      <w:proofErr w:type="spellEnd"/>
      <w:r w:rsidRPr="00D405FB">
        <w:rPr>
          <w:rFonts w:ascii="MetaPro-Norm" w:hAnsi="MetaPro-Norm"/>
          <w:color w:val="000000" w:themeColor="text1"/>
          <w:sz w:val="24"/>
          <w:szCs w:val="24"/>
          <w:lang w:val="en-US"/>
        </w:rPr>
        <w:t xml:space="preserve"> Organization</w:t>
      </w:r>
      <w:r w:rsidR="008122D7">
        <w:rPr>
          <w:rFonts w:ascii="MetaPro-Norm" w:hAnsi="MetaPro-Norm"/>
          <w:color w:val="000000" w:themeColor="text1"/>
          <w:sz w:val="24"/>
          <w:szCs w:val="24"/>
          <w:lang w:val="en-US"/>
        </w:rPr>
        <w:t xml:space="preserve"> (ILO)</w:t>
      </w:r>
      <w:r w:rsidRPr="00D405FB">
        <w:rPr>
          <w:rFonts w:ascii="MetaPro-Norm" w:hAnsi="MetaPro-Norm"/>
          <w:color w:val="000000" w:themeColor="text1"/>
          <w:sz w:val="24"/>
          <w:szCs w:val="24"/>
          <w:lang w:val="en-US"/>
        </w:rPr>
        <w:t xml:space="preserve">, one in five garment workers reported experiencing sexual harassment at work. While voluntary initiatives led by nongovernmental organizations and unions have sought to improve standards, a comprehensive law would ensure that all organizations, public and private, take preventive and responsive steps to curb violence and harassment at work. </w:t>
      </w:r>
    </w:p>
    <w:p w14:paraId="0AD29EC6" w14:textId="4DF03C80" w:rsidR="008122D7" w:rsidRPr="00D405FB" w:rsidRDefault="008122D7" w:rsidP="008122D7">
      <w:pPr>
        <w:rPr>
          <w:rFonts w:ascii="MetaPro-Norm" w:hAnsi="MetaPro-Norm"/>
          <w:i/>
          <w:sz w:val="24"/>
          <w:szCs w:val="24"/>
          <w:lang w:val="en-US"/>
        </w:rPr>
      </w:pPr>
      <w:r w:rsidRPr="001614BA">
        <w:rPr>
          <w:rFonts w:ascii="MetaPro-Norm" w:hAnsi="MetaPro-Norm"/>
          <w:i/>
          <w:color w:val="000000" w:themeColor="text1"/>
          <w:sz w:val="24"/>
          <w:szCs w:val="24"/>
          <w:lang w:val="en-US"/>
        </w:rPr>
        <w:t xml:space="preserve">Human Rights Watch recommends </w:t>
      </w:r>
      <w:r>
        <w:rPr>
          <w:rFonts w:ascii="MetaPro-Norm" w:hAnsi="MetaPro-Norm"/>
          <w:i/>
          <w:color w:val="000000" w:themeColor="text1"/>
          <w:sz w:val="24"/>
          <w:szCs w:val="24"/>
          <w:lang w:val="en-US"/>
        </w:rPr>
        <w:t>that</w:t>
      </w:r>
      <w:r w:rsidRPr="001614BA">
        <w:rPr>
          <w:rFonts w:ascii="MetaPro-Norm" w:hAnsi="MetaPro-Norm"/>
          <w:i/>
          <w:color w:val="000000" w:themeColor="text1"/>
          <w:sz w:val="24"/>
          <w:szCs w:val="24"/>
          <w:lang w:val="en-US"/>
        </w:rPr>
        <w:t xml:space="preserve"> the Committee </w:t>
      </w:r>
      <w:r>
        <w:rPr>
          <w:rFonts w:ascii="MetaPro-Norm" w:hAnsi="MetaPro-Norm"/>
          <w:i/>
          <w:color w:val="000000" w:themeColor="text1"/>
          <w:sz w:val="24"/>
          <w:szCs w:val="24"/>
          <w:lang w:val="en-US"/>
        </w:rPr>
        <w:t xml:space="preserve">calls on </w:t>
      </w:r>
      <w:r w:rsidRPr="00673469">
        <w:rPr>
          <w:rFonts w:ascii="MetaPro-Norm" w:hAnsi="MetaPro-Norm"/>
          <w:i/>
          <w:color w:val="000000" w:themeColor="text1"/>
          <w:sz w:val="24"/>
          <w:szCs w:val="24"/>
          <w:lang w:val="en-US"/>
        </w:rPr>
        <w:t>Cambodia to</w:t>
      </w:r>
      <w:r>
        <w:rPr>
          <w:rFonts w:ascii="MetaPro-Norm" w:hAnsi="MetaPro-Norm"/>
          <w:i/>
          <w:color w:val="000000" w:themeColor="text1"/>
          <w:sz w:val="24"/>
          <w:szCs w:val="24"/>
          <w:lang w:val="en-US"/>
        </w:rPr>
        <w:t>:</w:t>
      </w:r>
      <w:r w:rsidRPr="00D405FB" w:rsidDel="008122D7">
        <w:rPr>
          <w:rFonts w:ascii="MetaPro-Norm" w:hAnsi="MetaPro-Norm"/>
          <w:i/>
          <w:sz w:val="24"/>
          <w:szCs w:val="24"/>
          <w:lang w:val="en-US"/>
        </w:rPr>
        <w:t xml:space="preserve"> </w:t>
      </w:r>
    </w:p>
    <w:p w14:paraId="46BB60B6" w14:textId="144DDC36" w:rsidR="00B01D9B" w:rsidRPr="004E4B36" w:rsidRDefault="008122D7" w:rsidP="004E4B36">
      <w:pPr>
        <w:pStyle w:val="ListParagraph"/>
        <w:numPr>
          <w:ilvl w:val="0"/>
          <w:numId w:val="9"/>
        </w:numPr>
        <w:rPr>
          <w:rFonts w:ascii="MetaPro-Norm" w:hAnsi="MetaPro-Norm"/>
          <w:color w:val="000000" w:themeColor="text1"/>
          <w:sz w:val="24"/>
          <w:szCs w:val="24"/>
          <w:lang w:val="en-US"/>
        </w:rPr>
      </w:pPr>
      <w:r>
        <w:rPr>
          <w:rFonts w:ascii="MetaPro-Norm" w:hAnsi="MetaPro-Norm"/>
          <w:color w:val="000000" w:themeColor="text1"/>
          <w:sz w:val="24"/>
          <w:szCs w:val="24"/>
          <w:lang w:val="en-US"/>
        </w:rPr>
        <w:t>R</w:t>
      </w:r>
      <w:r w:rsidR="00B01D9B" w:rsidRPr="004E4B36">
        <w:rPr>
          <w:rFonts w:ascii="MetaPro-Norm" w:hAnsi="MetaPro-Norm"/>
          <w:color w:val="000000" w:themeColor="text1"/>
          <w:sz w:val="24"/>
          <w:szCs w:val="24"/>
          <w:lang w:val="en-US"/>
        </w:rPr>
        <w:t xml:space="preserve">atify and implement ILO Convention </w:t>
      </w:r>
      <w:r>
        <w:rPr>
          <w:rFonts w:ascii="MetaPro-Norm" w:hAnsi="MetaPro-Norm"/>
          <w:color w:val="000000" w:themeColor="text1"/>
          <w:sz w:val="24"/>
          <w:szCs w:val="24"/>
          <w:lang w:val="en-US"/>
        </w:rPr>
        <w:t xml:space="preserve">No. </w:t>
      </w:r>
      <w:r w:rsidR="00B01D9B" w:rsidRPr="004E4B36">
        <w:rPr>
          <w:rFonts w:ascii="MetaPro-Norm" w:hAnsi="MetaPro-Norm"/>
          <w:color w:val="000000" w:themeColor="text1"/>
          <w:sz w:val="24"/>
          <w:szCs w:val="24"/>
          <w:lang w:val="en-US"/>
        </w:rPr>
        <w:t xml:space="preserve">190 on violence and harassment at work. </w:t>
      </w:r>
    </w:p>
    <w:p w14:paraId="1D79EDC0" w14:textId="2CEE327B" w:rsidR="00B01D9B" w:rsidRPr="00D405FB" w:rsidRDefault="008122D7" w:rsidP="00B01D9B">
      <w:pPr>
        <w:numPr>
          <w:ilvl w:val="0"/>
          <w:numId w:val="4"/>
        </w:numPr>
        <w:contextualSpacing/>
        <w:rPr>
          <w:rFonts w:ascii="MetaPro-Norm" w:hAnsi="MetaPro-Norm"/>
          <w:color w:val="000000" w:themeColor="text1"/>
          <w:sz w:val="24"/>
          <w:szCs w:val="24"/>
          <w:lang w:val="en-US"/>
        </w:rPr>
      </w:pPr>
      <w:r>
        <w:rPr>
          <w:rFonts w:ascii="MetaPro-Norm" w:hAnsi="MetaPro-Norm"/>
          <w:color w:val="000000" w:themeColor="text1"/>
          <w:sz w:val="24"/>
          <w:szCs w:val="24"/>
          <w:lang w:val="en-US"/>
        </w:rPr>
        <w:t>C</w:t>
      </w:r>
      <w:r w:rsidR="00B01D9B" w:rsidRPr="00D405FB">
        <w:rPr>
          <w:rFonts w:ascii="MetaPro-Norm" w:hAnsi="MetaPro-Norm"/>
          <w:color w:val="000000" w:themeColor="text1"/>
          <w:sz w:val="24"/>
          <w:szCs w:val="24"/>
          <w:lang w:val="en-US"/>
        </w:rPr>
        <w:t xml:space="preserve">onsult with women’s rights groups, </w:t>
      </w:r>
      <w:r w:rsidR="0066377A" w:rsidRPr="00D405FB">
        <w:rPr>
          <w:rFonts w:ascii="MetaPro-Norm" w:hAnsi="MetaPro-Norm"/>
          <w:color w:val="000000" w:themeColor="text1"/>
          <w:sz w:val="24"/>
          <w:szCs w:val="24"/>
          <w:lang w:val="en-US"/>
        </w:rPr>
        <w:t xml:space="preserve">human and </w:t>
      </w:r>
      <w:r w:rsidR="00B01D9B" w:rsidRPr="00D405FB">
        <w:rPr>
          <w:rFonts w:ascii="MetaPro-Norm" w:hAnsi="MetaPro-Norm"/>
          <w:color w:val="000000" w:themeColor="text1"/>
          <w:sz w:val="24"/>
          <w:szCs w:val="24"/>
          <w:lang w:val="en-US"/>
        </w:rPr>
        <w:t xml:space="preserve">labor rights </w:t>
      </w:r>
      <w:r w:rsidR="008D1F55" w:rsidRPr="00D405FB">
        <w:rPr>
          <w:rFonts w:ascii="MetaPro-Norm" w:hAnsi="MetaPro-Norm"/>
          <w:color w:val="000000" w:themeColor="text1"/>
          <w:sz w:val="24"/>
          <w:szCs w:val="24"/>
          <w:lang w:val="en-US"/>
        </w:rPr>
        <w:t xml:space="preserve">organizations, </w:t>
      </w:r>
      <w:r w:rsidR="0066377A" w:rsidRPr="00D405FB">
        <w:rPr>
          <w:rFonts w:ascii="MetaPro-Norm" w:hAnsi="MetaPro-Norm"/>
          <w:color w:val="000000" w:themeColor="text1"/>
          <w:sz w:val="24"/>
          <w:szCs w:val="24"/>
          <w:lang w:val="en-US"/>
        </w:rPr>
        <w:t xml:space="preserve">trade unions, </w:t>
      </w:r>
      <w:r w:rsidR="00B01D9B" w:rsidRPr="00D405FB">
        <w:rPr>
          <w:rFonts w:ascii="MetaPro-Norm" w:hAnsi="MetaPro-Norm"/>
          <w:color w:val="000000" w:themeColor="text1"/>
          <w:sz w:val="24"/>
          <w:szCs w:val="24"/>
          <w:lang w:val="en-US"/>
        </w:rPr>
        <w:t xml:space="preserve">and experts to </w:t>
      </w:r>
      <w:r>
        <w:rPr>
          <w:rFonts w:ascii="MetaPro-Norm" w:hAnsi="MetaPro-Norm"/>
          <w:color w:val="000000" w:themeColor="text1"/>
          <w:sz w:val="24"/>
          <w:szCs w:val="24"/>
          <w:lang w:val="en-US"/>
        </w:rPr>
        <w:t>enact</w:t>
      </w:r>
      <w:r w:rsidR="00B01D9B" w:rsidRPr="00D405FB">
        <w:rPr>
          <w:rFonts w:ascii="MetaPro-Norm" w:hAnsi="MetaPro-Norm"/>
          <w:color w:val="000000" w:themeColor="text1"/>
          <w:sz w:val="24"/>
          <w:szCs w:val="24"/>
          <w:lang w:val="en-US"/>
        </w:rPr>
        <w:t xml:space="preserve"> and implement comprehensive legislation to prevent and respond to violence and harassment at work. </w:t>
      </w:r>
    </w:p>
    <w:p w14:paraId="049448A2" w14:textId="47B3204E" w:rsidR="00560416" w:rsidRPr="00D405FB" w:rsidRDefault="00560416" w:rsidP="00526AF9">
      <w:pPr>
        <w:pStyle w:val="ListParagraph"/>
        <w:rPr>
          <w:rFonts w:ascii="MetaPro-Norm" w:hAnsi="MetaPro-Norm"/>
          <w:b/>
          <w:bCs/>
          <w:iCs/>
          <w:sz w:val="24"/>
          <w:szCs w:val="24"/>
        </w:rPr>
      </w:pPr>
    </w:p>
    <w:p w14:paraId="11AE11C5" w14:textId="57DD071F" w:rsidR="00560416" w:rsidRPr="00D405FB" w:rsidRDefault="00560416" w:rsidP="00753221">
      <w:pPr>
        <w:pStyle w:val="ListParagraph"/>
        <w:numPr>
          <w:ilvl w:val="0"/>
          <w:numId w:val="3"/>
        </w:numPr>
        <w:rPr>
          <w:rFonts w:ascii="MetaPro-Norm" w:hAnsi="MetaPro-Norm"/>
          <w:b/>
          <w:bCs/>
          <w:iCs/>
          <w:sz w:val="24"/>
          <w:szCs w:val="24"/>
        </w:rPr>
      </w:pPr>
      <w:r w:rsidRPr="00D405FB">
        <w:rPr>
          <w:rFonts w:ascii="MetaPro-Norm" w:hAnsi="MetaPro-Norm"/>
          <w:b/>
          <w:bCs/>
          <w:iCs/>
          <w:sz w:val="24"/>
          <w:szCs w:val="24"/>
        </w:rPr>
        <w:t xml:space="preserve">Protecting </w:t>
      </w:r>
      <w:r w:rsidR="00526AF9" w:rsidRPr="00D405FB">
        <w:rPr>
          <w:rFonts w:ascii="MetaPro-Norm" w:hAnsi="MetaPro-Norm"/>
          <w:b/>
          <w:bCs/>
          <w:iCs/>
          <w:sz w:val="24"/>
          <w:szCs w:val="24"/>
        </w:rPr>
        <w:t>V</w:t>
      </w:r>
      <w:r w:rsidRPr="00D405FB">
        <w:rPr>
          <w:rFonts w:ascii="MetaPro-Norm" w:hAnsi="MetaPro-Norm"/>
          <w:b/>
          <w:bCs/>
          <w:iCs/>
          <w:sz w:val="24"/>
          <w:szCs w:val="24"/>
        </w:rPr>
        <w:t xml:space="preserve">ictims of </w:t>
      </w:r>
      <w:r w:rsidR="00526AF9" w:rsidRPr="00D405FB">
        <w:rPr>
          <w:rFonts w:ascii="MetaPro-Norm" w:hAnsi="MetaPro-Norm"/>
          <w:b/>
          <w:bCs/>
          <w:iCs/>
          <w:sz w:val="24"/>
          <w:szCs w:val="24"/>
        </w:rPr>
        <w:t>A</w:t>
      </w:r>
      <w:r w:rsidRPr="00D405FB">
        <w:rPr>
          <w:rFonts w:ascii="MetaPro-Norm" w:hAnsi="MetaPro-Norm"/>
          <w:b/>
          <w:bCs/>
          <w:iCs/>
          <w:sz w:val="24"/>
          <w:szCs w:val="24"/>
        </w:rPr>
        <w:t xml:space="preserve">cid </w:t>
      </w:r>
      <w:r w:rsidR="00526AF9" w:rsidRPr="00D405FB">
        <w:rPr>
          <w:rFonts w:ascii="MetaPro-Norm" w:hAnsi="MetaPro-Norm"/>
          <w:b/>
          <w:bCs/>
          <w:iCs/>
          <w:sz w:val="24"/>
          <w:szCs w:val="24"/>
        </w:rPr>
        <w:t>V</w:t>
      </w:r>
      <w:r w:rsidRPr="00D405FB">
        <w:rPr>
          <w:rFonts w:ascii="MetaPro-Norm" w:hAnsi="MetaPro-Norm"/>
          <w:b/>
          <w:bCs/>
          <w:iCs/>
          <w:sz w:val="24"/>
          <w:szCs w:val="24"/>
        </w:rPr>
        <w:t xml:space="preserve">iolence and </w:t>
      </w:r>
      <w:r w:rsidR="00526AF9" w:rsidRPr="00D405FB">
        <w:rPr>
          <w:rFonts w:ascii="MetaPro-Norm" w:hAnsi="MetaPro-Norm"/>
          <w:b/>
          <w:bCs/>
          <w:iCs/>
          <w:sz w:val="24"/>
          <w:szCs w:val="24"/>
        </w:rPr>
        <w:t>O</w:t>
      </w:r>
      <w:r w:rsidRPr="00D405FB">
        <w:rPr>
          <w:rFonts w:ascii="MetaPro-Norm" w:hAnsi="MetaPro-Norm"/>
          <w:b/>
          <w:bCs/>
          <w:iCs/>
          <w:sz w:val="24"/>
          <w:szCs w:val="24"/>
        </w:rPr>
        <w:t xml:space="preserve">ther </w:t>
      </w:r>
      <w:r w:rsidR="00526AF9" w:rsidRPr="00D405FB">
        <w:rPr>
          <w:rFonts w:ascii="MetaPro-Norm" w:hAnsi="MetaPro-Norm"/>
          <w:b/>
          <w:bCs/>
          <w:iCs/>
          <w:sz w:val="24"/>
          <w:szCs w:val="24"/>
        </w:rPr>
        <w:t>F</w:t>
      </w:r>
      <w:r w:rsidRPr="00D405FB">
        <w:rPr>
          <w:rFonts w:ascii="MetaPro-Norm" w:hAnsi="MetaPro-Norm"/>
          <w:b/>
          <w:bCs/>
          <w:iCs/>
          <w:sz w:val="24"/>
          <w:szCs w:val="24"/>
        </w:rPr>
        <w:t xml:space="preserve">orms of </w:t>
      </w:r>
      <w:r w:rsidR="00526AF9" w:rsidRPr="00D405FB">
        <w:rPr>
          <w:rFonts w:ascii="MetaPro-Norm" w:hAnsi="MetaPro-Norm"/>
          <w:b/>
          <w:bCs/>
          <w:iCs/>
          <w:sz w:val="24"/>
          <w:szCs w:val="24"/>
        </w:rPr>
        <w:t>G</w:t>
      </w:r>
      <w:r w:rsidRPr="00D405FB">
        <w:rPr>
          <w:rFonts w:ascii="MetaPro-Norm" w:hAnsi="MetaPro-Norm"/>
          <w:b/>
          <w:bCs/>
          <w:iCs/>
          <w:sz w:val="24"/>
          <w:szCs w:val="24"/>
        </w:rPr>
        <w:t xml:space="preserve">ender-based </w:t>
      </w:r>
      <w:r w:rsidR="00526AF9" w:rsidRPr="00D405FB">
        <w:rPr>
          <w:rFonts w:ascii="MetaPro-Norm" w:hAnsi="MetaPro-Norm"/>
          <w:b/>
          <w:bCs/>
          <w:iCs/>
          <w:sz w:val="24"/>
          <w:szCs w:val="24"/>
        </w:rPr>
        <w:t>V</w:t>
      </w:r>
      <w:r w:rsidRPr="00D405FB">
        <w:rPr>
          <w:rFonts w:ascii="MetaPro-Norm" w:hAnsi="MetaPro-Norm"/>
          <w:b/>
          <w:bCs/>
          <w:iCs/>
          <w:sz w:val="24"/>
          <w:szCs w:val="24"/>
        </w:rPr>
        <w:t>iolence</w:t>
      </w:r>
    </w:p>
    <w:p w14:paraId="5477B538" w14:textId="77777777" w:rsidR="007A2BE3" w:rsidRDefault="007A2BE3" w:rsidP="00526AF9">
      <w:pPr>
        <w:rPr>
          <w:rFonts w:ascii="MetaPro-Norm" w:hAnsi="MetaPro-Norm"/>
          <w:i/>
          <w:sz w:val="24"/>
          <w:szCs w:val="24"/>
        </w:rPr>
      </w:pPr>
      <w:r>
        <w:rPr>
          <w:rFonts w:ascii="MetaPro-Norm" w:hAnsi="MetaPro-Norm"/>
          <w:i/>
          <w:sz w:val="24"/>
          <w:szCs w:val="24"/>
        </w:rPr>
        <w:t>Acid Violence</w:t>
      </w:r>
    </w:p>
    <w:p w14:paraId="4A3C8B46" w14:textId="3785B7A7" w:rsidR="00226174" w:rsidRPr="00D405FB" w:rsidRDefault="00560416" w:rsidP="00526AF9">
      <w:pPr>
        <w:rPr>
          <w:rFonts w:ascii="MetaPro-Norm" w:hAnsi="MetaPro-Norm"/>
          <w:sz w:val="24"/>
          <w:szCs w:val="24"/>
        </w:rPr>
      </w:pPr>
      <w:r w:rsidRPr="00D405FB">
        <w:rPr>
          <w:rFonts w:ascii="MetaPro-Norm" w:hAnsi="MetaPro-Norm"/>
          <w:sz w:val="24"/>
          <w:szCs w:val="24"/>
        </w:rPr>
        <w:t xml:space="preserve">Since passing a law in 2012 specifically designed to address acid violence, Cambodia has seen a </w:t>
      </w:r>
      <w:proofErr w:type="gramStart"/>
      <w:r w:rsidR="004C50DA" w:rsidRPr="00D405FB">
        <w:rPr>
          <w:rFonts w:ascii="MetaPro-Norm" w:hAnsi="MetaPro-Norm"/>
          <w:sz w:val="24"/>
          <w:szCs w:val="24"/>
        </w:rPr>
        <w:t>drop</w:t>
      </w:r>
      <w:r w:rsidRPr="00D405FB">
        <w:rPr>
          <w:rFonts w:ascii="MetaPro-Norm" w:hAnsi="MetaPro-Norm"/>
          <w:sz w:val="24"/>
          <w:szCs w:val="24"/>
        </w:rPr>
        <w:t xml:space="preserve"> </w:t>
      </w:r>
      <w:r w:rsidR="008122D7">
        <w:rPr>
          <w:rFonts w:ascii="MetaPro-Norm" w:hAnsi="MetaPro-Norm"/>
          <w:sz w:val="24"/>
          <w:szCs w:val="24"/>
        </w:rPr>
        <w:t>in</w:t>
      </w:r>
      <w:proofErr w:type="gramEnd"/>
      <w:r w:rsidR="008122D7">
        <w:rPr>
          <w:rFonts w:ascii="MetaPro-Norm" w:hAnsi="MetaPro-Norm"/>
          <w:sz w:val="24"/>
          <w:szCs w:val="24"/>
        </w:rPr>
        <w:t xml:space="preserve"> acid</w:t>
      </w:r>
      <w:r w:rsidR="009D7DA7" w:rsidRPr="00D405FB">
        <w:rPr>
          <w:rFonts w:ascii="MetaPro-Norm" w:hAnsi="MetaPro-Norm"/>
          <w:sz w:val="24"/>
          <w:szCs w:val="24"/>
        </w:rPr>
        <w:t xml:space="preserve"> </w:t>
      </w:r>
      <w:r w:rsidRPr="00D405FB">
        <w:rPr>
          <w:rFonts w:ascii="MetaPro-Norm" w:hAnsi="MetaPro-Norm"/>
          <w:sz w:val="24"/>
          <w:szCs w:val="24"/>
        </w:rPr>
        <w:t xml:space="preserve">attacks. However, </w:t>
      </w:r>
      <w:r w:rsidR="004C50DA" w:rsidRPr="00D405FB">
        <w:rPr>
          <w:rFonts w:ascii="MetaPro-Norm" w:hAnsi="MetaPro-Norm"/>
          <w:sz w:val="24"/>
          <w:szCs w:val="24"/>
        </w:rPr>
        <w:t>due to</w:t>
      </w:r>
      <w:r w:rsidRPr="00D405FB">
        <w:rPr>
          <w:rFonts w:ascii="MetaPro-Norm" w:hAnsi="MetaPro-Norm"/>
          <w:sz w:val="24"/>
          <w:szCs w:val="24"/>
        </w:rPr>
        <w:t xml:space="preserve"> gaps in </w:t>
      </w:r>
      <w:r w:rsidR="008122D7">
        <w:rPr>
          <w:rFonts w:ascii="MetaPro-Norm" w:hAnsi="MetaPro-Norm"/>
          <w:sz w:val="24"/>
          <w:szCs w:val="24"/>
        </w:rPr>
        <w:t xml:space="preserve">the </w:t>
      </w:r>
      <w:r w:rsidRPr="00D405FB">
        <w:rPr>
          <w:rFonts w:ascii="MetaPro-Norm" w:hAnsi="MetaPro-Norm"/>
          <w:sz w:val="24"/>
          <w:szCs w:val="24"/>
        </w:rPr>
        <w:t xml:space="preserve">implementation of </w:t>
      </w:r>
      <w:r w:rsidR="006B3A6B" w:rsidRPr="00D405FB">
        <w:rPr>
          <w:rFonts w:ascii="MetaPro-Norm" w:hAnsi="MetaPro-Norm"/>
          <w:sz w:val="24"/>
          <w:szCs w:val="24"/>
        </w:rPr>
        <w:t xml:space="preserve">laws </w:t>
      </w:r>
      <w:r w:rsidRPr="00D405FB">
        <w:rPr>
          <w:rFonts w:ascii="MetaPro-Norm" w:hAnsi="MetaPro-Norm"/>
          <w:sz w:val="24"/>
          <w:szCs w:val="24"/>
        </w:rPr>
        <w:t>to prevent violent crime and to protect those most vulnerable to abuse</w:t>
      </w:r>
      <w:r w:rsidR="004C50DA" w:rsidRPr="00D405FB">
        <w:rPr>
          <w:rFonts w:ascii="MetaPro-Norm" w:hAnsi="MetaPro-Norm"/>
          <w:sz w:val="24"/>
          <w:szCs w:val="24"/>
        </w:rPr>
        <w:t xml:space="preserve">, attacks </w:t>
      </w:r>
      <w:proofErr w:type="gramStart"/>
      <w:r w:rsidR="004C50DA" w:rsidRPr="00D405FB">
        <w:rPr>
          <w:rFonts w:ascii="MetaPro-Norm" w:hAnsi="MetaPro-Norm"/>
          <w:sz w:val="24"/>
          <w:szCs w:val="24"/>
        </w:rPr>
        <w:t>still continue</w:t>
      </w:r>
      <w:proofErr w:type="gramEnd"/>
      <w:r w:rsidRPr="00D405FB">
        <w:rPr>
          <w:rFonts w:ascii="MetaPro-Norm" w:hAnsi="MetaPro-Norm"/>
          <w:sz w:val="24"/>
          <w:szCs w:val="24"/>
        </w:rPr>
        <w:t xml:space="preserve">. While there are more male victims of acid violence in Cambodia than in other countries, female victims still make up </w:t>
      </w:r>
      <w:proofErr w:type="gramStart"/>
      <w:r w:rsidRPr="00D405FB">
        <w:rPr>
          <w:rFonts w:ascii="MetaPro-Norm" w:hAnsi="MetaPro-Norm"/>
          <w:sz w:val="24"/>
          <w:szCs w:val="24"/>
        </w:rPr>
        <w:t>the majority of</w:t>
      </w:r>
      <w:proofErr w:type="gramEnd"/>
      <w:r w:rsidRPr="00D405FB">
        <w:rPr>
          <w:rFonts w:ascii="MetaPro-Norm" w:hAnsi="MetaPro-Norm"/>
          <w:sz w:val="24"/>
          <w:szCs w:val="24"/>
        </w:rPr>
        <w:t xml:space="preserve"> cases and there is a clear gendered dimension to many of the acid attacks in Cambodia. For example, many attacks are preceded by gender-based offenses against the victim, such as domestic violence, that go </w:t>
      </w:r>
      <w:r w:rsidRPr="00D405FB">
        <w:rPr>
          <w:rFonts w:ascii="MetaPro-Norm" w:hAnsi="MetaPro-Norm"/>
          <w:sz w:val="24"/>
          <w:szCs w:val="24"/>
        </w:rPr>
        <w:lastRenderedPageBreak/>
        <w:t>unaddressed. Women who are subjected to domestic violence often do not feel comfortable reporting the incident to police because they fear both that the police will not take their case seriously and that the perpetrator will retaliate against them for having reported the crime. In some cases, without intervention, such violence escalates and can include an attack with acid.</w:t>
      </w:r>
      <w:r w:rsidR="004C50DA" w:rsidRPr="00D405FB">
        <w:rPr>
          <w:rFonts w:ascii="MetaPro-Norm" w:hAnsi="MetaPro-Norm"/>
          <w:sz w:val="24"/>
          <w:szCs w:val="24"/>
        </w:rPr>
        <w:t xml:space="preserve"> I</w:t>
      </w:r>
      <w:r w:rsidRPr="00D405FB">
        <w:rPr>
          <w:rFonts w:ascii="MetaPro-Norm" w:hAnsi="MetaPro-Norm"/>
          <w:sz w:val="24"/>
          <w:szCs w:val="24"/>
        </w:rPr>
        <w:t>n 2015, the World Health Organization (WHO) found that only two in five women who experienced domestic violence in Cambodia sought assistance. When they do seek help, women often rely on informal mechanisms due to lack of resources and legal information, but also out of concerns about corruption</w:t>
      </w:r>
      <w:r w:rsidR="006B3A6B" w:rsidRPr="00D405FB">
        <w:rPr>
          <w:rFonts w:ascii="MetaPro-Norm" w:hAnsi="MetaPro-Norm"/>
          <w:sz w:val="24"/>
          <w:szCs w:val="24"/>
        </w:rPr>
        <w:t xml:space="preserve"> and </w:t>
      </w:r>
      <w:r w:rsidR="007A2BE3">
        <w:rPr>
          <w:rFonts w:ascii="MetaPro-Norm" w:hAnsi="MetaPro-Norm"/>
          <w:sz w:val="24"/>
          <w:szCs w:val="24"/>
        </w:rPr>
        <w:t>indifference</w:t>
      </w:r>
      <w:r w:rsidR="006B3A6B" w:rsidRPr="00D405FB">
        <w:rPr>
          <w:rFonts w:ascii="MetaPro-Norm" w:hAnsi="MetaPro-Norm"/>
          <w:sz w:val="24"/>
          <w:szCs w:val="24"/>
        </w:rPr>
        <w:t xml:space="preserve"> by law enforcement officials</w:t>
      </w:r>
      <w:r w:rsidRPr="00D405FB">
        <w:rPr>
          <w:rFonts w:ascii="MetaPro-Norm" w:hAnsi="MetaPro-Norm"/>
          <w:sz w:val="24"/>
          <w:szCs w:val="24"/>
        </w:rPr>
        <w:t xml:space="preserve">. </w:t>
      </w:r>
    </w:p>
    <w:p w14:paraId="6C7CB218" w14:textId="491354C7" w:rsidR="00560416" w:rsidRPr="00D405FB" w:rsidRDefault="004C50DA" w:rsidP="00526AF9">
      <w:pPr>
        <w:rPr>
          <w:rFonts w:ascii="MetaPro-Norm" w:hAnsi="MetaPro-Norm"/>
          <w:sz w:val="24"/>
          <w:szCs w:val="24"/>
        </w:rPr>
      </w:pPr>
      <w:r w:rsidRPr="00D405FB">
        <w:rPr>
          <w:rFonts w:ascii="MetaPro-Norm" w:hAnsi="MetaPro-Norm"/>
          <w:sz w:val="24"/>
          <w:szCs w:val="24"/>
        </w:rPr>
        <w:t>A</w:t>
      </w:r>
      <w:r w:rsidR="00560416" w:rsidRPr="00D405FB">
        <w:rPr>
          <w:rFonts w:ascii="MetaPro-Norm" w:hAnsi="MetaPro-Norm"/>
          <w:sz w:val="24"/>
          <w:szCs w:val="24"/>
        </w:rPr>
        <w:t xml:space="preserve">cid attack survivors </w:t>
      </w:r>
      <w:r w:rsidRPr="00D405FB">
        <w:rPr>
          <w:rFonts w:ascii="MetaPro-Norm" w:hAnsi="MetaPro-Norm"/>
          <w:sz w:val="24"/>
          <w:szCs w:val="24"/>
        </w:rPr>
        <w:t>described to Human Rights Watch</w:t>
      </w:r>
      <w:r w:rsidR="004E4B36">
        <w:rPr>
          <w:rFonts w:ascii="MetaPro-Norm" w:hAnsi="MetaPro-Norm"/>
          <w:sz w:val="24"/>
          <w:szCs w:val="24"/>
        </w:rPr>
        <w:t xml:space="preserve"> </w:t>
      </w:r>
      <w:r w:rsidRPr="00D405FB">
        <w:rPr>
          <w:rFonts w:ascii="MetaPro-Norm" w:hAnsi="MetaPro-Norm"/>
          <w:sz w:val="24"/>
          <w:szCs w:val="24"/>
        </w:rPr>
        <w:t>that they had been</w:t>
      </w:r>
      <w:r w:rsidR="00560416" w:rsidRPr="00D405FB">
        <w:rPr>
          <w:rFonts w:ascii="MetaPro-Norm" w:hAnsi="MetaPro-Norm"/>
          <w:sz w:val="24"/>
          <w:szCs w:val="24"/>
        </w:rPr>
        <w:t xml:space="preserve"> </w:t>
      </w:r>
      <w:r w:rsidRPr="00D405FB">
        <w:rPr>
          <w:rFonts w:ascii="MetaPro-Norm" w:hAnsi="MetaPro-Norm"/>
          <w:sz w:val="24"/>
          <w:szCs w:val="24"/>
        </w:rPr>
        <w:t>pressured</w:t>
      </w:r>
      <w:r w:rsidR="00560416" w:rsidRPr="00D405FB">
        <w:rPr>
          <w:rFonts w:ascii="MetaPro-Norm" w:hAnsi="MetaPro-Norm"/>
          <w:sz w:val="24"/>
          <w:szCs w:val="24"/>
        </w:rPr>
        <w:t xml:space="preserve"> by police and court officials to drop their cases or settle out of court, to pay bribes in exchange for justice</w:t>
      </w:r>
      <w:r w:rsidRPr="00D405FB">
        <w:rPr>
          <w:rFonts w:ascii="MetaPro-Norm" w:hAnsi="MetaPro-Norm"/>
          <w:sz w:val="24"/>
          <w:szCs w:val="24"/>
        </w:rPr>
        <w:t>; at times,</w:t>
      </w:r>
      <w:r w:rsidR="00226174" w:rsidRPr="00D405FB">
        <w:rPr>
          <w:rFonts w:ascii="MetaPro-Norm" w:hAnsi="MetaPro-Norm"/>
          <w:sz w:val="24"/>
          <w:szCs w:val="24"/>
        </w:rPr>
        <w:t xml:space="preserve"> </w:t>
      </w:r>
      <w:r w:rsidRPr="00D405FB">
        <w:rPr>
          <w:rFonts w:ascii="MetaPro-Norm" w:hAnsi="MetaPro-Norm"/>
          <w:sz w:val="24"/>
          <w:szCs w:val="24"/>
        </w:rPr>
        <w:t xml:space="preserve">police </w:t>
      </w:r>
      <w:r w:rsidR="00226174" w:rsidRPr="00D405FB">
        <w:rPr>
          <w:rFonts w:ascii="MetaPro-Norm" w:hAnsi="MetaPro-Norm"/>
          <w:sz w:val="24"/>
          <w:szCs w:val="24"/>
        </w:rPr>
        <w:t xml:space="preserve">officers </w:t>
      </w:r>
      <w:r w:rsidRPr="00D405FB">
        <w:rPr>
          <w:rFonts w:ascii="MetaPro-Norm" w:hAnsi="MetaPro-Norm"/>
          <w:sz w:val="24"/>
          <w:szCs w:val="24"/>
        </w:rPr>
        <w:t>w</w:t>
      </w:r>
      <w:r w:rsidR="00226174" w:rsidRPr="00D405FB">
        <w:rPr>
          <w:rFonts w:ascii="MetaPro-Norm" w:hAnsi="MetaPro-Norm"/>
          <w:sz w:val="24"/>
          <w:szCs w:val="24"/>
        </w:rPr>
        <w:t>ere</w:t>
      </w:r>
      <w:r w:rsidRPr="00D405FB">
        <w:rPr>
          <w:rFonts w:ascii="MetaPro-Norm" w:hAnsi="MetaPro-Norm"/>
          <w:sz w:val="24"/>
          <w:szCs w:val="24"/>
        </w:rPr>
        <w:t xml:space="preserve"> </w:t>
      </w:r>
      <w:r w:rsidR="00560416" w:rsidRPr="00D405FB">
        <w:rPr>
          <w:rFonts w:ascii="MetaPro-Norm" w:hAnsi="MetaPro-Norm"/>
          <w:sz w:val="24"/>
          <w:szCs w:val="24"/>
        </w:rPr>
        <w:t>reluctan</w:t>
      </w:r>
      <w:r w:rsidRPr="00D405FB">
        <w:rPr>
          <w:rFonts w:ascii="MetaPro-Norm" w:hAnsi="MetaPro-Norm"/>
          <w:sz w:val="24"/>
          <w:szCs w:val="24"/>
        </w:rPr>
        <w:t>t</w:t>
      </w:r>
      <w:r w:rsidR="00560416" w:rsidRPr="00D405FB">
        <w:rPr>
          <w:rFonts w:ascii="MetaPro-Norm" w:hAnsi="MetaPro-Norm"/>
          <w:sz w:val="24"/>
          <w:szCs w:val="24"/>
        </w:rPr>
        <w:t xml:space="preserve"> or outright refus</w:t>
      </w:r>
      <w:r w:rsidRPr="00D405FB">
        <w:rPr>
          <w:rFonts w:ascii="MetaPro-Norm" w:hAnsi="MetaPro-Norm"/>
          <w:sz w:val="24"/>
          <w:szCs w:val="24"/>
        </w:rPr>
        <w:t>ed</w:t>
      </w:r>
      <w:r w:rsidR="00560416" w:rsidRPr="00D405FB">
        <w:rPr>
          <w:rFonts w:ascii="MetaPro-Norm" w:hAnsi="MetaPro-Norm"/>
          <w:sz w:val="24"/>
          <w:szCs w:val="24"/>
        </w:rPr>
        <w:t xml:space="preserve"> to pursue their cases.</w:t>
      </w:r>
      <w:r w:rsidRPr="00D405FB">
        <w:rPr>
          <w:rFonts w:ascii="MetaPro-Norm" w:hAnsi="MetaPro-Norm"/>
          <w:sz w:val="24"/>
          <w:szCs w:val="24"/>
        </w:rPr>
        <w:t xml:space="preserve"> Victims of rights abuses face challenges accessing Cambodia’s courts, which lack independence and </w:t>
      </w:r>
      <w:r w:rsidR="006B3A6B" w:rsidRPr="00D405FB">
        <w:rPr>
          <w:rFonts w:ascii="MetaPro-Norm" w:hAnsi="MetaPro-Norm"/>
          <w:sz w:val="24"/>
          <w:szCs w:val="24"/>
        </w:rPr>
        <w:t xml:space="preserve">often </w:t>
      </w:r>
      <w:r w:rsidRPr="00D405FB">
        <w:rPr>
          <w:rFonts w:ascii="MetaPro-Norm" w:hAnsi="MetaPro-Norm"/>
          <w:sz w:val="24"/>
          <w:szCs w:val="24"/>
        </w:rPr>
        <w:t>serve the interests of the powerful.</w:t>
      </w:r>
      <w:r w:rsidR="007A2BE3" w:rsidRPr="007A2BE3">
        <w:rPr>
          <w:rStyle w:val="FootnoteReference"/>
          <w:rFonts w:ascii="MetaPro-Norm" w:hAnsi="MetaPro-Norm" w:cs="Times New Roman"/>
          <w:sz w:val="24"/>
          <w:szCs w:val="24"/>
        </w:rPr>
        <w:t xml:space="preserve"> </w:t>
      </w:r>
      <w:r w:rsidR="007A2BE3" w:rsidRPr="00D405FB">
        <w:rPr>
          <w:rStyle w:val="FootnoteReference"/>
          <w:rFonts w:ascii="MetaPro-Norm" w:hAnsi="MetaPro-Norm" w:cs="Times New Roman"/>
          <w:sz w:val="24"/>
          <w:szCs w:val="24"/>
        </w:rPr>
        <w:footnoteReference w:id="9"/>
      </w:r>
    </w:p>
    <w:p w14:paraId="7D2F4E1F" w14:textId="77777777" w:rsidR="007A2BE3" w:rsidRDefault="007A2BE3" w:rsidP="00526AF9">
      <w:pPr>
        <w:rPr>
          <w:rFonts w:ascii="MetaPro-Norm" w:hAnsi="MetaPro-Norm"/>
          <w:i/>
          <w:sz w:val="24"/>
          <w:szCs w:val="24"/>
        </w:rPr>
      </w:pPr>
      <w:r>
        <w:rPr>
          <w:rFonts w:ascii="MetaPro-Norm" w:hAnsi="MetaPro-Norm"/>
          <w:i/>
          <w:sz w:val="24"/>
          <w:szCs w:val="24"/>
        </w:rPr>
        <w:t>Domestic Violence</w:t>
      </w:r>
    </w:p>
    <w:p w14:paraId="71F3CB3C" w14:textId="5B37D945" w:rsidR="00560416" w:rsidRPr="00D405FB" w:rsidRDefault="00560416" w:rsidP="00526AF9">
      <w:pPr>
        <w:rPr>
          <w:rFonts w:ascii="MetaPro-Norm" w:hAnsi="MetaPro-Norm"/>
          <w:sz w:val="24"/>
          <w:szCs w:val="24"/>
        </w:rPr>
      </w:pPr>
      <w:r w:rsidRPr="00D405FB">
        <w:rPr>
          <w:rFonts w:ascii="MetaPro-Norm" w:hAnsi="MetaPro-Norm"/>
          <w:sz w:val="24"/>
          <w:szCs w:val="24"/>
        </w:rPr>
        <w:t>Cambodia passed a law criminalizing domestic violence in 2005, and has undertaken two National Action Plans to Prevent Violence Against Women (NAPVAW), both of which emphasize</w:t>
      </w:r>
      <w:r w:rsidR="006B3A6B" w:rsidRPr="00D405FB">
        <w:rPr>
          <w:rFonts w:ascii="MetaPro-Norm" w:hAnsi="MetaPro-Norm"/>
          <w:sz w:val="24"/>
          <w:szCs w:val="24"/>
        </w:rPr>
        <w:t>d</w:t>
      </w:r>
      <w:r w:rsidRPr="00D405FB">
        <w:rPr>
          <w:rFonts w:ascii="MetaPro-Norm" w:hAnsi="MetaPro-Norm"/>
          <w:sz w:val="24"/>
          <w:szCs w:val="24"/>
        </w:rPr>
        <w:t xml:space="preserve"> preventive measures.</w:t>
      </w:r>
      <w:r w:rsidRPr="00D405FB">
        <w:rPr>
          <w:rStyle w:val="FootnoteReference"/>
          <w:rFonts w:ascii="MetaPro-Norm" w:hAnsi="MetaPro-Norm" w:cs="Times New Roman"/>
          <w:sz w:val="24"/>
          <w:szCs w:val="24"/>
        </w:rPr>
        <w:footnoteReference w:id="10"/>
      </w:r>
      <w:r w:rsidRPr="00D405FB">
        <w:rPr>
          <w:rFonts w:ascii="MetaPro-Norm" w:hAnsi="MetaPro-Norm"/>
          <w:sz w:val="24"/>
          <w:szCs w:val="24"/>
        </w:rPr>
        <w:t xml:space="preserve"> The Domestic Violence Law itself, however, includes an ambiguous distinction between “minor” and more severe forms of domestic violence that interferes with timely prevention efforts. In cases of “minor </w:t>
      </w:r>
      <w:proofErr w:type="spellStart"/>
      <w:r w:rsidR="00480F2A" w:rsidRPr="00D405FB">
        <w:rPr>
          <w:rFonts w:ascii="MetaPro-Norm" w:hAnsi="MetaPro-Norm"/>
          <w:sz w:val="24"/>
          <w:szCs w:val="24"/>
        </w:rPr>
        <w:t>misdemeanors</w:t>
      </w:r>
      <w:proofErr w:type="spellEnd"/>
      <w:r w:rsidRPr="00D405FB">
        <w:rPr>
          <w:rFonts w:ascii="MetaPro-Norm" w:hAnsi="MetaPro-Norm"/>
          <w:sz w:val="24"/>
          <w:szCs w:val="24"/>
        </w:rPr>
        <w:t>” or “petty crimes,” the law recommends reconciliation or mediation, seemingly reserving prosecution for cases that have already resulted in serious injury.</w:t>
      </w:r>
      <w:r w:rsidRPr="00D405FB">
        <w:rPr>
          <w:rStyle w:val="FootnoteReference"/>
          <w:rFonts w:ascii="MetaPro-Norm" w:hAnsi="MetaPro-Norm" w:cs="Times New Roman"/>
          <w:sz w:val="24"/>
          <w:szCs w:val="24"/>
        </w:rPr>
        <w:footnoteReference w:id="11"/>
      </w:r>
      <w:r w:rsidRPr="00D405FB">
        <w:rPr>
          <w:rFonts w:ascii="MetaPro-Norm" w:hAnsi="MetaPro-Norm"/>
          <w:sz w:val="24"/>
          <w:szCs w:val="24"/>
        </w:rPr>
        <w:t xml:space="preserve"> </w:t>
      </w:r>
    </w:p>
    <w:p w14:paraId="1E94AB82" w14:textId="17AE26E7" w:rsidR="00560416" w:rsidRDefault="00560416" w:rsidP="00526AF9">
      <w:pPr>
        <w:rPr>
          <w:rFonts w:ascii="MetaPro-Norm" w:hAnsi="MetaPro-Norm"/>
          <w:sz w:val="24"/>
          <w:szCs w:val="24"/>
        </w:rPr>
      </w:pPr>
      <w:r w:rsidRPr="00D405FB">
        <w:rPr>
          <w:rFonts w:ascii="MetaPro-Norm" w:hAnsi="MetaPro-Norm"/>
          <w:sz w:val="24"/>
          <w:szCs w:val="24"/>
        </w:rPr>
        <w:t xml:space="preserve">In 2017, </w:t>
      </w:r>
      <w:r w:rsidR="007A2BE3">
        <w:rPr>
          <w:rFonts w:ascii="MetaPro-Norm" w:hAnsi="MetaPro-Norm"/>
          <w:sz w:val="24"/>
          <w:szCs w:val="24"/>
        </w:rPr>
        <w:t xml:space="preserve">the </w:t>
      </w:r>
      <w:r w:rsidRPr="00D405FB">
        <w:rPr>
          <w:rFonts w:ascii="MetaPro-Norm" w:hAnsi="MetaPro-Norm"/>
          <w:sz w:val="24"/>
          <w:szCs w:val="24"/>
        </w:rPr>
        <w:t xml:space="preserve">Cambodian League for the Promotion and </w:t>
      </w:r>
      <w:r w:rsidR="006B3A6B" w:rsidRPr="00D405FB">
        <w:rPr>
          <w:rFonts w:ascii="MetaPro-Norm" w:hAnsi="MetaPro-Norm"/>
          <w:sz w:val="24"/>
          <w:szCs w:val="24"/>
        </w:rPr>
        <w:t>Defence</w:t>
      </w:r>
      <w:r w:rsidRPr="00D405FB">
        <w:rPr>
          <w:rFonts w:ascii="MetaPro-Norm" w:hAnsi="MetaPro-Norm"/>
          <w:sz w:val="24"/>
          <w:szCs w:val="24"/>
        </w:rPr>
        <w:t xml:space="preserve"> of Human Rights (LICADHO)</w:t>
      </w:r>
      <w:r w:rsidR="007A2BE3">
        <w:rPr>
          <w:rFonts w:ascii="MetaPro-Norm" w:hAnsi="MetaPro-Norm"/>
          <w:sz w:val="24"/>
          <w:szCs w:val="24"/>
        </w:rPr>
        <w:t xml:space="preserve">, a domestic </w:t>
      </w:r>
      <w:r w:rsidR="007A2BE3" w:rsidRPr="00D405FB">
        <w:rPr>
          <w:rFonts w:ascii="MetaPro-Norm" w:hAnsi="MetaPro-Norm"/>
          <w:sz w:val="24"/>
          <w:szCs w:val="24"/>
        </w:rPr>
        <w:t>human rights</w:t>
      </w:r>
      <w:r w:rsidR="007A2BE3">
        <w:rPr>
          <w:rFonts w:ascii="MetaPro-Norm" w:hAnsi="MetaPro-Norm"/>
          <w:sz w:val="24"/>
          <w:szCs w:val="24"/>
        </w:rPr>
        <w:t xml:space="preserve"> group,</w:t>
      </w:r>
      <w:r w:rsidRPr="00D405FB">
        <w:rPr>
          <w:rFonts w:ascii="MetaPro-Norm" w:hAnsi="MetaPro-Norm"/>
          <w:sz w:val="24"/>
          <w:szCs w:val="24"/>
        </w:rPr>
        <w:t xml:space="preserve"> released a report based on investigations of nearly 400 domestic violence cases between 2014 and 2016. It found that more than 40 percent of cases ended with the survivor remaining with her violent partner, and only 20 percent resulted in any criminal proceedings.</w:t>
      </w:r>
      <w:r w:rsidRPr="00D405FB">
        <w:rPr>
          <w:rStyle w:val="FootnoteReference"/>
          <w:rFonts w:ascii="MetaPro-Norm" w:hAnsi="MetaPro-Norm" w:cs="Times New Roman"/>
          <w:sz w:val="24"/>
          <w:szCs w:val="24"/>
        </w:rPr>
        <w:footnoteReference w:id="12"/>
      </w:r>
      <w:r w:rsidRPr="00D405FB">
        <w:rPr>
          <w:rFonts w:ascii="MetaPro-Norm" w:hAnsi="MetaPro-Norm"/>
          <w:sz w:val="24"/>
          <w:szCs w:val="24"/>
        </w:rPr>
        <w:t xml:space="preserve"> Reflecting the law’s stated goal to </w:t>
      </w:r>
      <w:r w:rsidRPr="00D405FB">
        <w:rPr>
          <w:rFonts w:ascii="MetaPro-Norm" w:hAnsi="MetaPro-Norm"/>
          <w:sz w:val="24"/>
          <w:szCs w:val="24"/>
        </w:rPr>
        <w:lastRenderedPageBreak/>
        <w:t>“preserve the harmony within the household in line with the nation’s good custom and tradition,” LICADHO found that when a woman approached the village or commune chief or the local police for help, the most common response was to discourage her from taking legal action.</w:t>
      </w:r>
      <w:r w:rsidRPr="00D405FB">
        <w:rPr>
          <w:rStyle w:val="FootnoteReference"/>
          <w:rFonts w:ascii="MetaPro-Norm" w:hAnsi="MetaPro-Norm" w:cs="Times New Roman"/>
          <w:sz w:val="24"/>
          <w:szCs w:val="24"/>
        </w:rPr>
        <w:footnoteReference w:id="13"/>
      </w:r>
      <w:r w:rsidRPr="00D405FB">
        <w:rPr>
          <w:rFonts w:ascii="MetaPro-Norm" w:hAnsi="MetaPro-Norm"/>
          <w:sz w:val="24"/>
          <w:szCs w:val="24"/>
        </w:rPr>
        <w:t xml:space="preserve"> </w:t>
      </w:r>
    </w:p>
    <w:p w14:paraId="03AE13F3" w14:textId="04B06B5C" w:rsidR="007F039A" w:rsidRPr="00D405FB" w:rsidRDefault="007F039A" w:rsidP="00526AF9">
      <w:pPr>
        <w:rPr>
          <w:rFonts w:ascii="MetaPro-Norm" w:hAnsi="MetaPro-Norm"/>
          <w:sz w:val="24"/>
          <w:szCs w:val="24"/>
        </w:rPr>
      </w:pPr>
      <w:r>
        <w:rPr>
          <w:rFonts w:ascii="MetaPro-Norm" w:hAnsi="MetaPro-Norm"/>
          <w:sz w:val="24"/>
          <w:szCs w:val="24"/>
        </w:rPr>
        <w:t xml:space="preserve">Cambodia does not provide effective reparations to victims of gender-based violence consistent with CEDAW Committee </w:t>
      </w:r>
      <w:r w:rsidRPr="00D405FB">
        <w:rPr>
          <w:rFonts w:ascii="MetaPro-Norm" w:hAnsi="MetaPro-Norm"/>
          <w:sz w:val="24"/>
          <w:szCs w:val="24"/>
        </w:rPr>
        <w:t>General Recommendation No. 35</w:t>
      </w:r>
      <w:r>
        <w:rPr>
          <w:rFonts w:ascii="MetaPro-Norm" w:hAnsi="MetaPro-Norm"/>
          <w:sz w:val="24"/>
          <w:szCs w:val="24"/>
        </w:rPr>
        <w:t>.</w:t>
      </w:r>
      <w:r w:rsidRPr="00D405FB">
        <w:rPr>
          <w:rFonts w:ascii="MetaPro-Norm" w:hAnsi="MetaPro-Norm"/>
          <w:sz w:val="24"/>
          <w:szCs w:val="24"/>
        </w:rPr>
        <w:t xml:space="preserve"> The Committee urges governments to provide effective reparation to women victims</w:t>
      </w:r>
      <w:r>
        <w:rPr>
          <w:rFonts w:ascii="MetaPro-Norm" w:hAnsi="MetaPro-Norm"/>
          <w:sz w:val="24"/>
          <w:szCs w:val="24"/>
        </w:rPr>
        <w:t xml:space="preserve"> and </w:t>
      </w:r>
      <w:r w:rsidRPr="00D405FB">
        <w:rPr>
          <w:rFonts w:ascii="MetaPro-Norm" w:hAnsi="MetaPro-Norm"/>
          <w:sz w:val="24"/>
          <w:szCs w:val="24"/>
        </w:rPr>
        <w:t xml:space="preserve">survivors of gender-based violence, including monetary compensation and legal, social, and health services. It also recommends that </w:t>
      </w:r>
      <w:r>
        <w:rPr>
          <w:rFonts w:ascii="MetaPro-Norm" w:hAnsi="MetaPro-Norm"/>
          <w:sz w:val="24"/>
          <w:szCs w:val="24"/>
        </w:rPr>
        <w:t xml:space="preserve">governments </w:t>
      </w:r>
      <w:r w:rsidRPr="00D405FB">
        <w:rPr>
          <w:rFonts w:ascii="MetaPro-Norm" w:hAnsi="MetaPro-Norm"/>
          <w:sz w:val="24"/>
          <w:szCs w:val="24"/>
        </w:rPr>
        <w:t>“establish specific funds for reparations or include allocations in the budgets of existing funds […] for reparations to victims of gender-based violence against women.”</w:t>
      </w:r>
      <w:r w:rsidRPr="00D405FB">
        <w:rPr>
          <w:rStyle w:val="FootnoteReference"/>
          <w:rFonts w:ascii="MetaPro-Norm" w:hAnsi="MetaPro-Norm"/>
          <w:sz w:val="24"/>
          <w:szCs w:val="24"/>
        </w:rPr>
        <w:footnoteReference w:id="14"/>
      </w:r>
      <w:r w:rsidRPr="00D405FB">
        <w:rPr>
          <w:rFonts w:ascii="MetaPro-Norm" w:hAnsi="MetaPro-Norm"/>
          <w:sz w:val="24"/>
          <w:szCs w:val="24"/>
          <w:vertAlign w:val="superscript"/>
        </w:rPr>
        <w:t> </w:t>
      </w:r>
      <w:r w:rsidRPr="00D405FB">
        <w:rPr>
          <w:rFonts w:ascii="MetaPro-Norm" w:hAnsi="MetaPro-Norm"/>
          <w:sz w:val="24"/>
          <w:szCs w:val="24"/>
        </w:rPr>
        <w:t>The General Recommendation maintains that the failure to take all appropriate measures to prevent acts of gender-based violence, including the provision of reparations to victims of such violence, constitutes a human rights violation.</w:t>
      </w:r>
    </w:p>
    <w:p w14:paraId="3DF72B5A" w14:textId="77777777" w:rsidR="00753221" w:rsidRPr="00D405FB" w:rsidRDefault="00753221" w:rsidP="00526AF9">
      <w:pPr>
        <w:rPr>
          <w:sz w:val="24"/>
          <w:szCs w:val="24"/>
        </w:rPr>
      </w:pPr>
    </w:p>
    <w:p w14:paraId="17D9563A" w14:textId="262387EF" w:rsidR="00560416" w:rsidRPr="00D405FB" w:rsidRDefault="00753221" w:rsidP="00560416">
      <w:pPr>
        <w:rPr>
          <w:rFonts w:ascii="MetaPro-Norm" w:hAnsi="MetaPro-Norm"/>
          <w:i/>
          <w:sz w:val="24"/>
          <w:szCs w:val="24"/>
          <w:lang w:val="en-US"/>
        </w:rPr>
      </w:pPr>
      <w:r w:rsidRPr="00D405FB">
        <w:rPr>
          <w:rFonts w:ascii="MetaPro-Norm" w:hAnsi="MetaPro-Norm"/>
          <w:i/>
          <w:sz w:val="24"/>
          <w:szCs w:val="24"/>
          <w:lang w:val="en-US"/>
        </w:rPr>
        <w:t xml:space="preserve">Human Rights Watch recommends that the Committee </w:t>
      </w:r>
      <w:r w:rsidR="008122D7">
        <w:rPr>
          <w:rFonts w:ascii="MetaPro-Norm" w:hAnsi="MetaPro-Norm"/>
          <w:i/>
          <w:sz w:val="24"/>
          <w:szCs w:val="24"/>
          <w:lang w:val="en-US"/>
        </w:rPr>
        <w:t>urges</w:t>
      </w:r>
      <w:r w:rsidRPr="00D405FB">
        <w:rPr>
          <w:rFonts w:ascii="MetaPro-Norm" w:hAnsi="MetaPro-Norm"/>
          <w:i/>
          <w:sz w:val="24"/>
          <w:szCs w:val="24"/>
          <w:lang w:val="en-US"/>
        </w:rPr>
        <w:t xml:space="preserve"> Cambodia</w:t>
      </w:r>
      <w:r w:rsidR="00B55443">
        <w:rPr>
          <w:rFonts w:ascii="MetaPro-Norm" w:hAnsi="MetaPro-Norm"/>
          <w:i/>
          <w:sz w:val="24"/>
          <w:szCs w:val="24"/>
          <w:lang w:val="en-US"/>
        </w:rPr>
        <w:t xml:space="preserve"> to</w:t>
      </w:r>
      <w:r w:rsidRPr="00D405FB">
        <w:rPr>
          <w:rFonts w:ascii="MetaPro-Norm" w:hAnsi="MetaPro-Norm"/>
          <w:i/>
          <w:sz w:val="24"/>
          <w:szCs w:val="24"/>
          <w:lang w:val="en-US"/>
        </w:rPr>
        <w:t>:</w:t>
      </w:r>
    </w:p>
    <w:p w14:paraId="79B8E5CF" w14:textId="0024372B" w:rsidR="00560416" w:rsidRPr="00D405FB" w:rsidRDefault="00B55443" w:rsidP="00526AF9">
      <w:pPr>
        <w:pStyle w:val="ListParagraph"/>
        <w:numPr>
          <w:ilvl w:val="0"/>
          <w:numId w:val="8"/>
        </w:numPr>
        <w:rPr>
          <w:rFonts w:ascii="MetaPro-Norm" w:hAnsi="MetaPro-Norm"/>
          <w:sz w:val="24"/>
          <w:szCs w:val="24"/>
        </w:rPr>
      </w:pPr>
      <w:r>
        <w:rPr>
          <w:rFonts w:ascii="MetaPro-Norm" w:hAnsi="MetaPro-Norm"/>
          <w:sz w:val="24"/>
          <w:szCs w:val="24"/>
        </w:rPr>
        <w:t>S</w:t>
      </w:r>
      <w:r w:rsidR="00560416" w:rsidRPr="00D405FB">
        <w:rPr>
          <w:rFonts w:ascii="MetaPro-Norm" w:hAnsi="MetaPro-Norm"/>
          <w:sz w:val="24"/>
          <w:szCs w:val="24"/>
        </w:rPr>
        <w:t>et up a specific reparations program for victims of gender-based violence, including acid attacks</w:t>
      </w:r>
      <w:r w:rsidR="00753221" w:rsidRPr="00D405FB">
        <w:rPr>
          <w:rFonts w:ascii="MetaPro-Norm" w:hAnsi="MetaPro-Norm"/>
          <w:sz w:val="24"/>
          <w:szCs w:val="24"/>
        </w:rPr>
        <w:t xml:space="preserve">, in line with </w:t>
      </w:r>
      <w:r w:rsidR="007F039A" w:rsidRPr="00D405FB">
        <w:rPr>
          <w:rFonts w:ascii="MetaPro-Norm" w:hAnsi="MetaPro-Norm"/>
          <w:sz w:val="24"/>
          <w:szCs w:val="24"/>
        </w:rPr>
        <w:t>General Recommendation No. 35</w:t>
      </w:r>
      <w:r w:rsidR="007F039A">
        <w:rPr>
          <w:rFonts w:ascii="MetaPro-Norm" w:hAnsi="MetaPro-Norm"/>
          <w:sz w:val="24"/>
          <w:szCs w:val="24"/>
        </w:rPr>
        <w:t xml:space="preserve">. </w:t>
      </w:r>
      <w:r w:rsidR="00560416" w:rsidRPr="00D405FB">
        <w:rPr>
          <w:rFonts w:ascii="MetaPro-Norm" w:hAnsi="MetaPro-Norm"/>
          <w:sz w:val="24"/>
          <w:szCs w:val="24"/>
        </w:rPr>
        <w:t>The reparations program should be established in a transparent, consultative, and timely manner; draw on good practices from other countries; and provide financial compensation and legal, social, and health services support to victims</w:t>
      </w:r>
      <w:r w:rsidR="007F039A">
        <w:rPr>
          <w:rFonts w:ascii="MetaPro-Norm" w:hAnsi="MetaPro-Norm"/>
          <w:sz w:val="24"/>
          <w:szCs w:val="24"/>
        </w:rPr>
        <w:t>.</w:t>
      </w:r>
    </w:p>
    <w:p w14:paraId="6FFE0BC8" w14:textId="27208C09" w:rsidR="00560416" w:rsidRPr="00D405FB" w:rsidRDefault="007F039A" w:rsidP="00526AF9">
      <w:pPr>
        <w:pStyle w:val="ListParagraph"/>
        <w:numPr>
          <w:ilvl w:val="0"/>
          <w:numId w:val="8"/>
        </w:numPr>
        <w:rPr>
          <w:rFonts w:ascii="MetaPro-Norm" w:hAnsi="MetaPro-Norm"/>
          <w:sz w:val="24"/>
          <w:szCs w:val="24"/>
        </w:rPr>
      </w:pPr>
      <w:r>
        <w:rPr>
          <w:rFonts w:ascii="MetaPro-Norm" w:hAnsi="MetaPro-Norm"/>
          <w:sz w:val="24"/>
          <w:szCs w:val="24"/>
        </w:rPr>
        <w:t>E</w:t>
      </w:r>
      <w:r w:rsidR="00560416" w:rsidRPr="00D405FB">
        <w:rPr>
          <w:rFonts w:ascii="MetaPro-Norm" w:hAnsi="MetaPro-Norm"/>
          <w:sz w:val="24"/>
          <w:szCs w:val="24"/>
        </w:rPr>
        <w:t xml:space="preserve">nsure accessible and </w:t>
      </w:r>
      <w:proofErr w:type="gramStart"/>
      <w:r w:rsidR="00560416" w:rsidRPr="00D405FB">
        <w:rPr>
          <w:rFonts w:ascii="MetaPro-Norm" w:hAnsi="MetaPro-Norm"/>
          <w:sz w:val="24"/>
          <w:szCs w:val="24"/>
        </w:rPr>
        <w:t>sufficient</w:t>
      </w:r>
      <w:proofErr w:type="gramEnd"/>
      <w:r w:rsidR="00560416" w:rsidRPr="00D405FB">
        <w:rPr>
          <w:rFonts w:ascii="MetaPro-Norm" w:hAnsi="MetaPro-Norm"/>
          <w:sz w:val="24"/>
          <w:szCs w:val="24"/>
        </w:rPr>
        <w:t xml:space="preserve"> primary </w:t>
      </w:r>
      <w:r w:rsidR="00753221" w:rsidRPr="00D405FB">
        <w:rPr>
          <w:rFonts w:ascii="MetaPro-Norm" w:hAnsi="MetaPro-Norm"/>
          <w:sz w:val="24"/>
          <w:szCs w:val="24"/>
        </w:rPr>
        <w:t>counselling</w:t>
      </w:r>
      <w:r w:rsidR="00560416" w:rsidRPr="00D405FB">
        <w:rPr>
          <w:rFonts w:ascii="MetaPro-Norm" w:hAnsi="MetaPro-Norm"/>
          <w:sz w:val="24"/>
          <w:szCs w:val="24"/>
        </w:rPr>
        <w:t xml:space="preserve"> services for survivors of domestic violence, and</w:t>
      </w:r>
      <w:r w:rsidR="00753221" w:rsidRPr="00D405FB">
        <w:rPr>
          <w:rFonts w:ascii="MetaPro-Norm" w:hAnsi="MetaPro-Norm"/>
          <w:sz w:val="24"/>
          <w:szCs w:val="24"/>
        </w:rPr>
        <w:t xml:space="preserve"> to</w:t>
      </w:r>
      <w:r w:rsidR="00560416" w:rsidRPr="00D405FB">
        <w:rPr>
          <w:rFonts w:ascii="MetaPro-Norm" w:hAnsi="MetaPro-Norm"/>
          <w:sz w:val="24"/>
          <w:szCs w:val="24"/>
        </w:rPr>
        <w:t xml:space="preserve"> provide accessible and safe shelters in every district for survivors of domestic violence</w:t>
      </w:r>
      <w:r w:rsidR="00753221" w:rsidRPr="00D405FB">
        <w:rPr>
          <w:rFonts w:ascii="MetaPro-Norm" w:hAnsi="MetaPro-Norm"/>
          <w:sz w:val="24"/>
          <w:szCs w:val="24"/>
        </w:rPr>
        <w:t>, in line with the strategic goals of Cambodia’s National Action Plans to Prevent Violence Against Women 2009-2012 and 2014-2018</w:t>
      </w:r>
      <w:r w:rsidR="006237B3">
        <w:rPr>
          <w:rFonts w:ascii="MetaPro-Norm" w:hAnsi="MetaPro-Norm"/>
          <w:sz w:val="24"/>
          <w:szCs w:val="24"/>
        </w:rPr>
        <w:t>.</w:t>
      </w:r>
    </w:p>
    <w:p w14:paraId="0ADF33E1" w14:textId="63E6EACE" w:rsidR="00560416" w:rsidRPr="00D405FB" w:rsidRDefault="006237B3" w:rsidP="00526AF9">
      <w:pPr>
        <w:pStyle w:val="ListParagraph"/>
        <w:numPr>
          <w:ilvl w:val="0"/>
          <w:numId w:val="8"/>
        </w:numPr>
        <w:rPr>
          <w:rFonts w:ascii="MetaPro-Norm" w:hAnsi="MetaPro-Norm"/>
          <w:sz w:val="24"/>
          <w:szCs w:val="24"/>
        </w:rPr>
      </w:pPr>
      <w:r>
        <w:rPr>
          <w:rFonts w:ascii="MetaPro-Norm" w:hAnsi="MetaPro-Norm"/>
          <w:sz w:val="24"/>
          <w:szCs w:val="24"/>
        </w:rPr>
        <w:t>Enact</w:t>
      </w:r>
      <w:r w:rsidR="00560416" w:rsidRPr="00D405FB">
        <w:rPr>
          <w:rFonts w:ascii="MetaPro-Norm" w:hAnsi="MetaPro-Norm"/>
          <w:sz w:val="24"/>
          <w:szCs w:val="24"/>
        </w:rPr>
        <w:t xml:space="preserve"> the long-promised victim and witness protection laws. Protection measures should include a program for the relocation of those at</w:t>
      </w:r>
      <w:r>
        <w:rPr>
          <w:rFonts w:ascii="MetaPro-Norm" w:hAnsi="MetaPro-Norm"/>
          <w:sz w:val="24"/>
          <w:szCs w:val="24"/>
        </w:rPr>
        <w:t xml:space="preserve"> </w:t>
      </w:r>
      <w:r w:rsidR="00560416" w:rsidRPr="00D405FB">
        <w:rPr>
          <w:rFonts w:ascii="MetaPro-Norm" w:hAnsi="MetaPro-Norm"/>
          <w:sz w:val="24"/>
          <w:szCs w:val="24"/>
        </w:rPr>
        <w:t xml:space="preserve">risk, non-disclosure or limitations on the disclosure of information concerning the identity and whereabouts of witnesses, and evidentiary rules that permit witness testimony to </w:t>
      </w:r>
      <w:r w:rsidR="00560416" w:rsidRPr="00D405FB">
        <w:rPr>
          <w:rFonts w:ascii="MetaPro-Norm" w:hAnsi="MetaPro-Norm"/>
          <w:sz w:val="24"/>
          <w:szCs w:val="24"/>
        </w:rPr>
        <w:lastRenderedPageBreak/>
        <w:t>be given in a manner that protects against harassment, intimidation, or coercion of the witness, while upholding the fair trial rights of the accused.</w:t>
      </w:r>
    </w:p>
    <w:p w14:paraId="3D442C9C" w14:textId="6828FA8E" w:rsidR="00560416" w:rsidRPr="00D405FB" w:rsidRDefault="006237B3" w:rsidP="00526AF9">
      <w:pPr>
        <w:pStyle w:val="ListParagraph"/>
        <w:numPr>
          <w:ilvl w:val="0"/>
          <w:numId w:val="8"/>
        </w:numPr>
        <w:rPr>
          <w:rFonts w:ascii="MetaPro-Norm" w:hAnsi="MetaPro-Norm"/>
          <w:sz w:val="24"/>
          <w:szCs w:val="24"/>
        </w:rPr>
      </w:pPr>
      <w:r>
        <w:rPr>
          <w:rFonts w:ascii="MetaPro-Norm" w:hAnsi="MetaPro-Norm"/>
          <w:sz w:val="24"/>
          <w:szCs w:val="24"/>
        </w:rPr>
        <w:t>R</w:t>
      </w:r>
      <w:r w:rsidR="00560416" w:rsidRPr="00D405FB">
        <w:rPr>
          <w:rFonts w:ascii="MetaPro-Norm" w:hAnsi="MetaPro-Norm"/>
          <w:sz w:val="24"/>
          <w:szCs w:val="24"/>
        </w:rPr>
        <w:t>evise the Criminal Code to make it a crime to obstruct the administration of justice, including by instructing or putting pressure on police officials, judges, or prosecutors to act or not act in a particular manner</w:t>
      </w:r>
      <w:r>
        <w:rPr>
          <w:rFonts w:ascii="MetaPro-Norm" w:hAnsi="MetaPro-Norm"/>
          <w:sz w:val="24"/>
          <w:szCs w:val="24"/>
        </w:rPr>
        <w:t>.</w:t>
      </w:r>
    </w:p>
    <w:p w14:paraId="7B703FF3" w14:textId="072117B2" w:rsidR="00560416" w:rsidRPr="00D405FB" w:rsidRDefault="006237B3" w:rsidP="00526AF9">
      <w:pPr>
        <w:pStyle w:val="ListParagraph"/>
        <w:numPr>
          <w:ilvl w:val="0"/>
          <w:numId w:val="8"/>
        </w:numPr>
        <w:rPr>
          <w:rFonts w:ascii="MetaPro-Norm" w:hAnsi="MetaPro-Norm"/>
          <w:sz w:val="24"/>
          <w:szCs w:val="24"/>
        </w:rPr>
      </w:pPr>
      <w:r>
        <w:rPr>
          <w:rFonts w:ascii="MetaPro-Norm" w:hAnsi="MetaPro-Norm"/>
          <w:sz w:val="24"/>
          <w:szCs w:val="24"/>
        </w:rPr>
        <w:t>P</w:t>
      </w:r>
      <w:r w:rsidR="00560416" w:rsidRPr="00D405FB">
        <w:rPr>
          <w:rFonts w:ascii="MetaPro-Norm" w:hAnsi="MetaPro-Norm"/>
          <w:sz w:val="24"/>
          <w:szCs w:val="24"/>
        </w:rPr>
        <w:t>rohibit informal financial settlements in criminal cases, including those involving acid violence, that interfere with appropriate criminal prosecutions.</w:t>
      </w:r>
    </w:p>
    <w:p w14:paraId="1C5240F8" w14:textId="77777777" w:rsidR="00560416" w:rsidRPr="00D405FB" w:rsidRDefault="00560416" w:rsidP="00526AF9">
      <w:pPr>
        <w:rPr>
          <w:rFonts w:ascii="MetaPro-Norm" w:hAnsi="MetaPro-Norm"/>
          <w:sz w:val="24"/>
          <w:szCs w:val="24"/>
        </w:rPr>
      </w:pPr>
    </w:p>
    <w:p w14:paraId="3DEB25AE" w14:textId="77777777" w:rsidR="00560416" w:rsidRPr="00D405FB" w:rsidRDefault="00560416" w:rsidP="00526AF9">
      <w:pPr>
        <w:rPr>
          <w:rFonts w:ascii="MetaPro-Norm" w:hAnsi="MetaPro-Norm"/>
          <w:sz w:val="24"/>
          <w:szCs w:val="24"/>
        </w:rPr>
      </w:pPr>
    </w:p>
    <w:sectPr w:rsidR="00560416" w:rsidRPr="00D405FB">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F66767" w14:textId="77777777" w:rsidR="00362A93" w:rsidRDefault="00362A93" w:rsidP="00F50736">
      <w:pPr>
        <w:spacing w:after="0" w:line="240" w:lineRule="auto"/>
      </w:pPr>
      <w:r>
        <w:separator/>
      </w:r>
    </w:p>
  </w:endnote>
  <w:endnote w:type="continuationSeparator" w:id="0">
    <w:p w14:paraId="7B1932AA" w14:textId="77777777" w:rsidR="00362A93" w:rsidRDefault="00362A93" w:rsidP="00F50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taPro-Norm">
    <w:altName w:val="Calibri"/>
    <w:panose1 w:val="020B0504030101020102"/>
    <w:charset w:val="00"/>
    <w:family w:val="swiss"/>
    <w:notTrueType/>
    <w:pitch w:val="variable"/>
    <w:sig w:usb0="A00002FF" w:usb1="4000207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2397678"/>
      <w:docPartObj>
        <w:docPartGallery w:val="Page Numbers (Bottom of Page)"/>
        <w:docPartUnique/>
      </w:docPartObj>
    </w:sdtPr>
    <w:sdtEndPr>
      <w:rPr>
        <w:noProof/>
      </w:rPr>
    </w:sdtEndPr>
    <w:sdtContent>
      <w:p w14:paraId="3B49640D" w14:textId="77777777" w:rsidR="00ED1C5E" w:rsidRDefault="00E61C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9017E0" w14:textId="77777777" w:rsidR="00ED1C5E" w:rsidRDefault="00ED1C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B2E6D9" w14:textId="77777777" w:rsidR="00362A93" w:rsidRDefault="00362A93" w:rsidP="00F50736">
      <w:pPr>
        <w:spacing w:after="0" w:line="240" w:lineRule="auto"/>
      </w:pPr>
      <w:r>
        <w:separator/>
      </w:r>
    </w:p>
  </w:footnote>
  <w:footnote w:type="continuationSeparator" w:id="0">
    <w:p w14:paraId="50E245E1" w14:textId="77777777" w:rsidR="00362A93" w:rsidRDefault="00362A93" w:rsidP="00F50736">
      <w:pPr>
        <w:spacing w:after="0" w:line="240" w:lineRule="auto"/>
      </w:pPr>
      <w:r>
        <w:continuationSeparator/>
      </w:r>
    </w:p>
  </w:footnote>
  <w:footnote w:id="1">
    <w:p w14:paraId="7453D37D" w14:textId="68B963F1" w:rsidR="001614BA" w:rsidRPr="004E4B36" w:rsidRDefault="001614BA" w:rsidP="001614BA">
      <w:pPr>
        <w:pStyle w:val="FootnoteText"/>
        <w:rPr>
          <w:rFonts w:ascii="MetaPro-Norm" w:hAnsi="MetaPro-Norm"/>
          <w:sz w:val="18"/>
          <w:szCs w:val="18"/>
          <w:lang w:val="en-US"/>
        </w:rPr>
      </w:pPr>
      <w:r w:rsidRPr="004E4B36">
        <w:rPr>
          <w:rStyle w:val="FootnoteReference"/>
          <w:rFonts w:ascii="MetaPro-Norm" w:hAnsi="MetaPro-Norm"/>
          <w:sz w:val="18"/>
          <w:szCs w:val="18"/>
        </w:rPr>
        <w:footnoteRef/>
      </w:r>
      <w:r w:rsidRPr="004E4B36">
        <w:rPr>
          <w:rFonts w:ascii="MetaPro-Norm" w:hAnsi="MetaPro-Norm"/>
          <w:sz w:val="18"/>
          <w:szCs w:val="18"/>
        </w:rPr>
        <w:t xml:space="preserve"> </w:t>
      </w:r>
      <w:r w:rsidR="006237B3" w:rsidRPr="004E4B36">
        <w:rPr>
          <w:rFonts w:ascii="MetaPro-Norm" w:hAnsi="MetaPro-Norm"/>
          <w:sz w:val="18"/>
          <w:szCs w:val="18"/>
        </w:rPr>
        <w:t xml:space="preserve">FULL CITE </w:t>
      </w:r>
      <w:r w:rsidRPr="004E4B36">
        <w:rPr>
          <w:rFonts w:ascii="MetaPro-Norm" w:hAnsi="MetaPro-Norm"/>
          <w:sz w:val="18"/>
          <w:szCs w:val="18"/>
        </w:rPr>
        <w:t>https://www.phnompenhpost.com/national/government-approves-15m-un-peacekeepers</w:t>
      </w:r>
    </w:p>
  </w:footnote>
  <w:footnote w:id="2">
    <w:p w14:paraId="4EE55174" w14:textId="69A98BFD" w:rsidR="001614BA" w:rsidRPr="004E4B36" w:rsidRDefault="001614BA" w:rsidP="001614BA">
      <w:pPr>
        <w:pStyle w:val="NoSpacing"/>
        <w:rPr>
          <w:rFonts w:ascii="MetaPro-Norm" w:hAnsi="MetaPro-Norm"/>
          <w:sz w:val="18"/>
          <w:szCs w:val="18"/>
        </w:rPr>
      </w:pPr>
      <w:r w:rsidRPr="004E4B36">
        <w:rPr>
          <w:rStyle w:val="FootnoteReference"/>
          <w:rFonts w:ascii="MetaPro-Norm" w:hAnsi="MetaPro-Norm"/>
          <w:sz w:val="18"/>
          <w:szCs w:val="18"/>
        </w:rPr>
        <w:footnoteRef/>
      </w:r>
      <w:r w:rsidRPr="004E4B36">
        <w:rPr>
          <w:rFonts w:ascii="MetaPro-Norm" w:hAnsi="MetaPro-Norm"/>
          <w:sz w:val="18"/>
          <w:szCs w:val="18"/>
        </w:rPr>
        <w:t xml:space="preserve"> Education Under Attack: 2018, The Global Coalition to Protect Education from Attack, 2018, </w:t>
      </w:r>
      <w:hyperlink r:id="rId1" w:history="1">
        <w:r w:rsidR="006237B3" w:rsidRPr="004E4B36">
          <w:rPr>
            <w:rStyle w:val="Hyperlink"/>
            <w:rFonts w:ascii="MetaPro-Norm" w:hAnsi="MetaPro-Norm"/>
            <w:color w:val="auto"/>
            <w:sz w:val="18"/>
            <w:szCs w:val="18"/>
            <w:u w:val="none"/>
          </w:rPr>
          <w:t>http://www.protectingeducation.org/sites/default/files/documents/eua_2018_full.pdf</w:t>
        </w:r>
      </w:hyperlink>
      <w:r w:rsidR="006237B3" w:rsidRPr="004E4B36">
        <w:rPr>
          <w:rFonts w:ascii="MetaPro-Norm" w:hAnsi="MetaPro-Norm"/>
          <w:sz w:val="18"/>
          <w:szCs w:val="18"/>
        </w:rPr>
        <w:t xml:space="preserve">. </w:t>
      </w:r>
    </w:p>
  </w:footnote>
  <w:footnote w:id="3">
    <w:p w14:paraId="20E8E9ED" w14:textId="3790E8D8" w:rsidR="001614BA" w:rsidRPr="004E4B36" w:rsidRDefault="001614BA" w:rsidP="001614BA">
      <w:pPr>
        <w:pStyle w:val="NoSpacing"/>
        <w:rPr>
          <w:rFonts w:ascii="MetaPro-Norm" w:hAnsi="MetaPro-Norm"/>
          <w:sz w:val="18"/>
          <w:szCs w:val="18"/>
        </w:rPr>
      </w:pPr>
      <w:r w:rsidRPr="004E4B36">
        <w:rPr>
          <w:rStyle w:val="FootnoteReference"/>
          <w:rFonts w:ascii="MetaPro-Norm" w:hAnsi="MetaPro-Norm"/>
          <w:sz w:val="18"/>
          <w:szCs w:val="18"/>
        </w:rPr>
        <w:footnoteRef/>
      </w:r>
      <w:r w:rsidRPr="004E4B36">
        <w:rPr>
          <w:rFonts w:ascii="MetaPro-Norm" w:hAnsi="MetaPro-Norm"/>
          <w:sz w:val="18"/>
          <w:szCs w:val="18"/>
        </w:rPr>
        <w:t xml:space="preserve"> United Nations Infantry Battalion Manual, 2012, section 2.13, “Schools shall not be used by the military in their operations.”</w:t>
      </w:r>
    </w:p>
  </w:footnote>
  <w:footnote w:id="4">
    <w:p w14:paraId="4C4C50C2" w14:textId="77777777" w:rsidR="00FB1EC8" w:rsidRPr="004E4B36" w:rsidRDefault="00FB1EC8" w:rsidP="00FB1EC8">
      <w:pPr>
        <w:pStyle w:val="NoSpacing"/>
        <w:rPr>
          <w:rFonts w:ascii="MetaPro-Norm" w:hAnsi="MetaPro-Norm"/>
          <w:sz w:val="18"/>
          <w:szCs w:val="18"/>
        </w:rPr>
      </w:pPr>
      <w:r w:rsidRPr="004E4B36">
        <w:rPr>
          <w:rStyle w:val="FootnoteReference"/>
          <w:rFonts w:ascii="MetaPro-Norm" w:hAnsi="MetaPro-Norm"/>
          <w:sz w:val="18"/>
          <w:szCs w:val="18"/>
        </w:rPr>
        <w:footnoteRef/>
      </w:r>
      <w:r w:rsidRPr="004E4B36">
        <w:rPr>
          <w:rFonts w:ascii="MetaPro-Norm" w:hAnsi="MetaPro-Norm"/>
          <w:sz w:val="18"/>
          <w:szCs w:val="18"/>
        </w:rPr>
        <w:t xml:space="preserve"> UN Department of Peacekeeping Operations, Department of Field Support and Department of Political Affairs, “Child Protection in UN Peace Operations (Policy),” June 2017.</w:t>
      </w:r>
    </w:p>
  </w:footnote>
  <w:footnote w:id="5">
    <w:p w14:paraId="784C2051" w14:textId="1B96AFAE" w:rsidR="00FB1EC8" w:rsidRPr="004E4B36" w:rsidRDefault="00FB1EC8" w:rsidP="00FB1EC8">
      <w:pPr>
        <w:pStyle w:val="FootnoteText"/>
        <w:rPr>
          <w:rFonts w:ascii="MetaPro-Norm" w:hAnsi="MetaPro-Norm"/>
          <w:sz w:val="18"/>
          <w:szCs w:val="18"/>
          <w:lang w:val="en-US"/>
        </w:rPr>
      </w:pPr>
      <w:r w:rsidRPr="004E4B36">
        <w:rPr>
          <w:rStyle w:val="FootnoteReference"/>
          <w:rFonts w:ascii="MetaPro-Norm" w:hAnsi="MetaPro-Norm"/>
          <w:sz w:val="18"/>
          <w:szCs w:val="18"/>
        </w:rPr>
        <w:footnoteRef/>
      </w:r>
      <w:r w:rsidRPr="004E4B36">
        <w:rPr>
          <w:rFonts w:ascii="MetaPro-Norm" w:hAnsi="MetaPro-Norm"/>
          <w:sz w:val="18"/>
          <w:szCs w:val="18"/>
        </w:rPr>
        <w:t xml:space="preserve"> </w:t>
      </w:r>
      <w:r w:rsidRPr="004E4B36">
        <w:rPr>
          <w:rFonts w:ascii="MetaPro-Norm" w:hAnsi="MetaPro-Norm"/>
          <w:sz w:val="18"/>
          <w:szCs w:val="18"/>
          <w:lang w:val="en-US"/>
        </w:rPr>
        <w:t>Defense White Paper</w:t>
      </w:r>
      <w:r w:rsidR="006237B3" w:rsidRPr="004E4B36">
        <w:rPr>
          <w:rFonts w:ascii="MetaPro-Norm" w:hAnsi="MetaPro-Norm"/>
          <w:sz w:val="18"/>
          <w:szCs w:val="18"/>
          <w:lang w:val="en-US"/>
        </w:rPr>
        <w:t xml:space="preserve"> (2006)</w:t>
      </w:r>
      <w:r w:rsidRPr="004E4B36">
        <w:rPr>
          <w:rFonts w:ascii="MetaPro-Norm" w:hAnsi="MetaPro-Norm"/>
          <w:sz w:val="18"/>
          <w:szCs w:val="18"/>
          <w:lang w:val="en-US"/>
        </w:rPr>
        <w:t xml:space="preserve">, </w:t>
      </w:r>
      <w:hyperlink r:id="rId2" w:history="1">
        <w:r w:rsidR="006237B3" w:rsidRPr="004E4B36">
          <w:rPr>
            <w:rStyle w:val="Hyperlink"/>
            <w:rFonts w:ascii="MetaPro-Norm" w:hAnsi="MetaPro-Norm"/>
            <w:color w:val="auto"/>
            <w:sz w:val="18"/>
            <w:szCs w:val="18"/>
            <w:u w:val="none"/>
            <w:lang w:val="en-US"/>
          </w:rPr>
          <w:t>https://www.files.ethz.ch/isn/156829/Cambodia-2006.pdf</w:t>
        </w:r>
      </w:hyperlink>
      <w:r w:rsidR="006237B3" w:rsidRPr="004E4B36">
        <w:rPr>
          <w:rFonts w:ascii="MetaPro-Norm" w:hAnsi="MetaPro-Norm"/>
          <w:sz w:val="18"/>
          <w:szCs w:val="18"/>
          <w:lang w:val="en-US"/>
        </w:rPr>
        <w:t xml:space="preserve">. </w:t>
      </w:r>
      <w:r w:rsidRPr="004E4B36">
        <w:rPr>
          <w:rFonts w:ascii="MetaPro-Norm" w:hAnsi="MetaPro-Norm"/>
          <w:sz w:val="18"/>
          <w:szCs w:val="18"/>
          <w:lang w:val="en-US"/>
        </w:rPr>
        <w:t xml:space="preserve"> </w:t>
      </w:r>
    </w:p>
  </w:footnote>
  <w:footnote w:id="6">
    <w:p w14:paraId="2262E604" w14:textId="76EF65A0" w:rsidR="001614BA" w:rsidRPr="004E4B36" w:rsidRDefault="001614BA" w:rsidP="001614BA">
      <w:pPr>
        <w:pStyle w:val="NoSpacing"/>
        <w:rPr>
          <w:rFonts w:ascii="MetaPro-Norm" w:hAnsi="MetaPro-Norm"/>
          <w:sz w:val="18"/>
          <w:szCs w:val="18"/>
        </w:rPr>
      </w:pPr>
      <w:r w:rsidRPr="004E4B36">
        <w:rPr>
          <w:rStyle w:val="FootnoteReference"/>
          <w:rFonts w:ascii="MetaPro-Norm" w:hAnsi="MetaPro-Norm"/>
          <w:sz w:val="18"/>
          <w:szCs w:val="18"/>
        </w:rPr>
        <w:footnoteRef/>
      </w:r>
      <w:r w:rsidRPr="004E4B36">
        <w:rPr>
          <w:rFonts w:ascii="MetaPro-Norm" w:hAnsi="MetaPro-Norm"/>
          <w:sz w:val="18"/>
          <w:szCs w:val="18"/>
        </w:rPr>
        <w:t xml:space="preserve"> Safe Schools Declaration, May 28, 2015, </w:t>
      </w:r>
      <w:hyperlink r:id="rId3" w:history="1">
        <w:r w:rsidRPr="004E4B36">
          <w:rPr>
            <w:rStyle w:val="Hyperlink"/>
            <w:rFonts w:ascii="MetaPro-Norm" w:hAnsi="MetaPro-Norm"/>
            <w:color w:val="auto"/>
            <w:sz w:val="18"/>
            <w:szCs w:val="18"/>
            <w:u w:val="none"/>
          </w:rPr>
          <w:t>https://www.regjeringen.no/globalassets/departementene/ud/vedlegg/utvikling/safe_schools_declaration.pdf</w:t>
        </w:r>
      </w:hyperlink>
      <w:r w:rsidR="006237B3" w:rsidRPr="004E4B36">
        <w:rPr>
          <w:rStyle w:val="Hyperlink"/>
          <w:rFonts w:ascii="MetaPro-Norm" w:hAnsi="MetaPro-Norm"/>
          <w:color w:val="auto"/>
          <w:sz w:val="18"/>
          <w:szCs w:val="18"/>
          <w:u w:val="none"/>
        </w:rPr>
        <w:t xml:space="preserve"> </w:t>
      </w:r>
      <w:r w:rsidRPr="004E4B36">
        <w:rPr>
          <w:rFonts w:ascii="MetaPro-Norm" w:hAnsi="MetaPro-Norm"/>
          <w:sz w:val="18"/>
          <w:szCs w:val="18"/>
        </w:rPr>
        <w:t xml:space="preserve"> (accessed November 6, 2018).</w:t>
      </w:r>
    </w:p>
  </w:footnote>
  <w:footnote w:id="7">
    <w:p w14:paraId="471EF4C7" w14:textId="77777777" w:rsidR="001614BA" w:rsidRPr="004E4B36" w:rsidRDefault="001614BA" w:rsidP="001614BA">
      <w:pPr>
        <w:pStyle w:val="NoSpacing"/>
        <w:rPr>
          <w:rFonts w:ascii="MetaPro-Norm" w:hAnsi="MetaPro-Norm"/>
          <w:sz w:val="18"/>
          <w:szCs w:val="18"/>
        </w:rPr>
      </w:pPr>
      <w:r w:rsidRPr="004E4B36">
        <w:rPr>
          <w:rStyle w:val="FootnoteReference"/>
          <w:rFonts w:ascii="MetaPro-Norm" w:hAnsi="MetaPro-Norm"/>
          <w:sz w:val="18"/>
          <w:szCs w:val="18"/>
        </w:rPr>
        <w:footnoteRef/>
      </w:r>
      <w:r w:rsidRPr="004E4B36">
        <w:rPr>
          <w:rFonts w:ascii="MetaPro-Norm" w:hAnsi="MetaPro-Norm"/>
          <w:sz w:val="18"/>
          <w:szCs w:val="18"/>
        </w:rPr>
        <w:t xml:space="preserve"> Guidelines for Protecting Schools and Universities from Military Use during Armed Conflict, March 18, 2014, </w:t>
      </w:r>
      <w:hyperlink r:id="rId4" w:history="1">
        <w:r w:rsidRPr="004E4B36">
          <w:rPr>
            <w:rStyle w:val="Hyperlink"/>
            <w:rFonts w:ascii="MetaPro-Norm" w:hAnsi="MetaPro-Norm"/>
            <w:color w:val="auto"/>
            <w:sz w:val="18"/>
            <w:szCs w:val="18"/>
            <w:u w:val="none"/>
          </w:rPr>
          <w:t>http://protectingeducation.org/sites/default/files/documents/guidelines_en.pdf</w:t>
        </w:r>
      </w:hyperlink>
      <w:r w:rsidRPr="004E4B36">
        <w:rPr>
          <w:rFonts w:ascii="MetaPro-Norm" w:hAnsi="MetaPro-Norm"/>
          <w:sz w:val="18"/>
          <w:szCs w:val="18"/>
        </w:rPr>
        <w:t xml:space="preserve"> (accessed November 6, 2018).</w:t>
      </w:r>
    </w:p>
  </w:footnote>
  <w:footnote w:id="8">
    <w:p w14:paraId="09A16185" w14:textId="2744CD9E" w:rsidR="001614BA" w:rsidRPr="004E4B36" w:rsidRDefault="001614BA" w:rsidP="001614BA">
      <w:pPr>
        <w:pStyle w:val="FootnoteText"/>
        <w:rPr>
          <w:rFonts w:ascii="MetaPro-Norm" w:hAnsi="MetaPro-Norm"/>
          <w:sz w:val="18"/>
          <w:szCs w:val="18"/>
          <w:lang w:val="en-US"/>
        </w:rPr>
      </w:pPr>
      <w:r w:rsidRPr="004E4B36">
        <w:rPr>
          <w:rStyle w:val="FootnoteReference"/>
          <w:rFonts w:ascii="MetaPro-Norm" w:hAnsi="MetaPro-Norm"/>
          <w:sz w:val="18"/>
          <w:szCs w:val="18"/>
        </w:rPr>
        <w:footnoteRef/>
      </w:r>
      <w:r w:rsidR="00ED1C5E" w:rsidRPr="004E4B36">
        <w:rPr>
          <w:rFonts w:ascii="MetaPro-Norm" w:hAnsi="MetaPro-Norm"/>
          <w:sz w:val="18"/>
          <w:szCs w:val="18"/>
        </w:rPr>
        <w:t xml:space="preserve"> “States that have endorsed the Safe Schools Declaration” Government.no </w:t>
      </w:r>
      <w:hyperlink r:id="rId5" w:history="1">
        <w:r w:rsidR="00ED1C5E" w:rsidRPr="004E4B36">
          <w:rPr>
            <w:rStyle w:val="Hyperlink"/>
            <w:rFonts w:ascii="MetaPro-Norm" w:hAnsi="MetaPro-Norm"/>
            <w:color w:val="auto"/>
            <w:sz w:val="18"/>
            <w:szCs w:val="18"/>
            <w:u w:val="none"/>
          </w:rPr>
          <w:t>https://www.regjeringen.no/en/topics/foreign-affairs/development-cooperation/safeschools_declaration/id2460245/</w:t>
        </w:r>
      </w:hyperlink>
      <w:r w:rsidR="00ED1C5E" w:rsidRPr="004E4B36">
        <w:rPr>
          <w:rFonts w:ascii="MetaPro-Norm" w:hAnsi="MetaPro-Norm"/>
          <w:sz w:val="18"/>
          <w:szCs w:val="18"/>
        </w:rPr>
        <w:t xml:space="preserve"> (accessed August 27, 2019)</w:t>
      </w:r>
    </w:p>
  </w:footnote>
  <w:footnote w:id="9">
    <w:p w14:paraId="34FC6F81" w14:textId="6F93029B" w:rsidR="007A2BE3" w:rsidRPr="004E4B36" w:rsidRDefault="007A2BE3" w:rsidP="007A2BE3">
      <w:pPr>
        <w:pStyle w:val="FootnoteText"/>
        <w:rPr>
          <w:rFonts w:ascii="MetaPro-Norm" w:hAnsi="MetaPro-Norm" w:cs="Times New Roman"/>
          <w:sz w:val="18"/>
          <w:szCs w:val="18"/>
        </w:rPr>
      </w:pPr>
      <w:r w:rsidRPr="004E4B36">
        <w:rPr>
          <w:rStyle w:val="FootnoteReference"/>
          <w:rFonts w:ascii="MetaPro-Norm" w:hAnsi="MetaPro-Norm"/>
          <w:sz w:val="18"/>
          <w:szCs w:val="18"/>
        </w:rPr>
        <w:footnoteRef/>
      </w:r>
      <w:r w:rsidRPr="004E4B36">
        <w:rPr>
          <w:rStyle w:val="FootnoteReference"/>
          <w:rFonts w:ascii="MetaPro-Norm" w:hAnsi="MetaPro-Norm"/>
          <w:sz w:val="18"/>
          <w:szCs w:val="18"/>
        </w:rPr>
        <w:t xml:space="preserve"> </w:t>
      </w:r>
      <w:r w:rsidRPr="004E4B36">
        <w:rPr>
          <w:rFonts w:ascii="MetaPro-Norm" w:hAnsi="MetaPro-Norm" w:cs="Times New Roman"/>
          <w:sz w:val="18"/>
          <w:szCs w:val="18"/>
        </w:rPr>
        <w:t xml:space="preserve">Human Rights Watch, “What Hell Feels Like” – Acid Violence in Cambodia, February 2019, </w:t>
      </w:r>
      <w:hyperlink r:id="rId6" w:history="1">
        <w:r w:rsidRPr="004E4B36">
          <w:rPr>
            <w:rFonts w:ascii="MetaPro-Norm" w:hAnsi="MetaPro-Norm" w:cs="Times New Roman"/>
            <w:sz w:val="18"/>
            <w:szCs w:val="18"/>
          </w:rPr>
          <w:t>https://www.hrw.org/report/2019/02/04/what-hell-feels/acid-violence-cambodia</w:t>
        </w:r>
      </w:hyperlink>
      <w:r w:rsidR="006237B3" w:rsidRPr="004E4B36">
        <w:rPr>
          <w:rFonts w:ascii="MetaPro-Norm" w:hAnsi="MetaPro-Norm" w:cs="Times New Roman"/>
          <w:sz w:val="18"/>
          <w:szCs w:val="18"/>
        </w:rPr>
        <w:t xml:space="preserve">. </w:t>
      </w:r>
      <w:r w:rsidRPr="004E4B36">
        <w:rPr>
          <w:rFonts w:ascii="MetaPro-Norm" w:hAnsi="MetaPro-Norm" w:cs="Times New Roman"/>
          <w:sz w:val="18"/>
          <w:szCs w:val="18"/>
        </w:rPr>
        <w:t xml:space="preserve"> </w:t>
      </w:r>
    </w:p>
  </w:footnote>
  <w:footnote w:id="10">
    <w:p w14:paraId="1A932EF5" w14:textId="77777777" w:rsidR="00560416" w:rsidRPr="004E4B36" w:rsidRDefault="00560416" w:rsidP="00560416">
      <w:pPr>
        <w:pStyle w:val="FootnoteText"/>
        <w:rPr>
          <w:rFonts w:ascii="MetaPro-Norm" w:hAnsi="MetaPro-Norm" w:cs="Times New Roman"/>
          <w:sz w:val="18"/>
          <w:szCs w:val="18"/>
        </w:rPr>
      </w:pPr>
      <w:r w:rsidRPr="004E4B36">
        <w:rPr>
          <w:rStyle w:val="FootnoteReference"/>
          <w:rFonts w:ascii="MetaPro-Norm" w:hAnsi="MetaPro-Norm"/>
          <w:sz w:val="18"/>
          <w:szCs w:val="18"/>
        </w:rPr>
        <w:footnoteRef/>
      </w:r>
      <w:r w:rsidRPr="004E4B36">
        <w:rPr>
          <w:rStyle w:val="FootnoteReference"/>
          <w:rFonts w:ascii="MetaPro-Norm" w:hAnsi="MetaPro-Norm"/>
          <w:sz w:val="18"/>
          <w:szCs w:val="18"/>
        </w:rPr>
        <w:t xml:space="preserve"> </w:t>
      </w:r>
      <w:r w:rsidRPr="004E4B36">
        <w:rPr>
          <w:rFonts w:ascii="MetaPro-Norm" w:hAnsi="MetaPro-Norm" w:cs="Times New Roman"/>
          <w:sz w:val="18"/>
          <w:szCs w:val="18"/>
        </w:rPr>
        <w:t xml:space="preserve">The 2009-2012 plan sets out goals and the 2014-2018 plan </w:t>
      </w:r>
      <w:proofErr w:type="gramStart"/>
      <w:r w:rsidRPr="004E4B36">
        <w:rPr>
          <w:rFonts w:ascii="MetaPro-Norm" w:hAnsi="MetaPro-Norm" w:cs="Times New Roman"/>
          <w:sz w:val="18"/>
          <w:szCs w:val="18"/>
        </w:rPr>
        <w:t>serves</w:t>
      </w:r>
      <w:proofErr w:type="gramEnd"/>
      <w:r w:rsidRPr="004E4B36">
        <w:rPr>
          <w:rFonts w:ascii="MetaPro-Norm" w:hAnsi="MetaPro-Norm" w:cs="Times New Roman"/>
          <w:sz w:val="18"/>
          <w:szCs w:val="18"/>
        </w:rPr>
        <w:t xml:space="preserve"> as a policy framework for the implementation of the first plan.</w:t>
      </w:r>
    </w:p>
  </w:footnote>
  <w:footnote w:id="11">
    <w:p w14:paraId="1B7D1DB6" w14:textId="77777777" w:rsidR="00560416" w:rsidRPr="004E4B36" w:rsidRDefault="00560416" w:rsidP="00560416">
      <w:pPr>
        <w:pStyle w:val="FootnoteText"/>
        <w:rPr>
          <w:rFonts w:ascii="MetaPro-Norm" w:hAnsi="MetaPro-Norm" w:cs="Times New Roman"/>
          <w:sz w:val="18"/>
          <w:szCs w:val="18"/>
        </w:rPr>
      </w:pPr>
      <w:r w:rsidRPr="004E4B36">
        <w:rPr>
          <w:rStyle w:val="FootnoteReference"/>
          <w:rFonts w:ascii="MetaPro-Norm" w:hAnsi="MetaPro-Norm"/>
          <w:sz w:val="18"/>
          <w:szCs w:val="18"/>
        </w:rPr>
        <w:footnoteRef/>
      </w:r>
      <w:r w:rsidRPr="004E4B36">
        <w:rPr>
          <w:rStyle w:val="FootnoteReference"/>
        </w:rPr>
        <w:t xml:space="preserve"> </w:t>
      </w:r>
      <w:r w:rsidRPr="004E4B36">
        <w:rPr>
          <w:rFonts w:ascii="MetaPro-Norm" w:hAnsi="MetaPro-Norm" w:cs="Times New Roman"/>
          <w:sz w:val="18"/>
          <w:szCs w:val="18"/>
        </w:rPr>
        <w:t>The Law on the Prevention of Domestic Violence and the Protection of Victims (2005), arts. 1 and 26.</w:t>
      </w:r>
    </w:p>
  </w:footnote>
  <w:footnote w:id="12">
    <w:p w14:paraId="29E98524" w14:textId="77777777" w:rsidR="00560416" w:rsidRPr="004E4B36" w:rsidRDefault="00560416" w:rsidP="00560416">
      <w:pPr>
        <w:pStyle w:val="FootnoteText"/>
        <w:rPr>
          <w:rFonts w:ascii="MetaPro-Norm" w:hAnsi="MetaPro-Norm" w:cs="Times New Roman"/>
          <w:sz w:val="18"/>
          <w:szCs w:val="18"/>
        </w:rPr>
      </w:pPr>
      <w:r w:rsidRPr="004E4B36">
        <w:rPr>
          <w:rStyle w:val="FootnoteReference"/>
          <w:rFonts w:ascii="MetaPro-Norm" w:hAnsi="MetaPro-Norm"/>
        </w:rPr>
        <w:footnoteRef/>
      </w:r>
      <w:r w:rsidRPr="004E4B36">
        <w:rPr>
          <w:rStyle w:val="FootnoteReference"/>
          <w:rFonts w:ascii="MetaPro-Norm" w:hAnsi="MetaPro-Norm"/>
        </w:rPr>
        <w:t xml:space="preserve"> </w:t>
      </w:r>
      <w:r w:rsidRPr="004E4B36">
        <w:rPr>
          <w:rFonts w:ascii="MetaPro-Norm" w:hAnsi="MetaPro-Norm" w:cs="Times New Roman"/>
          <w:sz w:val="18"/>
          <w:szCs w:val="18"/>
        </w:rPr>
        <w:t>LICADHO, “No Punishment, No Protection: Cambodia’s Response to Domestic Violence,” December 2017.</w:t>
      </w:r>
    </w:p>
  </w:footnote>
  <w:footnote w:id="13">
    <w:p w14:paraId="7EA58E7D" w14:textId="77777777" w:rsidR="00560416" w:rsidRPr="004E4B36" w:rsidRDefault="00560416" w:rsidP="00560416">
      <w:pPr>
        <w:pStyle w:val="FootnoteText"/>
      </w:pPr>
      <w:r w:rsidRPr="004E4B36">
        <w:rPr>
          <w:rFonts w:ascii="MetaPro-Norm" w:hAnsi="MetaPro-Norm" w:cs="Times New Roman"/>
          <w:sz w:val="18"/>
          <w:szCs w:val="18"/>
          <w:vertAlign w:val="superscript"/>
        </w:rPr>
        <w:footnoteRef/>
      </w:r>
      <w:r w:rsidRPr="004E4B36">
        <w:rPr>
          <w:rFonts w:ascii="MetaPro-Norm" w:hAnsi="MetaPro-Norm" w:cs="Times New Roman"/>
          <w:sz w:val="18"/>
          <w:szCs w:val="18"/>
        </w:rPr>
        <w:t xml:space="preserve"> Ibid.; Domestic Violence Law, art. 1.</w:t>
      </w:r>
    </w:p>
  </w:footnote>
  <w:footnote w:id="14">
    <w:p w14:paraId="5D3C582D" w14:textId="77777777" w:rsidR="007F039A" w:rsidRPr="004E4B36" w:rsidRDefault="007F039A" w:rsidP="007F039A">
      <w:pPr>
        <w:pStyle w:val="FootnoteText"/>
        <w:rPr>
          <w:rFonts w:ascii="MetaPro-Norm" w:hAnsi="MetaPro-Norm" w:cs="Times New Roman"/>
          <w:sz w:val="18"/>
          <w:szCs w:val="18"/>
        </w:rPr>
      </w:pPr>
      <w:r w:rsidRPr="004E4B36">
        <w:rPr>
          <w:rStyle w:val="FootnoteReference"/>
          <w:rFonts w:ascii="MetaPro-Norm" w:hAnsi="MetaPro-Norm" w:cs="Times New Roman"/>
          <w:sz w:val="18"/>
          <w:szCs w:val="18"/>
        </w:rPr>
        <w:footnoteRef/>
      </w:r>
      <w:r w:rsidRPr="004E4B36">
        <w:rPr>
          <w:rFonts w:ascii="MetaPro-Norm" w:hAnsi="MetaPro-Norm"/>
        </w:rPr>
        <w:t xml:space="preserve"> </w:t>
      </w:r>
      <w:r w:rsidRPr="004E4B36">
        <w:rPr>
          <w:rFonts w:ascii="MetaPro-Norm" w:hAnsi="MetaPro-Norm" w:cs="Times New Roman"/>
          <w:sz w:val="18"/>
          <w:szCs w:val="18"/>
        </w:rPr>
        <w:t>UN Committee on the Elimination of Discrimination against Women, General Recommendation No. 35, Gender-Based Violence against Women, updating General Recommendation No. 19, CEDAW/C/GC/35 (2017), paras. 46-47.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25F81"/>
    <w:multiLevelType w:val="hybridMultilevel"/>
    <w:tmpl w:val="2E02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7C34A5"/>
    <w:multiLevelType w:val="hybridMultilevel"/>
    <w:tmpl w:val="BDEEE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FD25D0"/>
    <w:multiLevelType w:val="hybridMultilevel"/>
    <w:tmpl w:val="809C4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CC6FF5"/>
    <w:multiLevelType w:val="hybridMultilevel"/>
    <w:tmpl w:val="60481F1E"/>
    <w:lvl w:ilvl="0" w:tplc="D6B80CB2">
      <w:numFmt w:val="bullet"/>
      <w:lvlText w:val="-"/>
      <w:lvlJc w:val="left"/>
      <w:pPr>
        <w:ind w:left="720" w:hanging="360"/>
      </w:pPr>
      <w:rPr>
        <w:rFonts w:ascii="MetaPro-Norm" w:eastAsiaTheme="minorHAnsi" w:hAnsi="MetaPro-Norm"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8A50F9"/>
    <w:multiLevelType w:val="hybridMultilevel"/>
    <w:tmpl w:val="0A9C6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EA5D5A"/>
    <w:multiLevelType w:val="hybridMultilevel"/>
    <w:tmpl w:val="3C2E4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3E380E"/>
    <w:multiLevelType w:val="hybridMultilevel"/>
    <w:tmpl w:val="512A2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8A360A5"/>
    <w:multiLevelType w:val="hybridMultilevel"/>
    <w:tmpl w:val="D54EA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635BA5"/>
    <w:multiLevelType w:val="hybridMultilevel"/>
    <w:tmpl w:val="3702B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4"/>
  </w:num>
  <w:num w:numId="4">
    <w:abstractNumId w:val="5"/>
  </w:num>
  <w:num w:numId="5">
    <w:abstractNumId w:val="0"/>
  </w:num>
  <w:num w:numId="6">
    <w:abstractNumId w:val="2"/>
  </w:num>
  <w:num w:numId="7">
    <w:abstractNumId w:val="1"/>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736"/>
    <w:rsid w:val="00067C98"/>
    <w:rsid w:val="000F3CBD"/>
    <w:rsid w:val="00150061"/>
    <w:rsid w:val="001614BA"/>
    <w:rsid w:val="00181982"/>
    <w:rsid w:val="00184490"/>
    <w:rsid w:val="00226174"/>
    <w:rsid w:val="00264B24"/>
    <w:rsid w:val="002654B8"/>
    <w:rsid w:val="00362A93"/>
    <w:rsid w:val="00480F2A"/>
    <w:rsid w:val="004B5619"/>
    <w:rsid w:val="004C50DA"/>
    <w:rsid w:val="004D3B5F"/>
    <w:rsid w:val="004D7C2E"/>
    <w:rsid w:val="004E4B36"/>
    <w:rsid w:val="00526AF9"/>
    <w:rsid w:val="00536F21"/>
    <w:rsid w:val="00560416"/>
    <w:rsid w:val="00561DE0"/>
    <w:rsid w:val="006237B3"/>
    <w:rsid w:val="00640DCC"/>
    <w:rsid w:val="0066377A"/>
    <w:rsid w:val="006B3A6B"/>
    <w:rsid w:val="00753221"/>
    <w:rsid w:val="007A2BE3"/>
    <w:rsid w:val="007B68C4"/>
    <w:rsid w:val="007F039A"/>
    <w:rsid w:val="008078CF"/>
    <w:rsid w:val="008122D7"/>
    <w:rsid w:val="008D1F55"/>
    <w:rsid w:val="00936713"/>
    <w:rsid w:val="009D7DA7"/>
    <w:rsid w:val="00A921BD"/>
    <w:rsid w:val="00AA7ADB"/>
    <w:rsid w:val="00B01D9B"/>
    <w:rsid w:val="00B55443"/>
    <w:rsid w:val="00B86E10"/>
    <w:rsid w:val="00CA295B"/>
    <w:rsid w:val="00CE6C6E"/>
    <w:rsid w:val="00D405FB"/>
    <w:rsid w:val="00D75FEB"/>
    <w:rsid w:val="00E61C40"/>
    <w:rsid w:val="00E956AA"/>
    <w:rsid w:val="00ED1C5E"/>
    <w:rsid w:val="00EF0B4B"/>
    <w:rsid w:val="00F50736"/>
    <w:rsid w:val="00FB1EC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E9170"/>
  <w15:chartTrackingRefBased/>
  <w15:docId w15:val="{8F3690C9-E89C-416D-855B-9500E2C53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0736"/>
  </w:style>
  <w:style w:type="paragraph" w:styleId="Heading1">
    <w:name w:val="heading 1"/>
    <w:basedOn w:val="Normal"/>
    <w:link w:val="Heading1Char"/>
    <w:uiPriority w:val="9"/>
    <w:qFormat/>
    <w:rsid w:val="00B01D9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50736"/>
    <w:pPr>
      <w:suppressAutoHyphens/>
      <w:spacing w:after="0" w:line="240" w:lineRule="auto"/>
    </w:pPr>
    <w:rPr>
      <w:rFonts w:cs="Times New Roman"/>
    </w:rPr>
  </w:style>
  <w:style w:type="paragraph" w:styleId="FootnoteText">
    <w:name w:val="footnote text"/>
    <w:basedOn w:val="Normal"/>
    <w:link w:val="FootnoteTextChar"/>
    <w:uiPriority w:val="99"/>
    <w:unhideWhenUsed/>
    <w:rsid w:val="00F50736"/>
    <w:pPr>
      <w:spacing w:after="0" w:line="240" w:lineRule="auto"/>
    </w:pPr>
    <w:rPr>
      <w:sz w:val="20"/>
      <w:szCs w:val="20"/>
    </w:rPr>
  </w:style>
  <w:style w:type="character" w:customStyle="1" w:styleId="FootnoteTextChar">
    <w:name w:val="Footnote Text Char"/>
    <w:basedOn w:val="DefaultParagraphFont"/>
    <w:link w:val="FootnoteText"/>
    <w:uiPriority w:val="99"/>
    <w:rsid w:val="00F50736"/>
    <w:rPr>
      <w:sz w:val="20"/>
      <w:szCs w:val="20"/>
    </w:rPr>
  </w:style>
  <w:style w:type="character" w:styleId="FootnoteReference">
    <w:name w:val="footnote reference"/>
    <w:basedOn w:val="DefaultParagraphFont"/>
    <w:uiPriority w:val="99"/>
    <w:semiHidden/>
    <w:unhideWhenUsed/>
    <w:rsid w:val="00F50736"/>
    <w:rPr>
      <w:vertAlign w:val="superscript"/>
    </w:rPr>
  </w:style>
  <w:style w:type="character" w:styleId="Hyperlink">
    <w:name w:val="Hyperlink"/>
    <w:basedOn w:val="DefaultParagraphFont"/>
    <w:uiPriority w:val="99"/>
    <w:unhideWhenUsed/>
    <w:rsid w:val="00F50736"/>
    <w:rPr>
      <w:color w:val="0563C1" w:themeColor="hyperlink"/>
      <w:u w:val="single"/>
    </w:rPr>
  </w:style>
  <w:style w:type="paragraph" w:styleId="ListParagraph">
    <w:name w:val="List Paragraph"/>
    <w:basedOn w:val="Normal"/>
    <w:uiPriority w:val="34"/>
    <w:qFormat/>
    <w:rsid w:val="00F50736"/>
    <w:pPr>
      <w:ind w:left="720"/>
      <w:contextualSpacing/>
    </w:pPr>
  </w:style>
  <w:style w:type="paragraph" w:styleId="Footer">
    <w:name w:val="footer"/>
    <w:basedOn w:val="Normal"/>
    <w:link w:val="FooterChar"/>
    <w:uiPriority w:val="99"/>
    <w:unhideWhenUsed/>
    <w:rsid w:val="00F507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0736"/>
  </w:style>
  <w:style w:type="character" w:styleId="CommentReference">
    <w:name w:val="annotation reference"/>
    <w:basedOn w:val="DefaultParagraphFont"/>
    <w:uiPriority w:val="99"/>
    <w:semiHidden/>
    <w:unhideWhenUsed/>
    <w:rsid w:val="00FB1EC8"/>
    <w:rPr>
      <w:sz w:val="16"/>
      <w:szCs w:val="16"/>
    </w:rPr>
  </w:style>
  <w:style w:type="paragraph" w:styleId="CommentText">
    <w:name w:val="annotation text"/>
    <w:basedOn w:val="Normal"/>
    <w:link w:val="CommentTextChar"/>
    <w:uiPriority w:val="99"/>
    <w:semiHidden/>
    <w:unhideWhenUsed/>
    <w:rsid w:val="00FB1EC8"/>
    <w:pPr>
      <w:spacing w:line="240" w:lineRule="auto"/>
    </w:pPr>
    <w:rPr>
      <w:sz w:val="20"/>
      <w:szCs w:val="20"/>
    </w:rPr>
  </w:style>
  <w:style w:type="character" w:customStyle="1" w:styleId="CommentTextChar">
    <w:name w:val="Comment Text Char"/>
    <w:basedOn w:val="DefaultParagraphFont"/>
    <w:link w:val="CommentText"/>
    <w:uiPriority w:val="99"/>
    <w:semiHidden/>
    <w:rsid w:val="00FB1EC8"/>
    <w:rPr>
      <w:sz w:val="20"/>
      <w:szCs w:val="20"/>
    </w:rPr>
  </w:style>
  <w:style w:type="paragraph" w:styleId="CommentSubject">
    <w:name w:val="annotation subject"/>
    <w:basedOn w:val="CommentText"/>
    <w:next w:val="CommentText"/>
    <w:link w:val="CommentSubjectChar"/>
    <w:uiPriority w:val="99"/>
    <w:semiHidden/>
    <w:unhideWhenUsed/>
    <w:rsid w:val="00FB1EC8"/>
    <w:rPr>
      <w:b/>
      <w:bCs/>
    </w:rPr>
  </w:style>
  <w:style w:type="character" w:customStyle="1" w:styleId="CommentSubjectChar">
    <w:name w:val="Comment Subject Char"/>
    <w:basedOn w:val="CommentTextChar"/>
    <w:link w:val="CommentSubject"/>
    <w:uiPriority w:val="99"/>
    <w:semiHidden/>
    <w:rsid w:val="00FB1EC8"/>
    <w:rPr>
      <w:b/>
      <w:bCs/>
      <w:sz w:val="20"/>
      <w:szCs w:val="20"/>
    </w:rPr>
  </w:style>
  <w:style w:type="paragraph" w:styleId="BalloonText">
    <w:name w:val="Balloon Text"/>
    <w:basedOn w:val="Normal"/>
    <w:link w:val="BalloonTextChar"/>
    <w:uiPriority w:val="99"/>
    <w:semiHidden/>
    <w:unhideWhenUsed/>
    <w:rsid w:val="00FB1E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1EC8"/>
    <w:rPr>
      <w:rFonts w:ascii="Segoe UI" w:hAnsi="Segoe UI" w:cs="Segoe UI"/>
      <w:sz w:val="18"/>
      <w:szCs w:val="18"/>
    </w:rPr>
  </w:style>
  <w:style w:type="character" w:styleId="UnresolvedMention">
    <w:name w:val="Unresolved Mention"/>
    <w:basedOn w:val="DefaultParagraphFont"/>
    <w:uiPriority w:val="99"/>
    <w:semiHidden/>
    <w:unhideWhenUsed/>
    <w:rsid w:val="00ED1C5E"/>
    <w:rPr>
      <w:color w:val="605E5C"/>
      <w:shd w:val="clear" w:color="auto" w:fill="E1DFDD"/>
    </w:rPr>
  </w:style>
  <w:style w:type="paragraph" w:styleId="NormalWeb">
    <w:name w:val="Normal (Web)"/>
    <w:basedOn w:val="Normal"/>
    <w:uiPriority w:val="99"/>
    <w:semiHidden/>
    <w:unhideWhenUsed/>
    <w:rsid w:val="00B01D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01D9B"/>
    <w:rPr>
      <w:i/>
      <w:iCs/>
    </w:rPr>
  </w:style>
  <w:style w:type="character" w:customStyle="1" w:styleId="Heading1Char">
    <w:name w:val="Heading 1 Char"/>
    <w:basedOn w:val="DefaultParagraphFont"/>
    <w:link w:val="Heading1"/>
    <w:uiPriority w:val="9"/>
    <w:rsid w:val="00B01D9B"/>
    <w:rPr>
      <w:rFonts w:ascii="Times New Roman" w:eastAsia="Times New Roman" w:hAnsi="Times New Roman" w:cs="Times New Roman"/>
      <w:b/>
      <w:bCs/>
      <w:kern w:val="36"/>
      <w:sz w:val="48"/>
      <w:szCs w:val="48"/>
      <w:lang w:eastAsia="en-GB"/>
    </w:rPr>
  </w:style>
  <w:style w:type="paragraph" w:customStyle="1" w:styleId="Subtitle1">
    <w:name w:val="Subtitle1"/>
    <w:basedOn w:val="Normal"/>
    <w:rsid w:val="00B01D9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901276">
      <w:bodyDiv w:val="1"/>
      <w:marLeft w:val="0"/>
      <w:marRight w:val="0"/>
      <w:marTop w:val="0"/>
      <w:marBottom w:val="0"/>
      <w:divBdr>
        <w:top w:val="none" w:sz="0" w:space="0" w:color="auto"/>
        <w:left w:val="none" w:sz="0" w:space="0" w:color="auto"/>
        <w:bottom w:val="none" w:sz="0" w:space="0" w:color="auto"/>
        <w:right w:val="none" w:sz="0" w:space="0" w:color="auto"/>
      </w:divBdr>
    </w:div>
    <w:div w:id="239755920">
      <w:bodyDiv w:val="1"/>
      <w:marLeft w:val="0"/>
      <w:marRight w:val="0"/>
      <w:marTop w:val="0"/>
      <w:marBottom w:val="0"/>
      <w:divBdr>
        <w:top w:val="none" w:sz="0" w:space="0" w:color="auto"/>
        <w:left w:val="none" w:sz="0" w:space="0" w:color="auto"/>
        <w:bottom w:val="none" w:sz="0" w:space="0" w:color="auto"/>
        <w:right w:val="none" w:sz="0" w:space="0" w:color="auto"/>
      </w:divBdr>
    </w:div>
    <w:div w:id="354231993">
      <w:bodyDiv w:val="1"/>
      <w:marLeft w:val="0"/>
      <w:marRight w:val="0"/>
      <w:marTop w:val="0"/>
      <w:marBottom w:val="0"/>
      <w:divBdr>
        <w:top w:val="none" w:sz="0" w:space="0" w:color="auto"/>
        <w:left w:val="none" w:sz="0" w:space="0" w:color="auto"/>
        <w:bottom w:val="none" w:sz="0" w:space="0" w:color="auto"/>
        <w:right w:val="none" w:sz="0" w:space="0" w:color="auto"/>
      </w:divBdr>
    </w:div>
    <w:div w:id="674302605">
      <w:bodyDiv w:val="1"/>
      <w:marLeft w:val="0"/>
      <w:marRight w:val="0"/>
      <w:marTop w:val="0"/>
      <w:marBottom w:val="0"/>
      <w:divBdr>
        <w:top w:val="none" w:sz="0" w:space="0" w:color="auto"/>
        <w:left w:val="none" w:sz="0" w:space="0" w:color="auto"/>
        <w:bottom w:val="none" w:sz="0" w:space="0" w:color="auto"/>
        <w:right w:val="none" w:sz="0" w:space="0" w:color="auto"/>
      </w:divBdr>
    </w:div>
    <w:div w:id="703403425">
      <w:bodyDiv w:val="1"/>
      <w:marLeft w:val="0"/>
      <w:marRight w:val="0"/>
      <w:marTop w:val="0"/>
      <w:marBottom w:val="0"/>
      <w:divBdr>
        <w:top w:val="none" w:sz="0" w:space="0" w:color="auto"/>
        <w:left w:val="none" w:sz="0" w:space="0" w:color="auto"/>
        <w:bottom w:val="none" w:sz="0" w:space="0" w:color="auto"/>
        <w:right w:val="none" w:sz="0" w:space="0" w:color="auto"/>
      </w:divBdr>
    </w:div>
    <w:div w:id="966353428">
      <w:bodyDiv w:val="1"/>
      <w:marLeft w:val="0"/>
      <w:marRight w:val="0"/>
      <w:marTop w:val="0"/>
      <w:marBottom w:val="0"/>
      <w:divBdr>
        <w:top w:val="none" w:sz="0" w:space="0" w:color="auto"/>
        <w:left w:val="none" w:sz="0" w:space="0" w:color="auto"/>
        <w:bottom w:val="none" w:sz="0" w:space="0" w:color="auto"/>
        <w:right w:val="none" w:sz="0" w:space="0" w:color="auto"/>
      </w:divBdr>
    </w:div>
    <w:div w:id="1536851475">
      <w:bodyDiv w:val="1"/>
      <w:marLeft w:val="0"/>
      <w:marRight w:val="0"/>
      <w:marTop w:val="0"/>
      <w:marBottom w:val="0"/>
      <w:divBdr>
        <w:top w:val="none" w:sz="0" w:space="0" w:color="auto"/>
        <w:left w:val="none" w:sz="0" w:space="0" w:color="auto"/>
        <w:bottom w:val="none" w:sz="0" w:space="0" w:color="auto"/>
        <w:right w:val="none" w:sz="0" w:space="0" w:color="auto"/>
      </w:divBdr>
    </w:div>
    <w:div w:id="1576238517">
      <w:bodyDiv w:val="1"/>
      <w:marLeft w:val="0"/>
      <w:marRight w:val="0"/>
      <w:marTop w:val="0"/>
      <w:marBottom w:val="0"/>
      <w:divBdr>
        <w:top w:val="none" w:sz="0" w:space="0" w:color="auto"/>
        <w:left w:val="none" w:sz="0" w:space="0" w:color="auto"/>
        <w:bottom w:val="none" w:sz="0" w:space="0" w:color="auto"/>
        <w:right w:val="none" w:sz="0" w:space="0" w:color="auto"/>
      </w:divBdr>
    </w:div>
    <w:div w:id="170598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rw.org/print/294352"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regjeringen.no/globalassets/departementene/ud/vedlegg/utvikling/safe_schools_declaration.pdf" TargetMode="External"/><Relationship Id="rId2" Type="http://schemas.openxmlformats.org/officeDocument/2006/relationships/hyperlink" Target="https://www.files.ethz.ch/isn/156829/Cambodia-2006.pdf" TargetMode="External"/><Relationship Id="rId1" Type="http://schemas.openxmlformats.org/officeDocument/2006/relationships/hyperlink" Target="http://www.protectingeducation.org/sites/default/files/documents/eua_2018_full.pdf" TargetMode="External"/><Relationship Id="rId6" Type="http://schemas.openxmlformats.org/officeDocument/2006/relationships/hyperlink" Target="https://www.hrw.org/report/2019/02/04/what-hell-feels/acid-violence-cambodia" TargetMode="External"/><Relationship Id="rId5" Type="http://schemas.openxmlformats.org/officeDocument/2006/relationships/hyperlink" Target="https://www.regjeringen.no/en/topics/foreign-affairs/development-cooperation/safeschools_declaration/id2460245/" TargetMode="External"/><Relationship Id="rId4" Type="http://schemas.openxmlformats.org/officeDocument/2006/relationships/hyperlink" Target="http://protectingeducation.org/sites/default/files/documents/guidelines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188688-9BF6-4794-A6EE-4B08548BEBD9}"/>
</file>

<file path=customXml/itemProps2.xml><?xml version="1.0" encoding="utf-8"?>
<ds:datastoreItem xmlns:ds="http://schemas.openxmlformats.org/officeDocument/2006/customXml" ds:itemID="{405E2C6D-7D6F-4923-AA5B-1F501932B304}">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0987469-1AEA-4433-9A1B-FAFB0E3435B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1456</Words>
  <Characters>8300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Firth</dc:creator>
  <cp:keywords/>
  <dc:description/>
  <cp:lastModifiedBy>Agnieszka Bielecka</cp:lastModifiedBy>
  <cp:revision>2</cp:revision>
  <dcterms:created xsi:type="dcterms:W3CDTF">2019-09-26T15:54:00Z</dcterms:created>
  <dcterms:modified xsi:type="dcterms:W3CDTF">2019-09-26T15:54:00Z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