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document.xml" ContentType="application/vnd.openxmlformats-officedocument.wordprocessingml.document.main+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widowControl w:val="false"/>
        <w:spacing w:after="0" w:before="0" w:line="100" w:lineRule="atLeast"/>
        <w:contextualSpacing w:val="false"/>
        <w:jc w:val="center"/>
      </w:pPr>
      <w:r>
        <w:rPr>
          <w:rFonts w:ascii="Times New Roman" w:cs="Times New Roman" w:eastAsia="Times New Roman" w:hAnsi="Times New Roman"/>
          <w:b/>
          <w:position w:val="0"/>
          <w:sz w:val="22"/>
          <w:sz w:val="24"/>
          <w:szCs w:val="24"/>
          <w:vertAlign w:val="baseline"/>
        </w:rPr>
        <w:t xml:space="preserve">DOCUMENTO BASE PARA DIALOGAR CON EL COMITÉ DE LA CONVENCIÓN INTERNACIONAL PARA LA ELIMINACIÓN DE TODAS LAS FORMAS DE  DISCRIMINACIÓN RACIAL (CERD) DE LA OFINCIA DEL ALTO COMISIONADO DE DERECHOS HUMANOS DE NACIONES UNIDAS. </w:t>
      </w:r>
    </w:p>
    <w:p>
      <w:pPr>
        <w:pStyle w:val="style0"/>
        <w:widowControl w:val="false"/>
        <w:spacing w:after="0" w:before="0" w:line="100" w:lineRule="atLeast"/>
        <w:contextualSpacing w:val="false"/>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 xml:space="preserve">Uruguay dio comienzo al desarrollo de acciones pensadas o dirigidas hacia la población afrodescendiente a consecuencia de la presión social que desde la propia comunidad negra se desarrolló principalmente a partir de la década de los 90. Esta apertura del Estado hacia la temática comienza a partir de la interlocución política en instancia de debate sobre la desigualdad étnico-racial entre la comunidad afro y el resto de la población del país, la existencia del Racismo y la implicancia del Estado en este sentido.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En 1998 se realiza el primer informe país donde se presenta la realidad de la situación de la comunidad afro-uruguaya. Las recomendaciones llegan en 1999 siendo las primeras expresiones internacionales que recomiendan al Estado uruguayo y lo comprometen en la búsqueda de soluciones (recomendaciones) que se traduzcan en un proceso de política pública para afrodescendientes.</w:t>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Hasta 2005 el Estado Uruguayo no toma medidas específicas en la relación a la comunidad afrodescendiente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 xml:space="preserve">En 2011 Uruguay, retomando una larga ausencia en el </w:t>
      </w:r>
      <w:r>
        <w:rPr>
          <w:rFonts w:ascii="Times New Roman" w:cs="Times New Roman" w:eastAsia="Times New Roman" w:hAnsi="Times New Roman"/>
          <w:sz w:val="24"/>
          <w:szCs w:val="24"/>
        </w:rPr>
        <w:t>Comité</w:t>
      </w:r>
      <w:r>
        <w:rPr>
          <w:rFonts w:ascii="Times New Roman" w:cs="Times New Roman" w:eastAsia="Times New Roman" w:hAnsi="Times New Roman"/>
          <w:b w:val="false"/>
          <w:position w:val="0"/>
          <w:sz w:val="22"/>
          <w:sz w:val="24"/>
          <w:szCs w:val="24"/>
          <w:vertAlign w:val="baseline"/>
        </w:rPr>
        <w:t>, presenta un nuevo informe país. La soc</w:t>
      </w:r>
      <w:r>
        <w:rPr>
          <w:rFonts w:ascii="Times New Roman" w:cs="Times New Roman" w:eastAsia="Times New Roman" w:hAnsi="Times New Roman"/>
          <w:sz w:val="24"/>
          <w:szCs w:val="24"/>
        </w:rPr>
        <w:t>ie</w:t>
      </w:r>
      <w:r>
        <w:rPr>
          <w:rFonts w:ascii="Times New Roman" w:cs="Times New Roman" w:eastAsia="Times New Roman" w:hAnsi="Times New Roman"/>
          <w:b w:val="false"/>
          <w:position w:val="0"/>
          <w:sz w:val="22"/>
          <w:sz w:val="24"/>
          <w:szCs w:val="24"/>
          <w:vertAlign w:val="baseline"/>
        </w:rPr>
        <w:t>dad civil organizada afrodescendiente redacta un informe contundente con 60 sugerencias al Comité CERD para la redacción de las Recomendaciones finales que emanaran del examen país.</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En esta oportunidad Uruguay será examinado por el Comité CERD durante la sesión 91° que tendrá lugar en Ginebra, que sesionará del 21 de noviembre a 9 de diciembre de 2016.</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 xml:space="preserve">Para dicho examen, Uruguay ha presentado un informe donde se da cuenta de las medidas que ha tomado el país para la implementación de la Convención Internacional sobre la Eliminación de Todas las Formas de Discriminación Racial.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Agradecemos esta instancia previa que el Comité CERD pon</w:t>
      </w:r>
      <w:r>
        <w:rPr>
          <w:rFonts w:ascii="Times New Roman" w:cs="Times New Roman" w:eastAsia="Times New Roman" w:hAnsi="Times New Roman"/>
          <w:sz w:val="24"/>
          <w:szCs w:val="24"/>
        </w:rPr>
        <w:t>e</w:t>
      </w:r>
      <w:r>
        <w:rPr>
          <w:rFonts w:ascii="Times New Roman" w:cs="Times New Roman" w:eastAsia="Times New Roman" w:hAnsi="Times New Roman"/>
          <w:b w:val="false"/>
          <w:position w:val="0"/>
          <w:sz w:val="22"/>
          <w:sz w:val="24"/>
          <w:szCs w:val="24"/>
          <w:vertAlign w:val="baseline"/>
        </w:rPr>
        <w:t xml:space="preserve"> a disposición para brindar información y mejorar los niveles de interlocución y participación de la sociedad civil organizada afrodescendiente en el proceso de examen del país ante el Comité. Creemos que de esta forma además de mejorar la comunicación de la situación a nivel país, se promueve una mayor profundidad en el análisis y por tanto una mayor precisión en relación al examen que se pretende realizar en los próximos meses.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En este sentido, esperamos que la interacción entre la sociedad civil organizada afro y miembros del Comité CERD mediante vía virtual permitirá complementar y objetivar las manifestaciones del Racismo y la discriminación racial en el país.</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El presente documento pretende informar someramente sobre los temas que las sociedad civil organizada participante de la elaboración de este documento</w:t>
      </w:r>
      <w:r>
        <w:rPr>
          <w:rStyle w:val="style18"/>
        </w:rPr>
        <w:footnoteReference w:id="2"/>
      </w:r>
      <w:r>
        <w:rPr>
          <w:rFonts w:ascii="Times New Roman" w:cs="Times New Roman" w:eastAsia="Times New Roman" w:hAnsi="Times New Roman"/>
          <w:b w:val="false"/>
          <w:position w:val="0"/>
          <w:sz w:val="22"/>
          <w:sz w:val="24"/>
          <w:szCs w:val="24"/>
          <w:vertAlign w:val="baseline"/>
        </w:rPr>
        <w:t xml:space="preserve"> identifican como más relevantes en la materia. Información más exhaustiva y completa será remitida antes del  31 de octubre de 2016 en formato de Informes alternativos (o sombra). El mismo será elaborado de forma colectiva en una Jornada-Taller en la que participarán varias organizaciones y militantes afro-uruguayos/as con probada trayectoria y experiencia tanto a nivel nacional e internacional en el campo del combate al Racismo y otras formas de discriminación y la promoción de derechos de las personas afrodescendientes. Es de destacar que el informe se realizará desde un análisis interseccional buscando incorporar otros ejes de discriminación que colocan en una situación de mayor vulnerabilidad a la diversidad de personas que integran la comunidad afrodescendiente en el país, jerarquizando la interseccionalidad con el componente de género y el generacional.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Saludamos el cumplimiento del Estado uruguayo en dar respuesta al CERD y retomar la presentación de forma periódica de informes ante este Comité.</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Queremos hacer especial mención a la presencia de la temática afrodescendiente en los informes presentados por el Ministerio de Relaciones Exteriores ante los organismos internacionales (Naciones Unidas y O.E.A.), por la relevancia de la información, aunque en un proceso incipiente o de primera generación</w:t>
      </w:r>
      <w:r>
        <w:rPr>
          <w:rStyle w:val="style18"/>
        </w:rPr>
        <w:footnoteReference w:id="3"/>
      </w:r>
      <w:r>
        <w:rPr>
          <w:rFonts w:ascii="Times New Roman" w:cs="Times New Roman" w:eastAsia="Times New Roman" w:hAnsi="Times New Roman"/>
          <w:sz w:val="24"/>
          <w:szCs w:val="24"/>
        </w:rPr>
        <w:t>. Esto da cuenta que la temática es parte de una agenda de gobierno "externa" en el conjunto de acciones que viene desarrollando el gobierno nacional en los últimos años en derechos humanos.</w:t>
      </w:r>
      <w:r>
        <w:rPr>
          <w:rStyle w:val="style18"/>
        </w:rPr>
        <w:footnoteReference w:id="4"/>
      </w:r>
      <w:r>
        <w:rPr>
          <w:rFonts w:ascii="Times New Roman" w:cs="Times New Roman" w:eastAsia="Times New Roman" w:hAnsi="Times New Roman"/>
          <w:sz w:val="24"/>
          <w:szCs w:val="24"/>
        </w:rPr>
        <w:t xml:space="preserve"> Cuando decimos externa nos referimos que no necesariamente la presencia de la temática afrodescendiente tiene el mismo peso a nivel doméstico que lo que tiene a nivel de la imagen que el país quiere brindar a nivel internacional. </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 xml:space="preserve">Así lo expresa el “Reporte Social 2015” elaborado por la Oficina de Planeamiento y Presupuesto y el MIDES en el capítulo referido a la “Población Afrodescendiente”: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i/>
          <w:sz w:val="24"/>
          <w:szCs w:val="24"/>
        </w:rPr>
        <w:t>“</w:t>
      </w:r>
      <w:r>
        <w:rPr>
          <w:rFonts w:ascii="Times New Roman" w:cs="Times New Roman" w:eastAsia="Times New Roman" w:hAnsi="Times New Roman"/>
          <w:i/>
          <w:sz w:val="24"/>
          <w:szCs w:val="24"/>
        </w:rPr>
        <w:t xml:space="preserve">Pese a que numerosos estudios describen y analizan la desigualdad por condición racial, y confirman la vigencia de la discriminación por el color de piel como un problema social de consecuencias objetivas en términos de participación laboral, ingresos e integración social (De Grande y Salvia, 2011), la discriminación racial resulta de difícil reconocimiento en la sociedad uruguaya. Hasta el año 2005 la cuestión racial permaneció prácticamente ausente tanto de la agenda política como de la académica. Tal como señalan Bucheli y Cabella (2007),los principales diagnósticos sobre la situación socioeconómica de los uruguayos no incluían la ascendencia racial entre las dimensiones asociadas a la exclusión y la pobreza. Esta situación contribuyó a «una “invisibilidad” de los problemas de raza y racismo en Uruguay, y una falta de políticas para abordar el tema» (Ortuño, 2008: 2). Si bien desde los años ochenta existe una creciente producción de documentos que abordan la situación de los afrouruguayos y la discriminación racial —fundamentalmente desde el movimiento negro— (Bucheli y Cabella, 2007), la ausencia de información estadística oficial que relevara la ascendencia racial de las personas imposibilitaba otro tipo de estudios.” </w:t>
      </w:r>
      <w:r>
        <w:rPr>
          <w:rFonts w:ascii="Times New Roman" w:cs="Times New Roman" w:eastAsia="Times New Roman" w:hAnsi="Times New Roman"/>
          <w:sz w:val="24"/>
          <w:szCs w:val="24"/>
        </w:rPr>
        <w:t>(Reporte Social 2015: 281)</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A pesar de la abundante producción de información estadística que incorporan la dimensión étnico-racial procedente de diversas fuentes como ser:</w:t>
      </w:r>
    </w:p>
    <w:p>
      <w:pPr>
        <w:pStyle w:val="style0"/>
        <w:widowControl w:val="false"/>
        <w:spacing w:after="0" w:before="0" w:line="100" w:lineRule="atLeast"/>
        <w:contextualSpacing w:val="false"/>
        <w:jc w:val="both"/>
      </w:pPr>
      <w:r>
        <w:rPr/>
      </w:r>
    </w:p>
    <w:p>
      <w:pPr>
        <w:pStyle w:val="style0"/>
        <w:widowControl w:val="false"/>
        <w:numPr>
          <w:ilvl w:val="0"/>
          <w:numId w:val="3"/>
        </w:numPr>
        <w:spacing w:after="0" w:before="0" w:line="100" w:lineRule="atLeast"/>
        <w:contextualSpacing w:val="false"/>
        <w:jc w:val="both"/>
      </w:pPr>
      <w:r>
        <w:rPr>
          <w:rFonts w:ascii="Times New Roman" w:cs="Times New Roman" w:eastAsia="Times New Roman" w:hAnsi="Times New Roman"/>
          <w:sz w:val="24"/>
          <w:szCs w:val="24"/>
        </w:rPr>
        <w:t xml:space="preserve">Censo </w:t>
        <w:tab/>
        <w:t>estiantil en la  Universidad de la Republica en formularios de ingreso, egreso y posgrado</w:t>
      </w:r>
    </w:p>
    <w:p>
      <w:pPr>
        <w:pStyle w:val="style0"/>
        <w:widowControl w:val="false"/>
        <w:numPr>
          <w:ilvl w:val="0"/>
          <w:numId w:val="3"/>
        </w:numPr>
        <w:spacing w:after="0" w:before="0" w:line="100" w:lineRule="atLeast"/>
        <w:contextualSpacing w:val="false"/>
        <w:jc w:val="both"/>
      </w:pPr>
      <w:r>
        <w:rPr>
          <w:rFonts w:ascii="Times New Roman" w:cs="Times New Roman" w:eastAsia="Times New Roman" w:hAnsi="Times New Roman"/>
          <w:sz w:val="24"/>
          <w:szCs w:val="24"/>
        </w:rPr>
        <w:t>Censo estudiantil del Consejo de formación en educación – CFE</w:t>
      </w:r>
    </w:p>
    <w:p>
      <w:pPr>
        <w:pStyle w:val="style0"/>
        <w:widowControl w:val="false"/>
        <w:numPr>
          <w:ilvl w:val="0"/>
          <w:numId w:val="3"/>
        </w:numPr>
        <w:spacing w:after="0" w:before="0" w:line="100" w:lineRule="atLeast"/>
        <w:contextualSpacing w:val="false"/>
        <w:jc w:val="both"/>
      </w:pPr>
      <w:r>
        <w:rPr>
          <w:rFonts w:ascii="Times New Roman" w:cs="Times New Roman" w:eastAsia="Times New Roman" w:hAnsi="Times New Roman"/>
          <w:sz w:val="24"/>
          <w:szCs w:val="24"/>
        </w:rPr>
        <w:t xml:space="preserve">Incorporación de la variable étnico-racial en registros de consultas o ususarios de los diferentes programas sociales implementados por el MIDES </w:t>
      </w:r>
    </w:p>
    <w:p>
      <w:pPr>
        <w:pStyle w:val="style0"/>
        <w:widowControl w:val="false"/>
        <w:numPr>
          <w:ilvl w:val="0"/>
          <w:numId w:val="3"/>
        </w:numPr>
        <w:spacing w:after="0" w:before="0" w:line="100" w:lineRule="atLeast"/>
        <w:contextualSpacing w:val="false"/>
        <w:jc w:val="both"/>
      </w:pPr>
      <w:r>
        <w:rPr>
          <w:rFonts w:ascii="Times New Roman" w:cs="Times New Roman" w:eastAsia="Times New Roman" w:hAnsi="Times New Roman"/>
          <w:sz w:val="24"/>
          <w:szCs w:val="24"/>
        </w:rPr>
        <w:t xml:space="preserve">Relevamiento de las fichas de atención que incorpora la variable étnico racial de las policlínicas barriales que dependen de  la Intendencia de Montevideo.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bCs/>
          <w:sz w:val="24"/>
          <w:szCs w:val="24"/>
        </w:rPr>
        <w:t>Preocupa la no disponibilidad de datos desagregados emanados de mecanismos creados específicamente para estos fines, lo que impide desarrollar procesos de política pública y realizar el seguimiento y monitoreo de la evoluciónn de la población afro en estos ámbitos.</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 xml:space="preserve"> </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D</w:t>
      </w:r>
      <w:r>
        <w:rPr>
          <w:rFonts w:ascii="Times New Roman" w:cs="Times New Roman" w:eastAsia="Times New Roman" w:hAnsi="Times New Roman"/>
          <w:sz w:val="24"/>
          <w:szCs w:val="24"/>
        </w:rPr>
        <w:t>e acuerdo al Censo 2011 puede decirse que aproximadamente un 8 % de la población uruguaya considera tener ascendencia racial afro y un 5 % considera que esta es su ascendencia principal, con lo que se constituye en la minoría racial más numerosa del país. El peso relativo de la población afro varía según departamentos. Los departamentos del norte del país ubicados en la frontera con Brasil son los que presentan mayor proporción —Rivera y Artigas (17 %)—. Un segundo grupo</w:t>
        <w:br/>
        <w:t>de departamentos, integrado por Cerro Largo (11 %), Tacuarembó (10 %), Salto (9 %), Montevideo (9 %) y Treinta y Tres (8 %), presenta valores por encima del porcentaje nacional. A este segundo grupo pueden sumarse Canelones y Rocha (7,5 % y 7 %). En el otro extremo, Colonia (3 %), Soriano (3,3 %) y Flores (3,6 %) son los que presentan la proporción más baja.</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sz w:val="24"/>
          <w:szCs w:val="24"/>
        </w:rPr>
        <w:t>P</w:t>
      </w:r>
      <w:r>
        <w:rPr>
          <w:rFonts w:ascii="Times New Roman" w:cs="Times New Roman" w:eastAsia="Times New Roman" w:hAnsi="Times New Roman"/>
          <w:b/>
          <w:sz w:val="24"/>
          <w:szCs w:val="24"/>
        </w:rPr>
        <w:t>reocupa la escasa desagregación de datos sobre las poblaciones del área rural de la región norte del país, en particular aquellas con poblaciòn menor a los 5.000 pobladores, muchos de los cuales están habitados principalmente por población afrodescendiente. Simultáneamente preocupa la falta de instrumentos para hacer efectivo en estas poblaciones las acciones de acción afirmativas en particular la instrumentación de la ley 19.122.</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L</w:t>
      </w:r>
      <w:r>
        <w:rPr>
          <w:rFonts w:ascii="Times New Roman" w:cs="Times New Roman" w:eastAsia="Times New Roman" w:hAnsi="Times New Roman"/>
          <w:sz w:val="24"/>
          <w:szCs w:val="24"/>
        </w:rPr>
        <w:t xml:space="preserve">a distribución de la población afrodescendiente por sexo no difiere de la que registra el resto de la población. uruguaya. Sin embargo, sí se aprecian diferencias si se estudia la distribución por grandes grupos de edad. </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 xml:space="preserve">La distribución de la población afro por grupos de edad presenta porcentajes más altos que la no afro en todas las cohortes menores de 45 años. Esta diferencia se hace especialmente notoria en el primer grupo (de 0 a 12 años), que constituye el 21,3 % de la población afrodescendiente del país y el 18,3 % en la no afro. En la cohorte más vieja, el peso de los afrodescendientes es menor que entre los no afro. Mientras un 14,6 % de la población no afro tiene 65 años o más, en la población afro el porcentaje se ubica en 8,1 %. Esta última es la diferencia más destacable en cuanto a estructura etaria. </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En el estudio “La población afrodescendiente en Uruguay desde una perspectiva de género” que caracteriza la situación socio-demográfica de la población afrodescendiente se muestra una menor esperanza de vida de este grupo étnico-racial, destacándose el hecho de que la población afro no presenta los patrones de envejecimiento que caracteriza al resto de la población uruguaya.</w:t>
        <w:br/>
        <w:t>Señalan Buchelli y Cabella</w:t>
      </w:r>
      <w:r>
        <w:rPr>
          <w:rStyle w:val="style18"/>
        </w:rPr>
        <w:footnoteReference w:id="5"/>
      </w:r>
      <w:r>
        <w:rPr>
          <w:rFonts w:ascii="Times New Roman" w:cs="Times New Roman" w:eastAsia="Times New Roman" w:hAnsi="Times New Roman"/>
          <w:sz w:val="24"/>
          <w:szCs w:val="24"/>
        </w:rPr>
        <w:t xml:space="preserve"> que si bien en Uruguay no se elaboran tasas de mortalidad según sectores sociales, la tazas de viudez de las mujeres afro y de los varones afro, a partir de los 50 años de edad es sistemáticamente mayor que el de las mujeres y varones blancos, lo que sugiere un nivel más elevado de mortalidad en ese grupo.</w:t>
      </w:r>
    </w:p>
    <w:p>
      <w:pPr>
        <w:pStyle w:val="style0"/>
        <w:widowControl w:val="false"/>
        <w:spacing w:after="0" w:before="0" w:line="100" w:lineRule="atLeast"/>
        <w:contextualSpacing w:val="false"/>
        <w:jc w:val="both"/>
      </w:pPr>
      <w:r>
        <w:rPr>
          <w:rFonts w:ascii="Times New Roman" w:cs="Times New Roman" w:eastAsia="Times New Roman" w:hAnsi="Times New Roman"/>
          <w:b/>
          <w:sz w:val="24"/>
          <w:szCs w:val="24"/>
        </w:rPr>
        <w:br/>
      </w:r>
      <w:r>
        <w:rPr>
          <w:rFonts w:ascii="Times New Roman" w:cs="Times New Roman" w:eastAsia="Times New Roman" w:hAnsi="Times New Roman"/>
          <w:b/>
          <w:sz w:val="24"/>
          <w:szCs w:val="24"/>
        </w:rPr>
        <w:t>P</w:t>
      </w:r>
      <w:r>
        <w:rPr>
          <w:rFonts w:ascii="Times New Roman" w:cs="Times New Roman" w:eastAsia="Times New Roman" w:hAnsi="Times New Roman"/>
          <w:b/>
          <w:sz w:val="24"/>
          <w:szCs w:val="24"/>
        </w:rPr>
        <w:t>reocupa  la falta de aplicación de acciones positivas en los ámbitos de protección social, desarrollo socio-económico y específicamente en el ámbito de la salud, que permitan que la comunidad afro-uruguaya pueda desarrollarse integralmente, mejorando los niveles de calidad de vida y por tanto su esperanza de vida. Preocupan los niveles de morbilidad de la comunidad afro-uruguaya a edades comparativamente más tempranas que el resto de la población.</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bCs w:val="false"/>
          <w:sz w:val="24"/>
          <w:szCs w:val="24"/>
        </w:rPr>
        <w:t>S</w:t>
      </w:r>
      <w:r>
        <w:rPr>
          <w:rFonts w:ascii="Times New Roman" w:cs="Times New Roman" w:eastAsia="Times New Roman" w:hAnsi="Times New Roman"/>
          <w:b w:val="false"/>
          <w:bCs w:val="false"/>
          <w:sz w:val="24"/>
          <w:szCs w:val="24"/>
        </w:rPr>
        <w:t>egún</w:t>
      </w:r>
      <w:r>
        <w:rPr>
          <w:rFonts w:ascii="Times New Roman" w:cs="Times New Roman" w:eastAsia="Times New Roman" w:hAnsi="Times New Roman"/>
          <w:sz w:val="24"/>
          <w:szCs w:val="24"/>
        </w:rPr>
        <w:t xml:space="preserve"> datos 2015 del INE aproximadamente el 11,5% de la población es afrodescendiente. “La situación de pobreza para las personas que declaran ser afrodescendientes es de 13,6 puntos porcentuales superior a la incidencia de la pobreza para quienes declaran tener ascendencia blanca, en el total del país. La mayor diferencia en la situación de pobreza entre afrodescendientes y personas con ascendencia blanca se registra en Montevideo, donde la distancia es del orden de 20, 8 puntos porcentuales. En el período 2006 a 2015 se observa una disminución constante de la pobreza entre quienes declaran ascendencia afrodescendiente. No obstante lo anterior, en aquellos que declaran considerarse blancos la disminución de la pobreza es a la tercera parte aproximadamente , en tanto entre los que indican ser afrodescendientes la disminución es algo menos de la mitad.” (INE, 2015)</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 xml:space="preserve">Los datos anteriores nos muestran cómo si bien en los últimos 10 años ha bajado la pobreza, ha disminuido mucho menos que lo que disminuyó en la población blanca. Entonces, aunque bajó la pobreza en la comunidad afro aumentó la brecha y la desigualdad entre la población afro y el resto de la población. Es decir, que la comunidad afro es ahora más desigual que el resto de la población.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sz w:val="24"/>
          <w:szCs w:val="24"/>
        </w:rPr>
        <w:t>P</w:t>
      </w:r>
      <w:r>
        <w:rPr>
          <w:rFonts w:ascii="Times New Roman" w:cs="Times New Roman" w:eastAsia="Times New Roman" w:hAnsi="Times New Roman"/>
          <w:b/>
          <w:sz w:val="24"/>
          <w:szCs w:val="24"/>
        </w:rPr>
        <w:t>reocupa que nos se haya incorporado el enfoque étnico-racial en las políticas de combate a la pobreza.  Preocupa que no se ha desarrollado un proceso de política política en función de las verdaderas necesidades y demandas de la población afro y brinde soluciones concretas que logren revertir la desigualdad producto del impacto del Racismo en nuestra comunidad.</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Según datos de UNICEF, la pobreza de los niños y adolescentes afrodescendientes mantiene una sostenida brecha con el resto de los niños y adolescentes de la sociedad en general. Esta pobreza se ha sostenido desde el 2006 al 2015 a pesar de las políticas de erradicación de la  pobreza.</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Los últimos datos indican que la pobreza en los niños, niñas y adolescentes afrodescendientes es de 31.8% siendo el resto de los niños, niñasy adolescentes es de 15.9%</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drawing>
          <wp:inline distB="0" distL="0" distR="0" distT="0">
            <wp:extent cx="4152900" cy="5842000"/>
            <wp:effectExtent b="0" l="0" r="0" t="0"/>
            <wp:docPr descr="https://lh6.googleusercontent.com/I-HTCmHdnwpqTVTwYuWhf2ZX0acYvtrp37c25UXYwJTMpmuM601hsmKk6hgdCGPcJxSE0g_sWGVebxQtdvhQXmgY186Fwm00MSy-Rm5zdX9F-HpFYQgUothTDr3A8bEbbDUiC0cB" id="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s://lh6.googleusercontent.com/I-HTCmHdnwpqTVTwYuWhf2ZX0acYvtrp37c25UXYwJTMpmuM601hsmKk6hgdCGPcJxSE0g_sWGVebxQtdvhQXmgY186Fwm00MSy-Rm5zdX9F-HpFYQgUothTDr3A8bEbbDUiC0cB" id="0" name="Picture"/>
                    <pic:cNvPicPr>
                      <a:picLocks noChangeArrowheads="1" noChangeAspect="1"/>
                    </pic:cNvPicPr>
                  </pic:nvPicPr>
                  <pic:blipFill>
                    <a:blip r:embed="rId2"/>
                    <a:srcRect/>
                    <a:stretch>
                      <a:fillRect/>
                    </a:stretch>
                  </pic:blipFill>
                  <pic:spPr bwMode="auto">
                    <a:xfrm>
                      <a:off x="0" y="0"/>
                      <a:ext cx="4152900" cy="5842000"/>
                    </a:xfrm>
                    <a:prstGeom prst="rect">
                      <a:avLst/>
                    </a:prstGeom>
                    <a:noFill/>
                    <a:ln w="9525">
                      <a:noFill/>
                      <a:miter lim="800000"/>
                      <a:headEnd/>
                      <a:tailEnd/>
                    </a:ln>
                  </pic:spPr>
                </pic:pic>
              </a:graphicData>
            </a:graphic>
          </wp:inline>
        </w:drawing>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bCs/>
          <w:sz w:val="24"/>
          <w:szCs w:val="24"/>
        </w:rPr>
        <w:t>Preocupa que no se incorpore el enfoque étnico-racial en las políticas de infancia y adolescencia y que con las políticas de combate a la pobreza no se haya podido revertir estas brechas que impactan en el presente y en las oportunidades futuras de este sector.</w:t>
      </w:r>
    </w:p>
    <w:p>
      <w:pPr>
        <w:pStyle w:val="style0"/>
        <w:widowControl w:val="false"/>
        <w:spacing w:after="0" w:before="0" w:line="100" w:lineRule="atLeast"/>
        <w:contextualSpacing w:val="false"/>
        <w:jc w:val="both"/>
      </w:pPr>
      <w:r>
        <w:rPr>
          <w:b/>
          <w:bCs/>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bCs w:val="false"/>
          <w:sz w:val="24"/>
          <w:szCs w:val="24"/>
        </w:rPr>
        <w:t>S</w:t>
      </w:r>
      <w:r>
        <w:rPr>
          <w:rFonts w:ascii="Times New Roman" w:cs="Times New Roman" w:eastAsia="Times New Roman" w:hAnsi="Times New Roman"/>
          <w:b w:val="false"/>
          <w:bCs w:val="false"/>
          <w:sz w:val="24"/>
          <w:szCs w:val="24"/>
        </w:rPr>
        <w:t>egún datos elaborados por UNICEF difundidos a partir del estudio “La universalización de la educación media en Uruguay. Tendencias, asignaturas pendientes y retos a futuro“,</w:t>
      </w:r>
      <w:r>
        <w:rPr>
          <w:rStyle w:val="style18"/>
          <w:rStyle w:val="style18"/>
          <w:b w:val="false"/>
          <w:bCs w:val="false"/>
          <w:sz w:val="24"/>
          <w:szCs w:val="24"/>
        </w:rPr>
        <w:footnoteReference w:id="6"/>
      </w:r>
      <w:r>
        <w:rPr>
          <w:rFonts w:ascii="Times New Roman" w:cs="Times New Roman" w:eastAsia="Times New Roman" w:hAnsi="Times New Roman"/>
          <w:b w:val="false"/>
          <w:bCs w:val="false"/>
          <w:sz w:val="24"/>
          <w:szCs w:val="24"/>
        </w:rPr>
        <w:t xml:space="preserve"> “.. sólo el 38,8 % de los/as jóvenes afrodescendientes de entre 21 y 29 años de edad manifestaba que había culminado el ciclo básico de educación media, frente al 67,4 % registrado en el resto de la población en dicho tramo de edad. Asimismo, solo el 11,9 % de los/as jóvenes afrodescendientes de entre 21 y 29 años de edad ha completado la educación media superior, frente al 35,4 % registrado en el resto de la población en este tramo de edad.” Además, el estudio afirma que “independientemente del nivel socioeconómico de las personas, aquellos que son o manifiestan ser afrodescendientes abandonan en mayor medida el sistema educativo, lo que se traduce en menores tasas de finalización o egreso en cada uno de los subsistemas o niveles de enseñanza: primaria, media básica y media superior.” (UNICEF, 2010:30)</w:t>
      </w:r>
    </w:p>
    <w:p>
      <w:pPr>
        <w:pStyle w:val="style0"/>
        <w:widowControl w:val="false"/>
        <w:spacing w:after="0" w:before="0" w:line="200" w:lineRule="atLeast"/>
        <w:contextualSpacing w:val="false"/>
        <w:jc w:val="both"/>
      </w:pPr>
      <w:r>
        <w:rPr>
          <w:rFonts w:ascii="Times New Roman" w:cs="Times New Roman" w:eastAsia="Times New Roman" w:hAnsi="Times New Roman"/>
          <w:b/>
          <w:bCs/>
          <w:sz w:val="24"/>
          <w:szCs w:val="24"/>
        </w:rPr>
        <w:t>Preocupa las faltas de garantías existentes en relación al ejercicio del derecho a la educación para la comunidad afrodescendiente.</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Según datos de INMUJERES, en el 2013 se relevó la violencia basada en género en el ámbito de la pareja o ex-pareja, en el ámbito laboral, educativo, familiar y en espacios públicos.</w:t>
        <w:br/>
        <w:t xml:space="preserve">Al analizar la prevalencia de violencia basada en género se observa que casi 8 de cada diez mujeres afro a pasado por alguna situación de violencia en alguno de estos ámbitos. En el caso de las mujeres no afro 7 de cada diez han pasado por alguna de estas situaciones. </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La Violencia Basada en Género en el ámbito social es el más habitual tanto para mujeres afro como para mujeres no afro. La totalidad de la violencia perpetrada en este ámbito es de tipo sexual. El 35% de las mujeres no afro han pasado por alguna situación de VBG en este ámbito, mientras que 43% de las mujeres afro han pasado.</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br/>
        <w:t>El ámbito educativo es aquel que tiene la menor prevalencia. Sin embargo es importante destacar que 16% de las mujeres afro pasaron por alguna situación de VBG en el ámbito educativo. Entre las mujeres no afro, este valor desciende a la mitad, representando el ámbito con mayor brecha.</w:t>
      </w:r>
    </w:p>
    <w:p>
      <w:pPr>
        <w:pStyle w:val="style0"/>
        <w:widowControl w:val="false"/>
        <w:spacing w:after="0" w:before="0" w:line="100" w:lineRule="atLeast"/>
        <w:contextualSpacing w:val="false"/>
        <w:jc w:val="both"/>
      </w:pPr>
      <w:r>
        <w:rPr>
          <w:rFonts w:ascii="Times New Roman" w:cs="Times New Roman" w:eastAsia="Times New Roman" w:hAnsi="Times New Roman"/>
          <w:sz w:val="24"/>
          <w:szCs w:val="24"/>
        </w:rPr>
        <w:t>En todos los ámbitos (educativo, social, laboral) existe una mayor prevalencia de la Violencia Basada en Género para las mujeres afro</w:t>
      </w:r>
      <w:r>
        <w:rPr>
          <w:rFonts w:ascii="Times New Roman" w:cs="Times New Roman" w:eastAsia="Times New Roman" w:hAnsi="Times New Roman"/>
          <w:sz w:val="24"/>
          <w:szCs w:val="24"/>
        </w:rPr>
        <w:t>´`ñ</w:t>
      </w:r>
      <w:r>
        <w:rPr>
          <w:rFonts w:ascii="Times New Roman" w:cs="Times New Roman" w:eastAsia="Times New Roman" w:hAnsi="Times New Roman"/>
          <w:sz w:val="24"/>
          <w:szCs w:val="24"/>
        </w:rPr>
        <w:t xml:space="preserve">, </w:t>
      </w:r>
      <w:r>
        <w:rPr>
          <w:rFonts w:ascii="Times New Roman" w:cs="Times New Roman" w:eastAsia="Times New Roman" w:hAnsi="Times New Roman"/>
          <w:b/>
          <w:sz w:val="24"/>
          <w:szCs w:val="24"/>
        </w:rPr>
        <w:t>preocupa que en el “Plan de Acción 2016-2019: Por una vida libre de violencia basada en género con mirada generacional” que lidera el INMUJERES y se desarrolla a partir del del Consejo Consultivo de Lucha contra la Violencia Doméstica, no se contemple la pertenencia étnico- racial como un agravante a la violencia basada en género que padecen las mujeres afrodescendientes. Sería importante visibilizar en este marco los efectos de la violencia racial como un agravante de las situaciones de violencia que las mujeres afro atraviesan.</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hAnsi="Times New Roman"/>
          <w:sz w:val="24"/>
          <w:szCs w:val="24"/>
        </w:rPr>
        <w:t>No se cuenta con datos desagregados sobre situación de personas afrodescendientes en el sistema penitenciario uruguayo. En el último censo nacional de reclusos, realizados en el año 2010, no se incluyó la pregunta sobre la autopercepción de la pertenencia étnico-racial a los reclusos censados.</w:t>
      </w:r>
      <w:r>
        <w:rPr>
          <w:rFonts w:ascii="Times New Roman" w:hAnsi="Times New Roman"/>
        </w:rPr>
        <w:t xml:space="preserve"> </w:t>
      </w:r>
      <w:hyperlink r:id="rId3">
        <w:r>
          <w:rPr>
            <w:rStyle w:val="style17"/>
            <w:rFonts w:ascii="Times New Roman" w:hAnsi="Times New Roman"/>
          </w:rPr>
          <w:t>https://www.tni.org/files/censo_reclusos_dic.pdf</w:t>
        </w:r>
      </w:hyperlink>
    </w:p>
    <w:p>
      <w:pPr>
        <w:pStyle w:val="style0"/>
        <w:widowControl w:val="false"/>
        <w:spacing w:after="0" w:before="0" w:line="100" w:lineRule="atLeast"/>
        <w:contextualSpacing w:val="false"/>
        <w:jc w:val="both"/>
      </w:pPr>
      <w:r>
        <w:rPr>
          <w:rFonts w:ascii="Times New Roman" w:hAnsi="Times New Roman"/>
        </w:rPr>
      </w:r>
    </w:p>
    <w:p>
      <w:pPr>
        <w:pStyle w:val="style0"/>
        <w:widowControl w:val="false"/>
        <w:spacing w:after="0" w:before="0" w:line="100" w:lineRule="atLeast"/>
        <w:contextualSpacing w:val="false"/>
        <w:jc w:val="both"/>
      </w:pPr>
      <w:r>
        <w:rPr>
          <w:rFonts w:ascii="Times New Roman" w:hAnsi="Times New Roman"/>
          <w:b/>
          <w:bCs/>
        </w:rPr>
        <w:t>Preocupa esta situación que impide la generación y aplicación de programas destinados a esta población en el marco nacional.</w:t>
      </w:r>
      <w:r>
        <w:rPr>
          <w:rFonts w:ascii="Times New Roman" w:hAnsi="Times New Roman"/>
        </w:rPr>
        <w:t xml:space="preserve"> </w:t>
      </w:r>
      <w:hyperlink r:id="rId4">
        <w:r>
          <w:rPr>
            <w:rStyle w:val="style17"/>
            <w:rFonts w:ascii="Times New Roman" w:hAnsi="Times New Roman"/>
          </w:rPr>
          <w:t>https://www.tni.org/files/censo_reclusos_dic.pdf</w:t>
        </w:r>
      </w:hyperlink>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S</w:t>
      </w:r>
      <w:r>
        <w:rPr>
          <w:rFonts w:ascii="Times New Roman" w:cs="Times New Roman" w:eastAsia="Times New Roman" w:hAnsi="Times New Roman"/>
          <w:b w:val="false"/>
          <w:position w:val="0"/>
          <w:sz w:val="22"/>
          <w:sz w:val="24"/>
          <w:szCs w:val="24"/>
          <w:vertAlign w:val="baseline"/>
        </w:rPr>
        <w:t xml:space="preserve">i observamos en perspectiva, a inicios de 2015, del punto de vista institucional se pueden identificar dos procesos distintos. Por un lado,  la creación por parte del gobierno nacional, a partir de 2005, de diversos Mecanismos de Equidad Racial (MER) con competencias para formular políticas para la equidad étnico-racial enfocadas en la población afrodescendientes; por otro, la existencia de ciertos déficits de capacidades institucionales adecuadas para la gestión. </w:t>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 xml:space="preserve">En la primera dirección, efectivamente puede decirse que uno de los logros alcanzados, de 2005 a la fecha, ha sido la presencia del tema afrodescendiente en la agenda institucional (o de gobierno). En ese sentido, debe mencionarse la creación, como una de las primeras, de la Unidad Temática para  los Derechos de los Afrodescendientes, en el ámbito de la Intendencia Municipal de Montevideo (IMM) (2004), que comenzó a ejecutar sus primeras acciones en el año subsiguiente. Luego, fueron creadas otras unidades institucionales (UI) de distinto nivel y alcance político administrativo, incluyendo una asesoría presidencial honoraria (Presidencia de la </w:t>
      </w:r>
      <w:r>
        <w:rPr>
          <w:rFonts w:ascii="Times New Roman" w:cs="Times New Roman" w:eastAsia="Times New Roman" w:hAnsi="Times New Roman"/>
          <w:b w:val="false"/>
          <w:position w:val="0"/>
          <w:sz w:val="22"/>
          <w:sz w:val="24"/>
          <w:szCs w:val="24"/>
          <w:vertAlign w:val="baseline"/>
        </w:rPr>
        <w:t>República</w:t>
      </w:r>
      <w:r>
        <w:rPr>
          <w:rFonts w:ascii="Times New Roman" w:cs="Times New Roman" w:eastAsia="Times New Roman" w:hAnsi="Times New Roman"/>
          <w:b w:val="false"/>
          <w:position w:val="0"/>
          <w:sz w:val="22"/>
          <w:sz w:val="24"/>
          <w:szCs w:val="24"/>
          <w:vertAlign w:val="baseline"/>
        </w:rPr>
        <w:t xml:space="preserve">). Esta modalidad de desarrollo institucional "por aluvión"  en el ámbito público (no exclusiva de las políticas para afrodescendientes) generó dos movimientos. El primero, de dispersión y en algunos casos,  yuxtaposición de competencias institucionales, y el segundo, de déficit de coordinación inter-institucional que permitiera la construcción de una agenda de trabajo específica. Uno de los resultados “no deseados” de ambos movimientos, fue la dificultad de implementar políticas sustentables de largo plazo, eficaces y de alto impacto para la reducción de la brecha estructural existente entre la población afrodescendiente y no afro.     </w:t>
      </w:r>
    </w:p>
    <w:p>
      <w:pPr>
        <w:pStyle w:val="style0"/>
        <w:widowControl w:val="false"/>
        <w:spacing w:after="0" w:before="0" w:line="100" w:lineRule="atLeast"/>
        <w:contextualSpacing w:val="false"/>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El segundo proceso, referido a la dirección del desarrollo de  las capacidades institucionales</w:t>
      </w:r>
      <w:r>
        <w:rPr>
          <w:rStyle w:val="style18"/>
        </w:rPr>
        <w:footnoteReference w:id="7"/>
      </w:r>
      <w:r>
        <w:rPr>
          <w:rFonts w:ascii="Times New Roman" w:cs="Times New Roman" w:eastAsia="Times New Roman" w:hAnsi="Times New Roman"/>
          <w:b w:val="false"/>
          <w:position w:val="0"/>
          <w:sz w:val="22"/>
          <w:sz w:val="24"/>
          <w:szCs w:val="24"/>
          <w:vertAlign w:val="baseline"/>
        </w:rPr>
        <w:t xml:space="preserve"> generó resultados distintos a los mencionados anteriormente. A la fecha se puede identificar, por lo menos,  la existencia de cuatro tipos de déficits institucionales. Primero, el financiero-presupuestal para la ejecución de políticas para la equidad étnico-racial. Segundo, la falta una adecuada relevancia y jerarquía de las políticas para la equidad étnico-racial en el conjunto de los diversos “issues” de las políticas públicas sectoriales. Tercero, una sensible disminución de la cantidad de MER existentes, que pasaron de 11 a 3, al final del período de gobierno pasado. Cuarto, la falta de una agenda clara de políticas públicas para la equidad étnico-racial, factible de ejecución.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 xml:space="preserve">Si observadas en su totalidad, las políticas para afrodescendientes implementadas a la fecha, pueden agruparse en dos subconjuntos: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Fonts w:ascii="Times New Roman" w:cs="Times New Roman" w:eastAsia="Times New Roman" w:hAnsi="Times New Roman"/>
          <w:b w:val="false"/>
          <w:position w:val="0"/>
          <w:sz w:val="22"/>
          <w:sz w:val="24"/>
          <w:szCs w:val="24"/>
          <w:vertAlign w:val="baseline"/>
        </w:rPr>
        <w:t xml:space="preserve">Primero,  acciones de </w:t>
      </w:r>
      <w:r>
        <w:rPr>
          <w:rFonts w:ascii="Times New Roman" w:cs="Times New Roman" w:eastAsia="Times New Roman" w:hAnsi="Times New Roman"/>
          <w:b/>
          <w:position w:val="0"/>
          <w:sz w:val="22"/>
          <w:sz w:val="24"/>
          <w:szCs w:val="24"/>
          <w:vertAlign w:val="baseline"/>
        </w:rPr>
        <w:t>concientización</w:t>
      </w:r>
      <w:r>
        <w:rPr>
          <w:rFonts w:ascii="Times New Roman" w:cs="Times New Roman" w:eastAsia="Times New Roman" w:hAnsi="Times New Roman"/>
          <w:b w:val="false"/>
          <w:position w:val="0"/>
          <w:sz w:val="22"/>
          <w:sz w:val="24"/>
          <w:szCs w:val="24"/>
          <w:vertAlign w:val="baseline"/>
        </w:rPr>
        <w:t xml:space="preserve"> como ser: campañas de difusión; aumento de la masa crítica; realización de estudios y diagnósticos; realización de eventos técnicos y académicos dirigidos al desarrollo del fortalecimiento de la temática; avances  significativos  en la elaboración de datos sobre el tema, eventos de capacitación, encuentros temáticos, etc. Particularmente debe destacarse en este conjunto, el trabajo desarrollado por la Dirección Nacional de Políticas Sociales (actual Dirección Nacional de Políticas Socio-culturales) y el Departamento de las Mujeres Afrodescendientes del INMUJERE, ambas inscriptas en el MIDES. Entre otras acciones desarrollaron las siguientes: el proyecto denominado Quilombo;  la firma del Convenio MEC-Mundo Afro, que promovió la elaboración de un documento de propuestas, del que emanaron iniciativas, como el desarrollo de las denominadas “Llamadas del Norte”, la realización de un curso de post grado (Diploma) sobre Afrodescendencia y Políticas Públicas (INMUJERES/UDELAR/AECID), etc.  </w:t>
      </w:r>
    </w:p>
    <w:p>
      <w:pPr>
        <w:pStyle w:val="style0"/>
        <w:widowControl w:val="false"/>
        <w:spacing w:after="0" w:before="0" w:line="100" w:lineRule="atLeast"/>
        <w:contextualSpacing w:val="false"/>
        <w:jc w:val="both"/>
      </w:pPr>
      <w:r>
        <w:rPr/>
      </w:r>
    </w:p>
    <w:p>
      <w:pPr>
        <w:pStyle w:val="style0"/>
        <w:widowControl w:val="false"/>
        <w:numPr>
          <w:ilvl w:val="0"/>
          <w:numId w:val="2"/>
        </w:numPr>
        <w:spacing w:after="0" w:before="0" w:line="100" w:lineRule="atLeast"/>
        <w:ind w:hanging="360" w:left="720" w:right="0"/>
        <w:contextualSpacing w:val="false"/>
        <w:jc w:val="both"/>
      </w:pPr>
      <w:r>
        <w:rPr>
          <w:rFonts w:ascii="Times New Roman" w:cs="Times New Roman" w:eastAsia="Times New Roman" w:hAnsi="Times New Roman"/>
          <w:b w:val="false"/>
          <w:position w:val="0"/>
          <w:sz w:val="22"/>
          <w:sz w:val="24"/>
          <w:szCs w:val="24"/>
          <w:vertAlign w:val="baseline"/>
        </w:rPr>
        <w:t xml:space="preserve">Segundo, también fueron implementadas acciones políticas de naturaleza </w:t>
      </w:r>
      <w:r>
        <w:rPr>
          <w:rFonts w:ascii="Times New Roman" w:cs="Times New Roman" w:eastAsia="Times New Roman" w:hAnsi="Times New Roman"/>
          <w:b/>
          <w:position w:val="0"/>
          <w:sz w:val="22"/>
          <w:sz w:val="24"/>
          <w:szCs w:val="24"/>
          <w:vertAlign w:val="baseline"/>
        </w:rPr>
        <w:t>correctiva</w:t>
      </w:r>
      <w:r>
        <w:rPr>
          <w:rStyle w:val="style18"/>
        </w:rPr>
        <w:footnoteReference w:id="8"/>
      </w:r>
      <w:r>
        <w:rPr>
          <w:rFonts w:ascii="Times New Roman" w:cs="Times New Roman" w:eastAsia="Times New Roman" w:hAnsi="Times New Roman"/>
          <w:b w:val="false"/>
          <w:position w:val="0"/>
          <w:sz w:val="22"/>
          <w:sz w:val="24"/>
          <w:szCs w:val="24"/>
          <w:vertAlign w:val="baseline"/>
        </w:rPr>
        <w:t xml:space="preserve"> como las medidas de acción afirmativa, que incluye la elaboración y promulgación de la Ley 19.022 (2013), y su Reglamentación (2014), que </w:t>
      </w:r>
      <w:r>
        <w:rPr>
          <w:rFonts w:ascii="Times New Roman" w:cs="Times New Roman" w:eastAsia="Times New Roman" w:hAnsi="Times New Roman"/>
          <w:sz w:val="24"/>
          <w:szCs w:val="24"/>
        </w:rPr>
        <w:t>inició</w:t>
      </w:r>
      <w:r>
        <w:rPr>
          <w:rFonts w:ascii="Times New Roman" w:cs="Times New Roman" w:eastAsia="Times New Roman" w:hAnsi="Times New Roman"/>
          <w:b w:val="false"/>
          <w:position w:val="0"/>
          <w:sz w:val="22"/>
          <w:sz w:val="24"/>
          <w:szCs w:val="24"/>
          <w:vertAlign w:val="baseline"/>
        </w:rPr>
        <w:t xml:space="preserve"> la implementación de la anterior.</w:t>
      </w:r>
    </w:p>
    <w:p>
      <w:pPr>
        <w:pStyle w:val="style0"/>
        <w:widowControl w:val="false"/>
        <w:numPr>
          <w:ilvl w:val="0"/>
          <w:numId w:val="2"/>
        </w:numPr>
        <w:spacing w:after="0" w:before="0" w:line="100" w:lineRule="atLeast"/>
        <w:ind w:hanging="360" w:left="720" w:right="0"/>
        <w:contextualSpacing w:val="false"/>
        <w:jc w:val="both"/>
      </w:pPr>
      <w:r>
        <w:rPr>
          <w:rFonts w:ascii="Times New Roman" w:cs="Times New Roman" w:eastAsia="Times New Roman" w:hAnsi="Times New Roman"/>
          <w:b w:val="false"/>
          <w:position w:val="0"/>
          <w:sz w:val="22"/>
          <w:sz w:val="24"/>
          <w:szCs w:val="24"/>
          <w:vertAlign w:val="baseline"/>
        </w:rPr>
        <w:t xml:space="preserve">Del punto de vista de la </w:t>
      </w:r>
      <w:r>
        <w:rPr>
          <w:rFonts w:ascii="Times New Roman" w:cs="Times New Roman" w:eastAsia="Times New Roman" w:hAnsi="Times New Roman"/>
          <w:b/>
          <w:position w:val="0"/>
          <w:sz w:val="22"/>
          <w:sz w:val="24"/>
          <w:szCs w:val="24"/>
          <w:vertAlign w:val="baseline"/>
        </w:rPr>
        <w:t>participación</w:t>
      </w:r>
      <w:r>
        <w:rPr>
          <w:rFonts w:ascii="Times New Roman" w:cs="Times New Roman" w:eastAsia="Times New Roman" w:hAnsi="Times New Roman"/>
          <w:b w:val="false"/>
          <w:position w:val="0"/>
          <w:sz w:val="22"/>
          <w:sz w:val="24"/>
          <w:szCs w:val="24"/>
          <w:vertAlign w:val="baseline"/>
        </w:rPr>
        <w:t xml:space="preserve"> de la comunidad afrodescendiente, debe destacarse la realización de actividades que contaron con representantes de la misma, como por ejemplo, la elaboración de los proyectos de las Leyes 18.059, y  19.122 (Acciones Afirmativas para Afrodescendientes), la Comisión de Patrimonio de los Toques Madres/UNESCO-MEC, la Comisión Honoraria contra el Racismo (Ley 17.817),  las becas Carlos Quijano (artículo 32 de la Ley 18.046 y el decreto Nº 346/007), Grupo de Trabajo encargado de revalorización de aportes de los afrodescendientes a la historia y cultura de Uruguay (Resolución Ministerial 979/11), etc. A pesar de la exis</w:t>
      </w:r>
      <w:r>
        <w:rPr>
          <w:rFonts w:ascii="Times New Roman" w:cs="Times New Roman" w:eastAsia="Times New Roman" w:hAnsi="Times New Roman"/>
          <w:sz w:val="24"/>
          <w:szCs w:val="24"/>
        </w:rPr>
        <w:t>tencia de estos espacios, no existen espacios de co-gestión que permitan desarrollar potencializr las capacidades, conocimientos y trayectorias de cada una de las partes en el marco de un proceso de política pública.</w:t>
      </w:r>
    </w:p>
    <w:p>
      <w:pPr>
        <w:pStyle w:val="style0"/>
        <w:widowControl w:val="false"/>
        <w:spacing w:after="0" w:before="0" w:line="100" w:lineRule="atLeast"/>
        <w:ind w:hanging="0" w:left="0" w:right="0"/>
        <w:contextualSpacing w:val="false"/>
        <w:jc w:val="both"/>
      </w:pPr>
      <w:r>
        <w:rPr/>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val="false"/>
          <w:position w:val="0"/>
          <w:sz w:val="22"/>
          <w:sz w:val="24"/>
          <w:szCs w:val="24"/>
          <w:vertAlign w:val="baseline"/>
        </w:rPr>
        <w:t>Q</w:t>
      </w:r>
      <w:r>
        <w:rPr>
          <w:rFonts w:ascii="Times New Roman" w:cs="Times New Roman" w:eastAsia="Times New Roman" w:hAnsi="Times New Roman"/>
          <w:b w:val="false"/>
          <w:position w:val="0"/>
          <w:sz w:val="22"/>
          <w:sz w:val="24"/>
          <w:szCs w:val="24"/>
          <w:vertAlign w:val="baseline"/>
        </w:rPr>
        <w:t xml:space="preserve">ueremos hacer especial mención en este punto al rol jugado por el Departamento de Mujeres Afrodescendientes/INMUJERES sobre todo en el período (2005-2010)  </w:t>
      </w:r>
      <w:r>
        <w:rPr>
          <w:rFonts w:ascii="Times New Roman" w:cs="Times New Roman" w:eastAsia="Times New Roman" w:hAnsi="Times New Roman"/>
          <w:sz w:val="24"/>
          <w:szCs w:val="24"/>
        </w:rPr>
        <w:t>donde</w:t>
      </w:r>
      <w:r>
        <w:rPr>
          <w:rFonts w:ascii="Times New Roman" w:cs="Times New Roman" w:eastAsia="Times New Roman" w:hAnsi="Times New Roman"/>
          <w:b w:val="false"/>
          <w:position w:val="0"/>
          <w:sz w:val="22"/>
          <w:sz w:val="24"/>
          <w:szCs w:val="24"/>
          <w:vertAlign w:val="baseline"/>
        </w:rPr>
        <w:t xml:space="preserve"> la existencia de una institucionalidad (aunque mínima) a nivel de diferentes departamentos (Artigas, Canelones, Cerro Largo, Rocha/Chuy, Tacuarembó) fue fundamental </w:t>
      </w:r>
      <w:r>
        <w:rPr>
          <w:rFonts w:ascii="Times New Roman" w:cs="Times New Roman" w:eastAsia="Times New Roman" w:hAnsi="Times New Roman"/>
          <w:b w:val="false"/>
          <w:color w:val="000000"/>
          <w:position w:val="0"/>
          <w:sz w:val="22"/>
          <w:sz w:val="24"/>
          <w:szCs w:val="24"/>
          <w:vertAlign w:val="baseline"/>
        </w:rPr>
        <w:t>para la democratización de la temática (sobre todo en términos de autoidentificación y en término de apropiación de las conquistas del movimiento afro organizado) en el territorio, en lo relativo a la promoción de derechos y la participación de mujeres afrodescendientes como sujetas de derechos específicos.</w:t>
      </w:r>
      <w:r>
        <w:rPr>
          <w:rFonts w:ascii="Times New Roman" w:cs="Times New Roman" w:eastAsia="Times New Roman" w:hAnsi="Times New Roman"/>
          <w:b w:val="false"/>
          <w:position w:val="0"/>
          <w:sz w:val="22"/>
          <w:sz w:val="24"/>
          <w:szCs w:val="24"/>
          <w:vertAlign w:val="baseline"/>
        </w:rPr>
        <w:t xml:space="preserve"> Constituyó sin llegar a consolidarse (dado que esta acción se descontinuó a partir de 2010) en un incipiente proceso de descentralización de la temática.</w:t>
      </w:r>
      <w:r>
        <w:rPr>
          <w:rStyle w:val="style18"/>
        </w:rPr>
        <w:footnoteReference w:id="9"/>
      </w:r>
      <w:r>
        <w:rPr>
          <w:rFonts w:ascii="Times New Roman" w:cs="Times New Roman" w:eastAsia="Times New Roman" w:hAnsi="Times New Roman"/>
          <w:b w:val="false"/>
          <w:position w:val="0"/>
          <w:sz w:val="22"/>
          <w:sz w:val="24"/>
          <w:szCs w:val="24"/>
          <w:vertAlign w:val="baseline"/>
        </w:rPr>
        <w:t xml:space="preserve"> </w:t>
      </w:r>
    </w:p>
    <w:p>
      <w:pPr>
        <w:pStyle w:val="style0"/>
        <w:widowControl w:val="false"/>
        <w:spacing w:after="0" w:before="0" w:line="100" w:lineRule="atLeast"/>
        <w:ind w:hanging="0" w:left="0" w:right="0"/>
        <w:contextualSpacing w:val="false"/>
        <w:jc w:val="both"/>
      </w:pPr>
      <w:r>
        <w:rPr/>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val="false"/>
          <w:bCs/>
          <w:position w:val="0"/>
          <w:sz w:val="22"/>
          <w:sz w:val="24"/>
          <w:szCs w:val="24"/>
          <w:shd w:fill="FFFFFF" w:val="clear"/>
          <w:vertAlign w:val="baseline"/>
        </w:rPr>
        <w:t>S</w:t>
      </w:r>
      <w:r>
        <w:rPr>
          <w:rFonts w:ascii="Times New Roman" w:cs="Times New Roman" w:eastAsia="Times New Roman" w:hAnsi="Times New Roman"/>
          <w:b/>
          <w:bCs/>
          <w:sz w:val="24"/>
          <w:szCs w:val="24"/>
          <w:shd w:fill="FFFFFF" w:val="clear"/>
        </w:rPr>
        <w:t>ería importante que el Comité contribuya a resaltar la importancia de que los gobiernos locales (departamentales y municipales) comiencen a incorporar la perspectiva étnico-racial para el desarrollo de acciones de cercanía con la población afrodescendiente.</w:t>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bCs/>
          <w:sz w:val="24"/>
          <w:szCs w:val="24"/>
          <w:shd w:fill="FFFFFF" w:val="clear"/>
        </w:rPr>
        <w:t xml:space="preserve">  </w:t>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bCs/>
          <w:color w:val="000000"/>
          <w:position w:val="0"/>
          <w:sz w:val="22"/>
          <w:sz w:val="24"/>
          <w:szCs w:val="24"/>
          <w:shd w:fill="FFFFFF" w:val="clear"/>
          <w:vertAlign w:val="baseline"/>
        </w:rPr>
        <w:t>P</w:t>
      </w:r>
      <w:r>
        <w:rPr>
          <w:rFonts w:ascii="Times New Roman" w:cs="Times New Roman" w:eastAsia="Times New Roman" w:hAnsi="Times New Roman"/>
          <w:b/>
          <w:bCs/>
          <w:color w:val="000000"/>
          <w:position w:val="0"/>
          <w:sz w:val="22"/>
          <w:sz w:val="24"/>
          <w:szCs w:val="24"/>
          <w:shd w:fill="auto" w:val="clear"/>
          <w:vertAlign w:val="baseline"/>
        </w:rPr>
        <w:t>reocupa que desde lo público, se carezca de una lógica que encuadre en un sentido común y coordine de forma estratégica un conjunto de acciones que se vienen llevando a cabo sobre la temática de forma asilada. Lo que se traduce, en la necesidad de promover una intervención más activa en el combate al Racismo y la promoción de la equidad étnico-racial por parte del conjunto del aparato estatal; para poder hablar que se está pensando realmente en una sociedad más justa e igualitaria.</w:t>
      </w:r>
    </w:p>
    <w:p>
      <w:pPr>
        <w:pStyle w:val="style0"/>
        <w:widowControl w:val="false"/>
        <w:spacing w:after="0" w:before="0" w:line="100" w:lineRule="atLeast"/>
        <w:ind w:hanging="0" w:left="0" w:right="0"/>
        <w:contextualSpacing w:val="false"/>
        <w:jc w:val="both"/>
      </w:pPr>
      <w:r>
        <w:rPr/>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val="false"/>
          <w:bCs w:val="false"/>
          <w:color w:val="000000"/>
          <w:position w:val="0"/>
          <w:sz w:val="22"/>
          <w:sz w:val="24"/>
          <w:szCs w:val="24"/>
          <w:shd w:fill="auto" w:val="clear"/>
          <w:vertAlign w:val="baseline"/>
        </w:rPr>
        <w:t>E</w:t>
      </w:r>
      <w:r>
        <w:rPr>
          <w:rFonts w:ascii="Times New Roman" w:cs="Times New Roman" w:eastAsia="Times New Roman" w:hAnsi="Times New Roman"/>
          <w:b w:val="false"/>
          <w:bCs w:val="false"/>
          <w:color w:val="000000"/>
          <w:position w:val="0"/>
          <w:sz w:val="22"/>
          <w:sz w:val="24"/>
          <w:szCs w:val="24"/>
          <w:shd w:fill="auto" w:val="clear"/>
          <w:vertAlign w:val="baseline"/>
        </w:rPr>
        <w:t>l MEC es responsable de salvaguardar el candombe como Patrimonio Cultural Inmaterial de la Humanidad. Existen varias líneas de trabajo en materia de Patrimonio y Cultura desarrolladas por la Comisión de Patrimonio Cultural de la Nación del MEC (CPCN-MEC). La principal se desarrolla en torno al tema de la promoción de la historia y la memoria de la colectividad afrodescendiente, así como acciones concretas en el marco de la salvaguardia del Candombe.</w:t>
      </w:r>
    </w:p>
    <w:p>
      <w:pPr>
        <w:pStyle w:val="style0"/>
        <w:widowControl w:val="false"/>
        <w:spacing w:after="0" w:before="0" w:line="100" w:lineRule="atLeast"/>
        <w:ind w:hanging="0" w:left="0" w:right="0"/>
        <w:contextualSpacing w:val="false"/>
        <w:jc w:val="both"/>
      </w:pPr>
      <w:r>
        <w:rPr/>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bCs/>
          <w:color w:val="000000"/>
          <w:position w:val="0"/>
          <w:sz w:val="22"/>
          <w:sz w:val="24"/>
          <w:szCs w:val="24"/>
          <w:shd w:fill="auto" w:val="clear"/>
          <w:vertAlign w:val="baseline"/>
        </w:rPr>
        <w:t>Preocupa que ya se encuentre disponible el diseño del Plan para la Salvaguardia del Patrimonio Inmaterial Afrodescendiente del Candombe y no se haya puesto en marcha su implementación ni se hayan destinados específicos para su desarrollo.</w:t>
      </w:r>
      <w:r>
        <w:rPr>
          <w:rFonts w:ascii="Times New Roman" w:cs="Times New Roman" w:eastAsia="Times New Roman" w:hAnsi="Times New Roman"/>
          <w:b w:val="false"/>
          <w:bCs w:val="false"/>
          <w:color w:val="000000"/>
          <w:position w:val="0"/>
          <w:sz w:val="22"/>
          <w:sz w:val="24"/>
          <w:szCs w:val="24"/>
          <w:shd w:fill="auto" w:val="clear"/>
          <w:vertAlign w:val="baseline"/>
        </w:rPr>
        <w:t xml:space="preserve"> </w:t>
      </w:r>
    </w:p>
    <w:p>
      <w:pPr>
        <w:pStyle w:val="style0"/>
        <w:widowControl w:val="false"/>
        <w:spacing w:after="0" w:before="0" w:line="100" w:lineRule="atLeast"/>
        <w:ind w:hanging="0" w:left="0" w:right="0"/>
        <w:contextualSpacing w:val="false"/>
        <w:jc w:val="both"/>
      </w:pPr>
      <w:r>
        <w:rPr>
          <w:b w:val="false"/>
          <w:bCs w:val="false"/>
          <w:shd w:fill="auto" w:val="clear"/>
        </w:rPr>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val="false"/>
          <w:bCs w:val="false"/>
          <w:color w:val="000000"/>
          <w:position w:val="0"/>
          <w:sz w:val="22"/>
          <w:sz w:val="24"/>
          <w:szCs w:val="24"/>
          <w:shd w:fill="auto" w:val="clear"/>
          <w:vertAlign w:val="baseline"/>
        </w:rPr>
        <w:t xml:space="preserve">Otro actor, relevante en relación al Candombe, es la Intendencia de Montevideo, quien gestiona la edición anual de las Llamadas de Candombe. </w:t>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bCs/>
          <w:color w:val="000000"/>
          <w:position w:val="0"/>
          <w:sz w:val="22"/>
          <w:sz w:val="24"/>
          <w:szCs w:val="24"/>
          <w:shd w:fill="auto" w:val="clear"/>
          <w:vertAlign w:val="baseline"/>
        </w:rPr>
        <w:t xml:space="preserve">Preocupa la ausencia que se tuvo desde el ejecutivo departamental y el efecto negativo que ello ocasiono en el marco de la celebración en 2016 de los 60 años de las Llamadas en dónde se invisibilizó y no se hizo referencia al lugar de dónde surgen </w:t>
      </w:r>
      <w:r>
        <w:rPr>
          <w:rFonts w:ascii="Times New Roman" w:cs="Times New Roman" w:eastAsia="Times New Roman" w:hAnsi="Times New Roman"/>
          <w:b/>
          <w:bCs/>
          <w:color w:val="000000"/>
          <w:position w:val="0"/>
          <w:sz w:val="22"/>
          <w:sz w:val="24"/>
          <w:szCs w:val="24"/>
          <w:shd w:fill="auto" w:val="clear"/>
          <w:vertAlign w:val="baseline"/>
        </w:rPr>
        <w:t xml:space="preserve">y promovieron </w:t>
      </w:r>
      <w:r>
        <w:rPr>
          <w:rFonts w:ascii="Times New Roman" w:cs="Times New Roman" w:eastAsia="Times New Roman" w:hAnsi="Times New Roman"/>
          <w:b/>
          <w:bCs/>
          <w:color w:val="000000"/>
          <w:position w:val="0"/>
          <w:sz w:val="22"/>
          <w:sz w:val="24"/>
          <w:szCs w:val="24"/>
          <w:shd w:fill="auto" w:val="clear"/>
          <w:vertAlign w:val="baseline"/>
        </w:rPr>
        <w:t xml:space="preserve">Las Llamadas del Candombe, que es liderado por la comunidad afrodescendiente.  </w:t>
      </w:r>
    </w:p>
    <w:p>
      <w:pPr>
        <w:pStyle w:val="style0"/>
        <w:widowControl w:val="false"/>
        <w:spacing w:after="0" w:before="0" w:line="100" w:lineRule="atLeast"/>
        <w:ind w:hanging="0" w:left="0" w:right="0"/>
        <w:contextualSpacing w:val="false"/>
        <w:jc w:val="both"/>
      </w:pPr>
      <w:r>
        <w:rPr>
          <w:b w:val="false"/>
          <w:bCs w:val="false"/>
          <w:shd w:fill="auto" w:val="clear"/>
        </w:rPr>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val="false"/>
          <w:bCs w:val="false"/>
          <w:color w:val="000000"/>
          <w:position w:val="0"/>
          <w:sz w:val="22"/>
          <w:sz w:val="24"/>
          <w:szCs w:val="24"/>
          <w:shd w:fill="auto" w:val="clear"/>
          <w:vertAlign w:val="baseline"/>
        </w:rPr>
        <w:t>Realizando un análisis de las Denuncias realizadas sobre Discrimiacion Racial, apoyadas en las amplias leyes existentes: La ley Núm 17677,  ley Núm 17817, ley Núm 18059, ley Núm 19122 y decreto 144/014,de 22 de mayo de 1014</w:t>
      </w:r>
    </w:p>
    <w:p>
      <w:pPr>
        <w:pStyle w:val="style0"/>
        <w:widowControl w:val="false"/>
        <w:spacing w:after="0" w:before="0" w:line="100" w:lineRule="atLeast"/>
        <w:ind w:hanging="0" w:left="0" w:right="0"/>
        <w:contextualSpacing w:val="false"/>
        <w:jc w:val="both"/>
      </w:pPr>
      <w:r>
        <w:rPr>
          <w:rFonts w:ascii="Times New Roman" w:cs="Times New Roman" w:eastAsia="Times New Roman" w:hAnsi="Times New Roman"/>
          <w:b/>
          <w:bCs/>
          <w:color w:val="000000"/>
          <w:position w:val="0"/>
          <w:sz w:val="22"/>
          <w:sz w:val="24"/>
          <w:szCs w:val="24"/>
          <w:shd w:fill="auto" w:val="clear"/>
          <w:vertAlign w:val="baseline"/>
        </w:rPr>
        <w:t xml:space="preserve">Preocupa la falta de resultados efectivos sobre la atención a las victimas de racismo y discriminación racial así como el lento proceso que llevan las denuncias y su resolución  favorable a las víctimas. </w:t>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
    </w:p>
    <w:p>
      <w:pPr>
        <w:pStyle w:val="style0"/>
        <w:widowControl w:val="false"/>
        <w:spacing w:after="0" w:before="0" w:line="100" w:lineRule="atLeast"/>
        <w:contextualSpacing w:val="false"/>
        <w:jc w:val="both"/>
      </w:pPr>
      <w:r>
        <w:rPr/>
      </w:r>
    </w:p>
    <w:sectPr>
      <w:footnotePr>
        <w:numFmt w:val="decimal"/>
      </w:footnotePr>
      <w:type w:val="nextPage"/>
      <w:pgSz w:h="16838" w:w="11906"/>
      <w:pgMar w:bottom="1134" w:footer="0" w:gutter="0" w:header="0" w:left="1134" w:right="1134" w:top="1134"/>
      <w:pgNumType w:fmt="decimal"/>
      <w:formProt w:val="false"/>
      <w:textDirection w:val="lrTb"/>
      <w:docGrid w:charSpace="8192" w:linePitch="2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w:charset w:val="80"/>
    <w:family w:val="swiss"/>
    <w:pitch w:val="variable"/>
  </w:font>
  <w:font w:name="Symbol">
    <w:charset w:val="02"/>
    <w:family w:val="auto"/>
    <w:pitch w:val="default"/>
  </w:font>
  <w:font w:name="OpenSymbol">
    <w:altName w:val="Arial Unicode MS"/>
    <w:charset w:val="80"/>
    <w:family w:val="auto"/>
    <w:pitch w:val="default"/>
  </w:font>
</w:fonts>
</file>

<file path=word/footnotes.xml><?xml version="1.0" encoding="utf-8"?>
<w:footnotes xmlns:r="http://schemas.openxmlformats.org/officeDocument/2006/relationships" xmlns:w="http://schemas.openxmlformats.org/wordprocessingml/2006/main">
  <w:footnote w:id="0" w:type="separator">
    <w:p>
      <w:r>
        <w:separator/>
      </w:r>
    </w:p>
  </w:footnote>
  <w:footnote w:id="1" w:type="continuationSeparator">
    <w:p>
      <w:r>
        <w:continuationSeparator/>
      </w:r>
    </w:p>
  </w:footnote>
  <w:footnote w:id="2">
    <w:p>
      <w:pPr>
        <w:pStyle w:val="style0"/>
        <w:widowControl w:val="false"/>
        <w:spacing w:after="0" w:before="0" w:line="100" w:lineRule="atLeast"/>
        <w:ind w:hanging="345" w:left="276" w:right="0"/>
        <w:contextualSpacing w:val="false"/>
      </w:pPr>
      <w:r>
        <w:rPr>
          <w:vertAlign w:val="superscript"/>
        </w:rPr>
        <w:footnoteRef/>
        <w:tab/>
      </w:r>
      <w:r>
        <w:rPr>
          <w:vertAlign w:val="superscript"/>
        </w:rPr>
        <w:tab/>
      </w:r>
      <w:r>
        <w:rPr>
          <w:rFonts w:ascii="Times New Roman" w:cs="Times New Roman" w:eastAsia="Times New Roman" w:hAnsi="Times New Roman"/>
          <w:sz w:val="20"/>
          <w:szCs w:val="20"/>
        </w:rPr>
        <w:t xml:space="preserve"> Coordinadora Nacional Afrodescendiente (red de organizaciones y grupos afrodescendientes con presencia en los departamentos de Artigas, Canelones, Cerro Largo, Montevideo, Salto, Tacuarembó, Rivera, Rocha) ACSUN (organización matriz de la comunidad afrodescendiente en la ciudad de Montevideo) UAFRO (Universitarios, técnicos e investigadores afrodescendientes)</w:t>
      </w:r>
    </w:p>
  </w:footnote>
  <w:footnote w:id="3">
    <w:p>
      <w:pPr>
        <w:pStyle w:val="style0"/>
        <w:widowControl w:val="false"/>
        <w:spacing w:after="0" w:before="0" w:line="100" w:lineRule="atLeast"/>
        <w:ind w:hanging="0" w:left="339" w:right="0"/>
        <w:contextualSpacing w:val="false"/>
        <w:jc w:val="both"/>
      </w:pPr>
      <w:r>
        <w:rPr>
          <w:vertAlign w:val="superscript"/>
        </w:rPr>
        <w:footnoteRef/>
        <w:tab/>
      </w:r>
      <w:r>
        <w:rPr>
          <w:vertAlign w:val="superscript"/>
        </w:rPr>
        <w:tab/>
      </w:r>
      <w:r>
        <w:rPr>
          <w:rFonts w:ascii="Times New Roman" w:cs="Times New Roman" w:eastAsia="Times New Roman" w:hAnsi="Times New Roman"/>
          <w:sz w:val="20"/>
          <w:szCs w:val="20"/>
        </w:rPr>
        <w:tab/>
        <w:t xml:space="preserve">En este documento,  se entiende por políticas de "primera generación" la producción de un conjunto de acciones públicas que se pueden caracterizar por: a) creación de institucionalidad específica en el aparato del Estado a nivel de la administración  central y local con la misión y objetivos de diseñar e implementar políticas para la equidad étnico-racial en particular para las personas afrodescendientes; b) producción de información estadística que aborde la dimensión étnico-racial y de cuenta de la situación socio-demográfica de la población afro-uruguaya. c) producción de una estructura jurídica (leyes, decretos, resoluciones, etc.) para producir políticas para la equidad étnico-racial; c) elaboración e implementación de la primeras acciones públicas (como programas de sensibilización, educativos, etc.). </w:t>
      </w:r>
    </w:p>
  </w:footnote>
  <w:footnote w:id="4">
    <w:p>
      <w:pPr>
        <w:pStyle w:val="style0"/>
        <w:widowControl w:val="false"/>
        <w:spacing w:after="0" w:before="0" w:line="100" w:lineRule="atLeast"/>
        <w:ind w:hanging="0" w:left="339" w:right="0"/>
        <w:contextualSpacing w:val="false"/>
        <w:jc w:val="both"/>
      </w:pPr>
      <w:r>
        <w:rPr>
          <w:vertAlign w:val="superscript"/>
        </w:rPr>
        <w:footnoteRef/>
        <w:tab/>
      </w:r>
      <w:r>
        <w:rPr>
          <w:vertAlign w:val="superscript"/>
        </w:rPr>
        <w:tab/>
      </w:r>
      <w:r>
        <w:rPr>
          <w:rFonts w:ascii="Times New Roman" w:cs="Times New Roman" w:eastAsia="Times New Roman" w:hAnsi="Times New Roman"/>
          <w:sz w:val="20"/>
          <w:szCs w:val="20"/>
        </w:rPr>
        <w:tab/>
        <w:t xml:space="preserve">En este documento se utiliza la distinción analítica de Cobb &amp; Elder (1984) entre agenda pública  e  institucional o de gobierno. La primera refiere al ingreso de un tema de política pública, como el de las personas afrodescendientes en el espacio público en sentido amplio (medios de comunicación, partidos políticos, etc.). La agenda institucional o de gobierno refiere al tratamiento que le dan a un determinado tema las instituciones existente en el aparato del Estado (espacio, lugar, jerarquía, etc.) (cf. Cobb &amp; Elder, 1984).  </w:t>
      </w:r>
    </w:p>
  </w:footnote>
  <w:footnote w:id="5">
    <w:p>
      <w:pPr>
        <w:pStyle w:val="style0"/>
        <w:spacing w:after="0" w:before="0" w:line="100" w:lineRule="atLeast"/>
        <w:contextualSpacing w:val="false"/>
      </w:pPr>
      <w:r>
        <w:rPr>
          <w:vertAlign w:val="superscript"/>
        </w:rPr>
        <w:footnoteRef/>
        <w:tab/>
      </w:r>
      <w:r>
        <w:rPr>
          <w:vertAlign w:val="superscript"/>
        </w:rPr>
        <w:tab/>
      </w:r>
      <w:r>
        <w:rPr>
          <w:sz w:val="20"/>
          <w:szCs w:val="20"/>
        </w:rPr>
        <w:t xml:space="preserve"> </w:t>
      </w:r>
    </w:p>
  </w:footnote>
  <w:footnote w:id="6">
    <w:p>
      <w:pPr>
        <w:pStyle w:val="style35"/>
        <w:ind w:hanging="0" w:left="0" w:right="0"/>
      </w:pPr>
      <w:r>
        <w:rPr/>
        <w:footnoteRef/>
        <w:tab/>
        <w:t xml:space="preserve"> </w:t>
      </w:r>
      <w:r>
        <w:rPr/>
        <w:t xml:space="preserve">Dicho estudio fue realizado a partir de los datos estadísticos que emanan de la ECH 2009. Tomamos ese dato por la relevancia del organismo que los difunde y por el contexto de la temática puesta en agenda en relación a las problemáticas para la universalización de la educación media. </w:t>
      </w:r>
    </w:p>
  </w:footnote>
  <w:footnote w:id="7">
    <w:p>
      <w:pPr>
        <w:pStyle w:val="style0"/>
        <w:widowControl w:val="false"/>
        <w:spacing w:after="0" w:before="0" w:line="100" w:lineRule="atLeast"/>
        <w:ind w:hanging="339" w:left="339" w:right="0"/>
        <w:contextualSpacing w:val="false"/>
        <w:jc w:val="both"/>
      </w:pPr>
      <w:r>
        <w:rPr>
          <w:vertAlign w:val="superscript"/>
        </w:rPr>
        <w:footnoteRef/>
        <w:tab/>
      </w:r>
      <w:r>
        <w:rPr>
          <w:vertAlign w:val="superscript"/>
        </w:rPr>
        <w:tab/>
      </w:r>
      <w:r>
        <w:rPr>
          <w:rFonts w:ascii="Times New Roman" w:cs="Times New Roman" w:eastAsia="Times New Roman" w:hAnsi="Times New Roman"/>
          <w:b w:val="false"/>
          <w:position w:val="0"/>
          <w:sz w:val="22"/>
          <w:sz w:val="20"/>
          <w:szCs w:val="20"/>
          <w:vertAlign w:val="baseline"/>
        </w:rPr>
        <w:tab/>
        <w:t xml:space="preserve">Para el análisis de fortalecimiento de capacidades institucionales en el sector público, ver el texto ya clásico de Merilee Grindle &amp;  M. Hilderbrand. Building sustainable capacity in the public sector: what can be done?  Harvard University Press, 1995.   </w:t>
      </w:r>
    </w:p>
  </w:footnote>
  <w:footnote w:id="8">
    <w:p>
      <w:pPr>
        <w:pStyle w:val="style0"/>
        <w:widowControl w:val="false"/>
        <w:spacing w:after="0" w:before="0" w:line="100" w:lineRule="atLeast"/>
        <w:ind w:hanging="339" w:left="339" w:right="0"/>
        <w:contextualSpacing w:val="false"/>
      </w:pPr>
      <w:r>
        <w:rPr>
          <w:vertAlign w:val="superscript"/>
        </w:rPr>
        <w:footnoteRef/>
        <w:tab/>
      </w:r>
      <w:r>
        <w:rPr>
          <w:vertAlign w:val="superscript"/>
        </w:rPr>
        <w:tab/>
      </w:r>
      <w:r>
        <w:rPr>
          <w:rFonts w:ascii="Times New Roman" w:cs="Times New Roman" w:eastAsia="Times New Roman" w:hAnsi="Times New Roman"/>
          <w:b w:val="false"/>
          <w:position w:val="0"/>
          <w:sz w:val="22"/>
          <w:sz w:val="20"/>
          <w:szCs w:val="20"/>
          <w:vertAlign w:val="baseline"/>
        </w:rPr>
        <w:tab/>
        <w:t xml:space="preserve">Las políticas para afrodescendientes, que forman parte del conjunto de las de igualdad o equidad racial, han sido clasificadas de acuerdo a tres tipos: políticas correctivas, reparatorias y  redistributivas. </w:t>
      </w:r>
    </w:p>
  </w:footnote>
  <w:footnote w:id="9">
    <w:p>
      <w:pPr>
        <w:pStyle w:val="style0"/>
        <w:widowControl w:val="false"/>
        <w:spacing w:after="0" w:before="0" w:line="100" w:lineRule="atLeast"/>
        <w:ind w:hanging="339" w:left="339" w:right="0"/>
        <w:contextualSpacing w:val="false"/>
      </w:pPr>
      <w:r>
        <w:rPr>
          <w:vertAlign w:val="superscript"/>
        </w:rPr>
        <w:footnoteRef/>
        <w:tab/>
      </w:r>
      <w:r>
        <w:rPr>
          <w:vertAlign w:val="superscript"/>
        </w:rPr>
        <w:tab/>
      </w:r>
      <w:r>
        <w:rPr>
          <w:rFonts w:ascii="Times New Roman" w:cs="Times New Roman" w:eastAsia="Times New Roman" w:hAnsi="Times New Roman"/>
          <w:b w:val="false"/>
          <w:position w:val="0"/>
          <w:sz w:val="22"/>
          <w:sz w:val="20"/>
          <w:szCs w:val="20"/>
          <w:vertAlign w:val="baseline"/>
        </w:rPr>
        <w:tab/>
        <w:t xml:space="preserve">Este punto es muy importante si observamos la dinámicas de desigualdad y segregación territorial producto de la macrocefalia del país que concentra gran parte de su poder y capital cultrual y social en la ciudad capital (Montevideo) </w:t>
      </w:r>
    </w:p>
  </w:footnote>
</w:footnotes>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abstractNum w:abstractNumId="2">
    <w:lvl w:ilvl="0">
      <w:start w:val="1"/>
      <w:numFmt w:val="bullet"/>
      <w:lvlText w:val="●"/>
      <w:lvlJc w:val="left"/>
      <w:pPr>
        <w:ind w:hanging="-360" w:left="720"/>
      </w:pPr>
      <w:rPr>
        <w:rFonts w:ascii="Arial" w:cs="Arial" w:hAnsi="Arial" w:hint="default"/>
        <w:vertAlign w:val="baseline"/>
        <w:position w:val="0"/>
        <w:sz w:val="22"/>
        <w:sz w:val="22"/>
      </w:rPr>
    </w:lvl>
    <w:lvl w:ilvl="1">
      <w:start w:val="1"/>
      <w:numFmt w:val="bullet"/>
      <w:lvlText w:val="◦"/>
      <w:lvlJc w:val="left"/>
      <w:pPr>
        <w:ind w:hanging="-720" w:left="1080"/>
      </w:pPr>
      <w:rPr>
        <w:rFonts w:ascii="Arial" w:cs="Arial" w:hAnsi="Arial" w:hint="default"/>
        <w:vertAlign w:val="baseline"/>
        <w:position w:val="0"/>
        <w:sz w:val="22"/>
        <w:sz w:val="22"/>
      </w:rPr>
    </w:lvl>
    <w:lvl w:ilvl="2">
      <w:start w:val="1"/>
      <w:numFmt w:val="bullet"/>
      <w:lvlText w:val="▪"/>
      <w:lvlJc w:val="left"/>
      <w:pPr>
        <w:ind w:hanging="-1080" w:left="1440"/>
      </w:pPr>
      <w:rPr>
        <w:rFonts w:ascii="Arial" w:cs="Arial" w:hAnsi="Arial" w:hint="default"/>
        <w:vertAlign w:val="baseline"/>
        <w:position w:val="0"/>
        <w:sz w:val="22"/>
        <w:sz w:val="22"/>
      </w:rPr>
    </w:lvl>
    <w:lvl w:ilvl="3">
      <w:start w:val="1"/>
      <w:numFmt w:val="bullet"/>
      <w:lvlText w:val="●"/>
      <w:lvlJc w:val="left"/>
      <w:pPr>
        <w:ind w:hanging="-1440" w:left="1800"/>
      </w:pPr>
      <w:rPr>
        <w:rFonts w:ascii="Arial" w:cs="Arial" w:hAnsi="Arial" w:hint="default"/>
        <w:vertAlign w:val="baseline"/>
        <w:position w:val="0"/>
        <w:sz w:val="22"/>
        <w:sz w:val="22"/>
      </w:rPr>
    </w:lvl>
    <w:lvl w:ilvl="4">
      <w:start w:val="1"/>
      <w:numFmt w:val="bullet"/>
      <w:lvlText w:val="◦"/>
      <w:lvlJc w:val="left"/>
      <w:pPr>
        <w:ind w:hanging="-1800" w:left="2160"/>
      </w:pPr>
      <w:rPr>
        <w:rFonts w:ascii="Arial" w:cs="Arial" w:hAnsi="Arial" w:hint="default"/>
        <w:vertAlign w:val="baseline"/>
        <w:position w:val="0"/>
        <w:sz w:val="22"/>
        <w:sz w:val="22"/>
      </w:rPr>
    </w:lvl>
    <w:lvl w:ilvl="5">
      <w:start w:val="1"/>
      <w:numFmt w:val="bullet"/>
      <w:lvlText w:val="▪"/>
      <w:lvlJc w:val="left"/>
      <w:pPr>
        <w:ind w:hanging="-2160" w:left="2520"/>
      </w:pPr>
      <w:rPr>
        <w:rFonts w:ascii="Arial" w:cs="Arial" w:hAnsi="Arial" w:hint="default"/>
        <w:vertAlign w:val="baseline"/>
        <w:position w:val="0"/>
        <w:sz w:val="22"/>
        <w:sz w:val="22"/>
      </w:rPr>
    </w:lvl>
    <w:lvl w:ilvl="6">
      <w:start w:val="1"/>
      <w:numFmt w:val="bullet"/>
      <w:lvlText w:val="●"/>
      <w:lvlJc w:val="left"/>
      <w:pPr>
        <w:ind w:hanging="-2520" w:left="2880"/>
      </w:pPr>
      <w:rPr>
        <w:rFonts w:ascii="Arial" w:cs="Arial" w:hAnsi="Arial" w:hint="default"/>
        <w:vertAlign w:val="baseline"/>
        <w:position w:val="0"/>
        <w:sz w:val="22"/>
        <w:sz w:val="22"/>
      </w:rPr>
    </w:lvl>
    <w:lvl w:ilvl="7">
      <w:start w:val="1"/>
      <w:numFmt w:val="bullet"/>
      <w:lvlText w:val="◦"/>
      <w:lvlJc w:val="left"/>
      <w:pPr>
        <w:ind w:hanging="-2880" w:left="3240"/>
      </w:pPr>
      <w:rPr>
        <w:rFonts w:ascii="Arial" w:cs="Arial" w:hAnsi="Arial" w:hint="default"/>
        <w:vertAlign w:val="baseline"/>
        <w:position w:val="0"/>
        <w:sz w:val="22"/>
        <w:sz w:val="22"/>
      </w:rPr>
    </w:lvl>
    <w:lvl w:ilvl="8">
      <w:start w:val="1"/>
      <w:numFmt w:val="bullet"/>
      <w:lvlText w:val="▪"/>
      <w:lvlJc w:val="left"/>
      <w:pPr>
        <w:ind w:hanging="-3240" w:left="3600"/>
      </w:pPr>
      <w:rPr>
        <w:rFonts w:ascii="Arial" w:cs="Arial" w:hAnsi="Arial" w:hint="default"/>
        <w:vertAlign w:val="baseline"/>
        <w:position w:val="0"/>
        <w:sz w:val="22"/>
        <w:sz w:val="22"/>
      </w:rPr>
    </w:lvl>
  </w:abstractNum>
  <w:abstractNum w:abstractNumId="3">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footnotePr>
    <w:numFmt w:val="decimal"/>
    <w:footnote w:id="0"/>
    <w:footnote w:id="1"/>
  </w:footnotePr>
</w:settings>
</file>

<file path=word/styles.xml><?xml version="1.0" encoding="utf-8"?>
<w:styles xmlns:w="http://schemas.openxmlformats.org/wordprocessingml/2006/main">
  <w:style w:styleId="style0" w:type="paragraph">
    <w:name w:val="Predeterminado"/>
    <w:next w:val="style0"/>
    <w:pPr>
      <w:keepNext/>
      <w:keepLines w:val="false"/>
      <w:widowControl/>
      <w:tabs/>
      <w:suppressAutoHyphens w:val="true"/>
      <w:spacing w:after="0" w:before="0" w:line="276" w:lineRule="auto"/>
      <w:ind w:hanging="0" w:left="0" w:right="0"/>
      <w:contextualSpacing w:val="false"/>
      <w:jc w:val="left"/>
    </w:pPr>
    <w:rPr>
      <w:rFonts w:ascii="Arial" w:cs="Arial" w:eastAsia="Arial" w:hAnsi="Arial"/>
      <w:b w:val="false"/>
      <w:i w:val="false"/>
      <w:caps w:val="false"/>
      <w:smallCaps w:val="false"/>
      <w:strike w:val="false"/>
      <w:dstrike w:val="false"/>
      <w:color w:val="000000"/>
      <w:position w:val="0"/>
      <w:sz w:val="22"/>
      <w:sz w:val="22"/>
      <w:szCs w:val="22"/>
      <w:u w:val="none"/>
      <w:vertAlign w:val="baseline"/>
      <w:lang w:bidi="hi-IN" w:eastAsia="zh-CN" w:val="es-UY"/>
    </w:rPr>
  </w:style>
  <w:style w:styleId="style1" w:type="paragraph">
    <w:name w:val="Encabezado 1"/>
    <w:next w:val="style28"/>
    <w:pPr>
      <w:keepNext/>
      <w:keepLines/>
      <w:widowControl w:val="false"/>
      <w:tabs/>
      <w:suppressAutoHyphens w:val="true"/>
      <w:spacing w:after="120" w:before="480" w:line="100" w:lineRule="atLeast"/>
      <w:contextualSpacing/>
    </w:pPr>
    <w:rPr>
      <w:rFonts w:ascii="Times New Roman" w:cs="Mangal" w:eastAsia="SimSun" w:hAnsi="Times New Roman"/>
      <w:b/>
      <w:bCs/>
      <w:color w:val="auto"/>
      <w:sz w:val="48"/>
      <w:szCs w:val="48"/>
      <w:lang w:bidi="hi-IN" w:eastAsia="zh-CN" w:val="es-UY"/>
    </w:rPr>
  </w:style>
  <w:style w:styleId="style2" w:type="paragraph">
    <w:name w:val="Encabezado 2"/>
    <w:next w:val="style28"/>
    <w:pPr>
      <w:keepNext/>
      <w:keepLines/>
      <w:widowControl w:val="false"/>
      <w:numPr>
        <w:ilvl w:val="1"/>
        <w:numId w:val="1"/>
      </w:numPr>
      <w:tabs/>
      <w:suppressAutoHyphens w:val="true"/>
      <w:spacing w:after="80" w:before="360" w:line="100" w:lineRule="atLeast"/>
      <w:contextualSpacing/>
      <w:outlineLvl w:val="1"/>
    </w:pPr>
    <w:rPr>
      <w:rFonts w:ascii="Times New Roman" w:cs="Mangal" w:eastAsia="SimSun" w:hAnsi="Times New Roman"/>
      <w:b/>
      <w:bCs/>
      <w:i/>
      <w:iCs/>
      <w:color w:val="auto"/>
      <w:sz w:val="36"/>
      <w:szCs w:val="36"/>
      <w:lang w:bidi="hi-IN" w:eastAsia="zh-CN" w:val="es-UY"/>
    </w:rPr>
  </w:style>
  <w:style w:styleId="style3" w:type="paragraph">
    <w:name w:val="Encabezado 3"/>
    <w:next w:val="style28"/>
    <w:pPr>
      <w:keepNext/>
      <w:keepLines/>
      <w:widowControl w:val="false"/>
      <w:numPr>
        <w:ilvl w:val="2"/>
        <w:numId w:val="1"/>
      </w:numPr>
      <w:tabs/>
      <w:suppressAutoHyphens w:val="true"/>
      <w:spacing w:after="80" w:before="280" w:line="100" w:lineRule="atLeast"/>
      <w:contextualSpacing/>
      <w:outlineLvl w:val="2"/>
    </w:pPr>
    <w:rPr>
      <w:rFonts w:ascii="Times New Roman" w:cs="Mangal" w:eastAsia="SimSun" w:hAnsi="Times New Roman"/>
      <w:b/>
      <w:bCs/>
      <w:color w:val="auto"/>
      <w:sz w:val="28"/>
      <w:szCs w:val="28"/>
      <w:lang w:bidi="hi-IN" w:eastAsia="zh-CN" w:val="es-UY"/>
    </w:rPr>
  </w:style>
  <w:style w:styleId="style4" w:type="paragraph">
    <w:name w:val="Encabezado 4"/>
    <w:next w:val="style28"/>
    <w:pPr>
      <w:keepNext/>
      <w:keepLines/>
      <w:widowControl w:val="false"/>
      <w:numPr>
        <w:ilvl w:val="3"/>
        <w:numId w:val="1"/>
      </w:numPr>
      <w:tabs/>
      <w:suppressAutoHyphens w:val="true"/>
      <w:spacing w:after="40" w:before="240" w:line="100" w:lineRule="atLeast"/>
      <w:contextualSpacing/>
      <w:outlineLvl w:val="3"/>
    </w:pPr>
    <w:rPr>
      <w:rFonts w:ascii="Times New Roman" w:cs="Mangal" w:eastAsia="SimSun" w:hAnsi="Times New Roman"/>
      <w:b/>
      <w:bCs/>
      <w:i/>
      <w:iCs/>
      <w:color w:val="auto"/>
      <w:sz w:val="24"/>
      <w:szCs w:val="24"/>
      <w:lang w:bidi="hi-IN" w:eastAsia="zh-CN" w:val="es-UY"/>
    </w:rPr>
  </w:style>
  <w:style w:styleId="style5" w:type="paragraph">
    <w:name w:val="Encabezado 5"/>
    <w:next w:val="style28"/>
    <w:pPr>
      <w:keepNext/>
      <w:keepLines/>
      <w:widowControl w:val="false"/>
      <w:numPr>
        <w:ilvl w:val="4"/>
        <w:numId w:val="1"/>
      </w:numPr>
      <w:tabs/>
      <w:suppressAutoHyphens w:val="true"/>
      <w:spacing w:after="40" w:before="220" w:line="100" w:lineRule="atLeast"/>
      <w:contextualSpacing/>
      <w:outlineLvl w:val="4"/>
    </w:pPr>
    <w:rPr>
      <w:rFonts w:ascii="Times New Roman" w:cs="Mangal" w:eastAsia="SimSun" w:hAnsi="Times New Roman"/>
      <w:b/>
      <w:bCs/>
      <w:color w:val="auto"/>
      <w:sz w:val="22"/>
      <w:szCs w:val="22"/>
      <w:lang w:bidi="hi-IN" w:eastAsia="zh-CN" w:val="es-UY"/>
    </w:rPr>
  </w:style>
  <w:style w:styleId="style6" w:type="paragraph">
    <w:name w:val="Encabezado 6"/>
    <w:next w:val="style28"/>
    <w:pPr>
      <w:keepNext/>
      <w:keepLines/>
      <w:widowControl w:val="false"/>
      <w:numPr>
        <w:ilvl w:val="5"/>
        <w:numId w:val="1"/>
      </w:numPr>
      <w:tabs/>
      <w:suppressAutoHyphens w:val="true"/>
      <w:spacing w:after="40" w:before="200" w:line="100" w:lineRule="atLeast"/>
      <w:contextualSpacing/>
      <w:outlineLvl w:val="5"/>
    </w:pPr>
    <w:rPr>
      <w:rFonts w:ascii="Times New Roman" w:cs="Mangal" w:eastAsia="SimSun" w:hAnsi="Times New Roman"/>
      <w:b/>
      <w:bCs/>
      <w:color w:val="auto"/>
      <w:sz w:val="20"/>
      <w:szCs w:val="20"/>
      <w:lang w:bidi="hi-IN" w:eastAsia="zh-CN" w:val="es-UY"/>
    </w:rPr>
  </w:style>
  <w:style w:styleId="style15" w:type="character">
    <w:name w:val="ListLabel 1"/>
    <w:next w:val="style15"/>
    <w:rPr>
      <w:u w:val="none"/>
    </w:rPr>
  </w:style>
  <w:style w:styleId="style16" w:type="character">
    <w:name w:val="ListLabel 2"/>
    <w:next w:val="style16"/>
    <w:rPr>
      <w:rFonts w:cs="Arial" w:eastAsia="Arial"/>
      <w:position w:val="0"/>
      <w:sz w:val="22"/>
      <w:sz w:val="22"/>
      <w:vertAlign w:val="baseline"/>
    </w:rPr>
  </w:style>
  <w:style w:styleId="style17" w:type="character">
    <w:name w:val="Enlace de Internet"/>
    <w:next w:val="style17"/>
    <w:rPr>
      <w:color w:val="000080"/>
      <w:u w:val="single"/>
      <w:lang w:bidi="es-ES" w:eastAsia="es-ES" w:val="es-ES"/>
    </w:rPr>
  </w:style>
  <w:style w:styleId="style18" w:type="character">
    <w:name w:val="Ancla de nota al pie"/>
    <w:next w:val="style18"/>
    <w:rPr>
      <w:vertAlign w:val="superscript"/>
    </w:rPr>
  </w:style>
  <w:style w:styleId="style19" w:type="character">
    <w:name w:val="Ancla de nota final"/>
    <w:next w:val="style19"/>
    <w:rPr>
      <w:vertAlign w:val="superscript"/>
    </w:rPr>
  </w:style>
  <w:style w:styleId="style20" w:type="character">
    <w:name w:val="ListLabel 3"/>
    <w:next w:val="style20"/>
    <w:rPr>
      <w:rFonts w:cs="Wingdings"/>
      <w:u w:val="none"/>
    </w:rPr>
  </w:style>
  <w:style w:styleId="style21" w:type="character">
    <w:name w:val="ListLabel 4"/>
    <w:next w:val="style21"/>
    <w:rPr>
      <w:rFonts w:cs="Wingdings 2"/>
      <w:u w:val="none"/>
    </w:rPr>
  </w:style>
  <w:style w:styleId="style22" w:type="character">
    <w:name w:val="ListLabel 5"/>
    <w:next w:val="style22"/>
    <w:rPr>
      <w:rFonts w:cs="OpenSymbol"/>
      <w:u w:val="none"/>
    </w:rPr>
  </w:style>
  <w:style w:styleId="style23" w:type="character">
    <w:name w:val="ListLabel 6"/>
    <w:next w:val="style23"/>
    <w:rPr>
      <w:rFonts w:cs="Arial"/>
      <w:position w:val="0"/>
      <w:sz w:val="22"/>
      <w:sz w:val="22"/>
      <w:vertAlign w:val="baseline"/>
    </w:rPr>
  </w:style>
  <w:style w:styleId="style24" w:type="character">
    <w:name w:val="Caracteres de nota al pie"/>
    <w:next w:val="style24"/>
    <w:rPr/>
  </w:style>
  <w:style w:styleId="style25" w:type="character">
    <w:name w:val="Viñetas"/>
    <w:next w:val="style25"/>
    <w:rPr>
      <w:rFonts w:ascii="OpenSymbol" w:cs="OpenSymbol" w:eastAsia="OpenSymbol" w:hAnsi="OpenSymbol"/>
    </w:rPr>
  </w:style>
  <w:style w:styleId="style26" w:type="character">
    <w:name w:val="Caracteres de nota final"/>
    <w:next w:val="style26"/>
    <w:rPr/>
  </w:style>
  <w:style w:styleId="style27" w:type="paragraph">
    <w:name w:val="Encabezado"/>
    <w:basedOn w:val="style0"/>
    <w:next w:val="style28"/>
    <w:pPr>
      <w:keepNext/>
      <w:spacing w:after="120" w:before="240"/>
      <w:contextualSpacing w:val="false"/>
    </w:pPr>
    <w:rPr>
      <w:rFonts w:ascii="Arial" w:cs="Mangal" w:eastAsia="Microsoft YaHei" w:hAnsi="Arial"/>
      <w:sz w:val="28"/>
      <w:szCs w:val="28"/>
    </w:rPr>
  </w:style>
  <w:style w:styleId="style28" w:type="paragraph">
    <w:name w:val="Cuerpo de texto"/>
    <w:basedOn w:val="style0"/>
    <w:next w:val="style28"/>
    <w:pPr>
      <w:spacing w:after="120" w:before="0"/>
      <w:contextualSpacing w:val="false"/>
    </w:pPr>
    <w:rPr/>
  </w:style>
  <w:style w:styleId="style29" w:type="paragraph">
    <w:name w:val="Lista"/>
    <w:basedOn w:val="style28"/>
    <w:next w:val="style29"/>
    <w:pPr/>
    <w:rPr>
      <w:rFonts w:cs="Mangal"/>
    </w:rPr>
  </w:style>
  <w:style w:styleId="style30" w:type="paragraph">
    <w:name w:val="Etiqueta"/>
    <w:basedOn w:val="style0"/>
    <w:next w:val="style30"/>
    <w:pPr>
      <w:suppressLineNumbers/>
      <w:spacing w:after="120" w:before="120"/>
      <w:contextualSpacing w:val="false"/>
    </w:pPr>
    <w:rPr>
      <w:rFonts w:cs="Mangal"/>
      <w:i/>
      <w:iCs/>
      <w:sz w:val="24"/>
      <w:szCs w:val="24"/>
    </w:rPr>
  </w:style>
  <w:style w:styleId="style31" w:type="paragraph">
    <w:name w:val="Índice"/>
    <w:basedOn w:val="style0"/>
    <w:next w:val="style31"/>
    <w:pPr>
      <w:suppressLineNumbers/>
    </w:pPr>
    <w:rPr>
      <w:rFonts w:cs="Mangal"/>
    </w:rPr>
  </w:style>
  <w:style w:styleId="style32" w:type="paragraph">
    <w:name w:val="normal"/>
    <w:next w:val="style32"/>
    <w:pPr>
      <w:keepNext/>
      <w:keepLines w:val="false"/>
      <w:widowControl/>
      <w:tabs/>
      <w:suppressAutoHyphens w:val="true"/>
      <w:spacing w:after="0" w:before="0" w:line="276" w:lineRule="auto"/>
      <w:ind w:hanging="0" w:left="0" w:right="0"/>
      <w:contextualSpacing w:val="false"/>
      <w:jc w:val="left"/>
    </w:pPr>
    <w:rPr>
      <w:rFonts w:ascii="Arial" w:cs="Arial" w:eastAsia="Arial" w:hAnsi="Arial"/>
      <w:b w:val="false"/>
      <w:i w:val="false"/>
      <w:caps w:val="false"/>
      <w:smallCaps w:val="false"/>
      <w:strike w:val="false"/>
      <w:dstrike w:val="false"/>
      <w:color w:val="00000A"/>
      <w:position w:val="0"/>
      <w:sz w:val="22"/>
      <w:sz w:val="22"/>
      <w:szCs w:val="22"/>
      <w:u w:val="none"/>
      <w:vertAlign w:val="baseline"/>
      <w:lang w:bidi="hi-IN" w:eastAsia="zh-CN" w:val="es-UY"/>
    </w:rPr>
  </w:style>
  <w:style w:styleId="style33" w:type="paragraph">
    <w:name w:val="Título"/>
    <w:basedOn w:val="style32"/>
    <w:next w:val="style34"/>
    <w:pPr>
      <w:keepNext/>
      <w:keepLines/>
      <w:spacing w:after="120" w:before="480" w:line="100" w:lineRule="atLeast"/>
      <w:contextualSpacing/>
      <w:jc w:val="center"/>
    </w:pPr>
    <w:rPr>
      <w:b/>
      <w:bCs/>
      <w:sz w:val="72"/>
      <w:szCs w:val="72"/>
    </w:rPr>
  </w:style>
  <w:style w:styleId="style34" w:type="paragraph">
    <w:name w:val="Subtítulo"/>
    <w:basedOn w:val="style32"/>
    <w:next w:val="style28"/>
    <w:pPr>
      <w:keepNext/>
      <w:keepLines/>
      <w:spacing w:after="80" w:before="360" w:line="100" w:lineRule="atLeast"/>
      <w:contextualSpacing/>
      <w:jc w:val="center"/>
    </w:pPr>
    <w:rPr>
      <w:rFonts w:ascii="Georgia" w:cs="Georgia" w:eastAsia="Georgia" w:hAnsi="Georgia"/>
      <w:i/>
      <w:iCs/>
      <w:color w:val="666666"/>
      <w:sz w:val="48"/>
      <w:szCs w:val="48"/>
    </w:rPr>
  </w:style>
  <w:style w:styleId="style35" w:type="paragraph">
    <w:name w:val="Nota al pie"/>
    <w:basedOn w:val="style0"/>
    <w:next w:val="style35"/>
    <w:pPr>
      <w:suppressLineNumbers/>
      <w:ind w:hanging="339" w:left="339" w:right="0"/>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tni.org/files/censo_reclusos_dic.pdf" TargetMode="External"/><Relationship Id="rId4" Type="http://schemas.openxmlformats.org/officeDocument/2006/relationships/hyperlink" Target="https://www.tni.org/files/censo_reclusos_dic.pdf" TargetMode="Externa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revision>0</cp:revision>
</cp:coreProperties>
</file>