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95EEEA" w14:textId="77777777" w:rsidR="00FA1B96" w:rsidRPr="00295CF7" w:rsidRDefault="00FA1B96" w:rsidP="00FA1B96">
      <w:pPr>
        <w:bidi/>
        <w:rPr>
          <w:lang w:bidi="ar-EG"/>
        </w:rPr>
      </w:pPr>
      <w:bookmarkStart w:id="0" w:name="_GoBack"/>
      <w:bookmarkEnd w:id="0"/>
    </w:p>
    <w:p w14:paraId="65E19CB8" w14:textId="77777777" w:rsidR="006252BB" w:rsidRPr="00497523" w:rsidRDefault="00FA1B96" w:rsidP="006252BB">
      <w:pPr>
        <w:jc w:val="center"/>
        <w:rPr>
          <w:rFonts w:asciiTheme="majorBidi" w:hAnsiTheme="majorBidi" w:cstheme="majorBidi"/>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523">
        <w:rPr>
          <w:rFonts w:asciiTheme="majorBidi" w:hAnsiTheme="majorBidi" w:cstheme="majorBidi"/>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Shadow Report on Economic and Social Rights Violations in Israel</w:t>
      </w:r>
    </w:p>
    <w:p w14:paraId="3B34BF32" w14:textId="49072918" w:rsidR="00FA1B96" w:rsidRPr="00546676" w:rsidRDefault="003A45ED" w:rsidP="00497523">
      <w:pPr>
        <w:rPr>
          <w:rFonts w:ascii="Cambria" w:hAnsi="Cambria"/>
          <w:sz w:val="24"/>
          <w:szCs w:val="24"/>
        </w:rPr>
      </w:pPr>
      <w:r w:rsidRPr="00546676">
        <w:rPr>
          <w:rFonts w:ascii="Cambria" w:hAnsi="Cambria"/>
          <w:sz w:val="24"/>
          <w:szCs w:val="24"/>
        </w:rPr>
        <w:t>S</w:t>
      </w:r>
      <w:r w:rsidR="006252BB" w:rsidRPr="00546676">
        <w:rPr>
          <w:rFonts w:ascii="Cambria" w:hAnsi="Cambria"/>
          <w:sz w:val="24"/>
          <w:szCs w:val="24"/>
        </w:rPr>
        <w:t>ubmi</w:t>
      </w:r>
      <w:r w:rsidRPr="00546676">
        <w:rPr>
          <w:rFonts w:ascii="Cambria" w:hAnsi="Cambria"/>
          <w:sz w:val="24"/>
          <w:szCs w:val="24"/>
        </w:rPr>
        <w:t>tted to</w:t>
      </w:r>
      <w:r w:rsidR="00546676">
        <w:rPr>
          <w:rFonts w:ascii="Cambria" w:hAnsi="Cambria"/>
          <w:sz w:val="24"/>
          <w:szCs w:val="24"/>
        </w:rPr>
        <w:t xml:space="preserve"> the</w:t>
      </w:r>
      <w:r w:rsidR="00FA1B96" w:rsidRPr="00546676">
        <w:rPr>
          <w:rFonts w:ascii="Cambria" w:hAnsi="Cambria"/>
          <w:sz w:val="24"/>
          <w:szCs w:val="24"/>
        </w:rPr>
        <w:t xml:space="preserve"> Committee on Economic, Social and Cultural Rights</w:t>
      </w:r>
      <w:r w:rsidR="00546676">
        <w:rPr>
          <w:rFonts w:ascii="Cambria" w:hAnsi="Cambria"/>
          <w:sz w:val="24"/>
          <w:szCs w:val="24"/>
        </w:rPr>
        <w:t xml:space="preserve">, </w:t>
      </w:r>
      <w:r w:rsidR="00546676" w:rsidRPr="00546676">
        <w:rPr>
          <w:rFonts w:ascii="Cambria" w:hAnsi="Cambria"/>
          <w:sz w:val="24"/>
          <w:szCs w:val="24"/>
        </w:rPr>
        <w:t>the 72nd Session</w:t>
      </w:r>
    </w:p>
    <w:p w14:paraId="6C166670" w14:textId="06BDB2A1" w:rsidR="003A45ED" w:rsidRPr="00546676" w:rsidRDefault="007A2330" w:rsidP="00497523">
      <w:pPr>
        <w:rPr>
          <w:rFonts w:ascii="Cambria" w:hAnsi="Cambria"/>
          <w:color w:val="FF0000"/>
          <w:sz w:val="24"/>
          <w:szCs w:val="24"/>
        </w:rPr>
      </w:pPr>
      <w:proofErr w:type="spellStart"/>
      <w:r w:rsidRPr="00546676">
        <w:rPr>
          <w:rFonts w:ascii="Cambria" w:hAnsi="Cambria"/>
          <w:sz w:val="24"/>
          <w:szCs w:val="24"/>
        </w:rPr>
        <w:t>Elizka</w:t>
      </w:r>
      <w:proofErr w:type="spellEnd"/>
      <w:r w:rsidRPr="00546676">
        <w:rPr>
          <w:rFonts w:ascii="Cambria" w:hAnsi="Cambria"/>
          <w:sz w:val="24"/>
          <w:szCs w:val="24"/>
        </w:rPr>
        <w:t xml:space="preserve"> Relief Foundation</w:t>
      </w:r>
    </w:p>
    <w:p w14:paraId="090CE8F3"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6380D775" w14:textId="2F41C41A" w:rsidR="00FA1B96" w:rsidRPr="00546676" w:rsidRDefault="00FA1B96" w:rsidP="00FA1B96">
      <w:pPr>
        <w:jc w:val="both"/>
        <w:rPr>
          <w:rFonts w:ascii="Cambria" w:hAnsi="Cambria" w:cs="Arial"/>
          <w:color w:val="000000"/>
          <w:sz w:val="24"/>
          <w:szCs w:val="24"/>
        </w:rPr>
      </w:pPr>
      <w:r w:rsidRPr="00546676">
        <w:rPr>
          <w:rFonts w:ascii="Cambria" w:hAnsi="Cambria"/>
          <w:b/>
          <w:bCs/>
          <w:sz w:val="24"/>
          <w:szCs w:val="24"/>
        </w:rPr>
        <w:t xml:space="preserve"> </w:t>
      </w:r>
      <w:r w:rsidRPr="00546676">
        <w:rPr>
          <w:rFonts w:ascii="Cambria" w:hAnsi="Cambria"/>
          <w:sz w:val="24"/>
          <w:szCs w:val="24"/>
        </w:rPr>
        <w:t xml:space="preserve">Over the past 4 years, Israel committed economic and social rights violations against those living on its lands and those living in the Occupied Palestinian Territories. From stalling trucks full of humanitarian aid to discriminatory distribution of medical needs, Israel has continued to worsen the living conditions of many Palestinians. Violations committed by Israel include </w:t>
      </w:r>
      <w:r w:rsidRPr="00546676">
        <w:rPr>
          <w:rFonts w:ascii="Cambria" w:hAnsi="Cambria" w:cs="Arial"/>
          <w:color w:val="000000"/>
          <w:sz w:val="24"/>
          <w:szCs w:val="24"/>
        </w:rPr>
        <w:t xml:space="preserve">unlawful targeted strikes on medical facilities and personnel as well as the discriminatory distribution of Covid-19 vaccine doses. Israeli strikes have also deprived Palestinian people of their houses by destructing apartment buildings and Palestinian children of their education by damaging schools. </w:t>
      </w:r>
    </w:p>
    <w:p w14:paraId="60D6959E" w14:textId="77777777" w:rsidR="00FA1B96" w:rsidRPr="00546676" w:rsidRDefault="00FA1B96" w:rsidP="00FA1B96">
      <w:pPr>
        <w:ind w:firstLine="720"/>
        <w:jc w:val="both"/>
        <w:rPr>
          <w:rFonts w:ascii="Cambria" w:hAnsi="Cambria"/>
          <w:sz w:val="24"/>
          <w:szCs w:val="24"/>
        </w:rPr>
      </w:pPr>
      <w:r w:rsidRPr="00546676">
        <w:rPr>
          <w:rFonts w:ascii="Cambria" w:hAnsi="Cambria" w:cs="Arial"/>
          <w:color w:val="000000"/>
          <w:sz w:val="24"/>
          <w:szCs w:val="24"/>
        </w:rPr>
        <w:t xml:space="preserve">Israel’s continued blockade on the Gaza Strip and its two main crossings resulted in the stalling of several trucks full of fuel and humanitarian aid. </w:t>
      </w:r>
      <w:r w:rsidRPr="00546676">
        <w:rPr>
          <w:rFonts w:ascii="Cambria" w:hAnsi="Cambria"/>
          <w:sz w:val="24"/>
          <w:szCs w:val="24"/>
        </w:rPr>
        <w:t>Limiting access to water, attacking the livestock and confiscating lands are other violations committed by Israel, which has deprived the Palestinian people of their own means of subsistence. Palestinians were not the only ones affected, as asylum seekers from Sudan and Eretria have been subjected to unfair treatment when it came to the refugee status determination process as well as access to economic support. This report identifies the articles that were breached by the government of Israel with details about each breach followed by several recommendations.</w:t>
      </w:r>
    </w:p>
    <w:p w14:paraId="068CF38C"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Articles 1, 2 and 5: Discriminatingly depriving people of their own means of subsistence:</w:t>
      </w:r>
    </w:p>
    <w:p w14:paraId="6867F003"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Palestinians are denied the basic right to water, a natural resource, as the Israeli authorities refuse to give them licenses to drill additional wells or install booster pumps. Israel has control over 85% of water resources in the West Bank and it limits access to the rest of the 15%</w:t>
      </w:r>
      <w:r w:rsidRPr="00546676">
        <w:rPr>
          <w:rStyle w:val="FootnoteReference"/>
          <w:rFonts w:ascii="Cambria" w:hAnsi="Cambria"/>
          <w:sz w:val="24"/>
          <w:szCs w:val="24"/>
        </w:rPr>
        <w:footnoteReference w:id="1"/>
      </w:r>
      <w:r w:rsidRPr="00546676">
        <w:rPr>
          <w:rFonts w:ascii="Cambria" w:hAnsi="Cambria"/>
          <w:sz w:val="24"/>
          <w:szCs w:val="24"/>
        </w:rPr>
        <w:t>. There are Palestinian villages that receive water once every 15-20 days</w:t>
      </w:r>
      <w:r w:rsidRPr="00546676">
        <w:rPr>
          <w:rStyle w:val="FootnoteReference"/>
          <w:rFonts w:ascii="Cambria" w:hAnsi="Cambria"/>
          <w:sz w:val="24"/>
          <w:szCs w:val="24"/>
        </w:rPr>
        <w:footnoteReference w:id="2"/>
      </w:r>
      <w:r w:rsidRPr="00546676">
        <w:rPr>
          <w:rFonts w:ascii="Cambria" w:hAnsi="Cambria"/>
          <w:sz w:val="24"/>
          <w:szCs w:val="24"/>
        </w:rPr>
        <w:t xml:space="preserve">. Palestinians are prohibited from implementing solutions and instead find themselves having to buy water at very high prices, water that rightfully belongs to them. </w:t>
      </w:r>
    </w:p>
    <w:p w14:paraId="766F9F18"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A famous Israeli water company used to supply Ramallah with 38,000 cubic meters of water a day but reduced it to 35,000 cubic meters in the summer of 2021</w:t>
      </w:r>
      <w:r w:rsidRPr="00546676">
        <w:rPr>
          <w:rStyle w:val="FootnoteReference"/>
          <w:rFonts w:ascii="Cambria" w:hAnsi="Cambria"/>
          <w:sz w:val="24"/>
          <w:szCs w:val="24"/>
        </w:rPr>
        <w:footnoteReference w:id="3"/>
      </w:r>
      <w:r w:rsidRPr="00546676">
        <w:rPr>
          <w:rFonts w:ascii="Cambria" w:hAnsi="Cambria"/>
          <w:sz w:val="24"/>
          <w:szCs w:val="24"/>
        </w:rPr>
        <w:t>. This 3,000 cubic meter difference was given to the illegal settlements that surround Ramallah with no explanation</w:t>
      </w:r>
      <w:r w:rsidRPr="00546676">
        <w:rPr>
          <w:rStyle w:val="FootnoteReference"/>
          <w:rFonts w:ascii="Cambria" w:hAnsi="Cambria"/>
          <w:sz w:val="24"/>
          <w:szCs w:val="24"/>
        </w:rPr>
        <w:footnoteReference w:id="4"/>
      </w:r>
      <w:r w:rsidRPr="00546676">
        <w:rPr>
          <w:rFonts w:ascii="Cambria" w:hAnsi="Cambria"/>
          <w:sz w:val="24"/>
          <w:szCs w:val="24"/>
        </w:rPr>
        <w:t xml:space="preserve">. Safe drinking water is needed to survive. Water for irrigation of agricultural crops is equally important </w:t>
      </w:r>
      <w:r w:rsidRPr="00546676">
        <w:rPr>
          <w:rFonts w:ascii="Cambria" w:hAnsi="Cambria"/>
          <w:sz w:val="24"/>
          <w:szCs w:val="24"/>
        </w:rPr>
        <w:lastRenderedPageBreak/>
        <w:t xml:space="preserve">because if Palestinians lack water, their crops will die and their source of income will diminish or be halted altogether. Limiting access to water at such a time is especially dangerous as there is greater need for water for personal hygiene and sterilization to protect oneself from the Coronavirus. </w:t>
      </w:r>
    </w:p>
    <w:p w14:paraId="33374D29"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 xml:space="preserve">The discriminatory decisions taken by the Israeli authorities and Israeli water companies to limit access to water and reduce the supply of water is a breach of Articles 1, 2 and 5. By taking such decisions, the Israeli authorities have deprived the Palestinian people of their own means of subsistence and prohibited them from freely disposing of one of their natural resources. Moreover, although the right to water is not explicitly mentioned in the convention, the basic right to sufficient, clean and affordable water for personal and domestic use is clearly mentioned in other global documents. Article 5 states that no restriction upon or derogation from any of the fundamental human rights recognized in other documents can take place simply because the convention does not recognize such rights or recognizes them to a lesser extent.  </w:t>
      </w:r>
    </w:p>
    <w:p w14:paraId="40133874" w14:textId="47B7D50D" w:rsidR="00FA1B96" w:rsidRPr="00546676" w:rsidRDefault="007A2330" w:rsidP="00EF1201">
      <w:pPr>
        <w:jc w:val="both"/>
        <w:rPr>
          <w:rFonts w:ascii="Cambria" w:hAnsi="Cambria"/>
          <w:b/>
          <w:bCs/>
          <w:sz w:val="24"/>
          <w:szCs w:val="24"/>
        </w:rPr>
      </w:pPr>
      <w:proofErr w:type="spellStart"/>
      <w:r w:rsidRPr="00546676">
        <w:rPr>
          <w:rFonts w:ascii="Cambria" w:hAnsi="Cambria"/>
          <w:b/>
          <w:bCs/>
          <w:sz w:val="24"/>
          <w:szCs w:val="24"/>
        </w:rPr>
        <w:t>Elizka</w:t>
      </w:r>
      <w:proofErr w:type="spellEnd"/>
      <w:r w:rsidRPr="00546676">
        <w:rPr>
          <w:rFonts w:ascii="Cambria" w:hAnsi="Cambria"/>
          <w:b/>
          <w:bCs/>
          <w:sz w:val="24"/>
          <w:szCs w:val="24"/>
        </w:rPr>
        <w:t xml:space="preserve"> Relief Foundation</w:t>
      </w:r>
      <w:r w:rsidR="00FA1B96" w:rsidRPr="00546676">
        <w:rPr>
          <w:rFonts w:ascii="Cambria" w:hAnsi="Cambria"/>
          <w:b/>
          <w:bCs/>
          <w:sz w:val="24"/>
          <w:szCs w:val="24"/>
        </w:rPr>
        <w:t xml:space="preserve"> calls on the Israeli authorities to permit Palestinians to dig wells and install booster pumps through legal licenses. It equally urges the Israeli water companies to increase the supply of water and to fairly distribute it without any discrimination based on national origin.  </w:t>
      </w:r>
    </w:p>
    <w:p w14:paraId="3C698332"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7: Authorities denied asylum seekers access to a fair and prompt refugee status determination process and to economic support: </w:t>
      </w:r>
    </w:p>
    <w:p w14:paraId="36DAF2D3"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Israeli authorities still deny African asylum seekers access to a fair refugee status determination process and economic support. Israel continues to make it obvious that Eritrean and Sudanese asylum seekers  are not welcomed by labelling them as “infiltrators” and worsening their financial strains by continuing to use the ”Deposit Law” which forces the asylum seekers’ employers to deposit 20% of their salaries into an account that they can only have access to when they leave Israel</w:t>
      </w:r>
      <w:r w:rsidRPr="00546676">
        <w:rPr>
          <w:rStyle w:val="FootnoteReference"/>
          <w:rFonts w:ascii="Cambria" w:hAnsi="Cambria"/>
          <w:sz w:val="24"/>
          <w:szCs w:val="24"/>
        </w:rPr>
        <w:footnoteReference w:id="5"/>
      </w:r>
      <w:r w:rsidRPr="00546676">
        <w:rPr>
          <w:rFonts w:ascii="Cambria" w:hAnsi="Cambria"/>
          <w:sz w:val="24"/>
          <w:szCs w:val="24"/>
        </w:rPr>
        <w:t>.  In addition, employers themselves are required to deposit an extra 16 percent into an asylum seeker employee’s account, which discourages employers from employing asylum seekers</w:t>
      </w:r>
      <w:r w:rsidRPr="00546676">
        <w:rPr>
          <w:rStyle w:val="FootnoteReference"/>
          <w:rFonts w:ascii="Cambria" w:hAnsi="Cambria"/>
          <w:sz w:val="24"/>
          <w:szCs w:val="24"/>
        </w:rPr>
        <w:footnoteReference w:id="6"/>
      </w:r>
      <w:r w:rsidRPr="00546676">
        <w:rPr>
          <w:rFonts w:ascii="Cambria" w:hAnsi="Cambria"/>
          <w:sz w:val="24"/>
          <w:szCs w:val="24"/>
        </w:rPr>
        <w:t>. It is estimated that 15-20% of asylum seekers have lost their jobs after this law was passed</w:t>
      </w:r>
      <w:r w:rsidRPr="00546676">
        <w:rPr>
          <w:rStyle w:val="FootnoteReference"/>
          <w:rFonts w:ascii="Cambria" w:hAnsi="Cambria"/>
          <w:sz w:val="24"/>
          <w:szCs w:val="24"/>
        </w:rPr>
        <w:footnoteReference w:id="7"/>
      </w:r>
      <w:r w:rsidRPr="00546676">
        <w:rPr>
          <w:rFonts w:ascii="Cambria" w:hAnsi="Cambria"/>
          <w:sz w:val="24"/>
          <w:szCs w:val="24"/>
        </w:rPr>
        <w:t xml:space="preserve">. </w:t>
      </w:r>
    </w:p>
    <w:p w14:paraId="08A26471"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The 20% has gone down to 6% for vulnerable groups such as women and human trafficking victims but even this percentage is too much for most asylum seekers who mostly work in low-paying jobs</w:t>
      </w:r>
      <w:r w:rsidRPr="00546676">
        <w:rPr>
          <w:rStyle w:val="FootnoteReference"/>
          <w:rFonts w:ascii="Cambria" w:hAnsi="Cambria"/>
          <w:sz w:val="24"/>
          <w:szCs w:val="24"/>
        </w:rPr>
        <w:footnoteReference w:id="8"/>
      </w:r>
      <w:r w:rsidRPr="00546676">
        <w:rPr>
          <w:rFonts w:ascii="Cambria" w:hAnsi="Cambria"/>
          <w:sz w:val="24"/>
          <w:szCs w:val="24"/>
        </w:rPr>
        <w:t xml:space="preserve">.  Little to no efforts have yet been made to ensure that employers are actually depositing the money into their employees’ accounts. It has been discovered that employers </w:t>
      </w:r>
      <w:r w:rsidRPr="00546676">
        <w:rPr>
          <w:rFonts w:ascii="Cambria" w:hAnsi="Cambria"/>
          <w:sz w:val="24"/>
          <w:szCs w:val="24"/>
        </w:rPr>
        <w:lastRenderedPageBreak/>
        <w:t>sometimes only deposit half of the required amount or none of it at all</w:t>
      </w:r>
      <w:r w:rsidRPr="00546676">
        <w:rPr>
          <w:rStyle w:val="FootnoteReference"/>
          <w:rFonts w:ascii="Cambria" w:hAnsi="Cambria"/>
          <w:sz w:val="24"/>
          <w:szCs w:val="24"/>
        </w:rPr>
        <w:footnoteReference w:id="9"/>
      </w:r>
      <w:r w:rsidRPr="00546676">
        <w:rPr>
          <w:rFonts w:ascii="Cambria" w:hAnsi="Cambria"/>
          <w:sz w:val="24"/>
          <w:szCs w:val="24"/>
        </w:rPr>
        <w:t xml:space="preserve">. This law is a breach of Article 7 as the remuneration asylum seekers receive does not provide them with fair wages nor a decent living for them and their families. Rest and reasonable working hours is not practical for those who have to work for 12 hours a day, 6 or 7 days a week, to make up for the 20% loss. </w:t>
      </w:r>
    </w:p>
    <w:p w14:paraId="58F40A15" w14:textId="2D066DC5" w:rsidR="00FA1B96" w:rsidRPr="00546676" w:rsidRDefault="00FA1B96" w:rsidP="00FA1B96">
      <w:pPr>
        <w:jc w:val="both"/>
        <w:rPr>
          <w:rFonts w:ascii="Cambria" w:hAnsi="Cambria"/>
          <w:b/>
          <w:bCs/>
          <w:sz w:val="24"/>
          <w:szCs w:val="24"/>
        </w:rPr>
      </w:pPr>
      <w:r w:rsidRPr="00546676">
        <w:rPr>
          <w:rFonts w:ascii="Cambria" w:hAnsi="Cambria"/>
          <w:b/>
          <w:bCs/>
          <w:sz w:val="24"/>
          <w:szCs w:val="24"/>
        </w:rPr>
        <w:t xml:space="preserve">The Israeli government must amend the “Deposit Law” to ease the financial strains of thousands of asylum seekers. </w:t>
      </w:r>
      <w:proofErr w:type="spellStart"/>
      <w:r w:rsidR="007A2330" w:rsidRPr="00546676">
        <w:rPr>
          <w:rFonts w:ascii="Cambria" w:hAnsi="Cambria"/>
          <w:b/>
          <w:bCs/>
          <w:sz w:val="24"/>
          <w:szCs w:val="24"/>
        </w:rPr>
        <w:t>Elizka</w:t>
      </w:r>
      <w:proofErr w:type="spellEnd"/>
      <w:r w:rsidR="007A2330" w:rsidRPr="00546676">
        <w:rPr>
          <w:rFonts w:ascii="Cambria" w:hAnsi="Cambria"/>
          <w:b/>
          <w:bCs/>
          <w:sz w:val="24"/>
          <w:szCs w:val="24"/>
        </w:rPr>
        <w:t xml:space="preserve"> Relief Foundation</w:t>
      </w:r>
      <w:r w:rsidRPr="00546676">
        <w:rPr>
          <w:rFonts w:ascii="Cambria" w:hAnsi="Cambria"/>
          <w:b/>
          <w:bCs/>
          <w:sz w:val="24"/>
          <w:szCs w:val="24"/>
        </w:rPr>
        <w:t xml:space="preserve"> also recommends the creation of a monitoring committee that would work on ensuring that the 20% deposit owed by employers to their employees is actually placed in their bank accounts. </w:t>
      </w:r>
    </w:p>
    <w:p w14:paraId="49E5BD55"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1 and 11: Attacking livestock and confiscating lands (affecting standard of living and economic opportunities): </w:t>
      </w:r>
    </w:p>
    <w:p w14:paraId="0D9D492A"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 xml:space="preserve">Israeli settlers have attacked Palestinian’s livestock with dogs and weapons, which is considered a breach of Article 11 as the livestock is a source of income to many families as well as a source of food so by attacking the livestock, Israel is destructing the methods of food production and distribution. In 2021 in </w:t>
      </w:r>
      <w:proofErr w:type="spellStart"/>
      <w:r w:rsidRPr="00546676">
        <w:rPr>
          <w:rFonts w:ascii="Cambria" w:hAnsi="Cambria"/>
          <w:sz w:val="24"/>
          <w:szCs w:val="24"/>
        </w:rPr>
        <w:t>Zanuta</w:t>
      </w:r>
      <w:proofErr w:type="spellEnd"/>
      <w:r w:rsidRPr="00546676">
        <w:rPr>
          <w:rFonts w:ascii="Cambria" w:hAnsi="Cambria"/>
          <w:sz w:val="24"/>
          <w:szCs w:val="24"/>
        </w:rPr>
        <w:t xml:space="preserve"> village in Hebron, the Israeli authorities confiscated nearly 4,000 acres of Palestinian land, which was used as a grazing pasture for livestock and gave the green light for four new settlements to be built in that area</w:t>
      </w:r>
      <w:r w:rsidRPr="00546676">
        <w:rPr>
          <w:rStyle w:val="FootnoteReference"/>
          <w:rFonts w:ascii="Cambria" w:hAnsi="Cambria"/>
          <w:sz w:val="24"/>
          <w:szCs w:val="24"/>
        </w:rPr>
        <w:footnoteReference w:id="10"/>
      </w:r>
      <w:r w:rsidRPr="00546676">
        <w:rPr>
          <w:rFonts w:ascii="Cambria" w:hAnsi="Cambria"/>
          <w:sz w:val="24"/>
          <w:szCs w:val="24"/>
        </w:rPr>
        <w:t>. Despite having legal documents that prove their ownership of the lands, these families are stopped from entering their own land, even on foot</w:t>
      </w:r>
      <w:r w:rsidRPr="00546676">
        <w:rPr>
          <w:rStyle w:val="FootnoteReference"/>
          <w:rFonts w:ascii="Cambria" w:hAnsi="Cambria"/>
          <w:sz w:val="24"/>
          <w:szCs w:val="24"/>
        </w:rPr>
        <w:footnoteReference w:id="11"/>
      </w:r>
      <w:r w:rsidRPr="00546676">
        <w:rPr>
          <w:rFonts w:ascii="Cambria" w:hAnsi="Cambria"/>
          <w:sz w:val="24"/>
          <w:szCs w:val="24"/>
        </w:rPr>
        <w:t xml:space="preserve">. </w:t>
      </w:r>
    </w:p>
    <w:p w14:paraId="660C7738"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Another similar incident happened in the same year in the village of Hawara, where a group of Israeli settlers attacked and injured two Palestinian farmers and moments later, injured and killed the sheep of a Palestinian shepherd nearby</w:t>
      </w:r>
      <w:r w:rsidRPr="00546676">
        <w:rPr>
          <w:rStyle w:val="FootnoteReference"/>
          <w:rFonts w:ascii="Cambria" w:hAnsi="Cambria"/>
          <w:sz w:val="24"/>
          <w:szCs w:val="24"/>
        </w:rPr>
        <w:footnoteReference w:id="12"/>
      </w:r>
      <w:r w:rsidRPr="00546676">
        <w:rPr>
          <w:rFonts w:ascii="Cambria" w:hAnsi="Cambria"/>
          <w:sz w:val="24"/>
          <w:szCs w:val="24"/>
        </w:rPr>
        <w:t>. It was reported that no arrests have been made and that IDF soldiers arrived to the scene but did not make any effort to stop the Israeli settlers from committing their crimes</w:t>
      </w:r>
      <w:r w:rsidRPr="00546676">
        <w:rPr>
          <w:rStyle w:val="FootnoteReference"/>
          <w:rFonts w:ascii="Cambria" w:hAnsi="Cambria"/>
          <w:sz w:val="24"/>
          <w:szCs w:val="24"/>
        </w:rPr>
        <w:footnoteReference w:id="13"/>
      </w:r>
      <w:r w:rsidRPr="00546676">
        <w:rPr>
          <w:rFonts w:ascii="Cambria" w:hAnsi="Cambria"/>
          <w:sz w:val="24"/>
          <w:szCs w:val="24"/>
        </w:rPr>
        <w:t>.</w:t>
      </w:r>
    </w:p>
    <w:p w14:paraId="07468A92"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 xml:space="preserve">Confiscating acres upon acres of land is a violation of Article 1 and 11 as these lands are also considered a source of income as well as their source of nutrition. By confiscating these lands, Israel is depriving the people of the </w:t>
      </w:r>
      <w:proofErr w:type="spellStart"/>
      <w:r w:rsidRPr="00546676">
        <w:rPr>
          <w:rFonts w:ascii="Cambria" w:hAnsi="Cambria"/>
          <w:sz w:val="24"/>
          <w:szCs w:val="24"/>
        </w:rPr>
        <w:t>Zanuta</w:t>
      </w:r>
      <w:proofErr w:type="spellEnd"/>
      <w:r w:rsidRPr="00546676">
        <w:rPr>
          <w:rFonts w:ascii="Cambria" w:hAnsi="Cambria"/>
          <w:sz w:val="24"/>
          <w:szCs w:val="24"/>
        </w:rPr>
        <w:t xml:space="preserve"> village from freely disposing of their natural wealth and resources and depriving them from their own means of subsistence and it destroys their agrarian system by allowing settlements to be built on fertile land. </w:t>
      </w:r>
    </w:p>
    <w:p w14:paraId="59142A51" w14:textId="1A056271" w:rsidR="00EF1201" w:rsidRPr="00546676" w:rsidRDefault="007A2330" w:rsidP="00546676">
      <w:pPr>
        <w:jc w:val="both"/>
        <w:rPr>
          <w:rFonts w:ascii="Cambria" w:hAnsi="Cambria"/>
          <w:b/>
          <w:bCs/>
          <w:sz w:val="24"/>
          <w:szCs w:val="24"/>
          <w:rtl/>
          <w:lang w:bidi="ar-EG"/>
        </w:rPr>
      </w:pPr>
      <w:proofErr w:type="spellStart"/>
      <w:r w:rsidRPr="00546676">
        <w:rPr>
          <w:rFonts w:ascii="Cambria" w:hAnsi="Cambria"/>
          <w:b/>
          <w:bCs/>
          <w:sz w:val="24"/>
          <w:szCs w:val="24"/>
        </w:rPr>
        <w:lastRenderedPageBreak/>
        <w:t>Elizka</w:t>
      </w:r>
      <w:proofErr w:type="spellEnd"/>
      <w:r w:rsidRPr="00546676">
        <w:rPr>
          <w:rFonts w:ascii="Cambria" w:hAnsi="Cambria"/>
          <w:b/>
          <w:bCs/>
          <w:sz w:val="24"/>
          <w:szCs w:val="24"/>
        </w:rPr>
        <w:t xml:space="preserve"> Relief Foundation</w:t>
      </w:r>
      <w:r w:rsidR="00FA1B96" w:rsidRPr="00546676">
        <w:rPr>
          <w:rFonts w:ascii="Cambria" w:hAnsi="Cambria"/>
          <w:b/>
          <w:bCs/>
          <w:sz w:val="24"/>
          <w:szCs w:val="24"/>
        </w:rPr>
        <w:t xml:space="preserve"> urges the Israeli authorities to provide better security and protection to Palestinian villagers and their properties against the settlers and to put an end to the confiscation of fertile land for the sake of new settlements. </w:t>
      </w:r>
    </w:p>
    <w:p w14:paraId="1C200090"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2 and 12: Unfair distribution of Covid-19 vaccines due to discrimination </w:t>
      </w:r>
    </w:p>
    <w:p w14:paraId="12C254AE"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 xml:space="preserve">As people around the world are combating the Coronavirus through vaccines, Palestinian citizens are not getting the same chance due to discriminatory distributions of Covid-19 vaccines by the Israeli government. </w:t>
      </w:r>
    </w:p>
    <w:p w14:paraId="44374BD0"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Israel has managed to vaccinate around 50% of its population with a first dose and 30% of its population with the full two doses</w:t>
      </w:r>
      <w:r w:rsidRPr="00546676">
        <w:rPr>
          <w:rStyle w:val="FootnoteReference"/>
          <w:rFonts w:ascii="Cambria" w:hAnsi="Cambria"/>
          <w:sz w:val="24"/>
          <w:szCs w:val="24"/>
        </w:rPr>
        <w:footnoteReference w:id="14"/>
      </w:r>
      <w:r w:rsidRPr="00546676">
        <w:rPr>
          <w:rFonts w:ascii="Cambria" w:hAnsi="Cambria"/>
          <w:sz w:val="24"/>
          <w:szCs w:val="24"/>
        </w:rPr>
        <w:t>. On the other hand, doses in the OPT are only available by the thousands and cover less than 1% of the Palestinian population. With these percentages in mind, this means that an individual is 60 times more likely to have a vaccination in Israel than in Palestine</w:t>
      </w:r>
      <w:r w:rsidRPr="00546676">
        <w:rPr>
          <w:rStyle w:val="FootnoteReference"/>
          <w:rFonts w:ascii="Cambria" w:hAnsi="Cambria"/>
          <w:sz w:val="24"/>
          <w:szCs w:val="24"/>
        </w:rPr>
        <w:footnoteReference w:id="15"/>
      </w:r>
      <w:r w:rsidRPr="00546676">
        <w:rPr>
          <w:rFonts w:ascii="Cambria" w:hAnsi="Cambria"/>
          <w:sz w:val="24"/>
          <w:szCs w:val="24"/>
        </w:rPr>
        <w:t xml:space="preserve">. </w:t>
      </w:r>
    </w:p>
    <w:p w14:paraId="186431AC"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As an occupying power, Israel is obligated to ensure the availability of medical supplies to the occupied. Israel has administered first and second doses to its citizens, both the most and least vulnerable but has failed to provide Palestinians with an adequate number that would cover those living in the occupied territories</w:t>
      </w:r>
      <w:r w:rsidRPr="00546676">
        <w:rPr>
          <w:rStyle w:val="FootnoteReference"/>
          <w:rFonts w:ascii="Cambria" w:hAnsi="Cambria"/>
          <w:sz w:val="24"/>
          <w:szCs w:val="24"/>
        </w:rPr>
        <w:footnoteReference w:id="16"/>
      </w:r>
      <w:r w:rsidRPr="00546676">
        <w:rPr>
          <w:rFonts w:ascii="Cambria" w:hAnsi="Cambria"/>
          <w:sz w:val="24"/>
          <w:szCs w:val="24"/>
        </w:rPr>
        <w:t>. It has even vaccinated those with Israeli IDs inside the West Bank strongly suggesting the perpetuation of discrimination between holders of Israeli IDs and non-holders. The vaccination of least vulnerable individuals like children and teenagers should have been postponed in order to ensure the availability of an adequate number of vaccines to the Palestinian citizens. Palestinians already face extreme shortages of medical supplies denoting that even if vaccines were not available, the means to treat patients through oxygen tanks and similar treatments is not sufficiently offered which makes the need for the vaccine even higher.</w:t>
      </w:r>
    </w:p>
    <w:p w14:paraId="56D2556C" w14:textId="0C0C248B" w:rsidR="00FA1B96" w:rsidRPr="00546676" w:rsidRDefault="00FA1B96" w:rsidP="00FA1B96">
      <w:pPr>
        <w:jc w:val="both"/>
        <w:rPr>
          <w:rFonts w:ascii="Cambria" w:hAnsi="Cambria"/>
          <w:b/>
          <w:bCs/>
          <w:sz w:val="24"/>
          <w:szCs w:val="24"/>
        </w:rPr>
      </w:pPr>
      <w:r w:rsidRPr="00546676">
        <w:rPr>
          <w:rFonts w:ascii="Cambria" w:hAnsi="Cambria"/>
          <w:b/>
          <w:bCs/>
          <w:sz w:val="24"/>
          <w:szCs w:val="24"/>
        </w:rPr>
        <w:t xml:space="preserve">Consequently, </w:t>
      </w:r>
      <w:proofErr w:type="spellStart"/>
      <w:r w:rsidR="007A2330" w:rsidRPr="00546676">
        <w:rPr>
          <w:rFonts w:ascii="Cambria" w:hAnsi="Cambria"/>
          <w:b/>
          <w:bCs/>
          <w:sz w:val="24"/>
          <w:szCs w:val="24"/>
        </w:rPr>
        <w:t>Elizka</w:t>
      </w:r>
      <w:proofErr w:type="spellEnd"/>
      <w:r w:rsidR="007A2330" w:rsidRPr="00546676">
        <w:rPr>
          <w:rFonts w:ascii="Cambria" w:hAnsi="Cambria"/>
          <w:b/>
          <w:bCs/>
          <w:sz w:val="24"/>
          <w:szCs w:val="24"/>
        </w:rPr>
        <w:t xml:space="preserve"> Relief Foundation</w:t>
      </w:r>
      <w:r w:rsidRPr="00546676">
        <w:rPr>
          <w:rFonts w:ascii="Cambria" w:hAnsi="Cambria"/>
          <w:b/>
          <w:bCs/>
          <w:sz w:val="24"/>
          <w:szCs w:val="24"/>
        </w:rPr>
        <w:t xml:space="preserve"> calls on the Israeli government to fairly distribute Covid-19 vaccines without any discrimination based on national origin.  Additionally, relevant international health organizations need to ensure that Palestinian civilians get the highest attainable standard of health by sending out delegations to monitor the distribution process of the vaccines. </w:t>
      </w:r>
    </w:p>
    <w:p w14:paraId="21F1B6EC"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Articles 10 and 11: Article Latest Air Attacks on Gaza (August 2022):</w:t>
      </w:r>
    </w:p>
    <w:p w14:paraId="5103458A" w14:textId="77777777" w:rsidR="00FA1B96" w:rsidRPr="00546676" w:rsidRDefault="00FA1B96" w:rsidP="00FA1B96">
      <w:pPr>
        <w:ind w:firstLine="720"/>
        <w:jc w:val="both"/>
        <w:rPr>
          <w:rFonts w:ascii="Cambria" w:hAnsi="Cambria"/>
          <w:color w:val="1E1E1E"/>
          <w:sz w:val="24"/>
          <w:szCs w:val="24"/>
          <w:shd w:val="clear" w:color="auto" w:fill="FFFFFF"/>
        </w:rPr>
      </w:pPr>
      <w:r w:rsidRPr="00546676">
        <w:rPr>
          <w:rFonts w:ascii="Cambria" w:hAnsi="Cambria"/>
          <w:color w:val="1E1E1E"/>
          <w:sz w:val="24"/>
          <w:szCs w:val="24"/>
          <w:shd w:val="clear" w:color="auto" w:fill="FFFFFF"/>
        </w:rPr>
        <w:t>The latest air attacks by Israel on Gaza, which left nearly 50 Palestinians dead and over 200 injured, including women and children, is a breach of multiple articles in the convention.</w:t>
      </w:r>
    </w:p>
    <w:p w14:paraId="058F95C1" w14:textId="0CCDEA95" w:rsidR="00FA1B96" w:rsidRPr="00546676" w:rsidRDefault="00FA1B96" w:rsidP="00FA1B96">
      <w:pPr>
        <w:ind w:firstLine="720"/>
        <w:jc w:val="both"/>
        <w:rPr>
          <w:rFonts w:ascii="Cambria" w:hAnsi="Cambria"/>
          <w:color w:val="1E1E1E"/>
          <w:sz w:val="24"/>
          <w:szCs w:val="24"/>
          <w:shd w:val="clear" w:color="auto" w:fill="FFFFFF"/>
        </w:rPr>
      </w:pPr>
      <w:r w:rsidRPr="00546676">
        <w:rPr>
          <w:rFonts w:ascii="Cambria" w:hAnsi="Cambria"/>
          <w:color w:val="1E1E1E"/>
          <w:sz w:val="24"/>
          <w:szCs w:val="24"/>
          <w:shd w:val="clear" w:color="auto" w:fill="FFFFFF"/>
        </w:rPr>
        <w:lastRenderedPageBreak/>
        <w:t xml:space="preserve">According to Palestinian health ministry officials, 16 children, the youngest being 4 years old </w:t>
      </w:r>
      <w:r w:rsidR="003A45ED" w:rsidRPr="00546676">
        <w:rPr>
          <w:rFonts w:ascii="Cambria" w:hAnsi="Cambria"/>
          <w:color w:val="1E1E1E"/>
          <w:sz w:val="24"/>
          <w:szCs w:val="24"/>
          <w:shd w:val="clear" w:color="auto" w:fill="FFFFFF"/>
        </w:rPr>
        <w:t>and the</w:t>
      </w:r>
      <w:r w:rsidRPr="00546676">
        <w:rPr>
          <w:rFonts w:ascii="Cambria" w:hAnsi="Cambria"/>
          <w:color w:val="1E1E1E"/>
          <w:sz w:val="24"/>
          <w:szCs w:val="24"/>
          <w:shd w:val="clear" w:color="auto" w:fill="FFFFFF"/>
        </w:rPr>
        <w:t xml:space="preserve"> oldest being 18 years </w:t>
      </w:r>
      <w:proofErr w:type="gramStart"/>
      <w:r w:rsidRPr="00546676">
        <w:rPr>
          <w:rFonts w:ascii="Cambria" w:hAnsi="Cambria"/>
          <w:color w:val="1E1E1E"/>
          <w:sz w:val="24"/>
          <w:szCs w:val="24"/>
          <w:shd w:val="clear" w:color="auto" w:fill="FFFFFF"/>
        </w:rPr>
        <w:t>old,</w:t>
      </w:r>
      <w:proofErr w:type="gramEnd"/>
      <w:r w:rsidRPr="00546676">
        <w:rPr>
          <w:rFonts w:ascii="Cambria" w:hAnsi="Cambria"/>
          <w:color w:val="1E1E1E"/>
          <w:sz w:val="24"/>
          <w:szCs w:val="24"/>
          <w:shd w:val="clear" w:color="auto" w:fill="FFFFFF"/>
        </w:rPr>
        <w:t xml:space="preserve"> were killed in the Gaza strip because of the 3 day Israeli raid</w:t>
      </w:r>
      <w:r w:rsidRPr="00546676">
        <w:rPr>
          <w:rStyle w:val="FootnoteReference"/>
          <w:rFonts w:ascii="Cambria" w:hAnsi="Cambria"/>
          <w:color w:val="1E1E1E"/>
          <w:sz w:val="24"/>
          <w:szCs w:val="24"/>
          <w:shd w:val="clear" w:color="auto" w:fill="FFFFFF"/>
        </w:rPr>
        <w:footnoteReference w:id="17"/>
      </w:r>
      <w:r w:rsidRPr="00546676">
        <w:rPr>
          <w:rFonts w:ascii="Cambria" w:hAnsi="Cambria"/>
          <w:color w:val="1E1E1E"/>
          <w:sz w:val="24"/>
          <w:szCs w:val="24"/>
          <w:shd w:val="clear" w:color="auto" w:fill="FFFFFF"/>
        </w:rPr>
        <w:t>. The air raids have also destroyed apartment buildings including one in the center of Gaza, which has led to 10 deaths including a five-year-old girl</w:t>
      </w:r>
      <w:r w:rsidRPr="00546676">
        <w:rPr>
          <w:rStyle w:val="FootnoteReference"/>
          <w:rFonts w:ascii="Cambria" w:hAnsi="Cambria"/>
          <w:color w:val="1E1E1E"/>
          <w:sz w:val="24"/>
          <w:szCs w:val="24"/>
          <w:shd w:val="clear" w:color="auto" w:fill="FFFFFF"/>
        </w:rPr>
        <w:footnoteReference w:id="18"/>
      </w:r>
      <w:r w:rsidRPr="00546676">
        <w:rPr>
          <w:rFonts w:ascii="Cambria" w:hAnsi="Cambria"/>
          <w:color w:val="1E1E1E"/>
          <w:sz w:val="24"/>
          <w:szCs w:val="24"/>
          <w:shd w:val="clear" w:color="auto" w:fill="FFFFFF"/>
        </w:rPr>
        <w:t xml:space="preserve">. These raids are a breach of Article 11 as they have destroyed apartment buildings which people used to live in therefore ending their access to housing and effectively worsening their living conditions. The killing of Palestinian civilians, especially women and children is a breach of Article 10 as the widest possible protection and assistance was not rendered to families nor were special measures taken to protect and assist children and young persons. </w:t>
      </w:r>
    </w:p>
    <w:p w14:paraId="3076B415" w14:textId="6855B3A6" w:rsidR="00FA1B96" w:rsidRPr="00546676" w:rsidRDefault="00FA1B96" w:rsidP="00EF1201">
      <w:pPr>
        <w:ind w:firstLine="720"/>
        <w:jc w:val="both"/>
        <w:rPr>
          <w:rFonts w:ascii="Cambria" w:hAnsi="Cambria"/>
          <w:color w:val="1E1E1E"/>
          <w:sz w:val="24"/>
          <w:szCs w:val="24"/>
          <w:shd w:val="clear" w:color="auto" w:fill="FFFFFF"/>
        </w:rPr>
      </w:pPr>
      <w:r w:rsidRPr="00546676">
        <w:rPr>
          <w:rFonts w:ascii="Cambria" w:hAnsi="Cambria"/>
          <w:color w:val="1E1E1E"/>
          <w:sz w:val="24"/>
          <w:szCs w:val="24"/>
          <w:shd w:val="clear" w:color="auto" w:fill="FFFFFF"/>
        </w:rPr>
        <w:t xml:space="preserve"> Israel, once again, stopped the planned transport of fuel into Gaza shortly before it launched its attacks, causing the shutdown of the territory’s only power plant and reducing the electricity supply, leaving 2.1 million Palestinians with only four hours of electricity per day</w:t>
      </w:r>
      <w:r w:rsidRPr="00546676">
        <w:rPr>
          <w:rStyle w:val="FootnoteReference"/>
          <w:rFonts w:ascii="Cambria" w:hAnsi="Cambria"/>
          <w:color w:val="1E1E1E"/>
          <w:sz w:val="24"/>
          <w:szCs w:val="24"/>
          <w:shd w:val="clear" w:color="auto" w:fill="FFFFFF"/>
        </w:rPr>
        <w:footnoteReference w:id="19"/>
      </w:r>
      <w:r w:rsidRPr="00546676">
        <w:rPr>
          <w:rFonts w:ascii="Cambria" w:hAnsi="Cambria"/>
          <w:color w:val="1E1E1E"/>
          <w:sz w:val="24"/>
          <w:szCs w:val="24"/>
          <w:shd w:val="clear" w:color="auto" w:fill="FFFFFF"/>
        </w:rPr>
        <w:t xml:space="preserve">. The lack of electricity has had negative impacts on the supply of clean water, sewage treatment facilities and healthcare, which the Palestinians already had shortages of. Israel also closed the two main crossings into Gaza, </w:t>
      </w:r>
      <w:proofErr w:type="spellStart"/>
      <w:r w:rsidRPr="00546676">
        <w:rPr>
          <w:rFonts w:ascii="Cambria" w:hAnsi="Cambria"/>
          <w:color w:val="1E1E1E"/>
          <w:sz w:val="24"/>
          <w:szCs w:val="24"/>
          <w:shd w:val="clear" w:color="auto" w:fill="FFFFFF"/>
        </w:rPr>
        <w:t>Kerem</w:t>
      </w:r>
      <w:proofErr w:type="spellEnd"/>
      <w:r w:rsidRPr="00546676">
        <w:rPr>
          <w:rFonts w:ascii="Cambria" w:hAnsi="Cambria"/>
          <w:color w:val="1E1E1E"/>
          <w:sz w:val="24"/>
          <w:szCs w:val="24"/>
          <w:shd w:val="clear" w:color="auto" w:fill="FFFFFF"/>
        </w:rPr>
        <w:t xml:space="preserve"> Shalom and </w:t>
      </w:r>
      <w:proofErr w:type="spellStart"/>
      <w:r w:rsidRPr="00546676">
        <w:rPr>
          <w:rFonts w:ascii="Cambria" w:hAnsi="Cambria"/>
          <w:color w:val="1E1E1E"/>
          <w:sz w:val="24"/>
          <w:szCs w:val="24"/>
          <w:shd w:val="clear" w:color="auto" w:fill="FFFFFF"/>
        </w:rPr>
        <w:t>Erez</w:t>
      </w:r>
      <w:proofErr w:type="spellEnd"/>
      <w:r w:rsidRPr="00546676">
        <w:rPr>
          <w:rFonts w:ascii="Cambria" w:hAnsi="Cambria"/>
          <w:color w:val="1E1E1E"/>
          <w:sz w:val="24"/>
          <w:szCs w:val="24"/>
          <w:shd w:val="clear" w:color="auto" w:fill="FFFFFF"/>
        </w:rPr>
        <w:t xml:space="preserve"> meaning that fuel or any humanitarian aid cannot enter the Strip</w:t>
      </w:r>
      <w:r w:rsidRPr="00546676">
        <w:rPr>
          <w:rStyle w:val="FootnoteReference"/>
          <w:rFonts w:ascii="Cambria" w:hAnsi="Cambria"/>
          <w:color w:val="1E1E1E"/>
          <w:sz w:val="24"/>
          <w:szCs w:val="24"/>
          <w:shd w:val="clear" w:color="auto" w:fill="FFFFFF"/>
        </w:rPr>
        <w:footnoteReference w:id="20"/>
      </w:r>
      <w:r w:rsidRPr="00546676">
        <w:rPr>
          <w:rFonts w:ascii="Cambria" w:hAnsi="Cambria"/>
          <w:color w:val="1E1E1E"/>
          <w:sz w:val="24"/>
          <w:szCs w:val="24"/>
          <w:shd w:val="clear" w:color="auto" w:fill="FFFFFF"/>
        </w:rPr>
        <w:t>.</w:t>
      </w:r>
    </w:p>
    <w:p w14:paraId="54E747E5" w14:textId="77777777" w:rsidR="00FA1B96" w:rsidRPr="00546676" w:rsidRDefault="00FA1B96" w:rsidP="00FA1B96">
      <w:pPr>
        <w:jc w:val="both"/>
        <w:rPr>
          <w:rFonts w:ascii="Cambria" w:hAnsi="Cambria"/>
          <w:b/>
          <w:bCs/>
          <w:color w:val="1E1E1E"/>
          <w:sz w:val="24"/>
          <w:szCs w:val="24"/>
          <w:shd w:val="clear" w:color="auto" w:fill="FFFFFF"/>
        </w:rPr>
      </w:pPr>
      <w:r w:rsidRPr="00546676">
        <w:rPr>
          <w:rFonts w:ascii="Cambria" w:hAnsi="Cambria"/>
          <w:b/>
          <w:bCs/>
          <w:color w:val="1E1E1E"/>
          <w:sz w:val="24"/>
          <w:szCs w:val="24"/>
          <w:shd w:val="clear" w:color="auto" w:fill="FFFFFF"/>
        </w:rPr>
        <w:t xml:space="preserve">The Israeli authorities must keep the crossings opened at all times, especially during times of conflict to ensure that humanitarian aid can be delivered to the injured civilians. Additionally, the Israeli forces must refrain from targeting apartment buildings and houses and take into account the possible presence of children and families in general in such buildings. </w:t>
      </w:r>
    </w:p>
    <w:p w14:paraId="47BDF3DB" w14:textId="77777777" w:rsidR="00FA1B96" w:rsidRPr="00546676" w:rsidRDefault="00FA1B96" w:rsidP="00FA1B96">
      <w:pPr>
        <w:rPr>
          <w:rFonts w:ascii="Cambria" w:hAnsi="Cambria"/>
          <w:b/>
          <w:bCs/>
          <w:sz w:val="24"/>
          <w:szCs w:val="24"/>
          <w:highlight w:val="yellow"/>
        </w:rPr>
      </w:pPr>
    </w:p>
    <w:p w14:paraId="5D410654"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Article 11: Forced Evictions (Violation of right to adequate standard of living): </w:t>
      </w:r>
    </w:p>
    <w:p w14:paraId="229CA254" w14:textId="77777777" w:rsidR="00FA1B96" w:rsidRPr="00546676" w:rsidRDefault="00FA1B96" w:rsidP="00FA1B96">
      <w:pPr>
        <w:ind w:firstLine="720"/>
        <w:jc w:val="both"/>
        <w:rPr>
          <w:rFonts w:ascii="Cambria" w:hAnsi="Cambria"/>
          <w:sz w:val="24"/>
          <w:szCs w:val="24"/>
          <w:shd w:val="clear" w:color="auto" w:fill="FFFFFF"/>
        </w:rPr>
      </w:pPr>
      <w:r w:rsidRPr="00546676">
        <w:rPr>
          <w:rFonts w:ascii="Cambria" w:hAnsi="Cambria"/>
          <w:sz w:val="24"/>
          <w:szCs w:val="24"/>
          <w:shd w:val="clear" w:color="auto" w:fill="FFFFFF"/>
        </w:rPr>
        <w:t xml:space="preserve">Many attempts have been made over the years to forcefully evict Palestinians out of their homes to make space for Israeli settlers. As recently as January 2022, the Israeli police evicted two Palestinian families to build a new school in Sheikh Jarrah. About 12 police officers dragged the family members outside before tearing down their houses with bulldozers claiming that they were </w:t>
      </w:r>
      <w:r w:rsidRPr="00546676">
        <w:rPr>
          <w:rFonts w:ascii="Cambria" w:hAnsi="Cambria"/>
          <w:sz w:val="24"/>
          <w:szCs w:val="24"/>
          <w:shd w:val="clear" w:color="auto" w:fill="FFFFFF"/>
        </w:rPr>
        <w:lastRenderedPageBreak/>
        <w:t>simply enforcing a court-approved eviction order</w:t>
      </w:r>
      <w:r w:rsidRPr="00546676">
        <w:rPr>
          <w:rStyle w:val="FootnoteReference"/>
          <w:rFonts w:ascii="Cambria" w:hAnsi="Cambria"/>
          <w:sz w:val="24"/>
          <w:szCs w:val="24"/>
          <w:shd w:val="clear" w:color="auto" w:fill="FFFFFF"/>
        </w:rPr>
        <w:footnoteReference w:id="21"/>
      </w:r>
      <w:r w:rsidRPr="00546676">
        <w:rPr>
          <w:rFonts w:ascii="Cambria" w:hAnsi="Cambria"/>
          <w:sz w:val="24"/>
          <w:szCs w:val="24"/>
          <w:shd w:val="clear" w:color="auto" w:fill="FFFFFF"/>
        </w:rPr>
        <w:t>. The eviction was the first to be fully executed in Sheikh Jarrah in nearly five years after several attempts</w:t>
      </w:r>
      <w:r w:rsidRPr="00546676">
        <w:rPr>
          <w:rStyle w:val="FootnoteReference"/>
          <w:rFonts w:ascii="Cambria" w:hAnsi="Cambria"/>
          <w:sz w:val="24"/>
          <w:szCs w:val="24"/>
          <w:shd w:val="clear" w:color="auto" w:fill="FFFFFF"/>
        </w:rPr>
        <w:footnoteReference w:id="22"/>
      </w:r>
      <w:r w:rsidRPr="00546676">
        <w:rPr>
          <w:rFonts w:ascii="Cambria" w:hAnsi="Cambria"/>
          <w:sz w:val="24"/>
          <w:szCs w:val="24"/>
          <w:shd w:val="clear" w:color="auto" w:fill="FFFFFF"/>
        </w:rPr>
        <w:t xml:space="preserve">. </w:t>
      </w:r>
    </w:p>
    <w:p w14:paraId="6E0C33E0" w14:textId="77777777" w:rsidR="00FA1B96" w:rsidRPr="00546676" w:rsidRDefault="00FA1B96" w:rsidP="00FA1B96">
      <w:pPr>
        <w:pStyle w:val="dcr-xry7m2"/>
        <w:shd w:val="clear" w:color="auto" w:fill="FFFFFF"/>
        <w:ind w:firstLine="720"/>
        <w:jc w:val="both"/>
        <w:textAlignment w:val="baseline"/>
        <w:rPr>
          <w:rFonts w:ascii="Cambria" w:hAnsi="Cambria"/>
        </w:rPr>
      </w:pPr>
      <w:r w:rsidRPr="00546676">
        <w:rPr>
          <w:rFonts w:ascii="Cambria" w:hAnsi="Cambria"/>
        </w:rPr>
        <w:t>The number of families at risk of being evicted due to court orders is as big as 200</w:t>
      </w:r>
      <w:r w:rsidRPr="00546676">
        <w:rPr>
          <w:rStyle w:val="FootnoteReference"/>
          <w:rFonts w:ascii="Cambria" w:hAnsi="Cambria"/>
        </w:rPr>
        <w:footnoteReference w:id="23"/>
      </w:r>
      <w:r w:rsidRPr="00546676">
        <w:rPr>
          <w:rFonts w:ascii="Cambria" w:hAnsi="Cambria"/>
        </w:rPr>
        <w:t>. Compared to 2020, 2021 saw an increase of 21% of Israeli demolitions of Palestinian houses in the occupied West Bank and East Jerusalem</w:t>
      </w:r>
      <w:r w:rsidRPr="00546676">
        <w:rPr>
          <w:rStyle w:val="FootnoteReference"/>
          <w:rFonts w:ascii="Cambria" w:hAnsi="Cambria"/>
        </w:rPr>
        <w:footnoteReference w:id="24"/>
      </w:r>
      <w:r w:rsidRPr="00546676">
        <w:rPr>
          <w:rFonts w:ascii="Cambria" w:hAnsi="Cambria"/>
        </w:rPr>
        <w:t>. According to Israeli zoning laws, 35% of East Jerusalem’s land area is for the building of illegal settlements by Israeli settlers while 52% of the land has been labelled as “green areas” and “unplanned areas” where construction is prohibited</w:t>
      </w:r>
      <w:r w:rsidRPr="00546676">
        <w:rPr>
          <w:rStyle w:val="FootnoteReference"/>
          <w:rFonts w:ascii="Cambria" w:hAnsi="Cambria"/>
        </w:rPr>
        <w:footnoteReference w:id="25"/>
      </w:r>
      <w:r w:rsidRPr="00546676">
        <w:rPr>
          <w:rFonts w:ascii="Cambria" w:hAnsi="Cambria"/>
        </w:rPr>
        <w:t>. Almost 90% of East Jerusalem is either reserved for Israeli settlers or is prohibited from being used, leaving Palestinians with a little more than 10% of the land</w:t>
      </w:r>
      <w:r w:rsidRPr="00546676">
        <w:rPr>
          <w:rStyle w:val="FootnoteReference"/>
          <w:rFonts w:ascii="Cambria" w:hAnsi="Cambria"/>
        </w:rPr>
        <w:footnoteReference w:id="26"/>
      </w:r>
      <w:r w:rsidRPr="00546676">
        <w:rPr>
          <w:rFonts w:ascii="Cambria" w:hAnsi="Cambria"/>
        </w:rPr>
        <w:t xml:space="preserve">. </w:t>
      </w:r>
    </w:p>
    <w:p w14:paraId="652EFD87" w14:textId="77777777" w:rsidR="00FA1B96" w:rsidRPr="00546676" w:rsidRDefault="00FA1B96" w:rsidP="00FA1B96">
      <w:pPr>
        <w:pStyle w:val="dcr-xry7m2"/>
        <w:shd w:val="clear" w:color="auto" w:fill="FFFFFF"/>
        <w:ind w:firstLine="720"/>
        <w:jc w:val="both"/>
        <w:textAlignment w:val="baseline"/>
        <w:rPr>
          <w:rFonts w:ascii="Cambria" w:hAnsi="Cambria"/>
        </w:rPr>
      </w:pPr>
      <w:r w:rsidRPr="00546676">
        <w:rPr>
          <w:rFonts w:ascii="Cambria" w:hAnsi="Cambria"/>
        </w:rPr>
        <w:t xml:space="preserve">Forceful evictions are a direct breach of Article 11 of the covenant, which outlines the right to an adequate standard of living including adequate food, clothing and housing. A lack of adequate housing is likely to lead to further breaches of other articles in the same covenant as well as worsening the standard of living of hundreds of Palestinians. </w:t>
      </w:r>
    </w:p>
    <w:p w14:paraId="56C10646" w14:textId="7ED6BF3D" w:rsidR="00FA1B96" w:rsidRPr="00546676" w:rsidRDefault="00FA1B96" w:rsidP="00FA1B96">
      <w:pPr>
        <w:spacing w:before="360" w:after="0" w:line="240" w:lineRule="auto"/>
        <w:jc w:val="both"/>
        <w:rPr>
          <w:rFonts w:ascii="Cambria" w:eastAsia="Times New Roman" w:hAnsi="Cambria" w:cs="Arial"/>
          <w:b/>
          <w:bCs/>
          <w:color w:val="000000"/>
          <w:sz w:val="24"/>
          <w:szCs w:val="24"/>
        </w:rPr>
      </w:pPr>
      <w:r w:rsidRPr="00546676">
        <w:rPr>
          <w:rFonts w:ascii="Cambria" w:hAnsi="Cambria"/>
          <w:b/>
          <w:bCs/>
          <w:sz w:val="24"/>
          <w:szCs w:val="24"/>
        </w:rPr>
        <w:t xml:space="preserve">As a result, </w:t>
      </w:r>
      <w:proofErr w:type="spellStart"/>
      <w:r w:rsidR="007A2330" w:rsidRPr="00546676">
        <w:rPr>
          <w:rFonts w:ascii="Cambria" w:hAnsi="Cambria"/>
          <w:b/>
          <w:bCs/>
          <w:sz w:val="24"/>
          <w:szCs w:val="24"/>
        </w:rPr>
        <w:t>Elizka</w:t>
      </w:r>
      <w:proofErr w:type="spellEnd"/>
      <w:r w:rsidR="007A2330" w:rsidRPr="00546676">
        <w:rPr>
          <w:rFonts w:ascii="Cambria" w:hAnsi="Cambria"/>
          <w:b/>
          <w:bCs/>
          <w:sz w:val="24"/>
          <w:szCs w:val="24"/>
        </w:rPr>
        <w:t xml:space="preserve"> Relief Foundation</w:t>
      </w:r>
      <w:r w:rsidRPr="00546676">
        <w:rPr>
          <w:rFonts w:ascii="Cambria" w:hAnsi="Cambria"/>
          <w:b/>
          <w:bCs/>
          <w:sz w:val="24"/>
          <w:szCs w:val="24"/>
        </w:rPr>
        <w:t xml:space="preserve"> urges the immediate ceasing of all illegal settlement projects and destruction of Palestinian houses. Additionally, </w:t>
      </w:r>
      <w:proofErr w:type="spellStart"/>
      <w:r w:rsidR="007A2330" w:rsidRPr="00546676">
        <w:rPr>
          <w:rFonts w:ascii="Cambria" w:hAnsi="Cambria"/>
          <w:b/>
          <w:bCs/>
          <w:sz w:val="24"/>
          <w:szCs w:val="24"/>
        </w:rPr>
        <w:t>Elizka</w:t>
      </w:r>
      <w:proofErr w:type="spellEnd"/>
      <w:r w:rsidR="007A2330" w:rsidRPr="00546676">
        <w:rPr>
          <w:rFonts w:ascii="Cambria" w:hAnsi="Cambria"/>
          <w:b/>
          <w:bCs/>
          <w:sz w:val="24"/>
          <w:szCs w:val="24"/>
        </w:rPr>
        <w:t xml:space="preserve"> Relief Foundation</w:t>
      </w:r>
      <w:r w:rsidRPr="00546676">
        <w:rPr>
          <w:rFonts w:ascii="Cambria" w:hAnsi="Cambria"/>
          <w:b/>
          <w:bCs/>
          <w:sz w:val="24"/>
          <w:szCs w:val="24"/>
        </w:rPr>
        <w:t xml:space="preserve"> calls on the Israeli government to </w:t>
      </w:r>
      <w:r w:rsidRPr="00546676">
        <w:rPr>
          <w:rFonts w:ascii="Cambria" w:eastAsia="Times New Roman" w:hAnsi="Cambria" w:cs="Arial"/>
          <w:b/>
          <w:bCs/>
          <w:color w:val="000000"/>
          <w:sz w:val="24"/>
          <w:szCs w:val="24"/>
        </w:rPr>
        <w:t xml:space="preserve">revoke all orders for the destruction of houses in the OPT and place the responsibility for planning and building policies and regulations in the OPT with local Palestinian communities. Financial compensation must also be given to all families whose properties have been demolished as well as physical and technical support to rebuild the properties in the same place as they were before they were taken down. </w:t>
      </w:r>
    </w:p>
    <w:p w14:paraId="461A8A4A" w14:textId="77777777" w:rsidR="00FA1B96" w:rsidRPr="00546676" w:rsidRDefault="00FA1B96" w:rsidP="00FA1B96">
      <w:pPr>
        <w:rPr>
          <w:rFonts w:ascii="Cambria" w:hAnsi="Cambria"/>
          <w:b/>
          <w:bCs/>
          <w:sz w:val="24"/>
          <w:szCs w:val="24"/>
          <w:highlight w:val="yellow"/>
        </w:rPr>
      </w:pPr>
    </w:p>
    <w:p w14:paraId="03381114"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 11: Stalling trucks loaded with humanitarian aid and fuel:</w:t>
      </w: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18F3D7BA" w14:textId="77777777" w:rsidR="00FA1B96" w:rsidRPr="00546676" w:rsidRDefault="00FA1B96" w:rsidP="00FA1B96">
      <w:pPr>
        <w:ind w:firstLine="720"/>
        <w:jc w:val="both"/>
        <w:rPr>
          <w:rFonts w:ascii="Cambria" w:hAnsi="Cambria"/>
          <w:color w:val="1E1E1E"/>
          <w:sz w:val="24"/>
          <w:szCs w:val="24"/>
          <w:shd w:val="clear" w:color="auto" w:fill="FFFFFF"/>
        </w:rPr>
      </w:pPr>
      <w:r w:rsidRPr="00546676">
        <w:rPr>
          <w:rFonts w:ascii="Cambria" w:hAnsi="Cambria"/>
          <w:sz w:val="24"/>
          <w:szCs w:val="24"/>
        </w:rPr>
        <w:t xml:space="preserve">The persistent and tight blockade of the Gaza strip negatively affects Palestinians on multiple fronts. After 11 days of continuous bombing and after a ceasefire had been agreed on in 2021, Israel stalled trucks that were loaded with humanitarian aid from entering Gaza. The occupying power also prohibited the entry of 25 fuel trucks allotted for Gaza's only power plant via the </w:t>
      </w:r>
      <w:proofErr w:type="spellStart"/>
      <w:r w:rsidRPr="00546676">
        <w:rPr>
          <w:rFonts w:ascii="Cambria" w:hAnsi="Cambria"/>
          <w:sz w:val="24"/>
          <w:szCs w:val="24"/>
        </w:rPr>
        <w:t>Kerem</w:t>
      </w:r>
      <w:proofErr w:type="spellEnd"/>
      <w:r w:rsidRPr="00546676">
        <w:rPr>
          <w:rFonts w:ascii="Cambria" w:hAnsi="Cambria"/>
          <w:sz w:val="24"/>
          <w:szCs w:val="24"/>
        </w:rPr>
        <w:t xml:space="preserve"> Shalom crossing according to Gaza’s Ministry of Economy</w:t>
      </w:r>
      <w:r w:rsidRPr="00546676">
        <w:rPr>
          <w:rStyle w:val="FootnoteReference"/>
          <w:rFonts w:ascii="Cambria" w:hAnsi="Cambria"/>
          <w:sz w:val="24"/>
          <w:szCs w:val="24"/>
        </w:rPr>
        <w:footnoteReference w:id="27"/>
      </w:r>
      <w:r w:rsidRPr="00546676">
        <w:rPr>
          <w:rFonts w:ascii="Cambria" w:hAnsi="Cambria"/>
          <w:sz w:val="24"/>
          <w:szCs w:val="24"/>
        </w:rPr>
        <w:t xml:space="preserve">. Some trucks have even </w:t>
      </w:r>
      <w:r w:rsidRPr="00546676">
        <w:rPr>
          <w:rFonts w:ascii="Cambria" w:hAnsi="Cambria"/>
          <w:sz w:val="24"/>
          <w:szCs w:val="24"/>
        </w:rPr>
        <w:lastRenderedPageBreak/>
        <w:t xml:space="preserve">been stalled for over 3 months. Stalling trucks is a repetitive decision that the Israeli government takes which has negative repercussions on the Palestinians’ lives as electricity is an essential part of their day-to-day activities. </w:t>
      </w:r>
      <w:r w:rsidRPr="00546676">
        <w:rPr>
          <w:rFonts w:ascii="Cambria" w:hAnsi="Cambria"/>
          <w:color w:val="1E1E1E"/>
          <w:sz w:val="24"/>
          <w:szCs w:val="24"/>
          <w:shd w:val="clear" w:color="auto" w:fill="FFFFFF"/>
        </w:rPr>
        <w:t xml:space="preserve">Israel argues the measures are necessary to isolate Hamas but in isolating Hamas, Israel is also isolating the Palestinian people, which is a breach of Article 11 as electricity is needed to maintain an adequate standard of living. </w:t>
      </w:r>
    </w:p>
    <w:p w14:paraId="5DA7BB89" w14:textId="5DFA4E15" w:rsidR="00FA1B96" w:rsidRPr="00546676" w:rsidRDefault="007A2330" w:rsidP="00FA1B96">
      <w:pPr>
        <w:jc w:val="both"/>
        <w:rPr>
          <w:rFonts w:ascii="Cambria" w:hAnsi="Cambria"/>
          <w:b/>
          <w:bCs/>
          <w:color w:val="1E1E1E"/>
          <w:sz w:val="24"/>
          <w:szCs w:val="24"/>
          <w:shd w:val="clear" w:color="auto" w:fill="FFFFFF"/>
        </w:rPr>
      </w:pPr>
      <w:proofErr w:type="spellStart"/>
      <w:r w:rsidRPr="00546676">
        <w:rPr>
          <w:rFonts w:ascii="Cambria" w:hAnsi="Cambria"/>
          <w:b/>
          <w:bCs/>
          <w:color w:val="1E1E1E"/>
          <w:sz w:val="24"/>
          <w:szCs w:val="24"/>
          <w:shd w:val="clear" w:color="auto" w:fill="FFFFFF"/>
        </w:rPr>
        <w:t>Elizka</w:t>
      </w:r>
      <w:proofErr w:type="spellEnd"/>
      <w:r w:rsidRPr="00546676">
        <w:rPr>
          <w:rFonts w:ascii="Cambria" w:hAnsi="Cambria"/>
          <w:b/>
          <w:bCs/>
          <w:color w:val="1E1E1E"/>
          <w:sz w:val="24"/>
          <w:szCs w:val="24"/>
          <w:shd w:val="clear" w:color="auto" w:fill="FFFFFF"/>
        </w:rPr>
        <w:t xml:space="preserve"> Relief Foundation</w:t>
      </w:r>
      <w:r w:rsidR="00FA1B96" w:rsidRPr="00546676">
        <w:rPr>
          <w:rFonts w:ascii="Cambria" w:hAnsi="Cambria"/>
          <w:b/>
          <w:bCs/>
          <w:color w:val="1E1E1E"/>
          <w:sz w:val="24"/>
          <w:szCs w:val="24"/>
          <w:shd w:val="clear" w:color="auto" w:fill="FFFFFF"/>
        </w:rPr>
        <w:t xml:space="preserve"> calls for the permanent opening of the </w:t>
      </w:r>
      <w:proofErr w:type="spellStart"/>
      <w:r w:rsidR="00FA1B96" w:rsidRPr="00546676">
        <w:rPr>
          <w:rFonts w:ascii="Cambria" w:hAnsi="Cambria"/>
          <w:b/>
          <w:bCs/>
          <w:color w:val="1E1E1E"/>
          <w:sz w:val="24"/>
          <w:szCs w:val="24"/>
          <w:shd w:val="clear" w:color="auto" w:fill="FFFFFF"/>
        </w:rPr>
        <w:t>Kerem</w:t>
      </w:r>
      <w:proofErr w:type="spellEnd"/>
      <w:r w:rsidR="00FA1B96" w:rsidRPr="00546676">
        <w:rPr>
          <w:rFonts w:ascii="Cambria" w:hAnsi="Cambria"/>
          <w:b/>
          <w:bCs/>
          <w:color w:val="1E1E1E"/>
          <w:sz w:val="24"/>
          <w:szCs w:val="24"/>
          <w:shd w:val="clear" w:color="auto" w:fill="FFFFFF"/>
        </w:rPr>
        <w:t xml:space="preserve"> Shalom crossing to freely allow in humanitarian aid and fuel, which is vital to the lives of many Palestinians.</w:t>
      </w:r>
    </w:p>
    <w:p w14:paraId="4DE3FCE9" w14:textId="67F2CAA9"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Cambria" w:hAnsi="Cambria"/>
          <w:b/>
          <w:bCs/>
          <w:color w:val="1E1E1E"/>
          <w:sz w:val="24"/>
          <w:szCs w:val="24"/>
          <w:shd w:val="clear" w:color="auto" w:fill="FFFFFF"/>
        </w:rPr>
        <w:t xml:space="preserve"> </w:t>
      </w: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Article 12: Targeted strikes on medical facilities and personnel: </w:t>
      </w:r>
    </w:p>
    <w:p w14:paraId="3E6A62C4"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 xml:space="preserve">In May of 2021, Israeli strikes on Gaza have damaged health facilities, led to the killing of prominent Palestinian doctors and limited access to hospitals and other medical facilities through the destruction of roads around these facilities. </w:t>
      </w:r>
    </w:p>
    <w:p w14:paraId="125BD72B"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According to Gaza’s health ministry, two senior medics, the head of the internal medicine department and coronavirus response at Gaza’s largest hospital al-</w:t>
      </w:r>
      <w:proofErr w:type="spellStart"/>
      <w:r w:rsidRPr="00546676">
        <w:rPr>
          <w:rFonts w:ascii="Cambria" w:hAnsi="Cambria"/>
          <w:sz w:val="24"/>
          <w:szCs w:val="24"/>
        </w:rPr>
        <w:t>Shifa</w:t>
      </w:r>
      <w:proofErr w:type="spellEnd"/>
      <w:r w:rsidRPr="00546676">
        <w:rPr>
          <w:rFonts w:ascii="Cambria" w:hAnsi="Cambria"/>
          <w:sz w:val="24"/>
          <w:szCs w:val="24"/>
        </w:rPr>
        <w:t xml:space="preserve"> and one of Gaza’s few neurologists, who died along with his 5 children, were murdered on the 16</w:t>
      </w:r>
      <w:r w:rsidRPr="00546676">
        <w:rPr>
          <w:rFonts w:ascii="Cambria" w:hAnsi="Cambria"/>
          <w:sz w:val="24"/>
          <w:szCs w:val="24"/>
          <w:vertAlign w:val="superscript"/>
        </w:rPr>
        <w:t>th</w:t>
      </w:r>
      <w:r w:rsidRPr="00546676">
        <w:rPr>
          <w:rFonts w:ascii="Cambria" w:hAnsi="Cambria"/>
          <w:sz w:val="24"/>
          <w:szCs w:val="24"/>
        </w:rPr>
        <w:t xml:space="preserve"> of May, 2021</w:t>
      </w:r>
      <w:r w:rsidRPr="00546676">
        <w:rPr>
          <w:rStyle w:val="FootnoteReference"/>
          <w:rFonts w:ascii="Cambria" w:hAnsi="Cambria"/>
          <w:sz w:val="24"/>
          <w:szCs w:val="24"/>
        </w:rPr>
        <w:footnoteReference w:id="28"/>
      </w:r>
      <w:r w:rsidRPr="00546676">
        <w:rPr>
          <w:rFonts w:ascii="Cambria" w:hAnsi="Cambria"/>
          <w:sz w:val="24"/>
          <w:szCs w:val="24"/>
        </w:rPr>
        <w:t xml:space="preserve">. </w:t>
      </w:r>
    </w:p>
    <w:p w14:paraId="685A378E"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The total losses of the governmental and private health sectors resulting from the Israeli attack on the Gaza Strip amounted to 4.2 million USD</w:t>
      </w:r>
      <w:r w:rsidRPr="00546676">
        <w:rPr>
          <w:rStyle w:val="FootnoteReference"/>
          <w:rFonts w:ascii="Cambria" w:hAnsi="Cambria"/>
          <w:sz w:val="24"/>
          <w:szCs w:val="24"/>
        </w:rPr>
        <w:footnoteReference w:id="29"/>
      </w:r>
      <w:r w:rsidRPr="00546676">
        <w:rPr>
          <w:rFonts w:ascii="Cambria" w:hAnsi="Cambria"/>
          <w:sz w:val="24"/>
          <w:szCs w:val="24"/>
        </w:rPr>
        <w:t xml:space="preserve">. The facilities affected were mainly primary health care centers, hospitals, private health institutions, pharmacies, laboratories, and private clinics. </w:t>
      </w:r>
    </w:p>
    <w:p w14:paraId="68121F7F"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Israeli forces targeted 24 governmental and private health facilities, which caused most of them to stop functioning completely</w:t>
      </w:r>
      <w:r w:rsidRPr="00546676">
        <w:rPr>
          <w:rStyle w:val="FootnoteReference"/>
          <w:rFonts w:ascii="Cambria" w:hAnsi="Cambria"/>
          <w:sz w:val="24"/>
          <w:szCs w:val="24"/>
        </w:rPr>
        <w:footnoteReference w:id="30"/>
      </w:r>
      <w:r w:rsidRPr="00546676">
        <w:rPr>
          <w:rFonts w:ascii="Cambria" w:hAnsi="Cambria"/>
          <w:sz w:val="24"/>
          <w:szCs w:val="24"/>
        </w:rPr>
        <w:t xml:space="preserve">. Targeting of health clinics and facilities, resulted in the closure of COVID-19 vaccination services, Coronavirus testing as well as central laboratory and pregnancy services. This entails that even if a civilian is not injured through direct Israeli attacks, he or she will still be negatively affected by the destruction of these facilities, which is a clear breach of Article 12 of the International Covenant on Economic, Social and Cultural Rights. </w:t>
      </w:r>
    </w:p>
    <w:p w14:paraId="1A4F2DF8" w14:textId="19892FE0" w:rsidR="00FA1B96" w:rsidRPr="00546676" w:rsidRDefault="007A2330" w:rsidP="00FA1B96">
      <w:pPr>
        <w:jc w:val="both"/>
        <w:rPr>
          <w:rFonts w:ascii="Cambria" w:hAnsi="Cambria"/>
          <w:b/>
          <w:bCs/>
          <w:sz w:val="24"/>
          <w:szCs w:val="24"/>
        </w:rPr>
      </w:pPr>
      <w:proofErr w:type="spellStart"/>
      <w:r w:rsidRPr="00546676">
        <w:rPr>
          <w:rFonts w:ascii="Cambria" w:hAnsi="Cambria"/>
          <w:b/>
          <w:bCs/>
          <w:sz w:val="24"/>
          <w:szCs w:val="24"/>
        </w:rPr>
        <w:t>Elizka</w:t>
      </w:r>
      <w:proofErr w:type="spellEnd"/>
      <w:r w:rsidRPr="00546676">
        <w:rPr>
          <w:rFonts w:ascii="Cambria" w:hAnsi="Cambria"/>
          <w:b/>
          <w:bCs/>
          <w:sz w:val="24"/>
          <w:szCs w:val="24"/>
        </w:rPr>
        <w:t xml:space="preserve"> Relief Foundation</w:t>
      </w:r>
      <w:r w:rsidR="00FA1B96" w:rsidRPr="00546676">
        <w:rPr>
          <w:rFonts w:ascii="Cambria" w:hAnsi="Cambria"/>
          <w:b/>
          <w:bCs/>
          <w:sz w:val="24"/>
          <w:szCs w:val="24"/>
        </w:rPr>
        <w:t xml:space="preserve"> therefore calls for the urgent rehabilitation and reconstruction of these medical facilities using funds provided by the relevant international health organizations to ensure that Palestinian civilians get the highest attainable standard of physical and mental health. </w:t>
      </w:r>
    </w:p>
    <w:p w14:paraId="15CCCA0C" w14:textId="77777777" w:rsidR="00FA1B96" w:rsidRPr="00546676" w:rsidRDefault="00FA1B96" w:rsidP="00546676">
      <w:pPr>
        <w:shd w:val="clear" w:color="auto" w:fill="FFFFFF" w:themeFill="background1"/>
        <w:jc w:val="both"/>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676">
        <w:rPr>
          <w:rFonts w:asciiTheme="minorBidi" w:hAnsiTheme="minorBidi"/>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Articles 10 and 13: Destruction of schools due to Israeli bombings:</w:t>
      </w:r>
    </w:p>
    <w:p w14:paraId="6C6FDCD0"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The education of thousands of Palestinian children has been negatively impacted after Israeli bombing has damaged 50 schools across the Gaza Strip in 2021</w:t>
      </w:r>
      <w:r w:rsidRPr="00546676">
        <w:rPr>
          <w:rStyle w:val="FootnoteReference"/>
          <w:rFonts w:ascii="Cambria" w:hAnsi="Cambria"/>
          <w:sz w:val="24"/>
          <w:szCs w:val="24"/>
        </w:rPr>
        <w:footnoteReference w:id="31"/>
      </w:r>
      <w:r w:rsidRPr="00546676">
        <w:rPr>
          <w:rFonts w:ascii="Cambria" w:hAnsi="Cambria"/>
          <w:sz w:val="24"/>
          <w:szCs w:val="24"/>
        </w:rPr>
        <w:t>. Some schools were even forced to close to be used as shelters since the people have lost their source of shelter when Israel bombed their houses as well</w:t>
      </w:r>
      <w:r w:rsidRPr="00546676">
        <w:rPr>
          <w:rStyle w:val="FootnoteReference"/>
          <w:rFonts w:ascii="Cambria" w:hAnsi="Cambria"/>
          <w:sz w:val="24"/>
          <w:szCs w:val="24"/>
        </w:rPr>
        <w:footnoteReference w:id="32"/>
      </w:r>
      <w:r w:rsidRPr="00546676">
        <w:rPr>
          <w:rFonts w:ascii="Cambria" w:hAnsi="Cambria"/>
          <w:sz w:val="24"/>
          <w:szCs w:val="24"/>
        </w:rPr>
        <w:t>. The number of displaced people who had to use schools as shelters reached 47,000</w:t>
      </w:r>
      <w:r w:rsidRPr="00546676">
        <w:rPr>
          <w:rStyle w:val="FootnoteReference"/>
          <w:rFonts w:ascii="Cambria" w:hAnsi="Cambria"/>
          <w:sz w:val="24"/>
          <w:szCs w:val="24"/>
        </w:rPr>
        <w:footnoteReference w:id="33"/>
      </w:r>
      <w:r w:rsidRPr="00546676">
        <w:rPr>
          <w:rFonts w:ascii="Cambria" w:hAnsi="Cambria"/>
          <w:sz w:val="24"/>
          <w:szCs w:val="24"/>
        </w:rPr>
        <w:t xml:space="preserve">.  The Israeli bombing is a violation of Article 10 and 13, which call for the right to a safe education but also special measures of protection for children and young persons.  With every school that is damaged or demolished, Palestinian children’s chances of getting a proper education and consequently leading a better life are severely hindered. </w:t>
      </w:r>
    </w:p>
    <w:p w14:paraId="1A770915" w14:textId="77777777" w:rsidR="00FA1B96" w:rsidRPr="00546676" w:rsidRDefault="00FA1B96" w:rsidP="00FA1B96">
      <w:pPr>
        <w:ind w:firstLine="720"/>
        <w:jc w:val="both"/>
        <w:rPr>
          <w:rFonts w:ascii="Cambria" w:hAnsi="Cambria"/>
          <w:sz w:val="24"/>
          <w:szCs w:val="24"/>
        </w:rPr>
      </w:pPr>
      <w:r w:rsidRPr="00546676">
        <w:rPr>
          <w:rFonts w:ascii="Cambria" w:hAnsi="Cambria"/>
          <w:sz w:val="24"/>
          <w:szCs w:val="24"/>
        </w:rPr>
        <w:t>Covid-19 already made attending school and keeping up with classes difficult for children in Gaza, especially that only 35% of Palestinian households have access to a computer</w:t>
      </w:r>
      <w:r w:rsidRPr="00546676">
        <w:rPr>
          <w:rStyle w:val="FootnoteReference"/>
          <w:rFonts w:ascii="Cambria" w:hAnsi="Cambria"/>
          <w:sz w:val="24"/>
          <w:szCs w:val="24"/>
        </w:rPr>
        <w:footnoteReference w:id="34"/>
      </w:r>
      <w:r w:rsidRPr="00546676">
        <w:rPr>
          <w:rFonts w:ascii="Cambria" w:hAnsi="Cambria"/>
          <w:sz w:val="24"/>
          <w:szCs w:val="24"/>
        </w:rPr>
        <w:t xml:space="preserve">. Now that schools are reopening, Palestinian children will have to either stay at home because their schools have been completely wrecked or go to schools which are still partially damaged due to the fact that supplies needed for repairs have not been prohibited from entering Gaza by the Israeli authorities. </w:t>
      </w:r>
    </w:p>
    <w:p w14:paraId="2B37B711" w14:textId="4F08A01D" w:rsidR="00FA1B96" w:rsidRPr="00546676" w:rsidRDefault="007A2330" w:rsidP="003A45ED">
      <w:pPr>
        <w:jc w:val="both"/>
        <w:rPr>
          <w:rFonts w:ascii="Cambria" w:hAnsi="Cambria"/>
          <w:b/>
          <w:bCs/>
          <w:sz w:val="24"/>
          <w:szCs w:val="24"/>
        </w:rPr>
      </w:pPr>
      <w:proofErr w:type="spellStart"/>
      <w:r w:rsidRPr="00546676">
        <w:rPr>
          <w:rFonts w:ascii="Cambria" w:hAnsi="Cambria"/>
          <w:b/>
          <w:bCs/>
          <w:sz w:val="24"/>
          <w:szCs w:val="24"/>
        </w:rPr>
        <w:t>Elizka</w:t>
      </w:r>
      <w:proofErr w:type="spellEnd"/>
      <w:r w:rsidRPr="00546676">
        <w:rPr>
          <w:rFonts w:ascii="Cambria" w:hAnsi="Cambria"/>
          <w:b/>
          <w:bCs/>
          <w:sz w:val="24"/>
          <w:szCs w:val="24"/>
        </w:rPr>
        <w:t xml:space="preserve"> Relief Foundation</w:t>
      </w:r>
      <w:r w:rsidR="00FA1B96" w:rsidRPr="00546676">
        <w:rPr>
          <w:rFonts w:ascii="Cambria" w:hAnsi="Cambria"/>
          <w:b/>
          <w:bCs/>
          <w:sz w:val="24"/>
          <w:szCs w:val="24"/>
        </w:rPr>
        <w:t xml:space="preserve"> therefore calls for the urgent rehabilitation and reconstruction of these schools and for funds to be provided by the relevant international organizations to ensure that Palestinian children receive their full educational experience in a safe environment. </w:t>
      </w:r>
      <w:proofErr w:type="spellStart"/>
      <w:r w:rsidRPr="00546676">
        <w:rPr>
          <w:rFonts w:ascii="Cambria" w:hAnsi="Cambria"/>
          <w:b/>
          <w:bCs/>
          <w:sz w:val="24"/>
          <w:szCs w:val="24"/>
        </w:rPr>
        <w:t>Elizka</w:t>
      </w:r>
      <w:proofErr w:type="spellEnd"/>
      <w:r w:rsidRPr="00546676">
        <w:rPr>
          <w:rFonts w:ascii="Cambria" w:hAnsi="Cambria"/>
          <w:b/>
          <w:bCs/>
          <w:sz w:val="24"/>
          <w:szCs w:val="24"/>
        </w:rPr>
        <w:t xml:space="preserve"> Relief Foundation</w:t>
      </w:r>
      <w:r w:rsidR="00FA1B96" w:rsidRPr="00546676">
        <w:rPr>
          <w:rFonts w:ascii="Cambria" w:hAnsi="Cambria"/>
          <w:b/>
          <w:bCs/>
          <w:sz w:val="24"/>
          <w:szCs w:val="24"/>
        </w:rPr>
        <w:t xml:space="preserve"> also calls on the Israeli authorities to permit the entrance of the needed supplies to rebuild the damaged schools.</w:t>
      </w:r>
    </w:p>
    <w:p w14:paraId="1376D494" w14:textId="441F902C" w:rsidR="00FA1B96" w:rsidRPr="00546676" w:rsidRDefault="00FA1B96" w:rsidP="007A2330">
      <w:pPr>
        <w:jc w:val="both"/>
        <w:rPr>
          <w:rFonts w:ascii="Cambria" w:hAnsi="Cambria"/>
          <w:sz w:val="24"/>
          <w:szCs w:val="24"/>
        </w:rPr>
      </w:pPr>
      <w:r w:rsidRPr="00546676">
        <w:rPr>
          <w:rFonts w:ascii="Cambria" w:hAnsi="Cambria"/>
          <w:b/>
          <w:bCs/>
          <w:sz w:val="24"/>
          <w:szCs w:val="24"/>
        </w:rPr>
        <w:t xml:space="preserve">Conclusion: </w:t>
      </w:r>
      <w:r w:rsidRPr="00546676">
        <w:rPr>
          <w:rFonts w:ascii="Cambria" w:hAnsi="Cambria"/>
          <w:sz w:val="24"/>
          <w:szCs w:val="24"/>
        </w:rPr>
        <w:t xml:space="preserve">Israeli violations of economic and social rights have negatively affected the people living on Israeli lands and those living in the Occupied Palestinian Territories. As an occupying power, Israel is obligated to protect the Palestinian civilians and their properties as well as meet </w:t>
      </w:r>
      <w:r w:rsidR="00EF1201" w:rsidRPr="00546676">
        <w:rPr>
          <w:rFonts w:ascii="Cambria" w:hAnsi="Cambria"/>
          <w:sz w:val="24"/>
          <w:szCs w:val="24"/>
        </w:rPr>
        <w:t>they’re</w:t>
      </w:r>
      <w:r w:rsidRPr="00546676">
        <w:rPr>
          <w:rFonts w:ascii="Cambria" w:hAnsi="Cambria"/>
          <w:sz w:val="24"/>
          <w:szCs w:val="24"/>
        </w:rPr>
        <w:t xml:space="preserve"> that range from medical supplies to fuel to humanitarian aid. Asylum seekers should also be given the right to a fair refugee status determination process and economic support to sustain their new lives. </w:t>
      </w:r>
    </w:p>
    <w:sectPr w:rsidR="00FA1B96" w:rsidRPr="00546676" w:rsidSect="006B714E">
      <w:headerReference w:type="default" r:id="rId7"/>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53CAB5" w14:textId="77777777" w:rsidR="00BB2445" w:rsidRDefault="00BB2445" w:rsidP="00FA1B96">
      <w:pPr>
        <w:spacing w:after="0" w:line="240" w:lineRule="auto"/>
      </w:pPr>
      <w:r>
        <w:separator/>
      </w:r>
    </w:p>
  </w:endnote>
  <w:endnote w:type="continuationSeparator" w:id="0">
    <w:p w14:paraId="33BF3F1D" w14:textId="77777777" w:rsidR="00BB2445" w:rsidRDefault="00BB2445" w:rsidP="00FA1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1708402"/>
      <w:docPartObj>
        <w:docPartGallery w:val="Page Numbers (Bottom of Page)"/>
        <w:docPartUnique/>
      </w:docPartObj>
    </w:sdtPr>
    <w:sdtEndPr>
      <w:rPr>
        <w:color w:val="7F7F7F" w:themeColor="background1" w:themeShade="7F"/>
        <w:spacing w:val="60"/>
      </w:rPr>
    </w:sdtEndPr>
    <w:sdtContent>
      <w:p w14:paraId="1B3B1E3C" w14:textId="163D727E" w:rsidR="007A2330" w:rsidRDefault="007A233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01E4F" w:rsidRPr="00501E4F">
          <w:rPr>
            <w:b/>
            <w:bCs/>
            <w:noProof/>
          </w:rPr>
          <w:t>7</w:t>
        </w:r>
        <w:r>
          <w:rPr>
            <w:b/>
            <w:bCs/>
            <w:noProof/>
          </w:rPr>
          <w:fldChar w:fldCharType="end"/>
        </w:r>
        <w:r>
          <w:rPr>
            <w:b/>
            <w:bCs/>
          </w:rPr>
          <w:t xml:space="preserve"> | </w:t>
        </w:r>
        <w:r>
          <w:rPr>
            <w:color w:val="7F7F7F" w:themeColor="background1" w:themeShade="7F"/>
            <w:spacing w:val="60"/>
          </w:rPr>
          <w:t>Page</w:t>
        </w:r>
      </w:p>
    </w:sdtContent>
  </w:sdt>
  <w:p w14:paraId="09BBDC28" w14:textId="77777777" w:rsidR="00AC72CC" w:rsidRDefault="00501E4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ECD02" w14:textId="77777777" w:rsidR="00BB2445" w:rsidRDefault="00BB2445" w:rsidP="00FA1B96">
      <w:pPr>
        <w:spacing w:after="0" w:line="240" w:lineRule="auto"/>
      </w:pPr>
      <w:r>
        <w:separator/>
      </w:r>
    </w:p>
  </w:footnote>
  <w:footnote w:type="continuationSeparator" w:id="0">
    <w:p w14:paraId="4100480D" w14:textId="77777777" w:rsidR="00BB2445" w:rsidRDefault="00BB2445" w:rsidP="00FA1B96">
      <w:pPr>
        <w:spacing w:after="0" w:line="240" w:lineRule="auto"/>
      </w:pPr>
      <w:r>
        <w:continuationSeparator/>
      </w:r>
    </w:p>
  </w:footnote>
  <w:footnote w:id="1">
    <w:p w14:paraId="2E810BA3" w14:textId="77777777" w:rsidR="00FA1B96" w:rsidRPr="009D574F" w:rsidRDefault="00FA1B96" w:rsidP="00FA1B96">
      <w:pPr>
        <w:pStyle w:val="FootnoteText"/>
      </w:pPr>
      <w:r>
        <w:rPr>
          <w:rStyle w:val="FootnoteReference"/>
        </w:rPr>
        <w:footnoteRef/>
      </w:r>
      <w:r>
        <w:t xml:space="preserve"> </w:t>
      </w:r>
      <w:r w:rsidRPr="000453A2">
        <w:rPr>
          <w:rFonts w:ascii="Cambria" w:hAnsi="Cambria"/>
        </w:rPr>
        <w:t xml:space="preserve">Najib, Mohammed. “Palestine runs dry: ‘Our water they steal and sell to us’”. </w:t>
      </w:r>
      <w:r w:rsidRPr="000453A2">
        <w:rPr>
          <w:rFonts w:ascii="Cambria" w:hAnsi="Cambria"/>
          <w:i/>
          <w:iCs/>
        </w:rPr>
        <w:t>Al Jazeera</w:t>
      </w:r>
      <w:r w:rsidRPr="000453A2">
        <w:rPr>
          <w:rFonts w:ascii="Cambria" w:hAnsi="Cambria"/>
        </w:rPr>
        <w:t xml:space="preserve">, 15 July 2021, </w:t>
      </w:r>
      <w:hyperlink r:id="rId1" w:history="1">
        <w:r w:rsidRPr="000453A2">
          <w:rPr>
            <w:rStyle w:val="Hyperlink"/>
            <w:rFonts w:ascii="Cambria" w:hAnsi="Cambria"/>
          </w:rPr>
          <w:t>https://bit.ly/3SJ1UEZ</w:t>
        </w:r>
      </w:hyperlink>
      <w:r w:rsidRPr="000453A2">
        <w:rPr>
          <w:rFonts w:ascii="Cambria" w:hAnsi="Cambria"/>
        </w:rPr>
        <w:t>.</w:t>
      </w:r>
      <w:r w:rsidRPr="009D574F">
        <w:t xml:space="preserve"> </w:t>
      </w:r>
    </w:p>
    <w:p w14:paraId="27A833C6" w14:textId="77777777" w:rsidR="00FA1B96" w:rsidRDefault="00FA1B96" w:rsidP="00FA1B96">
      <w:pPr>
        <w:pStyle w:val="FootnoteText"/>
      </w:pPr>
    </w:p>
  </w:footnote>
  <w:footnote w:id="2">
    <w:p w14:paraId="7AD6F84F" w14:textId="77777777" w:rsidR="00FA1B96" w:rsidRDefault="00FA1B96" w:rsidP="00FA1B96">
      <w:pPr>
        <w:pStyle w:val="FootnoteText"/>
      </w:pPr>
      <w:r>
        <w:rPr>
          <w:rStyle w:val="FootnoteReference"/>
        </w:rPr>
        <w:footnoteRef/>
      </w:r>
      <w:r w:rsidRPr="000453A2">
        <w:rPr>
          <w:rFonts w:ascii="Cambria" w:hAnsi="Cambria"/>
        </w:rPr>
        <w:t xml:space="preserve"> Ibid.</w:t>
      </w:r>
    </w:p>
  </w:footnote>
  <w:footnote w:id="3">
    <w:p w14:paraId="2400F68C" w14:textId="77777777" w:rsidR="00FA1B96" w:rsidRDefault="00FA1B96" w:rsidP="00FA1B96">
      <w:pPr>
        <w:pStyle w:val="FootnoteText"/>
      </w:pPr>
      <w:r>
        <w:rPr>
          <w:rStyle w:val="FootnoteReference"/>
        </w:rPr>
        <w:footnoteRef/>
      </w:r>
      <w:r>
        <w:t xml:space="preserve"> </w:t>
      </w:r>
      <w:r w:rsidRPr="000453A2">
        <w:rPr>
          <w:rFonts w:ascii="Cambria" w:hAnsi="Cambria"/>
        </w:rPr>
        <w:t>Ibid.</w:t>
      </w:r>
    </w:p>
  </w:footnote>
  <w:footnote w:id="4">
    <w:p w14:paraId="53FF1879" w14:textId="77777777" w:rsidR="00FA1B96" w:rsidRDefault="00FA1B96" w:rsidP="00FA1B96">
      <w:pPr>
        <w:pStyle w:val="FootnoteText"/>
      </w:pPr>
      <w:r>
        <w:rPr>
          <w:rStyle w:val="FootnoteReference"/>
        </w:rPr>
        <w:footnoteRef/>
      </w:r>
      <w:r>
        <w:t xml:space="preserve"> </w:t>
      </w:r>
      <w:r w:rsidRPr="000453A2">
        <w:rPr>
          <w:rFonts w:ascii="Cambria" w:hAnsi="Cambria"/>
        </w:rPr>
        <w:t>Ibid.</w:t>
      </w:r>
    </w:p>
  </w:footnote>
  <w:footnote w:id="5">
    <w:p w14:paraId="7C5ABBF6" w14:textId="77777777" w:rsidR="00FA1B96" w:rsidRPr="000453A2" w:rsidRDefault="00FA1B96" w:rsidP="00FA1B96">
      <w:pPr>
        <w:rPr>
          <w:rFonts w:ascii="Cambria" w:hAnsi="Cambria"/>
          <w:sz w:val="20"/>
          <w:szCs w:val="20"/>
        </w:rPr>
      </w:pPr>
      <w:r w:rsidRPr="000453A2">
        <w:rPr>
          <w:rStyle w:val="FootnoteReference"/>
          <w:sz w:val="18"/>
          <w:szCs w:val="18"/>
        </w:rPr>
        <w:footnoteRef/>
      </w:r>
      <w:r w:rsidRPr="000453A2">
        <w:rPr>
          <w:sz w:val="18"/>
          <w:szCs w:val="18"/>
        </w:rPr>
        <w:t xml:space="preserve"> </w:t>
      </w:r>
      <w:r w:rsidRPr="000453A2">
        <w:rPr>
          <w:rFonts w:ascii="Cambria" w:hAnsi="Cambria"/>
          <w:sz w:val="20"/>
          <w:szCs w:val="20"/>
        </w:rPr>
        <w:t xml:space="preserve">Davidson, Steven. “Israel’s ‘Deposit Law’ Is Pushing Asylum Seekers to Financial Ruin.” </w:t>
      </w:r>
      <w:r w:rsidRPr="000453A2">
        <w:rPr>
          <w:rFonts w:ascii="Cambria" w:hAnsi="Cambria"/>
          <w:i/>
          <w:iCs/>
          <w:sz w:val="20"/>
          <w:szCs w:val="20"/>
        </w:rPr>
        <w:t>The New Humanitarian</w:t>
      </w:r>
      <w:r w:rsidRPr="000453A2">
        <w:rPr>
          <w:rFonts w:ascii="Cambria" w:hAnsi="Cambria"/>
          <w:sz w:val="20"/>
          <w:szCs w:val="20"/>
        </w:rPr>
        <w:t xml:space="preserve">, 31 January 2019, </w:t>
      </w:r>
      <w:hyperlink r:id="rId2" w:history="1">
        <w:r w:rsidRPr="000453A2">
          <w:rPr>
            <w:rStyle w:val="Hyperlink"/>
            <w:rFonts w:ascii="Cambria" w:hAnsi="Cambria"/>
            <w:sz w:val="20"/>
            <w:szCs w:val="20"/>
          </w:rPr>
          <w:t>https://bit.ly/3pfLm9M</w:t>
        </w:r>
      </w:hyperlink>
      <w:r w:rsidRPr="000453A2">
        <w:rPr>
          <w:rFonts w:ascii="Cambria" w:hAnsi="Cambria"/>
          <w:sz w:val="20"/>
          <w:szCs w:val="20"/>
        </w:rPr>
        <w:t>.</w:t>
      </w:r>
    </w:p>
  </w:footnote>
  <w:footnote w:id="6">
    <w:p w14:paraId="3FE9BCAF" w14:textId="77777777" w:rsidR="00FA1B96" w:rsidRDefault="00FA1B96" w:rsidP="00FA1B96">
      <w:pPr>
        <w:pStyle w:val="FootnoteText"/>
      </w:pPr>
      <w:r>
        <w:rPr>
          <w:rStyle w:val="FootnoteReference"/>
        </w:rPr>
        <w:footnoteRef/>
      </w:r>
      <w:r>
        <w:t xml:space="preserve"> </w:t>
      </w:r>
      <w:r w:rsidRPr="000453A2">
        <w:rPr>
          <w:rFonts w:ascii="Cambria" w:hAnsi="Cambria"/>
        </w:rPr>
        <w:t>Ibid.</w:t>
      </w:r>
    </w:p>
  </w:footnote>
  <w:footnote w:id="7">
    <w:p w14:paraId="04F86A35" w14:textId="77777777" w:rsidR="00FA1B96" w:rsidRDefault="00FA1B96" w:rsidP="00FA1B96">
      <w:pPr>
        <w:pStyle w:val="FootnoteText"/>
      </w:pPr>
      <w:r>
        <w:rPr>
          <w:rStyle w:val="FootnoteReference"/>
        </w:rPr>
        <w:footnoteRef/>
      </w:r>
      <w:r>
        <w:t xml:space="preserve"> </w:t>
      </w:r>
      <w:r w:rsidRPr="000453A2">
        <w:rPr>
          <w:rFonts w:ascii="Cambria" w:hAnsi="Cambria"/>
        </w:rPr>
        <w:t>Ibid.</w:t>
      </w:r>
    </w:p>
  </w:footnote>
  <w:footnote w:id="8">
    <w:p w14:paraId="490F248E" w14:textId="77777777" w:rsidR="00FA1B96" w:rsidRDefault="00FA1B96" w:rsidP="00FA1B96">
      <w:pPr>
        <w:pStyle w:val="FootnoteText"/>
      </w:pPr>
      <w:r>
        <w:rPr>
          <w:rStyle w:val="FootnoteReference"/>
        </w:rPr>
        <w:footnoteRef/>
      </w:r>
      <w:r>
        <w:t xml:space="preserve"> </w:t>
      </w:r>
      <w:r w:rsidRPr="000453A2">
        <w:rPr>
          <w:rFonts w:ascii="Cambria" w:hAnsi="Cambria"/>
        </w:rPr>
        <w:t>Ibid.</w:t>
      </w:r>
    </w:p>
  </w:footnote>
  <w:footnote w:id="9">
    <w:p w14:paraId="64FA495B" w14:textId="77777777" w:rsidR="00FA1B96" w:rsidRDefault="00FA1B96" w:rsidP="00FA1B96">
      <w:pPr>
        <w:pStyle w:val="FootnoteText"/>
      </w:pPr>
      <w:r>
        <w:rPr>
          <w:rStyle w:val="FootnoteReference"/>
        </w:rPr>
        <w:footnoteRef/>
      </w:r>
      <w:r>
        <w:t xml:space="preserve"> </w:t>
      </w:r>
      <w:r w:rsidRPr="000453A2">
        <w:rPr>
          <w:rFonts w:ascii="Cambria" w:hAnsi="Cambria"/>
        </w:rPr>
        <w:t>Ibid.</w:t>
      </w:r>
    </w:p>
  </w:footnote>
  <w:footnote w:id="10">
    <w:p w14:paraId="70DD05DE" w14:textId="77777777" w:rsidR="00FA1B96" w:rsidRPr="009A63E2" w:rsidRDefault="00FA1B96" w:rsidP="00FA1B96">
      <w:pPr>
        <w:rPr>
          <w:rFonts w:ascii="Cambria" w:hAnsi="Cambria"/>
          <w:sz w:val="24"/>
          <w:szCs w:val="24"/>
        </w:rPr>
      </w:pPr>
      <w:r>
        <w:rPr>
          <w:rStyle w:val="FootnoteReference"/>
        </w:rPr>
        <w:footnoteRef/>
      </w:r>
      <w:r>
        <w:t xml:space="preserve"> </w:t>
      </w:r>
      <w:r w:rsidRPr="009A63E2">
        <w:rPr>
          <w:rFonts w:ascii="Cambria" w:hAnsi="Cambria"/>
          <w:sz w:val="20"/>
          <w:szCs w:val="20"/>
        </w:rPr>
        <w:t xml:space="preserve">MSF Staff. ““We are all afraid”: Settler attacks against Palestinians in Hebron on the rise.” </w:t>
      </w:r>
      <w:proofErr w:type="spellStart"/>
      <w:r w:rsidRPr="009A63E2">
        <w:rPr>
          <w:rFonts w:ascii="Cambria" w:hAnsi="Cambria"/>
          <w:i/>
          <w:iCs/>
          <w:sz w:val="20"/>
          <w:szCs w:val="20"/>
        </w:rPr>
        <w:t>Medecins</w:t>
      </w:r>
      <w:proofErr w:type="spellEnd"/>
      <w:r w:rsidRPr="009A63E2">
        <w:rPr>
          <w:rFonts w:ascii="Cambria" w:hAnsi="Cambria"/>
          <w:i/>
          <w:iCs/>
          <w:sz w:val="20"/>
          <w:szCs w:val="20"/>
        </w:rPr>
        <w:t xml:space="preserve"> Sans Frontiers</w:t>
      </w:r>
      <w:r w:rsidRPr="009A63E2">
        <w:rPr>
          <w:rFonts w:ascii="Cambria" w:hAnsi="Cambria"/>
          <w:sz w:val="20"/>
          <w:szCs w:val="20"/>
        </w:rPr>
        <w:t xml:space="preserve">, 16 August 2021, </w:t>
      </w:r>
      <w:hyperlink r:id="rId3" w:history="1">
        <w:r w:rsidRPr="009A63E2">
          <w:rPr>
            <w:rStyle w:val="Hyperlink"/>
            <w:rFonts w:ascii="Cambria" w:hAnsi="Cambria"/>
            <w:sz w:val="20"/>
            <w:szCs w:val="20"/>
          </w:rPr>
          <w:t>https://bit.ly/3SPQ0J8</w:t>
        </w:r>
      </w:hyperlink>
      <w:r w:rsidRPr="009A63E2">
        <w:rPr>
          <w:rFonts w:ascii="Cambria" w:hAnsi="Cambria"/>
          <w:sz w:val="20"/>
          <w:szCs w:val="20"/>
        </w:rPr>
        <w:t>.</w:t>
      </w:r>
    </w:p>
  </w:footnote>
  <w:footnote w:id="11">
    <w:p w14:paraId="6A36FF5F" w14:textId="77777777" w:rsidR="00FA1B96" w:rsidRPr="009A63E2" w:rsidRDefault="00FA1B96" w:rsidP="00FA1B96">
      <w:pPr>
        <w:pStyle w:val="FootnoteText"/>
        <w:rPr>
          <w:rFonts w:ascii="Cambria" w:hAnsi="Cambria"/>
        </w:rPr>
      </w:pPr>
      <w:r>
        <w:rPr>
          <w:rStyle w:val="FootnoteReference"/>
        </w:rPr>
        <w:footnoteRef/>
      </w:r>
      <w:r>
        <w:t xml:space="preserve"> </w:t>
      </w:r>
      <w:r w:rsidRPr="009A63E2">
        <w:rPr>
          <w:rFonts w:ascii="Cambria" w:hAnsi="Cambria"/>
        </w:rPr>
        <w:t>Ibid.</w:t>
      </w:r>
    </w:p>
  </w:footnote>
  <w:footnote w:id="12">
    <w:p w14:paraId="5AEFC4BD" w14:textId="77777777" w:rsidR="00FA1B96" w:rsidRPr="005B3689" w:rsidRDefault="00FA1B96" w:rsidP="00FA1B96">
      <w:pPr>
        <w:rPr>
          <w:rFonts w:ascii="Cambria" w:hAnsi="Cambria"/>
          <w:sz w:val="24"/>
          <w:szCs w:val="24"/>
        </w:rPr>
      </w:pPr>
      <w:r>
        <w:rPr>
          <w:rStyle w:val="FootnoteReference"/>
        </w:rPr>
        <w:footnoteRef/>
      </w:r>
      <w:r>
        <w:t xml:space="preserve"> </w:t>
      </w:r>
      <w:r w:rsidRPr="005B3689">
        <w:rPr>
          <w:rFonts w:ascii="Cambria" w:hAnsi="Cambria"/>
          <w:sz w:val="20"/>
          <w:szCs w:val="20"/>
        </w:rPr>
        <w:t xml:space="preserve">TOI Staff. “Settlers said to assault 2 farmers, kill sheep in latest attack on Palestinians.” </w:t>
      </w:r>
      <w:r w:rsidRPr="005B3689">
        <w:rPr>
          <w:rFonts w:ascii="Cambria" w:hAnsi="Cambria"/>
          <w:i/>
          <w:iCs/>
          <w:sz w:val="20"/>
          <w:szCs w:val="20"/>
        </w:rPr>
        <w:t>The Times of Israel</w:t>
      </w:r>
      <w:r w:rsidRPr="005B3689">
        <w:rPr>
          <w:rFonts w:ascii="Cambria" w:hAnsi="Cambria"/>
          <w:sz w:val="20"/>
          <w:szCs w:val="20"/>
        </w:rPr>
        <w:t>, 11 November 2021,</w:t>
      </w:r>
      <w:r w:rsidRPr="005B3689">
        <w:rPr>
          <w:rFonts w:ascii="Cambria" w:hAnsi="Cambria"/>
          <w:b/>
          <w:bCs/>
          <w:sz w:val="20"/>
          <w:szCs w:val="20"/>
        </w:rPr>
        <w:t xml:space="preserve"> </w:t>
      </w:r>
      <w:hyperlink r:id="rId4" w:history="1">
        <w:r w:rsidRPr="005B3689">
          <w:rPr>
            <w:rStyle w:val="Hyperlink"/>
            <w:rFonts w:ascii="Cambria" w:hAnsi="Cambria"/>
            <w:sz w:val="20"/>
            <w:szCs w:val="20"/>
          </w:rPr>
          <w:t>https://bit.ly/3SOqAeZ</w:t>
        </w:r>
      </w:hyperlink>
      <w:r w:rsidRPr="005B3689">
        <w:rPr>
          <w:rFonts w:ascii="Cambria" w:hAnsi="Cambria"/>
          <w:sz w:val="20"/>
          <w:szCs w:val="20"/>
        </w:rPr>
        <w:t>.</w:t>
      </w:r>
      <w:r>
        <w:rPr>
          <w:rFonts w:ascii="Cambria" w:hAnsi="Cambria"/>
          <w:sz w:val="24"/>
          <w:szCs w:val="24"/>
        </w:rPr>
        <w:t xml:space="preserve"> </w:t>
      </w:r>
    </w:p>
  </w:footnote>
  <w:footnote w:id="13">
    <w:p w14:paraId="3B5B6FB6" w14:textId="77777777" w:rsidR="00FA1B96" w:rsidRDefault="00FA1B96" w:rsidP="00FA1B96">
      <w:pPr>
        <w:pStyle w:val="FootnoteText"/>
      </w:pPr>
      <w:r>
        <w:rPr>
          <w:rStyle w:val="FootnoteReference"/>
        </w:rPr>
        <w:footnoteRef/>
      </w:r>
      <w:r>
        <w:t xml:space="preserve"> </w:t>
      </w:r>
      <w:r w:rsidRPr="005B3689">
        <w:rPr>
          <w:rFonts w:ascii="Cambria" w:hAnsi="Cambria"/>
        </w:rPr>
        <w:t>Ibid.</w:t>
      </w:r>
    </w:p>
  </w:footnote>
  <w:footnote w:id="14">
    <w:p w14:paraId="5827C92D" w14:textId="5FF23F4F" w:rsidR="00FA1B96" w:rsidRPr="00546676" w:rsidRDefault="00FA1B96" w:rsidP="00546676">
      <w:pPr>
        <w:rPr>
          <w:rFonts w:ascii="Cambria" w:hAnsi="Cambria"/>
          <w:sz w:val="24"/>
          <w:szCs w:val="24"/>
        </w:rPr>
      </w:pPr>
      <w:r>
        <w:rPr>
          <w:rStyle w:val="FootnoteReference"/>
        </w:rPr>
        <w:footnoteRef/>
      </w:r>
      <w:r>
        <w:t xml:space="preserve"> </w:t>
      </w:r>
      <w:proofErr w:type="spellStart"/>
      <w:r w:rsidRPr="00DE5A76">
        <w:rPr>
          <w:rFonts w:ascii="Cambria" w:hAnsi="Cambria"/>
          <w:sz w:val="24"/>
          <w:szCs w:val="24"/>
        </w:rPr>
        <w:t>Kennes</w:t>
      </w:r>
      <w:proofErr w:type="spellEnd"/>
      <w:r w:rsidRPr="00DE5A76">
        <w:rPr>
          <w:rFonts w:ascii="Cambria" w:hAnsi="Cambria"/>
          <w:sz w:val="24"/>
          <w:szCs w:val="24"/>
        </w:rPr>
        <w:t xml:space="preserve">, Matthias. “In Israel, you’re 60 times more likely to have a COVID vaccine than in Palestine.” </w:t>
      </w:r>
      <w:proofErr w:type="spellStart"/>
      <w:r w:rsidRPr="009A63E2">
        <w:rPr>
          <w:rFonts w:ascii="Cambria" w:hAnsi="Cambria"/>
          <w:i/>
          <w:iCs/>
          <w:sz w:val="24"/>
          <w:szCs w:val="24"/>
        </w:rPr>
        <w:t>Medecins</w:t>
      </w:r>
      <w:proofErr w:type="spellEnd"/>
      <w:r w:rsidRPr="009A63E2">
        <w:rPr>
          <w:rFonts w:ascii="Cambria" w:hAnsi="Cambria"/>
          <w:i/>
          <w:iCs/>
          <w:sz w:val="24"/>
          <w:szCs w:val="24"/>
        </w:rPr>
        <w:t xml:space="preserve"> Sans Frontiers</w:t>
      </w:r>
      <w:r w:rsidRPr="00DE5A76">
        <w:rPr>
          <w:rFonts w:ascii="Cambria" w:hAnsi="Cambria"/>
          <w:sz w:val="24"/>
          <w:szCs w:val="24"/>
        </w:rPr>
        <w:t xml:space="preserve">, 22 February 2021, </w:t>
      </w:r>
      <w:hyperlink r:id="rId5" w:history="1">
        <w:r w:rsidRPr="00234266">
          <w:rPr>
            <w:rStyle w:val="Hyperlink"/>
            <w:rFonts w:ascii="Cambria" w:hAnsi="Cambria"/>
            <w:sz w:val="24"/>
            <w:szCs w:val="24"/>
          </w:rPr>
          <w:t>https://bit.ly/3zUcgcv</w:t>
        </w:r>
      </w:hyperlink>
      <w:r>
        <w:rPr>
          <w:rFonts w:ascii="Cambria" w:hAnsi="Cambria"/>
          <w:sz w:val="24"/>
          <w:szCs w:val="24"/>
        </w:rPr>
        <w:t>.</w:t>
      </w:r>
    </w:p>
  </w:footnote>
  <w:footnote w:id="15">
    <w:p w14:paraId="095DB744" w14:textId="77777777" w:rsidR="00FA1B96" w:rsidRDefault="00FA1B96" w:rsidP="00FA1B96">
      <w:pPr>
        <w:pStyle w:val="FootnoteText"/>
      </w:pPr>
      <w:r>
        <w:rPr>
          <w:rStyle w:val="FootnoteReference"/>
        </w:rPr>
        <w:footnoteRef/>
      </w:r>
      <w:r>
        <w:t xml:space="preserve"> Ibid.</w:t>
      </w:r>
    </w:p>
  </w:footnote>
  <w:footnote w:id="16">
    <w:p w14:paraId="6B4C5F1A" w14:textId="77777777" w:rsidR="00FA1B96" w:rsidRDefault="00FA1B96" w:rsidP="00FA1B96">
      <w:pPr>
        <w:pStyle w:val="FootnoteText"/>
      </w:pPr>
      <w:r>
        <w:rPr>
          <w:rStyle w:val="FootnoteReference"/>
        </w:rPr>
        <w:footnoteRef/>
      </w:r>
      <w:r>
        <w:t xml:space="preserve"> Ibid.</w:t>
      </w:r>
    </w:p>
  </w:footnote>
  <w:footnote w:id="17">
    <w:p w14:paraId="6BE95982" w14:textId="77777777" w:rsidR="00FA1B96" w:rsidRPr="004E1FAD" w:rsidRDefault="00FA1B96" w:rsidP="00FA1B96">
      <w:pPr>
        <w:rPr>
          <w:rFonts w:ascii="Cambria" w:hAnsi="Cambria"/>
          <w:sz w:val="24"/>
          <w:szCs w:val="24"/>
        </w:rPr>
      </w:pPr>
      <w:r>
        <w:rPr>
          <w:rStyle w:val="FootnoteReference"/>
        </w:rPr>
        <w:footnoteRef/>
      </w:r>
      <w:r>
        <w:t xml:space="preserve"> </w:t>
      </w:r>
      <w:r w:rsidRPr="009A63E2">
        <w:rPr>
          <w:rFonts w:ascii="Cambria" w:hAnsi="Cambria"/>
          <w:sz w:val="20"/>
          <w:szCs w:val="20"/>
        </w:rPr>
        <w:t xml:space="preserve">Al Jazeera Staff. “The names and faces of the 16 children killed in Gaza.” </w:t>
      </w:r>
      <w:r w:rsidRPr="009A63E2">
        <w:rPr>
          <w:rFonts w:ascii="Cambria" w:hAnsi="Cambria"/>
          <w:i/>
          <w:iCs/>
          <w:sz w:val="20"/>
          <w:szCs w:val="20"/>
        </w:rPr>
        <w:t>Al Jazeera</w:t>
      </w:r>
      <w:r w:rsidRPr="009A63E2">
        <w:rPr>
          <w:rFonts w:ascii="Cambria" w:hAnsi="Cambria"/>
          <w:sz w:val="20"/>
          <w:szCs w:val="20"/>
        </w:rPr>
        <w:t xml:space="preserve">, 8 August 2022, </w:t>
      </w:r>
      <w:hyperlink r:id="rId6" w:history="1">
        <w:r w:rsidRPr="009A63E2">
          <w:rPr>
            <w:rStyle w:val="Hyperlink"/>
            <w:rFonts w:ascii="Cambria" w:hAnsi="Cambria"/>
            <w:sz w:val="20"/>
            <w:szCs w:val="20"/>
          </w:rPr>
          <w:t>https://bit.ly/3w2lYYV</w:t>
        </w:r>
      </w:hyperlink>
      <w:r>
        <w:rPr>
          <w:rFonts w:ascii="Cambria" w:hAnsi="Cambria"/>
          <w:sz w:val="20"/>
          <w:szCs w:val="20"/>
        </w:rPr>
        <w:t>.</w:t>
      </w:r>
    </w:p>
  </w:footnote>
  <w:footnote w:id="18">
    <w:p w14:paraId="721BD42C" w14:textId="77777777" w:rsidR="00FA1B96" w:rsidRPr="00045AB0" w:rsidRDefault="00FA1B96" w:rsidP="00FA1B96">
      <w:pPr>
        <w:pStyle w:val="Heading1"/>
        <w:shd w:val="clear" w:color="auto" w:fill="FFFFFF"/>
        <w:spacing w:before="150" w:beforeAutospacing="0" w:after="150" w:afterAutospacing="0"/>
        <w:rPr>
          <w:rFonts w:ascii="Cambria" w:eastAsiaTheme="minorHAnsi" w:hAnsi="Cambria" w:cstheme="minorBidi"/>
          <w:b w:val="0"/>
          <w:bCs w:val="0"/>
          <w:kern w:val="0"/>
          <w:sz w:val="20"/>
          <w:szCs w:val="20"/>
        </w:rPr>
      </w:pPr>
      <w:r w:rsidRPr="00045AB0">
        <w:rPr>
          <w:rStyle w:val="FootnoteReference"/>
          <w:rFonts w:asciiTheme="minorHAnsi" w:hAnsiTheme="minorHAnsi"/>
          <w:b w:val="0"/>
          <w:bCs w:val="0"/>
          <w:sz w:val="22"/>
          <w:szCs w:val="22"/>
        </w:rPr>
        <w:footnoteRef/>
      </w:r>
      <w:r>
        <w:rPr>
          <w:rFonts w:ascii="Cambria" w:eastAsiaTheme="minorHAnsi" w:hAnsi="Cambria" w:cstheme="minorBidi"/>
          <w:b w:val="0"/>
          <w:bCs w:val="0"/>
          <w:kern w:val="0"/>
          <w:sz w:val="20"/>
          <w:szCs w:val="20"/>
        </w:rPr>
        <w:t xml:space="preserve"> Al Jazeera Staff. “</w:t>
      </w:r>
      <w:r w:rsidRPr="00045AB0">
        <w:rPr>
          <w:rFonts w:ascii="Cambria" w:eastAsiaTheme="minorHAnsi" w:hAnsi="Cambria" w:cstheme="minorBidi"/>
          <w:b w:val="0"/>
          <w:bCs w:val="0"/>
          <w:kern w:val="0"/>
          <w:sz w:val="20"/>
          <w:szCs w:val="20"/>
        </w:rPr>
        <w:t>Several children, commander killed in Israeli attack on Gaza</w:t>
      </w:r>
      <w:r>
        <w:rPr>
          <w:rFonts w:ascii="Cambria" w:eastAsiaTheme="minorHAnsi" w:hAnsi="Cambria" w:cstheme="minorBidi"/>
          <w:b w:val="0"/>
          <w:bCs w:val="0"/>
          <w:kern w:val="0"/>
          <w:sz w:val="20"/>
          <w:szCs w:val="20"/>
        </w:rPr>
        <w:t xml:space="preserve">”. Al Jazeera, 7 August 2022, </w:t>
      </w:r>
      <w:hyperlink r:id="rId7" w:history="1">
        <w:r w:rsidRPr="00234266">
          <w:rPr>
            <w:rStyle w:val="Hyperlink"/>
            <w:rFonts w:ascii="Cambria" w:eastAsiaTheme="minorHAnsi" w:hAnsi="Cambria" w:cstheme="minorBidi"/>
            <w:b w:val="0"/>
            <w:bCs w:val="0"/>
            <w:kern w:val="0"/>
            <w:sz w:val="20"/>
            <w:szCs w:val="20"/>
          </w:rPr>
          <w:t>https://bit.ly/3SOdzlD</w:t>
        </w:r>
      </w:hyperlink>
      <w:r>
        <w:rPr>
          <w:rFonts w:ascii="Cambria" w:eastAsiaTheme="minorHAnsi" w:hAnsi="Cambria" w:cstheme="minorBidi"/>
          <w:b w:val="0"/>
          <w:bCs w:val="0"/>
          <w:kern w:val="0"/>
          <w:sz w:val="20"/>
          <w:szCs w:val="20"/>
        </w:rPr>
        <w:t>.</w:t>
      </w:r>
    </w:p>
  </w:footnote>
  <w:footnote w:id="19">
    <w:p w14:paraId="30A7973E" w14:textId="77777777" w:rsidR="00FA1B96" w:rsidRDefault="00FA1B96" w:rsidP="00FA1B96">
      <w:pPr>
        <w:pStyle w:val="FootnoteText"/>
      </w:pPr>
      <w:r>
        <w:rPr>
          <w:rStyle w:val="FootnoteReference"/>
        </w:rPr>
        <w:footnoteRef/>
      </w:r>
      <w:r>
        <w:t xml:space="preserve"> </w:t>
      </w:r>
      <w:proofErr w:type="spellStart"/>
      <w:r w:rsidRPr="004E1FAD">
        <w:rPr>
          <w:rFonts w:ascii="Cambria" w:hAnsi="Cambria"/>
        </w:rPr>
        <w:t>Lazaroff</w:t>
      </w:r>
      <w:proofErr w:type="spellEnd"/>
      <w:r w:rsidRPr="004E1FAD">
        <w:rPr>
          <w:rFonts w:ascii="Cambria" w:hAnsi="Cambria"/>
        </w:rPr>
        <w:t xml:space="preserve">, </w:t>
      </w:r>
      <w:proofErr w:type="spellStart"/>
      <w:r w:rsidRPr="004E1FAD">
        <w:rPr>
          <w:rFonts w:ascii="Cambria" w:hAnsi="Cambria"/>
        </w:rPr>
        <w:t>Tovah</w:t>
      </w:r>
      <w:proofErr w:type="spellEnd"/>
      <w:r w:rsidRPr="004E1FAD">
        <w:rPr>
          <w:rFonts w:ascii="Cambria" w:hAnsi="Cambria"/>
        </w:rPr>
        <w:t xml:space="preserve">. “Gaza power plant closes, Palestinians have 4 hours of electricity daily.” </w:t>
      </w:r>
      <w:r w:rsidRPr="004E1FAD">
        <w:rPr>
          <w:rFonts w:ascii="Cambria" w:hAnsi="Cambria"/>
          <w:i/>
          <w:iCs/>
        </w:rPr>
        <w:t>The Jerusalem Post</w:t>
      </w:r>
      <w:r w:rsidRPr="004E1FAD">
        <w:rPr>
          <w:rFonts w:ascii="Cambria" w:hAnsi="Cambria"/>
        </w:rPr>
        <w:t xml:space="preserve">, 7 August 2022, </w:t>
      </w:r>
      <w:hyperlink r:id="rId8" w:history="1">
        <w:r w:rsidRPr="004E1FAD">
          <w:rPr>
            <w:rStyle w:val="Hyperlink"/>
            <w:rFonts w:ascii="Cambria" w:hAnsi="Cambria"/>
          </w:rPr>
          <w:t>https://www.jpost.com/middle-east/article-714142</w:t>
        </w:r>
      </w:hyperlink>
      <w:r w:rsidRPr="004E1FAD">
        <w:rPr>
          <w:rFonts w:ascii="Cambria" w:hAnsi="Cambria"/>
        </w:rPr>
        <w:t>.</w:t>
      </w:r>
    </w:p>
  </w:footnote>
  <w:footnote w:id="20">
    <w:p w14:paraId="2861F7B9" w14:textId="77777777" w:rsidR="00FA1B96" w:rsidRPr="004E1FAD" w:rsidRDefault="00FA1B96" w:rsidP="00FA1B96">
      <w:pPr>
        <w:pStyle w:val="FootnoteText"/>
        <w:rPr>
          <w:rFonts w:ascii="Cambria" w:hAnsi="Cambria"/>
        </w:rPr>
      </w:pPr>
      <w:r>
        <w:rPr>
          <w:rStyle w:val="FootnoteReference"/>
        </w:rPr>
        <w:footnoteRef/>
      </w:r>
      <w:r>
        <w:t xml:space="preserve"> </w:t>
      </w:r>
      <w:r w:rsidRPr="004E1FAD">
        <w:rPr>
          <w:rFonts w:ascii="Cambria" w:hAnsi="Cambria"/>
        </w:rPr>
        <w:t xml:space="preserve">Ibid. </w:t>
      </w:r>
    </w:p>
  </w:footnote>
  <w:footnote w:id="21">
    <w:p w14:paraId="516931A6" w14:textId="77777777" w:rsidR="00FA1B96" w:rsidRPr="00576633" w:rsidRDefault="00FA1B96" w:rsidP="00FA1B96">
      <w:pPr>
        <w:rPr>
          <w:rFonts w:ascii="Cambria" w:hAnsi="Cambria"/>
          <w:sz w:val="20"/>
          <w:szCs w:val="20"/>
        </w:rPr>
      </w:pPr>
      <w:r>
        <w:rPr>
          <w:rStyle w:val="FootnoteReference"/>
        </w:rPr>
        <w:footnoteRef/>
      </w:r>
      <w:r>
        <w:t xml:space="preserve"> </w:t>
      </w:r>
      <w:r w:rsidRPr="00576633">
        <w:rPr>
          <w:rFonts w:ascii="Cambria" w:hAnsi="Cambria"/>
          <w:sz w:val="20"/>
          <w:szCs w:val="20"/>
        </w:rPr>
        <w:t xml:space="preserve">McKernan, Bethan. “Israeli police demolish Palestinian family’s Sheikh Jarrah home.” The Guardian, 19 January 2022, </w:t>
      </w:r>
      <w:hyperlink r:id="rId9" w:history="1">
        <w:r w:rsidRPr="00576633">
          <w:rPr>
            <w:sz w:val="20"/>
            <w:szCs w:val="20"/>
          </w:rPr>
          <w:t>https://bit.ly/3Cc201I</w:t>
        </w:r>
      </w:hyperlink>
      <w:r w:rsidRPr="00576633">
        <w:rPr>
          <w:rFonts w:ascii="Cambria" w:hAnsi="Cambria"/>
          <w:sz w:val="20"/>
          <w:szCs w:val="20"/>
        </w:rPr>
        <w:t>.</w:t>
      </w:r>
    </w:p>
  </w:footnote>
  <w:footnote w:id="22">
    <w:p w14:paraId="4BA2850C" w14:textId="77777777" w:rsidR="00FA1B96" w:rsidRDefault="00FA1B96" w:rsidP="00FA1B96">
      <w:pPr>
        <w:pStyle w:val="FootnoteText"/>
      </w:pPr>
      <w:r>
        <w:rPr>
          <w:rStyle w:val="FootnoteReference"/>
        </w:rPr>
        <w:footnoteRef/>
      </w:r>
      <w:r>
        <w:t xml:space="preserve"> </w:t>
      </w:r>
      <w:r w:rsidRPr="00576633">
        <w:rPr>
          <w:rFonts w:ascii="Cambria" w:hAnsi="Cambria"/>
        </w:rPr>
        <w:t>Ibid.</w:t>
      </w:r>
    </w:p>
  </w:footnote>
  <w:footnote w:id="23">
    <w:p w14:paraId="34D6EBBC" w14:textId="77777777" w:rsidR="00FA1B96" w:rsidRPr="00576633" w:rsidRDefault="00FA1B96" w:rsidP="00FA1B96">
      <w:pPr>
        <w:pStyle w:val="FootnoteText"/>
        <w:rPr>
          <w:rFonts w:ascii="Cambria" w:hAnsi="Cambria"/>
        </w:rPr>
      </w:pPr>
      <w:r>
        <w:rPr>
          <w:rStyle w:val="FootnoteReference"/>
        </w:rPr>
        <w:footnoteRef/>
      </w:r>
      <w:r>
        <w:t xml:space="preserve"> </w:t>
      </w:r>
      <w:r w:rsidRPr="00576633">
        <w:rPr>
          <w:rFonts w:ascii="Cambria" w:hAnsi="Cambria"/>
        </w:rPr>
        <w:t>Ibid.</w:t>
      </w:r>
    </w:p>
  </w:footnote>
  <w:footnote w:id="24">
    <w:p w14:paraId="341E64FD" w14:textId="77777777" w:rsidR="00FA1B96" w:rsidRDefault="00FA1B96" w:rsidP="00FA1B96">
      <w:pPr>
        <w:pStyle w:val="FootnoteText"/>
      </w:pPr>
      <w:r w:rsidRPr="00576633">
        <w:rPr>
          <w:rStyle w:val="FootnoteReference"/>
          <w:rFonts w:ascii="Cambria" w:hAnsi="Cambria"/>
        </w:rPr>
        <w:footnoteRef/>
      </w:r>
      <w:r w:rsidRPr="00576633">
        <w:rPr>
          <w:rFonts w:ascii="Cambria" w:hAnsi="Cambria"/>
        </w:rPr>
        <w:t xml:space="preserve"> Ibid.</w:t>
      </w:r>
    </w:p>
  </w:footnote>
  <w:footnote w:id="25">
    <w:p w14:paraId="0D1501A6" w14:textId="77777777" w:rsidR="00FA1B96" w:rsidRPr="00B76489" w:rsidRDefault="00FA1B96" w:rsidP="00FA1B96">
      <w:pPr>
        <w:rPr>
          <w:rFonts w:ascii="Cambria" w:hAnsi="Cambria"/>
          <w:sz w:val="24"/>
          <w:szCs w:val="24"/>
        </w:rPr>
      </w:pPr>
      <w:r>
        <w:rPr>
          <w:rStyle w:val="FootnoteReference"/>
        </w:rPr>
        <w:footnoteRef/>
      </w:r>
      <w:r>
        <w:t xml:space="preserve"> </w:t>
      </w:r>
      <w:proofErr w:type="spellStart"/>
      <w:r w:rsidRPr="00B76489">
        <w:rPr>
          <w:rFonts w:ascii="Cambria" w:hAnsi="Cambria"/>
          <w:sz w:val="20"/>
          <w:szCs w:val="20"/>
        </w:rPr>
        <w:t>Gharabli</w:t>
      </w:r>
      <w:proofErr w:type="spellEnd"/>
      <w:r w:rsidRPr="00B76489">
        <w:rPr>
          <w:rFonts w:ascii="Cambria" w:hAnsi="Cambria"/>
          <w:sz w:val="20"/>
          <w:szCs w:val="20"/>
        </w:rPr>
        <w:t xml:space="preserve">, Ahmad. “Israeli court postpones Silwan forced displacement hearing.” Al Jazeera, 10 June 2021, </w:t>
      </w:r>
      <w:hyperlink r:id="rId10" w:history="1">
        <w:r w:rsidRPr="00B76489">
          <w:rPr>
            <w:rStyle w:val="Hyperlink"/>
            <w:rFonts w:ascii="Cambria" w:hAnsi="Cambria"/>
            <w:sz w:val="20"/>
            <w:szCs w:val="20"/>
          </w:rPr>
          <w:t>https://bit.ly/3pfOW3I</w:t>
        </w:r>
      </w:hyperlink>
      <w:r w:rsidRPr="00B76489">
        <w:rPr>
          <w:rFonts w:ascii="Cambria" w:hAnsi="Cambria"/>
          <w:sz w:val="20"/>
          <w:szCs w:val="20"/>
        </w:rPr>
        <w:t>.</w:t>
      </w:r>
    </w:p>
  </w:footnote>
  <w:footnote w:id="26">
    <w:p w14:paraId="79ECF892" w14:textId="77777777" w:rsidR="00FA1B96" w:rsidRDefault="00FA1B96" w:rsidP="00FA1B96">
      <w:pPr>
        <w:pStyle w:val="FootnoteText"/>
      </w:pPr>
      <w:r>
        <w:rPr>
          <w:rStyle w:val="FootnoteReference"/>
        </w:rPr>
        <w:footnoteRef/>
      </w:r>
      <w:r>
        <w:t xml:space="preserve"> </w:t>
      </w:r>
      <w:r w:rsidRPr="00B76489">
        <w:rPr>
          <w:rFonts w:ascii="Cambria" w:hAnsi="Cambria"/>
        </w:rPr>
        <w:t>Ibid.</w:t>
      </w:r>
    </w:p>
  </w:footnote>
  <w:footnote w:id="27">
    <w:p w14:paraId="1308ECE2" w14:textId="77777777" w:rsidR="00FA1B96" w:rsidRDefault="00FA1B96" w:rsidP="00FA1B96">
      <w:pPr>
        <w:rPr>
          <w:rFonts w:ascii="Cambria" w:hAnsi="Cambria"/>
          <w:sz w:val="24"/>
          <w:szCs w:val="24"/>
        </w:rPr>
      </w:pPr>
      <w:r>
        <w:rPr>
          <w:rStyle w:val="FootnoteReference"/>
        </w:rPr>
        <w:footnoteRef/>
      </w:r>
      <w:r>
        <w:t xml:space="preserve"> </w:t>
      </w:r>
      <w:proofErr w:type="spellStart"/>
      <w:r w:rsidRPr="004E1FAD">
        <w:rPr>
          <w:rFonts w:ascii="Cambria" w:hAnsi="Cambria"/>
          <w:sz w:val="20"/>
          <w:szCs w:val="20"/>
        </w:rPr>
        <w:t>Asad</w:t>
      </w:r>
      <w:proofErr w:type="spellEnd"/>
      <w:r w:rsidRPr="004E1FAD">
        <w:rPr>
          <w:rFonts w:ascii="Cambria" w:hAnsi="Cambria"/>
          <w:sz w:val="20"/>
          <w:szCs w:val="20"/>
        </w:rPr>
        <w:t xml:space="preserve">, Mohammed. “Israel bans entry of fuel for Gaza power plant.” </w:t>
      </w:r>
      <w:r w:rsidRPr="004E1FAD">
        <w:rPr>
          <w:rFonts w:ascii="Cambria" w:hAnsi="Cambria"/>
          <w:i/>
          <w:iCs/>
          <w:sz w:val="20"/>
          <w:szCs w:val="20"/>
        </w:rPr>
        <w:t>Memo Middle East Monitor</w:t>
      </w:r>
      <w:r w:rsidRPr="004E1FAD">
        <w:rPr>
          <w:rFonts w:ascii="Cambria" w:hAnsi="Cambria"/>
          <w:sz w:val="20"/>
          <w:szCs w:val="20"/>
        </w:rPr>
        <w:t xml:space="preserve">, 25 July 2021, </w:t>
      </w:r>
      <w:hyperlink r:id="rId11" w:history="1">
        <w:r w:rsidRPr="004E1FAD">
          <w:rPr>
            <w:rStyle w:val="Hyperlink"/>
            <w:rFonts w:ascii="Cambria" w:hAnsi="Cambria"/>
            <w:sz w:val="20"/>
            <w:szCs w:val="20"/>
          </w:rPr>
          <w:t>https://bit.ly/3SYQGMG</w:t>
        </w:r>
      </w:hyperlink>
      <w:r w:rsidRPr="004E1FAD">
        <w:rPr>
          <w:rFonts w:ascii="Cambria" w:hAnsi="Cambria"/>
          <w:sz w:val="20"/>
          <w:szCs w:val="20"/>
        </w:rPr>
        <w:t>.</w:t>
      </w:r>
    </w:p>
    <w:p w14:paraId="587446AF" w14:textId="77777777" w:rsidR="00FA1B96" w:rsidRDefault="00FA1B96" w:rsidP="00FA1B96">
      <w:pPr>
        <w:pStyle w:val="FootnoteText"/>
      </w:pPr>
    </w:p>
  </w:footnote>
  <w:footnote w:id="28">
    <w:p w14:paraId="7FC88455" w14:textId="77777777" w:rsidR="00FA1B96" w:rsidRPr="00CC1E14" w:rsidRDefault="00FA1B96" w:rsidP="00FA1B96">
      <w:pPr>
        <w:rPr>
          <w:rFonts w:ascii="Cambria" w:hAnsi="Cambria"/>
          <w:sz w:val="24"/>
          <w:szCs w:val="24"/>
        </w:rPr>
      </w:pPr>
      <w:r>
        <w:rPr>
          <w:rStyle w:val="FootnoteReference"/>
        </w:rPr>
        <w:footnoteRef/>
      </w:r>
      <w:r>
        <w:t xml:space="preserve"> </w:t>
      </w:r>
      <w:proofErr w:type="spellStart"/>
      <w:r w:rsidRPr="00CC1E14">
        <w:rPr>
          <w:rFonts w:ascii="Cambria" w:hAnsi="Cambria"/>
          <w:sz w:val="20"/>
          <w:szCs w:val="20"/>
        </w:rPr>
        <w:t>Trew</w:t>
      </w:r>
      <w:proofErr w:type="spellEnd"/>
      <w:r w:rsidRPr="00CC1E14">
        <w:rPr>
          <w:rFonts w:ascii="Cambria" w:hAnsi="Cambria"/>
          <w:sz w:val="20"/>
          <w:szCs w:val="20"/>
        </w:rPr>
        <w:t xml:space="preserve">, Bel. "Gaza medical services impacted after Israeli airstrikes damage clinics and hospitals, say health officials”. </w:t>
      </w:r>
      <w:r w:rsidRPr="00CC1E14">
        <w:rPr>
          <w:rFonts w:ascii="Cambria" w:hAnsi="Cambria"/>
          <w:i/>
          <w:iCs/>
          <w:sz w:val="20"/>
          <w:szCs w:val="20"/>
        </w:rPr>
        <w:t>The Independent</w:t>
      </w:r>
      <w:r w:rsidRPr="00CC1E14">
        <w:rPr>
          <w:rFonts w:ascii="Cambria" w:hAnsi="Cambria"/>
          <w:sz w:val="20"/>
          <w:szCs w:val="20"/>
        </w:rPr>
        <w:t xml:space="preserve">, 16 May 2021, </w:t>
      </w:r>
      <w:hyperlink r:id="rId12" w:history="1">
        <w:r w:rsidRPr="00CC1E14">
          <w:rPr>
            <w:rStyle w:val="Hyperlink"/>
            <w:rFonts w:ascii="Cambria" w:hAnsi="Cambria"/>
            <w:sz w:val="20"/>
            <w:szCs w:val="20"/>
          </w:rPr>
          <w:t>https://bit.ly/3SGvNpc</w:t>
        </w:r>
      </w:hyperlink>
      <w:r w:rsidRPr="00CC1E14">
        <w:rPr>
          <w:rFonts w:ascii="Cambria" w:hAnsi="Cambria"/>
          <w:sz w:val="20"/>
          <w:szCs w:val="20"/>
        </w:rPr>
        <w:t>.</w:t>
      </w:r>
    </w:p>
  </w:footnote>
  <w:footnote w:id="29">
    <w:p w14:paraId="4A89AC23" w14:textId="77777777" w:rsidR="00FA1B96" w:rsidRPr="00253B63" w:rsidRDefault="00FA1B96" w:rsidP="00FA1B96">
      <w:pPr>
        <w:rPr>
          <w:rFonts w:ascii="Cambria" w:hAnsi="Cambria"/>
          <w:sz w:val="24"/>
          <w:szCs w:val="24"/>
        </w:rPr>
      </w:pPr>
      <w:r>
        <w:rPr>
          <w:rStyle w:val="FootnoteReference"/>
        </w:rPr>
        <w:footnoteRef/>
      </w:r>
      <w:r>
        <w:t xml:space="preserve"> </w:t>
      </w:r>
      <w:r w:rsidRPr="00253B63">
        <w:rPr>
          <w:rFonts w:ascii="Cambria" w:hAnsi="Cambria"/>
          <w:sz w:val="20"/>
          <w:szCs w:val="20"/>
        </w:rPr>
        <w:t>“Eng. Al-</w:t>
      </w:r>
      <w:proofErr w:type="spellStart"/>
      <w:r w:rsidRPr="00253B63">
        <w:rPr>
          <w:rFonts w:ascii="Cambria" w:hAnsi="Cambria"/>
          <w:sz w:val="20"/>
          <w:szCs w:val="20"/>
        </w:rPr>
        <w:t>Hammadin</w:t>
      </w:r>
      <w:proofErr w:type="spellEnd"/>
      <w:r w:rsidRPr="00253B63">
        <w:rPr>
          <w:rFonts w:ascii="Cambria" w:hAnsi="Cambria"/>
          <w:sz w:val="20"/>
          <w:szCs w:val="20"/>
        </w:rPr>
        <w:t xml:space="preserve">: USD 4.2 million worth losses in the governmental and private health sectors during the Israeli attack on Gaza.” </w:t>
      </w:r>
      <w:r w:rsidRPr="00253B63">
        <w:rPr>
          <w:rFonts w:ascii="Cambria" w:hAnsi="Cambria"/>
          <w:i/>
          <w:iCs/>
          <w:sz w:val="20"/>
          <w:szCs w:val="20"/>
        </w:rPr>
        <w:t>Palestinian Ministry of Health</w:t>
      </w:r>
      <w:r w:rsidRPr="00253B63">
        <w:rPr>
          <w:rFonts w:ascii="Cambria" w:hAnsi="Cambria"/>
          <w:sz w:val="20"/>
          <w:szCs w:val="20"/>
        </w:rPr>
        <w:t xml:space="preserve">, 6 June 2021, </w:t>
      </w:r>
      <w:hyperlink r:id="rId13" w:history="1">
        <w:r w:rsidRPr="00253B63">
          <w:rPr>
            <w:rStyle w:val="Hyperlink"/>
            <w:rFonts w:ascii="Cambria" w:hAnsi="Cambria"/>
            <w:sz w:val="20"/>
            <w:szCs w:val="20"/>
          </w:rPr>
          <w:t>https://bit.ly/3zTCSua</w:t>
        </w:r>
      </w:hyperlink>
      <w:r w:rsidRPr="00253B63">
        <w:rPr>
          <w:rFonts w:ascii="Cambria" w:hAnsi="Cambria"/>
          <w:sz w:val="20"/>
          <w:szCs w:val="20"/>
        </w:rPr>
        <w:t>.</w:t>
      </w:r>
    </w:p>
  </w:footnote>
  <w:footnote w:id="30">
    <w:p w14:paraId="1E9D8CEA" w14:textId="77777777" w:rsidR="00FA1B96" w:rsidRPr="00DE5A76" w:rsidRDefault="00FA1B96" w:rsidP="00FA1B96">
      <w:pPr>
        <w:rPr>
          <w:rFonts w:ascii="Cambria" w:hAnsi="Cambria"/>
          <w:sz w:val="24"/>
          <w:szCs w:val="24"/>
        </w:rPr>
      </w:pPr>
      <w:r>
        <w:rPr>
          <w:rStyle w:val="FootnoteReference"/>
        </w:rPr>
        <w:footnoteRef/>
      </w:r>
      <w:r>
        <w:t xml:space="preserve"> </w:t>
      </w:r>
      <w:r>
        <w:rPr>
          <w:rFonts w:ascii="Cambria" w:hAnsi="Cambria"/>
          <w:sz w:val="20"/>
          <w:szCs w:val="20"/>
        </w:rPr>
        <w:t>Ibid.</w:t>
      </w:r>
    </w:p>
    <w:p w14:paraId="1D33AA74" w14:textId="77777777" w:rsidR="00FA1B96" w:rsidRDefault="00FA1B96" w:rsidP="00FA1B96">
      <w:pPr>
        <w:pStyle w:val="FootnoteText"/>
      </w:pPr>
    </w:p>
  </w:footnote>
  <w:footnote w:id="31">
    <w:p w14:paraId="621ED584" w14:textId="77777777" w:rsidR="00FA1B96" w:rsidRPr="00CC1E14" w:rsidRDefault="00FA1B96" w:rsidP="00FA1B96">
      <w:pPr>
        <w:pStyle w:val="FootnoteText"/>
        <w:rPr>
          <w:rFonts w:ascii="Cambria" w:hAnsi="Cambria"/>
        </w:rPr>
      </w:pPr>
      <w:r w:rsidRPr="00CC1E14">
        <w:rPr>
          <w:rStyle w:val="FootnoteReference"/>
          <w:rFonts w:ascii="Cambria" w:hAnsi="Cambria"/>
        </w:rPr>
        <w:footnoteRef/>
      </w:r>
      <w:r w:rsidRPr="00CC1E14">
        <w:rPr>
          <w:rFonts w:ascii="Cambria" w:hAnsi="Cambria"/>
        </w:rPr>
        <w:t xml:space="preserve"> MEE Staff. “Israel-Gaza: Fifty schools damaged by Israeli bombardment.” </w:t>
      </w:r>
      <w:r w:rsidRPr="00CC1E14">
        <w:rPr>
          <w:rFonts w:ascii="Cambria" w:hAnsi="Cambria"/>
          <w:i/>
          <w:iCs/>
        </w:rPr>
        <w:t>Middle East Eye</w:t>
      </w:r>
      <w:r w:rsidRPr="00CC1E14">
        <w:rPr>
          <w:rFonts w:ascii="Cambria" w:hAnsi="Cambria"/>
        </w:rPr>
        <w:t xml:space="preserve">, 19 May 2021, </w:t>
      </w:r>
      <w:hyperlink r:id="rId14" w:history="1">
        <w:r w:rsidRPr="00CC1E14">
          <w:rPr>
            <w:rStyle w:val="Hyperlink"/>
            <w:rFonts w:ascii="Cambria" w:hAnsi="Cambria"/>
          </w:rPr>
          <w:t>https://bit.ly/3dtHMXc</w:t>
        </w:r>
      </w:hyperlink>
      <w:r w:rsidRPr="00CC1E14">
        <w:rPr>
          <w:rFonts w:ascii="Cambria" w:hAnsi="Cambria"/>
        </w:rPr>
        <w:t>.</w:t>
      </w:r>
    </w:p>
  </w:footnote>
  <w:footnote w:id="32">
    <w:p w14:paraId="53F21DB1" w14:textId="77777777" w:rsidR="00FA1B96" w:rsidRPr="00CC1E14" w:rsidRDefault="00FA1B96" w:rsidP="00FA1B96">
      <w:pPr>
        <w:pStyle w:val="FootnoteText"/>
        <w:rPr>
          <w:rFonts w:ascii="Cambria" w:hAnsi="Cambria"/>
        </w:rPr>
      </w:pPr>
      <w:r w:rsidRPr="00CC1E14">
        <w:rPr>
          <w:rStyle w:val="FootnoteReference"/>
          <w:rFonts w:ascii="Cambria" w:hAnsi="Cambria"/>
        </w:rPr>
        <w:footnoteRef/>
      </w:r>
      <w:r w:rsidRPr="00CC1E14">
        <w:rPr>
          <w:rFonts w:ascii="Cambria" w:hAnsi="Cambria"/>
        </w:rPr>
        <w:t xml:space="preserve"> Ibid.</w:t>
      </w:r>
    </w:p>
  </w:footnote>
  <w:footnote w:id="33">
    <w:p w14:paraId="0A69E8FE" w14:textId="77777777" w:rsidR="00FA1B96" w:rsidRDefault="00FA1B96" w:rsidP="00FA1B96">
      <w:pPr>
        <w:pStyle w:val="FootnoteText"/>
      </w:pPr>
      <w:r w:rsidRPr="00CC1E14">
        <w:rPr>
          <w:rStyle w:val="FootnoteReference"/>
          <w:rFonts w:ascii="Cambria" w:hAnsi="Cambria"/>
        </w:rPr>
        <w:footnoteRef/>
      </w:r>
      <w:r w:rsidRPr="00CC1E14">
        <w:rPr>
          <w:rFonts w:ascii="Cambria" w:hAnsi="Cambria"/>
        </w:rPr>
        <w:t xml:space="preserve"> Ibid.</w:t>
      </w:r>
    </w:p>
  </w:footnote>
  <w:footnote w:id="34">
    <w:p w14:paraId="1C1C1C03" w14:textId="77777777" w:rsidR="00FA1B96" w:rsidRDefault="00FA1B96" w:rsidP="00FA1B96">
      <w:pPr>
        <w:rPr>
          <w:rFonts w:ascii="Cambria" w:hAnsi="Cambria"/>
          <w:sz w:val="24"/>
          <w:szCs w:val="24"/>
        </w:rPr>
      </w:pPr>
      <w:r>
        <w:rPr>
          <w:rStyle w:val="FootnoteReference"/>
        </w:rPr>
        <w:footnoteRef/>
      </w:r>
      <w:r>
        <w:t xml:space="preserve"> </w:t>
      </w:r>
      <w:r w:rsidRPr="00CC1E14">
        <w:rPr>
          <w:rFonts w:ascii="Cambria" w:hAnsi="Cambria"/>
          <w:sz w:val="20"/>
          <w:szCs w:val="20"/>
        </w:rPr>
        <w:t xml:space="preserve">“UN official: 180,000 Gaza children attend, return to damaged schools.” </w:t>
      </w:r>
      <w:r w:rsidRPr="00CC1E14">
        <w:rPr>
          <w:rFonts w:ascii="Cambria" w:hAnsi="Cambria"/>
          <w:i/>
          <w:iCs/>
          <w:sz w:val="20"/>
          <w:szCs w:val="20"/>
        </w:rPr>
        <w:t>Memo Middle East Monitor</w:t>
      </w:r>
      <w:r w:rsidRPr="00CC1E14">
        <w:rPr>
          <w:rFonts w:ascii="Cambria" w:hAnsi="Cambria"/>
          <w:sz w:val="20"/>
          <w:szCs w:val="20"/>
        </w:rPr>
        <w:t xml:space="preserve">, 16 August 2021, </w:t>
      </w:r>
      <w:hyperlink r:id="rId15" w:history="1">
        <w:r w:rsidRPr="00CC1E14">
          <w:rPr>
            <w:rStyle w:val="Hyperlink"/>
            <w:rFonts w:ascii="Cambria" w:hAnsi="Cambria"/>
            <w:sz w:val="20"/>
            <w:szCs w:val="20"/>
          </w:rPr>
          <w:t>https://bit.ly/3wpSF31</w:t>
        </w:r>
      </w:hyperlink>
      <w:r w:rsidRPr="00CC1E14">
        <w:rPr>
          <w:rFonts w:ascii="Cambria" w:hAnsi="Cambria"/>
          <w:sz w:val="20"/>
          <w:szCs w:val="20"/>
        </w:rPr>
        <w:t>.</w:t>
      </w:r>
    </w:p>
    <w:p w14:paraId="7D6B5A5B" w14:textId="77777777" w:rsidR="00FA1B96" w:rsidRDefault="00FA1B96" w:rsidP="00FA1B9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BCBAF" w14:textId="559D8800" w:rsidR="007A2330" w:rsidRDefault="007A2330" w:rsidP="007A2330">
    <w:pPr>
      <w:pStyle w:val="Header"/>
      <w:rPr>
        <w:lang w:bidi="ar-EG"/>
      </w:rPr>
    </w:pPr>
    <w:r w:rsidRPr="00956EDF">
      <w:rPr>
        <w:rFonts w:ascii="Simplified Arabic" w:hAnsi="Simplified Arabic" w:cs="Simplified Arabic"/>
        <w:noProof/>
        <w:sz w:val="28"/>
        <w:szCs w:val="28"/>
        <w:rtl/>
        <w:lang w:val="en-GB" w:eastAsia="en-GB"/>
      </w:rPr>
      <w:drawing>
        <wp:anchor distT="0" distB="0" distL="114300" distR="114300" simplePos="0" relativeHeight="251662336" behindDoc="0" locked="0" layoutInCell="1" allowOverlap="1" wp14:anchorId="3AFCAAEC" wp14:editId="0A35ECD7">
          <wp:simplePos x="0" y="0"/>
          <wp:positionH relativeFrom="margin">
            <wp:posOffset>1371600</wp:posOffset>
          </wp:positionH>
          <wp:positionV relativeFrom="page">
            <wp:posOffset>716280</wp:posOffset>
          </wp:positionV>
          <wp:extent cx="3489960" cy="77978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6EDF">
      <w:rPr>
        <w:rFonts w:ascii="Simplified Arabic" w:hAnsi="Simplified Arabic" w:cs="Simplified Arabic"/>
        <w:noProof/>
        <w:sz w:val="28"/>
        <w:szCs w:val="28"/>
        <w:rtl/>
        <w:lang w:val="en-GB" w:eastAsia="en-GB"/>
      </w:rPr>
      <w:drawing>
        <wp:anchor distT="0" distB="0" distL="114300" distR="114300" simplePos="0" relativeHeight="251663360" behindDoc="0" locked="0" layoutInCell="1" allowOverlap="1" wp14:anchorId="51CBA40F" wp14:editId="0C61B6E2">
          <wp:simplePos x="0" y="0"/>
          <wp:positionH relativeFrom="column">
            <wp:posOffset>0</wp:posOffset>
          </wp:positionH>
          <wp:positionV relativeFrom="paragraph">
            <wp:posOffset>160020</wp:posOffset>
          </wp:positionV>
          <wp:extent cx="922020" cy="9220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F7EF0" w14:textId="28D0997C" w:rsidR="007A2330" w:rsidRDefault="007A2330">
    <w:pPr>
      <w:pStyle w:val="Header"/>
      <w:rPr>
        <w:rtl/>
        <w:lang w:bidi="ar-EG"/>
      </w:rPr>
    </w:pPr>
    <w:r w:rsidRPr="00956EDF">
      <w:rPr>
        <w:rFonts w:ascii="Simplified Arabic" w:hAnsi="Simplified Arabic" w:cs="Simplified Arabic"/>
        <w:noProof/>
        <w:sz w:val="28"/>
        <w:szCs w:val="28"/>
        <w:rtl/>
        <w:lang w:val="en-GB" w:eastAsia="en-GB"/>
      </w:rPr>
      <w:drawing>
        <wp:anchor distT="0" distB="0" distL="114300" distR="114300" simplePos="0" relativeHeight="251659264" behindDoc="0" locked="0" layoutInCell="1" allowOverlap="1" wp14:anchorId="659CDFFE" wp14:editId="48831990">
          <wp:simplePos x="0" y="0"/>
          <wp:positionH relativeFrom="margin">
            <wp:posOffset>1371600</wp:posOffset>
          </wp:positionH>
          <wp:positionV relativeFrom="page">
            <wp:posOffset>716280</wp:posOffset>
          </wp:positionV>
          <wp:extent cx="3489960" cy="7797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6EDF">
      <w:rPr>
        <w:rFonts w:ascii="Simplified Arabic" w:hAnsi="Simplified Arabic" w:cs="Simplified Arabic"/>
        <w:noProof/>
        <w:sz w:val="28"/>
        <w:szCs w:val="28"/>
        <w:rtl/>
        <w:lang w:val="en-GB" w:eastAsia="en-GB"/>
      </w:rPr>
      <w:drawing>
        <wp:anchor distT="0" distB="0" distL="114300" distR="114300" simplePos="0" relativeHeight="251660288" behindDoc="0" locked="0" layoutInCell="1" allowOverlap="1" wp14:anchorId="09980F7B" wp14:editId="299695E9">
          <wp:simplePos x="0" y="0"/>
          <wp:positionH relativeFrom="column">
            <wp:posOffset>0</wp:posOffset>
          </wp:positionH>
          <wp:positionV relativeFrom="paragraph">
            <wp:posOffset>160020</wp:posOffset>
          </wp:positionV>
          <wp:extent cx="922020" cy="92202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B96"/>
    <w:rsid w:val="003A45ED"/>
    <w:rsid w:val="00497523"/>
    <w:rsid w:val="00501E4F"/>
    <w:rsid w:val="00546676"/>
    <w:rsid w:val="006252BB"/>
    <w:rsid w:val="007A2330"/>
    <w:rsid w:val="009C68A7"/>
    <w:rsid w:val="00BB2445"/>
    <w:rsid w:val="00DF1083"/>
    <w:rsid w:val="00EF1201"/>
    <w:rsid w:val="00FA1B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6B613"/>
  <w15:chartTrackingRefBased/>
  <w15:docId w15:val="{BB0CA9F3-4C39-44DE-9A2D-D37A44459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B96"/>
  </w:style>
  <w:style w:type="paragraph" w:styleId="Heading1">
    <w:name w:val="heading 1"/>
    <w:basedOn w:val="Normal"/>
    <w:link w:val="Heading1Char"/>
    <w:uiPriority w:val="9"/>
    <w:qFormat/>
    <w:rsid w:val="00FA1B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1B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B96"/>
  </w:style>
  <w:style w:type="paragraph" w:styleId="Footer">
    <w:name w:val="footer"/>
    <w:basedOn w:val="Normal"/>
    <w:link w:val="FooterChar"/>
    <w:uiPriority w:val="99"/>
    <w:unhideWhenUsed/>
    <w:rsid w:val="00FA1B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B96"/>
  </w:style>
  <w:style w:type="table" w:styleId="TableGrid">
    <w:name w:val="Table Grid"/>
    <w:basedOn w:val="TableNormal"/>
    <w:uiPriority w:val="39"/>
    <w:rsid w:val="00FA1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FA1B96"/>
  </w:style>
  <w:style w:type="character" w:customStyle="1" w:styleId="Heading1Char">
    <w:name w:val="Heading 1 Char"/>
    <w:basedOn w:val="DefaultParagraphFont"/>
    <w:link w:val="Heading1"/>
    <w:uiPriority w:val="9"/>
    <w:rsid w:val="00FA1B96"/>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FA1B96"/>
    <w:rPr>
      <w:color w:val="0000FF"/>
      <w:u w:val="single"/>
    </w:rPr>
  </w:style>
  <w:style w:type="paragraph" w:customStyle="1" w:styleId="dcr-xry7m2">
    <w:name w:val="dcr-xry7m2"/>
    <w:basedOn w:val="Normal"/>
    <w:rsid w:val="00FA1B96"/>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A1B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1B96"/>
    <w:rPr>
      <w:sz w:val="20"/>
      <w:szCs w:val="20"/>
    </w:rPr>
  </w:style>
  <w:style w:type="character" w:styleId="FootnoteReference">
    <w:name w:val="footnote reference"/>
    <w:basedOn w:val="DefaultParagraphFont"/>
    <w:uiPriority w:val="99"/>
    <w:semiHidden/>
    <w:unhideWhenUsed/>
    <w:rsid w:val="00FA1B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jpost.com/middle-east/article-714142" TargetMode="External"/><Relationship Id="rId13" Type="http://schemas.openxmlformats.org/officeDocument/2006/relationships/hyperlink" Target="https://bit.ly/3zTCSua" TargetMode="External"/><Relationship Id="rId3" Type="http://schemas.openxmlformats.org/officeDocument/2006/relationships/hyperlink" Target="https://bit.ly/3SPQ0J8" TargetMode="External"/><Relationship Id="rId7" Type="http://schemas.openxmlformats.org/officeDocument/2006/relationships/hyperlink" Target="https://bit.ly/3SOdzlD" TargetMode="External"/><Relationship Id="rId12" Type="http://schemas.openxmlformats.org/officeDocument/2006/relationships/hyperlink" Target="https://bit.ly/3SGvNpc" TargetMode="External"/><Relationship Id="rId2" Type="http://schemas.openxmlformats.org/officeDocument/2006/relationships/hyperlink" Target="https://bit.ly/3pfLm9M" TargetMode="External"/><Relationship Id="rId1" Type="http://schemas.openxmlformats.org/officeDocument/2006/relationships/hyperlink" Target="https://bit.ly/3SJ1UEZ" TargetMode="External"/><Relationship Id="rId6" Type="http://schemas.openxmlformats.org/officeDocument/2006/relationships/hyperlink" Target="https://bit.ly/3w2lYYV" TargetMode="External"/><Relationship Id="rId11" Type="http://schemas.openxmlformats.org/officeDocument/2006/relationships/hyperlink" Target="https://bit.ly/3SYQGMG" TargetMode="External"/><Relationship Id="rId5" Type="http://schemas.openxmlformats.org/officeDocument/2006/relationships/hyperlink" Target="https://bit.ly/3zUcgcv" TargetMode="External"/><Relationship Id="rId15" Type="http://schemas.openxmlformats.org/officeDocument/2006/relationships/hyperlink" Target="https://bit.ly/3wpSF31" TargetMode="External"/><Relationship Id="rId10" Type="http://schemas.openxmlformats.org/officeDocument/2006/relationships/hyperlink" Target="https://bit.ly/3pfOW3I" TargetMode="External"/><Relationship Id="rId4" Type="http://schemas.openxmlformats.org/officeDocument/2006/relationships/hyperlink" Target="https://bit.ly/3SOqAeZ" TargetMode="External"/><Relationship Id="rId9" Type="http://schemas.openxmlformats.org/officeDocument/2006/relationships/hyperlink" Target="https://bit.ly/3Cc201I" TargetMode="External"/><Relationship Id="rId14" Type="http://schemas.openxmlformats.org/officeDocument/2006/relationships/hyperlink" Target="https://bit.ly/3dtHMX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4C077B-982E-482A-98A7-8252A443DE3E}">
  <ds:schemaRefs>
    <ds:schemaRef ds:uri="http://schemas.openxmlformats.org/officeDocument/2006/bibliography"/>
  </ds:schemaRefs>
</ds:datastoreItem>
</file>

<file path=customXml/itemProps2.xml><?xml version="1.0" encoding="utf-8"?>
<ds:datastoreItem xmlns:ds="http://schemas.openxmlformats.org/officeDocument/2006/customXml" ds:itemID="{3B9A5640-16B3-4730-9107-65371874515D}"/>
</file>

<file path=customXml/itemProps3.xml><?xml version="1.0" encoding="utf-8"?>
<ds:datastoreItem xmlns:ds="http://schemas.openxmlformats.org/officeDocument/2006/customXml" ds:itemID="{53E7F6D2-CF8A-4CF6-B741-F8CD741DB2E2}"/>
</file>

<file path=customXml/itemProps4.xml><?xml version="1.0" encoding="utf-8"?>
<ds:datastoreItem xmlns:ds="http://schemas.openxmlformats.org/officeDocument/2006/customXml" ds:itemID="{CC039ED3-20AA-4A87-B467-476681630293}"/>
</file>

<file path=docProps/app.xml><?xml version="1.0" encoding="utf-8"?>
<Properties xmlns="http://schemas.openxmlformats.org/officeDocument/2006/extended-properties" xmlns:vt="http://schemas.openxmlformats.org/officeDocument/2006/docPropsVTypes">
  <Template>Normal.dotm</Template>
  <TotalTime>0</TotalTime>
  <Pages>8</Pages>
  <Words>2903</Words>
  <Characters>16553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REYNAUD Céline</cp:lastModifiedBy>
  <cp:revision>2</cp:revision>
  <dcterms:created xsi:type="dcterms:W3CDTF">2022-09-07T05:55:00Z</dcterms:created>
  <dcterms:modified xsi:type="dcterms:W3CDTF">2022-09-07T05:55:00Z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