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FE9A28" w14:textId="77777777" w:rsidR="003963CA" w:rsidRDefault="003963CA" w:rsidP="003963CA">
      <w:pPr>
        <w:widowControl w:val="0"/>
        <w:autoSpaceDE w:val="0"/>
        <w:autoSpaceDN w:val="0"/>
        <w:adjustRightInd w:val="0"/>
        <w:spacing w:after="0" w:line="240" w:lineRule="auto"/>
        <w:jc w:val="center"/>
        <w:rPr>
          <w:rFonts w:asciiTheme="majorHAnsi" w:hAnsiTheme="majorHAnsi" w:cs="Times Roman"/>
          <w:b/>
          <w:color w:val="000000"/>
          <w:sz w:val="24"/>
          <w:szCs w:val="24"/>
        </w:rPr>
      </w:pPr>
      <w:r w:rsidRPr="00B601F3">
        <w:rPr>
          <w:rFonts w:ascii="Garamond" w:hAnsi="Garamond"/>
          <w:noProof/>
          <w:color w:val="333333" w:themeColor="text1"/>
        </w:rPr>
        <w:drawing>
          <wp:anchor distT="0" distB="0" distL="114300" distR="114300" simplePos="0" relativeHeight="251660288" behindDoc="0" locked="0" layoutInCell="1" allowOverlap="1" wp14:anchorId="426C7380" wp14:editId="5597BB42">
            <wp:simplePos x="0" y="0"/>
            <wp:positionH relativeFrom="margin">
              <wp:posOffset>1038225</wp:posOffset>
            </wp:positionH>
            <wp:positionV relativeFrom="margin">
              <wp:posOffset>9525</wp:posOffset>
            </wp:positionV>
            <wp:extent cx="3923030" cy="1383030"/>
            <wp:effectExtent l="0" t="0" r="1270" b="7620"/>
            <wp:wrapSquare wrapText="bothSides"/>
            <wp:docPr id="2" name="Picture 2" descr="Ne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23030" cy="13830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6CCFFD" w14:textId="77777777" w:rsidR="003963CA" w:rsidRDefault="003963CA" w:rsidP="003963CA">
      <w:pPr>
        <w:widowControl w:val="0"/>
        <w:autoSpaceDE w:val="0"/>
        <w:autoSpaceDN w:val="0"/>
        <w:adjustRightInd w:val="0"/>
        <w:spacing w:after="0" w:line="240" w:lineRule="auto"/>
        <w:jc w:val="center"/>
        <w:rPr>
          <w:rFonts w:asciiTheme="majorHAnsi" w:hAnsiTheme="majorHAnsi" w:cs="Times Roman"/>
          <w:b/>
          <w:color w:val="000000"/>
          <w:sz w:val="24"/>
          <w:szCs w:val="24"/>
        </w:rPr>
      </w:pPr>
    </w:p>
    <w:p w14:paraId="4874067C" w14:textId="77777777" w:rsidR="003963CA" w:rsidRDefault="003963CA" w:rsidP="003963CA">
      <w:pPr>
        <w:widowControl w:val="0"/>
        <w:autoSpaceDE w:val="0"/>
        <w:autoSpaceDN w:val="0"/>
        <w:adjustRightInd w:val="0"/>
        <w:spacing w:after="0" w:line="240" w:lineRule="auto"/>
        <w:jc w:val="center"/>
        <w:rPr>
          <w:rFonts w:asciiTheme="majorHAnsi" w:hAnsiTheme="majorHAnsi" w:cs="Times Roman"/>
          <w:b/>
          <w:color w:val="000000"/>
          <w:sz w:val="24"/>
          <w:szCs w:val="24"/>
        </w:rPr>
      </w:pPr>
    </w:p>
    <w:p w14:paraId="26299A57" w14:textId="77777777" w:rsidR="003963CA" w:rsidRDefault="003963CA" w:rsidP="003963CA">
      <w:pPr>
        <w:widowControl w:val="0"/>
        <w:autoSpaceDE w:val="0"/>
        <w:autoSpaceDN w:val="0"/>
        <w:adjustRightInd w:val="0"/>
        <w:spacing w:after="0" w:line="240" w:lineRule="auto"/>
        <w:jc w:val="center"/>
        <w:rPr>
          <w:rFonts w:asciiTheme="majorHAnsi" w:hAnsiTheme="majorHAnsi" w:cs="Times Roman"/>
          <w:b/>
          <w:color w:val="000000"/>
          <w:sz w:val="24"/>
          <w:szCs w:val="24"/>
        </w:rPr>
      </w:pPr>
    </w:p>
    <w:p w14:paraId="2512C689" w14:textId="77777777" w:rsidR="003963CA" w:rsidRDefault="003963CA" w:rsidP="003963CA">
      <w:pPr>
        <w:widowControl w:val="0"/>
        <w:autoSpaceDE w:val="0"/>
        <w:autoSpaceDN w:val="0"/>
        <w:adjustRightInd w:val="0"/>
        <w:spacing w:after="0" w:line="240" w:lineRule="auto"/>
        <w:jc w:val="center"/>
        <w:rPr>
          <w:rFonts w:asciiTheme="majorHAnsi" w:hAnsiTheme="majorHAnsi" w:cs="Times Roman"/>
          <w:b/>
          <w:color w:val="000000"/>
          <w:sz w:val="24"/>
          <w:szCs w:val="24"/>
        </w:rPr>
      </w:pPr>
    </w:p>
    <w:p w14:paraId="5C5741D2" w14:textId="77777777" w:rsidR="003963CA" w:rsidRDefault="003963CA" w:rsidP="003963CA">
      <w:pPr>
        <w:widowControl w:val="0"/>
        <w:autoSpaceDE w:val="0"/>
        <w:autoSpaceDN w:val="0"/>
        <w:adjustRightInd w:val="0"/>
        <w:spacing w:after="0" w:line="240" w:lineRule="auto"/>
        <w:jc w:val="center"/>
        <w:rPr>
          <w:rFonts w:asciiTheme="majorHAnsi" w:hAnsiTheme="majorHAnsi" w:cs="Times Roman"/>
          <w:b/>
          <w:color w:val="000000"/>
          <w:sz w:val="24"/>
          <w:szCs w:val="24"/>
        </w:rPr>
      </w:pPr>
    </w:p>
    <w:p w14:paraId="1A84FD24" w14:textId="77777777" w:rsidR="003963CA" w:rsidRDefault="003963CA" w:rsidP="003963CA">
      <w:pPr>
        <w:widowControl w:val="0"/>
        <w:autoSpaceDE w:val="0"/>
        <w:autoSpaceDN w:val="0"/>
        <w:adjustRightInd w:val="0"/>
        <w:spacing w:after="0" w:line="240" w:lineRule="auto"/>
        <w:jc w:val="center"/>
        <w:rPr>
          <w:rFonts w:asciiTheme="majorHAnsi" w:hAnsiTheme="majorHAnsi" w:cs="Times Roman"/>
          <w:b/>
          <w:color w:val="000000"/>
          <w:sz w:val="28"/>
          <w:szCs w:val="28"/>
        </w:rPr>
      </w:pPr>
    </w:p>
    <w:p w14:paraId="7AF01E79" w14:textId="77777777" w:rsidR="003963CA" w:rsidRDefault="003963CA" w:rsidP="003963CA">
      <w:pPr>
        <w:widowControl w:val="0"/>
        <w:autoSpaceDE w:val="0"/>
        <w:autoSpaceDN w:val="0"/>
        <w:adjustRightInd w:val="0"/>
        <w:spacing w:after="0" w:line="240" w:lineRule="auto"/>
        <w:jc w:val="center"/>
        <w:rPr>
          <w:rFonts w:asciiTheme="majorHAnsi" w:hAnsiTheme="majorHAnsi" w:cs="Times Roman"/>
          <w:b/>
          <w:color w:val="000000"/>
          <w:sz w:val="28"/>
          <w:szCs w:val="28"/>
        </w:rPr>
      </w:pPr>
    </w:p>
    <w:p w14:paraId="68CE0456" w14:textId="77777777" w:rsidR="003963CA" w:rsidRDefault="003963CA" w:rsidP="003963CA">
      <w:pPr>
        <w:widowControl w:val="0"/>
        <w:autoSpaceDE w:val="0"/>
        <w:autoSpaceDN w:val="0"/>
        <w:adjustRightInd w:val="0"/>
        <w:spacing w:after="0" w:line="240" w:lineRule="auto"/>
        <w:jc w:val="center"/>
        <w:rPr>
          <w:rFonts w:asciiTheme="majorHAnsi" w:hAnsiTheme="majorHAnsi" w:cs="Times Roman"/>
          <w:b/>
          <w:color w:val="000000"/>
          <w:sz w:val="28"/>
          <w:szCs w:val="28"/>
        </w:rPr>
      </w:pPr>
    </w:p>
    <w:p w14:paraId="4289452A" w14:textId="77777777" w:rsidR="003963CA" w:rsidRDefault="003963CA" w:rsidP="003963CA">
      <w:pPr>
        <w:widowControl w:val="0"/>
        <w:autoSpaceDE w:val="0"/>
        <w:autoSpaceDN w:val="0"/>
        <w:adjustRightInd w:val="0"/>
        <w:spacing w:after="0" w:line="240" w:lineRule="auto"/>
        <w:jc w:val="center"/>
        <w:rPr>
          <w:rFonts w:asciiTheme="majorHAnsi" w:hAnsiTheme="majorHAnsi" w:cs="Times Roman"/>
          <w:b/>
          <w:color w:val="000000"/>
          <w:sz w:val="28"/>
          <w:szCs w:val="28"/>
        </w:rPr>
      </w:pPr>
    </w:p>
    <w:p w14:paraId="272F21A5" w14:textId="77777777" w:rsidR="003963CA" w:rsidRDefault="003963CA" w:rsidP="003963CA">
      <w:pPr>
        <w:widowControl w:val="0"/>
        <w:autoSpaceDE w:val="0"/>
        <w:autoSpaceDN w:val="0"/>
        <w:adjustRightInd w:val="0"/>
        <w:spacing w:after="0" w:line="240" w:lineRule="auto"/>
        <w:jc w:val="center"/>
        <w:rPr>
          <w:rFonts w:asciiTheme="majorHAnsi" w:hAnsiTheme="majorHAnsi" w:cs="Times Roman"/>
          <w:b/>
          <w:color w:val="000000"/>
          <w:sz w:val="28"/>
          <w:szCs w:val="28"/>
        </w:rPr>
      </w:pPr>
      <w:r w:rsidRPr="00314D05">
        <w:rPr>
          <w:rFonts w:asciiTheme="majorHAnsi" w:hAnsiTheme="majorHAnsi" w:cs="Times Roman"/>
          <w:b/>
          <w:color w:val="000000"/>
          <w:sz w:val="28"/>
          <w:szCs w:val="28"/>
        </w:rPr>
        <w:t>Iraq</w:t>
      </w:r>
    </w:p>
    <w:p w14:paraId="562A720F" w14:textId="77777777" w:rsidR="003963CA" w:rsidRPr="00314D05" w:rsidRDefault="003963CA" w:rsidP="003963CA">
      <w:pPr>
        <w:widowControl w:val="0"/>
        <w:autoSpaceDE w:val="0"/>
        <w:autoSpaceDN w:val="0"/>
        <w:adjustRightInd w:val="0"/>
        <w:spacing w:after="0" w:line="240" w:lineRule="auto"/>
        <w:jc w:val="center"/>
        <w:rPr>
          <w:rFonts w:asciiTheme="majorHAnsi" w:hAnsiTheme="majorHAnsi" w:cs="Times Roman"/>
          <w:b/>
          <w:color w:val="000000"/>
          <w:sz w:val="28"/>
          <w:szCs w:val="28"/>
        </w:rPr>
      </w:pPr>
    </w:p>
    <w:p w14:paraId="35668F5A" w14:textId="371442F7" w:rsidR="003963CA" w:rsidRDefault="003963CA" w:rsidP="003963CA">
      <w:pPr>
        <w:widowControl w:val="0"/>
        <w:autoSpaceDE w:val="0"/>
        <w:autoSpaceDN w:val="0"/>
        <w:adjustRightInd w:val="0"/>
        <w:spacing w:after="0" w:line="240" w:lineRule="auto"/>
        <w:jc w:val="center"/>
        <w:rPr>
          <w:rFonts w:asciiTheme="majorHAnsi" w:hAnsiTheme="majorHAnsi" w:cs="Cambria"/>
          <w:color w:val="000000"/>
          <w:sz w:val="28"/>
          <w:szCs w:val="28"/>
        </w:rPr>
      </w:pPr>
      <w:r w:rsidRPr="002076BB">
        <w:rPr>
          <w:rFonts w:asciiTheme="majorHAnsi" w:hAnsiTheme="majorHAnsi" w:cs="Cambria"/>
          <w:color w:val="000000"/>
          <w:sz w:val="28"/>
          <w:szCs w:val="28"/>
        </w:rPr>
        <w:t xml:space="preserve">Submission to the </w:t>
      </w:r>
      <w:r w:rsidR="00313AC5">
        <w:rPr>
          <w:rFonts w:asciiTheme="majorHAnsi" w:hAnsiTheme="majorHAnsi" w:cs="Cambria"/>
          <w:color w:val="000000"/>
          <w:sz w:val="28"/>
          <w:szCs w:val="28"/>
        </w:rPr>
        <w:t>United Nations Committee on the Elimination of Discrimination against Women</w:t>
      </w:r>
      <w:r w:rsidRPr="002076BB">
        <w:rPr>
          <w:rFonts w:asciiTheme="majorHAnsi" w:hAnsiTheme="majorHAnsi" w:cs="Cambria"/>
          <w:color w:val="000000"/>
          <w:sz w:val="28"/>
          <w:szCs w:val="28"/>
        </w:rPr>
        <w:t xml:space="preserve"> </w:t>
      </w:r>
    </w:p>
    <w:p w14:paraId="3A964ABC" w14:textId="77777777" w:rsidR="003963CA" w:rsidRPr="002076BB" w:rsidRDefault="003963CA" w:rsidP="003963CA">
      <w:pPr>
        <w:widowControl w:val="0"/>
        <w:autoSpaceDE w:val="0"/>
        <w:autoSpaceDN w:val="0"/>
        <w:adjustRightInd w:val="0"/>
        <w:spacing w:after="0" w:line="240" w:lineRule="auto"/>
        <w:jc w:val="center"/>
        <w:rPr>
          <w:rFonts w:asciiTheme="majorHAnsi" w:hAnsiTheme="majorHAnsi" w:cs="Cambria"/>
          <w:color w:val="000000"/>
          <w:sz w:val="28"/>
          <w:szCs w:val="28"/>
        </w:rPr>
      </w:pPr>
    </w:p>
    <w:p w14:paraId="32BDDC60" w14:textId="2E3DF73E" w:rsidR="003963CA" w:rsidRDefault="00313AC5" w:rsidP="003963CA">
      <w:pPr>
        <w:spacing w:after="0" w:line="240" w:lineRule="auto"/>
        <w:jc w:val="center"/>
        <w:rPr>
          <w:rFonts w:eastAsia="SimSun"/>
          <w:bCs/>
          <w:sz w:val="28"/>
          <w:szCs w:val="28"/>
          <w:lang w:eastAsia="zh-CN"/>
        </w:rPr>
      </w:pPr>
      <w:r>
        <w:rPr>
          <w:rFonts w:eastAsia="SimSun"/>
          <w:bCs/>
          <w:sz w:val="28"/>
          <w:szCs w:val="28"/>
          <w:lang w:eastAsia="zh-CN"/>
        </w:rPr>
        <w:t>Sevent</w:t>
      </w:r>
      <w:r w:rsidR="003963CA" w:rsidRPr="002076BB">
        <w:rPr>
          <w:rFonts w:eastAsia="SimSun"/>
          <w:bCs/>
          <w:sz w:val="28"/>
          <w:szCs w:val="28"/>
          <w:lang w:eastAsia="zh-CN"/>
        </w:rPr>
        <w:t>y-Fourth Session</w:t>
      </w:r>
    </w:p>
    <w:p w14:paraId="38BC0CB1" w14:textId="77777777" w:rsidR="003963CA" w:rsidRPr="002076BB" w:rsidRDefault="003963CA" w:rsidP="003963CA">
      <w:pPr>
        <w:spacing w:after="0" w:line="240" w:lineRule="auto"/>
        <w:jc w:val="center"/>
        <w:rPr>
          <w:rFonts w:eastAsia="SimSun"/>
          <w:bCs/>
          <w:sz w:val="28"/>
          <w:szCs w:val="28"/>
          <w:lang w:eastAsia="zh-CN"/>
        </w:rPr>
      </w:pPr>
    </w:p>
    <w:p w14:paraId="213FB686" w14:textId="005EA87B" w:rsidR="003963CA" w:rsidRDefault="00313AC5" w:rsidP="003963CA">
      <w:pPr>
        <w:spacing w:after="120" w:line="240" w:lineRule="auto"/>
        <w:jc w:val="center"/>
        <w:rPr>
          <w:rFonts w:eastAsia="SimSun"/>
          <w:bCs/>
          <w:sz w:val="28"/>
          <w:szCs w:val="28"/>
          <w:lang w:eastAsia="zh-CN"/>
        </w:rPr>
      </w:pPr>
      <w:r>
        <w:rPr>
          <w:rFonts w:eastAsia="SimSun"/>
          <w:bCs/>
          <w:sz w:val="28"/>
          <w:szCs w:val="28"/>
          <w:lang w:eastAsia="zh-CN"/>
        </w:rPr>
        <w:t>21 October</w:t>
      </w:r>
      <w:r w:rsidR="003963CA" w:rsidRPr="002076BB">
        <w:rPr>
          <w:rFonts w:eastAsia="SimSun"/>
          <w:bCs/>
          <w:sz w:val="28"/>
          <w:szCs w:val="28"/>
          <w:lang w:eastAsia="zh-CN"/>
        </w:rPr>
        <w:t>–</w:t>
      </w:r>
      <w:r>
        <w:rPr>
          <w:rFonts w:eastAsia="SimSun"/>
          <w:bCs/>
          <w:sz w:val="28"/>
          <w:szCs w:val="28"/>
          <w:lang w:eastAsia="zh-CN"/>
        </w:rPr>
        <w:t>08</w:t>
      </w:r>
      <w:r w:rsidR="003963CA" w:rsidRPr="002076BB">
        <w:rPr>
          <w:rFonts w:eastAsia="SimSun"/>
          <w:bCs/>
          <w:sz w:val="28"/>
          <w:szCs w:val="28"/>
          <w:lang w:eastAsia="zh-CN"/>
        </w:rPr>
        <w:t xml:space="preserve"> November 2019</w:t>
      </w:r>
    </w:p>
    <w:p w14:paraId="2449EC74" w14:textId="77777777" w:rsidR="003963CA" w:rsidRPr="002076BB" w:rsidRDefault="003963CA" w:rsidP="003963CA">
      <w:pPr>
        <w:spacing w:after="120" w:line="240" w:lineRule="auto"/>
        <w:jc w:val="center"/>
        <w:rPr>
          <w:rFonts w:eastAsia="SimSun"/>
          <w:bCs/>
          <w:sz w:val="28"/>
          <w:szCs w:val="28"/>
          <w:lang w:eastAsia="zh-CN"/>
        </w:rPr>
      </w:pPr>
    </w:p>
    <w:p w14:paraId="4300D357" w14:textId="77777777" w:rsidR="003963CA" w:rsidRDefault="003963CA" w:rsidP="003963CA">
      <w:pPr>
        <w:spacing w:after="0" w:line="240" w:lineRule="auto"/>
        <w:rPr>
          <w:rFonts w:ascii="Garamond" w:hAnsi="Garamond"/>
          <w:sz w:val="24"/>
          <w:szCs w:val="24"/>
        </w:rPr>
      </w:pPr>
    </w:p>
    <w:p w14:paraId="11B88919" w14:textId="77777777" w:rsidR="003963CA" w:rsidRDefault="003963CA" w:rsidP="003963CA">
      <w:pPr>
        <w:spacing w:after="0" w:line="240" w:lineRule="auto"/>
        <w:rPr>
          <w:rFonts w:ascii="Garamond" w:hAnsi="Garamond"/>
          <w:sz w:val="24"/>
          <w:szCs w:val="24"/>
        </w:rPr>
      </w:pPr>
    </w:p>
    <w:p w14:paraId="6F704B69" w14:textId="77777777" w:rsidR="003963CA" w:rsidRDefault="003963CA" w:rsidP="003963CA">
      <w:pPr>
        <w:spacing w:after="0" w:line="240" w:lineRule="auto"/>
        <w:rPr>
          <w:rFonts w:ascii="Garamond" w:hAnsi="Garamond"/>
          <w:sz w:val="24"/>
          <w:szCs w:val="24"/>
        </w:rPr>
      </w:pPr>
    </w:p>
    <w:p w14:paraId="4209F85A" w14:textId="77777777" w:rsidR="003963CA" w:rsidRDefault="003963CA" w:rsidP="003963CA">
      <w:pPr>
        <w:spacing w:after="0" w:line="240" w:lineRule="auto"/>
        <w:rPr>
          <w:rFonts w:ascii="Garamond" w:hAnsi="Garamond"/>
          <w:sz w:val="24"/>
          <w:szCs w:val="24"/>
        </w:rPr>
      </w:pPr>
    </w:p>
    <w:p w14:paraId="13895C41" w14:textId="77777777" w:rsidR="003963CA" w:rsidRPr="002076BB" w:rsidRDefault="003963CA" w:rsidP="003963CA">
      <w:pPr>
        <w:spacing w:after="0" w:line="240" w:lineRule="auto"/>
        <w:rPr>
          <w:rFonts w:ascii="Garamond" w:hAnsi="Garamond"/>
          <w:sz w:val="24"/>
          <w:szCs w:val="24"/>
        </w:rPr>
      </w:pPr>
      <w:r w:rsidRPr="002076BB">
        <w:rPr>
          <w:rFonts w:ascii="Garamond" w:hAnsi="Garamond"/>
          <w:sz w:val="24"/>
          <w:szCs w:val="24"/>
        </w:rPr>
        <w:t xml:space="preserve">Created in 2005, the </w:t>
      </w:r>
      <w:r w:rsidRPr="002076BB">
        <w:rPr>
          <w:rFonts w:ascii="Garamond" w:hAnsi="Garamond"/>
          <w:b/>
          <w:sz w:val="24"/>
          <w:szCs w:val="24"/>
        </w:rPr>
        <w:t>Global Justice Center</w:t>
      </w:r>
      <w:r w:rsidRPr="002076BB">
        <w:rPr>
          <w:rFonts w:ascii="Garamond" w:hAnsi="Garamond"/>
          <w:sz w:val="24"/>
          <w:szCs w:val="24"/>
        </w:rPr>
        <w:t xml:space="preserve"> is a U</w:t>
      </w:r>
      <w:r>
        <w:rPr>
          <w:rFonts w:ascii="Garamond" w:hAnsi="Garamond"/>
          <w:sz w:val="24"/>
          <w:szCs w:val="24"/>
        </w:rPr>
        <w:t xml:space="preserve">nited States </w:t>
      </w:r>
      <w:r w:rsidRPr="002076BB">
        <w:rPr>
          <w:rFonts w:ascii="Garamond" w:hAnsi="Garamond"/>
          <w:sz w:val="24"/>
          <w:szCs w:val="24"/>
        </w:rPr>
        <w:t xml:space="preserve">based human rights organization with consultative status to the United Nations that works to achieve sustainable justice, peace and security by building a global rule of law based on gender equality and universally enforced international human rights laws. </w:t>
      </w:r>
    </w:p>
    <w:p w14:paraId="17A4EF00" w14:textId="77777777" w:rsidR="003963CA" w:rsidRDefault="003963CA" w:rsidP="003963CA">
      <w:pPr>
        <w:widowControl w:val="0"/>
        <w:autoSpaceDE w:val="0"/>
        <w:autoSpaceDN w:val="0"/>
        <w:adjustRightInd w:val="0"/>
        <w:spacing w:after="0" w:line="240" w:lineRule="auto"/>
        <w:jc w:val="center"/>
        <w:rPr>
          <w:rFonts w:asciiTheme="majorHAnsi" w:hAnsiTheme="majorHAnsi" w:cs="Times Roman"/>
          <w:b/>
          <w:color w:val="000000"/>
          <w:sz w:val="24"/>
          <w:szCs w:val="24"/>
        </w:rPr>
      </w:pPr>
    </w:p>
    <w:p w14:paraId="2D718E1F" w14:textId="77777777" w:rsidR="003963CA" w:rsidRDefault="003963CA" w:rsidP="003963CA">
      <w:pPr>
        <w:widowControl w:val="0"/>
        <w:autoSpaceDE w:val="0"/>
        <w:autoSpaceDN w:val="0"/>
        <w:adjustRightInd w:val="0"/>
        <w:spacing w:after="0" w:line="240" w:lineRule="auto"/>
        <w:jc w:val="center"/>
        <w:rPr>
          <w:rFonts w:asciiTheme="majorHAnsi" w:hAnsiTheme="majorHAnsi" w:cs="Times Roman"/>
          <w:b/>
          <w:color w:val="000000"/>
          <w:sz w:val="24"/>
          <w:szCs w:val="24"/>
        </w:rPr>
      </w:pPr>
    </w:p>
    <w:p w14:paraId="7865FACC" w14:textId="77777777" w:rsidR="003963CA" w:rsidRDefault="003963CA" w:rsidP="003963CA">
      <w:pPr>
        <w:widowControl w:val="0"/>
        <w:autoSpaceDE w:val="0"/>
        <w:autoSpaceDN w:val="0"/>
        <w:adjustRightInd w:val="0"/>
        <w:spacing w:after="0" w:line="240" w:lineRule="auto"/>
        <w:jc w:val="center"/>
        <w:rPr>
          <w:rFonts w:asciiTheme="majorHAnsi" w:hAnsiTheme="majorHAnsi" w:cs="Times Roman"/>
          <w:b/>
          <w:color w:val="000000"/>
          <w:sz w:val="24"/>
          <w:szCs w:val="24"/>
        </w:rPr>
      </w:pPr>
    </w:p>
    <w:p w14:paraId="7B536582" w14:textId="77777777" w:rsidR="003963CA" w:rsidRDefault="003963CA" w:rsidP="003963CA">
      <w:pPr>
        <w:widowControl w:val="0"/>
        <w:autoSpaceDE w:val="0"/>
        <w:autoSpaceDN w:val="0"/>
        <w:adjustRightInd w:val="0"/>
        <w:spacing w:after="0" w:line="240" w:lineRule="auto"/>
        <w:jc w:val="center"/>
        <w:rPr>
          <w:rFonts w:asciiTheme="majorHAnsi" w:hAnsiTheme="majorHAnsi" w:cs="Times Roman"/>
          <w:b/>
          <w:color w:val="000000"/>
          <w:sz w:val="24"/>
          <w:szCs w:val="24"/>
        </w:rPr>
      </w:pPr>
    </w:p>
    <w:p w14:paraId="496A20BD" w14:textId="77777777" w:rsidR="003963CA" w:rsidRDefault="003963CA" w:rsidP="003963CA">
      <w:pPr>
        <w:widowControl w:val="0"/>
        <w:autoSpaceDE w:val="0"/>
        <w:autoSpaceDN w:val="0"/>
        <w:adjustRightInd w:val="0"/>
        <w:spacing w:after="0" w:line="240" w:lineRule="auto"/>
        <w:jc w:val="center"/>
        <w:rPr>
          <w:rFonts w:asciiTheme="majorHAnsi" w:hAnsiTheme="majorHAnsi" w:cs="Times Roman"/>
          <w:b/>
          <w:color w:val="000000"/>
          <w:sz w:val="24"/>
          <w:szCs w:val="24"/>
        </w:rPr>
      </w:pPr>
    </w:p>
    <w:p w14:paraId="0776DDE3" w14:textId="77777777" w:rsidR="003963CA" w:rsidRDefault="003963CA" w:rsidP="003963CA">
      <w:pPr>
        <w:widowControl w:val="0"/>
        <w:autoSpaceDE w:val="0"/>
        <w:autoSpaceDN w:val="0"/>
        <w:adjustRightInd w:val="0"/>
        <w:spacing w:after="0" w:line="240" w:lineRule="auto"/>
        <w:jc w:val="center"/>
        <w:rPr>
          <w:rFonts w:asciiTheme="majorHAnsi" w:hAnsiTheme="majorHAnsi" w:cs="Times Roman"/>
          <w:b/>
          <w:color w:val="000000"/>
          <w:sz w:val="24"/>
          <w:szCs w:val="24"/>
        </w:rPr>
      </w:pPr>
    </w:p>
    <w:p w14:paraId="762AFE2A" w14:textId="77777777" w:rsidR="003963CA" w:rsidRDefault="003963CA" w:rsidP="003963CA">
      <w:pPr>
        <w:widowControl w:val="0"/>
        <w:autoSpaceDE w:val="0"/>
        <w:autoSpaceDN w:val="0"/>
        <w:adjustRightInd w:val="0"/>
        <w:spacing w:after="0" w:line="240" w:lineRule="auto"/>
        <w:jc w:val="center"/>
        <w:rPr>
          <w:rFonts w:asciiTheme="majorHAnsi" w:hAnsiTheme="majorHAnsi" w:cs="Times Roman"/>
          <w:b/>
          <w:color w:val="000000"/>
          <w:sz w:val="24"/>
          <w:szCs w:val="24"/>
        </w:rPr>
      </w:pPr>
    </w:p>
    <w:p w14:paraId="6A659401" w14:textId="77777777" w:rsidR="003963CA" w:rsidRPr="002076BB" w:rsidRDefault="003963CA" w:rsidP="003963CA">
      <w:pPr>
        <w:pStyle w:val="Heading2"/>
        <w:spacing w:after="120"/>
        <w:rPr>
          <w:szCs w:val="24"/>
        </w:rPr>
      </w:pPr>
      <w:r w:rsidRPr="002076BB">
        <w:rPr>
          <w:szCs w:val="24"/>
        </w:rPr>
        <w:t>Contact Information</w:t>
      </w:r>
    </w:p>
    <w:p w14:paraId="55EBE937" w14:textId="77777777" w:rsidR="003963CA" w:rsidRPr="002076BB" w:rsidRDefault="003963CA" w:rsidP="003963CA">
      <w:pPr>
        <w:spacing w:after="0" w:line="240" w:lineRule="auto"/>
        <w:rPr>
          <w:rFonts w:ascii="Garamond" w:hAnsi="Garamond"/>
          <w:sz w:val="24"/>
          <w:szCs w:val="24"/>
        </w:rPr>
      </w:pPr>
      <w:r w:rsidRPr="002076BB">
        <w:rPr>
          <w:rFonts w:ascii="Garamond" w:hAnsi="Garamond"/>
          <w:sz w:val="24"/>
          <w:szCs w:val="24"/>
        </w:rPr>
        <w:t>Akila Radhakrishnan</w:t>
      </w:r>
    </w:p>
    <w:p w14:paraId="565ED0AD" w14:textId="77777777" w:rsidR="003963CA" w:rsidRPr="002076BB" w:rsidRDefault="003963CA" w:rsidP="003963CA">
      <w:pPr>
        <w:spacing w:after="0" w:line="240" w:lineRule="auto"/>
        <w:rPr>
          <w:rFonts w:ascii="Garamond" w:hAnsi="Garamond"/>
          <w:sz w:val="24"/>
          <w:szCs w:val="24"/>
        </w:rPr>
      </w:pPr>
      <w:r w:rsidRPr="002076BB">
        <w:rPr>
          <w:rFonts w:ascii="Garamond" w:hAnsi="Garamond"/>
          <w:sz w:val="24"/>
          <w:szCs w:val="24"/>
        </w:rPr>
        <w:t>President</w:t>
      </w:r>
    </w:p>
    <w:p w14:paraId="0E7853B1" w14:textId="77777777" w:rsidR="003963CA" w:rsidRPr="002076BB" w:rsidRDefault="003963CA" w:rsidP="003963CA">
      <w:pPr>
        <w:pStyle w:val="CM1"/>
        <w:rPr>
          <w:rFonts w:ascii="Garamond" w:hAnsi="Garamond" w:cs="Helvetica Neue"/>
        </w:rPr>
      </w:pPr>
      <w:r w:rsidRPr="002076BB">
        <w:rPr>
          <w:rFonts w:ascii="Garamond" w:hAnsi="Garamond" w:cs="Helvetica Neue"/>
        </w:rPr>
        <w:t>11 Hanover Square, 6th Floor</w:t>
      </w:r>
    </w:p>
    <w:p w14:paraId="392F74C8" w14:textId="77777777" w:rsidR="003963CA" w:rsidRPr="002076BB" w:rsidRDefault="003963CA" w:rsidP="003963CA">
      <w:pPr>
        <w:pStyle w:val="CM1"/>
        <w:rPr>
          <w:rFonts w:ascii="Garamond" w:hAnsi="Garamond" w:cs="Helvetica Neue"/>
        </w:rPr>
      </w:pPr>
      <w:r w:rsidRPr="002076BB">
        <w:rPr>
          <w:rFonts w:ascii="Garamond" w:hAnsi="Garamond" w:cs="Helvetica Neue"/>
        </w:rPr>
        <w:t xml:space="preserve">New York, NY 10005 </w:t>
      </w:r>
    </w:p>
    <w:p w14:paraId="6CA0016F" w14:textId="77777777" w:rsidR="003963CA" w:rsidRPr="002076BB" w:rsidRDefault="003963CA" w:rsidP="003963CA">
      <w:pPr>
        <w:pStyle w:val="CM1"/>
        <w:rPr>
          <w:rFonts w:ascii="Garamond" w:hAnsi="Garamond" w:cs="Helvetica Neue"/>
        </w:rPr>
      </w:pPr>
      <w:r w:rsidRPr="002076BB">
        <w:rPr>
          <w:rFonts w:ascii="Garamond" w:hAnsi="Garamond" w:cs="Helvetica Neue"/>
        </w:rPr>
        <w:t xml:space="preserve">P 212.725.6530 </w:t>
      </w:r>
      <w:r>
        <w:rPr>
          <w:rFonts w:ascii="Garamond" w:hAnsi="Garamond" w:cs="Helvetica Neue"/>
        </w:rPr>
        <w:t>x 203</w:t>
      </w:r>
    </w:p>
    <w:p w14:paraId="5163E4ED" w14:textId="77777777" w:rsidR="003963CA" w:rsidRPr="002076BB" w:rsidRDefault="003963CA" w:rsidP="003963CA">
      <w:pPr>
        <w:pStyle w:val="CM1"/>
        <w:rPr>
          <w:rFonts w:ascii="Garamond" w:hAnsi="Garamond" w:cs="Helvetica Neue"/>
        </w:rPr>
      </w:pPr>
      <w:r w:rsidRPr="002076BB">
        <w:rPr>
          <w:rFonts w:ascii="Garamond" w:hAnsi="Garamond" w:cs="Helvetica Neue"/>
        </w:rPr>
        <w:t xml:space="preserve">F 212.725.6536 </w:t>
      </w:r>
    </w:p>
    <w:p w14:paraId="00523DA1" w14:textId="77777777" w:rsidR="003963CA" w:rsidRPr="002076BB" w:rsidRDefault="002168AA" w:rsidP="003963CA">
      <w:pPr>
        <w:pStyle w:val="CM1"/>
        <w:rPr>
          <w:rFonts w:ascii="Garamond" w:eastAsia="Cambria" w:hAnsi="Garamond" w:cs="Helvetica Neue"/>
        </w:rPr>
      </w:pPr>
      <w:hyperlink r:id="rId9" w:history="1">
        <w:r w:rsidR="003963CA" w:rsidRPr="002076BB">
          <w:rPr>
            <w:rStyle w:val="Hyperlink"/>
            <w:rFonts w:ascii="Garamond" w:eastAsia="Cambria" w:hAnsi="Garamond" w:cs="Helvetica Neue"/>
          </w:rPr>
          <w:t>www.globaljusticecenter.net</w:t>
        </w:r>
      </w:hyperlink>
    </w:p>
    <w:p w14:paraId="6A347941" w14:textId="4A7225E3" w:rsidR="003963CA" w:rsidRPr="00313AC5" w:rsidRDefault="002168AA" w:rsidP="00313AC5">
      <w:pPr>
        <w:spacing w:after="0" w:line="240" w:lineRule="auto"/>
        <w:rPr>
          <w:rFonts w:ascii="Garamond" w:hAnsi="Garamond"/>
          <w:sz w:val="24"/>
          <w:szCs w:val="24"/>
        </w:rPr>
      </w:pPr>
      <w:hyperlink r:id="rId10" w:history="1">
        <w:r w:rsidR="003963CA" w:rsidRPr="002076BB">
          <w:rPr>
            <w:rStyle w:val="Hyperlink"/>
            <w:rFonts w:ascii="Garamond" w:hAnsi="Garamond"/>
            <w:sz w:val="24"/>
            <w:szCs w:val="24"/>
          </w:rPr>
          <w:t>akila@globaljusticecenter.net</w:t>
        </w:r>
      </w:hyperlink>
      <w:r w:rsidR="003963CA" w:rsidRPr="002076BB">
        <w:rPr>
          <w:rFonts w:ascii="Garamond" w:hAnsi="Garamond"/>
          <w:sz w:val="24"/>
          <w:szCs w:val="24"/>
        </w:rPr>
        <w:t xml:space="preserve"> </w:t>
      </w:r>
      <w:r w:rsidR="003963CA">
        <w:rPr>
          <w:rFonts w:asciiTheme="majorHAnsi" w:hAnsiTheme="majorHAnsi" w:cs="Times Roman"/>
          <w:b/>
          <w:color w:val="000000"/>
          <w:sz w:val="24"/>
          <w:szCs w:val="24"/>
        </w:rPr>
        <w:br w:type="page"/>
      </w:r>
    </w:p>
    <w:p w14:paraId="7A1CA361" w14:textId="77777777" w:rsidR="003963CA" w:rsidRDefault="003963CA" w:rsidP="003963CA">
      <w:pPr>
        <w:widowControl w:val="0"/>
        <w:autoSpaceDE w:val="0"/>
        <w:autoSpaceDN w:val="0"/>
        <w:adjustRightInd w:val="0"/>
        <w:spacing w:after="0" w:line="240" w:lineRule="auto"/>
        <w:rPr>
          <w:rFonts w:asciiTheme="majorHAnsi" w:hAnsiTheme="majorHAnsi" w:cs="Times Roman"/>
          <w:b/>
          <w:color w:val="000000"/>
          <w:sz w:val="24"/>
          <w:szCs w:val="24"/>
        </w:rPr>
      </w:pPr>
      <w:r w:rsidRPr="00B601F3">
        <w:rPr>
          <w:rFonts w:ascii="Garamond" w:hAnsi="Garamond"/>
          <w:noProof/>
          <w:color w:val="333333" w:themeColor="text1"/>
        </w:rPr>
        <w:lastRenderedPageBreak/>
        <w:drawing>
          <wp:anchor distT="0" distB="0" distL="114300" distR="114300" simplePos="0" relativeHeight="251659264" behindDoc="0" locked="0" layoutInCell="1" allowOverlap="1" wp14:anchorId="38F7B0F0" wp14:editId="114BB87D">
            <wp:simplePos x="0" y="0"/>
            <wp:positionH relativeFrom="margin">
              <wp:align>center</wp:align>
            </wp:positionH>
            <wp:positionV relativeFrom="margin">
              <wp:posOffset>-619125</wp:posOffset>
            </wp:positionV>
            <wp:extent cx="2755900" cy="971550"/>
            <wp:effectExtent l="0" t="0" r="6350" b="0"/>
            <wp:wrapSquare wrapText="bothSides"/>
            <wp:docPr id="1" name="Picture 1" descr="Ne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55900" cy="971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7B4A83D" w14:textId="77777777" w:rsidR="003963CA" w:rsidRDefault="003963CA" w:rsidP="003963CA">
      <w:pPr>
        <w:widowControl w:val="0"/>
        <w:autoSpaceDE w:val="0"/>
        <w:autoSpaceDN w:val="0"/>
        <w:adjustRightInd w:val="0"/>
        <w:spacing w:after="0" w:line="240" w:lineRule="auto"/>
        <w:jc w:val="center"/>
        <w:rPr>
          <w:rFonts w:asciiTheme="majorHAnsi" w:hAnsiTheme="majorHAnsi" w:cs="Times Roman"/>
          <w:b/>
          <w:color w:val="000000"/>
          <w:sz w:val="24"/>
          <w:szCs w:val="24"/>
        </w:rPr>
      </w:pPr>
    </w:p>
    <w:p w14:paraId="28A70A7F" w14:textId="77777777" w:rsidR="003963CA" w:rsidRDefault="003963CA" w:rsidP="003963CA">
      <w:pPr>
        <w:widowControl w:val="0"/>
        <w:autoSpaceDE w:val="0"/>
        <w:autoSpaceDN w:val="0"/>
        <w:adjustRightInd w:val="0"/>
        <w:spacing w:after="0" w:line="240" w:lineRule="auto"/>
        <w:rPr>
          <w:rFonts w:asciiTheme="majorHAnsi" w:hAnsiTheme="majorHAnsi" w:cs="Times Roman"/>
          <w:b/>
          <w:color w:val="000000"/>
          <w:sz w:val="24"/>
          <w:szCs w:val="24"/>
        </w:rPr>
      </w:pPr>
    </w:p>
    <w:p w14:paraId="2B4A77EA" w14:textId="578FF408" w:rsidR="003963CA" w:rsidRDefault="003963CA" w:rsidP="003963CA">
      <w:pPr>
        <w:widowControl w:val="0"/>
        <w:autoSpaceDE w:val="0"/>
        <w:autoSpaceDN w:val="0"/>
        <w:adjustRightInd w:val="0"/>
        <w:spacing w:after="0" w:line="240" w:lineRule="auto"/>
        <w:jc w:val="center"/>
        <w:rPr>
          <w:rFonts w:asciiTheme="majorHAnsi" w:hAnsiTheme="majorHAnsi" w:cs="Cambria"/>
          <w:color w:val="000000"/>
          <w:sz w:val="28"/>
          <w:szCs w:val="28"/>
        </w:rPr>
      </w:pPr>
      <w:r w:rsidRPr="002076BB">
        <w:rPr>
          <w:rFonts w:asciiTheme="majorHAnsi" w:hAnsiTheme="majorHAnsi" w:cs="Cambria"/>
          <w:color w:val="000000"/>
          <w:sz w:val="28"/>
          <w:szCs w:val="28"/>
        </w:rPr>
        <w:t xml:space="preserve">Submission to the </w:t>
      </w:r>
      <w:r w:rsidR="00313AC5">
        <w:rPr>
          <w:rFonts w:asciiTheme="majorHAnsi" w:hAnsiTheme="majorHAnsi" w:cs="Cambria"/>
          <w:color w:val="000000"/>
          <w:sz w:val="28"/>
          <w:szCs w:val="28"/>
        </w:rPr>
        <w:t>UN Committee on the Elimination of Discrimination against Women</w:t>
      </w:r>
    </w:p>
    <w:p w14:paraId="62E71450" w14:textId="77777777" w:rsidR="003963CA" w:rsidRPr="002076BB" w:rsidRDefault="003963CA" w:rsidP="003963CA">
      <w:pPr>
        <w:widowControl w:val="0"/>
        <w:autoSpaceDE w:val="0"/>
        <w:autoSpaceDN w:val="0"/>
        <w:adjustRightInd w:val="0"/>
        <w:spacing w:after="0" w:line="240" w:lineRule="auto"/>
        <w:jc w:val="center"/>
        <w:rPr>
          <w:rFonts w:asciiTheme="majorHAnsi" w:hAnsiTheme="majorHAnsi" w:cs="Cambria"/>
          <w:color w:val="000000"/>
          <w:sz w:val="28"/>
          <w:szCs w:val="28"/>
        </w:rPr>
      </w:pPr>
    </w:p>
    <w:p w14:paraId="560325C4" w14:textId="3D7B1B92" w:rsidR="003963CA" w:rsidRPr="005E77FC" w:rsidRDefault="00313AC5" w:rsidP="003963CA">
      <w:pPr>
        <w:spacing w:after="0" w:line="240" w:lineRule="auto"/>
        <w:jc w:val="center"/>
        <w:rPr>
          <w:rFonts w:eastAsia="SimSun"/>
          <w:bCs/>
          <w:i/>
          <w:sz w:val="28"/>
          <w:szCs w:val="28"/>
          <w:lang w:eastAsia="zh-CN"/>
        </w:rPr>
      </w:pPr>
      <w:r>
        <w:rPr>
          <w:rFonts w:eastAsia="SimSun"/>
          <w:bCs/>
          <w:i/>
          <w:sz w:val="28"/>
          <w:szCs w:val="28"/>
          <w:lang w:eastAsia="zh-CN"/>
        </w:rPr>
        <w:t>7</w:t>
      </w:r>
      <w:r w:rsidR="003963CA" w:rsidRPr="005E77FC">
        <w:rPr>
          <w:rFonts w:eastAsia="SimSun"/>
          <w:bCs/>
          <w:i/>
          <w:sz w:val="28"/>
          <w:szCs w:val="28"/>
          <w:lang w:eastAsia="zh-CN"/>
        </w:rPr>
        <w:t>4</w:t>
      </w:r>
      <w:r w:rsidR="003963CA" w:rsidRPr="005E77FC">
        <w:rPr>
          <w:rFonts w:eastAsia="SimSun"/>
          <w:bCs/>
          <w:i/>
          <w:sz w:val="28"/>
          <w:szCs w:val="28"/>
          <w:vertAlign w:val="superscript"/>
          <w:lang w:eastAsia="zh-CN"/>
        </w:rPr>
        <w:t>th</w:t>
      </w:r>
      <w:r w:rsidR="003963CA" w:rsidRPr="005E77FC">
        <w:rPr>
          <w:rFonts w:eastAsia="SimSun"/>
          <w:bCs/>
          <w:i/>
          <w:sz w:val="28"/>
          <w:szCs w:val="28"/>
          <w:lang w:eastAsia="zh-CN"/>
        </w:rPr>
        <w:t xml:space="preserve"> Session</w:t>
      </w:r>
    </w:p>
    <w:p w14:paraId="51CCAED6" w14:textId="77777777" w:rsidR="003963CA" w:rsidRPr="002076BB" w:rsidRDefault="003963CA" w:rsidP="003963CA">
      <w:pPr>
        <w:spacing w:after="0" w:line="240" w:lineRule="auto"/>
        <w:jc w:val="center"/>
        <w:rPr>
          <w:rFonts w:eastAsia="SimSun"/>
          <w:bCs/>
          <w:sz w:val="28"/>
          <w:szCs w:val="28"/>
          <w:lang w:eastAsia="zh-CN"/>
        </w:rPr>
      </w:pPr>
    </w:p>
    <w:p w14:paraId="345C3164" w14:textId="77777777" w:rsidR="003963CA" w:rsidRPr="005E77FC" w:rsidRDefault="003963CA" w:rsidP="003963CA">
      <w:pPr>
        <w:spacing w:after="120" w:line="240" w:lineRule="auto"/>
        <w:jc w:val="center"/>
        <w:rPr>
          <w:rFonts w:eastAsia="SimSun"/>
          <w:b/>
          <w:bCs/>
          <w:sz w:val="28"/>
          <w:szCs w:val="28"/>
          <w:lang w:eastAsia="zh-CN"/>
        </w:rPr>
      </w:pPr>
      <w:r w:rsidRPr="00863E7B">
        <w:rPr>
          <w:rFonts w:eastAsia="SimSun"/>
          <w:b/>
          <w:bCs/>
          <w:sz w:val="28"/>
          <w:szCs w:val="28"/>
          <w:lang w:eastAsia="zh-CN"/>
        </w:rPr>
        <w:t>Iraq</w:t>
      </w:r>
    </w:p>
    <w:p w14:paraId="4FDFA783" w14:textId="77777777" w:rsidR="003963CA" w:rsidRPr="002076BB" w:rsidRDefault="003963CA" w:rsidP="003963CA">
      <w:pPr>
        <w:spacing w:after="0" w:line="240" w:lineRule="auto"/>
        <w:rPr>
          <w:rFonts w:asciiTheme="majorHAnsi" w:hAnsiTheme="majorHAnsi" w:cs="Times Roman"/>
          <w:b/>
          <w:color w:val="000000"/>
          <w:sz w:val="24"/>
          <w:szCs w:val="24"/>
        </w:rPr>
      </w:pPr>
    </w:p>
    <w:p w14:paraId="522A32CB" w14:textId="77777777" w:rsidR="003963CA" w:rsidRPr="00FA3D94" w:rsidRDefault="003963CA" w:rsidP="003963CA">
      <w:pPr>
        <w:pStyle w:val="ListParagraph"/>
        <w:numPr>
          <w:ilvl w:val="0"/>
          <w:numId w:val="5"/>
        </w:numPr>
        <w:spacing w:afterLines="0"/>
        <w:ind w:left="540"/>
        <w:rPr>
          <w:rFonts w:ascii="Garamond" w:hAnsi="Garamond"/>
          <w:b/>
          <w:sz w:val="24"/>
          <w:szCs w:val="24"/>
        </w:rPr>
      </w:pPr>
      <w:r w:rsidRPr="00FA3D94">
        <w:rPr>
          <w:rFonts w:ascii="Garamond" w:hAnsi="Garamond"/>
          <w:b/>
          <w:sz w:val="24"/>
          <w:szCs w:val="24"/>
        </w:rPr>
        <w:t xml:space="preserve">Introduction </w:t>
      </w:r>
    </w:p>
    <w:p w14:paraId="37EB664B" w14:textId="77777777" w:rsidR="003963CA" w:rsidRPr="00FA3D94" w:rsidRDefault="003963CA" w:rsidP="003963CA">
      <w:pPr>
        <w:spacing w:after="0" w:line="240" w:lineRule="auto"/>
        <w:rPr>
          <w:rFonts w:ascii="Garamond" w:hAnsi="Garamond"/>
          <w:sz w:val="24"/>
          <w:szCs w:val="24"/>
        </w:rPr>
      </w:pPr>
    </w:p>
    <w:p w14:paraId="5CC02F33" w14:textId="10BE2D7F" w:rsidR="003963CA" w:rsidRPr="009C3715" w:rsidRDefault="003963CA" w:rsidP="003963CA">
      <w:pPr>
        <w:pStyle w:val="ListParagraph"/>
        <w:numPr>
          <w:ilvl w:val="0"/>
          <w:numId w:val="9"/>
        </w:numPr>
        <w:spacing w:after="120"/>
        <w:rPr>
          <w:rFonts w:ascii="Garamond" w:hAnsi="Garamond"/>
          <w:sz w:val="24"/>
          <w:szCs w:val="24"/>
        </w:rPr>
      </w:pPr>
      <w:r w:rsidRPr="009C3715">
        <w:rPr>
          <w:rFonts w:ascii="Garamond" w:hAnsi="Garamond"/>
          <w:sz w:val="24"/>
          <w:szCs w:val="24"/>
        </w:rPr>
        <w:t xml:space="preserve">In advance of the </w:t>
      </w:r>
      <w:r w:rsidR="00313AC5" w:rsidRPr="00313AC5">
        <w:rPr>
          <w:rFonts w:ascii="Garamond" w:hAnsi="Garamond"/>
          <w:sz w:val="24"/>
          <w:szCs w:val="24"/>
        </w:rPr>
        <w:t>Committee on the Elimination of Discrimination against Women</w:t>
      </w:r>
      <w:r w:rsidRPr="009C3715">
        <w:rPr>
          <w:rFonts w:ascii="Garamond" w:hAnsi="Garamond"/>
          <w:sz w:val="24"/>
          <w:szCs w:val="24"/>
        </w:rPr>
        <w:t>’s</w:t>
      </w:r>
      <w:r w:rsidR="001E410E">
        <w:rPr>
          <w:rFonts w:ascii="Garamond" w:hAnsi="Garamond"/>
          <w:sz w:val="24"/>
          <w:szCs w:val="24"/>
        </w:rPr>
        <w:t xml:space="preserve"> (Committee)</w:t>
      </w:r>
      <w:r w:rsidRPr="009C3715">
        <w:rPr>
          <w:rFonts w:ascii="Garamond" w:hAnsi="Garamond"/>
          <w:sz w:val="24"/>
          <w:szCs w:val="24"/>
        </w:rPr>
        <w:t xml:space="preserve"> forthcoming review of Iraq, it is critical that the </w:t>
      </w:r>
      <w:r w:rsidR="00313AC5">
        <w:rPr>
          <w:rFonts w:ascii="Garamond" w:hAnsi="Garamond"/>
          <w:sz w:val="24"/>
          <w:szCs w:val="24"/>
        </w:rPr>
        <w:t>Commit</w:t>
      </w:r>
      <w:r w:rsidR="001E410E">
        <w:rPr>
          <w:rFonts w:ascii="Garamond" w:hAnsi="Garamond"/>
          <w:sz w:val="24"/>
          <w:szCs w:val="24"/>
        </w:rPr>
        <w:t>t</w:t>
      </w:r>
      <w:r w:rsidR="00313AC5">
        <w:rPr>
          <w:rFonts w:ascii="Garamond" w:hAnsi="Garamond"/>
          <w:sz w:val="24"/>
          <w:szCs w:val="24"/>
        </w:rPr>
        <w:t>ee</w:t>
      </w:r>
      <w:r w:rsidRPr="009C3715">
        <w:rPr>
          <w:rFonts w:ascii="Garamond" w:hAnsi="Garamond"/>
          <w:sz w:val="24"/>
          <w:szCs w:val="24"/>
        </w:rPr>
        <w:t xml:space="preserve"> pay particular attention to the need for fundamental reform of Iraq’s </w:t>
      </w:r>
      <w:r w:rsidR="009C4840">
        <w:rPr>
          <w:rFonts w:ascii="Garamond" w:hAnsi="Garamond"/>
          <w:sz w:val="24"/>
          <w:szCs w:val="24"/>
        </w:rPr>
        <w:t xml:space="preserve">criminal </w:t>
      </w:r>
      <w:r w:rsidRPr="009C3715">
        <w:rPr>
          <w:rFonts w:ascii="Garamond" w:hAnsi="Garamond"/>
          <w:sz w:val="24"/>
          <w:szCs w:val="24"/>
        </w:rPr>
        <w:t xml:space="preserve">legal system in order to achieve justice for Daesh’s victims, and more broadly for the </w:t>
      </w:r>
      <w:r w:rsidR="005473BC">
        <w:rPr>
          <w:rFonts w:ascii="Garamond" w:hAnsi="Garamond"/>
          <w:sz w:val="24"/>
          <w:szCs w:val="24"/>
        </w:rPr>
        <w:t>women and girls</w:t>
      </w:r>
      <w:r w:rsidRPr="009C3715">
        <w:rPr>
          <w:rFonts w:ascii="Garamond" w:hAnsi="Garamond"/>
          <w:sz w:val="24"/>
          <w:szCs w:val="24"/>
        </w:rPr>
        <w:t xml:space="preserve"> of Iraq. As currently codified, Iraq’s criminal laws do not punish the most egregious aspects of Daesh’s sexual and gender-based violence. If prosecuted under these laws, basic features of Daesh’s crimes will go unpunished, such as rape with objects, forced marriage, and gender-motivated torture, as well as the international atrocity crimes of genocide, crimes against humanity, and war crimes. </w:t>
      </w:r>
    </w:p>
    <w:p w14:paraId="53DF9D34" w14:textId="77777777" w:rsidR="003963CA" w:rsidRPr="00FA3D94" w:rsidRDefault="003963CA" w:rsidP="003963CA">
      <w:pPr>
        <w:spacing w:after="0" w:line="240" w:lineRule="auto"/>
        <w:rPr>
          <w:rFonts w:ascii="Garamond" w:hAnsi="Garamond"/>
          <w:b/>
          <w:sz w:val="24"/>
          <w:szCs w:val="24"/>
        </w:rPr>
      </w:pPr>
    </w:p>
    <w:p w14:paraId="449EC063" w14:textId="2F995A47" w:rsidR="003963CA" w:rsidRPr="0010274A" w:rsidRDefault="003963CA" w:rsidP="003963CA">
      <w:pPr>
        <w:pStyle w:val="ListParagraph"/>
        <w:numPr>
          <w:ilvl w:val="0"/>
          <w:numId w:val="9"/>
        </w:numPr>
        <w:spacing w:after="120"/>
        <w:rPr>
          <w:rFonts w:ascii="Garamond" w:hAnsi="Garamond"/>
          <w:sz w:val="24"/>
          <w:szCs w:val="24"/>
        </w:rPr>
      </w:pPr>
      <w:r w:rsidRPr="009C3715">
        <w:rPr>
          <w:rFonts w:ascii="Garamond" w:hAnsi="Garamond"/>
          <w:sz w:val="24"/>
          <w:szCs w:val="24"/>
        </w:rPr>
        <w:t xml:space="preserve">In the last </w:t>
      </w:r>
      <w:r w:rsidR="00313AC5">
        <w:rPr>
          <w:rFonts w:ascii="Garamond" w:hAnsi="Garamond"/>
          <w:sz w:val="24"/>
          <w:szCs w:val="24"/>
        </w:rPr>
        <w:t>review</w:t>
      </w:r>
      <w:r w:rsidRPr="009C3715">
        <w:rPr>
          <w:rFonts w:ascii="Garamond" w:hAnsi="Garamond"/>
          <w:sz w:val="24"/>
          <w:szCs w:val="24"/>
        </w:rPr>
        <w:t xml:space="preserve"> cycle for Iraq, multiple recommendations were made by the </w:t>
      </w:r>
      <w:r w:rsidR="001E410E">
        <w:rPr>
          <w:rFonts w:ascii="Garamond" w:hAnsi="Garamond"/>
          <w:sz w:val="24"/>
          <w:szCs w:val="24"/>
        </w:rPr>
        <w:t>Committee</w:t>
      </w:r>
      <w:r w:rsidRPr="009C3715">
        <w:rPr>
          <w:rFonts w:ascii="Garamond" w:hAnsi="Garamond"/>
          <w:sz w:val="24"/>
          <w:szCs w:val="24"/>
        </w:rPr>
        <w:t xml:space="preserve"> with respect to </w:t>
      </w:r>
      <w:r w:rsidR="0027008D">
        <w:rPr>
          <w:rFonts w:ascii="Garamond" w:hAnsi="Garamond"/>
          <w:sz w:val="24"/>
          <w:szCs w:val="24"/>
        </w:rPr>
        <w:t>the need “to systematically and continuously implement the provisions of the Convention,”</w:t>
      </w:r>
      <w:r w:rsidR="00F77B13">
        <w:rPr>
          <w:rStyle w:val="EndnoteReference"/>
          <w:rFonts w:ascii="Garamond" w:hAnsi="Garamond"/>
          <w:sz w:val="24"/>
          <w:szCs w:val="24"/>
        </w:rPr>
        <w:endnoteReference w:id="1"/>
      </w:r>
      <w:r w:rsidR="0027008D">
        <w:rPr>
          <w:rFonts w:ascii="Garamond" w:hAnsi="Garamond"/>
          <w:sz w:val="24"/>
          <w:szCs w:val="24"/>
        </w:rPr>
        <w:t xml:space="preserve"> and “[r]epeal all discriminatory </w:t>
      </w:r>
      <w:r w:rsidR="00F77B13">
        <w:rPr>
          <w:rFonts w:ascii="Garamond" w:hAnsi="Garamond"/>
          <w:sz w:val="24"/>
          <w:szCs w:val="24"/>
        </w:rPr>
        <w:t>provisions against women contained in the Penal Code, the Code of Criminal Procedure and other legislation, regulations and directives and take measures aimed at creating a non-discriminatory legislative and de facto environment for women as previously recommended by the Committee.”</w:t>
      </w:r>
      <w:r w:rsidR="00F77B13">
        <w:rPr>
          <w:rStyle w:val="EndnoteReference"/>
          <w:rFonts w:ascii="Garamond" w:hAnsi="Garamond"/>
          <w:sz w:val="24"/>
          <w:szCs w:val="24"/>
        </w:rPr>
        <w:endnoteReference w:id="2"/>
      </w:r>
      <w:r>
        <w:rPr>
          <w:rFonts w:ascii="Garamond" w:hAnsi="Garamond"/>
          <w:sz w:val="24"/>
          <w:szCs w:val="24"/>
        </w:rPr>
        <w:t xml:space="preserve"> </w:t>
      </w:r>
      <w:r w:rsidR="005473BC">
        <w:rPr>
          <w:rFonts w:ascii="Garamond" w:hAnsi="Garamond"/>
          <w:sz w:val="24"/>
          <w:szCs w:val="24"/>
        </w:rPr>
        <w:t xml:space="preserve">As this </w:t>
      </w:r>
      <w:r w:rsidR="008B7001">
        <w:rPr>
          <w:rFonts w:ascii="Garamond" w:hAnsi="Garamond"/>
          <w:sz w:val="24"/>
          <w:szCs w:val="24"/>
        </w:rPr>
        <w:t>submission</w:t>
      </w:r>
      <w:r w:rsidR="005473BC">
        <w:rPr>
          <w:rFonts w:ascii="Garamond" w:hAnsi="Garamond"/>
          <w:sz w:val="24"/>
          <w:szCs w:val="24"/>
        </w:rPr>
        <w:t xml:space="preserve"> displays, </w:t>
      </w:r>
      <w:r w:rsidRPr="0010274A">
        <w:rPr>
          <w:rFonts w:ascii="Garamond" w:hAnsi="Garamond"/>
          <w:sz w:val="24"/>
          <w:szCs w:val="24"/>
        </w:rPr>
        <w:t xml:space="preserve">Iraq has failed to take </w:t>
      </w:r>
      <w:r w:rsidR="009C4840">
        <w:rPr>
          <w:rFonts w:ascii="Garamond" w:hAnsi="Garamond"/>
          <w:sz w:val="24"/>
          <w:szCs w:val="24"/>
        </w:rPr>
        <w:t>sufficient</w:t>
      </w:r>
      <w:r w:rsidRPr="0010274A">
        <w:rPr>
          <w:rFonts w:ascii="Garamond" w:hAnsi="Garamond"/>
          <w:sz w:val="24"/>
          <w:szCs w:val="24"/>
        </w:rPr>
        <w:t xml:space="preserve"> action on these recommendations.</w:t>
      </w:r>
    </w:p>
    <w:p w14:paraId="19477068" w14:textId="77777777" w:rsidR="003963CA" w:rsidRPr="00FA3D94" w:rsidRDefault="003963CA" w:rsidP="003963CA">
      <w:pPr>
        <w:spacing w:after="0" w:line="240" w:lineRule="auto"/>
        <w:rPr>
          <w:rFonts w:ascii="Garamond" w:hAnsi="Garamond"/>
          <w:sz w:val="24"/>
          <w:szCs w:val="24"/>
        </w:rPr>
      </w:pPr>
    </w:p>
    <w:p w14:paraId="7575F937" w14:textId="77777777" w:rsidR="00957BE4" w:rsidRDefault="003963CA" w:rsidP="00957BE4">
      <w:pPr>
        <w:pStyle w:val="ListParagraph"/>
        <w:numPr>
          <w:ilvl w:val="0"/>
          <w:numId w:val="9"/>
        </w:numPr>
        <w:spacing w:after="120"/>
        <w:rPr>
          <w:rFonts w:ascii="Garamond" w:hAnsi="Garamond"/>
          <w:sz w:val="24"/>
          <w:szCs w:val="24"/>
        </w:rPr>
      </w:pPr>
      <w:r w:rsidRPr="009C3715">
        <w:rPr>
          <w:rFonts w:ascii="Garamond" w:hAnsi="Garamond"/>
          <w:sz w:val="24"/>
          <w:szCs w:val="24"/>
        </w:rPr>
        <w:t xml:space="preserve">This submission highlights </w:t>
      </w:r>
      <w:proofErr w:type="gramStart"/>
      <w:r w:rsidRPr="009C3715">
        <w:rPr>
          <w:rFonts w:ascii="Garamond" w:hAnsi="Garamond"/>
          <w:sz w:val="24"/>
          <w:szCs w:val="24"/>
        </w:rPr>
        <w:t>a number of</w:t>
      </w:r>
      <w:proofErr w:type="gramEnd"/>
      <w:r w:rsidRPr="009C3715">
        <w:rPr>
          <w:rFonts w:ascii="Garamond" w:hAnsi="Garamond"/>
          <w:sz w:val="24"/>
          <w:szCs w:val="24"/>
        </w:rPr>
        <w:t xml:space="preserve"> concerns over Iraq’s criminal laws as violations of Iraq’s obligations under the Convention on the Elimination of all Forms of Discrimination against Women (CEDAW)</w:t>
      </w:r>
      <w:r w:rsidR="00025DE3">
        <w:rPr>
          <w:rFonts w:ascii="Garamond" w:hAnsi="Garamond"/>
          <w:sz w:val="24"/>
          <w:szCs w:val="24"/>
        </w:rPr>
        <w:t>, specifically Article</w:t>
      </w:r>
      <w:r w:rsidR="00FF4605">
        <w:rPr>
          <w:rFonts w:ascii="Garamond" w:hAnsi="Garamond"/>
          <w:sz w:val="24"/>
          <w:szCs w:val="24"/>
        </w:rPr>
        <w:t>s</w:t>
      </w:r>
      <w:r w:rsidR="00025DE3">
        <w:rPr>
          <w:rFonts w:ascii="Garamond" w:hAnsi="Garamond"/>
          <w:sz w:val="24"/>
          <w:szCs w:val="24"/>
        </w:rPr>
        <w:t xml:space="preserve"> 2</w:t>
      </w:r>
      <w:r w:rsidR="00FF4605">
        <w:rPr>
          <w:rFonts w:ascii="Garamond" w:hAnsi="Garamond"/>
          <w:sz w:val="24"/>
          <w:szCs w:val="24"/>
        </w:rPr>
        <w:t xml:space="preserve"> and 15 and General Recommendation</w:t>
      </w:r>
      <w:r w:rsidR="00957BE4">
        <w:rPr>
          <w:rFonts w:ascii="Garamond" w:hAnsi="Garamond"/>
          <w:sz w:val="24"/>
          <w:szCs w:val="24"/>
        </w:rPr>
        <w:t>s 28 and</w:t>
      </w:r>
      <w:r w:rsidR="00FF4605">
        <w:rPr>
          <w:rFonts w:ascii="Garamond" w:hAnsi="Garamond"/>
          <w:sz w:val="24"/>
          <w:szCs w:val="24"/>
        </w:rPr>
        <w:t xml:space="preserve"> 33. </w:t>
      </w:r>
    </w:p>
    <w:p w14:paraId="49E6AF5C" w14:textId="77777777" w:rsidR="00957BE4" w:rsidRPr="00A8786F" w:rsidRDefault="00957BE4" w:rsidP="00957BE4">
      <w:pPr>
        <w:pStyle w:val="ListParagraph"/>
        <w:spacing w:after="120"/>
        <w:rPr>
          <w:rFonts w:ascii="Garamond" w:hAnsi="Garamond"/>
          <w:color w:val="auto"/>
          <w:sz w:val="24"/>
          <w:szCs w:val="24"/>
        </w:rPr>
      </w:pPr>
    </w:p>
    <w:p w14:paraId="4588EE2F" w14:textId="097EA1DE" w:rsidR="00957BE4" w:rsidRPr="00A8786F" w:rsidRDefault="00FF4605" w:rsidP="00957BE4">
      <w:pPr>
        <w:pStyle w:val="ListParagraph"/>
        <w:numPr>
          <w:ilvl w:val="0"/>
          <w:numId w:val="9"/>
        </w:numPr>
        <w:spacing w:after="120"/>
        <w:rPr>
          <w:rFonts w:ascii="Garamond" w:hAnsi="Garamond"/>
          <w:color w:val="auto"/>
          <w:sz w:val="24"/>
          <w:szCs w:val="24"/>
        </w:rPr>
      </w:pPr>
      <w:r w:rsidRPr="00A8786F">
        <w:rPr>
          <w:rFonts w:ascii="Garamond" w:hAnsi="Garamond"/>
          <w:color w:val="auto"/>
          <w:sz w:val="24"/>
          <w:szCs w:val="24"/>
        </w:rPr>
        <w:t>Article 2</w:t>
      </w:r>
      <w:r w:rsidR="008B7001" w:rsidRPr="00A8786F">
        <w:rPr>
          <w:rFonts w:ascii="Garamond" w:hAnsi="Garamond"/>
          <w:color w:val="auto"/>
          <w:sz w:val="24"/>
          <w:szCs w:val="24"/>
        </w:rPr>
        <w:t>(f)</w:t>
      </w:r>
      <w:r w:rsidRPr="00A8786F">
        <w:rPr>
          <w:rFonts w:ascii="Garamond" w:hAnsi="Garamond"/>
          <w:color w:val="auto"/>
          <w:sz w:val="24"/>
          <w:szCs w:val="24"/>
        </w:rPr>
        <w:t xml:space="preserve"> requires all states parties</w:t>
      </w:r>
      <w:r w:rsidR="00025DE3" w:rsidRPr="00A8786F">
        <w:rPr>
          <w:rFonts w:ascii="Garamond" w:hAnsi="Garamond"/>
          <w:color w:val="auto"/>
          <w:sz w:val="24"/>
          <w:szCs w:val="24"/>
        </w:rPr>
        <w:t xml:space="preserve"> “[t]o take all appropriate measures, including legislation, to modify or abolish existing laws, regulations, customs and practices which constitute discrimination against women”</w:t>
      </w:r>
      <w:r w:rsidR="00957BE4" w:rsidRPr="00A8786F">
        <w:rPr>
          <w:rFonts w:ascii="Garamond" w:hAnsi="Garamond"/>
          <w:color w:val="auto"/>
          <w:sz w:val="24"/>
          <w:szCs w:val="24"/>
        </w:rPr>
        <w:t xml:space="preserve">. </w:t>
      </w:r>
      <w:r w:rsidR="008B7001" w:rsidRPr="00A8786F">
        <w:rPr>
          <w:rFonts w:ascii="Garamond" w:hAnsi="Garamond"/>
          <w:color w:val="auto"/>
          <w:sz w:val="24"/>
          <w:szCs w:val="24"/>
        </w:rPr>
        <w:t>As</w:t>
      </w:r>
      <w:r w:rsidR="00A8786F">
        <w:rPr>
          <w:rFonts w:ascii="Garamond" w:hAnsi="Garamond"/>
          <w:color w:val="auto"/>
          <w:sz w:val="24"/>
          <w:szCs w:val="24"/>
        </w:rPr>
        <w:t xml:space="preserve"> </w:t>
      </w:r>
      <w:r w:rsidR="008B7001" w:rsidRPr="00A8786F">
        <w:rPr>
          <w:rFonts w:ascii="Garamond" w:hAnsi="Garamond"/>
          <w:color w:val="auto"/>
          <w:sz w:val="24"/>
          <w:szCs w:val="24"/>
        </w:rPr>
        <w:t xml:space="preserve">described below, multiple provisions and gaps in Iraq’s criminal legal system continue to discriminate against women in their wording, application and effect. </w:t>
      </w:r>
    </w:p>
    <w:p w14:paraId="312662EF" w14:textId="77777777" w:rsidR="00957BE4" w:rsidRPr="007B372F" w:rsidRDefault="00957BE4" w:rsidP="00957BE4">
      <w:pPr>
        <w:pStyle w:val="ListParagraph"/>
        <w:spacing w:after="120"/>
        <w:rPr>
          <w:rFonts w:ascii="Garamond" w:hAnsi="Garamond"/>
          <w:sz w:val="24"/>
          <w:szCs w:val="24"/>
          <w:highlight w:val="yellow"/>
        </w:rPr>
      </w:pPr>
    </w:p>
    <w:p w14:paraId="36CB520F" w14:textId="03A7A6AA" w:rsidR="00957BE4" w:rsidRPr="008B7001" w:rsidRDefault="00957BE4" w:rsidP="00957BE4">
      <w:pPr>
        <w:pStyle w:val="NormalWeb"/>
        <w:numPr>
          <w:ilvl w:val="0"/>
          <w:numId w:val="9"/>
        </w:numPr>
        <w:shd w:val="clear" w:color="auto" w:fill="FFFFFF"/>
        <w:spacing w:before="0" w:beforeAutospacing="0" w:after="0" w:afterAutospacing="0"/>
        <w:rPr>
          <w:rFonts w:ascii="Garamond" w:hAnsi="Garamond"/>
        </w:rPr>
      </w:pPr>
      <w:r w:rsidRPr="008B7001">
        <w:rPr>
          <w:rFonts w:ascii="Garamond" w:hAnsi="Garamond"/>
        </w:rPr>
        <w:t xml:space="preserve">Problematically, Iraq has </w:t>
      </w:r>
      <w:r w:rsidR="008B7001" w:rsidRPr="008B7001">
        <w:rPr>
          <w:rFonts w:ascii="Garamond" w:hAnsi="Garamond"/>
        </w:rPr>
        <w:t>reserved</w:t>
      </w:r>
      <w:commentRangeStart w:id="0"/>
      <w:commentRangeEnd w:id="0"/>
      <w:r w:rsidRPr="008B7001">
        <w:rPr>
          <w:rFonts w:ascii="Garamond" w:hAnsi="Garamond"/>
        </w:rPr>
        <w:t xml:space="preserve"> to CEDAW’s Article 2(f) and (g), which read, “</w:t>
      </w:r>
      <w:r w:rsidRPr="008B7001">
        <w:rPr>
          <w:rFonts w:ascii="Garamond" w:hAnsi="Garamond"/>
          <w:color w:val="000000"/>
          <w:shd w:val="clear" w:color="auto" w:fill="FFFFFF"/>
        </w:rPr>
        <w:t>States Parties condemn discrimination against women in all its forms, agree to pursue by all appropriate means and without delay a policy of eliminating discrimination against women and, to this end, undertake:</w:t>
      </w:r>
      <w:r w:rsidRPr="008B7001">
        <w:rPr>
          <w:rFonts w:ascii="Garamond" w:hAnsi="Garamond"/>
          <w:color w:val="000000"/>
        </w:rPr>
        <w:t xml:space="preserve"> … (f) To take all appropriate measures, including legislation, to </w:t>
      </w:r>
      <w:r w:rsidRPr="008B7001">
        <w:rPr>
          <w:rFonts w:ascii="Garamond" w:hAnsi="Garamond"/>
          <w:color w:val="000000"/>
        </w:rPr>
        <w:lastRenderedPageBreak/>
        <w:t>modify or abolish existing laws, regulations, customs and practices which constitute discrimination against women; (g) To repeal all national penal provisions which constitute discrimination against women.”</w:t>
      </w:r>
      <w:r w:rsidRPr="008B7001">
        <w:rPr>
          <w:rStyle w:val="EndnoteReference"/>
          <w:rFonts w:ascii="Garamond" w:hAnsi="Garamond"/>
          <w:color w:val="000000"/>
        </w:rPr>
        <w:endnoteReference w:id="3"/>
      </w:r>
      <w:r w:rsidRPr="008B7001">
        <w:rPr>
          <w:rFonts w:ascii="Garamond" w:hAnsi="Garamond"/>
          <w:color w:val="000000"/>
        </w:rPr>
        <w:t xml:space="preserve"> The CEDAW Committee has held Article 2 to be “central </w:t>
      </w:r>
      <w:r w:rsidRPr="008B7001">
        <w:rPr>
          <w:rFonts w:ascii="Garamond" w:hAnsi="Garamond"/>
        </w:rPr>
        <w:t>to the object and purpose of the Convention.”</w:t>
      </w:r>
      <w:r w:rsidRPr="008B7001">
        <w:rPr>
          <w:rStyle w:val="EndnoteReference"/>
          <w:rFonts w:ascii="Garamond" w:hAnsi="Garamond"/>
        </w:rPr>
        <w:endnoteReference w:id="4"/>
      </w:r>
      <w:r w:rsidRPr="008B7001">
        <w:rPr>
          <w:rFonts w:ascii="Garamond" w:hAnsi="Garamond"/>
        </w:rPr>
        <w:t xml:space="preserve"> Iraq’s reservation to Article 2 is therefore at odds with CEDAW’s object and purpose, rendering it invalid.</w:t>
      </w:r>
      <w:r w:rsidRPr="008B7001">
        <w:rPr>
          <w:rStyle w:val="EndnoteReference"/>
          <w:rFonts w:ascii="Garamond" w:hAnsi="Garamond"/>
        </w:rPr>
        <w:endnoteReference w:id="5"/>
      </w:r>
      <w:r w:rsidRPr="008B7001">
        <w:rPr>
          <w:rFonts w:ascii="Garamond" w:hAnsi="Garamond"/>
        </w:rPr>
        <w:t xml:space="preserve"> As the Committee stated in their List of issues in March of this year, Iraq should review its remaining reservations “with a view to withdrawing them.”</w:t>
      </w:r>
      <w:r w:rsidRPr="008B7001">
        <w:rPr>
          <w:rStyle w:val="EndnoteReference"/>
          <w:rFonts w:ascii="Garamond" w:hAnsi="Garamond"/>
        </w:rPr>
        <w:endnoteReference w:id="6"/>
      </w:r>
    </w:p>
    <w:p w14:paraId="3117D61A" w14:textId="77777777" w:rsidR="00957BE4" w:rsidRPr="007B372F" w:rsidRDefault="00957BE4" w:rsidP="00957BE4">
      <w:pPr>
        <w:pStyle w:val="ListParagraph"/>
        <w:spacing w:after="120"/>
        <w:rPr>
          <w:rFonts w:ascii="Garamond" w:hAnsi="Garamond"/>
          <w:sz w:val="24"/>
          <w:szCs w:val="24"/>
          <w:highlight w:val="yellow"/>
        </w:rPr>
      </w:pPr>
    </w:p>
    <w:p w14:paraId="06B11F61" w14:textId="24850EF2" w:rsidR="00957BE4" w:rsidRPr="00A8786F" w:rsidRDefault="00FF4605" w:rsidP="00957BE4">
      <w:pPr>
        <w:pStyle w:val="ListParagraph"/>
        <w:numPr>
          <w:ilvl w:val="0"/>
          <w:numId w:val="9"/>
        </w:numPr>
        <w:spacing w:after="120"/>
        <w:rPr>
          <w:rFonts w:ascii="Garamond" w:hAnsi="Garamond"/>
          <w:color w:val="auto"/>
          <w:sz w:val="24"/>
          <w:szCs w:val="24"/>
        </w:rPr>
      </w:pPr>
      <w:r w:rsidRPr="00A8786F">
        <w:rPr>
          <w:rFonts w:ascii="Garamond" w:hAnsi="Garamond"/>
          <w:color w:val="auto"/>
          <w:sz w:val="24"/>
          <w:szCs w:val="24"/>
        </w:rPr>
        <w:t>Article 15 provides that wome</w:t>
      </w:r>
      <w:r w:rsidR="00957BE4" w:rsidRPr="00A8786F">
        <w:rPr>
          <w:rFonts w:ascii="Garamond" w:hAnsi="Garamond"/>
          <w:color w:val="auto"/>
          <w:sz w:val="24"/>
          <w:szCs w:val="24"/>
        </w:rPr>
        <w:t>n and men must and benefit from equal protection of the law.</w:t>
      </w:r>
      <w:r w:rsidRPr="00A8786F">
        <w:rPr>
          <w:rFonts w:ascii="Garamond" w:hAnsi="Garamond"/>
          <w:color w:val="auto"/>
          <w:sz w:val="24"/>
          <w:szCs w:val="24"/>
        </w:rPr>
        <w:t xml:space="preserve"> </w:t>
      </w:r>
      <w:r w:rsidR="008B7001" w:rsidRPr="00A8786F">
        <w:rPr>
          <w:rFonts w:ascii="Garamond" w:hAnsi="Garamond"/>
          <w:color w:val="auto"/>
          <w:sz w:val="24"/>
          <w:szCs w:val="24"/>
        </w:rPr>
        <w:t>As described below, Iraq’s current criminal legal system denies women equal protection of the law by failing to reflect the full scope of sexual and gender-based violence experienced by women in general and specifically by survivors of Daesh’s atrocities. The criminal legal system also places patriarchal and discriminatory procedu</w:t>
      </w:r>
      <w:r w:rsidR="00A8786F">
        <w:rPr>
          <w:rFonts w:ascii="Garamond" w:hAnsi="Garamond"/>
          <w:color w:val="auto"/>
          <w:sz w:val="24"/>
          <w:szCs w:val="24"/>
        </w:rPr>
        <w:t>ral</w:t>
      </w:r>
      <w:r w:rsidR="008B7001" w:rsidRPr="00A8786F">
        <w:rPr>
          <w:rFonts w:ascii="Garamond" w:hAnsi="Garamond"/>
          <w:color w:val="auto"/>
          <w:sz w:val="24"/>
          <w:szCs w:val="24"/>
        </w:rPr>
        <w:t xml:space="preserve"> obstacles on women’s full equal protection of the law.  </w:t>
      </w:r>
    </w:p>
    <w:p w14:paraId="540D796B" w14:textId="77777777" w:rsidR="00957BE4" w:rsidRPr="007B372F" w:rsidRDefault="00957BE4" w:rsidP="00957BE4">
      <w:pPr>
        <w:pStyle w:val="ListParagraph"/>
        <w:spacing w:after="120"/>
        <w:rPr>
          <w:rFonts w:ascii="Garamond" w:hAnsi="Garamond"/>
          <w:sz w:val="24"/>
          <w:szCs w:val="24"/>
          <w:highlight w:val="yellow"/>
        </w:rPr>
      </w:pPr>
    </w:p>
    <w:p w14:paraId="36F7A6B1" w14:textId="6DBB3F11" w:rsidR="00957BE4" w:rsidRPr="008B7001" w:rsidRDefault="00957BE4" w:rsidP="00957BE4">
      <w:pPr>
        <w:pStyle w:val="NormalWeb"/>
        <w:numPr>
          <w:ilvl w:val="0"/>
          <w:numId w:val="9"/>
        </w:numPr>
        <w:shd w:val="clear" w:color="auto" w:fill="FFFFFF"/>
        <w:spacing w:before="0" w:beforeAutospacing="0" w:after="0" w:afterAutospacing="0"/>
        <w:rPr>
          <w:rFonts w:ascii="Garamond" w:hAnsi="Garamond"/>
        </w:rPr>
      </w:pPr>
      <w:r w:rsidRPr="008B7001">
        <w:rPr>
          <w:rFonts w:ascii="Garamond" w:hAnsi="Garamond"/>
        </w:rPr>
        <w:t>General Recommendation 28 makes clear that, “States parties have the obligation to ensure that all rights enshrined in the Convention are fully respected at the national level.”</w:t>
      </w:r>
      <w:r w:rsidR="008B7001">
        <w:rPr>
          <w:rFonts w:ascii="Garamond" w:hAnsi="Garamond"/>
        </w:rPr>
        <w:t xml:space="preserve"> As described below, Iraq’s current criminal legal system denies women the right to be free from discrimination </w:t>
      </w:r>
      <w:r w:rsidR="000707D0">
        <w:rPr>
          <w:rFonts w:ascii="Garamond" w:hAnsi="Garamond"/>
        </w:rPr>
        <w:t>and sexual and gender-based violence.</w:t>
      </w:r>
    </w:p>
    <w:p w14:paraId="72D6229E" w14:textId="71A08ABF" w:rsidR="00957BE4" w:rsidRPr="007B372F" w:rsidRDefault="00957BE4" w:rsidP="00957BE4">
      <w:pPr>
        <w:pStyle w:val="ListParagraph"/>
        <w:spacing w:after="120"/>
        <w:rPr>
          <w:rFonts w:ascii="Garamond" w:hAnsi="Garamond"/>
          <w:sz w:val="24"/>
          <w:szCs w:val="24"/>
          <w:highlight w:val="yellow"/>
        </w:rPr>
      </w:pPr>
    </w:p>
    <w:p w14:paraId="1BFAEB48" w14:textId="77777777" w:rsidR="00957BE4" w:rsidRPr="007B372F" w:rsidRDefault="00957BE4" w:rsidP="00957BE4">
      <w:pPr>
        <w:pStyle w:val="ListParagraph"/>
        <w:spacing w:after="120"/>
        <w:rPr>
          <w:rFonts w:ascii="Garamond" w:hAnsi="Garamond"/>
          <w:sz w:val="24"/>
          <w:szCs w:val="24"/>
          <w:highlight w:val="yellow"/>
        </w:rPr>
      </w:pPr>
    </w:p>
    <w:p w14:paraId="3BFAF59B" w14:textId="7FBEF2A4" w:rsidR="00FF4605" w:rsidRPr="00A8786F" w:rsidRDefault="00957BE4" w:rsidP="00957BE4">
      <w:pPr>
        <w:pStyle w:val="ListParagraph"/>
        <w:numPr>
          <w:ilvl w:val="0"/>
          <w:numId w:val="9"/>
        </w:numPr>
        <w:spacing w:after="120"/>
        <w:rPr>
          <w:rFonts w:ascii="Garamond" w:hAnsi="Garamond"/>
          <w:color w:val="auto"/>
          <w:sz w:val="24"/>
          <w:szCs w:val="24"/>
        </w:rPr>
      </w:pPr>
      <w:r w:rsidRPr="00A8786F">
        <w:rPr>
          <w:rFonts w:ascii="Garamond" w:hAnsi="Garamond"/>
          <w:color w:val="auto"/>
          <w:sz w:val="24"/>
          <w:szCs w:val="24"/>
        </w:rPr>
        <w:t xml:space="preserve">General Recommendation 33 recognizes that the right to access to justice for women “is essential to all the rights” under CEDAW. </w:t>
      </w:r>
      <w:r w:rsidR="000707D0" w:rsidRPr="00A8786F">
        <w:rPr>
          <w:rFonts w:ascii="Garamond" w:hAnsi="Garamond"/>
          <w:color w:val="auto"/>
          <w:sz w:val="24"/>
          <w:szCs w:val="24"/>
        </w:rPr>
        <w:t xml:space="preserve">As described below, Iraq’s current criminal legal system denies women’s access to justice and thereby hinders their enjoyment of all rights under CEDAW by failing to reflect the full scope of violence committed against them, imposing discriminatory procedure and evidential requirements, and proliferating gender stereotypes. </w:t>
      </w:r>
    </w:p>
    <w:p w14:paraId="45505499" w14:textId="77777777" w:rsidR="003963CA" w:rsidRPr="007B372F" w:rsidRDefault="003963CA" w:rsidP="003963CA">
      <w:pPr>
        <w:spacing w:after="0" w:line="240" w:lineRule="auto"/>
        <w:rPr>
          <w:rFonts w:ascii="Garamond" w:hAnsi="Garamond"/>
          <w:sz w:val="24"/>
          <w:szCs w:val="24"/>
          <w:highlight w:val="yellow"/>
        </w:rPr>
      </w:pPr>
    </w:p>
    <w:p w14:paraId="72BA0BBC" w14:textId="11AA6940" w:rsidR="00AE2E89" w:rsidRPr="00A8786F" w:rsidRDefault="003963CA" w:rsidP="003963CA">
      <w:pPr>
        <w:pStyle w:val="ListParagraph"/>
        <w:numPr>
          <w:ilvl w:val="0"/>
          <w:numId w:val="9"/>
        </w:numPr>
        <w:spacing w:after="120"/>
        <w:rPr>
          <w:rFonts w:ascii="Garamond" w:hAnsi="Garamond"/>
          <w:color w:val="auto"/>
          <w:sz w:val="24"/>
          <w:szCs w:val="24"/>
        </w:rPr>
      </w:pPr>
      <w:r w:rsidRPr="00A8786F">
        <w:rPr>
          <w:rFonts w:ascii="Garamond" w:hAnsi="Garamond"/>
          <w:color w:val="auto"/>
          <w:sz w:val="24"/>
          <w:szCs w:val="24"/>
        </w:rPr>
        <w:t>Specific examples where legal reform is needed include amending provisions regarding rape, forced marriage, torture, as well as domesticating the international crimes of genocide, crimes against humanity, and war crimes in line with international standards. The definitions of these crimes leave out various forms of violence against women that are protected under</w:t>
      </w:r>
      <w:r w:rsidR="00A13218" w:rsidRPr="00A8786F">
        <w:rPr>
          <w:rFonts w:ascii="Garamond" w:hAnsi="Garamond"/>
          <w:color w:val="auto"/>
          <w:sz w:val="24"/>
          <w:szCs w:val="24"/>
        </w:rPr>
        <w:t xml:space="preserve"> </w:t>
      </w:r>
      <w:r w:rsidR="00433321" w:rsidRPr="00A8786F">
        <w:rPr>
          <w:rFonts w:ascii="Garamond" w:hAnsi="Garamond"/>
          <w:color w:val="auto"/>
          <w:sz w:val="24"/>
          <w:szCs w:val="24"/>
        </w:rPr>
        <w:t xml:space="preserve">CEDAW, </w:t>
      </w:r>
      <w:r w:rsidR="00025CAB" w:rsidRPr="00A8786F">
        <w:rPr>
          <w:rFonts w:ascii="Garamond" w:hAnsi="Garamond"/>
          <w:color w:val="auto"/>
          <w:sz w:val="24"/>
          <w:szCs w:val="24"/>
        </w:rPr>
        <w:t xml:space="preserve">as well as under other human rights instruments including </w:t>
      </w:r>
      <w:r w:rsidR="004C10B0" w:rsidRPr="00A8786F">
        <w:rPr>
          <w:rFonts w:ascii="Garamond" w:hAnsi="Garamond"/>
          <w:color w:val="auto"/>
          <w:sz w:val="24"/>
          <w:szCs w:val="24"/>
        </w:rPr>
        <w:t>the Convention against Torture and Other Cruel, Inhuman or Degrading Treatment or Punishment (</w:t>
      </w:r>
      <w:r w:rsidRPr="00A8786F">
        <w:rPr>
          <w:rFonts w:ascii="Garamond" w:hAnsi="Garamond"/>
          <w:color w:val="auto"/>
          <w:sz w:val="24"/>
          <w:szCs w:val="24"/>
        </w:rPr>
        <w:t>CAT</w:t>
      </w:r>
      <w:r w:rsidR="004C10B0" w:rsidRPr="00A8786F">
        <w:rPr>
          <w:rFonts w:ascii="Garamond" w:hAnsi="Garamond"/>
          <w:color w:val="auto"/>
          <w:sz w:val="24"/>
          <w:szCs w:val="24"/>
        </w:rPr>
        <w:t>)</w:t>
      </w:r>
      <w:r w:rsidRPr="00A8786F">
        <w:rPr>
          <w:rFonts w:ascii="Garamond" w:hAnsi="Garamond"/>
          <w:color w:val="auto"/>
          <w:sz w:val="24"/>
          <w:szCs w:val="24"/>
        </w:rPr>
        <w:t>,</w:t>
      </w:r>
      <w:r w:rsidR="004C10B0" w:rsidRPr="00A8786F">
        <w:rPr>
          <w:rFonts w:ascii="Garamond" w:hAnsi="Garamond"/>
          <w:color w:val="auto"/>
          <w:sz w:val="24"/>
          <w:szCs w:val="24"/>
        </w:rPr>
        <w:t xml:space="preserve"> </w:t>
      </w:r>
      <w:r w:rsidR="00433321" w:rsidRPr="00A8786F">
        <w:rPr>
          <w:rFonts w:ascii="Garamond" w:hAnsi="Garamond"/>
          <w:color w:val="auto"/>
          <w:sz w:val="24"/>
          <w:szCs w:val="24"/>
        </w:rPr>
        <w:t xml:space="preserve">and </w:t>
      </w:r>
      <w:r w:rsidR="004C10B0" w:rsidRPr="00A8786F">
        <w:rPr>
          <w:rFonts w:ascii="Garamond" w:hAnsi="Garamond"/>
          <w:color w:val="auto"/>
          <w:sz w:val="24"/>
          <w:szCs w:val="24"/>
        </w:rPr>
        <w:t>the International Covenant on Civil and Political Rights</w:t>
      </w:r>
      <w:r w:rsidRPr="00A8786F">
        <w:rPr>
          <w:rFonts w:ascii="Garamond" w:hAnsi="Garamond"/>
          <w:color w:val="auto"/>
          <w:sz w:val="24"/>
          <w:szCs w:val="24"/>
        </w:rPr>
        <w:t xml:space="preserve"> </w:t>
      </w:r>
      <w:r w:rsidR="004C10B0" w:rsidRPr="00A8786F">
        <w:rPr>
          <w:rFonts w:ascii="Garamond" w:hAnsi="Garamond"/>
          <w:color w:val="auto"/>
          <w:sz w:val="24"/>
          <w:szCs w:val="24"/>
        </w:rPr>
        <w:t>(</w:t>
      </w:r>
      <w:r w:rsidRPr="00A8786F">
        <w:rPr>
          <w:rFonts w:ascii="Garamond" w:hAnsi="Garamond"/>
          <w:color w:val="auto"/>
          <w:sz w:val="24"/>
          <w:szCs w:val="24"/>
        </w:rPr>
        <w:t>ICCPR</w:t>
      </w:r>
      <w:r w:rsidR="004C10B0" w:rsidRPr="00A8786F">
        <w:rPr>
          <w:rFonts w:ascii="Garamond" w:hAnsi="Garamond"/>
          <w:color w:val="auto"/>
          <w:sz w:val="24"/>
          <w:szCs w:val="24"/>
        </w:rPr>
        <w:t>)</w:t>
      </w:r>
      <w:r w:rsidRPr="00A8786F">
        <w:rPr>
          <w:rFonts w:ascii="Garamond" w:hAnsi="Garamond"/>
          <w:color w:val="auto"/>
          <w:sz w:val="24"/>
          <w:szCs w:val="24"/>
        </w:rPr>
        <w:t xml:space="preserve">, </w:t>
      </w:r>
      <w:r w:rsidR="00433321" w:rsidRPr="00A8786F">
        <w:rPr>
          <w:rFonts w:ascii="Garamond" w:hAnsi="Garamond"/>
          <w:color w:val="auto"/>
          <w:sz w:val="24"/>
          <w:szCs w:val="24"/>
        </w:rPr>
        <w:t>and international humanitarian law, under</w:t>
      </w:r>
      <w:r w:rsidRPr="00A8786F">
        <w:rPr>
          <w:rFonts w:ascii="Garamond" w:hAnsi="Garamond"/>
          <w:color w:val="auto"/>
          <w:sz w:val="24"/>
          <w:szCs w:val="24"/>
        </w:rPr>
        <w:t xml:space="preserve"> the Geneva Conventions. </w:t>
      </w:r>
    </w:p>
    <w:p w14:paraId="66611206" w14:textId="77777777" w:rsidR="00AE2E89" w:rsidRPr="00025CAB" w:rsidRDefault="00AE2E89" w:rsidP="00AE2E89">
      <w:pPr>
        <w:pStyle w:val="ListParagraph"/>
        <w:spacing w:after="120"/>
        <w:rPr>
          <w:rFonts w:ascii="Garamond" w:hAnsi="Garamond"/>
          <w:sz w:val="24"/>
          <w:szCs w:val="24"/>
        </w:rPr>
      </w:pPr>
    </w:p>
    <w:p w14:paraId="35CA52B1" w14:textId="7BF7F68A" w:rsidR="003963CA" w:rsidRPr="00A8786F" w:rsidRDefault="003963CA" w:rsidP="003963CA">
      <w:pPr>
        <w:pStyle w:val="ListParagraph"/>
        <w:numPr>
          <w:ilvl w:val="0"/>
          <w:numId w:val="9"/>
        </w:numPr>
        <w:spacing w:after="120"/>
        <w:rPr>
          <w:rFonts w:ascii="Garamond" w:hAnsi="Garamond"/>
          <w:color w:val="auto"/>
          <w:sz w:val="24"/>
          <w:szCs w:val="24"/>
        </w:rPr>
      </w:pPr>
      <w:r w:rsidRPr="00A8786F">
        <w:rPr>
          <w:rFonts w:ascii="Garamond" w:hAnsi="Garamond"/>
          <w:color w:val="auto"/>
          <w:sz w:val="24"/>
          <w:szCs w:val="24"/>
        </w:rPr>
        <w:t>Until these criminal laws are reformed, Iraq will continue to be in violation of its</w:t>
      </w:r>
      <w:r w:rsidR="007B372F" w:rsidRPr="00A8786F">
        <w:rPr>
          <w:rFonts w:ascii="Garamond" w:hAnsi="Garamond"/>
          <w:color w:val="auto"/>
          <w:sz w:val="24"/>
          <w:szCs w:val="24"/>
        </w:rPr>
        <w:t xml:space="preserve"> CEDAW obligations</w:t>
      </w:r>
      <w:r w:rsidRPr="00A8786F">
        <w:rPr>
          <w:rFonts w:ascii="Garamond" w:hAnsi="Garamond"/>
          <w:color w:val="auto"/>
          <w:sz w:val="24"/>
          <w:szCs w:val="24"/>
        </w:rPr>
        <w:t>.</w:t>
      </w:r>
    </w:p>
    <w:p w14:paraId="23BF36CF" w14:textId="77777777" w:rsidR="003963CA" w:rsidRPr="00D129C6" w:rsidRDefault="003963CA" w:rsidP="003963CA">
      <w:pPr>
        <w:spacing w:after="0" w:line="240" w:lineRule="auto"/>
        <w:rPr>
          <w:rFonts w:ascii="Garamond" w:hAnsi="Garamond"/>
          <w:sz w:val="24"/>
          <w:szCs w:val="24"/>
        </w:rPr>
      </w:pPr>
    </w:p>
    <w:p w14:paraId="79A665BB" w14:textId="77777777" w:rsidR="003963CA" w:rsidRPr="00FA3D94" w:rsidRDefault="003963CA" w:rsidP="003963CA">
      <w:pPr>
        <w:pStyle w:val="ListParagraph"/>
        <w:numPr>
          <w:ilvl w:val="0"/>
          <w:numId w:val="5"/>
        </w:numPr>
        <w:spacing w:afterLines="0"/>
        <w:ind w:hanging="450"/>
        <w:rPr>
          <w:rFonts w:ascii="Garamond" w:hAnsi="Garamond"/>
          <w:b/>
          <w:sz w:val="24"/>
          <w:szCs w:val="24"/>
        </w:rPr>
      </w:pPr>
      <w:r w:rsidRPr="00FA3D94">
        <w:rPr>
          <w:rFonts w:ascii="Garamond" w:hAnsi="Garamond"/>
          <w:b/>
          <w:sz w:val="24"/>
          <w:szCs w:val="24"/>
        </w:rPr>
        <w:t>Iraq’s Discriminatory Criminal System</w:t>
      </w:r>
    </w:p>
    <w:p w14:paraId="7F99C285" w14:textId="77777777" w:rsidR="003963CA" w:rsidRPr="00FA3D94" w:rsidRDefault="003963CA" w:rsidP="003963CA">
      <w:pPr>
        <w:spacing w:after="0" w:line="240" w:lineRule="auto"/>
        <w:rPr>
          <w:rFonts w:ascii="Garamond" w:hAnsi="Garamond"/>
          <w:b/>
          <w:sz w:val="24"/>
          <w:szCs w:val="24"/>
        </w:rPr>
      </w:pPr>
    </w:p>
    <w:p w14:paraId="48C877CE" w14:textId="77777777" w:rsidR="003963CA" w:rsidRPr="00FA3D94" w:rsidRDefault="003963CA" w:rsidP="003963CA">
      <w:pPr>
        <w:pStyle w:val="ListParagraph"/>
        <w:numPr>
          <w:ilvl w:val="0"/>
          <w:numId w:val="6"/>
        </w:numPr>
        <w:spacing w:afterLines="0"/>
        <w:ind w:left="180" w:hanging="180"/>
        <w:rPr>
          <w:rFonts w:ascii="Garamond" w:hAnsi="Garamond"/>
          <w:b/>
          <w:sz w:val="24"/>
          <w:szCs w:val="24"/>
        </w:rPr>
      </w:pPr>
      <w:r w:rsidRPr="00FA3D94">
        <w:rPr>
          <w:rFonts w:ascii="Garamond" w:hAnsi="Garamond"/>
          <w:b/>
          <w:sz w:val="24"/>
          <w:szCs w:val="24"/>
        </w:rPr>
        <w:t xml:space="preserve">Domestic Crimes </w:t>
      </w:r>
    </w:p>
    <w:p w14:paraId="4DA8EDAE" w14:textId="77777777" w:rsidR="003963CA" w:rsidRPr="00FA3D94" w:rsidRDefault="003963CA" w:rsidP="003963CA">
      <w:pPr>
        <w:spacing w:after="0" w:line="240" w:lineRule="auto"/>
        <w:rPr>
          <w:rFonts w:ascii="Garamond" w:hAnsi="Garamond"/>
          <w:sz w:val="24"/>
          <w:szCs w:val="24"/>
        </w:rPr>
      </w:pPr>
    </w:p>
    <w:p w14:paraId="64B30FDD" w14:textId="77777777" w:rsidR="003963CA" w:rsidRPr="005339C5" w:rsidRDefault="003963CA" w:rsidP="003963CA">
      <w:pPr>
        <w:pStyle w:val="ListParagraph"/>
        <w:numPr>
          <w:ilvl w:val="0"/>
          <w:numId w:val="9"/>
        </w:numPr>
        <w:spacing w:after="120"/>
        <w:rPr>
          <w:rFonts w:ascii="Garamond" w:hAnsi="Garamond"/>
          <w:sz w:val="24"/>
          <w:szCs w:val="24"/>
        </w:rPr>
      </w:pPr>
      <w:r w:rsidRPr="009C3715">
        <w:rPr>
          <w:rFonts w:ascii="Garamond" w:hAnsi="Garamond"/>
          <w:sz w:val="24"/>
          <w:szCs w:val="24"/>
        </w:rPr>
        <w:t>Iraq’s definition of rape, forced marriage, and torture are a few examples of how the country’s criminal laws collectively fail to fully define, deter, prevent, punish</w:t>
      </w:r>
      <w:r>
        <w:rPr>
          <w:rFonts w:ascii="Garamond" w:hAnsi="Garamond"/>
          <w:sz w:val="24"/>
          <w:szCs w:val="24"/>
        </w:rPr>
        <w:t>, or</w:t>
      </w:r>
      <w:r w:rsidRPr="009C3715">
        <w:rPr>
          <w:rFonts w:ascii="Garamond" w:hAnsi="Garamond"/>
          <w:sz w:val="24"/>
          <w:szCs w:val="24"/>
        </w:rPr>
        <w:t xml:space="preserve"> redress </w:t>
      </w:r>
      <w:r w:rsidRPr="009C3715">
        <w:rPr>
          <w:rFonts w:ascii="Garamond" w:hAnsi="Garamond"/>
          <w:sz w:val="24"/>
          <w:szCs w:val="24"/>
        </w:rPr>
        <w:lastRenderedPageBreak/>
        <w:t xml:space="preserve">sexual and gender-based violence crimes. Clearly defining these crimes in line with international standards is an important step in implementing the </w:t>
      </w:r>
      <w:r>
        <w:rPr>
          <w:rFonts w:ascii="Garamond" w:hAnsi="Garamond"/>
          <w:sz w:val="24"/>
          <w:szCs w:val="24"/>
        </w:rPr>
        <w:t xml:space="preserve">Iraqi </w:t>
      </w:r>
      <w:r w:rsidRPr="009C3715">
        <w:rPr>
          <w:rFonts w:ascii="Garamond" w:hAnsi="Garamond"/>
          <w:sz w:val="24"/>
          <w:szCs w:val="24"/>
        </w:rPr>
        <w:t>Government’s obligations to eliminate discrimination against women.</w:t>
      </w:r>
    </w:p>
    <w:p w14:paraId="44748174" w14:textId="77777777" w:rsidR="003963CA" w:rsidRDefault="003963CA" w:rsidP="003963CA">
      <w:pPr>
        <w:spacing w:after="0" w:line="240" w:lineRule="auto"/>
        <w:rPr>
          <w:rFonts w:ascii="Garamond" w:hAnsi="Garamond"/>
          <w:b/>
          <w:sz w:val="24"/>
          <w:szCs w:val="24"/>
          <w:u w:val="single"/>
        </w:rPr>
      </w:pPr>
      <w:r w:rsidRPr="00FA3D94">
        <w:rPr>
          <w:rFonts w:ascii="Garamond" w:hAnsi="Garamond"/>
          <w:b/>
          <w:sz w:val="24"/>
          <w:szCs w:val="24"/>
          <w:u w:val="single"/>
        </w:rPr>
        <w:t>Rape</w:t>
      </w:r>
    </w:p>
    <w:p w14:paraId="449715C2" w14:textId="77777777" w:rsidR="003963CA" w:rsidRDefault="003963CA" w:rsidP="003963CA">
      <w:pPr>
        <w:spacing w:after="0" w:line="240" w:lineRule="auto"/>
        <w:rPr>
          <w:rFonts w:ascii="Garamond" w:eastAsia="Times New Roman" w:hAnsi="Garamond"/>
          <w:sz w:val="24"/>
          <w:szCs w:val="24"/>
        </w:rPr>
      </w:pPr>
    </w:p>
    <w:p w14:paraId="732A8C6A" w14:textId="68455800" w:rsidR="003963CA" w:rsidRPr="009C3715" w:rsidRDefault="003963CA" w:rsidP="003963CA">
      <w:pPr>
        <w:pStyle w:val="ListParagraph"/>
        <w:numPr>
          <w:ilvl w:val="0"/>
          <w:numId w:val="9"/>
        </w:numPr>
        <w:spacing w:after="120"/>
        <w:rPr>
          <w:rFonts w:ascii="Garamond" w:eastAsiaTheme="minorHAnsi" w:hAnsi="Garamond"/>
          <w:b/>
          <w:sz w:val="24"/>
          <w:szCs w:val="24"/>
          <w:u w:val="single"/>
        </w:rPr>
      </w:pPr>
      <w:r w:rsidRPr="009C3715">
        <w:rPr>
          <w:rFonts w:ascii="Garamond" w:eastAsia="Times New Roman" w:hAnsi="Garamond"/>
          <w:sz w:val="24"/>
          <w:szCs w:val="24"/>
        </w:rPr>
        <w:t>Iraq’s rape laws are not in line with international standards and do not encompass the number of ways that rape was perpetrated and used by Daesh against the Yazidis. Specifically, Iraq’s Penal Code Article 393 defines rape as “</w:t>
      </w:r>
      <w:r w:rsidRPr="009C3715">
        <w:rPr>
          <w:rFonts w:ascii="Garamond" w:eastAsia="Times New Roman" w:hAnsi="Garamond"/>
          <w:i/>
          <w:sz w:val="24"/>
          <w:szCs w:val="24"/>
        </w:rPr>
        <w:t>sexual intercourse with a female without her consent or…buggery with any person without their consent</w:t>
      </w:r>
      <w:r w:rsidRPr="009C3715">
        <w:rPr>
          <w:rFonts w:ascii="Garamond" w:eastAsia="Times New Roman" w:hAnsi="Garamond"/>
          <w:sz w:val="24"/>
          <w:szCs w:val="24"/>
        </w:rPr>
        <w:t xml:space="preserve">.” </w:t>
      </w:r>
      <w:r w:rsidRPr="009C3715">
        <w:rPr>
          <w:rFonts w:ascii="Garamond" w:hAnsi="Garamond"/>
          <w:sz w:val="24"/>
          <w:szCs w:val="24"/>
        </w:rPr>
        <w:t>Article 393 is not gender-neutral and is limited only to acts of “sexual intercourse”—leaving out Daesh’s serious violent and invasive sexual crimes that were beyond “</w:t>
      </w:r>
      <w:r w:rsidRPr="009C3715">
        <w:rPr>
          <w:rFonts w:ascii="Garamond" w:hAnsi="Garamond"/>
          <w:i/>
          <w:sz w:val="24"/>
          <w:szCs w:val="24"/>
        </w:rPr>
        <w:t>sexual intercourse or buggery</w:t>
      </w:r>
      <w:r w:rsidRPr="009C3715">
        <w:rPr>
          <w:rFonts w:ascii="Garamond" w:hAnsi="Garamond"/>
          <w:sz w:val="24"/>
          <w:szCs w:val="24"/>
        </w:rPr>
        <w:t>” (e.g. by including penetration by objects and other body parts). “</w:t>
      </w:r>
      <w:r w:rsidRPr="009C3715">
        <w:rPr>
          <w:rFonts w:ascii="Garamond" w:hAnsi="Garamond"/>
          <w:i/>
          <w:sz w:val="24"/>
          <w:szCs w:val="24"/>
        </w:rPr>
        <w:t>Consent</w:t>
      </w:r>
      <w:r w:rsidRPr="009C3715">
        <w:rPr>
          <w:rFonts w:ascii="Garamond" w:hAnsi="Garamond"/>
          <w:sz w:val="24"/>
          <w:szCs w:val="24"/>
        </w:rPr>
        <w:t>” is central to Iraq’s definition of rape (rape only occurs where there is lack of consent).</w:t>
      </w:r>
      <w:r w:rsidRPr="00FA3D94">
        <w:rPr>
          <w:rStyle w:val="EndnoteReference"/>
          <w:rFonts w:ascii="Garamond" w:hAnsi="Garamond"/>
          <w:sz w:val="24"/>
          <w:szCs w:val="24"/>
        </w:rPr>
        <w:endnoteReference w:id="7"/>
      </w:r>
      <w:r w:rsidRPr="009C3715">
        <w:rPr>
          <w:rFonts w:ascii="Garamond" w:hAnsi="Garamond"/>
          <w:sz w:val="24"/>
          <w:szCs w:val="24"/>
        </w:rPr>
        <w:t xml:space="preserve"> However, the term “</w:t>
      </w:r>
      <w:r w:rsidRPr="009C3715">
        <w:rPr>
          <w:rFonts w:ascii="Garamond" w:hAnsi="Garamond"/>
          <w:i/>
          <w:sz w:val="24"/>
          <w:szCs w:val="24"/>
        </w:rPr>
        <w:t>consent</w:t>
      </w:r>
      <w:r w:rsidRPr="009C3715">
        <w:rPr>
          <w:rFonts w:ascii="Garamond" w:hAnsi="Garamond"/>
          <w:sz w:val="24"/>
          <w:szCs w:val="24"/>
        </w:rPr>
        <w:t>” is not defined, clarified, or otherwise described anywhere in the Penal Code’s rape provision. Prosecutions focusing on “</w:t>
      </w:r>
      <w:r w:rsidRPr="009C3715">
        <w:rPr>
          <w:rFonts w:ascii="Garamond" w:hAnsi="Garamond"/>
          <w:i/>
          <w:sz w:val="24"/>
          <w:szCs w:val="24"/>
        </w:rPr>
        <w:t>consent</w:t>
      </w:r>
      <w:r w:rsidRPr="009C3715">
        <w:rPr>
          <w:rFonts w:ascii="Garamond" w:hAnsi="Garamond"/>
          <w:sz w:val="24"/>
          <w:szCs w:val="24"/>
        </w:rPr>
        <w:t>”</w:t>
      </w:r>
      <w:r w:rsidRPr="009C3715">
        <w:rPr>
          <w:rFonts w:ascii="Garamond" w:hAnsi="Garamond"/>
          <w:i/>
          <w:sz w:val="24"/>
          <w:szCs w:val="24"/>
        </w:rPr>
        <w:t xml:space="preserve"> </w:t>
      </w:r>
      <w:r w:rsidRPr="009C3715">
        <w:rPr>
          <w:rFonts w:ascii="Garamond" w:hAnsi="Garamond"/>
          <w:sz w:val="24"/>
          <w:szCs w:val="24"/>
        </w:rPr>
        <w:t>inherently focus on semantics about the victims’ words or actions and do not properly consider victims whose enslavement, age, or subjection to threats or coercive environments prevented genuine consent.</w:t>
      </w:r>
      <w:r w:rsidRPr="00FA3D94">
        <w:rPr>
          <w:rStyle w:val="EndnoteReference"/>
          <w:rFonts w:ascii="Garamond" w:hAnsi="Garamond"/>
          <w:sz w:val="24"/>
          <w:szCs w:val="24"/>
        </w:rPr>
        <w:endnoteReference w:id="8"/>
      </w:r>
    </w:p>
    <w:p w14:paraId="4259AFA6" w14:textId="77777777" w:rsidR="003963CA" w:rsidRPr="009C3715" w:rsidRDefault="003963CA" w:rsidP="003963CA">
      <w:pPr>
        <w:pStyle w:val="ListParagraph"/>
        <w:spacing w:after="120"/>
        <w:rPr>
          <w:rFonts w:ascii="Garamond" w:eastAsiaTheme="minorHAnsi" w:hAnsi="Garamond"/>
          <w:b/>
          <w:sz w:val="24"/>
          <w:szCs w:val="24"/>
          <w:u w:val="single"/>
        </w:rPr>
      </w:pPr>
    </w:p>
    <w:p w14:paraId="05B457F0" w14:textId="77777777" w:rsidR="003963CA" w:rsidRPr="009C3715" w:rsidRDefault="003963CA" w:rsidP="003963CA">
      <w:pPr>
        <w:pStyle w:val="ListParagraph"/>
        <w:numPr>
          <w:ilvl w:val="0"/>
          <w:numId w:val="9"/>
        </w:numPr>
        <w:spacing w:after="120"/>
        <w:rPr>
          <w:rFonts w:ascii="Garamond" w:eastAsiaTheme="minorHAnsi" w:hAnsi="Garamond"/>
          <w:b/>
          <w:sz w:val="24"/>
          <w:szCs w:val="24"/>
          <w:u w:val="single"/>
        </w:rPr>
      </w:pPr>
      <w:r w:rsidRPr="009C3715">
        <w:rPr>
          <w:rFonts w:ascii="Garamond" w:hAnsi="Garamond"/>
          <w:sz w:val="24"/>
          <w:szCs w:val="24"/>
        </w:rPr>
        <w:t>A broader, more comprehensive criminal definition of rape is necessary, especially during conflict or mass atrocities, to account for rape’s multifarious methods, purposes, contexts, individual motives, and intra-group dynamics. For example, beyond “sexual intercourse,” Daesh used rape as a tool for recruitment and to erode community cohesion.</w:t>
      </w:r>
      <w:r w:rsidRPr="00FA3D94">
        <w:rPr>
          <w:rStyle w:val="EndnoteReference"/>
          <w:rFonts w:ascii="Garamond" w:hAnsi="Garamond"/>
          <w:sz w:val="24"/>
          <w:szCs w:val="24"/>
        </w:rPr>
        <w:endnoteReference w:id="9"/>
      </w:r>
      <w:r w:rsidRPr="009C3715">
        <w:rPr>
          <w:rFonts w:ascii="Garamond" w:hAnsi="Garamond"/>
          <w:sz w:val="24"/>
          <w:szCs w:val="24"/>
        </w:rPr>
        <w:t xml:space="preserve"> Criminal accountability should not be limited to an antiquated focus on sexual intercourse and consent; rather, it should reflect the diverse and varied ways and reasons Daesh committed rape.</w:t>
      </w:r>
    </w:p>
    <w:p w14:paraId="729E437D" w14:textId="77777777" w:rsidR="003963CA" w:rsidRDefault="003963CA" w:rsidP="003963CA">
      <w:pPr>
        <w:spacing w:after="0" w:line="240" w:lineRule="auto"/>
        <w:rPr>
          <w:rFonts w:ascii="Garamond" w:hAnsi="Garamond"/>
          <w:b/>
          <w:sz w:val="24"/>
          <w:szCs w:val="24"/>
          <w:u w:val="single"/>
        </w:rPr>
      </w:pPr>
    </w:p>
    <w:p w14:paraId="3C90002E" w14:textId="77777777" w:rsidR="003963CA" w:rsidRDefault="003963CA" w:rsidP="003963CA">
      <w:pPr>
        <w:spacing w:after="0" w:line="240" w:lineRule="auto"/>
        <w:rPr>
          <w:rFonts w:ascii="Garamond" w:hAnsi="Garamond"/>
          <w:b/>
          <w:sz w:val="24"/>
          <w:szCs w:val="24"/>
        </w:rPr>
      </w:pPr>
      <w:r w:rsidRPr="00FA3D94">
        <w:rPr>
          <w:rFonts w:ascii="Garamond" w:hAnsi="Garamond"/>
          <w:b/>
          <w:sz w:val="24"/>
          <w:szCs w:val="24"/>
          <w:u w:val="single"/>
        </w:rPr>
        <w:t>Reporting Rape</w:t>
      </w:r>
      <w:r w:rsidRPr="00FA3D94">
        <w:rPr>
          <w:rFonts w:ascii="Garamond" w:hAnsi="Garamond"/>
          <w:b/>
          <w:sz w:val="24"/>
          <w:szCs w:val="24"/>
        </w:rPr>
        <w:t xml:space="preserve"> </w:t>
      </w:r>
    </w:p>
    <w:p w14:paraId="7B63C298" w14:textId="77777777" w:rsidR="003963CA" w:rsidRPr="00FA3D94" w:rsidRDefault="003963CA" w:rsidP="003963CA">
      <w:pPr>
        <w:spacing w:after="0" w:line="240" w:lineRule="auto"/>
        <w:rPr>
          <w:rFonts w:ascii="Garamond" w:hAnsi="Garamond"/>
          <w:b/>
          <w:sz w:val="24"/>
          <w:szCs w:val="24"/>
        </w:rPr>
      </w:pPr>
    </w:p>
    <w:p w14:paraId="3D2D31E9" w14:textId="77777777" w:rsidR="003963CA" w:rsidRDefault="003963CA" w:rsidP="003963CA">
      <w:pPr>
        <w:pStyle w:val="ListParagraph"/>
        <w:numPr>
          <w:ilvl w:val="0"/>
          <w:numId w:val="9"/>
        </w:numPr>
        <w:spacing w:after="120"/>
        <w:rPr>
          <w:rFonts w:ascii="Garamond" w:hAnsi="Garamond"/>
          <w:sz w:val="24"/>
          <w:szCs w:val="24"/>
        </w:rPr>
      </w:pPr>
      <w:r w:rsidRPr="009C3715">
        <w:rPr>
          <w:rFonts w:ascii="Garamond" w:hAnsi="Garamond"/>
          <w:sz w:val="24"/>
          <w:szCs w:val="24"/>
        </w:rPr>
        <w:t>Article 3 of Iraq’s Criminal Procedure Code establishes that prosecution for rape only begins if the victim affirmatively acts.</w:t>
      </w:r>
      <w:r w:rsidRPr="00FA3D94">
        <w:rPr>
          <w:vertAlign w:val="superscript"/>
        </w:rPr>
        <w:endnoteReference w:id="10"/>
      </w:r>
      <w:r w:rsidRPr="009C3715">
        <w:rPr>
          <w:rFonts w:ascii="Garamond" w:hAnsi="Garamond"/>
          <w:sz w:val="24"/>
          <w:szCs w:val="24"/>
        </w:rPr>
        <w:t xml:space="preserve"> Complaints relating to rape will not be accepted more than three months after the victim “</w:t>
      </w:r>
      <w:r w:rsidRPr="009C3715">
        <w:rPr>
          <w:rFonts w:ascii="Garamond" w:hAnsi="Garamond"/>
          <w:i/>
          <w:spacing w:val="-1"/>
          <w:sz w:val="24"/>
          <w:szCs w:val="24"/>
        </w:rPr>
        <w:t>be</w:t>
      </w:r>
      <w:r w:rsidRPr="009C3715">
        <w:rPr>
          <w:rFonts w:ascii="Garamond" w:hAnsi="Garamond"/>
          <w:i/>
          <w:sz w:val="24"/>
          <w:szCs w:val="24"/>
        </w:rPr>
        <w:t>ca</w:t>
      </w:r>
      <w:r w:rsidRPr="009C3715">
        <w:rPr>
          <w:rFonts w:ascii="Garamond" w:hAnsi="Garamond"/>
          <w:i/>
          <w:spacing w:val="-2"/>
          <w:sz w:val="24"/>
          <w:szCs w:val="24"/>
        </w:rPr>
        <w:t>m</w:t>
      </w:r>
      <w:r w:rsidRPr="009C3715">
        <w:rPr>
          <w:rFonts w:ascii="Garamond" w:hAnsi="Garamond"/>
          <w:i/>
          <w:sz w:val="24"/>
          <w:szCs w:val="24"/>
        </w:rPr>
        <w:t>e aware of the offence or from</w:t>
      </w:r>
      <w:r w:rsidRPr="009C3715">
        <w:rPr>
          <w:rFonts w:ascii="Garamond" w:hAnsi="Garamond"/>
          <w:i/>
          <w:spacing w:val="-2"/>
          <w:sz w:val="24"/>
          <w:szCs w:val="24"/>
        </w:rPr>
        <w:t xml:space="preserve"> </w:t>
      </w:r>
      <w:r w:rsidRPr="009C3715">
        <w:rPr>
          <w:rFonts w:ascii="Garamond" w:hAnsi="Garamond"/>
          <w:i/>
          <w:sz w:val="24"/>
          <w:szCs w:val="24"/>
        </w:rPr>
        <w:t xml:space="preserve">the disappearance of </w:t>
      </w:r>
      <w:r w:rsidRPr="009C3715">
        <w:rPr>
          <w:rFonts w:ascii="Garamond" w:hAnsi="Garamond"/>
          <w:i/>
          <w:spacing w:val="-2"/>
          <w:sz w:val="24"/>
          <w:szCs w:val="24"/>
        </w:rPr>
        <w:t>a</w:t>
      </w:r>
      <w:r w:rsidRPr="009C3715">
        <w:rPr>
          <w:rFonts w:ascii="Garamond" w:hAnsi="Garamond"/>
          <w:i/>
          <w:sz w:val="24"/>
          <w:szCs w:val="24"/>
        </w:rPr>
        <w:t>ny co</w:t>
      </w:r>
      <w:r w:rsidRPr="009C3715">
        <w:rPr>
          <w:rFonts w:ascii="Garamond" w:hAnsi="Garamond"/>
          <w:i/>
          <w:spacing w:val="-2"/>
          <w:sz w:val="24"/>
          <w:szCs w:val="24"/>
        </w:rPr>
        <w:t>m</w:t>
      </w:r>
      <w:r w:rsidRPr="009C3715">
        <w:rPr>
          <w:rFonts w:ascii="Garamond" w:hAnsi="Garamond"/>
          <w:i/>
          <w:sz w:val="24"/>
          <w:szCs w:val="24"/>
        </w:rPr>
        <w:t>pelling excuse</w:t>
      </w:r>
      <w:r w:rsidRPr="009C3715">
        <w:rPr>
          <w:rFonts w:ascii="Garamond" w:hAnsi="Garamond"/>
          <w:sz w:val="24"/>
          <w:szCs w:val="24"/>
        </w:rPr>
        <w:t>” which prevented the complainant’s submission of the complaint.</w:t>
      </w:r>
      <w:r w:rsidRPr="00FA3D94">
        <w:rPr>
          <w:vertAlign w:val="superscript"/>
        </w:rPr>
        <w:endnoteReference w:id="11"/>
      </w:r>
      <w:r w:rsidRPr="009C3715">
        <w:rPr>
          <w:rFonts w:ascii="Garamond" w:hAnsi="Garamond"/>
          <w:sz w:val="24"/>
          <w:szCs w:val="24"/>
        </w:rPr>
        <w:t xml:space="preserve">  If the victim withdraws their complaint, they “</w:t>
      </w:r>
      <w:r w:rsidRPr="009C3715">
        <w:rPr>
          <w:rFonts w:ascii="Garamond" w:hAnsi="Garamond"/>
          <w:i/>
          <w:sz w:val="24"/>
          <w:szCs w:val="24"/>
        </w:rPr>
        <w:t>lose their right to criminal justice.</w:t>
      </w:r>
      <w:r w:rsidRPr="009C3715">
        <w:rPr>
          <w:rFonts w:ascii="Garamond" w:hAnsi="Garamond"/>
          <w:sz w:val="24"/>
          <w:szCs w:val="24"/>
        </w:rPr>
        <w:t>”</w:t>
      </w:r>
      <w:r w:rsidRPr="00FA3D94">
        <w:rPr>
          <w:vertAlign w:val="superscript"/>
        </w:rPr>
        <w:endnoteReference w:id="12"/>
      </w:r>
      <w:r w:rsidRPr="009C3715">
        <w:rPr>
          <w:rFonts w:ascii="Garamond" w:hAnsi="Garamond"/>
          <w:sz w:val="24"/>
          <w:szCs w:val="24"/>
        </w:rPr>
        <w:t xml:space="preserve"> Penal Code Article 385 criminalizes “</w:t>
      </w:r>
      <w:r w:rsidRPr="009C3715">
        <w:rPr>
          <w:rFonts w:ascii="Garamond" w:hAnsi="Garamond"/>
          <w:i/>
          <w:sz w:val="24"/>
          <w:szCs w:val="24"/>
        </w:rPr>
        <w:t>any person who has carnal knowledge of a girl to whom he is not married with her consent when she has not yet reached the age of 18.</w:t>
      </w:r>
      <w:r w:rsidRPr="009C3715">
        <w:rPr>
          <w:rFonts w:ascii="Garamond" w:hAnsi="Garamond"/>
          <w:sz w:val="24"/>
          <w:szCs w:val="24"/>
        </w:rPr>
        <w:t>”</w:t>
      </w:r>
      <w:r w:rsidRPr="00FA3D94">
        <w:rPr>
          <w:rStyle w:val="EndnoteReference"/>
          <w:rFonts w:ascii="Garamond" w:hAnsi="Garamond"/>
          <w:sz w:val="24"/>
          <w:szCs w:val="24"/>
        </w:rPr>
        <w:endnoteReference w:id="13"/>
      </w:r>
      <w:r w:rsidRPr="009C3715">
        <w:rPr>
          <w:rFonts w:ascii="Garamond" w:hAnsi="Garamond"/>
          <w:sz w:val="24"/>
          <w:szCs w:val="24"/>
        </w:rPr>
        <w:t xml:space="preserve"> A prosecution of this crime, however, “</w:t>
      </w:r>
      <w:r w:rsidRPr="009C3715">
        <w:rPr>
          <w:rFonts w:ascii="Garamond" w:hAnsi="Garamond"/>
          <w:i/>
          <w:sz w:val="24"/>
          <w:szCs w:val="24"/>
        </w:rPr>
        <w:t>may only be brought on the basis of a complaint by the victim or her ancestor, descendant, brother or sister.</w:t>
      </w:r>
      <w:r w:rsidRPr="009C3715">
        <w:rPr>
          <w:rFonts w:ascii="Garamond" w:hAnsi="Garamond"/>
          <w:sz w:val="24"/>
          <w:szCs w:val="24"/>
        </w:rPr>
        <w:t>”</w:t>
      </w:r>
    </w:p>
    <w:p w14:paraId="09E098AE" w14:textId="77777777" w:rsidR="003963CA" w:rsidRPr="009C3715" w:rsidRDefault="003963CA" w:rsidP="003963CA">
      <w:pPr>
        <w:pStyle w:val="ListParagraph"/>
        <w:spacing w:after="120"/>
        <w:rPr>
          <w:rFonts w:ascii="Garamond" w:hAnsi="Garamond"/>
          <w:sz w:val="24"/>
          <w:szCs w:val="24"/>
        </w:rPr>
      </w:pPr>
    </w:p>
    <w:p w14:paraId="084E074F" w14:textId="77777777" w:rsidR="003963CA" w:rsidRPr="009C3715" w:rsidRDefault="003963CA" w:rsidP="003963CA">
      <w:pPr>
        <w:pStyle w:val="ListParagraph"/>
        <w:numPr>
          <w:ilvl w:val="0"/>
          <w:numId w:val="9"/>
        </w:numPr>
        <w:spacing w:after="120"/>
        <w:rPr>
          <w:rFonts w:ascii="Garamond" w:hAnsi="Garamond"/>
          <w:sz w:val="24"/>
          <w:szCs w:val="24"/>
        </w:rPr>
      </w:pPr>
      <w:r w:rsidRPr="009C3715">
        <w:rPr>
          <w:rFonts w:ascii="Garamond" w:hAnsi="Garamond"/>
          <w:sz w:val="24"/>
          <w:szCs w:val="24"/>
        </w:rPr>
        <w:t>International standards do not require victim initiation or participation for prosecution of rape or sexual violence.</w:t>
      </w:r>
      <w:r w:rsidRPr="00FA3D94">
        <w:rPr>
          <w:vertAlign w:val="superscript"/>
        </w:rPr>
        <w:endnoteReference w:id="14"/>
      </w:r>
      <w:r w:rsidRPr="009C3715">
        <w:rPr>
          <w:rFonts w:ascii="Garamond" w:hAnsi="Garamond"/>
          <w:sz w:val="24"/>
          <w:szCs w:val="24"/>
        </w:rPr>
        <w:t xml:space="preserve"> Such provisions can cause survivors of sexual violence to relive or confront their trauma in forced and highly destructive ways. They presuppose what women’s responses to such violence should be and negatively affect women’s rights to equality before the law, fair trial</w:t>
      </w:r>
      <w:r>
        <w:rPr>
          <w:rFonts w:ascii="Garamond" w:hAnsi="Garamond"/>
          <w:sz w:val="24"/>
          <w:szCs w:val="24"/>
        </w:rPr>
        <w:t>,</w:t>
      </w:r>
      <w:r w:rsidRPr="009C3715">
        <w:rPr>
          <w:rFonts w:ascii="Garamond" w:hAnsi="Garamond"/>
          <w:sz w:val="24"/>
          <w:szCs w:val="24"/>
        </w:rPr>
        <w:t xml:space="preserve"> and effective remedy.</w:t>
      </w:r>
      <w:r w:rsidRPr="00FA3D94">
        <w:rPr>
          <w:rStyle w:val="EndnoteReference"/>
          <w:rFonts w:ascii="Garamond" w:hAnsi="Garamond"/>
          <w:sz w:val="24"/>
          <w:szCs w:val="24"/>
        </w:rPr>
        <w:endnoteReference w:id="15"/>
      </w:r>
      <w:r w:rsidRPr="009C3715">
        <w:rPr>
          <w:rFonts w:ascii="Garamond" w:hAnsi="Garamond"/>
          <w:sz w:val="24"/>
          <w:szCs w:val="24"/>
        </w:rPr>
        <w:t xml:space="preserve"> Further, victims of rape and sexual violence may be unwilling to initiate such proceedings.</w:t>
      </w:r>
      <w:r w:rsidRPr="00FA3D94">
        <w:rPr>
          <w:vertAlign w:val="superscript"/>
        </w:rPr>
        <w:endnoteReference w:id="16"/>
      </w:r>
      <w:r w:rsidRPr="009C3715">
        <w:rPr>
          <w:rFonts w:ascii="Garamond" w:hAnsi="Garamond"/>
          <w:sz w:val="24"/>
          <w:szCs w:val="24"/>
        </w:rPr>
        <w:t xml:space="preserve"> In conservative societies like Iraq, women face societal barriers in reporting sexual violence crimes, including fear of retribution from, or against, family members.</w:t>
      </w:r>
      <w:r w:rsidRPr="00FA3D94">
        <w:rPr>
          <w:rStyle w:val="EndnoteReference"/>
          <w:rFonts w:ascii="Garamond" w:hAnsi="Garamond"/>
          <w:sz w:val="24"/>
          <w:szCs w:val="24"/>
        </w:rPr>
        <w:endnoteReference w:id="17"/>
      </w:r>
      <w:r w:rsidRPr="009C3715">
        <w:rPr>
          <w:rFonts w:ascii="Garamond" w:hAnsi="Garamond"/>
          <w:sz w:val="24"/>
          <w:szCs w:val="24"/>
        </w:rPr>
        <w:t xml:space="preserve"> Women and girls in Daesh-controlled territory were brought to houses, sometimes by the hundreds, and group-by-group taken for rape.</w:t>
      </w:r>
      <w:r w:rsidRPr="00FA3D94">
        <w:rPr>
          <w:rStyle w:val="EndnoteReference"/>
          <w:rFonts w:ascii="Garamond" w:hAnsi="Garamond"/>
          <w:sz w:val="24"/>
          <w:szCs w:val="24"/>
        </w:rPr>
        <w:endnoteReference w:id="18"/>
      </w:r>
      <w:r w:rsidRPr="009C3715">
        <w:rPr>
          <w:rFonts w:ascii="Garamond" w:hAnsi="Garamond"/>
          <w:sz w:val="24"/>
          <w:szCs w:val="24"/>
        </w:rPr>
        <w:t xml:space="preserve"> The sheer volume of rape occurring at the hands of Daesh, coupled with the fact that many victims do not </w:t>
      </w:r>
      <w:r w:rsidRPr="009C3715">
        <w:rPr>
          <w:rFonts w:ascii="Garamond" w:hAnsi="Garamond"/>
          <w:sz w:val="24"/>
          <w:szCs w:val="24"/>
        </w:rPr>
        <w:lastRenderedPageBreak/>
        <w:t xml:space="preserve">know and have no way of identifying their rapists, means that victim-initiated complaints are next to impossible in practice. For these reasons, such discriminatory requirements should not be any part of accountability for rape generally and must not be a feature when holding Daesh accountable. </w:t>
      </w:r>
    </w:p>
    <w:p w14:paraId="347B08BD" w14:textId="77777777" w:rsidR="003963CA" w:rsidRPr="00FA3D94" w:rsidRDefault="003963CA" w:rsidP="003963CA">
      <w:pPr>
        <w:spacing w:after="0" w:line="240" w:lineRule="auto"/>
        <w:rPr>
          <w:rFonts w:ascii="Garamond" w:hAnsi="Garamond"/>
          <w:sz w:val="24"/>
          <w:szCs w:val="24"/>
        </w:rPr>
      </w:pPr>
    </w:p>
    <w:p w14:paraId="6F0B067C" w14:textId="77777777" w:rsidR="003963CA" w:rsidRDefault="003963CA" w:rsidP="003963CA">
      <w:pPr>
        <w:spacing w:after="0" w:line="240" w:lineRule="auto"/>
        <w:rPr>
          <w:rFonts w:ascii="Garamond" w:hAnsi="Garamond"/>
          <w:b/>
          <w:sz w:val="24"/>
          <w:szCs w:val="24"/>
        </w:rPr>
      </w:pPr>
      <w:r w:rsidRPr="00FA3D94">
        <w:rPr>
          <w:rFonts w:ascii="Garamond" w:hAnsi="Garamond"/>
          <w:b/>
          <w:sz w:val="24"/>
          <w:szCs w:val="24"/>
          <w:u w:val="single"/>
        </w:rPr>
        <w:t>Forced Marriage</w:t>
      </w:r>
      <w:r w:rsidRPr="00FA3D94">
        <w:rPr>
          <w:rFonts w:ascii="Garamond" w:hAnsi="Garamond"/>
          <w:b/>
          <w:sz w:val="24"/>
          <w:szCs w:val="24"/>
        </w:rPr>
        <w:t xml:space="preserve"> </w:t>
      </w:r>
    </w:p>
    <w:p w14:paraId="1504BC5C" w14:textId="77777777" w:rsidR="003963CA" w:rsidRPr="00FA3D94" w:rsidRDefault="003963CA" w:rsidP="003963CA">
      <w:pPr>
        <w:spacing w:after="0" w:line="240" w:lineRule="auto"/>
        <w:rPr>
          <w:rFonts w:ascii="Garamond" w:hAnsi="Garamond"/>
          <w:b/>
          <w:sz w:val="24"/>
          <w:szCs w:val="24"/>
          <w:u w:val="single"/>
        </w:rPr>
      </w:pPr>
    </w:p>
    <w:p w14:paraId="262CEC0E" w14:textId="24F9FA1E" w:rsidR="003963CA" w:rsidRPr="0081297B" w:rsidRDefault="003963CA" w:rsidP="0081297B">
      <w:pPr>
        <w:pStyle w:val="ListParagraph"/>
        <w:numPr>
          <w:ilvl w:val="0"/>
          <w:numId w:val="9"/>
        </w:numPr>
        <w:spacing w:after="120"/>
        <w:rPr>
          <w:rFonts w:ascii="Garamond" w:hAnsi="Garamond"/>
          <w:i/>
          <w:sz w:val="24"/>
          <w:szCs w:val="24"/>
        </w:rPr>
      </w:pPr>
      <w:r w:rsidRPr="009C3715">
        <w:rPr>
          <w:rFonts w:ascii="Garamond" w:hAnsi="Garamond"/>
          <w:sz w:val="24"/>
          <w:szCs w:val="24"/>
        </w:rPr>
        <w:t>Article 9 of Iraq’s Personal Status Law criminalizes forced marriage: “</w:t>
      </w:r>
      <w:r w:rsidRPr="009C3715">
        <w:rPr>
          <w:rFonts w:ascii="Garamond" w:hAnsi="Garamond"/>
          <w:i/>
          <w:sz w:val="24"/>
          <w:szCs w:val="24"/>
        </w:rPr>
        <w:t>no relative or non-relative has the right to force marriage on any person, whether male or female, without their consent</w:t>
      </w:r>
      <w:r w:rsidRPr="009C3715">
        <w:rPr>
          <w:rFonts w:ascii="Garamond" w:hAnsi="Garamond"/>
          <w:sz w:val="24"/>
          <w:szCs w:val="24"/>
        </w:rPr>
        <w:t>.”</w:t>
      </w:r>
      <w:r w:rsidRPr="00FA3D94">
        <w:rPr>
          <w:rStyle w:val="EndnoteReference"/>
          <w:rFonts w:ascii="Garamond" w:hAnsi="Garamond"/>
          <w:sz w:val="24"/>
          <w:szCs w:val="24"/>
        </w:rPr>
        <w:endnoteReference w:id="19"/>
      </w:r>
      <w:r w:rsidRPr="009C3715">
        <w:rPr>
          <w:rFonts w:ascii="Garamond" w:hAnsi="Garamond"/>
          <w:sz w:val="24"/>
          <w:szCs w:val="24"/>
        </w:rPr>
        <w:t xml:space="preserve"> Where there has been a forced marriage, either a specialized “</w:t>
      </w:r>
      <w:r w:rsidRPr="009C3715">
        <w:rPr>
          <w:rFonts w:ascii="Garamond" w:hAnsi="Garamond"/>
          <w:i/>
          <w:sz w:val="24"/>
          <w:szCs w:val="24"/>
        </w:rPr>
        <w:t>personal status</w:t>
      </w:r>
      <w:r w:rsidRPr="009C3715">
        <w:rPr>
          <w:rFonts w:ascii="Garamond" w:hAnsi="Garamond"/>
          <w:sz w:val="24"/>
          <w:szCs w:val="24"/>
        </w:rPr>
        <w:t>” court or the victim must refer the case to criminal justice authorities.</w:t>
      </w:r>
      <w:r w:rsidRPr="00FA3D94">
        <w:rPr>
          <w:rStyle w:val="EndnoteReference"/>
          <w:rFonts w:ascii="Garamond" w:hAnsi="Garamond"/>
          <w:sz w:val="24"/>
          <w:szCs w:val="24"/>
        </w:rPr>
        <w:endnoteReference w:id="20"/>
      </w:r>
      <w:r w:rsidRPr="009C3715">
        <w:rPr>
          <w:rFonts w:ascii="Garamond" w:hAnsi="Garamond"/>
          <w:sz w:val="24"/>
          <w:szCs w:val="24"/>
        </w:rPr>
        <w:t xml:space="preserve"> Article 9 further establishes that “</w:t>
      </w:r>
      <w:r w:rsidRPr="009C3715">
        <w:rPr>
          <w:rFonts w:ascii="Garamond" w:hAnsi="Garamond"/>
          <w:i/>
          <w:sz w:val="24"/>
          <w:szCs w:val="24"/>
        </w:rPr>
        <w:t>[t]he contract of a forced marriage is considered void if the marriage is not yet consummated</w:t>
      </w:r>
      <w:r w:rsidRPr="009C3715">
        <w:rPr>
          <w:rFonts w:ascii="Garamond" w:hAnsi="Garamond"/>
          <w:sz w:val="24"/>
          <w:szCs w:val="24"/>
        </w:rPr>
        <w:t>.” However, the law does not automatically void</w:t>
      </w:r>
      <w:r>
        <w:rPr>
          <w:rFonts w:ascii="Garamond" w:hAnsi="Garamond"/>
          <w:sz w:val="24"/>
          <w:szCs w:val="24"/>
        </w:rPr>
        <w:t xml:space="preserve"> forced</w:t>
      </w:r>
      <w:r w:rsidRPr="009C3715">
        <w:rPr>
          <w:rFonts w:ascii="Garamond" w:hAnsi="Garamond"/>
          <w:sz w:val="24"/>
          <w:szCs w:val="24"/>
        </w:rPr>
        <w:t xml:space="preserve"> marriages that have been consummated.</w:t>
      </w:r>
      <w:r w:rsidRPr="00FA3D94">
        <w:rPr>
          <w:rStyle w:val="EndnoteReference"/>
          <w:rFonts w:ascii="Garamond" w:hAnsi="Garamond"/>
          <w:sz w:val="24"/>
          <w:szCs w:val="24"/>
        </w:rPr>
        <w:endnoteReference w:id="21"/>
      </w:r>
      <w:r w:rsidRPr="009C3715">
        <w:rPr>
          <w:rFonts w:ascii="Garamond" w:hAnsi="Garamond"/>
          <w:sz w:val="24"/>
          <w:szCs w:val="24"/>
        </w:rPr>
        <w:t xml:space="preserve"> </w:t>
      </w:r>
    </w:p>
    <w:p w14:paraId="24FD160F" w14:textId="77777777" w:rsidR="0081297B" w:rsidRPr="0081297B" w:rsidRDefault="0081297B" w:rsidP="0081297B">
      <w:pPr>
        <w:pStyle w:val="ListParagraph"/>
        <w:spacing w:after="120"/>
        <w:rPr>
          <w:rFonts w:ascii="Garamond" w:hAnsi="Garamond"/>
          <w:i/>
          <w:sz w:val="24"/>
          <w:szCs w:val="24"/>
        </w:rPr>
      </w:pPr>
    </w:p>
    <w:p w14:paraId="7B205D26" w14:textId="3CD302F7" w:rsidR="0081297B" w:rsidRPr="0081297B" w:rsidRDefault="003963CA" w:rsidP="0081297B">
      <w:pPr>
        <w:pStyle w:val="ListParagraph"/>
        <w:numPr>
          <w:ilvl w:val="0"/>
          <w:numId w:val="9"/>
        </w:numPr>
        <w:spacing w:after="120"/>
        <w:rPr>
          <w:rFonts w:ascii="Garamond" w:hAnsi="Garamond"/>
          <w:i/>
          <w:sz w:val="24"/>
          <w:szCs w:val="24"/>
        </w:rPr>
      </w:pPr>
      <w:r w:rsidRPr="009C3715">
        <w:rPr>
          <w:rFonts w:ascii="Garamond" w:hAnsi="Garamond"/>
          <w:sz w:val="24"/>
          <w:szCs w:val="24"/>
        </w:rPr>
        <w:t>Forced marriage is not specifically described within international criminal law, but has been prosecuted as the crime against humanity of an “</w:t>
      </w:r>
      <w:r w:rsidRPr="009C3715">
        <w:rPr>
          <w:rFonts w:ascii="Garamond" w:hAnsi="Garamond"/>
          <w:i/>
          <w:sz w:val="24"/>
          <w:szCs w:val="24"/>
        </w:rPr>
        <w:t>inhumane act,</w:t>
      </w:r>
      <w:r w:rsidRPr="009C3715">
        <w:rPr>
          <w:rFonts w:ascii="Garamond" w:hAnsi="Garamond"/>
          <w:sz w:val="24"/>
          <w:szCs w:val="24"/>
        </w:rPr>
        <w:t>” which requires “</w:t>
      </w:r>
      <w:r w:rsidRPr="009C3715">
        <w:rPr>
          <w:rFonts w:ascii="Garamond" w:hAnsi="Garamond"/>
          <w:i/>
          <w:sz w:val="24"/>
          <w:szCs w:val="24"/>
        </w:rPr>
        <w:t>great suffering, or serious injury to body or to mental or physical health.</w:t>
      </w:r>
      <w:r w:rsidRPr="009C3715">
        <w:rPr>
          <w:rFonts w:ascii="Garamond" w:hAnsi="Garamond"/>
          <w:sz w:val="24"/>
          <w:szCs w:val="24"/>
        </w:rPr>
        <w:t>”</w:t>
      </w:r>
      <w:r w:rsidRPr="00FA3D94">
        <w:rPr>
          <w:rStyle w:val="EndnoteReference"/>
          <w:rFonts w:ascii="Garamond" w:hAnsi="Garamond"/>
          <w:sz w:val="24"/>
          <w:szCs w:val="24"/>
        </w:rPr>
        <w:endnoteReference w:id="22"/>
      </w:r>
      <w:r w:rsidRPr="009C3715">
        <w:rPr>
          <w:rFonts w:ascii="Garamond" w:hAnsi="Garamond"/>
          <w:sz w:val="24"/>
          <w:szCs w:val="24"/>
        </w:rPr>
        <w:t xml:space="preserve"> </w:t>
      </w:r>
      <w:r w:rsidR="0081297B">
        <w:rPr>
          <w:rFonts w:ascii="Garamond" w:hAnsi="Garamond"/>
          <w:sz w:val="24"/>
          <w:szCs w:val="24"/>
        </w:rPr>
        <w:t xml:space="preserve">While </w:t>
      </w:r>
      <w:r w:rsidR="0081297B" w:rsidRPr="009C3715">
        <w:rPr>
          <w:rFonts w:ascii="Garamond" w:hAnsi="Garamond"/>
          <w:sz w:val="24"/>
          <w:szCs w:val="24"/>
        </w:rPr>
        <w:t>Iraq has reserv</w:t>
      </w:r>
      <w:r w:rsidR="008320B8">
        <w:rPr>
          <w:rFonts w:ascii="Garamond" w:hAnsi="Garamond"/>
          <w:sz w:val="24"/>
          <w:szCs w:val="24"/>
        </w:rPr>
        <w:t>ed</w:t>
      </w:r>
      <w:r w:rsidR="0081297B" w:rsidRPr="009C3715">
        <w:rPr>
          <w:rFonts w:ascii="Garamond" w:hAnsi="Garamond"/>
          <w:sz w:val="24"/>
          <w:szCs w:val="24"/>
        </w:rPr>
        <w:t xml:space="preserve"> to CEDAW Article 16, which calls on States to take measures to eliminate discrimination against women with respect to marriag</w:t>
      </w:r>
      <w:r w:rsidR="0081297B">
        <w:rPr>
          <w:rFonts w:ascii="Garamond" w:hAnsi="Garamond"/>
          <w:sz w:val="24"/>
          <w:szCs w:val="24"/>
        </w:rPr>
        <w:t>e, it has not reserved to Article 15 providing women the right to freely enter contracts and choose their residence or domicile.</w:t>
      </w:r>
    </w:p>
    <w:p w14:paraId="12CDBFF2" w14:textId="77777777" w:rsidR="0081297B" w:rsidRPr="0081297B" w:rsidRDefault="003963CA" w:rsidP="0081297B">
      <w:pPr>
        <w:pStyle w:val="ListParagraph"/>
        <w:spacing w:after="120"/>
        <w:rPr>
          <w:rFonts w:ascii="Garamond" w:hAnsi="Garamond"/>
          <w:i/>
          <w:sz w:val="24"/>
          <w:szCs w:val="24"/>
        </w:rPr>
      </w:pPr>
      <w:r w:rsidRPr="009C3715">
        <w:rPr>
          <w:rFonts w:ascii="Garamond" w:hAnsi="Garamond"/>
          <w:sz w:val="24"/>
          <w:szCs w:val="24"/>
        </w:rPr>
        <w:t xml:space="preserve"> </w:t>
      </w:r>
    </w:p>
    <w:p w14:paraId="2468A33D" w14:textId="43403F6B" w:rsidR="003963CA" w:rsidRPr="009C3715" w:rsidRDefault="003963CA" w:rsidP="003963CA">
      <w:pPr>
        <w:pStyle w:val="ListParagraph"/>
        <w:numPr>
          <w:ilvl w:val="0"/>
          <w:numId w:val="9"/>
        </w:numPr>
        <w:spacing w:after="120"/>
        <w:rPr>
          <w:rFonts w:ascii="Garamond" w:hAnsi="Garamond"/>
          <w:i/>
          <w:sz w:val="24"/>
          <w:szCs w:val="24"/>
        </w:rPr>
      </w:pPr>
      <w:r w:rsidRPr="009C3715">
        <w:rPr>
          <w:rFonts w:ascii="Garamond" w:hAnsi="Garamond"/>
          <w:sz w:val="24"/>
          <w:szCs w:val="24"/>
        </w:rPr>
        <w:t>Iraq’s Personal Status Law Article 9 does not define the types of actions that constitute marriage by “</w:t>
      </w:r>
      <w:r w:rsidRPr="009C3715">
        <w:rPr>
          <w:rFonts w:ascii="Garamond" w:hAnsi="Garamond"/>
          <w:i/>
          <w:sz w:val="24"/>
          <w:szCs w:val="24"/>
        </w:rPr>
        <w:t>force</w:t>
      </w:r>
      <w:r w:rsidRPr="009C3715">
        <w:rPr>
          <w:rFonts w:ascii="Garamond" w:hAnsi="Garamond"/>
          <w:sz w:val="24"/>
          <w:szCs w:val="24"/>
        </w:rPr>
        <w:t>” (e.g. by threats of violence) or the types of “</w:t>
      </w:r>
      <w:r w:rsidRPr="009C3715">
        <w:rPr>
          <w:rFonts w:ascii="Garamond" w:hAnsi="Garamond"/>
          <w:i/>
          <w:sz w:val="24"/>
          <w:szCs w:val="24"/>
        </w:rPr>
        <w:t>consent</w:t>
      </w:r>
      <w:r w:rsidRPr="009C3715">
        <w:rPr>
          <w:rFonts w:ascii="Garamond" w:hAnsi="Garamond"/>
          <w:sz w:val="24"/>
          <w:szCs w:val="24"/>
        </w:rPr>
        <w:t>” that are considered invalid (e.g. under duress). As such, the law is vague and does not fully account for the ways by which women and girls were systemically and en masse forced or otherwise coerced into marriages with Daesh fighters.</w:t>
      </w:r>
      <w:r w:rsidRPr="00FA3D94">
        <w:rPr>
          <w:rStyle w:val="EndnoteReference"/>
          <w:rFonts w:ascii="Garamond" w:hAnsi="Garamond"/>
          <w:sz w:val="24"/>
          <w:szCs w:val="24"/>
        </w:rPr>
        <w:endnoteReference w:id="23"/>
      </w:r>
      <w:r w:rsidRPr="009C3715">
        <w:rPr>
          <w:rFonts w:ascii="Garamond" w:hAnsi="Garamond"/>
          <w:sz w:val="24"/>
          <w:szCs w:val="24"/>
        </w:rPr>
        <w:t xml:space="preserve"> This gap is a particular risk as Iraq continues to prosecute people for “membership or support” of a terrorist organization, potentially including women and girls whose only “membership or support” of Daesh was having been forcibly married to a Daesh fighter.</w:t>
      </w:r>
      <w:r w:rsidRPr="00FA3D94">
        <w:rPr>
          <w:rStyle w:val="EndnoteReference"/>
          <w:rFonts w:ascii="Garamond" w:hAnsi="Garamond"/>
          <w:sz w:val="24"/>
          <w:szCs w:val="24"/>
        </w:rPr>
        <w:endnoteReference w:id="24"/>
      </w:r>
      <w:r w:rsidRPr="009C3715">
        <w:rPr>
          <w:rFonts w:ascii="Garamond" w:hAnsi="Garamond"/>
          <w:sz w:val="24"/>
          <w:szCs w:val="24"/>
        </w:rPr>
        <w:t xml:space="preserve"> Although forced marriage is prohibited, the</w:t>
      </w:r>
      <w:r>
        <w:rPr>
          <w:rFonts w:ascii="Garamond" w:hAnsi="Garamond"/>
          <w:sz w:val="24"/>
          <w:szCs w:val="24"/>
        </w:rPr>
        <w:t xml:space="preserve"> Iraqi</w:t>
      </w:r>
      <w:r w:rsidRPr="009C3715">
        <w:rPr>
          <w:rFonts w:ascii="Garamond" w:hAnsi="Garamond"/>
          <w:sz w:val="24"/>
          <w:szCs w:val="24"/>
        </w:rPr>
        <w:t xml:space="preserve"> </w:t>
      </w:r>
      <w:r>
        <w:rPr>
          <w:rFonts w:ascii="Garamond" w:hAnsi="Garamond"/>
          <w:sz w:val="24"/>
          <w:szCs w:val="24"/>
        </w:rPr>
        <w:t>G</w:t>
      </w:r>
      <w:r w:rsidRPr="009C3715">
        <w:rPr>
          <w:rFonts w:ascii="Garamond" w:hAnsi="Garamond"/>
          <w:sz w:val="24"/>
          <w:szCs w:val="24"/>
        </w:rPr>
        <w:t>overnment makes few efforts to enforce the law, and traditional forced marriages of girls continue, especially in rural and Daesh-controlled areas.</w:t>
      </w:r>
      <w:r w:rsidRPr="00FA3D94">
        <w:rPr>
          <w:rStyle w:val="EndnoteReference"/>
          <w:rFonts w:ascii="Garamond" w:hAnsi="Garamond"/>
          <w:sz w:val="24"/>
          <w:szCs w:val="24"/>
        </w:rPr>
        <w:endnoteReference w:id="25"/>
      </w:r>
      <w:r w:rsidRPr="009C3715">
        <w:rPr>
          <w:rFonts w:ascii="Garamond" w:hAnsi="Garamond"/>
          <w:sz w:val="24"/>
          <w:szCs w:val="24"/>
        </w:rPr>
        <w:t xml:space="preserve"> </w:t>
      </w:r>
    </w:p>
    <w:p w14:paraId="5D4B1FF1" w14:textId="77777777" w:rsidR="003963CA" w:rsidRDefault="003963CA" w:rsidP="003963CA">
      <w:pPr>
        <w:spacing w:after="0" w:line="240" w:lineRule="auto"/>
        <w:rPr>
          <w:rFonts w:ascii="Garamond" w:hAnsi="Garamond"/>
          <w:b/>
          <w:sz w:val="24"/>
          <w:szCs w:val="24"/>
          <w:u w:val="single"/>
        </w:rPr>
      </w:pPr>
    </w:p>
    <w:p w14:paraId="26155704" w14:textId="77777777" w:rsidR="003963CA" w:rsidRDefault="003963CA" w:rsidP="003963CA">
      <w:pPr>
        <w:spacing w:after="0" w:line="240" w:lineRule="auto"/>
        <w:rPr>
          <w:rFonts w:ascii="Garamond" w:hAnsi="Garamond"/>
          <w:b/>
          <w:sz w:val="24"/>
          <w:szCs w:val="24"/>
        </w:rPr>
      </w:pPr>
      <w:r w:rsidRPr="00FA3D94">
        <w:rPr>
          <w:rFonts w:ascii="Garamond" w:hAnsi="Garamond"/>
          <w:b/>
          <w:sz w:val="24"/>
          <w:szCs w:val="24"/>
          <w:u w:val="single"/>
        </w:rPr>
        <w:t>Torture</w:t>
      </w:r>
      <w:r w:rsidRPr="00FA3D94">
        <w:rPr>
          <w:rFonts w:ascii="Garamond" w:hAnsi="Garamond"/>
          <w:b/>
          <w:sz w:val="24"/>
          <w:szCs w:val="24"/>
        </w:rPr>
        <w:t xml:space="preserve"> </w:t>
      </w:r>
    </w:p>
    <w:p w14:paraId="1BB7EE9A" w14:textId="77777777" w:rsidR="003963CA" w:rsidRPr="00FA3D94" w:rsidRDefault="003963CA" w:rsidP="003963CA">
      <w:pPr>
        <w:spacing w:after="0" w:line="240" w:lineRule="auto"/>
        <w:rPr>
          <w:rFonts w:ascii="Garamond" w:hAnsi="Garamond"/>
          <w:b/>
          <w:sz w:val="24"/>
          <w:szCs w:val="24"/>
        </w:rPr>
      </w:pPr>
    </w:p>
    <w:p w14:paraId="7A493B9F" w14:textId="77777777" w:rsidR="003963CA" w:rsidRDefault="003963CA" w:rsidP="003963CA">
      <w:pPr>
        <w:pStyle w:val="ListParagraph"/>
        <w:numPr>
          <w:ilvl w:val="0"/>
          <w:numId w:val="9"/>
        </w:numPr>
        <w:spacing w:after="120"/>
        <w:rPr>
          <w:rFonts w:ascii="Garamond" w:hAnsi="Garamond"/>
          <w:sz w:val="24"/>
          <w:szCs w:val="24"/>
        </w:rPr>
      </w:pPr>
      <w:r w:rsidRPr="009C3715">
        <w:rPr>
          <w:rFonts w:ascii="Garamond" w:hAnsi="Garamond"/>
          <w:sz w:val="24"/>
          <w:szCs w:val="24"/>
        </w:rPr>
        <w:t>Article 37 of the 2005 Constitution prohibits “</w:t>
      </w:r>
      <w:r w:rsidRPr="009C3715">
        <w:rPr>
          <w:rFonts w:ascii="Garamond" w:hAnsi="Garamond"/>
          <w:i/>
          <w:sz w:val="24"/>
          <w:szCs w:val="24"/>
        </w:rPr>
        <w:t xml:space="preserve">all forms of psychological and physical torture and inhumane treatment,” </w:t>
      </w:r>
      <w:r w:rsidRPr="009C3715">
        <w:rPr>
          <w:rFonts w:ascii="Garamond" w:hAnsi="Garamond"/>
          <w:sz w:val="24"/>
          <w:szCs w:val="24"/>
        </w:rPr>
        <w:t>barring confessions obtained under torture and ensuring victims’ right to seek compensation for</w:t>
      </w:r>
      <w:r w:rsidRPr="009C3715">
        <w:rPr>
          <w:rFonts w:ascii="Garamond" w:hAnsi="Garamond"/>
          <w:i/>
          <w:sz w:val="24"/>
          <w:szCs w:val="24"/>
        </w:rPr>
        <w:t xml:space="preserve"> “material and moral damages incurred.</w:t>
      </w:r>
      <w:r w:rsidRPr="009C3715">
        <w:rPr>
          <w:rFonts w:ascii="Garamond" w:hAnsi="Garamond"/>
          <w:sz w:val="24"/>
          <w:szCs w:val="24"/>
        </w:rPr>
        <w:t>”</w:t>
      </w:r>
      <w:r w:rsidRPr="00FA3D94">
        <w:rPr>
          <w:rStyle w:val="EndnoteReference"/>
          <w:rFonts w:ascii="Garamond" w:hAnsi="Garamond"/>
          <w:sz w:val="24"/>
          <w:szCs w:val="24"/>
        </w:rPr>
        <w:endnoteReference w:id="26"/>
      </w:r>
      <w:r w:rsidRPr="009C3715">
        <w:rPr>
          <w:rFonts w:ascii="Garamond" w:hAnsi="Garamond"/>
          <w:sz w:val="24"/>
          <w:szCs w:val="24"/>
        </w:rPr>
        <w:t xml:space="preserve"> Both the Iraq Criminal Procedure Code and the Penal Code prohibit the use of torture “</w:t>
      </w:r>
      <w:r w:rsidRPr="009C3715">
        <w:rPr>
          <w:rFonts w:ascii="Garamond" w:hAnsi="Garamond"/>
          <w:i/>
          <w:sz w:val="24"/>
          <w:szCs w:val="24"/>
        </w:rPr>
        <w:t>and other illegal methods</w:t>
      </w:r>
      <w:r w:rsidRPr="009C3715">
        <w:rPr>
          <w:rFonts w:ascii="Garamond" w:hAnsi="Garamond"/>
          <w:sz w:val="24"/>
          <w:szCs w:val="24"/>
        </w:rPr>
        <w:t>” to obtain confessions or admissions, when used by public officials.</w:t>
      </w:r>
      <w:r w:rsidRPr="00FA3D94">
        <w:rPr>
          <w:rStyle w:val="EndnoteReference"/>
          <w:rFonts w:ascii="Garamond" w:hAnsi="Garamond"/>
          <w:sz w:val="24"/>
          <w:szCs w:val="24"/>
        </w:rPr>
        <w:endnoteReference w:id="27"/>
      </w:r>
      <w:r w:rsidRPr="009C3715">
        <w:rPr>
          <w:rFonts w:ascii="Garamond" w:hAnsi="Garamond"/>
          <w:sz w:val="24"/>
          <w:szCs w:val="24"/>
        </w:rPr>
        <w:t xml:space="preserve"> Iraq’s Penal Code outlaws cruel treatment, defining it as treatment by a public official that causes a loss of dignity or physical pain.</w:t>
      </w:r>
      <w:r w:rsidRPr="00FA3D94">
        <w:rPr>
          <w:rStyle w:val="EndnoteReference"/>
          <w:rFonts w:ascii="Garamond" w:hAnsi="Garamond"/>
          <w:sz w:val="24"/>
          <w:szCs w:val="24"/>
        </w:rPr>
        <w:endnoteReference w:id="28"/>
      </w:r>
      <w:r w:rsidRPr="009C3715">
        <w:rPr>
          <w:rFonts w:ascii="Garamond" w:hAnsi="Garamond"/>
          <w:sz w:val="24"/>
          <w:szCs w:val="24"/>
        </w:rPr>
        <w:t xml:space="preserve"> </w:t>
      </w:r>
    </w:p>
    <w:p w14:paraId="66812D02" w14:textId="77777777" w:rsidR="003963CA" w:rsidRPr="009C3715" w:rsidRDefault="003963CA" w:rsidP="003963CA">
      <w:pPr>
        <w:pStyle w:val="ListParagraph"/>
        <w:spacing w:after="120"/>
        <w:rPr>
          <w:rFonts w:ascii="Garamond" w:hAnsi="Garamond"/>
          <w:sz w:val="24"/>
          <w:szCs w:val="24"/>
        </w:rPr>
      </w:pPr>
    </w:p>
    <w:p w14:paraId="04A89573" w14:textId="361445EB" w:rsidR="003963CA" w:rsidRPr="00FA3D94" w:rsidRDefault="008320B8" w:rsidP="003963CA">
      <w:pPr>
        <w:pStyle w:val="ListParagraph"/>
        <w:widowControl/>
        <w:numPr>
          <w:ilvl w:val="0"/>
          <w:numId w:val="9"/>
        </w:numPr>
        <w:autoSpaceDE/>
        <w:autoSpaceDN/>
        <w:adjustRightInd/>
        <w:spacing w:afterLines="0"/>
        <w:rPr>
          <w:rFonts w:ascii="Garamond" w:hAnsi="Garamond"/>
          <w:sz w:val="24"/>
          <w:szCs w:val="24"/>
        </w:rPr>
      </w:pPr>
      <w:r>
        <w:rPr>
          <w:rFonts w:ascii="Garamond" w:hAnsi="Garamond"/>
          <w:sz w:val="24"/>
          <w:szCs w:val="24"/>
        </w:rPr>
        <w:t xml:space="preserve">Iraq’s prohibition on torture and its framing on custodial interrogations excludes multiple forms of sexual and gender-based violence disproportionately committed against women and girls. </w:t>
      </w:r>
      <w:r w:rsidR="003963CA" w:rsidRPr="00FA3D94">
        <w:rPr>
          <w:rFonts w:ascii="Garamond" w:hAnsi="Garamond"/>
          <w:sz w:val="24"/>
          <w:szCs w:val="24"/>
        </w:rPr>
        <w:t xml:space="preserve">The </w:t>
      </w:r>
      <w:r w:rsidR="003963CA" w:rsidRPr="008320B8">
        <w:rPr>
          <w:rFonts w:ascii="Garamond" w:hAnsi="Garamond"/>
          <w:sz w:val="24"/>
          <w:szCs w:val="24"/>
        </w:rPr>
        <w:t>C</w:t>
      </w:r>
      <w:r w:rsidRPr="008320B8">
        <w:rPr>
          <w:rFonts w:ascii="Garamond" w:hAnsi="Garamond"/>
          <w:sz w:val="24"/>
          <w:szCs w:val="24"/>
        </w:rPr>
        <w:t xml:space="preserve">onvention against </w:t>
      </w:r>
      <w:r w:rsidR="003963CA" w:rsidRPr="008320B8">
        <w:rPr>
          <w:rFonts w:ascii="Garamond" w:hAnsi="Garamond"/>
          <w:sz w:val="24"/>
          <w:szCs w:val="24"/>
        </w:rPr>
        <w:t>T</w:t>
      </w:r>
      <w:r w:rsidRPr="008320B8">
        <w:rPr>
          <w:rFonts w:ascii="Garamond" w:hAnsi="Garamond"/>
          <w:sz w:val="24"/>
          <w:szCs w:val="24"/>
        </w:rPr>
        <w:t>orture</w:t>
      </w:r>
      <w:r>
        <w:rPr>
          <w:rFonts w:ascii="Garamond" w:hAnsi="Garamond"/>
          <w:sz w:val="24"/>
          <w:szCs w:val="24"/>
        </w:rPr>
        <w:t xml:space="preserve"> (CAT)</w:t>
      </w:r>
      <w:r w:rsidR="003963CA" w:rsidRPr="008320B8">
        <w:rPr>
          <w:rFonts w:ascii="Garamond" w:hAnsi="Garamond"/>
          <w:sz w:val="24"/>
          <w:szCs w:val="24"/>
        </w:rPr>
        <w:t>, to which Iraq is a party</w:t>
      </w:r>
      <w:r w:rsidR="003963CA" w:rsidRPr="00FA3D94">
        <w:rPr>
          <w:rFonts w:ascii="Garamond" w:hAnsi="Garamond"/>
          <w:sz w:val="24"/>
          <w:szCs w:val="24"/>
        </w:rPr>
        <w:t xml:space="preserve">, defines torture in such a way to cover specific and sufficiently broad conduct to capture the various means and ways torture is </w:t>
      </w:r>
      <w:proofErr w:type="gramStart"/>
      <w:r w:rsidR="003963CA" w:rsidRPr="00FA3D94">
        <w:rPr>
          <w:rFonts w:ascii="Garamond" w:hAnsi="Garamond"/>
          <w:sz w:val="24"/>
          <w:szCs w:val="24"/>
        </w:rPr>
        <w:t>actually carried</w:t>
      </w:r>
      <w:proofErr w:type="gramEnd"/>
      <w:r w:rsidR="003963CA" w:rsidRPr="00FA3D94">
        <w:rPr>
          <w:rFonts w:ascii="Garamond" w:hAnsi="Garamond"/>
          <w:sz w:val="24"/>
          <w:szCs w:val="24"/>
        </w:rPr>
        <w:t xml:space="preserve"> out. It acknowledges that torture can be physical or mental, that it </w:t>
      </w:r>
      <w:r w:rsidR="003963CA" w:rsidRPr="00FA3D94">
        <w:rPr>
          <w:rFonts w:ascii="Garamond" w:hAnsi="Garamond"/>
          <w:sz w:val="24"/>
          <w:szCs w:val="24"/>
        </w:rPr>
        <w:lastRenderedPageBreak/>
        <w:t>can be performed because of discrimination, and that it can be done because of the mere acquiescence of a public official. This breadth allows for the gendered harms perpetrated by Daesh, including rape, sexual assault, trafficking, slavery, forced and child marriage, to be fully captured</w:t>
      </w:r>
      <w:r w:rsidR="003963CA" w:rsidRPr="00FA3D94">
        <w:rPr>
          <w:rStyle w:val="EndnoteReference"/>
          <w:rFonts w:ascii="Garamond" w:hAnsi="Garamond"/>
          <w:sz w:val="24"/>
          <w:szCs w:val="24"/>
        </w:rPr>
        <w:endnoteReference w:id="29"/>
      </w:r>
      <w:r w:rsidR="003963CA" w:rsidRPr="00FA3D94">
        <w:rPr>
          <w:rFonts w:ascii="Garamond" w:hAnsi="Garamond"/>
          <w:sz w:val="24"/>
          <w:szCs w:val="24"/>
        </w:rPr>
        <w:t>—and is therefore essential to ensuring full gender justice for Daesh crimes.</w:t>
      </w:r>
      <w:r w:rsidR="003963CA">
        <w:rPr>
          <w:rFonts w:ascii="Garamond" w:hAnsi="Garamond"/>
          <w:sz w:val="24"/>
          <w:szCs w:val="24"/>
        </w:rPr>
        <w:t xml:space="preserve"> </w:t>
      </w:r>
      <w:r w:rsidR="003963CA" w:rsidRPr="00FA3D94">
        <w:rPr>
          <w:rFonts w:ascii="Garamond" w:hAnsi="Garamond"/>
          <w:sz w:val="24"/>
          <w:szCs w:val="24"/>
        </w:rPr>
        <w:t>None of Iraq’s laws on torture define the types of conduct that constitute torture—they merely contain declarations that “</w:t>
      </w:r>
      <w:r w:rsidR="003963CA" w:rsidRPr="00FA3D94">
        <w:rPr>
          <w:rFonts w:ascii="Garamond" w:hAnsi="Garamond"/>
          <w:i/>
          <w:sz w:val="24"/>
          <w:szCs w:val="24"/>
        </w:rPr>
        <w:t>torture</w:t>
      </w:r>
      <w:r w:rsidR="003963CA" w:rsidRPr="00FA3D94">
        <w:rPr>
          <w:rFonts w:ascii="Garamond" w:hAnsi="Garamond"/>
          <w:sz w:val="24"/>
          <w:szCs w:val="24"/>
        </w:rPr>
        <w:t>” is prohibited. Accordingly, there is no clarity on what constitutes “</w:t>
      </w:r>
      <w:r w:rsidR="003963CA" w:rsidRPr="00FA3D94">
        <w:rPr>
          <w:rFonts w:ascii="Garamond" w:hAnsi="Garamond"/>
          <w:i/>
          <w:sz w:val="24"/>
          <w:szCs w:val="24"/>
        </w:rPr>
        <w:t>torture</w:t>
      </w:r>
      <w:r w:rsidR="003963CA" w:rsidRPr="00FA3D94">
        <w:rPr>
          <w:rFonts w:ascii="Garamond" w:hAnsi="Garamond"/>
          <w:sz w:val="24"/>
          <w:szCs w:val="24"/>
        </w:rPr>
        <w:t>” under Iraqi law.</w:t>
      </w:r>
      <w:r w:rsidR="003963CA">
        <w:rPr>
          <w:rFonts w:ascii="Garamond" w:hAnsi="Garamond"/>
          <w:sz w:val="24"/>
          <w:szCs w:val="24"/>
        </w:rPr>
        <w:t xml:space="preserve"> Without more specificity, conduct amounting to torture carried out against women and girls is often ignored. </w:t>
      </w:r>
      <w:r w:rsidR="003963CA" w:rsidRPr="00FA3D94">
        <w:rPr>
          <w:rFonts w:ascii="Garamond" w:hAnsi="Garamond"/>
          <w:sz w:val="24"/>
          <w:szCs w:val="24"/>
        </w:rPr>
        <w:t xml:space="preserve"> </w:t>
      </w:r>
    </w:p>
    <w:p w14:paraId="527A0995" w14:textId="77777777" w:rsidR="003963CA" w:rsidRPr="00FA3D94" w:rsidRDefault="003963CA" w:rsidP="003963CA">
      <w:pPr>
        <w:spacing w:after="0" w:line="240" w:lineRule="auto"/>
        <w:rPr>
          <w:rFonts w:ascii="Garamond" w:hAnsi="Garamond"/>
          <w:i/>
          <w:sz w:val="24"/>
          <w:szCs w:val="24"/>
        </w:rPr>
      </w:pPr>
    </w:p>
    <w:p w14:paraId="2ECE8ACC" w14:textId="77777777" w:rsidR="003963CA" w:rsidRPr="00FA3D94" w:rsidRDefault="003963CA" w:rsidP="003963CA">
      <w:pPr>
        <w:spacing w:after="0" w:line="240" w:lineRule="auto"/>
        <w:rPr>
          <w:rFonts w:ascii="Garamond" w:hAnsi="Garamond"/>
          <w:i/>
          <w:sz w:val="24"/>
          <w:szCs w:val="24"/>
        </w:rPr>
      </w:pPr>
      <w:r w:rsidRPr="00FA3D94">
        <w:rPr>
          <w:rFonts w:ascii="Garamond" w:hAnsi="Garamond"/>
          <w:i/>
          <w:sz w:val="24"/>
          <w:szCs w:val="24"/>
        </w:rPr>
        <w:t xml:space="preserve">Recommendations </w:t>
      </w:r>
    </w:p>
    <w:p w14:paraId="44AF7CA4" w14:textId="77777777" w:rsidR="003963CA" w:rsidRPr="00FA3D94" w:rsidRDefault="003963CA" w:rsidP="003963CA">
      <w:pPr>
        <w:pStyle w:val="ListParagraph"/>
        <w:numPr>
          <w:ilvl w:val="0"/>
          <w:numId w:val="7"/>
        </w:numPr>
        <w:spacing w:afterLines="0"/>
        <w:rPr>
          <w:rFonts w:ascii="Garamond" w:hAnsi="Garamond"/>
          <w:sz w:val="24"/>
          <w:szCs w:val="24"/>
        </w:rPr>
      </w:pPr>
      <w:r w:rsidRPr="00FA3D94">
        <w:rPr>
          <w:rFonts w:ascii="Garamond" w:hAnsi="Garamond"/>
          <w:sz w:val="24"/>
          <w:szCs w:val="24"/>
        </w:rPr>
        <w:t xml:space="preserve">The Government should adopt a legal definition of rape in line with international standards. </w:t>
      </w:r>
    </w:p>
    <w:p w14:paraId="1B4D72D3" w14:textId="77777777" w:rsidR="003963CA" w:rsidRPr="00FA3D94" w:rsidRDefault="003963CA" w:rsidP="003963CA">
      <w:pPr>
        <w:pStyle w:val="ListParagraph"/>
        <w:numPr>
          <w:ilvl w:val="0"/>
          <w:numId w:val="7"/>
        </w:numPr>
        <w:spacing w:afterLines="0"/>
        <w:rPr>
          <w:rFonts w:ascii="Garamond" w:hAnsi="Garamond"/>
          <w:sz w:val="24"/>
          <w:szCs w:val="24"/>
        </w:rPr>
      </w:pPr>
      <w:r w:rsidRPr="00FA3D94">
        <w:rPr>
          <w:rFonts w:ascii="Garamond" w:hAnsi="Garamond"/>
          <w:sz w:val="24"/>
          <w:szCs w:val="24"/>
        </w:rPr>
        <w:t>The Government should remove the requirements of victim initiation or participation for prosecution of rape or sexual violence.</w:t>
      </w:r>
    </w:p>
    <w:p w14:paraId="053ADAED" w14:textId="77777777" w:rsidR="003963CA" w:rsidRPr="00FA3D94" w:rsidRDefault="003963CA" w:rsidP="003963CA">
      <w:pPr>
        <w:pStyle w:val="ListParagraph"/>
        <w:numPr>
          <w:ilvl w:val="0"/>
          <w:numId w:val="7"/>
        </w:numPr>
        <w:spacing w:afterLines="0"/>
        <w:rPr>
          <w:rFonts w:ascii="Garamond" w:hAnsi="Garamond"/>
          <w:i/>
          <w:sz w:val="24"/>
          <w:szCs w:val="24"/>
        </w:rPr>
      </w:pPr>
      <w:r w:rsidRPr="00FA3D94">
        <w:rPr>
          <w:rFonts w:ascii="Garamond" w:hAnsi="Garamond"/>
          <w:sz w:val="24"/>
          <w:szCs w:val="24"/>
        </w:rPr>
        <w:t>The Government should criminalize and punish forced marriage.</w:t>
      </w:r>
    </w:p>
    <w:p w14:paraId="3DED7A82" w14:textId="0C42D9C3" w:rsidR="003963CA" w:rsidRPr="00FA3D94" w:rsidRDefault="003963CA" w:rsidP="003963CA">
      <w:pPr>
        <w:pStyle w:val="ListParagraph"/>
        <w:numPr>
          <w:ilvl w:val="0"/>
          <w:numId w:val="7"/>
        </w:numPr>
        <w:spacing w:afterLines="0"/>
        <w:rPr>
          <w:rFonts w:ascii="Garamond" w:hAnsi="Garamond"/>
          <w:i/>
          <w:sz w:val="24"/>
          <w:szCs w:val="24"/>
        </w:rPr>
      </w:pPr>
      <w:r>
        <w:rPr>
          <w:rFonts w:ascii="Garamond" w:hAnsi="Garamond"/>
          <w:sz w:val="24"/>
          <w:szCs w:val="24"/>
        </w:rPr>
        <w:t>The Government</w:t>
      </w:r>
      <w:r w:rsidRPr="00FA3D94">
        <w:rPr>
          <w:rFonts w:ascii="Garamond" w:hAnsi="Garamond"/>
          <w:sz w:val="24"/>
          <w:szCs w:val="24"/>
        </w:rPr>
        <w:t xml:space="preserve"> should adopt a definition of torture </w:t>
      </w:r>
      <w:r w:rsidR="00A8786F">
        <w:rPr>
          <w:rFonts w:ascii="Garamond" w:hAnsi="Garamond"/>
          <w:sz w:val="24"/>
          <w:szCs w:val="24"/>
        </w:rPr>
        <w:t>that is in line with international standards and recognizes sexual and gender-based violence as acts constituting serious mental and physical harm amounting to torture</w:t>
      </w:r>
      <w:proofErr w:type="gramStart"/>
      <w:r w:rsidR="00A8786F">
        <w:rPr>
          <w:rFonts w:ascii="Garamond" w:hAnsi="Garamond"/>
          <w:sz w:val="24"/>
          <w:szCs w:val="24"/>
        </w:rPr>
        <w:t xml:space="preserve">. </w:t>
      </w:r>
      <w:r w:rsidRPr="00FA3D94">
        <w:rPr>
          <w:rFonts w:ascii="Garamond" w:hAnsi="Garamond"/>
          <w:sz w:val="24"/>
          <w:szCs w:val="24"/>
        </w:rPr>
        <w:t>.</w:t>
      </w:r>
      <w:proofErr w:type="gramEnd"/>
    </w:p>
    <w:p w14:paraId="5A81A0D8" w14:textId="77777777" w:rsidR="003963CA" w:rsidRPr="00FA3D94" w:rsidRDefault="003963CA" w:rsidP="003963CA">
      <w:pPr>
        <w:pStyle w:val="ListParagraph"/>
        <w:numPr>
          <w:ilvl w:val="0"/>
          <w:numId w:val="7"/>
        </w:numPr>
        <w:spacing w:afterLines="0"/>
        <w:rPr>
          <w:rFonts w:ascii="Garamond" w:hAnsi="Garamond"/>
          <w:i/>
          <w:sz w:val="24"/>
          <w:szCs w:val="24"/>
        </w:rPr>
      </w:pPr>
      <w:r>
        <w:rPr>
          <w:rFonts w:ascii="Garamond" w:hAnsi="Garamond"/>
          <w:sz w:val="24"/>
          <w:szCs w:val="24"/>
        </w:rPr>
        <w:t>The Government</w:t>
      </w:r>
      <w:r w:rsidRPr="00FA3D94">
        <w:rPr>
          <w:rFonts w:ascii="Garamond" w:hAnsi="Garamond"/>
          <w:sz w:val="24"/>
          <w:szCs w:val="24"/>
        </w:rPr>
        <w:t xml:space="preserve"> should remove its reservations to CEDAW</w:t>
      </w:r>
      <w:r>
        <w:rPr>
          <w:rFonts w:ascii="Garamond" w:hAnsi="Garamond"/>
          <w:sz w:val="24"/>
          <w:szCs w:val="24"/>
        </w:rPr>
        <w:t>, specifically to</w:t>
      </w:r>
      <w:r w:rsidRPr="00FA3D94">
        <w:rPr>
          <w:rFonts w:ascii="Garamond" w:hAnsi="Garamond"/>
          <w:sz w:val="24"/>
          <w:szCs w:val="24"/>
        </w:rPr>
        <w:t xml:space="preserve"> Article 2(f) and (g) and Article </w:t>
      </w:r>
      <w:proofErr w:type="gramStart"/>
      <w:r w:rsidRPr="00FA3D94">
        <w:rPr>
          <w:rFonts w:ascii="Garamond" w:hAnsi="Garamond"/>
          <w:sz w:val="24"/>
          <w:szCs w:val="24"/>
        </w:rPr>
        <w:t>16</w:t>
      </w:r>
      <w:r>
        <w:rPr>
          <w:rFonts w:ascii="Garamond" w:hAnsi="Garamond"/>
          <w:sz w:val="24"/>
          <w:szCs w:val="24"/>
        </w:rPr>
        <w:t>,</w:t>
      </w:r>
      <w:r w:rsidRPr="00FA3D94">
        <w:rPr>
          <w:rFonts w:ascii="Garamond" w:hAnsi="Garamond"/>
          <w:sz w:val="24"/>
          <w:szCs w:val="24"/>
        </w:rPr>
        <w:t xml:space="preserve"> and</w:t>
      </w:r>
      <w:proofErr w:type="gramEnd"/>
      <w:r w:rsidRPr="00FA3D94">
        <w:rPr>
          <w:rFonts w:ascii="Garamond" w:hAnsi="Garamond"/>
          <w:sz w:val="24"/>
          <w:szCs w:val="24"/>
        </w:rPr>
        <w:t xml:space="preserve"> take steps to fully implement CEDAW. </w:t>
      </w:r>
    </w:p>
    <w:p w14:paraId="3A047395" w14:textId="77777777" w:rsidR="003963CA" w:rsidRDefault="003963CA" w:rsidP="003963CA">
      <w:pPr>
        <w:spacing w:after="0" w:line="240" w:lineRule="auto"/>
        <w:rPr>
          <w:i/>
          <w:sz w:val="24"/>
          <w:szCs w:val="24"/>
        </w:rPr>
      </w:pPr>
    </w:p>
    <w:p w14:paraId="57D2F14C" w14:textId="77777777" w:rsidR="003963CA" w:rsidRPr="00F423BF" w:rsidRDefault="003963CA" w:rsidP="003963CA">
      <w:pPr>
        <w:spacing w:after="0" w:line="240" w:lineRule="auto"/>
        <w:rPr>
          <w:i/>
          <w:sz w:val="24"/>
          <w:szCs w:val="24"/>
        </w:rPr>
      </w:pPr>
    </w:p>
    <w:p w14:paraId="527FC61A" w14:textId="77777777" w:rsidR="003963CA" w:rsidRPr="007444FB" w:rsidRDefault="003963CA" w:rsidP="003963CA">
      <w:pPr>
        <w:pStyle w:val="ListParagraph"/>
        <w:numPr>
          <w:ilvl w:val="0"/>
          <w:numId w:val="6"/>
        </w:numPr>
        <w:spacing w:afterLines="0"/>
        <w:ind w:left="180" w:hanging="180"/>
        <w:rPr>
          <w:rFonts w:ascii="Garamond" w:hAnsi="Garamond"/>
          <w:b/>
          <w:sz w:val="24"/>
          <w:szCs w:val="24"/>
        </w:rPr>
      </w:pPr>
      <w:r w:rsidRPr="007444FB">
        <w:rPr>
          <w:rFonts w:ascii="Garamond" w:hAnsi="Garamond"/>
          <w:b/>
          <w:sz w:val="24"/>
          <w:szCs w:val="24"/>
        </w:rPr>
        <w:t xml:space="preserve">International Crimes </w:t>
      </w:r>
    </w:p>
    <w:p w14:paraId="0ADFB6F4" w14:textId="77777777" w:rsidR="003963CA" w:rsidRPr="007444FB" w:rsidRDefault="003963CA" w:rsidP="003963CA">
      <w:pPr>
        <w:spacing w:after="0" w:line="240" w:lineRule="auto"/>
        <w:rPr>
          <w:rFonts w:ascii="Garamond" w:hAnsi="Garamond"/>
          <w:b/>
          <w:sz w:val="24"/>
          <w:szCs w:val="24"/>
        </w:rPr>
      </w:pPr>
    </w:p>
    <w:p w14:paraId="437A6A82" w14:textId="38BCBD4D" w:rsidR="003963CA" w:rsidRPr="009C3715" w:rsidRDefault="003963CA" w:rsidP="003963CA">
      <w:pPr>
        <w:pStyle w:val="ListParagraph"/>
        <w:numPr>
          <w:ilvl w:val="0"/>
          <w:numId w:val="9"/>
        </w:numPr>
        <w:spacing w:afterLines="0"/>
        <w:rPr>
          <w:rFonts w:ascii="Garamond" w:hAnsi="Garamond"/>
          <w:sz w:val="24"/>
          <w:szCs w:val="24"/>
        </w:rPr>
      </w:pPr>
      <w:bookmarkStart w:id="1" w:name="_Hlk508302344"/>
      <w:r w:rsidRPr="009C3715">
        <w:rPr>
          <w:rFonts w:ascii="Garamond" w:hAnsi="Garamond"/>
          <w:sz w:val="24"/>
          <w:szCs w:val="24"/>
        </w:rPr>
        <w:t xml:space="preserve">The broad and systematic nature of Daesh’s violence elevated their crimes beyond the traditional domestic framework and into international concern. Daesh committed </w:t>
      </w:r>
      <w:proofErr w:type="gramStart"/>
      <w:r w:rsidRPr="009C3715">
        <w:rPr>
          <w:rFonts w:ascii="Garamond" w:hAnsi="Garamond"/>
          <w:sz w:val="24"/>
          <w:szCs w:val="24"/>
        </w:rPr>
        <w:t>all of</w:t>
      </w:r>
      <w:proofErr w:type="gramEnd"/>
      <w:r w:rsidRPr="009C3715">
        <w:rPr>
          <w:rFonts w:ascii="Garamond" w:hAnsi="Garamond"/>
          <w:sz w:val="24"/>
          <w:szCs w:val="24"/>
        </w:rPr>
        <w:t xml:space="preserve"> the core international atrocity crimes of genocide, crimes against humanity, and war crimes</w:t>
      </w:r>
      <w:bookmarkEnd w:id="1"/>
      <w:r>
        <w:rPr>
          <w:rFonts w:ascii="Garamond" w:hAnsi="Garamond"/>
          <w:sz w:val="24"/>
          <w:szCs w:val="24"/>
        </w:rPr>
        <w:t>;</w:t>
      </w:r>
      <w:r w:rsidRPr="009C3715">
        <w:rPr>
          <w:rFonts w:ascii="Garamond" w:hAnsi="Garamond"/>
          <w:sz w:val="24"/>
          <w:szCs w:val="24"/>
        </w:rPr>
        <w:t xml:space="preserve"> yet none of these have been formally outlawed by Iraq.</w:t>
      </w:r>
      <w:r w:rsidRPr="009C3715">
        <w:rPr>
          <w:rFonts w:ascii="Garamond" w:hAnsi="Garamond"/>
          <w:b/>
          <w:sz w:val="24"/>
          <w:szCs w:val="24"/>
        </w:rPr>
        <w:t xml:space="preserve"> </w:t>
      </w:r>
      <w:r w:rsidRPr="009C3715">
        <w:rPr>
          <w:rFonts w:ascii="Garamond" w:hAnsi="Garamond"/>
          <w:sz w:val="24"/>
          <w:szCs w:val="24"/>
        </w:rPr>
        <w:t xml:space="preserve">Failing to </w:t>
      </w:r>
      <w:r w:rsidR="0094076F">
        <w:rPr>
          <w:rFonts w:ascii="Garamond" w:hAnsi="Garamond"/>
          <w:sz w:val="24"/>
          <w:szCs w:val="24"/>
        </w:rPr>
        <w:t xml:space="preserve">legislate against, </w:t>
      </w:r>
      <w:r w:rsidRPr="009C3715">
        <w:rPr>
          <w:rFonts w:ascii="Garamond" w:hAnsi="Garamond"/>
          <w:sz w:val="24"/>
          <w:szCs w:val="24"/>
        </w:rPr>
        <w:t>investigate and prosecute international atrocity crimes as distinct crimes with specific gendered harms misses an opportunity to build a complete historical record, honor the experiences of victims, and ensure full accountability for Daesh’s criminality.</w:t>
      </w:r>
      <w:r w:rsidR="0094076F">
        <w:rPr>
          <w:rFonts w:ascii="Garamond" w:hAnsi="Garamond"/>
          <w:sz w:val="24"/>
          <w:szCs w:val="24"/>
        </w:rPr>
        <w:t xml:space="preserve"> By failing to include these crimes in its broader criminal legal framework, Iraq perpetuates a legal environment that precludes justice for survivors of Daesh’s most heinous sexual and gender-based violence crimes. </w:t>
      </w:r>
    </w:p>
    <w:p w14:paraId="4A54DC16" w14:textId="77777777" w:rsidR="003963CA" w:rsidRPr="007444FB" w:rsidRDefault="003963CA" w:rsidP="003963CA">
      <w:pPr>
        <w:spacing w:after="0" w:line="240" w:lineRule="auto"/>
        <w:rPr>
          <w:rFonts w:ascii="Garamond" w:hAnsi="Garamond"/>
          <w:sz w:val="24"/>
          <w:szCs w:val="24"/>
        </w:rPr>
      </w:pPr>
    </w:p>
    <w:p w14:paraId="348C102F" w14:textId="77777777" w:rsidR="003963CA" w:rsidRDefault="003963CA" w:rsidP="003963CA">
      <w:pPr>
        <w:spacing w:after="0" w:line="240" w:lineRule="auto"/>
        <w:rPr>
          <w:rFonts w:ascii="Garamond" w:hAnsi="Garamond"/>
          <w:b/>
          <w:sz w:val="24"/>
          <w:szCs w:val="24"/>
          <w:u w:val="single"/>
        </w:rPr>
      </w:pPr>
      <w:r w:rsidRPr="007444FB">
        <w:rPr>
          <w:rFonts w:ascii="Garamond" w:hAnsi="Garamond"/>
          <w:b/>
          <w:sz w:val="24"/>
          <w:szCs w:val="24"/>
          <w:u w:val="single"/>
        </w:rPr>
        <w:t>Genocide</w:t>
      </w:r>
    </w:p>
    <w:p w14:paraId="7C55ACE4" w14:textId="77777777" w:rsidR="003963CA" w:rsidRPr="007444FB" w:rsidRDefault="003963CA" w:rsidP="003963CA">
      <w:pPr>
        <w:spacing w:after="0" w:line="240" w:lineRule="auto"/>
        <w:rPr>
          <w:rFonts w:ascii="Garamond" w:hAnsi="Garamond"/>
          <w:b/>
          <w:sz w:val="24"/>
          <w:szCs w:val="24"/>
          <w:u w:val="single"/>
        </w:rPr>
      </w:pPr>
    </w:p>
    <w:p w14:paraId="7DD6B484" w14:textId="2894B1F1" w:rsidR="003963CA" w:rsidRDefault="003963CA" w:rsidP="003963CA">
      <w:pPr>
        <w:pStyle w:val="ListParagraph"/>
        <w:numPr>
          <w:ilvl w:val="0"/>
          <w:numId w:val="9"/>
        </w:numPr>
        <w:spacing w:afterLines="0"/>
        <w:rPr>
          <w:rFonts w:ascii="Garamond" w:hAnsi="Garamond"/>
          <w:sz w:val="24"/>
          <w:szCs w:val="24"/>
        </w:rPr>
      </w:pPr>
      <w:r w:rsidRPr="009C3715">
        <w:rPr>
          <w:rFonts w:ascii="Garamond" w:hAnsi="Garamond"/>
          <w:sz w:val="24"/>
          <w:szCs w:val="24"/>
        </w:rPr>
        <w:t>Iraq has no domestic law prohibiting or punishing genocide</w:t>
      </w:r>
      <w:r>
        <w:rPr>
          <w:rFonts w:ascii="Garamond" w:hAnsi="Garamond"/>
          <w:sz w:val="24"/>
          <w:szCs w:val="24"/>
        </w:rPr>
        <w:t>,</w:t>
      </w:r>
      <w:r w:rsidRPr="007444FB">
        <w:rPr>
          <w:rStyle w:val="EndnoteReference"/>
          <w:rFonts w:ascii="Garamond" w:hAnsi="Garamond"/>
          <w:sz w:val="24"/>
          <w:szCs w:val="24"/>
        </w:rPr>
        <w:endnoteReference w:id="30"/>
      </w:r>
      <w:r w:rsidRPr="009C3715">
        <w:rPr>
          <w:rFonts w:ascii="Garamond" w:hAnsi="Garamond"/>
          <w:sz w:val="24"/>
          <w:szCs w:val="24"/>
        </w:rPr>
        <w:t xml:space="preserve"> </w:t>
      </w:r>
      <w:r>
        <w:rPr>
          <w:rFonts w:ascii="Garamond" w:hAnsi="Garamond"/>
          <w:sz w:val="24"/>
          <w:szCs w:val="24"/>
        </w:rPr>
        <w:t>no</w:t>
      </w:r>
      <w:r w:rsidRPr="009C3715">
        <w:rPr>
          <w:rFonts w:ascii="Garamond" w:hAnsi="Garamond"/>
          <w:sz w:val="24"/>
          <w:szCs w:val="24"/>
        </w:rPr>
        <w:t xml:space="preserve">r does it have criminal prohibitions on persecution or any other law that encapsulates attempts or acts aimed at destroying the Yazidis or eradicating those based on group identity. Iraq is a party to the Convention on the Prevention and Punishment </w:t>
      </w:r>
      <w:r>
        <w:rPr>
          <w:rFonts w:ascii="Garamond" w:hAnsi="Garamond"/>
          <w:sz w:val="24"/>
          <w:szCs w:val="24"/>
        </w:rPr>
        <w:t>of</w:t>
      </w:r>
      <w:r w:rsidRPr="009C3715">
        <w:rPr>
          <w:rFonts w:ascii="Garamond" w:hAnsi="Garamond"/>
          <w:sz w:val="24"/>
          <w:szCs w:val="24"/>
        </w:rPr>
        <w:t xml:space="preserve"> the Crime of Genocide,</w:t>
      </w:r>
      <w:r w:rsidRPr="007444FB">
        <w:rPr>
          <w:vertAlign w:val="superscript"/>
        </w:rPr>
        <w:endnoteReference w:id="31"/>
      </w:r>
      <w:r w:rsidRPr="009C3715">
        <w:rPr>
          <w:rFonts w:ascii="Garamond" w:hAnsi="Garamond"/>
          <w:sz w:val="24"/>
          <w:szCs w:val="24"/>
        </w:rPr>
        <w:t xml:space="preserve"> but has not complied with its treaty obligations to make genocide a crime in the Iraqi Penal Code. </w:t>
      </w:r>
      <w:r w:rsidR="003C157E" w:rsidRPr="007444FB">
        <w:rPr>
          <w:rFonts w:ascii="Garamond" w:hAnsi="Garamond"/>
          <w:sz w:val="24"/>
          <w:szCs w:val="24"/>
        </w:rPr>
        <w:t>The absence of a law criminalizing genocide means that the specific nature of Daesh’s intent to destroy the Yazidis will not, and indeed cannot, be punished. There will be no accountability for the fact that Daesh intentionally targeted Yazidi</w:t>
      </w:r>
      <w:r w:rsidR="003C157E">
        <w:rPr>
          <w:rFonts w:ascii="Garamond" w:hAnsi="Garamond"/>
          <w:sz w:val="24"/>
          <w:szCs w:val="24"/>
        </w:rPr>
        <w:t xml:space="preserve"> women and girls</w:t>
      </w:r>
      <w:r w:rsidR="003C157E" w:rsidRPr="007444FB">
        <w:rPr>
          <w:rFonts w:ascii="Garamond" w:hAnsi="Garamond"/>
          <w:sz w:val="24"/>
          <w:szCs w:val="24"/>
        </w:rPr>
        <w:t xml:space="preserve"> for destruction with acts including killing, rape, forcible transfer, and enslavement</w:t>
      </w:r>
      <w:r w:rsidRPr="009C3715">
        <w:rPr>
          <w:rFonts w:ascii="Garamond" w:hAnsi="Garamond"/>
          <w:sz w:val="24"/>
          <w:szCs w:val="24"/>
        </w:rPr>
        <w:t>.</w:t>
      </w:r>
      <w:r w:rsidR="003C157E" w:rsidRPr="007444FB">
        <w:rPr>
          <w:rStyle w:val="EndnoteReference"/>
          <w:rFonts w:ascii="Garamond" w:hAnsi="Garamond"/>
          <w:w w:val="95"/>
          <w:sz w:val="24"/>
          <w:szCs w:val="24"/>
        </w:rPr>
        <w:endnoteReference w:id="32"/>
      </w:r>
    </w:p>
    <w:p w14:paraId="6D2BEE6B" w14:textId="276BD4E3" w:rsidR="003963CA" w:rsidRPr="003C157E" w:rsidRDefault="003963CA" w:rsidP="003C157E">
      <w:pPr>
        <w:rPr>
          <w:rFonts w:ascii="Garamond" w:hAnsi="Garamond"/>
          <w:sz w:val="24"/>
          <w:szCs w:val="24"/>
        </w:rPr>
      </w:pPr>
    </w:p>
    <w:p w14:paraId="49666D04" w14:textId="77777777" w:rsidR="003963CA" w:rsidRPr="007444FB" w:rsidRDefault="003963CA" w:rsidP="003963CA">
      <w:pPr>
        <w:pStyle w:val="ListParagraph"/>
        <w:widowControl/>
        <w:autoSpaceDE/>
        <w:autoSpaceDN/>
        <w:adjustRightInd/>
        <w:spacing w:afterLines="0"/>
        <w:rPr>
          <w:rFonts w:ascii="Garamond" w:hAnsi="Garamond"/>
          <w:sz w:val="24"/>
          <w:szCs w:val="24"/>
        </w:rPr>
      </w:pPr>
    </w:p>
    <w:p w14:paraId="79710CE3" w14:textId="77777777" w:rsidR="003963CA" w:rsidRDefault="003963CA" w:rsidP="003963CA">
      <w:pPr>
        <w:spacing w:after="0" w:line="240" w:lineRule="auto"/>
        <w:rPr>
          <w:rFonts w:ascii="Garamond" w:hAnsi="Garamond"/>
          <w:b/>
          <w:sz w:val="24"/>
          <w:szCs w:val="24"/>
          <w:u w:val="single"/>
        </w:rPr>
      </w:pPr>
      <w:r w:rsidRPr="007444FB">
        <w:rPr>
          <w:rFonts w:ascii="Garamond" w:hAnsi="Garamond"/>
          <w:b/>
          <w:sz w:val="24"/>
          <w:szCs w:val="24"/>
          <w:u w:val="single"/>
        </w:rPr>
        <w:t>Crimes against Humanity</w:t>
      </w:r>
    </w:p>
    <w:p w14:paraId="010869E3" w14:textId="77777777" w:rsidR="003963CA" w:rsidRPr="007444FB" w:rsidRDefault="003963CA" w:rsidP="003963CA">
      <w:pPr>
        <w:spacing w:after="0" w:line="240" w:lineRule="auto"/>
        <w:rPr>
          <w:rFonts w:ascii="Garamond" w:hAnsi="Garamond"/>
          <w:b/>
          <w:sz w:val="24"/>
          <w:szCs w:val="24"/>
        </w:rPr>
      </w:pPr>
    </w:p>
    <w:p w14:paraId="3AD2E209" w14:textId="77777777" w:rsidR="003963CA" w:rsidRDefault="003963CA" w:rsidP="003963CA">
      <w:pPr>
        <w:pStyle w:val="ListParagraph"/>
        <w:numPr>
          <w:ilvl w:val="0"/>
          <w:numId w:val="9"/>
        </w:numPr>
        <w:spacing w:after="120"/>
        <w:rPr>
          <w:rFonts w:ascii="Garamond" w:hAnsi="Garamond"/>
          <w:sz w:val="24"/>
          <w:szCs w:val="24"/>
        </w:rPr>
      </w:pPr>
      <w:r w:rsidRPr="009C3715">
        <w:rPr>
          <w:rFonts w:ascii="Garamond" w:hAnsi="Garamond"/>
          <w:sz w:val="24"/>
          <w:szCs w:val="24"/>
        </w:rPr>
        <w:t>Iraq does not have domestic legislation penalizing crimes against humanity.</w:t>
      </w:r>
      <w:r w:rsidRPr="007444FB">
        <w:rPr>
          <w:rStyle w:val="EndnoteReference"/>
          <w:rFonts w:ascii="Garamond" w:hAnsi="Garamond"/>
          <w:sz w:val="24"/>
          <w:szCs w:val="24"/>
        </w:rPr>
        <w:endnoteReference w:id="33"/>
      </w:r>
      <w:r w:rsidRPr="009C3715">
        <w:rPr>
          <w:rFonts w:ascii="Garamond" w:hAnsi="Garamond"/>
          <w:sz w:val="24"/>
          <w:szCs w:val="24"/>
        </w:rPr>
        <w:t xml:space="preserve"> Thus, Iraq’s Penal Code does not properly account for the organized, widespread, or systemic attacks that characterize Daesh’s crimes. The specific prohibition of “</w:t>
      </w:r>
      <w:r w:rsidRPr="009C3715">
        <w:rPr>
          <w:rFonts w:ascii="Garamond" w:hAnsi="Garamond"/>
          <w:i/>
          <w:sz w:val="24"/>
          <w:szCs w:val="24"/>
        </w:rPr>
        <w:t>crimes against humanity</w:t>
      </w:r>
      <w:r w:rsidRPr="009C3715">
        <w:rPr>
          <w:rFonts w:ascii="Garamond" w:hAnsi="Garamond"/>
          <w:sz w:val="24"/>
          <w:szCs w:val="24"/>
        </w:rPr>
        <w:t>” is intended to name and criminalize conduct that is viewed as an attack on the very quality of being human.</w:t>
      </w:r>
      <w:r w:rsidRPr="007444FB">
        <w:rPr>
          <w:rStyle w:val="EndnoteReference"/>
          <w:rFonts w:ascii="Garamond" w:hAnsi="Garamond"/>
          <w:sz w:val="24"/>
          <w:szCs w:val="24"/>
        </w:rPr>
        <w:endnoteReference w:id="34"/>
      </w:r>
      <w:r w:rsidRPr="009C3715">
        <w:rPr>
          <w:rFonts w:ascii="Garamond" w:hAnsi="Garamond"/>
          <w:sz w:val="24"/>
          <w:szCs w:val="24"/>
        </w:rPr>
        <w:t xml:space="preserve"> Indeed, “</w:t>
      </w:r>
      <w:r w:rsidRPr="009C3715">
        <w:rPr>
          <w:rFonts w:ascii="Garamond" w:hAnsi="Garamond"/>
          <w:i/>
          <w:sz w:val="24"/>
          <w:szCs w:val="24"/>
        </w:rPr>
        <w:t>the crime is so heinous that it is an attack not just upon the immediate victims, but also against all humanity, and hence the entire community of humankind has an interest in its punishment.</w:t>
      </w:r>
      <w:r w:rsidRPr="009C3715">
        <w:rPr>
          <w:rFonts w:ascii="Garamond" w:hAnsi="Garamond"/>
          <w:sz w:val="24"/>
          <w:szCs w:val="24"/>
        </w:rPr>
        <w:t>”</w:t>
      </w:r>
      <w:r w:rsidRPr="007444FB">
        <w:rPr>
          <w:rStyle w:val="EndnoteReference"/>
          <w:rFonts w:ascii="Garamond" w:hAnsi="Garamond"/>
          <w:sz w:val="24"/>
          <w:szCs w:val="24"/>
        </w:rPr>
        <w:endnoteReference w:id="35"/>
      </w:r>
      <w:r w:rsidRPr="009C3715">
        <w:rPr>
          <w:rFonts w:ascii="Garamond" w:hAnsi="Garamond"/>
          <w:sz w:val="24"/>
          <w:szCs w:val="24"/>
        </w:rPr>
        <w:t xml:space="preserve"> Central to this crime is the widespread and systematic nature of the perpetrator’s conduct. Daesh crimes fall squarely within this definition. The efficiency and uniform </w:t>
      </w:r>
      <w:proofErr w:type="gramStart"/>
      <w:r w:rsidRPr="009C3715">
        <w:rPr>
          <w:rFonts w:ascii="Garamond" w:hAnsi="Garamond"/>
          <w:sz w:val="24"/>
          <w:szCs w:val="24"/>
        </w:rPr>
        <w:t>manner in which</w:t>
      </w:r>
      <w:proofErr w:type="gramEnd"/>
      <w:r w:rsidRPr="009C3715">
        <w:rPr>
          <w:rFonts w:ascii="Garamond" w:hAnsi="Garamond"/>
          <w:sz w:val="24"/>
          <w:szCs w:val="24"/>
        </w:rPr>
        <w:t xml:space="preserve"> Daesh committed its sexual and gender-based violence are central to its criminality, and therefore must be accounted for in Iraq’s efforts at justice.</w:t>
      </w:r>
    </w:p>
    <w:p w14:paraId="4736526E" w14:textId="77777777" w:rsidR="003963CA" w:rsidRPr="009C3715" w:rsidRDefault="003963CA" w:rsidP="003963CA">
      <w:pPr>
        <w:pStyle w:val="ListParagraph"/>
        <w:spacing w:after="120"/>
        <w:rPr>
          <w:rFonts w:ascii="Garamond" w:hAnsi="Garamond"/>
          <w:sz w:val="24"/>
          <w:szCs w:val="24"/>
        </w:rPr>
      </w:pPr>
    </w:p>
    <w:p w14:paraId="0A051F21" w14:textId="77777777" w:rsidR="003963CA" w:rsidRPr="007444FB" w:rsidRDefault="003963CA" w:rsidP="003963CA">
      <w:pPr>
        <w:pStyle w:val="ListParagraph"/>
        <w:widowControl/>
        <w:numPr>
          <w:ilvl w:val="0"/>
          <w:numId w:val="9"/>
        </w:numPr>
        <w:autoSpaceDE/>
        <w:autoSpaceDN/>
        <w:adjustRightInd/>
        <w:spacing w:afterLines="0"/>
        <w:rPr>
          <w:rFonts w:ascii="Garamond" w:hAnsi="Garamond"/>
          <w:sz w:val="24"/>
          <w:szCs w:val="24"/>
        </w:rPr>
      </w:pPr>
      <w:r w:rsidRPr="007444FB">
        <w:rPr>
          <w:rFonts w:ascii="Garamond" w:hAnsi="Garamond"/>
          <w:sz w:val="24"/>
          <w:szCs w:val="24"/>
        </w:rPr>
        <w:t xml:space="preserve">Without a dedicated law, Iraq is incapable of punishing, stigmatizing, or memorializing the egregious systemization and scale of crimes Daesh committed, not only against individuals but the </w:t>
      </w:r>
      <w:proofErr w:type="gramStart"/>
      <w:r w:rsidRPr="007444FB">
        <w:rPr>
          <w:rFonts w:ascii="Garamond" w:hAnsi="Garamond"/>
          <w:sz w:val="24"/>
          <w:szCs w:val="24"/>
        </w:rPr>
        <w:t>community as a whole</w:t>
      </w:r>
      <w:proofErr w:type="gramEnd"/>
      <w:r w:rsidRPr="007444FB">
        <w:rPr>
          <w:rFonts w:ascii="Garamond" w:hAnsi="Garamond"/>
          <w:sz w:val="24"/>
          <w:szCs w:val="24"/>
        </w:rPr>
        <w:t>. By not codifying crimes against humanity domestically, justice for women and ethnic minorities is precluded and amounts to discrimination.</w:t>
      </w:r>
    </w:p>
    <w:p w14:paraId="0187EE50" w14:textId="77777777" w:rsidR="003963CA" w:rsidRDefault="003963CA" w:rsidP="003963CA">
      <w:pPr>
        <w:spacing w:after="0" w:line="240" w:lineRule="auto"/>
        <w:rPr>
          <w:rFonts w:ascii="Garamond" w:hAnsi="Garamond"/>
          <w:b/>
          <w:sz w:val="24"/>
          <w:szCs w:val="24"/>
          <w:u w:val="single"/>
        </w:rPr>
      </w:pPr>
    </w:p>
    <w:p w14:paraId="56CE24D0" w14:textId="77777777" w:rsidR="003963CA" w:rsidRDefault="003963CA" w:rsidP="003963CA">
      <w:pPr>
        <w:spacing w:after="0" w:line="240" w:lineRule="auto"/>
        <w:rPr>
          <w:rFonts w:ascii="Garamond" w:hAnsi="Garamond"/>
          <w:b/>
          <w:sz w:val="24"/>
          <w:szCs w:val="24"/>
          <w:u w:val="single"/>
        </w:rPr>
      </w:pPr>
      <w:r w:rsidRPr="007444FB">
        <w:rPr>
          <w:rFonts w:ascii="Garamond" w:hAnsi="Garamond"/>
          <w:b/>
          <w:sz w:val="24"/>
          <w:szCs w:val="24"/>
          <w:u w:val="single"/>
        </w:rPr>
        <w:t>War Crimes</w:t>
      </w:r>
    </w:p>
    <w:p w14:paraId="3D6730C8" w14:textId="77777777" w:rsidR="003963CA" w:rsidRPr="007444FB" w:rsidRDefault="003963CA" w:rsidP="003963CA">
      <w:pPr>
        <w:spacing w:after="0" w:line="240" w:lineRule="auto"/>
        <w:rPr>
          <w:rFonts w:ascii="Garamond" w:hAnsi="Garamond"/>
          <w:b/>
          <w:sz w:val="24"/>
          <w:szCs w:val="24"/>
          <w:u w:val="single"/>
        </w:rPr>
      </w:pPr>
    </w:p>
    <w:p w14:paraId="3AC73934" w14:textId="77777777" w:rsidR="003963CA" w:rsidRDefault="003963CA" w:rsidP="003963CA">
      <w:pPr>
        <w:pStyle w:val="ListParagraph"/>
        <w:numPr>
          <w:ilvl w:val="0"/>
          <w:numId w:val="9"/>
        </w:numPr>
        <w:spacing w:afterLines="0"/>
        <w:rPr>
          <w:rFonts w:ascii="Garamond" w:hAnsi="Garamond"/>
          <w:sz w:val="24"/>
          <w:szCs w:val="24"/>
        </w:rPr>
      </w:pPr>
      <w:r w:rsidRPr="009C3715">
        <w:rPr>
          <w:rFonts w:ascii="Garamond" w:hAnsi="Garamond"/>
          <w:sz w:val="24"/>
          <w:szCs w:val="24"/>
        </w:rPr>
        <w:t>Iraq does not have domestic legislation penalizing war crimes. Iraq is a party to the four Geneva Conventions of 1949 and Additional Protocol I of 1977,</w:t>
      </w:r>
      <w:r w:rsidRPr="007444FB">
        <w:rPr>
          <w:rStyle w:val="EndnoteReference"/>
          <w:rFonts w:ascii="Garamond" w:hAnsi="Garamond"/>
          <w:sz w:val="24"/>
          <w:szCs w:val="24"/>
        </w:rPr>
        <w:endnoteReference w:id="36"/>
      </w:r>
      <w:r w:rsidRPr="009C3715">
        <w:rPr>
          <w:rFonts w:ascii="Garamond" w:hAnsi="Garamond"/>
          <w:sz w:val="24"/>
          <w:szCs w:val="24"/>
        </w:rPr>
        <w:t xml:space="preserve"> and accordingly has international obligations to criminalize and hold accountable war criminals. In fact, under the Geneva Conventions of 1949, Iraq has </w:t>
      </w:r>
      <w:r w:rsidRPr="003C157E">
        <w:rPr>
          <w:rFonts w:ascii="Garamond" w:hAnsi="Garamond"/>
          <w:sz w:val="24"/>
          <w:szCs w:val="24"/>
        </w:rPr>
        <w:t>legal obligations</w:t>
      </w:r>
      <w:r w:rsidRPr="009C3715">
        <w:rPr>
          <w:rFonts w:ascii="Garamond" w:hAnsi="Garamond"/>
          <w:sz w:val="24"/>
          <w:szCs w:val="24"/>
        </w:rPr>
        <w:t xml:space="preserve"> to pass legislation prohibiting and punishing war crimes.</w:t>
      </w:r>
      <w:r w:rsidRPr="007444FB">
        <w:rPr>
          <w:rStyle w:val="EndnoteReference"/>
          <w:rFonts w:ascii="Garamond" w:hAnsi="Garamond"/>
          <w:sz w:val="24"/>
          <w:szCs w:val="24"/>
        </w:rPr>
        <w:endnoteReference w:id="37"/>
      </w:r>
      <w:r w:rsidRPr="009C3715">
        <w:rPr>
          <w:rFonts w:ascii="Garamond" w:hAnsi="Garamond"/>
          <w:sz w:val="24"/>
          <w:szCs w:val="24"/>
        </w:rPr>
        <w:t xml:space="preserve"> These obligations remain unfulfilled </w:t>
      </w:r>
      <w:proofErr w:type="gramStart"/>
      <w:r w:rsidRPr="009C3715">
        <w:rPr>
          <w:rFonts w:ascii="Garamond" w:hAnsi="Garamond"/>
          <w:sz w:val="24"/>
          <w:szCs w:val="24"/>
        </w:rPr>
        <w:t>as long as</w:t>
      </w:r>
      <w:proofErr w:type="gramEnd"/>
      <w:r w:rsidRPr="009C3715">
        <w:rPr>
          <w:rFonts w:ascii="Garamond" w:hAnsi="Garamond"/>
          <w:sz w:val="24"/>
          <w:szCs w:val="24"/>
        </w:rPr>
        <w:t xml:space="preserve"> the Iraqi Penal Code does not specifically incorporate and penalize war crimes. </w:t>
      </w:r>
    </w:p>
    <w:p w14:paraId="07EA63D9" w14:textId="77777777" w:rsidR="003963CA" w:rsidRPr="009C3715" w:rsidRDefault="003963CA" w:rsidP="003963CA">
      <w:pPr>
        <w:pStyle w:val="ListParagraph"/>
        <w:spacing w:afterLines="0"/>
        <w:rPr>
          <w:rFonts w:ascii="Garamond" w:hAnsi="Garamond"/>
          <w:sz w:val="24"/>
          <w:szCs w:val="24"/>
        </w:rPr>
      </w:pPr>
    </w:p>
    <w:p w14:paraId="46053B25" w14:textId="41BF9A86" w:rsidR="003963CA" w:rsidRPr="007444FB" w:rsidRDefault="003963CA" w:rsidP="003963CA">
      <w:pPr>
        <w:pStyle w:val="ListParagraph"/>
        <w:widowControl/>
        <w:numPr>
          <w:ilvl w:val="0"/>
          <w:numId w:val="9"/>
        </w:numPr>
        <w:autoSpaceDE/>
        <w:autoSpaceDN/>
        <w:adjustRightInd/>
        <w:spacing w:afterLines="0"/>
        <w:rPr>
          <w:rFonts w:ascii="Garamond" w:hAnsi="Garamond"/>
          <w:sz w:val="24"/>
          <w:szCs w:val="24"/>
        </w:rPr>
      </w:pPr>
      <w:r w:rsidRPr="007444FB">
        <w:rPr>
          <w:rFonts w:ascii="Garamond" w:hAnsi="Garamond"/>
          <w:color w:val="333333"/>
          <w:sz w:val="24"/>
          <w:szCs w:val="24"/>
          <w:shd w:val="clear" w:color="auto" w:fill="FFFFFF"/>
        </w:rPr>
        <w:t xml:space="preserve">Iraq must not fail to prosecute Daesh’s sexual and gender-based crimes for what they were: war crimes. </w:t>
      </w:r>
      <w:r w:rsidRPr="007444FB">
        <w:rPr>
          <w:rFonts w:ascii="Garamond" w:hAnsi="Garamond"/>
          <w:sz w:val="24"/>
          <w:szCs w:val="24"/>
        </w:rPr>
        <w:t xml:space="preserve">Without special protections, the fact that Daesh engaged in and carried out </w:t>
      </w:r>
      <w:r w:rsidR="00B5778B">
        <w:rPr>
          <w:rFonts w:ascii="Garamond" w:hAnsi="Garamond"/>
          <w:sz w:val="24"/>
          <w:szCs w:val="24"/>
        </w:rPr>
        <w:t>its</w:t>
      </w:r>
      <w:r w:rsidRPr="007444FB">
        <w:rPr>
          <w:rFonts w:ascii="Garamond" w:hAnsi="Garamond"/>
          <w:sz w:val="24"/>
          <w:szCs w:val="24"/>
        </w:rPr>
        <w:t xml:space="preserve"> atrocities under the unique legal circumstances brought on by war will not be specially punished. Indeed, dedicated laws are required to protect civilians from death, rape, torture</w:t>
      </w:r>
      <w:r>
        <w:rPr>
          <w:rFonts w:ascii="Garamond" w:hAnsi="Garamond"/>
          <w:sz w:val="24"/>
          <w:szCs w:val="24"/>
        </w:rPr>
        <w:t>,</w:t>
      </w:r>
      <w:r w:rsidRPr="007444FB">
        <w:rPr>
          <w:rFonts w:ascii="Garamond" w:hAnsi="Garamond"/>
          <w:sz w:val="24"/>
          <w:szCs w:val="24"/>
        </w:rPr>
        <w:t xml:space="preserve"> or any other intentional harms that accompany armed conflict. </w:t>
      </w:r>
    </w:p>
    <w:p w14:paraId="51BAE6F0" w14:textId="77777777" w:rsidR="003963CA" w:rsidRPr="007444FB" w:rsidRDefault="003963CA" w:rsidP="003963CA">
      <w:pPr>
        <w:pStyle w:val="ListParagraph"/>
        <w:widowControl/>
        <w:autoSpaceDE/>
        <w:autoSpaceDN/>
        <w:adjustRightInd/>
        <w:spacing w:afterLines="0"/>
        <w:rPr>
          <w:rFonts w:ascii="Garamond" w:hAnsi="Garamond"/>
          <w:sz w:val="24"/>
          <w:szCs w:val="24"/>
        </w:rPr>
      </w:pPr>
    </w:p>
    <w:p w14:paraId="0A3A5FA1" w14:textId="77777777" w:rsidR="003963CA" w:rsidRPr="007444FB" w:rsidRDefault="003963CA" w:rsidP="003963CA">
      <w:pPr>
        <w:spacing w:after="0" w:line="240" w:lineRule="auto"/>
        <w:rPr>
          <w:rFonts w:ascii="Garamond" w:hAnsi="Garamond"/>
          <w:i/>
          <w:sz w:val="24"/>
          <w:szCs w:val="24"/>
        </w:rPr>
      </w:pPr>
      <w:r w:rsidRPr="007444FB">
        <w:rPr>
          <w:rFonts w:ascii="Garamond" w:hAnsi="Garamond"/>
          <w:i/>
          <w:sz w:val="24"/>
          <w:szCs w:val="24"/>
        </w:rPr>
        <w:t>Recommendations</w:t>
      </w:r>
    </w:p>
    <w:p w14:paraId="7C73602D" w14:textId="77777777" w:rsidR="003963CA" w:rsidRPr="007444FB" w:rsidRDefault="003963CA" w:rsidP="003963CA">
      <w:pPr>
        <w:pStyle w:val="ListParagraph"/>
        <w:numPr>
          <w:ilvl w:val="0"/>
          <w:numId w:val="8"/>
        </w:numPr>
        <w:spacing w:afterLines="0"/>
        <w:rPr>
          <w:rFonts w:ascii="Garamond" w:hAnsi="Garamond"/>
          <w:b/>
          <w:sz w:val="24"/>
          <w:szCs w:val="24"/>
        </w:rPr>
      </w:pPr>
      <w:r w:rsidRPr="007444FB">
        <w:rPr>
          <w:rFonts w:ascii="Garamond" w:hAnsi="Garamond"/>
          <w:sz w:val="24"/>
          <w:szCs w:val="24"/>
        </w:rPr>
        <w:t xml:space="preserve">The Government </w:t>
      </w:r>
      <w:r>
        <w:rPr>
          <w:rFonts w:ascii="Garamond" w:hAnsi="Garamond"/>
          <w:sz w:val="24"/>
          <w:szCs w:val="24"/>
        </w:rPr>
        <w:t>should</w:t>
      </w:r>
      <w:r w:rsidRPr="007444FB">
        <w:rPr>
          <w:rFonts w:ascii="Garamond" w:hAnsi="Garamond"/>
          <w:sz w:val="24"/>
          <w:szCs w:val="24"/>
        </w:rPr>
        <w:t xml:space="preserve"> adopt a law criminalizing genocide in line with the Convention on the Prevention and Punishment of the Crime of Genocide. </w:t>
      </w:r>
    </w:p>
    <w:p w14:paraId="713DA37E" w14:textId="7DF0BF8C" w:rsidR="003963CA" w:rsidRPr="007444FB" w:rsidRDefault="003963CA" w:rsidP="003963CA">
      <w:pPr>
        <w:pStyle w:val="ListParagraph"/>
        <w:numPr>
          <w:ilvl w:val="0"/>
          <w:numId w:val="8"/>
        </w:numPr>
        <w:spacing w:afterLines="0"/>
        <w:rPr>
          <w:rFonts w:ascii="Garamond" w:hAnsi="Garamond"/>
          <w:b/>
          <w:sz w:val="24"/>
          <w:szCs w:val="24"/>
        </w:rPr>
      </w:pPr>
      <w:r>
        <w:rPr>
          <w:rFonts w:ascii="Garamond" w:hAnsi="Garamond"/>
          <w:sz w:val="24"/>
          <w:szCs w:val="24"/>
        </w:rPr>
        <w:t>The Government</w:t>
      </w:r>
      <w:r w:rsidRPr="007444FB">
        <w:rPr>
          <w:rFonts w:ascii="Garamond" w:hAnsi="Garamond"/>
          <w:sz w:val="24"/>
          <w:szCs w:val="24"/>
        </w:rPr>
        <w:t xml:space="preserve"> should adopt domestic legislation penalizing crimes against humanity</w:t>
      </w:r>
      <w:r w:rsidR="003C157E">
        <w:rPr>
          <w:rFonts w:ascii="Garamond" w:hAnsi="Garamond"/>
          <w:sz w:val="24"/>
          <w:szCs w:val="24"/>
        </w:rPr>
        <w:t xml:space="preserve"> </w:t>
      </w:r>
    </w:p>
    <w:p w14:paraId="64B6106F" w14:textId="4308825E" w:rsidR="003963CA" w:rsidRPr="00FA3D94" w:rsidRDefault="003963CA" w:rsidP="003963CA">
      <w:pPr>
        <w:pStyle w:val="ListParagraph"/>
        <w:numPr>
          <w:ilvl w:val="0"/>
          <w:numId w:val="8"/>
        </w:numPr>
        <w:spacing w:afterLines="0"/>
        <w:rPr>
          <w:rFonts w:ascii="Garamond" w:hAnsi="Garamond"/>
          <w:b/>
          <w:sz w:val="24"/>
          <w:szCs w:val="24"/>
        </w:rPr>
      </w:pPr>
      <w:r>
        <w:rPr>
          <w:rFonts w:ascii="Garamond" w:hAnsi="Garamond"/>
          <w:sz w:val="24"/>
          <w:szCs w:val="24"/>
        </w:rPr>
        <w:t xml:space="preserve">The Government should </w:t>
      </w:r>
      <w:r w:rsidRPr="007444FB">
        <w:rPr>
          <w:rFonts w:ascii="Garamond" w:hAnsi="Garamond"/>
          <w:sz w:val="24"/>
          <w:szCs w:val="24"/>
        </w:rPr>
        <w:t xml:space="preserve">pass legislation prohibiting and punishing war crimes </w:t>
      </w:r>
      <w:r>
        <w:rPr>
          <w:rFonts w:ascii="Garamond" w:hAnsi="Garamond"/>
          <w:sz w:val="24"/>
          <w:szCs w:val="24"/>
        </w:rPr>
        <w:t>in line with its</w:t>
      </w:r>
      <w:r w:rsidRPr="007444FB">
        <w:rPr>
          <w:rFonts w:ascii="Garamond" w:hAnsi="Garamond"/>
          <w:sz w:val="24"/>
          <w:szCs w:val="24"/>
        </w:rPr>
        <w:t xml:space="preserve"> legal obligations under the Geneva Conventions of 1949</w:t>
      </w:r>
      <w:r w:rsidR="003C157E" w:rsidRPr="003C157E">
        <w:rPr>
          <w:rFonts w:ascii="Garamond" w:hAnsi="Garamond"/>
          <w:sz w:val="24"/>
          <w:szCs w:val="24"/>
        </w:rPr>
        <w:t xml:space="preserve"> </w:t>
      </w:r>
      <w:r w:rsidR="003C157E">
        <w:rPr>
          <w:rFonts w:ascii="Garamond" w:hAnsi="Garamond"/>
          <w:sz w:val="24"/>
          <w:szCs w:val="24"/>
        </w:rPr>
        <w:t>and reflecting all the sexual and gender-based violence offenses that amount to such crimes</w:t>
      </w:r>
      <w:bookmarkStart w:id="2" w:name="_GoBack"/>
      <w:bookmarkEnd w:id="2"/>
      <w:r w:rsidRPr="007444FB">
        <w:rPr>
          <w:rFonts w:ascii="Garamond" w:hAnsi="Garamond"/>
          <w:sz w:val="24"/>
          <w:szCs w:val="24"/>
        </w:rPr>
        <w:t>.</w:t>
      </w:r>
    </w:p>
    <w:p w14:paraId="37A14F50" w14:textId="77777777" w:rsidR="003963CA" w:rsidRPr="007444FB" w:rsidRDefault="003963CA" w:rsidP="003963CA">
      <w:pPr>
        <w:pStyle w:val="ListParagraph"/>
        <w:spacing w:afterLines="0"/>
        <w:rPr>
          <w:rFonts w:ascii="Garamond" w:hAnsi="Garamond"/>
          <w:b/>
          <w:sz w:val="24"/>
          <w:szCs w:val="24"/>
        </w:rPr>
      </w:pPr>
    </w:p>
    <w:p w14:paraId="0602E378" w14:textId="77777777" w:rsidR="00DB4AB0" w:rsidRDefault="00DB4AB0"/>
    <w:sectPr w:rsidR="00DB4AB0" w:rsidSect="00506E2B">
      <w:footerReference w:type="even" r:id="rId11"/>
      <w:footerReference w:type="default" r:id="rId12"/>
      <w:endnotePr>
        <w:numFmt w:val="decimal"/>
      </w:endnotePr>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6675E5" w14:textId="77777777" w:rsidR="002168AA" w:rsidRDefault="002168AA" w:rsidP="003963CA">
      <w:pPr>
        <w:spacing w:after="0" w:line="240" w:lineRule="auto"/>
      </w:pPr>
      <w:r>
        <w:separator/>
      </w:r>
    </w:p>
  </w:endnote>
  <w:endnote w:type="continuationSeparator" w:id="0">
    <w:p w14:paraId="0D78C620" w14:textId="77777777" w:rsidR="002168AA" w:rsidRDefault="002168AA" w:rsidP="003963CA">
      <w:pPr>
        <w:spacing w:after="0" w:line="240" w:lineRule="auto"/>
      </w:pPr>
      <w:r>
        <w:continuationSeparator/>
      </w:r>
    </w:p>
  </w:endnote>
  <w:endnote w:id="1">
    <w:p w14:paraId="11AFD272" w14:textId="26718643" w:rsidR="00F77B13" w:rsidRDefault="00F77B13">
      <w:pPr>
        <w:pStyle w:val="EndnoteText"/>
      </w:pPr>
      <w:r>
        <w:rPr>
          <w:rStyle w:val="EndnoteReference"/>
        </w:rPr>
        <w:endnoteRef/>
      </w:r>
      <w:r>
        <w:t xml:space="preserve"> </w:t>
      </w:r>
      <w:r w:rsidR="00977B5A">
        <w:t xml:space="preserve">Committee </w:t>
      </w:r>
      <w:r w:rsidR="00977B5A">
        <w:t xml:space="preserve">on the Elimination of Discrimination against Women, Concluding observations of the combined fourth to sixth reports of Iraq, U.N. Doc. </w:t>
      </w:r>
      <w:r w:rsidR="00977B5A">
        <w:t>CEDAW/C/IRQ/CO/4-6</w:t>
      </w:r>
      <w:r w:rsidR="00977B5A">
        <w:t>, para. 57, Mar. 10, 2014.</w:t>
      </w:r>
    </w:p>
  </w:endnote>
  <w:endnote w:id="2">
    <w:p w14:paraId="330139AC" w14:textId="6D2D9952" w:rsidR="00F77B13" w:rsidRDefault="00F77B13">
      <w:pPr>
        <w:pStyle w:val="EndnoteText"/>
      </w:pPr>
      <w:r>
        <w:rPr>
          <w:rStyle w:val="EndnoteReference"/>
        </w:rPr>
        <w:endnoteRef/>
      </w:r>
      <w:r>
        <w:t xml:space="preserve"> </w:t>
      </w:r>
      <w:r w:rsidR="00977B5A">
        <w:t xml:space="preserve">Committee on the Elimination of Discrimination against Women, Concluding observations of the combined fourth to sixth reports of Iraq, U.N. Doc. CEDAW/C/IRQ/CO/4-6, para. </w:t>
      </w:r>
      <w:r w:rsidR="00977B5A">
        <w:t>18(c), Mar. 10, 2014.</w:t>
      </w:r>
    </w:p>
  </w:endnote>
  <w:endnote w:id="3">
    <w:p w14:paraId="5F626C4A" w14:textId="77777777" w:rsidR="00957BE4" w:rsidRDefault="00957BE4" w:rsidP="00957BE4">
      <w:pPr>
        <w:pStyle w:val="EndnoteText"/>
      </w:pPr>
      <w:r>
        <w:rPr>
          <w:rStyle w:val="EndnoteReference"/>
        </w:rPr>
        <w:endnoteRef/>
      </w:r>
      <w:r>
        <w:t xml:space="preserve"> </w:t>
      </w:r>
      <w:r w:rsidRPr="00A36C2E">
        <w:rPr>
          <w:rFonts w:ascii="Garamond" w:hAnsi="Garamond"/>
          <w:color w:val="000000"/>
        </w:rPr>
        <w:t>Convention on the Elimination of All Forms of Discrimination Against Women Preamble, art. 2, Dec. 18, 1979, 1249 U.N.T.S. 13</w:t>
      </w:r>
      <w:r>
        <w:rPr>
          <w:rFonts w:ascii="Garamond" w:hAnsi="Garamond"/>
          <w:color w:val="000000"/>
        </w:rPr>
        <w:t>.</w:t>
      </w:r>
    </w:p>
  </w:endnote>
  <w:endnote w:id="4">
    <w:p w14:paraId="5DE13E1B" w14:textId="77777777" w:rsidR="00957BE4" w:rsidRDefault="00957BE4" w:rsidP="00957BE4">
      <w:pPr>
        <w:pStyle w:val="EndnoteText"/>
      </w:pPr>
      <w:r>
        <w:rPr>
          <w:rStyle w:val="EndnoteReference"/>
        </w:rPr>
        <w:endnoteRef/>
      </w:r>
      <w:r>
        <w:t xml:space="preserve"> </w:t>
      </w:r>
      <w:r>
        <w:rPr>
          <w:rFonts w:ascii="Garamond" w:hAnsi="Garamond"/>
        </w:rPr>
        <w:t>Report of the Committee on the Elimination of Discrimination against Women (Eighteenth and nineteenth sessions), p. 49, A/53/38/Rev.1 (1998).</w:t>
      </w:r>
    </w:p>
  </w:endnote>
  <w:endnote w:id="5">
    <w:p w14:paraId="251868E1" w14:textId="77777777" w:rsidR="00957BE4" w:rsidRDefault="00957BE4" w:rsidP="00957BE4">
      <w:pPr>
        <w:pStyle w:val="EndnoteText"/>
      </w:pPr>
      <w:r>
        <w:rPr>
          <w:rStyle w:val="EndnoteReference"/>
        </w:rPr>
        <w:endnoteRef/>
      </w:r>
      <w:r>
        <w:t xml:space="preserve"> </w:t>
      </w:r>
      <w:r w:rsidRPr="00E220BD">
        <w:rPr>
          <w:rFonts w:ascii="Garamond" w:hAnsi="Garamond"/>
          <w:i/>
        </w:rPr>
        <w:t>See</w:t>
      </w:r>
      <w:r>
        <w:rPr>
          <w:rFonts w:ascii="Garamond" w:hAnsi="Garamond"/>
          <w:i/>
        </w:rPr>
        <w:t xml:space="preserve"> </w:t>
      </w:r>
      <w:r>
        <w:rPr>
          <w:rFonts w:ascii="Garamond" w:hAnsi="Garamond"/>
        </w:rPr>
        <w:t>R</w:t>
      </w:r>
      <w:r w:rsidRPr="00E220BD">
        <w:rPr>
          <w:rFonts w:ascii="Garamond" w:hAnsi="Garamond"/>
        </w:rPr>
        <w:t>eservations</w:t>
      </w:r>
      <w:r>
        <w:rPr>
          <w:rFonts w:ascii="Garamond" w:hAnsi="Garamond"/>
        </w:rPr>
        <w:t xml:space="preserve"> to the Convention on Genocide, Advisory Opinion: I.C.J. Reports 1951, p. 13 (“</w:t>
      </w:r>
      <w:r w:rsidRPr="00057E3B">
        <w:rPr>
          <w:rFonts w:ascii="Garamond" w:hAnsi="Garamond"/>
        </w:rPr>
        <w:t>The object and purpose of the Convention thus limit</w:t>
      </w:r>
      <w:r>
        <w:rPr>
          <w:rFonts w:ascii="Garamond" w:hAnsi="Garamond"/>
        </w:rPr>
        <w:t xml:space="preserve"> </w:t>
      </w:r>
      <w:r w:rsidRPr="00057E3B">
        <w:rPr>
          <w:rFonts w:ascii="Garamond" w:hAnsi="Garamond"/>
        </w:rPr>
        <w:t>both the freedom of making reservations and that of objecting to</w:t>
      </w:r>
      <w:r>
        <w:rPr>
          <w:rFonts w:ascii="Garamond" w:hAnsi="Garamond"/>
        </w:rPr>
        <w:t xml:space="preserve"> </w:t>
      </w:r>
      <w:r w:rsidRPr="00057E3B">
        <w:rPr>
          <w:rFonts w:ascii="Garamond" w:hAnsi="Garamond"/>
        </w:rPr>
        <w:t>them</w:t>
      </w:r>
      <w:r>
        <w:rPr>
          <w:rFonts w:ascii="Garamond" w:hAnsi="Garamond"/>
        </w:rPr>
        <w:t>.”).</w:t>
      </w:r>
    </w:p>
  </w:endnote>
  <w:endnote w:id="6">
    <w:p w14:paraId="347C35C3" w14:textId="77777777" w:rsidR="00957BE4" w:rsidRDefault="00957BE4" w:rsidP="00957BE4">
      <w:pPr>
        <w:pStyle w:val="EndnoteText"/>
      </w:pPr>
      <w:r>
        <w:rPr>
          <w:rStyle w:val="EndnoteReference"/>
        </w:rPr>
        <w:endnoteRef/>
      </w:r>
      <w:r>
        <w:t xml:space="preserve"> CEDAW/C/IRQ/Q/7, 18 Mar. 2019, Para. 1. </w:t>
      </w:r>
    </w:p>
  </w:endnote>
  <w:endnote w:id="7">
    <w:p w14:paraId="3EC2AFE8" w14:textId="77777777" w:rsidR="003963CA" w:rsidRDefault="003963CA" w:rsidP="003963CA">
      <w:pPr>
        <w:pStyle w:val="EndnoteText"/>
      </w:pPr>
      <w:r w:rsidRPr="00660D4D">
        <w:rPr>
          <w:rStyle w:val="EndnoteReference"/>
        </w:rPr>
        <w:endnoteRef/>
      </w:r>
      <w:r w:rsidRPr="00660D4D">
        <w:rPr>
          <w:rFonts w:ascii="Garamond" w:hAnsi="Garamond"/>
        </w:rPr>
        <w:t xml:space="preserve"> Penal Code art. 393(1). “Consent” is not otherwise defined or qualified in the Iraq Penal Code or Criminal Procedure Code. The Penal Code’s description of sexual assault as “without his or her consent and with the use of force, menaces, deception or other means” may suggest that consent and force/coercion are distinct concepts in Iraq law. Penal Code art. 396(1); </w:t>
      </w:r>
      <w:r w:rsidRPr="00660D4D">
        <w:rPr>
          <w:rFonts w:ascii="Garamond" w:hAnsi="Garamond"/>
          <w:i/>
        </w:rPr>
        <w:t>see also</w:t>
      </w:r>
      <w:r w:rsidRPr="00660D4D">
        <w:rPr>
          <w:rFonts w:ascii="Garamond" w:hAnsi="Garamond"/>
        </w:rPr>
        <w:t xml:space="preserve"> Penal Code art. 393 (describing perpetrators’ authority over the victim, the victim’s age, and multiple perpetrators as aggravating circumstances rather than circumstances affecting potential consent.)</w:t>
      </w:r>
    </w:p>
  </w:endnote>
  <w:endnote w:id="8">
    <w:p w14:paraId="4DE32774" w14:textId="77777777" w:rsidR="003963CA" w:rsidRDefault="003963CA" w:rsidP="003963CA">
      <w:pPr>
        <w:autoSpaceDE w:val="0"/>
        <w:autoSpaceDN w:val="0"/>
        <w:adjustRightInd w:val="0"/>
        <w:spacing w:after="0" w:line="240" w:lineRule="auto"/>
      </w:pPr>
      <w:r w:rsidRPr="00660D4D">
        <w:rPr>
          <w:rStyle w:val="EndnoteReference"/>
          <w:sz w:val="20"/>
          <w:szCs w:val="20"/>
        </w:rPr>
        <w:endnoteRef/>
      </w:r>
      <w:r w:rsidRPr="00660D4D">
        <w:rPr>
          <w:rFonts w:ascii="Garamond" w:hAnsi="Garamond"/>
          <w:sz w:val="20"/>
          <w:szCs w:val="20"/>
        </w:rPr>
        <w:t xml:space="preserve"> </w:t>
      </w:r>
      <w:r w:rsidRPr="00660D4D">
        <w:rPr>
          <w:rFonts w:ascii="Garamond" w:hAnsi="Garamond"/>
          <w:i/>
          <w:sz w:val="20"/>
          <w:szCs w:val="20"/>
        </w:rPr>
        <w:t>See, e.g.</w:t>
      </w:r>
      <w:r w:rsidRPr="00660D4D">
        <w:rPr>
          <w:rFonts w:ascii="Garamond" w:hAnsi="Garamond"/>
          <w:sz w:val="20"/>
          <w:szCs w:val="20"/>
        </w:rPr>
        <w:t>, Prosecutor v. Bemba, Case No. ICC-01/05-01/08-3343, Trial Judgment, ¶¶ 105-06 (Mar. 21, 2016) (“the victim’s lack of consent is not a legal element of the crime of rape under the Statute</w:t>
      </w:r>
      <w:proofErr w:type="gramStart"/>
      <w:r w:rsidRPr="00660D4D">
        <w:rPr>
          <w:rFonts w:ascii="Garamond" w:hAnsi="Garamond"/>
          <w:sz w:val="20"/>
          <w:szCs w:val="20"/>
        </w:rPr>
        <w:t>. . . .</w:t>
      </w:r>
      <w:proofErr w:type="gramEnd"/>
      <w:r w:rsidRPr="00660D4D">
        <w:rPr>
          <w:rFonts w:ascii="Garamond" w:hAnsi="Garamond"/>
          <w:sz w:val="20"/>
          <w:szCs w:val="20"/>
        </w:rPr>
        <w:t xml:space="preserve"> on the basis that such a requirement would, in most cases, undermine efforts to bring perpetrators to justice.”); </w:t>
      </w:r>
      <w:r w:rsidRPr="002C5E92">
        <w:rPr>
          <w:rStyle w:val="A12"/>
          <w:rFonts w:ascii="Garamond" w:hAnsi="Garamond"/>
          <w:iCs/>
          <w:sz w:val="20"/>
          <w:szCs w:val="20"/>
          <w:u w:val="none"/>
        </w:rPr>
        <w:t xml:space="preserve">Prosecutor v. Kunarac et al., </w:t>
      </w:r>
      <w:r w:rsidRPr="002C5E92">
        <w:rPr>
          <w:rStyle w:val="A12"/>
          <w:rFonts w:ascii="Garamond" w:hAnsi="Garamond"/>
          <w:sz w:val="20"/>
          <w:szCs w:val="20"/>
          <w:u w:val="none"/>
        </w:rPr>
        <w:t>Appeals Judgment, Case No. IT-96-23 &amp; IT-96-23/1-A, ¶ 128 (June 12, 2002)</w:t>
      </w:r>
      <w:r w:rsidRPr="00660D4D">
        <w:rPr>
          <w:rFonts w:ascii="Garamond" w:hAnsi="Garamond"/>
          <w:sz w:val="20"/>
          <w:szCs w:val="20"/>
        </w:rPr>
        <w:t xml:space="preserve"> (rejecting the assertion that continuous resistance was necessary to provide adequate notice to perpetrators); Int’l Criminal Court, Rules of Procedure and Evidence r. 70(c); </w:t>
      </w:r>
      <w:r w:rsidRPr="00660D4D">
        <w:rPr>
          <w:rFonts w:ascii="Garamond" w:hAnsi="Garamond"/>
          <w:smallCaps/>
          <w:sz w:val="20"/>
          <w:szCs w:val="20"/>
        </w:rPr>
        <w:t>U.N. Women, Handbook for Legislation on Violence Against Women</w:t>
      </w:r>
      <w:r w:rsidRPr="00660D4D">
        <w:rPr>
          <w:rFonts w:ascii="Garamond" w:hAnsi="Garamond"/>
          <w:sz w:val="20"/>
          <w:szCs w:val="20"/>
        </w:rPr>
        <w:t xml:space="preserve"> 25 (2012) (noting that “definitions of sexual assault based on a lack of consent may, in practice, result in the secondary victimization of the complainant/survivor by forcing the prosecution to prove beyond reasonable doubt that the complainant/survivor did not consent” and emphasizing that definitions of sexual violence based on coercion should include expansive circumstances). Another example left out by the focus on consent is rape committed under coercion or threats directed not against the victim, but a third person. Int’l Criminal Court, Elements of Crimes art. 7(1)(g)-1, element 2.</w:t>
      </w:r>
    </w:p>
  </w:endnote>
  <w:endnote w:id="9">
    <w:p w14:paraId="1E6D749E" w14:textId="77777777" w:rsidR="003963CA" w:rsidRPr="0060182F" w:rsidRDefault="003963CA" w:rsidP="003963CA">
      <w:pPr>
        <w:pStyle w:val="EndnoteText"/>
      </w:pPr>
      <w:r w:rsidRPr="0060182F">
        <w:rPr>
          <w:rStyle w:val="EndnoteReference"/>
        </w:rPr>
        <w:endnoteRef/>
      </w:r>
      <w:r w:rsidRPr="0060182F">
        <w:rPr>
          <w:rFonts w:ascii="Garamond" w:hAnsi="Garamond"/>
        </w:rPr>
        <w:t xml:space="preserve"> </w:t>
      </w:r>
      <w:r w:rsidRPr="0060182F">
        <w:rPr>
          <w:rFonts w:ascii="Garamond" w:hAnsi="Garamond"/>
          <w:i/>
        </w:rPr>
        <w:t>See</w:t>
      </w:r>
      <w:r w:rsidRPr="0060182F">
        <w:rPr>
          <w:rFonts w:ascii="Garamond" w:hAnsi="Garamond"/>
        </w:rPr>
        <w:t xml:space="preserve"> U.N. Secretary-General, </w:t>
      </w:r>
      <w:r w:rsidRPr="0060182F">
        <w:rPr>
          <w:rFonts w:ascii="Garamond" w:hAnsi="Garamond"/>
          <w:i/>
        </w:rPr>
        <w:t>Rep. on Conflict-Related Sexual Violence</w:t>
      </w:r>
      <w:r w:rsidRPr="0060182F">
        <w:rPr>
          <w:rFonts w:ascii="Garamond" w:hAnsi="Garamond"/>
        </w:rPr>
        <w:t xml:space="preserve">, </w:t>
      </w:r>
      <w:r w:rsidRPr="0060182F">
        <w:rPr>
          <w:rFonts w:ascii="Garamond" w:hAnsi="Garamond" w:cs="Calibri"/>
        </w:rPr>
        <w:t>¶</w:t>
      </w:r>
      <w:r w:rsidRPr="0060182F">
        <w:rPr>
          <w:rFonts w:ascii="Garamond" w:hAnsi="Garamond"/>
        </w:rPr>
        <w:t>¶ 28-29, U.N. Doc. S/2015/203.</w:t>
      </w:r>
    </w:p>
  </w:endnote>
  <w:endnote w:id="10">
    <w:p w14:paraId="681FA551" w14:textId="77777777" w:rsidR="003963CA" w:rsidRPr="0060182F" w:rsidRDefault="003963CA" w:rsidP="003963CA">
      <w:pPr>
        <w:autoSpaceDE w:val="0"/>
        <w:autoSpaceDN w:val="0"/>
        <w:adjustRightInd w:val="0"/>
        <w:spacing w:after="0" w:line="240" w:lineRule="auto"/>
        <w:ind w:right="720"/>
        <w:rPr>
          <w:sz w:val="20"/>
          <w:szCs w:val="20"/>
        </w:rPr>
      </w:pPr>
      <w:r w:rsidRPr="0060182F">
        <w:rPr>
          <w:rStyle w:val="EndnoteReference"/>
          <w:rFonts w:eastAsiaTheme="majorEastAsia"/>
          <w:sz w:val="20"/>
          <w:szCs w:val="20"/>
        </w:rPr>
        <w:endnoteRef/>
      </w:r>
      <w:r w:rsidRPr="0060182F">
        <w:rPr>
          <w:sz w:val="20"/>
          <w:szCs w:val="20"/>
        </w:rPr>
        <w:t xml:space="preserve"> Criminal Procedure Code art. 3(A)(iii) (in cases of rape where the victim is a spouse or descendent of the perpetrator); Penal Code art. 385 (complaint must be brought by victim or ancestor). The Criminal Procedure Code also specifies that the right to submit a complaint does not transfer to heirs. Criminal Procedure Code art. 9(D). </w:t>
      </w:r>
      <w:r w:rsidRPr="0060182F">
        <w:rPr>
          <w:i/>
          <w:sz w:val="20"/>
          <w:szCs w:val="20"/>
        </w:rPr>
        <w:t>See also</w:t>
      </w:r>
      <w:r w:rsidRPr="0060182F">
        <w:rPr>
          <w:sz w:val="20"/>
          <w:szCs w:val="20"/>
        </w:rPr>
        <w:t xml:space="preserve">, </w:t>
      </w:r>
      <w:r w:rsidRPr="0060182F">
        <w:rPr>
          <w:rFonts w:ascii="Garamond" w:hAnsi="Garamond"/>
          <w:smallCaps/>
          <w:sz w:val="20"/>
          <w:szCs w:val="20"/>
        </w:rPr>
        <w:t>U.N. Assistance Mission for Iraq &amp; Office of the High Comm’r for Human Rights, Promotion and Protection of Rights of Victims of Sexual Violence by ISIL/ or in Areas Controlled by ISIL in Iraq</w:t>
      </w:r>
      <w:r w:rsidRPr="0060182F">
        <w:rPr>
          <w:rFonts w:ascii="Garamond" w:hAnsi="Garamond"/>
          <w:sz w:val="20"/>
          <w:szCs w:val="20"/>
        </w:rPr>
        <w:t xml:space="preserve"> ¶ 23 (Aug. 22, 2017), http://www.uniraq.com/index.php?option=com_k2&amp;view=item&amp;task=download&amp;id=2237_d4579691236af63a6d57621c51d8aa35&amp;Itemid=650&amp;lang=en [</w:t>
      </w:r>
      <w:r w:rsidRPr="0060182F">
        <w:rPr>
          <w:rFonts w:ascii="Garamond" w:hAnsi="Garamond"/>
          <w:smallCaps/>
          <w:sz w:val="20"/>
          <w:szCs w:val="20"/>
        </w:rPr>
        <w:t>UNAMI, Promotion and Protection of Rights of Victims of Sexual Violence by ISIL</w:t>
      </w:r>
      <w:r w:rsidRPr="0060182F">
        <w:rPr>
          <w:rFonts w:ascii="Garamond" w:hAnsi="Garamond"/>
          <w:sz w:val="20"/>
          <w:szCs w:val="20"/>
        </w:rPr>
        <w:t>].</w:t>
      </w:r>
    </w:p>
  </w:endnote>
  <w:endnote w:id="11">
    <w:p w14:paraId="2115FF0D" w14:textId="77777777" w:rsidR="003963CA" w:rsidRPr="0060182F" w:rsidRDefault="003963CA" w:rsidP="003963CA">
      <w:pPr>
        <w:pStyle w:val="EndnoteText"/>
      </w:pPr>
      <w:r w:rsidRPr="0060182F">
        <w:rPr>
          <w:rStyle w:val="EndnoteReference"/>
        </w:rPr>
        <w:endnoteRef/>
      </w:r>
      <w:r w:rsidRPr="0060182F">
        <w:rPr>
          <w:rFonts w:ascii="Garamond" w:hAnsi="Garamond"/>
        </w:rPr>
        <w:t xml:space="preserve"> Criminal Procedure Code art. 6.</w:t>
      </w:r>
    </w:p>
  </w:endnote>
  <w:endnote w:id="12">
    <w:p w14:paraId="63E65B67" w14:textId="77777777" w:rsidR="003963CA" w:rsidRPr="0060182F" w:rsidRDefault="003963CA" w:rsidP="003963CA">
      <w:pPr>
        <w:pStyle w:val="Footnotes"/>
      </w:pPr>
      <w:r w:rsidRPr="0060182F">
        <w:rPr>
          <w:rStyle w:val="EndnoteReference"/>
          <w:rFonts w:eastAsiaTheme="majorEastAsia"/>
        </w:rPr>
        <w:endnoteRef/>
      </w:r>
      <w:r w:rsidRPr="0060182F">
        <w:t xml:space="preserve"> Criminal Procedure Code art. 9(F). Article 8 also specifies that complaints will be dismissed if not “followed up on” by complainants within three months in cases where submitting a complaint is required. Criminal Procedure Code art. 8.</w:t>
      </w:r>
    </w:p>
  </w:endnote>
  <w:endnote w:id="13">
    <w:p w14:paraId="174D7BC7" w14:textId="77777777" w:rsidR="003963CA" w:rsidRDefault="003963CA" w:rsidP="003963CA">
      <w:pPr>
        <w:pStyle w:val="EndnoteText"/>
        <w:tabs>
          <w:tab w:val="center" w:pos="6480"/>
        </w:tabs>
      </w:pPr>
      <w:r w:rsidRPr="0060182F">
        <w:rPr>
          <w:rStyle w:val="EndnoteReference"/>
        </w:rPr>
        <w:endnoteRef/>
      </w:r>
      <w:r w:rsidRPr="0060182F">
        <w:rPr>
          <w:rFonts w:ascii="Garamond" w:hAnsi="Garamond"/>
        </w:rPr>
        <w:t xml:space="preserve"> Penal Code art. 385.</w:t>
      </w:r>
      <w:r w:rsidRPr="00660D4D">
        <w:rPr>
          <w:rFonts w:ascii="Garamond" w:hAnsi="Garamond"/>
        </w:rPr>
        <w:tab/>
      </w:r>
    </w:p>
  </w:endnote>
  <w:endnote w:id="14">
    <w:p w14:paraId="1292305A" w14:textId="77777777" w:rsidR="003963CA" w:rsidRDefault="003963CA" w:rsidP="003963CA">
      <w:pPr>
        <w:pStyle w:val="Footnotes"/>
      </w:pPr>
      <w:r w:rsidRPr="00660D4D">
        <w:rPr>
          <w:rStyle w:val="EndnoteReference"/>
          <w:rFonts w:eastAsiaTheme="majorEastAsia"/>
        </w:rPr>
        <w:endnoteRef/>
      </w:r>
      <w:r w:rsidRPr="00660D4D">
        <w:t xml:space="preserve"> </w:t>
      </w:r>
      <w:r w:rsidRPr="00660D4D">
        <w:rPr>
          <w:smallCaps/>
        </w:rPr>
        <w:t xml:space="preserve">U.N. Women, </w:t>
      </w:r>
      <w:r>
        <w:rPr>
          <w:smallCaps/>
        </w:rPr>
        <w:t>Handbook for Legislation on Violence Against Women</w:t>
      </w:r>
      <w:r>
        <w:t xml:space="preserve"> 34-35 (2012)</w:t>
      </w:r>
      <w:r w:rsidRPr="00660D4D">
        <w:t>.</w:t>
      </w:r>
    </w:p>
  </w:endnote>
  <w:endnote w:id="15">
    <w:p w14:paraId="0D55A2DF" w14:textId="77777777" w:rsidR="003963CA" w:rsidRDefault="003963CA" w:rsidP="003963CA">
      <w:pPr>
        <w:pStyle w:val="EndnoteText"/>
      </w:pPr>
      <w:r w:rsidRPr="00660D4D">
        <w:rPr>
          <w:rStyle w:val="EndnoteReference"/>
        </w:rPr>
        <w:endnoteRef/>
      </w:r>
      <w:r w:rsidRPr="00660D4D">
        <w:rPr>
          <w:rFonts w:ascii="Garamond" w:hAnsi="Garamond"/>
        </w:rPr>
        <w:t xml:space="preserve"> CEDAW Comm., General Recommendation No. 35, ¶ 26(c).</w:t>
      </w:r>
    </w:p>
  </w:endnote>
  <w:endnote w:id="16">
    <w:p w14:paraId="29560501" w14:textId="77777777" w:rsidR="003963CA" w:rsidRDefault="003963CA" w:rsidP="003963CA">
      <w:pPr>
        <w:pStyle w:val="Footnotes"/>
      </w:pPr>
      <w:r w:rsidRPr="00660D4D">
        <w:rPr>
          <w:rStyle w:val="EndnoteReference"/>
          <w:rFonts w:eastAsiaTheme="majorEastAsia"/>
        </w:rPr>
        <w:endnoteRef/>
      </w:r>
      <w:r w:rsidRPr="00660D4D">
        <w:t xml:space="preserve"> </w:t>
      </w:r>
      <w:r w:rsidRPr="00660D4D">
        <w:rPr>
          <w:smallCaps/>
        </w:rPr>
        <w:t>UNAMI, Promotion and Protection of Rights of Victims of Sexual Violence by ISIL</w:t>
      </w:r>
      <w:r w:rsidRPr="00660D4D">
        <w:t>, ¶ 23.</w:t>
      </w:r>
    </w:p>
  </w:endnote>
  <w:endnote w:id="17">
    <w:p w14:paraId="640AAF7C" w14:textId="77777777" w:rsidR="003963CA" w:rsidRDefault="003963CA" w:rsidP="003963CA">
      <w:pPr>
        <w:pStyle w:val="Footnotes"/>
      </w:pPr>
      <w:r w:rsidRPr="00660D4D">
        <w:rPr>
          <w:rStyle w:val="EndnoteReference"/>
          <w:rFonts w:eastAsiaTheme="majorEastAsia"/>
        </w:rPr>
        <w:endnoteRef/>
      </w:r>
      <w:r w:rsidRPr="00660D4D">
        <w:t xml:space="preserve"> Penal Code arts. 128, 409, 417(4) (committing specified crimes out of shame or with “honourable motives” is a mitigating excuse); </w:t>
      </w:r>
      <w:r w:rsidRPr="00660D4D">
        <w:rPr>
          <w:smallCaps/>
        </w:rPr>
        <w:t>U.N. Assistance Mission for Iraq &amp; Office of the High Comm’r for Human Rights, Report on Human Rights in Iraq: July to December 2016</w:t>
      </w:r>
      <w:r w:rsidRPr="00660D4D">
        <w:t xml:space="preserve">, at 28-29; Huda Ahmed, Freedom House, </w:t>
      </w:r>
      <w:r w:rsidRPr="00660D4D">
        <w:rPr>
          <w:i/>
        </w:rPr>
        <w:t>Iraq</w:t>
      </w:r>
      <w:r w:rsidRPr="00660D4D">
        <w:t xml:space="preserve">, </w:t>
      </w:r>
      <w:r w:rsidRPr="00660D4D">
        <w:rPr>
          <w:i/>
        </w:rPr>
        <w:t xml:space="preserve">in </w:t>
      </w:r>
      <w:r w:rsidRPr="00660D4D">
        <w:rPr>
          <w:smallCaps/>
        </w:rPr>
        <w:t>Women’s Rights in the Middle East and North Africa</w:t>
      </w:r>
      <w:r w:rsidRPr="00660D4D">
        <w:t xml:space="preserve"> 1, 7-8 (2010); U.S. </w:t>
      </w:r>
      <w:r w:rsidRPr="00660D4D">
        <w:rPr>
          <w:smallCaps/>
        </w:rPr>
        <w:t xml:space="preserve">Dep’t of State, Iraq 2016 Human Rights Report </w:t>
      </w:r>
      <w:r w:rsidRPr="00660D4D">
        <w:t xml:space="preserve">49-52 (2017) (victims of sexual or domestic violence “did not usually report it to authorities or pursue legal remedies” because of social stigma and risk of familial retribution or because they feared family protection units “would immediately inform their families of their testimonies”); </w:t>
      </w:r>
      <w:r w:rsidRPr="00660D4D">
        <w:rPr>
          <w:smallCaps/>
        </w:rPr>
        <w:t>Miriam Puttick, Ceasefire Ctr. for Civilian Rights &amp; Minority Rights Group Int’l, The Lost Women of Iraq: Family-Based Violence During Conflict</w:t>
      </w:r>
      <w:r w:rsidRPr="00660D4D">
        <w:t xml:space="preserve"> 18, 28-29 (2015), </w:t>
      </w:r>
      <w:r w:rsidRPr="00660D4D">
        <w:rPr>
          <w:rFonts w:eastAsiaTheme="majorEastAsia"/>
        </w:rPr>
        <w:t>http://minorityrights.org/wp-content/uploads/2015/08/Lost-Women-English.pdf</w:t>
      </w:r>
      <w:r w:rsidRPr="00660D4D">
        <w:t xml:space="preserve">; </w:t>
      </w:r>
      <w:r w:rsidRPr="00660D4D">
        <w:rPr>
          <w:smallCaps/>
        </w:rPr>
        <w:t>U.K. Home Office, Country Policy and Information Note, Iraq: Kurdish ‘Honour’ Crimes</w:t>
      </w:r>
      <w:r w:rsidRPr="00660D4D">
        <w:t xml:space="preserve"> (2017), </w:t>
      </w:r>
      <w:r w:rsidRPr="00660D4D">
        <w:rPr>
          <w:rFonts w:eastAsiaTheme="majorEastAsia"/>
        </w:rPr>
        <w:t>https://www.justice.gov/eoir/page/file/995246/download</w:t>
      </w:r>
      <w:r w:rsidRPr="00660D4D">
        <w:t xml:space="preserve"> (honor crimes continue in Kurdistan despite its repeal of </w:t>
      </w:r>
      <w:r w:rsidRPr="002E0931">
        <w:t>honor as a mitigating circumstance).</w:t>
      </w:r>
    </w:p>
  </w:endnote>
  <w:endnote w:id="18">
    <w:p w14:paraId="08FB03C3" w14:textId="77777777" w:rsidR="003963CA" w:rsidRDefault="003963CA" w:rsidP="003963CA">
      <w:pPr>
        <w:pStyle w:val="EndnoteText"/>
      </w:pPr>
      <w:r w:rsidRPr="00660D4D">
        <w:rPr>
          <w:rStyle w:val="EndnoteReference"/>
        </w:rPr>
        <w:endnoteRef/>
      </w:r>
      <w:r w:rsidRPr="00660D4D">
        <w:rPr>
          <w:rFonts w:ascii="Garamond" w:hAnsi="Garamond"/>
        </w:rPr>
        <w:t xml:space="preserve"> Seivan M. Salim, </w:t>
      </w:r>
      <w:r w:rsidRPr="00660D4D">
        <w:rPr>
          <w:rFonts w:ascii="Garamond" w:hAnsi="Garamond"/>
          <w:i/>
        </w:rPr>
        <w:t>The Yazidi Women Who Escaped ISIS</w:t>
      </w:r>
      <w:r w:rsidRPr="00660D4D">
        <w:rPr>
          <w:rFonts w:ascii="Garamond" w:hAnsi="Garamond"/>
        </w:rPr>
        <w:t xml:space="preserve">, </w:t>
      </w:r>
      <w:r w:rsidRPr="00660D4D">
        <w:rPr>
          <w:rFonts w:ascii="Garamond" w:hAnsi="Garamond"/>
          <w:smallCaps/>
        </w:rPr>
        <w:t xml:space="preserve">The Daily Beast (2015), </w:t>
      </w:r>
      <w:r w:rsidRPr="00660D4D">
        <w:rPr>
          <w:rFonts w:ascii="Garamond" w:hAnsi="Garamond"/>
        </w:rPr>
        <w:t>http://www.thedailybeast.com/longforms/2015/isis/portraits-of-the-yazidi-women-who-escaped-isis.html;</w:t>
      </w:r>
      <w:r>
        <w:rPr>
          <w:rFonts w:ascii="Garamond" w:hAnsi="Garamond"/>
        </w:rPr>
        <w:t xml:space="preserve"> </w:t>
      </w:r>
      <w:r>
        <w:rPr>
          <w:rFonts w:ascii="Garamond" w:hAnsi="Garamond"/>
          <w:smallCaps/>
        </w:rPr>
        <w:t>Amnesty Int’l,</w:t>
      </w:r>
      <w:r>
        <w:rPr>
          <w:rFonts w:ascii="Garamond" w:hAnsi="Garamond"/>
          <w:b/>
          <w:smallCaps/>
        </w:rPr>
        <w:t xml:space="preserve"> </w:t>
      </w:r>
      <w:r>
        <w:rPr>
          <w:rFonts w:ascii="Garamond" w:hAnsi="Garamond"/>
          <w:smallCaps/>
        </w:rPr>
        <w:t xml:space="preserve">Escape from Hell: Torture and Sexual Slavery in Islamic State Captivity in Iraq </w:t>
      </w:r>
      <w:r>
        <w:rPr>
          <w:rFonts w:ascii="Garamond" w:hAnsi="Garamond" w:cs="Garamond"/>
        </w:rPr>
        <w:t>5</w:t>
      </w:r>
      <w:r>
        <w:rPr>
          <w:rFonts w:ascii="Garamond" w:hAnsi="Garamond"/>
          <w:b/>
        </w:rPr>
        <w:t xml:space="preserve"> </w:t>
      </w:r>
      <w:r>
        <w:rPr>
          <w:rFonts w:ascii="Garamond" w:hAnsi="Garamond"/>
        </w:rPr>
        <w:t>(2014),</w:t>
      </w:r>
      <w:r>
        <w:rPr>
          <w:rFonts w:ascii="Garamond" w:hAnsi="Garamond"/>
          <w:i/>
        </w:rPr>
        <w:t xml:space="preserve"> </w:t>
      </w:r>
      <w:r>
        <w:rPr>
          <w:rFonts w:ascii="Garamond" w:hAnsi="Garamond"/>
        </w:rPr>
        <w:t>https://www.amnesty.org.uk/files/escape_from_hell_-_torture_and_sexual_slavery_in_islamic_state_captivity_in_iraq_-_english_2.pdf</w:t>
      </w:r>
      <w:r>
        <w:rPr>
          <w:rFonts w:ascii="Garamond" w:hAnsi="Garamond" w:cs="Garamond"/>
          <w:spacing w:val="-4"/>
        </w:rPr>
        <w:t>;</w:t>
      </w:r>
    </w:p>
  </w:endnote>
  <w:endnote w:id="19">
    <w:p w14:paraId="20CC0FE8" w14:textId="77777777" w:rsidR="003963CA" w:rsidRDefault="003963CA" w:rsidP="003963CA">
      <w:pPr>
        <w:spacing w:after="0" w:line="240" w:lineRule="auto"/>
      </w:pPr>
      <w:r>
        <w:rPr>
          <w:rStyle w:val="EndnoteReference"/>
          <w:rFonts w:ascii="Garamond" w:hAnsi="Garamond"/>
          <w:sz w:val="20"/>
          <w:szCs w:val="20"/>
        </w:rPr>
        <w:endnoteRef/>
      </w:r>
      <w:r>
        <w:rPr>
          <w:rFonts w:ascii="Garamond" w:hAnsi="Garamond"/>
          <w:sz w:val="20"/>
          <w:szCs w:val="20"/>
        </w:rPr>
        <w:t xml:space="preserve"> Personal Status Law No. 188 of 1959 art. 9(1) (Iraq).</w:t>
      </w:r>
    </w:p>
  </w:endnote>
  <w:endnote w:id="20">
    <w:p w14:paraId="4F8AF65F" w14:textId="77777777" w:rsidR="003963CA" w:rsidRDefault="003963CA" w:rsidP="003963CA">
      <w:pPr>
        <w:spacing w:after="0" w:line="240" w:lineRule="auto"/>
      </w:pPr>
      <w:r>
        <w:rPr>
          <w:rStyle w:val="EndnoteReference"/>
          <w:rFonts w:ascii="Garamond" w:hAnsi="Garamond"/>
          <w:sz w:val="20"/>
          <w:szCs w:val="20"/>
        </w:rPr>
        <w:endnoteRef/>
      </w:r>
      <w:r>
        <w:rPr>
          <w:rFonts w:ascii="Garamond" w:hAnsi="Garamond"/>
          <w:sz w:val="20"/>
          <w:szCs w:val="20"/>
        </w:rPr>
        <w:t xml:space="preserve"> Personal Status Law No. 188 of 1959 art. 9(3).</w:t>
      </w:r>
    </w:p>
  </w:endnote>
  <w:endnote w:id="21">
    <w:p w14:paraId="211A721B" w14:textId="77777777" w:rsidR="003963CA" w:rsidRDefault="003963CA" w:rsidP="003963CA">
      <w:pPr>
        <w:pStyle w:val="Footnotes"/>
      </w:pPr>
      <w:r>
        <w:rPr>
          <w:rStyle w:val="EndnoteReference"/>
          <w:rFonts w:eastAsiaTheme="majorEastAsia"/>
        </w:rPr>
        <w:endnoteRef/>
      </w:r>
      <w:r>
        <w:t xml:space="preserve"> Personal Status Law No. 188 of 1959 art. 9(1). The Kurdistan Personal Status Law was amended to consider forced marriages void and suspended even if consummated, and forced marriage is included as a crime in Kurdistan’s 2011 anti-domestic violence law. </w:t>
      </w:r>
      <w:r>
        <w:rPr>
          <w:lang w:bidi="ar-IQ"/>
        </w:rPr>
        <w:t xml:space="preserve">Act No. 15 of 2008, </w:t>
      </w:r>
      <w:r>
        <w:t>Act to Amend the Amended Law No. 188 of 1959, Personal Status Law, in Iraq Kurdistan Region art. 6(1); Act No. 8 of 2011, Act Combating Domestic Violence in Kurdistan Region-Iraq art. 2(First</w:t>
      </w:r>
      <w:proofErr w:type="gramStart"/>
      <w:r>
        <w:t>)(</w:t>
      </w:r>
      <w:proofErr w:type="gramEnd"/>
      <w:r>
        <w:t>1).</w:t>
      </w:r>
    </w:p>
  </w:endnote>
  <w:endnote w:id="22">
    <w:p w14:paraId="0E983640" w14:textId="77777777" w:rsidR="003963CA" w:rsidRDefault="003963CA" w:rsidP="003963CA">
      <w:pPr>
        <w:autoSpaceDE w:val="0"/>
        <w:autoSpaceDN w:val="0"/>
        <w:adjustRightInd w:val="0"/>
        <w:spacing w:after="0" w:line="240" w:lineRule="auto"/>
      </w:pPr>
      <w:r>
        <w:rPr>
          <w:rStyle w:val="EndnoteReference"/>
          <w:rFonts w:ascii="Garamond" w:hAnsi="Garamond"/>
          <w:sz w:val="20"/>
          <w:szCs w:val="20"/>
        </w:rPr>
        <w:endnoteRef/>
      </w:r>
      <w:r>
        <w:rPr>
          <w:rFonts w:ascii="Garamond" w:hAnsi="Garamond"/>
          <w:sz w:val="20"/>
          <w:szCs w:val="20"/>
        </w:rPr>
        <w:t xml:space="preserve"> Rome Statute art. 7(1)(k); ICC Elements of Crimes art. 7(1)(k), elements 1-2. Forced marriage has been recognized as an “other inhumane act” in the Special Court for Sierra Leone, the Extraordinary Chambers in the Courts of Cambodia, and the International Criminal Court. </w:t>
      </w:r>
      <w:r>
        <w:rPr>
          <w:rFonts w:ascii="Garamond" w:hAnsi="Garamond"/>
          <w:i/>
          <w:sz w:val="20"/>
          <w:szCs w:val="20"/>
        </w:rPr>
        <w:t>See</w:t>
      </w:r>
      <w:r>
        <w:rPr>
          <w:rFonts w:ascii="Garamond" w:hAnsi="Garamond"/>
          <w:sz w:val="20"/>
          <w:szCs w:val="20"/>
        </w:rPr>
        <w:t xml:space="preserve"> Co-Prosecutors v. Ieng Sary et al., Case No. </w:t>
      </w:r>
      <w:r>
        <w:rPr>
          <w:rFonts w:ascii="Garamond" w:hAnsi="Garamond"/>
          <w:sz w:val="20"/>
          <w:szCs w:val="20"/>
          <w:shd w:val="clear" w:color="auto" w:fill="FFFFFF"/>
        </w:rPr>
        <w:t>002/19-09-2007-ECCC-OCIJ</w:t>
      </w:r>
      <w:r>
        <w:rPr>
          <w:rFonts w:ascii="Garamond" w:hAnsi="Garamond"/>
          <w:sz w:val="20"/>
          <w:szCs w:val="20"/>
        </w:rPr>
        <w:t xml:space="preserve">, Closing Order, ¶¶ 1442-47 (Sept. 15, 2010); Prosecutor v. Ongwen, Case No. ICC-02/04-01/15, Confirmation of Charges, ¶¶ 87-95 (Mar. 23, 2016); </w:t>
      </w:r>
      <w:r>
        <w:rPr>
          <w:rFonts w:ascii="Garamond" w:hAnsi="Garamond"/>
          <w:sz w:val="20"/>
          <w:szCs w:val="20"/>
          <w:shd w:val="clear" w:color="auto" w:fill="FFFFFF"/>
        </w:rPr>
        <w:t>Prosecutor v. Brima, Case No. SCSL-2004-16-A, Appeals Judgment, ¶ 186, 195-96 (Feb. 22, 2008).</w:t>
      </w:r>
    </w:p>
  </w:endnote>
  <w:endnote w:id="23">
    <w:p w14:paraId="61D46B46" w14:textId="77777777" w:rsidR="003963CA" w:rsidRDefault="003963CA" w:rsidP="003963CA">
      <w:pPr>
        <w:pStyle w:val="EndnoteText"/>
      </w:pPr>
      <w:r>
        <w:rPr>
          <w:rStyle w:val="EndnoteReference"/>
          <w:rFonts w:ascii="Garamond" w:hAnsi="Garamond"/>
        </w:rPr>
        <w:endnoteRef/>
      </w:r>
      <w:r>
        <w:rPr>
          <w:rFonts w:ascii="Garamond" w:hAnsi="Garamond"/>
        </w:rPr>
        <w:t xml:space="preserve"> </w:t>
      </w:r>
      <w:r>
        <w:rPr>
          <w:rFonts w:ascii="Garamond" w:hAnsi="Garamond"/>
          <w:spacing w:val="-4"/>
        </w:rPr>
        <w:t xml:space="preserve">Human </w:t>
      </w:r>
      <w:r>
        <w:rPr>
          <w:rFonts w:ascii="Garamond" w:hAnsi="Garamond"/>
          <w:spacing w:val="-5"/>
        </w:rPr>
        <w:t xml:space="preserve">Rights Council, </w:t>
      </w:r>
      <w:r>
        <w:rPr>
          <w:rFonts w:ascii="Garamond" w:hAnsi="Garamond"/>
          <w:i/>
          <w:spacing w:val="-4"/>
        </w:rPr>
        <w:t xml:space="preserve">Rep. </w:t>
      </w:r>
      <w:r>
        <w:rPr>
          <w:rFonts w:ascii="Garamond" w:hAnsi="Garamond"/>
          <w:i/>
          <w:spacing w:val="-5"/>
        </w:rPr>
        <w:t xml:space="preserve">of </w:t>
      </w:r>
      <w:r>
        <w:rPr>
          <w:rFonts w:ascii="Garamond" w:hAnsi="Garamond"/>
          <w:i/>
          <w:spacing w:val="-4"/>
        </w:rPr>
        <w:t xml:space="preserve">the </w:t>
      </w:r>
      <w:r>
        <w:rPr>
          <w:rFonts w:ascii="Garamond" w:hAnsi="Garamond"/>
          <w:i/>
          <w:spacing w:val="-5"/>
        </w:rPr>
        <w:t xml:space="preserve">Ind. Int’l Comm’n </w:t>
      </w:r>
      <w:r>
        <w:rPr>
          <w:rFonts w:ascii="Garamond" w:hAnsi="Garamond"/>
          <w:i/>
          <w:spacing w:val="-3"/>
        </w:rPr>
        <w:t xml:space="preserve">of Inquiry on </w:t>
      </w:r>
      <w:r>
        <w:rPr>
          <w:rFonts w:ascii="Garamond" w:hAnsi="Garamond"/>
          <w:i/>
          <w:spacing w:val="-4"/>
        </w:rPr>
        <w:t xml:space="preserve">the </w:t>
      </w:r>
      <w:r>
        <w:rPr>
          <w:rFonts w:ascii="Garamond" w:hAnsi="Garamond"/>
          <w:i/>
          <w:spacing w:val="-5"/>
        </w:rPr>
        <w:t xml:space="preserve">Syrian </w:t>
      </w:r>
      <w:r>
        <w:rPr>
          <w:rFonts w:ascii="Garamond" w:hAnsi="Garamond"/>
          <w:i/>
          <w:spacing w:val="-4"/>
        </w:rPr>
        <w:t xml:space="preserve">Arab </w:t>
      </w:r>
      <w:r>
        <w:rPr>
          <w:rFonts w:ascii="Garamond" w:hAnsi="Garamond"/>
          <w:i/>
          <w:spacing w:val="-5"/>
        </w:rPr>
        <w:t>Republic</w:t>
      </w:r>
      <w:r>
        <w:rPr>
          <w:rFonts w:ascii="Garamond" w:hAnsi="Garamond"/>
          <w:spacing w:val="-5"/>
        </w:rPr>
        <w:t xml:space="preserve">, </w:t>
      </w:r>
      <w:r>
        <w:rPr>
          <w:rFonts w:ascii="Garamond" w:hAnsi="Garamond"/>
        </w:rPr>
        <w:t xml:space="preserve">¶¶ </w:t>
      </w:r>
      <w:r>
        <w:rPr>
          <w:rFonts w:ascii="Garamond" w:hAnsi="Garamond"/>
          <w:spacing w:val="-4"/>
        </w:rPr>
        <w:t>59, 73,</w:t>
      </w:r>
      <w:r>
        <w:rPr>
          <w:rFonts w:ascii="Garamond" w:hAnsi="Garamond"/>
          <w:spacing w:val="-5"/>
        </w:rPr>
        <w:t xml:space="preserve"> </w:t>
      </w:r>
      <w:r>
        <w:rPr>
          <w:rFonts w:ascii="Garamond" w:hAnsi="Garamond"/>
          <w:spacing w:val="-13"/>
        </w:rPr>
        <w:t xml:space="preserve">U.N. </w:t>
      </w:r>
      <w:r>
        <w:rPr>
          <w:rFonts w:ascii="Garamond" w:hAnsi="Garamond"/>
          <w:spacing w:val="-6"/>
        </w:rPr>
        <w:t xml:space="preserve">Doc. </w:t>
      </w:r>
      <w:r>
        <w:rPr>
          <w:rFonts w:ascii="Garamond" w:hAnsi="Garamond"/>
          <w:spacing w:val="-5"/>
        </w:rPr>
        <w:t xml:space="preserve">A/HRC/30/48 </w:t>
      </w:r>
      <w:r>
        <w:rPr>
          <w:rFonts w:ascii="Garamond" w:hAnsi="Garamond"/>
          <w:spacing w:val="-8"/>
        </w:rPr>
        <w:t xml:space="preserve">(Aug. </w:t>
      </w:r>
      <w:r>
        <w:rPr>
          <w:rFonts w:ascii="Garamond" w:hAnsi="Garamond"/>
          <w:spacing w:val="-4"/>
        </w:rPr>
        <w:t xml:space="preserve">13, </w:t>
      </w:r>
      <w:r>
        <w:rPr>
          <w:rFonts w:ascii="Garamond" w:hAnsi="Garamond"/>
          <w:spacing w:val="-5"/>
        </w:rPr>
        <w:t xml:space="preserve">2015); </w:t>
      </w:r>
      <w:r>
        <w:rPr>
          <w:rFonts w:ascii="Garamond" w:hAnsi="Garamond"/>
          <w:spacing w:val="-5"/>
          <w:w w:val="105"/>
        </w:rPr>
        <w:t xml:space="preserve">Salim, </w:t>
      </w:r>
      <w:r>
        <w:rPr>
          <w:rFonts w:ascii="Garamond" w:hAnsi="Garamond"/>
          <w:i/>
          <w:spacing w:val="-4"/>
          <w:w w:val="105"/>
        </w:rPr>
        <w:t xml:space="preserve">The </w:t>
      </w:r>
      <w:r>
        <w:rPr>
          <w:rFonts w:ascii="Garamond" w:hAnsi="Garamond"/>
          <w:i/>
          <w:spacing w:val="-7"/>
          <w:w w:val="105"/>
        </w:rPr>
        <w:t xml:space="preserve">Yazidi Women </w:t>
      </w:r>
      <w:r>
        <w:rPr>
          <w:rFonts w:ascii="Garamond" w:hAnsi="Garamond"/>
          <w:i/>
          <w:w w:val="105"/>
        </w:rPr>
        <w:t xml:space="preserve">Who </w:t>
      </w:r>
      <w:r>
        <w:rPr>
          <w:rFonts w:ascii="Garamond" w:hAnsi="Garamond"/>
          <w:i/>
          <w:spacing w:val="-5"/>
          <w:w w:val="105"/>
        </w:rPr>
        <w:t xml:space="preserve">Escaped </w:t>
      </w:r>
      <w:r>
        <w:rPr>
          <w:rFonts w:ascii="Garamond" w:hAnsi="Garamond"/>
          <w:i/>
          <w:spacing w:val="-4"/>
        </w:rPr>
        <w:t>ISIS</w:t>
      </w:r>
      <w:r>
        <w:rPr>
          <w:rFonts w:ascii="Garamond" w:hAnsi="Garamond"/>
          <w:spacing w:val="-6"/>
          <w:w w:val="105"/>
        </w:rPr>
        <w:t xml:space="preserve">; </w:t>
      </w:r>
      <w:r>
        <w:rPr>
          <w:rFonts w:ascii="Garamond" w:hAnsi="Garamond"/>
          <w:smallCaps/>
        </w:rPr>
        <w:t>Amnesty Int’l,</w:t>
      </w:r>
      <w:r>
        <w:rPr>
          <w:rFonts w:ascii="Garamond" w:hAnsi="Garamond"/>
          <w:b/>
          <w:smallCaps/>
        </w:rPr>
        <w:t xml:space="preserve"> </w:t>
      </w:r>
      <w:r>
        <w:rPr>
          <w:rFonts w:ascii="Garamond" w:hAnsi="Garamond"/>
          <w:smallCaps/>
        </w:rPr>
        <w:t xml:space="preserve">Escape from Hell, </w:t>
      </w:r>
      <w:r w:rsidRPr="00EC5AAA">
        <w:rPr>
          <w:rFonts w:ascii="Garamond" w:hAnsi="Garamond"/>
        </w:rPr>
        <w:t>at 5</w:t>
      </w:r>
      <w:r>
        <w:rPr>
          <w:rFonts w:ascii="Garamond" w:hAnsi="Garamond" w:cs="Garamond"/>
        </w:rPr>
        <w:t>-7, 11-12</w:t>
      </w:r>
      <w:r>
        <w:rPr>
          <w:rFonts w:ascii="Garamond" w:hAnsi="Garamond" w:cs="Garamond"/>
          <w:spacing w:val="-4"/>
        </w:rPr>
        <w:t xml:space="preserve">; </w:t>
      </w:r>
      <w:r>
        <w:rPr>
          <w:rFonts w:ascii="Garamond" w:hAnsi="Garamond" w:cs="TimesNewRomanPSMT"/>
          <w:i/>
        </w:rPr>
        <w:t>Iraq: Sunni Women Tell of ISIS Detention, Torture, Describe Forced Marriage, Rape,</w:t>
      </w:r>
      <w:r>
        <w:rPr>
          <w:rFonts w:ascii="Garamond" w:hAnsi="Garamond" w:cs="TimesNewRomanPSMT"/>
          <w:smallCaps/>
        </w:rPr>
        <w:t xml:space="preserve"> Human Rights Watch</w:t>
      </w:r>
      <w:r>
        <w:rPr>
          <w:rFonts w:ascii="Garamond" w:hAnsi="Garamond" w:cs="TimesNewRomanPSMT"/>
        </w:rPr>
        <w:t xml:space="preserve">; </w:t>
      </w:r>
      <w:r>
        <w:rPr>
          <w:rFonts w:ascii="Garamond" w:hAnsi="Garamond" w:cs="TimesNewRomanPSMT"/>
          <w:smallCaps/>
        </w:rPr>
        <w:t>U.N. Assistance Mission for Iraq &amp; Office of the High Comm’r for Human Rights</w:t>
      </w:r>
      <w:r>
        <w:rPr>
          <w:rFonts w:ascii="Garamond" w:hAnsi="Garamond"/>
          <w:smallCaps/>
        </w:rPr>
        <w:t>, Report on the Protection of Civilians in the Armed Conflict in Iraq: 11 December 2014–30 April 2015</w:t>
      </w:r>
      <w:r>
        <w:rPr>
          <w:rFonts w:ascii="Garamond" w:hAnsi="Garamond"/>
        </w:rPr>
        <w:t>, at 22 http://www.ohchr.org/Documents/Countries/IQ/UNAMI_OHCHR_4th_POCReport-11Dec2014-30April2015.pdf (reporting the abduction and killing of Sunni and Turkmen Shi’a women who refused to marry ISIS fighters)</w:t>
      </w:r>
      <w:r>
        <w:rPr>
          <w:rFonts w:ascii="Garamond" w:hAnsi="Garamond" w:cs="TimesNewRomanPSMT"/>
        </w:rPr>
        <w:t>.</w:t>
      </w:r>
    </w:p>
  </w:endnote>
  <w:endnote w:id="24">
    <w:p w14:paraId="2D24451C" w14:textId="77777777" w:rsidR="003963CA" w:rsidRDefault="003963CA" w:rsidP="003963CA">
      <w:pPr>
        <w:autoSpaceDE w:val="0"/>
        <w:autoSpaceDN w:val="0"/>
        <w:adjustRightInd w:val="0"/>
        <w:spacing w:after="0" w:line="240" w:lineRule="auto"/>
      </w:pPr>
      <w:r>
        <w:rPr>
          <w:rStyle w:val="EndnoteReference"/>
          <w:rFonts w:ascii="Garamond" w:hAnsi="Garamond"/>
          <w:sz w:val="20"/>
          <w:szCs w:val="20"/>
        </w:rPr>
        <w:endnoteRef/>
      </w:r>
      <w:r>
        <w:rPr>
          <w:rFonts w:ascii="Garamond" w:hAnsi="Garamond"/>
          <w:sz w:val="20"/>
          <w:szCs w:val="20"/>
        </w:rPr>
        <w:t xml:space="preserve"> </w:t>
      </w:r>
      <w:r>
        <w:rPr>
          <w:rFonts w:ascii="Garamond" w:hAnsi="Garamond"/>
          <w:i/>
          <w:sz w:val="20"/>
          <w:szCs w:val="20"/>
        </w:rPr>
        <w:t>See, e.g.</w:t>
      </w:r>
      <w:r>
        <w:rPr>
          <w:rFonts w:ascii="Garamond" w:hAnsi="Garamond"/>
          <w:sz w:val="20"/>
          <w:szCs w:val="20"/>
        </w:rPr>
        <w:t xml:space="preserve">, </w:t>
      </w:r>
      <w:r>
        <w:rPr>
          <w:rFonts w:ascii="Garamond" w:hAnsi="Garamond"/>
          <w:i/>
          <w:sz w:val="20"/>
          <w:szCs w:val="20"/>
        </w:rPr>
        <w:t xml:space="preserve">Iraq Kurdish </w:t>
      </w:r>
      <w:r>
        <w:rPr>
          <w:rFonts w:ascii="Garamond" w:hAnsi="Garamond"/>
          <w:bCs/>
          <w:i/>
          <w:sz w:val="20"/>
          <w:szCs w:val="20"/>
        </w:rPr>
        <w:t>A</w:t>
      </w:r>
      <w:r>
        <w:rPr>
          <w:rFonts w:ascii="Garamond" w:hAnsi="Garamond"/>
          <w:i/>
          <w:sz w:val="20"/>
          <w:szCs w:val="20"/>
        </w:rPr>
        <w:t xml:space="preserve">uthorities </w:t>
      </w:r>
      <w:r>
        <w:rPr>
          <w:rFonts w:ascii="Garamond" w:hAnsi="Garamond"/>
          <w:bCs/>
          <w:i/>
          <w:sz w:val="20"/>
          <w:szCs w:val="20"/>
        </w:rPr>
        <w:t xml:space="preserve">Must End Disgraceful Detention of Yezidi Woman Who Survived IS Captivity, </w:t>
      </w:r>
      <w:r>
        <w:rPr>
          <w:rFonts w:ascii="Garamond" w:hAnsi="Garamond"/>
          <w:smallCaps/>
          <w:sz w:val="20"/>
          <w:szCs w:val="20"/>
          <w:shd w:val="clear" w:color="auto" w:fill="FFFFFF"/>
        </w:rPr>
        <w:t>Amnesty Int’l</w:t>
      </w:r>
      <w:r>
        <w:rPr>
          <w:rFonts w:ascii="Garamond" w:hAnsi="Garamond"/>
          <w:sz w:val="20"/>
          <w:szCs w:val="20"/>
          <w:shd w:val="clear" w:color="auto" w:fill="FFFFFF"/>
        </w:rPr>
        <w:t xml:space="preserve"> </w:t>
      </w:r>
      <w:r>
        <w:rPr>
          <w:rFonts w:ascii="Garamond" w:hAnsi="Garamond"/>
          <w:bCs/>
          <w:sz w:val="20"/>
          <w:szCs w:val="20"/>
        </w:rPr>
        <w:t xml:space="preserve">(Sept. 9, 2016), </w:t>
      </w:r>
      <w:r>
        <w:rPr>
          <w:rFonts w:ascii="Garamond" w:hAnsi="Garamond"/>
          <w:sz w:val="20"/>
          <w:szCs w:val="20"/>
        </w:rPr>
        <w:t>https://www.amnesty.org/en/latest/news/2016/09/iraq-kurdish-authorities-must-end-disgraceful-detention-of-yezidi-woman-who-survived-is-captivity/</w:t>
      </w:r>
      <w:r>
        <w:rPr>
          <w:rFonts w:ascii="Garamond" w:hAnsi="Garamond"/>
          <w:bCs/>
          <w:sz w:val="20"/>
          <w:szCs w:val="20"/>
        </w:rPr>
        <w:t xml:space="preserve">; </w:t>
      </w:r>
      <w:r>
        <w:rPr>
          <w:rFonts w:ascii="Garamond" w:hAnsi="Garamond"/>
          <w:sz w:val="20"/>
          <w:szCs w:val="20"/>
          <w:shd w:val="clear" w:color="auto" w:fill="FFFFFF"/>
        </w:rPr>
        <w:t xml:space="preserve">Letta Taylor, </w:t>
      </w:r>
      <w:r>
        <w:rPr>
          <w:rFonts w:ascii="Garamond" w:hAnsi="Garamond"/>
          <w:i/>
          <w:sz w:val="20"/>
          <w:szCs w:val="20"/>
          <w:shd w:val="clear" w:color="auto" w:fill="FFFFFF"/>
        </w:rPr>
        <w:t>The Women Who Escaped ISIS: From Abused to Accused</w:t>
      </w:r>
      <w:r>
        <w:rPr>
          <w:rFonts w:ascii="Garamond" w:hAnsi="Garamond"/>
          <w:sz w:val="20"/>
          <w:szCs w:val="20"/>
          <w:shd w:val="clear" w:color="auto" w:fill="FFFFFF"/>
        </w:rPr>
        <w:t xml:space="preserve">, </w:t>
      </w:r>
      <w:r>
        <w:rPr>
          <w:rFonts w:ascii="Garamond" w:hAnsi="Garamond"/>
          <w:smallCaps/>
          <w:sz w:val="20"/>
          <w:szCs w:val="20"/>
          <w:shd w:val="clear" w:color="auto" w:fill="FFFFFF"/>
        </w:rPr>
        <w:t>Human Rights Watch</w:t>
      </w:r>
      <w:r>
        <w:rPr>
          <w:rFonts w:ascii="Garamond" w:hAnsi="Garamond"/>
          <w:sz w:val="20"/>
          <w:szCs w:val="20"/>
          <w:shd w:val="clear" w:color="auto" w:fill="FFFFFF"/>
        </w:rPr>
        <w:t xml:space="preserve"> (Mar. 11, 2017), https://www.hrw.org/news/2017/03/11/women-who-escaped-isis; </w:t>
      </w:r>
      <w:r>
        <w:rPr>
          <w:rFonts w:ascii="Garamond" w:hAnsi="Garamond"/>
          <w:smallCaps/>
          <w:sz w:val="20"/>
          <w:szCs w:val="20"/>
        </w:rPr>
        <w:t>UNAMI, Promotion and Protection of Rights of Victims of Sexual Violence by ISIL,</w:t>
      </w:r>
      <w:r>
        <w:rPr>
          <w:rFonts w:ascii="Garamond" w:hAnsi="Garamond" w:cs="Calibri"/>
          <w:sz w:val="20"/>
          <w:szCs w:val="20"/>
        </w:rPr>
        <w:t xml:space="preserve"> ¶ 41 (noting the risk that women married to ISIL members with or without consent may be subject to discrimination and collective punishment); </w:t>
      </w:r>
      <w:r>
        <w:rPr>
          <w:rFonts w:ascii="Garamond" w:hAnsi="Garamond"/>
          <w:smallCaps/>
          <w:sz w:val="20"/>
          <w:szCs w:val="20"/>
        </w:rPr>
        <w:t xml:space="preserve">Human Rights Watch, “No One is Safe:” Abuse of Women in Iraq’s Criminal Justice System </w:t>
      </w:r>
      <w:r>
        <w:rPr>
          <w:rFonts w:ascii="Garamond" w:hAnsi="Garamond"/>
          <w:sz w:val="20"/>
          <w:szCs w:val="20"/>
        </w:rPr>
        <w:t xml:space="preserve">19-37 (2014) (describing the arrest and detention of women under the 2005 Anti-Terrorism Law based on familial association); </w:t>
      </w:r>
      <w:r>
        <w:rPr>
          <w:rFonts w:ascii="Garamond" w:hAnsi="Garamond"/>
          <w:smallCaps/>
          <w:sz w:val="20"/>
          <w:szCs w:val="20"/>
        </w:rPr>
        <w:t>Human Rights Watch, Flawed Justice: Accountability for ISIS Crimes in Iraq</w:t>
      </w:r>
      <w:r>
        <w:rPr>
          <w:rFonts w:ascii="Garamond" w:hAnsi="Garamond"/>
          <w:sz w:val="20"/>
          <w:szCs w:val="20"/>
        </w:rPr>
        <w:t xml:space="preserve"> 27-33 (2017) (on current prosecutions).</w:t>
      </w:r>
    </w:p>
  </w:endnote>
  <w:endnote w:id="25">
    <w:p w14:paraId="637BFB84" w14:textId="77777777" w:rsidR="003963CA" w:rsidRDefault="003963CA" w:rsidP="003963CA">
      <w:pPr>
        <w:pStyle w:val="Footnotes"/>
      </w:pPr>
      <w:r>
        <w:rPr>
          <w:rStyle w:val="EndnoteReference"/>
          <w:rFonts w:eastAsiaTheme="majorEastAsia"/>
        </w:rPr>
        <w:endnoteRef/>
      </w:r>
      <w:r>
        <w:t xml:space="preserve"> U.S. </w:t>
      </w:r>
      <w:r>
        <w:rPr>
          <w:smallCaps/>
        </w:rPr>
        <w:t>Dep’t of State, Iraq 2016 Human Rights Report</w:t>
      </w:r>
      <w:r>
        <w:t xml:space="preserve">, at 56. “According to UNICEF, approximately 975,000 girls in Iraq were married before the age of 15, twice as many as in 1990.” </w:t>
      </w:r>
      <w:r>
        <w:rPr>
          <w:i/>
        </w:rPr>
        <w:t>Id.</w:t>
      </w:r>
      <w:r>
        <w:t xml:space="preserve"> </w:t>
      </w:r>
      <w:r>
        <w:rPr>
          <w:i/>
        </w:rPr>
        <w:t>See also</w:t>
      </w:r>
      <w:r>
        <w:t xml:space="preserve"> Huda Ahmed, Freedom House, </w:t>
      </w:r>
      <w:r>
        <w:rPr>
          <w:i/>
        </w:rPr>
        <w:t>Iraq</w:t>
      </w:r>
      <w:r>
        <w:t>, at 12.</w:t>
      </w:r>
    </w:p>
  </w:endnote>
  <w:endnote w:id="26">
    <w:p w14:paraId="266CE792" w14:textId="77777777" w:rsidR="003963CA" w:rsidRDefault="003963CA" w:rsidP="003963CA">
      <w:pPr>
        <w:pStyle w:val="EndnoteText"/>
        <w:rPr>
          <w:rFonts w:ascii="Times New Roman" w:hAnsi="Times New Roman"/>
        </w:rPr>
      </w:pPr>
      <w:r>
        <w:rPr>
          <w:rStyle w:val="EndnoteReference"/>
          <w:rFonts w:ascii="Garamond" w:hAnsi="Garamond"/>
        </w:rPr>
        <w:endnoteRef/>
      </w:r>
      <w:r>
        <w:rPr>
          <w:rFonts w:ascii="Garamond" w:hAnsi="Garamond"/>
        </w:rPr>
        <w:t xml:space="preserve"> Constitution art. 37(first)(C).</w:t>
      </w:r>
    </w:p>
  </w:endnote>
  <w:endnote w:id="27">
    <w:p w14:paraId="3AFCA61A" w14:textId="77777777" w:rsidR="003963CA" w:rsidRDefault="003963CA" w:rsidP="003963CA">
      <w:pPr>
        <w:pStyle w:val="Footnotes"/>
      </w:pPr>
      <w:r>
        <w:rPr>
          <w:rStyle w:val="EndnoteReference"/>
          <w:rFonts w:eastAsiaTheme="majorEastAsia"/>
        </w:rPr>
        <w:endnoteRef/>
      </w:r>
      <w:r>
        <w:t xml:space="preserve"> Criminal Procedure Code arts. 127, 218; Penal Code art. 333. </w:t>
      </w:r>
      <w:r>
        <w:rPr>
          <w:i/>
        </w:rPr>
        <w:t>See also</w:t>
      </w:r>
      <w:r>
        <w:t xml:space="preserve"> Constitution art. 9(D) (intelligence service shall operate according to law and “recognized principles of human rights”). </w:t>
      </w:r>
    </w:p>
  </w:endnote>
  <w:endnote w:id="28">
    <w:p w14:paraId="097D1A07" w14:textId="77777777" w:rsidR="003963CA" w:rsidRDefault="003963CA" w:rsidP="003963CA">
      <w:pPr>
        <w:pStyle w:val="EndnoteText"/>
      </w:pPr>
      <w:r>
        <w:rPr>
          <w:rStyle w:val="EndnoteReference"/>
          <w:rFonts w:ascii="Garamond" w:hAnsi="Garamond"/>
        </w:rPr>
        <w:endnoteRef/>
      </w:r>
      <w:r>
        <w:rPr>
          <w:rFonts w:ascii="Garamond" w:hAnsi="Garamond"/>
        </w:rPr>
        <w:t xml:space="preserve"> Penal Code art. 332.</w:t>
      </w:r>
    </w:p>
  </w:endnote>
  <w:endnote w:id="29">
    <w:p w14:paraId="1F5C2535" w14:textId="77777777" w:rsidR="003963CA" w:rsidRDefault="003963CA" w:rsidP="003963CA">
      <w:pPr>
        <w:pStyle w:val="EndnoteText"/>
      </w:pPr>
      <w:r>
        <w:rPr>
          <w:rStyle w:val="EndnoteReference"/>
          <w:rFonts w:ascii="Garamond" w:hAnsi="Garamond"/>
        </w:rPr>
        <w:endnoteRef/>
      </w:r>
      <w:r>
        <w:rPr>
          <w:rFonts w:ascii="Garamond" w:hAnsi="Garamond"/>
        </w:rPr>
        <w:t xml:space="preserve"> </w:t>
      </w:r>
      <w:r>
        <w:rPr>
          <w:rFonts w:ascii="Garamond" w:hAnsi="Garamond"/>
          <w:i/>
        </w:rPr>
        <w:t xml:space="preserve">See </w:t>
      </w:r>
      <w:r>
        <w:rPr>
          <w:rFonts w:ascii="Garamond" w:hAnsi="Garamond"/>
        </w:rPr>
        <w:t xml:space="preserve">Human Rights Council, </w:t>
      </w:r>
      <w:r>
        <w:rPr>
          <w:rFonts w:ascii="Garamond" w:hAnsi="Garamond"/>
          <w:i/>
        </w:rPr>
        <w:t>Rep. of the Special Rapporteur on Torture and Other Cruel, Inhuman or Degrading Treatment or Punishment</w:t>
      </w:r>
      <w:r>
        <w:rPr>
          <w:rFonts w:ascii="Garamond" w:hAnsi="Garamond"/>
        </w:rPr>
        <w:t xml:space="preserve">, </w:t>
      </w:r>
      <w:r>
        <w:rPr>
          <w:rFonts w:ascii="Garamond" w:hAnsi="Garamond" w:cs="Lucida Grande"/>
        </w:rPr>
        <w:t xml:space="preserve">¶¶ 51-67, </w:t>
      </w:r>
      <w:r>
        <w:rPr>
          <w:rFonts w:ascii="Garamond" w:hAnsi="Garamond"/>
        </w:rPr>
        <w:t>U.N. Doc. A/HRC/31/57 (Jan. 5, 2016) (by Juan E. Méndez)</w:t>
      </w:r>
      <w:r>
        <w:rPr>
          <w:rFonts w:ascii="Garamond" w:hAnsi="Garamond" w:cs="Lucida Grande"/>
        </w:rPr>
        <w:t xml:space="preserve">. </w:t>
      </w:r>
      <w:r>
        <w:rPr>
          <w:rFonts w:ascii="Garamond" w:hAnsi="Garamond" w:cs="Lucida Grande"/>
          <w:b/>
        </w:rPr>
        <w:t xml:space="preserve"> </w:t>
      </w:r>
    </w:p>
  </w:endnote>
  <w:endnote w:id="30">
    <w:p w14:paraId="47D7C87F" w14:textId="77777777" w:rsidR="003963CA" w:rsidRDefault="003963CA" w:rsidP="003963CA">
      <w:pPr>
        <w:pStyle w:val="EndnoteText"/>
        <w:rPr>
          <w:rFonts w:ascii="Times New Roman" w:hAnsi="Times New Roman"/>
        </w:rPr>
      </w:pPr>
      <w:r>
        <w:rPr>
          <w:rStyle w:val="EndnoteReference"/>
          <w:rFonts w:ascii="Garamond" w:hAnsi="Garamond"/>
        </w:rPr>
        <w:endnoteRef/>
      </w:r>
      <w:r>
        <w:rPr>
          <w:rFonts w:ascii="Garamond" w:hAnsi="Garamond"/>
        </w:rPr>
        <w:t xml:space="preserve"> There is no criminal law outlawing or otherwise describing genocide in Iraq’s Penal Code. The “Iraqi High Tribunal”—created to punish crimes committed by Saddam Hussein’s government—contains an article criminalizing genocide, crimes against humanity and war crimes, but the law that created this tribunal does not apply generally to Iraq’s Penal Code, or to Daesh’s crimes. Law No. 10 of 2005, Law of the Iraqi Higher Criminal Court art. 1(Second) (Iraq).</w:t>
      </w:r>
    </w:p>
  </w:endnote>
  <w:endnote w:id="31">
    <w:p w14:paraId="3C338B06" w14:textId="77777777" w:rsidR="003963CA" w:rsidRDefault="003963CA" w:rsidP="003963CA">
      <w:pPr>
        <w:pStyle w:val="FootnoteText1"/>
      </w:pPr>
      <w:r>
        <w:rPr>
          <w:rStyle w:val="EndnoteReference"/>
          <w:rFonts w:ascii="Garamond" w:hAnsi="Garamond"/>
        </w:rPr>
        <w:endnoteRef/>
      </w:r>
      <w:r>
        <w:rPr>
          <w:rFonts w:ascii="Garamond" w:hAnsi="Garamond"/>
        </w:rPr>
        <w:t xml:space="preserve"> Notification of Accession by Iraq to the Convention of 9 December 1948 on the Prevention and Punishment of the Crime of Genocide, Doc. C.N.</w:t>
      </w:r>
      <w:proofErr w:type="gramStart"/>
      <w:r>
        <w:rPr>
          <w:rFonts w:ascii="Garamond" w:hAnsi="Garamond"/>
        </w:rPr>
        <w:t>16.1959.Treaties</w:t>
      </w:r>
      <w:proofErr w:type="gramEnd"/>
      <w:r>
        <w:rPr>
          <w:rFonts w:ascii="Garamond" w:hAnsi="Garamond"/>
        </w:rPr>
        <w:t xml:space="preserve">-1 (Feb. 24, 1959), </w:t>
      </w:r>
      <w:r w:rsidRPr="007A655D">
        <w:rPr>
          <w:rStyle w:val="Hyperlink1"/>
          <w:rFonts w:ascii="Garamond" w:eastAsiaTheme="minorEastAsia" w:hAnsi="Garamond"/>
        </w:rPr>
        <w:t>https://treaties.un.org/doc/Publication/CN/1959/CN.16.1959-Eng.pdf</w:t>
      </w:r>
      <w:r w:rsidRPr="007A655D">
        <w:rPr>
          <w:rFonts w:ascii="Garamond" w:hAnsi="Garamond"/>
        </w:rPr>
        <w:t xml:space="preserve">. </w:t>
      </w:r>
    </w:p>
  </w:endnote>
  <w:endnote w:id="32">
    <w:p w14:paraId="438ABB3F" w14:textId="77777777" w:rsidR="003C157E" w:rsidRDefault="003C157E" w:rsidP="003C157E">
      <w:pPr>
        <w:widowControl w:val="0"/>
        <w:tabs>
          <w:tab w:val="left" w:pos="888"/>
        </w:tabs>
        <w:spacing w:after="0" w:line="240" w:lineRule="auto"/>
      </w:pPr>
      <w:r>
        <w:rPr>
          <w:rStyle w:val="EndnoteReference"/>
          <w:rFonts w:ascii="Garamond" w:hAnsi="Garamond"/>
          <w:sz w:val="20"/>
          <w:szCs w:val="20"/>
        </w:rPr>
        <w:endnoteRef/>
      </w:r>
      <w:r>
        <w:rPr>
          <w:rFonts w:ascii="Garamond" w:hAnsi="Garamond"/>
          <w:sz w:val="20"/>
          <w:szCs w:val="20"/>
        </w:rPr>
        <w:t xml:space="preserve"> </w:t>
      </w:r>
      <w:r>
        <w:rPr>
          <w:rFonts w:ascii="Garamond" w:hAnsi="Garamond" w:cs="Garamond"/>
          <w:smallCaps/>
          <w:spacing w:val="-4"/>
          <w:sz w:val="20"/>
          <w:szCs w:val="20"/>
        </w:rPr>
        <w:t>Amnesty</w:t>
      </w:r>
      <w:r>
        <w:rPr>
          <w:rFonts w:ascii="Garamond" w:hAnsi="Garamond" w:cs="Garamond"/>
          <w:smallCaps/>
          <w:spacing w:val="-12"/>
          <w:sz w:val="20"/>
          <w:szCs w:val="20"/>
        </w:rPr>
        <w:t xml:space="preserve"> </w:t>
      </w:r>
      <w:r>
        <w:rPr>
          <w:rFonts w:ascii="Garamond" w:hAnsi="Garamond" w:cs="Garamond"/>
          <w:smallCaps/>
          <w:spacing w:val="-4"/>
          <w:sz w:val="20"/>
          <w:szCs w:val="20"/>
        </w:rPr>
        <w:t>Int’l,</w:t>
      </w:r>
      <w:r>
        <w:rPr>
          <w:rFonts w:ascii="Garamond" w:hAnsi="Garamond" w:cs="Garamond"/>
          <w:smallCaps/>
          <w:spacing w:val="-12"/>
          <w:sz w:val="20"/>
          <w:szCs w:val="20"/>
        </w:rPr>
        <w:t xml:space="preserve"> </w:t>
      </w:r>
      <w:r>
        <w:rPr>
          <w:rFonts w:ascii="Garamond" w:hAnsi="Garamond" w:cs="Garamond"/>
          <w:smallCaps/>
          <w:spacing w:val="-4"/>
          <w:sz w:val="20"/>
          <w:szCs w:val="20"/>
        </w:rPr>
        <w:t>Escape</w:t>
      </w:r>
      <w:r>
        <w:rPr>
          <w:rFonts w:ascii="Garamond" w:hAnsi="Garamond" w:cs="Garamond"/>
          <w:smallCaps/>
          <w:spacing w:val="-12"/>
          <w:sz w:val="20"/>
          <w:szCs w:val="20"/>
        </w:rPr>
        <w:t xml:space="preserve"> </w:t>
      </w:r>
      <w:r>
        <w:rPr>
          <w:rFonts w:ascii="Garamond" w:hAnsi="Garamond" w:cs="Garamond"/>
          <w:smallCaps/>
          <w:sz w:val="20"/>
          <w:szCs w:val="20"/>
        </w:rPr>
        <w:t>from</w:t>
      </w:r>
      <w:r>
        <w:rPr>
          <w:rFonts w:ascii="Garamond" w:hAnsi="Garamond" w:cs="Garamond"/>
          <w:smallCaps/>
          <w:spacing w:val="-12"/>
          <w:sz w:val="20"/>
          <w:szCs w:val="20"/>
        </w:rPr>
        <w:t xml:space="preserve"> </w:t>
      </w:r>
      <w:r>
        <w:rPr>
          <w:rFonts w:ascii="Garamond" w:hAnsi="Garamond" w:cs="Garamond"/>
          <w:smallCaps/>
          <w:spacing w:val="-4"/>
          <w:sz w:val="20"/>
          <w:szCs w:val="20"/>
        </w:rPr>
        <w:t>Hell</w:t>
      </w:r>
      <w:r>
        <w:rPr>
          <w:rFonts w:ascii="Garamond" w:hAnsi="Garamond" w:cs="Garamond"/>
          <w:spacing w:val="-3"/>
          <w:sz w:val="20"/>
          <w:szCs w:val="20"/>
        </w:rPr>
        <w:t xml:space="preserve">; </w:t>
      </w:r>
      <w:r>
        <w:rPr>
          <w:rFonts w:ascii="Garamond" w:hAnsi="Garamond"/>
          <w:spacing w:val="-4"/>
          <w:sz w:val="20"/>
          <w:szCs w:val="20"/>
        </w:rPr>
        <w:t xml:space="preserve">Human </w:t>
      </w:r>
      <w:r>
        <w:rPr>
          <w:rFonts w:ascii="Garamond" w:hAnsi="Garamond"/>
          <w:spacing w:val="-5"/>
          <w:sz w:val="20"/>
          <w:szCs w:val="20"/>
        </w:rPr>
        <w:t xml:space="preserve">Rights Council, </w:t>
      </w:r>
      <w:r>
        <w:rPr>
          <w:rFonts w:ascii="Garamond" w:hAnsi="Garamond"/>
          <w:i/>
          <w:spacing w:val="-4"/>
          <w:sz w:val="20"/>
          <w:szCs w:val="20"/>
        </w:rPr>
        <w:t xml:space="preserve">Rep. </w:t>
      </w:r>
      <w:r>
        <w:rPr>
          <w:rFonts w:ascii="Garamond" w:hAnsi="Garamond"/>
          <w:i/>
          <w:spacing w:val="-3"/>
          <w:sz w:val="20"/>
          <w:szCs w:val="20"/>
        </w:rPr>
        <w:t xml:space="preserve">of </w:t>
      </w:r>
      <w:r>
        <w:rPr>
          <w:rFonts w:ascii="Garamond" w:hAnsi="Garamond"/>
          <w:i/>
          <w:spacing w:val="-4"/>
          <w:sz w:val="20"/>
          <w:szCs w:val="20"/>
        </w:rPr>
        <w:t xml:space="preserve">the </w:t>
      </w:r>
      <w:r>
        <w:rPr>
          <w:rFonts w:ascii="Garamond" w:hAnsi="Garamond"/>
          <w:i/>
          <w:spacing w:val="-5"/>
          <w:sz w:val="20"/>
          <w:szCs w:val="20"/>
        </w:rPr>
        <w:t xml:space="preserve">Ind. Int’l Comm’n </w:t>
      </w:r>
      <w:r>
        <w:rPr>
          <w:rFonts w:ascii="Garamond" w:hAnsi="Garamond"/>
          <w:i/>
          <w:spacing w:val="-3"/>
          <w:sz w:val="20"/>
          <w:szCs w:val="20"/>
        </w:rPr>
        <w:t xml:space="preserve">of Inquiry </w:t>
      </w:r>
      <w:r>
        <w:rPr>
          <w:rFonts w:ascii="Garamond" w:hAnsi="Garamond"/>
          <w:i/>
          <w:spacing w:val="-5"/>
          <w:sz w:val="20"/>
          <w:szCs w:val="20"/>
        </w:rPr>
        <w:t xml:space="preserve">on </w:t>
      </w:r>
      <w:r>
        <w:rPr>
          <w:rFonts w:ascii="Garamond" w:hAnsi="Garamond"/>
          <w:i/>
          <w:spacing w:val="-4"/>
          <w:sz w:val="20"/>
          <w:szCs w:val="20"/>
        </w:rPr>
        <w:t xml:space="preserve">the </w:t>
      </w:r>
      <w:r>
        <w:rPr>
          <w:rFonts w:ascii="Garamond" w:hAnsi="Garamond"/>
          <w:i/>
          <w:spacing w:val="-5"/>
          <w:sz w:val="20"/>
          <w:szCs w:val="20"/>
        </w:rPr>
        <w:t xml:space="preserve">Syrian </w:t>
      </w:r>
      <w:r>
        <w:rPr>
          <w:rFonts w:ascii="Garamond" w:hAnsi="Garamond"/>
          <w:i/>
          <w:spacing w:val="-4"/>
          <w:sz w:val="20"/>
          <w:szCs w:val="20"/>
        </w:rPr>
        <w:t xml:space="preserve">Arab </w:t>
      </w:r>
      <w:r>
        <w:rPr>
          <w:rFonts w:ascii="Garamond" w:hAnsi="Garamond"/>
          <w:i/>
          <w:spacing w:val="-5"/>
          <w:sz w:val="20"/>
          <w:szCs w:val="20"/>
        </w:rPr>
        <w:t>Republic</w:t>
      </w:r>
      <w:r>
        <w:rPr>
          <w:rFonts w:ascii="Garamond" w:hAnsi="Garamond"/>
          <w:spacing w:val="-5"/>
          <w:sz w:val="20"/>
          <w:szCs w:val="20"/>
        </w:rPr>
        <w:t xml:space="preserve">, ¶¶ 63, 188, </w:t>
      </w:r>
      <w:r>
        <w:rPr>
          <w:rFonts w:ascii="Garamond" w:hAnsi="Garamond"/>
          <w:spacing w:val="-13"/>
          <w:sz w:val="20"/>
          <w:szCs w:val="20"/>
        </w:rPr>
        <w:t xml:space="preserve">U.N. </w:t>
      </w:r>
      <w:r>
        <w:rPr>
          <w:rFonts w:ascii="Garamond" w:hAnsi="Garamond"/>
          <w:spacing w:val="-6"/>
          <w:sz w:val="20"/>
          <w:szCs w:val="20"/>
        </w:rPr>
        <w:t xml:space="preserve">Doc. </w:t>
      </w:r>
      <w:r>
        <w:rPr>
          <w:rFonts w:ascii="Garamond" w:hAnsi="Garamond"/>
          <w:spacing w:val="-5"/>
          <w:sz w:val="20"/>
          <w:szCs w:val="20"/>
        </w:rPr>
        <w:t>A/HRC/28/69 (Feb. 5, 2015)</w:t>
      </w:r>
      <w:r>
        <w:rPr>
          <w:rFonts w:ascii="Garamond" w:hAnsi="Garamond" w:cs="Garamond"/>
          <w:sz w:val="20"/>
          <w:szCs w:val="20"/>
        </w:rPr>
        <w:t xml:space="preserve">; </w:t>
      </w:r>
      <w:r>
        <w:rPr>
          <w:rFonts w:ascii="Garamond" w:hAnsi="Garamond"/>
          <w:spacing w:val="-4"/>
          <w:sz w:val="20"/>
          <w:szCs w:val="20"/>
        </w:rPr>
        <w:t xml:space="preserve">Human </w:t>
      </w:r>
      <w:r>
        <w:rPr>
          <w:rFonts w:ascii="Garamond" w:hAnsi="Garamond"/>
          <w:spacing w:val="-5"/>
          <w:sz w:val="20"/>
          <w:szCs w:val="20"/>
        </w:rPr>
        <w:t xml:space="preserve">Rights Council, </w:t>
      </w:r>
      <w:r>
        <w:rPr>
          <w:rFonts w:ascii="Garamond" w:hAnsi="Garamond"/>
          <w:i/>
          <w:spacing w:val="-4"/>
          <w:sz w:val="20"/>
          <w:szCs w:val="20"/>
        </w:rPr>
        <w:t xml:space="preserve">Rep. </w:t>
      </w:r>
      <w:r>
        <w:rPr>
          <w:rFonts w:ascii="Garamond" w:hAnsi="Garamond"/>
          <w:i/>
          <w:spacing w:val="-5"/>
          <w:sz w:val="20"/>
          <w:szCs w:val="20"/>
        </w:rPr>
        <w:t xml:space="preserve">of </w:t>
      </w:r>
      <w:r>
        <w:rPr>
          <w:rFonts w:ascii="Garamond" w:hAnsi="Garamond"/>
          <w:i/>
          <w:spacing w:val="-4"/>
          <w:sz w:val="20"/>
          <w:szCs w:val="20"/>
        </w:rPr>
        <w:t xml:space="preserve">the </w:t>
      </w:r>
      <w:r>
        <w:rPr>
          <w:rFonts w:ascii="Garamond" w:hAnsi="Garamond"/>
          <w:i/>
          <w:spacing w:val="-5"/>
          <w:sz w:val="20"/>
          <w:szCs w:val="20"/>
        </w:rPr>
        <w:t xml:space="preserve">Ind. Int’l Comm’n </w:t>
      </w:r>
      <w:r>
        <w:rPr>
          <w:rFonts w:ascii="Garamond" w:hAnsi="Garamond"/>
          <w:i/>
          <w:spacing w:val="-3"/>
          <w:sz w:val="20"/>
          <w:szCs w:val="20"/>
        </w:rPr>
        <w:t xml:space="preserve">of Inquiry on </w:t>
      </w:r>
      <w:r>
        <w:rPr>
          <w:rFonts w:ascii="Garamond" w:hAnsi="Garamond"/>
          <w:i/>
          <w:spacing w:val="-4"/>
          <w:sz w:val="20"/>
          <w:szCs w:val="20"/>
        </w:rPr>
        <w:t xml:space="preserve">the </w:t>
      </w:r>
      <w:r>
        <w:rPr>
          <w:rFonts w:ascii="Garamond" w:hAnsi="Garamond"/>
          <w:i/>
          <w:spacing w:val="-5"/>
          <w:sz w:val="20"/>
          <w:szCs w:val="20"/>
        </w:rPr>
        <w:t xml:space="preserve">Syrian </w:t>
      </w:r>
      <w:r>
        <w:rPr>
          <w:rFonts w:ascii="Garamond" w:hAnsi="Garamond"/>
          <w:i/>
          <w:spacing w:val="-4"/>
          <w:sz w:val="20"/>
          <w:szCs w:val="20"/>
        </w:rPr>
        <w:t xml:space="preserve">Arab </w:t>
      </w:r>
      <w:r>
        <w:rPr>
          <w:rFonts w:ascii="Garamond" w:hAnsi="Garamond"/>
          <w:i/>
          <w:spacing w:val="-5"/>
          <w:sz w:val="20"/>
          <w:szCs w:val="20"/>
        </w:rPr>
        <w:t>Republic</w:t>
      </w:r>
      <w:r>
        <w:rPr>
          <w:rFonts w:ascii="Garamond" w:hAnsi="Garamond"/>
          <w:spacing w:val="-5"/>
          <w:sz w:val="20"/>
          <w:szCs w:val="20"/>
        </w:rPr>
        <w:t xml:space="preserve">, ¶¶ 113-17, </w:t>
      </w:r>
      <w:r>
        <w:rPr>
          <w:rFonts w:ascii="Garamond" w:hAnsi="Garamond"/>
          <w:spacing w:val="-13"/>
          <w:sz w:val="20"/>
          <w:szCs w:val="20"/>
        </w:rPr>
        <w:t xml:space="preserve">U.N. </w:t>
      </w:r>
      <w:r>
        <w:rPr>
          <w:rFonts w:ascii="Garamond" w:hAnsi="Garamond"/>
          <w:spacing w:val="-6"/>
          <w:sz w:val="20"/>
          <w:szCs w:val="20"/>
        </w:rPr>
        <w:t xml:space="preserve">Doc. </w:t>
      </w:r>
      <w:r>
        <w:rPr>
          <w:rFonts w:ascii="Garamond" w:hAnsi="Garamond"/>
          <w:spacing w:val="-5"/>
          <w:sz w:val="20"/>
          <w:szCs w:val="20"/>
        </w:rPr>
        <w:t>A/HRC/30/48</w:t>
      </w:r>
      <w:r>
        <w:rPr>
          <w:rFonts w:ascii="Garamond" w:hAnsi="Garamond" w:cs="Garamond"/>
          <w:sz w:val="20"/>
          <w:szCs w:val="20"/>
        </w:rPr>
        <w:t xml:space="preserve">; </w:t>
      </w:r>
      <w:r>
        <w:rPr>
          <w:rFonts w:ascii="Garamond" w:hAnsi="Garamond"/>
          <w:spacing w:val="-4"/>
          <w:sz w:val="20"/>
          <w:szCs w:val="20"/>
        </w:rPr>
        <w:t xml:space="preserve">Human </w:t>
      </w:r>
      <w:r>
        <w:rPr>
          <w:rFonts w:ascii="Garamond" w:hAnsi="Garamond"/>
          <w:spacing w:val="-5"/>
          <w:sz w:val="20"/>
          <w:szCs w:val="20"/>
        </w:rPr>
        <w:t xml:space="preserve">Rights Council, </w:t>
      </w:r>
      <w:r>
        <w:rPr>
          <w:rFonts w:ascii="Garamond" w:hAnsi="Garamond"/>
          <w:i/>
          <w:spacing w:val="-4"/>
          <w:sz w:val="20"/>
          <w:szCs w:val="20"/>
        </w:rPr>
        <w:t xml:space="preserve">Rep. </w:t>
      </w:r>
      <w:r>
        <w:rPr>
          <w:rFonts w:ascii="Garamond" w:hAnsi="Garamond"/>
          <w:i/>
          <w:spacing w:val="-3"/>
          <w:sz w:val="20"/>
          <w:szCs w:val="20"/>
        </w:rPr>
        <w:t xml:space="preserve">of </w:t>
      </w:r>
      <w:r>
        <w:rPr>
          <w:rFonts w:ascii="Garamond" w:hAnsi="Garamond"/>
          <w:i/>
          <w:spacing w:val="-4"/>
          <w:sz w:val="20"/>
          <w:szCs w:val="20"/>
        </w:rPr>
        <w:t xml:space="preserve">the Office </w:t>
      </w:r>
      <w:r>
        <w:rPr>
          <w:rFonts w:ascii="Garamond" w:hAnsi="Garamond"/>
          <w:i/>
          <w:spacing w:val="-3"/>
          <w:sz w:val="20"/>
          <w:szCs w:val="20"/>
        </w:rPr>
        <w:t xml:space="preserve">of </w:t>
      </w:r>
      <w:r>
        <w:rPr>
          <w:rFonts w:ascii="Garamond" w:hAnsi="Garamond"/>
          <w:i/>
          <w:spacing w:val="-4"/>
          <w:sz w:val="20"/>
          <w:szCs w:val="20"/>
        </w:rPr>
        <w:t xml:space="preserve">the </w:t>
      </w:r>
      <w:r>
        <w:rPr>
          <w:rFonts w:ascii="Garamond" w:hAnsi="Garamond"/>
          <w:i/>
          <w:spacing w:val="-5"/>
          <w:sz w:val="20"/>
          <w:szCs w:val="20"/>
        </w:rPr>
        <w:t xml:space="preserve">United Nations Commissioner </w:t>
      </w:r>
      <w:r>
        <w:rPr>
          <w:rFonts w:ascii="Garamond" w:hAnsi="Garamond"/>
          <w:i/>
          <w:spacing w:val="-4"/>
          <w:sz w:val="20"/>
          <w:szCs w:val="20"/>
        </w:rPr>
        <w:t>for</w:t>
      </w:r>
      <w:r>
        <w:rPr>
          <w:rFonts w:ascii="Garamond" w:hAnsi="Garamond"/>
          <w:i/>
          <w:spacing w:val="-19"/>
          <w:sz w:val="20"/>
          <w:szCs w:val="20"/>
        </w:rPr>
        <w:t xml:space="preserve"> </w:t>
      </w:r>
      <w:r>
        <w:rPr>
          <w:rFonts w:ascii="Garamond" w:hAnsi="Garamond"/>
          <w:i/>
          <w:spacing w:val="-4"/>
          <w:sz w:val="20"/>
          <w:szCs w:val="20"/>
        </w:rPr>
        <w:t>Human</w:t>
      </w:r>
      <w:r>
        <w:rPr>
          <w:rFonts w:ascii="Garamond" w:hAnsi="Garamond"/>
          <w:i/>
          <w:spacing w:val="-19"/>
          <w:sz w:val="20"/>
          <w:szCs w:val="20"/>
        </w:rPr>
        <w:t xml:space="preserve"> </w:t>
      </w:r>
      <w:r>
        <w:rPr>
          <w:rFonts w:ascii="Garamond" w:hAnsi="Garamond"/>
          <w:i/>
          <w:spacing w:val="-5"/>
          <w:sz w:val="20"/>
          <w:szCs w:val="20"/>
        </w:rPr>
        <w:t>Rights</w:t>
      </w:r>
      <w:r>
        <w:rPr>
          <w:rFonts w:ascii="Garamond" w:hAnsi="Garamond"/>
          <w:i/>
          <w:spacing w:val="-19"/>
          <w:sz w:val="20"/>
          <w:szCs w:val="20"/>
        </w:rPr>
        <w:t xml:space="preserve"> </w:t>
      </w:r>
      <w:r>
        <w:rPr>
          <w:rFonts w:ascii="Garamond" w:hAnsi="Garamond"/>
          <w:i/>
          <w:spacing w:val="-3"/>
          <w:sz w:val="20"/>
          <w:szCs w:val="20"/>
        </w:rPr>
        <w:t>on</w:t>
      </w:r>
      <w:r>
        <w:rPr>
          <w:rFonts w:ascii="Garamond" w:hAnsi="Garamond"/>
          <w:i/>
          <w:spacing w:val="-19"/>
          <w:sz w:val="20"/>
          <w:szCs w:val="20"/>
        </w:rPr>
        <w:t xml:space="preserve"> </w:t>
      </w:r>
      <w:r>
        <w:rPr>
          <w:rFonts w:ascii="Garamond" w:hAnsi="Garamond"/>
          <w:i/>
          <w:spacing w:val="-4"/>
          <w:sz w:val="20"/>
          <w:szCs w:val="20"/>
        </w:rPr>
        <w:t>the</w:t>
      </w:r>
      <w:r>
        <w:rPr>
          <w:rFonts w:ascii="Garamond" w:hAnsi="Garamond"/>
          <w:i/>
          <w:spacing w:val="-19"/>
          <w:sz w:val="20"/>
          <w:szCs w:val="20"/>
        </w:rPr>
        <w:t xml:space="preserve"> </w:t>
      </w:r>
      <w:r>
        <w:rPr>
          <w:rFonts w:ascii="Garamond" w:hAnsi="Garamond"/>
          <w:i/>
          <w:spacing w:val="-4"/>
          <w:sz w:val="20"/>
          <w:szCs w:val="20"/>
        </w:rPr>
        <w:t>Human</w:t>
      </w:r>
      <w:r>
        <w:rPr>
          <w:rFonts w:ascii="Garamond" w:hAnsi="Garamond"/>
          <w:i/>
          <w:spacing w:val="-19"/>
          <w:sz w:val="20"/>
          <w:szCs w:val="20"/>
        </w:rPr>
        <w:t xml:space="preserve"> </w:t>
      </w:r>
      <w:r>
        <w:rPr>
          <w:rFonts w:ascii="Garamond" w:hAnsi="Garamond"/>
          <w:i/>
          <w:spacing w:val="-5"/>
          <w:sz w:val="20"/>
          <w:szCs w:val="20"/>
        </w:rPr>
        <w:t>Rights</w:t>
      </w:r>
      <w:r>
        <w:rPr>
          <w:rFonts w:ascii="Garamond" w:hAnsi="Garamond"/>
          <w:i/>
          <w:spacing w:val="-19"/>
          <w:sz w:val="20"/>
          <w:szCs w:val="20"/>
        </w:rPr>
        <w:t xml:space="preserve"> </w:t>
      </w:r>
      <w:r>
        <w:rPr>
          <w:rFonts w:ascii="Garamond" w:hAnsi="Garamond"/>
          <w:i/>
          <w:spacing w:val="-5"/>
          <w:sz w:val="20"/>
          <w:szCs w:val="20"/>
        </w:rPr>
        <w:t>Situation</w:t>
      </w:r>
      <w:r>
        <w:rPr>
          <w:rFonts w:ascii="Garamond" w:hAnsi="Garamond"/>
          <w:i/>
          <w:spacing w:val="-19"/>
          <w:sz w:val="20"/>
          <w:szCs w:val="20"/>
        </w:rPr>
        <w:t xml:space="preserve"> </w:t>
      </w:r>
      <w:r>
        <w:rPr>
          <w:rFonts w:ascii="Garamond" w:hAnsi="Garamond"/>
          <w:i/>
          <w:spacing w:val="-3"/>
          <w:sz w:val="20"/>
          <w:szCs w:val="20"/>
        </w:rPr>
        <w:t>in</w:t>
      </w:r>
      <w:r>
        <w:rPr>
          <w:rFonts w:ascii="Garamond" w:hAnsi="Garamond"/>
          <w:i/>
          <w:spacing w:val="-19"/>
          <w:sz w:val="20"/>
          <w:szCs w:val="20"/>
        </w:rPr>
        <w:t xml:space="preserve"> </w:t>
      </w:r>
      <w:r>
        <w:rPr>
          <w:rFonts w:ascii="Garamond" w:hAnsi="Garamond"/>
          <w:i/>
          <w:spacing w:val="-4"/>
          <w:sz w:val="20"/>
          <w:szCs w:val="20"/>
        </w:rPr>
        <w:t>Iraq</w:t>
      </w:r>
      <w:r>
        <w:rPr>
          <w:rFonts w:ascii="Garamond" w:hAnsi="Garamond"/>
          <w:i/>
          <w:spacing w:val="-19"/>
          <w:sz w:val="20"/>
          <w:szCs w:val="20"/>
        </w:rPr>
        <w:t xml:space="preserve"> </w:t>
      </w:r>
      <w:r>
        <w:rPr>
          <w:rFonts w:ascii="Garamond" w:hAnsi="Garamond"/>
          <w:i/>
          <w:spacing w:val="-3"/>
          <w:sz w:val="20"/>
          <w:szCs w:val="20"/>
        </w:rPr>
        <w:t>in</w:t>
      </w:r>
      <w:r>
        <w:rPr>
          <w:rFonts w:ascii="Garamond" w:hAnsi="Garamond"/>
          <w:i/>
          <w:spacing w:val="-19"/>
          <w:sz w:val="20"/>
          <w:szCs w:val="20"/>
        </w:rPr>
        <w:t xml:space="preserve"> </w:t>
      </w:r>
      <w:r>
        <w:rPr>
          <w:rFonts w:ascii="Garamond" w:hAnsi="Garamond"/>
          <w:i/>
          <w:spacing w:val="-5"/>
          <w:sz w:val="20"/>
          <w:szCs w:val="20"/>
        </w:rPr>
        <w:t xml:space="preserve">Light </w:t>
      </w:r>
      <w:r>
        <w:rPr>
          <w:rFonts w:ascii="Garamond" w:hAnsi="Garamond"/>
          <w:i/>
          <w:spacing w:val="-3"/>
          <w:sz w:val="20"/>
          <w:szCs w:val="20"/>
        </w:rPr>
        <w:t>of</w:t>
      </w:r>
      <w:r>
        <w:rPr>
          <w:rFonts w:ascii="Garamond" w:hAnsi="Garamond"/>
          <w:i/>
          <w:spacing w:val="39"/>
          <w:sz w:val="20"/>
          <w:szCs w:val="20"/>
        </w:rPr>
        <w:t xml:space="preserve"> </w:t>
      </w:r>
      <w:r>
        <w:rPr>
          <w:rFonts w:ascii="Garamond" w:hAnsi="Garamond"/>
          <w:i/>
          <w:spacing w:val="-4"/>
          <w:sz w:val="20"/>
          <w:szCs w:val="20"/>
        </w:rPr>
        <w:t>the</w:t>
      </w:r>
      <w:r>
        <w:rPr>
          <w:rFonts w:ascii="Garamond" w:hAnsi="Garamond"/>
          <w:i/>
          <w:spacing w:val="-18"/>
          <w:sz w:val="20"/>
          <w:szCs w:val="20"/>
        </w:rPr>
        <w:t xml:space="preserve"> </w:t>
      </w:r>
      <w:r>
        <w:rPr>
          <w:rFonts w:ascii="Garamond" w:hAnsi="Garamond"/>
          <w:i/>
          <w:spacing w:val="-5"/>
          <w:sz w:val="20"/>
          <w:szCs w:val="20"/>
        </w:rPr>
        <w:t>Abuses</w:t>
      </w:r>
      <w:r>
        <w:rPr>
          <w:rFonts w:ascii="Garamond" w:hAnsi="Garamond"/>
          <w:i/>
          <w:spacing w:val="-18"/>
          <w:sz w:val="20"/>
          <w:szCs w:val="20"/>
        </w:rPr>
        <w:t xml:space="preserve"> </w:t>
      </w:r>
      <w:r>
        <w:rPr>
          <w:rFonts w:ascii="Garamond" w:hAnsi="Garamond"/>
          <w:i/>
          <w:spacing w:val="-5"/>
          <w:sz w:val="20"/>
          <w:szCs w:val="20"/>
        </w:rPr>
        <w:t>Committed</w:t>
      </w:r>
      <w:r>
        <w:rPr>
          <w:rFonts w:ascii="Garamond" w:hAnsi="Garamond"/>
          <w:i/>
          <w:spacing w:val="-18"/>
          <w:sz w:val="20"/>
          <w:szCs w:val="20"/>
        </w:rPr>
        <w:t xml:space="preserve"> </w:t>
      </w:r>
      <w:r>
        <w:rPr>
          <w:rFonts w:ascii="Garamond" w:hAnsi="Garamond"/>
          <w:i/>
          <w:spacing w:val="-3"/>
          <w:sz w:val="20"/>
          <w:szCs w:val="20"/>
        </w:rPr>
        <w:t>by</w:t>
      </w:r>
      <w:r>
        <w:rPr>
          <w:rFonts w:ascii="Garamond" w:hAnsi="Garamond"/>
          <w:i/>
          <w:spacing w:val="-18"/>
          <w:sz w:val="20"/>
          <w:szCs w:val="20"/>
        </w:rPr>
        <w:t xml:space="preserve"> </w:t>
      </w:r>
      <w:r>
        <w:rPr>
          <w:rFonts w:ascii="Garamond" w:hAnsi="Garamond"/>
          <w:i/>
          <w:spacing w:val="-4"/>
          <w:sz w:val="20"/>
          <w:szCs w:val="20"/>
        </w:rPr>
        <w:t>the</w:t>
      </w:r>
      <w:r>
        <w:rPr>
          <w:rFonts w:ascii="Garamond" w:hAnsi="Garamond"/>
          <w:i/>
          <w:spacing w:val="-18"/>
          <w:sz w:val="20"/>
          <w:szCs w:val="20"/>
        </w:rPr>
        <w:t xml:space="preserve"> </w:t>
      </w:r>
      <w:r>
        <w:rPr>
          <w:rFonts w:ascii="Garamond" w:hAnsi="Garamond"/>
          <w:i/>
          <w:spacing w:val="-5"/>
          <w:sz w:val="20"/>
          <w:szCs w:val="20"/>
        </w:rPr>
        <w:t>So-called</w:t>
      </w:r>
      <w:r>
        <w:rPr>
          <w:rFonts w:ascii="Garamond" w:hAnsi="Garamond"/>
          <w:i/>
          <w:spacing w:val="-18"/>
          <w:sz w:val="20"/>
          <w:szCs w:val="20"/>
        </w:rPr>
        <w:t xml:space="preserve"> </w:t>
      </w:r>
      <w:r>
        <w:rPr>
          <w:rFonts w:ascii="Garamond" w:hAnsi="Garamond"/>
          <w:i/>
          <w:spacing w:val="-5"/>
          <w:sz w:val="20"/>
          <w:szCs w:val="20"/>
        </w:rPr>
        <w:t>Islamic</w:t>
      </w:r>
      <w:r>
        <w:rPr>
          <w:rFonts w:ascii="Garamond" w:hAnsi="Garamond"/>
          <w:i/>
          <w:spacing w:val="-19"/>
          <w:sz w:val="20"/>
          <w:szCs w:val="20"/>
        </w:rPr>
        <w:t xml:space="preserve"> </w:t>
      </w:r>
      <w:r>
        <w:rPr>
          <w:rFonts w:ascii="Garamond" w:hAnsi="Garamond"/>
          <w:i/>
          <w:spacing w:val="-4"/>
          <w:sz w:val="20"/>
          <w:szCs w:val="20"/>
        </w:rPr>
        <w:t>State</w:t>
      </w:r>
      <w:r>
        <w:rPr>
          <w:rFonts w:ascii="Garamond" w:hAnsi="Garamond"/>
          <w:i/>
          <w:spacing w:val="-18"/>
          <w:sz w:val="20"/>
          <w:szCs w:val="20"/>
        </w:rPr>
        <w:t xml:space="preserve"> </w:t>
      </w:r>
      <w:r>
        <w:rPr>
          <w:rFonts w:ascii="Garamond" w:hAnsi="Garamond"/>
          <w:i/>
          <w:spacing w:val="-3"/>
          <w:sz w:val="20"/>
          <w:szCs w:val="20"/>
        </w:rPr>
        <w:t>in</w:t>
      </w:r>
      <w:r>
        <w:rPr>
          <w:rFonts w:ascii="Garamond" w:hAnsi="Garamond"/>
          <w:i/>
          <w:spacing w:val="-18"/>
          <w:sz w:val="20"/>
          <w:szCs w:val="20"/>
        </w:rPr>
        <w:t xml:space="preserve"> </w:t>
      </w:r>
      <w:r>
        <w:rPr>
          <w:rFonts w:ascii="Garamond" w:hAnsi="Garamond"/>
          <w:i/>
          <w:spacing w:val="-4"/>
          <w:sz w:val="20"/>
          <w:szCs w:val="20"/>
        </w:rPr>
        <w:t>Iraq</w:t>
      </w:r>
      <w:r>
        <w:rPr>
          <w:rFonts w:ascii="Garamond" w:hAnsi="Garamond"/>
          <w:i/>
          <w:spacing w:val="-19"/>
          <w:sz w:val="20"/>
          <w:szCs w:val="20"/>
        </w:rPr>
        <w:t xml:space="preserve"> </w:t>
      </w:r>
      <w:r>
        <w:rPr>
          <w:rFonts w:ascii="Garamond" w:hAnsi="Garamond"/>
          <w:i/>
          <w:spacing w:val="-4"/>
          <w:sz w:val="20"/>
          <w:szCs w:val="20"/>
        </w:rPr>
        <w:t>and</w:t>
      </w:r>
      <w:r>
        <w:rPr>
          <w:rFonts w:ascii="Garamond" w:hAnsi="Garamond"/>
          <w:i/>
          <w:spacing w:val="-18"/>
          <w:sz w:val="20"/>
          <w:szCs w:val="20"/>
        </w:rPr>
        <w:t xml:space="preserve"> </w:t>
      </w:r>
      <w:r>
        <w:rPr>
          <w:rFonts w:ascii="Garamond" w:hAnsi="Garamond"/>
          <w:i/>
          <w:spacing w:val="-4"/>
          <w:sz w:val="20"/>
          <w:szCs w:val="20"/>
        </w:rPr>
        <w:t xml:space="preserve">the </w:t>
      </w:r>
      <w:r>
        <w:rPr>
          <w:rFonts w:ascii="Garamond" w:hAnsi="Garamond"/>
          <w:i/>
          <w:spacing w:val="-5"/>
          <w:sz w:val="20"/>
          <w:szCs w:val="20"/>
        </w:rPr>
        <w:t>Levant</w:t>
      </w:r>
      <w:r>
        <w:rPr>
          <w:rFonts w:ascii="Garamond" w:hAnsi="Garamond"/>
          <w:i/>
          <w:spacing w:val="-17"/>
          <w:sz w:val="20"/>
          <w:szCs w:val="20"/>
        </w:rPr>
        <w:t xml:space="preserve"> </w:t>
      </w:r>
      <w:r>
        <w:rPr>
          <w:rFonts w:ascii="Garamond" w:hAnsi="Garamond"/>
          <w:i/>
          <w:spacing w:val="-4"/>
          <w:sz w:val="20"/>
          <w:szCs w:val="20"/>
        </w:rPr>
        <w:t>and</w:t>
      </w:r>
      <w:r>
        <w:rPr>
          <w:rFonts w:ascii="Garamond" w:hAnsi="Garamond"/>
          <w:i/>
          <w:spacing w:val="-17"/>
          <w:sz w:val="20"/>
          <w:szCs w:val="20"/>
        </w:rPr>
        <w:t xml:space="preserve"> </w:t>
      </w:r>
      <w:r>
        <w:rPr>
          <w:rFonts w:ascii="Garamond" w:hAnsi="Garamond"/>
          <w:i/>
          <w:spacing w:val="-5"/>
          <w:sz w:val="20"/>
          <w:szCs w:val="20"/>
        </w:rPr>
        <w:t>Associated</w:t>
      </w:r>
      <w:r>
        <w:rPr>
          <w:rFonts w:ascii="Garamond" w:hAnsi="Garamond"/>
          <w:i/>
          <w:spacing w:val="-17"/>
          <w:sz w:val="20"/>
          <w:szCs w:val="20"/>
        </w:rPr>
        <w:t xml:space="preserve"> </w:t>
      </w:r>
      <w:r>
        <w:rPr>
          <w:rFonts w:ascii="Garamond" w:hAnsi="Garamond"/>
          <w:i/>
          <w:spacing w:val="-4"/>
          <w:sz w:val="20"/>
          <w:szCs w:val="20"/>
        </w:rPr>
        <w:t>Groups</w:t>
      </w:r>
      <w:r>
        <w:rPr>
          <w:rFonts w:ascii="Garamond" w:hAnsi="Garamond"/>
          <w:spacing w:val="-4"/>
          <w:sz w:val="20"/>
          <w:szCs w:val="20"/>
        </w:rPr>
        <w:t>,</w:t>
      </w:r>
      <w:r>
        <w:rPr>
          <w:rFonts w:ascii="Garamond" w:hAnsi="Garamond"/>
          <w:spacing w:val="-17"/>
          <w:sz w:val="20"/>
          <w:szCs w:val="20"/>
        </w:rPr>
        <w:t xml:space="preserve"> ¶¶ 76, 78</w:t>
      </w:r>
      <w:r>
        <w:rPr>
          <w:rFonts w:ascii="Garamond" w:hAnsi="Garamond" w:cs="Garamond"/>
          <w:sz w:val="20"/>
          <w:szCs w:val="20"/>
        </w:rPr>
        <w:t>;</w:t>
      </w:r>
      <w:r>
        <w:rPr>
          <w:rFonts w:ascii="Garamond" w:hAnsi="Garamond" w:cs="Garamond"/>
          <w:spacing w:val="-17"/>
          <w:sz w:val="20"/>
          <w:szCs w:val="20"/>
        </w:rPr>
        <w:t xml:space="preserve"> Human Rights Council, </w:t>
      </w:r>
      <w:r>
        <w:rPr>
          <w:rFonts w:ascii="Garamond" w:hAnsi="Garamond" w:cs="Garamond"/>
          <w:i/>
          <w:spacing w:val="-17"/>
          <w:sz w:val="20"/>
          <w:szCs w:val="20"/>
        </w:rPr>
        <w:t xml:space="preserve">Rep. of the </w:t>
      </w:r>
      <w:r>
        <w:rPr>
          <w:rFonts w:ascii="Garamond" w:hAnsi="Garamond"/>
          <w:i/>
          <w:spacing w:val="-5"/>
          <w:sz w:val="20"/>
          <w:szCs w:val="20"/>
        </w:rPr>
        <w:t xml:space="preserve">Ind. Int’l Comm’n </w:t>
      </w:r>
      <w:r>
        <w:rPr>
          <w:rFonts w:ascii="Garamond" w:hAnsi="Garamond"/>
          <w:i/>
          <w:spacing w:val="-3"/>
          <w:sz w:val="20"/>
          <w:szCs w:val="20"/>
        </w:rPr>
        <w:t xml:space="preserve">of </w:t>
      </w:r>
      <w:r>
        <w:rPr>
          <w:rFonts w:ascii="Garamond" w:hAnsi="Garamond"/>
          <w:i/>
          <w:spacing w:val="-4"/>
          <w:sz w:val="20"/>
          <w:szCs w:val="20"/>
        </w:rPr>
        <w:t xml:space="preserve">Inquiry </w:t>
      </w:r>
      <w:r>
        <w:rPr>
          <w:rFonts w:ascii="Garamond" w:hAnsi="Garamond"/>
          <w:i/>
          <w:spacing w:val="-3"/>
          <w:sz w:val="20"/>
          <w:szCs w:val="20"/>
        </w:rPr>
        <w:t xml:space="preserve">on </w:t>
      </w:r>
      <w:r>
        <w:rPr>
          <w:rFonts w:ascii="Garamond" w:hAnsi="Garamond"/>
          <w:i/>
          <w:spacing w:val="-4"/>
          <w:sz w:val="20"/>
          <w:szCs w:val="20"/>
        </w:rPr>
        <w:t xml:space="preserve">the </w:t>
      </w:r>
      <w:r>
        <w:rPr>
          <w:rFonts w:ascii="Garamond" w:hAnsi="Garamond"/>
          <w:i/>
          <w:spacing w:val="-5"/>
          <w:sz w:val="20"/>
          <w:szCs w:val="20"/>
        </w:rPr>
        <w:t xml:space="preserve">Syrian </w:t>
      </w:r>
      <w:r>
        <w:rPr>
          <w:rFonts w:ascii="Garamond" w:hAnsi="Garamond"/>
          <w:i/>
          <w:spacing w:val="-4"/>
          <w:sz w:val="20"/>
          <w:szCs w:val="20"/>
        </w:rPr>
        <w:t xml:space="preserve">Arab </w:t>
      </w:r>
      <w:r>
        <w:rPr>
          <w:rFonts w:ascii="Garamond" w:hAnsi="Garamond"/>
          <w:i/>
          <w:spacing w:val="-6"/>
          <w:sz w:val="20"/>
          <w:szCs w:val="20"/>
        </w:rPr>
        <w:t xml:space="preserve">Republic: </w:t>
      </w:r>
      <w:r>
        <w:rPr>
          <w:rFonts w:ascii="Garamond" w:hAnsi="Garamond"/>
          <w:i/>
          <w:spacing w:val="-3"/>
          <w:sz w:val="20"/>
          <w:szCs w:val="20"/>
        </w:rPr>
        <w:t xml:space="preserve">Rule of </w:t>
      </w:r>
      <w:r>
        <w:rPr>
          <w:rFonts w:ascii="Garamond" w:hAnsi="Garamond"/>
          <w:i/>
          <w:sz w:val="20"/>
          <w:szCs w:val="20"/>
        </w:rPr>
        <w:t xml:space="preserve">Terror: </w:t>
      </w:r>
      <w:r>
        <w:rPr>
          <w:rFonts w:ascii="Garamond" w:hAnsi="Garamond"/>
          <w:i/>
          <w:spacing w:val="-4"/>
          <w:sz w:val="20"/>
          <w:szCs w:val="20"/>
        </w:rPr>
        <w:t xml:space="preserve">Living under </w:t>
      </w:r>
      <w:r>
        <w:rPr>
          <w:rFonts w:ascii="Garamond" w:hAnsi="Garamond"/>
          <w:i/>
          <w:spacing w:val="-5"/>
          <w:sz w:val="20"/>
          <w:szCs w:val="20"/>
        </w:rPr>
        <w:t xml:space="preserve">ISIS </w:t>
      </w:r>
      <w:r>
        <w:rPr>
          <w:rFonts w:ascii="Garamond" w:hAnsi="Garamond"/>
          <w:i/>
          <w:spacing w:val="-3"/>
          <w:sz w:val="20"/>
          <w:szCs w:val="20"/>
        </w:rPr>
        <w:t xml:space="preserve">in </w:t>
      </w:r>
      <w:r>
        <w:rPr>
          <w:rFonts w:ascii="Garamond" w:hAnsi="Garamond"/>
          <w:i/>
          <w:spacing w:val="-5"/>
          <w:sz w:val="20"/>
          <w:szCs w:val="20"/>
        </w:rPr>
        <w:t>Syria</w:t>
      </w:r>
      <w:r>
        <w:rPr>
          <w:rFonts w:ascii="Garamond" w:hAnsi="Garamond"/>
          <w:spacing w:val="-5"/>
          <w:sz w:val="20"/>
          <w:szCs w:val="20"/>
        </w:rPr>
        <w:t xml:space="preserve">, </w:t>
      </w:r>
      <w:r>
        <w:rPr>
          <w:rFonts w:ascii="Garamond" w:hAnsi="Garamond"/>
          <w:sz w:val="20"/>
          <w:szCs w:val="20"/>
        </w:rPr>
        <w:t xml:space="preserve">¶ </w:t>
      </w:r>
      <w:r>
        <w:rPr>
          <w:rFonts w:ascii="Garamond" w:hAnsi="Garamond"/>
          <w:spacing w:val="-4"/>
          <w:sz w:val="20"/>
          <w:szCs w:val="20"/>
        </w:rPr>
        <w:t xml:space="preserve">53-55, U.N. Doc. A/HRC/27/CRP.3 </w:t>
      </w:r>
      <w:r>
        <w:rPr>
          <w:rFonts w:ascii="Garamond" w:hAnsi="Garamond"/>
          <w:spacing w:val="-11"/>
          <w:sz w:val="20"/>
          <w:szCs w:val="20"/>
        </w:rPr>
        <w:t xml:space="preserve">(Nov. </w:t>
      </w:r>
      <w:r>
        <w:rPr>
          <w:rFonts w:ascii="Garamond" w:hAnsi="Garamond"/>
          <w:spacing w:val="-4"/>
          <w:sz w:val="20"/>
          <w:szCs w:val="20"/>
        </w:rPr>
        <w:t>19, 2014)</w:t>
      </w:r>
      <w:r>
        <w:rPr>
          <w:rFonts w:ascii="Garamond" w:hAnsi="Garamond" w:cs="Garamond"/>
          <w:sz w:val="20"/>
          <w:szCs w:val="20"/>
        </w:rPr>
        <w:t xml:space="preserve">; </w:t>
      </w:r>
      <w:r>
        <w:rPr>
          <w:rFonts w:ascii="Garamond" w:hAnsi="Garamond"/>
          <w:i/>
          <w:spacing w:val="-4"/>
          <w:sz w:val="20"/>
          <w:szCs w:val="20"/>
        </w:rPr>
        <w:t xml:space="preserve">Iraq: </w:t>
      </w:r>
      <w:r>
        <w:rPr>
          <w:rFonts w:ascii="Garamond" w:hAnsi="Garamond"/>
          <w:i/>
          <w:spacing w:val="-3"/>
          <w:sz w:val="20"/>
          <w:szCs w:val="20"/>
        </w:rPr>
        <w:t xml:space="preserve">ISIS </w:t>
      </w:r>
      <w:r>
        <w:rPr>
          <w:rFonts w:ascii="Garamond" w:hAnsi="Garamond"/>
          <w:i/>
          <w:spacing w:val="-4"/>
          <w:sz w:val="20"/>
          <w:szCs w:val="20"/>
        </w:rPr>
        <w:t xml:space="preserve">Escapees Describe Systematic </w:t>
      </w:r>
      <w:r>
        <w:rPr>
          <w:rFonts w:ascii="Garamond" w:hAnsi="Garamond"/>
          <w:i/>
          <w:spacing w:val="-3"/>
          <w:sz w:val="20"/>
          <w:szCs w:val="20"/>
        </w:rPr>
        <w:t xml:space="preserve">Rape, </w:t>
      </w:r>
      <w:r>
        <w:rPr>
          <w:rFonts w:ascii="Garamond" w:hAnsi="Garamond"/>
          <w:smallCaps/>
          <w:spacing w:val="-4"/>
          <w:sz w:val="20"/>
          <w:szCs w:val="20"/>
        </w:rPr>
        <w:t xml:space="preserve">Human Rights </w:t>
      </w:r>
      <w:r>
        <w:rPr>
          <w:rFonts w:ascii="Garamond" w:hAnsi="Garamond"/>
          <w:smallCaps/>
          <w:spacing w:val="-8"/>
          <w:sz w:val="20"/>
          <w:szCs w:val="20"/>
        </w:rPr>
        <w:t>Watch</w:t>
      </w:r>
      <w:r>
        <w:rPr>
          <w:rFonts w:ascii="Garamond" w:hAnsi="Garamond"/>
          <w:spacing w:val="-8"/>
          <w:sz w:val="20"/>
          <w:szCs w:val="20"/>
        </w:rPr>
        <w:t xml:space="preserve">, </w:t>
      </w:r>
      <w:r>
        <w:rPr>
          <w:rFonts w:ascii="Garamond" w:hAnsi="Garamond"/>
          <w:spacing w:val="-6"/>
          <w:sz w:val="20"/>
          <w:szCs w:val="20"/>
        </w:rPr>
        <w:t xml:space="preserve">(Apr. </w:t>
      </w:r>
      <w:r>
        <w:rPr>
          <w:rFonts w:ascii="Garamond" w:hAnsi="Garamond"/>
          <w:spacing w:val="-3"/>
          <w:sz w:val="20"/>
          <w:szCs w:val="20"/>
        </w:rPr>
        <w:t xml:space="preserve">14, </w:t>
      </w:r>
      <w:r>
        <w:rPr>
          <w:rFonts w:ascii="Garamond" w:hAnsi="Garamond"/>
          <w:spacing w:val="-4"/>
          <w:sz w:val="20"/>
          <w:szCs w:val="20"/>
        </w:rPr>
        <w:t>2015</w:t>
      </w:r>
      <w:r w:rsidRPr="007A655D">
        <w:rPr>
          <w:rFonts w:ascii="Garamond" w:hAnsi="Garamond"/>
          <w:spacing w:val="-4"/>
          <w:sz w:val="20"/>
          <w:szCs w:val="20"/>
        </w:rPr>
        <w:t xml:space="preserve">), </w:t>
      </w:r>
      <w:r w:rsidRPr="007A655D">
        <w:rPr>
          <w:rFonts w:ascii="Garamond" w:hAnsi="Garamond"/>
          <w:spacing w:val="-7"/>
          <w:sz w:val="20"/>
          <w:szCs w:val="20"/>
        </w:rPr>
        <w:t>htt</w:t>
      </w:r>
      <w:hyperlink r:id="rId1" w:history="1">
        <w:r w:rsidRPr="007A655D">
          <w:rPr>
            <w:rStyle w:val="Hyperlink"/>
            <w:rFonts w:ascii="Garamond" w:hAnsi="Garamond"/>
            <w:color w:val="auto"/>
            <w:spacing w:val="-7"/>
            <w:sz w:val="20"/>
            <w:szCs w:val="20"/>
            <w:u w:val="none"/>
          </w:rPr>
          <w:t>ps://ww</w:t>
        </w:r>
      </w:hyperlink>
      <w:r w:rsidRPr="007A655D">
        <w:rPr>
          <w:rFonts w:ascii="Garamond" w:hAnsi="Garamond"/>
          <w:spacing w:val="-7"/>
          <w:sz w:val="20"/>
          <w:szCs w:val="20"/>
        </w:rPr>
        <w:t>w.</w:t>
      </w:r>
      <w:r>
        <w:rPr>
          <w:rFonts w:ascii="Garamond" w:hAnsi="Garamond"/>
          <w:spacing w:val="-5"/>
          <w:sz w:val="20"/>
          <w:szCs w:val="20"/>
        </w:rPr>
        <w:t>hrw.org/news/2015/04/14/iraq-isis-escapees-describe-systematic-rape.</w:t>
      </w:r>
    </w:p>
  </w:endnote>
  <w:endnote w:id="33">
    <w:p w14:paraId="0BF750F9" w14:textId="77777777" w:rsidR="003963CA" w:rsidRDefault="003963CA" w:rsidP="003963CA">
      <w:pPr>
        <w:pStyle w:val="EndnoteText"/>
        <w:rPr>
          <w:rFonts w:ascii="Times New Roman" w:hAnsi="Times New Roman"/>
        </w:rPr>
      </w:pPr>
      <w:r>
        <w:rPr>
          <w:rStyle w:val="EndnoteReference"/>
        </w:rPr>
        <w:endnoteRef/>
      </w:r>
      <w:r>
        <w:rPr>
          <w:rFonts w:ascii="Garamond" w:hAnsi="Garamond"/>
        </w:rPr>
        <w:t xml:space="preserve"> Several provisions of the Penal Code contain “aggravating factors” that incorporate scale and patterns of abuses, such as committing crimes that involve multiple perpetrators, brutal methods, or are committed multiple times, but none capture the international nature of crimes against humanity. </w:t>
      </w:r>
      <w:r>
        <w:rPr>
          <w:rFonts w:ascii="Garamond" w:hAnsi="Garamond"/>
          <w:i/>
        </w:rPr>
        <w:t>See, e.g.</w:t>
      </w:r>
      <w:r>
        <w:rPr>
          <w:rFonts w:ascii="Garamond" w:hAnsi="Garamond"/>
        </w:rPr>
        <w:t xml:space="preserve">, Penal Code arts. 135, 393(2)(d), 406(1), 421-24. The Penal Code provides that material circumstances that would increase the penalty of the offence affect the liability of all parties, </w:t>
      </w:r>
      <w:proofErr w:type="gramStart"/>
      <w:r>
        <w:rPr>
          <w:rFonts w:ascii="Garamond" w:hAnsi="Garamond"/>
        </w:rPr>
        <w:t>whether or not</w:t>
      </w:r>
      <w:proofErr w:type="gramEnd"/>
      <w:r>
        <w:rPr>
          <w:rFonts w:ascii="Garamond" w:hAnsi="Garamond"/>
        </w:rPr>
        <w:t xml:space="preserve"> they are aware of those circumstances. To incur criminal liability, the Rome Statute requires that perpetrators must know that their “conduct was part of or intended the conduct to be part of a widespread or systematic attack directed against a civilian population” and in the case of sexual violence be “aware of the factual circumstances that established the gravity of the conduct.” </w:t>
      </w:r>
      <w:r>
        <w:rPr>
          <w:rFonts w:ascii="Garamond" w:hAnsi="Garamond"/>
          <w:i/>
        </w:rPr>
        <w:t>Compare</w:t>
      </w:r>
      <w:r>
        <w:rPr>
          <w:rFonts w:ascii="Garamond" w:hAnsi="Garamond"/>
        </w:rPr>
        <w:t xml:space="preserve"> Penal Code art. 51 (“If there exists material circumstances in the offence that would by their nature increase or decrease the penalty, then they will affect all parties to the offence, principal or accessory, whether they are aware of those circumstances or not.”), </w:t>
      </w:r>
      <w:r>
        <w:rPr>
          <w:rFonts w:ascii="Garamond" w:hAnsi="Garamond"/>
          <w:i/>
        </w:rPr>
        <w:t>with</w:t>
      </w:r>
      <w:r>
        <w:rPr>
          <w:rFonts w:ascii="Garamond" w:hAnsi="Garamond"/>
        </w:rPr>
        <w:t xml:space="preserve"> ICC Elements of Crimes, art. 7(1)(g)-6, elements 3, 5, and art. 7(1)(g)-1, element 4.</w:t>
      </w:r>
    </w:p>
  </w:endnote>
  <w:endnote w:id="34">
    <w:p w14:paraId="29EA0925" w14:textId="77777777" w:rsidR="003963CA" w:rsidRDefault="003963CA" w:rsidP="003963CA">
      <w:pPr>
        <w:pStyle w:val="EndnoteText"/>
      </w:pPr>
      <w:r>
        <w:rPr>
          <w:rStyle w:val="EndnoteReference"/>
        </w:rPr>
        <w:endnoteRef/>
      </w:r>
      <w:r>
        <w:rPr>
          <w:rFonts w:ascii="Garamond" w:hAnsi="Garamond"/>
        </w:rPr>
        <w:t xml:space="preserve"> Int’l Law Comm’n, </w:t>
      </w:r>
      <w:r>
        <w:rPr>
          <w:rFonts w:ascii="Garamond" w:hAnsi="Garamond"/>
          <w:i/>
        </w:rPr>
        <w:t>First Rep. of the Special Rapporteur on Crimes Against Humanity</w:t>
      </w:r>
      <w:r>
        <w:rPr>
          <w:rFonts w:ascii="Garamond" w:hAnsi="Garamond"/>
        </w:rPr>
        <w:t>,</w:t>
      </w:r>
      <w:r>
        <w:rPr>
          <w:rFonts w:ascii="Garamond" w:hAnsi="Garamond"/>
          <w:i/>
        </w:rPr>
        <w:t xml:space="preserve"> </w:t>
      </w:r>
      <w:r>
        <w:rPr>
          <w:rFonts w:ascii="Garamond" w:hAnsi="Garamond"/>
        </w:rPr>
        <w:t>¶ 27, U.N. Doc. A/CN.4/680 (Feb. 17, 2015) (by Sean D. Murphy).</w:t>
      </w:r>
    </w:p>
  </w:endnote>
  <w:endnote w:id="35">
    <w:p w14:paraId="126D9C1F" w14:textId="77777777" w:rsidR="003963CA" w:rsidRDefault="003963CA" w:rsidP="003963CA">
      <w:pPr>
        <w:pStyle w:val="EndnoteText"/>
      </w:pPr>
      <w:r>
        <w:rPr>
          <w:rStyle w:val="EndnoteReference"/>
        </w:rPr>
        <w:endnoteRef/>
      </w:r>
      <w:r>
        <w:rPr>
          <w:rFonts w:ascii="Garamond" w:hAnsi="Garamond"/>
        </w:rPr>
        <w:t xml:space="preserve"> Int’l Law Comm’n, </w:t>
      </w:r>
      <w:r>
        <w:rPr>
          <w:rFonts w:ascii="Garamond" w:hAnsi="Garamond"/>
          <w:i/>
        </w:rPr>
        <w:t>First Rep. of the Special Rapporteur on Crimes Against Humanity</w:t>
      </w:r>
      <w:r>
        <w:rPr>
          <w:rFonts w:ascii="Garamond" w:hAnsi="Garamond"/>
        </w:rPr>
        <w:t>,</w:t>
      </w:r>
      <w:r>
        <w:rPr>
          <w:rFonts w:ascii="Garamond" w:hAnsi="Garamond"/>
          <w:i/>
        </w:rPr>
        <w:t xml:space="preserve"> </w:t>
      </w:r>
      <w:r>
        <w:rPr>
          <w:rFonts w:ascii="Garamond" w:hAnsi="Garamond"/>
        </w:rPr>
        <w:t>¶ 27.</w:t>
      </w:r>
    </w:p>
  </w:endnote>
  <w:endnote w:id="36">
    <w:p w14:paraId="120B1646" w14:textId="77777777" w:rsidR="003963CA" w:rsidRDefault="003963CA" w:rsidP="003963CA">
      <w:pPr>
        <w:pStyle w:val="EndnoteText"/>
        <w:rPr>
          <w:rFonts w:ascii="Times New Roman" w:hAnsi="Times New Roman"/>
        </w:rPr>
      </w:pPr>
      <w:r>
        <w:rPr>
          <w:rStyle w:val="EndnoteReference"/>
        </w:rPr>
        <w:endnoteRef/>
      </w:r>
      <w:r>
        <w:rPr>
          <w:rFonts w:ascii="Garamond" w:hAnsi="Garamond"/>
        </w:rPr>
        <w:t xml:space="preserve"> </w:t>
      </w:r>
      <w:r>
        <w:rPr>
          <w:rFonts w:ascii="Garamond" w:hAnsi="Garamond"/>
          <w:i/>
        </w:rPr>
        <w:t>Treaties, States Parties and Commentaries: Iraq</w:t>
      </w:r>
      <w:r>
        <w:rPr>
          <w:rFonts w:ascii="Garamond" w:hAnsi="Garamond"/>
        </w:rPr>
        <w:t xml:space="preserve">, </w:t>
      </w:r>
      <w:r>
        <w:rPr>
          <w:rFonts w:ascii="Garamond" w:hAnsi="Garamond"/>
          <w:smallCaps/>
        </w:rPr>
        <w:t>Int’l Comm. Red Cross</w:t>
      </w:r>
      <w:r>
        <w:rPr>
          <w:rFonts w:ascii="Garamond" w:hAnsi="Garamond"/>
        </w:rPr>
        <w:t>, https://ihl-databases.icrc.org/applic/ihl/ihl.nsf/vwTreatiesByCountrySelected.xsp?xp_countrySelected=IQ.</w:t>
      </w:r>
    </w:p>
  </w:endnote>
  <w:endnote w:id="37">
    <w:p w14:paraId="4E623A12" w14:textId="77777777" w:rsidR="003963CA" w:rsidRDefault="003963CA" w:rsidP="003963CA">
      <w:pPr>
        <w:pStyle w:val="EndnoteText"/>
      </w:pPr>
      <w:r>
        <w:rPr>
          <w:rStyle w:val="EndnoteReference"/>
        </w:rPr>
        <w:endnoteRef/>
      </w:r>
      <w:r>
        <w:rPr>
          <w:rFonts w:ascii="Garamond" w:hAnsi="Garamond"/>
        </w:rPr>
        <w:t xml:space="preserve"> Geneva Convention (I) for the Amelioration of the Conditions of the Wounded and Sick in Armed Forces in the Field art. 49-51, Aug. 12, 1949, 75 U.N.T.S. 31;</w:t>
      </w:r>
      <w:r>
        <w:rPr>
          <w:rFonts w:ascii="Garamond" w:hAnsi="Garamond"/>
          <w:i/>
        </w:rPr>
        <w:t xml:space="preserve"> see also</w:t>
      </w:r>
      <w:r>
        <w:rPr>
          <w:rFonts w:ascii="Garamond" w:hAnsi="Garamond"/>
        </w:rPr>
        <w:t xml:space="preserve"> Geneva Convention (II) for the Amelioration of the Conditions of the Wounded, Sick and Shipwrecked Members of Armed Forces at Sea art. 50-52, Aug. 12, 1949, 75 U.N.T.S. 85; Geneva Convention (III) Relative to the Treatment of Prisoners of War arts. 129-131, Aug. 12, 1949, 75 U.N.T.S. 135; Geneva Convention (IV) Relative to the Protection of Civilian Persons in Time of War arts. 146-148, Aug. 12, 1949, 75 U.N.T.S. 287.</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Times New Roman"/>
    <w:panose1 w:val="02020603050405020304"/>
    <w:charset w:val="00"/>
    <w:family w:val="roman"/>
    <w:pitch w:val="variable"/>
    <w:sig w:usb0="E0002EFF" w:usb1="C000785B" w:usb2="00000009" w:usb3="00000000" w:csb0="000001FF" w:csb1="00000000"/>
  </w:font>
  <w:font w:name="Helvetica Neue">
    <w:altName w:val="Arial"/>
    <w:charset w:val="00"/>
    <w:family w:val="auto"/>
    <w:pitch w:val="variable"/>
    <w:sig w:usb0="E50002FF"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 w:name="Times Roman">
    <w:charset w:val="00"/>
    <w:family w:val="auto"/>
    <w:pitch w:val="variable"/>
    <w:sig w:usb0="E00002FF" w:usb1="5000205A" w:usb2="00000000"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sNewRomanPSMT">
    <w:panose1 w:val="00000000000000000000"/>
    <w:charset w:val="00"/>
    <w:family w:val="swiss"/>
    <w:notTrueType/>
    <w:pitch w:val="default"/>
    <w:sig w:usb0="00000003" w:usb1="00000000" w:usb2="00000000" w:usb3="00000000" w:csb0="00000001" w:csb1="00000000"/>
  </w:font>
  <w:font w:name="Lucida Grande">
    <w:altName w:val="Segoe UI"/>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A98AF" w14:textId="77777777" w:rsidR="006539E6" w:rsidRDefault="007C7DDF" w:rsidP="00D709D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3A04ABE" w14:textId="77777777" w:rsidR="006539E6" w:rsidRDefault="002168AA" w:rsidP="001D206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5090802"/>
      <w:docPartObj>
        <w:docPartGallery w:val="Page Numbers (Bottom of Page)"/>
        <w:docPartUnique/>
      </w:docPartObj>
    </w:sdtPr>
    <w:sdtEndPr>
      <w:rPr>
        <w:noProof/>
      </w:rPr>
    </w:sdtEndPr>
    <w:sdtContent>
      <w:p w14:paraId="0BF94C17" w14:textId="77777777" w:rsidR="00506E2B" w:rsidRDefault="007C7DD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E8B2D8" w14:textId="77777777" w:rsidR="006539E6" w:rsidRDefault="002168AA" w:rsidP="001D206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D54AFB" w14:textId="77777777" w:rsidR="002168AA" w:rsidRDefault="002168AA" w:rsidP="003963CA">
      <w:pPr>
        <w:spacing w:after="0" w:line="240" w:lineRule="auto"/>
      </w:pPr>
      <w:r>
        <w:separator/>
      </w:r>
    </w:p>
  </w:footnote>
  <w:footnote w:type="continuationSeparator" w:id="0">
    <w:p w14:paraId="0F8F0FCB" w14:textId="77777777" w:rsidR="002168AA" w:rsidRDefault="002168AA" w:rsidP="003963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A04980"/>
    <w:multiLevelType w:val="hybridMultilevel"/>
    <w:tmpl w:val="E0386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C841AB"/>
    <w:multiLevelType w:val="hybridMultilevel"/>
    <w:tmpl w:val="BE928016"/>
    <w:lvl w:ilvl="0" w:tplc="2ABCDF1E">
      <w:start w:val="1"/>
      <w:numFmt w:val="upperRoman"/>
      <w:lvlText w:val="%1."/>
      <w:lvlJc w:val="right"/>
      <w:pPr>
        <w:ind w:left="648" w:hanging="14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2B58EA"/>
    <w:multiLevelType w:val="hybridMultilevel"/>
    <w:tmpl w:val="94C4949E"/>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9A392A"/>
    <w:multiLevelType w:val="hybridMultilevel"/>
    <w:tmpl w:val="82FC72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F82090"/>
    <w:multiLevelType w:val="hybridMultilevel"/>
    <w:tmpl w:val="C388BE0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2DD6691"/>
    <w:multiLevelType w:val="multilevel"/>
    <w:tmpl w:val="4B4CFCA2"/>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45B91A68"/>
    <w:multiLevelType w:val="hybridMultilevel"/>
    <w:tmpl w:val="B9823810"/>
    <w:lvl w:ilvl="0" w:tplc="21E6CE5A">
      <w:start w:val="1"/>
      <w:numFmt w:val="upp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C532C20"/>
    <w:multiLevelType w:val="hybridMultilevel"/>
    <w:tmpl w:val="52285292"/>
    <w:lvl w:ilvl="0" w:tplc="3A2AE156">
      <w:start w:val="1"/>
      <w:numFmt w:val="decimal"/>
      <w:lvlText w:val="%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6"/>
  </w:num>
  <w:num w:numId="3">
    <w:abstractNumId w:val="5"/>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4"/>
  </w:num>
  <w:num w:numId="7">
    <w:abstractNumId w:val="3"/>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3CA"/>
    <w:rsid w:val="00016785"/>
    <w:rsid w:val="00025CAB"/>
    <w:rsid w:val="00025DE3"/>
    <w:rsid w:val="000469C7"/>
    <w:rsid w:val="000707D0"/>
    <w:rsid w:val="00074A75"/>
    <w:rsid w:val="00122ABA"/>
    <w:rsid w:val="0015586D"/>
    <w:rsid w:val="00173746"/>
    <w:rsid w:val="001940DE"/>
    <w:rsid w:val="001B2773"/>
    <w:rsid w:val="001E410E"/>
    <w:rsid w:val="001F0356"/>
    <w:rsid w:val="002168AA"/>
    <w:rsid w:val="0027008D"/>
    <w:rsid w:val="002B2665"/>
    <w:rsid w:val="002C1B23"/>
    <w:rsid w:val="002F3909"/>
    <w:rsid w:val="003028CA"/>
    <w:rsid w:val="00313AC5"/>
    <w:rsid w:val="0033518A"/>
    <w:rsid w:val="00374EFC"/>
    <w:rsid w:val="003963CA"/>
    <w:rsid w:val="003C157E"/>
    <w:rsid w:val="003D2927"/>
    <w:rsid w:val="003E1D8A"/>
    <w:rsid w:val="00433321"/>
    <w:rsid w:val="00497980"/>
    <w:rsid w:val="004C10B0"/>
    <w:rsid w:val="004F4B35"/>
    <w:rsid w:val="005059E3"/>
    <w:rsid w:val="00516200"/>
    <w:rsid w:val="005473BC"/>
    <w:rsid w:val="00555185"/>
    <w:rsid w:val="00582F2B"/>
    <w:rsid w:val="005904E5"/>
    <w:rsid w:val="00596238"/>
    <w:rsid w:val="006A3628"/>
    <w:rsid w:val="0076402C"/>
    <w:rsid w:val="00780C58"/>
    <w:rsid w:val="007B372F"/>
    <w:rsid w:val="007C7DDF"/>
    <w:rsid w:val="0081297B"/>
    <w:rsid w:val="008320B8"/>
    <w:rsid w:val="00861376"/>
    <w:rsid w:val="00896559"/>
    <w:rsid w:val="008B7001"/>
    <w:rsid w:val="008E3C88"/>
    <w:rsid w:val="009155F9"/>
    <w:rsid w:val="0094076F"/>
    <w:rsid w:val="00957BE4"/>
    <w:rsid w:val="009625BD"/>
    <w:rsid w:val="00974D61"/>
    <w:rsid w:val="00977B5A"/>
    <w:rsid w:val="009875E5"/>
    <w:rsid w:val="009C4840"/>
    <w:rsid w:val="009E5EC1"/>
    <w:rsid w:val="00A13218"/>
    <w:rsid w:val="00A15CC4"/>
    <w:rsid w:val="00A2740A"/>
    <w:rsid w:val="00A868C9"/>
    <w:rsid w:val="00A8786F"/>
    <w:rsid w:val="00AC1018"/>
    <w:rsid w:val="00AE2E89"/>
    <w:rsid w:val="00B42198"/>
    <w:rsid w:val="00B5778B"/>
    <w:rsid w:val="00BC7104"/>
    <w:rsid w:val="00C407CE"/>
    <w:rsid w:val="00C607EB"/>
    <w:rsid w:val="00CF43AF"/>
    <w:rsid w:val="00D37B9B"/>
    <w:rsid w:val="00D825D5"/>
    <w:rsid w:val="00DA73AD"/>
    <w:rsid w:val="00DB4AB0"/>
    <w:rsid w:val="00E05FAE"/>
    <w:rsid w:val="00E82715"/>
    <w:rsid w:val="00ED34A6"/>
    <w:rsid w:val="00EE22EC"/>
    <w:rsid w:val="00F47936"/>
    <w:rsid w:val="00F77B13"/>
    <w:rsid w:val="00FE72E7"/>
    <w:rsid w:val="00FF46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8E8C43"/>
  <w15:chartTrackingRefBased/>
  <w15:docId w15:val="{B8EB314A-7B0E-4B96-BCE7-DC225D945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rsid w:val="003963CA"/>
  </w:style>
  <w:style w:type="paragraph" w:styleId="Heading1">
    <w:name w:val="heading 1"/>
    <w:basedOn w:val="Normal"/>
    <w:next w:val="Normal"/>
    <w:link w:val="Heading1Char"/>
    <w:autoRedefine/>
    <w:uiPriority w:val="9"/>
    <w:qFormat/>
    <w:rsid w:val="00122ABA"/>
    <w:pPr>
      <w:keepNext/>
      <w:keepLines/>
      <w:widowControl w:val="0"/>
      <w:numPr>
        <w:numId w:val="3"/>
      </w:numPr>
      <w:autoSpaceDE w:val="0"/>
      <w:autoSpaceDN w:val="0"/>
      <w:adjustRightInd w:val="0"/>
      <w:spacing w:before="480" w:afterLines="50" w:after="120" w:line="240" w:lineRule="auto"/>
      <w:ind w:left="648" w:hanging="144"/>
      <w:outlineLvl w:val="0"/>
    </w:pPr>
    <w:rPr>
      <w:rFonts w:ascii="Garamond" w:eastAsiaTheme="majorEastAsia" w:hAnsi="Garamond" w:cstheme="majorBidi"/>
      <w:b/>
      <w:color w:val="00719B"/>
      <w:sz w:val="28"/>
      <w:szCs w:val="32"/>
      <w:lang w:eastAsia="ja-JP"/>
    </w:rPr>
  </w:style>
  <w:style w:type="paragraph" w:styleId="Heading2">
    <w:name w:val="heading 2"/>
    <w:basedOn w:val="Normal"/>
    <w:next w:val="Normal"/>
    <w:link w:val="Heading2Char"/>
    <w:uiPriority w:val="9"/>
    <w:unhideWhenUsed/>
    <w:qFormat/>
    <w:rsid w:val="00122ABA"/>
    <w:pPr>
      <w:keepNext/>
      <w:keepLines/>
      <w:widowControl w:val="0"/>
      <w:tabs>
        <w:tab w:val="num" w:pos="720"/>
      </w:tabs>
      <w:autoSpaceDE w:val="0"/>
      <w:autoSpaceDN w:val="0"/>
      <w:adjustRightInd w:val="0"/>
      <w:spacing w:before="360" w:afterLines="50" w:after="50" w:line="240" w:lineRule="auto"/>
      <w:ind w:left="360" w:hanging="360"/>
      <w:outlineLvl w:val="1"/>
    </w:pPr>
    <w:rPr>
      <w:rFonts w:ascii="Garamond" w:eastAsiaTheme="majorEastAsia" w:hAnsi="Garamond" w:cstheme="majorBidi"/>
      <w:b/>
      <w:sz w:val="24"/>
      <w:szCs w:val="26"/>
      <w:lang w:eastAsia="ja-JP"/>
    </w:rPr>
  </w:style>
  <w:style w:type="paragraph" w:styleId="Heading3">
    <w:name w:val="heading 3"/>
    <w:basedOn w:val="Normal"/>
    <w:next w:val="Normal"/>
    <w:link w:val="Heading3Char"/>
    <w:autoRedefine/>
    <w:uiPriority w:val="9"/>
    <w:unhideWhenUsed/>
    <w:qFormat/>
    <w:rsid w:val="00122ABA"/>
    <w:pPr>
      <w:keepNext/>
      <w:keepLines/>
      <w:widowControl w:val="0"/>
      <w:autoSpaceDE w:val="0"/>
      <w:autoSpaceDN w:val="0"/>
      <w:adjustRightInd w:val="0"/>
      <w:spacing w:before="240" w:afterLines="50" w:after="120" w:line="240" w:lineRule="auto"/>
      <w:outlineLvl w:val="2"/>
    </w:pPr>
    <w:rPr>
      <w:rFonts w:ascii="Garamond" w:eastAsiaTheme="majorEastAsia" w:hAnsi="Garamond" w:cstheme="majorBidi"/>
      <w:b/>
      <w:i/>
      <w:color w:val="333333" w:themeColor="text1"/>
      <w:sz w:val="24"/>
      <w:szCs w:val="24"/>
      <w:lang w:eastAsia="ja-JP"/>
    </w:rPr>
  </w:style>
  <w:style w:type="paragraph" w:styleId="Heading5">
    <w:name w:val="heading 5"/>
    <w:basedOn w:val="Normal"/>
    <w:next w:val="Normal"/>
    <w:link w:val="Heading5Char"/>
    <w:uiPriority w:val="9"/>
    <w:unhideWhenUsed/>
    <w:qFormat/>
    <w:rsid w:val="00122ABA"/>
    <w:pPr>
      <w:keepNext/>
      <w:keepLines/>
      <w:spacing w:before="200" w:after="0" w:line="240" w:lineRule="auto"/>
      <w:outlineLvl w:val="4"/>
    </w:pPr>
    <w:rPr>
      <w:rFonts w:asciiTheme="majorHAnsi" w:eastAsiaTheme="majorEastAsia" w:hAnsiTheme="majorHAnsi" w:cstheme="majorBidi"/>
      <w:color w:val="00374D" w:themeColor="accent1" w:themeShade="7F"/>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qFormat/>
    <w:rsid w:val="00122ABA"/>
    <w:pPr>
      <w:jc w:val="both"/>
    </w:pPr>
    <w:rPr>
      <w:rFonts w:ascii="Garamond" w:eastAsia="Batang" w:hAnsi="Garamond" w:cs="Times New Roman"/>
      <w:sz w:val="24"/>
      <w:szCs w:val="20"/>
    </w:rPr>
  </w:style>
  <w:style w:type="paragraph" w:customStyle="1" w:styleId="H1notlist">
    <w:name w:val="H1 (not list)"/>
    <w:basedOn w:val="Heading1"/>
    <w:link w:val="H1notlistChar"/>
    <w:autoRedefine/>
    <w:qFormat/>
    <w:rsid w:val="00122ABA"/>
    <w:pPr>
      <w:numPr>
        <w:numId w:val="0"/>
      </w:numPr>
    </w:pPr>
  </w:style>
  <w:style w:type="character" w:customStyle="1" w:styleId="H1notlistChar">
    <w:name w:val="H1 (not list) Char"/>
    <w:basedOn w:val="Heading1Char"/>
    <w:link w:val="H1notlist"/>
    <w:rsid w:val="00122ABA"/>
    <w:rPr>
      <w:rFonts w:ascii="Garamond" w:eastAsiaTheme="majorEastAsia" w:hAnsi="Garamond" w:cstheme="majorBidi"/>
      <w:b/>
      <w:color w:val="00719B"/>
      <w:sz w:val="28"/>
      <w:szCs w:val="32"/>
      <w:lang w:eastAsia="ja-JP"/>
    </w:rPr>
  </w:style>
  <w:style w:type="character" w:customStyle="1" w:styleId="Heading1Char">
    <w:name w:val="Heading 1 Char"/>
    <w:basedOn w:val="DefaultParagraphFont"/>
    <w:link w:val="Heading1"/>
    <w:uiPriority w:val="9"/>
    <w:rsid w:val="00122ABA"/>
    <w:rPr>
      <w:rFonts w:ascii="Garamond" w:eastAsiaTheme="majorEastAsia" w:hAnsi="Garamond" w:cstheme="majorBidi"/>
      <w:b/>
      <w:color w:val="00719B"/>
      <w:sz w:val="28"/>
      <w:szCs w:val="32"/>
      <w:lang w:eastAsia="ja-JP"/>
    </w:rPr>
  </w:style>
  <w:style w:type="character" w:customStyle="1" w:styleId="Heading2Char">
    <w:name w:val="Heading 2 Char"/>
    <w:basedOn w:val="DefaultParagraphFont"/>
    <w:link w:val="Heading2"/>
    <w:uiPriority w:val="9"/>
    <w:rsid w:val="00122ABA"/>
    <w:rPr>
      <w:rFonts w:ascii="Garamond" w:eastAsiaTheme="majorEastAsia" w:hAnsi="Garamond" w:cstheme="majorBidi"/>
      <w:b/>
      <w:sz w:val="24"/>
      <w:szCs w:val="26"/>
      <w:lang w:eastAsia="ja-JP"/>
    </w:rPr>
  </w:style>
  <w:style w:type="character" w:customStyle="1" w:styleId="Heading3Char">
    <w:name w:val="Heading 3 Char"/>
    <w:basedOn w:val="DefaultParagraphFont"/>
    <w:link w:val="Heading3"/>
    <w:uiPriority w:val="9"/>
    <w:rsid w:val="00122ABA"/>
    <w:rPr>
      <w:rFonts w:ascii="Garamond" w:eastAsiaTheme="majorEastAsia" w:hAnsi="Garamond" w:cstheme="majorBidi"/>
      <w:b/>
      <w:i/>
      <w:color w:val="333333" w:themeColor="text1"/>
      <w:sz w:val="24"/>
      <w:szCs w:val="24"/>
      <w:lang w:eastAsia="ja-JP"/>
    </w:rPr>
  </w:style>
  <w:style w:type="character" w:customStyle="1" w:styleId="Heading5Char">
    <w:name w:val="Heading 5 Char"/>
    <w:basedOn w:val="DefaultParagraphFont"/>
    <w:link w:val="Heading5"/>
    <w:uiPriority w:val="9"/>
    <w:rsid w:val="00122ABA"/>
    <w:rPr>
      <w:rFonts w:asciiTheme="majorHAnsi" w:eastAsiaTheme="majorEastAsia" w:hAnsiTheme="majorHAnsi" w:cstheme="majorBidi"/>
      <w:color w:val="00374D" w:themeColor="accent1" w:themeShade="7F"/>
      <w:sz w:val="24"/>
      <w:szCs w:val="24"/>
      <w:lang w:eastAsia="ja-JP"/>
    </w:rPr>
  </w:style>
  <w:style w:type="paragraph" w:styleId="FootnoteText">
    <w:name w:val="footnote text"/>
    <w:aliases w:val="Footnote Reference1,Footnotes refss,Footnote Ref,16 Point,Superscript 6 Point,Appel note de bas de p.,Footnote number,4_G Char Char,a Footnote Reference,FZ,Appel note de bas de page,Footnote Refernece,ftref,Superscript 6 Point + 11 pt,5_G"/>
    <w:basedOn w:val="EndnoteText"/>
    <w:link w:val="FootnoteTextChar"/>
    <w:unhideWhenUsed/>
    <w:qFormat/>
    <w:rsid w:val="00122ABA"/>
    <w:pPr>
      <w:widowControl w:val="0"/>
      <w:autoSpaceDE w:val="0"/>
      <w:autoSpaceDN w:val="0"/>
      <w:adjustRightInd w:val="0"/>
      <w:spacing w:afterLines="20" w:after="20"/>
    </w:pPr>
    <w:rPr>
      <w:rFonts w:ascii="Garamond" w:eastAsiaTheme="minorEastAsia" w:hAnsi="Garamond" w:cs="Times New Roman"/>
      <w:color w:val="333333" w:themeColor="text1"/>
      <w:lang w:eastAsia="ja-JP"/>
    </w:rPr>
  </w:style>
  <w:style w:type="character" w:customStyle="1" w:styleId="FootnoteTextChar">
    <w:name w:val="Footnote Text Char"/>
    <w:aliases w:val="Footnote Reference1 Char,Footnotes refss Char,Footnote Ref Char,16 Point Char,Superscript 6 Point Char,Appel note de bas de p. Char,Footnote number Char,4_G Char Char Char,a Footnote Reference Char,FZ Char,Footnote Refernece Char"/>
    <w:basedOn w:val="DefaultParagraphFont"/>
    <w:link w:val="FootnoteText"/>
    <w:rsid w:val="00122ABA"/>
    <w:rPr>
      <w:rFonts w:ascii="Garamond" w:eastAsiaTheme="minorEastAsia" w:hAnsi="Garamond" w:cs="Times New Roman"/>
      <w:color w:val="333333" w:themeColor="text1"/>
      <w:sz w:val="20"/>
      <w:szCs w:val="20"/>
      <w:lang w:eastAsia="ja-JP"/>
    </w:rPr>
  </w:style>
  <w:style w:type="paragraph" w:styleId="EndnoteText">
    <w:name w:val="endnote text"/>
    <w:basedOn w:val="Normal"/>
    <w:link w:val="EndnoteTextChar"/>
    <w:uiPriority w:val="99"/>
    <w:unhideWhenUsed/>
    <w:rsid w:val="00122ABA"/>
    <w:pPr>
      <w:spacing w:after="0" w:line="240" w:lineRule="auto"/>
    </w:pPr>
    <w:rPr>
      <w:sz w:val="20"/>
      <w:szCs w:val="20"/>
    </w:rPr>
  </w:style>
  <w:style w:type="character" w:customStyle="1" w:styleId="EndnoteTextChar">
    <w:name w:val="Endnote Text Char"/>
    <w:basedOn w:val="DefaultParagraphFont"/>
    <w:link w:val="EndnoteText"/>
    <w:uiPriority w:val="99"/>
    <w:rsid w:val="00122ABA"/>
    <w:rPr>
      <w:sz w:val="20"/>
      <w:szCs w:val="20"/>
    </w:rPr>
  </w:style>
  <w:style w:type="paragraph" w:styleId="Title">
    <w:name w:val="Title"/>
    <w:basedOn w:val="Normal"/>
    <w:next w:val="Normal"/>
    <w:link w:val="TitleChar"/>
    <w:uiPriority w:val="10"/>
    <w:qFormat/>
    <w:rsid w:val="00122ABA"/>
    <w:pPr>
      <w:widowControl w:val="0"/>
      <w:autoSpaceDE w:val="0"/>
      <w:autoSpaceDN w:val="0"/>
      <w:adjustRightInd w:val="0"/>
      <w:spacing w:afterLines="50" w:after="0" w:line="240" w:lineRule="auto"/>
      <w:contextualSpacing/>
    </w:pPr>
    <w:rPr>
      <w:rFonts w:ascii="Garamond" w:eastAsiaTheme="majorEastAsia" w:hAnsi="Garamond" w:cstheme="majorBidi"/>
      <w:b/>
      <w:spacing w:val="-10"/>
      <w:kern w:val="28"/>
      <w:sz w:val="36"/>
      <w:szCs w:val="56"/>
      <w:lang w:eastAsia="ja-JP"/>
    </w:rPr>
  </w:style>
  <w:style w:type="character" w:customStyle="1" w:styleId="TitleChar">
    <w:name w:val="Title Char"/>
    <w:basedOn w:val="DefaultParagraphFont"/>
    <w:link w:val="Title"/>
    <w:uiPriority w:val="10"/>
    <w:rsid w:val="00122ABA"/>
    <w:rPr>
      <w:rFonts w:ascii="Garamond" w:eastAsiaTheme="majorEastAsia" w:hAnsi="Garamond" w:cstheme="majorBidi"/>
      <w:b/>
      <w:spacing w:val="-10"/>
      <w:kern w:val="28"/>
      <w:sz w:val="36"/>
      <w:szCs w:val="56"/>
      <w:lang w:eastAsia="ja-JP"/>
    </w:rPr>
  </w:style>
  <w:style w:type="paragraph" w:styleId="Subtitle">
    <w:name w:val="Subtitle"/>
    <w:basedOn w:val="Normal"/>
    <w:next w:val="Normal"/>
    <w:link w:val="SubtitleChar"/>
    <w:uiPriority w:val="11"/>
    <w:qFormat/>
    <w:rsid w:val="00122ABA"/>
    <w:pPr>
      <w:widowControl w:val="0"/>
      <w:numPr>
        <w:ilvl w:val="1"/>
      </w:numPr>
      <w:autoSpaceDE w:val="0"/>
      <w:autoSpaceDN w:val="0"/>
      <w:adjustRightInd w:val="0"/>
      <w:spacing w:afterLines="50" w:after="160" w:line="240" w:lineRule="auto"/>
    </w:pPr>
    <w:rPr>
      <w:rFonts w:ascii="Garamond" w:eastAsiaTheme="minorEastAsia" w:hAnsi="Garamond"/>
      <w:color w:val="7B7B7B" w:themeColor="text1" w:themeTint="A5"/>
      <w:spacing w:val="15"/>
      <w:lang w:eastAsia="ja-JP"/>
    </w:rPr>
  </w:style>
  <w:style w:type="character" w:customStyle="1" w:styleId="SubtitleChar">
    <w:name w:val="Subtitle Char"/>
    <w:basedOn w:val="DefaultParagraphFont"/>
    <w:link w:val="Subtitle"/>
    <w:uiPriority w:val="11"/>
    <w:rsid w:val="00122ABA"/>
    <w:rPr>
      <w:rFonts w:ascii="Garamond" w:eastAsiaTheme="minorEastAsia" w:hAnsi="Garamond"/>
      <w:color w:val="7B7B7B" w:themeColor="text1" w:themeTint="A5"/>
      <w:spacing w:val="15"/>
      <w:lang w:eastAsia="ja-JP"/>
    </w:rPr>
  </w:style>
  <w:style w:type="character" w:styleId="Strong">
    <w:name w:val="Strong"/>
    <w:basedOn w:val="DefaultParagraphFont"/>
    <w:uiPriority w:val="22"/>
    <w:qFormat/>
    <w:rsid w:val="00122ABA"/>
    <w:rPr>
      <w:b/>
      <w:bCs/>
    </w:rPr>
  </w:style>
  <w:style w:type="character" w:styleId="Emphasis">
    <w:name w:val="Emphasis"/>
    <w:basedOn w:val="DefaultParagraphFont"/>
    <w:uiPriority w:val="20"/>
    <w:qFormat/>
    <w:rsid w:val="00122ABA"/>
    <w:rPr>
      <w:i/>
      <w:iCs/>
    </w:rPr>
  </w:style>
  <w:style w:type="paragraph" w:styleId="NoSpacing">
    <w:name w:val="No Spacing"/>
    <w:uiPriority w:val="1"/>
    <w:qFormat/>
    <w:rsid w:val="00122ABA"/>
    <w:pPr>
      <w:widowControl w:val="0"/>
      <w:autoSpaceDE w:val="0"/>
      <w:autoSpaceDN w:val="0"/>
      <w:adjustRightInd w:val="0"/>
      <w:spacing w:after="0" w:line="240" w:lineRule="auto"/>
    </w:pPr>
    <w:rPr>
      <w:rFonts w:ascii="Garamond" w:eastAsiaTheme="minorEastAsia" w:hAnsi="Garamond" w:cs="Times New Roman"/>
      <w:color w:val="333333" w:themeColor="text1"/>
      <w:sz w:val="24"/>
      <w:szCs w:val="24"/>
      <w:lang w:eastAsia="ja-JP"/>
    </w:rPr>
  </w:style>
  <w:style w:type="paragraph" w:styleId="ListParagraph">
    <w:name w:val="List Paragraph"/>
    <w:basedOn w:val="Normal"/>
    <w:uiPriority w:val="34"/>
    <w:qFormat/>
    <w:rsid w:val="00122ABA"/>
    <w:pPr>
      <w:widowControl w:val="0"/>
      <w:autoSpaceDE w:val="0"/>
      <w:autoSpaceDN w:val="0"/>
      <w:adjustRightInd w:val="0"/>
      <w:spacing w:afterLines="50" w:after="0" w:line="240" w:lineRule="auto"/>
      <w:ind w:left="720"/>
      <w:contextualSpacing/>
    </w:pPr>
    <w:rPr>
      <w:rFonts w:ascii="Times" w:eastAsiaTheme="minorEastAsia" w:hAnsi="Times" w:cs="Times New Roman"/>
      <w:color w:val="333333" w:themeColor="text1"/>
      <w:sz w:val="20"/>
      <w:szCs w:val="20"/>
    </w:rPr>
  </w:style>
  <w:style w:type="paragraph" w:styleId="Quote">
    <w:name w:val="Quote"/>
    <w:basedOn w:val="Normal"/>
    <w:next w:val="Normal"/>
    <w:link w:val="QuoteChar"/>
    <w:uiPriority w:val="29"/>
    <w:qFormat/>
    <w:rsid w:val="00122ABA"/>
    <w:pPr>
      <w:widowControl w:val="0"/>
      <w:autoSpaceDE w:val="0"/>
      <w:autoSpaceDN w:val="0"/>
      <w:adjustRightInd w:val="0"/>
      <w:spacing w:before="200" w:afterLines="50" w:after="160" w:line="240" w:lineRule="auto"/>
      <w:ind w:left="864" w:right="864"/>
      <w:jc w:val="center"/>
    </w:pPr>
    <w:rPr>
      <w:rFonts w:ascii="Garamond" w:eastAsiaTheme="minorEastAsia" w:hAnsi="Garamond" w:cs="Times New Roman"/>
      <w:i/>
      <w:iCs/>
      <w:color w:val="666666" w:themeColor="text1" w:themeTint="BF"/>
      <w:sz w:val="24"/>
      <w:szCs w:val="24"/>
      <w:lang w:eastAsia="ja-JP"/>
    </w:rPr>
  </w:style>
  <w:style w:type="character" w:customStyle="1" w:styleId="QuoteChar">
    <w:name w:val="Quote Char"/>
    <w:basedOn w:val="DefaultParagraphFont"/>
    <w:link w:val="Quote"/>
    <w:uiPriority w:val="29"/>
    <w:rsid w:val="00122ABA"/>
    <w:rPr>
      <w:rFonts w:ascii="Garamond" w:eastAsiaTheme="minorEastAsia" w:hAnsi="Garamond" w:cs="Times New Roman"/>
      <w:i/>
      <w:iCs/>
      <w:color w:val="666666" w:themeColor="text1" w:themeTint="BF"/>
      <w:sz w:val="24"/>
      <w:szCs w:val="24"/>
      <w:lang w:eastAsia="ja-JP"/>
    </w:rPr>
  </w:style>
  <w:style w:type="paragraph" w:styleId="IntenseQuote">
    <w:name w:val="Intense Quote"/>
    <w:basedOn w:val="Normal"/>
    <w:next w:val="Normal"/>
    <w:link w:val="IntenseQuoteChar"/>
    <w:uiPriority w:val="30"/>
    <w:qFormat/>
    <w:rsid w:val="00122ABA"/>
    <w:pPr>
      <w:widowControl w:val="0"/>
      <w:pBdr>
        <w:top w:val="single" w:sz="4" w:space="10" w:color="00719B" w:themeColor="accent1"/>
        <w:bottom w:val="single" w:sz="4" w:space="10" w:color="00719B" w:themeColor="accent1"/>
      </w:pBdr>
      <w:autoSpaceDE w:val="0"/>
      <w:autoSpaceDN w:val="0"/>
      <w:adjustRightInd w:val="0"/>
      <w:spacing w:before="360" w:afterLines="50" w:after="360" w:line="240" w:lineRule="auto"/>
      <w:ind w:left="864" w:right="864"/>
      <w:jc w:val="center"/>
    </w:pPr>
    <w:rPr>
      <w:rFonts w:ascii="Garamond" w:eastAsiaTheme="minorEastAsia" w:hAnsi="Garamond" w:cs="Times New Roman"/>
      <w:i/>
      <w:iCs/>
      <w:color w:val="00719B"/>
      <w:sz w:val="24"/>
      <w:szCs w:val="24"/>
      <w:lang w:eastAsia="ja-JP"/>
    </w:rPr>
  </w:style>
  <w:style w:type="character" w:customStyle="1" w:styleId="IntenseQuoteChar">
    <w:name w:val="Intense Quote Char"/>
    <w:basedOn w:val="DefaultParagraphFont"/>
    <w:link w:val="IntenseQuote"/>
    <w:uiPriority w:val="30"/>
    <w:rsid w:val="00122ABA"/>
    <w:rPr>
      <w:rFonts w:ascii="Garamond" w:eastAsiaTheme="minorEastAsia" w:hAnsi="Garamond" w:cs="Times New Roman"/>
      <w:i/>
      <w:iCs/>
      <w:color w:val="00719B"/>
      <w:sz w:val="24"/>
      <w:szCs w:val="24"/>
      <w:lang w:eastAsia="ja-JP"/>
    </w:rPr>
  </w:style>
  <w:style w:type="character" w:styleId="SubtleEmphasis">
    <w:name w:val="Subtle Emphasis"/>
    <w:basedOn w:val="DefaultParagraphFont"/>
    <w:uiPriority w:val="19"/>
    <w:qFormat/>
    <w:rsid w:val="00122ABA"/>
    <w:rPr>
      <w:i/>
      <w:iCs/>
      <w:color w:val="666666" w:themeColor="text1" w:themeTint="BF"/>
    </w:rPr>
  </w:style>
  <w:style w:type="character" w:styleId="IntenseEmphasis">
    <w:name w:val="Intense Emphasis"/>
    <w:basedOn w:val="DefaultParagraphFont"/>
    <w:uiPriority w:val="21"/>
    <w:qFormat/>
    <w:rsid w:val="00122ABA"/>
    <w:rPr>
      <w:i/>
      <w:iCs/>
      <w:color w:val="00719B"/>
    </w:rPr>
  </w:style>
  <w:style w:type="character" w:styleId="SubtleReference">
    <w:name w:val="Subtle Reference"/>
    <w:basedOn w:val="DefaultParagraphFont"/>
    <w:uiPriority w:val="31"/>
    <w:qFormat/>
    <w:rsid w:val="00122ABA"/>
    <w:rPr>
      <w:smallCaps/>
      <w:color w:val="7B7B7B" w:themeColor="text1" w:themeTint="A5"/>
    </w:rPr>
  </w:style>
  <w:style w:type="character" w:styleId="IntenseReference">
    <w:name w:val="Intense Reference"/>
    <w:basedOn w:val="DefaultParagraphFont"/>
    <w:uiPriority w:val="32"/>
    <w:qFormat/>
    <w:rsid w:val="00122ABA"/>
    <w:rPr>
      <w:b/>
      <w:bCs/>
      <w:smallCaps/>
      <w:color w:val="00719B"/>
      <w:spacing w:val="5"/>
    </w:rPr>
  </w:style>
  <w:style w:type="character" w:styleId="BookTitle">
    <w:name w:val="Book Title"/>
    <w:basedOn w:val="DefaultParagraphFont"/>
    <w:uiPriority w:val="33"/>
    <w:qFormat/>
    <w:rsid w:val="00122ABA"/>
    <w:rPr>
      <w:b/>
      <w:bCs/>
      <w:i/>
      <w:iCs/>
      <w:spacing w:val="5"/>
    </w:rPr>
  </w:style>
  <w:style w:type="character" w:styleId="EndnoteReference">
    <w:name w:val="endnote reference"/>
    <w:basedOn w:val="DefaultParagraphFont"/>
    <w:uiPriority w:val="99"/>
    <w:unhideWhenUsed/>
    <w:rsid w:val="003963CA"/>
    <w:rPr>
      <w:rFonts w:cs="Times New Roman"/>
      <w:vertAlign w:val="superscript"/>
    </w:rPr>
  </w:style>
  <w:style w:type="character" w:styleId="Hyperlink">
    <w:name w:val="Hyperlink"/>
    <w:basedOn w:val="DefaultParagraphFont"/>
    <w:uiPriority w:val="99"/>
    <w:unhideWhenUsed/>
    <w:rsid w:val="003963CA"/>
    <w:rPr>
      <w:color w:val="0000FF"/>
      <w:u w:val="single"/>
    </w:rPr>
  </w:style>
  <w:style w:type="paragraph" w:customStyle="1" w:styleId="Footnotes">
    <w:name w:val="Footnotes"/>
    <w:basedOn w:val="Heading2"/>
    <w:qFormat/>
    <w:rsid w:val="003963CA"/>
    <w:pPr>
      <w:keepNext w:val="0"/>
      <w:keepLines w:val="0"/>
      <w:widowControl/>
      <w:shd w:val="clear" w:color="auto" w:fill="FFFFFF"/>
      <w:tabs>
        <w:tab w:val="clear" w:pos="720"/>
      </w:tabs>
      <w:autoSpaceDE/>
      <w:autoSpaceDN/>
      <w:adjustRightInd/>
      <w:spacing w:before="0" w:afterLines="0" w:after="0"/>
      <w:ind w:left="0" w:firstLine="0"/>
    </w:pPr>
    <w:rPr>
      <w:rFonts w:eastAsia="Times New Roman" w:cs="Times New Roman"/>
      <w:b w:val="0"/>
      <w:bCs/>
      <w:sz w:val="20"/>
      <w:szCs w:val="20"/>
      <w:lang w:eastAsia="en-US"/>
    </w:rPr>
  </w:style>
  <w:style w:type="character" w:customStyle="1" w:styleId="A12">
    <w:name w:val="A12"/>
    <w:uiPriority w:val="99"/>
    <w:rsid w:val="003963CA"/>
    <w:rPr>
      <w:color w:val="000000"/>
      <w:sz w:val="13"/>
      <w:u w:val="single"/>
    </w:rPr>
  </w:style>
  <w:style w:type="paragraph" w:customStyle="1" w:styleId="FootnoteText1">
    <w:name w:val="Footnote Text1"/>
    <w:basedOn w:val="Normal"/>
    <w:next w:val="FootnoteText"/>
    <w:uiPriority w:val="99"/>
    <w:rsid w:val="003963CA"/>
    <w:pPr>
      <w:spacing w:after="0" w:line="240" w:lineRule="auto"/>
    </w:pPr>
    <w:rPr>
      <w:rFonts w:eastAsia="Times New Roman" w:cs="Times New Roman"/>
      <w:sz w:val="20"/>
      <w:szCs w:val="20"/>
    </w:rPr>
  </w:style>
  <w:style w:type="character" w:customStyle="1" w:styleId="Hyperlink1">
    <w:name w:val="Hyperlink1"/>
    <w:basedOn w:val="DefaultParagraphFont"/>
    <w:uiPriority w:val="99"/>
    <w:rsid w:val="003963CA"/>
    <w:rPr>
      <w:rFonts w:ascii="Times New Roman" w:hAnsi="Times New Roman" w:cs="Times New Roman" w:hint="default"/>
      <w:color w:val="0000FF"/>
      <w:u w:val="single"/>
    </w:rPr>
  </w:style>
  <w:style w:type="paragraph" w:styleId="NormalWeb">
    <w:name w:val="Normal (Web)"/>
    <w:basedOn w:val="Normal"/>
    <w:uiPriority w:val="99"/>
    <w:unhideWhenUsed/>
    <w:rsid w:val="003963CA"/>
    <w:pPr>
      <w:spacing w:before="100" w:beforeAutospacing="1" w:after="100" w:afterAutospacing="1" w:line="240" w:lineRule="auto"/>
    </w:pPr>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963CA"/>
    <w:pPr>
      <w:tabs>
        <w:tab w:val="center" w:pos="4320"/>
        <w:tab w:val="right" w:pos="8640"/>
      </w:tabs>
      <w:spacing w:after="0" w:line="240" w:lineRule="auto"/>
    </w:pPr>
  </w:style>
  <w:style w:type="character" w:customStyle="1" w:styleId="FooterChar">
    <w:name w:val="Footer Char"/>
    <w:basedOn w:val="DefaultParagraphFont"/>
    <w:link w:val="Footer"/>
    <w:uiPriority w:val="99"/>
    <w:rsid w:val="003963CA"/>
  </w:style>
  <w:style w:type="character" w:styleId="PageNumber">
    <w:name w:val="page number"/>
    <w:basedOn w:val="DefaultParagraphFont"/>
    <w:uiPriority w:val="99"/>
    <w:semiHidden/>
    <w:unhideWhenUsed/>
    <w:rsid w:val="003963CA"/>
  </w:style>
  <w:style w:type="paragraph" w:customStyle="1" w:styleId="CM1">
    <w:name w:val="CM1"/>
    <w:basedOn w:val="Normal"/>
    <w:next w:val="Normal"/>
    <w:rsid w:val="003963CA"/>
    <w:pPr>
      <w:widowControl w:val="0"/>
      <w:autoSpaceDE w:val="0"/>
      <w:autoSpaceDN w:val="0"/>
      <w:adjustRightInd w:val="0"/>
      <w:spacing w:after="0" w:line="240" w:lineRule="auto"/>
    </w:pPr>
    <w:rPr>
      <w:rFonts w:ascii="Helvetica Neue" w:eastAsia="Times New Roman" w:hAnsi="Helvetica Neue" w:cs="Times New Roman"/>
      <w:sz w:val="24"/>
      <w:szCs w:val="24"/>
    </w:rPr>
  </w:style>
  <w:style w:type="character" w:styleId="FootnoteReference">
    <w:name w:val="footnote reference"/>
    <w:basedOn w:val="DefaultParagraphFont"/>
    <w:semiHidden/>
    <w:unhideWhenUsed/>
    <w:qFormat/>
    <w:rsid w:val="00F77B13"/>
    <w:rPr>
      <w:vertAlign w:val="superscript"/>
    </w:rPr>
  </w:style>
  <w:style w:type="character" w:styleId="CommentReference">
    <w:name w:val="annotation reference"/>
    <w:basedOn w:val="DefaultParagraphFont"/>
    <w:uiPriority w:val="99"/>
    <w:semiHidden/>
    <w:unhideWhenUsed/>
    <w:rsid w:val="00F47936"/>
    <w:rPr>
      <w:sz w:val="16"/>
      <w:szCs w:val="16"/>
    </w:rPr>
  </w:style>
  <w:style w:type="paragraph" w:styleId="CommentText">
    <w:name w:val="annotation text"/>
    <w:basedOn w:val="Normal"/>
    <w:link w:val="CommentTextChar"/>
    <w:uiPriority w:val="99"/>
    <w:semiHidden/>
    <w:unhideWhenUsed/>
    <w:rsid w:val="00F47936"/>
    <w:pPr>
      <w:spacing w:line="240" w:lineRule="auto"/>
    </w:pPr>
    <w:rPr>
      <w:sz w:val="20"/>
      <w:szCs w:val="20"/>
    </w:rPr>
  </w:style>
  <w:style w:type="character" w:customStyle="1" w:styleId="CommentTextChar">
    <w:name w:val="Comment Text Char"/>
    <w:basedOn w:val="DefaultParagraphFont"/>
    <w:link w:val="CommentText"/>
    <w:uiPriority w:val="99"/>
    <w:semiHidden/>
    <w:rsid w:val="00F47936"/>
    <w:rPr>
      <w:sz w:val="20"/>
      <w:szCs w:val="20"/>
    </w:rPr>
  </w:style>
  <w:style w:type="paragraph" w:styleId="CommentSubject">
    <w:name w:val="annotation subject"/>
    <w:basedOn w:val="CommentText"/>
    <w:next w:val="CommentText"/>
    <w:link w:val="CommentSubjectChar"/>
    <w:uiPriority w:val="99"/>
    <w:semiHidden/>
    <w:unhideWhenUsed/>
    <w:rsid w:val="00F47936"/>
    <w:rPr>
      <w:b/>
      <w:bCs/>
    </w:rPr>
  </w:style>
  <w:style w:type="character" w:customStyle="1" w:styleId="CommentSubjectChar">
    <w:name w:val="Comment Subject Char"/>
    <w:basedOn w:val="CommentTextChar"/>
    <w:link w:val="CommentSubject"/>
    <w:uiPriority w:val="99"/>
    <w:semiHidden/>
    <w:rsid w:val="00F47936"/>
    <w:rPr>
      <w:b/>
      <w:bCs/>
      <w:sz w:val="20"/>
      <w:szCs w:val="20"/>
    </w:rPr>
  </w:style>
  <w:style w:type="paragraph" w:styleId="BalloonText">
    <w:name w:val="Balloon Text"/>
    <w:basedOn w:val="Normal"/>
    <w:link w:val="BalloonTextChar"/>
    <w:uiPriority w:val="99"/>
    <w:semiHidden/>
    <w:unhideWhenUsed/>
    <w:rsid w:val="00F479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793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mailto:akila@globaljusticecenter.net" TargetMode="External"/><Relationship Id="rId4" Type="http://schemas.openxmlformats.org/officeDocument/2006/relationships/settings" Target="settings.xml"/><Relationship Id="rId9" Type="http://schemas.openxmlformats.org/officeDocument/2006/relationships/hyperlink" Target="http://www.globaljusticecenter.net" TargetMode="Externa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1" Type="http://schemas.openxmlformats.org/officeDocument/2006/relationships/hyperlink" Target="http://www/" TargetMode="External"/></Relationships>
</file>

<file path=word/theme/theme1.xml><?xml version="1.0" encoding="utf-8"?>
<a:theme xmlns:a="http://schemas.openxmlformats.org/drawingml/2006/main" name="Office Theme">
  <a:themeElements>
    <a:clrScheme name="GJC Colors">
      <a:dk1>
        <a:srgbClr val="333333"/>
      </a:dk1>
      <a:lt1>
        <a:srgbClr val="F7F7F7"/>
      </a:lt1>
      <a:dk2>
        <a:srgbClr val="00719B"/>
      </a:dk2>
      <a:lt2>
        <a:srgbClr val="F7F7F7"/>
      </a:lt2>
      <a:accent1>
        <a:srgbClr val="00719B"/>
      </a:accent1>
      <a:accent2>
        <a:srgbClr val="FDBA12"/>
      </a:accent2>
      <a:accent3>
        <a:srgbClr val="9BBB59"/>
      </a:accent3>
      <a:accent4>
        <a:srgbClr val="8064A2"/>
      </a:accent4>
      <a:accent5>
        <a:srgbClr val="6EC4E6"/>
      </a:accent5>
      <a:accent6>
        <a:srgbClr val="FDBA12"/>
      </a:accent6>
      <a:hlink>
        <a:srgbClr val="00719B"/>
      </a:hlink>
      <a:folHlink>
        <a:srgbClr val="145775"/>
      </a:folHlink>
    </a:clrScheme>
    <a:fontScheme name="GJC Fonts">
      <a:majorFont>
        <a:latin typeface="Garamond"/>
        <a:ea typeface=""/>
        <a:cs typeface=""/>
      </a:majorFont>
      <a:minorFont>
        <a:latin typeface="Garamond"/>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6D08B2-1F3B-4C33-BF94-A191A48F6448}">
  <ds:schemaRefs>
    <ds:schemaRef ds:uri="http://schemas.openxmlformats.org/officeDocument/2006/bibliography"/>
  </ds:schemaRefs>
</ds:datastoreItem>
</file>

<file path=customXml/itemProps2.xml><?xml version="1.0" encoding="utf-8"?>
<ds:datastoreItem xmlns:ds="http://schemas.openxmlformats.org/officeDocument/2006/customXml" ds:itemID="{A4F59E38-33A4-4057-9D34-113AF1551D0A}"/>
</file>

<file path=customXml/itemProps3.xml><?xml version="1.0" encoding="utf-8"?>
<ds:datastoreItem xmlns:ds="http://schemas.openxmlformats.org/officeDocument/2006/customXml" ds:itemID="{101A7693-CC77-4D76-B906-F360600F7FD8}"/>
</file>

<file path=customXml/itemProps4.xml><?xml version="1.0" encoding="utf-8"?>
<ds:datastoreItem xmlns:ds="http://schemas.openxmlformats.org/officeDocument/2006/customXml" ds:itemID="{1DD749DB-04C1-40EB-933F-8304B336B654}"/>
</file>

<file path=docProps/app.xml><?xml version="1.0" encoding="utf-8"?>
<Properties xmlns="http://schemas.openxmlformats.org/officeDocument/2006/extended-properties" xmlns:vt="http://schemas.openxmlformats.org/officeDocument/2006/docPropsVTypes">
  <Template>Normal</Template>
  <TotalTime>159</TotalTime>
  <Pages>10</Pages>
  <Words>2801</Words>
  <Characters>15969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Sarver</dc:creator>
  <cp:keywords/>
  <dc:description/>
  <cp:lastModifiedBy>L. Grant Shubin</cp:lastModifiedBy>
  <cp:revision>6</cp:revision>
  <dcterms:created xsi:type="dcterms:W3CDTF">2019-09-24T20:42:00Z</dcterms:created>
  <dcterms:modified xsi:type="dcterms:W3CDTF">2019-09-30T21:52:00Z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