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8A04F" w14:textId="6C44407B" w:rsidR="00E04C57" w:rsidRDefault="00E04C57">
      <w:pPr>
        <w:rPr>
          <w:color w:val="000000"/>
          <w:sz w:val="24"/>
          <w:szCs w:val="24"/>
        </w:rPr>
      </w:pPr>
    </w:p>
    <w:p w14:paraId="1FD657CC" w14:textId="5854B71D" w:rsidR="00E04C57" w:rsidRPr="00E04C57" w:rsidRDefault="00E04C57" w:rsidP="00E04C57">
      <w:pPr>
        <w:rPr>
          <w:sz w:val="24"/>
          <w:szCs w:val="24"/>
        </w:rPr>
      </w:pPr>
      <w:r w:rsidRPr="00E04C57">
        <w:rPr>
          <w:sz w:val="24"/>
          <w:szCs w:val="24"/>
        </w:rPr>
        <w:fldChar w:fldCharType="begin"/>
      </w:r>
      <w:r w:rsidR="00714DBF">
        <w:rPr>
          <w:sz w:val="24"/>
          <w:szCs w:val="24"/>
        </w:rPr>
        <w:instrText xml:space="preserve"> INCLUDEPICTURE "C:\\var\\folders\\f8\\8x4wm6mj3vj11c_mqw2dsvxc0000gn\\T\\com.microsoft.Word\\WebArchiveCopyPasteTempFiles\\partners-11-temida_ngo-260x300.png" \* MERGEFORMAT </w:instrText>
      </w:r>
      <w:r w:rsidRPr="00E04C57">
        <w:rPr>
          <w:sz w:val="24"/>
          <w:szCs w:val="24"/>
        </w:rPr>
        <w:fldChar w:fldCharType="end"/>
      </w:r>
    </w:p>
    <w:p w14:paraId="747CCA88" w14:textId="2908B304" w:rsidR="00E04C57" w:rsidRDefault="00E04C57" w:rsidP="00E04C57">
      <w:pPr>
        <w:rPr>
          <w:color w:val="000000"/>
          <w:sz w:val="24"/>
          <w:szCs w:val="24"/>
        </w:rPr>
      </w:pPr>
      <w:r w:rsidRPr="00E04C57">
        <w:rPr>
          <w:noProof/>
          <w:sz w:val="24"/>
          <w:szCs w:val="24"/>
          <w:lang w:eastAsia="en-US"/>
        </w:rPr>
        <w:drawing>
          <wp:anchor distT="0" distB="0" distL="114300" distR="114300" simplePos="0" relativeHeight="251661312" behindDoc="0" locked="0" layoutInCell="1" allowOverlap="1" wp14:anchorId="5A162D57" wp14:editId="2D79ED4A">
            <wp:simplePos x="0" y="0"/>
            <wp:positionH relativeFrom="column">
              <wp:posOffset>3408045</wp:posOffset>
            </wp:positionH>
            <wp:positionV relativeFrom="paragraph">
              <wp:posOffset>12065</wp:posOffset>
            </wp:positionV>
            <wp:extent cx="995045" cy="1149350"/>
            <wp:effectExtent l="0" t="0" r="0" b="6350"/>
            <wp:wrapThrough wrapText="bothSides">
              <wp:wrapPolygon edited="0">
                <wp:start x="0" y="0"/>
                <wp:lineTo x="0" y="21481"/>
                <wp:lineTo x="21228" y="21481"/>
                <wp:lineTo x="21228" y="0"/>
                <wp:lineTo x="0" y="0"/>
              </wp:wrapPolygon>
            </wp:wrapThrough>
            <wp:docPr id="4" name="Picture 4" descr="Welcome - EKH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 EKH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5045" cy="1149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72CB06" w14:textId="77777777" w:rsidR="00E04C57" w:rsidRDefault="00E04C57" w:rsidP="00E04C57">
      <w:pPr>
        <w:tabs>
          <w:tab w:val="left" w:pos="5790"/>
        </w:tabs>
        <w:rPr>
          <w:sz w:val="24"/>
          <w:szCs w:val="24"/>
        </w:rPr>
      </w:pPr>
      <w:r>
        <w:rPr>
          <w:noProof/>
          <w:color w:val="000000"/>
          <w:sz w:val="24"/>
          <w:szCs w:val="24"/>
          <w:lang w:eastAsia="en-US"/>
        </w:rPr>
        <w:drawing>
          <wp:anchor distT="0" distB="0" distL="0" distR="0" simplePos="0" relativeHeight="251660288" behindDoc="1" locked="0" layoutInCell="1" allowOverlap="1" wp14:anchorId="2004D1F0" wp14:editId="73F6AD51">
            <wp:simplePos x="0" y="0"/>
            <wp:positionH relativeFrom="column">
              <wp:posOffset>1476375</wp:posOffset>
            </wp:positionH>
            <wp:positionV relativeFrom="paragraph">
              <wp:posOffset>142240</wp:posOffset>
            </wp:positionV>
            <wp:extent cx="1571625" cy="457200"/>
            <wp:effectExtent l="0" t="0" r="0" b="0"/>
            <wp:wrapNone/>
            <wp:docPr id="2"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9"/>
                    <a:stretch>
                      <a:fillRect/>
                    </a:stretch>
                  </pic:blipFill>
                  <pic:spPr bwMode="auto">
                    <a:xfrm>
                      <a:off x="0" y="0"/>
                      <a:ext cx="1571625" cy="457200"/>
                    </a:xfrm>
                    <a:prstGeom prst="rect">
                      <a:avLst/>
                    </a:prstGeom>
                  </pic:spPr>
                </pic:pic>
              </a:graphicData>
            </a:graphic>
          </wp:anchor>
        </w:drawing>
      </w:r>
      <w:r>
        <w:rPr>
          <w:sz w:val="24"/>
          <w:szCs w:val="24"/>
        </w:rPr>
        <w:tab/>
      </w:r>
    </w:p>
    <w:p w14:paraId="38E39CB1" w14:textId="27C51205" w:rsidR="00E04C57" w:rsidRDefault="00E04C57" w:rsidP="00E04C57">
      <w:pPr>
        <w:tabs>
          <w:tab w:val="left" w:pos="7740"/>
        </w:tabs>
        <w:rPr>
          <w:noProof/>
        </w:rPr>
      </w:pPr>
      <w:r w:rsidRPr="008253C9">
        <w:rPr>
          <w:sz w:val="24"/>
          <w:szCs w:val="24"/>
        </w:rPr>
        <w:t xml:space="preserve">                                       </w:t>
      </w:r>
      <w:r>
        <w:rPr>
          <w:sz w:val="24"/>
          <w:szCs w:val="24"/>
        </w:rPr>
        <w:tab/>
      </w:r>
    </w:p>
    <w:p w14:paraId="0EFF015A" w14:textId="77777777" w:rsidR="00E04C57" w:rsidRPr="00B9658F" w:rsidRDefault="00E04C57" w:rsidP="00E04C57">
      <w:pPr>
        <w:tabs>
          <w:tab w:val="left" w:pos="8715"/>
        </w:tabs>
        <w:rPr>
          <w:rFonts w:ascii="Tahoma" w:hAnsi="Tahoma" w:cs="Tahoma"/>
          <w:sz w:val="24"/>
          <w:szCs w:val="24"/>
        </w:rPr>
      </w:pPr>
      <w:r>
        <w:rPr>
          <w:rFonts w:ascii="Tahoma" w:hAnsi="Tahoma" w:cs="Tahoma"/>
          <w:sz w:val="24"/>
          <w:szCs w:val="24"/>
        </w:rPr>
        <w:tab/>
      </w:r>
    </w:p>
    <w:p w14:paraId="39637B1B" w14:textId="77777777" w:rsidR="00E04C57" w:rsidRPr="00B9658F" w:rsidRDefault="00E04C57" w:rsidP="00E04C57">
      <w:pPr>
        <w:rPr>
          <w:sz w:val="24"/>
          <w:szCs w:val="24"/>
        </w:rPr>
      </w:pPr>
    </w:p>
    <w:p w14:paraId="38768EF4" w14:textId="4E510DA0" w:rsidR="00E04C57" w:rsidRDefault="00E04C57" w:rsidP="00E04C57">
      <w:pPr>
        <w:rPr>
          <w:sz w:val="24"/>
          <w:szCs w:val="24"/>
        </w:rPr>
      </w:pPr>
    </w:p>
    <w:p w14:paraId="16849BBA" w14:textId="085FF18B" w:rsidR="00E04C57" w:rsidRDefault="00E04C57" w:rsidP="00E04C57">
      <w:pPr>
        <w:rPr>
          <w:sz w:val="24"/>
          <w:szCs w:val="24"/>
        </w:rPr>
      </w:pPr>
    </w:p>
    <w:p w14:paraId="63C21B44" w14:textId="289CDB44" w:rsidR="00E04C57" w:rsidRDefault="00E04C57" w:rsidP="00E04C57">
      <w:pPr>
        <w:rPr>
          <w:sz w:val="24"/>
          <w:szCs w:val="24"/>
        </w:rPr>
      </w:pPr>
    </w:p>
    <w:p w14:paraId="24949832" w14:textId="77777777" w:rsidR="00E04C57" w:rsidRDefault="00E04C57" w:rsidP="00E04C57">
      <w:pPr>
        <w:rPr>
          <w:sz w:val="24"/>
          <w:szCs w:val="24"/>
        </w:rPr>
      </w:pPr>
    </w:p>
    <w:p w14:paraId="3756FFCE" w14:textId="77777777" w:rsidR="00E04C57" w:rsidRDefault="00E04C57" w:rsidP="00E04C57">
      <w:pPr>
        <w:spacing w:before="120" w:after="120"/>
        <w:jc w:val="center"/>
        <w:rPr>
          <w:rFonts w:ascii="Tahoma" w:hAnsi="Tahoma" w:cs="Tahoma"/>
          <w:b/>
          <w:sz w:val="24"/>
          <w:szCs w:val="24"/>
        </w:rPr>
      </w:pPr>
      <w:r>
        <w:rPr>
          <w:rFonts w:ascii="Tahoma" w:hAnsi="Tahoma" w:cs="Tahoma"/>
          <w:b/>
          <w:sz w:val="32"/>
          <w:szCs w:val="24"/>
        </w:rPr>
        <w:t>Human Rights Violations Based on Sexual Orientation and Gender Identity in Georgia</w:t>
      </w:r>
    </w:p>
    <w:p w14:paraId="1FA06186" w14:textId="77777777" w:rsidR="00E04C57" w:rsidRDefault="00E04C57" w:rsidP="00E04C57">
      <w:pPr>
        <w:rPr>
          <w:sz w:val="24"/>
          <w:szCs w:val="24"/>
        </w:rPr>
      </w:pPr>
    </w:p>
    <w:p w14:paraId="66CA036E" w14:textId="77777777" w:rsidR="00E04C57" w:rsidRDefault="00E04C57" w:rsidP="00E04C57">
      <w:pPr>
        <w:rPr>
          <w:rFonts w:ascii="Tahoma" w:hAnsi="Tahoma" w:cs="Tahoma"/>
        </w:rPr>
      </w:pPr>
    </w:p>
    <w:p w14:paraId="6EF2842D" w14:textId="77777777" w:rsidR="00E04C57" w:rsidRPr="00CC3894" w:rsidRDefault="00E04C57" w:rsidP="00E04C57">
      <w:pPr>
        <w:ind w:right="15"/>
        <w:jc w:val="center"/>
        <w:rPr>
          <w:rFonts w:ascii="Tahoma" w:hAnsi="Tahoma" w:cs="Tahoma"/>
        </w:rPr>
      </w:pPr>
      <w:r w:rsidRPr="00CC3894">
        <w:rPr>
          <w:rFonts w:ascii="Tahoma" w:hAnsi="Tahoma" w:cs="Tahoma"/>
        </w:rPr>
        <w:t>An “alternative</w:t>
      </w:r>
      <w:r w:rsidRPr="00CC3894">
        <w:rPr>
          <w:rFonts w:ascii="Tahoma" w:hAnsi="Tahoma" w:cs="Tahoma"/>
          <w:color w:val="000000"/>
        </w:rPr>
        <w:t xml:space="preserve"> report</w:t>
      </w:r>
      <w:r w:rsidRPr="00CC3894">
        <w:rPr>
          <w:rFonts w:ascii="Tahoma" w:hAnsi="Tahoma" w:cs="Tahoma"/>
        </w:rPr>
        <w:t>”</w:t>
      </w:r>
    </w:p>
    <w:p w14:paraId="68C59DCB" w14:textId="12FD996F" w:rsidR="00E04C57" w:rsidRPr="00E04C57" w:rsidRDefault="00E04C57" w:rsidP="00E04C57">
      <w:pPr>
        <w:ind w:right="15"/>
        <w:jc w:val="center"/>
        <w:rPr>
          <w:rFonts w:ascii="Tahoma" w:hAnsi="Tahoma" w:cs="Tahoma"/>
        </w:rPr>
      </w:pPr>
      <w:r>
        <w:rPr>
          <w:rFonts w:ascii="Tahoma" w:hAnsi="Tahoma" w:cs="Tahoma"/>
        </w:rPr>
        <w:t>Regarding Concluding Observations</w:t>
      </w:r>
    </w:p>
    <w:p w14:paraId="5F417464" w14:textId="6680F2DF" w:rsidR="00E04C57" w:rsidRPr="00E04C57" w:rsidRDefault="00E04C57" w:rsidP="00E04C57">
      <w:pPr>
        <w:ind w:right="15"/>
        <w:jc w:val="center"/>
        <w:rPr>
          <w:rFonts w:ascii="Tahoma" w:hAnsi="Tahoma" w:cs="Tahoma"/>
        </w:rPr>
      </w:pPr>
      <w:r>
        <w:rPr>
          <w:rFonts w:ascii="Tahoma" w:hAnsi="Tahoma" w:cs="Tahoma"/>
        </w:rPr>
        <w:t>CEDAW</w:t>
      </w:r>
      <w:r w:rsidRPr="00CC3894">
        <w:rPr>
          <w:rFonts w:ascii="Tahoma" w:hAnsi="Tahoma" w:cs="Tahoma"/>
        </w:rPr>
        <w:t>/C/</w:t>
      </w:r>
      <w:r>
        <w:rPr>
          <w:rFonts w:ascii="Tahoma" w:hAnsi="Tahoma" w:cs="Tahoma"/>
        </w:rPr>
        <w:t>GEO</w:t>
      </w:r>
      <w:r w:rsidRPr="00CC3894">
        <w:rPr>
          <w:rFonts w:ascii="Tahoma" w:hAnsi="Tahoma" w:cs="Tahoma"/>
        </w:rPr>
        <w:t>/CO/</w:t>
      </w:r>
      <w:r>
        <w:rPr>
          <w:rFonts w:ascii="Tahoma" w:hAnsi="Tahoma" w:cs="Tahoma"/>
        </w:rPr>
        <w:t>4-5</w:t>
      </w:r>
    </w:p>
    <w:p w14:paraId="6D1AFE5C" w14:textId="77777777" w:rsidR="00E04C57" w:rsidRDefault="00E04C57" w:rsidP="00E04C57">
      <w:pPr>
        <w:ind w:right="15"/>
        <w:jc w:val="center"/>
        <w:rPr>
          <w:color w:val="000000"/>
          <w:sz w:val="20"/>
          <w:szCs w:val="20"/>
        </w:rPr>
      </w:pPr>
    </w:p>
    <w:p w14:paraId="3F9D0E0D" w14:textId="77777777" w:rsidR="00E04C57" w:rsidRDefault="00E04C57" w:rsidP="00E04C57">
      <w:pPr>
        <w:spacing w:line="242" w:lineRule="auto"/>
        <w:rPr>
          <w:color w:val="000000"/>
          <w:sz w:val="24"/>
          <w:szCs w:val="24"/>
        </w:rPr>
      </w:pPr>
    </w:p>
    <w:p w14:paraId="0730E1AB" w14:textId="77777777" w:rsidR="00E04C57" w:rsidRDefault="00E04C57" w:rsidP="00E04C57">
      <w:pPr>
        <w:ind w:left="6140"/>
        <w:rPr>
          <w:color w:val="000000"/>
          <w:sz w:val="20"/>
          <w:szCs w:val="20"/>
        </w:rPr>
      </w:pPr>
    </w:p>
    <w:p w14:paraId="794E0188" w14:textId="77777777" w:rsidR="00E04C57" w:rsidRDefault="00E04C57" w:rsidP="00E04C57">
      <w:pPr>
        <w:ind w:left="6140"/>
        <w:rPr>
          <w:color w:val="000000"/>
          <w:sz w:val="20"/>
          <w:szCs w:val="20"/>
        </w:rPr>
      </w:pPr>
    </w:p>
    <w:p w14:paraId="409DC940" w14:textId="77777777" w:rsidR="00E04C57" w:rsidRDefault="00E04C57" w:rsidP="00E04C57">
      <w:pPr>
        <w:rPr>
          <w:color w:val="000000"/>
          <w:sz w:val="24"/>
          <w:szCs w:val="24"/>
        </w:rPr>
      </w:pPr>
    </w:p>
    <w:p w14:paraId="003E660F" w14:textId="6FD19514" w:rsidR="00E04C57" w:rsidRPr="00E04C57" w:rsidRDefault="00E04C57" w:rsidP="00E04C57">
      <w:pPr>
        <w:jc w:val="center"/>
        <w:rPr>
          <w:rFonts w:ascii="Tahoma" w:hAnsi="Tahoma" w:cs="Tahoma"/>
        </w:rPr>
      </w:pPr>
      <w:r w:rsidRPr="00E04C57">
        <w:rPr>
          <w:rFonts w:ascii="Tahoma" w:hAnsi="Tahoma" w:cs="Tahoma"/>
        </w:rPr>
        <w:t>81</w:t>
      </w:r>
      <w:r w:rsidRPr="00E04C57">
        <w:rPr>
          <w:rFonts w:ascii="Tahoma" w:hAnsi="Tahoma" w:cs="Tahoma"/>
          <w:vertAlign w:val="superscript"/>
        </w:rPr>
        <w:t>st</w:t>
      </w:r>
      <w:r w:rsidRPr="00E04C57">
        <w:rPr>
          <w:rFonts w:ascii="Tahoma" w:hAnsi="Tahoma" w:cs="Tahoma"/>
        </w:rPr>
        <w:t xml:space="preserve"> Pre-Sessional Working Group</w:t>
      </w:r>
    </w:p>
    <w:p w14:paraId="4ED73DA9" w14:textId="5D50E276" w:rsidR="00E04C57" w:rsidRPr="00E04C57" w:rsidRDefault="00E04C57" w:rsidP="00E04C57">
      <w:pPr>
        <w:pStyle w:val="NormalWeb"/>
        <w:spacing w:before="0" w:beforeAutospacing="0" w:after="0" w:afterAutospacing="0"/>
        <w:jc w:val="center"/>
        <w:rPr>
          <w:rFonts w:ascii="Tahoma" w:hAnsi="Tahoma" w:cs="Tahoma"/>
          <w:color w:val="000000"/>
          <w:sz w:val="22"/>
          <w:szCs w:val="22"/>
        </w:rPr>
      </w:pPr>
      <w:r w:rsidRPr="00E04C57">
        <w:rPr>
          <w:rFonts w:ascii="Tahoma" w:hAnsi="Tahoma" w:cs="Tahoma"/>
          <w:color w:val="000000"/>
          <w:sz w:val="22"/>
          <w:szCs w:val="22"/>
        </w:rPr>
        <w:t>Committee on the Elimination of Discrimination Against Women</w:t>
      </w:r>
    </w:p>
    <w:p w14:paraId="32655436" w14:textId="77777777" w:rsidR="00E04C57" w:rsidRPr="00E04C57" w:rsidRDefault="00E04C57" w:rsidP="00E04C57">
      <w:pPr>
        <w:spacing w:after="240"/>
        <w:rPr>
          <w:sz w:val="24"/>
          <w:szCs w:val="24"/>
        </w:rPr>
      </w:pPr>
    </w:p>
    <w:p w14:paraId="74DDFDB3" w14:textId="745C70F5" w:rsidR="00E04C57" w:rsidRPr="00E04C57" w:rsidRDefault="00E04C57" w:rsidP="00E04C57">
      <w:pPr>
        <w:jc w:val="center"/>
        <w:rPr>
          <w:rFonts w:ascii="Tahoma" w:hAnsi="Tahoma" w:cs="Tahoma"/>
        </w:rPr>
      </w:pPr>
    </w:p>
    <w:p w14:paraId="4AD1851E" w14:textId="77777777" w:rsidR="00E04C57" w:rsidRDefault="00E04C57" w:rsidP="00E04C57">
      <w:pPr>
        <w:rPr>
          <w:color w:val="000000"/>
          <w:sz w:val="24"/>
          <w:szCs w:val="24"/>
        </w:rPr>
      </w:pPr>
    </w:p>
    <w:p w14:paraId="62ECB68C" w14:textId="77777777" w:rsidR="00E04C57" w:rsidRDefault="00E04C57" w:rsidP="00E04C57">
      <w:pPr>
        <w:rPr>
          <w:color w:val="000000"/>
          <w:sz w:val="24"/>
          <w:szCs w:val="24"/>
        </w:rPr>
      </w:pPr>
    </w:p>
    <w:p w14:paraId="2E241338" w14:textId="77777777" w:rsidR="00E04C57" w:rsidRDefault="00E04C57" w:rsidP="00E04C57">
      <w:pPr>
        <w:rPr>
          <w:color w:val="000000"/>
          <w:sz w:val="24"/>
          <w:szCs w:val="24"/>
        </w:rPr>
      </w:pPr>
    </w:p>
    <w:p w14:paraId="39021693" w14:textId="77777777" w:rsidR="00E04C57" w:rsidRDefault="00E04C57" w:rsidP="00E04C57">
      <w:pPr>
        <w:rPr>
          <w:color w:val="000000"/>
          <w:sz w:val="24"/>
          <w:szCs w:val="24"/>
        </w:rPr>
      </w:pPr>
    </w:p>
    <w:p w14:paraId="2028C6F8" w14:textId="77777777" w:rsidR="00E04C57" w:rsidRDefault="00E04C57" w:rsidP="00E04C57">
      <w:pPr>
        <w:rPr>
          <w:color w:val="000000"/>
          <w:sz w:val="24"/>
          <w:szCs w:val="24"/>
        </w:rPr>
      </w:pPr>
    </w:p>
    <w:p w14:paraId="5765C919" w14:textId="77777777" w:rsidR="00E04C57" w:rsidRDefault="00E04C57" w:rsidP="00E04C57">
      <w:pPr>
        <w:rPr>
          <w:color w:val="000000"/>
          <w:sz w:val="24"/>
          <w:szCs w:val="24"/>
        </w:rPr>
      </w:pPr>
    </w:p>
    <w:p w14:paraId="76E095FA" w14:textId="77777777" w:rsidR="00E04C57" w:rsidRDefault="00E04C57" w:rsidP="00E04C57">
      <w:pPr>
        <w:rPr>
          <w:color w:val="000000"/>
          <w:sz w:val="24"/>
          <w:szCs w:val="24"/>
        </w:rPr>
      </w:pPr>
    </w:p>
    <w:p w14:paraId="20E6861E" w14:textId="77777777" w:rsidR="00E04C57" w:rsidRDefault="00E04C57" w:rsidP="00E04C57">
      <w:pPr>
        <w:rPr>
          <w:color w:val="000000"/>
          <w:sz w:val="24"/>
          <w:szCs w:val="24"/>
        </w:rPr>
      </w:pPr>
    </w:p>
    <w:p w14:paraId="46B3EEC3" w14:textId="77777777" w:rsidR="00E04C57" w:rsidRDefault="00E04C57" w:rsidP="00E04C57">
      <w:pPr>
        <w:rPr>
          <w:color w:val="000000"/>
          <w:sz w:val="24"/>
          <w:szCs w:val="24"/>
        </w:rPr>
      </w:pPr>
    </w:p>
    <w:p w14:paraId="7FDB7BB6" w14:textId="77777777" w:rsidR="00E04C57" w:rsidRDefault="00E04C57" w:rsidP="00E04C57">
      <w:pPr>
        <w:rPr>
          <w:color w:val="000000"/>
          <w:sz w:val="24"/>
          <w:szCs w:val="24"/>
        </w:rPr>
      </w:pPr>
    </w:p>
    <w:p w14:paraId="22260342" w14:textId="77777777" w:rsidR="00E04C57" w:rsidRDefault="00E04C57" w:rsidP="00E04C57">
      <w:pPr>
        <w:rPr>
          <w:color w:val="000000"/>
          <w:sz w:val="24"/>
          <w:szCs w:val="24"/>
        </w:rPr>
      </w:pPr>
    </w:p>
    <w:p w14:paraId="2757C47C" w14:textId="77777777" w:rsidR="00E04C57" w:rsidRDefault="00E04C57" w:rsidP="00E04C57">
      <w:pPr>
        <w:rPr>
          <w:color w:val="000000"/>
          <w:sz w:val="24"/>
          <w:szCs w:val="24"/>
        </w:rPr>
      </w:pPr>
    </w:p>
    <w:p w14:paraId="6D1983CA" w14:textId="77777777" w:rsidR="00E04C57" w:rsidRDefault="00E04C57" w:rsidP="00E04C57">
      <w:pPr>
        <w:rPr>
          <w:color w:val="000000"/>
          <w:sz w:val="24"/>
          <w:szCs w:val="24"/>
        </w:rPr>
      </w:pPr>
    </w:p>
    <w:p w14:paraId="06E1C5D0" w14:textId="77777777" w:rsidR="00E04C57" w:rsidRDefault="00E04C57" w:rsidP="00E04C57">
      <w:pPr>
        <w:rPr>
          <w:color w:val="000000"/>
          <w:sz w:val="24"/>
          <w:szCs w:val="24"/>
        </w:rPr>
      </w:pPr>
    </w:p>
    <w:p w14:paraId="1E6E5F8E" w14:textId="77777777" w:rsidR="00E04C57" w:rsidRDefault="00E04C57" w:rsidP="00E04C57">
      <w:pPr>
        <w:rPr>
          <w:color w:val="000000"/>
          <w:sz w:val="24"/>
          <w:szCs w:val="24"/>
        </w:rPr>
      </w:pPr>
    </w:p>
    <w:p w14:paraId="0B549DC3" w14:textId="77777777" w:rsidR="00E04C57" w:rsidRDefault="00E04C57" w:rsidP="00E04C57">
      <w:pPr>
        <w:rPr>
          <w:color w:val="000000"/>
          <w:sz w:val="24"/>
          <w:szCs w:val="24"/>
        </w:rPr>
      </w:pPr>
    </w:p>
    <w:p w14:paraId="4834E6C8" w14:textId="77777777" w:rsidR="00E04C57" w:rsidRDefault="00E04C57" w:rsidP="00E04C57">
      <w:pPr>
        <w:rPr>
          <w:color w:val="000000"/>
          <w:sz w:val="24"/>
          <w:szCs w:val="24"/>
        </w:rPr>
      </w:pPr>
    </w:p>
    <w:p w14:paraId="30864F30" w14:textId="77777777" w:rsidR="00E04C57" w:rsidRDefault="00E04C57" w:rsidP="00E04C57">
      <w:pPr>
        <w:rPr>
          <w:color w:val="000000"/>
          <w:sz w:val="24"/>
          <w:szCs w:val="24"/>
        </w:rPr>
      </w:pPr>
    </w:p>
    <w:p w14:paraId="2B98B7AF" w14:textId="77777777" w:rsidR="00E04C57" w:rsidRDefault="00E04C57" w:rsidP="00E04C57">
      <w:pPr>
        <w:rPr>
          <w:color w:val="000000"/>
          <w:sz w:val="24"/>
          <w:szCs w:val="24"/>
        </w:rPr>
      </w:pPr>
    </w:p>
    <w:p w14:paraId="1CCB86D9" w14:textId="77777777" w:rsidR="00E04C57" w:rsidRDefault="00E04C57" w:rsidP="00E04C57">
      <w:pPr>
        <w:widowControl w:val="0"/>
        <w:spacing w:line="276" w:lineRule="auto"/>
      </w:pPr>
    </w:p>
    <w:p w14:paraId="4700F73E" w14:textId="77777777" w:rsidR="00E04C57" w:rsidRDefault="00E04C57" w:rsidP="00E04C57">
      <w:pPr>
        <w:widowControl w:val="0"/>
        <w:spacing w:line="276" w:lineRule="auto"/>
      </w:pPr>
    </w:p>
    <w:p w14:paraId="0B19D926" w14:textId="77777777" w:rsidR="00E04C57" w:rsidRDefault="00E04C57" w:rsidP="00E04C57">
      <w:pPr>
        <w:widowControl w:val="0"/>
        <w:spacing w:line="276" w:lineRule="auto"/>
      </w:pPr>
    </w:p>
    <w:p w14:paraId="79AC2F30" w14:textId="77777777" w:rsidR="00E04C57" w:rsidRDefault="00E04C57" w:rsidP="00E04C57">
      <w:pPr>
        <w:widowControl w:val="0"/>
        <w:spacing w:line="276" w:lineRule="auto"/>
      </w:pPr>
    </w:p>
    <w:p w14:paraId="5D9B40F8" w14:textId="77777777" w:rsidR="00E04C57" w:rsidRDefault="00E04C57" w:rsidP="00E04C57">
      <w:pPr>
        <w:widowControl w:val="0"/>
        <w:spacing w:line="276" w:lineRule="auto"/>
      </w:pPr>
    </w:p>
    <w:p w14:paraId="28183FBD" w14:textId="77777777" w:rsidR="00E04C57" w:rsidRDefault="00E04C57" w:rsidP="00E04C57">
      <w:pPr>
        <w:widowControl w:val="0"/>
        <w:spacing w:line="276" w:lineRule="auto"/>
      </w:pPr>
    </w:p>
    <w:p w14:paraId="455200BD" w14:textId="77777777" w:rsidR="00E04C57" w:rsidRDefault="00E04C57" w:rsidP="00E04C57">
      <w:pPr>
        <w:widowControl w:val="0"/>
        <w:spacing w:line="276" w:lineRule="auto"/>
      </w:pPr>
    </w:p>
    <w:p w14:paraId="75F32CA5" w14:textId="2FBAA44D" w:rsidR="00E04C57" w:rsidRPr="00E04C57" w:rsidRDefault="00E04C57" w:rsidP="00E04C57">
      <w:pPr>
        <w:widowControl w:val="0"/>
        <w:spacing w:line="276" w:lineRule="auto"/>
        <w:jc w:val="center"/>
        <w:rPr>
          <w:rFonts w:ascii="Tahoma" w:hAnsi="Tahoma" w:cs="Tahoma"/>
        </w:rPr>
      </w:pPr>
      <w:r>
        <w:rPr>
          <w:rFonts w:ascii="Tahoma" w:hAnsi="Tahoma" w:cs="Tahoma"/>
        </w:rPr>
        <w:t>June 2021</w:t>
      </w:r>
    </w:p>
    <w:p w14:paraId="082D2F1F" w14:textId="77777777" w:rsidR="00E04C57" w:rsidRDefault="00E04C57" w:rsidP="00E04C57">
      <w:pPr>
        <w:ind w:right="15"/>
        <w:rPr>
          <w:rFonts w:ascii="Tahoma" w:hAnsi="Tahoma" w:cs="Tahoma"/>
          <w:sz w:val="20"/>
          <w:szCs w:val="20"/>
        </w:rPr>
      </w:pPr>
      <w:r>
        <w:rPr>
          <w:color w:val="000000"/>
          <w:sz w:val="24"/>
          <w:szCs w:val="24"/>
        </w:rPr>
        <w:br w:type="page"/>
      </w:r>
      <w:r>
        <w:rPr>
          <w:rFonts w:ascii="Tahoma" w:hAnsi="Tahoma" w:cs="Tahoma"/>
          <w:b/>
          <w:sz w:val="20"/>
        </w:rPr>
        <w:lastRenderedPageBreak/>
        <w:t>Human Rights Violations Based on Sexual Orientation and Gender Identity in Georgia</w:t>
      </w:r>
      <w:r w:rsidRPr="00C27516">
        <w:rPr>
          <w:rFonts w:ascii="Tahoma" w:hAnsi="Tahoma" w:cs="Tahoma"/>
          <w:b/>
          <w:sz w:val="20"/>
          <w:szCs w:val="20"/>
        </w:rPr>
        <w:t>.</w:t>
      </w:r>
      <w:r w:rsidRPr="00C27516">
        <w:rPr>
          <w:rFonts w:ascii="Tahoma" w:hAnsi="Tahoma" w:cs="Tahoma"/>
          <w:sz w:val="20"/>
          <w:szCs w:val="20"/>
        </w:rPr>
        <w:t xml:space="preserve">  </w:t>
      </w:r>
    </w:p>
    <w:p w14:paraId="5A967022" w14:textId="33FC452B" w:rsidR="00E04C57" w:rsidRPr="00E04C57" w:rsidRDefault="00E04C57" w:rsidP="00E04C57">
      <w:pPr>
        <w:ind w:right="15"/>
        <w:rPr>
          <w:rFonts w:ascii="Tahoma" w:hAnsi="Tahoma" w:cs="Tahoma"/>
          <w:sz w:val="20"/>
          <w:szCs w:val="20"/>
        </w:rPr>
      </w:pPr>
      <w:r w:rsidRPr="00C27516">
        <w:rPr>
          <w:rFonts w:ascii="Tahoma" w:hAnsi="Tahoma" w:cs="Tahoma"/>
          <w:sz w:val="20"/>
          <w:szCs w:val="20"/>
        </w:rPr>
        <w:t xml:space="preserve">An </w:t>
      </w:r>
      <w:r w:rsidRPr="00CC3894">
        <w:rPr>
          <w:rFonts w:ascii="Tahoma" w:hAnsi="Tahoma" w:cs="Tahoma"/>
          <w:sz w:val="20"/>
          <w:szCs w:val="20"/>
        </w:rPr>
        <w:t>“alternative</w:t>
      </w:r>
      <w:r w:rsidRPr="00CC3894">
        <w:rPr>
          <w:rFonts w:ascii="Tahoma" w:hAnsi="Tahoma" w:cs="Tahoma"/>
          <w:color w:val="000000"/>
          <w:sz w:val="20"/>
          <w:szCs w:val="20"/>
        </w:rPr>
        <w:t xml:space="preserve"> report</w:t>
      </w:r>
      <w:r w:rsidRPr="00CC3894">
        <w:rPr>
          <w:rFonts w:ascii="Tahoma" w:hAnsi="Tahoma" w:cs="Tahoma"/>
          <w:sz w:val="20"/>
          <w:szCs w:val="20"/>
        </w:rPr>
        <w:t xml:space="preserve">” </w:t>
      </w:r>
      <w:r>
        <w:rPr>
          <w:rFonts w:ascii="Tahoma" w:hAnsi="Tahoma" w:cs="Tahoma"/>
          <w:sz w:val="20"/>
          <w:szCs w:val="20"/>
        </w:rPr>
        <w:t>regarding Concluding Observations</w:t>
      </w:r>
      <w:r w:rsidRPr="00CC3894">
        <w:rPr>
          <w:rFonts w:ascii="Tahoma" w:hAnsi="Tahoma" w:cs="Tahoma"/>
          <w:sz w:val="20"/>
          <w:szCs w:val="20"/>
        </w:rPr>
        <w:t xml:space="preserve"> C</w:t>
      </w:r>
      <w:r>
        <w:rPr>
          <w:rFonts w:ascii="Tahoma" w:hAnsi="Tahoma" w:cs="Tahoma"/>
          <w:sz w:val="20"/>
          <w:szCs w:val="20"/>
        </w:rPr>
        <w:t>EDAW</w:t>
      </w:r>
      <w:r w:rsidRPr="00CC3894">
        <w:rPr>
          <w:rFonts w:ascii="Tahoma" w:hAnsi="Tahoma" w:cs="Tahoma"/>
          <w:sz w:val="20"/>
          <w:szCs w:val="20"/>
        </w:rPr>
        <w:t>/C/</w:t>
      </w:r>
      <w:r>
        <w:rPr>
          <w:rFonts w:ascii="Tahoma" w:hAnsi="Tahoma" w:cs="Tahoma"/>
          <w:sz w:val="20"/>
          <w:szCs w:val="20"/>
        </w:rPr>
        <w:t>GEO</w:t>
      </w:r>
      <w:r w:rsidRPr="00CC3894">
        <w:rPr>
          <w:rFonts w:ascii="Tahoma" w:hAnsi="Tahoma" w:cs="Tahoma"/>
          <w:sz w:val="20"/>
          <w:szCs w:val="20"/>
        </w:rPr>
        <w:t>/</w:t>
      </w:r>
      <w:r>
        <w:rPr>
          <w:rFonts w:ascii="Tahoma" w:hAnsi="Tahoma" w:cs="Tahoma"/>
          <w:sz w:val="20"/>
          <w:szCs w:val="20"/>
        </w:rPr>
        <w:t xml:space="preserve">4-5. </w:t>
      </w:r>
      <w:r w:rsidRPr="00E04C57">
        <w:rPr>
          <w:rFonts w:ascii="Tahoma" w:hAnsi="Tahoma" w:cs="Tahoma"/>
          <w:sz w:val="20"/>
          <w:szCs w:val="20"/>
        </w:rPr>
        <w:t>81</w:t>
      </w:r>
      <w:r w:rsidRPr="00E04C57">
        <w:rPr>
          <w:rFonts w:ascii="Tahoma" w:hAnsi="Tahoma" w:cs="Tahoma"/>
          <w:sz w:val="20"/>
          <w:szCs w:val="20"/>
          <w:vertAlign w:val="superscript"/>
        </w:rPr>
        <w:t>th</w:t>
      </w:r>
      <w:r w:rsidRPr="00E04C57">
        <w:rPr>
          <w:rFonts w:ascii="Tahoma" w:hAnsi="Tahoma" w:cs="Tahoma"/>
          <w:sz w:val="20"/>
          <w:szCs w:val="20"/>
        </w:rPr>
        <w:t xml:space="preserve"> Pre-Sessional Working Group </w:t>
      </w:r>
      <w:proofErr w:type="gramStart"/>
      <w:r>
        <w:rPr>
          <w:rFonts w:ascii="Tahoma" w:hAnsi="Tahoma" w:cs="Tahoma"/>
          <w:sz w:val="20"/>
          <w:szCs w:val="20"/>
        </w:rPr>
        <w:t>of  the</w:t>
      </w:r>
      <w:proofErr w:type="gramEnd"/>
      <w:r>
        <w:rPr>
          <w:rFonts w:ascii="Tahoma" w:hAnsi="Tahoma" w:cs="Tahoma"/>
          <w:sz w:val="20"/>
          <w:szCs w:val="20"/>
        </w:rPr>
        <w:t xml:space="preserve"> </w:t>
      </w:r>
      <w:r w:rsidRPr="00E04C57">
        <w:rPr>
          <w:rFonts w:ascii="Tahoma" w:hAnsi="Tahoma" w:cs="Tahoma"/>
          <w:color w:val="000000"/>
          <w:sz w:val="20"/>
          <w:szCs w:val="20"/>
        </w:rPr>
        <w:t>Committee on the Elimination of Discrimination Against Women</w:t>
      </w:r>
      <w:r w:rsidRPr="00E04C57">
        <w:rPr>
          <w:rFonts w:ascii="Tahoma" w:hAnsi="Tahoma" w:cs="Tahoma"/>
          <w:sz w:val="20"/>
          <w:szCs w:val="20"/>
        </w:rPr>
        <w:t>.</w:t>
      </w:r>
    </w:p>
    <w:p w14:paraId="5858BA17" w14:textId="77777777" w:rsidR="00E04C57" w:rsidRPr="00CC3894" w:rsidRDefault="00E04C57" w:rsidP="00E04C57">
      <w:pPr>
        <w:ind w:right="15"/>
        <w:jc w:val="center"/>
        <w:rPr>
          <w:rFonts w:ascii="Tahoma" w:hAnsi="Tahoma" w:cs="Tahoma"/>
        </w:rPr>
      </w:pPr>
    </w:p>
    <w:p w14:paraId="5EE7FA37" w14:textId="77777777" w:rsidR="00E04C57" w:rsidRDefault="00E04C57" w:rsidP="00E04C57">
      <w:pPr>
        <w:ind w:right="15"/>
        <w:rPr>
          <w:rFonts w:ascii="Tahoma" w:hAnsi="Tahoma" w:cs="Tahoma"/>
          <w:sz w:val="20"/>
          <w:szCs w:val="24"/>
        </w:rPr>
      </w:pPr>
    </w:p>
    <w:p w14:paraId="04770579" w14:textId="77777777" w:rsidR="00E04C57" w:rsidRDefault="00E04C57" w:rsidP="00E04C57">
      <w:pPr>
        <w:rPr>
          <w:rFonts w:ascii="Tahoma" w:hAnsi="Tahoma" w:cs="Tahoma"/>
          <w:sz w:val="20"/>
          <w:szCs w:val="24"/>
        </w:rPr>
      </w:pPr>
    </w:p>
    <w:tbl>
      <w:tblPr>
        <w:tblStyle w:val="TableGrid"/>
        <w:tblW w:w="5000" w:type="pct"/>
        <w:tblLook w:val="04A0" w:firstRow="1" w:lastRow="0" w:firstColumn="1" w:lastColumn="0" w:noHBand="0" w:noVBand="1"/>
      </w:tblPr>
      <w:tblGrid>
        <w:gridCol w:w="4605"/>
        <w:gridCol w:w="5029"/>
      </w:tblGrid>
      <w:tr w:rsidR="00E04C57" w14:paraId="3A070434" w14:textId="77777777" w:rsidTr="00596284">
        <w:tc>
          <w:tcPr>
            <w:tcW w:w="4608" w:type="dxa"/>
            <w:tcBorders>
              <w:top w:val="nil"/>
              <w:left w:val="nil"/>
              <w:bottom w:val="nil"/>
              <w:right w:val="nil"/>
            </w:tcBorders>
            <w:shd w:val="clear" w:color="auto" w:fill="auto"/>
          </w:tcPr>
          <w:p w14:paraId="65199F3D" w14:textId="77777777" w:rsidR="00E04C57" w:rsidRPr="00837D82" w:rsidRDefault="00E04C57" w:rsidP="00596284">
            <w:pPr>
              <w:jc w:val="both"/>
              <w:rPr>
                <w:rFonts w:ascii="Tahoma" w:hAnsi="Tahoma" w:cs="Tahoma"/>
                <w:sz w:val="20"/>
              </w:rPr>
            </w:pPr>
            <w:r w:rsidRPr="00837D82">
              <w:rPr>
                <w:rFonts w:ascii="Tahoma" w:hAnsi="Tahoma" w:cs="Tahoma"/>
                <w:b/>
                <w:sz w:val="20"/>
              </w:rPr>
              <w:t>ECOM</w:t>
            </w:r>
            <w:r w:rsidRPr="00837D82">
              <w:rPr>
                <w:rFonts w:ascii="Tahoma" w:hAnsi="Tahoma" w:cs="Tahoma"/>
                <w:sz w:val="20"/>
              </w:rPr>
              <w:t xml:space="preserve"> - </w:t>
            </w:r>
            <w:r w:rsidRPr="00E04C57">
              <w:rPr>
                <w:rFonts w:ascii="Tahoma" w:hAnsi="Tahoma" w:cs="Tahoma"/>
                <w:b/>
                <w:bCs/>
                <w:sz w:val="20"/>
              </w:rPr>
              <w:t>Eurasian Coalition on Health, Rights, Gender and Sexual Diversity</w:t>
            </w:r>
          </w:p>
          <w:p w14:paraId="22FECE6A" w14:textId="77777777" w:rsidR="00E04C57" w:rsidRPr="00837D82" w:rsidRDefault="00521541" w:rsidP="00596284">
            <w:pPr>
              <w:jc w:val="both"/>
            </w:pPr>
            <w:hyperlink r:id="rId10">
              <w:r w:rsidR="00E04C57" w:rsidRPr="00837D82">
                <w:rPr>
                  <w:rStyle w:val="InternetLink"/>
                  <w:rFonts w:ascii="Tahoma" w:hAnsi="Tahoma" w:cs="Tahoma"/>
                  <w:sz w:val="20"/>
                </w:rPr>
                <w:t>www.ecom.ngo</w:t>
              </w:r>
            </w:hyperlink>
          </w:p>
          <w:p w14:paraId="24417786" w14:textId="77777777" w:rsidR="00E04C57" w:rsidRPr="00837D82" w:rsidRDefault="00E04C57" w:rsidP="00596284">
            <w:pPr>
              <w:jc w:val="both"/>
              <w:rPr>
                <w:rFonts w:ascii="Tahoma" w:hAnsi="Tahoma" w:cs="Tahoma"/>
                <w:sz w:val="20"/>
                <w:szCs w:val="24"/>
              </w:rPr>
            </w:pPr>
            <w:r w:rsidRPr="00837D82">
              <w:rPr>
                <w:rFonts w:ascii="Tahoma" w:hAnsi="Tahoma" w:cs="Tahoma"/>
                <w:sz w:val="20"/>
                <w:szCs w:val="24"/>
              </w:rPr>
              <w:t xml:space="preserve">Contact: Yuri Yoursky </w:t>
            </w:r>
          </w:p>
          <w:p w14:paraId="7E93204D" w14:textId="77777777" w:rsidR="00E04C57" w:rsidRPr="00837D82" w:rsidRDefault="00521541" w:rsidP="00596284">
            <w:pPr>
              <w:jc w:val="both"/>
            </w:pPr>
            <w:hyperlink r:id="rId11">
              <w:r w:rsidR="00E04C57" w:rsidRPr="00837D82">
                <w:rPr>
                  <w:rStyle w:val="InternetLink"/>
                  <w:rFonts w:ascii="Tahoma" w:hAnsi="Tahoma" w:cs="Tahoma"/>
                  <w:sz w:val="20"/>
                  <w:szCs w:val="24"/>
                </w:rPr>
                <w:t>yuri@ecom.ngo</w:t>
              </w:r>
            </w:hyperlink>
          </w:p>
          <w:p w14:paraId="6D4B14E5" w14:textId="77777777" w:rsidR="00E04C57" w:rsidRPr="00837D82" w:rsidRDefault="00E04C57" w:rsidP="00596284">
            <w:pPr>
              <w:jc w:val="both"/>
              <w:rPr>
                <w:rFonts w:ascii="Tahoma" w:hAnsi="Tahoma" w:cs="Tahoma"/>
                <w:b/>
                <w:sz w:val="20"/>
                <w:szCs w:val="24"/>
              </w:rPr>
            </w:pPr>
            <w:r w:rsidRPr="00837D82">
              <w:rPr>
                <w:rFonts w:ascii="Tahoma" w:hAnsi="Tahoma" w:cs="Tahoma"/>
                <w:b/>
                <w:sz w:val="20"/>
                <w:szCs w:val="24"/>
              </w:rPr>
              <w:t xml:space="preserve"> </w:t>
            </w:r>
          </w:p>
          <w:p w14:paraId="746D76D2" w14:textId="77777777" w:rsidR="00E04C57" w:rsidRPr="00837D82" w:rsidRDefault="00E04C57" w:rsidP="00596284">
            <w:pPr>
              <w:jc w:val="both"/>
              <w:rPr>
                <w:rFonts w:ascii="Tahoma" w:hAnsi="Tahoma" w:cs="Tahoma"/>
                <w:b/>
                <w:sz w:val="20"/>
                <w:szCs w:val="24"/>
              </w:rPr>
            </w:pPr>
          </w:p>
          <w:p w14:paraId="26744A34" w14:textId="77777777" w:rsidR="00E04C57" w:rsidRPr="00837D82" w:rsidRDefault="00E04C57" w:rsidP="00596284">
            <w:pPr>
              <w:jc w:val="both"/>
              <w:rPr>
                <w:rFonts w:ascii="Tahoma" w:hAnsi="Tahoma" w:cs="Tahoma"/>
                <w:sz w:val="20"/>
                <w:szCs w:val="24"/>
              </w:rPr>
            </w:pPr>
          </w:p>
        </w:tc>
        <w:tc>
          <w:tcPr>
            <w:tcW w:w="5031" w:type="dxa"/>
            <w:tcBorders>
              <w:top w:val="nil"/>
              <w:left w:val="nil"/>
              <w:bottom w:val="nil"/>
              <w:right w:val="nil"/>
            </w:tcBorders>
            <w:shd w:val="clear" w:color="auto" w:fill="auto"/>
          </w:tcPr>
          <w:p w14:paraId="564F86BB" w14:textId="1D2FC904" w:rsidR="00E04C57" w:rsidRPr="00410AB7" w:rsidRDefault="00E04C57" w:rsidP="00596284">
            <w:pPr>
              <w:ind w:left="393"/>
              <w:rPr>
                <w:rFonts w:ascii="Tahoma" w:hAnsi="Tahoma" w:cs="Tahoma"/>
                <w:sz w:val="20"/>
                <w:szCs w:val="20"/>
              </w:rPr>
            </w:pPr>
            <w:r w:rsidRPr="00410AB7">
              <w:rPr>
                <w:rFonts w:ascii="Tahoma" w:hAnsi="Tahoma" w:cs="Tahoma"/>
                <w:b/>
                <w:bCs/>
                <w:sz w:val="20"/>
                <w:szCs w:val="20"/>
              </w:rPr>
              <w:t>Queer Association</w:t>
            </w:r>
            <w:r w:rsidRPr="00410AB7">
              <w:rPr>
                <w:rFonts w:ascii="Tahoma" w:hAnsi="Tahoma" w:cs="Tahoma"/>
                <w:sz w:val="20"/>
                <w:szCs w:val="20"/>
              </w:rPr>
              <w:t xml:space="preserve"> “</w:t>
            </w:r>
            <w:r w:rsidRPr="00410AB7">
              <w:rPr>
                <w:rFonts w:ascii="Tahoma" w:hAnsi="Tahoma" w:cs="Tahoma"/>
                <w:b/>
                <w:sz w:val="20"/>
                <w:szCs w:val="20"/>
              </w:rPr>
              <w:t>TEMIDA"</w:t>
            </w:r>
            <w:r w:rsidRPr="00410AB7">
              <w:rPr>
                <w:rFonts w:ascii="Tahoma" w:hAnsi="Tahoma" w:cs="Tahoma"/>
                <w:sz w:val="20"/>
                <w:szCs w:val="20"/>
              </w:rPr>
              <w:t xml:space="preserve"> </w:t>
            </w:r>
            <w:r w:rsidRPr="00410AB7">
              <w:rPr>
                <w:rFonts w:ascii="Tahoma" w:hAnsi="Tahoma" w:cs="Tahoma"/>
                <w:sz w:val="20"/>
                <w:szCs w:val="20"/>
              </w:rPr>
              <w:br/>
              <w:t>www.</w:t>
            </w:r>
            <w:r w:rsidR="00714DBF" w:rsidRPr="00410AB7">
              <w:rPr>
                <w:rFonts w:ascii="Tahoma" w:hAnsi="Tahoma" w:cs="Tahoma"/>
                <w:sz w:val="20"/>
                <w:szCs w:val="20"/>
              </w:rPr>
              <w:t>temida.org.ge</w:t>
            </w:r>
          </w:p>
          <w:p w14:paraId="43F0859B" w14:textId="77777777" w:rsidR="00E04C57" w:rsidRPr="00410AB7" w:rsidRDefault="00E04C57" w:rsidP="00596284">
            <w:pPr>
              <w:ind w:left="393"/>
              <w:rPr>
                <w:rFonts w:ascii="Tahoma" w:hAnsi="Tahoma" w:cs="Tahoma"/>
                <w:sz w:val="20"/>
                <w:szCs w:val="20"/>
              </w:rPr>
            </w:pPr>
            <w:r w:rsidRPr="00410AB7">
              <w:rPr>
                <w:rFonts w:ascii="Tahoma" w:hAnsi="Tahoma" w:cs="Tahoma"/>
                <w:sz w:val="20"/>
                <w:szCs w:val="20"/>
                <w:lang w:val="en-GB"/>
              </w:rPr>
              <w:t>Tbilisi, Georgia</w:t>
            </w:r>
          </w:p>
          <w:p w14:paraId="7D4264B2" w14:textId="28C1FEC2" w:rsidR="00E04C57" w:rsidRPr="00410AB7" w:rsidRDefault="00E04C57" w:rsidP="00596284">
            <w:pPr>
              <w:ind w:left="393"/>
              <w:jc w:val="both"/>
              <w:rPr>
                <w:rFonts w:ascii="Tahoma" w:hAnsi="Tahoma" w:cs="Tahoma"/>
                <w:sz w:val="20"/>
                <w:szCs w:val="20"/>
              </w:rPr>
            </w:pPr>
            <w:r w:rsidRPr="00410AB7">
              <w:rPr>
                <w:rFonts w:ascii="Tahoma" w:hAnsi="Tahoma" w:cs="Tahoma"/>
                <w:sz w:val="20"/>
                <w:szCs w:val="20"/>
              </w:rPr>
              <w:t xml:space="preserve">Contact: </w:t>
            </w:r>
            <w:proofErr w:type="spellStart"/>
            <w:r w:rsidR="00714DBF" w:rsidRPr="00410AB7">
              <w:rPr>
                <w:rFonts w:ascii="Tahoma" w:hAnsi="Tahoma" w:cs="Tahoma"/>
                <w:sz w:val="20"/>
                <w:szCs w:val="20"/>
              </w:rPr>
              <w:t>Beka</w:t>
            </w:r>
            <w:proofErr w:type="spellEnd"/>
            <w:r w:rsidR="00714DBF" w:rsidRPr="00410AB7">
              <w:rPr>
                <w:rFonts w:ascii="Tahoma" w:hAnsi="Tahoma" w:cs="Tahoma"/>
                <w:sz w:val="20"/>
                <w:szCs w:val="20"/>
              </w:rPr>
              <w:t xml:space="preserve"> </w:t>
            </w:r>
            <w:proofErr w:type="spellStart"/>
            <w:r w:rsidR="00714DBF" w:rsidRPr="00410AB7">
              <w:rPr>
                <w:rFonts w:ascii="Tahoma" w:hAnsi="Tahoma" w:cs="Tahoma"/>
                <w:sz w:val="20"/>
                <w:szCs w:val="20"/>
              </w:rPr>
              <w:t>Gabadadze</w:t>
            </w:r>
            <w:proofErr w:type="spellEnd"/>
          </w:p>
          <w:p w14:paraId="35573204" w14:textId="4929964D" w:rsidR="00714DBF" w:rsidRPr="00410AB7" w:rsidRDefault="00714DBF" w:rsidP="00596284">
            <w:pPr>
              <w:ind w:left="393"/>
              <w:jc w:val="both"/>
              <w:rPr>
                <w:rFonts w:ascii="Tahoma" w:hAnsi="Tahoma" w:cs="Tahoma"/>
                <w:sz w:val="20"/>
                <w:szCs w:val="20"/>
              </w:rPr>
            </w:pPr>
            <w:r w:rsidRPr="00410AB7">
              <w:rPr>
                <w:rFonts w:ascii="Tahoma" w:hAnsi="Tahoma" w:cs="Tahoma"/>
                <w:sz w:val="20"/>
                <w:szCs w:val="20"/>
              </w:rPr>
              <w:t>Beka.civic@yahoo.com</w:t>
            </w:r>
          </w:p>
          <w:p w14:paraId="53568A5D" w14:textId="77777777" w:rsidR="00E04C57" w:rsidRPr="00E04C57" w:rsidRDefault="00E04C57" w:rsidP="00E04C57">
            <w:pPr>
              <w:ind w:left="393"/>
              <w:jc w:val="both"/>
              <w:rPr>
                <w:rFonts w:ascii="Tahoma" w:hAnsi="Tahoma" w:cs="Tahoma"/>
                <w:b/>
                <w:sz w:val="20"/>
                <w:szCs w:val="24"/>
                <w:highlight w:val="yellow"/>
              </w:rPr>
            </w:pPr>
          </w:p>
        </w:tc>
      </w:tr>
    </w:tbl>
    <w:p w14:paraId="00000001" w14:textId="3A390061" w:rsidR="00E04C57" w:rsidRDefault="00E04C57">
      <w:pPr>
        <w:rPr>
          <w:color w:val="000000"/>
          <w:sz w:val="24"/>
          <w:szCs w:val="24"/>
        </w:rPr>
      </w:pPr>
    </w:p>
    <w:p w14:paraId="2A42622E" w14:textId="5BC2C105" w:rsidR="00E04C57" w:rsidRDefault="00E04C57">
      <w:pPr>
        <w:rPr>
          <w:color w:val="000000"/>
          <w:sz w:val="24"/>
          <w:szCs w:val="24"/>
        </w:rPr>
      </w:pPr>
      <w:r>
        <w:rPr>
          <w:color w:val="000000"/>
          <w:sz w:val="24"/>
          <w:szCs w:val="24"/>
        </w:rPr>
        <w:br w:type="page"/>
      </w:r>
    </w:p>
    <w:p w14:paraId="00000032" w14:textId="56E9115F" w:rsidR="00CB604F" w:rsidRDefault="00CB604F">
      <w:pPr>
        <w:widowControl w:val="0"/>
        <w:pBdr>
          <w:top w:val="nil"/>
          <w:left w:val="nil"/>
          <w:bottom w:val="nil"/>
          <w:right w:val="nil"/>
          <w:between w:val="nil"/>
        </w:pBdr>
        <w:spacing w:line="276" w:lineRule="auto"/>
        <w:sectPr w:rsidR="00CB604F">
          <w:headerReference w:type="default" r:id="rId12"/>
          <w:headerReference w:type="first" r:id="rId13"/>
          <w:pgSz w:w="11900" w:h="16841"/>
          <w:pgMar w:top="650" w:right="1126" w:bottom="567" w:left="1140" w:header="0" w:footer="0" w:gutter="0"/>
          <w:pgNumType w:start="1"/>
          <w:cols w:space="720"/>
          <w:titlePg/>
        </w:sectPr>
      </w:pPr>
    </w:p>
    <w:p w14:paraId="00000033" w14:textId="77777777" w:rsidR="002019BA" w:rsidRDefault="002019BA">
      <w:pPr>
        <w:sectPr w:rsidR="002019BA">
          <w:type w:val="continuous"/>
          <w:pgSz w:w="11900" w:h="16841"/>
          <w:pgMar w:top="650" w:right="1126" w:bottom="567" w:left="1140" w:header="0" w:footer="0" w:gutter="0"/>
          <w:cols w:space="720"/>
        </w:sectPr>
      </w:pPr>
    </w:p>
    <w:p w14:paraId="00000034" w14:textId="77777777" w:rsidR="002019BA" w:rsidRPr="00410AB7" w:rsidRDefault="00F30E65">
      <w:pPr>
        <w:rPr>
          <w:rFonts w:ascii="Tahoma" w:hAnsi="Tahoma" w:cs="Tahoma"/>
          <w:color w:val="000000"/>
          <w:sz w:val="21"/>
          <w:szCs w:val="21"/>
          <w:lang w:val="en-GB"/>
        </w:rPr>
      </w:pPr>
      <w:r w:rsidRPr="00410AB7">
        <w:rPr>
          <w:rFonts w:ascii="Tahoma" w:hAnsi="Tahoma" w:cs="Tahoma"/>
          <w:b/>
          <w:color w:val="000000"/>
          <w:sz w:val="21"/>
          <w:szCs w:val="21"/>
          <w:lang w:val="en-GB"/>
        </w:rPr>
        <w:t>Introduction</w:t>
      </w:r>
    </w:p>
    <w:p w14:paraId="00000039"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3A" w14:textId="54AF5F18"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In its Concluding Observations CEDAW/C/GEO/CO/4-5 (hereinafter, CO), among other issues, the Committee raised concerns about the physical violence and harassment faced by lesbian, bisexual and trans</w:t>
      </w:r>
      <w:r w:rsidR="009648B6" w:rsidRPr="00410AB7">
        <w:rPr>
          <w:rFonts w:ascii="Tahoma" w:hAnsi="Tahoma" w:cs="Tahoma"/>
          <w:sz w:val="20"/>
          <w:szCs w:val="20"/>
          <w:lang w:val="en-GB"/>
        </w:rPr>
        <w:t>gender</w:t>
      </w:r>
      <w:r w:rsidRPr="00410AB7">
        <w:rPr>
          <w:rFonts w:ascii="Tahoma" w:hAnsi="Tahoma" w:cs="Tahoma"/>
          <w:sz w:val="20"/>
          <w:szCs w:val="20"/>
          <w:lang w:val="en-GB"/>
        </w:rPr>
        <w:t xml:space="preserve"> women and restrictions on obtaining identity documents for transgender persons (CO № 34 (e)). Consequently, the Committee advised that Georgia took measures to address violence and harassment of lesbia</w:t>
      </w:r>
      <w:r w:rsidR="009648B6" w:rsidRPr="00410AB7">
        <w:rPr>
          <w:rFonts w:ascii="Tahoma" w:hAnsi="Tahoma" w:cs="Tahoma"/>
          <w:sz w:val="20"/>
          <w:szCs w:val="20"/>
          <w:lang w:val="en-GB"/>
        </w:rPr>
        <w:t>n,</w:t>
      </w:r>
      <w:r w:rsidRPr="00410AB7">
        <w:rPr>
          <w:rFonts w:ascii="Tahoma" w:hAnsi="Tahoma" w:cs="Tahoma"/>
          <w:sz w:val="20"/>
          <w:szCs w:val="20"/>
          <w:lang w:val="en-GB"/>
        </w:rPr>
        <w:t xml:space="preserve"> bisexual and trans</w:t>
      </w:r>
      <w:r w:rsidR="009648B6" w:rsidRPr="00410AB7">
        <w:rPr>
          <w:rFonts w:ascii="Tahoma" w:hAnsi="Tahoma" w:cs="Tahoma"/>
          <w:sz w:val="20"/>
          <w:szCs w:val="20"/>
          <w:lang w:val="en-GB"/>
        </w:rPr>
        <w:t>gender</w:t>
      </w:r>
      <w:r w:rsidRPr="00410AB7">
        <w:rPr>
          <w:rFonts w:ascii="Tahoma" w:hAnsi="Tahoma" w:cs="Tahoma"/>
          <w:sz w:val="20"/>
          <w:szCs w:val="20"/>
          <w:lang w:val="en-GB"/>
        </w:rPr>
        <w:t xml:space="preserve"> women and to abolish restrictions for transgender persons with regard to obtaining identity documents. These concluding observations reflect the neglected and actively discriminated state of affairs that non-heterosexual and non-cisgender women face in Georgia on a daily basis: when it comes to healthcare, privacy, bodily integrity, and a sleuth of other natural, social, and political rights. </w:t>
      </w:r>
    </w:p>
    <w:p w14:paraId="0000003B"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3C" w14:textId="0394D007"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Before providing our alternative commentary and report on the above-mentioned issues of the reality of being a non-heterosexual, non-cisgender female in </w:t>
      </w:r>
      <w:r w:rsidR="009648B6" w:rsidRPr="00410AB7">
        <w:rPr>
          <w:rFonts w:ascii="Tahoma" w:hAnsi="Tahoma" w:cs="Tahoma"/>
          <w:sz w:val="20"/>
          <w:szCs w:val="20"/>
          <w:lang w:val="en-GB"/>
        </w:rPr>
        <w:t>G</w:t>
      </w:r>
      <w:r w:rsidRPr="00410AB7">
        <w:rPr>
          <w:rFonts w:ascii="Tahoma" w:hAnsi="Tahoma" w:cs="Tahoma"/>
          <w:sz w:val="20"/>
          <w:szCs w:val="20"/>
          <w:lang w:val="en-GB"/>
        </w:rPr>
        <w:t xml:space="preserve">eorgia, “ECOM - Eurasian </w:t>
      </w:r>
      <w:r w:rsidR="00410AB7" w:rsidRPr="00410AB7">
        <w:rPr>
          <w:rFonts w:ascii="Tahoma" w:hAnsi="Tahoma" w:cs="Tahoma"/>
          <w:sz w:val="20"/>
          <w:szCs w:val="20"/>
          <w:lang w:val="en-GB"/>
        </w:rPr>
        <w:t>Coalition</w:t>
      </w:r>
      <w:r w:rsidRPr="00410AB7">
        <w:rPr>
          <w:rFonts w:ascii="Tahoma" w:hAnsi="Tahoma" w:cs="Tahoma"/>
          <w:sz w:val="20"/>
          <w:szCs w:val="20"/>
          <w:lang w:val="en-GB"/>
        </w:rPr>
        <w:t xml:space="preserve"> on Health, Rights, Gender and Sexual Diversity) (hereinafter, ECOM) </w:t>
      </w:r>
      <w:r w:rsidR="00596235" w:rsidRPr="00410AB7">
        <w:rPr>
          <w:rFonts w:ascii="Tahoma" w:hAnsi="Tahoma" w:cs="Tahoma"/>
          <w:sz w:val="20"/>
          <w:szCs w:val="20"/>
          <w:lang w:val="en-GB"/>
        </w:rPr>
        <w:t xml:space="preserve">and Queer Association TEMIDA (hereinafter, TEMIDA) </w:t>
      </w:r>
      <w:r w:rsidRPr="00410AB7">
        <w:rPr>
          <w:rFonts w:ascii="Tahoma" w:hAnsi="Tahoma" w:cs="Tahoma"/>
          <w:sz w:val="20"/>
          <w:szCs w:val="20"/>
          <w:lang w:val="en-GB"/>
        </w:rPr>
        <w:t xml:space="preserve">would like to emphasise that it understands the difficulties that Georgia faces on its path to becoming a free, democratic, progressive, legal, and social state. ECOM is aware of the economic, legal, political, and other challenges Georgia encounters on this path and while having to realize the recommendations set forth by various UN Human Rights Treaties Bodies, including those of the present Committee. Likewise, ECOM is understanding of the aftermath of the COVID-19 pandemic places on various national and regional programs and human rights developments in Georgia. Therefore, we are well aware that it is challenging for the government to observe all human rights areas in its country because of the financial, human, and mental resources that have to be dedicated to effectively tend to the Committee’s recommendations and requests. ECOM is a regional NGO that works with gay men and trans people, specifically in the area of ensuring their right to health. </w:t>
      </w:r>
      <w:r w:rsidR="00596235" w:rsidRPr="00410AB7">
        <w:rPr>
          <w:rFonts w:ascii="Tahoma" w:hAnsi="Tahoma" w:cs="Tahoma"/>
          <w:sz w:val="20"/>
          <w:szCs w:val="20"/>
          <w:lang w:val="en-GB"/>
        </w:rPr>
        <w:t xml:space="preserve">Queer Association – TEMIDA is trans led community organization. TEMIDA is a vocal voice of transgender community that working on empowering trans people. The organization advocating trans competent healthcare and helping most vulnerable community members to communicate public and private sector to depend their rights. </w:t>
      </w:r>
      <w:r w:rsidRPr="00410AB7">
        <w:rPr>
          <w:rFonts w:ascii="Tahoma" w:hAnsi="Tahoma" w:cs="Tahoma"/>
          <w:sz w:val="20"/>
          <w:szCs w:val="20"/>
          <w:lang w:val="en-GB"/>
        </w:rPr>
        <w:t xml:space="preserve">Thus, ECOM </w:t>
      </w:r>
      <w:r w:rsidR="00596235" w:rsidRPr="00410AB7">
        <w:rPr>
          <w:rFonts w:ascii="Tahoma" w:hAnsi="Tahoma" w:cs="Tahoma"/>
          <w:sz w:val="20"/>
          <w:szCs w:val="20"/>
          <w:lang w:val="en-GB"/>
        </w:rPr>
        <w:t xml:space="preserve">and TEMIDA </w:t>
      </w:r>
      <w:r w:rsidRPr="00410AB7">
        <w:rPr>
          <w:rFonts w:ascii="Tahoma" w:hAnsi="Tahoma" w:cs="Tahoma"/>
          <w:sz w:val="20"/>
          <w:szCs w:val="20"/>
          <w:lang w:val="en-GB"/>
        </w:rPr>
        <w:t>ha</w:t>
      </w:r>
      <w:r w:rsidR="00596235" w:rsidRPr="00410AB7">
        <w:rPr>
          <w:rFonts w:ascii="Tahoma" w:hAnsi="Tahoma" w:cs="Tahoma"/>
          <w:sz w:val="20"/>
          <w:szCs w:val="20"/>
          <w:lang w:val="en-GB"/>
        </w:rPr>
        <w:t>ve</w:t>
      </w:r>
      <w:r w:rsidRPr="00410AB7">
        <w:rPr>
          <w:rFonts w:ascii="Tahoma" w:hAnsi="Tahoma" w:cs="Tahoma"/>
          <w:sz w:val="20"/>
          <w:szCs w:val="20"/>
          <w:lang w:val="en-GB"/>
        </w:rPr>
        <w:t xml:space="preserve"> profound experience and competence in revealing disparities in state services pertaining to those social groups and in developing professional recommendations to amend them. ECOM also possesses the necessary knowledge that the general civil servants may lack due to not having the appropriate training to work with these marginalised groups, particularly when it comes to trans </w:t>
      </w:r>
      <w:r w:rsidR="00596235" w:rsidRPr="00410AB7">
        <w:rPr>
          <w:rFonts w:ascii="Tahoma" w:hAnsi="Tahoma" w:cs="Tahoma"/>
          <w:sz w:val="20"/>
          <w:szCs w:val="20"/>
          <w:lang w:val="en-GB"/>
        </w:rPr>
        <w:t>people</w:t>
      </w:r>
      <w:r w:rsidRPr="00410AB7">
        <w:rPr>
          <w:rFonts w:ascii="Tahoma" w:hAnsi="Tahoma" w:cs="Tahoma"/>
          <w:sz w:val="20"/>
          <w:szCs w:val="20"/>
          <w:lang w:val="en-GB"/>
        </w:rPr>
        <w:t xml:space="preserve">. Consequently, the following commentary and reports on the right to health of trans </w:t>
      </w:r>
      <w:r w:rsidR="00596235" w:rsidRPr="00410AB7">
        <w:rPr>
          <w:rFonts w:ascii="Tahoma" w:hAnsi="Tahoma" w:cs="Tahoma"/>
          <w:sz w:val="20"/>
          <w:szCs w:val="20"/>
          <w:lang w:val="en-GB"/>
        </w:rPr>
        <w:t>people</w:t>
      </w:r>
      <w:r w:rsidRPr="00410AB7">
        <w:rPr>
          <w:rFonts w:ascii="Tahoma" w:hAnsi="Tahoma" w:cs="Tahoma"/>
          <w:sz w:val="20"/>
          <w:szCs w:val="20"/>
          <w:lang w:val="en-GB"/>
        </w:rPr>
        <w:t xml:space="preserve"> in Georgia are forwarded by ECOM</w:t>
      </w:r>
      <w:r w:rsidR="00596235" w:rsidRPr="00410AB7">
        <w:rPr>
          <w:rFonts w:ascii="Tahoma" w:hAnsi="Tahoma" w:cs="Tahoma"/>
          <w:sz w:val="20"/>
          <w:szCs w:val="20"/>
          <w:lang w:val="en-GB"/>
        </w:rPr>
        <w:t xml:space="preserve"> and TEMIDA</w:t>
      </w:r>
      <w:r w:rsidRPr="00410AB7">
        <w:rPr>
          <w:rFonts w:ascii="Tahoma" w:hAnsi="Tahoma" w:cs="Tahoma"/>
          <w:sz w:val="20"/>
          <w:szCs w:val="20"/>
          <w:lang w:val="en-GB"/>
        </w:rPr>
        <w:t xml:space="preserve"> in the hopes to participate in alleviating the burden that they face on the State Party’s territory due to the ongoing lack of understanding of this marginalised group by the government and the general public, and because of the absent legal mechanisms that would decrease discrimination and stigma that targets them, which hinders their integration into Georgian society and raising the quality of their lives. </w:t>
      </w:r>
    </w:p>
    <w:p w14:paraId="0000003D" w14:textId="20109938" w:rsidR="002019BA" w:rsidRPr="00410AB7" w:rsidRDefault="002019BA">
      <w:pPr>
        <w:tabs>
          <w:tab w:val="left" w:pos="1689"/>
        </w:tabs>
        <w:spacing w:line="246" w:lineRule="auto"/>
        <w:ind w:right="826"/>
        <w:jc w:val="both"/>
        <w:rPr>
          <w:rFonts w:ascii="Tahoma" w:hAnsi="Tahoma" w:cs="Tahoma"/>
          <w:sz w:val="20"/>
          <w:szCs w:val="20"/>
          <w:lang w:val="en-GB"/>
        </w:rPr>
      </w:pPr>
    </w:p>
    <w:p w14:paraId="0000003E" w14:textId="09C06246"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 As an NGO that works to ensure equality and non-discrimination of trans women, and to ensure full realisation of their right to health, ECOM </w:t>
      </w:r>
      <w:r w:rsidR="00596235" w:rsidRPr="00410AB7">
        <w:rPr>
          <w:rFonts w:ascii="Tahoma" w:hAnsi="Tahoma" w:cs="Tahoma"/>
          <w:sz w:val="20"/>
          <w:szCs w:val="20"/>
          <w:lang w:val="en-GB"/>
        </w:rPr>
        <w:t xml:space="preserve">and TEMIDA </w:t>
      </w:r>
      <w:r w:rsidRPr="00410AB7">
        <w:rPr>
          <w:rFonts w:ascii="Tahoma" w:hAnsi="Tahoma" w:cs="Tahoma"/>
          <w:sz w:val="20"/>
          <w:szCs w:val="20"/>
          <w:lang w:val="en-GB"/>
        </w:rPr>
        <w:t>commend</w:t>
      </w:r>
      <w:r w:rsidR="00596235" w:rsidRPr="00410AB7">
        <w:rPr>
          <w:rFonts w:ascii="Tahoma" w:hAnsi="Tahoma" w:cs="Tahoma"/>
          <w:sz w:val="20"/>
          <w:szCs w:val="20"/>
          <w:lang w:val="en-GB"/>
        </w:rPr>
        <w:t xml:space="preserve"> </w:t>
      </w:r>
      <w:r w:rsidRPr="00410AB7">
        <w:rPr>
          <w:rFonts w:ascii="Tahoma" w:hAnsi="Tahoma" w:cs="Tahoma"/>
          <w:sz w:val="20"/>
          <w:szCs w:val="20"/>
          <w:lang w:val="en-GB"/>
        </w:rPr>
        <w:t>Georgia on several monumental achievements it made within its legislation. First of all, the adoption of the Law “On the Elimination of All Forms of Discrimination” (Anti-Discrimination Act) in 2014 with consequential amendments was a huge step towards laying the right foundation for ensuring the equality of all people regardless of their social, economic, political, religious, or biological attributes. Article 1 of the Anti-Discrimination Act, among other grounds, prohibits discrimination based on sexual orientation, gender identity and expression. Out of all the EECA countries, only Georgia and North Macedonia are the only ones that adopted such major laws</w:t>
      </w:r>
      <w:r w:rsidRPr="00410AB7">
        <w:rPr>
          <w:rFonts w:ascii="Tahoma" w:hAnsi="Tahoma" w:cs="Tahoma"/>
          <w:sz w:val="20"/>
          <w:szCs w:val="20"/>
          <w:vertAlign w:val="superscript"/>
          <w:lang w:val="en-GB"/>
        </w:rPr>
        <w:footnoteReference w:id="1"/>
      </w:r>
      <w:r w:rsidRPr="00410AB7">
        <w:rPr>
          <w:rFonts w:ascii="Tahoma" w:hAnsi="Tahoma" w:cs="Tahoma"/>
          <w:sz w:val="20"/>
          <w:szCs w:val="20"/>
          <w:lang w:val="en-GB"/>
        </w:rPr>
        <w:t xml:space="preserve"> and further work to make their non-discrimination framework more effective and inclusive. Sexual orientation, gender identity and expression (SOGIE) were included as protected grounds that serve as aggravating circumstances in case they are the motive for committing a </w:t>
      </w:r>
      <w:r w:rsidRPr="00410AB7">
        <w:rPr>
          <w:rFonts w:ascii="Tahoma" w:hAnsi="Tahoma" w:cs="Tahoma"/>
          <w:sz w:val="20"/>
          <w:szCs w:val="20"/>
          <w:lang w:val="en-GB"/>
        </w:rPr>
        <w:lastRenderedPageBreak/>
        <w:t>crime (Article 53</w:t>
      </w:r>
      <w:r w:rsidRPr="00410AB7">
        <w:rPr>
          <w:rFonts w:ascii="Tahoma" w:hAnsi="Tahoma" w:cs="Tahoma"/>
          <w:sz w:val="20"/>
          <w:szCs w:val="20"/>
          <w:vertAlign w:val="superscript"/>
          <w:lang w:val="en-GB"/>
        </w:rPr>
        <w:t>1</w:t>
      </w:r>
      <w:r w:rsidRPr="00410AB7">
        <w:rPr>
          <w:rFonts w:ascii="Tahoma" w:hAnsi="Tahoma" w:cs="Tahoma"/>
          <w:sz w:val="20"/>
          <w:szCs w:val="20"/>
          <w:lang w:val="en-GB"/>
        </w:rPr>
        <w:t xml:space="preserve"> of the Georgian Criminal Code).</w:t>
      </w:r>
      <w:r w:rsidRPr="00410AB7">
        <w:rPr>
          <w:rFonts w:ascii="Tahoma" w:hAnsi="Tahoma" w:cs="Tahoma"/>
          <w:sz w:val="20"/>
          <w:szCs w:val="20"/>
          <w:vertAlign w:val="superscript"/>
          <w:lang w:val="en-GB"/>
        </w:rPr>
        <w:footnoteReference w:id="2"/>
      </w:r>
      <w:r w:rsidRPr="00410AB7">
        <w:rPr>
          <w:rFonts w:ascii="Tahoma" w:hAnsi="Tahoma" w:cs="Tahoma"/>
          <w:sz w:val="20"/>
          <w:szCs w:val="20"/>
          <w:lang w:val="en-GB"/>
        </w:rPr>
        <w:t xml:space="preserve"> It is highly </w:t>
      </w:r>
      <w:r w:rsidR="00410AB7" w:rsidRPr="00410AB7">
        <w:rPr>
          <w:rFonts w:ascii="Tahoma" w:hAnsi="Tahoma" w:cs="Tahoma"/>
          <w:sz w:val="20"/>
          <w:szCs w:val="20"/>
          <w:lang w:val="en-GB"/>
        </w:rPr>
        <w:t>favourable</w:t>
      </w:r>
      <w:r w:rsidRPr="00410AB7">
        <w:rPr>
          <w:rFonts w:ascii="Tahoma" w:hAnsi="Tahoma" w:cs="Tahoma"/>
          <w:sz w:val="20"/>
          <w:szCs w:val="20"/>
          <w:lang w:val="en-GB"/>
        </w:rPr>
        <w:t xml:space="preserve"> that Georgia has started to advance its investigation and judgement when it comes to hate crimes committed in relation to LGBT+ persons. Particularly, ECOM commends the statistics outlined in para 237 of Report CEDAW/C/GEO/6 (hereinafter, the Report). It is also encouraging that Georgia reports having created a Human Rights Protection Department within the system of its MIA and that it expanded the Department’s mandate in 2019 “with the core function to investigations into crimes related to violence against women and domestic violence, crimes committed on the grounds of discrimination, hate crimes [...]” (Report para 238). Georgia also indicates that after the Department’s establishment, “investigation of crimes committed against LGBT</w:t>
      </w:r>
      <w:r w:rsidR="00596235" w:rsidRPr="00410AB7">
        <w:rPr>
          <w:rFonts w:ascii="Tahoma" w:hAnsi="Tahoma" w:cs="Tahoma"/>
          <w:sz w:val="20"/>
          <w:szCs w:val="20"/>
          <w:lang w:val="en-GB"/>
        </w:rPr>
        <w:t>+</w:t>
      </w:r>
      <w:r w:rsidRPr="00410AB7">
        <w:rPr>
          <w:rFonts w:ascii="Tahoma" w:hAnsi="Tahoma" w:cs="Tahoma"/>
          <w:sz w:val="20"/>
          <w:szCs w:val="20"/>
          <w:lang w:val="en-GB"/>
        </w:rPr>
        <w:t xml:space="preserve"> persons has improved, as evidenced by the increased number of investigations, persecutions and convictions” (Report 238). Considering other </w:t>
      </w:r>
      <w:r w:rsidR="009648B6" w:rsidRPr="00410AB7">
        <w:rPr>
          <w:rFonts w:ascii="Tahoma" w:hAnsi="Tahoma" w:cs="Tahoma"/>
          <w:sz w:val="20"/>
          <w:szCs w:val="20"/>
          <w:lang w:val="en-GB"/>
        </w:rPr>
        <w:t>Eastern Europe and Central Asia (EECA)</w:t>
      </w:r>
      <w:r w:rsidRPr="00410AB7">
        <w:rPr>
          <w:rFonts w:ascii="Tahoma" w:hAnsi="Tahoma" w:cs="Tahoma"/>
          <w:sz w:val="20"/>
          <w:szCs w:val="20"/>
          <w:lang w:val="en-GB"/>
        </w:rPr>
        <w:t xml:space="preserve"> states, such reports are inspiring and hopeful. Nonetheless, these statements are quite vague: no figures were given to support the “increased number of investigations and convictions” regarding hate crimes based on SOGIE. The State Party should have provided a detailed graph or </w:t>
      </w:r>
      <w:r w:rsidR="00410AB7" w:rsidRPr="00410AB7">
        <w:rPr>
          <w:rFonts w:ascii="Tahoma" w:hAnsi="Tahoma" w:cs="Tahoma"/>
          <w:sz w:val="20"/>
          <w:szCs w:val="20"/>
          <w:lang w:val="en-GB"/>
        </w:rPr>
        <w:t>layout</w:t>
      </w:r>
      <w:r w:rsidRPr="00410AB7">
        <w:rPr>
          <w:rFonts w:ascii="Tahoma" w:hAnsi="Tahoma" w:cs="Tahoma"/>
          <w:sz w:val="20"/>
          <w:szCs w:val="20"/>
          <w:lang w:val="en-GB"/>
        </w:rPr>
        <w:t xml:space="preserve"> of how many cases were launched as hate crimes based on gender identity, how many saw convictions, how many </w:t>
      </w:r>
      <w:proofErr w:type="gramStart"/>
      <w:r w:rsidRPr="00410AB7">
        <w:rPr>
          <w:rFonts w:ascii="Tahoma" w:hAnsi="Tahoma" w:cs="Tahoma"/>
          <w:sz w:val="20"/>
          <w:szCs w:val="20"/>
          <w:lang w:val="en-GB"/>
        </w:rPr>
        <w:t>saw</w:t>
      </w:r>
      <w:proofErr w:type="gramEnd"/>
      <w:r w:rsidRPr="00410AB7">
        <w:rPr>
          <w:rFonts w:ascii="Tahoma" w:hAnsi="Tahoma" w:cs="Tahoma"/>
          <w:sz w:val="20"/>
          <w:szCs w:val="20"/>
          <w:lang w:val="en-GB"/>
        </w:rPr>
        <w:t xml:space="preserve"> acquittal or change of indictment foundation, and identified how many trans women were eventually identified as victims in the respective cases. </w:t>
      </w:r>
      <w:r w:rsidR="00410AB7" w:rsidRPr="00410AB7">
        <w:rPr>
          <w:rFonts w:ascii="Tahoma" w:hAnsi="Tahoma" w:cs="Tahoma"/>
          <w:sz w:val="20"/>
          <w:szCs w:val="20"/>
          <w:lang w:val="en-GB"/>
        </w:rPr>
        <w:t>In addition</w:t>
      </w:r>
      <w:r w:rsidRPr="00410AB7">
        <w:rPr>
          <w:rFonts w:ascii="Tahoma" w:hAnsi="Tahoma" w:cs="Tahoma"/>
          <w:sz w:val="20"/>
          <w:szCs w:val="20"/>
          <w:lang w:val="en-GB"/>
        </w:rPr>
        <w:t xml:space="preserve">, Georgia has not responded to recommendations made in the Committee’s CO №34 (e). The State Party has not elaborated on what measures were taken to tackle the violence and harassment LBT women face and has provided zero statements regarding the legal gender confirmation procedure for trans women. </w:t>
      </w:r>
    </w:p>
    <w:p w14:paraId="0000003F"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40" w14:textId="556AB700"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ECOM respectfully welcomes Georgia’s steps taken towards enhancing the protection of human rights of trans women and other non-heterosexual, non-cisgender females. Adopting the Anti-Discrimination Act was a huge achievement. However, more resources, attention, and intention should be allocated by Georgia’s government to not only having the anti-discrimination provisions in place </w:t>
      </w:r>
      <w:r w:rsidRPr="00410AB7">
        <w:rPr>
          <w:rFonts w:ascii="Tahoma" w:hAnsi="Tahoma" w:cs="Tahoma"/>
          <w:i/>
          <w:sz w:val="20"/>
          <w:szCs w:val="20"/>
          <w:lang w:val="en-GB"/>
        </w:rPr>
        <w:t>de jure</w:t>
      </w:r>
      <w:r w:rsidRPr="00410AB7">
        <w:rPr>
          <w:rFonts w:ascii="Tahoma" w:hAnsi="Tahoma" w:cs="Tahoma"/>
          <w:sz w:val="20"/>
          <w:szCs w:val="20"/>
          <w:lang w:val="en-GB"/>
        </w:rPr>
        <w:t xml:space="preserve">, but to also have them work </w:t>
      </w:r>
      <w:r w:rsidRPr="00410AB7">
        <w:rPr>
          <w:rFonts w:ascii="Tahoma" w:hAnsi="Tahoma" w:cs="Tahoma"/>
          <w:i/>
          <w:sz w:val="20"/>
          <w:szCs w:val="20"/>
          <w:lang w:val="en-GB"/>
        </w:rPr>
        <w:t>de facto</w:t>
      </w:r>
      <w:r w:rsidRPr="00410AB7">
        <w:rPr>
          <w:rFonts w:ascii="Tahoma" w:hAnsi="Tahoma" w:cs="Tahoma"/>
          <w:sz w:val="20"/>
          <w:szCs w:val="20"/>
          <w:lang w:val="en-GB"/>
        </w:rPr>
        <w:t>. The last review of Georgia was back in 2014. While much has been achieved, 7 years is more than enough to have become a better ally to LBT women. With respect to the aforementioned, the Report has no mention of training being provided to law enforcement officers, medical workers, or other civil servants about the equality of human rights with regards to sexual orientation and gender identity issues, directly related to trans women, as well as there are no statements regarding training on how to work with people who live with HIV/AIDS (PL</w:t>
      </w:r>
      <w:r w:rsidR="009648B6" w:rsidRPr="00410AB7">
        <w:rPr>
          <w:rFonts w:ascii="Tahoma" w:hAnsi="Tahoma" w:cs="Tahoma"/>
          <w:sz w:val="20"/>
          <w:szCs w:val="20"/>
          <w:lang w:val="en-GB"/>
        </w:rPr>
        <w:t>HIV</w:t>
      </w:r>
      <w:r w:rsidRPr="00410AB7">
        <w:rPr>
          <w:rFonts w:ascii="Tahoma" w:hAnsi="Tahoma" w:cs="Tahoma"/>
          <w:sz w:val="20"/>
          <w:szCs w:val="20"/>
          <w:lang w:val="en-GB"/>
        </w:rPr>
        <w:t>) if they happen to be transgender. The transgender community is a minority group with a very sensitive and specific profile and needs that arise due to double stigmatization and high level of discrimination on the general public’s part — for being non-heterosexual and non-cisgender. Thus, additional governmental efforts, policies, and programmes are desperately required in order to expel discrimination from how the government and the general public treat them, thereby ensuring their equality and the observation of their human rights and freedoms on the same level as the general population enjoys them. Simply ignoring trans women invests in them being forced into dangerous living and sexual practices, in their needs as a misunderstood, yet legal, minority being overlooked and in them being abused and otherwise discriminated against without effectively punishing the ones at fault. Trans women are a key population group that requires special attention and legal mechanisms that will help ensure the realisation of their right to health, privacy, dignity, and freedom of gender identity and expression on par with everyone else. Unfortunately, the realistic picture of the state of trans women as reported by allies and LGBT+ NGOs in Georgia, as well as based on ECOM’s discoveries: further discrimination by the police and medical workers of trans women is ongoing; assaults on trans women by the general public are being made</w:t>
      </w:r>
    </w:p>
    <w:p w14:paraId="00000041"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42" w14:textId="0F09BECC"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Report CEDAW/C/GEO/6 has no statement regarding the activities Georgia undertook to enforce the concluding observations enlisted by the Committee. Additionally, the Report offers no access to hate crimes statistics. In the absence of official statistics, surveys by various NGOs show that LGBT+ people experience physical </w:t>
      </w:r>
      <w:r w:rsidRPr="00410AB7">
        <w:rPr>
          <w:rFonts w:ascii="Tahoma" w:hAnsi="Tahoma" w:cs="Tahoma"/>
          <w:sz w:val="20"/>
          <w:szCs w:val="20"/>
          <w:lang w:val="en-GB"/>
        </w:rPr>
        <w:lastRenderedPageBreak/>
        <w:t>and psychological abuse, bullying, and domestic violence.</w:t>
      </w:r>
      <w:r w:rsidRPr="00410AB7">
        <w:rPr>
          <w:rFonts w:ascii="Tahoma" w:hAnsi="Tahoma" w:cs="Tahoma"/>
          <w:sz w:val="20"/>
          <w:szCs w:val="20"/>
          <w:vertAlign w:val="superscript"/>
          <w:lang w:val="en-GB"/>
        </w:rPr>
        <w:footnoteReference w:id="3"/>
      </w:r>
      <w:r w:rsidRPr="00410AB7">
        <w:rPr>
          <w:rFonts w:ascii="Tahoma" w:hAnsi="Tahoma" w:cs="Tahoma"/>
          <w:sz w:val="20"/>
          <w:szCs w:val="20"/>
          <w:lang w:val="en-GB"/>
        </w:rPr>
        <w:t xml:space="preserve"> Fearing further abuse from the law enforcement, such victims flee the country, moving to European countries as asylum seekers. Sensitisation, </w:t>
      </w:r>
      <w:r w:rsidR="00410AB7" w:rsidRPr="00410AB7">
        <w:rPr>
          <w:rFonts w:ascii="Tahoma" w:hAnsi="Tahoma" w:cs="Tahoma"/>
          <w:sz w:val="20"/>
          <w:szCs w:val="20"/>
          <w:lang w:val="en-GB"/>
        </w:rPr>
        <w:t>awareness raising</w:t>
      </w:r>
      <w:r w:rsidRPr="00410AB7">
        <w:rPr>
          <w:rFonts w:ascii="Tahoma" w:hAnsi="Tahoma" w:cs="Tahoma"/>
          <w:sz w:val="20"/>
          <w:szCs w:val="20"/>
          <w:lang w:val="en-GB"/>
        </w:rPr>
        <w:t xml:space="preserve">, education, and legal mechanisms require introduction on a </w:t>
      </w:r>
      <w:r w:rsidR="00410AB7" w:rsidRPr="00410AB7">
        <w:rPr>
          <w:rFonts w:ascii="Tahoma" w:hAnsi="Tahoma" w:cs="Tahoma"/>
          <w:sz w:val="20"/>
          <w:szCs w:val="20"/>
          <w:lang w:val="en-GB"/>
        </w:rPr>
        <w:t>state-wide</w:t>
      </w:r>
      <w:r w:rsidRPr="00410AB7">
        <w:rPr>
          <w:rFonts w:ascii="Tahoma" w:hAnsi="Tahoma" w:cs="Tahoma"/>
          <w:sz w:val="20"/>
          <w:szCs w:val="20"/>
          <w:lang w:val="en-GB"/>
        </w:rPr>
        <w:t xml:space="preserve"> scale to ensure that trans women, as a minority group, are not discriminated against any further. The report holds no information regarding the observation of human rights of the LBT community, in relation to their right to health, which is vital for the possibility of them enjoying all the other natural, social, economic, political, and cultural rights. Despite the highly admirable milestones achieved by the Georgian government outlined above, trans women and the issues of sexual orientation and gender identity and how discrimination and stigmatization of trans women affects their lives and how they are tended to have not been mentioned in the Report.</w:t>
      </w:r>
    </w:p>
    <w:p w14:paraId="00000043"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44" w14:textId="5D89B188"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Article 18 section 1 of the Convention states that “States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ECOM considers that, within the scope of the right to equality (article 2 of the Convention) and the right to health (article 12 section 1; article 14 section 1 para (b) of the Convention), Georgia’s report does not provide the Committee with the ability to fully grasp the situation in the country regarding the right to health, considering the interests of the LBT community, especially trans women. The given Alternative Report is meant to serve as additional data regarding the non-discrimination of trans women in Georgia, the observation of their right to health and as an instrument to advance positive changes to amend the current </w:t>
      </w:r>
      <w:r w:rsidR="00410AB7" w:rsidRPr="00410AB7">
        <w:rPr>
          <w:rFonts w:ascii="Tahoma" w:hAnsi="Tahoma" w:cs="Tahoma"/>
          <w:sz w:val="20"/>
          <w:szCs w:val="20"/>
          <w:lang w:val="en-GB"/>
        </w:rPr>
        <w:t>underwhelming</w:t>
      </w:r>
      <w:r w:rsidRPr="00410AB7">
        <w:rPr>
          <w:rFonts w:ascii="Tahoma" w:hAnsi="Tahoma" w:cs="Tahoma"/>
          <w:sz w:val="20"/>
          <w:szCs w:val="20"/>
          <w:lang w:val="en-GB"/>
        </w:rPr>
        <w:t xml:space="preserve"> position in which the mentioned minority group tends to find itself. </w:t>
      </w:r>
    </w:p>
    <w:p w14:paraId="00000045"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46" w14:textId="77777777" w:rsidR="002019BA" w:rsidRPr="00410AB7" w:rsidRDefault="00F30E65">
      <w:pPr>
        <w:tabs>
          <w:tab w:val="left" w:pos="1689"/>
        </w:tabs>
        <w:spacing w:line="246" w:lineRule="auto"/>
        <w:ind w:right="826"/>
        <w:jc w:val="both"/>
        <w:rPr>
          <w:rFonts w:ascii="Tahoma" w:hAnsi="Tahoma" w:cs="Tahoma"/>
          <w:b/>
          <w:sz w:val="20"/>
          <w:szCs w:val="20"/>
          <w:lang w:val="en-GB"/>
        </w:rPr>
      </w:pPr>
      <w:r w:rsidRPr="00410AB7">
        <w:rPr>
          <w:rFonts w:ascii="Tahoma" w:hAnsi="Tahoma" w:cs="Tahoma"/>
          <w:b/>
          <w:sz w:val="20"/>
          <w:szCs w:val="20"/>
          <w:lang w:val="en-GB"/>
        </w:rPr>
        <w:t>Article 2 — Right to Equality</w:t>
      </w:r>
    </w:p>
    <w:p w14:paraId="00000047"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48" w14:textId="3D7CAE24"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According to a recent study of 2018, among LGBT</w:t>
      </w:r>
      <w:r w:rsidR="00596235" w:rsidRPr="00410AB7">
        <w:rPr>
          <w:rFonts w:ascii="Tahoma" w:hAnsi="Tahoma" w:cs="Tahoma"/>
          <w:sz w:val="20"/>
          <w:szCs w:val="20"/>
          <w:lang w:val="en-GB"/>
        </w:rPr>
        <w:t>+</w:t>
      </w:r>
      <w:r w:rsidRPr="00410AB7">
        <w:rPr>
          <w:rFonts w:ascii="Tahoma" w:hAnsi="Tahoma" w:cs="Tahoma"/>
          <w:sz w:val="20"/>
          <w:szCs w:val="20"/>
          <w:lang w:val="en-GB"/>
        </w:rPr>
        <w:t xml:space="preserve"> respondents, 88.3% (N=226) confessed to be victims of hate crimes since 2015. Psychological and emotional violence was experienced by 85.5% of the respondents, 61.7% experienced sexual violence and harassment, while 29.7% of respondents were victims of physical violence. Georgian LGBT+ NGOs also state that LGBT+ are frequently subjected to domestic violence, yet the state rarely investigates these crimes as hate crimes based on SOGIE. Despite such high figures, only 16.8% of hate crime victims from said study reported their incidents to the police.</w:t>
      </w:r>
      <w:r w:rsidRPr="00410AB7">
        <w:rPr>
          <w:rFonts w:ascii="Tahoma" w:hAnsi="Tahoma" w:cs="Tahoma"/>
          <w:sz w:val="20"/>
          <w:szCs w:val="20"/>
          <w:vertAlign w:val="superscript"/>
          <w:lang w:val="en-GB"/>
        </w:rPr>
        <w:footnoteReference w:id="4"/>
      </w:r>
      <w:r w:rsidRPr="00410AB7">
        <w:rPr>
          <w:rFonts w:ascii="Tahoma" w:hAnsi="Tahoma" w:cs="Tahoma"/>
          <w:sz w:val="20"/>
          <w:szCs w:val="20"/>
          <w:lang w:val="en-GB"/>
        </w:rPr>
        <w:t xml:space="preserve"> Victims share their insecurity and fear when it comes to dealing with the law-enforcement. They do not report their cases to the authorities because they fear forced outing and re-victimisation. This factor contributes to the disparity between the MIA and NGO SOGIE-based crime statistics. Therefore, the hate crime statistics, especially when it comes to crimes committed on grounds of SOGIE, which are revealed in the Report, do not represent the actuality of the situation with the actual hate crimes committed, number of victims, and commenced proceedings. The absence of a unified statistical methodology on hate crimes, with clear segregation by each protected attribute independently, concludes an essential barrier to combating hate crimes and planning Georgia’s preventive policies.</w:t>
      </w:r>
    </w:p>
    <w:p w14:paraId="00000049"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4A" w14:textId="10FAD94A"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While ECOM does not discourage Georgia’s steps towards establishing specialised government units that are to deal with hate crimes specifically, it should be pointed out that effort accounts for when it is thought-out and planned. At present, there is no unified strategy that Georgia would follow to establish a national, delegated, and decentralized system of specialised divisions that would not only effectively react to SOGIE-based crimes but would also invest in preventive activities. The MIA Human Rights Protection and Investigation Quality Monitoring Department, Prosecutor’s Office, and Ombudsperson have their individual statistics on hate crimes, neither of which, unfortunately, represents the realistic picture. In addition, said Human Rights Protection Department is a centralised, coordinating body, giving rise to concerns that it may not </w:t>
      </w:r>
      <w:r w:rsidRPr="00410AB7">
        <w:rPr>
          <w:rFonts w:ascii="Tahoma" w:hAnsi="Tahoma" w:cs="Tahoma"/>
          <w:sz w:val="20"/>
          <w:szCs w:val="20"/>
          <w:lang w:val="en-GB"/>
        </w:rPr>
        <w:lastRenderedPageBreak/>
        <w:t xml:space="preserve">be sufficient to address problems at the local level nor, for example, be competent enough to deal with detailed issues arising in the investigative process, also lacking a preventive approach. The Department simply has a much wider remit in terms of increasing the effectiveness of the national law-enforcement of non-discrimination legislation than proposed by the European Commission </w:t>
      </w:r>
      <w:r w:rsidR="00410AB7" w:rsidRPr="00410AB7">
        <w:rPr>
          <w:rFonts w:ascii="Tahoma" w:hAnsi="Tahoma" w:cs="Tahoma"/>
          <w:sz w:val="20"/>
          <w:szCs w:val="20"/>
          <w:lang w:val="en-GB"/>
        </w:rPr>
        <w:t>against</w:t>
      </w:r>
      <w:r w:rsidRPr="00410AB7">
        <w:rPr>
          <w:rFonts w:ascii="Tahoma" w:hAnsi="Tahoma" w:cs="Tahoma"/>
          <w:sz w:val="20"/>
          <w:szCs w:val="20"/>
          <w:lang w:val="en-GB"/>
        </w:rPr>
        <w:t xml:space="preserve"> Racism and Intolerance (ECRI)</w:t>
      </w:r>
      <w:r w:rsidRPr="00410AB7">
        <w:rPr>
          <w:rFonts w:ascii="Tahoma" w:hAnsi="Tahoma" w:cs="Tahoma"/>
          <w:sz w:val="20"/>
          <w:szCs w:val="20"/>
          <w:vertAlign w:val="superscript"/>
          <w:lang w:val="en-GB"/>
        </w:rPr>
        <w:footnoteReference w:id="5"/>
      </w:r>
      <w:r w:rsidRPr="00410AB7">
        <w:rPr>
          <w:rFonts w:ascii="Tahoma" w:hAnsi="Tahoma" w:cs="Tahoma"/>
          <w:sz w:val="20"/>
          <w:szCs w:val="20"/>
          <w:lang w:val="en-GB"/>
        </w:rPr>
        <w:t xml:space="preserve"> and by UPR recommendations.</w:t>
      </w:r>
      <w:r w:rsidRPr="00410AB7">
        <w:rPr>
          <w:rFonts w:ascii="Tahoma" w:hAnsi="Tahoma" w:cs="Tahoma"/>
          <w:sz w:val="20"/>
          <w:szCs w:val="20"/>
          <w:vertAlign w:val="superscript"/>
          <w:lang w:val="en-GB"/>
        </w:rPr>
        <w:footnoteReference w:id="6"/>
      </w:r>
    </w:p>
    <w:p w14:paraId="0000004B"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4C" w14:textId="76816AB8"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Thoughtfully creating and conducting science- and evidence-based educational events to raise the abilities of law-enforcement officers to identify hate crimes, single out the exact motive and then apply the recommendations to their investigation is not enough to claim success in re-training/re-education. The law-enforcement has to be sensitized: it has to be taught on the issues of sexual orientation, gender identity and gender expression, as well as other nuances that concern the routine LBT life as well the nuances of stigma and discrimination that befall them, serving as the motive for committing a respective hate crime. As reported by Georgian LGBT+ NGOs, the existing social stigma of the LGBT</w:t>
      </w:r>
      <w:r w:rsidR="00596235" w:rsidRPr="00410AB7">
        <w:rPr>
          <w:rFonts w:ascii="Tahoma" w:hAnsi="Tahoma" w:cs="Tahoma"/>
          <w:sz w:val="20"/>
          <w:szCs w:val="20"/>
          <w:lang w:val="en-GB"/>
        </w:rPr>
        <w:t>+</w:t>
      </w:r>
      <w:r w:rsidRPr="00410AB7">
        <w:rPr>
          <w:rFonts w:ascii="Tahoma" w:hAnsi="Tahoma" w:cs="Tahoma"/>
          <w:sz w:val="20"/>
          <w:szCs w:val="20"/>
          <w:lang w:val="en-GB"/>
        </w:rPr>
        <w:t xml:space="preserve"> persons manifests itself, among other things, in institutional homophobia and transphobia, which results in the commission of respective crimes. Because of low understanding of SOGIE issues and low education on the matter, the UN independent expert states that the LGBT</w:t>
      </w:r>
      <w:r w:rsidR="00596235" w:rsidRPr="00410AB7">
        <w:rPr>
          <w:rFonts w:ascii="Tahoma" w:hAnsi="Tahoma" w:cs="Tahoma"/>
          <w:sz w:val="20"/>
          <w:szCs w:val="20"/>
          <w:lang w:val="en-GB"/>
        </w:rPr>
        <w:t>+</w:t>
      </w:r>
      <w:r w:rsidRPr="00410AB7">
        <w:rPr>
          <w:rFonts w:ascii="Tahoma" w:hAnsi="Tahoma" w:cs="Tahoma"/>
          <w:sz w:val="20"/>
          <w:szCs w:val="20"/>
          <w:lang w:val="en-GB"/>
        </w:rPr>
        <w:t xml:space="preserve"> community-related stigma and the fear of forcible coming out, as well as mistrust towards law-enforcement agencies and displays of phobic </w:t>
      </w:r>
      <w:r w:rsidR="00410AB7" w:rsidRPr="00410AB7">
        <w:rPr>
          <w:rFonts w:ascii="Tahoma" w:hAnsi="Tahoma" w:cs="Tahoma"/>
          <w:sz w:val="20"/>
          <w:szCs w:val="20"/>
          <w:lang w:val="en-GB"/>
        </w:rPr>
        <w:t>behaviour</w:t>
      </w:r>
      <w:r w:rsidRPr="00410AB7">
        <w:rPr>
          <w:rFonts w:ascii="Tahoma" w:hAnsi="Tahoma" w:cs="Tahoma"/>
          <w:sz w:val="20"/>
          <w:szCs w:val="20"/>
          <w:lang w:val="en-GB"/>
        </w:rPr>
        <w:t xml:space="preserve"> and attitudes by the police (which are discriminatory acts in themselves) serve as the barriers, which stop the LBT community-member victims of violence and discrimination from turning to the police for help.</w:t>
      </w:r>
      <w:r w:rsidRPr="00410AB7">
        <w:rPr>
          <w:rFonts w:ascii="Tahoma" w:hAnsi="Tahoma" w:cs="Tahoma"/>
          <w:sz w:val="20"/>
          <w:szCs w:val="20"/>
          <w:vertAlign w:val="superscript"/>
          <w:lang w:val="en-GB"/>
        </w:rPr>
        <w:footnoteReference w:id="7"/>
      </w:r>
      <w:r w:rsidRPr="00410AB7">
        <w:rPr>
          <w:rFonts w:ascii="Tahoma" w:hAnsi="Tahoma" w:cs="Tahoma"/>
          <w:sz w:val="20"/>
          <w:szCs w:val="20"/>
          <w:lang w:val="en-GB"/>
        </w:rPr>
        <w:t xml:space="preserve"> The Independent Expert also notes that “violence and discrimination based on sexual orientation and gender identity are pervasive in Georgia: beatings are commonplace, harassment and bullying constant, and exclusion from education, work and health settings appear be the norm.”</w:t>
      </w:r>
      <w:r w:rsidRPr="00410AB7">
        <w:rPr>
          <w:rFonts w:ascii="Tahoma" w:hAnsi="Tahoma" w:cs="Tahoma"/>
          <w:sz w:val="20"/>
          <w:szCs w:val="20"/>
          <w:vertAlign w:val="superscript"/>
          <w:lang w:val="en-GB"/>
        </w:rPr>
        <w:footnoteReference w:id="8"/>
      </w:r>
      <w:r w:rsidRPr="00410AB7">
        <w:rPr>
          <w:rFonts w:ascii="Tahoma" w:hAnsi="Tahoma" w:cs="Tahoma"/>
          <w:sz w:val="20"/>
          <w:szCs w:val="20"/>
          <w:lang w:val="en-GB"/>
        </w:rPr>
        <w:t xml:space="preserve"> Although the Anti-Discrimination Act is in place, its implementation and enforcement are still ineffective. This results in further degrading or otherwise phobic treatment of the LBT on the part of the law-enforcement and the general public. Therefore, a unified national strategy should be swiftly developed in cooperation with LGBT+ NGOs and adopted to increase the awareness of the general population and the police about SOGIE issues, not only in terms of hate crimes but also in terms of the LBT being no less human and deserving honourable and respectful treatment than heterosexual and/or cisgender people.</w:t>
      </w:r>
    </w:p>
    <w:p w14:paraId="0000004D"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4E" w14:textId="2D196DF7"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Another issue that hinders effective enforcement of the Anti-Discrimination Act is worth mentioning. Specifically, in the event of discrimination, the Public Defender is </w:t>
      </w:r>
      <w:r w:rsidR="00ED0000" w:rsidRPr="00410AB7">
        <w:rPr>
          <w:rFonts w:ascii="Tahoma" w:hAnsi="Tahoma" w:cs="Tahoma"/>
          <w:sz w:val="20"/>
          <w:szCs w:val="20"/>
          <w:lang w:val="en-GB"/>
        </w:rPr>
        <w:t>authorized to</w:t>
      </w:r>
      <w:r w:rsidRPr="00410AB7">
        <w:rPr>
          <w:rFonts w:ascii="Tahoma" w:hAnsi="Tahoma" w:cs="Tahoma"/>
          <w:sz w:val="20"/>
          <w:szCs w:val="20"/>
          <w:lang w:val="en-GB"/>
        </w:rPr>
        <w:t xml:space="preserve"> develop recommendations and prepare and submits proposals on preventing and fighting discrimination to relevant individuals/entities. However, in practice, there is no mechanism in place that will allow the Public Defender to force that individual or legal entity who commits a discriminatory act to exercise the respective recommendation/proposal. The optional recommendation is ineffective and fails to meet the goals set by the law, which ultimately makes the relevant provisions regarding the Public Defender's powers declarative. The Anti-Discrimination Act does not specify the time frames for submitting a complaint/application to the Public Defender, which can be evaluated positively. Hence, a person who considers themselves a victim of discrimination may apply to the PDO at any time after the discriminatory act happened or was identified. The law does not specify the timeframe for the Public Defender to review the case and send recommendations/proposals to the individual/entity who committed a discriminatory act. Considering the victim’s interests, it is important to set a deadline in the law within which the Public Defender should complete the case.</w:t>
      </w:r>
    </w:p>
    <w:p w14:paraId="0000004F"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50" w14:textId="375F492E"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Had the </w:t>
      </w:r>
      <w:r w:rsidR="00410AB7" w:rsidRPr="00410AB7">
        <w:rPr>
          <w:rFonts w:ascii="Tahoma" w:hAnsi="Tahoma" w:cs="Tahoma"/>
          <w:sz w:val="20"/>
          <w:szCs w:val="20"/>
          <w:lang w:val="en-GB"/>
        </w:rPr>
        <w:t>Georgian</w:t>
      </w:r>
      <w:r w:rsidRPr="00410AB7">
        <w:rPr>
          <w:rFonts w:ascii="Tahoma" w:hAnsi="Tahoma" w:cs="Tahoma"/>
          <w:sz w:val="20"/>
          <w:szCs w:val="20"/>
          <w:lang w:val="en-GB"/>
        </w:rPr>
        <w:t xml:space="preserve"> law-enforcement been that much better at identifying and investigating hate crimes based on SOGIE, they would have held the following case differently</w:t>
      </w:r>
      <w:r w:rsidR="00ED0000">
        <w:rPr>
          <w:rFonts w:ascii="Tahoma" w:hAnsi="Tahoma" w:cs="Tahoma"/>
          <w:sz w:val="20"/>
          <w:szCs w:val="20"/>
          <w:lang w:val="en-GB"/>
        </w:rPr>
        <w:t>.</w:t>
      </w:r>
      <w:r w:rsidRPr="00410AB7">
        <w:rPr>
          <w:rFonts w:ascii="Tahoma" w:hAnsi="Tahoma" w:cs="Tahoma"/>
          <w:sz w:val="20"/>
          <w:szCs w:val="20"/>
          <w:lang w:val="en-GB"/>
        </w:rPr>
        <w:t xml:space="preserve"> B.A., a transgender woman, received a message from N.P. on Facebook on 5 March 2019. In the photographs, B.A. is wearing women’s clothing and looks in line with her gender identity. B.A. explained that disclosing information about her gender </w:t>
      </w:r>
      <w:r w:rsidRPr="00410AB7">
        <w:rPr>
          <w:rFonts w:ascii="Tahoma" w:hAnsi="Tahoma" w:cs="Tahoma"/>
          <w:sz w:val="20"/>
          <w:szCs w:val="20"/>
          <w:lang w:val="en-GB"/>
        </w:rPr>
        <w:lastRenderedPageBreak/>
        <w:t xml:space="preserve">identity, including unauthorized dissemination of her private photographs may have caused problems at her workplace. On March 8, 2019, a letter was sent to the Personal Data Protection Inspector. According to the decision of the Personal Data Protection Inspector of March 18, 2019, the application will not be accepted for consideration because, as the inspector estimates, the facts stated in the application contained signs of crime. B.A. used the services of a lawyer during the interview. After the questioning, the Ministry of Internal Affairs found that the incident did not contain any signs of crime. </w:t>
      </w:r>
    </w:p>
    <w:p w14:paraId="00000051"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52" w14:textId="55F17927"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In another case that showcases discrimination against LGBT+ on the law-enforcement’s part and lack of knowledge and desire to act according to protocol was also reported to NGO “Equality Movement.” On 21 June 2018, Z.A., who identifies as a gay man, was walking in the underground passage in Tbilisi, when an unknown individual assaulted them verbally and physically. In particular, this person was saying that Z.A. was transgender, asking them why they were wearing an earring and calling them “faggot.” Afterwards, this individual attacked Z.A., ripped the piercing off and hit them in the face. Z.A. called the police. Police workers were treating them indifferently, in particular, not letting them file a report regarding the incident. After some time an investigator started to file a report. Z.A. repeatedly asked the investigator to indicate homophobic motive but the investigator denied the request. This case was covered by media and became a topic of public interest as Z.A. is an openly gay writer. The offender was found guilty under Article 126 (violence) of the Criminal Code of Georgia and the court imposed a bail of 1000 GEL as a prohibitive measure before the court had ruled the final decision. Transphobic hate motive was outlined by the law-enforcement. Additionally, the General Inspection Department investigated abuse of power by law-enforcers and “gave them a strict warning to </w:t>
      </w:r>
      <w:r w:rsidR="00410AB7" w:rsidRPr="00410AB7">
        <w:rPr>
          <w:rFonts w:ascii="Tahoma" w:hAnsi="Tahoma" w:cs="Tahoma"/>
          <w:sz w:val="20"/>
          <w:szCs w:val="20"/>
          <w:lang w:val="en-GB"/>
        </w:rPr>
        <w:t>fulfil</w:t>
      </w:r>
      <w:r w:rsidRPr="00410AB7">
        <w:rPr>
          <w:rFonts w:ascii="Tahoma" w:hAnsi="Tahoma" w:cs="Tahoma"/>
          <w:sz w:val="20"/>
          <w:szCs w:val="20"/>
          <w:lang w:val="en-GB"/>
        </w:rPr>
        <w:t xml:space="preserve"> their duties attentively and abide by the ethical norms while communicating with citizens.” The victim was lucky to have received positive media attention and a progressive investigation and judiciary panel.</w:t>
      </w:r>
    </w:p>
    <w:p w14:paraId="00000053"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54" w14:textId="5D7DD97D"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With this in mind, Georgia fails to address the discrimination of the LGBT</w:t>
      </w:r>
      <w:r w:rsidR="00596235" w:rsidRPr="00410AB7">
        <w:rPr>
          <w:rFonts w:ascii="Tahoma" w:hAnsi="Tahoma" w:cs="Tahoma"/>
          <w:sz w:val="20"/>
          <w:szCs w:val="20"/>
          <w:lang w:val="en-GB"/>
        </w:rPr>
        <w:t>+</w:t>
      </w:r>
      <w:r w:rsidRPr="00410AB7">
        <w:rPr>
          <w:rFonts w:ascii="Tahoma" w:hAnsi="Tahoma" w:cs="Tahoma"/>
          <w:sz w:val="20"/>
          <w:szCs w:val="20"/>
          <w:lang w:val="en-GB"/>
        </w:rPr>
        <w:t xml:space="preserve"> that happens in the high-profile group of the society and on a very public scale at times. As discovered and validated by the Independent Expert, “Ignorance about issues related to [SOGI</w:t>
      </w:r>
      <w:r w:rsidR="00E04C57" w:rsidRPr="00410AB7">
        <w:rPr>
          <w:rFonts w:ascii="Tahoma" w:hAnsi="Tahoma" w:cs="Tahoma"/>
          <w:sz w:val="20"/>
          <w:szCs w:val="20"/>
          <w:lang w:val="en-GB"/>
        </w:rPr>
        <w:t>E</w:t>
      </w:r>
      <w:r w:rsidRPr="00410AB7">
        <w:rPr>
          <w:rFonts w:ascii="Tahoma" w:hAnsi="Tahoma" w:cs="Tahoma"/>
          <w:sz w:val="20"/>
          <w:szCs w:val="20"/>
          <w:lang w:val="en-GB"/>
        </w:rPr>
        <w:t>] and misconceptions create fertile ground for the manipulation of public opinion. An analysis of Georgian media monitoring shows that, in public spaces, homophobic hate speech is most frequently used by political and religious figures. For the former, it is at its height during elections, as the theme of [SOGI</w:t>
      </w:r>
      <w:r w:rsidR="00E04C57" w:rsidRPr="00410AB7">
        <w:rPr>
          <w:rFonts w:ascii="Tahoma" w:hAnsi="Tahoma" w:cs="Tahoma"/>
          <w:sz w:val="20"/>
          <w:szCs w:val="20"/>
          <w:lang w:val="en-GB"/>
        </w:rPr>
        <w:t>E</w:t>
      </w:r>
      <w:r w:rsidRPr="00410AB7">
        <w:rPr>
          <w:rFonts w:ascii="Tahoma" w:hAnsi="Tahoma" w:cs="Tahoma"/>
          <w:sz w:val="20"/>
          <w:szCs w:val="20"/>
          <w:lang w:val="en-GB"/>
        </w:rPr>
        <w:t>] is often used to political ends.”</w:t>
      </w:r>
      <w:r w:rsidRPr="00410AB7">
        <w:rPr>
          <w:rFonts w:ascii="Tahoma" w:hAnsi="Tahoma" w:cs="Tahoma"/>
          <w:sz w:val="20"/>
          <w:szCs w:val="20"/>
          <w:vertAlign w:val="superscript"/>
          <w:lang w:val="en-GB"/>
        </w:rPr>
        <w:footnoteReference w:id="9"/>
      </w:r>
      <w:r w:rsidRPr="00410AB7">
        <w:rPr>
          <w:rFonts w:ascii="Tahoma" w:hAnsi="Tahoma" w:cs="Tahoma"/>
          <w:sz w:val="20"/>
          <w:szCs w:val="20"/>
          <w:lang w:val="en-GB"/>
        </w:rPr>
        <w:t xml:space="preserve"> Parliamentarian </w:t>
      </w:r>
      <w:proofErr w:type="spellStart"/>
      <w:r w:rsidRPr="00410AB7">
        <w:rPr>
          <w:rFonts w:ascii="Tahoma" w:hAnsi="Tahoma" w:cs="Tahoma"/>
          <w:sz w:val="20"/>
          <w:szCs w:val="20"/>
          <w:lang w:val="en-GB"/>
        </w:rPr>
        <w:t>Emzar</w:t>
      </w:r>
      <w:proofErr w:type="spellEnd"/>
      <w:r w:rsidRPr="00410AB7">
        <w:rPr>
          <w:rFonts w:ascii="Tahoma" w:hAnsi="Tahoma" w:cs="Tahoma"/>
          <w:sz w:val="20"/>
          <w:szCs w:val="20"/>
          <w:lang w:val="en-GB"/>
        </w:rPr>
        <w:t xml:space="preserve"> </w:t>
      </w:r>
      <w:proofErr w:type="spellStart"/>
      <w:r w:rsidRPr="00410AB7">
        <w:rPr>
          <w:rFonts w:ascii="Tahoma" w:hAnsi="Tahoma" w:cs="Tahoma"/>
          <w:sz w:val="20"/>
          <w:szCs w:val="20"/>
          <w:lang w:val="en-GB"/>
        </w:rPr>
        <w:t>Kvitsiani</w:t>
      </w:r>
      <w:proofErr w:type="spellEnd"/>
      <w:r w:rsidRPr="00410AB7">
        <w:rPr>
          <w:rFonts w:ascii="Tahoma" w:hAnsi="Tahoma" w:cs="Tahoma"/>
          <w:sz w:val="20"/>
          <w:szCs w:val="20"/>
          <w:lang w:val="en-GB"/>
        </w:rPr>
        <w:t xml:space="preserve"> tried to push for the exclusion of SOGI</w:t>
      </w:r>
      <w:r w:rsidR="00E04C57" w:rsidRPr="00410AB7">
        <w:rPr>
          <w:rFonts w:ascii="Tahoma" w:hAnsi="Tahoma" w:cs="Tahoma"/>
          <w:sz w:val="20"/>
          <w:szCs w:val="20"/>
          <w:lang w:val="en-GB"/>
        </w:rPr>
        <w:t>E</w:t>
      </w:r>
      <w:r w:rsidRPr="00410AB7">
        <w:rPr>
          <w:rFonts w:ascii="Tahoma" w:hAnsi="Tahoma" w:cs="Tahoma"/>
          <w:sz w:val="20"/>
          <w:szCs w:val="20"/>
          <w:lang w:val="en-GB"/>
        </w:rPr>
        <w:t xml:space="preserve"> from the list of protected grounds as they “violate moral norms,”</w:t>
      </w:r>
      <w:r w:rsidRPr="00410AB7">
        <w:rPr>
          <w:rFonts w:ascii="Tahoma" w:hAnsi="Tahoma" w:cs="Tahoma"/>
          <w:sz w:val="20"/>
          <w:szCs w:val="20"/>
          <w:vertAlign w:val="superscript"/>
          <w:lang w:val="en-GB"/>
        </w:rPr>
        <w:footnoteReference w:id="10"/>
      </w:r>
      <w:r w:rsidRPr="00410AB7">
        <w:rPr>
          <w:rFonts w:ascii="Tahoma" w:hAnsi="Tahoma" w:cs="Tahoma"/>
          <w:sz w:val="20"/>
          <w:szCs w:val="20"/>
          <w:lang w:val="en-GB"/>
        </w:rPr>
        <w:t xml:space="preserve"> but the parliament denied adopting such a setback. People are rarely reprimanded by the authorities for hate speech in Georgia, thus tacitly seeking public support and approval.</w:t>
      </w:r>
      <w:r w:rsidRPr="00410AB7">
        <w:rPr>
          <w:rFonts w:ascii="Tahoma" w:hAnsi="Tahoma" w:cs="Tahoma"/>
          <w:sz w:val="20"/>
          <w:szCs w:val="20"/>
          <w:vertAlign w:val="superscript"/>
          <w:lang w:val="en-GB"/>
        </w:rPr>
        <w:footnoteReference w:id="11"/>
      </w:r>
      <w:r w:rsidRPr="00410AB7">
        <w:rPr>
          <w:rFonts w:ascii="Tahoma" w:hAnsi="Tahoma" w:cs="Tahoma"/>
          <w:sz w:val="20"/>
          <w:szCs w:val="20"/>
          <w:lang w:val="en-GB"/>
        </w:rPr>
        <w:t xml:space="preserve"> As validated by the Independent Expert, “a civil society organization reported that 731 homophobic public statements had been made in 2017, 255 by the media, 153 by politicians, 172 by other members of society, 24 by the clergy and 127 by civil organizations. Worryingly, a sharp increase was observed compared with previous years.”</w:t>
      </w:r>
      <w:r w:rsidRPr="00410AB7">
        <w:rPr>
          <w:rFonts w:ascii="Tahoma" w:hAnsi="Tahoma" w:cs="Tahoma"/>
          <w:sz w:val="20"/>
          <w:szCs w:val="20"/>
          <w:vertAlign w:val="superscript"/>
          <w:lang w:val="en-GB"/>
        </w:rPr>
        <w:footnoteReference w:id="12"/>
      </w:r>
      <w:r w:rsidRPr="00410AB7">
        <w:rPr>
          <w:rFonts w:ascii="Tahoma" w:hAnsi="Tahoma" w:cs="Tahoma"/>
          <w:sz w:val="20"/>
          <w:szCs w:val="20"/>
          <w:lang w:val="en-GB"/>
        </w:rPr>
        <w:t xml:space="preserve"> The authorities do not react, investigate, and punish people or public figures for homophobic and transphobic hate speech, which often alludes to the mythic “gay propaganda” and equalizing of homosexuality with perversion and </w:t>
      </w:r>
      <w:r w:rsidR="00410AB7" w:rsidRPr="00410AB7">
        <w:rPr>
          <w:rFonts w:ascii="Tahoma" w:hAnsi="Tahoma" w:cs="Tahoma"/>
          <w:sz w:val="20"/>
          <w:szCs w:val="20"/>
          <w:lang w:val="en-GB"/>
        </w:rPr>
        <w:t>paedophilia</w:t>
      </w:r>
      <w:r w:rsidRPr="00410AB7">
        <w:rPr>
          <w:rFonts w:ascii="Tahoma" w:hAnsi="Tahoma" w:cs="Tahoma"/>
          <w:sz w:val="20"/>
          <w:szCs w:val="20"/>
          <w:lang w:val="en-GB"/>
        </w:rPr>
        <w:t>.</w:t>
      </w:r>
      <w:r w:rsidRPr="00410AB7">
        <w:rPr>
          <w:rFonts w:ascii="Tahoma" w:hAnsi="Tahoma" w:cs="Tahoma"/>
          <w:sz w:val="20"/>
          <w:szCs w:val="20"/>
          <w:vertAlign w:val="superscript"/>
          <w:lang w:val="en-GB"/>
        </w:rPr>
        <w:footnoteReference w:id="13"/>
      </w:r>
      <w:r w:rsidRPr="00410AB7">
        <w:rPr>
          <w:rFonts w:ascii="Tahoma" w:hAnsi="Tahoma" w:cs="Tahoma"/>
          <w:sz w:val="20"/>
          <w:szCs w:val="20"/>
          <w:lang w:val="en-GB"/>
        </w:rPr>
        <w:t xml:space="preserve"> Such overt ignorance on the part of central authorities of Georgia is unacceptable. With the above-mentioned statements already, Georgia’s Report stating that the situation with identifying and investigating hate crime having improved seems bleak, to say the least. That being said, while the adoption of the Parliamentary Code of Ethics in February 2019 deserves acknowledgement, SOGIE is not mentioned there and the liability mechanism outlined in it is ineffective.</w:t>
      </w:r>
    </w:p>
    <w:p w14:paraId="00000055"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56" w14:textId="77777777"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Signalling the utter desperation that trans women experience in Georgia is a horrific event in April 2020. Trans women were holding a protest in front of Tbilisi Mayor’s Office building. One of the trans women rapidly undressed, poured gasoline over herself and was going to set herself on fire. The law-enforcement officers were </w:t>
      </w:r>
      <w:r w:rsidRPr="00410AB7">
        <w:rPr>
          <w:rFonts w:ascii="Tahoma" w:hAnsi="Tahoma" w:cs="Tahoma"/>
          <w:sz w:val="20"/>
          <w:szCs w:val="20"/>
          <w:lang w:val="en-GB"/>
        </w:rPr>
        <w:lastRenderedPageBreak/>
        <w:t xml:space="preserve">lucky to apprehend her before she set herself ablaze. Other trans women protesters indicated that because of the widespread loss of jobs due to the COVID-19 pandemic, the life of trans women became absolutely unbearable. The trans women protest was trying to draw the </w:t>
      </w:r>
      <w:proofErr w:type="gramStart"/>
      <w:r w:rsidRPr="00410AB7">
        <w:rPr>
          <w:rFonts w:ascii="Tahoma" w:hAnsi="Tahoma" w:cs="Tahoma"/>
          <w:sz w:val="20"/>
          <w:szCs w:val="20"/>
          <w:lang w:val="en-GB"/>
        </w:rPr>
        <w:t>Mayor’s</w:t>
      </w:r>
      <w:proofErr w:type="gramEnd"/>
      <w:r w:rsidRPr="00410AB7">
        <w:rPr>
          <w:rFonts w:ascii="Tahoma" w:hAnsi="Tahoma" w:cs="Tahoma"/>
          <w:sz w:val="20"/>
          <w:szCs w:val="20"/>
          <w:lang w:val="en-GB"/>
        </w:rPr>
        <w:t xml:space="preserve"> attention to the problems of trans people.</w:t>
      </w:r>
      <w:r w:rsidRPr="00410AB7">
        <w:rPr>
          <w:rFonts w:ascii="Tahoma" w:hAnsi="Tahoma" w:cs="Tahoma"/>
          <w:sz w:val="20"/>
          <w:szCs w:val="20"/>
          <w:vertAlign w:val="superscript"/>
          <w:lang w:val="en-GB"/>
        </w:rPr>
        <w:footnoteReference w:id="14"/>
      </w:r>
      <w:r w:rsidRPr="00410AB7">
        <w:rPr>
          <w:rFonts w:ascii="Tahoma" w:hAnsi="Tahoma" w:cs="Tahoma"/>
          <w:sz w:val="20"/>
          <w:szCs w:val="20"/>
          <w:lang w:val="en-GB"/>
        </w:rPr>
        <w:t xml:space="preserve"> </w:t>
      </w:r>
    </w:p>
    <w:p w14:paraId="00000059"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5A" w14:textId="77777777" w:rsidR="002019BA" w:rsidRPr="00410AB7" w:rsidRDefault="00F30E65">
      <w:pPr>
        <w:tabs>
          <w:tab w:val="left" w:pos="1689"/>
        </w:tabs>
        <w:spacing w:line="246" w:lineRule="auto"/>
        <w:ind w:right="826"/>
        <w:jc w:val="both"/>
        <w:rPr>
          <w:rFonts w:ascii="Tahoma" w:hAnsi="Tahoma" w:cs="Tahoma"/>
          <w:b/>
          <w:sz w:val="20"/>
          <w:szCs w:val="20"/>
          <w:lang w:val="en-GB"/>
        </w:rPr>
      </w:pPr>
      <w:r w:rsidRPr="00410AB7">
        <w:rPr>
          <w:rFonts w:ascii="Tahoma" w:hAnsi="Tahoma" w:cs="Tahoma"/>
          <w:b/>
          <w:sz w:val="20"/>
          <w:szCs w:val="20"/>
          <w:lang w:val="en-GB"/>
        </w:rPr>
        <w:t>Article 12 and 14 — Right to Health</w:t>
      </w:r>
    </w:p>
    <w:p w14:paraId="29F2217D" w14:textId="77777777" w:rsidR="00ED0000" w:rsidRDefault="00ED0000" w:rsidP="00ED0000">
      <w:pPr>
        <w:tabs>
          <w:tab w:val="left" w:pos="1689"/>
        </w:tabs>
        <w:spacing w:line="246" w:lineRule="auto"/>
        <w:ind w:left="1125" w:right="826"/>
        <w:jc w:val="both"/>
        <w:rPr>
          <w:rFonts w:ascii="Tahoma" w:hAnsi="Tahoma" w:cs="Tahoma"/>
          <w:sz w:val="20"/>
          <w:szCs w:val="20"/>
          <w:lang w:val="en-GB"/>
        </w:rPr>
      </w:pPr>
    </w:p>
    <w:p w14:paraId="0000005C" w14:textId="3FCFCE0C"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Article 12 Section 1 and</w:t>
      </w:r>
      <w:r w:rsidRPr="00410AB7">
        <w:rPr>
          <w:rFonts w:ascii="Tahoma" w:hAnsi="Tahoma" w:cs="Tahoma"/>
          <w:sz w:val="20"/>
          <w:szCs w:val="20"/>
          <w:highlight w:val="white"/>
          <w:lang w:val="en-GB"/>
        </w:rPr>
        <w:t xml:space="preserve"> </w:t>
      </w:r>
      <w:r w:rsidRPr="00410AB7">
        <w:rPr>
          <w:rFonts w:ascii="Tahoma" w:hAnsi="Tahoma" w:cs="Tahoma"/>
          <w:sz w:val="20"/>
          <w:szCs w:val="20"/>
          <w:lang w:val="en-GB"/>
        </w:rPr>
        <w:t>Article 14 section 1 para (b) of CEDAW establish the basis for non-discrimination when it comes to the right to health of all women, regardless of their social attributes. The right to health is a fundamental right of all people that should be unequivocally protected by every state, including Georgia. As the Independent Expert’s report confirms, “He encountered the pervasive notion that the aspects inherent to the sexual orientation or gender identity of lesbian, gay, bisexual, trans and gender diverse persons living in Georgia were sinful, shameful or pathologic. [...] The consequences of this concerted attack [by the church, politicians, and other ultra-rightists] are real. They include the threat for members of the community of exposure to violence and exclusion from health, housing, work and economic opportunities, and indeed all other basic elements fundamental to a person’s quest for happiness, through mechanisms of social exclusion and ostracism.”</w:t>
      </w:r>
      <w:r w:rsidRPr="00410AB7">
        <w:rPr>
          <w:rFonts w:ascii="Tahoma" w:hAnsi="Tahoma" w:cs="Tahoma"/>
          <w:sz w:val="20"/>
          <w:szCs w:val="20"/>
          <w:vertAlign w:val="superscript"/>
          <w:lang w:val="en-GB"/>
        </w:rPr>
        <w:footnoteReference w:id="15"/>
      </w:r>
    </w:p>
    <w:p w14:paraId="00000065"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66" w14:textId="3E7927A9"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When it comes to trans health, Georgian advances on LGBT</w:t>
      </w:r>
      <w:r w:rsidR="00596235" w:rsidRPr="00410AB7">
        <w:rPr>
          <w:rFonts w:ascii="Tahoma" w:hAnsi="Tahoma" w:cs="Tahoma"/>
          <w:sz w:val="20"/>
          <w:szCs w:val="20"/>
          <w:lang w:val="en-GB"/>
        </w:rPr>
        <w:t>+</w:t>
      </w:r>
      <w:r w:rsidRPr="00410AB7">
        <w:rPr>
          <w:rFonts w:ascii="Tahoma" w:hAnsi="Tahoma" w:cs="Tahoma"/>
          <w:sz w:val="20"/>
          <w:szCs w:val="20"/>
          <w:lang w:val="en-GB"/>
        </w:rPr>
        <w:t xml:space="preserve"> rights stop quite abruptly. On top of breach of confidentiality, trans people are often denied medical care when they turn to healthcare facilities. In October 2018, an LGBT+ NGO was contacted by a transgender woman K.K., a citizen of Azerbaijan, who had a severe form of tuberculosis. At the same </w:t>
      </w:r>
      <w:r w:rsidR="008D5B2D" w:rsidRPr="00410AB7">
        <w:rPr>
          <w:rFonts w:ascii="Tahoma" w:hAnsi="Tahoma" w:cs="Tahoma"/>
          <w:sz w:val="20"/>
          <w:szCs w:val="20"/>
          <w:lang w:val="en-GB"/>
        </w:rPr>
        <w:t>time,</w:t>
      </w:r>
      <w:r w:rsidRPr="00410AB7">
        <w:rPr>
          <w:rFonts w:ascii="Tahoma" w:hAnsi="Tahoma" w:cs="Tahoma"/>
          <w:sz w:val="20"/>
          <w:szCs w:val="20"/>
          <w:lang w:val="en-GB"/>
        </w:rPr>
        <w:t xml:space="preserve"> they turned out to have pneumonia. With the help of an LGBT+ NGO, a beneficiary called an ambulance on October 22. According to the medical personnel, they had the right to take the patient only to the Tuberculosis </w:t>
      </w:r>
      <w:r w:rsidR="00410AB7" w:rsidRPr="00410AB7">
        <w:rPr>
          <w:rFonts w:ascii="Tahoma" w:hAnsi="Tahoma" w:cs="Tahoma"/>
          <w:sz w:val="20"/>
          <w:szCs w:val="20"/>
          <w:lang w:val="en-GB"/>
        </w:rPr>
        <w:t>Centre</w:t>
      </w:r>
      <w:r w:rsidRPr="00410AB7">
        <w:rPr>
          <w:rFonts w:ascii="Tahoma" w:hAnsi="Tahoma" w:cs="Tahoma"/>
          <w:sz w:val="20"/>
          <w:szCs w:val="20"/>
          <w:lang w:val="en-GB"/>
        </w:rPr>
        <w:t xml:space="preserve"> — the ambulance would not transfer them to any other facilities. K.K., accompanied by the NGO’s social worker, was transferred to the Tuberculosis </w:t>
      </w:r>
      <w:r w:rsidR="00410AB7" w:rsidRPr="00410AB7">
        <w:rPr>
          <w:rFonts w:ascii="Tahoma" w:hAnsi="Tahoma" w:cs="Tahoma"/>
          <w:sz w:val="20"/>
          <w:szCs w:val="20"/>
          <w:lang w:val="en-GB"/>
        </w:rPr>
        <w:t>Centre</w:t>
      </w:r>
      <w:r w:rsidRPr="00410AB7">
        <w:rPr>
          <w:rFonts w:ascii="Tahoma" w:hAnsi="Tahoma" w:cs="Tahoma"/>
          <w:sz w:val="20"/>
          <w:szCs w:val="20"/>
          <w:lang w:val="en-GB"/>
        </w:rPr>
        <w:t xml:space="preserve">. Disdainful attitude towards the patient from the doctors on duty has to be noted. They were using phrases like “Is it a girl or a </w:t>
      </w:r>
      <w:proofErr w:type="gramStart"/>
      <w:r w:rsidRPr="00410AB7">
        <w:rPr>
          <w:rFonts w:ascii="Tahoma" w:hAnsi="Tahoma" w:cs="Tahoma"/>
          <w:sz w:val="20"/>
          <w:szCs w:val="20"/>
          <w:lang w:val="en-GB"/>
        </w:rPr>
        <w:t>boy?,</w:t>
      </w:r>
      <w:proofErr w:type="gramEnd"/>
      <w:r w:rsidRPr="00410AB7">
        <w:rPr>
          <w:rFonts w:ascii="Tahoma" w:hAnsi="Tahoma" w:cs="Tahoma"/>
          <w:sz w:val="20"/>
          <w:szCs w:val="20"/>
          <w:lang w:val="en-GB"/>
        </w:rPr>
        <w:t>” “Are they wearing nail polish?,” “Seems like you were at a gay club and that's why you're sick.” The facility finally refused to hospitalize K.K. because they were a citizen of a foreign country. In addition, they refused to provide any paid services. Despite the fact that the social worker mentioned the severity of the beneficiary’s health issues, they denied all kinds of services, including tests or hospitalization of the patient in the clinic. Litigation is ongoing.</w:t>
      </w:r>
      <w:r w:rsidR="00E63268" w:rsidRPr="00410AB7">
        <w:rPr>
          <w:rFonts w:ascii="Tahoma" w:hAnsi="Tahoma" w:cs="Tahoma"/>
          <w:sz w:val="20"/>
          <w:szCs w:val="20"/>
          <w:lang w:val="en-GB"/>
        </w:rPr>
        <w:t xml:space="preserve"> </w:t>
      </w:r>
    </w:p>
    <w:p w14:paraId="00000067"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4D4CC716" w14:textId="77777777" w:rsidR="004910A6" w:rsidRPr="00410AB7" w:rsidRDefault="00F30E65" w:rsidP="004910A6">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Since the Committee’s Concluding Observations regarding Georgia in 2014, the State Party has still adopted no legislation which would govern the procedure of legal gender confirmation when it comes to trans people. Trans </w:t>
      </w:r>
      <w:r w:rsidR="00E80449" w:rsidRPr="00410AB7">
        <w:rPr>
          <w:rFonts w:ascii="Tahoma" w:hAnsi="Tahoma" w:cs="Tahoma"/>
          <w:sz w:val="20"/>
          <w:szCs w:val="20"/>
          <w:lang w:val="en-GB"/>
        </w:rPr>
        <w:t>people</w:t>
      </w:r>
      <w:r w:rsidRPr="00410AB7">
        <w:rPr>
          <w:rFonts w:ascii="Tahoma" w:hAnsi="Tahoma" w:cs="Tahoma"/>
          <w:sz w:val="20"/>
          <w:szCs w:val="20"/>
          <w:lang w:val="en-GB"/>
        </w:rPr>
        <w:t xml:space="preserve"> also have no legislation regulating the issues of changing their gender. There are no laws or regulations that would establish a procedure for changing the gender marker in their identification documentation and the tax code to coincide with the changes. On practice, civil registrar bodies deny trans people changing the gender marker unless they bring a certificate that proves they have undergone a sex reassignment surgery. Even then, not all would accept the application and issue new documentation. Georgia should establish a dedicated commission to adopt the necessary laws and regulations in order to eliminate this discriminatory gap that leaves trans people virtually ignored by the law and degraded by the public that is denying them freedom of self-determination, gender identity, gender expression, and privacy. The state has no factual or alleged right to regulate an individual’s sexuality and gender expression, as per Georgia’s international and national laws. Laws that would govern an internationally acclaimed procedure of helping people receive state healthcare whenever any trans issues and needs are involved should be adopted. Trans </w:t>
      </w:r>
      <w:r w:rsidR="00E80449" w:rsidRPr="00410AB7">
        <w:rPr>
          <w:rFonts w:ascii="Tahoma" w:hAnsi="Tahoma" w:cs="Tahoma"/>
          <w:sz w:val="20"/>
          <w:szCs w:val="20"/>
          <w:lang w:val="en-GB"/>
        </w:rPr>
        <w:t xml:space="preserve">people </w:t>
      </w:r>
      <w:r w:rsidRPr="00410AB7">
        <w:rPr>
          <w:rFonts w:ascii="Tahoma" w:hAnsi="Tahoma" w:cs="Tahoma"/>
          <w:sz w:val="20"/>
          <w:szCs w:val="20"/>
          <w:lang w:val="en-GB"/>
        </w:rPr>
        <w:t>should be legally given the right to gender recognition regardless of whether they have undergone sex reassignment surgery or not, and the state should provide healthcare that the person needs during their transition. With this in mind, three cases against Georgia on Legal Gender Recognition have been communicated by European Court of Human Rights.</w:t>
      </w:r>
    </w:p>
    <w:p w14:paraId="2C90A603" w14:textId="77777777" w:rsidR="004910A6" w:rsidRPr="00410AB7" w:rsidRDefault="004910A6" w:rsidP="004910A6">
      <w:pPr>
        <w:tabs>
          <w:tab w:val="left" w:pos="1689"/>
        </w:tabs>
        <w:spacing w:line="246" w:lineRule="auto"/>
        <w:ind w:left="1125" w:right="826"/>
        <w:jc w:val="both"/>
        <w:rPr>
          <w:rFonts w:ascii="Tahoma" w:hAnsi="Tahoma" w:cs="Tahoma"/>
          <w:sz w:val="20"/>
          <w:szCs w:val="20"/>
          <w:lang w:val="en-GB"/>
        </w:rPr>
      </w:pPr>
    </w:p>
    <w:p w14:paraId="4A068943" w14:textId="47195946" w:rsidR="004910A6" w:rsidRPr="00410AB7" w:rsidRDefault="004910A6" w:rsidP="004910A6">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color w:val="000000"/>
          <w:sz w:val="20"/>
          <w:szCs w:val="20"/>
          <w:lang w:val="en-GB"/>
        </w:rPr>
        <w:lastRenderedPageBreak/>
        <w:t>ECOM would like to highlight the recent case</w:t>
      </w:r>
      <w:r w:rsidRPr="00410AB7">
        <w:rPr>
          <w:rStyle w:val="FootnoteReference"/>
          <w:rFonts w:ascii="Tahoma" w:hAnsi="Tahoma" w:cs="Tahoma"/>
          <w:color w:val="000000"/>
          <w:sz w:val="20"/>
          <w:szCs w:val="20"/>
          <w:lang w:val="en-GB"/>
        </w:rPr>
        <w:footnoteReference w:id="16"/>
      </w:r>
      <w:r w:rsidRPr="00410AB7">
        <w:rPr>
          <w:rFonts w:ascii="Tahoma" w:hAnsi="Tahoma" w:cs="Tahoma"/>
          <w:color w:val="000000"/>
          <w:sz w:val="20"/>
          <w:szCs w:val="20"/>
          <w:lang w:val="en-GB"/>
        </w:rPr>
        <w:t xml:space="preserve"> where a trans woman had finally got her gender marker changed from male to female and received new identifying documents earlier this March. However, this is the very first case of a trans person getting their documents changed, including their birth certificate, despite the fact that the above-mentioned norm has existed for years. The grounds for changing identifying documents of said trans woman was them undergoing </w:t>
      </w:r>
      <w:r w:rsidR="008D5B2D">
        <w:rPr>
          <w:rFonts w:ascii="Tahoma" w:hAnsi="Tahoma" w:cs="Tahoma"/>
          <w:color w:val="000000"/>
          <w:sz w:val="20"/>
          <w:szCs w:val="20"/>
          <w:lang w:val="en-GB"/>
        </w:rPr>
        <w:t>gender</w:t>
      </w:r>
      <w:r w:rsidRPr="00410AB7">
        <w:rPr>
          <w:rFonts w:ascii="Tahoma" w:hAnsi="Tahoma" w:cs="Tahoma"/>
          <w:color w:val="000000"/>
          <w:sz w:val="20"/>
          <w:szCs w:val="20"/>
          <w:lang w:val="en-GB"/>
        </w:rPr>
        <w:t xml:space="preserve"> reassignment surgery and providing the necessary proof. Although it is a commendable achievement, having this one ground — undergoing sex reassignment surgery — for changing one’s documents is very limiting and discriminatory. Georgia should amend its existing gender confirmation procedure based on the principle of freedom of self-determination, freedom of gender identity, and freedom of gender expression. This would serve greatly to decrease the stigma of trans women and also conform to ICD-11. </w:t>
      </w:r>
    </w:p>
    <w:p w14:paraId="00000069"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6A" w14:textId="77777777"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The absence of the ability to change one’s gender legally, regardless of them undergoing the sex reassignment surgery or not, also facilitates the inadequate representation of trans women as victims of hate crimes. The Independent Expert also concluded that “transphobic crimes are at times rendered invisible by a lack of proper identification of the victim. The fact that trans women are as a rule registered with sole reference to the gender marker in their official identity documents leads to most of them being registered as men, literally erasing the problematic that they face.”</w:t>
      </w:r>
      <w:r w:rsidRPr="00410AB7">
        <w:rPr>
          <w:rFonts w:ascii="Tahoma" w:hAnsi="Tahoma" w:cs="Tahoma"/>
          <w:sz w:val="20"/>
          <w:szCs w:val="20"/>
          <w:vertAlign w:val="superscript"/>
          <w:lang w:val="en-GB"/>
        </w:rPr>
        <w:footnoteReference w:id="17"/>
      </w:r>
      <w:r w:rsidRPr="00410AB7">
        <w:rPr>
          <w:rFonts w:ascii="Tahoma" w:hAnsi="Tahoma" w:cs="Tahoma"/>
          <w:sz w:val="20"/>
          <w:szCs w:val="20"/>
          <w:lang w:val="en-GB"/>
        </w:rPr>
        <w:t xml:space="preserve"> Regardless of any discriminating thought, science has long debunked all the phobic statements and biased claims regarding transgender people being inherently psychiatrically ill and having the need to be diagnosed as such and only then be allowed (if allowed) to change their gender marker and other identifying documentation in order to suite their chosen gender identity.</w:t>
      </w:r>
    </w:p>
    <w:p w14:paraId="0000006D"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6E" w14:textId="77777777"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Because trans people are denied legal confirmation of their desired gender, they are discriminated against both by the authorities and by the general public. For instance, on 20 June 2019, transgender woman K.K. approached a Georgian LGBT+ NGO for legal aid. According to the information provided by her, she was verbally and physically assaulted on </w:t>
      </w:r>
      <w:proofErr w:type="spellStart"/>
      <w:r w:rsidRPr="00410AB7">
        <w:rPr>
          <w:rFonts w:ascii="Tahoma" w:hAnsi="Tahoma" w:cs="Tahoma"/>
          <w:sz w:val="20"/>
          <w:szCs w:val="20"/>
          <w:lang w:val="en-GB"/>
        </w:rPr>
        <w:t>Tsereteli</w:t>
      </w:r>
      <w:proofErr w:type="spellEnd"/>
      <w:r w:rsidRPr="00410AB7">
        <w:rPr>
          <w:rFonts w:ascii="Tahoma" w:hAnsi="Tahoma" w:cs="Tahoma"/>
          <w:sz w:val="20"/>
          <w:szCs w:val="20"/>
          <w:lang w:val="en-GB"/>
        </w:rPr>
        <w:t xml:space="preserve"> Avenue in Tbilisi because she was dressed in a feminine manner and was wearing heavy make-up. The investigation was launched under Article 126 Section 1 of the Criminal Code of Georgia and is still ongoing. In another case, on 14 August 2019, </w:t>
      </w:r>
      <w:proofErr w:type="spellStart"/>
      <w:r w:rsidRPr="00410AB7">
        <w:rPr>
          <w:rFonts w:ascii="Tahoma" w:hAnsi="Tahoma" w:cs="Tahoma"/>
          <w:sz w:val="20"/>
          <w:szCs w:val="20"/>
          <w:lang w:val="en-GB"/>
        </w:rPr>
        <w:t>Z.Kh</w:t>
      </w:r>
      <w:proofErr w:type="spellEnd"/>
      <w:r w:rsidRPr="00410AB7">
        <w:rPr>
          <w:rFonts w:ascii="Tahoma" w:hAnsi="Tahoma" w:cs="Tahoma"/>
          <w:sz w:val="20"/>
          <w:szCs w:val="20"/>
          <w:lang w:val="en-GB"/>
        </w:rPr>
        <w:t xml:space="preserve">, a transgender woman, approached the same NGO for legal aid. As she said, she and her friend were verbally assaulted and threatened with homophobic and transphobic motives. </w:t>
      </w:r>
      <w:proofErr w:type="spellStart"/>
      <w:r w:rsidRPr="00410AB7">
        <w:rPr>
          <w:rFonts w:ascii="Tahoma" w:hAnsi="Tahoma" w:cs="Tahoma"/>
          <w:sz w:val="20"/>
          <w:szCs w:val="20"/>
          <w:lang w:val="en-GB"/>
        </w:rPr>
        <w:t>Z.Kh</w:t>
      </w:r>
      <w:proofErr w:type="spellEnd"/>
      <w:r w:rsidRPr="00410AB7">
        <w:rPr>
          <w:rFonts w:ascii="Tahoma" w:hAnsi="Tahoma" w:cs="Tahoma"/>
          <w:sz w:val="20"/>
          <w:szCs w:val="20"/>
          <w:lang w:val="en-GB"/>
        </w:rPr>
        <w:t xml:space="preserve"> also mentioned some misconduct from the police officers. The NGO planned to file a complaint with the General Inspection of the Ministry of Internal Affairs, but for unknown reasons, </w:t>
      </w:r>
      <w:proofErr w:type="spellStart"/>
      <w:r w:rsidRPr="00410AB7">
        <w:rPr>
          <w:rFonts w:ascii="Tahoma" w:hAnsi="Tahoma" w:cs="Tahoma"/>
          <w:sz w:val="20"/>
          <w:szCs w:val="20"/>
          <w:lang w:val="en-GB"/>
        </w:rPr>
        <w:t>Z.Kh</w:t>
      </w:r>
      <w:proofErr w:type="spellEnd"/>
      <w:r w:rsidRPr="00410AB7">
        <w:rPr>
          <w:rFonts w:ascii="Tahoma" w:hAnsi="Tahoma" w:cs="Tahoma"/>
          <w:sz w:val="20"/>
          <w:szCs w:val="20"/>
          <w:lang w:val="en-GB"/>
        </w:rPr>
        <w:t xml:space="preserve"> refused to proceed with prosecution.</w:t>
      </w:r>
    </w:p>
    <w:p w14:paraId="0000006F"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70" w14:textId="5B0A7A4B"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The predominant majority of transphobic cases remain undocumented. Creating an effective, comprehensive, and enforceable legislative framework that would govern proper and non-discriminatory issues of gender recognition are long overdue. Because of the inability to express themselves freely, trans </w:t>
      </w:r>
      <w:r w:rsidR="00E80449" w:rsidRPr="00410AB7">
        <w:rPr>
          <w:rFonts w:ascii="Tahoma" w:hAnsi="Tahoma" w:cs="Tahoma"/>
          <w:sz w:val="20"/>
          <w:szCs w:val="20"/>
          <w:lang w:val="en-GB"/>
        </w:rPr>
        <w:t>people</w:t>
      </w:r>
      <w:r w:rsidRPr="00410AB7">
        <w:rPr>
          <w:rFonts w:ascii="Tahoma" w:hAnsi="Tahoma" w:cs="Tahoma"/>
          <w:sz w:val="20"/>
          <w:szCs w:val="20"/>
          <w:lang w:val="en-GB"/>
        </w:rPr>
        <w:t xml:space="preserve"> live in stress, depression, and anxiety that distort their lives because of their fragile mental health which is then translated into their declining physiological state. Also, they are broadly subjected to degrading treatment and blackmail by strangers and sometimes even public servants. They are perceived as psychiatrically ill. Trans people are victims of intersectional stigmatization since not only are they at higher risks of getting infected with HIV due to the reasons gay men have, but they are also discredited by the medical workers as non-cisgender, creating higher risks of being abused or denied even the common healthcare services. Currently, trans women are far from being equal compared to the </w:t>
      </w:r>
      <w:r w:rsidR="00E80449" w:rsidRPr="00410AB7">
        <w:rPr>
          <w:rFonts w:ascii="Tahoma" w:hAnsi="Tahoma" w:cs="Tahoma"/>
          <w:sz w:val="20"/>
          <w:szCs w:val="20"/>
          <w:lang w:val="en-GB"/>
        </w:rPr>
        <w:t>cisgender</w:t>
      </w:r>
      <w:r w:rsidRPr="00410AB7">
        <w:rPr>
          <w:rFonts w:ascii="Tahoma" w:hAnsi="Tahoma" w:cs="Tahoma"/>
          <w:sz w:val="20"/>
          <w:szCs w:val="20"/>
          <w:lang w:val="en-GB"/>
        </w:rPr>
        <w:t xml:space="preserve"> Georgian population.</w:t>
      </w:r>
    </w:p>
    <w:p w14:paraId="00000071"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72" w14:textId="3873EFB2"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Despite the prohibition of discrimination based on SOGIE in place, many other issues are unregulated and their enforcement is ineffective or distorted. As the Independent Expert fairly notes, “The societal goal appears to perpetuate a vision of Georgia as a country composed exclusively of heterosexual, cisgender persons. As a result, the majority view is that lesbian, gay, bisexual, trans and gender diverse persons must conceal their identity if they want to be recognized as citizens respectful of morals </w:t>
      </w:r>
      <w:r w:rsidRPr="00410AB7">
        <w:rPr>
          <w:rFonts w:ascii="Tahoma" w:hAnsi="Tahoma" w:cs="Tahoma"/>
          <w:sz w:val="20"/>
          <w:szCs w:val="20"/>
          <w:lang w:val="en-GB"/>
        </w:rPr>
        <w:lastRenderedPageBreak/>
        <w:t xml:space="preserve">and values qualified as ‘good’. Those convictions are </w:t>
      </w:r>
      <w:r w:rsidR="00410AB7" w:rsidRPr="00410AB7">
        <w:rPr>
          <w:rFonts w:ascii="Tahoma" w:hAnsi="Tahoma" w:cs="Tahoma"/>
          <w:sz w:val="20"/>
          <w:szCs w:val="20"/>
          <w:lang w:val="en-GB"/>
        </w:rPr>
        <w:t>fuelled</w:t>
      </w:r>
      <w:r w:rsidRPr="00410AB7">
        <w:rPr>
          <w:rFonts w:ascii="Tahoma" w:hAnsi="Tahoma" w:cs="Tahoma"/>
          <w:sz w:val="20"/>
          <w:szCs w:val="20"/>
          <w:lang w:val="en-GB"/>
        </w:rPr>
        <w:t xml:space="preserve"> and reinforced by agents of the church, tolerated and at times sponsored by politicians, governmental and law enforcement agents, and replicated by mass and social media.”</w:t>
      </w:r>
      <w:r w:rsidRPr="00410AB7">
        <w:rPr>
          <w:rFonts w:ascii="Tahoma" w:hAnsi="Tahoma" w:cs="Tahoma"/>
          <w:sz w:val="20"/>
          <w:szCs w:val="20"/>
          <w:vertAlign w:val="superscript"/>
          <w:lang w:val="en-GB"/>
        </w:rPr>
        <w:footnoteReference w:id="18"/>
      </w:r>
      <w:r w:rsidRPr="00410AB7">
        <w:rPr>
          <w:rFonts w:ascii="Tahoma" w:hAnsi="Tahoma" w:cs="Tahoma"/>
          <w:sz w:val="20"/>
          <w:szCs w:val="20"/>
          <w:lang w:val="en-GB"/>
        </w:rPr>
        <w:t xml:space="preserve"> Most cases go unreported even to LGBT+ NGOs. Trans women are frequently denied fair general medical and HIV-specific services, in addition to cases of breach of patient health confidentiality, forced outing, extortion, blackmail, sexual assault, denial of emergency care, and such.</w:t>
      </w:r>
    </w:p>
    <w:p w14:paraId="0000007D"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7E" w14:textId="77777777" w:rsidR="002019BA" w:rsidRPr="00410AB7" w:rsidRDefault="00F30E65">
      <w:pPr>
        <w:tabs>
          <w:tab w:val="left" w:pos="1689"/>
        </w:tabs>
        <w:spacing w:line="246" w:lineRule="auto"/>
        <w:ind w:right="826"/>
        <w:jc w:val="both"/>
        <w:rPr>
          <w:rFonts w:ascii="Tahoma" w:hAnsi="Tahoma" w:cs="Tahoma"/>
          <w:b/>
          <w:sz w:val="20"/>
          <w:szCs w:val="20"/>
          <w:lang w:val="en-GB"/>
        </w:rPr>
      </w:pPr>
      <w:r w:rsidRPr="00410AB7">
        <w:rPr>
          <w:rFonts w:ascii="Tahoma" w:hAnsi="Tahoma" w:cs="Tahoma"/>
          <w:b/>
          <w:sz w:val="20"/>
          <w:szCs w:val="20"/>
          <w:lang w:val="en-GB"/>
        </w:rPr>
        <w:t xml:space="preserve">The Way Out — Sex Education </w:t>
      </w:r>
    </w:p>
    <w:p w14:paraId="0000007F"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80" w14:textId="6D88E1EA" w:rsidR="002019BA" w:rsidRPr="00410AB7" w:rsidRDefault="00F30E65">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Considering all the cases and inferences made above, it becomes apparent that the core reason for stigma and discrimination of the LBT women, particularly trans women, in Georgia is absence of modern sex education and low awareness on the matters of sexual and reproductive health. The Georgian government needs to adopt tailored national programmes that will focus on educating the medical staff and law-enforcement officers about gender and LGBT issues, and about working with LGBT PLHIV. It also needs to invest in supporting LGBT+ NGOs financially to raise the awareness about HIV for LBT, especially trans women, and decrease the stigma. Members of this marginalized community are simply afraid of getting degraded and ostracised and, instead, choose a path that has dangerous repercussions. Not only are they undereducated and scared to undergo regular HIV screening and/or treatment and exercise safe sex practices, they are afraid to turn for regular medical or legal aid, fearing forced outing, abuse and violence; and, as the cases prove, they have more than enough reasons to believe that. In addition, due to transphobia at work and then losing their jobs due to COVID-19 pandemic, many trans women are forced to earn their living from sex work, which is unregulated and exposes them to explicitly life-threatening events due to stigma and discrimination. While the necessary baseline legal provisions that prohibit all forms of discrimination, including based on SOGIE, are in place, the given alternative report shows that it does not mean effective enforcement. The Georgian government should develop not just inside hate crime programmes or other education events but approach the issue strategically. </w:t>
      </w:r>
      <w:r w:rsidR="00410AB7" w:rsidRPr="00410AB7">
        <w:rPr>
          <w:rFonts w:ascii="Tahoma" w:hAnsi="Tahoma" w:cs="Tahoma"/>
          <w:sz w:val="20"/>
          <w:szCs w:val="20"/>
          <w:lang w:val="en-GB"/>
        </w:rPr>
        <w:t>State-wide</w:t>
      </w:r>
      <w:r w:rsidRPr="00410AB7">
        <w:rPr>
          <w:rFonts w:ascii="Tahoma" w:hAnsi="Tahoma" w:cs="Tahoma"/>
          <w:sz w:val="20"/>
          <w:szCs w:val="20"/>
          <w:lang w:val="en-GB"/>
        </w:rPr>
        <w:t xml:space="preserve"> sensitization of law-enforcement officers and medical workers is direly needed. Georgia should include LGBT+ NGOs in developing a comprehensive sensitization programme for these categories and conduct them jointly, so as to dispel the bias and unscientific prejudice that they hold, which inhibits the successful enforcement of the good provisions enshrined in the Anti-Discrimination Act. Otherwise, the law will remain declaratory.</w:t>
      </w:r>
    </w:p>
    <w:p w14:paraId="00000081"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3456CB3D" w14:textId="509D8832" w:rsidR="00260021" w:rsidRPr="00410AB7" w:rsidRDefault="00F30E65" w:rsidP="004910A6">
      <w:pPr>
        <w:numPr>
          <w:ilvl w:val="1"/>
          <w:numId w:val="2"/>
        </w:numPr>
        <w:tabs>
          <w:tab w:val="left" w:pos="1689"/>
        </w:tabs>
        <w:spacing w:line="246" w:lineRule="auto"/>
        <w:ind w:left="1120" w:right="826" w:firstLine="5"/>
        <w:jc w:val="both"/>
        <w:rPr>
          <w:rFonts w:ascii="Tahoma" w:hAnsi="Tahoma" w:cs="Tahoma"/>
          <w:sz w:val="20"/>
          <w:szCs w:val="20"/>
          <w:lang w:val="en-GB"/>
        </w:rPr>
      </w:pPr>
      <w:r w:rsidRPr="00410AB7">
        <w:rPr>
          <w:rFonts w:ascii="Tahoma" w:hAnsi="Tahoma" w:cs="Tahoma"/>
          <w:sz w:val="20"/>
          <w:szCs w:val="20"/>
          <w:lang w:val="en-GB"/>
        </w:rPr>
        <w:t xml:space="preserve">The other issue is that, like in many CEECA countries, the topics of sex, sexual orientation, sexual identity, and gender have an inadequate perception among the general Georgian public. Whenever raised publicly or at home, they entail shame, hostility, and prejudice. Georgia needs to develop contemporary educational programmes for secondary and higher education students, as well as for the general public, on the matters of sex and reproductive health, including SOGIE issues. Children are often ashamed to ask their parents questions related to that area; the school staff is undereducated in that regard, also. Therefore, the discriminatory stereotypes that are voiced by the family, media, peers, or other public figures are taken at face value and critical thought is met with hostility. The government needs to adopt a contemporary, evidence-based, scientifically driven educational curriculum regarding sexual and reproductive health for children at schools, which will not be simply focused on girls not getting pregnant as teenagers. This has to be an awareness-raising and positively educational curriculum that will encompass issues of sexual identity, hygiene, gender, gender identity and expression, sexual orientation, friendliness and non-hostility towards people who have different sexual needs, and, of course, sexual health and reproductive health and safety during sex, and other sex-health related issues. The Georgian government should also introduce, on a national scale, issues of sexual orientation and gender identity, as well as PLHIV issues, into the mandatory curriculum of medical students of all specializations. It is on these levels, during secondary and higher education, that roots of stigma and discrimination towards LGBT and PLHIV take place. By providing not only the currently working medical and law-enforcement staff with contemporary education and awareness-raising regarding those topics but also </w:t>
      </w:r>
      <w:r w:rsidRPr="00410AB7">
        <w:rPr>
          <w:rFonts w:ascii="Tahoma" w:hAnsi="Tahoma" w:cs="Tahoma"/>
          <w:sz w:val="20"/>
          <w:szCs w:val="20"/>
          <w:lang w:val="en-GB"/>
        </w:rPr>
        <w:lastRenderedPageBreak/>
        <w:t>educating the future generations based on actual scientific data and not discriminatory stereotypes will result in a broad positive impact across the general public and the LGBT community.</w:t>
      </w:r>
    </w:p>
    <w:p w14:paraId="527B4BF2" w14:textId="77777777" w:rsidR="00260021" w:rsidRPr="00410AB7" w:rsidRDefault="00260021" w:rsidP="00596235">
      <w:pPr>
        <w:tabs>
          <w:tab w:val="left" w:pos="1689"/>
        </w:tabs>
        <w:spacing w:line="246" w:lineRule="auto"/>
        <w:ind w:left="1125" w:right="826"/>
        <w:jc w:val="both"/>
        <w:rPr>
          <w:rFonts w:ascii="Tahoma" w:hAnsi="Tahoma" w:cs="Tahoma"/>
          <w:sz w:val="20"/>
          <w:szCs w:val="20"/>
          <w:lang w:val="en-GB"/>
        </w:rPr>
      </w:pPr>
    </w:p>
    <w:p w14:paraId="00000086" w14:textId="77777777" w:rsidR="002019BA" w:rsidRPr="00410AB7" w:rsidRDefault="002019BA">
      <w:pPr>
        <w:tabs>
          <w:tab w:val="left" w:pos="1689"/>
        </w:tabs>
        <w:spacing w:line="246" w:lineRule="auto"/>
        <w:ind w:right="826"/>
        <w:jc w:val="both"/>
        <w:rPr>
          <w:rFonts w:ascii="Tahoma" w:hAnsi="Tahoma" w:cs="Tahoma"/>
          <w:sz w:val="20"/>
          <w:szCs w:val="20"/>
          <w:lang w:val="en-GB"/>
        </w:rPr>
      </w:pPr>
    </w:p>
    <w:p w14:paraId="00000087" w14:textId="77777777" w:rsidR="002019BA" w:rsidRPr="00410AB7" w:rsidRDefault="00F30E65">
      <w:pPr>
        <w:tabs>
          <w:tab w:val="left" w:pos="1689"/>
        </w:tabs>
        <w:spacing w:line="246" w:lineRule="auto"/>
        <w:ind w:right="826"/>
        <w:jc w:val="both"/>
        <w:rPr>
          <w:rFonts w:ascii="Tahoma" w:hAnsi="Tahoma" w:cs="Tahoma"/>
          <w:b/>
          <w:sz w:val="20"/>
          <w:szCs w:val="20"/>
          <w:lang w:val="en-GB"/>
        </w:rPr>
      </w:pPr>
      <w:r w:rsidRPr="00410AB7">
        <w:rPr>
          <w:rFonts w:ascii="Tahoma" w:hAnsi="Tahoma" w:cs="Tahoma"/>
          <w:b/>
          <w:sz w:val="20"/>
          <w:szCs w:val="20"/>
          <w:lang w:val="en-GB"/>
        </w:rPr>
        <w:t>Recommendations</w:t>
      </w:r>
    </w:p>
    <w:p w14:paraId="0000008E" w14:textId="77777777" w:rsidR="002019BA" w:rsidRPr="00410AB7" w:rsidRDefault="002019BA" w:rsidP="00ED0000">
      <w:pPr>
        <w:tabs>
          <w:tab w:val="left" w:pos="1689"/>
        </w:tabs>
        <w:spacing w:line="246" w:lineRule="auto"/>
        <w:ind w:right="826"/>
        <w:jc w:val="both"/>
        <w:rPr>
          <w:rFonts w:ascii="Tahoma" w:hAnsi="Tahoma" w:cs="Tahoma"/>
          <w:sz w:val="20"/>
          <w:szCs w:val="20"/>
          <w:lang w:val="en-GB"/>
        </w:rPr>
      </w:pPr>
    </w:p>
    <w:p w14:paraId="0000008F" w14:textId="166BE15C" w:rsidR="002019BA" w:rsidRPr="00410AB7" w:rsidRDefault="00F30E65">
      <w:pPr>
        <w:tabs>
          <w:tab w:val="left" w:pos="1689"/>
        </w:tabs>
        <w:spacing w:line="246" w:lineRule="auto"/>
        <w:ind w:left="1080" w:right="826"/>
        <w:jc w:val="both"/>
        <w:rPr>
          <w:rFonts w:ascii="Tahoma" w:hAnsi="Tahoma" w:cs="Tahoma"/>
          <w:sz w:val="20"/>
          <w:szCs w:val="20"/>
          <w:lang w:val="en-GB"/>
        </w:rPr>
      </w:pPr>
      <w:r w:rsidRPr="00410AB7">
        <w:rPr>
          <w:rFonts w:ascii="Tahoma" w:hAnsi="Tahoma" w:cs="Tahoma"/>
          <w:sz w:val="20"/>
          <w:szCs w:val="20"/>
          <w:lang w:val="en-GB"/>
        </w:rPr>
        <w:t>ECOM</w:t>
      </w:r>
      <w:r w:rsidR="00E04C57" w:rsidRPr="00410AB7">
        <w:rPr>
          <w:rFonts w:ascii="Tahoma" w:hAnsi="Tahoma" w:cs="Tahoma"/>
          <w:sz w:val="20"/>
          <w:szCs w:val="20"/>
          <w:lang w:val="en-GB"/>
        </w:rPr>
        <w:t xml:space="preserve"> and TEMIDA</w:t>
      </w:r>
      <w:r w:rsidRPr="00410AB7">
        <w:rPr>
          <w:rFonts w:ascii="Tahoma" w:hAnsi="Tahoma" w:cs="Tahoma"/>
          <w:sz w:val="20"/>
          <w:szCs w:val="20"/>
          <w:lang w:val="en-GB"/>
        </w:rPr>
        <w:t xml:space="preserve"> ask the Committee on the Elimination of Discrimination Against Women, during its </w:t>
      </w:r>
      <w:r w:rsidR="00CB604F" w:rsidRPr="00410AB7">
        <w:rPr>
          <w:rFonts w:ascii="Tahoma" w:hAnsi="Tahoma" w:cs="Tahoma"/>
          <w:sz w:val="20"/>
          <w:szCs w:val="20"/>
          <w:lang w:val="en-GB"/>
        </w:rPr>
        <w:t>81</w:t>
      </w:r>
      <w:r w:rsidR="00CB604F" w:rsidRPr="00410AB7">
        <w:rPr>
          <w:rFonts w:ascii="Tahoma" w:hAnsi="Tahoma" w:cs="Tahoma"/>
          <w:sz w:val="20"/>
          <w:szCs w:val="20"/>
          <w:vertAlign w:val="superscript"/>
          <w:lang w:val="en-GB"/>
        </w:rPr>
        <w:t>st</w:t>
      </w:r>
      <w:r w:rsidRPr="00410AB7">
        <w:rPr>
          <w:rFonts w:ascii="Tahoma" w:hAnsi="Tahoma" w:cs="Tahoma"/>
          <w:sz w:val="20"/>
          <w:szCs w:val="20"/>
          <w:lang w:val="en-GB"/>
        </w:rPr>
        <w:t xml:space="preserve"> </w:t>
      </w:r>
      <w:r w:rsidR="00CB604F" w:rsidRPr="00410AB7">
        <w:rPr>
          <w:rFonts w:ascii="Tahoma" w:hAnsi="Tahoma" w:cs="Tahoma"/>
          <w:sz w:val="20"/>
          <w:szCs w:val="20"/>
          <w:lang w:val="en-GB"/>
        </w:rPr>
        <w:t>Pre-</w:t>
      </w:r>
      <w:r w:rsidRPr="00410AB7">
        <w:rPr>
          <w:rFonts w:ascii="Tahoma" w:hAnsi="Tahoma" w:cs="Tahoma"/>
          <w:sz w:val="20"/>
          <w:szCs w:val="20"/>
          <w:lang w:val="en-GB"/>
        </w:rPr>
        <w:t>Session</w:t>
      </w:r>
      <w:r w:rsidR="00CB604F" w:rsidRPr="00410AB7">
        <w:rPr>
          <w:rFonts w:ascii="Tahoma" w:hAnsi="Tahoma" w:cs="Tahoma"/>
          <w:sz w:val="20"/>
          <w:szCs w:val="20"/>
          <w:lang w:val="en-GB"/>
        </w:rPr>
        <w:t>al Working Group</w:t>
      </w:r>
      <w:r w:rsidRPr="00410AB7">
        <w:rPr>
          <w:rFonts w:ascii="Tahoma" w:hAnsi="Tahoma" w:cs="Tahoma"/>
          <w:sz w:val="20"/>
          <w:szCs w:val="20"/>
          <w:lang w:val="en-GB"/>
        </w:rPr>
        <w:t xml:space="preserve">, to consider </w:t>
      </w:r>
      <w:r w:rsidR="00E04C57" w:rsidRPr="00410AB7">
        <w:rPr>
          <w:rFonts w:ascii="Tahoma" w:hAnsi="Tahoma" w:cs="Tahoma"/>
          <w:sz w:val="20"/>
          <w:szCs w:val="20"/>
          <w:lang w:val="en-GB"/>
        </w:rPr>
        <w:t>asking the</w:t>
      </w:r>
      <w:r w:rsidRPr="00410AB7">
        <w:rPr>
          <w:rFonts w:ascii="Tahoma" w:hAnsi="Tahoma" w:cs="Tahoma"/>
          <w:sz w:val="20"/>
          <w:szCs w:val="20"/>
          <w:lang w:val="en-GB"/>
        </w:rPr>
        <w:t xml:space="preserve"> following</w:t>
      </w:r>
      <w:r w:rsidR="00E04C57" w:rsidRPr="00410AB7">
        <w:rPr>
          <w:rFonts w:ascii="Tahoma" w:hAnsi="Tahoma" w:cs="Tahoma"/>
          <w:sz w:val="20"/>
          <w:szCs w:val="20"/>
          <w:lang w:val="en-GB"/>
        </w:rPr>
        <w:t xml:space="preserve"> questions</w:t>
      </w:r>
      <w:r w:rsidRPr="00410AB7">
        <w:rPr>
          <w:rFonts w:ascii="Tahoma" w:hAnsi="Tahoma" w:cs="Tahoma"/>
          <w:sz w:val="20"/>
          <w:szCs w:val="20"/>
          <w:lang w:val="en-GB"/>
        </w:rPr>
        <w:t>:</w:t>
      </w:r>
    </w:p>
    <w:p w14:paraId="1BEF6790" w14:textId="77777777" w:rsidR="00410AB7" w:rsidRPr="00410AB7" w:rsidRDefault="00410AB7" w:rsidP="00ED0000">
      <w:pPr>
        <w:tabs>
          <w:tab w:val="left" w:pos="1689"/>
        </w:tabs>
        <w:spacing w:line="246" w:lineRule="auto"/>
        <w:ind w:right="826"/>
        <w:jc w:val="both"/>
        <w:rPr>
          <w:rFonts w:ascii="Tahoma" w:hAnsi="Tahoma" w:cs="Tahoma"/>
          <w:sz w:val="20"/>
          <w:szCs w:val="20"/>
          <w:lang w:val="en-GB"/>
        </w:rPr>
      </w:pPr>
    </w:p>
    <w:p w14:paraId="0E129C95" w14:textId="77777777" w:rsidR="00E04C57" w:rsidRPr="00410AB7" w:rsidRDefault="00596235" w:rsidP="00E04C57">
      <w:pPr>
        <w:pStyle w:val="NormalWeb"/>
        <w:numPr>
          <w:ilvl w:val="0"/>
          <w:numId w:val="3"/>
        </w:numPr>
        <w:spacing w:before="0" w:beforeAutospacing="0" w:after="0" w:afterAutospacing="0"/>
        <w:ind w:left="1440" w:right="826"/>
        <w:jc w:val="both"/>
        <w:textAlignment w:val="baseline"/>
        <w:rPr>
          <w:rFonts w:ascii="Tahoma" w:hAnsi="Tahoma" w:cs="Tahoma"/>
          <w:color w:val="000000"/>
          <w:sz w:val="20"/>
          <w:szCs w:val="20"/>
          <w:lang w:val="en-GB"/>
        </w:rPr>
      </w:pPr>
      <w:r w:rsidRPr="00410AB7">
        <w:rPr>
          <w:rFonts w:ascii="Tahoma" w:hAnsi="Tahoma" w:cs="Tahoma"/>
          <w:color w:val="000000"/>
          <w:sz w:val="20"/>
          <w:szCs w:val="20"/>
          <w:lang w:val="en-GB"/>
        </w:rPr>
        <w:t>What measures has Georgia undertaken to amend its Law on Elimination of All Forms of Discrimination in order to strengthen the mandate of the Public Defender and grant them more punitive and effective authorities to prevent or reprimand discriminatory actions?</w:t>
      </w:r>
    </w:p>
    <w:p w14:paraId="60A6E43B" w14:textId="0C499B0D" w:rsidR="00E04C57" w:rsidRPr="00410AB7" w:rsidRDefault="00E04C57" w:rsidP="00E04C57">
      <w:pPr>
        <w:pStyle w:val="NormalWeb"/>
        <w:numPr>
          <w:ilvl w:val="0"/>
          <w:numId w:val="3"/>
        </w:numPr>
        <w:spacing w:before="0" w:beforeAutospacing="0" w:after="0" w:afterAutospacing="0"/>
        <w:ind w:left="1440" w:right="826"/>
        <w:jc w:val="both"/>
        <w:textAlignment w:val="baseline"/>
        <w:rPr>
          <w:rFonts w:ascii="Tahoma" w:hAnsi="Tahoma" w:cs="Tahoma"/>
          <w:color w:val="000000"/>
          <w:sz w:val="20"/>
          <w:szCs w:val="20"/>
          <w:lang w:val="en-GB"/>
        </w:rPr>
      </w:pPr>
      <w:r w:rsidRPr="00410AB7">
        <w:rPr>
          <w:rFonts w:ascii="Tahoma" w:hAnsi="Tahoma" w:cs="Tahoma"/>
          <w:sz w:val="20"/>
          <w:szCs w:val="20"/>
          <w:lang w:val="en-GB"/>
        </w:rPr>
        <w:t xml:space="preserve">What Georgia has done to sensitize low enforcement bodies, especially police who works in </w:t>
      </w:r>
      <w:proofErr w:type="spellStart"/>
      <w:r w:rsidRPr="00410AB7">
        <w:rPr>
          <w:rFonts w:ascii="Tahoma" w:hAnsi="Tahoma" w:cs="Tahoma"/>
          <w:sz w:val="20"/>
          <w:szCs w:val="20"/>
          <w:lang w:val="en-GB"/>
        </w:rPr>
        <w:t>Sapatrulo</w:t>
      </w:r>
      <w:proofErr w:type="spellEnd"/>
      <w:r w:rsidRPr="00410AB7">
        <w:rPr>
          <w:rFonts w:ascii="Tahoma" w:hAnsi="Tahoma" w:cs="Tahoma"/>
          <w:sz w:val="20"/>
          <w:szCs w:val="20"/>
          <w:lang w:val="en-GB"/>
        </w:rPr>
        <w:t xml:space="preserve"> police on gender identity and gender expression issues, raise their awareness on hate crimes committed towards trans people and adequately use personal pronouns. </w:t>
      </w:r>
    </w:p>
    <w:p w14:paraId="371DBAB7" w14:textId="2E2FC19C" w:rsidR="00596235" w:rsidRPr="00410AB7" w:rsidRDefault="00596235" w:rsidP="00596235">
      <w:pPr>
        <w:pStyle w:val="NormalWeb"/>
        <w:numPr>
          <w:ilvl w:val="0"/>
          <w:numId w:val="3"/>
        </w:numPr>
        <w:spacing w:before="0" w:beforeAutospacing="0" w:after="0" w:afterAutospacing="0"/>
        <w:ind w:left="1440" w:right="826"/>
        <w:jc w:val="both"/>
        <w:textAlignment w:val="baseline"/>
        <w:rPr>
          <w:rFonts w:ascii="Tahoma" w:hAnsi="Tahoma" w:cs="Tahoma"/>
          <w:color w:val="000000"/>
          <w:sz w:val="20"/>
          <w:szCs w:val="20"/>
          <w:lang w:val="en-GB"/>
        </w:rPr>
      </w:pPr>
      <w:r w:rsidRPr="00410AB7">
        <w:rPr>
          <w:rFonts w:ascii="Tahoma" w:hAnsi="Tahoma" w:cs="Tahoma"/>
          <w:color w:val="000000"/>
          <w:sz w:val="20"/>
          <w:szCs w:val="20"/>
          <w:lang w:val="en-GB"/>
        </w:rPr>
        <w:t>What activities has Georgia concluded to develop comprehensive, diversified, publicly available statistics regarding hate crimes based on SOGIE, where each individual protected attribute and each member of the LGBT community would have their specific section, so as to validly reflect the actual state of SOGIE-based hate crimes to further address gaps in legislative, law-enforcement, and judicial practices?</w:t>
      </w:r>
    </w:p>
    <w:p w14:paraId="0A90D686" w14:textId="3E69A429" w:rsidR="00596235" w:rsidRPr="00410AB7" w:rsidRDefault="00596235" w:rsidP="00596235">
      <w:pPr>
        <w:pStyle w:val="NormalWeb"/>
        <w:numPr>
          <w:ilvl w:val="0"/>
          <w:numId w:val="3"/>
        </w:numPr>
        <w:spacing w:before="0" w:beforeAutospacing="0" w:after="0" w:afterAutospacing="0"/>
        <w:ind w:left="1440" w:right="826"/>
        <w:jc w:val="both"/>
        <w:textAlignment w:val="baseline"/>
        <w:rPr>
          <w:rFonts w:ascii="Tahoma" w:hAnsi="Tahoma" w:cs="Tahoma"/>
          <w:color w:val="000000"/>
          <w:sz w:val="20"/>
          <w:szCs w:val="20"/>
          <w:lang w:val="en-GB"/>
        </w:rPr>
      </w:pPr>
      <w:r w:rsidRPr="00410AB7">
        <w:rPr>
          <w:rFonts w:ascii="Tahoma" w:hAnsi="Tahoma" w:cs="Tahoma"/>
          <w:color w:val="000000"/>
          <w:sz w:val="20"/>
          <w:szCs w:val="20"/>
          <w:lang w:val="en-GB"/>
        </w:rPr>
        <w:t>What actions has Georgia made to adopt a unified national plan with urgent activities to sensitize law enforcement and medical workers on all levels on the topics of SOGIE, and has Georgia included representatives of LGBT+ NGOs to draft such a plan and relevant activities and have they been included during the enactment of such activities?</w:t>
      </w:r>
    </w:p>
    <w:p w14:paraId="1016D82A" w14:textId="4EF820D6" w:rsidR="00596235" w:rsidRPr="00ED0000" w:rsidRDefault="00596235" w:rsidP="00ED0000">
      <w:pPr>
        <w:pStyle w:val="NormalWeb"/>
        <w:numPr>
          <w:ilvl w:val="0"/>
          <w:numId w:val="3"/>
        </w:numPr>
        <w:spacing w:before="0" w:beforeAutospacing="0" w:after="0" w:afterAutospacing="0"/>
        <w:ind w:left="1440" w:right="826"/>
        <w:jc w:val="both"/>
        <w:textAlignment w:val="baseline"/>
        <w:rPr>
          <w:rFonts w:ascii="Tahoma" w:hAnsi="Tahoma" w:cs="Tahoma"/>
          <w:color w:val="000000"/>
          <w:sz w:val="20"/>
          <w:szCs w:val="20"/>
          <w:lang w:val="en-GB"/>
        </w:rPr>
      </w:pPr>
      <w:r w:rsidRPr="00410AB7">
        <w:rPr>
          <w:rFonts w:ascii="Tahoma" w:hAnsi="Tahoma" w:cs="Tahoma"/>
          <w:color w:val="000000"/>
          <w:sz w:val="20"/>
          <w:szCs w:val="20"/>
          <w:lang w:val="en-GB"/>
        </w:rPr>
        <w:t xml:space="preserve">What has Georgia done to create and adopt a progressive, evidence-based legislative framework for legal gender recognition and change of gender markers for trans people at large, making gender recognition akin to a regular administrative process, as well as eliminating the need to undergo sex reassignment surgery as the only valid </w:t>
      </w:r>
      <w:r w:rsidR="00410AB7" w:rsidRPr="00410AB7">
        <w:rPr>
          <w:rFonts w:ascii="Tahoma" w:hAnsi="Tahoma" w:cs="Tahoma"/>
          <w:color w:val="000000"/>
          <w:sz w:val="20"/>
          <w:szCs w:val="20"/>
          <w:lang w:val="en-GB"/>
        </w:rPr>
        <w:t>reason</w:t>
      </w:r>
      <w:r w:rsidRPr="00410AB7">
        <w:rPr>
          <w:rFonts w:ascii="Tahoma" w:hAnsi="Tahoma" w:cs="Tahoma"/>
          <w:color w:val="000000"/>
          <w:sz w:val="20"/>
          <w:szCs w:val="20"/>
          <w:lang w:val="en-GB"/>
        </w:rPr>
        <w:t xml:space="preserve"> for changing one’s gender?</w:t>
      </w:r>
    </w:p>
    <w:sectPr w:rsidR="00596235" w:rsidRPr="00ED0000">
      <w:type w:val="continuous"/>
      <w:pgSz w:w="11900" w:h="16841"/>
      <w:pgMar w:top="650" w:right="1126" w:bottom="567"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2AE82C" w14:textId="77777777" w:rsidR="00521541" w:rsidRDefault="00521541">
      <w:r>
        <w:separator/>
      </w:r>
    </w:p>
  </w:endnote>
  <w:endnote w:type="continuationSeparator" w:id="0">
    <w:p w14:paraId="6A3527CC" w14:textId="77777777" w:rsidR="00521541" w:rsidRDefault="00521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altName w:val="﷽﷽﷽﷽﷽﷽﷽﷽÷怀"/>
    <w:panose1 w:val="02040502050405020303"/>
    <w:charset w:val="CC"/>
    <w:family w:val="roman"/>
    <w:pitch w:val="variable"/>
    <w:sig w:usb0="00000287" w:usb1="00000000" w:usb2="00000000" w:usb3="00000000" w:csb0="0000009F" w:csb1="00000000"/>
  </w:font>
  <w:font w:name="Segoe UI">
    <w:panose1 w:val="020B0604020202020204"/>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E7077E" w14:textId="77777777" w:rsidR="00521541" w:rsidRDefault="00521541">
      <w:r>
        <w:separator/>
      </w:r>
    </w:p>
  </w:footnote>
  <w:footnote w:type="continuationSeparator" w:id="0">
    <w:p w14:paraId="6A17D61C" w14:textId="77777777" w:rsidR="00521541" w:rsidRDefault="00521541">
      <w:r>
        <w:continuationSeparator/>
      </w:r>
    </w:p>
  </w:footnote>
  <w:footnote w:id="1">
    <w:p w14:paraId="000000A2"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Comparative Legislative Analysis 2017-2019 Related to LGBTQ Rights, ECOM.</w:t>
      </w:r>
    </w:p>
  </w:footnote>
  <w:footnote w:id="2">
    <w:p w14:paraId="000000A3" w14:textId="77777777" w:rsidR="002019BA" w:rsidRDefault="00F30E65">
      <w:pPr>
        <w:rPr>
          <w:sz w:val="20"/>
          <w:szCs w:val="20"/>
        </w:rPr>
      </w:pPr>
      <w:r w:rsidRPr="00E04C57">
        <w:rPr>
          <w:rFonts w:ascii="Tahoma" w:hAnsi="Tahoma" w:cs="Tahoma"/>
          <w:sz w:val="16"/>
          <w:szCs w:val="16"/>
          <w:vertAlign w:val="superscript"/>
        </w:rPr>
        <w:footnoteRef/>
      </w:r>
      <w:r w:rsidRPr="00E04C57">
        <w:rPr>
          <w:rFonts w:ascii="Tahoma" w:hAnsi="Tahoma" w:cs="Tahoma"/>
          <w:sz w:val="16"/>
          <w:szCs w:val="16"/>
        </w:rPr>
        <w:t xml:space="preserve"> The Criminal Code of Georgia,</w:t>
      </w:r>
      <w:hyperlink r:id="rId1">
        <w:r w:rsidRPr="00E04C57">
          <w:rPr>
            <w:rFonts w:ascii="Tahoma" w:hAnsi="Tahoma" w:cs="Tahoma"/>
            <w:sz w:val="16"/>
            <w:szCs w:val="16"/>
          </w:rPr>
          <w:t xml:space="preserve"> </w:t>
        </w:r>
      </w:hyperlink>
      <w:hyperlink r:id="rId2">
        <w:r w:rsidRPr="00E04C57">
          <w:rPr>
            <w:rFonts w:ascii="Tahoma" w:hAnsi="Tahoma" w:cs="Tahoma"/>
            <w:color w:val="1155CC"/>
            <w:sz w:val="16"/>
            <w:szCs w:val="16"/>
            <w:u w:val="single"/>
          </w:rPr>
          <w:t>https://matsne.gov.ge/ru/document/view/16426?publication=212</w:t>
        </w:r>
      </w:hyperlink>
    </w:p>
  </w:footnote>
  <w:footnote w:id="3">
    <w:p w14:paraId="000000A4"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Discrimination and Hate Crimes against LGBT People, </w:t>
      </w:r>
      <w:hyperlink r:id="rId3">
        <w:r w:rsidRPr="00E04C57">
          <w:rPr>
            <w:rFonts w:ascii="Tahoma" w:hAnsi="Tahoma" w:cs="Tahoma"/>
            <w:color w:val="1155CC"/>
            <w:sz w:val="16"/>
            <w:szCs w:val="16"/>
            <w:u w:val="single"/>
          </w:rPr>
          <w:t>https://women.ge/data/docs/publications/WISG_discrimination_and_hate_crime_against_lgbt_persons_KA_EN_2015.pdf</w:t>
        </w:r>
      </w:hyperlink>
      <w:r w:rsidRPr="00E04C57">
        <w:rPr>
          <w:rFonts w:ascii="Tahoma" w:hAnsi="Tahoma" w:cs="Tahoma"/>
          <w:sz w:val="16"/>
          <w:szCs w:val="16"/>
        </w:rPr>
        <w:t xml:space="preserve"> , p. 17</w:t>
      </w:r>
    </w:p>
  </w:footnote>
  <w:footnote w:id="4">
    <w:p w14:paraId="000000A5" w14:textId="77777777" w:rsidR="002019BA" w:rsidRDefault="00F30E65">
      <w:pPr>
        <w:rPr>
          <w:sz w:val="20"/>
          <w:szCs w:val="20"/>
        </w:rPr>
      </w:pPr>
      <w:r w:rsidRPr="00E04C57">
        <w:rPr>
          <w:rFonts w:ascii="Tahoma" w:hAnsi="Tahoma" w:cs="Tahoma"/>
          <w:sz w:val="16"/>
          <w:szCs w:val="16"/>
          <w:vertAlign w:val="superscript"/>
        </w:rPr>
        <w:footnoteRef/>
      </w:r>
      <w:r w:rsidRPr="00E04C57">
        <w:rPr>
          <w:rFonts w:ascii="Tahoma" w:hAnsi="Tahoma" w:cs="Tahoma"/>
          <w:sz w:val="16"/>
          <w:szCs w:val="16"/>
        </w:rPr>
        <w:t xml:space="preserve"> Submission to the Independent Expert on Protection Against Violence and Discrimination Based on Sexual Orientation and Gender Identity,</w:t>
      </w:r>
      <w:hyperlink r:id="rId4">
        <w:r w:rsidRPr="00E04C57">
          <w:rPr>
            <w:rFonts w:ascii="Tahoma" w:hAnsi="Tahoma" w:cs="Tahoma"/>
            <w:sz w:val="16"/>
            <w:szCs w:val="16"/>
          </w:rPr>
          <w:t xml:space="preserve"> </w:t>
        </w:r>
      </w:hyperlink>
      <w:hyperlink r:id="rId5">
        <w:r w:rsidRPr="00E04C57">
          <w:rPr>
            <w:rFonts w:ascii="Tahoma" w:hAnsi="Tahoma" w:cs="Tahoma"/>
            <w:color w:val="3366CC"/>
            <w:sz w:val="16"/>
            <w:szCs w:val="16"/>
            <w:u w:val="single"/>
          </w:rPr>
          <w:t>https://women.ge/en/publications/194/</w:t>
        </w:r>
      </w:hyperlink>
    </w:p>
  </w:footnote>
  <w:footnote w:id="5">
    <w:p w14:paraId="000000A6"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ECRI Report on Georgia (Fifth Monitoring Cycle) A/HRC/41/45/Add.1,</w:t>
      </w:r>
      <w:hyperlink r:id="rId6">
        <w:r w:rsidRPr="00E04C57">
          <w:rPr>
            <w:rFonts w:ascii="Tahoma" w:hAnsi="Tahoma" w:cs="Tahoma"/>
            <w:sz w:val="16"/>
            <w:szCs w:val="16"/>
          </w:rPr>
          <w:t xml:space="preserve"> </w:t>
        </w:r>
      </w:hyperlink>
      <w:hyperlink r:id="rId7">
        <w:r w:rsidRPr="00E04C57">
          <w:rPr>
            <w:rFonts w:ascii="Tahoma" w:hAnsi="Tahoma" w:cs="Tahoma"/>
            <w:color w:val="0563C1"/>
            <w:sz w:val="16"/>
            <w:szCs w:val="16"/>
            <w:u w:val="single"/>
          </w:rPr>
          <w:t>https://undocs.org/en/A/HRC/41/45/ADD.1?</w:t>
        </w:r>
      </w:hyperlink>
      <w:r w:rsidRPr="00E04C57">
        <w:rPr>
          <w:rFonts w:ascii="Tahoma" w:hAnsi="Tahoma" w:cs="Tahoma"/>
          <w:sz w:val="16"/>
          <w:szCs w:val="16"/>
        </w:rPr>
        <w:t>, para 68</w:t>
      </w:r>
    </w:p>
  </w:footnote>
  <w:footnote w:id="6">
    <w:p w14:paraId="000000A7"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Ibid., Sweden (rec. 118.10.)</w:t>
      </w:r>
    </w:p>
  </w:footnote>
  <w:footnote w:id="7">
    <w:p w14:paraId="000000A8"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w:t>
      </w:r>
      <w:r w:rsidRPr="00E04C57">
        <w:rPr>
          <w:rFonts w:ascii="Tahoma" w:hAnsi="Tahoma" w:cs="Tahoma"/>
          <w:i/>
          <w:sz w:val="16"/>
          <w:szCs w:val="16"/>
        </w:rPr>
        <w:t>ECRI Report on Georgia (Fifth Monitoring Cycle) A/HRC/41/45/Add.1</w:t>
      </w:r>
      <w:r w:rsidRPr="00E04C57">
        <w:rPr>
          <w:rFonts w:ascii="Tahoma" w:hAnsi="Tahoma" w:cs="Tahoma"/>
          <w:sz w:val="16"/>
          <w:szCs w:val="16"/>
        </w:rPr>
        <w:t>,</w:t>
      </w:r>
      <w:hyperlink r:id="rId8">
        <w:r w:rsidRPr="00E04C57">
          <w:rPr>
            <w:rFonts w:ascii="Tahoma" w:hAnsi="Tahoma" w:cs="Tahoma"/>
            <w:sz w:val="16"/>
            <w:szCs w:val="16"/>
          </w:rPr>
          <w:t xml:space="preserve"> </w:t>
        </w:r>
      </w:hyperlink>
      <w:hyperlink r:id="rId9">
        <w:r w:rsidRPr="00E04C57">
          <w:rPr>
            <w:rFonts w:ascii="Tahoma" w:hAnsi="Tahoma" w:cs="Tahoma"/>
            <w:color w:val="0563C1"/>
            <w:sz w:val="16"/>
            <w:szCs w:val="16"/>
            <w:u w:val="single"/>
          </w:rPr>
          <w:t>https://undocs.org/en/A/HRC/41/45/ADD.1?</w:t>
        </w:r>
      </w:hyperlink>
      <w:r w:rsidRPr="00E04C57">
        <w:rPr>
          <w:rFonts w:ascii="Tahoma" w:hAnsi="Tahoma" w:cs="Tahoma"/>
          <w:sz w:val="16"/>
          <w:szCs w:val="16"/>
        </w:rPr>
        <w:t>, para 40</w:t>
      </w:r>
    </w:p>
  </w:footnote>
  <w:footnote w:id="8">
    <w:p w14:paraId="000000A9" w14:textId="77777777" w:rsidR="002019BA" w:rsidRDefault="00F30E65">
      <w:pPr>
        <w:rPr>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Ibid., para 31</w:t>
      </w:r>
    </w:p>
  </w:footnote>
  <w:footnote w:id="9">
    <w:p w14:paraId="000000AA"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ECRI Report on Georgia (Fifth Monitoring Cycle) A/HRC/41/45/Add.1, </w:t>
      </w:r>
      <w:hyperlink r:id="rId10">
        <w:r w:rsidRPr="00E04C57">
          <w:rPr>
            <w:rFonts w:ascii="Tahoma" w:hAnsi="Tahoma" w:cs="Tahoma"/>
            <w:color w:val="1155CC"/>
            <w:sz w:val="16"/>
            <w:szCs w:val="16"/>
            <w:u w:val="single"/>
          </w:rPr>
          <w:t>https://undocs.org/en/A/HRC/41/45/ADD.1</w:t>
        </w:r>
      </w:hyperlink>
      <w:r w:rsidRPr="00E04C57">
        <w:rPr>
          <w:rFonts w:ascii="Tahoma" w:hAnsi="Tahoma" w:cs="Tahoma"/>
          <w:sz w:val="16"/>
          <w:szCs w:val="16"/>
        </w:rPr>
        <w:t xml:space="preserve"> , para 51</w:t>
      </w:r>
    </w:p>
  </w:footnote>
  <w:footnote w:id="10">
    <w:p w14:paraId="000000AB"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w:t>
      </w:r>
      <w:hyperlink r:id="rId11">
        <w:r w:rsidRPr="00E04C57">
          <w:rPr>
            <w:rFonts w:ascii="Tahoma" w:hAnsi="Tahoma" w:cs="Tahoma"/>
            <w:color w:val="0000FF"/>
            <w:sz w:val="16"/>
            <w:szCs w:val="16"/>
            <w:u w:val="single"/>
          </w:rPr>
          <w:t>https://1tv.ge/news/emzar-kvicianis-kanonproeqti-diskriminaciis-yvela-formis-aghmofkhvris-shesakheb-parlamentshi-chavarda</w:t>
        </w:r>
      </w:hyperlink>
    </w:p>
  </w:footnote>
  <w:footnote w:id="11">
    <w:p w14:paraId="000000AC"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ECRI Report on Georgia (Fifth Monitoring Cycle) A/HRC/41/45/Add.1,</w:t>
      </w:r>
      <w:hyperlink r:id="rId12">
        <w:r w:rsidRPr="00E04C57">
          <w:rPr>
            <w:rFonts w:ascii="Tahoma" w:hAnsi="Tahoma" w:cs="Tahoma"/>
            <w:sz w:val="16"/>
            <w:szCs w:val="16"/>
          </w:rPr>
          <w:t xml:space="preserve"> </w:t>
        </w:r>
      </w:hyperlink>
      <w:hyperlink r:id="rId13">
        <w:r w:rsidRPr="00E04C57">
          <w:rPr>
            <w:rFonts w:ascii="Tahoma" w:hAnsi="Tahoma" w:cs="Tahoma"/>
            <w:color w:val="0563C1"/>
            <w:sz w:val="16"/>
            <w:szCs w:val="16"/>
            <w:u w:val="single"/>
          </w:rPr>
          <w:t>https://undocs.org/en/A/HRC/41/45/ADD.1</w:t>
        </w:r>
      </w:hyperlink>
      <w:r w:rsidRPr="00E04C57">
        <w:rPr>
          <w:rFonts w:ascii="Tahoma" w:hAnsi="Tahoma" w:cs="Tahoma"/>
          <w:sz w:val="16"/>
          <w:szCs w:val="16"/>
        </w:rPr>
        <w:t>, para 52</w:t>
      </w:r>
    </w:p>
  </w:footnote>
  <w:footnote w:id="12">
    <w:p w14:paraId="000000AD"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Ibid., para 52; “Hate speech” (2018), Media Development Foundation,</w:t>
      </w:r>
      <w:hyperlink r:id="rId14">
        <w:r w:rsidRPr="00E04C57">
          <w:rPr>
            <w:rFonts w:ascii="Tahoma" w:hAnsi="Tahoma" w:cs="Tahoma"/>
            <w:sz w:val="16"/>
            <w:szCs w:val="16"/>
          </w:rPr>
          <w:t xml:space="preserve"> </w:t>
        </w:r>
      </w:hyperlink>
      <w:hyperlink r:id="rId15">
        <w:r w:rsidRPr="00E04C57">
          <w:rPr>
            <w:rFonts w:ascii="Tahoma" w:hAnsi="Tahoma" w:cs="Tahoma"/>
            <w:color w:val="1155CC"/>
            <w:sz w:val="16"/>
            <w:szCs w:val="16"/>
            <w:u w:val="single"/>
          </w:rPr>
          <w:t>www.mdfgeorgia.ge/eng/view-library/91</w:t>
        </w:r>
      </w:hyperlink>
    </w:p>
  </w:footnote>
  <w:footnote w:id="13">
    <w:p w14:paraId="000000AE"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Ibid., para 54</w:t>
      </w:r>
    </w:p>
  </w:footnote>
  <w:footnote w:id="14">
    <w:p w14:paraId="000000BB"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w:t>
      </w:r>
      <w:hyperlink r:id="rId16">
        <w:r w:rsidRPr="00E04C57">
          <w:rPr>
            <w:rFonts w:ascii="Tahoma" w:hAnsi="Tahoma" w:cs="Tahoma"/>
            <w:color w:val="1155CC"/>
            <w:sz w:val="16"/>
            <w:szCs w:val="16"/>
            <w:u w:val="single"/>
          </w:rPr>
          <w:t>https://sova.news/2020/04/30/zhenshhina-transgender-podozhgla-sebya-u-zdaniya-merii-tbilisi/</w:t>
        </w:r>
      </w:hyperlink>
      <w:r w:rsidRPr="00E04C57">
        <w:rPr>
          <w:rFonts w:ascii="Tahoma" w:hAnsi="Tahoma" w:cs="Tahoma"/>
          <w:sz w:val="16"/>
          <w:szCs w:val="16"/>
        </w:rPr>
        <w:t xml:space="preserve"> </w:t>
      </w:r>
    </w:p>
  </w:footnote>
  <w:footnote w:id="15">
    <w:p w14:paraId="000000B2"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ECRI Report on Georgia (Fifth Monitoring Cycle) A/HRC/41/45/Add.1,</w:t>
      </w:r>
      <w:hyperlink r:id="rId17">
        <w:r w:rsidRPr="00E04C57">
          <w:rPr>
            <w:rFonts w:ascii="Tahoma" w:hAnsi="Tahoma" w:cs="Tahoma"/>
            <w:sz w:val="16"/>
            <w:szCs w:val="16"/>
          </w:rPr>
          <w:t xml:space="preserve"> </w:t>
        </w:r>
      </w:hyperlink>
      <w:hyperlink r:id="rId18">
        <w:r w:rsidRPr="00E04C57">
          <w:rPr>
            <w:rFonts w:ascii="Tahoma" w:hAnsi="Tahoma" w:cs="Tahoma"/>
            <w:color w:val="0563C1"/>
            <w:sz w:val="16"/>
            <w:szCs w:val="16"/>
            <w:u w:val="single"/>
          </w:rPr>
          <w:t>https://undocs.org/en/A/HRC/41/45/ADD.1?</w:t>
        </w:r>
      </w:hyperlink>
      <w:r w:rsidRPr="00E04C57">
        <w:rPr>
          <w:rFonts w:ascii="Tahoma" w:hAnsi="Tahoma" w:cs="Tahoma"/>
          <w:sz w:val="16"/>
          <w:szCs w:val="16"/>
        </w:rPr>
        <w:t>, para 27-28</w:t>
      </w:r>
    </w:p>
  </w:footnote>
  <w:footnote w:id="16">
    <w:p w14:paraId="1D0BBCEE" w14:textId="42EAD561" w:rsidR="004910A6" w:rsidRPr="004910A6" w:rsidRDefault="004910A6">
      <w:pPr>
        <w:pStyle w:val="FootnoteText"/>
        <w:rPr>
          <w:rFonts w:ascii="Tahoma" w:hAnsi="Tahoma" w:cs="Tahoma"/>
          <w:sz w:val="16"/>
          <w:szCs w:val="16"/>
        </w:rPr>
      </w:pPr>
      <w:r w:rsidRPr="004910A6">
        <w:rPr>
          <w:rStyle w:val="FootnoteReference"/>
          <w:rFonts w:ascii="Tahoma" w:hAnsi="Tahoma" w:cs="Tahoma"/>
          <w:sz w:val="16"/>
          <w:szCs w:val="16"/>
        </w:rPr>
        <w:footnoteRef/>
      </w:r>
      <w:r w:rsidRPr="004910A6">
        <w:rPr>
          <w:rFonts w:ascii="Tahoma" w:hAnsi="Tahoma" w:cs="Tahoma"/>
          <w:sz w:val="16"/>
          <w:szCs w:val="16"/>
        </w:rPr>
        <w:t xml:space="preserve"> https://wisg.org/en/news/detail/324/First-time-in-Georgia-trans-person%27s-gender-has-been-legally-recognised</w:t>
      </w:r>
    </w:p>
  </w:footnote>
  <w:footnote w:id="17">
    <w:p w14:paraId="000000B7"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ECRI Report on Georgia (Fifth Monitoring Cycle) A/HRC/41/45/Add.1,</w:t>
      </w:r>
      <w:hyperlink r:id="rId19">
        <w:r w:rsidRPr="00E04C57">
          <w:rPr>
            <w:rFonts w:ascii="Tahoma" w:hAnsi="Tahoma" w:cs="Tahoma"/>
            <w:sz w:val="16"/>
            <w:szCs w:val="16"/>
          </w:rPr>
          <w:t xml:space="preserve"> </w:t>
        </w:r>
      </w:hyperlink>
      <w:hyperlink r:id="rId20">
        <w:r w:rsidRPr="00E04C57">
          <w:rPr>
            <w:rFonts w:ascii="Tahoma" w:hAnsi="Tahoma" w:cs="Tahoma"/>
            <w:color w:val="0563C1"/>
            <w:sz w:val="16"/>
            <w:szCs w:val="16"/>
            <w:u w:val="single"/>
          </w:rPr>
          <w:t>https://undocs.org/en/A/HRC/41/45/ADD.1?</w:t>
        </w:r>
      </w:hyperlink>
      <w:r w:rsidRPr="00E04C57">
        <w:rPr>
          <w:rFonts w:ascii="Tahoma" w:hAnsi="Tahoma" w:cs="Tahoma"/>
          <w:sz w:val="16"/>
          <w:szCs w:val="16"/>
        </w:rPr>
        <w:t>, para 44</w:t>
      </w:r>
    </w:p>
  </w:footnote>
  <w:footnote w:id="18">
    <w:p w14:paraId="000000B9" w14:textId="77777777" w:rsidR="002019BA" w:rsidRPr="00E04C57" w:rsidRDefault="00F30E65">
      <w:pPr>
        <w:rPr>
          <w:rFonts w:ascii="Tahoma" w:hAnsi="Tahoma" w:cs="Tahoma"/>
          <w:sz w:val="16"/>
          <w:szCs w:val="16"/>
        </w:rPr>
      </w:pPr>
      <w:r w:rsidRPr="00E04C57">
        <w:rPr>
          <w:rFonts w:ascii="Tahoma" w:hAnsi="Tahoma" w:cs="Tahoma"/>
          <w:sz w:val="16"/>
          <w:szCs w:val="16"/>
          <w:vertAlign w:val="superscript"/>
        </w:rPr>
        <w:footnoteRef/>
      </w:r>
      <w:r w:rsidRPr="00E04C57">
        <w:rPr>
          <w:rFonts w:ascii="Tahoma" w:hAnsi="Tahoma" w:cs="Tahoma"/>
          <w:sz w:val="16"/>
          <w:szCs w:val="16"/>
        </w:rPr>
        <w:t xml:space="preserve"> ECRI Report on Georgia (Fifth Monitoring Cycle) A/HRC/41/45/Add.1,</w:t>
      </w:r>
      <w:hyperlink r:id="rId21">
        <w:r w:rsidRPr="00E04C57">
          <w:rPr>
            <w:rFonts w:ascii="Tahoma" w:hAnsi="Tahoma" w:cs="Tahoma"/>
            <w:sz w:val="16"/>
            <w:szCs w:val="16"/>
          </w:rPr>
          <w:t xml:space="preserve"> </w:t>
        </w:r>
      </w:hyperlink>
      <w:hyperlink r:id="rId22">
        <w:r w:rsidRPr="00E04C57">
          <w:rPr>
            <w:rFonts w:ascii="Tahoma" w:hAnsi="Tahoma" w:cs="Tahoma"/>
            <w:color w:val="0563C1"/>
            <w:sz w:val="16"/>
            <w:szCs w:val="16"/>
            <w:u w:val="single"/>
          </w:rPr>
          <w:t>https://undocs.org/en/A/HRC/41/45/ADD.1?</w:t>
        </w:r>
      </w:hyperlink>
      <w:r w:rsidRPr="00E04C57">
        <w:rPr>
          <w:rFonts w:ascii="Tahoma" w:hAnsi="Tahoma" w:cs="Tahoma"/>
          <w:sz w:val="16"/>
          <w:szCs w:val="16"/>
        </w:rPr>
        <w:t>, para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C" w14:textId="2BD96AB8" w:rsidR="002019BA" w:rsidRDefault="002019BA">
    <w:pPr>
      <w:jc w:val="right"/>
      <w:rPr>
        <w:sz w:val="20"/>
        <w:szCs w:val="20"/>
      </w:rPr>
    </w:pPr>
  </w:p>
  <w:p w14:paraId="4EDFE3E4" w14:textId="7E3693DE" w:rsidR="00E04C57" w:rsidRDefault="00E04C57">
    <w:pPr>
      <w:jc w:val="right"/>
      <w:rPr>
        <w:sz w:val="20"/>
        <w:szCs w:val="20"/>
      </w:rPr>
    </w:pPr>
  </w:p>
  <w:p w14:paraId="0ED39706" w14:textId="66557FE5" w:rsidR="00E04C57" w:rsidRDefault="00E04C57">
    <w:pPr>
      <w:jc w:val="right"/>
      <w:rPr>
        <w:sz w:val="20"/>
        <w:szCs w:val="20"/>
      </w:rPr>
    </w:pPr>
  </w:p>
  <w:p w14:paraId="79184F4D" w14:textId="77777777" w:rsidR="00E04C57" w:rsidRDefault="00E04C57">
    <w:pPr>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9D" w14:textId="77777777" w:rsidR="002019BA" w:rsidRDefault="002019BA">
    <w:pPr>
      <w:jc w:val="right"/>
      <w:rPr>
        <w:sz w:val="20"/>
        <w:szCs w:val="20"/>
      </w:rPr>
    </w:pPr>
  </w:p>
  <w:p w14:paraId="0000009F" w14:textId="3BECD97A" w:rsidR="002019BA" w:rsidRDefault="002019BA">
    <w:pPr>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8F35F4"/>
    <w:multiLevelType w:val="multilevel"/>
    <w:tmpl w:val="44FA78DE"/>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7CB4276"/>
    <w:multiLevelType w:val="multilevel"/>
    <w:tmpl w:val="EF809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BE5595"/>
    <w:multiLevelType w:val="multilevel"/>
    <w:tmpl w:val="D3EA3B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9BA"/>
    <w:rsid w:val="000F394A"/>
    <w:rsid w:val="002019BA"/>
    <w:rsid w:val="00260021"/>
    <w:rsid w:val="00410AB7"/>
    <w:rsid w:val="004348FA"/>
    <w:rsid w:val="004910A6"/>
    <w:rsid w:val="004B1B7D"/>
    <w:rsid w:val="004D1238"/>
    <w:rsid w:val="00521541"/>
    <w:rsid w:val="005332EF"/>
    <w:rsid w:val="00582CB1"/>
    <w:rsid w:val="00596235"/>
    <w:rsid w:val="006001E9"/>
    <w:rsid w:val="00714DBF"/>
    <w:rsid w:val="00885E40"/>
    <w:rsid w:val="008D5B2D"/>
    <w:rsid w:val="0091258D"/>
    <w:rsid w:val="009648B6"/>
    <w:rsid w:val="009C30B5"/>
    <w:rsid w:val="00B058A3"/>
    <w:rsid w:val="00B06DA8"/>
    <w:rsid w:val="00B63E2D"/>
    <w:rsid w:val="00CB604F"/>
    <w:rsid w:val="00E04C57"/>
    <w:rsid w:val="00E63268"/>
    <w:rsid w:val="00E80449"/>
    <w:rsid w:val="00ED0000"/>
    <w:rsid w:val="00F30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9B1C3"/>
  <w15:docId w15:val="{96A29580-DA8B-C14E-AAD3-A68490957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CB604F"/>
    <w:pPr>
      <w:tabs>
        <w:tab w:val="center" w:pos="4513"/>
        <w:tab w:val="right" w:pos="9026"/>
      </w:tabs>
    </w:pPr>
  </w:style>
  <w:style w:type="character" w:customStyle="1" w:styleId="HeaderChar">
    <w:name w:val="Header Char"/>
    <w:basedOn w:val="DefaultParagraphFont"/>
    <w:link w:val="Header"/>
    <w:uiPriority w:val="99"/>
    <w:rsid w:val="00CB604F"/>
  </w:style>
  <w:style w:type="paragraph" w:styleId="Footer">
    <w:name w:val="footer"/>
    <w:basedOn w:val="Normal"/>
    <w:link w:val="FooterChar"/>
    <w:uiPriority w:val="99"/>
    <w:unhideWhenUsed/>
    <w:rsid w:val="00CB604F"/>
    <w:pPr>
      <w:tabs>
        <w:tab w:val="center" w:pos="4513"/>
        <w:tab w:val="right" w:pos="9026"/>
      </w:tabs>
    </w:pPr>
  </w:style>
  <w:style w:type="character" w:customStyle="1" w:styleId="FooterChar">
    <w:name w:val="Footer Char"/>
    <w:basedOn w:val="DefaultParagraphFont"/>
    <w:link w:val="Footer"/>
    <w:uiPriority w:val="99"/>
    <w:rsid w:val="00CB604F"/>
  </w:style>
  <w:style w:type="character" w:styleId="CommentReference">
    <w:name w:val="annotation reference"/>
    <w:basedOn w:val="DefaultParagraphFont"/>
    <w:uiPriority w:val="99"/>
    <w:semiHidden/>
    <w:unhideWhenUsed/>
    <w:rsid w:val="00CB604F"/>
    <w:rPr>
      <w:sz w:val="16"/>
      <w:szCs w:val="16"/>
    </w:rPr>
  </w:style>
  <w:style w:type="paragraph" w:styleId="CommentText">
    <w:name w:val="annotation text"/>
    <w:basedOn w:val="Normal"/>
    <w:link w:val="CommentTextChar"/>
    <w:uiPriority w:val="99"/>
    <w:semiHidden/>
    <w:unhideWhenUsed/>
    <w:rsid w:val="00CB604F"/>
    <w:rPr>
      <w:sz w:val="20"/>
      <w:szCs w:val="20"/>
    </w:rPr>
  </w:style>
  <w:style w:type="character" w:customStyle="1" w:styleId="CommentTextChar">
    <w:name w:val="Comment Text Char"/>
    <w:basedOn w:val="DefaultParagraphFont"/>
    <w:link w:val="CommentText"/>
    <w:uiPriority w:val="99"/>
    <w:semiHidden/>
    <w:rsid w:val="00CB604F"/>
    <w:rPr>
      <w:sz w:val="20"/>
      <w:szCs w:val="20"/>
    </w:rPr>
  </w:style>
  <w:style w:type="paragraph" w:styleId="CommentSubject">
    <w:name w:val="annotation subject"/>
    <w:basedOn w:val="CommentText"/>
    <w:next w:val="CommentText"/>
    <w:link w:val="CommentSubjectChar"/>
    <w:uiPriority w:val="99"/>
    <w:semiHidden/>
    <w:unhideWhenUsed/>
    <w:rsid w:val="00CB604F"/>
    <w:rPr>
      <w:b/>
      <w:bCs/>
    </w:rPr>
  </w:style>
  <w:style w:type="character" w:customStyle="1" w:styleId="CommentSubjectChar">
    <w:name w:val="Comment Subject Char"/>
    <w:basedOn w:val="CommentTextChar"/>
    <w:link w:val="CommentSubject"/>
    <w:uiPriority w:val="99"/>
    <w:semiHidden/>
    <w:rsid w:val="00CB604F"/>
    <w:rPr>
      <w:b/>
      <w:bCs/>
      <w:sz w:val="20"/>
      <w:szCs w:val="20"/>
    </w:rPr>
  </w:style>
  <w:style w:type="paragraph" w:styleId="BalloonText">
    <w:name w:val="Balloon Text"/>
    <w:basedOn w:val="Normal"/>
    <w:link w:val="BalloonTextChar"/>
    <w:uiPriority w:val="99"/>
    <w:semiHidden/>
    <w:unhideWhenUsed/>
    <w:rsid w:val="00885E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5E40"/>
    <w:rPr>
      <w:rFonts w:ascii="Segoe UI" w:hAnsi="Segoe UI" w:cs="Segoe UI"/>
      <w:sz w:val="18"/>
      <w:szCs w:val="18"/>
    </w:rPr>
  </w:style>
  <w:style w:type="paragraph" w:styleId="NormalWeb">
    <w:name w:val="Normal (Web)"/>
    <w:basedOn w:val="Normal"/>
    <w:uiPriority w:val="99"/>
    <w:unhideWhenUsed/>
    <w:rsid w:val="00596235"/>
    <w:pPr>
      <w:spacing w:before="100" w:beforeAutospacing="1" w:after="100" w:afterAutospacing="1"/>
    </w:pPr>
    <w:rPr>
      <w:sz w:val="24"/>
      <w:szCs w:val="24"/>
    </w:rPr>
  </w:style>
  <w:style w:type="character" w:customStyle="1" w:styleId="InternetLink">
    <w:name w:val="Internet Link"/>
    <w:basedOn w:val="DefaultParagraphFont"/>
    <w:uiPriority w:val="99"/>
    <w:unhideWhenUsed/>
    <w:rsid w:val="00E04C57"/>
    <w:rPr>
      <w:color w:val="0000FF" w:themeColor="hyperlink"/>
      <w:u w:val="single"/>
    </w:rPr>
  </w:style>
  <w:style w:type="table" w:styleId="TableGrid">
    <w:name w:val="Table Grid"/>
    <w:basedOn w:val="TableNormal"/>
    <w:uiPriority w:val="39"/>
    <w:rsid w:val="00E04C57"/>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4C57"/>
    <w:rPr>
      <w:color w:val="0000FF"/>
      <w:u w:val="single"/>
    </w:rPr>
  </w:style>
  <w:style w:type="character" w:customStyle="1" w:styleId="UnresolvedMention1">
    <w:name w:val="Unresolved Mention1"/>
    <w:basedOn w:val="DefaultParagraphFont"/>
    <w:uiPriority w:val="99"/>
    <w:semiHidden/>
    <w:unhideWhenUsed/>
    <w:rsid w:val="00260021"/>
    <w:rPr>
      <w:color w:val="605E5C"/>
      <w:shd w:val="clear" w:color="auto" w:fill="E1DFDD"/>
    </w:rPr>
  </w:style>
  <w:style w:type="paragraph" w:styleId="ListParagraph">
    <w:name w:val="List Paragraph"/>
    <w:basedOn w:val="Normal"/>
    <w:uiPriority w:val="34"/>
    <w:qFormat/>
    <w:rsid w:val="004910A6"/>
    <w:pPr>
      <w:ind w:left="720"/>
      <w:contextualSpacing/>
    </w:pPr>
  </w:style>
  <w:style w:type="paragraph" w:styleId="FootnoteText">
    <w:name w:val="footnote text"/>
    <w:basedOn w:val="Normal"/>
    <w:link w:val="FootnoteTextChar"/>
    <w:uiPriority w:val="99"/>
    <w:semiHidden/>
    <w:unhideWhenUsed/>
    <w:rsid w:val="004910A6"/>
    <w:rPr>
      <w:sz w:val="20"/>
      <w:szCs w:val="20"/>
    </w:rPr>
  </w:style>
  <w:style w:type="character" w:customStyle="1" w:styleId="FootnoteTextChar">
    <w:name w:val="Footnote Text Char"/>
    <w:basedOn w:val="DefaultParagraphFont"/>
    <w:link w:val="FootnoteText"/>
    <w:uiPriority w:val="99"/>
    <w:semiHidden/>
    <w:rsid w:val="004910A6"/>
    <w:rPr>
      <w:sz w:val="20"/>
      <w:szCs w:val="20"/>
    </w:rPr>
  </w:style>
  <w:style w:type="character" w:styleId="FootnoteReference">
    <w:name w:val="footnote reference"/>
    <w:basedOn w:val="DefaultParagraphFont"/>
    <w:uiPriority w:val="99"/>
    <w:semiHidden/>
    <w:unhideWhenUsed/>
    <w:rsid w:val="004910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4118501">
      <w:bodyDiv w:val="1"/>
      <w:marLeft w:val="0"/>
      <w:marRight w:val="0"/>
      <w:marTop w:val="0"/>
      <w:marBottom w:val="0"/>
      <w:divBdr>
        <w:top w:val="none" w:sz="0" w:space="0" w:color="auto"/>
        <w:left w:val="none" w:sz="0" w:space="0" w:color="auto"/>
        <w:bottom w:val="none" w:sz="0" w:space="0" w:color="auto"/>
        <w:right w:val="none" w:sz="0" w:space="0" w:color="auto"/>
      </w:divBdr>
    </w:div>
    <w:div w:id="780220729">
      <w:bodyDiv w:val="1"/>
      <w:marLeft w:val="0"/>
      <w:marRight w:val="0"/>
      <w:marTop w:val="0"/>
      <w:marBottom w:val="0"/>
      <w:divBdr>
        <w:top w:val="none" w:sz="0" w:space="0" w:color="auto"/>
        <w:left w:val="none" w:sz="0" w:space="0" w:color="auto"/>
        <w:bottom w:val="none" w:sz="0" w:space="0" w:color="auto"/>
        <w:right w:val="none" w:sz="0" w:space="0" w:color="auto"/>
      </w:divBdr>
    </w:div>
    <w:div w:id="1720930904">
      <w:bodyDiv w:val="1"/>
      <w:marLeft w:val="0"/>
      <w:marRight w:val="0"/>
      <w:marTop w:val="0"/>
      <w:marBottom w:val="0"/>
      <w:divBdr>
        <w:top w:val="none" w:sz="0" w:space="0" w:color="auto"/>
        <w:left w:val="none" w:sz="0" w:space="0" w:color="auto"/>
        <w:bottom w:val="none" w:sz="0" w:space="0" w:color="auto"/>
        <w:right w:val="none" w:sz="0" w:space="0" w:color="auto"/>
      </w:divBdr>
    </w:div>
    <w:div w:id="2067484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yuri@ecom.ng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com.ng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A/HRC/41/45/ADD.1?fbclid=IwAR1uGxuJ6lMh0KqfYO9D1vUNMQv4SWO0LSiwgZcH7UQCeSdylM71tmToyZo" TargetMode="External"/><Relationship Id="rId13" Type="http://schemas.openxmlformats.org/officeDocument/2006/relationships/hyperlink" Target="https://undocs.org/en/A/HRC/41/45/ADD.1" TargetMode="External"/><Relationship Id="rId18" Type="http://schemas.openxmlformats.org/officeDocument/2006/relationships/hyperlink" Target="https://undocs.org/en/A/HRC/41/45/ADD.1?fbclid=IwAR1uGxuJ6lMh0KqfYO9D1vUNMQv4SWO0LSiwgZcH7UQCeSdylM71tmToyZo" TargetMode="External"/><Relationship Id="rId3" Type="http://schemas.openxmlformats.org/officeDocument/2006/relationships/hyperlink" Target="https://women.ge/data/docs/publications/WISG_discrimination_and_hate_crime_against_lgbt_persons_KA_EN_2015.pdf" TargetMode="External"/><Relationship Id="rId21" Type="http://schemas.openxmlformats.org/officeDocument/2006/relationships/hyperlink" Target="https://undocs.org/en/A/HRC/41/45/ADD.1?fbclid=IwAR1uGxuJ6lMh0KqfYO9D1vUNMQv4SWO0LSiwgZcH7UQCeSdylM71tmToyZo" TargetMode="External"/><Relationship Id="rId7" Type="http://schemas.openxmlformats.org/officeDocument/2006/relationships/hyperlink" Target="https://undocs.org/en/A/HRC/41/45/ADD.1?fbclid=IwAR1uGxuJ6lMh0KqfYO9D1vUNMQv4SWO0LSiwgZcH7UQCeSdylM71tmToyZo" TargetMode="External"/><Relationship Id="rId12" Type="http://schemas.openxmlformats.org/officeDocument/2006/relationships/hyperlink" Target="https://undocs.org/en/A/HRC/41/45/ADD.1?fbclid=IwAR1uGxuJ6lMh0KqfYO9D1vUNMQv4SWO0LSiwgZcH7UQCeSdylM71tmToyZo" TargetMode="External"/><Relationship Id="rId17" Type="http://schemas.openxmlformats.org/officeDocument/2006/relationships/hyperlink" Target="https://undocs.org/en/A/HRC/41/45/ADD.1?fbclid=IwAR1uGxuJ6lMh0KqfYO9D1vUNMQv4SWO0LSiwgZcH7UQCeSdylM71tmToyZo" TargetMode="External"/><Relationship Id="rId2" Type="http://schemas.openxmlformats.org/officeDocument/2006/relationships/hyperlink" Target="https://matsne.gov.ge/ru/document/view/16426?publication=212" TargetMode="External"/><Relationship Id="rId16" Type="http://schemas.openxmlformats.org/officeDocument/2006/relationships/hyperlink" Target="https://sova.news/2020/04/30/zhenshhina-transgender-podozhgla-sebya-u-zdaniya-merii-tbilisi/" TargetMode="External"/><Relationship Id="rId20" Type="http://schemas.openxmlformats.org/officeDocument/2006/relationships/hyperlink" Target="https://undocs.org/en/A/HRC/41/45/ADD.1?fbclid=IwAR1uGxuJ6lMh0KqfYO9D1vUNMQv4SWO0LSiwgZcH7UQCeSdylM71tmToyZo" TargetMode="External"/><Relationship Id="rId1" Type="http://schemas.openxmlformats.org/officeDocument/2006/relationships/hyperlink" Target="https://matsne.gov.ge/ru/document/view/16426?publication=212" TargetMode="External"/><Relationship Id="rId6" Type="http://schemas.openxmlformats.org/officeDocument/2006/relationships/hyperlink" Target="https://undocs.org/en/A/HRC/41/45/ADD.1?fbclid=IwAR1uGxuJ6lMh0KqfYO9D1vUNMQv4SWO0LSiwgZcH7UQCeSdylM71tmToyZo" TargetMode="External"/><Relationship Id="rId11" Type="http://schemas.openxmlformats.org/officeDocument/2006/relationships/hyperlink" Target="https://1tv.ge/news/emzar-kvicianis-kanonproeqti-diskriminaciis-yvela-formis-aghmofkhvris-shesakheb-parlamentshi-chavarda/" TargetMode="External"/><Relationship Id="rId5" Type="http://schemas.openxmlformats.org/officeDocument/2006/relationships/hyperlink" Target="https://women.ge/en/publications/194/" TargetMode="External"/><Relationship Id="rId15" Type="http://schemas.openxmlformats.org/officeDocument/2006/relationships/hyperlink" Target="http://www.mdfgeorgia.ge/eng/view-library/91" TargetMode="External"/><Relationship Id="rId10" Type="http://schemas.openxmlformats.org/officeDocument/2006/relationships/hyperlink" Target="https://undocs.org/en/A/HRC/41/45/ADD.1" TargetMode="External"/><Relationship Id="rId19" Type="http://schemas.openxmlformats.org/officeDocument/2006/relationships/hyperlink" Target="https://undocs.org/en/A/HRC/41/45/ADD.1?fbclid=IwAR1uGxuJ6lMh0KqfYO9D1vUNMQv4SWO0LSiwgZcH7UQCeSdylM71tmToyZo" TargetMode="External"/><Relationship Id="rId4" Type="http://schemas.openxmlformats.org/officeDocument/2006/relationships/hyperlink" Target="https://women.ge/en/publications/194/" TargetMode="External"/><Relationship Id="rId9" Type="http://schemas.openxmlformats.org/officeDocument/2006/relationships/hyperlink" Target="https://undocs.org/en/A/HRC/41/45/ADD.1?fbclid=IwAR1uGxuJ6lMh0KqfYO9D1vUNMQv4SWO0LSiwgZcH7UQCeSdylM71tmToyZo" TargetMode="External"/><Relationship Id="rId14" Type="http://schemas.openxmlformats.org/officeDocument/2006/relationships/hyperlink" Target="http://www.mdfgeorgia.ge/eng/view-library/91" TargetMode="External"/><Relationship Id="rId22" Type="http://schemas.openxmlformats.org/officeDocument/2006/relationships/hyperlink" Target="https://undocs.org/en/A/HRC/41/45/ADD.1?fbclid=IwAR1uGxuJ6lMh0KqfYO9D1vUNMQv4SWO0LSiwgZcH7UQCeSdylM71tmToyZ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7BEC46-7E9F-4AAC-9A77-A848276CAE73}">
  <ds:schemaRefs>
    <ds:schemaRef ds:uri="http://schemas.openxmlformats.org/officeDocument/2006/bibliography"/>
  </ds:schemaRefs>
</ds:datastoreItem>
</file>

<file path=customXml/itemProps2.xml><?xml version="1.0" encoding="utf-8"?>
<ds:datastoreItem xmlns:ds="http://schemas.openxmlformats.org/officeDocument/2006/customXml" ds:itemID="{5EDB76FC-FCE1-4125-9D31-569B57595D64}"/>
</file>

<file path=customXml/itemProps3.xml><?xml version="1.0" encoding="utf-8"?>
<ds:datastoreItem xmlns:ds="http://schemas.openxmlformats.org/officeDocument/2006/customXml" ds:itemID="{4F425323-4017-4525-B358-48F47117E3B5}"/>
</file>

<file path=customXml/itemProps4.xml><?xml version="1.0" encoding="utf-8"?>
<ds:datastoreItem xmlns:ds="http://schemas.openxmlformats.org/officeDocument/2006/customXml" ds:itemID="{FA6B5604-CB67-460F-BDBF-55D8776E9758}"/>
</file>

<file path=docProps/app.xml><?xml version="1.0" encoding="utf-8"?>
<Properties xmlns="http://schemas.openxmlformats.org/officeDocument/2006/extended-properties" xmlns:vt="http://schemas.openxmlformats.org/officeDocument/2006/docPropsVTypes">
  <Template>Normal.dotm</Template>
  <TotalTime>22</TotalTime>
  <Pages>11</Pages>
  <Words>5847</Words>
  <Characters>33334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Yuri Yoursky</cp:lastModifiedBy>
  <cp:revision>4</cp:revision>
  <dcterms:created xsi:type="dcterms:W3CDTF">2021-06-04T13:30:00Z</dcterms:created>
  <dcterms:modified xsi:type="dcterms:W3CDTF">2021-06-09T07:52:00Z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