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3F8D7" w14:textId="77777777" w:rsidR="0034760B" w:rsidRDefault="00000000">
      <w:pPr>
        <w:pBdr>
          <w:top w:val="nil"/>
          <w:left w:val="nil"/>
          <w:bottom w:val="nil"/>
          <w:right w:val="nil"/>
          <w:between w:val="nil"/>
        </w:pBdr>
        <w:spacing w:after="0"/>
        <w:jc w:val="both"/>
        <w:rPr>
          <w:color w:val="000000"/>
        </w:rPr>
      </w:pPr>
      <w:r>
        <w:rPr>
          <w:noProof/>
          <w:color w:val="000000"/>
        </w:rPr>
        <w:drawing>
          <wp:inline distT="0" distB="0" distL="0" distR="0" wp14:anchorId="6C39BBC7" wp14:editId="7DE5A804">
            <wp:extent cx="1295862" cy="1241108"/>
            <wp:effectExtent l="0" t="0" r="0" b="0"/>
            <wp:docPr id="23" name="image1.png" descr="C:\Users\Deepa_2\Google Drive\AAM Operations\Administration\AAM_profile pic (1).png"/>
            <wp:cNvGraphicFramePr/>
            <a:graphic xmlns:a="http://schemas.openxmlformats.org/drawingml/2006/main">
              <a:graphicData uri="http://schemas.openxmlformats.org/drawingml/2006/picture">
                <pic:pic xmlns:pic="http://schemas.openxmlformats.org/drawingml/2006/picture">
                  <pic:nvPicPr>
                    <pic:cNvPr id="0" name="image1.png" descr="C:\Users\Deepa_2\Google Drive\AAM Operations\Administration\AAM_profile pic (1).png"/>
                    <pic:cNvPicPr preferRelativeResize="0"/>
                  </pic:nvPicPr>
                  <pic:blipFill>
                    <a:blip r:embed="rId9"/>
                    <a:srcRect/>
                    <a:stretch>
                      <a:fillRect/>
                    </a:stretch>
                  </pic:blipFill>
                  <pic:spPr>
                    <a:xfrm>
                      <a:off x="0" y="0"/>
                      <a:ext cx="1295862" cy="1241108"/>
                    </a:xfrm>
                    <a:prstGeom prst="rect">
                      <a:avLst/>
                    </a:prstGeom>
                    <a:ln/>
                  </pic:spPr>
                </pic:pic>
              </a:graphicData>
            </a:graphic>
          </wp:inline>
        </w:drawing>
      </w:r>
    </w:p>
    <w:p w14:paraId="48EDF904" w14:textId="77777777" w:rsidR="0034760B" w:rsidRDefault="0034760B">
      <w:pPr>
        <w:pBdr>
          <w:top w:val="nil"/>
          <w:left w:val="nil"/>
          <w:bottom w:val="nil"/>
          <w:right w:val="nil"/>
          <w:between w:val="nil"/>
        </w:pBdr>
        <w:spacing w:after="0"/>
        <w:jc w:val="both"/>
        <w:rPr>
          <w:color w:val="000000"/>
        </w:rPr>
      </w:pPr>
    </w:p>
    <w:p w14:paraId="7C9F8F50" w14:textId="77AB7D90" w:rsidR="0034760B" w:rsidRPr="00CF5D32" w:rsidRDefault="00000000" w:rsidP="00CF5D32">
      <w:pPr>
        <w:pBdr>
          <w:top w:val="nil"/>
          <w:left w:val="nil"/>
          <w:bottom w:val="nil"/>
          <w:right w:val="nil"/>
          <w:between w:val="nil"/>
        </w:pBdr>
        <w:tabs>
          <w:tab w:val="left" w:pos="3300"/>
        </w:tabs>
        <w:spacing w:after="0"/>
        <w:jc w:val="center"/>
        <w:rPr>
          <w:color w:val="000000"/>
          <w:sz w:val="32"/>
          <w:szCs w:val="32"/>
        </w:rPr>
      </w:pPr>
      <w:r>
        <w:rPr>
          <w:rFonts w:ascii="Roboto" w:eastAsia="Roboto" w:hAnsi="Roboto" w:cs="Roboto"/>
          <w:sz w:val="28"/>
          <w:szCs w:val="28"/>
        </w:rPr>
        <w:t>CONTRIBUTION FOR THE 88th SESSION ON THE CONVENTION ON THE ELIMINATION OF DISCRIMINATION AGAINST ALL WOMEN (CEDAW)</w:t>
      </w:r>
    </w:p>
    <w:p w14:paraId="1049D824" w14:textId="77777777" w:rsidR="0034760B" w:rsidRDefault="0034760B">
      <w:pPr>
        <w:spacing w:after="160" w:line="259" w:lineRule="auto"/>
        <w:jc w:val="both"/>
        <w:rPr>
          <w:rFonts w:ascii="Roboto" w:eastAsia="Roboto" w:hAnsi="Roboto" w:cs="Roboto"/>
          <w:i/>
          <w:sz w:val="28"/>
          <w:szCs w:val="28"/>
        </w:rPr>
      </w:pPr>
    </w:p>
    <w:p w14:paraId="7BF59C17" w14:textId="77777777" w:rsidR="0034760B" w:rsidRDefault="00000000">
      <w:pPr>
        <w:spacing w:after="160" w:line="259" w:lineRule="auto"/>
        <w:jc w:val="center"/>
        <w:rPr>
          <w:rFonts w:ascii="Roboto" w:eastAsia="Roboto" w:hAnsi="Roboto" w:cs="Roboto"/>
          <w:b/>
          <w:sz w:val="28"/>
          <w:szCs w:val="28"/>
        </w:rPr>
      </w:pPr>
      <w:r>
        <w:rPr>
          <w:rFonts w:ascii="Roboto" w:eastAsia="Roboto" w:hAnsi="Roboto" w:cs="Roboto"/>
          <w:b/>
          <w:sz w:val="28"/>
          <w:szCs w:val="28"/>
        </w:rPr>
        <w:t>MALAYSIA’S COMPLIANCE WITH CEDAW IN RELATION TO REFUGEE AND ASYLUM-SEEKING WOMEN AND GIRLS</w:t>
      </w:r>
    </w:p>
    <w:p w14:paraId="18721558" w14:textId="77777777" w:rsidR="0034760B" w:rsidRDefault="0034760B">
      <w:pPr>
        <w:spacing w:after="0"/>
        <w:jc w:val="center"/>
        <w:rPr>
          <w:rFonts w:ascii="Roboto" w:eastAsia="Roboto" w:hAnsi="Roboto" w:cs="Roboto"/>
          <w:sz w:val="28"/>
          <w:szCs w:val="28"/>
        </w:rPr>
      </w:pPr>
    </w:p>
    <w:p w14:paraId="6BA99587" w14:textId="77777777" w:rsidR="0034760B" w:rsidRDefault="00000000">
      <w:pPr>
        <w:spacing w:after="0"/>
        <w:jc w:val="center"/>
        <w:rPr>
          <w:rFonts w:ascii="Roboto" w:eastAsia="Roboto" w:hAnsi="Roboto" w:cs="Roboto"/>
          <w:sz w:val="28"/>
          <w:szCs w:val="28"/>
        </w:rPr>
      </w:pPr>
      <w:r>
        <w:rPr>
          <w:rFonts w:ascii="Roboto" w:eastAsia="Roboto" w:hAnsi="Roboto" w:cs="Roboto"/>
          <w:sz w:val="28"/>
          <w:szCs w:val="28"/>
        </w:rPr>
        <w:t>STATE PARTY: MALAYSIA</w:t>
      </w:r>
    </w:p>
    <w:p w14:paraId="63DA3D99" w14:textId="77777777" w:rsidR="0034760B" w:rsidRDefault="0034760B">
      <w:pPr>
        <w:pBdr>
          <w:top w:val="nil"/>
          <w:left w:val="nil"/>
          <w:bottom w:val="nil"/>
          <w:right w:val="nil"/>
          <w:between w:val="nil"/>
        </w:pBdr>
        <w:spacing w:after="0"/>
        <w:jc w:val="center"/>
        <w:rPr>
          <w:rFonts w:ascii="Roboto" w:eastAsia="Roboto" w:hAnsi="Roboto" w:cs="Roboto"/>
          <w:sz w:val="32"/>
          <w:szCs w:val="32"/>
        </w:rPr>
      </w:pPr>
    </w:p>
    <w:p w14:paraId="51E90FCC" w14:textId="77777777" w:rsidR="0034760B" w:rsidRDefault="0034760B">
      <w:pPr>
        <w:pBdr>
          <w:top w:val="nil"/>
          <w:left w:val="nil"/>
          <w:bottom w:val="nil"/>
          <w:right w:val="nil"/>
          <w:between w:val="nil"/>
        </w:pBdr>
        <w:spacing w:after="0"/>
        <w:jc w:val="both"/>
        <w:rPr>
          <w:rFonts w:ascii="Roboto" w:eastAsia="Roboto" w:hAnsi="Roboto" w:cs="Roboto"/>
          <w:color w:val="000000"/>
        </w:rPr>
      </w:pPr>
    </w:p>
    <w:p w14:paraId="750FF1AD" w14:textId="77777777" w:rsidR="0034760B" w:rsidRDefault="00000000">
      <w:pPr>
        <w:pBdr>
          <w:top w:val="nil"/>
          <w:left w:val="nil"/>
          <w:bottom w:val="nil"/>
          <w:right w:val="nil"/>
          <w:between w:val="nil"/>
        </w:pBdr>
        <w:spacing w:after="0"/>
        <w:jc w:val="center"/>
        <w:rPr>
          <w:rFonts w:ascii="Roboto" w:eastAsia="Roboto" w:hAnsi="Roboto" w:cs="Roboto"/>
          <w:color w:val="000000"/>
          <w:sz w:val="26"/>
          <w:szCs w:val="26"/>
        </w:rPr>
      </w:pPr>
      <w:r>
        <w:rPr>
          <w:rFonts w:ascii="Roboto" w:eastAsia="Roboto" w:hAnsi="Roboto" w:cs="Roboto"/>
          <w:sz w:val="26"/>
          <w:szCs w:val="26"/>
        </w:rPr>
        <w:t>15 APRIL 2024</w:t>
      </w:r>
    </w:p>
    <w:p w14:paraId="7FB7819D" w14:textId="77777777" w:rsidR="0034760B" w:rsidRDefault="0034760B">
      <w:pPr>
        <w:pBdr>
          <w:top w:val="nil"/>
          <w:left w:val="nil"/>
          <w:bottom w:val="nil"/>
          <w:right w:val="nil"/>
          <w:between w:val="nil"/>
        </w:pBdr>
        <w:spacing w:after="0"/>
        <w:jc w:val="both"/>
        <w:rPr>
          <w:rFonts w:ascii="Roboto" w:eastAsia="Roboto" w:hAnsi="Roboto" w:cs="Roboto"/>
          <w:color w:val="000000"/>
        </w:rPr>
      </w:pPr>
    </w:p>
    <w:p w14:paraId="3DF46955" w14:textId="77777777" w:rsidR="0034760B" w:rsidRDefault="0034760B">
      <w:pPr>
        <w:pBdr>
          <w:top w:val="nil"/>
          <w:left w:val="nil"/>
          <w:bottom w:val="nil"/>
          <w:right w:val="nil"/>
          <w:between w:val="nil"/>
        </w:pBdr>
        <w:spacing w:after="0"/>
        <w:ind w:left="720"/>
        <w:jc w:val="both"/>
        <w:rPr>
          <w:rFonts w:ascii="Roboto" w:eastAsia="Roboto" w:hAnsi="Roboto" w:cs="Roboto"/>
          <w:color w:val="000000"/>
        </w:rPr>
      </w:pPr>
    </w:p>
    <w:p w14:paraId="2AC7298A" w14:textId="77777777" w:rsidR="00CF5D32" w:rsidRPr="00CF5D32" w:rsidRDefault="00CF5D32" w:rsidP="00CF5D32">
      <w:pPr>
        <w:tabs>
          <w:tab w:val="left" w:pos="3300"/>
        </w:tabs>
        <w:spacing w:after="0"/>
        <w:jc w:val="center"/>
        <w:rPr>
          <w:rFonts w:ascii="Roboto" w:eastAsia="Roboto" w:hAnsi="Roboto" w:cs="Roboto"/>
          <w:sz w:val="28"/>
          <w:szCs w:val="28"/>
        </w:rPr>
      </w:pPr>
      <w:r w:rsidRPr="00CF5D32">
        <w:rPr>
          <w:rFonts w:ascii="Roboto" w:eastAsia="Roboto" w:hAnsi="Roboto" w:cs="Roboto"/>
          <w:sz w:val="28"/>
          <w:szCs w:val="28"/>
        </w:rPr>
        <w:t>SUBMISSION BY ASYLUM ACCESS MALAYSIA</w:t>
      </w:r>
    </w:p>
    <w:p w14:paraId="2DF24A35" w14:textId="772C9BDB" w:rsidR="0034760B" w:rsidRDefault="00000000" w:rsidP="00CF5D32">
      <w:pPr>
        <w:pBdr>
          <w:top w:val="nil"/>
          <w:left w:val="nil"/>
          <w:bottom w:val="nil"/>
          <w:right w:val="nil"/>
          <w:between w:val="nil"/>
        </w:pBdr>
        <w:spacing w:after="0"/>
        <w:jc w:val="center"/>
        <w:rPr>
          <w:rFonts w:ascii="Roboto" w:eastAsia="Roboto" w:hAnsi="Roboto" w:cs="Roboto"/>
          <w:color w:val="000000"/>
        </w:rPr>
      </w:pPr>
      <w:hyperlink r:id="rId10" w:history="1">
        <w:r w:rsidR="00CF5D32" w:rsidRPr="00496406">
          <w:rPr>
            <w:rStyle w:val="Hyperlink"/>
            <w:rFonts w:ascii="Roboto" w:eastAsia="Roboto" w:hAnsi="Roboto" w:cs="Roboto"/>
          </w:rPr>
          <w:t>www.asylumaccess.com</w:t>
        </w:r>
      </w:hyperlink>
    </w:p>
    <w:p w14:paraId="43159078" w14:textId="77777777" w:rsidR="0034760B" w:rsidRDefault="0034760B">
      <w:pPr>
        <w:pBdr>
          <w:top w:val="nil"/>
          <w:left w:val="nil"/>
          <w:bottom w:val="nil"/>
          <w:right w:val="nil"/>
          <w:between w:val="nil"/>
        </w:pBdr>
        <w:spacing w:after="0"/>
        <w:jc w:val="both"/>
        <w:rPr>
          <w:rFonts w:ascii="Roboto" w:eastAsia="Roboto" w:hAnsi="Roboto" w:cs="Roboto"/>
          <w:color w:val="000000"/>
        </w:rPr>
      </w:pPr>
    </w:p>
    <w:p w14:paraId="2D5434CB"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127A2A7D"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73BCAF9C"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28A9E856"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1942FE0A"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3A189475"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5C0429A3"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26BE49F4"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6D27D328"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2BDC843E"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45CA08C7" w14:textId="77777777" w:rsidR="0034760B" w:rsidRDefault="0034760B">
      <w:pPr>
        <w:pBdr>
          <w:top w:val="nil"/>
          <w:left w:val="nil"/>
          <w:bottom w:val="nil"/>
          <w:right w:val="nil"/>
          <w:between w:val="nil"/>
        </w:pBdr>
        <w:shd w:val="clear" w:color="auto" w:fill="FFFFFF"/>
        <w:spacing w:after="0" w:line="240" w:lineRule="auto"/>
        <w:jc w:val="both"/>
        <w:rPr>
          <w:rFonts w:ascii="Roboto" w:eastAsia="Roboto" w:hAnsi="Roboto" w:cs="Roboto"/>
          <w:i/>
          <w:color w:val="000000"/>
          <w:sz w:val="20"/>
          <w:szCs w:val="20"/>
        </w:rPr>
      </w:pPr>
    </w:p>
    <w:p w14:paraId="72BF945B" w14:textId="77777777" w:rsidR="0034760B" w:rsidRDefault="00000000">
      <w:pPr>
        <w:pBdr>
          <w:top w:val="nil"/>
          <w:left w:val="nil"/>
          <w:bottom w:val="nil"/>
          <w:right w:val="nil"/>
          <w:between w:val="nil"/>
        </w:pBdr>
        <w:shd w:val="clear" w:color="auto" w:fill="FFFFFF"/>
        <w:spacing w:after="0" w:line="240" w:lineRule="auto"/>
        <w:jc w:val="both"/>
        <w:rPr>
          <w:rFonts w:ascii="Roboto" w:eastAsia="Roboto" w:hAnsi="Roboto" w:cs="Roboto"/>
          <w:color w:val="000000"/>
          <w:sz w:val="24"/>
          <w:szCs w:val="24"/>
        </w:rPr>
      </w:pPr>
      <w:r>
        <w:rPr>
          <w:rFonts w:ascii="Roboto" w:eastAsia="Roboto" w:hAnsi="Roboto" w:cs="Roboto"/>
          <w:i/>
          <w:color w:val="000000"/>
          <w:sz w:val="20"/>
          <w:szCs w:val="20"/>
        </w:rPr>
        <w:t xml:space="preserve">This submission was prepared by Asylum Access Malaysia, a refugee legal empowerment organisation seeking to make refugee rights a reality in Malaysia. For more information, please contact Hui Ying Tham at </w:t>
      </w:r>
      <w:r>
        <w:rPr>
          <w:rFonts w:ascii="Roboto" w:eastAsia="Roboto" w:hAnsi="Roboto" w:cs="Roboto"/>
          <w:i/>
          <w:color w:val="000000"/>
          <w:sz w:val="20"/>
          <w:szCs w:val="20"/>
          <w:u w:val="single"/>
        </w:rPr>
        <w:t>huiying.tham@asylumaccess.org.</w:t>
      </w:r>
    </w:p>
    <w:p w14:paraId="3AAB4DA3" w14:textId="77777777" w:rsidR="0034760B" w:rsidRDefault="0034760B">
      <w:pPr>
        <w:pBdr>
          <w:top w:val="nil"/>
          <w:left w:val="nil"/>
          <w:bottom w:val="nil"/>
          <w:right w:val="nil"/>
          <w:between w:val="nil"/>
        </w:pBdr>
        <w:spacing w:after="160" w:line="259" w:lineRule="auto"/>
      </w:pPr>
    </w:p>
    <w:p w14:paraId="2F609C48" w14:textId="77777777" w:rsidR="00E15D10" w:rsidRDefault="00E15D10">
      <w:pPr>
        <w:rPr>
          <w:rFonts w:ascii="Roboto" w:eastAsia="Roboto" w:hAnsi="Roboto" w:cs="Roboto"/>
          <w:b/>
          <w:color w:val="2F5496"/>
          <w:sz w:val="32"/>
          <w:szCs w:val="32"/>
        </w:rPr>
      </w:pPr>
      <w:bookmarkStart w:id="0" w:name="_heading=h.6s1eff54wwph" w:colFirst="0" w:colLast="0"/>
      <w:bookmarkEnd w:id="0"/>
      <w:r>
        <w:rPr>
          <w:rFonts w:ascii="Roboto" w:eastAsia="Roboto" w:hAnsi="Roboto" w:cs="Roboto"/>
          <w:color w:val="2F5496"/>
          <w:sz w:val="32"/>
          <w:szCs w:val="32"/>
        </w:rPr>
        <w:br w:type="page"/>
      </w:r>
    </w:p>
    <w:p w14:paraId="58CE3351" w14:textId="2546FCE5" w:rsidR="0034760B" w:rsidRDefault="00000000">
      <w:pPr>
        <w:pStyle w:val="Heading1"/>
        <w:rPr>
          <w:rFonts w:ascii="Roboto" w:eastAsia="Roboto" w:hAnsi="Roboto" w:cs="Roboto"/>
          <w:color w:val="2F5496"/>
          <w:sz w:val="32"/>
          <w:szCs w:val="32"/>
        </w:rPr>
      </w:pPr>
      <w:r>
        <w:rPr>
          <w:rFonts w:ascii="Roboto" w:eastAsia="Roboto" w:hAnsi="Roboto" w:cs="Roboto"/>
          <w:color w:val="2F5496"/>
          <w:sz w:val="32"/>
          <w:szCs w:val="32"/>
        </w:rPr>
        <w:lastRenderedPageBreak/>
        <w:t>INTRODUCTION</w:t>
      </w:r>
    </w:p>
    <w:p w14:paraId="799380BD" w14:textId="77777777" w:rsidR="0034760B" w:rsidRDefault="00000000">
      <w:pPr>
        <w:numPr>
          <w:ilvl w:val="0"/>
          <w:numId w:val="3"/>
        </w:numPr>
        <w:pBdr>
          <w:top w:val="nil"/>
          <w:left w:val="nil"/>
          <w:bottom w:val="nil"/>
          <w:right w:val="nil"/>
          <w:between w:val="nil"/>
        </w:pBdr>
        <w:spacing w:after="0" w:line="259" w:lineRule="auto"/>
        <w:jc w:val="both"/>
      </w:pPr>
      <w:r>
        <w:rPr>
          <w:rFonts w:ascii="Roboto" w:eastAsia="Roboto" w:hAnsi="Roboto" w:cs="Roboto"/>
          <w:color w:val="000000"/>
        </w:rPr>
        <w:t>This submission</w:t>
      </w:r>
      <w:r>
        <w:rPr>
          <w:rFonts w:ascii="Roboto" w:eastAsia="Roboto" w:hAnsi="Roboto" w:cs="Roboto"/>
        </w:rPr>
        <w:t xml:space="preserve"> examines the implementation of Malaysia’s obligations under CEDAW between 2019 to 2024 as they relate to refugee and asylum-seeking women and girls in Malaysia. This submission supplements the Pre-Sessional Working Group report submitted by Asylum Access Malaysia (AAM) for the 86th PSWG session (PSWG Report),</w:t>
      </w:r>
      <w:r>
        <w:rPr>
          <w:rFonts w:ascii="Roboto" w:eastAsia="Roboto" w:hAnsi="Roboto" w:cs="Roboto"/>
          <w:vertAlign w:val="superscript"/>
        </w:rPr>
        <w:footnoteReference w:id="1"/>
      </w:r>
      <w:r>
        <w:rPr>
          <w:rFonts w:ascii="Roboto" w:eastAsia="Roboto" w:hAnsi="Roboto" w:cs="Roboto"/>
        </w:rPr>
        <w:t xml:space="preserve"> the CEDAW Committee’s List of Issues (LOI’s) adopted in February 2023,</w:t>
      </w:r>
      <w:r>
        <w:rPr>
          <w:rFonts w:ascii="Roboto" w:eastAsia="Roboto" w:hAnsi="Roboto" w:cs="Roboto"/>
          <w:vertAlign w:val="superscript"/>
        </w:rPr>
        <w:footnoteReference w:id="2"/>
      </w:r>
      <w:r>
        <w:rPr>
          <w:rFonts w:ascii="Roboto" w:eastAsia="Roboto" w:hAnsi="Roboto" w:cs="Roboto"/>
        </w:rPr>
        <w:t xml:space="preserve">  and responds to the Government’s Reply to the List of Issues (RLOI’s).</w:t>
      </w:r>
      <w:r>
        <w:rPr>
          <w:rFonts w:ascii="Roboto" w:eastAsia="Roboto" w:hAnsi="Roboto" w:cs="Roboto"/>
          <w:vertAlign w:val="superscript"/>
        </w:rPr>
        <w:footnoteReference w:id="3"/>
      </w:r>
    </w:p>
    <w:p w14:paraId="2ABEDC74" w14:textId="77777777" w:rsidR="0034760B" w:rsidRDefault="0034760B">
      <w:pPr>
        <w:pBdr>
          <w:top w:val="nil"/>
          <w:left w:val="nil"/>
          <w:bottom w:val="nil"/>
          <w:right w:val="nil"/>
          <w:between w:val="nil"/>
        </w:pBdr>
        <w:spacing w:after="0" w:line="259" w:lineRule="auto"/>
        <w:ind w:left="720"/>
        <w:jc w:val="both"/>
        <w:rPr>
          <w:rFonts w:ascii="Roboto" w:eastAsia="Roboto" w:hAnsi="Roboto" w:cs="Roboto"/>
        </w:rPr>
      </w:pPr>
    </w:p>
    <w:p w14:paraId="771C297A" w14:textId="77777777" w:rsidR="0034760B" w:rsidRDefault="00000000">
      <w:pPr>
        <w:numPr>
          <w:ilvl w:val="0"/>
          <w:numId w:val="3"/>
        </w:numPr>
        <w:pBdr>
          <w:top w:val="nil"/>
          <w:left w:val="nil"/>
          <w:bottom w:val="nil"/>
          <w:right w:val="nil"/>
          <w:between w:val="nil"/>
        </w:pBdr>
        <w:spacing w:after="0" w:line="259" w:lineRule="auto"/>
        <w:jc w:val="both"/>
      </w:pPr>
      <w:r>
        <w:rPr>
          <w:rFonts w:ascii="Roboto" w:eastAsia="Roboto" w:hAnsi="Roboto" w:cs="Roboto"/>
        </w:rPr>
        <w:t xml:space="preserve">This submission focuses on the Malaysian government’s response in the RLOI, follow up issues and recommendations in relation to the following: </w:t>
      </w:r>
    </w:p>
    <w:p w14:paraId="0E701746" w14:textId="77777777" w:rsidR="0034760B" w:rsidRDefault="0034760B">
      <w:pPr>
        <w:pBdr>
          <w:top w:val="nil"/>
          <w:left w:val="nil"/>
          <w:bottom w:val="nil"/>
          <w:right w:val="nil"/>
          <w:between w:val="nil"/>
        </w:pBdr>
        <w:spacing w:after="0" w:line="259" w:lineRule="auto"/>
        <w:ind w:left="720"/>
        <w:jc w:val="both"/>
        <w:rPr>
          <w:rFonts w:ascii="Roboto" w:eastAsia="Roboto" w:hAnsi="Roboto" w:cs="Roboto"/>
        </w:rPr>
      </w:pPr>
    </w:p>
    <w:p w14:paraId="7D3985E8" w14:textId="77777777" w:rsidR="0034760B" w:rsidRDefault="00000000">
      <w:pPr>
        <w:numPr>
          <w:ilvl w:val="1"/>
          <w:numId w:val="3"/>
        </w:numPr>
        <w:pBdr>
          <w:top w:val="nil"/>
          <w:left w:val="nil"/>
          <w:bottom w:val="nil"/>
          <w:right w:val="nil"/>
          <w:between w:val="nil"/>
        </w:pBdr>
        <w:spacing w:after="0" w:line="259" w:lineRule="auto"/>
        <w:jc w:val="both"/>
      </w:pPr>
      <w:r>
        <w:rPr>
          <w:rFonts w:ascii="Roboto" w:eastAsia="Roboto" w:hAnsi="Roboto" w:cs="Roboto"/>
          <w:b/>
        </w:rPr>
        <w:t xml:space="preserve">Lack of comprehensive legal framework that is consistent and compliant with the Convention </w:t>
      </w:r>
      <w:r>
        <w:rPr>
          <w:rFonts w:ascii="Roboto" w:eastAsia="Roboto" w:hAnsi="Roboto" w:cs="Roboto"/>
        </w:rPr>
        <w:t xml:space="preserve">(List of Issues Para 22 (b)),  </w:t>
      </w:r>
    </w:p>
    <w:p w14:paraId="22D31F4D" w14:textId="77777777" w:rsidR="0034760B" w:rsidRDefault="00000000">
      <w:pPr>
        <w:numPr>
          <w:ilvl w:val="1"/>
          <w:numId w:val="3"/>
        </w:numPr>
        <w:pBdr>
          <w:top w:val="nil"/>
          <w:left w:val="nil"/>
          <w:bottom w:val="nil"/>
          <w:right w:val="nil"/>
          <w:between w:val="nil"/>
        </w:pBdr>
        <w:spacing w:after="0" w:line="259" w:lineRule="auto"/>
        <w:jc w:val="both"/>
      </w:pPr>
      <w:r>
        <w:rPr>
          <w:rFonts w:ascii="Roboto" w:eastAsia="Roboto" w:hAnsi="Roboto" w:cs="Roboto"/>
          <w:b/>
        </w:rPr>
        <w:t>The impact of a lack of law, policy or mechanism for refugee and asylum-seeking women that is consistent or in compliance with the Convention</w:t>
      </w:r>
      <w:r>
        <w:rPr>
          <w:rFonts w:ascii="Roboto" w:eastAsia="Roboto" w:hAnsi="Roboto" w:cs="Roboto"/>
        </w:rPr>
        <w:t xml:space="preserve"> (List of Issues Para 22 (b)),</w:t>
      </w:r>
    </w:p>
    <w:p w14:paraId="186496EE" w14:textId="77777777" w:rsidR="0034760B" w:rsidRDefault="00000000">
      <w:pPr>
        <w:numPr>
          <w:ilvl w:val="1"/>
          <w:numId w:val="3"/>
        </w:numPr>
        <w:spacing w:after="0" w:line="259" w:lineRule="auto"/>
        <w:jc w:val="both"/>
      </w:pPr>
      <w:r>
        <w:rPr>
          <w:rFonts w:ascii="Roboto" w:eastAsia="Roboto" w:hAnsi="Roboto" w:cs="Roboto"/>
          <w:b/>
        </w:rPr>
        <w:t>Measures in response to access to healthcare</w:t>
      </w:r>
      <w:r>
        <w:rPr>
          <w:rFonts w:ascii="Roboto" w:eastAsia="Roboto" w:hAnsi="Roboto" w:cs="Roboto"/>
        </w:rPr>
        <w:t xml:space="preserve"> (List of Issues Para 20 (a)-(c)).</w:t>
      </w:r>
    </w:p>
    <w:p w14:paraId="65FEE6A6" w14:textId="77777777" w:rsidR="0034760B" w:rsidRDefault="00000000">
      <w:pPr>
        <w:numPr>
          <w:ilvl w:val="1"/>
          <w:numId w:val="3"/>
        </w:numPr>
        <w:spacing w:after="0" w:line="259" w:lineRule="auto"/>
        <w:jc w:val="both"/>
      </w:pPr>
      <w:r>
        <w:rPr>
          <w:rFonts w:ascii="Roboto" w:eastAsia="Roboto" w:hAnsi="Roboto" w:cs="Roboto"/>
          <w:b/>
        </w:rPr>
        <w:t>Removing barriers to women’s access to justice</w:t>
      </w:r>
      <w:r>
        <w:rPr>
          <w:rFonts w:ascii="Roboto" w:eastAsia="Roboto" w:hAnsi="Roboto" w:cs="Roboto"/>
        </w:rPr>
        <w:t xml:space="preserve"> (List of Issues Para 5 (d)) </w:t>
      </w:r>
    </w:p>
    <w:p w14:paraId="7EE3655D" w14:textId="77777777" w:rsidR="0034760B" w:rsidRDefault="00000000">
      <w:pPr>
        <w:spacing w:after="0" w:line="259" w:lineRule="auto"/>
        <w:ind w:left="1440"/>
        <w:jc w:val="both"/>
        <w:rPr>
          <w:rFonts w:ascii="Roboto" w:eastAsia="Roboto" w:hAnsi="Roboto" w:cs="Roboto"/>
        </w:rPr>
      </w:pPr>
      <w:r>
        <w:rPr>
          <w:rFonts w:ascii="Roboto" w:eastAsia="Roboto" w:hAnsi="Roboto" w:cs="Roboto"/>
        </w:rPr>
        <w:t xml:space="preserve"> </w:t>
      </w:r>
    </w:p>
    <w:p w14:paraId="74B492AC" w14:textId="77777777" w:rsidR="0034760B" w:rsidRDefault="00000000">
      <w:pPr>
        <w:numPr>
          <w:ilvl w:val="0"/>
          <w:numId w:val="3"/>
        </w:numPr>
        <w:pBdr>
          <w:top w:val="nil"/>
          <w:left w:val="nil"/>
          <w:bottom w:val="nil"/>
          <w:right w:val="nil"/>
          <w:between w:val="nil"/>
        </w:pBdr>
        <w:spacing w:after="0" w:line="259" w:lineRule="auto"/>
        <w:jc w:val="both"/>
      </w:pPr>
      <w:r>
        <w:rPr>
          <w:rFonts w:ascii="Roboto" w:eastAsia="Roboto" w:hAnsi="Roboto" w:cs="Roboto"/>
        </w:rPr>
        <w:t xml:space="preserve">This submission was developed in consultation with refugee and asylum-seeking women representatives through community discussions, and with data from organisational activities and internal publications. The Annexure to this report contains a List of Cases documenting challenges faced. </w:t>
      </w:r>
    </w:p>
    <w:p w14:paraId="4E6BD448" w14:textId="77777777" w:rsidR="0034760B" w:rsidRDefault="0034760B">
      <w:pPr>
        <w:pBdr>
          <w:top w:val="nil"/>
          <w:left w:val="nil"/>
          <w:bottom w:val="nil"/>
          <w:right w:val="nil"/>
          <w:between w:val="nil"/>
        </w:pBdr>
        <w:spacing w:after="0"/>
        <w:jc w:val="both"/>
        <w:rPr>
          <w:rFonts w:ascii="Roboto" w:eastAsia="Roboto" w:hAnsi="Roboto" w:cs="Roboto"/>
          <w:color w:val="000000"/>
        </w:rPr>
      </w:pPr>
    </w:p>
    <w:p w14:paraId="19BBBB7B" w14:textId="77777777" w:rsidR="0034760B" w:rsidRDefault="00000000">
      <w:pPr>
        <w:pStyle w:val="Heading1"/>
        <w:spacing w:before="120" w:after="0"/>
        <w:jc w:val="both"/>
        <w:rPr>
          <w:rFonts w:ascii="Roboto" w:eastAsia="Roboto" w:hAnsi="Roboto" w:cs="Roboto"/>
          <w:color w:val="2F5496"/>
          <w:sz w:val="32"/>
          <w:szCs w:val="32"/>
        </w:rPr>
      </w:pPr>
      <w:bookmarkStart w:id="1" w:name="_heading=h.11ifldj3ja9k" w:colFirst="0" w:colLast="0"/>
      <w:bookmarkEnd w:id="1"/>
      <w:r>
        <w:rPr>
          <w:rFonts w:ascii="Roboto" w:eastAsia="Roboto" w:hAnsi="Roboto" w:cs="Roboto"/>
          <w:color w:val="2F5496"/>
          <w:sz w:val="32"/>
          <w:szCs w:val="32"/>
        </w:rPr>
        <w:t>ISSUES FOR CONSIDERATION</w:t>
      </w:r>
    </w:p>
    <w:p w14:paraId="521411AF" w14:textId="77777777" w:rsidR="0034760B" w:rsidRDefault="0034760B">
      <w:pPr>
        <w:pStyle w:val="Heading2"/>
        <w:spacing w:before="0" w:after="0" w:line="259" w:lineRule="auto"/>
        <w:jc w:val="both"/>
        <w:rPr>
          <w:rFonts w:ascii="Roboto" w:eastAsia="Roboto" w:hAnsi="Roboto" w:cs="Roboto"/>
          <w:b w:val="0"/>
          <w:color w:val="0563C1"/>
          <w:sz w:val="24"/>
          <w:szCs w:val="24"/>
        </w:rPr>
      </w:pPr>
      <w:bookmarkStart w:id="2" w:name="_heading=h.dfllx87nm4qn" w:colFirst="0" w:colLast="0"/>
      <w:bookmarkEnd w:id="2"/>
    </w:p>
    <w:p w14:paraId="66F742A9" w14:textId="77777777" w:rsidR="0034760B" w:rsidRDefault="00000000">
      <w:pPr>
        <w:pStyle w:val="Heading2"/>
        <w:spacing w:before="0" w:after="0" w:line="259" w:lineRule="auto"/>
        <w:jc w:val="both"/>
        <w:rPr>
          <w:rFonts w:ascii="Roboto" w:eastAsia="Roboto" w:hAnsi="Roboto" w:cs="Roboto"/>
          <w:color w:val="0563C1"/>
          <w:sz w:val="24"/>
          <w:szCs w:val="24"/>
        </w:rPr>
      </w:pPr>
      <w:bookmarkStart w:id="3" w:name="_heading=h.nwpe3flm9b0i" w:colFirst="0" w:colLast="0"/>
      <w:bookmarkEnd w:id="3"/>
      <w:r>
        <w:rPr>
          <w:rFonts w:ascii="Roboto" w:eastAsia="Roboto" w:hAnsi="Roboto" w:cs="Roboto"/>
          <w:color w:val="0563C1"/>
          <w:sz w:val="24"/>
          <w:szCs w:val="24"/>
        </w:rPr>
        <w:t xml:space="preserve">Issue 1: Lack of comprehensive legal framework that is consistent and compliant with the Convention (Committee List of Issues Para 22 (b)) </w:t>
      </w:r>
    </w:p>
    <w:p w14:paraId="36C5304D" w14:textId="77777777" w:rsidR="0034760B" w:rsidRDefault="0034760B">
      <w:pPr>
        <w:spacing w:after="0" w:line="259" w:lineRule="auto"/>
        <w:jc w:val="both"/>
        <w:rPr>
          <w:rFonts w:ascii="Roboto" w:eastAsia="Roboto" w:hAnsi="Roboto" w:cs="Roboto"/>
        </w:rPr>
      </w:pPr>
    </w:p>
    <w:p w14:paraId="45DACAD2" w14:textId="77777777" w:rsidR="0034760B" w:rsidRDefault="00000000">
      <w:pPr>
        <w:numPr>
          <w:ilvl w:val="0"/>
          <w:numId w:val="3"/>
        </w:numPr>
        <w:pBdr>
          <w:top w:val="nil"/>
          <w:left w:val="nil"/>
          <w:bottom w:val="nil"/>
          <w:right w:val="nil"/>
          <w:between w:val="nil"/>
        </w:pBdr>
        <w:spacing w:after="0" w:line="259" w:lineRule="auto"/>
        <w:jc w:val="both"/>
        <w:rPr>
          <w:color w:val="000000"/>
        </w:rPr>
      </w:pPr>
      <w:r>
        <w:rPr>
          <w:rFonts w:ascii="Roboto" w:eastAsia="Roboto" w:hAnsi="Roboto" w:cs="Roboto"/>
          <w:color w:val="000000"/>
        </w:rPr>
        <w:t>Following Malaysia’s 2018 CEDAW revi</w:t>
      </w:r>
      <w:r>
        <w:rPr>
          <w:rFonts w:ascii="Roboto" w:eastAsia="Roboto" w:hAnsi="Roboto" w:cs="Roboto"/>
        </w:rPr>
        <w:t>ew recommendation to “adopt a legal framework as a priority” , the CEDAW Committee in Para 22(b) of the LOI’s requested for specific information on the findings of  feasibility study and steps “taken to ensure that law, policy or mechanisms developed are consistent and in compliance with the Convention.”</w:t>
      </w:r>
      <w:r>
        <w:rPr>
          <w:rFonts w:ascii="Roboto" w:eastAsia="Roboto" w:hAnsi="Roboto" w:cs="Roboto"/>
          <w:vertAlign w:val="superscript"/>
        </w:rPr>
        <w:footnoteReference w:id="4"/>
      </w:r>
      <w:r>
        <w:rPr>
          <w:rFonts w:ascii="Roboto" w:eastAsia="Roboto" w:hAnsi="Roboto" w:cs="Roboto"/>
        </w:rPr>
        <w:t xml:space="preserve"> In response to this, </w:t>
      </w:r>
      <w:r>
        <w:rPr>
          <w:rFonts w:ascii="Roboto" w:eastAsia="Roboto" w:hAnsi="Roboto" w:cs="Roboto"/>
          <w:color w:val="000000"/>
        </w:rPr>
        <w:t xml:space="preserve">the government of Malaysia </w:t>
      </w:r>
      <w:r>
        <w:rPr>
          <w:rFonts w:ascii="Roboto" w:eastAsia="Roboto" w:hAnsi="Roboto" w:cs="Roboto"/>
        </w:rPr>
        <w:t>in Para 98 of the RLOI’s</w:t>
      </w:r>
      <w:r>
        <w:rPr>
          <w:rFonts w:ascii="Roboto" w:eastAsia="Roboto" w:hAnsi="Roboto" w:cs="Roboto"/>
          <w:color w:val="000000"/>
        </w:rPr>
        <w:t xml:space="preserve"> highlighted that </w:t>
      </w:r>
      <w:r>
        <w:rPr>
          <w:rFonts w:ascii="Roboto" w:eastAsia="Roboto" w:hAnsi="Roboto" w:cs="Roboto"/>
        </w:rPr>
        <w:t xml:space="preserve">the National Security Council (NSC) Directive Number 23 that governs the management of refugees and asylum seekers in Malaysia has been amended and “major changes have </w:t>
      </w:r>
      <w:r>
        <w:rPr>
          <w:rFonts w:ascii="Roboto" w:eastAsia="Roboto" w:hAnsi="Roboto" w:cs="Roboto"/>
        </w:rPr>
        <w:lastRenderedPageBreak/>
        <w:t>been approved including registering the refugees into national system, access to employment opportunity, healthcare and also education.”</w:t>
      </w:r>
      <w:r>
        <w:rPr>
          <w:rFonts w:ascii="Roboto" w:eastAsia="Roboto" w:hAnsi="Roboto" w:cs="Roboto"/>
          <w:vertAlign w:val="superscript"/>
        </w:rPr>
        <w:footnoteReference w:id="5"/>
      </w:r>
      <w:r>
        <w:rPr>
          <w:rFonts w:ascii="Roboto" w:eastAsia="Roboto" w:hAnsi="Roboto" w:cs="Roboto"/>
        </w:rPr>
        <w:t xml:space="preserve"> The response further adds that “refugees and asylum seekers as defined in the Directive are allowed to remain or stay temporarily in Malaysia based on humanitarian grounds''.</w:t>
      </w:r>
      <w:r>
        <w:rPr>
          <w:rFonts w:ascii="Roboto" w:eastAsia="Roboto" w:hAnsi="Roboto" w:cs="Roboto"/>
          <w:vertAlign w:val="superscript"/>
        </w:rPr>
        <w:footnoteReference w:id="6"/>
      </w:r>
      <w:r>
        <w:rPr>
          <w:rFonts w:ascii="Roboto" w:eastAsia="Roboto" w:hAnsi="Roboto" w:cs="Roboto"/>
        </w:rPr>
        <w:t xml:space="preserve"> </w:t>
      </w:r>
    </w:p>
    <w:p w14:paraId="75A3B3C0" w14:textId="77777777" w:rsidR="0034760B" w:rsidRDefault="0034760B">
      <w:pPr>
        <w:pBdr>
          <w:top w:val="nil"/>
          <w:left w:val="nil"/>
          <w:bottom w:val="nil"/>
          <w:right w:val="nil"/>
          <w:between w:val="nil"/>
        </w:pBdr>
        <w:spacing w:after="0" w:line="259" w:lineRule="auto"/>
        <w:ind w:left="720"/>
        <w:jc w:val="both"/>
        <w:rPr>
          <w:rFonts w:ascii="Roboto" w:eastAsia="Roboto" w:hAnsi="Roboto" w:cs="Roboto"/>
          <w:color w:val="000000"/>
        </w:rPr>
      </w:pPr>
    </w:p>
    <w:p w14:paraId="2433C84F" w14:textId="77777777" w:rsidR="0034760B" w:rsidRDefault="00000000">
      <w:pPr>
        <w:numPr>
          <w:ilvl w:val="0"/>
          <w:numId w:val="3"/>
        </w:numPr>
        <w:pBdr>
          <w:top w:val="nil"/>
          <w:left w:val="nil"/>
          <w:bottom w:val="nil"/>
          <w:right w:val="nil"/>
          <w:between w:val="nil"/>
        </w:pBdr>
        <w:spacing w:after="0" w:line="259" w:lineRule="auto"/>
        <w:jc w:val="both"/>
        <w:rPr>
          <w:color w:val="000000"/>
        </w:rPr>
      </w:pPr>
      <w:r>
        <w:rPr>
          <w:rFonts w:ascii="Roboto" w:eastAsia="Roboto" w:hAnsi="Roboto" w:cs="Roboto"/>
        </w:rPr>
        <w:t xml:space="preserve">Firstly, it is important to note that a NSC directive </w:t>
      </w:r>
      <w:r>
        <w:rPr>
          <w:rFonts w:ascii="Roboto" w:eastAsia="Roboto" w:hAnsi="Roboto" w:cs="Roboto"/>
          <w:b/>
        </w:rPr>
        <w:t>significantly falls short</w:t>
      </w:r>
      <w:r>
        <w:rPr>
          <w:rFonts w:ascii="Roboto" w:eastAsia="Roboto" w:hAnsi="Roboto" w:cs="Roboto"/>
        </w:rPr>
        <w:t xml:space="preserve"> of a legal framework as recommended by the CEDAW committee. In addition to which, there are serious concerns about the directive itself, as follows:</w:t>
      </w:r>
      <w:r>
        <w:rPr>
          <w:rFonts w:ascii="Roboto" w:eastAsia="Roboto" w:hAnsi="Roboto" w:cs="Roboto"/>
        </w:rPr>
        <w:br/>
      </w:r>
    </w:p>
    <w:p w14:paraId="71984667" w14:textId="77777777" w:rsidR="0034760B" w:rsidRDefault="00000000">
      <w:pPr>
        <w:numPr>
          <w:ilvl w:val="1"/>
          <w:numId w:val="3"/>
        </w:numPr>
        <w:pBdr>
          <w:top w:val="nil"/>
          <w:left w:val="nil"/>
          <w:bottom w:val="nil"/>
          <w:right w:val="nil"/>
          <w:between w:val="nil"/>
        </w:pBdr>
        <w:spacing w:after="0" w:line="259" w:lineRule="auto"/>
        <w:jc w:val="both"/>
        <w:rPr>
          <w:color w:val="000000"/>
        </w:rPr>
      </w:pPr>
      <w:r>
        <w:rPr>
          <w:rFonts w:ascii="Roboto" w:eastAsia="Roboto" w:hAnsi="Roboto" w:cs="Roboto"/>
        </w:rPr>
        <w:t xml:space="preserve">The contents of this amended Directive 23 and the findings of the feasibility study remain </w:t>
      </w:r>
      <w:r>
        <w:rPr>
          <w:rFonts w:ascii="Roboto" w:eastAsia="Roboto" w:hAnsi="Roboto" w:cs="Roboto"/>
          <w:b/>
        </w:rPr>
        <w:t>unknown and unpublished.</w:t>
      </w:r>
      <w:r>
        <w:rPr>
          <w:rFonts w:ascii="Roboto" w:eastAsia="Roboto" w:hAnsi="Roboto" w:cs="Roboto"/>
        </w:rPr>
        <w:t xml:space="preserve"> </w:t>
      </w:r>
    </w:p>
    <w:p w14:paraId="79D1D719" w14:textId="77777777" w:rsidR="0034760B" w:rsidRDefault="0034760B">
      <w:pPr>
        <w:pBdr>
          <w:top w:val="nil"/>
          <w:left w:val="nil"/>
          <w:bottom w:val="nil"/>
          <w:right w:val="nil"/>
          <w:between w:val="nil"/>
        </w:pBdr>
        <w:spacing w:after="0" w:line="259" w:lineRule="auto"/>
        <w:ind w:left="1440"/>
        <w:jc w:val="both"/>
        <w:rPr>
          <w:rFonts w:ascii="Roboto" w:eastAsia="Roboto" w:hAnsi="Roboto" w:cs="Roboto"/>
        </w:rPr>
      </w:pPr>
    </w:p>
    <w:p w14:paraId="0235D9B0" w14:textId="77777777" w:rsidR="0034760B" w:rsidRDefault="00000000">
      <w:pPr>
        <w:numPr>
          <w:ilvl w:val="1"/>
          <w:numId w:val="3"/>
        </w:numPr>
        <w:pBdr>
          <w:top w:val="nil"/>
          <w:left w:val="nil"/>
          <w:bottom w:val="nil"/>
          <w:right w:val="nil"/>
          <w:between w:val="nil"/>
        </w:pBdr>
        <w:spacing w:after="0" w:line="259" w:lineRule="auto"/>
        <w:jc w:val="both"/>
        <w:rPr>
          <w:color w:val="000000"/>
        </w:rPr>
      </w:pPr>
      <w:r>
        <w:rPr>
          <w:rFonts w:ascii="Roboto" w:eastAsia="Roboto" w:hAnsi="Roboto" w:cs="Roboto"/>
        </w:rPr>
        <w:t xml:space="preserve">There is a </w:t>
      </w:r>
      <w:r>
        <w:rPr>
          <w:rFonts w:ascii="Roboto" w:eastAsia="Roboto" w:hAnsi="Roboto" w:cs="Roboto"/>
          <w:b/>
        </w:rPr>
        <w:t>lack of transparency and engagement with stakeholders</w:t>
      </w:r>
      <w:r>
        <w:rPr>
          <w:rFonts w:ascii="Roboto" w:eastAsia="Roboto" w:hAnsi="Roboto" w:cs="Roboto"/>
        </w:rPr>
        <w:t xml:space="preserve">, with no known consultation with civil society organisations and refugee communities about the amendments, including prior to finalisation. </w:t>
      </w:r>
    </w:p>
    <w:p w14:paraId="66ECF54D" w14:textId="77777777" w:rsidR="0034760B" w:rsidRDefault="0034760B">
      <w:pPr>
        <w:pBdr>
          <w:top w:val="nil"/>
          <w:left w:val="nil"/>
          <w:bottom w:val="nil"/>
          <w:right w:val="nil"/>
          <w:between w:val="nil"/>
        </w:pBdr>
        <w:spacing w:after="0" w:line="259" w:lineRule="auto"/>
        <w:ind w:left="1440"/>
        <w:jc w:val="both"/>
        <w:rPr>
          <w:rFonts w:ascii="Roboto" w:eastAsia="Roboto" w:hAnsi="Roboto" w:cs="Roboto"/>
        </w:rPr>
      </w:pPr>
    </w:p>
    <w:p w14:paraId="2B8B65F1" w14:textId="77777777" w:rsidR="0034760B" w:rsidRDefault="00000000">
      <w:pPr>
        <w:numPr>
          <w:ilvl w:val="1"/>
          <w:numId w:val="3"/>
        </w:numPr>
        <w:pBdr>
          <w:top w:val="nil"/>
          <w:left w:val="nil"/>
          <w:bottom w:val="nil"/>
          <w:right w:val="nil"/>
          <w:between w:val="nil"/>
        </w:pBdr>
        <w:spacing w:after="0" w:line="259" w:lineRule="auto"/>
        <w:jc w:val="both"/>
        <w:rPr>
          <w:color w:val="000000"/>
        </w:rPr>
      </w:pPr>
      <w:r>
        <w:rPr>
          <w:rFonts w:ascii="Roboto" w:eastAsia="Roboto" w:hAnsi="Roboto" w:cs="Roboto"/>
        </w:rPr>
        <w:t xml:space="preserve">It is also </w:t>
      </w:r>
      <w:r>
        <w:rPr>
          <w:rFonts w:ascii="Roboto" w:eastAsia="Roboto" w:hAnsi="Roboto" w:cs="Roboto"/>
          <w:b/>
        </w:rPr>
        <w:t>unknown</w:t>
      </w:r>
      <w:r>
        <w:rPr>
          <w:rFonts w:ascii="Roboto" w:eastAsia="Roboto" w:hAnsi="Roboto" w:cs="Roboto"/>
        </w:rPr>
        <w:t xml:space="preserve"> whether the critical aspects such as a) the i</w:t>
      </w:r>
      <w:r>
        <w:rPr>
          <w:rFonts w:ascii="Roboto" w:eastAsia="Roboto" w:hAnsi="Roboto" w:cs="Roboto"/>
          <w:b/>
        </w:rPr>
        <w:t>ncorporation of gender dimension</w:t>
      </w:r>
      <w:r>
        <w:rPr>
          <w:rFonts w:ascii="Roboto" w:eastAsia="Roboto" w:hAnsi="Roboto" w:cs="Roboto"/>
        </w:rPr>
        <w:t>s into proposed asylum assessments and access to rights, b) the understanding of</w:t>
      </w:r>
      <w:r>
        <w:rPr>
          <w:rFonts w:ascii="Roboto" w:eastAsia="Roboto" w:hAnsi="Roboto" w:cs="Roboto"/>
          <w:color w:val="000000"/>
        </w:rPr>
        <w:t xml:space="preserve"> </w:t>
      </w:r>
      <w:r>
        <w:rPr>
          <w:rFonts w:ascii="Roboto" w:eastAsia="Roboto" w:hAnsi="Roboto" w:cs="Roboto"/>
          <w:b/>
          <w:color w:val="000000"/>
        </w:rPr>
        <w:t>holistic protection</w:t>
      </w:r>
      <w:r>
        <w:rPr>
          <w:rFonts w:ascii="Roboto" w:eastAsia="Roboto" w:hAnsi="Roboto" w:cs="Roboto"/>
          <w:color w:val="000000"/>
        </w:rPr>
        <w:t xml:space="preserve"> needs </w:t>
      </w:r>
      <w:r>
        <w:rPr>
          <w:rFonts w:ascii="Roboto" w:eastAsia="Roboto" w:hAnsi="Roboto" w:cs="Roboto"/>
        </w:rPr>
        <w:t>particularly of women and girls</w:t>
      </w:r>
      <w:r>
        <w:rPr>
          <w:rFonts w:ascii="Roboto" w:eastAsia="Roboto" w:hAnsi="Roboto" w:cs="Roboto"/>
          <w:color w:val="000000"/>
        </w:rPr>
        <w:t xml:space="preserve">, and c) the importance of </w:t>
      </w:r>
      <w:r>
        <w:rPr>
          <w:rFonts w:ascii="Roboto" w:eastAsia="Roboto" w:hAnsi="Roboto" w:cs="Roboto"/>
          <w:b/>
          <w:color w:val="000000"/>
        </w:rPr>
        <w:t>guidance from international instrument</w:t>
      </w:r>
      <w:r>
        <w:rPr>
          <w:rFonts w:ascii="Roboto" w:eastAsia="Roboto" w:hAnsi="Roboto" w:cs="Roboto"/>
          <w:color w:val="000000"/>
        </w:rPr>
        <w:t>s,</w:t>
      </w:r>
      <w:r>
        <w:rPr>
          <w:rFonts w:ascii="Roboto" w:eastAsia="Roboto" w:hAnsi="Roboto" w:cs="Roboto"/>
        </w:rPr>
        <w:t xml:space="preserve"> are considered and included.</w:t>
      </w:r>
    </w:p>
    <w:p w14:paraId="1DD2864D" w14:textId="77777777" w:rsidR="0034760B" w:rsidRDefault="0034760B">
      <w:pPr>
        <w:pBdr>
          <w:top w:val="nil"/>
          <w:left w:val="nil"/>
          <w:bottom w:val="nil"/>
          <w:right w:val="nil"/>
          <w:between w:val="nil"/>
        </w:pBdr>
        <w:spacing w:after="0" w:line="259" w:lineRule="auto"/>
        <w:ind w:left="1440"/>
        <w:jc w:val="both"/>
        <w:rPr>
          <w:rFonts w:ascii="Roboto" w:eastAsia="Roboto" w:hAnsi="Roboto" w:cs="Roboto"/>
        </w:rPr>
      </w:pPr>
    </w:p>
    <w:p w14:paraId="3076F0D8" w14:textId="77777777" w:rsidR="0034760B" w:rsidRDefault="00000000">
      <w:pPr>
        <w:numPr>
          <w:ilvl w:val="1"/>
          <w:numId w:val="3"/>
        </w:numPr>
        <w:pBdr>
          <w:top w:val="nil"/>
          <w:left w:val="nil"/>
          <w:bottom w:val="nil"/>
          <w:right w:val="nil"/>
          <w:between w:val="nil"/>
        </w:pBdr>
        <w:spacing w:after="0" w:line="259" w:lineRule="auto"/>
        <w:jc w:val="both"/>
        <w:rPr>
          <w:color w:val="000000"/>
        </w:rPr>
      </w:pPr>
      <w:r>
        <w:rPr>
          <w:rFonts w:ascii="Roboto" w:eastAsia="Roboto" w:hAnsi="Roboto" w:cs="Roboto"/>
        </w:rPr>
        <w:t xml:space="preserve">It is </w:t>
      </w:r>
      <w:r>
        <w:rPr>
          <w:rFonts w:ascii="Roboto" w:eastAsia="Roboto" w:hAnsi="Roboto" w:cs="Roboto"/>
          <w:b/>
        </w:rPr>
        <w:t xml:space="preserve">uncertain how </w:t>
      </w:r>
      <w:r>
        <w:rPr>
          <w:rFonts w:ascii="Roboto" w:eastAsia="Roboto" w:hAnsi="Roboto" w:cs="Roboto"/>
          <w:b/>
          <w:color w:val="000000"/>
        </w:rPr>
        <w:t xml:space="preserve">refugees and asylum seekers are defined </w:t>
      </w:r>
      <w:r>
        <w:rPr>
          <w:rFonts w:ascii="Roboto" w:eastAsia="Roboto" w:hAnsi="Roboto" w:cs="Roboto"/>
          <w:color w:val="000000"/>
        </w:rPr>
        <w:t xml:space="preserve">in the Directive </w:t>
      </w:r>
      <w:r>
        <w:rPr>
          <w:rFonts w:ascii="Roboto" w:eastAsia="Roboto" w:hAnsi="Roboto" w:cs="Roboto"/>
        </w:rPr>
        <w:t>and whether it is in line with internationally accepted definitions. Under the NSC’s National Security Policy, it states that Malaysia does not explicitly accept the concept of refugees as declared in any international documents including the Refugee Conventions and that any refugees or asylum seekers with UNHCR documents will still be considered as undocumented persons within Malaysian law</w:t>
      </w:r>
      <w:r>
        <w:rPr>
          <w:rFonts w:ascii="Roboto" w:eastAsia="Roboto" w:hAnsi="Roboto" w:cs="Roboto"/>
          <w:vertAlign w:val="superscript"/>
        </w:rPr>
        <w:footnoteReference w:id="7"/>
      </w:r>
      <w:r>
        <w:rPr>
          <w:rFonts w:ascii="Roboto" w:eastAsia="Roboto" w:hAnsi="Roboto" w:cs="Roboto"/>
        </w:rPr>
        <w:t xml:space="preserve">. </w:t>
      </w:r>
    </w:p>
    <w:p w14:paraId="5E026323" w14:textId="77777777" w:rsidR="0034760B" w:rsidRDefault="0034760B">
      <w:pPr>
        <w:pBdr>
          <w:top w:val="nil"/>
          <w:left w:val="nil"/>
          <w:bottom w:val="nil"/>
          <w:right w:val="nil"/>
          <w:between w:val="nil"/>
        </w:pBdr>
        <w:spacing w:after="0" w:line="259" w:lineRule="auto"/>
        <w:ind w:left="1440"/>
        <w:jc w:val="both"/>
        <w:rPr>
          <w:rFonts w:ascii="Roboto" w:eastAsia="Roboto" w:hAnsi="Roboto" w:cs="Roboto"/>
        </w:rPr>
      </w:pPr>
    </w:p>
    <w:p w14:paraId="1CA2194C" w14:textId="77777777" w:rsidR="0034760B" w:rsidRDefault="00000000">
      <w:pPr>
        <w:numPr>
          <w:ilvl w:val="1"/>
          <w:numId w:val="3"/>
        </w:numPr>
        <w:pBdr>
          <w:top w:val="nil"/>
          <w:left w:val="nil"/>
          <w:bottom w:val="nil"/>
          <w:right w:val="nil"/>
          <w:between w:val="nil"/>
        </w:pBdr>
        <w:spacing w:after="0" w:line="259" w:lineRule="auto"/>
        <w:jc w:val="both"/>
        <w:rPr>
          <w:color w:val="000000"/>
        </w:rPr>
      </w:pPr>
      <w:r>
        <w:rPr>
          <w:rFonts w:ascii="Roboto" w:eastAsia="Roboto" w:hAnsi="Roboto" w:cs="Roboto"/>
        </w:rPr>
        <w:t xml:space="preserve">There is </w:t>
      </w:r>
      <w:r>
        <w:rPr>
          <w:rFonts w:ascii="Roboto" w:eastAsia="Roboto" w:hAnsi="Roboto" w:cs="Roboto"/>
          <w:b/>
        </w:rPr>
        <w:t>no clarity on data protection safeguards</w:t>
      </w:r>
      <w:r>
        <w:rPr>
          <w:rFonts w:ascii="Roboto" w:eastAsia="Roboto" w:hAnsi="Roboto" w:cs="Roboto"/>
        </w:rPr>
        <w:t xml:space="preserve"> with a national registration system and whether information will be used as a </w:t>
      </w:r>
      <w:r w:rsidRPr="00CF5D32">
        <w:rPr>
          <w:rFonts w:ascii="Roboto" w:eastAsia="Roboto" w:hAnsi="Roboto" w:cs="Roboto"/>
          <w:b/>
          <w:bCs/>
        </w:rPr>
        <w:t>surveillance tool or shared with other governments</w:t>
      </w:r>
      <w:r>
        <w:rPr>
          <w:rFonts w:ascii="Roboto" w:eastAsia="Roboto" w:hAnsi="Roboto" w:cs="Roboto"/>
        </w:rPr>
        <w:t xml:space="preserve">. </w:t>
      </w:r>
    </w:p>
    <w:p w14:paraId="11B13B73" w14:textId="77777777" w:rsidR="0034760B" w:rsidRDefault="0034760B">
      <w:pPr>
        <w:pBdr>
          <w:top w:val="nil"/>
          <w:left w:val="nil"/>
          <w:bottom w:val="nil"/>
          <w:right w:val="nil"/>
          <w:between w:val="nil"/>
        </w:pBdr>
        <w:spacing w:after="0" w:line="259" w:lineRule="auto"/>
        <w:ind w:left="1440"/>
        <w:jc w:val="both"/>
        <w:rPr>
          <w:rFonts w:ascii="Roboto" w:eastAsia="Roboto" w:hAnsi="Roboto" w:cs="Roboto"/>
        </w:rPr>
      </w:pPr>
    </w:p>
    <w:p w14:paraId="57425F27" w14:textId="77777777" w:rsidR="0034760B" w:rsidRDefault="00000000">
      <w:pPr>
        <w:numPr>
          <w:ilvl w:val="1"/>
          <w:numId w:val="3"/>
        </w:numPr>
        <w:pBdr>
          <w:top w:val="nil"/>
          <w:left w:val="nil"/>
          <w:bottom w:val="nil"/>
          <w:right w:val="nil"/>
          <w:between w:val="nil"/>
        </w:pBdr>
        <w:spacing w:after="0" w:line="259" w:lineRule="auto"/>
        <w:jc w:val="both"/>
        <w:rPr>
          <w:color w:val="000000"/>
        </w:rPr>
      </w:pPr>
      <w:r>
        <w:rPr>
          <w:rFonts w:ascii="Roboto" w:eastAsia="Roboto" w:hAnsi="Roboto" w:cs="Roboto"/>
        </w:rPr>
        <w:t xml:space="preserve">It is </w:t>
      </w:r>
      <w:r w:rsidRPr="00CF5D32">
        <w:rPr>
          <w:rFonts w:ascii="Roboto" w:eastAsia="Roboto" w:hAnsi="Roboto" w:cs="Roboto"/>
          <w:b/>
          <w:bCs/>
        </w:rPr>
        <w:t xml:space="preserve">unclear </w:t>
      </w:r>
      <w:r>
        <w:rPr>
          <w:rFonts w:ascii="Roboto" w:eastAsia="Roboto" w:hAnsi="Roboto" w:cs="Roboto"/>
        </w:rPr>
        <w:t xml:space="preserve">as to how a </w:t>
      </w:r>
      <w:r w:rsidRPr="00CF5D32">
        <w:rPr>
          <w:rFonts w:ascii="Roboto" w:eastAsia="Roboto" w:hAnsi="Roboto" w:cs="Roboto"/>
          <w:b/>
          <w:bCs/>
        </w:rPr>
        <w:t>parallel vetting or status determination process</w:t>
      </w:r>
      <w:r>
        <w:rPr>
          <w:rFonts w:ascii="Roboto" w:eastAsia="Roboto" w:hAnsi="Roboto" w:cs="Roboto"/>
        </w:rPr>
        <w:t xml:space="preserve"> with UNHCR issued documents and durable solutions </w:t>
      </w:r>
      <w:r w:rsidRPr="00CF5D32">
        <w:rPr>
          <w:rFonts w:ascii="Roboto" w:eastAsia="Roboto" w:hAnsi="Roboto" w:cs="Roboto"/>
          <w:b/>
          <w:bCs/>
        </w:rPr>
        <w:t>will be impacted</w:t>
      </w:r>
      <w:r>
        <w:rPr>
          <w:rFonts w:ascii="Roboto" w:eastAsia="Roboto" w:hAnsi="Roboto" w:cs="Roboto"/>
        </w:rPr>
        <w:t xml:space="preserve"> hereafter, including their recognition by law enforcement.</w:t>
      </w:r>
    </w:p>
    <w:p w14:paraId="284933BC" w14:textId="77777777" w:rsidR="0034760B" w:rsidRDefault="0034760B">
      <w:pPr>
        <w:pBdr>
          <w:top w:val="nil"/>
          <w:left w:val="nil"/>
          <w:bottom w:val="nil"/>
          <w:right w:val="nil"/>
          <w:between w:val="nil"/>
        </w:pBdr>
        <w:spacing w:after="0" w:line="259" w:lineRule="auto"/>
        <w:ind w:left="1440"/>
        <w:jc w:val="both"/>
        <w:rPr>
          <w:rFonts w:ascii="Roboto" w:eastAsia="Roboto" w:hAnsi="Roboto" w:cs="Roboto"/>
        </w:rPr>
      </w:pPr>
    </w:p>
    <w:p w14:paraId="1B528199" w14:textId="77777777" w:rsidR="0034760B" w:rsidRDefault="00000000">
      <w:pPr>
        <w:numPr>
          <w:ilvl w:val="1"/>
          <w:numId w:val="3"/>
        </w:numPr>
        <w:pBdr>
          <w:top w:val="nil"/>
          <w:left w:val="nil"/>
          <w:bottom w:val="nil"/>
          <w:right w:val="nil"/>
          <w:between w:val="nil"/>
        </w:pBdr>
        <w:spacing w:after="0" w:line="259" w:lineRule="auto"/>
        <w:jc w:val="both"/>
        <w:rPr>
          <w:color w:val="000000"/>
        </w:rPr>
      </w:pPr>
      <w:r>
        <w:rPr>
          <w:rFonts w:ascii="Roboto" w:eastAsia="Roboto" w:hAnsi="Roboto" w:cs="Roboto"/>
        </w:rPr>
        <w:t>The adoption of a</w:t>
      </w:r>
      <w:r>
        <w:rPr>
          <w:rFonts w:ascii="Roboto" w:eastAsia="Roboto" w:hAnsi="Roboto" w:cs="Roboto"/>
          <w:color w:val="000000"/>
        </w:rPr>
        <w:t xml:space="preserve"> </w:t>
      </w:r>
      <w:r>
        <w:rPr>
          <w:rFonts w:ascii="Roboto" w:eastAsia="Roboto" w:hAnsi="Roboto" w:cs="Roboto"/>
          <w:b/>
          <w:color w:val="000000"/>
        </w:rPr>
        <w:t>highly classified internal decision-making process</w:t>
      </w:r>
      <w:r>
        <w:rPr>
          <w:rFonts w:ascii="Roboto" w:eastAsia="Roboto" w:hAnsi="Roboto" w:cs="Roboto"/>
          <w:b/>
        </w:rPr>
        <w:t xml:space="preserve"> by the NSC </w:t>
      </w:r>
      <w:r>
        <w:rPr>
          <w:rFonts w:ascii="Roboto" w:eastAsia="Roboto" w:hAnsi="Roboto" w:cs="Roboto"/>
        </w:rPr>
        <w:t>that is</w:t>
      </w:r>
      <w:r>
        <w:rPr>
          <w:rFonts w:ascii="Roboto" w:eastAsia="Roboto" w:hAnsi="Roboto" w:cs="Roboto"/>
          <w:color w:val="000000"/>
        </w:rPr>
        <w:t xml:space="preserve"> </w:t>
      </w:r>
      <w:r>
        <w:rPr>
          <w:rFonts w:ascii="Roboto" w:eastAsia="Roboto" w:hAnsi="Roboto" w:cs="Roboto"/>
          <w:b/>
          <w:color w:val="000000"/>
        </w:rPr>
        <w:t>excluded from any form of public review</w:t>
      </w:r>
      <w:r>
        <w:rPr>
          <w:rFonts w:ascii="Roboto" w:eastAsia="Roboto" w:hAnsi="Roboto" w:cs="Roboto"/>
          <w:color w:val="000000"/>
        </w:rPr>
        <w:t xml:space="preserve">, </w:t>
      </w:r>
      <w:r>
        <w:rPr>
          <w:rFonts w:ascii="Roboto" w:eastAsia="Roboto" w:hAnsi="Roboto" w:cs="Roboto"/>
        </w:rPr>
        <w:t>is</w:t>
      </w:r>
      <w:r>
        <w:rPr>
          <w:rFonts w:ascii="Roboto" w:eastAsia="Roboto" w:hAnsi="Roboto" w:cs="Roboto"/>
          <w:color w:val="000000"/>
        </w:rPr>
        <w:t xml:space="preserve"> discretionary, and legally unchallengeable. </w:t>
      </w:r>
    </w:p>
    <w:p w14:paraId="47429D4E" w14:textId="77777777" w:rsidR="0034760B" w:rsidRDefault="0034760B">
      <w:pPr>
        <w:rPr>
          <w:rFonts w:ascii="Roboto" w:eastAsia="Roboto" w:hAnsi="Roboto" w:cs="Roboto"/>
          <w: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34760B" w14:paraId="2A5BDC3F" w14:textId="77777777">
        <w:tc>
          <w:tcPr>
            <w:tcW w:w="9360" w:type="dxa"/>
            <w:tcBorders>
              <w:top w:val="single" w:sz="18" w:space="0" w:color="0563C1"/>
              <w:left w:val="single" w:sz="18" w:space="0" w:color="0563C1"/>
              <w:bottom w:val="single" w:sz="18" w:space="0" w:color="0563C1"/>
              <w:right w:val="single" w:sz="18" w:space="0" w:color="0563C1"/>
            </w:tcBorders>
            <w:shd w:val="clear" w:color="auto" w:fill="auto"/>
            <w:tcMar>
              <w:top w:w="100" w:type="dxa"/>
              <w:left w:w="100" w:type="dxa"/>
              <w:bottom w:w="100" w:type="dxa"/>
              <w:right w:w="100" w:type="dxa"/>
            </w:tcMar>
          </w:tcPr>
          <w:p w14:paraId="61998131" w14:textId="77777777" w:rsidR="0034760B" w:rsidRDefault="00000000">
            <w:pPr>
              <w:rPr>
                <w:rFonts w:ascii="Roboto" w:eastAsia="Roboto" w:hAnsi="Roboto" w:cs="Roboto"/>
              </w:rPr>
            </w:pPr>
            <w:r>
              <w:rPr>
                <w:rFonts w:ascii="Roboto" w:eastAsia="Roboto" w:hAnsi="Roboto" w:cs="Roboto"/>
                <w:b/>
              </w:rPr>
              <w:t>RECOMMENDATIONS</w:t>
            </w:r>
          </w:p>
          <w:p w14:paraId="58FE160E"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 xml:space="preserve">Make public the amended National Security Council Directive Number 23, which provides for the policy and management of refugees and asylum seekers in Malaysia. </w:t>
            </w:r>
          </w:p>
          <w:p w14:paraId="26A10E73" w14:textId="77777777" w:rsidR="0034760B" w:rsidRDefault="0034760B">
            <w:pPr>
              <w:spacing w:after="0" w:line="259" w:lineRule="auto"/>
              <w:jc w:val="both"/>
              <w:rPr>
                <w:rFonts w:ascii="Roboto" w:eastAsia="Roboto" w:hAnsi="Roboto" w:cs="Roboto"/>
              </w:rPr>
            </w:pPr>
          </w:p>
          <w:p w14:paraId="0BB412D2"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 xml:space="preserve">Take immediate measures to develop a comprehensive legal and policy framework for the recognition and protection of all refugees and asylum seekers in Malaysia that includes the right to seek asylum, legal status, right to stay and basic rights such as work, education and healthcare in line with international human rights standards in meaningful collaboration </w:t>
            </w:r>
            <w:proofErr w:type="gramStart"/>
            <w:r>
              <w:rPr>
                <w:rFonts w:ascii="Roboto" w:eastAsia="Roboto" w:hAnsi="Roboto" w:cs="Roboto"/>
              </w:rPr>
              <w:t>with  refugee</w:t>
            </w:r>
            <w:proofErr w:type="gramEnd"/>
            <w:r>
              <w:rPr>
                <w:rFonts w:ascii="Roboto" w:eastAsia="Roboto" w:hAnsi="Roboto" w:cs="Roboto"/>
              </w:rPr>
              <w:t xml:space="preserve"> communities, SUHAKAM, UNHCR Malaysia, civil society organisations. </w:t>
            </w:r>
          </w:p>
          <w:p w14:paraId="1642A8E1" w14:textId="77777777" w:rsidR="0034760B" w:rsidRDefault="0034760B">
            <w:pPr>
              <w:spacing w:after="0" w:line="259" w:lineRule="auto"/>
              <w:jc w:val="both"/>
              <w:rPr>
                <w:rFonts w:ascii="Roboto" w:eastAsia="Roboto" w:hAnsi="Roboto" w:cs="Roboto"/>
              </w:rPr>
            </w:pPr>
          </w:p>
          <w:p w14:paraId="1655881F"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 xml:space="preserve">Establish a specific body with meaningful collaboration and engagement, composed of relevant government agencies, SUHAKAM, UNHCR Malaysia, and civil society organisations to efficiently manage forced migration and asylum procedures. </w:t>
            </w:r>
          </w:p>
          <w:p w14:paraId="6A53D291" w14:textId="77777777" w:rsidR="0034760B" w:rsidRDefault="0034760B">
            <w:pPr>
              <w:spacing w:after="0" w:line="259" w:lineRule="auto"/>
              <w:ind w:left="720"/>
              <w:jc w:val="both"/>
              <w:rPr>
                <w:rFonts w:ascii="Roboto" w:eastAsia="Roboto" w:hAnsi="Roboto" w:cs="Roboto"/>
              </w:rPr>
            </w:pPr>
          </w:p>
          <w:p w14:paraId="2CC2058E"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 xml:space="preserve">Ensure that any national registration system and data collection methods adhere to appropriate data protection, confidentiality mechanisms, and firewalls between protection and enforcement. </w:t>
            </w:r>
          </w:p>
        </w:tc>
      </w:tr>
    </w:tbl>
    <w:p w14:paraId="211D378D" w14:textId="77777777" w:rsidR="0034760B" w:rsidRDefault="0034760B">
      <w:pPr>
        <w:pBdr>
          <w:top w:val="nil"/>
          <w:left w:val="nil"/>
          <w:bottom w:val="nil"/>
          <w:right w:val="nil"/>
          <w:between w:val="nil"/>
        </w:pBdr>
        <w:spacing w:after="0" w:line="259" w:lineRule="auto"/>
        <w:jc w:val="both"/>
        <w:rPr>
          <w:rFonts w:ascii="Roboto" w:eastAsia="Roboto" w:hAnsi="Roboto" w:cs="Roboto"/>
          <w:u w:val="single"/>
        </w:rPr>
      </w:pPr>
    </w:p>
    <w:p w14:paraId="78E8EDD1" w14:textId="77777777" w:rsidR="0034760B" w:rsidRDefault="00000000">
      <w:pPr>
        <w:pStyle w:val="Heading2"/>
        <w:spacing w:before="40" w:after="240"/>
        <w:jc w:val="both"/>
        <w:rPr>
          <w:rFonts w:ascii="Roboto" w:eastAsia="Roboto" w:hAnsi="Roboto" w:cs="Roboto"/>
          <w:color w:val="0563C1"/>
          <w:sz w:val="24"/>
          <w:szCs w:val="24"/>
        </w:rPr>
      </w:pPr>
      <w:bookmarkStart w:id="4" w:name="_heading=h.2z839zpyva4f" w:colFirst="0" w:colLast="0"/>
      <w:bookmarkEnd w:id="4"/>
      <w:r>
        <w:rPr>
          <w:rFonts w:ascii="Roboto" w:eastAsia="Roboto" w:hAnsi="Roboto" w:cs="Roboto"/>
          <w:color w:val="0563C1"/>
          <w:sz w:val="24"/>
          <w:szCs w:val="24"/>
        </w:rPr>
        <w:t xml:space="preserve">Issue 2: Impact of law, policy or mechanism for refugee and asylum-seeking women that is inconsistent or not in compliance with the Convention (Committee List of Issues Para 22 (b)) </w:t>
      </w:r>
    </w:p>
    <w:p w14:paraId="1AF863B6" w14:textId="5EAB7F30" w:rsidR="0034760B" w:rsidRDefault="00000000">
      <w:pPr>
        <w:numPr>
          <w:ilvl w:val="0"/>
          <w:numId w:val="3"/>
        </w:numPr>
        <w:spacing w:after="0" w:line="259" w:lineRule="auto"/>
        <w:jc w:val="both"/>
      </w:pPr>
      <w:r>
        <w:rPr>
          <w:rFonts w:ascii="Roboto" w:eastAsia="Roboto" w:hAnsi="Roboto" w:cs="Roboto"/>
        </w:rPr>
        <w:t xml:space="preserve">The lack of a legal framework and/or any meaningful steps to ensure that law, policy or mechanisms developed are consistent and in compliance with the Convention has resulted in the continued violation of rights of refugee and </w:t>
      </w:r>
      <w:r w:rsidR="00E15D10">
        <w:rPr>
          <w:rFonts w:ascii="Roboto" w:eastAsia="Roboto" w:hAnsi="Roboto" w:cs="Roboto"/>
        </w:rPr>
        <w:t>asylum-seeking</w:t>
      </w:r>
      <w:r>
        <w:rPr>
          <w:rFonts w:ascii="Roboto" w:eastAsia="Roboto" w:hAnsi="Roboto" w:cs="Roboto"/>
        </w:rPr>
        <w:t xml:space="preserve"> women guaranteed under the Convention including arrest, detention and refoulement; and a lack of access to fundamental rights including employment and education. </w:t>
      </w:r>
    </w:p>
    <w:p w14:paraId="46160F77" w14:textId="77777777" w:rsidR="0034760B" w:rsidRDefault="0034760B">
      <w:pPr>
        <w:spacing w:after="0" w:line="259" w:lineRule="auto"/>
        <w:ind w:left="720"/>
        <w:jc w:val="both"/>
        <w:rPr>
          <w:rFonts w:ascii="Roboto" w:eastAsia="Roboto" w:hAnsi="Roboto" w:cs="Roboto"/>
        </w:rPr>
      </w:pPr>
    </w:p>
    <w:p w14:paraId="575C139B" w14:textId="77777777" w:rsidR="0034760B" w:rsidRDefault="00000000">
      <w:pPr>
        <w:pStyle w:val="Heading3"/>
        <w:spacing w:before="40" w:after="240"/>
        <w:jc w:val="both"/>
        <w:rPr>
          <w:rFonts w:ascii="Roboto" w:eastAsia="Roboto" w:hAnsi="Roboto" w:cs="Roboto"/>
          <w:b w:val="0"/>
          <w:i/>
          <w:sz w:val="22"/>
          <w:szCs w:val="22"/>
          <w:u w:val="single"/>
        </w:rPr>
      </w:pPr>
      <w:bookmarkStart w:id="5" w:name="_heading=h.u60p3ahrlvg" w:colFirst="0" w:colLast="0"/>
      <w:bookmarkEnd w:id="5"/>
      <w:r>
        <w:rPr>
          <w:rFonts w:ascii="Roboto" w:eastAsia="Roboto" w:hAnsi="Roboto" w:cs="Roboto"/>
          <w:b w:val="0"/>
          <w:i/>
          <w:sz w:val="22"/>
          <w:szCs w:val="22"/>
          <w:u w:val="single"/>
        </w:rPr>
        <w:t>Continued Arbitrary raids, arrests, detention, and refoulement of women and girls in violation of CEDAW articles 1, 2, 5(a), 12</w:t>
      </w:r>
    </w:p>
    <w:p w14:paraId="0269172D" w14:textId="77777777" w:rsidR="0034760B" w:rsidRDefault="00000000">
      <w:pPr>
        <w:numPr>
          <w:ilvl w:val="0"/>
          <w:numId w:val="3"/>
        </w:numPr>
        <w:spacing w:after="0" w:line="259" w:lineRule="auto"/>
        <w:jc w:val="both"/>
      </w:pPr>
      <w:r>
        <w:rPr>
          <w:rFonts w:ascii="Roboto" w:eastAsia="Roboto" w:hAnsi="Roboto" w:cs="Roboto"/>
        </w:rPr>
        <w:t>Information and issues highlighted in AAM’s PSWG Report in 2023 remains relevant.</w:t>
      </w:r>
      <w:r>
        <w:rPr>
          <w:rFonts w:ascii="Roboto" w:eastAsia="Roboto" w:hAnsi="Roboto" w:cs="Roboto"/>
          <w:vertAlign w:val="superscript"/>
        </w:rPr>
        <w:footnoteReference w:id="8"/>
      </w:r>
      <w:r>
        <w:rPr>
          <w:rFonts w:ascii="Roboto" w:eastAsia="Roboto" w:hAnsi="Roboto" w:cs="Roboto"/>
        </w:rPr>
        <w:t xml:space="preserve"> The latest publicly available data suggests that as of September 2023, 11, 694 people were being held in immigration detention centres throughout Malaysia, including 2, 206 women, and 635 girls.</w:t>
      </w:r>
      <w:r>
        <w:rPr>
          <w:rFonts w:ascii="Roboto" w:eastAsia="Roboto" w:hAnsi="Roboto" w:cs="Roboto"/>
          <w:vertAlign w:val="superscript"/>
        </w:rPr>
        <w:footnoteReference w:id="9"/>
      </w:r>
      <w:r>
        <w:rPr>
          <w:rFonts w:ascii="Roboto" w:eastAsia="Roboto" w:hAnsi="Roboto" w:cs="Roboto"/>
        </w:rPr>
        <w:t xml:space="preserve"> In the </w:t>
      </w:r>
      <w:r>
        <w:rPr>
          <w:rFonts w:ascii="Roboto" w:eastAsia="Roboto" w:hAnsi="Roboto" w:cs="Roboto"/>
          <w:b/>
        </w:rPr>
        <w:t>first three months of 2024</w:t>
      </w:r>
      <w:r>
        <w:rPr>
          <w:rFonts w:ascii="Roboto" w:eastAsia="Roboto" w:hAnsi="Roboto" w:cs="Roboto"/>
        </w:rPr>
        <w:t xml:space="preserve">, the Immigration Department carried out </w:t>
      </w:r>
      <w:r>
        <w:rPr>
          <w:rFonts w:ascii="Roboto" w:eastAsia="Roboto" w:hAnsi="Roboto" w:cs="Roboto"/>
          <w:b/>
        </w:rPr>
        <w:lastRenderedPageBreak/>
        <w:t>13,351 raids nationwide</w:t>
      </w:r>
      <w:r>
        <w:rPr>
          <w:rFonts w:ascii="Roboto" w:eastAsia="Roboto" w:hAnsi="Roboto" w:cs="Roboto"/>
        </w:rPr>
        <w:t xml:space="preserve"> and arrested 37,774 persons.</w:t>
      </w:r>
      <w:r>
        <w:rPr>
          <w:rFonts w:ascii="Roboto" w:eastAsia="Roboto" w:hAnsi="Roboto" w:cs="Roboto"/>
          <w:vertAlign w:val="superscript"/>
        </w:rPr>
        <w:footnoteReference w:id="10"/>
      </w:r>
      <w:r>
        <w:rPr>
          <w:rFonts w:ascii="Roboto" w:eastAsia="Roboto" w:hAnsi="Roboto" w:cs="Roboto"/>
        </w:rPr>
        <w:t xml:space="preserve"> As there is no formal screening mechanism, exact figures of refugees and asylum seekers are indeterminable and not made publicly available by the government. </w:t>
      </w:r>
    </w:p>
    <w:p w14:paraId="14AAC21D" w14:textId="77777777" w:rsidR="0034760B" w:rsidRDefault="0034760B">
      <w:pPr>
        <w:spacing w:after="0" w:line="259" w:lineRule="auto"/>
        <w:jc w:val="both"/>
        <w:rPr>
          <w:rFonts w:ascii="Roboto" w:eastAsia="Roboto" w:hAnsi="Roboto" w:cs="Roboto"/>
        </w:rPr>
      </w:pPr>
    </w:p>
    <w:p w14:paraId="75E57ED1" w14:textId="1EA19D80" w:rsidR="0034760B" w:rsidRDefault="00000000">
      <w:pPr>
        <w:numPr>
          <w:ilvl w:val="0"/>
          <w:numId w:val="3"/>
        </w:numPr>
        <w:spacing w:after="0" w:line="259" w:lineRule="auto"/>
        <w:jc w:val="both"/>
      </w:pPr>
      <w:r>
        <w:rPr>
          <w:rFonts w:ascii="Roboto" w:eastAsia="Roboto" w:hAnsi="Roboto" w:cs="Roboto"/>
        </w:rPr>
        <w:t>The government’s response and propose practice in Para 99 of the RLOI on detention and proof of asylum is concerning since the Immigration Act,</w:t>
      </w:r>
      <w:r>
        <w:rPr>
          <w:rFonts w:ascii="Roboto" w:eastAsia="Roboto" w:hAnsi="Roboto" w:cs="Roboto"/>
          <w:vertAlign w:val="superscript"/>
        </w:rPr>
        <w:footnoteReference w:id="11"/>
      </w:r>
      <w:r>
        <w:rPr>
          <w:rFonts w:ascii="Roboto" w:eastAsia="Roboto" w:hAnsi="Roboto" w:cs="Roboto"/>
        </w:rPr>
        <w:t xml:space="preserve"> does not distinguish refugees and asylum seekers from irregular migrants or undocumented persons. </w:t>
      </w:r>
      <w:r>
        <w:rPr>
          <w:rFonts w:ascii="Roboto" w:eastAsia="Roboto" w:hAnsi="Roboto" w:cs="Roboto"/>
          <w:b/>
        </w:rPr>
        <w:t xml:space="preserve">Currently, there is no </w:t>
      </w:r>
      <w:r w:rsidR="00E15D10">
        <w:rPr>
          <w:rFonts w:ascii="Roboto" w:eastAsia="Roboto" w:hAnsi="Roboto" w:cs="Roboto"/>
          <w:b/>
        </w:rPr>
        <w:t>State-run</w:t>
      </w:r>
      <w:r>
        <w:rPr>
          <w:rFonts w:ascii="Roboto" w:eastAsia="Roboto" w:hAnsi="Roboto" w:cs="Roboto"/>
          <w:b/>
        </w:rPr>
        <w:t xml:space="preserve"> asylum process for persons in detention</w:t>
      </w:r>
      <w:r>
        <w:rPr>
          <w:rFonts w:ascii="Roboto" w:eastAsia="Roboto" w:hAnsi="Roboto" w:cs="Roboto"/>
        </w:rPr>
        <w:t>. As of August 2019, the government of Malaysia continues to deny UNHCR access to verify and assess asylum claims of persons in immigration detention. Despite claims by the Home Minister that there is no issue for UNHCR Malaysia to visit detention centres,</w:t>
      </w:r>
      <w:r>
        <w:rPr>
          <w:rFonts w:ascii="Roboto" w:eastAsia="Roboto" w:hAnsi="Roboto" w:cs="Roboto"/>
          <w:vertAlign w:val="superscript"/>
        </w:rPr>
        <w:footnoteReference w:id="12"/>
      </w:r>
      <w:r>
        <w:rPr>
          <w:rFonts w:ascii="Roboto" w:eastAsia="Roboto" w:hAnsi="Roboto" w:cs="Roboto"/>
        </w:rPr>
        <w:t xml:space="preserve"> a UNHCR Malaysia representative recently reported that there is </w:t>
      </w:r>
      <w:r>
        <w:rPr>
          <w:rFonts w:ascii="Roboto" w:eastAsia="Roboto" w:hAnsi="Roboto" w:cs="Roboto"/>
          <w:b/>
        </w:rPr>
        <w:t>no official confirmation that access would be granted.</w:t>
      </w:r>
      <w:r>
        <w:rPr>
          <w:rFonts w:ascii="Roboto" w:eastAsia="Roboto" w:hAnsi="Roboto" w:cs="Roboto"/>
          <w:vertAlign w:val="superscript"/>
        </w:rPr>
        <w:footnoteReference w:id="13"/>
      </w:r>
      <w:r>
        <w:rPr>
          <w:rFonts w:ascii="Roboto" w:eastAsia="Roboto" w:hAnsi="Roboto" w:cs="Roboto"/>
        </w:rPr>
        <w:t xml:space="preserve"> It is also noted that the </w:t>
      </w:r>
      <w:r>
        <w:rPr>
          <w:rFonts w:ascii="Roboto" w:eastAsia="Roboto" w:hAnsi="Roboto" w:cs="Roboto"/>
          <w:b/>
        </w:rPr>
        <w:t xml:space="preserve">nature of the access and whether UNHCR will be allowed to conduct asylum verification in detention centres remains unknown. </w:t>
      </w:r>
    </w:p>
    <w:p w14:paraId="003F162F" w14:textId="77777777" w:rsidR="0034760B" w:rsidRDefault="0034760B">
      <w:pPr>
        <w:spacing w:after="0" w:line="259" w:lineRule="auto"/>
        <w:ind w:left="720"/>
        <w:jc w:val="both"/>
        <w:rPr>
          <w:rFonts w:ascii="Roboto" w:eastAsia="Roboto" w:hAnsi="Roboto" w:cs="Roboto"/>
        </w:rPr>
      </w:pPr>
    </w:p>
    <w:p w14:paraId="0F42BF1A" w14:textId="77777777" w:rsidR="0034760B" w:rsidRDefault="00000000">
      <w:pPr>
        <w:numPr>
          <w:ilvl w:val="0"/>
          <w:numId w:val="3"/>
        </w:numPr>
        <w:spacing w:after="0" w:line="259" w:lineRule="auto"/>
        <w:jc w:val="both"/>
      </w:pPr>
      <w:r>
        <w:rPr>
          <w:rFonts w:ascii="Roboto" w:eastAsia="Roboto" w:hAnsi="Roboto" w:cs="Roboto"/>
        </w:rPr>
        <w:t xml:space="preserve">In a recent report by Human Rights Watch (HRW) on the arbitrary detention of migrants and refugees in Malaysia, </w:t>
      </w:r>
      <w:r>
        <w:rPr>
          <w:rFonts w:ascii="Roboto" w:eastAsia="Roboto" w:hAnsi="Roboto" w:cs="Roboto"/>
          <w:b/>
        </w:rPr>
        <w:t>specific instances of arrest and detention of UNHCR document holders</w:t>
      </w:r>
      <w:r>
        <w:rPr>
          <w:rFonts w:ascii="Roboto" w:eastAsia="Roboto" w:hAnsi="Roboto" w:cs="Roboto"/>
        </w:rPr>
        <w:t xml:space="preserve"> are highlighted. At least six interviewees in the report were detained despite being registered with UNHCR Malaysia, with others continuing to be arrested and detained in mass raids.</w:t>
      </w:r>
      <w:r>
        <w:rPr>
          <w:rFonts w:ascii="Roboto" w:eastAsia="Roboto" w:hAnsi="Roboto" w:cs="Roboto"/>
          <w:vertAlign w:val="superscript"/>
        </w:rPr>
        <w:footnoteReference w:id="14"/>
      </w:r>
      <w:r>
        <w:rPr>
          <w:rFonts w:ascii="Roboto" w:eastAsia="Roboto" w:hAnsi="Roboto" w:cs="Roboto"/>
        </w:rPr>
        <w:t xml:space="preserve"> </w:t>
      </w:r>
    </w:p>
    <w:p w14:paraId="0EA9FA81" w14:textId="77777777" w:rsidR="0034760B" w:rsidRDefault="0034760B">
      <w:pPr>
        <w:spacing w:after="0" w:line="259" w:lineRule="auto"/>
        <w:ind w:left="720"/>
        <w:jc w:val="both"/>
        <w:rPr>
          <w:rFonts w:ascii="Roboto" w:eastAsia="Roboto" w:hAnsi="Roboto" w:cs="Roboto"/>
        </w:rPr>
      </w:pPr>
    </w:p>
    <w:p w14:paraId="29FBCF3C" w14:textId="77777777" w:rsidR="0034760B" w:rsidRDefault="00000000">
      <w:pPr>
        <w:numPr>
          <w:ilvl w:val="0"/>
          <w:numId w:val="3"/>
        </w:numPr>
        <w:spacing w:after="0" w:line="259" w:lineRule="auto"/>
        <w:jc w:val="both"/>
      </w:pPr>
      <w:r>
        <w:rPr>
          <w:rFonts w:ascii="Roboto" w:eastAsia="Roboto" w:hAnsi="Roboto" w:cs="Roboto"/>
        </w:rPr>
        <w:t xml:space="preserve">The </w:t>
      </w:r>
      <w:r>
        <w:rPr>
          <w:rFonts w:ascii="Roboto" w:eastAsia="Roboto" w:hAnsi="Roboto" w:cs="Roboto"/>
          <w:b/>
        </w:rPr>
        <w:t>deplorable detention conditions and heightened vulnerability of women and girls in detention</w:t>
      </w:r>
      <w:r>
        <w:rPr>
          <w:rFonts w:ascii="Roboto" w:eastAsia="Roboto" w:hAnsi="Roboto" w:cs="Roboto"/>
        </w:rPr>
        <w:t xml:space="preserve"> have been highlighted in AAM’s PSWG Report. These gender-based abuses were more recently also highlighted in the above mentioned HRW report. These include harsh physical punishment such as being made to hang from the wall, standing in the hot sun for hours, being beaten and slapped, and other degrading treatment such as strip searches, military-like drills, denial of bathroom usage, and cutting of hair when there were complaints or non-compliance.</w:t>
      </w:r>
      <w:r>
        <w:rPr>
          <w:rFonts w:ascii="Roboto" w:eastAsia="Roboto" w:hAnsi="Roboto" w:cs="Roboto"/>
          <w:vertAlign w:val="superscript"/>
        </w:rPr>
        <w:footnoteReference w:id="15"/>
      </w:r>
      <w:r>
        <w:rPr>
          <w:rFonts w:ascii="Roboto" w:eastAsia="Roboto" w:hAnsi="Roboto" w:cs="Roboto"/>
        </w:rPr>
        <w:t xml:space="preserve"> Basic access to hygiene products were also denied. Women interviewees reported that little to no sanitary products were provided, and, in some instances, they had to strip to prove a sanitary pad was needed.</w:t>
      </w:r>
      <w:r>
        <w:rPr>
          <w:rFonts w:ascii="Roboto" w:eastAsia="Roboto" w:hAnsi="Roboto" w:cs="Roboto"/>
          <w:vertAlign w:val="superscript"/>
        </w:rPr>
        <w:footnoteReference w:id="16"/>
      </w:r>
      <w:r>
        <w:rPr>
          <w:rFonts w:ascii="Roboto" w:eastAsia="Roboto" w:hAnsi="Roboto" w:cs="Roboto"/>
        </w:rPr>
        <w:t xml:space="preserve">  </w:t>
      </w:r>
    </w:p>
    <w:p w14:paraId="3C49E873" w14:textId="77777777" w:rsidR="0034760B" w:rsidRDefault="0034760B">
      <w:pPr>
        <w:spacing w:after="0" w:line="259" w:lineRule="auto"/>
        <w:ind w:left="720"/>
        <w:jc w:val="both"/>
        <w:rPr>
          <w:rFonts w:ascii="Roboto" w:eastAsia="Roboto" w:hAnsi="Roboto" w:cs="Roboto"/>
        </w:rPr>
      </w:pPr>
    </w:p>
    <w:p w14:paraId="7A6763E8" w14:textId="77777777" w:rsidR="0034760B" w:rsidRDefault="00000000">
      <w:pPr>
        <w:numPr>
          <w:ilvl w:val="0"/>
          <w:numId w:val="3"/>
        </w:numPr>
        <w:spacing w:after="0" w:line="259" w:lineRule="auto"/>
        <w:jc w:val="both"/>
      </w:pPr>
      <w:r>
        <w:rPr>
          <w:rFonts w:ascii="Roboto" w:eastAsia="Roboto" w:hAnsi="Roboto" w:cs="Roboto"/>
        </w:rPr>
        <w:t xml:space="preserve">Despite efforts by the government to move some children being held in immigration detention to other facilities through the </w:t>
      </w:r>
      <w:r>
        <w:rPr>
          <w:rFonts w:ascii="Roboto" w:eastAsia="Roboto" w:hAnsi="Roboto" w:cs="Roboto"/>
          <w:i/>
        </w:rPr>
        <w:t xml:space="preserve">Baitul Mahabbah </w:t>
      </w:r>
      <w:r>
        <w:rPr>
          <w:rFonts w:ascii="Roboto" w:eastAsia="Roboto" w:hAnsi="Roboto" w:cs="Roboto"/>
        </w:rPr>
        <w:t>program</w:t>
      </w:r>
      <w:r>
        <w:rPr>
          <w:rFonts w:ascii="Roboto" w:eastAsia="Roboto" w:hAnsi="Roboto" w:cs="Roboto"/>
          <w:i/>
        </w:rPr>
        <w:t xml:space="preserve">, </w:t>
      </w:r>
      <w:r>
        <w:rPr>
          <w:rFonts w:ascii="Roboto" w:eastAsia="Roboto" w:hAnsi="Roboto" w:cs="Roboto"/>
          <w:b/>
        </w:rPr>
        <w:t xml:space="preserve">these facilities remain </w:t>
      </w:r>
      <w:r>
        <w:rPr>
          <w:rFonts w:ascii="Roboto" w:eastAsia="Roboto" w:hAnsi="Roboto" w:cs="Roboto"/>
          <w:b/>
        </w:rPr>
        <w:lastRenderedPageBreak/>
        <w:t>alternative forms of immigration detention with no clear pathway for release</w:t>
      </w:r>
      <w:r>
        <w:rPr>
          <w:rFonts w:ascii="Roboto" w:eastAsia="Roboto" w:hAnsi="Roboto" w:cs="Roboto"/>
        </w:rPr>
        <w:t>.</w:t>
      </w:r>
      <w:r>
        <w:rPr>
          <w:rFonts w:ascii="Roboto" w:eastAsia="Roboto" w:hAnsi="Roboto" w:cs="Roboto"/>
          <w:vertAlign w:val="superscript"/>
        </w:rPr>
        <w:footnoteReference w:id="17"/>
      </w:r>
      <w:r>
        <w:rPr>
          <w:rFonts w:ascii="Roboto" w:eastAsia="Roboto" w:hAnsi="Roboto" w:cs="Roboto"/>
        </w:rPr>
        <w:t xml:space="preserve"> In immigration detention, children, including those unaccompanied, babies and toddlers, continue to face similar harsh conditions as adults. The HRW report highlights specific incidences of children being beaten, receiving inadequate food, and receiving punishment for asking to meet UNHCR.</w:t>
      </w:r>
      <w:r>
        <w:rPr>
          <w:rFonts w:ascii="Roboto" w:eastAsia="Roboto" w:hAnsi="Roboto" w:cs="Roboto"/>
          <w:vertAlign w:val="superscript"/>
        </w:rPr>
        <w:footnoteReference w:id="18"/>
      </w:r>
      <w:r>
        <w:rPr>
          <w:rFonts w:ascii="Roboto" w:eastAsia="Roboto" w:hAnsi="Roboto" w:cs="Roboto"/>
        </w:rPr>
        <w:t xml:space="preserve"> </w:t>
      </w:r>
    </w:p>
    <w:p w14:paraId="6B70BD34" w14:textId="77777777" w:rsidR="0034760B" w:rsidRDefault="0034760B">
      <w:pPr>
        <w:spacing w:after="0" w:line="259" w:lineRule="auto"/>
        <w:ind w:left="720"/>
        <w:jc w:val="both"/>
        <w:rPr>
          <w:rFonts w:ascii="Roboto" w:eastAsia="Roboto" w:hAnsi="Roboto" w:cs="Roboto"/>
        </w:rPr>
      </w:pPr>
    </w:p>
    <w:p w14:paraId="5F1772E4" w14:textId="343930A1" w:rsidR="0034760B" w:rsidRDefault="00000000">
      <w:pPr>
        <w:numPr>
          <w:ilvl w:val="0"/>
          <w:numId w:val="3"/>
        </w:numPr>
        <w:spacing w:after="0" w:line="259" w:lineRule="auto"/>
        <w:jc w:val="both"/>
      </w:pPr>
      <w:r>
        <w:rPr>
          <w:rFonts w:ascii="Roboto" w:eastAsia="Roboto" w:hAnsi="Roboto" w:cs="Roboto"/>
        </w:rPr>
        <w:t xml:space="preserve">The </w:t>
      </w:r>
      <w:r>
        <w:rPr>
          <w:rFonts w:ascii="Roboto" w:eastAsia="Roboto" w:hAnsi="Roboto" w:cs="Roboto"/>
          <w:b/>
        </w:rPr>
        <w:t xml:space="preserve">continued detention of </w:t>
      </w:r>
      <w:r w:rsidR="00E15D10">
        <w:rPr>
          <w:rFonts w:ascii="Roboto" w:eastAsia="Roboto" w:hAnsi="Roboto" w:cs="Roboto"/>
          <w:b/>
        </w:rPr>
        <w:t>asylum-seeking</w:t>
      </w:r>
      <w:r>
        <w:rPr>
          <w:rFonts w:ascii="Roboto" w:eastAsia="Roboto" w:hAnsi="Roboto" w:cs="Roboto"/>
          <w:b/>
        </w:rPr>
        <w:t xml:space="preserve"> women and girls </w:t>
      </w:r>
      <w:r>
        <w:rPr>
          <w:rFonts w:ascii="Roboto" w:eastAsia="Roboto" w:hAnsi="Roboto" w:cs="Roboto"/>
        </w:rPr>
        <w:t xml:space="preserve">who are </w:t>
      </w:r>
      <w:r>
        <w:rPr>
          <w:rFonts w:ascii="Roboto" w:eastAsia="Roboto" w:hAnsi="Roboto" w:cs="Roboto"/>
          <w:b/>
        </w:rPr>
        <w:t xml:space="preserve">not yet registered with the UNHCR </w:t>
      </w:r>
      <w:r>
        <w:rPr>
          <w:rFonts w:ascii="Roboto" w:eastAsia="Roboto" w:hAnsi="Roboto" w:cs="Roboto"/>
        </w:rPr>
        <w:t xml:space="preserve">is of particular concern given the heightened vulnerability and the long processing time of registration by UNHCR. Refugees and asylum seekers languish in detention for an indefinite period and most consenting under duress to return home for fear of death in detention. </w:t>
      </w:r>
    </w:p>
    <w:p w14:paraId="219F9089" w14:textId="77777777" w:rsidR="0034760B" w:rsidRDefault="0034760B">
      <w:pPr>
        <w:spacing w:after="0" w:line="259" w:lineRule="auto"/>
        <w:jc w:val="both"/>
        <w:rPr>
          <w:rFonts w:ascii="Roboto" w:eastAsia="Roboto" w:hAnsi="Roboto" w:cs="Roboto"/>
        </w:rPr>
      </w:pPr>
    </w:p>
    <w:p w14:paraId="0178AD57" w14:textId="77777777" w:rsidR="0034760B" w:rsidRDefault="00000000">
      <w:pPr>
        <w:numPr>
          <w:ilvl w:val="0"/>
          <w:numId w:val="3"/>
        </w:numPr>
        <w:spacing w:after="0" w:line="259" w:lineRule="auto"/>
        <w:jc w:val="both"/>
      </w:pPr>
      <w:r>
        <w:rPr>
          <w:rFonts w:ascii="Roboto" w:eastAsia="Roboto" w:hAnsi="Roboto" w:cs="Roboto"/>
        </w:rPr>
        <w:t xml:space="preserve">There is </w:t>
      </w:r>
      <w:r>
        <w:rPr>
          <w:rFonts w:ascii="Roboto" w:eastAsia="Roboto" w:hAnsi="Roboto" w:cs="Roboto"/>
          <w:b/>
        </w:rPr>
        <w:t>still no legal codification of the principle of non-refoulement</w:t>
      </w:r>
      <w:r>
        <w:rPr>
          <w:rFonts w:ascii="Roboto" w:eastAsia="Roboto" w:hAnsi="Roboto" w:cs="Roboto"/>
        </w:rPr>
        <w:t>. Between January to March 2024 alone, 12,380 persons (2,274 women) have been deported from immigration detention centres nationwide.</w:t>
      </w:r>
      <w:r>
        <w:rPr>
          <w:rFonts w:ascii="Roboto" w:eastAsia="Roboto" w:hAnsi="Roboto" w:cs="Roboto"/>
          <w:vertAlign w:val="superscript"/>
        </w:rPr>
        <w:footnoteReference w:id="19"/>
      </w:r>
      <w:r>
        <w:rPr>
          <w:rFonts w:ascii="Roboto" w:eastAsia="Roboto" w:hAnsi="Roboto" w:cs="Roboto"/>
        </w:rPr>
        <w:t xml:space="preserve"> No recent data on the number of children deported has been provided. It is unclear how many of these persons may have been seeking asylum. Available evidence from the HRW report provides that Malaysia continues the refoulement of asylum seekers and refugees without due regard to their international protection needs.</w:t>
      </w:r>
      <w:r>
        <w:rPr>
          <w:rFonts w:ascii="Roboto" w:eastAsia="Roboto" w:hAnsi="Roboto" w:cs="Roboto"/>
          <w:vertAlign w:val="superscript"/>
        </w:rPr>
        <w:footnoteReference w:id="20"/>
      </w:r>
      <w:r>
        <w:rPr>
          <w:rFonts w:ascii="Roboto" w:eastAsia="Roboto" w:hAnsi="Roboto" w:cs="Roboto"/>
        </w:rPr>
        <w:t xml:space="preserve"> Further evidence of cases of refoulement is also highlighted in the Annexure.</w:t>
      </w:r>
      <w:r>
        <w:rPr>
          <w:rFonts w:ascii="Roboto" w:eastAsia="Roboto" w:hAnsi="Roboto" w:cs="Roboto"/>
          <w:vertAlign w:val="superscript"/>
        </w:rPr>
        <w:footnoteReference w:id="21"/>
      </w:r>
      <w:r>
        <w:rPr>
          <w:rFonts w:ascii="Roboto" w:eastAsia="Roboto" w:hAnsi="Roboto" w:cs="Roboto"/>
        </w:rPr>
        <w:t xml:space="preserve"> </w:t>
      </w:r>
    </w:p>
    <w:p w14:paraId="0D9EA6B8" w14:textId="77777777" w:rsidR="0034760B" w:rsidRDefault="0034760B">
      <w:pPr>
        <w:spacing w:after="0" w:line="259" w:lineRule="auto"/>
        <w:ind w:left="720"/>
        <w:jc w:val="both"/>
        <w:rPr>
          <w:rFonts w:ascii="Roboto" w:eastAsia="Roboto" w:hAnsi="Roboto" w:cs="Roboto"/>
        </w:rPr>
      </w:pPr>
    </w:p>
    <w:p w14:paraId="1A6E9898" w14:textId="77777777" w:rsidR="0034760B" w:rsidRDefault="00000000">
      <w:pPr>
        <w:numPr>
          <w:ilvl w:val="0"/>
          <w:numId w:val="3"/>
        </w:numPr>
        <w:spacing w:after="0" w:line="259" w:lineRule="auto"/>
        <w:jc w:val="both"/>
      </w:pPr>
      <w:r>
        <w:rPr>
          <w:rFonts w:ascii="Roboto" w:eastAsia="Roboto" w:hAnsi="Roboto" w:cs="Roboto"/>
        </w:rPr>
        <w:t xml:space="preserve">Despite the evidence above, and the numerous civil </w:t>
      </w:r>
      <w:proofErr w:type="gramStart"/>
      <w:r>
        <w:rPr>
          <w:rFonts w:ascii="Roboto" w:eastAsia="Roboto" w:hAnsi="Roboto" w:cs="Roboto"/>
        </w:rPr>
        <w:t>society</w:t>
      </w:r>
      <w:proofErr w:type="gramEnd"/>
      <w:r>
        <w:rPr>
          <w:rFonts w:ascii="Roboto" w:eastAsia="Roboto" w:hAnsi="Roboto" w:cs="Roboto"/>
        </w:rPr>
        <w:t xml:space="preserve"> and NHRI reports on immigration detention conditions, </w:t>
      </w:r>
      <w:r>
        <w:rPr>
          <w:rFonts w:ascii="Roboto" w:eastAsia="Roboto" w:hAnsi="Roboto" w:cs="Roboto"/>
          <w:b/>
        </w:rPr>
        <w:t>the government of Malaysia continues to deny and dismiss the realities faced by detainees</w:t>
      </w:r>
      <w:r>
        <w:rPr>
          <w:rFonts w:ascii="Roboto" w:eastAsia="Roboto" w:hAnsi="Roboto" w:cs="Roboto"/>
        </w:rPr>
        <w:t>. Recently a similar response was noted by the Home Minister with regards to the HRW report.</w:t>
      </w:r>
      <w:r>
        <w:rPr>
          <w:rFonts w:ascii="Roboto" w:eastAsia="Roboto" w:hAnsi="Roboto" w:cs="Roboto"/>
          <w:vertAlign w:val="superscript"/>
        </w:rPr>
        <w:footnoteReference w:id="22"/>
      </w:r>
      <w:r>
        <w:rPr>
          <w:rFonts w:ascii="Roboto" w:eastAsia="Roboto" w:hAnsi="Roboto" w:cs="Roboto"/>
        </w:rPr>
        <w:t xml:space="preserve"> It remains to be seen if issues related to the arrest, detention, and refoulement of refugee and asylum-seeking women and girls is addressed in the elusive Directive. </w:t>
      </w:r>
    </w:p>
    <w:p w14:paraId="1FE0C398" w14:textId="77777777" w:rsidR="0034760B" w:rsidRDefault="0034760B">
      <w:pPr>
        <w:spacing w:after="0" w:line="259" w:lineRule="auto"/>
        <w:ind w:left="720"/>
        <w:jc w:val="both"/>
        <w:rPr>
          <w:rFonts w:ascii="Roboto" w:eastAsia="Roboto" w:hAnsi="Roboto" w:cs="Roboto"/>
        </w:rPr>
      </w:pPr>
    </w:p>
    <w:tbl>
      <w:tblPr>
        <w:tblStyle w:val="a0"/>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34760B" w14:paraId="338C5DF1" w14:textId="77777777">
        <w:tc>
          <w:tcPr>
            <w:tcW w:w="8640" w:type="dxa"/>
            <w:tcBorders>
              <w:top w:val="single" w:sz="18" w:space="0" w:color="0563C1"/>
              <w:left w:val="single" w:sz="18" w:space="0" w:color="0563C1"/>
              <w:bottom w:val="single" w:sz="18" w:space="0" w:color="0563C1"/>
              <w:right w:val="single" w:sz="18" w:space="0" w:color="0563C1"/>
            </w:tcBorders>
            <w:shd w:val="clear" w:color="auto" w:fill="auto"/>
            <w:tcMar>
              <w:top w:w="100" w:type="dxa"/>
              <w:left w:w="100" w:type="dxa"/>
              <w:bottom w:w="100" w:type="dxa"/>
              <w:right w:w="100" w:type="dxa"/>
            </w:tcMar>
          </w:tcPr>
          <w:p w14:paraId="0CBC5B2D" w14:textId="77777777" w:rsidR="0034760B" w:rsidRDefault="00000000">
            <w:pPr>
              <w:spacing w:after="0" w:line="259" w:lineRule="auto"/>
              <w:jc w:val="both"/>
              <w:rPr>
                <w:rFonts w:ascii="Roboto" w:eastAsia="Roboto" w:hAnsi="Roboto" w:cs="Roboto"/>
                <w:b/>
              </w:rPr>
            </w:pPr>
            <w:r>
              <w:rPr>
                <w:rFonts w:ascii="Roboto" w:eastAsia="Roboto" w:hAnsi="Roboto" w:cs="Roboto"/>
                <w:b/>
              </w:rPr>
              <w:t>RECOMMENDATIONS</w:t>
            </w:r>
          </w:p>
          <w:p w14:paraId="31028AFA" w14:textId="77777777" w:rsidR="0034760B" w:rsidRDefault="0034760B">
            <w:pPr>
              <w:spacing w:after="0" w:line="259" w:lineRule="auto"/>
              <w:jc w:val="both"/>
              <w:rPr>
                <w:rFonts w:ascii="Roboto" w:eastAsia="Roboto" w:hAnsi="Roboto" w:cs="Roboto"/>
              </w:rPr>
            </w:pPr>
          </w:p>
          <w:p w14:paraId="499A6ECD"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Reform the Immigration Act 1959/63 (Immigration Act) to legally exempt asylum seekers and refugees from arrest, detention and prosecution for irregular entry and enact policy to cease immigration detention of asylum seekers and refugees.</w:t>
            </w:r>
          </w:p>
          <w:p w14:paraId="449985BA"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lastRenderedPageBreak/>
              <w:t xml:space="preserve">Revise Malaysia’s detention framework to guarantee full respect for the non-refoulement principle, identify and better protect refugees and asylum seekers in line with international standards, including standardising screening and access to asylum procedures, and the release of all asylum seekers and refugees for whom immigration detention is not reasonable, necessary, or proportionate. Impose a time limit on detention and ensure detainees can challenge the grounds of their detention before a court or other competent and impartial authority. </w:t>
            </w:r>
          </w:p>
          <w:p w14:paraId="50AC0B3C" w14:textId="77777777" w:rsidR="0034760B" w:rsidRDefault="0034760B">
            <w:pPr>
              <w:spacing w:after="0" w:line="259" w:lineRule="auto"/>
              <w:ind w:left="720"/>
              <w:jc w:val="both"/>
              <w:rPr>
                <w:rFonts w:ascii="Roboto" w:eastAsia="Roboto" w:hAnsi="Roboto" w:cs="Roboto"/>
              </w:rPr>
            </w:pPr>
          </w:p>
          <w:p w14:paraId="7337CE64"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 xml:space="preserve">Immediately grant UNHCR access to immigration detention centres to continue verification, assessment, and registration of refugees. Immediately release from immigration detention all refugees who are registered with UNHCR. </w:t>
            </w:r>
          </w:p>
          <w:p w14:paraId="3EF5CB1D" w14:textId="77777777" w:rsidR="0034760B" w:rsidRDefault="0034760B">
            <w:pPr>
              <w:spacing w:after="0" w:line="259" w:lineRule="auto"/>
              <w:ind w:left="720"/>
              <w:jc w:val="both"/>
              <w:rPr>
                <w:rFonts w:ascii="Roboto" w:eastAsia="Roboto" w:hAnsi="Roboto" w:cs="Roboto"/>
              </w:rPr>
            </w:pPr>
          </w:p>
          <w:p w14:paraId="767DE9E1"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 xml:space="preserve">Seriously consider reports of abuse and harsh detention conditions by former detainees and civil society organisations and undertake necessary reform to ensure detention conditions are in line with international standards. </w:t>
            </w:r>
          </w:p>
          <w:p w14:paraId="57824E7A" w14:textId="77777777" w:rsidR="0034760B" w:rsidRDefault="0034760B">
            <w:pPr>
              <w:spacing w:after="0" w:line="259" w:lineRule="auto"/>
              <w:ind w:left="720"/>
              <w:jc w:val="both"/>
              <w:rPr>
                <w:rFonts w:ascii="Roboto" w:eastAsia="Roboto" w:hAnsi="Roboto" w:cs="Roboto"/>
              </w:rPr>
            </w:pPr>
          </w:p>
          <w:p w14:paraId="3D099455"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 xml:space="preserve">End the immigration detention of children under 18 years of age and their families. In the interim, implement Alternatives to Detention that are non-custodial and enable the release of all children from immigration detention into community-based care arrangements. </w:t>
            </w:r>
          </w:p>
        </w:tc>
      </w:tr>
    </w:tbl>
    <w:p w14:paraId="2AFCB0F5" w14:textId="77777777" w:rsidR="0034760B" w:rsidRDefault="0034760B">
      <w:pPr>
        <w:spacing w:after="0" w:line="259" w:lineRule="auto"/>
        <w:ind w:left="720"/>
        <w:jc w:val="both"/>
        <w:rPr>
          <w:rFonts w:ascii="Roboto" w:eastAsia="Roboto" w:hAnsi="Roboto" w:cs="Roboto"/>
        </w:rPr>
      </w:pPr>
    </w:p>
    <w:p w14:paraId="3B1D68A4" w14:textId="77777777" w:rsidR="0034760B" w:rsidRDefault="00000000">
      <w:pPr>
        <w:pStyle w:val="Heading3"/>
        <w:spacing w:before="40" w:after="0"/>
        <w:jc w:val="both"/>
        <w:rPr>
          <w:rFonts w:ascii="Roboto" w:eastAsia="Roboto" w:hAnsi="Roboto" w:cs="Roboto"/>
        </w:rPr>
      </w:pPr>
      <w:bookmarkStart w:id="6" w:name="_heading=h.azo8ff30cskr" w:colFirst="0" w:colLast="0"/>
      <w:bookmarkEnd w:id="6"/>
      <w:r>
        <w:rPr>
          <w:rFonts w:ascii="Roboto" w:eastAsia="Roboto" w:hAnsi="Roboto" w:cs="Roboto"/>
          <w:b w:val="0"/>
          <w:i/>
          <w:sz w:val="22"/>
          <w:szCs w:val="22"/>
          <w:u w:val="single"/>
        </w:rPr>
        <w:t>Continued lack of access to adequate labour protection and safe livelihoods in violation of CEDAW Articles 6, 11</w:t>
      </w:r>
    </w:p>
    <w:p w14:paraId="724439E9" w14:textId="77777777" w:rsidR="0034760B" w:rsidRDefault="0034760B">
      <w:pPr>
        <w:spacing w:after="0" w:line="259" w:lineRule="auto"/>
        <w:ind w:left="720"/>
        <w:jc w:val="both"/>
        <w:rPr>
          <w:rFonts w:ascii="Roboto" w:eastAsia="Roboto" w:hAnsi="Roboto" w:cs="Roboto"/>
        </w:rPr>
      </w:pPr>
    </w:p>
    <w:p w14:paraId="3E6E93C9" w14:textId="7B20CB08" w:rsidR="0034760B" w:rsidRDefault="00000000">
      <w:pPr>
        <w:numPr>
          <w:ilvl w:val="0"/>
          <w:numId w:val="3"/>
        </w:numPr>
        <w:spacing w:after="0" w:line="259" w:lineRule="auto"/>
        <w:jc w:val="both"/>
      </w:pPr>
      <w:r>
        <w:rPr>
          <w:rFonts w:ascii="Roboto" w:eastAsia="Roboto" w:hAnsi="Roboto" w:cs="Roboto"/>
        </w:rPr>
        <w:t>Without clarity on the NSC Directive 23, the information and issues highlighted in AAM’s PSWG Report in 2023 remain relevant, and refugee and asylum-seeking women continue to face significant challenges to access dignified and safe livelihoods. More importantly, increase in raids and arrest at the workplace</w:t>
      </w:r>
      <w:r>
        <w:rPr>
          <w:rFonts w:ascii="Roboto" w:eastAsia="Roboto" w:hAnsi="Roboto" w:cs="Roboto"/>
          <w:vertAlign w:val="superscript"/>
        </w:rPr>
        <w:footnoteReference w:id="23"/>
      </w:r>
      <w:r>
        <w:rPr>
          <w:rFonts w:ascii="Roboto" w:eastAsia="Roboto" w:hAnsi="Roboto" w:cs="Roboto"/>
        </w:rPr>
        <w:t xml:space="preserve"> has led to the indiscriminate arrest and detention of refugee and </w:t>
      </w:r>
      <w:r w:rsidR="00E15D10">
        <w:rPr>
          <w:rFonts w:ascii="Roboto" w:eastAsia="Roboto" w:hAnsi="Roboto" w:cs="Roboto"/>
        </w:rPr>
        <w:t>asylum-seeking</w:t>
      </w:r>
      <w:r>
        <w:rPr>
          <w:rFonts w:ascii="Roboto" w:eastAsia="Roboto" w:hAnsi="Roboto" w:cs="Roboto"/>
        </w:rPr>
        <w:t xml:space="preserve"> workers</w:t>
      </w:r>
      <w:r>
        <w:rPr>
          <w:rFonts w:ascii="Roboto" w:eastAsia="Roboto" w:hAnsi="Roboto" w:cs="Roboto"/>
          <w:vertAlign w:val="superscript"/>
        </w:rPr>
        <w:footnoteReference w:id="24"/>
      </w:r>
      <w:r>
        <w:rPr>
          <w:rFonts w:ascii="Roboto" w:eastAsia="Roboto" w:hAnsi="Roboto" w:cs="Roboto"/>
        </w:rPr>
        <w:t xml:space="preserve"> which has a devastating impact on their ability to earn a living. </w:t>
      </w:r>
    </w:p>
    <w:p w14:paraId="33284E7A" w14:textId="77777777" w:rsidR="0034760B" w:rsidRDefault="0034760B">
      <w:pPr>
        <w:spacing w:after="0" w:line="259" w:lineRule="auto"/>
        <w:jc w:val="both"/>
        <w:rPr>
          <w:rFonts w:ascii="Roboto" w:eastAsia="Roboto" w:hAnsi="Roboto" w:cs="Roboto"/>
        </w:rPr>
      </w:pPr>
    </w:p>
    <w:p w14:paraId="2C576A99" w14:textId="77777777" w:rsidR="0034760B" w:rsidRDefault="00000000">
      <w:pPr>
        <w:numPr>
          <w:ilvl w:val="0"/>
          <w:numId w:val="3"/>
        </w:numPr>
        <w:spacing w:after="0" w:line="259" w:lineRule="auto"/>
        <w:jc w:val="both"/>
      </w:pPr>
      <w:r>
        <w:rPr>
          <w:rFonts w:ascii="Roboto" w:eastAsia="Roboto" w:hAnsi="Roboto" w:cs="Roboto"/>
        </w:rPr>
        <w:t>In a community discussion with refugee women,</w:t>
      </w:r>
      <w:r>
        <w:rPr>
          <w:rFonts w:ascii="Roboto" w:eastAsia="Roboto" w:hAnsi="Roboto" w:cs="Roboto"/>
          <w:vertAlign w:val="superscript"/>
        </w:rPr>
        <w:footnoteReference w:id="25"/>
      </w:r>
      <w:r>
        <w:rPr>
          <w:rFonts w:ascii="Roboto" w:eastAsia="Roboto" w:hAnsi="Roboto" w:cs="Roboto"/>
        </w:rPr>
        <w:t xml:space="preserve"> the impact of a lack of clear policy and mechanism that violates CEDAW Articles 6 and 11 was noted. Refugee women report that a </w:t>
      </w:r>
      <w:r>
        <w:rPr>
          <w:rFonts w:ascii="Roboto" w:eastAsia="Roboto" w:hAnsi="Roboto" w:cs="Roboto"/>
          <w:b/>
        </w:rPr>
        <w:t>lack of access to safe work results in women and girls receiving a lower pay, sexual harassment, and assault at the workplace, and withholding of salary.</w:t>
      </w:r>
      <w:r>
        <w:rPr>
          <w:rFonts w:ascii="Roboto" w:eastAsia="Roboto" w:hAnsi="Roboto" w:cs="Roboto"/>
          <w:vertAlign w:val="superscript"/>
        </w:rPr>
        <w:footnoteReference w:id="26"/>
      </w:r>
      <w:r>
        <w:rPr>
          <w:rFonts w:ascii="Roboto" w:eastAsia="Roboto" w:hAnsi="Roboto" w:cs="Roboto"/>
        </w:rPr>
        <w:t xml:space="preserve"> Informal work is often long hours, exploitative, and with minimal pay resulting in women still struggling to support families. This has resulted in a lack of access to justice for refugee women who are afraid to report labour violations and gender based violence at the workplace as they </w:t>
      </w:r>
      <w:r>
        <w:rPr>
          <w:rFonts w:ascii="Roboto" w:eastAsia="Roboto" w:hAnsi="Roboto" w:cs="Roboto"/>
        </w:rPr>
        <w:lastRenderedPageBreak/>
        <w:t>are threatened with being reported to the authorities.</w:t>
      </w:r>
      <w:r>
        <w:rPr>
          <w:rFonts w:ascii="Roboto" w:eastAsia="Roboto" w:hAnsi="Roboto" w:cs="Roboto"/>
          <w:vertAlign w:val="superscript"/>
        </w:rPr>
        <w:footnoteReference w:id="27"/>
      </w:r>
      <w:r>
        <w:rPr>
          <w:rFonts w:ascii="Roboto" w:eastAsia="Roboto" w:hAnsi="Roboto" w:cs="Roboto"/>
        </w:rPr>
        <w:t xml:space="preserve"> With the current limited access to informal work, single women, women headed households and disabled women face additional challenges with survival, accessing childcare, and supporting their children.</w:t>
      </w:r>
      <w:r>
        <w:rPr>
          <w:rFonts w:ascii="Roboto" w:eastAsia="Roboto" w:hAnsi="Roboto" w:cs="Roboto"/>
          <w:vertAlign w:val="superscript"/>
        </w:rPr>
        <w:footnoteReference w:id="28"/>
      </w:r>
      <w:r>
        <w:rPr>
          <w:rFonts w:ascii="Roboto" w:eastAsia="Roboto" w:hAnsi="Roboto" w:cs="Roboto"/>
        </w:rPr>
        <w:t xml:space="preserve"> </w:t>
      </w:r>
      <w:r>
        <w:rPr>
          <w:rFonts w:ascii="Roboto" w:eastAsia="Roboto" w:hAnsi="Roboto" w:cs="Roboto"/>
          <w:b/>
        </w:rPr>
        <w:t>Most female minors also work within exploitative conditions to support their families</w:t>
      </w:r>
      <w:r>
        <w:rPr>
          <w:rFonts w:ascii="Roboto" w:eastAsia="Roboto" w:hAnsi="Roboto" w:cs="Roboto"/>
        </w:rPr>
        <w:t>.</w:t>
      </w:r>
      <w:r>
        <w:rPr>
          <w:rFonts w:ascii="Roboto" w:eastAsia="Roboto" w:hAnsi="Roboto" w:cs="Roboto"/>
          <w:vertAlign w:val="superscript"/>
        </w:rPr>
        <w:footnoteReference w:id="29"/>
      </w:r>
      <w:r>
        <w:rPr>
          <w:rFonts w:ascii="Roboto" w:eastAsia="Roboto" w:hAnsi="Roboto" w:cs="Roboto"/>
        </w:rPr>
        <w:t xml:space="preserve"> It is unclear if the new Directive makes any consideration for these groups of refugee women and girls. </w:t>
      </w:r>
      <w:r>
        <w:rPr>
          <w:rFonts w:ascii="Roboto" w:eastAsia="Roboto" w:hAnsi="Roboto" w:cs="Roboto"/>
          <w:b/>
        </w:rPr>
        <w:t>It also remains to be seen if gender-related needs have been considered</w:t>
      </w:r>
      <w:r>
        <w:rPr>
          <w:rFonts w:ascii="Roboto" w:eastAsia="Roboto" w:hAnsi="Roboto" w:cs="Roboto"/>
        </w:rPr>
        <w:t xml:space="preserve"> with the lack of consultation with communities. Thus far, pilot work projects initiated by the government have only been for documented refugee men.   </w:t>
      </w:r>
    </w:p>
    <w:p w14:paraId="30A145FA" w14:textId="77777777" w:rsidR="0034760B" w:rsidRDefault="0034760B">
      <w:pPr>
        <w:spacing w:after="0" w:line="259" w:lineRule="auto"/>
        <w:ind w:left="720"/>
        <w:jc w:val="both"/>
        <w:rPr>
          <w:rFonts w:ascii="Roboto" w:eastAsia="Roboto" w:hAnsi="Roboto" w:cs="Roboto"/>
        </w:rPr>
      </w:pPr>
    </w:p>
    <w:tbl>
      <w:tblPr>
        <w:tblStyle w:val="a1"/>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34760B" w14:paraId="220274CE" w14:textId="77777777">
        <w:tc>
          <w:tcPr>
            <w:tcW w:w="8640" w:type="dxa"/>
            <w:tcBorders>
              <w:top w:val="single" w:sz="18" w:space="0" w:color="0563C1"/>
              <w:left w:val="single" w:sz="18" w:space="0" w:color="0563C1"/>
              <w:bottom w:val="single" w:sz="18" w:space="0" w:color="0563C1"/>
              <w:right w:val="single" w:sz="18" w:space="0" w:color="0563C1"/>
            </w:tcBorders>
            <w:shd w:val="clear" w:color="auto" w:fill="auto"/>
            <w:tcMar>
              <w:top w:w="100" w:type="dxa"/>
              <w:left w:w="100" w:type="dxa"/>
              <w:bottom w:w="100" w:type="dxa"/>
              <w:right w:w="100" w:type="dxa"/>
            </w:tcMar>
          </w:tcPr>
          <w:p w14:paraId="36064BDB" w14:textId="77777777" w:rsidR="0034760B" w:rsidRDefault="00000000">
            <w:pPr>
              <w:spacing w:after="0" w:line="259" w:lineRule="auto"/>
              <w:jc w:val="both"/>
              <w:rPr>
                <w:rFonts w:ascii="Roboto" w:eastAsia="Roboto" w:hAnsi="Roboto" w:cs="Roboto"/>
                <w:b/>
              </w:rPr>
            </w:pPr>
            <w:r>
              <w:rPr>
                <w:rFonts w:ascii="Roboto" w:eastAsia="Roboto" w:hAnsi="Roboto" w:cs="Roboto"/>
                <w:b/>
              </w:rPr>
              <w:t>RECOMMENDATIONS</w:t>
            </w:r>
          </w:p>
          <w:p w14:paraId="2A98E7B4" w14:textId="77777777" w:rsidR="0034760B" w:rsidRDefault="0034760B">
            <w:pPr>
              <w:spacing w:after="0" w:line="259" w:lineRule="auto"/>
              <w:jc w:val="both"/>
              <w:rPr>
                <w:rFonts w:ascii="Roboto" w:eastAsia="Roboto" w:hAnsi="Roboto" w:cs="Roboto"/>
                <w:b/>
              </w:rPr>
            </w:pPr>
          </w:p>
          <w:p w14:paraId="46FDA162" w14:textId="32881201"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Immediately implement relevant laws and policies that will provide all refugee women the formal right to dignified livelihoods and safe, decent, lawful employment across different sectors,</w:t>
            </w:r>
            <w:r w:rsidR="00CF5D32">
              <w:rPr>
                <w:rFonts w:ascii="Roboto" w:eastAsia="Roboto" w:hAnsi="Roboto" w:cs="Roboto"/>
              </w:rPr>
              <w:t xml:space="preserve"> </w:t>
            </w:r>
            <w:r>
              <w:rPr>
                <w:rFonts w:ascii="Roboto" w:eastAsia="Roboto" w:hAnsi="Roboto" w:cs="Roboto"/>
              </w:rPr>
              <w:t xml:space="preserve">without geographical and gender restrictions. </w:t>
            </w:r>
          </w:p>
          <w:p w14:paraId="0B2500E6" w14:textId="77777777" w:rsidR="0034760B" w:rsidRDefault="0034760B">
            <w:pPr>
              <w:spacing w:after="0" w:line="259" w:lineRule="auto"/>
              <w:ind w:left="720"/>
              <w:jc w:val="both"/>
              <w:rPr>
                <w:rFonts w:ascii="Roboto" w:eastAsia="Roboto" w:hAnsi="Roboto" w:cs="Roboto"/>
              </w:rPr>
            </w:pPr>
          </w:p>
          <w:p w14:paraId="25A0384B" w14:textId="77777777" w:rsidR="0034760B" w:rsidRDefault="00000000">
            <w:pPr>
              <w:numPr>
                <w:ilvl w:val="0"/>
                <w:numId w:val="2"/>
              </w:numPr>
              <w:spacing w:after="0" w:line="259" w:lineRule="auto"/>
              <w:jc w:val="both"/>
              <w:rPr>
                <w:rFonts w:ascii="Roboto" w:eastAsia="Roboto" w:hAnsi="Roboto" w:cs="Roboto"/>
              </w:rPr>
            </w:pPr>
            <w:r>
              <w:rPr>
                <w:rFonts w:ascii="Roboto" w:eastAsia="Roboto" w:hAnsi="Roboto" w:cs="Roboto"/>
              </w:rPr>
              <w:t>Enforce labour protections for refugee women workers, in line with the Employment Act 1955 and Industrial Relations Act 1967. Ensure that women can seek redress for labour violations, with clear policies, guidelines, and training across departments on filing and handling of labour dispute cases.</w:t>
            </w:r>
          </w:p>
          <w:p w14:paraId="0E9C6CB1" w14:textId="77777777" w:rsidR="0034760B" w:rsidRDefault="0034760B">
            <w:pPr>
              <w:widowControl w:val="0"/>
              <w:spacing w:after="0" w:line="240" w:lineRule="auto"/>
              <w:rPr>
                <w:rFonts w:ascii="Roboto" w:eastAsia="Roboto" w:hAnsi="Roboto" w:cs="Roboto"/>
              </w:rPr>
            </w:pPr>
          </w:p>
        </w:tc>
      </w:tr>
    </w:tbl>
    <w:p w14:paraId="5347C6A5" w14:textId="77777777" w:rsidR="0034760B" w:rsidRDefault="0034760B">
      <w:pPr>
        <w:spacing w:after="0" w:line="259" w:lineRule="auto"/>
        <w:jc w:val="both"/>
        <w:rPr>
          <w:rFonts w:ascii="Roboto" w:eastAsia="Roboto" w:hAnsi="Roboto" w:cs="Roboto"/>
        </w:rPr>
      </w:pPr>
    </w:p>
    <w:p w14:paraId="039C908C" w14:textId="77777777" w:rsidR="0034760B" w:rsidRDefault="00000000">
      <w:pPr>
        <w:pStyle w:val="Heading3"/>
        <w:spacing w:after="0" w:line="259" w:lineRule="auto"/>
        <w:jc w:val="both"/>
        <w:rPr>
          <w:rFonts w:ascii="Roboto" w:eastAsia="Roboto" w:hAnsi="Roboto" w:cs="Roboto"/>
          <w:b w:val="0"/>
          <w:i/>
          <w:sz w:val="22"/>
          <w:szCs w:val="22"/>
          <w:u w:val="single"/>
        </w:rPr>
      </w:pPr>
      <w:bookmarkStart w:id="7" w:name="_heading=h.nakqyv1z1ch8" w:colFirst="0" w:colLast="0"/>
      <w:bookmarkEnd w:id="7"/>
      <w:r>
        <w:rPr>
          <w:rFonts w:ascii="Roboto" w:eastAsia="Roboto" w:hAnsi="Roboto" w:cs="Roboto"/>
          <w:b w:val="0"/>
          <w:i/>
          <w:sz w:val="22"/>
          <w:szCs w:val="22"/>
          <w:u w:val="single"/>
        </w:rPr>
        <w:t>Lack of access to education in violation of CEDAW Article 10, General Recommendation no 36</w:t>
      </w:r>
    </w:p>
    <w:p w14:paraId="2861EDDA" w14:textId="77777777" w:rsidR="0034760B" w:rsidRDefault="0034760B">
      <w:pPr>
        <w:spacing w:after="0" w:line="259" w:lineRule="auto"/>
        <w:jc w:val="both"/>
        <w:rPr>
          <w:rFonts w:ascii="Roboto" w:eastAsia="Roboto" w:hAnsi="Roboto" w:cs="Roboto"/>
          <w:i/>
        </w:rPr>
      </w:pPr>
    </w:p>
    <w:p w14:paraId="4FEE975D" w14:textId="77777777" w:rsidR="0034760B" w:rsidRDefault="00000000">
      <w:pPr>
        <w:numPr>
          <w:ilvl w:val="0"/>
          <w:numId w:val="3"/>
        </w:numPr>
        <w:spacing w:after="0" w:line="259" w:lineRule="auto"/>
        <w:jc w:val="both"/>
      </w:pPr>
      <w:r>
        <w:rPr>
          <w:rFonts w:ascii="Roboto" w:eastAsia="Roboto" w:hAnsi="Roboto" w:cs="Roboto"/>
        </w:rPr>
        <w:t>Currently, refugee and asylum-seeking girls still have no access to the national education system. According to UNHCR Malaysia, out of 23,823 school-going children, only 30% are enrolled in learning centres supported by refugee communities or civil society organisations.</w:t>
      </w:r>
      <w:r>
        <w:rPr>
          <w:rFonts w:ascii="Roboto" w:eastAsia="Roboto" w:hAnsi="Roboto" w:cs="Roboto"/>
          <w:vertAlign w:val="superscript"/>
        </w:rPr>
        <w:footnoteReference w:id="30"/>
      </w:r>
      <w:r>
        <w:rPr>
          <w:rFonts w:ascii="Roboto" w:eastAsia="Roboto" w:hAnsi="Roboto" w:cs="Roboto"/>
        </w:rPr>
        <w:t xml:space="preserve"> Regrettably, only 44% of children ages 6-13 are enrolled in primary education, and 16% ages 14-17 are enrolled in secondary education.</w:t>
      </w:r>
      <w:r>
        <w:rPr>
          <w:rFonts w:ascii="Roboto" w:eastAsia="Roboto" w:hAnsi="Roboto" w:cs="Roboto"/>
          <w:vertAlign w:val="superscript"/>
        </w:rPr>
        <w:footnoteReference w:id="31"/>
      </w:r>
      <w:r>
        <w:rPr>
          <w:rFonts w:ascii="Roboto" w:eastAsia="Roboto" w:hAnsi="Roboto" w:cs="Roboto"/>
        </w:rPr>
        <w:t xml:space="preserve"> It is unclear how many are girls.</w:t>
      </w:r>
    </w:p>
    <w:p w14:paraId="0F31BC74" w14:textId="77777777" w:rsidR="0034760B" w:rsidRDefault="0034760B">
      <w:pPr>
        <w:spacing w:after="0" w:line="259" w:lineRule="auto"/>
        <w:ind w:left="720"/>
        <w:jc w:val="both"/>
        <w:rPr>
          <w:rFonts w:ascii="Roboto" w:eastAsia="Roboto" w:hAnsi="Roboto" w:cs="Roboto"/>
        </w:rPr>
      </w:pPr>
    </w:p>
    <w:p w14:paraId="021776AD" w14:textId="77777777" w:rsidR="0034760B" w:rsidRDefault="00000000">
      <w:pPr>
        <w:numPr>
          <w:ilvl w:val="0"/>
          <w:numId w:val="3"/>
        </w:numPr>
        <w:spacing w:after="0" w:line="259" w:lineRule="auto"/>
        <w:jc w:val="both"/>
      </w:pPr>
      <w:r>
        <w:rPr>
          <w:rFonts w:ascii="Roboto" w:eastAsia="Roboto" w:hAnsi="Roboto" w:cs="Roboto"/>
        </w:rPr>
        <w:t>Access to education was a challenge noted by ALL women participants of the community consultations conducted by AAM.</w:t>
      </w:r>
      <w:r>
        <w:rPr>
          <w:rFonts w:ascii="Roboto" w:eastAsia="Roboto" w:hAnsi="Roboto" w:cs="Roboto"/>
          <w:vertAlign w:val="superscript"/>
        </w:rPr>
        <w:footnoteReference w:id="32"/>
      </w:r>
      <w:r>
        <w:rPr>
          <w:rFonts w:ascii="Roboto" w:eastAsia="Roboto" w:hAnsi="Roboto" w:cs="Roboto"/>
        </w:rPr>
        <w:t xml:space="preserve"> Reported challenges include:</w:t>
      </w:r>
    </w:p>
    <w:p w14:paraId="593077BA" w14:textId="77777777" w:rsidR="0034760B" w:rsidRDefault="0034760B">
      <w:pPr>
        <w:spacing w:after="0" w:line="259" w:lineRule="auto"/>
        <w:ind w:left="720"/>
        <w:jc w:val="both"/>
        <w:rPr>
          <w:rFonts w:ascii="Roboto" w:eastAsia="Roboto" w:hAnsi="Roboto" w:cs="Roboto"/>
        </w:rPr>
      </w:pPr>
    </w:p>
    <w:p w14:paraId="336E1335" w14:textId="77777777" w:rsidR="0034760B" w:rsidRDefault="00000000">
      <w:pPr>
        <w:numPr>
          <w:ilvl w:val="1"/>
          <w:numId w:val="3"/>
        </w:numPr>
        <w:spacing w:after="0" w:line="259" w:lineRule="auto"/>
        <w:jc w:val="both"/>
      </w:pPr>
      <w:r>
        <w:rPr>
          <w:rFonts w:ascii="Roboto" w:eastAsia="Roboto" w:hAnsi="Roboto" w:cs="Roboto"/>
        </w:rPr>
        <w:t xml:space="preserve">Alternative Learning </w:t>
      </w:r>
      <w:proofErr w:type="spellStart"/>
      <w:r>
        <w:rPr>
          <w:rFonts w:ascii="Roboto" w:eastAsia="Roboto" w:hAnsi="Roboto" w:cs="Roboto"/>
        </w:rPr>
        <w:t>Centers</w:t>
      </w:r>
      <w:proofErr w:type="spellEnd"/>
      <w:r>
        <w:rPr>
          <w:rFonts w:ascii="Roboto" w:eastAsia="Roboto" w:hAnsi="Roboto" w:cs="Roboto"/>
        </w:rPr>
        <w:t xml:space="preserve"> are</w:t>
      </w:r>
      <w:r>
        <w:rPr>
          <w:rFonts w:ascii="Roboto" w:eastAsia="Roboto" w:hAnsi="Roboto" w:cs="Roboto"/>
          <w:b/>
        </w:rPr>
        <w:t xml:space="preserve"> overcrowded</w:t>
      </w:r>
      <w:r>
        <w:rPr>
          <w:rFonts w:ascii="Roboto" w:eastAsia="Roboto" w:hAnsi="Roboto" w:cs="Roboto"/>
        </w:rPr>
        <w:t xml:space="preserve">, face </w:t>
      </w:r>
      <w:r>
        <w:rPr>
          <w:rFonts w:ascii="Roboto" w:eastAsia="Roboto" w:hAnsi="Roboto" w:cs="Roboto"/>
          <w:b/>
        </w:rPr>
        <w:t>severe financial constraints</w:t>
      </w:r>
      <w:r>
        <w:rPr>
          <w:rFonts w:ascii="Roboto" w:eastAsia="Roboto" w:hAnsi="Roboto" w:cs="Roboto"/>
        </w:rPr>
        <w:t xml:space="preserve">, and some </w:t>
      </w:r>
      <w:r>
        <w:rPr>
          <w:rFonts w:ascii="Roboto" w:eastAsia="Roboto" w:hAnsi="Roboto" w:cs="Roboto"/>
          <w:b/>
        </w:rPr>
        <w:t>lack adequate facilities and resources</w:t>
      </w:r>
      <w:r>
        <w:rPr>
          <w:rFonts w:ascii="Roboto" w:eastAsia="Roboto" w:hAnsi="Roboto" w:cs="Roboto"/>
        </w:rPr>
        <w:t xml:space="preserve">. </w:t>
      </w:r>
    </w:p>
    <w:p w14:paraId="20E3B3AB" w14:textId="77777777" w:rsidR="0034760B" w:rsidRDefault="0034760B">
      <w:pPr>
        <w:spacing w:after="0" w:line="259" w:lineRule="auto"/>
        <w:ind w:left="1440"/>
        <w:jc w:val="both"/>
        <w:rPr>
          <w:rFonts w:ascii="Roboto" w:eastAsia="Roboto" w:hAnsi="Roboto" w:cs="Roboto"/>
        </w:rPr>
      </w:pPr>
    </w:p>
    <w:p w14:paraId="5A7071AC" w14:textId="77777777" w:rsidR="0034760B" w:rsidRDefault="00000000">
      <w:pPr>
        <w:numPr>
          <w:ilvl w:val="1"/>
          <w:numId w:val="3"/>
        </w:numPr>
        <w:spacing w:after="0" w:line="259" w:lineRule="auto"/>
        <w:jc w:val="both"/>
      </w:pPr>
      <w:r>
        <w:rPr>
          <w:rFonts w:ascii="Roboto" w:eastAsia="Roboto" w:hAnsi="Roboto" w:cs="Roboto"/>
        </w:rPr>
        <w:lastRenderedPageBreak/>
        <w:t>Girls are not able to access education due to</w:t>
      </w:r>
      <w:r>
        <w:rPr>
          <w:rFonts w:ascii="Roboto" w:eastAsia="Roboto" w:hAnsi="Roboto" w:cs="Roboto"/>
          <w:b/>
        </w:rPr>
        <w:t xml:space="preserve"> limited financial ability</w:t>
      </w:r>
      <w:r>
        <w:rPr>
          <w:rFonts w:ascii="Roboto" w:eastAsia="Roboto" w:hAnsi="Roboto" w:cs="Roboto"/>
        </w:rPr>
        <w:t xml:space="preserve">, </w:t>
      </w:r>
      <w:r>
        <w:rPr>
          <w:rFonts w:ascii="Roboto" w:eastAsia="Roboto" w:hAnsi="Roboto" w:cs="Roboto"/>
          <w:b/>
        </w:rPr>
        <w:t>limited spac</w:t>
      </w:r>
      <w:r>
        <w:rPr>
          <w:rFonts w:ascii="Roboto" w:eastAsia="Roboto" w:hAnsi="Roboto" w:cs="Roboto"/>
        </w:rPr>
        <w:t xml:space="preserve">e at centres, and </w:t>
      </w:r>
      <w:r>
        <w:rPr>
          <w:rFonts w:ascii="Roboto" w:eastAsia="Roboto" w:hAnsi="Roboto" w:cs="Roboto"/>
          <w:b/>
        </w:rPr>
        <w:t>lack of options for secondary and tertiary education</w:t>
      </w:r>
      <w:r>
        <w:rPr>
          <w:rFonts w:ascii="Roboto" w:eastAsia="Roboto" w:hAnsi="Roboto" w:cs="Roboto"/>
        </w:rPr>
        <w:t>.</w:t>
      </w:r>
    </w:p>
    <w:p w14:paraId="26C5C96C" w14:textId="77777777" w:rsidR="0034760B" w:rsidRDefault="0034760B">
      <w:pPr>
        <w:spacing w:after="0" w:line="259" w:lineRule="auto"/>
        <w:ind w:left="1440"/>
        <w:jc w:val="both"/>
        <w:rPr>
          <w:rFonts w:ascii="Roboto" w:eastAsia="Roboto" w:hAnsi="Roboto" w:cs="Roboto"/>
        </w:rPr>
      </w:pPr>
    </w:p>
    <w:p w14:paraId="0CCD0A55" w14:textId="77777777" w:rsidR="0034760B" w:rsidRDefault="00000000">
      <w:pPr>
        <w:numPr>
          <w:ilvl w:val="1"/>
          <w:numId w:val="3"/>
        </w:numPr>
        <w:spacing w:after="0" w:line="259" w:lineRule="auto"/>
        <w:jc w:val="both"/>
      </w:pPr>
      <w:r>
        <w:rPr>
          <w:rFonts w:ascii="Roboto" w:eastAsia="Roboto" w:hAnsi="Roboto" w:cs="Roboto"/>
        </w:rPr>
        <w:t xml:space="preserve">Refugee parents face significant </w:t>
      </w:r>
      <w:r>
        <w:rPr>
          <w:rFonts w:ascii="Roboto" w:eastAsia="Roboto" w:hAnsi="Roboto" w:cs="Roboto"/>
          <w:b/>
        </w:rPr>
        <w:t>challenges in paying the school fees</w:t>
      </w:r>
      <w:r>
        <w:rPr>
          <w:rFonts w:ascii="Roboto" w:eastAsia="Roboto" w:hAnsi="Roboto" w:cs="Roboto"/>
        </w:rPr>
        <w:t xml:space="preserve"> without access to livelihoods and </w:t>
      </w:r>
      <w:r>
        <w:rPr>
          <w:rFonts w:ascii="Roboto" w:eastAsia="Roboto" w:hAnsi="Roboto" w:cs="Roboto"/>
          <w:b/>
        </w:rPr>
        <w:t>girls drop out of school to support families</w:t>
      </w:r>
      <w:r>
        <w:rPr>
          <w:rFonts w:ascii="Roboto" w:eastAsia="Roboto" w:hAnsi="Roboto" w:cs="Roboto"/>
        </w:rPr>
        <w:t>.</w:t>
      </w:r>
    </w:p>
    <w:p w14:paraId="3112070B" w14:textId="77777777" w:rsidR="0034760B" w:rsidRDefault="0034760B">
      <w:pPr>
        <w:spacing w:after="0" w:line="259" w:lineRule="auto"/>
        <w:jc w:val="both"/>
        <w:rPr>
          <w:rFonts w:ascii="Roboto" w:eastAsia="Roboto" w:hAnsi="Roboto" w:cs="Roboto"/>
        </w:rPr>
      </w:pPr>
    </w:p>
    <w:p w14:paraId="1BA4F243" w14:textId="77777777" w:rsidR="0034760B" w:rsidRDefault="00000000">
      <w:pPr>
        <w:numPr>
          <w:ilvl w:val="0"/>
          <w:numId w:val="3"/>
        </w:numPr>
        <w:spacing w:after="0" w:line="259" w:lineRule="auto"/>
        <w:jc w:val="both"/>
      </w:pPr>
      <w:r>
        <w:rPr>
          <w:rFonts w:ascii="Roboto" w:eastAsia="Roboto" w:hAnsi="Roboto" w:cs="Roboto"/>
        </w:rPr>
        <w:t xml:space="preserve">This loss of education has a profound impact on families and puts the girl child at risk of child marriage and exposure to other harmful gender norms. It remains to be seen how the new Directive will improve access to education. </w:t>
      </w:r>
    </w:p>
    <w:p w14:paraId="21EEAFD6" w14:textId="77777777" w:rsidR="0034760B" w:rsidRDefault="0034760B">
      <w:pPr>
        <w:spacing w:after="0" w:line="259" w:lineRule="auto"/>
        <w:ind w:left="720"/>
        <w:jc w:val="both"/>
        <w:rPr>
          <w:rFonts w:ascii="Roboto" w:eastAsia="Roboto" w:hAnsi="Roboto" w:cs="Roboto"/>
        </w:rPr>
      </w:pPr>
    </w:p>
    <w:tbl>
      <w:tblPr>
        <w:tblStyle w:val="a2"/>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34760B" w14:paraId="198A6BD0" w14:textId="77777777">
        <w:trPr>
          <w:trHeight w:val="489"/>
        </w:trPr>
        <w:tc>
          <w:tcPr>
            <w:tcW w:w="8640" w:type="dxa"/>
            <w:tcBorders>
              <w:top w:val="single" w:sz="18" w:space="0" w:color="0563C1"/>
              <w:left w:val="single" w:sz="18" w:space="0" w:color="0563C1"/>
              <w:bottom w:val="single" w:sz="18" w:space="0" w:color="0563C1"/>
              <w:right w:val="single" w:sz="18" w:space="0" w:color="0563C1"/>
            </w:tcBorders>
            <w:shd w:val="clear" w:color="auto" w:fill="auto"/>
            <w:tcMar>
              <w:top w:w="100" w:type="dxa"/>
              <w:left w:w="100" w:type="dxa"/>
              <w:bottom w:w="100" w:type="dxa"/>
              <w:right w:w="100" w:type="dxa"/>
            </w:tcMar>
          </w:tcPr>
          <w:p w14:paraId="5CDC60C2" w14:textId="77777777" w:rsidR="0034760B" w:rsidRDefault="00000000">
            <w:pPr>
              <w:spacing w:after="0" w:line="259" w:lineRule="auto"/>
              <w:jc w:val="both"/>
              <w:rPr>
                <w:rFonts w:ascii="Roboto" w:eastAsia="Roboto" w:hAnsi="Roboto" w:cs="Roboto"/>
                <w:b/>
              </w:rPr>
            </w:pPr>
            <w:r>
              <w:rPr>
                <w:rFonts w:ascii="Roboto" w:eastAsia="Roboto" w:hAnsi="Roboto" w:cs="Roboto"/>
                <w:b/>
              </w:rPr>
              <w:t>RECOMMENDATIONS</w:t>
            </w:r>
          </w:p>
          <w:p w14:paraId="0D78DF47" w14:textId="77777777" w:rsidR="0034760B" w:rsidRDefault="0034760B">
            <w:pPr>
              <w:spacing w:after="0" w:line="259" w:lineRule="auto"/>
              <w:jc w:val="both"/>
              <w:rPr>
                <w:rFonts w:ascii="Roboto" w:eastAsia="Roboto" w:hAnsi="Roboto" w:cs="Roboto"/>
                <w:b/>
              </w:rPr>
            </w:pPr>
          </w:p>
          <w:p w14:paraId="711A5060" w14:textId="77777777" w:rsidR="0034760B" w:rsidRDefault="00000000">
            <w:pPr>
              <w:numPr>
                <w:ilvl w:val="0"/>
                <w:numId w:val="2"/>
              </w:numPr>
              <w:spacing w:after="0"/>
              <w:jc w:val="both"/>
              <w:rPr>
                <w:rFonts w:ascii="Roboto" w:eastAsia="Roboto" w:hAnsi="Roboto" w:cs="Roboto"/>
              </w:rPr>
            </w:pPr>
            <w:r>
              <w:rPr>
                <w:rFonts w:ascii="Roboto" w:eastAsia="Roboto" w:hAnsi="Roboto" w:cs="Roboto"/>
              </w:rPr>
              <w:t xml:space="preserve">Increase efforts to implement policies that remove all barriers to access and guarantee equal access and the right to education for refugee and </w:t>
            </w:r>
            <w:proofErr w:type="gramStart"/>
            <w:r>
              <w:rPr>
                <w:rFonts w:ascii="Roboto" w:eastAsia="Roboto" w:hAnsi="Roboto" w:cs="Roboto"/>
              </w:rPr>
              <w:t>asylum seeking</w:t>
            </w:r>
            <w:proofErr w:type="gramEnd"/>
            <w:r>
              <w:rPr>
                <w:rFonts w:ascii="Roboto" w:eastAsia="Roboto" w:hAnsi="Roboto" w:cs="Roboto"/>
              </w:rPr>
              <w:t xml:space="preserve"> children. Create pathways to academic or vocational certification for refugee and asylum-seeking children.</w:t>
            </w:r>
          </w:p>
        </w:tc>
      </w:tr>
    </w:tbl>
    <w:p w14:paraId="6E56C4A1" w14:textId="77777777" w:rsidR="0034760B" w:rsidRDefault="0034760B">
      <w:pPr>
        <w:spacing w:after="0" w:line="259" w:lineRule="auto"/>
        <w:ind w:left="720"/>
        <w:jc w:val="both"/>
        <w:rPr>
          <w:rFonts w:ascii="Roboto" w:eastAsia="Roboto" w:hAnsi="Roboto" w:cs="Roboto"/>
        </w:rPr>
      </w:pPr>
    </w:p>
    <w:p w14:paraId="11C24BED" w14:textId="3419FC99" w:rsidR="0034760B" w:rsidRDefault="00000000">
      <w:pPr>
        <w:pStyle w:val="Heading2"/>
        <w:spacing w:before="40"/>
        <w:jc w:val="both"/>
        <w:rPr>
          <w:rFonts w:ascii="Roboto" w:eastAsia="Roboto" w:hAnsi="Roboto" w:cs="Roboto"/>
          <w:color w:val="0563C1"/>
          <w:sz w:val="24"/>
          <w:szCs w:val="24"/>
        </w:rPr>
      </w:pPr>
      <w:bookmarkStart w:id="8" w:name="_heading=h.9zk3v4e3fb2p" w:colFirst="0" w:colLast="0"/>
      <w:bookmarkEnd w:id="8"/>
      <w:r>
        <w:rPr>
          <w:rFonts w:ascii="Roboto" w:eastAsia="Roboto" w:hAnsi="Roboto" w:cs="Roboto"/>
          <w:color w:val="0563C1"/>
          <w:sz w:val="24"/>
          <w:szCs w:val="24"/>
        </w:rPr>
        <w:t>Issue 3: Measures in response to access to healthcare (List of Issues Para 20 (a)-(c))</w:t>
      </w:r>
    </w:p>
    <w:p w14:paraId="6DD0D458" w14:textId="77777777" w:rsidR="00CF5D32" w:rsidRPr="00CF5D32" w:rsidRDefault="00CF5D32" w:rsidP="00CF5D32"/>
    <w:p w14:paraId="65E78B40" w14:textId="77777777" w:rsidR="0034760B" w:rsidRDefault="00000000">
      <w:pPr>
        <w:numPr>
          <w:ilvl w:val="0"/>
          <w:numId w:val="3"/>
        </w:numPr>
        <w:spacing w:after="0" w:line="259" w:lineRule="auto"/>
        <w:jc w:val="both"/>
      </w:pPr>
      <w:r>
        <w:rPr>
          <w:rFonts w:ascii="Roboto" w:eastAsia="Roboto" w:hAnsi="Roboto" w:cs="Roboto"/>
        </w:rPr>
        <w:t>The government’s response in the RLOI’s to Para 20(a) of the LOI’s states that “reproductive healthcare services in the public sector are accessible to all, without any discrimination, regardless of social grouping, or nationality, including migrant workers irrespective of their legal status”.</w:t>
      </w:r>
      <w:r>
        <w:rPr>
          <w:rFonts w:ascii="Roboto" w:eastAsia="Roboto" w:hAnsi="Roboto" w:cs="Roboto"/>
          <w:vertAlign w:val="superscript"/>
        </w:rPr>
        <w:footnoteReference w:id="33"/>
      </w:r>
      <w:r>
        <w:rPr>
          <w:rFonts w:ascii="Roboto" w:eastAsia="Roboto" w:hAnsi="Roboto" w:cs="Roboto"/>
        </w:rPr>
        <w:t xml:space="preserve"> This is similarly asserted in Malaysia’s sixth periodic report that maternity, </w:t>
      </w:r>
      <w:proofErr w:type="gramStart"/>
      <w:r>
        <w:rPr>
          <w:rFonts w:ascii="Roboto" w:eastAsia="Roboto" w:hAnsi="Roboto" w:cs="Roboto"/>
        </w:rPr>
        <w:t>family  planning</w:t>
      </w:r>
      <w:proofErr w:type="gramEnd"/>
      <w:r>
        <w:rPr>
          <w:rFonts w:ascii="Roboto" w:eastAsia="Roboto" w:hAnsi="Roboto" w:cs="Roboto"/>
        </w:rPr>
        <w:t xml:space="preserve">  and  reproductive  healthcare is provided to all regardless of nationality and income level. However, most refugee and asylum seeker women and girls still face </w:t>
      </w:r>
      <w:r>
        <w:rPr>
          <w:rFonts w:ascii="Roboto" w:eastAsia="Roboto" w:hAnsi="Roboto" w:cs="Roboto"/>
          <w:b/>
        </w:rPr>
        <w:t>major practical obstacles</w:t>
      </w:r>
      <w:r>
        <w:rPr>
          <w:rFonts w:ascii="Roboto" w:eastAsia="Roboto" w:hAnsi="Roboto" w:cs="Roboto"/>
        </w:rPr>
        <w:t xml:space="preserve"> to accessing these services due to </w:t>
      </w:r>
      <w:r>
        <w:rPr>
          <w:rFonts w:ascii="Roboto" w:eastAsia="Roboto" w:hAnsi="Roboto" w:cs="Roboto"/>
          <w:b/>
        </w:rPr>
        <w:t>lack of interpretation, high cost, and security</w:t>
      </w:r>
      <w:r>
        <w:rPr>
          <w:rFonts w:ascii="Roboto" w:eastAsia="Roboto" w:hAnsi="Roboto" w:cs="Roboto"/>
        </w:rPr>
        <w:t>.</w:t>
      </w:r>
      <w:r>
        <w:rPr>
          <w:rFonts w:ascii="Roboto" w:eastAsia="Roboto" w:hAnsi="Roboto" w:cs="Roboto"/>
          <w:vertAlign w:val="superscript"/>
        </w:rPr>
        <w:footnoteReference w:id="34"/>
      </w:r>
      <w:r>
        <w:rPr>
          <w:rFonts w:ascii="Roboto" w:eastAsia="Roboto" w:hAnsi="Roboto" w:cs="Roboto"/>
        </w:rPr>
        <w:t xml:space="preserve"> All women participants in the community consultations reported </w:t>
      </w:r>
      <w:r>
        <w:rPr>
          <w:rFonts w:ascii="Roboto" w:eastAsia="Roboto" w:hAnsi="Roboto" w:cs="Roboto"/>
          <w:b/>
        </w:rPr>
        <w:t>never hearing about or accessing mobile reproductive health services by the government.</w:t>
      </w:r>
      <w:r>
        <w:rPr>
          <w:rFonts w:ascii="Roboto" w:eastAsia="Roboto" w:hAnsi="Roboto" w:cs="Roboto"/>
          <w:vertAlign w:val="superscript"/>
        </w:rPr>
        <w:footnoteReference w:id="35"/>
      </w:r>
      <w:r>
        <w:rPr>
          <w:rFonts w:ascii="Roboto" w:eastAsia="Roboto" w:hAnsi="Roboto" w:cs="Roboto"/>
        </w:rPr>
        <w:t xml:space="preserve"> </w:t>
      </w:r>
    </w:p>
    <w:p w14:paraId="7ED61360" w14:textId="77777777" w:rsidR="0034760B" w:rsidRDefault="0034760B">
      <w:pPr>
        <w:spacing w:after="0" w:line="259" w:lineRule="auto"/>
        <w:ind w:left="720"/>
        <w:jc w:val="both"/>
        <w:rPr>
          <w:rFonts w:ascii="Roboto" w:eastAsia="Roboto" w:hAnsi="Roboto" w:cs="Roboto"/>
        </w:rPr>
      </w:pPr>
    </w:p>
    <w:p w14:paraId="75B2571D" w14:textId="77777777" w:rsidR="0034760B" w:rsidRDefault="00000000">
      <w:pPr>
        <w:numPr>
          <w:ilvl w:val="0"/>
          <w:numId w:val="3"/>
        </w:numPr>
        <w:spacing w:after="0" w:line="259" w:lineRule="auto"/>
        <w:jc w:val="both"/>
      </w:pPr>
      <w:r>
        <w:rPr>
          <w:rFonts w:ascii="Roboto" w:eastAsia="Roboto" w:hAnsi="Roboto" w:cs="Roboto"/>
        </w:rPr>
        <w:t>In response to Para 20(b) of the Committee’s LOI’s, the government of Malaysia assured that non-Malaysians have “unrestricted access to all ranges of health facilities in both public and private health sectors”.</w:t>
      </w:r>
      <w:r>
        <w:rPr>
          <w:rFonts w:ascii="Roboto" w:eastAsia="Roboto" w:hAnsi="Roboto" w:cs="Roboto"/>
          <w:vertAlign w:val="superscript"/>
        </w:rPr>
        <w:footnoteReference w:id="36"/>
      </w:r>
      <w:r>
        <w:rPr>
          <w:rFonts w:ascii="Roboto" w:eastAsia="Roboto" w:hAnsi="Roboto" w:cs="Roboto"/>
        </w:rPr>
        <w:t xml:space="preserve"> However, there was </w:t>
      </w:r>
      <w:r>
        <w:rPr>
          <w:rFonts w:ascii="Roboto" w:eastAsia="Roboto" w:hAnsi="Roboto" w:cs="Roboto"/>
          <w:b/>
        </w:rPr>
        <w:t>no indication that the prohibitively high fees in a 2014 Order and MOH circulars that prevent equitable access will be reviewed or removed</w:t>
      </w:r>
      <w:r>
        <w:rPr>
          <w:rFonts w:ascii="Roboto" w:eastAsia="Roboto" w:hAnsi="Roboto" w:cs="Roboto"/>
        </w:rPr>
        <w:t>. Instead, it was reiterated that refugee and asylum-seeking women are “required to comply” with these orders and circulars.</w:t>
      </w:r>
      <w:r>
        <w:rPr>
          <w:rFonts w:ascii="Roboto" w:eastAsia="Roboto" w:hAnsi="Roboto" w:cs="Roboto"/>
          <w:vertAlign w:val="superscript"/>
        </w:rPr>
        <w:footnoteReference w:id="37"/>
      </w:r>
      <w:r>
        <w:rPr>
          <w:rFonts w:ascii="Roboto" w:eastAsia="Roboto" w:hAnsi="Roboto" w:cs="Roboto"/>
        </w:rPr>
        <w:t xml:space="preserve"> In further response, the </w:t>
      </w:r>
      <w:r>
        <w:rPr>
          <w:rFonts w:ascii="Roboto" w:eastAsia="Roboto" w:hAnsi="Roboto" w:cs="Roboto"/>
          <w:b/>
        </w:rPr>
        <w:t>government of Malaysia continues to reiterate</w:t>
      </w:r>
      <w:r>
        <w:rPr>
          <w:rFonts w:ascii="Roboto" w:eastAsia="Roboto" w:hAnsi="Roboto" w:cs="Roboto"/>
        </w:rPr>
        <w:t xml:space="preserve"> that being a non-party to the Refugee </w:t>
      </w:r>
      <w:r>
        <w:rPr>
          <w:rFonts w:ascii="Roboto" w:eastAsia="Roboto" w:hAnsi="Roboto" w:cs="Roboto"/>
        </w:rPr>
        <w:lastRenderedPageBreak/>
        <w:t>Convention, Malaysia “is n</w:t>
      </w:r>
      <w:r>
        <w:rPr>
          <w:rFonts w:ascii="Roboto" w:eastAsia="Roboto" w:hAnsi="Roboto" w:cs="Roboto"/>
          <w:b/>
        </w:rPr>
        <w:t>ot obliged to provide any protection or assistance to those claiming to be a refugee or an asylum seeker</w:t>
      </w:r>
      <w:r>
        <w:rPr>
          <w:rFonts w:ascii="Roboto" w:eastAsia="Roboto" w:hAnsi="Roboto" w:cs="Roboto"/>
        </w:rPr>
        <w:t>.”</w:t>
      </w:r>
      <w:r>
        <w:rPr>
          <w:rFonts w:ascii="Roboto" w:eastAsia="Roboto" w:hAnsi="Roboto" w:cs="Roboto"/>
          <w:vertAlign w:val="superscript"/>
        </w:rPr>
        <w:footnoteReference w:id="38"/>
      </w:r>
      <w:r>
        <w:rPr>
          <w:rFonts w:ascii="Roboto" w:eastAsia="Roboto" w:hAnsi="Roboto" w:cs="Roboto"/>
        </w:rPr>
        <w:t xml:space="preserve">  </w:t>
      </w:r>
    </w:p>
    <w:p w14:paraId="55C4DC82" w14:textId="77777777" w:rsidR="0034760B" w:rsidRDefault="0034760B">
      <w:pPr>
        <w:spacing w:after="0" w:line="259" w:lineRule="auto"/>
        <w:ind w:left="720"/>
        <w:jc w:val="both"/>
        <w:rPr>
          <w:rFonts w:ascii="Roboto" w:eastAsia="Roboto" w:hAnsi="Roboto" w:cs="Roboto"/>
        </w:rPr>
      </w:pPr>
    </w:p>
    <w:p w14:paraId="7C4C537F" w14:textId="77777777" w:rsidR="0034760B" w:rsidRDefault="00000000">
      <w:pPr>
        <w:numPr>
          <w:ilvl w:val="0"/>
          <w:numId w:val="3"/>
        </w:numPr>
        <w:spacing w:after="0" w:line="259" w:lineRule="auto"/>
        <w:jc w:val="both"/>
      </w:pPr>
      <w:r>
        <w:rPr>
          <w:rFonts w:ascii="Roboto" w:eastAsia="Roboto" w:hAnsi="Roboto" w:cs="Roboto"/>
        </w:rPr>
        <w:t xml:space="preserve">On the Committee’s request in Para 20(c), the </w:t>
      </w:r>
      <w:r>
        <w:rPr>
          <w:rFonts w:ascii="Roboto" w:eastAsia="Roboto" w:hAnsi="Roboto" w:cs="Roboto"/>
          <w:b/>
        </w:rPr>
        <w:t>government of Malaysia has demonstrated no intention of repealing the directive</w:t>
      </w:r>
      <w:r>
        <w:rPr>
          <w:rFonts w:ascii="Roboto" w:eastAsia="Roboto" w:hAnsi="Roboto" w:cs="Roboto"/>
        </w:rPr>
        <w:t xml:space="preserve"> despite urgency from the Committee. Instead, in defiance, the government’s response in Para 99 confirms that public health facilities are instructed to report and that this is in line with “the current regulations and provisions” and “to determine the security nature or threat that the person may hold against the country”.</w:t>
      </w:r>
      <w:r>
        <w:rPr>
          <w:rFonts w:ascii="Roboto" w:eastAsia="Roboto" w:hAnsi="Roboto" w:cs="Roboto"/>
          <w:vertAlign w:val="superscript"/>
        </w:rPr>
        <w:footnoteReference w:id="39"/>
      </w:r>
      <w:r>
        <w:rPr>
          <w:rFonts w:ascii="Roboto" w:eastAsia="Roboto" w:hAnsi="Roboto" w:cs="Roboto"/>
        </w:rPr>
        <w:t xml:space="preserve"> The </w:t>
      </w:r>
      <w:r>
        <w:rPr>
          <w:rFonts w:ascii="Roboto" w:eastAsia="Roboto" w:hAnsi="Roboto" w:cs="Roboto"/>
          <w:b/>
        </w:rPr>
        <w:t xml:space="preserve">lack of separation between public health and immigration remains </w:t>
      </w:r>
      <w:r>
        <w:rPr>
          <w:rFonts w:ascii="Roboto" w:eastAsia="Roboto" w:hAnsi="Roboto" w:cs="Roboto"/>
        </w:rPr>
        <w:t xml:space="preserve">and the government of Malaysia has </w:t>
      </w:r>
      <w:r>
        <w:rPr>
          <w:rFonts w:ascii="Roboto" w:eastAsia="Roboto" w:hAnsi="Roboto" w:cs="Roboto"/>
          <w:b/>
        </w:rPr>
        <w:t xml:space="preserve">no intention </w:t>
      </w:r>
      <w:r>
        <w:rPr>
          <w:rFonts w:ascii="Roboto" w:eastAsia="Roboto" w:hAnsi="Roboto" w:cs="Roboto"/>
        </w:rPr>
        <w:t>of ensuring safe and equitable access for asylum-seeking women. The impact is that refugee and asylum-seeking women avoid or delay seeking treatment which poses a public health concern.</w:t>
      </w:r>
      <w:r>
        <w:rPr>
          <w:rFonts w:ascii="Roboto" w:eastAsia="Roboto" w:hAnsi="Roboto" w:cs="Roboto"/>
          <w:vertAlign w:val="superscript"/>
        </w:rPr>
        <w:footnoteReference w:id="40"/>
      </w:r>
    </w:p>
    <w:p w14:paraId="172C1B09" w14:textId="77777777" w:rsidR="0034760B" w:rsidRDefault="0034760B">
      <w:pPr>
        <w:spacing w:after="0" w:line="259" w:lineRule="auto"/>
        <w:ind w:left="720"/>
        <w:jc w:val="both"/>
        <w:rPr>
          <w:rFonts w:ascii="Roboto" w:eastAsia="Roboto" w:hAnsi="Roboto" w:cs="Roboto"/>
        </w:rPr>
      </w:pPr>
    </w:p>
    <w:p w14:paraId="1215F154" w14:textId="77777777" w:rsidR="0034760B" w:rsidRDefault="00000000">
      <w:pPr>
        <w:numPr>
          <w:ilvl w:val="0"/>
          <w:numId w:val="3"/>
        </w:numPr>
        <w:spacing w:after="0" w:line="259" w:lineRule="auto"/>
        <w:jc w:val="both"/>
      </w:pPr>
      <w:r>
        <w:rPr>
          <w:rFonts w:ascii="Roboto" w:eastAsia="Roboto" w:hAnsi="Roboto" w:cs="Roboto"/>
        </w:rPr>
        <w:t xml:space="preserve">It is reiterated that the </w:t>
      </w:r>
      <w:r>
        <w:rPr>
          <w:rFonts w:ascii="Roboto" w:eastAsia="Roboto" w:hAnsi="Roboto" w:cs="Roboto"/>
          <w:b/>
        </w:rPr>
        <w:t xml:space="preserve">inaccessibility to healthcare services particularly due to cost and security reasons </w:t>
      </w:r>
      <w:r>
        <w:rPr>
          <w:rFonts w:ascii="Roboto" w:eastAsia="Roboto" w:hAnsi="Roboto" w:cs="Roboto"/>
        </w:rPr>
        <w:t xml:space="preserve">as highlighted in AAM’s PSWG Report in 2023 remain relevant. The impact of this lack of access has also been reported to the Committee. From the government’s responses, important steps are not being taken to address the structural barriers to access that exist. </w:t>
      </w:r>
    </w:p>
    <w:p w14:paraId="6ED7DACF" w14:textId="77777777" w:rsidR="0034760B" w:rsidRDefault="0034760B">
      <w:pPr>
        <w:spacing w:after="0" w:line="259" w:lineRule="auto"/>
        <w:ind w:left="720"/>
        <w:jc w:val="both"/>
        <w:rPr>
          <w:rFonts w:ascii="Roboto" w:eastAsia="Roboto" w:hAnsi="Roboto" w:cs="Roboto"/>
        </w:rPr>
      </w:pPr>
    </w:p>
    <w:tbl>
      <w:tblPr>
        <w:tblStyle w:val="a3"/>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34760B" w14:paraId="651C57C6" w14:textId="77777777">
        <w:tc>
          <w:tcPr>
            <w:tcW w:w="8640" w:type="dxa"/>
            <w:tcBorders>
              <w:top w:val="single" w:sz="18" w:space="0" w:color="0563C1"/>
              <w:left w:val="single" w:sz="18" w:space="0" w:color="0563C1"/>
              <w:bottom w:val="single" w:sz="18" w:space="0" w:color="0563C1"/>
              <w:right w:val="single" w:sz="18" w:space="0" w:color="0563C1"/>
            </w:tcBorders>
            <w:shd w:val="clear" w:color="auto" w:fill="auto"/>
            <w:tcMar>
              <w:top w:w="100" w:type="dxa"/>
              <w:left w:w="100" w:type="dxa"/>
              <w:bottom w:w="100" w:type="dxa"/>
              <w:right w:w="100" w:type="dxa"/>
            </w:tcMar>
          </w:tcPr>
          <w:p w14:paraId="69F23959" w14:textId="77777777" w:rsidR="0034760B" w:rsidRDefault="00000000">
            <w:pPr>
              <w:spacing w:after="0" w:line="259" w:lineRule="auto"/>
              <w:jc w:val="both"/>
              <w:rPr>
                <w:rFonts w:ascii="Roboto" w:eastAsia="Roboto" w:hAnsi="Roboto" w:cs="Roboto"/>
                <w:b/>
              </w:rPr>
            </w:pPr>
            <w:r>
              <w:rPr>
                <w:rFonts w:ascii="Roboto" w:eastAsia="Roboto" w:hAnsi="Roboto" w:cs="Roboto"/>
                <w:b/>
              </w:rPr>
              <w:t>RECOMMENDATIONS</w:t>
            </w:r>
          </w:p>
          <w:p w14:paraId="0C8EF8CE" w14:textId="77777777" w:rsidR="0034760B" w:rsidRDefault="0034760B">
            <w:pPr>
              <w:spacing w:after="0" w:line="259" w:lineRule="auto"/>
              <w:jc w:val="both"/>
              <w:rPr>
                <w:rFonts w:ascii="Roboto" w:eastAsia="Roboto" w:hAnsi="Roboto" w:cs="Roboto"/>
                <w:b/>
              </w:rPr>
            </w:pPr>
          </w:p>
          <w:p w14:paraId="4C1931A2" w14:textId="72D54CEC" w:rsidR="0034760B" w:rsidRDefault="00CF5D32">
            <w:pPr>
              <w:numPr>
                <w:ilvl w:val="0"/>
                <w:numId w:val="1"/>
              </w:numPr>
              <w:spacing w:after="0"/>
              <w:jc w:val="both"/>
              <w:rPr>
                <w:rFonts w:ascii="Roboto" w:eastAsia="Roboto" w:hAnsi="Roboto" w:cs="Roboto"/>
              </w:rPr>
            </w:pPr>
            <w:r>
              <w:rPr>
                <w:rFonts w:ascii="Roboto" w:eastAsia="Roboto" w:hAnsi="Roboto" w:cs="Roboto"/>
              </w:rPr>
              <w:t>Immediately repeal the Ministry of Health Directive Circular 10 and ensure that firewalls are put in place, delinking the access to healthcare from enforcement of immigration rules, to ensure all refugees can safely access public health care without fear of arrest and detention.</w:t>
            </w:r>
          </w:p>
          <w:p w14:paraId="63EBB8C5" w14:textId="648F1D21" w:rsidR="00CF5D32" w:rsidRPr="00CF5D32" w:rsidRDefault="00CF5D32" w:rsidP="00CF5D32">
            <w:pPr>
              <w:numPr>
                <w:ilvl w:val="0"/>
                <w:numId w:val="1"/>
              </w:numPr>
              <w:spacing w:after="0"/>
              <w:jc w:val="both"/>
              <w:rPr>
                <w:rFonts w:ascii="Roboto" w:eastAsia="Roboto" w:hAnsi="Roboto" w:cs="Roboto"/>
              </w:rPr>
            </w:pPr>
            <w:r w:rsidRPr="00CF5D32">
              <w:rPr>
                <w:rFonts w:ascii="Roboto" w:eastAsia="Roboto" w:hAnsi="Roboto" w:cs="Roboto"/>
              </w:rPr>
              <w:t>Ensure universal access to</w:t>
            </w:r>
            <w:r>
              <w:rPr>
                <w:rFonts w:ascii="Roboto" w:eastAsia="Roboto" w:hAnsi="Roboto" w:cs="Roboto"/>
              </w:rPr>
              <w:t xml:space="preserve"> </w:t>
            </w:r>
            <w:r w:rsidRPr="00CF5D32">
              <w:rPr>
                <w:rFonts w:ascii="Roboto" w:eastAsia="Roboto" w:hAnsi="Roboto" w:cs="Roboto"/>
              </w:rPr>
              <w:t>affordable health services for</w:t>
            </w:r>
            <w:r>
              <w:rPr>
                <w:rFonts w:ascii="Roboto" w:eastAsia="Roboto" w:hAnsi="Roboto" w:cs="Roboto"/>
              </w:rPr>
              <w:t xml:space="preserve"> </w:t>
            </w:r>
            <w:r w:rsidRPr="00CF5D32">
              <w:rPr>
                <w:rFonts w:ascii="Roboto" w:eastAsia="Roboto" w:hAnsi="Roboto" w:cs="Roboto"/>
              </w:rPr>
              <w:t>asylum seekers and refugees,</w:t>
            </w:r>
            <w:r>
              <w:rPr>
                <w:rFonts w:ascii="Roboto" w:eastAsia="Roboto" w:hAnsi="Roboto" w:cs="Roboto"/>
              </w:rPr>
              <w:t xml:space="preserve"> </w:t>
            </w:r>
            <w:r w:rsidRPr="00CF5D32">
              <w:rPr>
                <w:rFonts w:ascii="Roboto" w:eastAsia="Roboto" w:hAnsi="Roboto" w:cs="Roboto"/>
              </w:rPr>
              <w:t>including removing prohibitively</w:t>
            </w:r>
            <w:r>
              <w:rPr>
                <w:rFonts w:ascii="Roboto" w:eastAsia="Roboto" w:hAnsi="Roboto" w:cs="Roboto"/>
              </w:rPr>
              <w:t xml:space="preserve"> </w:t>
            </w:r>
            <w:r w:rsidRPr="00CF5D32">
              <w:rPr>
                <w:rFonts w:ascii="Roboto" w:eastAsia="Roboto" w:hAnsi="Roboto" w:cs="Roboto"/>
              </w:rPr>
              <w:t>expensive fees and charges</w:t>
            </w:r>
            <w:r>
              <w:rPr>
                <w:rFonts w:ascii="Roboto" w:eastAsia="Roboto" w:hAnsi="Roboto" w:cs="Roboto"/>
              </w:rPr>
              <w:t>.</w:t>
            </w:r>
          </w:p>
        </w:tc>
      </w:tr>
    </w:tbl>
    <w:p w14:paraId="0B602A96" w14:textId="77777777" w:rsidR="0034760B" w:rsidRDefault="0034760B">
      <w:pPr>
        <w:pBdr>
          <w:top w:val="nil"/>
          <w:left w:val="nil"/>
          <w:bottom w:val="nil"/>
          <w:right w:val="nil"/>
          <w:between w:val="nil"/>
        </w:pBdr>
        <w:spacing w:after="0" w:line="259" w:lineRule="auto"/>
        <w:jc w:val="both"/>
        <w:rPr>
          <w:rFonts w:ascii="Roboto" w:eastAsia="Roboto" w:hAnsi="Roboto" w:cs="Roboto"/>
        </w:rPr>
      </w:pPr>
    </w:p>
    <w:p w14:paraId="034E864D" w14:textId="77777777" w:rsidR="0034760B" w:rsidRPr="00CF5D32" w:rsidRDefault="00000000">
      <w:pPr>
        <w:pStyle w:val="Heading3"/>
        <w:spacing w:after="200" w:line="259" w:lineRule="auto"/>
        <w:jc w:val="both"/>
        <w:rPr>
          <w:rFonts w:ascii="Roboto" w:eastAsia="Roboto" w:hAnsi="Roboto" w:cs="Roboto"/>
          <w:i/>
          <w:sz w:val="22"/>
          <w:szCs w:val="22"/>
        </w:rPr>
      </w:pPr>
      <w:bookmarkStart w:id="9" w:name="_heading=h.38nf8fxuq5l0" w:colFirst="0" w:colLast="0"/>
      <w:bookmarkEnd w:id="9"/>
      <w:r w:rsidRPr="00CF5D32">
        <w:rPr>
          <w:rFonts w:ascii="Roboto" w:eastAsia="Roboto" w:hAnsi="Roboto" w:cs="Roboto"/>
          <w:color w:val="0563C1"/>
          <w:sz w:val="24"/>
          <w:szCs w:val="24"/>
        </w:rPr>
        <w:t>Issue 4: Barriers to accessing justice (List of Issues Para 5 (d))</w:t>
      </w:r>
    </w:p>
    <w:p w14:paraId="7682E839" w14:textId="77777777" w:rsidR="0034760B" w:rsidRDefault="00000000">
      <w:pPr>
        <w:numPr>
          <w:ilvl w:val="0"/>
          <w:numId w:val="3"/>
        </w:numPr>
        <w:spacing w:after="0" w:line="259" w:lineRule="auto"/>
        <w:jc w:val="both"/>
      </w:pPr>
      <w:r>
        <w:rPr>
          <w:rFonts w:ascii="Roboto" w:eastAsia="Roboto" w:hAnsi="Roboto" w:cs="Roboto"/>
        </w:rPr>
        <w:t>In Para 5(d) of the Committee’s LOI’s the Malaysian government was urged to provide information on “measures taken to address the barriers that prevent women from reporting cases of gender-based violence”.</w:t>
      </w:r>
      <w:r>
        <w:rPr>
          <w:rFonts w:ascii="Roboto" w:eastAsia="Roboto" w:hAnsi="Roboto" w:cs="Roboto"/>
          <w:vertAlign w:val="superscript"/>
        </w:rPr>
        <w:footnoteReference w:id="41"/>
      </w:r>
      <w:r>
        <w:rPr>
          <w:rFonts w:ascii="Roboto" w:eastAsia="Roboto" w:hAnsi="Roboto" w:cs="Roboto"/>
        </w:rPr>
        <w:t xml:space="preserve"> While the government of Malaysia in response in Para 17 of the RLOI’s stated commitment to address barriers to reporting, refugee women and girls </w:t>
      </w:r>
      <w:r>
        <w:rPr>
          <w:rFonts w:ascii="Roboto" w:eastAsia="Roboto" w:hAnsi="Roboto" w:cs="Roboto"/>
          <w:b/>
        </w:rPr>
        <w:t xml:space="preserve">continue to face significant challenges in reporting and accessing justice </w:t>
      </w:r>
      <w:r>
        <w:rPr>
          <w:rFonts w:ascii="Roboto" w:eastAsia="Roboto" w:hAnsi="Roboto" w:cs="Roboto"/>
        </w:rPr>
        <w:t xml:space="preserve">when faced with sexual and </w:t>
      </w:r>
      <w:proofErr w:type="gramStart"/>
      <w:r>
        <w:rPr>
          <w:rFonts w:ascii="Roboto" w:eastAsia="Roboto" w:hAnsi="Roboto" w:cs="Roboto"/>
        </w:rPr>
        <w:t>gender based</w:t>
      </w:r>
      <w:proofErr w:type="gramEnd"/>
      <w:r>
        <w:rPr>
          <w:rFonts w:ascii="Roboto" w:eastAsia="Roboto" w:hAnsi="Roboto" w:cs="Roboto"/>
        </w:rPr>
        <w:t xml:space="preserve"> violence (SGBV). </w:t>
      </w:r>
    </w:p>
    <w:p w14:paraId="1713D204" w14:textId="77777777" w:rsidR="0034760B" w:rsidRDefault="0034760B">
      <w:pPr>
        <w:spacing w:after="0" w:line="259" w:lineRule="auto"/>
        <w:ind w:left="720"/>
        <w:jc w:val="both"/>
        <w:rPr>
          <w:rFonts w:ascii="Roboto" w:eastAsia="Roboto" w:hAnsi="Roboto" w:cs="Roboto"/>
        </w:rPr>
      </w:pPr>
    </w:p>
    <w:p w14:paraId="6E6C9EDE" w14:textId="77777777" w:rsidR="0034760B" w:rsidRDefault="00000000">
      <w:pPr>
        <w:numPr>
          <w:ilvl w:val="0"/>
          <w:numId w:val="3"/>
        </w:numPr>
        <w:spacing w:after="0" w:line="259" w:lineRule="auto"/>
        <w:jc w:val="both"/>
      </w:pPr>
      <w:r>
        <w:rPr>
          <w:rFonts w:ascii="Roboto" w:eastAsia="Roboto" w:hAnsi="Roboto" w:cs="Roboto"/>
        </w:rPr>
        <w:t>In community consultations, women participants report the following challenges:</w:t>
      </w:r>
      <w:r>
        <w:rPr>
          <w:rFonts w:ascii="Roboto" w:eastAsia="Roboto" w:hAnsi="Roboto" w:cs="Roboto"/>
          <w:vertAlign w:val="superscript"/>
        </w:rPr>
        <w:footnoteReference w:id="42"/>
      </w:r>
    </w:p>
    <w:p w14:paraId="5817AC6C" w14:textId="77777777" w:rsidR="0034760B" w:rsidRDefault="0034760B">
      <w:pPr>
        <w:spacing w:after="0" w:line="259" w:lineRule="auto"/>
        <w:ind w:left="720"/>
        <w:jc w:val="both"/>
        <w:rPr>
          <w:rFonts w:ascii="Roboto" w:eastAsia="Roboto" w:hAnsi="Roboto" w:cs="Roboto"/>
        </w:rPr>
      </w:pPr>
    </w:p>
    <w:p w14:paraId="1F3E9C27" w14:textId="77777777" w:rsidR="0034760B" w:rsidRDefault="00000000">
      <w:pPr>
        <w:numPr>
          <w:ilvl w:val="1"/>
          <w:numId w:val="3"/>
        </w:numPr>
        <w:spacing w:after="0" w:line="259" w:lineRule="auto"/>
        <w:jc w:val="both"/>
      </w:pPr>
      <w:r>
        <w:rPr>
          <w:rFonts w:ascii="Roboto" w:eastAsia="Roboto" w:hAnsi="Roboto" w:cs="Roboto"/>
          <w:b/>
        </w:rPr>
        <w:t xml:space="preserve">Lack of interpretation services </w:t>
      </w:r>
      <w:r>
        <w:rPr>
          <w:rFonts w:ascii="Roboto" w:eastAsia="Roboto" w:hAnsi="Roboto" w:cs="Roboto"/>
        </w:rPr>
        <w:t xml:space="preserve">when reporting or accessing protective services, </w:t>
      </w:r>
    </w:p>
    <w:p w14:paraId="3FF953BE" w14:textId="77777777" w:rsidR="0034760B" w:rsidRDefault="0034760B">
      <w:pPr>
        <w:spacing w:after="0" w:line="259" w:lineRule="auto"/>
        <w:ind w:left="1440"/>
        <w:jc w:val="both"/>
        <w:rPr>
          <w:rFonts w:ascii="Roboto" w:eastAsia="Roboto" w:hAnsi="Roboto" w:cs="Roboto"/>
        </w:rPr>
      </w:pPr>
    </w:p>
    <w:p w14:paraId="5B0E761D" w14:textId="77777777" w:rsidR="0034760B" w:rsidRDefault="00000000">
      <w:pPr>
        <w:numPr>
          <w:ilvl w:val="1"/>
          <w:numId w:val="3"/>
        </w:numPr>
        <w:spacing w:after="0" w:line="259" w:lineRule="auto"/>
        <w:jc w:val="both"/>
      </w:pPr>
      <w:r>
        <w:rPr>
          <w:rFonts w:ascii="Roboto" w:eastAsia="Roboto" w:hAnsi="Roboto" w:cs="Roboto"/>
          <w:b/>
        </w:rPr>
        <w:t>Lack of information or knowledge</w:t>
      </w:r>
      <w:r>
        <w:rPr>
          <w:rFonts w:ascii="Roboto" w:eastAsia="Roboto" w:hAnsi="Roboto" w:cs="Roboto"/>
        </w:rPr>
        <w:t xml:space="preserve"> on how to report or where to seek help, </w:t>
      </w:r>
    </w:p>
    <w:p w14:paraId="54D62B6C" w14:textId="77777777" w:rsidR="0034760B" w:rsidRDefault="0034760B">
      <w:pPr>
        <w:spacing w:after="0" w:line="259" w:lineRule="auto"/>
        <w:ind w:left="1440"/>
        <w:jc w:val="both"/>
        <w:rPr>
          <w:rFonts w:ascii="Roboto" w:eastAsia="Roboto" w:hAnsi="Roboto" w:cs="Roboto"/>
        </w:rPr>
      </w:pPr>
    </w:p>
    <w:p w14:paraId="374CB5DC" w14:textId="77777777" w:rsidR="0034760B" w:rsidRDefault="00000000">
      <w:pPr>
        <w:numPr>
          <w:ilvl w:val="1"/>
          <w:numId w:val="3"/>
        </w:numPr>
        <w:spacing w:after="0" w:line="259" w:lineRule="auto"/>
        <w:jc w:val="both"/>
      </w:pPr>
      <w:r>
        <w:rPr>
          <w:rFonts w:ascii="Roboto" w:eastAsia="Roboto" w:hAnsi="Roboto" w:cs="Roboto"/>
          <w:b/>
        </w:rPr>
        <w:t xml:space="preserve">Fear, shame, and stigma </w:t>
      </w:r>
      <w:r>
        <w:rPr>
          <w:rFonts w:ascii="Roboto" w:eastAsia="Roboto" w:hAnsi="Roboto" w:cs="Roboto"/>
        </w:rPr>
        <w:t>with reporting.</w:t>
      </w:r>
    </w:p>
    <w:p w14:paraId="14E99AC8" w14:textId="77777777" w:rsidR="0034760B" w:rsidRDefault="0034760B">
      <w:pPr>
        <w:spacing w:after="0" w:line="259" w:lineRule="auto"/>
        <w:ind w:left="1440"/>
        <w:jc w:val="both"/>
        <w:rPr>
          <w:rFonts w:ascii="Roboto" w:eastAsia="Roboto" w:hAnsi="Roboto" w:cs="Roboto"/>
        </w:rPr>
      </w:pPr>
    </w:p>
    <w:p w14:paraId="60E3A6AC" w14:textId="77777777" w:rsidR="0034760B" w:rsidRDefault="00000000">
      <w:pPr>
        <w:numPr>
          <w:ilvl w:val="1"/>
          <w:numId w:val="3"/>
        </w:numPr>
        <w:spacing w:after="0" w:line="259" w:lineRule="auto"/>
        <w:jc w:val="both"/>
      </w:pPr>
      <w:r>
        <w:rPr>
          <w:rFonts w:ascii="Roboto" w:eastAsia="Roboto" w:hAnsi="Roboto" w:cs="Roboto"/>
          <w:b/>
        </w:rPr>
        <w:t>Fear of the consequences</w:t>
      </w:r>
      <w:r>
        <w:rPr>
          <w:rFonts w:ascii="Roboto" w:eastAsia="Roboto" w:hAnsi="Roboto" w:cs="Roboto"/>
        </w:rPr>
        <w:t xml:space="preserve"> of reporting particularly for women and girls who are undocumented and risk immigration action instead. </w:t>
      </w:r>
    </w:p>
    <w:p w14:paraId="187E0148" w14:textId="77777777" w:rsidR="0034760B" w:rsidRDefault="0034760B">
      <w:pPr>
        <w:spacing w:after="0" w:line="259" w:lineRule="auto"/>
        <w:ind w:left="1440"/>
        <w:jc w:val="both"/>
        <w:rPr>
          <w:rFonts w:ascii="Roboto" w:eastAsia="Roboto" w:hAnsi="Roboto" w:cs="Roboto"/>
        </w:rPr>
      </w:pPr>
    </w:p>
    <w:p w14:paraId="3503F71B" w14:textId="77777777" w:rsidR="0034760B" w:rsidRDefault="00000000">
      <w:pPr>
        <w:numPr>
          <w:ilvl w:val="1"/>
          <w:numId w:val="3"/>
        </w:numPr>
        <w:spacing w:after="0" w:line="259" w:lineRule="auto"/>
        <w:jc w:val="both"/>
      </w:pPr>
      <w:r>
        <w:rPr>
          <w:rFonts w:ascii="Roboto" w:eastAsia="Roboto" w:hAnsi="Roboto" w:cs="Roboto"/>
          <w:b/>
        </w:rPr>
        <w:t>Negative experiences when reporting</w:t>
      </w:r>
      <w:r>
        <w:rPr>
          <w:rFonts w:ascii="Roboto" w:eastAsia="Roboto" w:hAnsi="Roboto" w:cs="Roboto"/>
        </w:rPr>
        <w:t xml:space="preserve"> to authorities including discrimination because of legal status and nationality, police officers who are discouraging and sometimes engage in victim blaming, and police officers who threaten arrest particularly for women who are undocumented.</w:t>
      </w:r>
    </w:p>
    <w:p w14:paraId="742B9960" w14:textId="77777777" w:rsidR="0034760B" w:rsidRDefault="0034760B">
      <w:pPr>
        <w:spacing w:after="0" w:line="259" w:lineRule="auto"/>
        <w:ind w:left="1440"/>
        <w:jc w:val="both"/>
        <w:rPr>
          <w:rFonts w:ascii="Roboto" w:eastAsia="Roboto" w:hAnsi="Roboto" w:cs="Roboto"/>
        </w:rPr>
      </w:pPr>
    </w:p>
    <w:p w14:paraId="47A7FE85" w14:textId="77777777" w:rsidR="0034760B" w:rsidRDefault="00000000">
      <w:pPr>
        <w:numPr>
          <w:ilvl w:val="1"/>
          <w:numId w:val="3"/>
        </w:numPr>
        <w:spacing w:after="0" w:line="259" w:lineRule="auto"/>
        <w:jc w:val="both"/>
      </w:pPr>
      <w:r>
        <w:rPr>
          <w:rFonts w:ascii="Roboto" w:eastAsia="Roboto" w:hAnsi="Roboto" w:cs="Roboto"/>
        </w:rPr>
        <w:t>A</w:t>
      </w:r>
      <w:r>
        <w:rPr>
          <w:rFonts w:ascii="Roboto" w:eastAsia="Roboto" w:hAnsi="Roboto" w:cs="Roboto"/>
          <w:b/>
        </w:rPr>
        <w:t xml:space="preserve"> lack of action from authorities</w:t>
      </w:r>
      <w:r>
        <w:rPr>
          <w:rFonts w:ascii="Roboto" w:eastAsia="Roboto" w:hAnsi="Roboto" w:cs="Roboto"/>
        </w:rPr>
        <w:t xml:space="preserve"> who do not want to intervene in family matters particularly in domestic violence and custody cases.</w:t>
      </w:r>
    </w:p>
    <w:p w14:paraId="12DC1DE5" w14:textId="77777777" w:rsidR="0034760B" w:rsidRDefault="0034760B">
      <w:pPr>
        <w:spacing w:after="0" w:line="259" w:lineRule="auto"/>
        <w:ind w:left="1440"/>
        <w:jc w:val="both"/>
        <w:rPr>
          <w:rFonts w:ascii="Roboto" w:eastAsia="Roboto" w:hAnsi="Roboto" w:cs="Roboto"/>
        </w:rPr>
      </w:pPr>
    </w:p>
    <w:p w14:paraId="21738B0C" w14:textId="77777777" w:rsidR="0034760B" w:rsidRDefault="00000000">
      <w:pPr>
        <w:numPr>
          <w:ilvl w:val="1"/>
          <w:numId w:val="3"/>
        </w:numPr>
        <w:spacing w:after="0" w:line="259" w:lineRule="auto"/>
        <w:jc w:val="both"/>
      </w:pPr>
      <w:r>
        <w:rPr>
          <w:rFonts w:ascii="Roboto" w:eastAsia="Roboto" w:hAnsi="Roboto" w:cs="Roboto"/>
        </w:rPr>
        <w:t xml:space="preserve">A general </w:t>
      </w:r>
      <w:r>
        <w:rPr>
          <w:rFonts w:ascii="Roboto" w:eastAsia="Roboto" w:hAnsi="Roboto" w:cs="Roboto"/>
          <w:b/>
        </w:rPr>
        <w:t>lack of access to safe shelters</w:t>
      </w:r>
      <w:r>
        <w:rPr>
          <w:rFonts w:ascii="Roboto" w:eastAsia="Roboto" w:hAnsi="Roboto" w:cs="Roboto"/>
        </w:rPr>
        <w:t xml:space="preserve"> particularly for domestic violence cases. </w:t>
      </w:r>
    </w:p>
    <w:p w14:paraId="68AA0F51" w14:textId="77777777" w:rsidR="0034760B" w:rsidRDefault="0034760B">
      <w:pPr>
        <w:spacing w:after="0" w:line="259" w:lineRule="auto"/>
        <w:ind w:left="720"/>
        <w:jc w:val="both"/>
        <w:rPr>
          <w:rFonts w:ascii="Roboto" w:eastAsia="Roboto" w:hAnsi="Roboto" w:cs="Roboto"/>
        </w:rPr>
      </w:pPr>
    </w:p>
    <w:p w14:paraId="5F1A8CF6" w14:textId="77777777" w:rsidR="0034760B" w:rsidRDefault="00000000">
      <w:pPr>
        <w:numPr>
          <w:ilvl w:val="0"/>
          <w:numId w:val="3"/>
        </w:numPr>
        <w:spacing w:after="0" w:line="259" w:lineRule="auto"/>
        <w:jc w:val="both"/>
      </w:pPr>
      <w:r>
        <w:rPr>
          <w:rFonts w:ascii="Roboto" w:eastAsia="Roboto" w:hAnsi="Roboto" w:cs="Roboto"/>
        </w:rPr>
        <w:t xml:space="preserve">It is evident that current measures by the government remain inaccessible for refugee and asylum-seeking women. </w:t>
      </w:r>
      <w:r>
        <w:rPr>
          <w:rFonts w:ascii="Roboto" w:eastAsia="Roboto" w:hAnsi="Roboto" w:cs="Roboto"/>
          <w:b/>
        </w:rPr>
        <w:t>Lack of legal status exacerbates their vulnerability</w:t>
      </w:r>
      <w:r>
        <w:rPr>
          <w:rFonts w:ascii="Roboto" w:eastAsia="Roboto" w:hAnsi="Roboto" w:cs="Roboto"/>
        </w:rPr>
        <w:t xml:space="preserve"> </w:t>
      </w:r>
      <w:r>
        <w:rPr>
          <w:rFonts w:ascii="Roboto" w:eastAsia="Roboto" w:hAnsi="Roboto" w:cs="Roboto"/>
          <w:b/>
        </w:rPr>
        <w:t xml:space="preserve">to violence </w:t>
      </w:r>
      <w:r>
        <w:rPr>
          <w:rFonts w:ascii="Roboto" w:eastAsia="Roboto" w:hAnsi="Roboto" w:cs="Roboto"/>
        </w:rPr>
        <w:t xml:space="preserve">and is a major obstacle to victims being able to access justice and treatment. The barriers to accessing justice will remain without a comprehensive protection framework in place. </w:t>
      </w:r>
    </w:p>
    <w:p w14:paraId="189EA0D9" w14:textId="77777777" w:rsidR="0034760B" w:rsidRDefault="0034760B">
      <w:pPr>
        <w:spacing w:after="0" w:line="259" w:lineRule="auto"/>
        <w:ind w:left="720"/>
        <w:jc w:val="both"/>
        <w:rPr>
          <w:rFonts w:ascii="Roboto" w:eastAsia="Roboto" w:hAnsi="Roboto" w:cs="Roboto"/>
        </w:rPr>
      </w:pPr>
    </w:p>
    <w:tbl>
      <w:tblPr>
        <w:tblStyle w:val="a4"/>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34760B" w14:paraId="2B19D508" w14:textId="77777777">
        <w:trPr>
          <w:trHeight w:val="489"/>
        </w:trPr>
        <w:tc>
          <w:tcPr>
            <w:tcW w:w="8640" w:type="dxa"/>
            <w:tcBorders>
              <w:top w:val="single" w:sz="18" w:space="0" w:color="0563C1"/>
              <w:left w:val="single" w:sz="18" w:space="0" w:color="0563C1"/>
              <w:bottom w:val="single" w:sz="18" w:space="0" w:color="0563C1"/>
              <w:right w:val="single" w:sz="18" w:space="0" w:color="0563C1"/>
            </w:tcBorders>
            <w:shd w:val="clear" w:color="auto" w:fill="auto"/>
            <w:tcMar>
              <w:top w:w="100" w:type="dxa"/>
              <w:left w:w="100" w:type="dxa"/>
              <w:bottom w:w="100" w:type="dxa"/>
              <w:right w:w="100" w:type="dxa"/>
            </w:tcMar>
          </w:tcPr>
          <w:p w14:paraId="188D5264" w14:textId="77777777" w:rsidR="0034760B" w:rsidRDefault="00000000">
            <w:pPr>
              <w:spacing w:after="0" w:line="259" w:lineRule="auto"/>
              <w:jc w:val="both"/>
              <w:rPr>
                <w:rFonts w:ascii="Roboto" w:eastAsia="Roboto" w:hAnsi="Roboto" w:cs="Roboto"/>
                <w:b/>
              </w:rPr>
            </w:pPr>
            <w:r>
              <w:rPr>
                <w:rFonts w:ascii="Roboto" w:eastAsia="Roboto" w:hAnsi="Roboto" w:cs="Roboto"/>
                <w:b/>
              </w:rPr>
              <w:t>RECOMMENDATIONS</w:t>
            </w:r>
          </w:p>
          <w:p w14:paraId="009E8A98" w14:textId="77777777" w:rsidR="0034760B" w:rsidRDefault="0034760B">
            <w:pPr>
              <w:spacing w:after="0" w:line="259" w:lineRule="auto"/>
              <w:jc w:val="both"/>
              <w:rPr>
                <w:rFonts w:ascii="Roboto" w:eastAsia="Roboto" w:hAnsi="Roboto" w:cs="Roboto"/>
                <w:b/>
              </w:rPr>
            </w:pPr>
          </w:p>
          <w:p w14:paraId="5D37888A" w14:textId="77777777" w:rsidR="0034760B" w:rsidRDefault="00000000">
            <w:pPr>
              <w:numPr>
                <w:ilvl w:val="0"/>
                <w:numId w:val="2"/>
              </w:numPr>
              <w:spacing w:after="0"/>
              <w:jc w:val="both"/>
              <w:rPr>
                <w:rFonts w:ascii="Roboto" w:eastAsia="Roboto" w:hAnsi="Roboto" w:cs="Roboto"/>
              </w:rPr>
            </w:pPr>
            <w:r>
              <w:rPr>
                <w:rFonts w:ascii="Roboto" w:eastAsia="Roboto" w:hAnsi="Roboto" w:cs="Roboto"/>
              </w:rPr>
              <w:t>Remove barriers deterring asylum-seeking and refugee women from seeking access to justice and seeking treatment following incidents of SGBV, including by ensuring that they are provided legal status and access to legal aid.</w:t>
            </w:r>
          </w:p>
          <w:p w14:paraId="367DED20" w14:textId="77777777" w:rsidR="0034760B" w:rsidRDefault="0034760B">
            <w:pPr>
              <w:spacing w:after="0"/>
              <w:ind w:left="720"/>
              <w:jc w:val="both"/>
              <w:rPr>
                <w:rFonts w:ascii="Roboto" w:eastAsia="Roboto" w:hAnsi="Roboto" w:cs="Roboto"/>
              </w:rPr>
            </w:pPr>
          </w:p>
          <w:p w14:paraId="17FEC583" w14:textId="41C96111" w:rsidR="0034760B" w:rsidRDefault="00000000">
            <w:pPr>
              <w:numPr>
                <w:ilvl w:val="0"/>
                <w:numId w:val="2"/>
              </w:numPr>
              <w:spacing w:after="0"/>
              <w:jc w:val="both"/>
              <w:rPr>
                <w:rFonts w:ascii="Roboto" w:eastAsia="Roboto" w:hAnsi="Roboto" w:cs="Roboto"/>
              </w:rPr>
            </w:pPr>
            <w:r>
              <w:rPr>
                <w:rFonts w:ascii="Roboto" w:eastAsia="Roboto" w:hAnsi="Roboto" w:cs="Roboto"/>
              </w:rPr>
              <w:t xml:space="preserve">Put in place monitoring mechanisms to identify and record incidents of SGBV perpetrated </w:t>
            </w:r>
            <w:r w:rsidR="00B459A8">
              <w:rPr>
                <w:rFonts w:ascii="Roboto" w:eastAsia="Roboto" w:hAnsi="Roboto" w:cs="Roboto"/>
              </w:rPr>
              <w:t>specifically against</w:t>
            </w:r>
            <w:r>
              <w:rPr>
                <w:rFonts w:ascii="Roboto" w:eastAsia="Roboto" w:hAnsi="Roboto" w:cs="Roboto"/>
              </w:rPr>
              <w:t xml:space="preserve"> asylum-seeking and refugee women</w:t>
            </w:r>
          </w:p>
          <w:p w14:paraId="23EBE0BF" w14:textId="77777777" w:rsidR="0034760B" w:rsidRDefault="0034760B">
            <w:pPr>
              <w:widowControl w:val="0"/>
              <w:spacing w:after="0" w:line="240" w:lineRule="auto"/>
              <w:rPr>
                <w:rFonts w:ascii="Roboto" w:eastAsia="Roboto" w:hAnsi="Roboto" w:cs="Roboto"/>
              </w:rPr>
            </w:pPr>
          </w:p>
        </w:tc>
      </w:tr>
    </w:tbl>
    <w:p w14:paraId="190E5EFD" w14:textId="77777777" w:rsidR="0034760B" w:rsidRDefault="0034760B">
      <w:pPr>
        <w:spacing w:after="0" w:line="259" w:lineRule="auto"/>
        <w:ind w:left="720"/>
        <w:jc w:val="both"/>
        <w:rPr>
          <w:rFonts w:ascii="Roboto" w:eastAsia="Roboto" w:hAnsi="Roboto" w:cs="Roboto"/>
        </w:rPr>
      </w:pPr>
    </w:p>
    <w:p w14:paraId="575EC389" w14:textId="77777777" w:rsidR="0034760B" w:rsidRDefault="0034760B">
      <w:pPr>
        <w:spacing w:after="0"/>
        <w:jc w:val="both"/>
        <w:rPr>
          <w:rFonts w:ascii="Roboto" w:eastAsia="Roboto" w:hAnsi="Roboto" w:cs="Roboto"/>
        </w:rPr>
      </w:pPr>
    </w:p>
    <w:p w14:paraId="69803E60" w14:textId="77777777" w:rsidR="0034760B" w:rsidRDefault="0034760B">
      <w:pPr>
        <w:spacing w:after="0" w:line="259" w:lineRule="auto"/>
        <w:jc w:val="both"/>
        <w:rPr>
          <w:rFonts w:ascii="Roboto" w:eastAsia="Roboto" w:hAnsi="Roboto" w:cs="Roboto"/>
        </w:rPr>
      </w:pPr>
    </w:p>
    <w:p w14:paraId="77E5E062" w14:textId="77777777" w:rsidR="0034760B" w:rsidRDefault="0034760B">
      <w:pPr>
        <w:spacing w:after="0" w:line="259" w:lineRule="auto"/>
        <w:ind w:left="720"/>
        <w:jc w:val="both"/>
        <w:rPr>
          <w:rFonts w:ascii="Roboto" w:eastAsia="Roboto" w:hAnsi="Roboto" w:cs="Roboto"/>
        </w:rPr>
      </w:pPr>
    </w:p>
    <w:p w14:paraId="48DE04F0" w14:textId="77777777" w:rsidR="0034760B" w:rsidRDefault="0034760B">
      <w:pPr>
        <w:spacing w:after="0" w:line="259" w:lineRule="auto"/>
        <w:jc w:val="both"/>
        <w:rPr>
          <w:rFonts w:ascii="Roboto" w:eastAsia="Roboto" w:hAnsi="Roboto" w:cs="Roboto"/>
        </w:rPr>
      </w:pPr>
    </w:p>
    <w:p w14:paraId="0870566A" w14:textId="77777777" w:rsidR="0034760B" w:rsidRDefault="0034760B">
      <w:pPr>
        <w:spacing w:after="0"/>
        <w:jc w:val="both"/>
        <w:rPr>
          <w:rFonts w:ascii="Roboto" w:eastAsia="Roboto" w:hAnsi="Roboto" w:cs="Roboto"/>
        </w:rPr>
      </w:pPr>
    </w:p>
    <w:p w14:paraId="58AFD136" w14:textId="77777777" w:rsidR="0034760B" w:rsidRDefault="0034760B">
      <w:pPr>
        <w:spacing w:after="0"/>
        <w:ind w:left="720"/>
        <w:jc w:val="both"/>
        <w:rPr>
          <w:rFonts w:ascii="Roboto" w:eastAsia="Roboto" w:hAnsi="Roboto" w:cs="Roboto"/>
        </w:rPr>
      </w:pPr>
    </w:p>
    <w:p w14:paraId="6BF9E100" w14:textId="77777777" w:rsidR="0034760B" w:rsidRDefault="0034760B">
      <w:pPr>
        <w:spacing w:after="0"/>
        <w:ind w:left="720"/>
        <w:jc w:val="both"/>
      </w:pPr>
    </w:p>
    <w:sectPr w:rsidR="0034760B">
      <w:headerReference w:type="default" r:id="rId11"/>
      <w:footerReference w:type="default" r:id="rId12"/>
      <w:footerReference w:type="first" r:id="rId13"/>
      <w:pgSz w:w="12240" w:h="15840"/>
      <w:pgMar w:top="993" w:right="1440" w:bottom="1008"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A0DAD" w14:textId="77777777" w:rsidR="0036028B" w:rsidRDefault="0036028B">
      <w:pPr>
        <w:spacing w:after="0" w:line="240" w:lineRule="auto"/>
      </w:pPr>
      <w:r>
        <w:separator/>
      </w:r>
    </w:p>
  </w:endnote>
  <w:endnote w:type="continuationSeparator" w:id="0">
    <w:p w14:paraId="78F2E5AD" w14:textId="77777777" w:rsidR="0036028B" w:rsidRDefault="00360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8189B" w14:textId="77777777" w:rsidR="0034760B" w:rsidRDefault="0034760B">
    <w:pPr>
      <w:spacing w:after="0"/>
      <w:jc w:val="center"/>
      <w:rPr>
        <w:sz w:val="18"/>
        <w:szCs w:val="18"/>
      </w:rPr>
    </w:pPr>
  </w:p>
  <w:p w14:paraId="4414C8ED" w14:textId="77777777" w:rsidR="0034760B" w:rsidRDefault="00000000">
    <w:pPr>
      <w:spacing w:after="0"/>
      <w:jc w:val="center"/>
      <w:rPr>
        <w:b/>
        <w:sz w:val="18"/>
        <w:szCs w:val="18"/>
      </w:rPr>
    </w:pPr>
    <w:r>
      <w:rPr>
        <w:b/>
        <w:sz w:val="18"/>
        <w:szCs w:val="18"/>
      </w:rPr>
      <w:t xml:space="preserve">Page </w:t>
    </w:r>
    <w:r>
      <w:rPr>
        <w:b/>
        <w:sz w:val="18"/>
        <w:szCs w:val="18"/>
      </w:rPr>
      <w:fldChar w:fldCharType="begin"/>
    </w:r>
    <w:r>
      <w:rPr>
        <w:b/>
        <w:sz w:val="18"/>
        <w:szCs w:val="18"/>
      </w:rPr>
      <w:instrText>PAGE</w:instrText>
    </w:r>
    <w:r>
      <w:rPr>
        <w:b/>
        <w:sz w:val="18"/>
        <w:szCs w:val="18"/>
      </w:rPr>
      <w:fldChar w:fldCharType="separate"/>
    </w:r>
    <w:r w:rsidR="00BD128F">
      <w:rPr>
        <w:b/>
        <w:noProof/>
        <w:sz w:val="18"/>
        <w:szCs w:val="18"/>
      </w:rPr>
      <w:t>2</w:t>
    </w:r>
    <w:r>
      <w:rPr>
        <w:b/>
        <w:sz w:val="18"/>
        <w:szCs w:val="18"/>
      </w:rPr>
      <w:fldChar w:fldCharType="end"/>
    </w:r>
    <w:r>
      <w:rPr>
        <w:b/>
        <w:sz w:val="18"/>
        <w:szCs w:val="18"/>
      </w:rPr>
      <w:t xml:space="preserve"> of </w:t>
    </w:r>
    <w:r>
      <w:rPr>
        <w:b/>
        <w:sz w:val="18"/>
        <w:szCs w:val="18"/>
      </w:rPr>
      <w:fldChar w:fldCharType="begin"/>
    </w:r>
    <w:r>
      <w:rPr>
        <w:b/>
        <w:sz w:val="18"/>
        <w:szCs w:val="18"/>
      </w:rPr>
      <w:instrText>NUMPAGES</w:instrText>
    </w:r>
    <w:r>
      <w:rPr>
        <w:b/>
        <w:sz w:val="18"/>
        <w:szCs w:val="18"/>
      </w:rPr>
      <w:fldChar w:fldCharType="separate"/>
    </w:r>
    <w:r w:rsidR="00BD128F">
      <w:rPr>
        <w:b/>
        <w:noProof/>
        <w:sz w:val="18"/>
        <w:szCs w:val="18"/>
      </w:rPr>
      <w:t>3</w:t>
    </w:r>
    <w:r>
      <w:rPr>
        <w:b/>
        <w:sz w:val="18"/>
        <w:szCs w:val="18"/>
      </w:rPr>
      <w:fldChar w:fldCharType="end"/>
    </w:r>
  </w:p>
  <w:p w14:paraId="6C6D0509" w14:textId="77777777" w:rsidR="0034760B" w:rsidRDefault="0034760B">
    <w:pPr>
      <w:jc w:val="center"/>
      <w:rPr>
        <w:b/>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36FC5" w14:textId="77777777" w:rsidR="0034760B" w:rsidRDefault="003476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3912B" w14:textId="77777777" w:rsidR="0036028B" w:rsidRDefault="0036028B">
      <w:pPr>
        <w:spacing w:after="0" w:line="240" w:lineRule="auto"/>
      </w:pPr>
      <w:r>
        <w:separator/>
      </w:r>
    </w:p>
  </w:footnote>
  <w:footnote w:type="continuationSeparator" w:id="0">
    <w:p w14:paraId="401A9284" w14:textId="77777777" w:rsidR="0036028B" w:rsidRDefault="0036028B">
      <w:pPr>
        <w:spacing w:after="0" w:line="240" w:lineRule="auto"/>
      </w:pPr>
      <w:r>
        <w:continuationSeparator/>
      </w:r>
    </w:p>
  </w:footnote>
  <w:footnote w:id="1">
    <w:p w14:paraId="699431B8"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 Asylum Access Malaysia, Contribution to the List of Issues in relation to the List of Issues compiled by the Committee on the Elimination of Discrimination against Women, Info from Civil Society Organizations for LOI’s, 86th Session, 30 January 2023. (‘</w:t>
      </w:r>
      <w:r>
        <w:rPr>
          <w:b/>
          <w:sz w:val="18"/>
          <w:szCs w:val="18"/>
        </w:rPr>
        <w:t>AAM PSWG Submission’</w:t>
      </w:r>
      <w:r>
        <w:rPr>
          <w:sz w:val="18"/>
          <w:szCs w:val="18"/>
        </w:rPr>
        <w:t>)</w:t>
      </w:r>
    </w:p>
  </w:footnote>
  <w:footnote w:id="2">
    <w:p w14:paraId="75444991"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Committee on the Elimination of Discrimination against Women, List of issues and questions in relation to the sixth periodic report of Malaysia, 86th Session, 6 March 2023, CEDAW/C/MYS/Q/6 (‘</w:t>
      </w:r>
      <w:r>
        <w:rPr>
          <w:b/>
          <w:sz w:val="18"/>
          <w:szCs w:val="18"/>
        </w:rPr>
        <w:t>CEDAW LOI’s’</w:t>
      </w:r>
      <w:r>
        <w:rPr>
          <w:sz w:val="18"/>
          <w:szCs w:val="18"/>
        </w:rPr>
        <w:t>)</w:t>
      </w:r>
    </w:p>
  </w:footnote>
  <w:footnote w:id="3">
    <w:p w14:paraId="57C724D4"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 xml:space="preserve">Committee on the Elimination of </w:t>
      </w:r>
      <w:proofErr w:type="gramStart"/>
      <w:r>
        <w:rPr>
          <w:sz w:val="18"/>
          <w:szCs w:val="18"/>
        </w:rPr>
        <w:t>Discrimination  against</w:t>
      </w:r>
      <w:proofErr w:type="gramEnd"/>
      <w:r>
        <w:rPr>
          <w:sz w:val="18"/>
          <w:szCs w:val="18"/>
        </w:rPr>
        <w:t xml:space="preserve"> Women, Replies of Malaysia to the list of issues and questions in relation to its sixth periodic report, 86th Session, 1 November 2023, CEDAW/C/MYS/RQ/6 (</w:t>
      </w:r>
      <w:r>
        <w:rPr>
          <w:b/>
          <w:sz w:val="18"/>
          <w:szCs w:val="18"/>
        </w:rPr>
        <w:t>‘Malaysian Government RLOI’s</w:t>
      </w:r>
      <w:r>
        <w:rPr>
          <w:sz w:val="18"/>
          <w:szCs w:val="18"/>
        </w:rPr>
        <w:t>’)</w:t>
      </w:r>
    </w:p>
  </w:footnote>
  <w:footnote w:id="4">
    <w:p w14:paraId="0DDCBB40"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CEDAW LOI’s’</w:t>
      </w:r>
    </w:p>
  </w:footnote>
  <w:footnote w:id="5">
    <w:p w14:paraId="68083EBE"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‘Malaysian Government RLOI’s’</w:t>
      </w:r>
    </w:p>
  </w:footnote>
  <w:footnote w:id="6">
    <w:p w14:paraId="1F5BFD94" w14:textId="77777777" w:rsidR="0034760B" w:rsidRDefault="00000000">
      <w:pPr>
        <w:spacing w:after="0" w:line="240" w:lineRule="auto"/>
        <w:rPr>
          <w:i/>
          <w:sz w:val="18"/>
          <w:szCs w:val="18"/>
        </w:rPr>
      </w:pPr>
      <w:r>
        <w:rPr>
          <w:rStyle w:val="FootnoteReference"/>
        </w:rPr>
        <w:footnoteRef/>
      </w:r>
      <w:r>
        <w:rPr>
          <w:sz w:val="20"/>
          <w:szCs w:val="20"/>
        </w:rPr>
        <w:t xml:space="preserve"> </w:t>
      </w:r>
      <w:r>
        <w:rPr>
          <w:i/>
          <w:sz w:val="18"/>
          <w:szCs w:val="18"/>
        </w:rPr>
        <w:t>Ibid.</w:t>
      </w:r>
    </w:p>
  </w:footnote>
  <w:footnote w:id="7">
    <w:p w14:paraId="271BE897" w14:textId="77777777" w:rsidR="0034760B" w:rsidRDefault="00000000">
      <w:pPr>
        <w:spacing w:after="0" w:line="240" w:lineRule="auto"/>
        <w:rPr>
          <w:sz w:val="20"/>
          <w:szCs w:val="20"/>
        </w:rPr>
      </w:pPr>
      <w:r>
        <w:rPr>
          <w:rStyle w:val="FootnoteReference"/>
        </w:rPr>
        <w:footnoteRef/>
      </w:r>
      <w:r>
        <w:rPr>
          <w:sz w:val="20"/>
          <w:szCs w:val="20"/>
        </w:rPr>
        <w:t xml:space="preserve"> </w:t>
      </w:r>
      <w:hyperlink r:id="rId1">
        <w:r>
          <w:rPr>
            <w:color w:val="1155CC"/>
            <w:sz w:val="20"/>
            <w:szCs w:val="20"/>
            <w:u w:val="single"/>
          </w:rPr>
          <w:t>DASAR KESELAMATAN NEGARA 2021-2025 (mkn.gov.my)</w:t>
        </w:r>
      </w:hyperlink>
      <w:r>
        <w:rPr>
          <w:sz w:val="20"/>
          <w:szCs w:val="20"/>
        </w:rPr>
        <w:t xml:space="preserve"> at: https://asset.mkn.gov.my/web/wp-content/uploads/sites/3/2019/08/DASAR-KESELAMATAN-NEGARA-2021-2025-PDF.pdf</w:t>
      </w:r>
    </w:p>
  </w:footnote>
  <w:footnote w:id="8">
    <w:p w14:paraId="74B6A9D1"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AAM PSWG Submission’</w:t>
      </w:r>
    </w:p>
  </w:footnote>
  <w:footnote w:id="9">
    <w:p w14:paraId="1E9DA346"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House of Representatives, Oral Answers not answered in Parliament, 15th Parliament </w:t>
      </w:r>
      <w:proofErr w:type="gramStart"/>
      <w:r>
        <w:rPr>
          <w:sz w:val="18"/>
          <w:szCs w:val="18"/>
        </w:rPr>
        <w:t>session,  2</w:t>
      </w:r>
      <w:proofErr w:type="gramEnd"/>
      <w:r>
        <w:rPr>
          <w:sz w:val="18"/>
          <w:szCs w:val="18"/>
        </w:rPr>
        <w:t>nd Term, 3rd Meeting, 17 October 2023, Question 48. Available in Bahasa Malaysia at: https://www.parlimen.gov.my/jawapan-lisan-dr.html?uweb=dr&amp;arkib=yes</w:t>
      </w:r>
    </w:p>
  </w:footnote>
  <w:footnote w:id="10">
    <w:p w14:paraId="208D8115"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House of Representatives, Oral Answers not answered in Parliament, 15th Parliament session, 3rd Term, First Meeting, 27 March 2024, Question 13. Available in Bahasa Malaysia at: https://www.parlimen.gov.my/jawapan-lisan-dr.html?uweb=dr&amp;arkib=yes</w:t>
      </w:r>
    </w:p>
  </w:footnote>
  <w:footnote w:id="11">
    <w:p w14:paraId="6F9DD57F" w14:textId="77777777" w:rsidR="0034760B" w:rsidRDefault="00000000">
      <w:pPr>
        <w:spacing w:after="0" w:line="240" w:lineRule="auto"/>
        <w:rPr>
          <w:sz w:val="18"/>
          <w:szCs w:val="18"/>
        </w:rPr>
      </w:pPr>
      <w:r>
        <w:rPr>
          <w:rStyle w:val="FootnoteReference"/>
        </w:rPr>
        <w:footnoteRef/>
      </w:r>
      <w:r>
        <w:rPr>
          <w:sz w:val="18"/>
          <w:szCs w:val="18"/>
        </w:rPr>
        <w:t xml:space="preserve"> Immigration Act 1959/1963 (Act 155)</w:t>
      </w:r>
    </w:p>
  </w:footnote>
  <w:footnote w:id="12">
    <w:p w14:paraId="1514654C"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Asyraf, F., ‘No issue’ with UNHCR visiting immigration depots, says Saifuddin, Free Malaysia Today, 16 February 2024, Available at: https://www.freemalaysiatoday.com/category/nation/2024/02/16/no-issue-with-unhcr-visiting-immigration-depots-says-saifuddin/</w:t>
      </w:r>
    </w:p>
  </w:footnote>
  <w:footnote w:id="13">
    <w:p w14:paraId="4A7EC756" w14:textId="77777777" w:rsidR="0034760B" w:rsidRDefault="00000000">
      <w:pPr>
        <w:spacing w:after="0" w:line="240" w:lineRule="auto"/>
        <w:rPr>
          <w:sz w:val="18"/>
          <w:szCs w:val="18"/>
        </w:rPr>
      </w:pPr>
      <w:r>
        <w:rPr>
          <w:rStyle w:val="FootnoteReference"/>
        </w:rPr>
        <w:footnoteRef/>
      </w:r>
      <w:r>
        <w:rPr>
          <w:sz w:val="20"/>
          <w:szCs w:val="20"/>
        </w:rPr>
        <w:t xml:space="preserve"> </w:t>
      </w:r>
      <w:proofErr w:type="spellStart"/>
      <w:r>
        <w:rPr>
          <w:sz w:val="18"/>
          <w:szCs w:val="18"/>
        </w:rPr>
        <w:t>Nagotra</w:t>
      </w:r>
      <w:proofErr w:type="spellEnd"/>
      <w:r>
        <w:rPr>
          <w:sz w:val="18"/>
          <w:szCs w:val="18"/>
        </w:rPr>
        <w:t>, R., Still no access to immigration detention centres, says UNHCR, Malaysiakini, 08 Mac 2024, Available at: https://www.malaysiakini.com/news/698621</w:t>
      </w:r>
    </w:p>
  </w:footnote>
  <w:footnote w:id="14">
    <w:p w14:paraId="7CB206F4" w14:textId="77777777" w:rsidR="0034760B" w:rsidRDefault="00000000">
      <w:pPr>
        <w:spacing w:after="0" w:line="240" w:lineRule="auto"/>
        <w:rPr>
          <w:sz w:val="18"/>
          <w:szCs w:val="18"/>
        </w:rPr>
      </w:pPr>
      <w:r>
        <w:rPr>
          <w:rStyle w:val="FootnoteReference"/>
        </w:rPr>
        <w:footnoteRef/>
      </w:r>
      <w:r>
        <w:rPr>
          <w:sz w:val="18"/>
          <w:szCs w:val="18"/>
        </w:rPr>
        <w:t xml:space="preserve">Human Rights </w:t>
      </w:r>
      <w:proofErr w:type="gramStart"/>
      <w:r>
        <w:rPr>
          <w:sz w:val="18"/>
          <w:szCs w:val="18"/>
        </w:rPr>
        <w:t>Watch,  “</w:t>
      </w:r>
      <w:proofErr w:type="gramEnd"/>
      <w:r>
        <w:rPr>
          <w:sz w:val="18"/>
          <w:szCs w:val="18"/>
        </w:rPr>
        <w:t>We Can’t See the Sun”: Malaysia’s Arbitrary Detention of Migrants and Refugees, 5 March 2024, p. 24. Available at: https://www.hrw.org/report/2024/03/05/we-cant-see-sun/malaysias-arbitrary-detention-migrants-and-refugees (</w:t>
      </w:r>
      <w:r>
        <w:rPr>
          <w:b/>
          <w:sz w:val="18"/>
          <w:szCs w:val="18"/>
        </w:rPr>
        <w:t>‘HRW Report’</w:t>
      </w:r>
      <w:r>
        <w:rPr>
          <w:sz w:val="18"/>
          <w:szCs w:val="18"/>
        </w:rPr>
        <w:t>)</w:t>
      </w:r>
    </w:p>
  </w:footnote>
  <w:footnote w:id="15">
    <w:p w14:paraId="54C1C13D" w14:textId="77777777" w:rsidR="0034760B" w:rsidRDefault="00000000">
      <w:pPr>
        <w:spacing w:after="0" w:line="240" w:lineRule="auto"/>
        <w:rPr>
          <w:sz w:val="18"/>
          <w:szCs w:val="18"/>
        </w:rPr>
      </w:pPr>
      <w:r>
        <w:rPr>
          <w:rStyle w:val="FootnoteReference"/>
        </w:rPr>
        <w:footnoteRef/>
      </w:r>
      <w:r>
        <w:rPr>
          <w:sz w:val="18"/>
          <w:szCs w:val="18"/>
        </w:rPr>
        <w:t xml:space="preserve"> </w:t>
      </w:r>
      <w:r>
        <w:rPr>
          <w:i/>
          <w:sz w:val="18"/>
          <w:szCs w:val="18"/>
        </w:rPr>
        <w:t>Ibid,</w:t>
      </w:r>
      <w:r>
        <w:rPr>
          <w:sz w:val="18"/>
          <w:szCs w:val="18"/>
        </w:rPr>
        <w:t xml:space="preserve"> pp. 34-37</w:t>
      </w:r>
    </w:p>
  </w:footnote>
  <w:footnote w:id="16">
    <w:p w14:paraId="281F3214" w14:textId="77777777" w:rsidR="0034760B" w:rsidRDefault="00000000">
      <w:pPr>
        <w:spacing w:after="0" w:line="240" w:lineRule="auto"/>
        <w:rPr>
          <w:sz w:val="18"/>
          <w:szCs w:val="18"/>
        </w:rPr>
      </w:pPr>
      <w:r>
        <w:rPr>
          <w:rStyle w:val="FootnoteReference"/>
        </w:rPr>
        <w:footnoteRef/>
      </w:r>
      <w:r>
        <w:rPr>
          <w:sz w:val="18"/>
          <w:szCs w:val="18"/>
        </w:rPr>
        <w:t xml:space="preserve"> </w:t>
      </w:r>
      <w:r>
        <w:rPr>
          <w:i/>
          <w:sz w:val="18"/>
          <w:szCs w:val="18"/>
        </w:rPr>
        <w:t>Ibid,</w:t>
      </w:r>
      <w:r>
        <w:rPr>
          <w:sz w:val="18"/>
          <w:szCs w:val="18"/>
        </w:rPr>
        <w:t xml:space="preserve"> pp. 34-37</w:t>
      </w:r>
    </w:p>
  </w:footnote>
  <w:footnote w:id="17">
    <w:p w14:paraId="4FD0F8D7"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FMT Reporters, Baitul Mahabbah shelter another form of detention, says NGO, Free Malaysia Today, 4 September 2023, Available at: https://www.freemalaysiatoday.com/category/nation/2023/09/04/baitul-mahabbah-shelter-another-form-of-detention-says-ngo/</w:t>
      </w:r>
    </w:p>
  </w:footnote>
  <w:footnote w:id="18">
    <w:p w14:paraId="1EE72633"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HRW report’, p. 47</w:t>
      </w:r>
    </w:p>
  </w:footnote>
  <w:footnote w:id="19">
    <w:p w14:paraId="24B1410E" w14:textId="77777777" w:rsidR="0034760B" w:rsidRDefault="00000000">
      <w:pPr>
        <w:spacing w:after="0" w:line="240" w:lineRule="auto"/>
        <w:rPr>
          <w:sz w:val="16"/>
          <w:szCs w:val="16"/>
        </w:rPr>
      </w:pPr>
      <w:r>
        <w:rPr>
          <w:rStyle w:val="FootnoteReference"/>
        </w:rPr>
        <w:footnoteRef/>
      </w:r>
      <w:r>
        <w:rPr>
          <w:sz w:val="20"/>
          <w:szCs w:val="20"/>
        </w:rPr>
        <w:t xml:space="preserve"> </w:t>
      </w:r>
      <w:proofErr w:type="spellStart"/>
      <w:r>
        <w:rPr>
          <w:sz w:val="18"/>
          <w:szCs w:val="18"/>
        </w:rPr>
        <w:t>Hilmy</w:t>
      </w:r>
      <w:proofErr w:type="spellEnd"/>
      <w:r>
        <w:rPr>
          <w:sz w:val="18"/>
          <w:szCs w:val="18"/>
        </w:rPr>
        <w:t>, I., 12,380 illegal immigrants deported in first three months, The Star Online, 01 April 2024, Available at: https://www.thestar.com.my/news/nation/2023/04/01/12380-illegal-immigrants-deported-in-first-three-months</w:t>
      </w:r>
    </w:p>
  </w:footnote>
  <w:footnote w:id="20">
    <w:p w14:paraId="3F197759"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HRW report’, pp. 37-39</w:t>
      </w:r>
    </w:p>
  </w:footnote>
  <w:footnote w:id="21">
    <w:p w14:paraId="4F047330"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See AAM Annexure Submission</w:t>
      </w:r>
    </w:p>
  </w:footnote>
  <w:footnote w:id="22">
    <w:p w14:paraId="78C3DAD1" w14:textId="77777777" w:rsidR="0034760B" w:rsidRDefault="00000000">
      <w:pPr>
        <w:spacing w:after="0" w:line="240" w:lineRule="auto"/>
        <w:rPr>
          <w:sz w:val="18"/>
          <w:szCs w:val="18"/>
        </w:rPr>
      </w:pPr>
      <w:r>
        <w:rPr>
          <w:rStyle w:val="FootnoteReference"/>
        </w:rPr>
        <w:footnoteRef/>
      </w:r>
      <w:r>
        <w:rPr>
          <w:sz w:val="18"/>
          <w:szCs w:val="18"/>
        </w:rPr>
        <w:t xml:space="preserve"> Nambiar, P., No proof, home minister says on HRW abuse claims, Free Malaysia Today, 12 March 2024, Available at: https://www.freemalaysiatoday.com/category/nation/2024/03/12/no-proof-home-minister-says-on-hrw-abuse-claims/</w:t>
      </w:r>
    </w:p>
  </w:footnote>
  <w:footnote w:id="23">
    <w:p w14:paraId="0CAE70BA"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AAM internal trend observations from service requests and work rights programme between 2022-2024</w:t>
      </w:r>
    </w:p>
  </w:footnote>
  <w:footnote w:id="24">
    <w:p w14:paraId="1B273928" w14:textId="77777777" w:rsidR="0034760B" w:rsidRDefault="00000000">
      <w:pPr>
        <w:spacing w:after="0" w:line="240" w:lineRule="auto"/>
        <w:rPr>
          <w:sz w:val="20"/>
          <w:szCs w:val="20"/>
        </w:rPr>
      </w:pPr>
      <w:r>
        <w:rPr>
          <w:rStyle w:val="FootnoteReference"/>
        </w:rPr>
        <w:footnoteRef/>
      </w:r>
      <w:r>
        <w:rPr>
          <w:sz w:val="20"/>
          <w:szCs w:val="20"/>
        </w:rPr>
        <w:t xml:space="preserve"> on charges of working without a valid visa </w:t>
      </w:r>
    </w:p>
  </w:footnote>
  <w:footnote w:id="25">
    <w:p w14:paraId="4AC8861A"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AAM conducted a series of discussions with 98 refugee women between April-June 2023 in the Klang Valley. The consultations were led by refugee women representatives and advocates. (</w:t>
      </w:r>
      <w:r>
        <w:rPr>
          <w:b/>
          <w:sz w:val="18"/>
          <w:szCs w:val="18"/>
        </w:rPr>
        <w:t>‘AAM Consultations, 2023</w:t>
      </w:r>
      <w:r>
        <w:rPr>
          <w:sz w:val="18"/>
          <w:szCs w:val="18"/>
        </w:rPr>
        <w:t>’)</w:t>
      </w:r>
    </w:p>
  </w:footnote>
  <w:footnote w:id="26">
    <w:p w14:paraId="09CD73BB" w14:textId="77777777" w:rsidR="0034760B" w:rsidRDefault="00000000">
      <w:pPr>
        <w:spacing w:after="0" w:line="240" w:lineRule="auto"/>
        <w:rPr>
          <w:sz w:val="18"/>
          <w:szCs w:val="18"/>
        </w:rPr>
      </w:pPr>
      <w:r>
        <w:rPr>
          <w:rStyle w:val="FootnoteReference"/>
        </w:rPr>
        <w:footnoteRef/>
      </w:r>
      <w:r>
        <w:rPr>
          <w:sz w:val="20"/>
          <w:szCs w:val="20"/>
        </w:rPr>
        <w:t xml:space="preserve"> </w:t>
      </w:r>
      <w:r>
        <w:rPr>
          <w:sz w:val="18"/>
          <w:szCs w:val="18"/>
        </w:rPr>
        <w:t>‘AAM Consultations, 2023’; AAM Annexure Submission</w:t>
      </w:r>
    </w:p>
  </w:footnote>
  <w:footnote w:id="27">
    <w:p w14:paraId="29DD9012" w14:textId="77777777" w:rsidR="0034760B" w:rsidRDefault="00000000">
      <w:pPr>
        <w:spacing w:after="0" w:line="240" w:lineRule="auto"/>
        <w:rPr>
          <w:i/>
          <w:sz w:val="18"/>
          <w:szCs w:val="18"/>
        </w:rPr>
      </w:pPr>
      <w:r>
        <w:rPr>
          <w:rStyle w:val="FootnoteReference"/>
        </w:rPr>
        <w:footnoteRef/>
      </w:r>
      <w:r>
        <w:rPr>
          <w:sz w:val="20"/>
          <w:szCs w:val="20"/>
        </w:rPr>
        <w:t xml:space="preserve"> </w:t>
      </w:r>
      <w:r>
        <w:rPr>
          <w:i/>
          <w:sz w:val="18"/>
          <w:szCs w:val="18"/>
        </w:rPr>
        <w:t>Ibid.</w:t>
      </w:r>
    </w:p>
  </w:footnote>
  <w:footnote w:id="28">
    <w:p w14:paraId="33ECD2CA" w14:textId="77777777" w:rsidR="0034760B" w:rsidRDefault="00000000">
      <w:pPr>
        <w:spacing w:after="0" w:line="240" w:lineRule="auto"/>
        <w:rPr>
          <w:sz w:val="18"/>
          <w:szCs w:val="18"/>
        </w:rPr>
      </w:pPr>
      <w:r>
        <w:rPr>
          <w:rStyle w:val="FootnoteReference"/>
        </w:rPr>
        <w:footnoteRef/>
      </w:r>
      <w:r>
        <w:rPr>
          <w:sz w:val="20"/>
          <w:szCs w:val="20"/>
        </w:rPr>
        <w:t xml:space="preserve"> </w:t>
      </w:r>
      <w:r>
        <w:rPr>
          <w:i/>
          <w:sz w:val="18"/>
          <w:szCs w:val="18"/>
        </w:rPr>
        <w:t>Ibid.</w:t>
      </w:r>
    </w:p>
  </w:footnote>
  <w:footnote w:id="29">
    <w:p w14:paraId="1F5F5777" w14:textId="77777777" w:rsidR="0034760B" w:rsidRDefault="00000000">
      <w:pPr>
        <w:spacing w:after="0" w:line="240" w:lineRule="auto"/>
        <w:rPr>
          <w:sz w:val="18"/>
          <w:szCs w:val="18"/>
        </w:rPr>
      </w:pPr>
      <w:r>
        <w:rPr>
          <w:rStyle w:val="FootnoteReference"/>
        </w:rPr>
        <w:footnoteRef/>
      </w:r>
      <w:r>
        <w:rPr>
          <w:sz w:val="18"/>
          <w:szCs w:val="18"/>
        </w:rPr>
        <w:t xml:space="preserve"> See AAM Annexure Submission</w:t>
      </w:r>
    </w:p>
  </w:footnote>
  <w:footnote w:id="30">
    <w:p w14:paraId="27AB4008" w14:textId="77777777" w:rsidR="0034760B" w:rsidRDefault="00000000">
      <w:pPr>
        <w:tabs>
          <w:tab w:val="left" w:pos="426"/>
        </w:tabs>
        <w:spacing w:after="0" w:line="240" w:lineRule="auto"/>
        <w:jc w:val="both"/>
        <w:rPr>
          <w:sz w:val="18"/>
          <w:szCs w:val="18"/>
        </w:rPr>
      </w:pPr>
      <w:r>
        <w:rPr>
          <w:rStyle w:val="FootnoteReference"/>
        </w:rPr>
        <w:footnoteRef/>
      </w:r>
      <w:r>
        <w:rPr>
          <w:rFonts w:ascii="Arial" w:eastAsia="Arial" w:hAnsi="Arial" w:cs="Arial"/>
          <w:sz w:val="20"/>
          <w:szCs w:val="20"/>
        </w:rPr>
        <w:t xml:space="preserve"> </w:t>
      </w:r>
      <w:r>
        <w:rPr>
          <w:sz w:val="18"/>
          <w:szCs w:val="18"/>
        </w:rPr>
        <w:t xml:space="preserve">UNHCR, Education in Malaysia, available at </w:t>
      </w:r>
      <w:hyperlink r:id="rId2">
        <w:r>
          <w:rPr>
            <w:color w:val="0563C1"/>
            <w:sz w:val="18"/>
            <w:szCs w:val="18"/>
            <w:u w:val="single"/>
          </w:rPr>
          <w:t>http://www.unhcr.org/en-my/education-in-malaysia.html</w:t>
        </w:r>
      </w:hyperlink>
      <w:r>
        <w:rPr>
          <w:sz w:val="18"/>
          <w:szCs w:val="18"/>
        </w:rPr>
        <w:t xml:space="preserve">   </w:t>
      </w:r>
    </w:p>
  </w:footnote>
  <w:footnote w:id="31">
    <w:p w14:paraId="6FC4378A" w14:textId="77777777" w:rsidR="0034760B" w:rsidRDefault="00000000">
      <w:pPr>
        <w:tabs>
          <w:tab w:val="left" w:pos="426"/>
        </w:tabs>
        <w:spacing w:after="0" w:line="240" w:lineRule="auto"/>
        <w:jc w:val="both"/>
        <w:rPr>
          <w:i/>
          <w:sz w:val="18"/>
          <w:szCs w:val="18"/>
        </w:rPr>
      </w:pPr>
      <w:r>
        <w:rPr>
          <w:rStyle w:val="FootnoteReference"/>
        </w:rPr>
        <w:footnoteRef/>
      </w:r>
      <w:r>
        <w:rPr>
          <w:rFonts w:ascii="Arial" w:eastAsia="Arial" w:hAnsi="Arial" w:cs="Arial"/>
          <w:sz w:val="20"/>
          <w:szCs w:val="20"/>
        </w:rPr>
        <w:t xml:space="preserve"> </w:t>
      </w:r>
      <w:r>
        <w:rPr>
          <w:i/>
          <w:sz w:val="18"/>
          <w:szCs w:val="18"/>
        </w:rPr>
        <w:t>Ibid.</w:t>
      </w:r>
    </w:p>
  </w:footnote>
  <w:footnote w:id="32">
    <w:p w14:paraId="559391A8"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‘AAM Consultations, 2023’</w:t>
      </w:r>
    </w:p>
  </w:footnote>
  <w:footnote w:id="33">
    <w:p w14:paraId="1947C2DC" w14:textId="77777777" w:rsidR="0034760B" w:rsidRDefault="00000000">
      <w:pPr>
        <w:spacing w:after="0" w:line="240" w:lineRule="auto"/>
        <w:rPr>
          <w:sz w:val="18"/>
          <w:szCs w:val="18"/>
        </w:rPr>
      </w:pPr>
      <w:r>
        <w:rPr>
          <w:rStyle w:val="FootnoteReference"/>
        </w:rPr>
        <w:footnoteRef/>
      </w:r>
      <w:r>
        <w:rPr>
          <w:sz w:val="18"/>
          <w:szCs w:val="18"/>
        </w:rPr>
        <w:t xml:space="preserve"> ‘Malaysian Government RLOI’s’</w:t>
      </w:r>
    </w:p>
  </w:footnote>
  <w:footnote w:id="34">
    <w:p w14:paraId="710B29D1"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‘AAM Consultations, 2023’</w:t>
      </w:r>
    </w:p>
  </w:footnote>
  <w:footnote w:id="35">
    <w:p w14:paraId="54502418"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‘AAM Consultations, 2023’</w:t>
      </w:r>
    </w:p>
  </w:footnote>
  <w:footnote w:id="36">
    <w:p w14:paraId="21859F96"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‘Malaysian Government RLOI’s’, Para 97</w:t>
      </w:r>
    </w:p>
  </w:footnote>
  <w:footnote w:id="37">
    <w:p w14:paraId="1E48026E" w14:textId="77777777" w:rsidR="0034760B" w:rsidRDefault="00000000">
      <w:pPr>
        <w:spacing w:after="0" w:line="240" w:lineRule="auto"/>
        <w:rPr>
          <w:i/>
          <w:sz w:val="20"/>
          <w:szCs w:val="20"/>
        </w:rPr>
      </w:pPr>
      <w:r>
        <w:rPr>
          <w:rStyle w:val="FootnoteReference"/>
        </w:rPr>
        <w:footnoteRef/>
      </w:r>
      <w:r>
        <w:rPr>
          <w:sz w:val="20"/>
          <w:szCs w:val="20"/>
        </w:rPr>
        <w:t xml:space="preserve"> </w:t>
      </w:r>
      <w:r>
        <w:rPr>
          <w:i/>
          <w:sz w:val="18"/>
          <w:szCs w:val="18"/>
        </w:rPr>
        <w:t>Ibid.</w:t>
      </w:r>
    </w:p>
  </w:footnote>
  <w:footnote w:id="38">
    <w:p w14:paraId="4B91EDA2"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‘Malaysian Government RLOI’s’, Para 96</w:t>
      </w:r>
    </w:p>
  </w:footnote>
  <w:footnote w:id="39">
    <w:p w14:paraId="3856381E"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‘Malaysian Government RLOI’s’, Para 99</w:t>
      </w:r>
    </w:p>
  </w:footnote>
  <w:footnote w:id="40">
    <w:p w14:paraId="5EB3AFB0" w14:textId="77777777" w:rsidR="0034760B" w:rsidRDefault="00000000">
      <w:pPr>
        <w:spacing w:after="0" w:line="240" w:lineRule="auto"/>
        <w:rPr>
          <w:sz w:val="20"/>
          <w:szCs w:val="20"/>
        </w:rPr>
      </w:pPr>
      <w:r>
        <w:rPr>
          <w:rStyle w:val="FootnoteReference"/>
        </w:rPr>
        <w:footnoteRef/>
      </w:r>
      <w:r>
        <w:rPr>
          <w:sz w:val="18"/>
          <w:szCs w:val="18"/>
        </w:rPr>
        <w:t xml:space="preserve"> ‘AAM Consultations, 2023’</w:t>
      </w:r>
    </w:p>
  </w:footnote>
  <w:footnote w:id="41">
    <w:p w14:paraId="2E67D625" w14:textId="77777777" w:rsidR="0034760B" w:rsidRDefault="00000000">
      <w:pPr>
        <w:spacing w:after="0" w:line="240" w:lineRule="auto"/>
        <w:rPr>
          <w:sz w:val="18"/>
          <w:szCs w:val="18"/>
        </w:rPr>
      </w:pPr>
      <w:r>
        <w:rPr>
          <w:rStyle w:val="FootnoteReference"/>
        </w:rPr>
        <w:footnoteRef/>
      </w:r>
      <w:r>
        <w:rPr>
          <w:sz w:val="18"/>
          <w:szCs w:val="18"/>
        </w:rPr>
        <w:t xml:space="preserve"> ‘CEDAW LOI’s’, Para 5(d)</w:t>
      </w:r>
    </w:p>
  </w:footnote>
  <w:footnote w:id="42">
    <w:p w14:paraId="608F0FCC" w14:textId="77777777" w:rsidR="0034760B" w:rsidRDefault="00000000">
      <w:pPr>
        <w:spacing w:after="0" w:line="240" w:lineRule="auto"/>
        <w:rPr>
          <w:sz w:val="20"/>
          <w:szCs w:val="20"/>
        </w:rPr>
      </w:pPr>
      <w:r>
        <w:rPr>
          <w:rStyle w:val="FootnoteReference"/>
        </w:rPr>
        <w:footnoteRef/>
      </w:r>
      <w:r>
        <w:rPr>
          <w:sz w:val="20"/>
          <w:szCs w:val="20"/>
        </w:rPr>
        <w:t xml:space="preserve"> </w:t>
      </w:r>
      <w:r>
        <w:rPr>
          <w:sz w:val="18"/>
          <w:szCs w:val="18"/>
        </w:rPr>
        <w:t xml:space="preserve"> ‘AAM Consultations,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95E09" w14:textId="77777777" w:rsidR="0034760B" w:rsidRDefault="0034760B">
    <w:pPr>
      <w:pBdr>
        <w:top w:val="nil"/>
        <w:left w:val="nil"/>
        <w:bottom w:val="nil"/>
        <w:right w:val="nil"/>
        <w:between w:val="nil"/>
      </w:pBdr>
      <w:tabs>
        <w:tab w:val="center" w:pos="4680"/>
        <w:tab w:val="right" w:pos="9360"/>
      </w:tabs>
      <w:spacing w:after="0" w:line="240" w:lineRule="auto"/>
      <w:rPr>
        <w:color w:val="000000"/>
        <w:sz w:val="20"/>
        <w:szCs w:val="20"/>
      </w:rPr>
    </w:pPr>
  </w:p>
  <w:p w14:paraId="1469531E" w14:textId="77777777" w:rsidR="0034760B" w:rsidRDefault="0034760B">
    <w:pPr>
      <w:pBdr>
        <w:top w:val="nil"/>
        <w:left w:val="nil"/>
        <w:bottom w:val="nil"/>
        <w:right w:val="nil"/>
        <w:between w:val="nil"/>
      </w:pBdr>
      <w:tabs>
        <w:tab w:val="center" w:pos="4680"/>
        <w:tab w:val="right" w:pos="9360"/>
      </w:tabs>
      <w:spacing w:after="0" w:line="240"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C6B56"/>
    <w:multiLevelType w:val="multilevel"/>
    <w:tmpl w:val="37C61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2B62AF8"/>
    <w:multiLevelType w:val="multilevel"/>
    <w:tmpl w:val="5D10C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C9F35BD"/>
    <w:multiLevelType w:val="multilevel"/>
    <w:tmpl w:val="A68AAB5C"/>
    <w:lvl w:ilvl="0">
      <w:start w:val="1"/>
      <w:numFmt w:val="decimal"/>
      <w:lvlText w:val="%1."/>
      <w:lvlJc w:val="right"/>
      <w:pPr>
        <w:ind w:left="720" w:hanging="360"/>
      </w:pPr>
      <w:rPr>
        <w:rFonts w:ascii="Roboto" w:eastAsia="Roboto" w:hAnsi="Roboto" w:cs="Roboto"/>
        <w:b w:val="0"/>
        <w:u w:val="none"/>
      </w:rPr>
    </w:lvl>
    <w:lvl w:ilvl="1">
      <w:start w:val="1"/>
      <w:numFmt w:val="decimal"/>
      <w:lvlText w:val="%1.%2."/>
      <w:lvlJc w:val="right"/>
      <w:pPr>
        <w:ind w:left="1440" w:hanging="360"/>
      </w:pPr>
      <w:rPr>
        <w:rFonts w:ascii="Roboto" w:eastAsia="Roboto" w:hAnsi="Roboto" w:cs="Roboto"/>
        <w:b w:val="0"/>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2132549683">
    <w:abstractNumId w:val="1"/>
  </w:num>
  <w:num w:numId="2" w16cid:durableId="1819154586">
    <w:abstractNumId w:val="0"/>
  </w:num>
  <w:num w:numId="3" w16cid:durableId="432676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60B"/>
    <w:rsid w:val="002922C0"/>
    <w:rsid w:val="0034760B"/>
    <w:rsid w:val="0036028B"/>
    <w:rsid w:val="00B459A8"/>
    <w:rsid w:val="00BD128F"/>
    <w:rsid w:val="00CF5D32"/>
    <w:rsid w:val="00E15D1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5FB75D"/>
  <w15:docId w15:val="{1A5F8C75-0C15-4780-9A55-730BE9210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MY"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A2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semiHidden/>
    <w:unhideWhenUsed/>
    <w:rsid w:val="009A1B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1B79"/>
    <w:rPr>
      <w:lang w:val="en-GB"/>
    </w:rPr>
  </w:style>
  <w:style w:type="paragraph" w:styleId="ListParagraph">
    <w:name w:val="List Paragraph"/>
    <w:basedOn w:val="Normal"/>
    <w:uiPriority w:val="34"/>
    <w:qFormat/>
    <w:rsid w:val="009A1B79"/>
    <w:pPr>
      <w:pBdr>
        <w:top w:val="nil"/>
        <w:left w:val="nil"/>
        <w:bottom w:val="nil"/>
        <w:right w:val="nil"/>
        <w:between w:val="nil"/>
      </w:pBdr>
      <w:spacing w:after="160" w:line="259" w:lineRule="auto"/>
      <w:ind w:left="720"/>
      <w:contextualSpacing/>
      <w:jc w:val="both"/>
    </w:pPr>
    <w:rPr>
      <w:rFonts w:ascii="Arial" w:eastAsia="Arial" w:hAnsi="Arial" w:cs="Arial"/>
      <w:color w:val="000000"/>
      <w:lang w:eastAsia="en-GB"/>
    </w:rPr>
  </w:style>
  <w:style w:type="paragraph" w:styleId="FootnoteText">
    <w:name w:val="footnote text"/>
    <w:basedOn w:val="Normal"/>
    <w:link w:val="FootnoteTextChar"/>
    <w:uiPriority w:val="99"/>
    <w:unhideWhenUsed/>
    <w:rsid w:val="009A1B79"/>
    <w:pPr>
      <w:pBdr>
        <w:top w:val="nil"/>
        <w:left w:val="nil"/>
        <w:bottom w:val="nil"/>
        <w:right w:val="nil"/>
        <w:between w:val="nil"/>
      </w:pBdr>
      <w:spacing w:after="0" w:line="240" w:lineRule="auto"/>
      <w:jc w:val="both"/>
    </w:pPr>
    <w:rPr>
      <w:rFonts w:ascii="Arial" w:eastAsia="Arial" w:hAnsi="Arial" w:cs="Arial"/>
      <w:color w:val="000000"/>
      <w:sz w:val="20"/>
      <w:szCs w:val="20"/>
      <w:lang w:eastAsia="en-GB"/>
    </w:rPr>
  </w:style>
  <w:style w:type="character" w:customStyle="1" w:styleId="FootnoteTextChar">
    <w:name w:val="Footnote Text Char"/>
    <w:basedOn w:val="DefaultParagraphFont"/>
    <w:link w:val="FootnoteText"/>
    <w:uiPriority w:val="99"/>
    <w:rsid w:val="009A1B79"/>
    <w:rPr>
      <w:rFonts w:ascii="Arial" w:eastAsia="Arial" w:hAnsi="Arial" w:cs="Arial"/>
      <w:color w:val="000000"/>
      <w:sz w:val="20"/>
      <w:szCs w:val="20"/>
      <w:lang w:val="en-GB" w:eastAsia="en-GB"/>
    </w:rPr>
  </w:style>
  <w:style w:type="character" w:styleId="FootnoteReference">
    <w:name w:val="footnote reference"/>
    <w:basedOn w:val="DefaultParagraphFont"/>
    <w:uiPriority w:val="99"/>
    <w:semiHidden/>
    <w:unhideWhenUsed/>
    <w:rsid w:val="009A1B79"/>
    <w:rPr>
      <w:vertAlign w:val="superscript"/>
    </w:rPr>
  </w:style>
  <w:style w:type="character" w:customStyle="1" w:styleId="Hyperlink1">
    <w:name w:val="Hyperlink1"/>
    <w:basedOn w:val="DefaultParagraphFont"/>
    <w:uiPriority w:val="99"/>
    <w:unhideWhenUsed/>
    <w:rsid w:val="009A1B79"/>
    <w:rPr>
      <w:color w:val="0563C1"/>
      <w:u w:val="single"/>
    </w:rPr>
  </w:style>
  <w:style w:type="character" w:styleId="Hyperlink">
    <w:name w:val="Hyperlink"/>
    <w:basedOn w:val="DefaultParagraphFont"/>
    <w:uiPriority w:val="99"/>
    <w:unhideWhenUsed/>
    <w:rsid w:val="009A1B79"/>
    <w:rPr>
      <w:color w:val="0000FF" w:themeColor="hyperlink"/>
      <w:u w:val="single"/>
    </w:rPr>
  </w:style>
  <w:style w:type="paragraph" w:styleId="BalloonText">
    <w:name w:val="Balloon Text"/>
    <w:basedOn w:val="Normal"/>
    <w:link w:val="BalloonTextChar"/>
    <w:uiPriority w:val="99"/>
    <w:semiHidden/>
    <w:unhideWhenUsed/>
    <w:rsid w:val="009A1B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B79"/>
    <w:rPr>
      <w:rFonts w:ascii="Tahoma" w:hAnsi="Tahoma" w:cs="Tahoma"/>
      <w:sz w:val="16"/>
      <w:szCs w:val="16"/>
      <w:lang w:val="en-GB"/>
    </w:rPr>
  </w:style>
  <w:style w:type="paragraph" w:styleId="Footer">
    <w:name w:val="footer"/>
    <w:basedOn w:val="Normal"/>
    <w:link w:val="FooterChar"/>
    <w:uiPriority w:val="99"/>
    <w:semiHidden/>
    <w:unhideWhenUsed/>
    <w:rsid w:val="00B7203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72037"/>
    <w:rPr>
      <w:lang w:val="en-GB"/>
    </w:rPr>
  </w:style>
  <w:style w:type="character" w:styleId="UnresolvedMention">
    <w:name w:val="Unresolved Mention"/>
    <w:basedOn w:val="DefaultParagraphFont"/>
    <w:uiPriority w:val="99"/>
    <w:semiHidden/>
    <w:unhideWhenUsed/>
    <w:rsid w:val="00B6019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167A6C"/>
    <w:pPr>
      <w:spacing w:before="100" w:beforeAutospacing="1" w:after="100" w:afterAutospacing="1" w:line="240" w:lineRule="auto"/>
    </w:pPr>
    <w:rPr>
      <w:rFonts w:ascii="Times New Roman" w:eastAsia="Times New Roman" w:hAnsi="Times New Roman" w:cs="Times New Roman"/>
      <w:sz w:val="24"/>
      <w:szCs w:val="24"/>
      <w:lang w:val="en-MY"/>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sylumaccess.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unhcr.org/en-my/education-in-malaysia.html" TargetMode="External"/><Relationship Id="rId1" Type="http://schemas.openxmlformats.org/officeDocument/2006/relationships/hyperlink" Target="https://asset.mkn.gov.my/web/wp-content/uploads/sites/3/2019/08/DASAR-KESELAMATAN-NEGARA-2021-2025-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H/KWIeqX0xXN4nhb6DkWu8RhsA==">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</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C5BEBE-8514-404F-BEC7-A5B6AAA6005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51EFE324-0682-4E3D-9A7B-08CCE0FACF82}"/>
</file>

<file path=customXml/itemProps4.xml><?xml version="1.0" encoding="utf-8"?>
<ds:datastoreItem xmlns:ds="http://schemas.openxmlformats.org/officeDocument/2006/customXml" ds:itemID="{CA15AEA5-7EFD-4B2E-9D19-5DB763B76DA9}"/>
</file>

<file path=docProps/app.xml><?xml version="1.0" encoding="utf-8"?>
<Properties xmlns="http://schemas.openxmlformats.org/officeDocument/2006/extended-properties" xmlns:vt="http://schemas.openxmlformats.org/officeDocument/2006/docPropsVTypes">
  <Template>Normal</Template>
  <TotalTime>130</TotalTime>
  <Pages>11</Pages>
  <Words>3366</Words>
  <Characters>18956</Characters>
  <Application>Microsoft Office Word</Application>
  <DocSecurity>0</DocSecurity>
  <Lines>412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Jaipreet AAM</dc:creator>
  <cp:lastModifiedBy>Hui Ying Tham</cp:lastModifiedBy>
  <cp:revision>3</cp:revision>
  <dcterms:created xsi:type="dcterms:W3CDTF">2023-01-30T11:57:00Z</dcterms:created>
  <dcterms:modified xsi:type="dcterms:W3CDTF">2024-04-15T06:53:00Z</dcterms:modified>
</cp:coreProperties>
</file>