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70CE9" w14:textId="5BE6A007" w:rsidR="0071540E" w:rsidRDefault="00DF3F38" w:rsidP="00DF3F38">
      <w:pPr>
        <w:spacing w:after="0" w:line="240" w:lineRule="auto"/>
        <w:jc w:val="center"/>
        <w:rPr>
          <w:b/>
          <w:bCs/>
        </w:rPr>
      </w:pPr>
      <w:r w:rsidRPr="00455E3E">
        <w:rPr>
          <w:noProof/>
        </w:rPr>
        <w:drawing>
          <wp:inline distT="0" distB="0" distL="0" distR="0" wp14:anchorId="3996063C" wp14:editId="056F19B0">
            <wp:extent cx="1003300" cy="10033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6316" cy="1016316"/>
                    </a:xfrm>
                    <a:prstGeom prst="rect">
                      <a:avLst/>
                    </a:prstGeom>
                    <a:noFill/>
                    <a:ln>
                      <a:noFill/>
                    </a:ln>
                  </pic:spPr>
                </pic:pic>
              </a:graphicData>
            </a:graphic>
          </wp:inline>
        </w:drawing>
      </w:r>
    </w:p>
    <w:p w14:paraId="0339CFD4" w14:textId="77777777" w:rsidR="00DF3F38" w:rsidRDefault="00DF3F38" w:rsidP="0071540E">
      <w:pPr>
        <w:spacing w:after="0" w:line="240" w:lineRule="auto"/>
        <w:jc w:val="center"/>
        <w:rPr>
          <w:b/>
          <w:bCs/>
        </w:rPr>
      </w:pPr>
    </w:p>
    <w:p w14:paraId="4548F764" w14:textId="5EA88D19" w:rsidR="0071540E" w:rsidRPr="00455E3E" w:rsidRDefault="0071540E" w:rsidP="0071540E">
      <w:pPr>
        <w:spacing w:after="0" w:line="240" w:lineRule="auto"/>
        <w:jc w:val="center"/>
        <w:rPr>
          <w:b/>
          <w:bCs/>
        </w:rPr>
      </w:pPr>
      <w:r w:rsidRPr="00455E3E">
        <w:rPr>
          <w:b/>
          <w:bCs/>
        </w:rPr>
        <w:t xml:space="preserve">Human Rights Watch Submission </w:t>
      </w:r>
    </w:p>
    <w:p w14:paraId="1B478ACD" w14:textId="77777777" w:rsidR="0071540E" w:rsidRPr="00455E3E" w:rsidRDefault="0071540E" w:rsidP="0071540E">
      <w:pPr>
        <w:spacing w:after="0" w:line="240" w:lineRule="auto"/>
        <w:jc w:val="center"/>
        <w:rPr>
          <w:b/>
          <w:bCs/>
        </w:rPr>
      </w:pPr>
      <w:r w:rsidRPr="00455E3E">
        <w:rPr>
          <w:b/>
          <w:bCs/>
        </w:rPr>
        <w:t xml:space="preserve">to the United Nations </w:t>
      </w:r>
      <w:r>
        <w:rPr>
          <w:b/>
          <w:bCs/>
        </w:rPr>
        <w:t xml:space="preserve">Committee </w:t>
      </w:r>
      <w:r w:rsidRPr="00361325">
        <w:rPr>
          <w:b/>
          <w:bCs/>
        </w:rPr>
        <w:t xml:space="preserve">on </w:t>
      </w:r>
      <w:r>
        <w:rPr>
          <w:b/>
          <w:bCs/>
        </w:rPr>
        <w:t>the Rights of the Child</w:t>
      </w:r>
    </w:p>
    <w:p w14:paraId="22A49B4A" w14:textId="68910BEA" w:rsidR="0071540E" w:rsidRPr="00455E3E" w:rsidRDefault="0071540E" w:rsidP="00DF3F38">
      <w:pPr>
        <w:spacing w:after="0" w:line="240" w:lineRule="auto"/>
        <w:jc w:val="center"/>
        <w:rPr>
          <w:b/>
          <w:bCs/>
        </w:rPr>
      </w:pPr>
      <w:r>
        <w:rPr>
          <w:b/>
          <w:bCs/>
        </w:rPr>
        <w:t>Review</w:t>
      </w:r>
      <w:r w:rsidRPr="7B76960B">
        <w:rPr>
          <w:b/>
          <w:bCs/>
        </w:rPr>
        <w:t xml:space="preserve"> of </w:t>
      </w:r>
      <w:r w:rsidR="00DF3F38">
        <w:rPr>
          <w:b/>
          <w:bCs/>
        </w:rPr>
        <w:t>Indonesia</w:t>
      </w:r>
    </w:p>
    <w:p w14:paraId="1FE61DEE" w14:textId="77777777" w:rsidR="0071540E" w:rsidRPr="00455E3E" w:rsidRDefault="0071540E" w:rsidP="0071540E">
      <w:pPr>
        <w:spacing w:after="0" w:line="240" w:lineRule="auto"/>
        <w:jc w:val="center"/>
        <w:rPr>
          <w:rFonts w:cstheme="minorHAnsi"/>
          <w:b/>
          <w:bCs/>
        </w:rPr>
      </w:pPr>
      <w:r>
        <w:rPr>
          <w:rFonts w:cstheme="minorHAnsi"/>
          <w:b/>
          <w:bCs/>
        </w:rPr>
        <w:t>98th</w:t>
      </w:r>
      <w:r w:rsidRPr="00455E3E">
        <w:rPr>
          <w:rFonts w:cstheme="minorHAnsi"/>
          <w:b/>
          <w:bCs/>
        </w:rPr>
        <w:t xml:space="preserve"> </w:t>
      </w:r>
      <w:r>
        <w:rPr>
          <w:rFonts w:cstheme="minorHAnsi"/>
          <w:b/>
          <w:bCs/>
        </w:rPr>
        <w:t>Pre-</w:t>
      </w:r>
      <w:r w:rsidRPr="00455E3E">
        <w:rPr>
          <w:rFonts w:cstheme="minorHAnsi"/>
          <w:b/>
          <w:bCs/>
        </w:rPr>
        <w:t>Session</w:t>
      </w:r>
      <w:r>
        <w:rPr>
          <w:rFonts w:cstheme="minorHAnsi"/>
          <w:b/>
          <w:bCs/>
        </w:rPr>
        <w:t>al Working Group</w:t>
      </w:r>
    </w:p>
    <w:p w14:paraId="5A170834" w14:textId="77777777" w:rsidR="0071540E" w:rsidRPr="00455E3E" w:rsidRDefault="0071540E" w:rsidP="0071540E">
      <w:pPr>
        <w:spacing w:after="0" w:line="240" w:lineRule="auto"/>
        <w:jc w:val="center"/>
        <w:rPr>
          <w:rFonts w:cstheme="minorHAnsi"/>
          <w:b/>
          <w:bCs/>
          <w:i/>
          <w:iCs/>
        </w:rPr>
      </w:pPr>
      <w:r>
        <w:rPr>
          <w:rFonts w:cstheme="minorHAnsi"/>
          <w:b/>
          <w:bCs/>
          <w:i/>
          <w:iCs/>
        </w:rPr>
        <w:t xml:space="preserve">March </w:t>
      </w:r>
      <w:r w:rsidRPr="00455E3E">
        <w:rPr>
          <w:rFonts w:cstheme="minorHAnsi"/>
          <w:b/>
          <w:bCs/>
          <w:i/>
          <w:iCs/>
        </w:rPr>
        <w:t>202</w:t>
      </w:r>
      <w:r>
        <w:rPr>
          <w:rFonts w:cstheme="minorHAnsi"/>
          <w:b/>
          <w:bCs/>
          <w:i/>
          <w:iCs/>
        </w:rPr>
        <w:t>4</w:t>
      </w:r>
    </w:p>
    <w:p w14:paraId="40A29D70" w14:textId="77777777" w:rsidR="0071540E" w:rsidRDefault="0071540E" w:rsidP="0071540E">
      <w:pPr>
        <w:spacing w:after="0"/>
      </w:pPr>
    </w:p>
    <w:p w14:paraId="0E8B414C" w14:textId="3CE4102D" w:rsidR="00CB15C2" w:rsidRDefault="0071540E" w:rsidP="00D22E31">
      <w:pPr>
        <w:spacing w:after="0"/>
      </w:pPr>
      <w:r w:rsidRPr="00455E3E">
        <w:t xml:space="preserve">We write in advance of the </w:t>
      </w:r>
      <w:r>
        <w:t>98th pre-s</w:t>
      </w:r>
      <w:r w:rsidRPr="00455E3E">
        <w:t xml:space="preserve">ession of the </w:t>
      </w:r>
      <w:r>
        <w:t>C</w:t>
      </w:r>
      <w:r w:rsidRPr="00361325">
        <w:t xml:space="preserve">ommittee on </w:t>
      </w:r>
      <w:r>
        <w:t xml:space="preserve">the Rights of the Child </w:t>
      </w:r>
      <w:r w:rsidRPr="00455E3E">
        <w:t>(“the Committee</w:t>
      </w:r>
      <w:r>
        <w:t xml:space="preserve">”) and its review of </w:t>
      </w:r>
      <w:r w:rsidR="00DF3F38">
        <w:t>Indonesia</w:t>
      </w:r>
      <w:r w:rsidRPr="00361325">
        <w:t>.</w:t>
      </w:r>
      <w:r w:rsidRPr="00455E3E">
        <w:t xml:space="preserve"> This submission </w:t>
      </w:r>
      <w:r>
        <w:t xml:space="preserve">focuses </w:t>
      </w:r>
      <w:r w:rsidRPr="00455E3E">
        <w:t>on</w:t>
      </w:r>
      <w:r w:rsidR="00581825">
        <w:t xml:space="preserve"> </w:t>
      </w:r>
      <w:r w:rsidR="003958D6">
        <w:t xml:space="preserve">mandatory hijab regulations, </w:t>
      </w:r>
      <w:r w:rsidR="00476F70">
        <w:t xml:space="preserve">Indonesia’s new criminal code, </w:t>
      </w:r>
      <w:r w:rsidR="003958D6">
        <w:t>the right to education,</w:t>
      </w:r>
      <w:r w:rsidR="00122735">
        <w:t xml:space="preserve"> and </w:t>
      </w:r>
      <w:r w:rsidR="00A747E6">
        <w:t>the rights of children with disabilities.</w:t>
      </w:r>
    </w:p>
    <w:p w14:paraId="613BD5BF" w14:textId="77777777" w:rsidR="00D22E31" w:rsidRDefault="00D22E31" w:rsidP="00D22E31">
      <w:pPr>
        <w:spacing w:after="0"/>
      </w:pPr>
    </w:p>
    <w:p w14:paraId="3B44B4A9" w14:textId="346237D4" w:rsidR="002346B5" w:rsidRPr="00A447E5" w:rsidRDefault="002346B5" w:rsidP="002346B5">
      <w:pPr>
        <w:spacing w:after="0"/>
        <w:rPr>
          <w:b/>
          <w:bCs/>
        </w:rPr>
      </w:pPr>
      <w:r w:rsidRPr="00426322">
        <w:rPr>
          <w:b/>
          <w:bCs/>
        </w:rPr>
        <w:t>Mandatory Hijab Regulations (articles</w:t>
      </w:r>
      <w:r>
        <w:rPr>
          <w:b/>
          <w:bCs/>
        </w:rPr>
        <w:t xml:space="preserve"> </w:t>
      </w:r>
      <w:r w:rsidR="00067246">
        <w:rPr>
          <w:b/>
          <w:bCs/>
        </w:rPr>
        <w:t xml:space="preserve">2, </w:t>
      </w:r>
      <w:r w:rsidR="004E2386">
        <w:rPr>
          <w:b/>
          <w:bCs/>
        </w:rPr>
        <w:t xml:space="preserve">14, </w:t>
      </w:r>
      <w:r w:rsidR="00F540A2">
        <w:rPr>
          <w:b/>
          <w:bCs/>
        </w:rPr>
        <w:t xml:space="preserve">16, </w:t>
      </w:r>
      <w:r w:rsidR="00E127F3">
        <w:rPr>
          <w:b/>
          <w:bCs/>
        </w:rPr>
        <w:t xml:space="preserve">24, and </w:t>
      </w:r>
      <w:r w:rsidR="00D34599">
        <w:rPr>
          <w:b/>
          <w:bCs/>
        </w:rPr>
        <w:t>28</w:t>
      </w:r>
      <w:r w:rsidRPr="00426322">
        <w:rPr>
          <w:b/>
          <w:bCs/>
        </w:rPr>
        <w:t>)</w:t>
      </w:r>
    </w:p>
    <w:p w14:paraId="55D39940" w14:textId="77777777" w:rsidR="002346B5" w:rsidRPr="00207F33" w:rsidRDefault="002346B5" w:rsidP="002346B5">
      <w:pPr>
        <w:spacing w:after="0"/>
      </w:pPr>
      <w:r w:rsidRPr="00207F33">
        <w:t xml:space="preserve">Since first being introduced in West Sumatra in 2001, Indonesia has imposed 120 local mandatory hijab regulations, compelling millions of girls and women to wear the jilbab, or hijab, the female headdress covering the hair, neck, and chest. It is usually required in combination with a long skirt and a long-sleeved shirt. The </w:t>
      </w:r>
      <w:r>
        <w:t xml:space="preserve">National Commission on Violence Against Women </w:t>
      </w:r>
      <w:r w:rsidRPr="00207F33">
        <w:t xml:space="preserve">reported that 73 such regulations were still in force </w:t>
      </w:r>
      <w:r>
        <w:t>as of</w:t>
      </w:r>
      <w:r w:rsidRPr="00207F33">
        <w:t xml:space="preserve"> August 2023.</w:t>
      </w:r>
      <w:r w:rsidRPr="008A1D00">
        <w:rPr>
          <w:rStyle w:val="FootnoteReference"/>
        </w:rPr>
        <w:t xml:space="preserve"> </w:t>
      </w:r>
      <w:r w:rsidRPr="00CA26BF">
        <w:rPr>
          <w:rStyle w:val="FootnoteReference"/>
        </w:rPr>
        <w:footnoteReference w:id="2"/>
      </w:r>
      <w:r w:rsidRPr="00207F33">
        <w:t xml:space="preserve"> Sanctions </w:t>
      </w:r>
      <w:r>
        <w:t xml:space="preserve">include </w:t>
      </w:r>
      <w:r w:rsidRPr="00207F33">
        <w:t>verbal warnings, expulsion from school or work</w:t>
      </w:r>
      <w:r>
        <w:t>,</w:t>
      </w:r>
      <w:r w:rsidRPr="00207F33">
        <w:t xml:space="preserve"> </w:t>
      </w:r>
      <w:r>
        <w:t xml:space="preserve">and </w:t>
      </w:r>
      <w:r w:rsidRPr="00207F33">
        <w:t>jail terms of up to three months.</w:t>
      </w:r>
    </w:p>
    <w:p w14:paraId="31AB0EA2" w14:textId="77777777" w:rsidR="002346B5" w:rsidRPr="00207F33" w:rsidRDefault="002346B5" w:rsidP="002346B5">
      <w:pPr>
        <w:spacing w:after="0"/>
      </w:pPr>
    </w:p>
    <w:p w14:paraId="0A5D234A" w14:textId="392345A5" w:rsidR="002346B5" w:rsidRDefault="002346B5" w:rsidP="005101AF">
      <w:pPr>
        <w:spacing w:after="0"/>
      </w:pPr>
      <w:r w:rsidRPr="00207F33">
        <w:t xml:space="preserve">In 2021, Human Rights Watch documented widespread bullying of girls and women to </w:t>
      </w:r>
      <w:r>
        <w:t>pressure</w:t>
      </w:r>
      <w:r w:rsidRPr="00207F33">
        <w:t xml:space="preserve"> them to wear the jilbab, as well as the deep psychological distress such bullying causes.</w:t>
      </w:r>
      <w:r w:rsidRPr="00CA26BF">
        <w:rPr>
          <w:rStyle w:val="FootnoteReference"/>
        </w:rPr>
        <w:footnoteReference w:id="3"/>
      </w:r>
      <w:r w:rsidRPr="00207F33">
        <w:t xml:space="preserve"> In at least 24 provinces, girls who did not comply were forced to leave school or withdrew under pressure.</w:t>
      </w:r>
      <w:r w:rsidRPr="00CA26BF">
        <w:rPr>
          <w:rStyle w:val="FootnoteReference"/>
        </w:rPr>
        <w:footnoteReference w:id="4"/>
      </w:r>
      <w:r>
        <w:t xml:space="preserve"> </w:t>
      </w:r>
      <w:r w:rsidRPr="00207F33">
        <w:t xml:space="preserve">Bullying and intimidation to wear the jilbab also takes place on social media. Human Rights Watch documented intimidating and threatening messages, including death threats and threats of violence, conveyed to girls via Facebook and WhatsApp. </w:t>
      </w:r>
    </w:p>
    <w:p w14:paraId="321F7778" w14:textId="77777777" w:rsidR="002346B5" w:rsidRPr="00207F33" w:rsidRDefault="002346B5" w:rsidP="002346B5">
      <w:pPr>
        <w:spacing w:after="0"/>
      </w:pPr>
    </w:p>
    <w:p w14:paraId="6667708A" w14:textId="582F463C" w:rsidR="002346B5" w:rsidRDefault="002346B5" w:rsidP="005A7325">
      <w:pPr>
        <w:spacing w:after="0"/>
      </w:pPr>
      <w:r w:rsidRPr="00207F33">
        <w:lastRenderedPageBreak/>
        <w:t>By July 2022, nearly 150,000 schools in Indonesia’s 24 Muslim-majority provinces enforced mandatory jilbab rules, based on both local and national regulations. In some conservative Muslim areas such as Aceh and West Sumatra, even non-Muslim girls have also been forced to wear the jilbab.</w:t>
      </w:r>
      <w:r w:rsidRPr="00CA26BF">
        <w:rPr>
          <w:rStyle w:val="FootnoteReference"/>
        </w:rPr>
        <w:footnoteReference w:id="5"/>
      </w:r>
    </w:p>
    <w:p w14:paraId="0D15380A" w14:textId="77777777" w:rsidR="005A7325" w:rsidRPr="00207F33" w:rsidRDefault="005A7325" w:rsidP="005A7325">
      <w:pPr>
        <w:spacing w:after="0"/>
      </w:pPr>
    </w:p>
    <w:p w14:paraId="47ACC1F8" w14:textId="4D2AF2C5" w:rsidR="002346B5" w:rsidRDefault="002346B5" w:rsidP="001E62A9">
      <w:pPr>
        <w:spacing w:after="0"/>
      </w:pPr>
      <w:r w:rsidRPr="00207F33">
        <w:t>In June 2014, then</w:t>
      </w:r>
      <w:r>
        <w:t>-</w:t>
      </w:r>
      <w:r w:rsidRPr="00207F33">
        <w:t>Education Minister Mohammad Nuh issued an ambiguously worded regulation that implied all female Muslim students from grades 1 to 12 (roughly age</w:t>
      </w:r>
      <w:r>
        <w:t>s</w:t>
      </w:r>
      <w:r w:rsidRPr="00207F33">
        <w:t xml:space="preserve"> </w:t>
      </w:r>
      <w:r>
        <w:t>6</w:t>
      </w:r>
      <w:r w:rsidRPr="00207F33">
        <w:t xml:space="preserve"> to </w:t>
      </w:r>
      <w:r>
        <w:t>18</w:t>
      </w:r>
      <w:r w:rsidRPr="00207F33">
        <w:t>) must wear a jilbab as part of their state school uniform.</w:t>
      </w:r>
      <w:r w:rsidRPr="00CA26BF">
        <w:rPr>
          <w:rStyle w:val="FootnoteReference"/>
        </w:rPr>
        <w:footnoteReference w:id="6"/>
      </w:r>
      <w:r w:rsidRPr="00207F33">
        <w:t xml:space="preserve"> In February 2021, Education and Culture Minister </w:t>
      </w:r>
      <w:proofErr w:type="spellStart"/>
      <w:r w:rsidRPr="00207F33">
        <w:t>Nadiem</w:t>
      </w:r>
      <w:proofErr w:type="spellEnd"/>
      <w:r w:rsidRPr="00207F33">
        <w:t xml:space="preserve"> Makarim, Home Affairs Minister Tito </w:t>
      </w:r>
      <w:proofErr w:type="spellStart"/>
      <w:r w:rsidRPr="00207F33">
        <w:t>Karnavian</w:t>
      </w:r>
      <w:proofErr w:type="spellEnd"/>
      <w:r w:rsidRPr="00207F33">
        <w:t xml:space="preserve">, and Religious Affairs Minister </w:t>
      </w:r>
      <w:proofErr w:type="spellStart"/>
      <w:r w:rsidRPr="00207F33">
        <w:t>Yaqut</w:t>
      </w:r>
      <w:proofErr w:type="spellEnd"/>
      <w:r w:rsidRPr="00207F33">
        <w:t xml:space="preserve"> </w:t>
      </w:r>
      <w:proofErr w:type="spellStart"/>
      <w:r w:rsidRPr="00207F33">
        <w:t>Cholil</w:t>
      </w:r>
      <w:proofErr w:type="spellEnd"/>
      <w:r w:rsidRPr="00207F33">
        <w:t xml:space="preserve"> </w:t>
      </w:r>
      <w:proofErr w:type="spellStart"/>
      <w:r w:rsidRPr="00207F33">
        <w:t>Qoumas</w:t>
      </w:r>
      <w:proofErr w:type="spellEnd"/>
      <w:r w:rsidRPr="00207F33">
        <w:t xml:space="preserve"> formally issued a decree that allows any student or teacher to choose what to wear in school with or without “religious attributes.” The decree ordered local governments and school principals and administrations to abandon regulations requiring a jilbab in state schools.</w:t>
      </w:r>
      <w:r w:rsidRPr="00CA26BF">
        <w:rPr>
          <w:rStyle w:val="FootnoteReference"/>
        </w:rPr>
        <w:footnoteReference w:id="7"/>
      </w:r>
    </w:p>
    <w:p w14:paraId="1DF14176" w14:textId="77777777" w:rsidR="001E62A9" w:rsidRPr="00207F33" w:rsidRDefault="001E62A9" w:rsidP="001E62A9">
      <w:pPr>
        <w:spacing w:after="0"/>
      </w:pPr>
    </w:p>
    <w:p w14:paraId="499A316B" w14:textId="4B69203C" w:rsidR="002346B5" w:rsidRDefault="002346B5" w:rsidP="00FE6E6A">
      <w:pPr>
        <w:spacing w:after="0"/>
      </w:pPr>
      <w:r w:rsidRPr="00207F33">
        <w:t>In May 2021, Indonesia’s Supreme Court canceled the new regulation. The panel of three judges ruled that the regulation violated four national laws, and children have no right to choose their clothes.</w:t>
      </w:r>
      <w:r w:rsidRPr="00CA26BF">
        <w:rPr>
          <w:rStyle w:val="FootnoteReference"/>
        </w:rPr>
        <w:footnoteReference w:id="8"/>
      </w:r>
      <w:r w:rsidRPr="00207F33">
        <w:t xml:space="preserve"> In response</w:t>
      </w:r>
      <w:r>
        <w:t>,</w:t>
      </w:r>
      <w:r w:rsidRPr="00207F33">
        <w:t xml:space="preserve"> </w:t>
      </w:r>
      <w:r>
        <w:t>m</w:t>
      </w:r>
      <w:r w:rsidRPr="00207F33">
        <w:t>ore than 800 public figures signed a petition condemning the Supreme Court’s decision and asked the Judiciary Commission to review it, saying the regulation was unconstitutional and discriminatory. In June 2021, the Judiciary Commission rejected the petition on a technicality.</w:t>
      </w:r>
      <w:r w:rsidRPr="6CB0416C">
        <w:rPr>
          <w:rStyle w:val="FootnoteReference"/>
        </w:rPr>
        <w:footnoteReference w:id="9"/>
      </w:r>
    </w:p>
    <w:p w14:paraId="3B66A60C" w14:textId="77777777" w:rsidR="002346B5" w:rsidRDefault="002346B5" w:rsidP="002346B5">
      <w:pPr>
        <w:spacing w:after="0"/>
      </w:pPr>
    </w:p>
    <w:p w14:paraId="5E7C84E0" w14:textId="3FC35295" w:rsidR="002346B5" w:rsidRDefault="002346B5" w:rsidP="00312FCA">
      <w:pPr>
        <w:spacing w:after="0"/>
      </w:pPr>
      <w:r>
        <w:t xml:space="preserve">In a bid to overcome the Supreme Court ban, in September 2022, </w:t>
      </w:r>
      <w:r w:rsidR="006A386E">
        <w:t>the education minister</w:t>
      </w:r>
      <w:r>
        <w:t xml:space="preserve"> issued a new regulation on state school uniforms, decreeing that schools should not mandate girls “to wear a certain uniform.” It also requires that local governments adhere to this national regulation. </w:t>
      </w:r>
      <w:r>
        <w:lastRenderedPageBreak/>
        <w:t>However, the new regulation did not require local governments to revoke their respective mandatory hijab rules, which the previous (now cancelled) decree required.</w:t>
      </w:r>
      <w:r w:rsidRPr="34916D99">
        <w:rPr>
          <w:rStyle w:val="FootnoteReference"/>
        </w:rPr>
        <w:footnoteReference w:id="10"/>
      </w:r>
    </w:p>
    <w:p w14:paraId="1FE06A0A" w14:textId="77777777" w:rsidR="00312FCA" w:rsidRPr="00207F33" w:rsidRDefault="00312FCA" w:rsidP="00312FCA">
      <w:pPr>
        <w:spacing w:after="0"/>
      </w:pPr>
    </w:p>
    <w:p w14:paraId="33B73D2C" w14:textId="77777777" w:rsidR="002346B5" w:rsidRPr="00D55C00" w:rsidRDefault="002346B5" w:rsidP="00D55C00">
      <w:pPr>
        <w:spacing w:after="0"/>
        <w:rPr>
          <w:i/>
          <w:iCs/>
        </w:rPr>
      </w:pPr>
      <w:r w:rsidRPr="00D55C00">
        <w:rPr>
          <w:i/>
          <w:iCs/>
        </w:rPr>
        <w:t>Human Rights Watch recommends that the Committee call on the government of Indonesia to:</w:t>
      </w:r>
    </w:p>
    <w:p w14:paraId="17B27E34" w14:textId="77777777" w:rsidR="002346B5" w:rsidRPr="00207F33" w:rsidRDefault="002346B5" w:rsidP="002346B5">
      <w:pPr>
        <w:pStyle w:val="ListParagraph"/>
        <w:numPr>
          <w:ilvl w:val="0"/>
          <w:numId w:val="3"/>
        </w:numPr>
        <w:spacing w:after="0"/>
      </w:pPr>
      <w:r w:rsidRPr="00207F33">
        <w:t>Issue a public policy statement that all national and local ordinances and regulations requiring the jilbab and other female clothing are discriminatory, should not be enforced, and should be repealed.</w:t>
      </w:r>
    </w:p>
    <w:p w14:paraId="35A053BA" w14:textId="10001BE8" w:rsidR="002346B5" w:rsidRPr="00207F33" w:rsidRDefault="002346B5" w:rsidP="002346B5">
      <w:pPr>
        <w:pStyle w:val="ListParagraph"/>
        <w:numPr>
          <w:ilvl w:val="0"/>
          <w:numId w:val="3"/>
        </w:numPr>
      </w:pPr>
      <w:r w:rsidRPr="00207F33">
        <w:t>Send to parliament draft legislation repealing existing provincial and local regulations that discriminate on the basis of gender, including regulations that require girls to wear a jilbab or other prescribed clothing, and banning any new discriminatory regulations in the future.</w:t>
      </w:r>
    </w:p>
    <w:p w14:paraId="62B8E14F" w14:textId="6F3B3F1D" w:rsidR="002346B5" w:rsidRPr="00207F33" w:rsidRDefault="002346B5" w:rsidP="002346B5">
      <w:pPr>
        <w:pStyle w:val="ListParagraph"/>
        <w:numPr>
          <w:ilvl w:val="0"/>
          <w:numId w:val="3"/>
        </w:numPr>
      </w:pPr>
      <w:r w:rsidRPr="00207F33">
        <w:t xml:space="preserve">Work with Islamic organizations, including the </w:t>
      </w:r>
      <w:proofErr w:type="spellStart"/>
      <w:r w:rsidRPr="00207F33">
        <w:t>Nahdlatul</w:t>
      </w:r>
      <w:proofErr w:type="spellEnd"/>
      <w:r w:rsidRPr="00207F33">
        <w:t xml:space="preserve"> Ulama and the Muhammadiyah, to create a public messaging campaign against requiring or pressuring girls to wear the jilbab or other Islamic dress, and promoting tolerance and inclusivity.</w:t>
      </w:r>
    </w:p>
    <w:p w14:paraId="69A86C43" w14:textId="7D275855" w:rsidR="002346B5" w:rsidRDefault="002346B5" w:rsidP="002346B5">
      <w:pPr>
        <w:pStyle w:val="ListParagraph"/>
        <w:numPr>
          <w:ilvl w:val="0"/>
          <w:numId w:val="3"/>
        </w:numPr>
        <w:spacing w:after="0"/>
      </w:pPr>
      <w:r w:rsidRPr="00207F33">
        <w:t>Order government officials</w:t>
      </w:r>
      <w:r>
        <w:t xml:space="preserve"> </w:t>
      </w:r>
      <w:r w:rsidRPr="00207F33">
        <w:t xml:space="preserve">to revoke discriminatory ordinances and to stop pressuring girls to wear the jilbab or other religious dress and take disciplinary action against </w:t>
      </w:r>
      <w:r>
        <w:t>those</w:t>
      </w:r>
      <w:r w:rsidRPr="00207F33">
        <w:t xml:space="preserve"> who violate this order.</w:t>
      </w:r>
    </w:p>
    <w:p w14:paraId="35436285" w14:textId="77777777" w:rsidR="002707BE" w:rsidRDefault="002707BE" w:rsidP="002707BE">
      <w:pPr>
        <w:spacing w:after="0"/>
      </w:pPr>
    </w:p>
    <w:p w14:paraId="150D38B4" w14:textId="188C251A" w:rsidR="006B7114" w:rsidRPr="0041740E" w:rsidRDefault="006B7114" w:rsidP="006B7114">
      <w:pPr>
        <w:spacing w:after="0"/>
        <w:rPr>
          <w:b/>
          <w:bCs/>
        </w:rPr>
      </w:pPr>
      <w:r w:rsidRPr="0041740E">
        <w:rPr>
          <w:b/>
          <w:bCs/>
        </w:rPr>
        <w:t>Indonesia’s New Criminal Code</w:t>
      </w:r>
      <w:r>
        <w:rPr>
          <w:b/>
          <w:bCs/>
        </w:rPr>
        <w:t xml:space="preserve"> (articles </w:t>
      </w:r>
      <w:r w:rsidR="0022010B">
        <w:rPr>
          <w:b/>
          <w:bCs/>
        </w:rPr>
        <w:t xml:space="preserve">2, </w:t>
      </w:r>
      <w:r w:rsidR="006D6757">
        <w:rPr>
          <w:b/>
          <w:bCs/>
        </w:rPr>
        <w:t xml:space="preserve">6, </w:t>
      </w:r>
      <w:r w:rsidR="00BE43EB">
        <w:rPr>
          <w:b/>
          <w:bCs/>
        </w:rPr>
        <w:t xml:space="preserve">16, 17, </w:t>
      </w:r>
      <w:r w:rsidR="009423CD">
        <w:rPr>
          <w:b/>
          <w:bCs/>
        </w:rPr>
        <w:t xml:space="preserve">24, </w:t>
      </w:r>
      <w:r w:rsidR="00E0417A">
        <w:rPr>
          <w:b/>
          <w:bCs/>
        </w:rPr>
        <w:t xml:space="preserve">and </w:t>
      </w:r>
      <w:r w:rsidR="0022010B">
        <w:rPr>
          <w:b/>
          <w:bCs/>
        </w:rPr>
        <w:t>2</w:t>
      </w:r>
      <w:r w:rsidR="009423CD">
        <w:rPr>
          <w:b/>
          <w:bCs/>
        </w:rPr>
        <w:t>8</w:t>
      </w:r>
      <w:r>
        <w:rPr>
          <w:b/>
          <w:bCs/>
        </w:rPr>
        <w:t>)</w:t>
      </w:r>
    </w:p>
    <w:p w14:paraId="3744FEDF" w14:textId="6BEF91C5" w:rsidR="006B7114" w:rsidRDefault="006B7114" w:rsidP="006B7114">
      <w:pPr>
        <w:spacing w:after="0"/>
      </w:pPr>
      <w:r w:rsidRPr="00207F33">
        <w:t>Indonesia’s parliament passed a new criminal code in December 2022 that contains provisions that constitute serious infringements of human rights, including the right</w:t>
      </w:r>
      <w:r>
        <w:t>s</w:t>
      </w:r>
      <w:r w:rsidRPr="00207F33">
        <w:t xml:space="preserve"> to life, health, freedom from torture and degrading treatment, and privacy.</w:t>
      </w:r>
      <w:r w:rsidRPr="00CA26BF">
        <w:rPr>
          <w:rStyle w:val="FootnoteReference"/>
        </w:rPr>
        <w:footnoteReference w:id="11"/>
      </w:r>
    </w:p>
    <w:p w14:paraId="6CF294AA" w14:textId="77777777" w:rsidR="006B7114" w:rsidRDefault="006B7114" w:rsidP="006B7114">
      <w:pPr>
        <w:spacing w:after="0"/>
      </w:pPr>
    </w:p>
    <w:p w14:paraId="3974B3CA" w14:textId="4167FF86" w:rsidR="006B7114" w:rsidRDefault="006B7114" w:rsidP="0081634B">
      <w:pPr>
        <w:spacing w:after="0"/>
      </w:pPr>
      <w:r>
        <w:t>A</w:t>
      </w:r>
      <w:r w:rsidRPr="00AE5EE0">
        <w:t>rticles in the law maintain the criminalization of abortion with some exceptions, and now also criminalize distributing information about contraception to children and providing information about obtaining an abortion to anyone. These provisions especially harm girls</w:t>
      </w:r>
      <w:r>
        <w:t xml:space="preserve">, in particular their rights </w:t>
      </w:r>
      <w:r w:rsidRPr="00AE5EE0">
        <w:t xml:space="preserve">to comprehensive and inclusive sexual and reproductive health education and information. They also negatively impact girls’ ability to protect their health and </w:t>
      </w:r>
      <w:r>
        <w:t xml:space="preserve">to </w:t>
      </w:r>
      <w:r w:rsidRPr="00AE5EE0">
        <w:t>make informed choices about their bodies. These provisions can lead to unwanted pregnancies</w:t>
      </w:r>
      <w:r>
        <w:t>,</w:t>
      </w:r>
      <w:r w:rsidRPr="00AE5EE0">
        <w:t xml:space="preserve"> which can affect a range </w:t>
      </w:r>
      <w:r w:rsidRPr="00AE5EE0">
        <w:lastRenderedPageBreak/>
        <w:t>of rights, including ending a girl’s education, contributing to child marriage, as well as putting girls’ health and lives at risk.</w:t>
      </w:r>
      <w:r>
        <w:rPr>
          <w:rStyle w:val="FootnoteReference"/>
        </w:rPr>
        <w:footnoteReference w:id="12"/>
      </w:r>
    </w:p>
    <w:p w14:paraId="3D582159" w14:textId="77777777" w:rsidR="0081634B" w:rsidRDefault="0081634B" w:rsidP="0081634B">
      <w:pPr>
        <w:spacing w:after="0"/>
      </w:pPr>
    </w:p>
    <w:p w14:paraId="4D222C4A" w14:textId="06446F3E" w:rsidR="006B7114" w:rsidRDefault="006B7114" w:rsidP="00FA67A2">
      <w:pPr>
        <w:spacing w:after="0"/>
      </w:pPr>
      <w:r w:rsidRPr="005723CF">
        <w:t xml:space="preserve">The new law also provides that the government will recognize “any living law” in the country, which is likely to be interpreted to extend formal legality to hundreds of Sharia </w:t>
      </w:r>
      <w:r>
        <w:t xml:space="preserve">(Islamic law) </w:t>
      </w:r>
      <w:r w:rsidRPr="005723CF">
        <w:t>regulations imposed by local officials in areas across the country. Many of these regulations discriminate against girls and include provisions such as curfews specifically targeting females, female genital mutilation, and mandatory hijab dress codes.</w:t>
      </w:r>
      <w:r>
        <w:rPr>
          <w:rStyle w:val="FootnoteReference"/>
        </w:rPr>
        <w:footnoteReference w:id="13"/>
      </w:r>
      <w:r w:rsidR="00FA67A2">
        <w:t xml:space="preserve"> </w:t>
      </w:r>
    </w:p>
    <w:p w14:paraId="3309FFE8" w14:textId="77777777" w:rsidR="006B7114" w:rsidRDefault="006B7114" w:rsidP="006B7114">
      <w:pPr>
        <w:pStyle w:val="ListParagraph"/>
        <w:spacing w:after="0"/>
        <w:ind w:left="360"/>
      </w:pPr>
    </w:p>
    <w:p w14:paraId="21AB25C6" w14:textId="77777777" w:rsidR="006B7114" w:rsidRPr="00710B0E" w:rsidRDefault="006B7114" w:rsidP="00710B0E">
      <w:pPr>
        <w:spacing w:after="0"/>
        <w:rPr>
          <w:i/>
          <w:iCs/>
        </w:rPr>
      </w:pPr>
      <w:r w:rsidRPr="00710B0E">
        <w:rPr>
          <w:i/>
          <w:iCs/>
        </w:rPr>
        <w:t>Human Rights Watch recommends that the Committee call on the government of Indonesia to:</w:t>
      </w:r>
    </w:p>
    <w:p w14:paraId="3DD4E323" w14:textId="0D48C962" w:rsidR="006B7114" w:rsidRDefault="006B7114" w:rsidP="006B7114">
      <w:pPr>
        <w:pStyle w:val="ListParagraph"/>
        <w:numPr>
          <w:ilvl w:val="0"/>
          <w:numId w:val="4"/>
        </w:numPr>
        <w:spacing w:after="0"/>
      </w:pPr>
      <w:r>
        <w:t xml:space="preserve">Repeal all discriminatory clauses in the new Criminal Code, including those that violate the rights to health and education of </w:t>
      </w:r>
      <w:r w:rsidR="00710B0E">
        <w:t>children</w:t>
      </w:r>
      <w:r>
        <w:t>.</w:t>
      </w:r>
    </w:p>
    <w:p w14:paraId="4599405C" w14:textId="77777777" w:rsidR="00C75C52" w:rsidRDefault="00C75C52" w:rsidP="00C75C52">
      <w:pPr>
        <w:spacing w:after="0"/>
      </w:pPr>
    </w:p>
    <w:p w14:paraId="45864B3F" w14:textId="28BC8785" w:rsidR="00C75C52" w:rsidRPr="00207F33" w:rsidRDefault="00C75C52" w:rsidP="00C75C52">
      <w:pPr>
        <w:spacing w:after="0"/>
        <w:rPr>
          <w:b/>
          <w:bCs/>
        </w:rPr>
      </w:pPr>
      <w:r w:rsidRPr="18D33295">
        <w:rPr>
          <w:b/>
          <w:bCs/>
        </w:rPr>
        <w:t xml:space="preserve">Right to Education (article </w:t>
      </w:r>
      <w:r w:rsidR="009423CD">
        <w:rPr>
          <w:b/>
          <w:bCs/>
        </w:rPr>
        <w:t>28</w:t>
      </w:r>
      <w:r w:rsidRPr="18D33295">
        <w:rPr>
          <w:b/>
          <w:bCs/>
        </w:rPr>
        <w:t>)</w:t>
      </w:r>
    </w:p>
    <w:p w14:paraId="4C019989" w14:textId="6893F415" w:rsidR="00C75C52" w:rsidRPr="00207F33" w:rsidRDefault="00C75C52" w:rsidP="00C75C52">
      <w:pPr>
        <w:spacing w:after="0"/>
      </w:pPr>
      <w:r w:rsidRPr="00207F33">
        <w:t>Indonesia provides nine years of free and compulsory basic education,</w:t>
      </w:r>
      <w:r w:rsidRPr="00CA26BF">
        <w:rPr>
          <w:rStyle w:val="FootnoteReference"/>
        </w:rPr>
        <w:footnoteReference w:id="14"/>
      </w:r>
      <w:r w:rsidRPr="00207F33">
        <w:t xml:space="preserve"> comprising primary and junior secondary levels.</w:t>
      </w:r>
      <w:r w:rsidRPr="00CA26BF">
        <w:rPr>
          <w:rStyle w:val="FootnoteReference"/>
        </w:rPr>
        <w:footnoteReference w:id="15"/>
      </w:r>
      <w:r w:rsidRPr="00207F33">
        <w:t xml:space="preserve"> </w:t>
      </w:r>
      <w:r>
        <w:t>Indonesia does not provide universal free pre-primary education. In 2015, t</w:t>
      </w:r>
      <w:r w:rsidRPr="007F001C">
        <w:t xml:space="preserve">he </w:t>
      </w:r>
      <w:r>
        <w:t>government</w:t>
      </w:r>
      <w:r w:rsidRPr="007F001C">
        <w:t xml:space="preserve"> committed to implementing a 12-year compulsory education policy</w:t>
      </w:r>
      <w:r>
        <w:t>,</w:t>
      </w:r>
      <w:r w:rsidRPr="00CA26BF">
        <w:rPr>
          <w:rStyle w:val="FootnoteReference"/>
        </w:rPr>
        <w:footnoteReference w:id="16"/>
      </w:r>
      <w:r w:rsidRPr="00207F33">
        <w:t xml:space="preserve"> </w:t>
      </w:r>
      <w:r>
        <w:t>yet</w:t>
      </w:r>
      <w:r w:rsidRPr="00207F33">
        <w:t xml:space="preserve"> </w:t>
      </w:r>
      <w:r>
        <w:t xml:space="preserve">completion rates at the lower and upper secondary levels were 88 percent and 67 percent </w:t>
      </w:r>
      <w:r w:rsidR="18DB4607">
        <w:t>respectively</w:t>
      </w:r>
      <w:r>
        <w:t xml:space="preserve"> in 2020</w:t>
      </w:r>
      <w:r w:rsidRPr="00207F33">
        <w:t>.</w:t>
      </w:r>
      <w:r w:rsidRPr="00CA26BF">
        <w:rPr>
          <w:rStyle w:val="FootnoteReference"/>
        </w:rPr>
        <w:footnoteReference w:id="17"/>
      </w:r>
      <w:r w:rsidRPr="00207F33">
        <w:t xml:space="preserve"> </w:t>
      </w:r>
      <w:r>
        <w:t>At the pre-primary level, the net enrollment rate was just 43 percent in 2022.</w:t>
      </w:r>
      <w:r>
        <w:rPr>
          <w:rStyle w:val="FootnoteReference"/>
        </w:rPr>
        <w:footnoteReference w:id="18"/>
      </w:r>
    </w:p>
    <w:p w14:paraId="746BFAF4" w14:textId="77777777" w:rsidR="00C75C52" w:rsidRDefault="00C75C52" w:rsidP="00C75C52">
      <w:pPr>
        <w:spacing w:after="0"/>
      </w:pPr>
    </w:p>
    <w:p w14:paraId="4FE5E278" w14:textId="77777777" w:rsidR="00AC2C62" w:rsidRDefault="00AC2C62" w:rsidP="00C75C52">
      <w:pPr>
        <w:spacing w:after="0"/>
      </w:pPr>
    </w:p>
    <w:p w14:paraId="1C74EDE9" w14:textId="77777777" w:rsidR="00AC2C62" w:rsidRPr="00207F33" w:rsidRDefault="00AC2C62" w:rsidP="00C75C52">
      <w:pPr>
        <w:spacing w:after="0"/>
      </w:pPr>
    </w:p>
    <w:p w14:paraId="6D8748D7" w14:textId="499482D3" w:rsidR="00C75C52" w:rsidRPr="00207F33" w:rsidRDefault="00C75C52" w:rsidP="00C75C52">
      <w:pPr>
        <w:spacing w:after="0"/>
        <w:rPr>
          <w:u w:val="single"/>
        </w:rPr>
      </w:pPr>
      <w:r w:rsidRPr="00207F33">
        <w:rPr>
          <w:u w:val="single"/>
        </w:rPr>
        <w:lastRenderedPageBreak/>
        <w:t xml:space="preserve">Access to </w:t>
      </w:r>
      <w:r w:rsidR="003B2D7B">
        <w:rPr>
          <w:u w:val="single"/>
        </w:rPr>
        <w:t>e</w:t>
      </w:r>
      <w:r w:rsidRPr="00207F33">
        <w:rPr>
          <w:u w:val="single"/>
        </w:rPr>
        <w:t xml:space="preserve">ducation during the Covid-19 </w:t>
      </w:r>
      <w:r w:rsidR="003B2D7B">
        <w:rPr>
          <w:u w:val="single"/>
        </w:rPr>
        <w:t>p</w:t>
      </w:r>
      <w:r w:rsidRPr="00207F33">
        <w:rPr>
          <w:u w:val="single"/>
        </w:rPr>
        <w:t>andemic</w:t>
      </w:r>
    </w:p>
    <w:p w14:paraId="7A025703" w14:textId="77777777" w:rsidR="00C75C52" w:rsidRPr="00207F33" w:rsidRDefault="00C75C52" w:rsidP="00921C73">
      <w:pPr>
        <w:spacing w:after="0"/>
      </w:pPr>
      <w:r w:rsidRPr="00207F33">
        <w:t>From March 2020 to March 2022, in response to the Covid-19 pandemic, Indonesian schools were fully closed for 20 weeks and only partially open for 72 weeks.</w:t>
      </w:r>
      <w:r w:rsidRPr="00CA26BF">
        <w:rPr>
          <w:rStyle w:val="FootnoteReference"/>
        </w:rPr>
        <w:footnoteReference w:id="19"/>
      </w:r>
      <w:r w:rsidRPr="00207F33">
        <w:t xml:space="preserve"> While the government transitioned to various forms of distance learning, Human Rights Watch found several barriers to accessing education.</w:t>
      </w:r>
      <w:r w:rsidRPr="00CA26BF">
        <w:rPr>
          <w:rStyle w:val="FootnoteReference"/>
        </w:rPr>
        <w:footnoteReference w:id="20"/>
      </w:r>
      <w:r w:rsidRPr="00207F33">
        <w:t xml:space="preserve"> </w:t>
      </w:r>
    </w:p>
    <w:p w14:paraId="46D1187B" w14:textId="77777777" w:rsidR="00C75C52" w:rsidRPr="00207F33" w:rsidRDefault="00C75C52" w:rsidP="00C75C52">
      <w:pPr>
        <w:spacing w:after="0"/>
      </w:pPr>
    </w:p>
    <w:p w14:paraId="5EA51367" w14:textId="285D2378" w:rsidR="00C75C52" w:rsidRPr="00207F33" w:rsidRDefault="00C75C52" w:rsidP="00D92AF5">
      <w:pPr>
        <w:spacing w:after="0"/>
      </w:pPr>
      <w:r w:rsidRPr="00207F33">
        <w:t xml:space="preserve">For example, a student in a small village in North Sulawesi </w:t>
      </w:r>
      <w:r w:rsidR="007F3170">
        <w:t>said</w:t>
      </w:r>
      <w:r w:rsidRPr="00207F33">
        <w:t xml:space="preserve"> that around 30 percent of his classmates lived in remote areas with internet that was so unreliable that “these classmates [could not] participate in online class because there [was] no signal when it rain[ed].”</w:t>
      </w:r>
      <w:r w:rsidRPr="00CA26BF">
        <w:rPr>
          <w:rStyle w:val="FootnoteReference"/>
        </w:rPr>
        <w:footnoteReference w:id="21"/>
      </w:r>
      <w:r w:rsidRPr="00207F33">
        <w:t xml:space="preserve"> Some children went to extraordinary lengths to try to access the internet for learning. One student who lived on the island of Borneo travelled 24 kilometers by motorbike, four times a week, to find a strong enough phone signal to receive WhatsApp messages from her teachers and email back her assignments.</w:t>
      </w:r>
      <w:r w:rsidRPr="00CA26BF">
        <w:rPr>
          <w:rStyle w:val="FootnoteReference"/>
        </w:rPr>
        <w:footnoteReference w:id="22"/>
      </w:r>
    </w:p>
    <w:p w14:paraId="7D074826" w14:textId="77777777" w:rsidR="002570AF" w:rsidRDefault="002570AF" w:rsidP="002570AF">
      <w:pPr>
        <w:spacing w:after="0"/>
      </w:pPr>
    </w:p>
    <w:p w14:paraId="325686F4" w14:textId="74B26C8A" w:rsidR="00C75C52" w:rsidRPr="002D1D69" w:rsidRDefault="00C75C52" w:rsidP="002D1D69">
      <w:pPr>
        <w:spacing w:after="0"/>
      </w:pPr>
      <w:r w:rsidRPr="00207F33">
        <w:t>Some children had no access to any kind of device that would enable learning or allow them to stay in touch with their teachers. A student in Papua said she returned assignments by phone. But “in my class, all students who [did] not have an [Android] phone are Indigenous Papuan students, plus three new settler children [predominately from Java]. How could you learn without an [Android] phone?” She also said that although her school distributed some schoolbooks, they did not give out physics, biology, and chemistry books “because those books were expensive.”</w:t>
      </w:r>
      <w:r w:rsidRPr="00CA26BF">
        <w:rPr>
          <w:rStyle w:val="FootnoteReference"/>
        </w:rPr>
        <w:footnoteReference w:id="23"/>
      </w:r>
    </w:p>
    <w:p w14:paraId="3C841F60" w14:textId="77777777" w:rsidR="00C75C52" w:rsidRDefault="00C75C52" w:rsidP="00C75C52">
      <w:pPr>
        <w:spacing w:after="0"/>
        <w:rPr>
          <w:u w:val="single"/>
        </w:rPr>
      </w:pPr>
    </w:p>
    <w:p w14:paraId="33B46C75" w14:textId="77777777" w:rsidR="00C75C52" w:rsidRPr="00207F33" w:rsidRDefault="00C75C52" w:rsidP="00C75C52">
      <w:pPr>
        <w:spacing w:after="0"/>
        <w:rPr>
          <w:u w:val="single"/>
        </w:rPr>
      </w:pPr>
      <w:r w:rsidRPr="00207F33">
        <w:rPr>
          <w:u w:val="single"/>
        </w:rPr>
        <w:t xml:space="preserve">Protection of education from attack </w:t>
      </w:r>
    </w:p>
    <w:p w14:paraId="2BB1A264" w14:textId="73EC99EA" w:rsidR="00C75C52" w:rsidRPr="002D1D69" w:rsidRDefault="00C75C52" w:rsidP="002D1D69">
      <w:pPr>
        <w:spacing w:after="0"/>
        <w:rPr>
          <w:rFonts w:ascii="MetaPro-Medi" w:hAnsi="MetaPro-Medi"/>
          <w:vertAlign w:val="superscript"/>
        </w:rPr>
      </w:pPr>
      <w:r w:rsidRPr="00207F33">
        <w:t xml:space="preserve">As of </w:t>
      </w:r>
      <w:r w:rsidR="006E4934">
        <w:t xml:space="preserve">November </w:t>
      </w:r>
      <w:r w:rsidRPr="00207F33">
        <w:t>2023, Indonesia was contributing 2,4</w:t>
      </w:r>
      <w:r w:rsidR="006E4934">
        <w:t>52</w:t>
      </w:r>
      <w:r w:rsidRPr="00207F33">
        <w:t xml:space="preserve"> troops to </w:t>
      </w:r>
      <w:r>
        <w:t>United Nations</w:t>
      </w:r>
      <w:r w:rsidRPr="00207F33">
        <w:t xml:space="preserve"> peace operations,</w:t>
      </w:r>
      <w:r w:rsidR="000638B4">
        <w:rPr>
          <w:rStyle w:val="FootnoteReference"/>
        </w:rPr>
        <w:footnoteReference w:id="24"/>
      </w:r>
      <w:r w:rsidRPr="00207F33">
        <w:t xml:space="preserve"> including in the Democratic Republic of the Congo and the Central African Republic, </w:t>
      </w:r>
      <w:r w:rsidRPr="00207F33">
        <w:lastRenderedPageBreak/>
        <w:t>both countries where attacks on education have been documented as a problem.</w:t>
      </w:r>
      <w:r w:rsidRPr="00CA26BF">
        <w:rPr>
          <w:rStyle w:val="FootnoteReference"/>
        </w:rPr>
        <w:footnoteReference w:id="25"/>
      </w:r>
      <w:r w:rsidRPr="00CA26BF">
        <w:rPr>
          <w:rStyle w:val="FootnoteReference"/>
        </w:rPr>
        <w:t xml:space="preserve"> </w:t>
      </w:r>
      <w:r w:rsidRPr="002D1D69">
        <w:rPr>
          <w:rFonts w:eastAsia="MetaPro-Norm" w:cs="MetaPro-Norm"/>
        </w:rPr>
        <w:t>These troops are required to comply with the UN Department of Peace Operations’ UN Infantry Battalion Manual (2012), which includes the provision that “schools shall not be used by the military in their operations.”</w:t>
      </w:r>
      <w:r w:rsidRPr="00CA26BF">
        <w:rPr>
          <w:rStyle w:val="FootnoteReference"/>
          <w:rFonts w:eastAsia="MetaPro-Norm" w:cs="MetaPro-Norm"/>
        </w:rPr>
        <w:footnoteReference w:id="26"/>
      </w:r>
    </w:p>
    <w:p w14:paraId="58AFA0A8" w14:textId="77777777" w:rsidR="00C75C52" w:rsidRPr="007F5B3F" w:rsidRDefault="00C75C52" w:rsidP="00C75C52">
      <w:pPr>
        <w:pStyle w:val="ListParagraph"/>
        <w:spacing w:after="0"/>
        <w:ind w:left="360"/>
        <w:rPr>
          <w:rFonts w:ascii="MetaPro-Medi" w:hAnsi="MetaPro-Medi"/>
          <w:vertAlign w:val="superscript"/>
        </w:rPr>
      </w:pPr>
    </w:p>
    <w:p w14:paraId="64B32E10" w14:textId="66A7A491" w:rsidR="00C75C52" w:rsidRPr="00207F33" w:rsidRDefault="00C75C52" w:rsidP="008E0416">
      <w:pPr>
        <w:spacing w:after="0"/>
      </w:pPr>
      <w:r w:rsidRPr="008E0416">
        <w:rPr>
          <w:rFonts w:cs="Times New Roman"/>
        </w:rPr>
        <w:t>The Safe Schools Declaration</w:t>
      </w:r>
      <w:r w:rsidRPr="00CA26BF">
        <w:rPr>
          <w:rStyle w:val="FootnoteReference"/>
          <w:rFonts w:cs="Times New Roman"/>
        </w:rPr>
        <w:footnoteReference w:id="27"/>
      </w:r>
      <w:r w:rsidRPr="008E0416">
        <w:rPr>
          <w:rFonts w:cs="Times New Roman"/>
        </w:rPr>
        <w:t xml:space="preserve"> is an inter-governmental political commitment that provides countries with the opportunity to express political support for the protection of students, teachers, and schools during times of armed conflict; the importance of the continuation of education during armed conflict; and the implementation of the </w:t>
      </w:r>
      <w:r w:rsidRPr="008E0416">
        <w:rPr>
          <w:rFonts w:cs="Times New Roman"/>
          <w:i/>
          <w:iCs/>
        </w:rPr>
        <w:t>Guidelines for Protecting Schools and Universities from Military Use during Armed Conflict</w:t>
      </w:r>
      <w:r w:rsidRPr="008E0416">
        <w:rPr>
          <w:rFonts w:cs="Times New Roman"/>
        </w:rPr>
        <w:t>.</w:t>
      </w:r>
      <w:r w:rsidRPr="008E0416">
        <w:rPr>
          <w:rStyle w:val="FootnoteReference"/>
          <w:rFonts w:cs="Times New Roman"/>
        </w:rPr>
        <w:t xml:space="preserve"> </w:t>
      </w:r>
      <w:r w:rsidRPr="00CA26BF">
        <w:rPr>
          <w:rStyle w:val="FootnoteReference"/>
          <w:rFonts w:cs="Times New Roman"/>
        </w:rPr>
        <w:footnoteReference w:id="28"/>
      </w:r>
      <w:r w:rsidRPr="008E0416">
        <w:rPr>
          <w:rFonts w:cs="Times New Roman"/>
        </w:rPr>
        <w:t xml:space="preserve"> </w:t>
      </w:r>
      <w:r w:rsidRPr="00207F33">
        <w:t xml:space="preserve">As of </w:t>
      </w:r>
      <w:r w:rsidR="005609B7">
        <w:t>January 2024</w:t>
      </w:r>
      <w:r w:rsidRPr="00207F33">
        <w:t>, 11</w:t>
      </w:r>
      <w:r w:rsidR="005609B7">
        <w:t>9</w:t>
      </w:r>
      <w:r w:rsidRPr="00207F33">
        <w:t xml:space="preserve"> states have endorsed the declaration,</w:t>
      </w:r>
      <w:r w:rsidRPr="00CA26BF">
        <w:rPr>
          <w:rStyle w:val="FootnoteReference"/>
        </w:rPr>
        <w:footnoteReference w:id="29"/>
      </w:r>
      <w:r w:rsidRPr="00207F33">
        <w:t xml:space="preserve"> including 31 fellow members of the </w:t>
      </w:r>
      <w:proofErr w:type="spellStart"/>
      <w:r w:rsidRPr="00207F33">
        <w:t>Organ</w:t>
      </w:r>
      <w:r>
        <w:t>is</w:t>
      </w:r>
      <w:r w:rsidRPr="00207F33">
        <w:t>ation</w:t>
      </w:r>
      <w:proofErr w:type="spellEnd"/>
      <w:r w:rsidRPr="00207F33">
        <w:t xml:space="preserve"> of Islamic Cooperation.</w:t>
      </w:r>
      <w:r>
        <w:t xml:space="preserve"> However, Indonesia has not endorsed the declaration. </w:t>
      </w:r>
    </w:p>
    <w:p w14:paraId="48FAFE45" w14:textId="77777777" w:rsidR="00C75C52" w:rsidRPr="00207F33" w:rsidRDefault="00C75C52" w:rsidP="00C75C52">
      <w:pPr>
        <w:spacing w:after="0"/>
      </w:pPr>
    </w:p>
    <w:p w14:paraId="5FF96A77" w14:textId="77777777" w:rsidR="00C75C52" w:rsidRPr="00646664" w:rsidRDefault="00C75C52" w:rsidP="00646664">
      <w:pPr>
        <w:spacing w:after="0"/>
        <w:rPr>
          <w:i/>
          <w:iCs/>
        </w:rPr>
      </w:pPr>
      <w:r w:rsidRPr="00646664">
        <w:rPr>
          <w:i/>
          <w:iCs/>
        </w:rPr>
        <w:t>Human Rights Watch recommends that the Committee ask the government of Indonesia:</w:t>
      </w:r>
    </w:p>
    <w:p w14:paraId="7E76496B" w14:textId="77777777" w:rsidR="00C75C52" w:rsidRDefault="00C75C52" w:rsidP="00C75C52">
      <w:pPr>
        <w:pStyle w:val="ListParagraph"/>
        <w:numPr>
          <w:ilvl w:val="0"/>
          <w:numId w:val="5"/>
        </w:numPr>
        <w:spacing w:after="0"/>
      </w:pPr>
      <w:r>
        <w:t xml:space="preserve">What barriers does the government see to providing at least one year of free and compulsory pre-primary education, and fully implementing 12 years of free primary and secondary education? </w:t>
      </w:r>
    </w:p>
    <w:p w14:paraId="1AEB872F" w14:textId="77777777" w:rsidR="00C75C52" w:rsidRDefault="00C75C52" w:rsidP="00C75C52">
      <w:pPr>
        <w:pStyle w:val="ListParagraph"/>
        <w:numPr>
          <w:ilvl w:val="0"/>
          <w:numId w:val="5"/>
        </w:numPr>
        <w:spacing w:after="0"/>
      </w:pPr>
      <w:r>
        <w:t xml:space="preserve">How has </w:t>
      </w:r>
      <w:r w:rsidRPr="00207F33">
        <w:t>the extent of children’s learning loss due to Covid-19 school closures been assessed, and what measures have been taken to remedy lost learning</w:t>
      </w:r>
      <w:r>
        <w:t>?</w:t>
      </w:r>
    </w:p>
    <w:p w14:paraId="58ADCC8C" w14:textId="77777777" w:rsidR="00C75C52" w:rsidRDefault="00C75C52" w:rsidP="00C75C52">
      <w:pPr>
        <w:pStyle w:val="ListParagraph"/>
        <w:numPr>
          <w:ilvl w:val="0"/>
          <w:numId w:val="5"/>
        </w:numPr>
        <w:spacing w:after="0"/>
      </w:pPr>
      <w:r>
        <w:t>Are protections for schools from military use included in any policies, rules, or trainings for Indonesia’s armed forces, including in pre-deployment training for peace operations?</w:t>
      </w:r>
    </w:p>
    <w:p w14:paraId="1E8CF2B9" w14:textId="77777777" w:rsidR="00C75C52" w:rsidRPr="00207F33" w:rsidRDefault="00C75C52" w:rsidP="00C75C52">
      <w:pPr>
        <w:pStyle w:val="ListParagraph"/>
        <w:spacing w:after="0"/>
      </w:pPr>
    </w:p>
    <w:p w14:paraId="20487136" w14:textId="77777777" w:rsidR="00C75C52" w:rsidRPr="00646664" w:rsidRDefault="00C75C52" w:rsidP="00646664">
      <w:pPr>
        <w:spacing w:after="0"/>
        <w:rPr>
          <w:i/>
          <w:iCs/>
        </w:rPr>
      </w:pPr>
      <w:r w:rsidRPr="00646664">
        <w:rPr>
          <w:i/>
          <w:iCs/>
        </w:rPr>
        <w:t>Human Rights Watch recommends that the Committee call on the government of Indonesia to:</w:t>
      </w:r>
    </w:p>
    <w:p w14:paraId="162BDB78" w14:textId="77777777" w:rsidR="00C75C52" w:rsidRPr="00207F33" w:rsidRDefault="00C75C52" w:rsidP="00C75C52">
      <w:pPr>
        <w:pStyle w:val="ListParagraph"/>
        <w:numPr>
          <w:ilvl w:val="0"/>
          <w:numId w:val="5"/>
        </w:numPr>
      </w:pPr>
      <w:r>
        <w:t>Make at least one year of pre-primary education free and compulsory.</w:t>
      </w:r>
      <w:r w:rsidRPr="00207F33">
        <w:t xml:space="preserve"> </w:t>
      </w:r>
    </w:p>
    <w:p w14:paraId="2B8F3C93" w14:textId="77777777" w:rsidR="00C75C52" w:rsidRPr="00207F33" w:rsidRDefault="00C75C52" w:rsidP="00C75C52">
      <w:pPr>
        <w:pStyle w:val="ListParagraph"/>
        <w:numPr>
          <w:ilvl w:val="0"/>
          <w:numId w:val="5"/>
        </w:numPr>
        <w:spacing w:after="0"/>
      </w:pPr>
      <w:r>
        <w:t>S</w:t>
      </w:r>
      <w:r w:rsidRPr="00207F33">
        <w:t>trategically allocate educational resources to marginalized and low-income groups and those shown to have been particularly affected in their education during the pandemic.</w:t>
      </w:r>
    </w:p>
    <w:p w14:paraId="31138CCC" w14:textId="77777777" w:rsidR="00C75C52" w:rsidRPr="00207F33" w:rsidRDefault="00C75C52" w:rsidP="00C75C52">
      <w:pPr>
        <w:pStyle w:val="ListParagraph"/>
        <w:numPr>
          <w:ilvl w:val="0"/>
          <w:numId w:val="5"/>
        </w:numPr>
        <w:spacing w:after="0"/>
      </w:pPr>
      <w:r>
        <w:lastRenderedPageBreak/>
        <w:t>Adopt measures to provide affordable, reliable, quality, and accessible internet, including targeted measures to provide free, equitable access to the internet for educational content, and develop or expand device affordability and availability initiatives for schools and families. To the extent that online learning is used beyond Covid-19 school closures, Human Rights Watch recommends that it should be done in a manner that protects children’s privacy online.</w:t>
      </w:r>
    </w:p>
    <w:p w14:paraId="560D4D31" w14:textId="77777777" w:rsidR="00C75C52" w:rsidRPr="00207F33" w:rsidRDefault="00C75C52" w:rsidP="00C75C52">
      <w:pPr>
        <w:pStyle w:val="ListParagraph"/>
        <w:numPr>
          <w:ilvl w:val="0"/>
          <w:numId w:val="5"/>
        </w:numPr>
        <w:spacing w:after="0"/>
      </w:pPr>
      <w:r>
        <w:t>Ensure Indonesian laws, policies, or trainings, including pre-deployment trainings for UN peace operations, provide explicit protection for schools from military use during armed conflict.</w:t>
      </w:r>
    </w:p>
    <w:p w14:paraId="57573DE5" w14:textId="77777777" w:rsidR="00C75C52" w:rsidRDefault="00C75C52" w:rsidP="00C75C52">
      <w:pPr>
        <w:pStyle w:val="ListParagraph"/>
        <w:numPr>
          <w:ilvl w:val="0"/>
          <w:numId w:val="6"/>
        </w:numPr>
        <w:spacing w:after="0" w:line="22" w:lineRule="atLeast"/>
      </w:pPr>
      <w:r>
        <w:t>E</w:t>
      </w:r>
      <w:r w:rsidRPr="00207F33">
        <w:t>ndorse and implement the Safe Schools Declaration.</w:t>
      </w:r>
    </w:p>
    <w:p w14:paraId="10707B89" w14:textId="77777777" w:rsidR="005F7B3B" w:rsidRDefault="005F7B3B" w:rsidP="005F7B3B">
      <w:pPr>
        <w:spacing w:after="0" w:line="22" w:lineRule="atLeast"/>
      </w:pPr>
    </w:p>
    <w:p w14:paraId="453BD4C1" w14:textId="5A618A17" w:rsidR="000C5660" w:rsidRPr="00D01559" w:rsidRDefault="000C5660" w:rsidP="000C5660">
      <w:pPr>
        <w:spacing w:after="0" w:line="240" w:lineRule="auto"/>
        <w:rPr>
          <w:rStyle w:val="normaltextrun"/>
          <w:rFonts w:eastAsiaTheme="minorEastAsia"/>
        </w:rPr>
      </w:pPr>
      <w:r>
        <w:rPr>
          <w:rStyle w:val="normaltextrun"/>
          <w:rFonts w:eastAsiaTheme="minorEastAsia"/>
          <w:b/>
          <w:bCs/>
        </w:rPr>
        <w:t>R</w:t>
      </w:r>
      <w:r w:rsidRPr="00D01559">
        <w:rPr>
          <w:rStyle w:val="normaltextrun"/>
          <w:rFonts w:eastAsiaTheme="minorEastAsia"/>
          <w:b/>
          <w:bCs/>
        </w:rPr>
        <w:t>ights of</w:t>
      </w:r>
      <w:r>
        <w:rPr>
          <w:rStyle w:val="normaltextrun"/>
          <w:rFonts w:eastAsiaTheme="minorEastAsia"/>
          <w:b/>
          <w:bCs/>
        </w:rPr>
        <w:t xml:space="preserve"> C</w:t>
      </w:r>
      <w:r w:rsidRPr="00D01559">
        <w:rPr>
          <w:rStyle w:val="normaltextrun"/>
          <w:rFonts w:eastAsiaTheme="minorEastAsia"/>
          <w:b/>
          <w:bCs/>
        </w:rPr>
        <w:t xml:space="preserve">hildren with </w:t>
      </w:r>
      <w:r>
        <w:rPr>
          <w:rStyle w:val="normaltextrun"/>
          <w:rFonts w:eastAsiaTheme="minorEastAsia"/>
          <w:b/>
          <w:bCs/>
        </w:rPr>
        <w:t>D</w:t>
      </w:r>
      <w:r w:rsidRPr="00D01559">
        <w:rPr>
          <w:rStyle w:val="normaltextrun"/>
          <w:rFonts w:eastAsiaTheme="minorEastAsia"/>
          <w:b/>
          <w:bCs/>
        </w:rPr>
        <w:t>isabilities (</w:t>
      </w:r>
      <w:r w:rsidRPr="00FA2628">
        <w:rPr>
          <w:rStyle w:val="normaltextrun"/>
          <w:rFonts w:eastAsiaTheme="minorEastAsia"/>
          <w:b/>
          <w:bCs/>
        </w:rPr>
        <w:t xml:space="preserve">articles </w:t>
      </w:r>
      <w:r w:rsidRPr="00E446F5">
        <w:rPr>
          <w:rStyle w:val="normaltextrun"/>
          <w:rFonts w:eastAsiaTheme="minorEastAsia"/>
          <w:b/>
          <w:bCs/>
        </w:rPr>
        <w:t>19, 23, 37, and 39</w:t>
      </w:r>
      <w:r w:rsidRPr="00D01559">
        <w:rPr>
          <w:rStyle w:val="normaltextrun"/>
          <w:rFonts w:eastAsiaTheme="minorEastAsia"/>
          <w:b/>
          <w:bCs/>
        </w:rPr>
        <w:t>)</w:t>
      </w:r>
      <w:r w:rsidRPr="00D01559">
        <w:br/>
      </w:r>
      <w:r w:rsidRPr="00D01559">
        <w:rPr>
          <w:rStyle w:val="normaltextrun"/>
          <w:rFonts w:eastAsiaTheme="minorEastAsia"/>
        </w:rPr>
        <w:t xml:space="preserve">In Indonesia, </w:t>
      </w:r>
      <w:r w:rsidR="007F3170">
        <w:rPr>
          <w:rStyle w:val="normaltextrun"/>
          <w:rFonts w:eastAsiaTheme="minorEastAsia"/>
        </w:rPr>
        <w:t xml:space="preserve">many </w:t>
      </w:r>
      <w:r w:rsidRPr="00D01559">
        <w:rPr>
          <w:rStyle w:val="normaltextrun"/>
          <w:rFonts w:eastAsiaTheme="minorEastAsia"/>
        </w:rPr>
        <w:t>people with psychosocial disabilities (mental health conditions), including children, are shackled by their families or placed in overcrowded and unsanitary institutions against their will, due to widespread stigma and lack of community-based support, including mental health services. Human Rights Watch conducted research in Indonesia documenting these and other abuses</w:t>
      </w:r>
      <w:r>
        <w:rPr>
          <w:rStyle w:val="normaltextrun"/>
          <w:rFonts w:eastAsiaTheme="minorEastAsia"/>
        </w:rPr>
        <w:t xml:space="preserve"> between 2014-2021.</w:t>
      </w:r>
      <w:r>
        <w:rPr>
          <w:rStyle w:val="FootnoteReference"/>
          <w:rFonts w:eastAsiaTheme="minorEastAsia"/>
        </w:rPr>
        <w:footnoteReference w:id="30"/>
      </w:r>
      <w:r w:rsidRPr="00D01559">
        <w:rPr>
          <w:rStyle w:val="normaltextrun"/>
          <w:rFonts w:eastAsiaTheme="minorEastAsia"/>
        </w:rPr>
        <w:t xml:space="preserve"> </w:t>
      </w:r>
    </w:p>
    <w:p w14:paraId="235DC815" w14:textId="77777777" w:rsidR="000C5660" w:rsidRPr="00D01559" w:rsidRDefault="000C5660" w:rsidP="000C5660">
      <w:pPr>
        <w:spacing w:after="0" w:line="240" w:lineRule="auto"/>
        <w:rPr>
          <w:rStyle w:val="normaltextrun"/>
          <w:rFonts w:eastAsiaTheme="minorEastAsia"/>
        </w:rPr>
      </w:pPr>
    </w:p>
    <w:p w14:paraId="5FD18A8B" w14:textId="77777777" w:rsidR="000C5660" w:rsidRPr="00D01559" w:rsidRDefault="000C5660" w:rsidP="000C5660">
      <w:pPr>
        <w:spacing w:after="0" w:line="240" w:lineRule="auto"/>
        <w:rPr>
          <w:rStyle w:val="normaltextrun"/>
          <w:rFonts w:eastAsiaTheme="minorEastAsia"/>
        </w:rPr>
      </w:pPr>
      <w:r w:rsidRPr="00D01559">
        <w:rPr>
          <w:rStyle w:val="normaltextrun"/>
          <w:rFonts w:eastAsiaTheme="minorEastAsia"/>
        </w:rPr>
        <w:t xml:space="preserve">The practice of shackling, known locally as </w:t>
      </w:r>
      <w:proofErr w:type="spellStart"/>
      <w:r w:rsidRPr="00D01559">
        <w:rPr>
          <w:rStyle w:val="normaltextrun"/>
          <w:rFonts w:eastAsiaTheme="minorEastAsia"/>
          <w:i/>
          <w:iCs/>
        </w:rPr>
        <w:t>pasung</w:t>
      </w:r>
      <w:proofErr w:type="spellEnd"/>
      <w:r w:rsidRPr="00D01559">
        <w:rPr>
          <w:rStyle w:val="normaltextrun"/>
          <w:rFonts w:eastAsiaTheme="minorEastAsia"/>
          <w:i/>
          <w:iCs/>
        </w:rPr>
        <w:t xml:space="preserve"> </w:t>
      </w:r>
      <w:r w:rsidRPr="00D01559">
        <w:rPr>
          <w:rStyle w:val="normaltextrun"/>
          <w:rFonts w:eastAsiaTheme="minorEastAsia"/>
        </w:rPr>
        <w:t xml:space="preserve">(meaning to “tie” or “bind”), refers to the physical restraint of children </w:t>
      </w:r>
      <w:r>
        <w:rPr>
          <w:rStyle w:val="normaltextrun"/>
          <w:rFonts w:eastAsiaTheme="minorEastAsia"/>
        </w:rPr>
        <w:t xml:space="preserve">and adults </w:t>
      </w:r>
      <w:r w:rsidRPr="00D01559">
        <w:rPr>
          <w:rStyle w:val="normaltextrun"/>
          <w:rFonts w:eastAsiaTheme="minorEastAsia"/>
        </w:rPr>
        <w:t xml:space="preserve">with real or perceived psychosocial disabilities, within or just outside the home. </w:t>
      </w:r>
      <w:proofErr w:type="spellStart"/>
      <w:r w:rsidRPr="006B6A77">
        <w:rPr>
          <w:rStyle w:val="normaltextrun"/>
          <w:rFonts w:eastAsiaTheme="minorEastAsia"/>
        </w:rPr>
        <w:t>Pasung</w:t>
      </w:r>
      <w:proofErr w:type="spellEnd"/>
      <w:r w:rsidRPr="007F3170">
        <w:rPr>
          <w:rStyle w:val="normaltextrun"/>
          <w:rFonts w:eastAsiaTheme="minorEastAsia"/>
        </w:rPr>
        <w:t xml:space="preserve"> </w:t>
      </w:r>
      <w:r w:rsidRPr="00D01559">
        <w:rPr>
          <w:rStyle w:val="normaltextrun"/>
          <w:rFonts w:eastAsiaTheme="minorEastAsia"/>
        </w:rPr>
        <w:t xml:space="preserve">is typically practiced by families who believe that the child with the psychosocial disability is possessed by evil spirits, </w:t>
      </w:r>
      <w:r w:rsidRPr="05CE17B4">
        <w:rPr>
          <w:rStyle w:val="normaltextrun"/>
          <w:rFonts w:eastAsiaTheme="minorEastAsia"/>
        </w:rPr>
        <w:t xml:space="preserve">or </w:t>
      </w:r>
      <w:r w:rsidRPr="00D01559">
        <w:rPr>
          <w:rStyle w:val="normaltextrun"/>
          <w:rFonts w:eastAsiaTheme="minorEastAsia"/>
        </w:rPr>
        <w:t xml:space="preserve">are worried that the child might hurt themselves or others, or might run away. </w:t>
      </w:r>
    </w:p>
    <w:p w14:paraId="04BCEA30" w14:textId="77777777" w:rsidR="000C5660" w:rsidRPr="00D01559" w:rsidRDefault="000C5660" w:rsidP="000C5660">
      <w:pPr>
        <w:spacing w:after="0" w:line="240" w:lineRule="auto"/>
        <w:rPr>
          <w:rStyle w:val="normaltextrun"/>
          <w:rFonts w:eastAsiaTheme="minorEastAsia"/>
        </w:rPr>
      </w:pPr>
    </w:p>
    <w:p w14:paraId="5E70F84C" w14:textId="77777777" w:rsidR="000C5660" w:rsidRPr="00D01559" w:rsidRDefault="000C5660" w:rsidP="000C5660">
      <w:pPr>
        <w:pStyle w:val="paragraph"/>
        <w:spacing w:before="0" w:beforeAutospacing="0" w:after="0" w:afterAutospacing="0"/>
        <w:textAlignment w:val="baseline"/>
        <w:rPr>
          <w:rFonts w:ascii="MetaPro-Norm" w:hAnsi="MetaPro-Norm"/>
          <w:sz w:val="22"/>
          <w:szCs w:val="22"/>
        </w:rPr>
      </w:pPr>
      <w:proofErr w:type="spellStart"/>
      <w:r w:rsidRPr="006B6A77">
        <w:rPr>
          <w:rFonts w:ascii="MetaPro-Norm" w:hAnsi="MetaPro-Norm"/>
          <w:sz w:val="22"/>
          <w:szCs w:val="22"/>
        </w:rPr>
        <w:t>Pasung</w:t>
      </w:r>
      <w:proofErr w:type="spellEnd"/>
      <w:r w:rsidRPr="007F3170">
        <w:rPr>
          <w:rFonts w:ascii="MetaPro-Norm" w:hAnsi="MetaPro-Norm"/>
          <w:sz w:val="22"/>
          <w:szCs w:val="22"/>
        </w:rPr>
        <w:t xml:space="preserve"> </w:t>
      </w:r>
      <w:r w:rsidRPr="00D01559">
        <w:rPr>
          <w:rFonts w:ascii="MetaPro-Norm" w:hAnsi="MetaPro-Norm"/>
          <w:sz w:val="22"/>
          <w:szCs w:val="22"/>
        </w:rPr>
        <w:t xml:space="preserve">in Indonesia consists of chaining people or locking them in a room, shed, cage, or animal enclosure (including chicken coops, pig pens, and goat sheds) for periods ranging from hours to days, to years. </w:t>
      </w:r>
      <w:r>
        <w:rPr>
          <w:rFonts w:ascii="MetaPro-Norm" w:hAnsi="MetaPro-Norm"/>
          <w:sz w:val="22"/>
          <w:szCs w:val="22"/>
        </w:rPr>
        <w:t xml:space="preserve">It </w:t>
      </w:r>
      <w:r w:rsidRPr="00D01559">
        <w:rPr>
          <w:rFonts w:ascii="MetaPro-Norm" w:hAnsi="MetaPro-Norm"/>
          <w:sz w:val="22"/>
          <w:szCs w:val="22"/>
        </w:rPr>
        <w:t xml:space="preserve">can also be a temporary measure that is used to restrain a child with a psychosocial disability for shorter periods, while the family goes out to work or when the </w:t>
      </w:r>
      <w:r>
        <w:rPr>
          <w:rFonts w:ascii="MetaPro-Norm" w:hAnsi="MetaPro-Norm"/>
          <w:sz w:val="22"/>
          <w:szCs w:val="22"/>
        </w:rPr>
        <w:t>child</w:t>
      </w:r>
      <w:r w:rsidRPr="00D01559">
        <w:rPr>
          <w:rFonts w:ascii="MetaPro-Norm" w:hAnsi="MetaPro-Norm"/>
          <w:sz w:val="22"/>
          <w:szCs w:val="22"/>
        </w:rPr>
        <w:t xml:space="preserve"> is having a crisis.</w:t>
      </w:r>
      <w:r w:rsidRPr="00220EEA">
        <w:rPr>
          <w:rStyle w:val="FootnoteReference"/>
          <w:szCs w:val="22"/>
        </w:rPr>
        <w:footnoteReference w:id="31"/>
      </w:r>
    </w:p>
    <w:p w14:paraId="2EF252AD" w14:textId="77777777" w:rsidR="000C5660" w:rsidRPr="00D01559" w:rsidRDefault="000C5660" w:rsidP="000C5660">
      <w:pPr>
        <w:pStyle w:val="paragraph"/>
        <w:spacing w:before="0" w:beforeAutospacing="0" w:after="0" w:afterAutospacing="0"/>
        <w:textAlignment w:val="baseline"/>
        <w:rPr>
          <w:rFonts w:ascii="MetaPro-Norm" w:hAnsi="MetaPro-Norm"/>
          <w:sz w:val="22"/>
          <w:szCs w:val="22"/>
        </w:rPr>
      </w:pPr>
    </w:p>
    <w:p w14:paraId="215A933D" w14:textId="480E0A5D" w:rsidR="000C5660" w:rsidRPr="00D01559" w:rsidRDefault="000C5660" w:rsidP="000C5660">
      <w:pPr>
        <w:pStyle w:val="paragraph"/>
        <w:spacing w:before="0" w:beforeAutospacing="0" w:after="0" w:afterAutospacing="0"/>
        <w:textAlignment w:val="baseline"/>
        <w:rPr>
          <w:rFonts w:ascii="MetaPro-Norm" w:hAnsi="MetaPro-Norm"/>
          <w:sz w:val="22"/>
          <w:szCs w:val="22"/>
        </w:rPr>
      </w:pPr>
      <w:r w:rsidRPr="00D01559">
        <w:rPr>
          <w:rFonts w:ascii="MetaPro-Norm" w:hAnsi="MetaPro-Norm"/>
          <w:sz w:val="22"/>
          <w:szCs w:val="22"/>
        </w:rPr>
        <w:t xml:space="preserve">Research by Human Rights Watch globally has found that children who are shackled can be affected by post-traumatic stress, malnutrition, infections, nerve damage, muscular atrophy, and </w:t>
      </w:r>
      <w:r w:rsidRPr="00D01559">
        <w:rPr>
          <w:rFonts w:ascii="MetaPro-Norm" w:hAnsi="MetaPro-Norm"/>
          <w:sz w:val="22"/>
          <w:szCs w:val="22"/>
        </w:rPr>
        <w:lastRenderedPageBreak/>
        <w:t>cardiovascular problems.</w:t>
      </w:r>
      <w:r w:rsidRPr="00220EEA">
        <w:rPr>
          <w:rStyle w:val="FootnoteReference"/>
          <w:szCs w:val="22"/>
        </w:rPr>
        <w:footnoteReference w:id="32"/>
      </w:r>
      <w:r w:rsidRPr="00D01559">
        <w:rPr>
          <w:rFonts w:ascii="MetaPro-Norm" w:hAnsi="MetaPro-Norm"/>
          <w:sz w:val="22"/>
          <w:szCs w:val="22"/>
        </w:rPr>
        <w:t xml:space="preserve"> In Indonesia, children who were shackled had no movement beyond the length of the chain</w:t>
      </w:r>
      <w:r>
        <w:rPr>
          <w:rFonts w:ascii="MetaPro-Norm" w:hAnsi="MetaPro-Norm"/>
          <w:sz w:val="22"/>
          <w:szCs w:val="22"/>
        </w:rPr>
        <w:t>—</w:t>
      </w:r>
      <w:r w:rsidRPr="00D01559">
        <w:rPr>
          <w:rFonts w:ascii="MetaPro-Norm" w:hAnsi="MetaPro-Norm"/>
          <w:sz w:val="22"/>
          <w:szCs w:val="22"/>
        </w:rPr>
        <w:t xml:space="preserve">normally about </w:t>
      </w:r>
      <w:r w:rsidR="007F3170">
        <w:rPr>
          <w:rFonts w:ascii="MetaPro-Norm" w:hAnsi="MetaPro-Norm"/>
          <w:sz w:val="22"/>
          <w:szCs w:val="22"/>
        </w:rPr>
        <w:t>two</w:t>
      </w:r>
      <w:r w:rsidRPr="00D01559">
        <w:rPr>
          <w:rFonts w:ascii="MetaPro-Norm" w:hAnsi="MetaPro-Norm"/>
          <w:sz w:val="22"/>
          <w:szCs w:val="22"/>
        </w:rPr>
        <w:t xml:space="preserve"> meters, having to bathe, defecate, urinate, and sleep within the radius where they </w:t>
      </w:r>
      <w:r>
        <w:rPr>
          <w:rFonts w:ascii="MetaPro-Norm" w:hAnsi="MetaPro-Norm"/>
          <w:sz w:val="22"/>
          <w:szCs w:val="22"/>
        </w:rPr>
        <w:t>are</w:t>
      </w:r>
      <w:r w:rsidRPr="00D01559">
        <w:rPr>
          <w:rFonts w:ascii="MetaPro-Norm" w:hAnsi="MetaPro-Norm"/>
          <w:sz w:val="22"/>
          <w:szCs w:val="22"/>
        </w:rPr>
        <w:t xml:space="preserve"> chained.</w:t>
      </w:r>
      <w:r w:rsidRPr="00220EEA">
        <w:rPr>
          <w:rStyle w:val="FootnoteReference"/>
          <w:szCs w:val="22"/>
        </w:rPr>
        <w:footnoteReference w:id="33"/>
      </w:r>
    </w:p>
    <w:p w14:paraId="2ACF3D37" w14:textId="77777777" w:rsidR="000C5660" w:rsidRPr="00D01559" w:rsidRDefault="000C5660" w:rsidP="000C5660">
      <w:pPr>
        <w:pStyle w:val="paragraph"/>
        <w:spacing w:before="0" w:beforeAutospacing="0" w:after="0" w:afterAutospacing="0"/>
        <w:textAlignment w:val="baseline"/>
        <w:rPr>
          <w:rFonts w:ascii="MetaPro-Norm" w:hAnsi="MetaPro-Norm"/>
          <w:sz w:val="22"/>
          <w:szCs w:val="22"/>
        </w:rPr>
      </w:pPr>
    </w:p>
    <w:p w14:paraId="6B6C2757" w14:textId="1284669A" w:rsidR="000C5660" w:rsidRPr="00D01559" w:rsidRDefault="000C5660" w:rsidP="000C5660">
      <w:pPr>
        <w:pStyle w:val="paragraph"/>
        <w:spacing w:before="0" w:beforeAutospacing="0" w:after="0" w:afterAutospacing="0"/>
        <w:textAlignment w:val="baseline"/>
        <w:rPr>
          <w:rFonts w:ascii="MetaPro-Norm" w:hAnsi="MetaPro-Norm"/>
          <w:sz w:val="22"/>
          <w:szCs w:val="22"/>
        </w:rPr>
      </w:pPr>
      <w:r w:rsidRPr="00D01559">
        <w:rPr>
          <w:rFonts w:ascii="MetaPro-Norm" w:hAnsi="MetaPro-Norm"/>
          <w:sz w:val="22"/>
          <w:szCs w:val="22"/>
        </w:rPr>
        <w:t>In 2015, the UN Special Rapporteur on torture stated that shackling “unequivocally amount[s] to torture even if committed by non-State actors under conditions in which the State knows or ought to know about them.”</w:t>
      </w:r>
      <w:r w:rsidRPr="00220EEA">
        <w:rPr>
          <w:rStyle w:val="FootnoteReference"/>
          <w:szCs w:val="22"/>
        </w:rPr>
        <w:footnoteReference w:id="34"/>
      </w:r>
      <w:r w:rsidRPr="00D01559">
        <w:rPr>
          <w:rFonts w:ascii="MetaPro-Norm" w:hAnsi="MetaPro-Norm"/>
          <w:sz w:val="22"/>
          <w:szCs w:val="22"/>
        </w:rPr>
        <w:t xml:space="preserve"> </w:t>
      </w:r>
    </w:p>
    <w:p w14:paraId="2F2E35EF" w14:textId="77777777" w:rsidR="000C5660" w:rsidRDefault="000C5660" w:rsidP="000C5660">
      <w:pPr>
        <w:pStyle w:val="paragraph"/>
        <w:spacing w:before="0" w:beforeAutospacing="0" w:after="0" w:afterAutospacing="0"/>
        <w:textAlignment w:val="baseline"/>
        <w:rPr>
          <w:rFonts w:ascii="MetaPro-Norm" w:hAnsi="MetaPro-Norm"/>
          <w:i/>
          <w:iCs/>
          <w:sz w:val="22"/>
          <w:szCs w:val="22"/>
        </w:rPr>
      </w:pPr>
    </w:p>
    <w:p w14:paraId="1AD7D915" w14:textId="77777777" w:rsidR="000C5660" w:rsidRPr="00D01559" w:rsidRDefault="000C5660" w:rsidP="000C5660">
      <w:pPr>
        <w:pStyle w:val="paragraph"/>
        <w:spacing w:before="0" w:beforeAutospacing="0" w:after="0" w:afterAutospacing="0"/>
        <w:textAlignment w:val="baseline"/>
        <w:rPr>
          <w:rStyle w:val="eop"/>
          <w:rFonts w:ascii="MetaPro-Norm" w:hAnsi="MetaPro-Norm"/>
          <w:sz w:val="22"/>
          <w:szCs w:val="22"/>
        </w:rPr>
      </w:pPr>
      <w:proofErr w:type="spellStart"/>
      <w:r w:rsidRPr="00722BF2">
        <w:rPr>
          <w:rFonts w:ascii="MetaPro-Norm" w:hAnsi="MetaPro-Norm"/>
          <w:sz w:val="22"/>
          <w:szCs w:val="22"/>
        </w:rPr>
        <w:t>Pasung</w:t>
      </w:r>
      <w:proofErr w:type="spellEnd"/>
      <w:r w:rsidRPr="007F3170">
        <w:rPr>
          <w:rFonts w:ascii="MetaPro-Norm" w:hAnsi="MetaPro-Norm"/>
          <w:sz w:val="22"/>
          <w:szCs w:val="22"/>
        </w:rPr>
        <w:t xml:space="preserve"> </w:t>
      </w:r>
      <w:r w:rsidRPr="00D01559">
        <w:rPr>
          <w:rFonts w:ascii="MetaPro-Norm" w:hAnsi="MetaPro-Norm"/>
          <w:sz w:val="22"/>
          <w:szCs w:val="22"/>
        </w:rPr>
        <w:t>is also practiced in faith healing centers and state-run residential institutions as a form of restraint, punishment, or “treatment.”</w:t>
      </w:r>
      <w:r w:rsidRPr="00D01559">
        <w:rPr>
          <w:rFonts w:ascii="MetaPro-Norm" w:hAnsi="MetaPro-Norm" w:cs="MS Sans Serif"/>
          <w:sz w:val="22"/>
          <w:szCs w:val="22"/>
        </w:rPr>
        <w:t xml:space="preserve"> </w:t>
      </w:r>
      <w:r w:rsidRPr="00D01559">
        <w:rPr>
          <w:rStyle w:val="normaltextrun"/>
          <w:rFonts w:ascii="MetaPro-Norm" w:eastAsiaTheme="minorEastAsia" w:hAnsi="MetaPro-Norm"/>
          <w:sz w:val="22"/>
          <w:szCs w:val="22"/>
        </w:rPr>
        <w:t>In the case of private institutions and healing centers, management may have an incentive to detain children as they are paid by the family. In many countries, including Indonesia, it is a profitable business.</w:t>
      </w:r>
    </w:p>
    <w:p w14:paraId="65AFCA80" w14:textId="77777777" w:rsidR="000C5660" w:rsidRPr="00D01559" w:rsidRDefault="000C5660" w:rsidP="000C5660">
      <w:pPr>
        <w:pStyle w:val="paragraph"/>
        <w:spacing w:before="0" w:beforeAutospacing="0" w:after="0" w:afterAutospacing="0"/>
        <w:textAlignment w:val="baseline"/>
        <w:rPr>
          <w:rStyle w:val="eop"/>
          <w:rFonts w:ascii="MetaPro-Norm" w:hAnsi="MetaPro-Norm"/>
          <w:sz w:val="22"/>
          <w:szCs w:val="22"/>
        </w:rPr>
      </w:pPr>
    </w:p>
    <w:p w14:paraId="23F88278" w14:textId="77777777" w:rsidR="000C5660" w:rsidRPr="00D01559" w:rsidRDefault="000C5660" w:rsidP="000C5660">
      <w:pPr>
        <w:pStyle w:val="paragraph"/>
        <w:contextualSpacing/>
        <w:textAlignment w:val="baseline"/>
        <w:rPr>
          <w:rFonts w:ascii="MetaPro-Norm" w:hAnsi="MetaPro-Norm"/>
          <w:sz w:val="22"/>
          <w:szCs w:val="22"/>
        </w:rPr>
      </w:pPr>
      <w:r w:rsidRPr="00D01559">
        <w:rPr>
          <w:rFonts w:ascii="MetaPro-Norm" w:hAnsi="MetaPro-Norm"/>
          <w:sz w:val="22"/>
          <w:szCs w:val="22"/>
        </w:rPr>
        <w:t>The Indonesian government officially banned</w:t>
      </w:r>
      <w:r w:rsidRPr="007F3170">
        <w:rPr>
          <w:rFonts w:ascii="MetaPro-Norm" w:hAnsi="MetaPro-Norm"/>
          <w:sz w:val="22"/>
          <w:szCs w:val="22"/>
        </w:rPr>
        <w:t xml:space="preserve"> </w:t>
      </w:r>
      <w:proofErr w:type="spellStart"/>
      <w:r w:rsidRPr="00722BF2">
        <w:rPr>
          <w:rFonts w:ascii="MetaPro-Norm" w:hAnsi="MetaPro-Norm"/>
          <w:sz w:val="22"/>
          <w:szCs w:val="22"/>
        </w:rPr>
        <w:t>pasung</w:t>
      </w:r>
      <w:proofErr w:type="spellEnd"/>
      <w:r w:rsidRPr="007F3170">
        <w:rPr>
          <w:rFonts w:ascii="MetaPro-Norm" w:hAnsi="MetaPro-Norm"/>
          <w:sz w:val="22"/>
          <w:szCs w:val="22"/>
        </w:rPr>
        <w:t xml:space="preserve"> </w:t>
      </w:r>
      <w:r w:rsidRPr="00D01559">
        <w:rPr>
          <w:rFonts w:ascii="MetaPro-Norm" w:hAnsi="MetaPro-Norm"/>
          <w:sz w:val="22"/>
          <w:szCs w:val="22"/>
        </w:rPr>
        <w:t xml:space="preserve">under law in 1977. However, the practice remains to this day. </w:t>
      </w:r>
      <w:r w:rsidRPr="00D01559">
        <w:rPr>
          <w:rStyle w:val="eop"/>
          <w:rFonts w:ascii="MetaPro-Norm" w:hAnsi="MetaPro-Norm"/>
          <w:sz w:val="22"/>
          <w:szCs w:val="22"/>
        </w:rPr>
        <w:t>It is estimated that 57,000 people with psychosocial disabilities in Indonesia, including children, have been shackled at least once in their lives, with approximately 15,000 still living in chains as of November 2019.</w:t>
      </w:r>
      <w:r w:rsidRPr="00220EEA">
        <w:rPr>
          <w:rStyle w:val="FootnoteReference"/>
          <w:szCs w:val="22"/>
        </w:rPr>
        <w:footnoteReference w:id="35"/>
      </w:r>
      <w:r w:rsidRPr="00D01559">
        <w:rPr>
          <w:rStyle w:val="eop"/>
          <w:rFonts w:ascii="MetaPro-Norm" w:hAnsi="MetaPro-Norm"/>
          <w:sz w:val="22"/>
          <w:szCs w:val="22"/>
        </w:rPr>
        <w:t xml:space="preserve"> </w:t>
      </w:r>
    </w:p>
    <w:p w14:paraId="0FB1F3A3" w14:textId="77777777" w:rsidR="000C5660" w:rsidRPr="00D01559" w:rsidRDefault="000C5660" w:rsidP="000C5660">
      <w:pPr>
        <w:pStyle w:val="paragraph"/>
        <w:contextualSpacing/>
        <w:textAlignment w:val="baseline"/>
        <w:rPr>
          <w:rFonts w:ascii="MetaPro-Norm" w:hAnsi="MetaPro-Norm"/>
          <w:sz w:val="22"/>
          <w:szCs w:val="22"/>
        </w:rPr>
      </w:pPr>
    </w:p>
    <w:p w14:paraId="38DC76FA" w14:textId="77777777" w:rsidR="000C5660" w:rsidRPr="00D01559" w:rsidRDefault="000C5660" w:rsidP="000C5660">
      <w:pPr>
        <w:pStyle w:val="paragraph"/>
        <w:contextualSpacing/>
        <w:textAlignment w:val="baseline"/>
        <w:rPr>
          <w:rStyle w:val="eop"/>
          <w:rFonts w:ascii="MetaPro-Norm" w:hAnsi="MetaPro-Norm"/>
          <w:sz w:val="22"/>
          <w:szCs w:val="22"/>
        </w:rPr>
      </w:pPr>
      <w:r w:rsidRPr="00D01559">
        <w:rPr>
          <w:rFonts w:ascii="MetaPro-Norm" w:hAnsi="MetaPro-Norm"/>
          <w:sz w:val="22"/>
          <w:szCs w:val="22"/>
        </w:rPr>
        <w:t xml:space="preserve">In 2022, the UN Committee on the Rights of Persons with Disabilities called on </w:t>
      </w:r>
      <w:r w:rsidRPr="00D01559">
        <w:rPr>
          <w:rFonts w:ascii="MetaPro-Norm" w:hAnsi="MetaPro-Norm" w:cs="Calibri"/>
          <w:sz w:val="22"/>
          <w:szCs w:val="22"/>
        </w:rPr>
        <w:t xml:space="preserve">the Indonesian government to </w:t>
      </w:r>
      <w:r w:rsidRPr="00D01559">
        <w:rPr>
          <w:rFonts w:ascii="MetaPro-Norm" w:hAnsi="MetaPro-Norm"/>
          <w:sz w:val="22"/>
          <w:szCs w:val="22"/>
        </w:rPr>
        <w:t>“prohibit the use of shackling, seclusion and all forms of restraints in all settings, including within family settings and in social care institutions, and develop and promote non-coercive, community-based mental health supports and services.”</w:t>
      </w:r>
      <w:r w:rsidRPr="00220EEA">
        <w:rPr>
          <w:rStyle w:val="FootnoteReference"/>
          <w:szCs w:val="22"/>
        </w:rPr>
        <w:footnoteReference w:id="36"/>
      </w:r>
    </w:p>
    <w:p w14:paraId="7CCD2896" w14:textId="77777777" w:rsidR="000C5660" w:rsidRPr="00D01559" w:rsidRDefault="000C5660" w:rsidP="000C5660">
      <w:pPr>
        <w:pStyle w:val="paragraph"/>
        <w:spacing w:before="0" w:beforeAutospacing="0" w:after="0" w:afterAutospacing="0"/>
        <w:textAlignment w:val="baseline"/>
        <w:rPr>
          <w:rFonts w:ascii="MetaPro-Norm" w:hAnsi="MetaPro-Norm"/>
          <w:sz w:val="22"/>
          <w:szCs w:val="22"/>
        </w:rPr>
      </w:pPr>
      <w:r w:rsidRPr="00D01559">
        <w:rPr>
          <w:rStyle w:val="eop"/>
          <w:rFonts w:ascii="MetaPro-Norm" w:hAnsi="MetaPro-Norm"/>
          <w:sz w:val="22"/>
          <w:szCs w:val="22"/>
        </w:rPr>
        <w:br/>
      </w:r>
      <w:r w:rsidRPr="00D01559">
        <w:rPr>
          <w:rFonts w:ascii="MetaPro-Norm" w:hAnsi="MetaPro-Norm"/>
          <w:sz w:val="22"/>
          <w:szCs w:val="22"/>
        </w:rPr>
        <w:t>In 20</w:t>
      </w:r>
      <w:r>
        <w:rPr>
          <w:rFonts w:ascii="MetaPro-Norm" w:hAnsi="MetaPro-Norm"/>
          <w:sz w:val="22"/>
          <w:szCs w:val="22"/>
        </w:rPr>
        <w:t>20</w:t>
      </w:r>
      <w:r w:rsidRPr="00D01559">
        <w:rPr>
          <w:rFonts w:ascii="MetaPro-Norm" w:hAnsi="MetaPro-Norm"/>
          <w:sz w:val="22"/>
          <w:szCs w:val="22"/>
        </w:rPr>
        <w:t>, Human Rights Watch published a</w:t>
      </w:r>
      <w:r>
        <w:rPr>
          <w:rFonts w:ascii="MetaPro-Norm" w:hAnsi="MetaPro-Norm"/>
          <w:sz w:val="22"/>
          <w:szCs w:val="22"/>
        </w:rPr>
        <w:t xml:space="preserve"> global </w:t>
      </w:r>
      <w:r w:rsidRPr="00D01559">
        <w:rPr>
          <w:rFonts w:ascii="MetaPro-Norm" w:hAnsi="MetaPro-Norm"/>
          <w:sz w:val="22"/>
          <w:szCs w:val="22"/>
        </w:rPr>
        <w:t>report</w:t>
      </w:r>
      <w:r>
        <w:rPr>
          <w:rFonts w:ascii="MetaPro-Norm" w:hAnsi="MetaPro-Norm"/>
          <w:sz w:val="22"/>
          <w:szCs w:val="22"/>
        </w:rPr>
        <w:t xml:space="preserve"> </w:t>
      </w:r>
      <w:r w:rsidRPr="00D01559">
        <w:rPr>
          <w:rFonts w:ascii="MetaPro-Norm" w:hAnsi="MetaPro-Norm"/>
          <w:sz w:val="22"/>
          <w:szCs w:val="22"/>
        </w:rPr>
        <w:t xml:space="preserve">noting the positive steps taken by the Indonesian government to tackle shackling, including a national outreach and awareness raising </w:t>
      </w:r>
      <w:r w:rsidRPr="00D01559">
        <w:rPr>
          <w:rFonts w:ascii="MetaPro-Norm" w:hAnsi="MetaPro-Norm"/>
          <w:sz w:val="22"/>
          <w:szCs w:val="22"/>
        </w:rPr>
        <w:lastRenderedPageBreak/>
        <w:t xml:space="preserve">program reaching </w:t>
      </w:r>
      <w:r>
        <w:rPr>
          <w:rFonts w:ascii="MetaPro-Norm" w:hAnsi="MetaPro-Norm"/>
          <w:sz w:val="22"/>
          <w:szCs w:val="22"/>
        </w:rPr>
        <w:t>over 48</w:t>
      </w:r>
      <w:r w:rsidRPr="00D01559">
        <w:rPr>
          <w:rFonts w:ascii="MetaPro-Norm" w:hAnsi="MetaPro-Norm"/>
          <w:sz w:val="22"/>
          <w:szCs w:val="22"/>
        </w:rPr>
        <w:t xml:space="preserve"> million people.</w:t>
      </w:r>
      <w:r w:rsidRPr="05CE17B4">
        <w:rPr>
          <w:rStyle w:val="FootnoteReference"/>
        </w:rPr>
        <w:footnoteReference w:id="37"/>
      </w:r>
      <w:r w:rsidRPr="00D01559">
        <w:rPr>
          <w:rFonts w:ascii="MetaPro-Norm" w:hAnsi="MetaPro-Norm"/>
          <w:sz w:val="22"/>
          <w:szCs w:val="22"/>
        </w:rPr>
        <w:t xml:space="preserve"> Nonetheless, Indonesia’s national basic health survey (</w:t>
      </w:r>
      <w:proofErr w:type="spellStart"/>
      <w:r w:rsidRPr="00D01559">
        <w:rPr>
          <w:rFonts w:ascii="MetaPro-Norm" w:hAnsi="MetaPro-Norm"/>
          <w:sz w:val="22"/>
          <w:szCs w:val="22"/>
        </w:rPr>
        <w:t>Riskesdas</w:t>
      </w:r>
      <w:proofErr w:type="spellEnd"/>
      <w:r w:rsidRPr="00D01559">
        <w:rPr>
          <w:rFonts w:ascii="MetaPro-Norm" w:hAnsi="MetaPro-Norm"/>
          <w:sz w:val="22"/>
          <w:szCs w:val="22"/>
        </w:rPr>
        <w:t>) showed that in 2018, 12,800 people</w:t>
      </w:r>
      <w:r>
        <w:rPr>
          <w:rFonts w:ascii="MetaPro-Norm" w:hAnsi="MetaPro-Norm"/>
          <w:sz w:val="22"/>
          <w:szCs w:val="22"/>
        </w:rPr>
        <w:t>, including children,</w:t>
      </w:r>
      <w:r w:rsidRPr="00D01559">
        <w:rPr>
          <w:rFonts w:ascii="MetaPro-Norm" w:hAnsi="MetaPro-Norm"/>
          <w:sz w:val="22"/>
          <w:szCs w:val="22"/>
        </w:rPr>
        <w:t xml:space="preserve"> were still shackled or locked in confined spaces (down from 18,800 in 2016). </w:t>
      </w:r>
    </w:p>
    <w:p w14:paraId="659B058A" w14:textId="77777777" w:rsidR="000C5660" w:rsidRPr="00D01559" w:rsidRDefault="000C5660" w:rsidP="000C5660">
      <w:pPr>
        <w:pStyle w:val="paragraph"/>
        <w:spacing w:before="0" w:beforeAutospacing="0" w:after="0" w:afterAutospacing="0"/>
        <w:textAlignment w:val="baseline"/>
        <w:rPr>
          <w:rStyle w:val="eop"/>
          <w:rFonts w:ascii="MetaPro-Norm" w:hAnsi="MetaPro-Norm"/>
          <w:i/>
          <w:iCs/>
          <w:sz w:val="22"/>
          <w:szCs w:val="22"/>
        </w:rPr>
      </w:pPr>
      <w:r w:rsidRPr="00D01559">
        <w:rPr>
          <w:rStyle w:val="eop"/>
          <w:rFonts w:ascii="MetaPro-Norm" w:hAnsi="MetaPro-Norm"/>
          <w:sz w:val="22"/>
          <w:szCs w:val="22"/>
        </w:rPr>
        <w:br/>
      </w:r>
      <w:r w:rsidRPr="00D01559">
        <w:rPr>
          <w:rStyle w:val="eop"/>
          <w:rFonts w:ascii="MetaPro-Norm" w:hAnsi="MetaPro-Norm"/>
          <w:i/>
          <w:iCs/>
          <w:sz w:val="22"/>
          <w:szCs w:val="22"/>
        </w:rPr>
        <w:t>Institutionalization</w:t>
      </w:r>
    </w:p>
    <w:p w14:paraId="07307380" w14:textId="77777777" w:rsidR="000C5660" w:rsidRPr="00D01559" w:rsidRDefault="000C5660" w:rsidP="000C5660">
      <w:pPr>
        <w:spacing w:after="0" w:line="240" w:lineRule="auto"/>
      </w:pPr>
      <w:r w:rsidRPr="00D01559">
        <w:t xml:space="preserve">The institutionalization of children with disabilities is widespread in Indonesia and has already been noted as an issue of particular concern to </w:t>
      </w:r>
      <w:r>
        <w:t>this Committee</w:t>
      </w:r>
      <w:r w:rsidRPr="00D01559">
        <w:t>.</w:t>
      </w:r>
      <w:r w:rsidRPr="00A8032F">
        <w:rPr>
          <w:rStyle w:val="FootnoteReference"/>
        </w:rPr>
        <w:footnoteReference w:id="38"/>
      </w:r>
      <w:r w:rsidRPr="00A8032F">
        <w:rPr>
          <w:rFonts w:ascii="MetaPro-Medi" w:hAnsi="MetaPro-Medi"/>
        </w:rPr>
        <w:t xml:space="preserve"> </w:t>
      </w:r>
    </w:p>
    <w:p w14:paraId="68CBAC58" w14:textId="77777777" w:rsidR="000C5660" w:rsidRPr="00D01559" w:rsidRDefault="000C5660" w:rsidP="000C5660">
      <w:pPr>
        <w:spacing w:after="0" w:line="240" w:lineRule="auto"/>
      </w:pPr>
    </w:p>
    <w:p w14:paraId="689FAAAC" w14:textId="7C60D5B8" w:rsidR="000C5660" w:rsidRPr="00D01559" w:rsidRDefault="000C5660" w:rsidP="000C5660">
      <w:pPr>
        <w:autoSpaceDE w:val="0"/>
        <w:autoSpaceDN w:val="0"/>
        <w:adjustRightInd w:val="0"/>
        <w:spacing w:after="0" w:line="240" w:lineRule="auto"/>
        <w:rPr>
          <w:rFonts w:cs="MetaPro-Norm"/>
        </w:rPr>
      </w:pPr>
      <w:r w:rsidRPr="00D01559">
        <w:t>Under Indonesian law, it is relatively easy to involuntarily admit a person with a psychosocial disability to an institution. The Mental Health Act (2014) allows a family member or guardian to admit a child or adult with a psychosocial disability without their consent to a mental health or social care institution without any judicial review. Children placed in residential care institutions have the right to a periodic review of the treatment they received, but Human Rights Watch found this not to be the case, with many institutions not even having formal admission or discharge processes.</w:t>
      </w:r>
      <w:r w:rsidRPr="00A8032F">
        <w:rPr>
          <w:rStyle w:val="FootnoteReference"/>
        </w:rPr>
        <w:footnoteReference w:id="39"/>
      </w:r>
      <w:r w:rsidRPr="00D01559">
        <w:br/>
      </w:r>
      <w:r w:rsidRPr="00D01559">
        <w:br/>
        <w:t>Detention in faith</w:t>
      </w:r>
      <w:r w:rsidR="007F3170">
        <w:t>-</w:t>
      </w:r>
      <w:r w:rsidRPr="00D01559">
        <w:t>healing centers is also arbitrary. For example,</w:t>
      </w:r>
      <w:r w:rsidRPr="00D01559">
        <w:rPr>
          <w:rFonts w:cs="MetaPro-Norm"/>
        </w:rPr>
        <w:t xml:space="preserve"> Haji Hamdan Saiful Bahri, an Islamic faith healer who runs Kampung </w:t>
      </w:r>
      <w:proofErr w:type="spellStart"/>
      <w:r w:rsidRPr="00D01559">
        <w:rPr>
          <w:rFonts w:cs="MetaPro-Norm"/>
        </w:rPr>
        <w:t>Chi</w:t>
      </w:r>
      <w:r>
        <w:rPr>
          <w:rFonts w:cs="MetaPro-Norm"/>
        </w:rPr>
        <w:t>L</w:t>
      </w:r>
      <w:r w:rsidRPr="00D01559">
        <w:rPr>
          <w:rFonts w:cs="MetaPro-Norm"/>
        </w:rPr>
        <w:t>anjang</w:t>
      </w:r>
      <w:proofErr w:type="spellEnd"/>
      <w:r w:rsidRPr="00D01559">
        <w:rPr>
          <w:rFonts w:cs="MetaPro-Norm"/>
        </w:rPr>
        <w:t>, a private</w:t>
      </w:r>
      <w:r w:rsidRPr="00D01559">
        <w:rPr>
          <w:rFonts w:cs="MS Sans Serif"/>
        </w:rPr>
        <w:t xml:space="preserve"> </w:t>
      </w:r>
      <w:r w:rsidRPr="00D01559">
        <w:rPr>
          <w:rFonts w:cs="MetaPro-Norm"/>
        </w:rPr>
        <w:t xml:space="preserve">healing center in </w:t>
      </w:r>
      <w:proofErr w:type="spellStart"/>
      <w:r w:rsidRPr="00D01559">
        <w:rPr>
          <w:rFonts w:cs="MetaPro-Norm"/>
        </w:rPr>
        <w:t>Cianjur</w:t>
      </w:r>
      <w:proofErr w:type="spellEnd"/>
      <w:r w:rsidRPr="00D01559">
        <w:rPr>
          <w:rFonts w:cs="MetaPro-Norm"/>
        </w:rPr>
        <w:t>, described how he diagnosed a 13-year-old boy before admitting</w:t>
      </w:r>
      <w:r w:rsidRPr="00D01559">
        <w:rPr>
          <w:rFonts w:cs="MS Sans Serif"/>
        </w:rPr>
        <w:t xml:space="preserve"> </w:t>
      </w:r>
      <w:r w:rsidRPr="00D01559">
        <w:rPr>
          <w:rFonts w:cs="MetaPro-Norm"/>
        </w:rPr>
        <w:t>him to his institution for religious treatment. Bahri said: “I touched his chest, head, and</w:t>
      </w:r>
      <w:r w:rsidRPr="00D01559">
        <w:rPr>
          <w:rFonts w:cs="MS Sans Serif"/>
        </w:rPr>
        <w:t xml:space="preserve"> </w:t>
      </w:r>
      <w:r w:rsidRPr="00D01559">
        <w:rPr>
          <w:rFonts w:cs="MetaPro-Norm"/>
        </w:rPr>
        <w:t>legs to do photo sonogram [X-ray] to find out his illness. He started screaming so I knew he</w:t>
      </w:r>
      <w:r w:rsidRPr="00D01559">
        <w:rPr>
          <w:rFonts w:cs="MS Sans Serif"/>
        </w:rPr>
        <w:t xml:space="preserve"> </w:t>
      </w:r>
      <w:r w:rsidRPr="00D01559">
        <w:rPr>
          <w:rFonts w:cs="MetaPro-Norm"/>
        </w:rPr>
        <w:t>was depressed.” The process for discharge was similarly arbitrary. “When the [body] heat becomes cold, they’re ready to leave,” Bahri said. “When I take them outside to the market or to play football and the person feels cold, it means they’re cured.”</w:t>
      </w:r>
      <w:r w:rsidRPr="00A8032F">
        <w:rPr>
          <w:rStyle w:val="FootnoteReference"/>
          <w:rFonts w:cs="MetaPro-Norm"/>
        </w:rPr>
        <w:footnoteReference w:id="40"/>
      </w:r>
    </w:p>
    <w:p w14:paraId="5063683E" w14:textId="77777777" w:rsidR="000C5660" w:rsidRPr="00D01559" w:rsidRDefault="000C5660" w:rsidP="000C5660">
      <w:pPr>
        <w:spacing w:after="0" w:line="240" w:lineRule="auto"/>
      </w:pPr>
    </w:p>
    <w:p w14:paraId="10A2F19C" w14:textId="0C1A8263" w:rsidR="000C5660" w:rsidRPr="00D01559" w:rsidRDefault="000C5660" w:rsidP="000C5660">
      <w:pPr>
        <w:spacing w:after="0" w:line="240" w:lineRule="auto"/>
      </w:pPr>
      <w:r w:rsidRPr="00D01559">
        <w:t xml:space="preserve">State-run residential institutions and private faith-healing centers where children with disabilities are arbitrarily detained are exceptionally overcrowded and unsanitary and lack measures to support personal hygiene. Residents commonly lack access to a toilet and are forced to eat, sleep, urinate, and defecate in a radius of no more than </w:t>
      </w:r>
      <w:r w:rsidR="007F3170">
        <w:t>one</w:t>
      </w:r>
      <w:r w:rsidRPr="00D01559">
        <w:t xml:space="preserve"> to </w:t>
      </w:r>
      <w:r w:rsidR="007F3170">
        <w:t>two</w:t>
      </w:r>
      <w:r w:rsidRPr="00D01559">
        <w:t xml:space="preserve"> meters. In state-run mental hospitals, people with disabilities, including children, are also routinely forced to take medication, locked in </w:t>
      </w:r>
      <w:r w:rsidRPr="00D01559">
        <w:lastRenderedPageBreak/>
        <w:t>isolation rooms, and subjected to involuntary treatment ranging from physical and chemical restraints to electroconvulsive therapy (ECT).</w:t>
      </w:r>
      <w:r w:rsidRPr="00A8032F">
        <w:rPr>
          <w:rStyle w:val="FootnoteReference"/>
        </w:rPr>
        <w:footnoteReference w:id="41"/>
      </w:r>
    </w:p>
    <w:p w14:paraId="561BB467" w14:textId="77777777" w:rsidR="000C5660" w:rsidRPr="00D01559" w:rsidRDefault="000C5660" w:rsidP="000C5660">
      <w:pPr>
        <w:spacing w:after="0" w:line="240" w:lineRule="auto"/>
      </w:pPr>
    </w:p>
    <w:p w14:paraId="7FE4BF3C" w14:textId="5107FE2E" w:rsidR="000C5660" w:rsidRPr="00D01559" w:rsidRDefault="000C5660" w:rsidP="000C5660">
      <w:pPr>
        <w:spacing w:after="0" w:line="240" w:lineRule="auto"/>
      </w:pPr>
      <w:r w:rsidRPr="00D01559">
        <w:t>Human Rights Watch found that children were being subjected to “unmodified”</w:t>
      </w:r>
      <w:r w:rsidRPr="00D01559">
        <w:rPr>
          <w:rFonts w:cs="MS Sans Serif"/>
        </w:rPr>
        <w:t xml:space="preserve"> </w:t>
      </w:r>
      <w:r w:rsidRPr="00D01559">
        <w:t>ECT at one institution visited, Grogol Mental Hospital in Java.</w:t>
      </w:r>
      <w:r w:rsidRPr="003E6707">
        <w:rPr>
          <w:rStyle w:val="FootnoteReference"/>
        </w:rPr>
        <w:footnoteReference w:id="42"/>
      </w:r>
      <w:r w:rsidRPr="003E6707">
        <w:rPr>
          <w:rFonts w:ascii="MetaPro-Medi" w:hAnsi="MetaPro-Medi"/>
        </w:rPr>
        <w:t xml:space="preserve"> </w:t>
      </w:r>
      <w:r w:rsidRPr="00D01559">
        <w:t>This was done without any apparent consent from the patient or their families, and the ECT consent form at the hospital did not even have a space for a patient</w:t>
      </w:r>
      <w:r>
        <w:t>’s</w:t>
      </w:r>
      <w:r w:rsidRPr="00D01559">
        <w:t xml:space="preserve"> or guardian</w:t>
      </w:r>
      <w:r>
        <w:t>’s</w:t>
      </w:r>
      <w:r w:rsidRPr="00D01559">
        <w:t xml:space="preserve"> signature. The child’s consent and preferences are not taken into account in function of their evolving capacity. </w:t>
      </w:r>
      <w:r w:rsidR="007F3170">
        <w:t>Then-</w:t>
      </w:r>
      <w:r w:rsidRPr="00D01559">
        <w:t>UN Special Rapporteur on torture Manfred Nowak noted that unmodified ECT (that is, administered without anesthesia, muscle relaxants, and oxygen) is an unacceptable medical practice that may constitute torture or ill-treatment, which can lead to cognitive defects and loss of memory.</w:t>
      </w:r>
      <w:r w:rsidRPr="00B0275E">
        <w:rPr>
          <w:rStyle w:val="FootnoteReference"/>
        </w:rPr>
        <w:footnoteReference w:id="43"/>
      </w:r>
    </w:p>
    <w:p w14:paraId="05896F9D" w14:textId="77777777" w:rsidR="000C5660" w:rsidRPr="00D01559" w:rsidRDefault="000C5660" w:rsidP="000C5660">
      <w:pPr>
        <w:spacing w:after="0" w:line="240" w:lineRule="auto"/>
      </w:pPr>
    </w:p>
    <w:p w14:paraId="048B959B" w14:textId="77777777" w:rsidR="000C5660" w:rsidRPr="00D01559" w:rsidRDefault="000C5660" w:rsidP="000C5660">
      <w:pPr>
        <w:spacing w:after="0" w:line="240" w:lineRule="auto"/>
      </w:pPr>
      <w:r w:rsidRPr="00D01559">
        <w:t>The World Health Organization Resource Book on mental health, human rights, and legislation states that “there are no indications for the use of ECT on minors [defined as anyone below 18], and hence this should be prohibited through legislation.”</w:t>
      </w:r>
      <w:r w:rsidRPr="00B0275E">
        <w:rPr>
          <w:rFonts w:ascii="MetaPro-Medi" w:hAnsi="MetaPro-Medi"/>
          <w:vertAlign w:val="superscript"/>
        </w:rPr>
        <w:footnoteReference w:id="44"/>
      </w:r>
    </w:p>
    <w:p w14:paraId="79F71E4B" w14:textId="77777777" w:rsidR="000C5660" w:rsidRPr="00D01559" w:rsidRDefault="000C5660" w:rsidP="000C5660">
      <w:pPr>
        <w:spacing w:after="0" w:line="240" w:lineRule="auto"/>
      </w:pPr>
    </w:p>
    <w:p w14:paraId="18520BEC" w14:textId="77777777" w:rsidR="000C5660" w:rsidRPr="00D01559" w:rsidRDefault="000C5660" w:rsidP="000C5660">
      <w:pPr>
        <w:spacing w:after="0" w:line="240" w:lineRule="auto"/>
      </w:pPr>
      <w:r w:rsidRPr="00D01559">
        <w:t xml:space="preserve">Human Rights Watch also found instances of institutions routinely placing children in enforced seclusion, usually as a form of punishment or disciplinary measure. In hospitals, children have separate isolation rooms within the children’s ward, but in social care institutions, children were found to share </w:t>
      </w:r>
      <w:r>
        <w:t xml:space="preserve">rooms </w:t>
      </w:r>
      <w:r w:rsidRPr="00D01559">
        <w:t>with adults, with limited or no oversight.</w:t>
      </w:r>
      <w:r w:rsidRPr="00C101B9">
        <w:rPr>
          <w:rStyle w:val="FootnoteReference"/>
        </w:rPr>
        <w:footnoteReference w:id="45"/>
      </w:r>
      <w:r w:rsidRPr="00D01559">
        <w:t xml:space="preserve"> This leaves children at unacceptable risk of harm and abuse and represents failure by the institutions to adequately protect them.</w:t>
      </w:r>
    </w:p>
    <w:p w14:paraId="1EA02D23" w14:textId="77777777" w:rsidR="000C5660" w:rsidRPr="00D01559" w:rsidRDefault="000C5660" w:rsidP="000C5660">
      <w:pPr>
        <w:spacing w:after="0" w:line="240" w:lineRule="auto"/>
      </w:pPr>
    </w:p>
    <w:p w14:paraId="01F04760" w14:textId="6A060798" w:rsidR="000C5660" w:rsidRPr="00D01559" w:rsidRDefault="000C5660" w:rsidP="000C5660">
      <w:pPr>
        <w:spacing w:after="0" w:line="240" w:lineRule="auto"/>
      </w:pPr>
      <w:r w:rsidRPr="00D01559">
        <w:t>At all six hospitals visited by Human Rights Watch, children with psychosocial disabilities were subject to physical restraint during a crisis, a fight, or if they resisted while being injected with medication. The use of physical restraints is permissible under the Mental Health Act (2014), despite the UN Special Rapporteur on torture ha</w:t>
      </w:r>
      <w:r w:rsidR="009A0BD4">
        <w:t>ving</w:t>
      </w:r>
      <w:r w:rsidRPr="00D01559">
        <w:t xml:space="preserve"> previously stated that “there can be no therapeutic justification fo</w:t>
      </w:r>
      <w:r>
        <w:t>r the use of…</w:t>
      </w:r>
      <w:r w:rsidRPr="00D01559">
        <w:t xml:space="preserve"> prolonged restraint</w:t>
      </w:r>
      <w:r>
        <w:t xml:space="preserve"> of persons with disabilities…</w:t>
      </w:r>
      <w:r w:rsidRPr="00D01559">
        <w:t xml:space="preserve"> </w:t>
      </w:r>
      <w:r>
        <w:t>[</w:t>
      </w:r>
      <w:r w:rsidRPr="00D01559">
        <w:t>which</w:t>
      </w:r>
      <w:r>
        <w:t>]</w:t>
      </w:r>
      <w:r w:rsidRPr="00D01559">
        <w:t xml:space="preserve"> </w:t>
      </w:r>
      <w:r w:rsidRPr="00D01559">
        <w:lastRenderedPageBreak/>
        <w:t xml:space="preserve">may </w:t>
      </w:r>
      <w:r>
        <w:t>constitute</w:t>
      </w:r>
      <w:r w:rsidRPr="00D01559">
        <w:t xml:space="preserve"> torture or ill-treatment.”</w:t>
      </w:r>
      <w:r w:rsidRPr="00C101B9">
        <w:rPr>
          <w:rStyle w:val="FootnoteReference"/>
        </w:rPr>
        <w:footnoteReference w:id="46"/>
      </w:r>
      <w:r w:rsidRPr="00C101B9">
        <w:rPr>
          <w:rFonts w:ascii="MetaPro-Medi" w:hAnsi="MetaPro-Medi"/>
        </w:rPr>
        <w:t xml:space="preserve"> </w:t>
      </w:r>
      <w:r w:rsidRPr="00D01559">
        <w:t>The current Special Rapporteur on torture has noted that the restraint of an individual with psychosocial disabilities in particular, even for a short time, may constitute torture or inhumane treatment.</w:t>
      </w:r>
      <w:r w:rsidRPr="00C101B9">
        <w:rPr>
          <w:rStyle w:val="FootnoteReference"/>
        </w:rPr>
        <w:footnoteReference w:id="47"/>
      </w:r>
    </w:p>
    <w:p w14:paraId="79EECF11" w14:textId="77777777" w:rsidR="000C5660" w:rsidRPr="00D01559" w:rsidRDefault="000C5660" w:rsidP="000C5660">
      <w:pPr>
        <w:pStyle w:val="NormalWeb"/>
        <w:shd w:val="clear" w:color="auto" w:fill="FFFFFF" w:themeFill="background1"/>
        <w:rPr>
          <w:rFonts w:ascii="MetaPro-Norm" w:hAnsi="MetaPro-Norm"/>
          <w:sz w:val="22"/>
          <w:szCs w:val="22"/>
        </w:rPr>
      </w:pPr>
    </w:p>
    <w:p w14:paraId="598AAAEC" w14:textId="77777777" w:rsidR="000C5660" w:rsidRPr="004C7D47" w:rsidRDefault="000C5660" w:rsidP="000C5660">
      <w:pPr>
        <w:pStyle w:val="BodyText"/>
        <w:ind w:firstLine="0"/>
        <w:rPr>
          <w:rFonts w:ascii="MetaPro-Norm" w:hAnsi="MetaPro-Norm"/>
          <w:i/>
          <w:iCs/>
          <w:sz w:val="22"/>
          <w:szCs w:val="22"/>
        </w:rPr>
      </w:pPr>
      <w:r w:rsidRPr="00D01559">
        <w:rPr>
          <w:rFonts w:ascii="MetaPro-Norm" w:hAnsi="MetaPro-Norm"/>
          <w:i/>
          <w:iCs/>
          <w:sz w:val="22"/>
          <w:szCs w:val="22"/>
        </w:rPr>
        <w:t xml:space="preserve">Human Rights Watch </w:t>
      </w:r>
      <w:r>
        <w:rPr>
          <w:rFonts w:ascii="MetaPro-Norm" w:hAnsi="MetaPro-Norm"/>
          <w:i/>
          <w:iCs/>
          <w:sz w:val="22"/>
          <w:szCs w:val="22"/>
        </w:rPr>
        <w:t xml:space="preserve">recommends that </w:t>
      </w:r>
      <w:r w:rsidRPr="00D01559">
        <w:rPr>
          <w:rFonts w:ascii="MetaPro-Norm" w:hAnsi="MetaPro-Norm"/>
          <w:i/>
          <w:iCs/>
          <w:sz w:val="22"/>
          <w:szCs w:val="22"/>
        </w:rPr>
        <w:t xml:space="preserve">the Committee </w:t>
      </w:r>
      <w:r>
        <w:rPr>
          <w:rFonts w:ascii="MetaPro-Norm" w:hAnsi="MetaPro-Norm"/>
          <w:i/>
          <w:iCs/>
          <w:sz w:val="22"/>
          <w:szCs w:val="22"/>
        </w:rPr>
        <w:t>call on the Indonesian government to</w:t>
      </w:r>
      <w:r w:rsidRPr="00D01559">
        <w:rPr>
          <w:rFonts w:ascii="MetaPro-Norm" w:hAnsi="MetaPro-Norm"/>
          <w:i/>
          <w:iCs/>
          <w:sz w:val="22"/>
          <w:szCs w:val="22"/>
        </w:rPr>
        <w:t>:</w:t>
      </w:r>
    </w:p>
    <w:p w14:paraId="37CC184B" w14:textId="77777777" w:rsidR="000C5660" w:rsidRPr="00D01559" w:rsidRDefault="000C5660" w:rsidP="000C5660">
      <w:pPr>
        <w:pStyle w:val="BodyText"/>
        <w:numPr>
          <w:ilvl w:val="0"/>
          <w:numId w:val="7"/>
        </w:numPr>
        <w:rPr>
          <w:rFonts w:ascii="MetaPro-Norm" w:hAnsi="MetaPro-Norm"/>
          <w:sz w:val="22"/>
          <w:szCs w:val="22"/>
        </w:rPr>
      </w:pPr>
      <w:r w:rsidRPr="00D01559">
        <w:rPr>
          <w:rFonts w:ascii="MetaPro-Norm" w:hAnsi="MetaPro-Norm"/>
          <w:sz w:val="22"/>
          <w:szCs w:val="22"/>
        </w:rPr>
        <w:t xml:space="preserve">Strengthen and monitor the implementation of laws banning </w:t>
      </w:r>
      <w:proofErr w:type="spellStart"/>
      <w:r w:rsidRPr="00D01559">
        <w:rPr>
          <w:rFonts w:ascii="MetaPro-Norm" w:hAnsi="MetaPro-Norm"/>
          <w:i/>
          <w:iCs/>
          <w:sz w:val="22"/>
          <w:szCs w:val="22"/>
        </w:rPr>
        <w:t>pasung</w:t>
      </w:r>
      <w:proofErr w:type="spellEnd"/>
      <w:r w:rsidRPr="00D01559">
        <w:rPr>
          <w:rFonts w:ascii="MetaPro-Norm" w:hAnsi="MetaPro-Norm"/>
          <w:sz w:val="22"/>
          <w:szCs w:val="22"/>
        </w:rPr>
        <w:t>.</w:t>
      </w:r>
    </w:p>
    <w:p w14:paraId="2BCCD90D" w14:textId="77777777" w:rsidR="000C5660" w:rsidRPr="00D01559" w:rsidRDefault="000C5660" w:rsidP="000C5660">
      <w:pPr>
        <w:pStyle w:val="BodyText"/>
        <w:numPr>
          <w:ilvl w:val="0"/>
          <w:numId w:val="7"/>
        </w:numPr>
        <w:rPr>
          <w:rFonts w:ascii="MetaPro-Norm" w:hAnsi="MetaPro-Norm"/>
          <w:sz w:val="22"/>
          <w:szCs w:val="22"/>
        </w:rPr>
      </w:pPr>
      <w:r w:rsidRPr="00D01559">
        <w:rPr>
          <w:rFonts w:ascii="MetaPro-Norm" w:hAnsi="MetaPro-Norm"/>
          <w:sz w:val="22"/>
          <w:szCs w:val="22"/>
        </w:rPr>
        <w:t>Recognize institutionalization based on the existence of a disability as a form of discrimination and without consent of the individual as a form of arbitrary detention.</w:t>
      </w:r>
    </w:p>
    <w:p w14:paraId="6CAF9F76" w14:textId="77777777" w:rsidR="000C5660" w:rsidRPr="00D01559" w:rsidRDefault="000C5660" w:rsidP="000C5660">
      <w:pPr>
        <w:pStyle w:val="BodyText"/>
        <w:numPr>
          <w:ilvl w:val="0"/>
          <w:numId w:val="7"/>
        </w:numPr>
        <w:rPr>
          <w:rFonts w:ascii="MetaPro-Norm" w:hAnsi="MetaPro-Norm"/>
          <w:sz w:val="22"/>
          <w:szCs w:val="22"/>
        </w:rPr>
      </w:pPr>
      <w:r w:rsidRPr="00D01559">
        <w:rPr>
          <w:rFonts w:ascii="MetaPro-Norm" w:hAnsi="MetaPro-Norm"/>
          <w:sz w:val="22"/>
          <w:szCs w:val="22"/>
        </w:rPr>
        <w:t>Ensure that children who have been released from state and private institutions have access to psychosocial support and social services, including specialist child psychologists and support services.</w:t>
      </w:r>
    </w:p>
    <w:p w14:paraId="2885669B" w14:textId="77777777" w:rsidR="000C5660" w:rsidRPr="00D01559" w:rsidRDefault="000C5660" w:rsidP="000C5660">
      <w:pPr>
        <w:pStyle w:val="BodyText"/>
        <w:numPr>
          <w:ilvl w:val="0"/>
          <w:numId w:val="7"/>
        </w:numPr>
        <w:rPr>
          <w:rFonts w:ascii="MetaPro-Norm" w:hAnsi="MetaPro-Norm"/>
          <w:sz w:val="22"/>
          <w:szCs w:val="22"/>
        </w:rPr>
      </w:pPr>
      <w:r w:rsidRPr="00D01559">
        <w:rPr>
          <w:rFonts w:ascii="MetaPro-Norm" w:hAnsi="MetaPro-Norm"/>
          <w:sz w:val="22"/>
          <w:szCs w:val="22"/>
        </w:rPr>
        <w:t>Ban all forms of involuntary treatment, including ECT, without the person’s free and informed consent and in all circumstances involving children. Explicitly prohibit the use of seclusion and prolonged restraint.</w:t>
      </w:r>
    </w:p>
    <w:p w14:paraId="20BE2226" w14:textId="77777777" w:rsidR="000C5660" w:rsidRPr="00D01559" w:rsidRDefault="000C5660" w:rsidP="000C5660">
      <w:pPr>
        <w:pStyle w:val="BodyText"/>
        <w:numPr>
          <w:ilvl w:val="0"/>
          <w:numId w:val="7"/>
        </w:numPr>
        <w:rPr>
          <w:rFonts w:ascii="MetaPro-Norm" w:hAnsi="MetaPro-Norm"/>
          <w:sz w:val="22"/>
          <w:szCs w:val="22"/>
        </w:rPr>
      </w:pPr>
      <w:r w:rsidRPr="00D01559">
        <w:rPr>
          <w:rFonts w:ascii="MetaPro-Norm" w:hAnsi="MetaPro-Norm"/>
          <w:sz w:val="22"/>
          <w:szCs w:val="22"/>
        </w:rPr>
        <w:t>Develop a time-bound plan to shift progressively to community-based mental health, support, and independent living services.</w:t>
      </w:r>
    </w:p>
    <w:p w14:paraId="3930DD7A" w14:textId="77777777" w:rsidR="000C5660" w:rsidRPr="00D01559" w:rsidRDefault="000C5660" w:rsidP="000C5660">
      <w:pPr>
        <w:pStyle w:val="BodyText"/>
        <w:numPr>
          <w:ilvl w:val="0"/>
          <w:numId w:val="7"/>
        </w:numPr>
        <w:rPr>
          <w:rFonts w:ascii="MetaPro-Norm" w:hAnsi="MetaPro-Norm"/>
          <w:sz w:val="22"/>
          <w:szCs w:val="22"/>
        </w:rPr>
      </w:pPr>
      <w:r w:rsidRPr="00D01559">
        <w:rPr>
          <w:rFonts w:ascii="MetaPro-Norm" w:hAnsi="MetaPro-Norm"/>
          <w:sz w:val="22"/>
          <w:szCs w:val="22"/>
        </w:rPr>
        <w:t>Create and implement a de-institutionalization policy and a time-bound action plan for de-institutionalization, based on the values of equality, independence, and inclusion for children with disabilities.</w:t>
      </w:r>
    </w:p>
    <w:p w14:paraId="22AD6AB6" w14:textId="77777777" w:rsidR="000C5660" w:rsidRPr="00D01559" w:rsidRDefault="000C5660" w:rsidP="000C5660">
      <w:pPr>
        <w:pStyle w:val="BodyText"/>
        <w:numPr>
          <w:ilvl w:val="0"/>
          <w:numId w:val="7"/>
        </w:numPr>
        <w:rPr>
          <w:rFonts w:ascii="MetaPro-Norm" w:hAnsi="MetaPro-Norm"/>
          <w:sz w:val="22"/>
          <w:szCs w:val="22"/>
        </w:rPr>
      </w:pPr>
      <w:r w:rsidRPr="00D01559">
        <w:rPr>
          <w:rFonts w:ascii="MetaPro-Norm" w:hAnsi="MetaPro-Norm"/>
          <w:sz w:val="22"/>
          <w:szCs w:val="22"/>
        </w:rPr>
        <w:t>Conduct regular, unannounced monitoring visits to government and private social care institutions as well as faith-healing centers, with unhindered and confidential interaction with both staff and patients, and report publicly on the findings from these visits.</w:t>
      </w:r>
    </w:p>
    <w:p w14:paraId="71E39657" w14:textId="77777777" w:rsidR="000C5660" w:rsidRPr="00D01559" w:rsidRDefault="000C5660" w:rsidP="000C5660">
      <w:pPr>
        <w:pStyle w:val="BodyText"/>
        <w:numPr>
          <w:ilvl w:val="0"/>
          <w:numId w:val="7"/>
        </w:numPr>
        <w:rPr>
          <w:rFonts w:ascii="MetaPro-Norm" w:hAnsi="MetaPro-Norm"/>
          <w:sz w:val="22"/>
          <w:szCs w:val="22"/>
        </w:rPr>
      </w:pPr>
      <w:r w:rsidRPr="00D01559">
        <w:rPr>
          <w:rFonts w:ascii="MetaPro-Norm" w:hAnsi="MetaPro-Norm"/>
          <w:sz w:val="22"/>
          <w:szCs w:val="22"/>
        </w:rPr>
        <w:t>Train and sensitize government health workers, mental health professionals, and staff in institutions to the concerns and needs of persons with psychosocial disabilities, including children, and create a confidential and effective complaint mechanism for individuals with psychosocial disabilities to report abuse.</w:t>
      </w:r>
    </w:p>
    <w:p w14:paraId="430B79B9" w14:textId="77777777" w:rsidR="000C5660" w:rsidRPr="004156B3" w:rsidRDefault="000C5660" w:rsidP="000C5660">
      <w:pPr>
        <w:pStyle w:val="BodyText"/>
        <w:numPr>
          <w:ilvl w:val="0"/>
          <w:numId w:val="7"/>
        </w:numPr>
        <w:rPr>
          <w:rFonts w:ascii="MetaPro-Norm" w:hAnsi="MetaPro-Norm"/>
          <w:sz w:val="22"/>
          <w:szCs w:val="22"/>
        </w:rPr>
      </w:pPr>
      <w:r w:rsidRPr="00D01559">
        <w:rPr>
          <w:rFonts w:ascii="MetaPro-Norm" w:hAnsi="MetaPro-Norm"/>
          <w:sz w:val="22"/>
          <w:szCs w:val="22"/>
        </w:rPr>
        <w:t>Conduct extensive public awareness and information campaigns, including through the media, religious groups, and schools, on mental health conditions, the rights of children with disabilities, and alternatives to institutionalization and restraint.</w:t>
      </w:r>
    </w:p>
    <w:p w14:paraId="24B8EF6B" w14:textId="77777777" w:rsidR="005F7B3B" w:rsidRDefault="005F7B3B" w:rsidP="005F7B3B">
      <w:pPr>
        <w:spacing w:after="0" w:line="22" w:lineRule="atLeast"/>
      </w:pPr>
    </w:p>
    <w:p w14:paraId="6DF569BE" w14:textId="77777777" w:rsidR="00A747E6" w:rsidRDefault="00A747E6" w:rsidP="0071540E"/>
    <w:sectPr w:rsidR="00A747E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BA1C1" w14:textId="77777777" w:rsidR="006E3D87" w:rsidRDefault="006E3D87" w:rsidP="002346B5">
      <w:pPr>
        <w:spacing w:after="0" w:line="240" w:lineRule="auto"/>
      </w:pPr>
      <w:r>
        <w:separator/>
      </w:r>
    </w:p>
  </w:endnote>
  <w:endnote w:type="continuationSeparator" w:id="0">
    <w:p w14:paraId="4A3870F3" w14:textId="77777777" w:rsidR="006E3D87" w:rsidRDefault="006E3D87" w:rsidP="002346B5">
      <w:pPr>
        <w:spacing w:after="0" w:line="240" w:lineRule="auto"/>
      </w:pPr>
      <w:r>
        <w:continuationSeparator/>
      </w:r>
    </w:p>
  </w:endnote>
  <w:endnote w:type="continuationNotice" w:id="1">
    <w:p w14:paraId="4B62A7D7" w14:textId="77777777" w:rsidR="006E3D87" w:rsidRDefault="006E3D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MS Sans Serif">
    <w:altName w:val="Microsoft Sans Serif"/>
    <w:panose1 w:val="00000000000000000000"/>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755918"/>
      <w:docPartObj>
        <w:docPartGallery w:val="Page Numbers (Bottom of Page)"/>
        <w:docPartUnique/>
      </w:docPartObj>
    </w:sdtPr>
    <w:sdtEndPr>
      <w:rPr>
        <w:rFonts w:ascii="MetaPro-Medi" w:hAnsi="MetaPro-Medi"/>
        <w:noProof/>
      </w:rPr>
    </w:sdtEndPr>
    <w:sdtContent>
      <w:p w14:paraId="5B5DFFC1" w14:textId="28754DA2" w:rsidR="00691A84" w:rsidRPr="00691A84" w:rsidRDefault="00691A84">
        <w:pPr>
          <w:pStyle w:val="Footer"/>
          <w:jc w:val="center"/>
          <w:rPr>
            <w:rFonts w:ascii="MetaPro-Medi" w:hAnsi="MetaPro-Medi"/>
          </w:rPr>
        </w:pPr>
        <w:r w:rsidRPr="00691A84">
          <w:rPr>
            <w:rFonts w:ascii="MetaPro-Medi" w:hAnsi="MetaPro-Medi"/>
          </w:rPr>
          <w:fldChar w:fldCharType="begin"/>
        </w:r>
        <w:r w:rsidRPr="00691A84">
          <w:rPr>
            <w:rFonts w:ascii="MetaPro-Medi" w:hAnsi="MetaPro-Medi"/>
          </w:rPr>
          <w:instrText xml:space="preserve"> PAGE   \* MERGEFORMAT </w:instrText>
        </w:r>
        <w:r w:rsidRPr="00691A84">
          <w:rPr>
            <w:rFonts w:ascii="MetaPro-Medi" w:hAnsi="MetaPro-Medi"/>
          </w:rPr>
          <w:fldChar w:fldCharType="separate"/>
        </w:r>
        <w:r w:rsidRPr="00691A84">
          <w:rPr>
            <w:rFonts w:ascii="MetaPro-Medi" w:hAnsi="MetaPro-Medi"/>
            <w:noProof/>
          </w:rPr>
          <w:t>2</w:t>
        </w:r>
        <w:r w:rsidRPr="00691A84">
          <w:rPr>
            <w:rFonts w:ascii="MetaPro-Medi" w:hAnsi="MetaPro-Medi"/>
            <w:noProof/>
          </w:rPr>
          <w:fldChar w:fldCharType="end"/>
        </w:r>
      </w:p>
    </w:sdtContent>
  </w:sdt>
  <w:p w14:paraId="1B64EEC0" w14:textId="77777777" w:rsidR="00691A84" w:rsidRDefault="00691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1B1D7" w14:textId="77777777" w:rsidR="006E3D87" w:rsidRDefault="006E3D87" w:rsidP="002346B5">
      <w:pPr>
        <w:spacing w:after="0" w:line="240" w:lineRule="auto"/>
      </w:pPr>
      <w:r>
        <w:separator/>
      </w:r>
    </w:p>
  </w:footnote>
  <w:footnote w:type="continuationSeparator" w:id="0">
    <w:p w14:paraId="0EC7E37A" w14:textId="77777777" w:rsidR="006E3D87" w:rsidRDefault="006E3D87" w:rsidP="002346B5">
      <w:pPr>
        <w:spacing w:after="0" w:line="240" w:lineRule="auto"/>
      </w:pPr>
      <w:r>
        <w:continuationSeparator/>
      </w:r>
    </w:p>
  </w:footnote>
  <w:footnote w:type="continuationNotice" w:id="1">
    <w:p w14:paraId="1C5309F6" w14:textId="77777777" w:rsidR="006E3D87" w:rsidRDefault="006E3D87">
      <w:pPr>
        <w:spacing w:after="0" w:line="240" w:lineRule="auto"/>
      </w:pPr>
    </w:p>
  </w:footnote>
  <w:footnote w:id="2">
    <w:p w14:paraId="7D4E3B00" w14:textId="77777777" w:rsidR="002346B5" w:rsidRPr="009E2547" w:rsidRDefault="002346B5" w:rsidP="002346B5">
      <w:pPr>
        <w:pStyle w:val="FootnoteText"/>
      </w:pPr>
      <w:r>
        <w:rPr>
          <w:rStyle w:val="FootnoteReference"/>
        </w:rPr>
        <w:footnoteRef/>
      </w:r>
      <w:r>
        <w:t xml:space="preserve"> </w:t>
      </w:r>
      <w:r w:rsidRPr="009E2547">
        <w:t xml:space="preserve">Andreas Harsono, </w:t>
      </w:r>
      <w:r>
        <w:t>“</w:t>
      </w:r>
      <w:r w:rsidRPr="009E2547">
        <w:t>Indonesian Schoolgirls Testify on Mandatory Hijab and Bullying</w:t>
      </w:r>
      <w:r>
        <w:t xml:space="preserve">,” Human Rights Watch dispatch, August 17, 2023, </w:t>
      </w:r>
      <w:r w:rsidRPr="00CE568D">
        <w:t>https://www.hrw.org/news/2023/08/17/indonesian-schoolgirls-testify-mandatory-hijab-and-bullying</w:t>
      </w:r>
      <w:r>
        <w:t>.</w:t>
      </w:r>
    </w:p>
  </w:footnote>
  <w:footnote w:id="3">
    <w:p w14:paraId="3D3A6816" w14:textId="77777777" w:rsidR="002346B5" w:rsidRPr="001E7013" w:rsidRDefault="002346B5" w:rsidP="002346B5">
      <w:pPr>
        <w:pStyle w:val="FootnoteText"/>
      </w:pPr>
      <w:r>
        <w:rPr>
          <w:rStyle w:val="FootnoteReference"/>
        </w:rPr>
        <w:footnoteRef/>
      </w:r>
      <w:r>
        <w:t xml:space="preserve"> Human Rights Watch, </w:t>
      </w:r>
      <w:r w:rsidRPr="00634417">
        <w:rPr>
          <w:i/>
          <w:iCs/>
        </w:rPr>
        <w:t>“I Wanted to Run Away”: Abusive Dress Codes for Women and Girls in Indonesia</w:t>
      </w:r>
      <w:r>
        <w:rPr>
          <w:i/>
          <w:iCs/>
        </w:rPr>
        <w:t xml:space="preserve"> </w:t>
      </w:r>
      <w:r>
        <w:t xml:space="preserve">(New York: Human Rights Watch, 2021), </w:t>
      </w:r>
      <w:r w:rsidRPr="00AA6CBC">
        <w:t>https://www.hrw.org/report/2021/03/18/i-wanted-run-away/abusive-dress-codes-women-and-girls-indonesia</w:t>
      </w:r>
      <w:r>
        <w:t>.</w:t>
      </w:r>
    </w:p>
  </w:footnote>
  <w:footnote w:id="4">
    <w:p w14:paraId="04B7DBDA" w14:textId="77777777" w:rsidR="002346B5" w:rsidRPr="00E54F5D" w:rsidRDefault="002346B5" w:rsidP="002346B5">
      <w:pPr>
        <w:pStyle w:val="FootnoteText"/>
      </w:pPr>
      <w:r>
        <w:rPr>
          <w:rStyle w:val="FootnoteReference"/>
        </w:rPr>
        <w:footnoteRef/>
      </w:r>
      <w:r>
        <w:t xml:space="preserve"> </w:t>
      </w:r>
      <w:r w:rsidRPr="00E54F5D">
        <w:t>Ibid.</w:t>
      </w:r>
    </w:p>
  </w:footnote>
  <w:footnote w:id="5">
    <w:p w14:paraId="1C79F517" w14:textId="77777777" w:rsidR="002346B5" w:rsidRPr="00B030D8" w:rsidRDefault="002346B5" w:rsidP="002346B5">
      <w:pPr>
        <w:pStyle w:val="FootnoteText"/>
      </w:pPr>
      <w:r>
        <w:rPr>
          <w:rStyle w:val="FootnoteReference"/>
        </w:rPr>
        <w:footnoteRef/>
      </w:r>
      <w:r>
        <w:t xml:space="preserve"> Ibid.</w:t>
      </w:r>
    </w:p>
  </w:footnote>
  <w:footnote w:id="6">
    <w:p w14:paraId="0DBC445B" w14:textId="27843667" w:rsidR="002346B5" w:rsidRPr="0098222C" w:rsidRDefault="002346B5" w:rsidP="002346B5">
      <w:pPr>
        <w:pStyle w:val="FootnoteText"/>
      </w:pPr>
      <w:r>
        <w:rPr>
          <w:rStyle w:val="FootnoteReference"/>
        </w:rPr>
        <w:footnoteRef/>
      </w:r>
      <w:r>
        <w:t xml:space="preserve"> “</w:t>
      </w:r>
      <w:proofErr w:type="spellStart"/>
      <w:r w:rsidRPr="0098222C">
        <w:t>Peraturan</w:t>
      </w:r>
      <w:proofErr w:type="spellEnd"/>
      <w:r w:rsidRPr="0098222C">
        <w:t xml:space="preserve"> Menteri Pendidikan dan </w:t>
      </w:r>
      <w:proofErr w:type="spellStart"/>
      <w:r w:rsidRPr="0098222C">
        <w:t>Kebudayaan</w:t>
      </w:r>
      <w:proofErr w:type="spellEnd"/>
      <w:r w:rsidRPr="0098222C">
        <w:t xml:space="preserve"> </w:t>
      </w:r>
      <w:proofErr w:type="spellStart"/>
      <w:r w:rsidRPr="0098222C">
        <w:t>tentang</w:t>
      </w:r>
      <w:proofErr w:type="spellEnd"/>
      <w:r w:rsidRPr="0098222C">
        <w:t xml:space="preserve"> </w:t>
      </w:r>
      <w:proofErr w:type="spellStart"/>
      <w:r w:rsidRPr="0098222C">
        <w:t>Pakaian</w:t>
      </w:r>
      <w:proofErr w:type="spellEnd"/>
      <w:r w:rsidRPr="0098222C">
        <w:t xml:space="preserve"> </w:t>
      </w:r>
      <w:proofErr w:type="spellStart"/>
      <w:r w:rsidRPr="0098222C">
        <w:t>Seragam</w:t>
      </w:r>
      <w:proofErr w:type="spellEnd"/>
      <w:r w:rsidRPr="0098222C">
        <w:t xml:space="preserve"> </w:t>
      </w:r>
      <w:proofErr w:type="spellStart"/>
      <w:r w:rsidRPr="0098222C">
        <w:t>Sekolah</w:t>
      </w:r>
      <w:proofErr w:type="spellEnd"/>
      <w:r w:rsidRPr="0098222C">
        <w:t xml:space="preserve"> Bagi </w:t>
      </w:r>
      <w:proofErr w:type="spellStart"/>
      <w:r w:rsidRPr="0098222C">
        <w:t>Peserta</w:t>
      </w:r>
      <w:proofErr w:type="spellEnd"/>
      <w:r w:rsidRPr="0098222C">
        <w:t xml:space="preserve"> Didik </w:t>
      </w:r>
      <w:proofErr w:type="spellStart"/>
      <w:r w:rsidRPr="0098222C">
        <w:t>Jenjang</w:t>
      </w:r>
      <w:proofErr w:type="spellEnd"/>
      <w:r w:rsidRPr="0098222C">
        <w:t xml:space="preserve"> Pendidikan Dasar dan </w:t>
      </w:r>
      <w:proofErr w:type="spellStart"/>
      <w:r w:rsidRPr="0098222C">
        <w:t>Menengah</w:t>
      </w:r>
      <w:proofErr w:type="spellEnd"/>
      <w:r w:rsidRPr="0098222C">
        <w:t xml:space="preserve">” (Minister of Education and Culture Regulation on School Uniform for Primary and High Education), no. 45/2014, </w:t>
      </w:r>
      <w:r>
        <w:t xml:space="preserve">available at </w:t>
      </w:r>
      <w:r w:rsidRPr="0098222C">
        <w:t xml:space="preserve">http://simpuh.kemenag.go.id/regulasi/permendikbud_45_14.pdf (accessed </w:t>
      </w:r>
      <w:r>
        <w:t>December 6, 2023</w:t>
      </w:r>
      <w:r w:rsidRPr="0098222C">
        <w:t>).</w:t>
      </w:r>
    </w:p>
  </w:footnote>
  <w:footnote w:id="7">
    <w:p w14:paraId="0A97181A" w14:textId="77777777" w:rsidR="002346B5" w:rsidRPr="00B771BF" w:rsidRDefault="002346B5" w:rsidP="002346B5">
      <w:pPr>
        <w:pStyle w:val="FootnoteText"/>
      </w:pPr>
      <w:r>
        <w:rPr>
          <w:rStyle w:val="FootnoteReference"/>
        </w:rPr>
        <w:footnoteRef/>
      </w:r>
      <w:r>
        <w:t xml:space="preserve"> “</w:t>
      </w:r>
      <w:r w:rsidRPr="00B771BF">
        <w:t>Indonesia: Enforce Dress Code Ban,” Human Rights Watch news release, February 5, 2021, https://www.hrw.org/news/2021/02/05/indonesia-enforce-dress-code-ban.</w:t>
      </w:r>
    </w:p>
  </w:footnote>
  <w:footnote w:id="8">
    <w:p w14:paraId="61844408" w14:textId="77777777" w:rsidR="002346B5" w:rsidRPr="004412C2" w:rsidRDefault="002346B5" w:rsidP="002346B5">
      <w:pPr>
        <w:pStyle w:val="FootnoteText"/>
      </w:pPr>
      <w:r>
        <w:rPr>
          <w:rStyle w:val="FootnoteReference"/>
        </w:rPr>
        <w:footnoteRef/>
      </w:r>
      <w:r>
        <w:t xml:space="preserve"> </w:t>
      </w:r>
      <w:r w:rsidRPr="004412C2">
        <w:t>Andreas Harsono, “Indonesia Supreme Court Supports Mandatory Jilbab Rule,” Human Rights Watch</w:t>
      </w:r>
      <w:r>
        <w:t xml:space="preserve"> dispatch</w:t>
      </w:r>
      <w:r w:rsidRPr="004412C2">
        <w:t>, July 1, 2021, https://www.hrw.org/news/2021/07/01/indonesia-supreme-court-supports-mandatory-jilbab-rule.</w:t>
      </w:r>
    </w:p>
  </w:footnote>
  <w:footnote w:id="9">
    <w:p w14:paraId="2A32D5A7" w14:textId="77777777" w:rsidR="002346B5" w:rsidRPr="00CC478E" w:rsidRDefault="002346B5" w:rsidP="002346B5">
      <w:pPr>
        <w:pStyle w:val="FootnoteText"/>
      </w:pPr>
      <w:r>
        <w:rPr>
          <w:rStyle w:val="FootnoteReference"/>
        </w:rPr>
        <w:footnoteRef/>
      </w:r>
      <w:r>
        <w:t xml:space="preserve"> “</w:t>
      </w:r>
      <w:r w:rsidRPr="005233A3">
        <w:t>Indonesian Women Speak Out on Dress Codes</w:t>
      </w:r>
      <w:r>
        <w:t xml:space="preserve">,” Human Rights Watch news release, July 21, 2022, </w:t>
      </w:r>
      <w:r w:rsidRPr="00846C7E">
        <w:t>https://www.hrw.org/news/2022/07/21/indonesian-women-speak-out-dress-codes</w:t>
      </w:r>
      <w:r>
        <w:t>.</w:t>
      </w:r>
    </w:p>
  </w:footnote>
  <w:footnote w:id="10">
    <w:p w14:paraId="7B3B2CF9" w14:textId="77777777" w:rsidR="002346B5" w:rsidRDefault="002346B5" w:rsidP="002346B5">
      <w:pPr>
        <w:spacing w:after="0"/>
        <w:rPr>
          <w:sz w:val="16"/>
          <w:szCs w:val="16"/>
        </w:rPr>
      </w:pPr>
      <w:r w:rsidRPr="34916D99">
        <w:rPr>
          <w:rStyle w:val="FootnoteReference"/>
        </w:rPr>
        <w:footnoteRef/>
      </w:r>
      <w:r>
        <w:t xml:space="preserve"> </w:t>
      </w:r>
      <w:r w:rsidRPr="34916D99">
        <w:rPr>
          <w:sz w:val="16"/>
          <w:szCs w:val="16"/>
        </w:rPr>
        <w:t xml:space="preserve">Republic of Indonesia, Regulation of the Minister of Education, Culture, Research and Technology number 50 of 2022, available at </w:t>
      </w:r>
      <w:r w:rsidRPr="00CB0871">
        <w:rPr>
          <w:sz w:val="16"/>
          <w:szCs w:val="16"/>
        </w:rPr>
        <w:t>https://jdih.kemdikbud.go.id/sjdih/siperpu/dokumen/salinan/salinan_20220928_123327_Permendikbudristek%20Nomor%2050%20Tahun%202022.pdf</w:t>
      </w:r>
      <w:r w:rsidRPr="34916D99">
        <w:rPr>
          <w:sz w:val="16"/>
          <w:szCs w:val="16"/>
        </w:rPr>
        <w:t xml:space="preserve"> (accessed January 3, 2024).</w:t>
      </w:r>
    </w:p>
  </w:footnote>
  <w:footnote w:id="11">
    <w:p w14:paraId="2B1A9720" w14:textId="652D16F3" w:rsidR="006B7114" w:rsidRPr="00913C3D" w:rsidRDefault="006B7114" w:rsidP="006B7114">
      <w:pPr>
        <w:pStyle w:val="FootnoteText"/>
      </w:pPr>
      <w:r>
        <w:rPr>
          <w:rStyle w:val="FootnoteReference"/>
        </w:rPr>
        <w:footnoteRef/>
      </w:r>
      <w:r>
        <w:t xml:space="preserve"> “Indonesia: New Criminal Code Assaults Rights”, Human Rights Watch news release, January 12, 2023, </w:t>
      </w:r>
      <w:r w:rsidRPr="00881206">
        <w:t>https://www.hrw.org/news/2023/01/12/indonesia-new-criminal-code-assaults-rights</w:t>
      </w:r>
      <w:r>
        <w:t>; Ryan Thoreson</w:t>
      </w:r>
      <w:r w:rsidR="002D706E">
        <w:t xml:space="preserve"> (Human Rights Watch)</w:t>
      </w:r>
      <w:r>
        <w:t>, “</w:t>
      </w:r>
      <w:r w:rsidRPr="00913C3D">
        <w:t>Harassment, Threats Prompt Cancellation of LGBT Conference in Indonesia</w:t>
      </w:r>
      <w:r>
        <w:t xml:space="preserve">,” Human Rights Watch dispatch, July 19, 2023, </w:t>
      </w:r>
      <w:r w:rsidRPr="000C60F9">
        <w:t>https://www.hrw.org/news/2023/07/19/harassment-threats-prompt-cancellation-lgbt-conference-indonesia</w:t>
      </w:r>
      <w:r>
        <w:t>.</w:t>
      </w:r>
    </w:p>
  </w:footnote>
  <w:footnote w:id="12">
    <w:p w14:paraId="36245F32" w14:textId="77777777" w:rsidR="006B7114" w:rsidRDefault="006B7114" w:rsidP="006B7114">
      <w:pPr>
        <w:pStyle w:val="FootnoteText"/>
      </w:pPr>
      <w:r>
        <w:rPr>
          <w:rStyle w:val="FootnoteReference"/>
        </w:rPr>
        <w:footnoteRef/>
      </w:r>
      <w:r>
        <w:t xml:space="preserve"> “</w:t>
      </w:r>
      <w:r w:rsidRPr="001E1FAF">
        <w:t>Indonesia: New Criminal Code Disastrous for Rights</w:t>
      </w:r>
      <w:r>
        <w:t xml:space="preserve">,” Human Rights Watch news release, December 8, 2022, </w:t>
      </w:r>
      <w:r w:rsidRPr="00743DAA">
        <w:t>https://www.hrw.org/news/2022/12/08/indonesia-new-criminal-code-disastrous-rights</w:t>
      </w:r>
      <w:r>
        <w:t>.</w:t>
      </w:r>
    </w:p>
  </w:footnote>
  <w:footnote w:id="13">
    <w:p w14:paraId="2C64E053" w14:textId="77777777" w:rsidR="006B7114" w:rsidRDefault="006B7114" w:rsidP="006B7114">
      <w:pPr>
        <w:pStyle w:val="FootnoteText"/>
      </w:pPr>
      <w:r>
        <w:rPr>
          <w:rStyle w:val="FootnoteReference"/>
        </w:rPr>
        <w:footnoteRef/>
      </w:r>
      <w:r>
        <w:t xml:space="preserve"> Ibid.</w:t>
      </w:r>
    </w:p>
  </w:footnote>
  <w:footnote w:id="14">
    <w:p w14:paraId="48EE6603" w14:textId="77777777" w:rsidR="00C75C52" w:rsidRPr="00D25807" w:rsidRDefault="00C75C52" w:rsidP="00C75C52">
      <w:pPr>
        <w:pStyle w:val="FootnoteText"/>
      </w:pPr>
      <w:r>
        <w:rPr>
          <w:rStyle w:val="FootnoteReference"/>
        </w:rPr>
        <w:footnoteRef/>
      </w:r>
      <w:r>
        <w:t xml:space="preserve"> Constitution </w:t>
      </w:r>
      <w:r w:rsidRPr="00DA4BEE">
        <w:t>of the Republic of Indonesia (last amended 2002)</w:t>
      </w:r>
      <w:r>
        <w:t>,</w:t>
      </w:r>
      <w:r w:rsidRPr="00DA4BEE">
        <w:t xml:space="preserve"> 1945</w:t>
      </w:r>
      <w:r>
        <w:t xml:space="preserve">, art. 31(1) and (2). See also Act of the Republic of Indonesia Number 20, Year 2003 on National Education System. </w:t>
      </w:r>
    </w:p>
  </w:footnote>
  <w:footnote w:id="15">
    <w:p w14:paraId="7CCC6989" w14:textId="77777777" w:rsidR="00C75C52" w:rsidRPr="00526DCF" w:rsidRDefault="00C75C52" w:rsidP="00C75C52">
      <w:pPr>
        <w:pStyle w:val="FootnoteText"/>
      </w:pPr>
      <w:r>
        <w:rPr>
          <w:rStyle w:val="FootnoteReference"/>
        </w:rPr>
        <w:footnoteRef/>
      </w:r>
      <w:r>
        <w:t xml:space="preserve"> Andrew Rosser, “</w:t>
      </w:r>
      <w:r w:rsidRPr="00526DCF">
        <w:t>Beyond access: Making Indonesia’s education system work</w:t>
      </w:r>
      <w:r>
        <w:t xml:space="preserve">,” </w:t>
      </w:r>
      <w:r>
        <w:rPr>
          <w:i/>
          <w:iCs/>
        </w:rPr>
        <w:t>Lowy Institute</w:t>
      </w:r>
      <w:r>
        <w:t xml:space="preserve">, February 21, 2018, </w:t>
      </w:r>
      <w:r w:rsidRPr="002A4B72">
        <w:t>https://www.lowyinstitute.org/publications/beyond-access-making-indonesia-s-education-system-work</w:t>
      </w:r>
      <w:r>
        <w:t xml:space="preserve"> (accessed December 12, 2023). </w:t>
      </w:r>
    </w:p>
  </w:footnote>
  <w:footnote w:id="16">
    <w:p w14:paraId="48F9B4EA" w14:textId="77777777" w:rsidR="00C75C52" w:rsidRPr="00760369" w:rsidRDefault="00C75C52" w:rsidP="00C75C52">
      <w:pPr>
        <w:pStyle w:val="FootnoteText"/>
      </w:pPr>
      <w:r>
        <w:rPr>
          <w:rStyle w:val="FootnoteReference"/>
        </w:rPr>
        <w:footnoteRef/>
      </w:r>
      <w:r>
        <w:t xml:space="preserve"> </w:t>
      </w:r>
      <w:r w:rsidRPr="00E904E1">
        <w:t xml:space="preserve">Cep Kiki </w:t>
      </w:r>
      <w:proofErr w:type="spellStart"/>
      <w:r w:rsidRPr="00E904E1">
        <w:t>Kusumah</w:t>
      </w:r>
      <w:proofErr w:type="spellEnd"/>
      <w:r>
        <w:t>, “</w:t>
      </w:r>
      <w:r w:rsidRPr="00223200">
        <w:t>12-Years Compulsory Education Policy and Education Participation Completeness: Evidence from Indonesia</w:t>
      </w:r>
      <w:r>
        <w:t>,”</w:t>
      </w:r>
      <w:r w:rsidRPr="00760369">
        <w:t xml:space="preserve"> </w:t>
      </w:r>
      <w:r w:rsidRPr="00760369">
        <w:rPr>
          <w:i/>
          <w:iCs/>
        </w:rPr>
        <w:t>Journal of Indonesia Sustainable Development Planning</w:t>
      </w:r>
      <w:r>
        <w:rPr>
          <w:i/>
          <w:iCs/>
        </w:rPr>
        <w:t xml:space="preserve"> </w:t>
      </w:r>
      <w:r>
        <w:t xml:space="preserve">vol. 2 no. 2 (August 2021), pp. 187-201, </w:t>
      </w:r>
      <w:proofErr w:type="spellStart"/>
      <w:r>
        <w:t>doi</w:t>
      </w:r>
      <w:proofErr w:type="spellEnd"/>
      <w:r>
        <w:t xml:space="preserve">: </w:t>
      </w:r>
      <w:r w:rsidRPr="006900CF">
        <w:t>10.46456/jisdep.v2i2.138</w:t>
      </w:r>
      <w:r>
        <w:t xml:space="preserve"> (accessed December 20, 2023).</w:t>
      </w:r>
    </w:p>
  </w:footnote>
  <w:footnote w:id="17">
    <w:p w14:paraId="2E9E507F" w14:textId="77777777" w:rsidR="00C75C52" w:rsidRPr="001A4A06" w:rsidRDefault="00C75C52" w:rsidP="00C75C52">
      <w:pPr>
        <w:pStyle w:val="FootnoteText"/>
      </w:pPr>
      <w:r>
        <w:rPr>
          <w:rStyle w:val="FootnoteReference"/>
        </w:rPr>
        <w:footnoteRef/>
      </w:r>
      <w:r>
        <w:t xml:space="preserve"> United Nations Educational, Scientific and Cultural Organization (UNESCO) Institute for Statistics, SDG 4 September 2023, “Country Dashboard: Indonesia” (webpage), 2023, </w:t>
      </w:r>
      <w:r w:rsidRPr="00727549">
        <w:t>sdg4-data.uis.unesco.org</w:t>
      </w:r>
      <w:r>
        <w:t xml:space="preserve"> (accessed December 21, 2023).</w:t>
      </w:r>
    </w:p>
  </w:footnote>
  <w:footnote w:id="18">
    <w:p w14:paraId="0A82E9AA" w14:textId="77777777" w:rsidR="00C75C52" w:rsidRDefault="00C75C52" w:rsidP="00C75C52">
      <w:pPr>
        <w:pStyle w:val="FootnoteText"/>
      </w:pPr>
      <w:r>
        <w:rPr>
          <w:rStyle w:val="FootnoteReference"/>
        </w:rPr>
        <w:footnoteRef/>
      </w:r>
      <w:r>
        <w:t xml:space="preserve"> Ibid.</w:t>
      </w:r>
    </w:p>
  </w:footnote>
  <w:footnote w:id="19">
    <w:p w14:paraId="5B4AC3D9" w14:textId="77777777" w:rsidR="00C75C52" w:rsidRPr="00C42537" w:rsidRDefault="00C75C52" w:rsidP="00C75C52">
      <w:pPr>
        <w:pStyle w:val="FootnoteText"/>
      </w:pPr>
      <w:r>
        <w:rPr>
          <w:rStyle w:val="FootnoteReference"/>
        </w:rPr>
        <w:footnoteRef/>
      </w:r>
      <w:r>
        <w:t xml:space="preserve"> </w:t>
      </w:r>
      <w:r w:rsidRPr="00C42537">
        <w:t>UNESCO</w:t>
      </w:r>
      <w:r>
        <w:t xml:space="preserve"> Institute for Statistics</w:t>
      </w:r>
      <w:r w:rsidRPr="00C42537">
        <w:t xml:space="preserve">, Covid-19 Education Response, “Country Dashboard: </w:t>
      </w:r>
      <w:r>
        <w:t>Indonesia</w:t>
      </w:r>
      <w:r w:rsidRPr="00C42537">
        <w:t xml:space="preserve">,” March 2022, https://covid19.uis.unesco.org/global-monitoring-school-closures-covid19/country-dashboard/ (accessed </w:t>
      </w:r>
      <w:r>
        <w:t>December 18, 2023</w:t>
      </w:r>
      <w:r w:rsidRPr="00C42537">
        <w:t>).</w:t>
      </w:r>
    </w:p>
  </w:footnote>
  <w:footnote w:id="20">
    <w:p w14:paraId="5E48324C" w14:textId="77777777" w:rsidR="00C75C52" w:rsidRPr="00786043" w:rsidRDefault="00C75C52" w:rsidP="00C75C52">
      <w:pPr>
        <w:pStyle w:val="FootnoteText"/>
      </w:pPr>
      <w:r>
        <w:rPr>
          <w:rStyle w:val="FootnoteReference"/>
        </w:rPr>
        <w:footnoteRef/>
      </w:r>
      <w:r>
        <w:t xml:space="preserve"> </w:t>
      </w:r>
      <w:r w:rsidRPr="00786043">
        <w:t xml:space="preserve">Human Rights Watch, </w:t>
      </w:r>
      <w:r w:rsidRPr="00786043">
        <w:rPr>
          <w:i/>
          <w:iCs/>
        </w:rPr>
        <w:t>“Years Don’t Wait for Them”: Increased Inequalities in Children’s Right to Education Due to the Covid-19 Pandemic</w:t>
      </w:r>
      <w:r w:rsidRPr="00786043">
        <w:t xml:space="preserve"> (New York: Human Rights Watch</w:t>
      </w:r>
      <w:r>
        <w:t>,</w:t>
      </w:r>
      <w:r w:rsidRPr="00786043">
        <w:t xml:space="preserve"> 202</w:t>
      </w:r>
      <w:r>
        <w:t>1</w:t>
      </w:r>
      <w:r w:rsidRPr="00786043">
        <w:t>), https://www.hrw.org/report/2021/05/17/years-dont-wait-them/increased-inequalities-childrens-right-education-due-covid.</w:t>
      </w:r>
    </w:p>
  </w:footnote>
  <w:footnote w:id="21">
    <w:p w14:paraId="12BE7EFB" w14:textId="77777777" w:rsidR="00C75C52" w:rsidRDefault="00C75C52" w:rsidP="00C75C52">
      <w:pPr>
        <w:pStyle w:val="FootnoteText"/>
      </w:pPr>
      <w:r>
        <w:rPr>
          <w:rStyle w:val="FootnoteReference"/>
        </w:rPr>
        <w:footnoteRef/>
      </w:r>
      <w:r>
        <w:t xml:space="preserve"> </w:t>
      </w:r>
      <w:r w:rsidRPr="00914676">
        <w:t xml:space="preserve">Human Rights Watch interview with </w:t>
      </w:r>
      <w:r>
        <w:t>student</w:t>
      </w:r>
      <w:r w:rsidRPr="00914676">
        <w:t xml:space="preserve">, </w:t>
      </w:r>
      <w:proofErr w:type="spellStart"/>
      <w:r w:rsidRPr="00914676">
        <w:t>Tondano</w:t>
      </w:r>
      <w:proofErr w:type="spellEnd"/>
      <w:r w:rsidRPr="00914676">
        <w:t xml:space="preserve">, </w:t>
      </w:r>
      <w:proofErr w:type="spellStart"/>
      <w:r w:rsidRPr="00914676">
        <w:t>Minahasa</w:t>
      </w:r>
      <w:proofErr w:type="spellEnd"/>
      <w:r w:rsidRPr="00914676">
        <w:t xml:space="preserve"> regency, North Sulawesi, Indonesia, July 14, 2020.</w:t>
      </w:r>
    </w:p>
  </w:footnote>
  <w:footnote w:id="22">
    <w:p w14:paraId="311A0FD8" w14:textId="77777777" w:rsidR="00C75C52" w:rsidRDefault="00C75C52" w:rsidP="00C75C52">
      <w:pPr>
        <w:pStyle w:val="FootnoteText"/>
      </w:pPr>
      <w:r>
        <w:rPr>
          <w:rStyle w:val="FootnoteReference"/>
        </w:rPr>
        <w:footnoteRef/>
      </w:r>
      <w:r>
        <w:t xml:space="preserve"> </w:t>
      </w:r>
      <w:r w:rsidRPr="00551001">
        <w:t xml:space="preserve">Human Rights Watch interview with </w:t>
      </w:r>
      <w:r>
        <w:t>student</w:t>
      </w:r>
      <w:r w:rsidRPr="00551001">
        <w:t xml:space="preserve">, </w:t>
      </w:r>
      <w:proofErr w:type="spellStart"/>
      <w:r w:rsidRPr="00551001">
        <w:t>Sampit</w:t>
      </w:r>
      <w:proofErr w:type="spellEnd"/>
      <w:r w:rsidRPr="00551001">
        <w:t xml:space="preserve">, Central </w:t>
      </w:r>
      <w:proofErr w:type="spellStart"/>
      <w:r w:rsidRPr="00551001">
        <w:t>Kalimatan</w:t>
      </w:r>
      <w:proofErr w:type="spellEnd"/>
      <w:r w:rsidRPr="00551001">
        <w:t>, Indonesia, July 11, 2020.</w:t>
      </w:r>
    </w:p>
  </w:footnote>
  <w:footnote w:id="23">
    <w:p w14:paraId="4FDE8ED6" w14:textId="77777777" w:rsidR="00C75C52" w:rsidRDefault="00C75C52" w:rsidP="00C75C52">
      <w:pPr>
        <w:pStyle w:val="FootnoteText"/>
      </w:pPr>
      <w:r>
        <w:rPr>
          <w:rStyle w:val="FootnoteReference"/>
        </w:rPr>
        <w:footnoteRef/>
      </w:r>
      <w:r>
        <w:t xml:space="preserve"> </w:t>
      </w:r>
      <w:r w:rsidRPr="0016046A">
        <w:t>Human Rights Watch interview with student,</w:t>
      </w:r>
      <w:r>
        <w:t xml:space="preserve"> </w:t>
      </w:r>
      <w:proofErr w:type="spellStart"/>
      <w:r w:rsidRPr="0016046A">
        <w:t>Wamena</w:t>
      </w:r>
      <w:proofErr w:type="spellEnd"/>
      <w:r w:rsidRPr="0016046A">
        <w:t>, Papua, Indonesia, July 16, 2020.</w:t>
      </w:r>
    </w:p>
  </w:footnote>
  <w:footnote w:id="24">
    <w:p w14:paraId="1F9CC79D" w14:textId="2498E67A" w:rsidR="000638B4" w:rsidRDefault="000638B4">
      <w:pPr>
        <w:pStyle w:val="FootnoteText"/>
      </w:pPr>
      <w:r>
        <w:rPr>
          <w:rStyle w:val="FootnoteReference"/>
        </w:rPr>
        <w:footnoteRef/>
      </w:r>
      <w:r>
        <w:t xml:space="preserve"> </w:t>
      </w:r>
      <w:r w:rsidR="00B243D4" w:rsidRPr="0096728C">
        <w:t>United Nations Peacekeeping, “Troop and Police Contributors”</w:t>
      </w:r>
      <w:r w:rsidR="00B243D4">
        <w:t xml:space="preserve"> (webpage) </w:t>
      </w:r>
      <w:r w:rsidR="00B243D4" w:rsidRPr="0037478D">
        <w:t>[</w:t>
      </w:r>
      <w:r w:rsidR="00B243D4">
        <w:t>n.d.</w:t>
      </w:r>
      <w:r w:rsidR="00B243D4" w:rsidRPr="0037478D">
        <w:t>]</w:t>
      </w:r>
      <w:r w:rsidR="00B243D4">
        <w:t>,</w:t>
      </w:r>
      <w:r w:rsidR="00B243D4" w:rsidRPr="0096728C">
        <w:t xml:space="preserve"> https://peacekeeping.un.org/en/troop-and-police-contributors (accessed </w:t>
      </w:r>
      <w:r w:rsidR="00B243D4">
        <w:t>February 14, 2024</w:t>
      </w:r>
      <w:r w:rsidR="00B243D4" w:rsidRPr="0096728C">
        <w:t>).</w:t>
      </w:r>
    </w:p>
  </w:footnote>
  <w:footnote w:id="25">
    <w:p w14:paraId="281A7884" w14:textId="77777777" w:rsidR="00C75C52" w:rsidRPr="004706B2" w:rsidRDefault="00C75C52" w:rsidP="00C75C52">
      <w:pPr>
        <w:pStyle w:val="FootnoteText"/>
      </w:pPr>
      <w:r>
        <w:rPr>
          <w:rStyle w:val="FootnoteReference"/>
        </w:rPr>
        <w:footnoteRef/>
      </w:r>
      <w:r>
        <w:t xml:space="preserve"> See, for example, </w:t>
      </w:r>
      <w:r w:rsidRPr="603FC4A1">
        <w:rPr>
          <w:rFonts w:eastAsia="MetaPro-Norm" w:cs="MetaPro-Norm"/>
          <w:szCs w:val="16"/>
        </w:rPr>
        <w:t>Global Coalition to Protect Education from Attack</w:t>
      </w:r>
      <w:r>
        <w:t xml:space="preserve"> (GCPEA), </w:t>
      </w:r>
      <w:r w:rsidRPr="00890D6E">
        <w:rPr>
          <w:i/>
          <w:iCs/>
        </w:rPr>
        <w:t>Education Under Attack 2022</w:t>
      </w:r>
      <w:r>
        <w:t xml:space="preserve">, </w:t>
      </w:r>
      <w:r w:rsidRPr="000C1432">
        <w:t>https://protectingeducation.org/wp-content/uploads/eua_2022.pdf</w:t>
      </w:r>
      <w:r>
        <w:t xml:space="preserve"> (accessed December 11, 2023).</w:t>
      </w:r>
    </w:p>
  </w:footnote>
  <w:footnote w:id="26">
    <w:p w14:paraId="1A8E3274" w14:textId="77777777" w:rsidR="00C75C52" w:rsidRDefault="00C75C52" w:rsidP="00C75C52">
      <w:pPr>
        <w:pStyle w:val="FootnoteText"/>
      </w:pPr>
      <w:r w:rsidRPr="3568D522">
        <w:rPr>
          <w:rStyle w:val="FootnoteReference"/>
        </w:rPr>
        <w:footnoteRef/>
      </w:r>
      <w:r>
        <w:t xml:space="preserve"> </w:t>
      </w:r>
      <w:r w:rsidRPr="00361BF6">
        <w:rPr>
          <w:szCs w:val="16"/>
        </w:rPr>
        <w:t>United Nations Infantry Battalion Manual, 2012, section 2.13.</w:t>
      </w:r>
    </w:p>
  </w:footnote>
  <w:footnote w:id="27">
    <w:p w14:paraId="5C323F17" w14:textId="77777777" w:rsidR="00C75C52" w:rsidRPr="00730CA9" w:rsidRDefault="00C75C52" w:rsidP="00C75C52">
      <w:pPr>
        <w:pStyle w:val="FootnoteText"/>
        <w:rPr>
          <w:szCs w:val="16"/>
        </w:rPr>
      </w:pPr>
      <w:r w:rsidRPr="00CA26BF">
        <w:rPr>
          <w:rStyle w:val="FootnoteReference"/>
        </w:rPr>
        <w:footnoteRef/>
      </w:r>
      <w:r w:rsidRPr="00730CA9">
        <w:rPr>
          <w:szCs w:val="16"/>
        </w:rPr>
        <w:t xml:space="preserve"> Safe Schools Declaration, May 28, 2015, https://www.regjeringen.no/globalassets/departementene/ud/vedlegg/utvikling/safe_schools_declaration.pdf (accessed May 12, 2023).</w:t>
      </w:r>
    </w:p>
  </w:footnote>
  <w:footnote w:id="28">
    <w:p w14:paraId="0EAB42FB" w14:textId="77777777" w:rsidR="00C75C52" w:rsidRPr="00730CA9" w:rsidRDefault="00C75C52" w:rsidP="00C75C52">
      <w:pPr>
        <w:pStyle w:val="FootnoteText"/>
        <w:rPr>
          <w:szCs w:val="16"/>
        </w:rPr>
      </w:pPr>
      <w:r w:rsidRPr="00CA26BF">
        <w:rPr>
          <w:rStyle w:val="FootnoteReference"/>
        </w:rPr>
        <w:footnoteRef/>
      </w:r>
      <w:r w:rsidRPr="00CA26BF">
        <w:rPr>
          <w:rStyle w:val="FootnoteReference"/>
        </w:rPr>
        <w:t xml:space="preserve"> </w:t>
      </w:r>
      <w:r w:rsidRPr="00730CA9">
        <w:rPr>
          <w:szCs w:val="16"/>
        </w:rPr>
        <w:t>Guidelines for Protecting Schools and Universities from Military Use during Armed Conflict, March 18, 2014, http://protectingeducation.org/sites/default/files/documents/guidelines_en.pdf (accessed May 12, 2023).</w:t>
      </w:r>
    </w:p>
  </w:footnote>
  <w:footnote w:id="29">
    <w:p w14:paraId="5B3540B1" w14:textId="7987E0F9" w:rsidR="00C75C52" w:rsidRDefault="00C75C52" w:rsidP="00C75C52">
      <w:pPr>
        <w:pStyle w:val="FootnoteText"/>
      </w:pPr>
      <w:r>
        <w:rPr>
          <w:rStyle w:val="FootnoteReference"/>
        </w:rPr>
        <w:footnoteRef/>
      </w:r>
      <w:r>
        <w:t xml:space="preserve"> </w:t>
      </w:r>
      <w:r>
        <w:rPr>
          <w:rFonts w:eastAsia="MetaPro-Norm" w:cs="MetaPro-Norm"/>
          <w:szCs w:val="16"/>
        </w:rPr>
        <w:t>GCPEA</w:t>
      </w:r>
      <w:r w:rsidRPr="603FC4A1">
        <w:rPr>
          <w:rFonts w:eastAsia="MetaPro-Norm" w:cs="MetaPro-Norm"/>
          <w:szCs w:val="16"/>
        </w:rPr>
        <w:t>, “Safe Schools Declaration Endorsements”</w:t>
      </w:r>
      <w:r>
        <w:rPr>
          <w:rFonts w:eastAsia="MetaPro-Norm" w:cs="MetaPro-Norm"/>
          <w:szCs w:val="16"/>
        </w:rPr>
        <w:t xml:space="preserve"> (webpage)</w:t>
      </w:r>
      <w:r w:rsidRPr="603FC4A1">
        <w:rPr>
          <w:rFonts w:eastAsia="MetaPro-Norm" w:cs="MetaPro-Norm"/>
          <w:szCs w:val="16"/>
        </w:rPr>
        <w:t xml:space="preserve">, </w:t>
      </w:r>
      <w:r>
        <w:rPr>
          <w:rFonts w:eastAsia="MetaPro-Norm" w:cs="MetaPro-Norm"/>
          <w:szCs w:val="16"/>
        </w:rPr>
        <w:t>202</w:t>
      </w:r>
      <w:r w:rsidR="005609B7">
        <w:rPr>
          <w:rFonts w:eastAsia="MetaPro-Norm" w:cs="MetaPro-Norm"/>
          <w:szCs w:val="16"/>
        </w:rPr>
        <w:t>4</w:t>
      </w:r>
      <w:r>
        <w:rPr>
          <w:rFonts w:eastAsia="MetaPro-Norm" w:cs="MetaPro-Norm"/>
          <w:szCs w:val="16"/>
        </w:rPr>
        <w:t>,</w:t>
      </w:r>
      <w:r w:rsidRPr="603FC4A1">
        <w:rPr>
          <w:rFonts w:eastAsia="MetaPro-Norm" w:cs="MetaPro-Norm"/>
          <w:szCs w:val="16"/>
        </w:rPr>
        <w:t xml:space="preserve"> https://ssd.protectingeducation.org/endorsement/ (accessed </w:t>
      </w:r>
      <w:r w:rsidR="005609B7">
        <w:rPr>
          <w:rFonts w:eastAsia="MetaPro-Norm" w:cs="MetaPro-Norm"/>
          <w:szCs w:val="16"/>
        </w:rPr>
        <w:t>February 14, 2024</w:t>
      </w:r>
      <w:r w:rsidRPr="603FC4A1">
        <w:rPr>
          <w:rFonts w:eastAsia="MetaPro-Norm" w:cs="MetaPro-Norm"/>
          <w:szCs w:val="16"/>
        </w:rPr>
        <w:t>).</w:t>
      </w:r>
    </w:p>
  </w:footnote>
  <w:footnote w:id="30">
    <w:p w14:paraId="5FE41DD3" w14:textId="77777777" w:rsidR="000C5660" w:rsidRPr="001F263B" w:rsidRDefault="000C5660" w:rsidP="000C5660">
      <w:pPr>
        <w:pStyle w:val="FootnoteText"/>
      </w:pPr>
      <w:r>
        <w:rPr>
          <w:rStyle w:val="FootnoteReference"/>
        </w:rPr>
        <w:footnoteRef/>
      </w:r>
      <w:r>
        <w:t xml:space="preserve"> Human Rights Watch, </w:t>
      </w:r>
      <w:r w:rsidRPr="001F263B">
        <w:rPr>
          <w:i/>
          <w:iCs/>
        </w:rPr>
        <w:t>Living in Hell: Abuses against People with Psychosocial Disabilities in Indonesia</w:t>
      </w:r>
      <w:r>
        <w:rPr>
          <w:i/>
          <w:iCs/>
        </w:rPr>
        <w:t xml:space="preserve"> </w:t>
      </w:r>
      <w:r>
        <w:t xml:space="preserve">(New York: Human Rights Watch, 2016), </w:t>
      </w:r>
      <w:r w:rsidRPr="00F6114D">
        <w:t>https://www.hrw.org/report/2016/03/20/living-hell/abuses-against-people-psychosocial-disabilities-indonesia#_ftn107</w:t>
      </w:r>
      <w:r>
        <w:t>.</w:t>
      </w:r>
    </w:p>
  </w:footnote>
  <w:footnote w:id="31">
    <w:p w14:paraId="4D591E6A" w14:textId="77777777" w:rsidR="000C5660" w:rsidRPr="00733227" w:rsidRDefault="000C5660" w:rsidP="000C5660">
      <w:pPr>
        <w:pStyle w:val="FootnoteText"/>
        <w:rPr>
          <w:szCs w:val="16"/>
        </w:rPr>
      </w:pPr>
      <w:r w:rsidRPr="001D093C">
        <w:rPr>
          <w:rStyle w:val="FootnoteReference"/>
          <w:szCs w:val="16"/>
        </w:rPr>
        <w:footnoteRef/>
      </w:r>
      <w:r w:rsidRPr="00733227">
        <w:rPr>
          <w:szCs w:val="16"/>
        </w:rPr>
        <w:t xml:space="preserve"> Ira </w:t>
      </w:r>
      <w:proofErr w:type="spellStart"/>
      <w:r w:rsidRPr="00733227">
        <w:rPr>
          <w:szCs w:val="16"/>
        </w:rPr>
        <w:t>Kusumawaty</w:t>
      </w:r>
      <w:proofErr w:type="spellEnd"/>
      <w:r w:rsidRPr="00733227">
        <w:rPr>
          <w:szCs w:val="16"/>
        </w:rPr>
        <w:t xml:space="preserve"> and </w:t>
      </w:r>
      <w:proofErr w:type="spellStart"/>
      <w:r w:rsidRPr="00733227">
        <w:rPr>
          <w:szCs w:val="16"/>
        </w:rPr>
        <w:t>Yunike</w:t>
      </w:r>
      <w:proofErr w:type="spellEnd"/>
      <w:r w:rsidRPr="00733227">
        <w:rPr>
          <w:szCs w:val="16"/>
        </w:rPr>
        <w:t xml:space="preserve"> </w:t>
      </w:r>
      <w:proofErr w:type="spellStart"/>
      <w:r w:rsidRPr="00733227">
        <w:rPr>
          <w:szCs w:val="16"/>
        </w:rPr>
        <w:t>Yunike</w:t>
      </w:r>
      <w:proofErr w:type="spellEnd"/>
      <w:r w:rsidRPr="00733227">
        <w:rPr>
          <w:szCs w:val="16"/>
        </w:rPr>
        <w:t xml:space="preserve">, “Investigating the experiences of family caregivers who shackle people with mental disorders,” </w:t>
      </w:r>
      <w:r w:rsidRPr="00733227">
        <w:rPr>
          <w:i/>
          <w:iCs/>
          <w:szCs w:val="16"/>
        </w:rPr>
        <w:t>Front Psychiatry</w:t>
      </w:r>
      <w:r w:rsidRPr="00733227">
        <w:rPr>
          <w:szCs w:val="16"/>
        </w:rPr>
        <w:t xml:space="preserve"> </w:t>
      </w:r>
      <w:r w:rsidRPr="001D093C">
        <w:rPr>
          <w:szCs w:val="16"/>
        </w:rPr>
        <w:t>vol. 14 1062100</w:t>
      </w:r>
      <w:r w:rsidRPr="00733227">
        <w:rPr>
          <w:szCs w:val="16"/>
        </w:rPr>
        <w:t>,</w:t>
      </w:r>
      <w:r>
        <w:rPr>
          <w:szCs w:val="16"/>
        </w:rPr>
        <w:t xml:space="preserve"> July 24, 2023, </w:t>
      </w:r>
      <w:r w:rsidRPr="006E2C4B">
        <w:rPr>
          <w:szCs w:val="16"/>
        </w:rPr>
        <w:t>doi:10.3389/fpsyt.2023.1062100</w:t>
      </w:r>
      <w:r>
        <w:rPr>
          <w:szCs w:val="16"/>
        </w:rPr>
        <w:t xml:space="preserve"> </w:t>
      </w:r>
      <w:r w:rsidRPr="00733227">
        <w:rPr>
          <w:szCs w:val="16"/>
        </w:rPr>
        <w:t>(accessed February 12, 2024).</w:t>
      </w:r>
    </w:p>
  </w:footnote>
  <w:footnote w:id="32">
    <w:p w14:paraId="6EF09E86" w14:textId="77777777" w:rsidR="000C5660" w:rsidRPr="00F37E11" w:rsidRDefault="000C5660" w:rsidP="000C5660">
      <w:pPr>
        <w:pStyle w:val="FootnoteText"/>
        <w:rPr>
          <w:szCs w:val="16"/>
        </w:rPr>
      </w:pPr>
      <w:r w:rsidRPr="009D4C78">
        <w:rPr>
          <w:rStyle w:val="FootnoteReference"/>
          <w:szCs w:val="16"/>
        </w:rPr>
        <w:footnoteRef/>
      </w:r>
      <w:r w:rsidRPr="00733227">
        <w:rPr>
          <w:szCs w:val="16"/>
        </w:rPr>
        <w:t xml:space="preserve"> </w:t>
      </w:r>
      <w:r>
        <w:rPr>
          <w:szCs w:val="16"/>
        </w:rPr>
        <w:t xml:space="preserve">See Ibid. and </w:t>
      </w:r>
      <w:r w:rsidRPr="00733227">
        <w:rPr>
          <w:szCs w:val="16"/>
        </w:rPr>
        <w:t>Human Rights Watch,</w:t>
      </w:r>
      <w:r w:rsidRPr="00733227">
        <w:rPr>
          <w:i/>
          <w:iCs/>
          <w:szCs w:val="16"/>
        </w:rPr>
        <w:t xml:space="preserve"> Living in Chains: Shackling of People with Psychosocial Disabilities Worldwide</w:t>
      </w:r>
      <w:r>
        <w:rPr>
          <w:szCs w:val="16"/>
        </w:rPr>
        <w:t xml:space="preserve"> (New York: Human Rights Watch, </w:t>
      </w:r>
      <w:r w:rsidRPr="00733227">
        <w:rPr>
          <w:szCs w:val="16"/>
        </w:rPr>
        <w:t>2020</w:t>
      </w:r>
      <w:r>
        <w:rPr>
          <w:szCs w:val="16"/>
        </w:rPr>
        <w:t>)</w:t>
      </w:r>
      <w:r w:rsidRPr="00733227">
        <w:rPr>
          <w:szCs w:val="16"/>
        </w:rPr>
        <w:t xml:space="preserve">, </w:t>
      </w:r>
      <w:r w:rsidRPr="00561598">
        <w:rPr>
          <w:szCs w:val="16"/>
        </w:rPr>
        <w:t>https://www.hrw.org/sites/default/files/media_2020/10/global_shackling1020_web_2.pdf</w:t>
      </w:r>
      <w:r w:rsidRPr="00733227">
        <w:rPr>
          <w:szCs w:val="16"/>
        </w:rPr>
        <w:t>, p. 49</w:t>
      </w:r>
      <w:r>
        <w:rPr>
          <w:szCs w:val="16"/>
        </w:rPr>
        <w:t>.</w:t>
      </w:r>
    </w:p>
  </w:footnote>
  <w:footnote w:id="33">
    <w:p w14:paraId="1FFE689A" w14:textId="77777777" w:rsidR="000C5660" w:rsidRPr="00733227" w:rsidRDefault="000C5660" w:rsidP="000C5660">
      <w:pPr>
        <w:pStyle w:val="FootnoteText"/>
        <w:rPr>
          <w:szCs w:val="16"/>
        </w:rPr>
      </w:pPr>
      <w:r w:rsidRPr="009D4C78">
        <w:rPr>
          <w:rStyle w:val="FootnoteReference"/>
          <w:szCs w:val="16"/>
        </w:rPr>
        <w:footnoteRef/>
      </w:r>
      <w:r w:rsidRPr="00733227">
        <w:rPr>
          <w:szCs w:val="16"/>
        </w:rPr>
        <w:t xml:space="preserve"> </w:t>
      </w:r>
      <w:r>
        <w:t xml:space="preserve">Human Rights Watch, </w:t>
      </w:r>
      <w:r w:rsidRPr="001F263B">
        <w:rPr>
          <w:i/>
          <w:iCs/>
        </w:rPr>
        <w:t>Living in Hell</w:t>
      </w:r>
      <w:r w:rsidRPr="00733227">
        <w:rPr>
          <w:szCs w:val="16"/>
        </w:rPr>
        <w:t>, p. 45.</w:t>
      </w:r>
    </w:p>
  </w:footnote>
  <w:footnote w:id="34">
    <w:p w14:paraId="7DFFA166" w14:textId="77777777" w:rsidR="000C5660" w:rsidRPr="00733227" w:rsidRDefault="000C5660" w:rsidP="000C5660">
      <w:pPr>
        <w:pStyle w:val="FootnoteText"/>
        <w:rPr>
          <w:szCs w:val="16"/>
        </w:rPr>
      </w:pPr>
      <w:r w:rsidRPr="009D4C78">
        <w:rPr>
          <w:rStyle w:val="FootnoteReference"/>
          <w:szCs w:val="16"/>
        </w:rPr>
        <w:footnoteRef/>
      </w:r>
      <w:r w:rsidRPr="00733227">
        <w:rPr>
          <w:szCs w:val="16"/>
        </w:rPr>
        <w:t xml:space="preserve"> UN Human Rights Council</w:t>
      </w:r>
      <w:r>
        <w:rPr>
          <w:szCs w:val="16"/>
        </w:rPr>
        <w:t xml:space="preserve"> (UNHRC)</w:t>
      </w:r>
      <w:r w:rsidRPr="00733227">
        <w:rPr>
          <w:szCs w:val="16"/>
        </w:rPr>
        <w:t>, Follow-up report of the Special Rapporteur on torture and other cruel, inhuman or degrading treatment or punishment on his follow-up visit to the Republic of Ghana, A/HRC/31/57/Add.2, February 25, 2015,</w:t>
      </w:r>
      <w:r>
        <w:rPr>
          <w:szCs w:val="16"/>
        </w:rPr>
        <w:t xml:space="preserve"> para. 72, available at</w:t>
      </w:r>
      <w:r w:rsidRPr="00733227">
        <w:rPr>
          <w:szCs w:val="16"/>
        </w:rPr>
        <w:t> </w:t>
      </w:r>
      <w:hyperlink r:id="rId1" w:tgtFrame="_blank" w:history="1">
        <w:r w:rsidRPr="00733227">
          <w:rPr>
            <w:szCs w:val="16"/>
          </w:rPr>
          <w:t>https://undocs.org/en/A/HRC/31/57/Add.2</w:t>
        </w:r>
      </w:hyperlink>
      <w:r w:rsidRPr="00733227">
        <w:rPr>
          <w:szCs w:val="16"/>
        </w:rPr>
        <w:t xml:space="preserve"> (accessed February 12, 2024).</w:t>
      </w:r>
    </w:p>
  </w:footnote>
  <w:footnote w:id="35">
    <w:p w14:paraId="52DFD4DE" w14:textId="77777777" w:rsidR="000C5660" w:rsidRPr="00733227" w:rsidRDefault="000C5660" w:rsidP="000C5660">
      <w:pPr>
        <w:pStyle w:val="FootnoteText"/>
        <w:rPr>
          <w:szCs w:val="16"/>
        </w:rPr>
      </w:pPr>
      <w:r w:rsidRPr="009D4C78">
        <w:rPr>
          <w:rStyle w:val="FootnoteReference"/>
          <w:szCs w:val="16"/>
        </w:rPr>
        <w:footnoteRef/>
      </w:r>
      <w:r w:rsidRPr="00733227">
        <w:rPr>
          <w:szCs w:val="16"/>
        </w:rPr>
        <w:t xml:space="preserve"> See, for example, Human Rights Watch, </w:t>
      </w:r>
      <w:r w:rsidRPr="00733227">
        <w:rPr>
          <w:i/>
          <w:szCs w:val="16"/>
        </w:rPr>
        <w:t>Living in Chains</w:t>
      </w:r>
      <w:r w:rsidRPr="00733227">
        <w:rPr>
          <w:iCs/>
          <w:szCs w:val="16"/>
        </w:rPr>
        <w:t xml:space="preserve">, </w:t>
      </w:r>
      <w:r w:rsidRPr="00733227">
        <w:rPr>
          <w:szCs w:val="16"/>
        </w:rPr>
        <w:t xml:space="preserve">and Human Rights Watch, </w:t>
      </w:r>
      <w:r w:rsidRPr="00733227">
        <w:rPr>
          <w:i/>
          <w:iCs/>
          <w:szCs w:val="16"/>
        </w:rPr>
        <w:t>Living in Hell: Abuses against People with Psychosocial Disabilities in Indonesia</w:t>
      </w:r>
      <w:r w:rsidRPr="00733227">
        <w:rPr>
          <w:szCs w:val="16"/>
        </w:rPr>
        <w:t>, p. 35.</w:t>
      </w:r>
    </w:p>
  </w:footnote>
  <w:footnote w:id="36">
    <w:p w14:paraId="6FF62A94" w14:textId="77777777" w:rsidR="000C5660" w:rsidRPr="00733227" w:rsidRDefault="000C5660" w:rsidP="000C5660">
      <w:pPr>
        <w:pStyle w:val="FootnoteText"/>
        <w:rPr>
          <w:szCs w:val="16"/>
        </w:rPr>
      </w:pPr>
      <w:r w:rsidRPr="009D4C78">
        <w:rPr>
          <w:rStyle w:val="FootnoteReference"/>
          <w:szCs w:val="16"/>
        </w:rPr>
        <w:footnoteRef/>
      </w:r>
      <w:r w:rsidRPr="00733227">
        <w:rPr>
          <w:szCs w:val="16"/>
        </w:rPr>
        <w:t xml:space="preserve"> UN Committee on the Rights of Persons with Disabilities, Concluding observations on the initial report of Indonesia, CRPD/C/IDN/CO/1, October 12, 2022, para. 37(a)</w:t>
      </w:r>
      <w:r>
        <w:rPr>
          <w:szCs w:val="16"/>
        </w:rPr>
        <w:t>,</w:t>
      </w:r>
      <w:r w:rsidRPr="00733227">
        <w:rPr>
          <w:szCs w:val="16"/>
        </w:rPr>
        <w:t xml:space="preserve"> </w:t>
      </w:r>
      <w:r>
        <w:rPr>
          <w:szCs w:val="16"/>
        </w:rPr>
        <w:t xml:space="preserve">available at </w:t>
      </w:r>
      <w:r w:rsidRPr="00E908B4">
        <w:rPr>
          <w:szCs w:val="16"/>
        </w:rPr>
        <w:t>https://tbinternet.ohchr.org/_layouts/15/treatybodyexternal/Download.aspx?symbolno=CRPD%2fC%2fIDN%2fCO%2f1&amp;Lang=en</w:t>
      </w:r>
      <w:r w:rsidRPr="00733227">
        <w:rPr>
          <w:szCs w:val="16"/>
        </w:rPr>
        <w:t xml:space="preserve"> (accessed December 14, 2023)</w:t>
      </w:r>
      <w:r>
        <w:rPr>
          <w:szCs w:val="16"/>
        </w:rPr>
        <w:t>.</w:t>
      </w:r>
      <w:r w:rsidRPr="00733227">
        <w:rPr>
          <w:szCs w:val="16"/>
        </w:rPr>
        <w:t xml:space="preserve"> </w:t>
      </w:r>
    </w:p>
  </w:footnote>
  <w:footnote w:id="37">
    <w:p w14:paraId="51CC591D" w14:textId="77777777" w:rsidR="000C5660" w:rsidRDefault="000C5660" w:rsidP="000C5660">
      <w:pPr>
        <w:pStyle w:val="FootnoteText"/>
      </w:pPr>
      <w:r>
        <w:rPr>
          <w:rStyle w:val="FootnoteReference"/>
        </w:rPr>
        <w:footnoteRef/>
      </w:r>
      <w:r>
        <w:t xml:space="preserve"> “</w:t>
      </w:r>
      <w:r w:rsidRPr="005E61A0">
        <w:t>Indonesia: Shackling Reduced, But Persists</w:t>
      </w:r>
      <w:r>
        <w:t xml:space="preserve">,” Human Rights Watch news release, October 2, 2018, </w:t>
      </w:r>
      <w:r w:rsidRPr="003944F0">
        <w:t>https://www.hrw.org/news/2018/10/02/indonesia-shackling-reduced-persists</w:t>
      </w:r>
      <w:r>
        <w:t>.</w:t>
      </w:r>
    </w:p>
  </w:footnote>
  <w:footnote w:id="38">
    <w:p w14:paraId="2783965D" w14:textId="77777777" w:rsidR="000C5660" w:rsidRPr="00733227" w:rsidRDefault="000C5660" w:rsidP="000C5660">
      <w:pPr>
        <w:pStyle w:val="FootnoteText"/>
        <w:rPr>
          <w:szCs w:val="16"/>
        </w:rPr>
      </w:pPr>
      <w:r w:rsidRPr="009D4C78">
        <w:rPr>
          <w:rStyle w:val="FootnoteReference"/>
          <w:szCs w:val="16"/>
        </w:rPr>
        <w:footnoteRef/>
      </w:r>
      <w:r w:rsidRPr="00733227">
        <w:rPr>
          <w:szCs w:val="16"/>
        </w:rPr>
        <w:t xml:space="preserve"> </w:t>
      </w:r>
      <w:r>
        <w:rPr>
          <w:szCs w:val="16"/>
        </w:rPr>
        <w:t xml:space="preserve">See </w:t>
      </w:r>
      <w:r w:rsidRPr="00733227">
        <w:rPr>
          <w:szCs w:val="16"/>
        </w:rPr>
        <w:t xml:space="preserve">UN Committee on the Rights of the Child, Concluding observations on the combined third and fourth periodic reports of Indonesia, CRC/C/IDN/CO/3-4, July 10, 2014, </w:t>
      </w:r>
      <w:r>
        <w:rPr>
          <w:szCs w:val="16"/>
        </w:rPr>
        <w:t xml:space="preserve">available at </w:t>
      </w:r>
      <w:r w:rsidRPr="00FB365E">
        <w:rPr>
          <w:szCs w:val="16"/>
        </w:rPr>
        <w:t>https://tbinternet.ohchr.org/_layouts/15/treatybodyexternal/Download.aspx?symbolno=CRC%2FC%2FIDN%2FCO%2F3-4&amp;Lang=en</w:t>
      </w:r>
      <w:r w:rsidRPr="00733227">
        <w:rPr>
          <w:szCs w:val="16"/>
        </w:rPr>
        <w:t xml:space="preserve"> (accessed February 12, 2024).</w:t>
      </w:r>
    </w:p>
  </w:footnote>
  <w:footnote w:id="39">
    <w:p w14:paraId="7E2C25AE" w14:textId="77777777" w:rsidR="000C5660" w:rsidRPr="00733227" w:rsidRDefault="000C5660" w:rsidP="000C5660">
      <w:pPr>
        <w:pStyle w:val="FootnoteText"/>
        <w:rPr>
          <w:szCs w:val="16"/>
        </w:rPr>
      </w:pPr>
      <w:r w:rsidRPr="009D4C78">
        <w:rPr>
          <w:rStyle w:val="FootnoteReference"/>
          <w:szCs w:val="16"/>
        </w:rPr>
        <w:footnoteRef/>
      </w:r>
      <w:r w:rsidRPr="00733227">
        <w:rPr>
          <w:szCs w:val="16"/>
        </w:rPr>
        <w:t xml:space="preserve"> Human Rights Watch, </w:t>
      </w:r>
      <w:r w:rsidRPr="00733227">
        <w:rPr>
          <w:i/>
          <w:iCs/>
          <w:szCs w:val="16"/>
        </w:rPr>
        <w:t>Living in Hell</w:t>
      </w:r>
      <w:r>
        <w:rPr>
          <w:szCs w:val="16"/>
        </w:rPr>
        <w:t xml:space="preserve">, </w:t>
      </w:r>
      <w:r w:rsidRPr="00733227">
        <w:rPr>
          <w:szCs w:val="16"/>
        </w:rPr>
        <w:t>p.42.</w:t>
      </w:r>
    </w:p>
  </w:footnote>
  <w:footnote w:id="40">
    <w:p w14:paraId="7EAE7161" w14:textId="77777777" w:rsidR="000C5660" w:rsidRPr="00733227" w:rsidRDefault="000C5660" w:rsidP="000C5660">
      <w:pPr>
        <w:pStyle w:val="FootnoteText"/>
        <w:rPr>
          <w:szCs w:val="16"/>
        </w:rPr>
      </w:pPr>
      <w:r w:rsidRPr="009D4C78">
        <w:rPr>
          <w:rStyle w:val="FootnoteReference"/>
          <w:szCs w:val="16"/>
        </w:rPr>
        <w:footnoteRef/>
      </w:r>
      <w:r w:rsidRPr="00733227">
        <w:rPr>
          <w:szCs w:val="16"/>
        </w:rPr>
        <w:t xml:space="preserve"> Ibid., pp. 42-43.</w:t>
      </w:r>
    </w:p>
  </w:footnote>
  <w:footnote w:id="41">
    <w:p w14:paraId="0540891B" w14:textId="77777777" w:rsidR="000C5660" w:rsidRPr="00733227" w:rsidRDefault="000C5660" w:rsidP="000C5660">
      <w:pPr>
        <w:pStyle w:val="FootnoteText"/>
        <w:rPr>
          <w:szCs w:val="16"/>
        </w:rPr>
      </w:pPr>
      <w:r w:rsidRPr="009D4C78">
        <w:rPr>
          <w:rStyle w:val="FootnoteReference"/>
          <w:szCs w:val="16"/>
        </w:rPr>
        <w:footnoteRef/>
      </w:r>
      <w:r w:rsidRPr="00733227">
        <w:rPr>
          <w:szCs w:val="16"/>
        </w:rPr>
        <w:t xml:space="preserve"> Ibid., pp. 46-58.</w:t>
      </w:r>
    </w:p>
  </w:footnote>
  <w:footnote w:id="42">
    <w:p w14:paraId="17D895D2" w14:textId="77777777" w:rsidR="000C5660" w:rsidRPr="00733227" w:rsidRDefault="000C5660" w:rsidP="000C5660">
      <w:pPr>
        <w:pStyle w:val="FootnoteText"/>
        <w:rPr>
          <w:szCs w:val="16"/>
        </w:rPr>
      </w:pPr>
      <w:r w:rsidRPr="009D4C78">
        <w:rPr>
          <w:rStyle w:val="FootnoteReference"/>
          <w:szCs w:val="16"/>
        </w:rPr>
        <w:footnoteRef/>
      </w:r>
      <w:r w:rsidRPr="00733227">
        <w:rPr>
          <w:szCs w:val="16"/>
        </w:rPr>
        <w:t xml:space="preserve"> Human Rights Watch, </w:t>
      </w:r>
      <w:r w:rsidRPr="00733227">
        <w:rPr>
          <w:i/>
          <w:iCs/>
          <w:szCs w:val="16"/>
        </w:rPr>
        <w:t>Living in Hell</w:t>
      </w:r>
      <w:r w:rsidRPr="00733227">
        <w:rPr>
          <w:szCs w:val="16"/>
        </w:rPr>
        <w:t xml:space="preserve">, </w:t>
      </w:r>
      <w:r w:rsidRPr="00733227">
        <w:rPr>
          <w:rFonts w:cs="MetaPro-Norm"/>
          <w:szCs w:val="16"/>
          <w:lang w:val="en-GB"/>
        </w:rPr>
        <w:t>p. 50.</w:t>
      </w:r>
    </w:p>
  </w:footnote>
  <w:footnote w:id="43">
    <w:p w14:paraId="6AF857ED" w14:textId="77777777" w:rsidR="000C5660" w:rsidRPr="00733227" w:rsidRDefault="000C5660" w:rsidP="000C5660">
      <w:pPr>
        <w:autoSpaceDE w:val="0"/>
        <w:autoSpaceDN w:val="0"/>
        <w:adjustRightInd w:val="0"/>
        <w:spacing w:after="0" w:line="240" w:lineRule="auto"/>
        <w:rPr>
          <w:rFonts w:cs="MetaPro-Norm"/>
          <w:sz w:val="16"/>
          <w:szCs w:val="16"/>
          <w:lang w:val="en-GB"/>
        </w:rPr>
      </w:pPr>
      <w:r w:rsidRPr="0005708A">
        <w:rPr>
          <w:rStyle w:val="FootnoteReference"/>
        </w:rPr>
        <w:footnoteRef/>
      </w:r>
      <w:r w:rsidRPr="00733227">
        <w:rPr>
          <w:sz w:val="16"/>
          <w:szCs w:val="16"/>
        </w:rPr>
        <w:t xml:space="preserve"> UN General Assembly, Interim report of the Special Rapporteur on torture and other cruel, inhuman or degrading treatment or punishment, A/63/175, July 28, 2008.</w:t>
      </w:r>
    </w:p>
  </w:footnote>
  <w:footnote w:id="44">
    <w:p w14:paraId="5452199B" w14:textId="77777777" w:rsidR="000C5660" w:rsidRPr="00733227" w:rsidRDefault="000C5660" w:rsidP="000C5660">
      <w:pPr>
        <w:spacing w:after="0" w:line="240" w:lineRule="auto"/>
        <w:rPr>
          <w:rFonts w:eastAsia="MetaPro-Norm" w:cs="MetaPro-Norm"/>
          <w:sz w:val="16"/>
          <w:szCs w:val="16"/>
        </w:rPr>
      </w:pPr>
      <w:r w:rsidRPr="0005708A">
        <w:rPr>
          <w:rFonts w:ascii="MetaPro-Medi" w:hAnsi="MetaPro-Medi"/>
          <w:vertAlign w:val="superscript"/>
        </w:rPr>
        <w:footnoteRef/>
      </w:r>
      <w:r w:rsidRPr="0005708A">
        <w:rPr>
          <w:rFonts w:ascii="MetaPro-Medi" w:hAnsi="MetaPro-Medi"/>
          <w:vertAlign w:val="superscript"/>
        </w:rPr>
        <w:t xml:space="preserve"> </w:t>
      </w:r>
      <w:r w:rsidRPr="00733227">
        <w:rPr>
          <w:rFonts w:eastAsia="Georgia" w:cs="Georgia"/>
          <w:sz w:val="16"/>
          <w:szCs w:val="16"/>
        </w:rPr>
        <w:t>World Health Organization</w:t>
      </w:r>
      <w:r>
        <w:rPr>
          <w:rFonts w:eastAsia="Georgia" w:cs="Georgia"/>
          <w:sz w:val="16"/>
          <w:szCs w:val="16"/>
        </w:rPr>
        <w:t xml:space="preserve"> (WHO)</w:t>
      </w:r>
      <w:r w:rsidRPr="00733227">
        <w:rPr>
          <w:rFonts w:eastAsia="Georgia" w:cs="Georgia"/>
          <w:sz w:val="16"/>
          <w:szCs w:val="16"/>
        </w:rPr>
        <w:t xml:space="preserve">, </w:t>
      </w:r>
      <w:r w:rsidRPr="009B4648">
        <w:rPr>
          <w:rFonts w:eastAsia="Georgia" w:cs="Georgia"/>
          <w:i/>
          <w:iCs/>
          <w:sz w:val="16"/>
          <w:szCs w:val="16"/>
        </w:rPr>
        <w:t>Resource Book on Mental Health, Human Rights and Legislation</w:t>
      </w:r>
      <w:r>
        <w:rPr>
          <w:rFonts w:eastAsia="Georgia" w:cs="Georgia"/>
          <w:sz w:val="16"/>
          <w:szCs w:val="16"/>
        </w:rPr>
        <w:t xml:space="preserve"> (Geneva: WHO, </w:t>
      </w:r>
      <w:r w:rsidRPr="00733227">
        <w:rPr>
          <w:rFonts w:eastAsia="Georgia" w:cs="Georgia"/>
          <w:sz w:val="16"/>
          <w:szCs w:val="16"/>
        </w:rPr>
        <w:t>2005</w:t>
      </w:r>
      <w:r>
        <w:rPr>
          <w:rFonts w:eastAsia="Georgia" w:cs="Georgia"/>
          <w:sz w:val="16"/>
          <w:szCs w:val="16"/>
        </w:rPr>
        <w:t>)</w:t>
      </w:r>
      <w:r w:rsidRPr="00733227">
        <w:rPr>
          <w:rFonts w:eastAsia="Georgia" w:cs="Georgia"/>
          <w:sz w:val="16"/>
          <w:szCs w:val="16"/>
        </w:rPr>
        <w:t xml:space="preserve">, </w:t>
      </w:r>
      <w:r w:rsidRPr="009B4648">
        <w:rPr>
          <w:rFonts w:eastAsia="Georgia" w:cs="Georgia"/>
          <w:sz w:val="16"/>
          <w:szCs w:val="16"/>
        </w:rPr>
        <w:t>http://www.lhac.eu/resources/library/who_resource-book-on-mental-health-human-rights-and-legislation--2.pdf</w:t>
      </w:r>
      <w:r w:rsidRPr="00733227">
        <w:rPr>
          <w:rFonts w:eastAsia="Georgia" w:cs="Georgia"/>
          <w:sz w:val="16"/>
          <w:szCs w:val="16"/>
        </w:rPr>
        <w:t xml:space="preserve"> (accessed January 20, 2013), p. 64.</w:t>
      </w:r>
    </w:p>
  </w:footnote>
  <w:footnote w:id="45">
    <w:p w14:paraId="6CAD288C" w14:textId="77777777" w:rsidR="000C5660" w:rsidRPr="00733227" w:rsidRDefault="000C5660" w:rsidP="000C5660">
      <w:pPr>
        <w:pStyle w:val="FootnoteText"/>
        <w:rPr>
          <w:szCs w:val="16"/>
        </w:rPr>
      </w:pPr>
      <w:r w:rsidRPr="009D4C78">
        <w:rPr>
          <w:rStyle w:val="FootnoteReference"/>
          <w:szCs w:val="16"/>
        </w:rPr>
        <w:footnoteRef/>
      </w:r>
      <w:r w:rsidRPr="00733227">
        <w:rPr>
          <w:szCs w:val="16"/>
        </w:rPr>
        <w:t xml:space="preserve"> Human Rights Watch, </w:t>
      </w:r>
      <w:r w:rsidRPr="00733227">
        <w:rPr>
          <w:i/>
          <w:iCs/>
          <w:szCs w:val="16"/>
        </w:rPr>
        <w:t>Living in Hell</w:t>
      </w:r>
      <w:r w:rsidRPr="00733227">
        <w:rPr>
          <w:szCs w:val="16"/>
        </w:rPr>
        <w:t>, p</w:t>
      </w:r>
      <w:r>
        <w:rPr>
          <w:szCs w:val="16"/>
        </w:rPr>
        <w:t>p</w:t>
      </w:r>
      <w:r w:rsidRPr="00733227">
        <w:rPr>
          <w:szCs w:val="16"/>
        </w:rPr>
        <w:t>. 52</w:t>
      </w:r>
      <w:r>
        <w:rPr>
          <w:szCs w:val="16"/>
        </w:rPr>
        <w:t>-53</w:t>
      </w:r>
      <w:r w:rsidRPr="00733227">
        <w:rPr>
          <w:szCs w:val="16"/>
        </w:rPr>
        <w:t>.</w:t>
      </w:r>
    </w:p>
  </w:footnote>
  <w:footnote w:id="46">
    <w:p w14:paraId="49F96983" w14:textId="77777777" w:rsidR="000C5660" w:rsidRPr="00733227" w:rsidRDefault="000C5660" w:rsidP="000C5660">
      <w:pPr>
        <w:pStyle w:val="FootnoteText"/>
        <w:rPr>
          <w:szCs w:val="16"/>
        </w:rPr>
      </w:pPr>
      <w:r w:rsidRPr="003111F0">
        <w:rPr>
          <w:rFonts w:ascii="MetaPro-Medi" w:hAnsi="MetaPro-Medi"/>
          <w:sz w:val="22"/>
          <w:szCs w:val="22"/>
          <w:vertAlign w:val="superscript"/>
        </w:rPr>
        <w:footnoteRef/>
      </w:r>
      <w:r w:rsidRPr="003111F0">
        <w:rPr>
          <w:rFonts w:ascii="MetaPro-Medi" w:hAnsi="MetaPro-Medi"/>
          <w:sz w:val="22"/>
          <w:szCs w:val="22"/>
          <w:vertAlign w:val="superscript"/>
        </w:rPr>
        <w:t xml:space="preserve"> </w:t>
      </w:r>
      <w:r w:rsidRPr="00733227">
        <w:rPr>
          <w:szCs w:val="16"/>
        </w:rPr>
        <w:t xml:space="preserve">UN Human Rights Council, Report of the Special Rapporteur on torture and cruel, inhuman or degrading treatment or punishment, Juan </w:t>
      </w:r>
      <w:r>
        <w:rPr>
          <w:szCs w:val="16"/>
        </w:rPr>
        <w:t xml:space="preserve">E. </w:t>
      </w:r>
      <w:r w:rsidRPr="00733227">
        <w:rPr>
          <w:szCs w:val="16"/>
        </w:rPr>
        <w:t>M</w:t>
      </w:r>
      <w:r>
        <w:rPr>
          <w:szCs w:val="16"/>
        </w:rPr>
        <w:t>é</w:t>
      </w:r>
      <w:r w:rsidRPr="00733227">
        <w:rPr>
          <w:szCs w:val="16"/>
        </w:rPr>
        <w:t xml:space="preserve">ndez, A/HRC/22/53, February 1, 2013, </w:t>
      </w:r>
      <w:r>
        <w:rPr>
          <w:szCs w:val="16"/>
        </w:rPr>
        <w:t xml:space="preserve">available at </w:t>
      </w:r>
      <w:r w:rsidRPr="006A5BBA">
        <w:rPr>
          <w:szCs w:val="16"/>
        </w:rPr>
        <w:t>http://www.ohchr.org/Documents/HRBodies/HRCouncil/RegularSession/Session22/A.HRC.22.53_English.pdf</w:t>
      </w:r>
      <w:r w:rsidRPr="00733227">
        <w:rPr>
          <w:szCs w:val="16"/>
        </w:rPr>
        <w:t xml:space="preserve"> (accessed September 10, 2015), para. 63.</w:t>
      </w:r>
    </w:p>
  </w:footnote>
  <w:footnote w:id="47">
    <w:p w14:paraId="00519ABD" w14:textId="77777777" w:rsidR="000C5660" w:rsidRPr="00733227" w:rsidRDefault="000C5660" w:rsidP="000C5660">
      <w:pPr>
        <w:pStyle w:val="FootnoteText"/>
        <w:rPr>
          <w:szCs w:val="16"/>
        </w:rPr>
      </w:pPr>
      <w:r w:rsidRPr="008F6D1E">
        <w:rPr>
          <w:rFonts w:ascii="MetaPro-Medi" w:hAnsi="MetaPro-Medi"/>
          <w:sz w:val="22"/>
          <w:szCs w:val="22"/>
          <w:vertAlign w:val="superscript"/>
        </w:rPr>
        <w:footnoteRef/>
      </w:r>
      <w:r w:rsidRPr="008F6D1E">
        <w:rPr>
          <w:rFonts w:ascii="MetaPro-Medi" w:hAnsi="MetaPro-Medi"/>
          <w:szCs w:val="16"/>
        </w:rPr>
        <w:t xml:space="preserve"> </w:t>
      </w:r>
      <w:r w:rsidRPr="00733227">
        <w:rPr>
          <w:szCs w:val="16"/>
        </w:rPr>
        <w:t xml:space="preserve">UN Human Rights Council, Report of the Special Rapporteur on torture and cruel, inhuman or degrading treatment or punishment, Juan Mendez, A/HRC/22/53, February 1, 2013, </w:t>
      </w:r>
      <w:r w:rsidRPr="008F6D1E">
        <w:rPr>
          <w:szCs w:val="16"/>
        </w:rPr>
        <w:t>http://www.ohchr.org/Documents/HRBodies/HRCouncil/RegularSession/Session22/A.HRC.22.53_English.pdf</w:t>
      </w:r>
      <w:r w:rsidRPr="00733227">
        <w:rPr>
          <w:szCs w:val="16"/>
        </w:rPr>
        <w:t xml:space="preserve"> (accessed September 10, 2015), para. 63.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B4FB5"/>
    <w:multiLevelType w:val="hybridMultilevel"/>
    <w:tmpl w:val="430C93E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22875ADB"/>
    <w:multiLevelType w:val="hybridMultilevel"/>
    <w:tmpl w:val="BED80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D458E9"/>
    <w:multiLevelType w:val="hybridMultilevel"/>
    <w:tmpl w:val="ECFAF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7D60D8"/>
    <w:multiLevelType w:val="hybridMultilevel"/>
    <w:tmpl w:val="1D140B1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4DEF0F27"/>
    <w:multiLevelType w:val="hybridMultilevel"/>
    <w:tmpl w:val="E83CC21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15:restartNumberingAfterBreak="0">
    <w:nsid w:val="58EE7449"/>
    <w:multiLevelType w:val="hybridMultilevel"/>
    <w:tmpl w:val="4C163636"/>
    <w:lvl w:ilvl="0" w:tplc="FFFFFFFF">
      <w:start w:val="1"/>
      <w:numFmt w:val="decimal"/>
      <w:lvlText w:val="%1."/>
      <w:lvlJc w:val="left"/>
      <w:pPr>
        <w:ind w:left="360" w:hanging="360"/>
      </w:pPr>
      <w:rPr>
        <w:b w:val="0"/>
        <w:bCs w:val="0"/>
        <w:i w:val="0"/>
        <w:iCs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0E7532B"/>
    <w:multiLevelType w:val="hybridMultilevel"/>
    <w:tmpl w:val="D5104C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2465892">
    <w:abstractNumId w:val="5"/>
  </w:num>
  <w:num w:numId="2" w16cid:durableId="666440843">
    <w:abstractNumId w:val="4"/>
  </w:num>
  <w:num w:numId="3" w16cid:durableId="1211725863">
    <w:abstractNumId w:val="3"/>
  </w:num>
  <w:num w:numId="4" w16cid:durableId="1145514036">
    <w:abstractNumId w:val="0"/>
  </w:num>
  <w:num w:numId="5" w16cid:durableId="1950047739">
    <w:abstractNumId w:val="2"/>
  </w:num>
  <w:num w:numId="6" w16cid:durableId="771432931">
    <w:abstractNumId w:val="1"/>
  </w:num>
  <w:num w:numId="7" w16cid:durableId="4556794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543DDD"/>
    <w:rsid w:val="000044BF"/>
    <w:rsid w:val="00012001"/>
    <w:rsid w:val="0005708A"/>
    <w:rsid w:val="000638B4"/>
    <w:rsid w:val="00067246"/>
    <w:rsid w:val="00076C32"/>
    <w:rsid w:val="00087E16"/>
    <w:rsid w:val="000A2CD1"/>
    <w:rsid w:val="000B127E"/>
    <w:rsid w:val="000C5660"/>
    <w:rsid w:val="000D757B"/>
    <w:rsid w:val="00102942"/>
    <w:rsid w:val="001035E3"/>
    <w:rsid w:val="001100BC"/>
    <w:rsid w:val="00122735"/>
    <w:rsid w:val="001253B0"/>
    <w:rsid w:val="001358DB"/>
    <w:rsid w:val="0014798F"/>
    <w:rsid w:val="0016489E"/>
    <w:rsid w:val="00165312"/>
    <w:rsid w:val="001745AF"/>
    <w:rsid w:val="001A520C"/>
    <w:rsid w:val="001D093C"/>
    <w:rsid w:val="001D1190"/>
    <w:rsid w:val="001E62A9"/>
    <w:rsid w:val="001F1157"/>
    <w:rsid w:val="001F263B"/>
    <w:rsid w:val="0022010B"/>
    <w:rsid w:val="00220EEA"/>
    <w:rsid w:val="00224B1D"/>
    <w:rsid w:val="002346B5"/>
    <w:rsid w:val="00234A91"/>
    <w:rsid w:val="002570AF"/>
    <w:rsid w:val="002707BE"/>
    <w:rsid w:val="002734B3"/>
    <w:rsid w:val="00286384"/>
    <w:rsid w:val="002A0EDC"/>
    <w:rsid w:val="002D1D69"/>
    <w:rsid w:val="002D658B"/>
    <w:rsid w:val="002D706E"/>
    <w:rsid w:val="0030066A"/>
    <w:rsid w:val="00301C4C"/>
    <w:rsid w:val="003111F0"/>
    <w:rsid w:val="00312FCA"/>
    <w:rsid w:val="00350A73"/>
    <w:rsid w:val="00351AD5"/>
    <w:rsid w:val="00366208"/>
    <w:rsid w:val="003944F0"/>
    <w:rsid w:val="003958D6"/>
    <w:rsid w:val="003B2D7B"/>
    <w:rsid w:val="003D7804"/>
    <w:rsid w:val="003E0F57"/>
    <w:rsid w:val="003E64AD"/>
    <w:rsid w:val="003E6707"/>
    <w:rsid w:val="00443A14"/>
    <w:rsid w:val="004703F6"/>
    <w:rsid w:val="00476F70"/>
    <w:rsid w:val="00493BC3"/>
    <w:rsid w:val="004A2E73"/>
    <w:rsid w:val="004B152E"/>
    <w:rsid w:val="004C7D47"/>
    <w:rsid w:val="004D27B8"/>
    <w:rsid w:val="004D6B6D"/>
    <w:rsid w:val="004E2386"/>
    <w:rsid w:val="004F3B6C"/>
    <w:rsid w:val="005101AF"/>
    <w:rsid w:val="0051471E"/>
    <w:rsid w:val="00543DDD"/>
    <w:rsid w:val="005609B7"/>
    <w:rsid w:val="00561598"/>
    <w:rsid w:val="00567235"/>
    <w:rsid w:val="005743B8"/>
    <w:rsid w:val="00581825"/>
    <w:rsid w:val="00583E3C"/>
    <w:rsid w:val="005860D8"/>
    <w:rsid w:val="00597556"/>
    <w:rsid w:val="005A7325"/>
    <w:rsid w:val="005C23EB"/>
    <w:rsid w:val="005E4DD0"/>
    <w:rsid w:val="005E6016"/>
    <w:rsid w:val="005E61A0"/>
    <w:rsid w:val="005F7B3B"/>
    <w:rsid w:val="00646664"/>
    <w:rsid w:val="00650D98"/>
    <w:rsid w:val="006527C4"/>
    <w:rsid w:val="00665805"/>
    <w:rsid w:val="00691A84"/>
    <w:rsid w:val="00692DEF"/>
    <w:rsid w:val="00697A61"/>
    <w:rsid w:val="006A386E"/>
    <w:rsid w:val="006A5BBA"/>
    <w:rsid w:val="006B2C96"/>
    <w:rsid w:val="006B4CB0"/>
    <w:rsid w:val="006B6A77"/>
    <w:rsid w:val="006B7114"/>
    <w:rsid w:val="006D6757"/>
    <w:rsid w:val="006E2C4B"/>
    <w:rsid w:val="006E3D87"/>
    <w:rsid w:val="006E4934"/>
    <w:rsid w:val="00705CEB"/>
    <w:rsid w:val="007102C3"/>
    <w:rsid w:val="00710B0E"/>
    <w:rsid w:val="00714C3F"/>
    <w:rsid w:val="0071540E"/>
    <w:rsid w:val="00722BF2"/>
    <w:rsid w:val="00742A00"/>
    <w:rsid w:val="007866E2"/>
    <w:rsid w:val="00797BA5"/>
    <w:rsid w:val="007A24C8"/>
    <w:rsid w:val="007A4C69"/>
    <w:rsid w:val="007D05D3"/>
    <w:rsid w:val="007D5170"/>
    <w:rsid w:val="007F3170"/>
    <w:rsid w:val="0081634B"/>
    <w:rsid w:val="00824831"/>
    <w:rsid w:val="00834569"/>
    <w:rsid w:val="008613DF"/>
    <w:rsid w:val="008614C6"/>
    <w:rsid w:val="00887CCC"/>
    <w:rsid w:val="008C0311"/>
    <w:rsid w:val="008D3025"/>
    <w:rsid w:val="008E0416"/>
    <w:rsid w:val="008E2EB7"/>
    <w:rsid w:val="008F6D1E"/>
    <w:rsid w:val="00902A21"/>
    <w:rsid w:val="00920FCC"/>
    <w:rsid w:val="00921C73"/>
    <w:rsid w:val="009423CD"/>
    <w:rsid w:val="009544EF"/>
    <w:rsid w:val="009A0BD4"/>
    <w:rsid w:val="009B4648"/>
    <w:rsid w:val="009C03EE"/>
    <w:rsid w:val="009C230B"/>
    <w:rsid w:val="009D21F5"/>
    <w:rsid w:val="009D4C78"/>
    <w:rsid w:val="00A0639A"/>
    <w:rsid w:val="00A47CBC"/>
    <w:rsid w:val="00A577C8"/>
    <w:rsid w:val="00A747E6"/>
    <w:rsid w:val="00A8032F"/>
    <w:rsid w:val="00A81DDA"/>
    <w:rsid w:val="00AB727F"/>
    <w:rsid w:val="00AC2C62"/>
    <w:rsid w:val="00AE227A"/>
    <w:rsid w:val="00AF5BCB"/>
    <w:rsid w:val="00B01DF5"/>
    <w:rsid w:val="00B0275E"/>
    <w:rsid w:val="00B243D4"/>
    <w:rsid w:val="00BE43EB"/>
    <w:rsid w:val="00BF12A9"/>
    <w:rsid w:val="00C067DA"/>
    <w:rsid w:val="00C101B9"/>
    <w:rsid w:val="00C16BA4"/>
    <w:rsid w:val="00C32F26"/>
    <w:rsid w:val="00C36923"/>
    <w:rsid w:val="00C62C9F"/>
    <w:rsid w:val="00C655FF"/>
    <w:rsid w:val="00C75C52"/>
    <w:rsid w:val="00C77867"/>
    <w:rsid w:val="00CA0381"/>
    <w:rsid w:val="00CB127A"/>
    <w:rsid w:val="00CB15C2"/>
    <w:rsid w:val="00D22E31"/>
    <w:rsid w:val="00D34599"/>
    <w:rsid w:val="00D352DC"/>
    <w:rsid w:val="00D52D7B"/>
    <w:rsid w:val="00D55C00"/>
    <w:rsid w:val="00D82EE6"/>
    <w:rsid w:val="00D92AF5"/>
    <w:rsid w:val="00D94F8A"/>
    <w:rsid w:val="00DD5767"/>
    <w:rsid w:val="00DE3C30"/>
    <w:rsid w:val="00DF3F38"/>
    <w:rsid w:val="00E0417A"/>
    <w:rsid w:val="00E127F3"/>
    <w:rsid w:val="00E3353E"/>
    <w:rsid w:val="00E446F5"/>
    <w:rsid w:val="00E452AE"/>
    <w:rsid w:val="00E87475"/>
    <w:rsid w:val="00E908B4"/>
    <w:rsid w:val="00EA5BA0"/>
    <w:rsid w:val="00EB29AF"/>
    <w:rsid w:val="00ED0BDB"/>
    <w:rsid w:val="00ED3CE6"/>
    <w:rsid w:val="00ED4CED"/>
    <w:rsid w:val="00F33A4E"/>
    <w:rsid w:val="00F37E11"/>
    <w:rsid w:val="00F41768"/>
    <w:rsid w:val="00F46F00"/>
    <w:rsid w:val="00F540A2"/>
    <w:rsid w:val="00F600EB"/>
    <w:rsid w:val="00F6114D"/>
    <w:rsid w:val="00F8098D"/>
    <w:rsid w:val="00FA2628"/>
    <w:rsid w:val="00FA67A2"/>
    <w:rsid w:val="00FB17F7"/>
    <w:rsid w:val="00FB365E"/>
    <w:rsid w:val="00FB3CCD"/>
    <w:rsid w:val="00FB3FB9"/>
    <w:rsid w:val="00FE6E6A"/>
    <w:rsid w:val="05CE17B4"/>
    <w:rsid w:val="05E5CCAF"/>
    <w:rsid w:val="0BFC902E"/>
    <w:rsid w:val="0E504ADD"/>
    <w:rsid w:val="18DB4607"/>
    <w:rsid w:val="30FE9EEF"/>
    <w:rsid w:val="5A8284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FE739"/>
  <w15:chartTrackingRefBased/>
  <w15:docId w15:val="{2D71B86E-1F79-44ED-8E1D-5AC94C3F1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40E"/>
    <w:rPr>
      <w:rFonts w:ascii="MetaPro-Norm" w:hAnsi="MetaPro-Norm"/>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Footnote Ref,16 Point,Superscript 6 Point,Appel note de bas de p.,ftref,Ref,de nota al pie,Footnotes refss1,Footnotes refss2,Footnotes refss3,Footnotes refss4,Footnotes refss5,Footnotes refss6,Footnotes refss7"/>
    <w:basedOn w:val="DefaultParagraphFont"/>
    <w:link w:val="4GCharCharChar"/>
    <w:uiPriority w:val="99"/>
    <w:unhideWhenUsed/>
    <w:qFormat/>
    <w:rsid w:val="00BF12A9"/>
    <w:rPr>
      <w:rFonts w:ascii="MetaPro-Medi" w:hAnsi="MetaPro-Medi"/>
      <w:sz w:val="22"/>
      <w:vertAlign w:val="superscript"/>
    </w:rPr>
  </w:style>
  <w:style w:type="character" w:styleId="CommentReference">
    <w:name w:val="annotation reference"/>
    <w:basedOn w:val="DefaultParagraphFont"/>
    <w:uiPriority w:val="99"/>
    <w:semiHidden/>
    <w:unhideWhenUsed/>
    <w:rsid w:val="0071540E"/>
    <w:rPr>
      <w:sz w:val="16"/>
      <w:szCs w:val="16"/>
    </w:rPr>
  </w:style>
  <w:style w:type="paragraph" w:styleId="CommentText">
    <w:name w:val="annotation text"/>
    <w:basedOn w:val="Normal"/>
    <w:link w:val="CommentTextChar"/>
    <w:uiPriority w:val="99"/>
    <w:unhideWhenUsed/>
    <w:rsid w:val="0071540E"/>
    <w:pPr>
      <w:spacing w:line="240" w:lineRule="auto"/>
    </w:pPr>
    <w:rPr>
      <w:sz w:val="20"/>
      <w:szCs w:val="20"/>
    </w:rPr>
  </w:style>
  <w:style w:type="character" w:customStyle="1" w:styleId="CommentTextChar">
    <w:name w:val="Comment Text Char"/>
    <w:basedOn w:val="DefaultParagraphFont"/>
    <w:link w:val="CommentText"/>
    <w:uiPriority w:val="99"/>
    <w:rsid w:val="0071540E"/>
    <w:rPr>
      <w:rFonts w:ascii="MetaPro-Norm" w:hAnsi="MetaPro-Norm"/>
      <w:kern w:val="0"/>
      <w:sz w:val="20"/>
      <w:szCs w:val="20"/>
    </w:rPr>
  </w:style>
  <w:style w:type="paragraph" w:styleId="CommentSubject">
    <w:name w:val="annotation subject"/>
    <w:basedOn w:val="CommentText"/>
    <w:next w:val="CommentText"/>
    <w:link w:val="CommentSubjectChar"/>
    <w:uiPriority w:val="99"/>
    <w:semiHidden/>
    <w:unhideWhenUsed/>
    <w:rsid w:val="00581825"/>
    <w:rPr>
      <w:b/>
      <w:bCs/>
    </w:rPr>
  </w:style>
  <w:style w:type="character" w:customStyle="1" w:styleId="CommentSubjectChar">
    <w:name w:val="Comment Subject Char"/>
    <w:basedOn w:val="CommentTextChar"/>
    <w:link w:val="CommentSubject"/>
    <w:uiPriority w:val="99"/>
    <w:semiHidden/>
    <w:rsid w:val="00581825"/>
    <w:rPr>
      <w:rFonts w:ascii="MetaPro-Norm" w:hAnsi="MetaPro-Norm"/>
      <w:b/>
      <w:bCs/>
      <w:kern w:val="0"/>
      <w:sz w:val="20"/>
      <w:szCs w:val="20"/>
    </w:rPr>
  </w:style>
  <w:style w:type="paragraph" w:styleId="FootnoteText">
    <w:name w:val="footnote text"/>
    <w:aliases w:val="5_G,Footnote Text Char Char,Footnote Text Char1 Char Char,Footnote Text Char Char Char Char,Footnote Text Char Char1,Footnote Text Char Char Char,Char Char,Char,fn,ft,footnotes,Footnote Text Char2 Char,f,Footnote Text Char2 Char Char Char"/>
    <w:basedOn w:val="Normal"/>
    <w:link w:val="FootnoteTextChar"/>
    <w:uiPriority w:val="99"/>
    <w:unhideWhenUsed/>
    <w:qFormat/>
    <w:rsid w:val="002346B5"/>
    <w:pPr>
      <w:spacing w:after="0" w:line="240" w:lineRule="auto"/>
    </w:pPr>
    <w:rPr>
      <w:sz w:val="16"/>
      <w:szCs w:val="20"/>
    </w:rPr>
  </w:style>
  <w:style w:type="character" w:customStyle="1" w:styleId="FootnoteTextChar">
    <w:name w:val="Footnote Text Char"/>
    <w:aliases w:val="5_G Char,Footnote Text Char Char Char1,Footnote Text Char1 Char Char Char,Footnote Text Char Char Char Char Char,Footnote Text Char Char1 Char,Footnote Text Char Char Char Char1,Char Char Char,Char Char1,fn Char,ft Char,footnotes Char"/>
    <w:basedOn w:val="DefaultParagraphFont"/>
    <w:link w:val="FootnoteText"/>
    <w:uiPriority w:val="99"/>
    <w:qFormat/>
    <w:rsid w:val="002346B5"/>
    <w:rPr>
      <w:rFonts w:ascii="MetaPro-Norm" w:hAnsi="MetaPro-Norm"/>
      <w:kern w:val="0"/>
      <w:sz w:val="16"/>
      <w:szCs w:val="20"/>
    </w:rPr>
  </w:style>
  <w:style w:type="paragraph" w:styleId="ListParagraph">
    <w:name w:val="List Paragraph"/>
    <w:basedOn w:val="Normal"/>
    <w:uiPriority w:val="34"/>
    <w:qFormat/>
    <w:rsid w:val="002346B5"/>
    <w:pPr>
      <w:ind w:left="720"/>
      <w:contextualSpacing/>
    </w:p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2346B5"/>
    <w:pPr>
      <w:spacing w:line="240" w:lineRule="exact"/>
      <w:jc w:val="both"/>
    </w:pPr>
    <w:rPr>
      <w:rFonts w:ascii="MetaPro-Medi" w:hAnsi="MetaPro-Medi"/>
      <w:kern w:val="2"/>
      <w:vertAlign w:val="superscript"/>
    </w:rPr>
  </w:style>
  <w:style w:type="paragraph" w:styleId="Header">
    <w:name w:val="header"/>
    <w:basedOn w:val="Normal"/>
    <w:link w:val="HeaderChar"/>
    <w:uiPriority w:val="99"/>
    <w:unhideWhenUsed/>
    <w:rsid w:val="00691A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1A84"/>
    <w:rPr>
      <w:rFonts w:ascii="MetaPro-Norm" w:hAnsi="MetaPro-Norm"/>
      <w:kern w:val="0"/>
    </w:rPr>
  </w:style>
  <w:style w:type="paragraph" w:styleId="Footer">
    <w:name w:val="footer"/>
    <w:basedOn w:val="Normal"/>
    <w:link w:val="FooterChar"/>
    <w:uiPriority w:val="99"/>
    <w:unhideWhenUsed/>
    <w:rsid w:val="00691A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1A84"/>
    <w:rPr>
      <w:rFonts w:ascii="MetaPro-Norm" w:hAnsi="MetaPro-Norm"/>
      <w:kern w:val="0"/>
    </w:rPr>
  </w:style>
  <w:style w:type="paragraph" w:styleId="BodyText">
    <w:name w:val="Body Text"/>
    <w:basedOn w:val="Normal"/>
    <w:link w:val="BodyTextChar"/>
    <w:uiPriority w:val="9"/>
    <w:qFormat/>
    <w:rsid w:val="00B01DF5"/>
    <w:pPr>
      <w:spacing w:after="0" w:line="240" w:lineRule="auto"/>
      <w:ind w:firstLine="720"/>
    </w:pPr>
    <w:rPr>
      <w:rFonts w:ascii="Arial" w:hAnsi="Arial"/>
      <w:sz w:val="24"/>
      <w:szCs w:val="24"/>
    </w:rPr>
  </w:style>
  <w:style w:type="character" w:customStyle="1" w:styleId="BodyTextChar">
    <w:name w:val="Body Text Char"/>
    <w:basedOn w:val="DefaultParagraphFont"/>
    <w:link w:val="BodyText"/>
    <w:uiPriority w:val="9"/>
    <w:rsid w:val="00B01DF5"/>
    <w:rPr>
      <w:rFonts w:ascii="Arial" w:hAnsi="Arial"/>
      <w:kern w:val="0"/>
      <w:sz w:val="24"/>
      <w:szCs w:val="24"/>
    </w:rPr>
  </w:style>
  <w:style w:type="paragraph" w:styleId="NormalWeb">
    <w:name w:val="Normal (Web)"/>
    <w:basedOn w:val="Normal"/>
    <w:uiPriority w:val="99"/>
    <w:unhideWhenUsed/>
    <w:rsid w:val="00B01DF5"/>
    <w:pPr>
      <w:spacing w:after="0" w:line="240" w:lineRule="auto"/>
    </w:pPr>
    <w:rPr>
      <w:rFonts w:ascii="Arial" w:hAnsi="Arial" w:cs="Times New Roman"/>
      <w:sz w:val="24"/>
      <w:szCs w:val="24"/>
    </w:rPr>
  </w:style>
  <w:style w:type="paragraph" w:customStyle="1" w:styleId="paragraph">
    <w:name w:val="paragraph"/>
    <w:basedOn w:val="Normal"/>
    <w:rsid w:val="00B01D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01DF5"/>
  </w:style>
  <w:style w:type="character" w:customStyle="1" w:styleId="eop">
    <w:name w:val="eop"/>
    <w:basedOn w:val="DefaultParagraphFont"/>
    <w:rsid w:val="00B01DF5"/>
  </w:style>
  <w:style w:type="character" w:styleId="Hyperlink">
    <w:name w:val="Hyperlink"/>
    <w:basedOn w:val="DefaultParagraphFont"/>
    <w:uiPriority w:val="99"/>
    <w:unhideWhenUsed/>
    <w:rsid w:val="00B01DF5"/>
    <w:rPr>
      <w:color w:val="0563C1" w:themeColor="hyperlink"/>
      <w:u w:val="single"/>
    </w:rPr>
  </w:style>
  <w:style w:type="character" w:styleId="FollowedHyperlink">
    <w:name w:val="FollowedHyperlink"/>
    <w:basedOn w:val="DefaultParagraphFont"/>
    <w:uiPriority w:val="99"/>
    <w:semiHidden/>
    <w:unhideWhenUsed/>
    <w:rsid w:val="00301C4C"/>
    <w:rPr>
      <w:color w:val="954F72" w:themeColor="followedHyperlink"/>
      <w:u w:val="single"/>
    </w:rPr>
  </w:style>
  <w:style w:type="character" w:styleId="UnresolvedMention">
    <w:name w:val="Unresolved Mention"/>
    <w:basedOn w:val="DefaultParagraphFont"/>
    <w:uiPriority w:val="99"/>
    <w:semiHidden/>
    <w:unhideWhenUsed/>
    <w:rsid w:val="001D093C"/>
    <w:rPr>
      <w:color w:val="605E5C"/>
      <w:shd w:val="clear" w:color="auto" w:fill="E1DFDD"/>
    </w:rPr>
  </w:style>
  <w:style w:type="paragraph" w:styleId="Revision">
    <w:name w:val="Revision"/>
    <w:hidden/>
    <w:uiPriority w:val="99"/>
    <w:semiHidden/>
    <w:rsid w:val="00FB17F7"/>
    <w:pPr>
      <w:spacing w:after="0" w:line="240" w:lineRule="auto"/>
    </w:pPr>
    <w:rPr>
      <w:rFonts w:ascii="MetaPro-Norm" w:hAnsi="MetaPro-Norm"/>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467090">
      <w:bodyDiv w:val="1"/>
      <w:marLeft w:val="0"/>
      <w:marRight w:val="0"/>
      <w:marTop w:val="0"/>
      <w:marBottom w:val="0"/>
      <w:divBdr>
        <w:top w:val="none" w:sz="0" w:space="0" w:color="auto"/>
        <w:left w:val="none" w:sz="0" w:space="0" w:color="auto"/>
        <w:bottom w:val="none" w:sz="0" w:space="0" w:color="auto"/>
        <w:right w:val="none" w:sz="0" w:space="0" w:color="auto"/>
      </w:divBdr>
    </w:div>
    <w:div w:id="99761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A/HRC/31/57/Add.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99F05-CE72-460F-A642-E41C00C26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3077</Words>
  <Characters>17542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20578</CharactersWithSpaces>
  <SharedDoc>false</SharedDoc>
  <HLinks>
    <vt:vector size="6" baseType="variant">
      <vt:variant>
        <vt:i4>3276907</vt:i4>
      </vt:variant>
      <vt:variant>
        <vt:i4>0</vt:i4>
      </vt:variant>
      <vt:variant>
        <vt:i4>0</vt:i4>
      </vt:variant>
      <vt:variant>
        <vt:i4>5</vt:i4>
      </vt:variant>
      <vt:variant>
        <vt:lpwstr>https://undocs.org/en/A/HRC/31/57/Add.2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10</cp:revision>
  <dcterms:created xsi:type="dcterms:W3CDTF">2024-03-08T16:19:00Z</dcterms:created>
  <dcterms:modified xsi:type="dcterms:W3CDTF">2024-03-11T08:52:00Z</dcterms:modified>
</cp:coreProperties>
</file>