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770252" w14:textId="7DCEC31F" w:rsidR="005A3E1B" w:rsidRPr="005A3E1B" w:rsidRDefault="005A3E1B" w:rsidP="005A3E1B">
      <w:pPr>
        <w:rPr>
          <w:b/>
          <w:bCs/>
          <w:lang w:val="fr-FR"/>
        </w:rPr>
      </w:pPr>
      <w:r w:rsidRPr="005A3E1B">
        <w:rPr>
          <w:b/>
          <w:bCs/>
          <w:lang w:val="fr-FR"/>
        </w:rPr>
        <w:t>Déclaration sur les disparitions forcées</w:t>
      </w:r>
      <w:r w:rsidRPr="005A3E1B">
        <w:rPr>
          <w:b/>
          <w:bCs/>
          <w:lang w:val="fr-FR"/>
        </w:rPr>
        <w:t xml:space="preserve"> </w:t>
      </w:r>
      <w:r w:rsidRPr="005A3E1B">
        <w:rPr>
          <w:b/>
          <w:bCs/>
          <w:lang w:val="fr-FR"/>
        </w:rPr>
        <w:t>et la juridiction militaire</w:t>
      </w:r>
    </w:p>
    <w:p w14:paraId="00207E1E" w14:textId="77777777" w:rsidR="005A3E1B" w:rsidRPr="005A3E1B" w:rsidRDefault="005A3E1B" w:rsidP="005A3E1B">
      <w:pPr>
        <w:rPr>
          <w:b/>
          <w:bCs/>
          <w:lang w:val="fr-FR"/>
        </w:rPr>
      </w:pPr>
    </w:p>
    <w:p w14:paraId="0341ED49" w14:textId="18F6FEAA" w:rsidR="005A3E1B" w:rsidRPr="005A3E1B" w:rsidRDefault="005A3E1B" w:rsidP="005A3E1B">
      <w:pPr>
        <w:rPr>
          <w:b/>
          <w:bCs/>
          <w:lang w:val="fr-FR"/>
        </w:rPr>
      </w:pPr>
      <w:r w:rsidRPr="005A3E1B">
        <w:rPr>
          <w:b/>
          <w:bCs/>
          <w:lang w:val="fr-FR"/>
        </w:rPr>
        <w:t>Comité des disparitions forcées, huitième session,</w:t>
      </w:r>
      <w:r w:rsidRPr="005A3E1B">
        <w:rPr>
          <w:b/>
          <w:bCs/>
          <w:lang w:val="fr-FR"/>
        </w:rPr>
        <w:t xml:space="preserve"> </w:t>
      </w:r>
      <w:r w:rsidRPr="005A3E1B">
        <w:rPr>
          <w:b/>
          <w:bCs/>
          <w:lang w:val="fr-FR"/>
        </w:rPr>
        <w:t>13 février 2015</w:t>
      </w:r>
    </w:p>
    <w:p w14:paraId="56948657" w14:textId="77777777" w:rsidR="005A3E1B" w:rsidRPr="005A3E1B" w:rsidRDefault="005A3E1B" w:rsidP="005A3E1B">
      <w:pPr>
        <w:rPr>
          <w:lang w:val="fr-FR"/>
        </w:rPr>
      </w:pPr>
    </w:p>
    <w:p w14:paraId="577AC08D" w14:textId="7525DD04" w:rsidR="005A3E1B" w:rsidRDefault="005A3E1B" w:rsidP="005A3E1B">
      <w:pPr>
        <w:rPr>
          <w:lang w:val="fr-FR"/>
        </w:rPr>
      </w:pPr>
      <w:r w:rsidRPr="005A3E1B">
        <w:rPr>
          <w:lang w:val="fr-FR"/>
        </w:rPr>
        <w:t>1. Le droit à la justice pour les victimes de crime de disparition forcée suppose le</w:t>
      </w:r>
      <w:r>
        <w:rPr>
          <w:lang w:val="fr-FR"/>
        </w:rPr>
        <w:t xml:space="preserve"> </w:t>
      </w:r>
      <w:r w:rsidRPr="005A3E1B">
        <w:rPr>
          <w:lang w:val="fr-FR"/>
        </w:rPr>
        <w:t>respect des principes d’indépendance et d’impartialité des tribunaux. Le champ de</w:t>
      </w:r>
      <w:r>
        <w:rPr>
          <w:lang w:val="fr-FR"/>
        </w:rPr>
        <w:t xml:space="preserve"> </w:t>
      </w:r>
      <w:r w:rsidRPr="005A3E1B">
        <w:rPr>
          <w:lang w:val="fr-FR"/>
        </w:rPr>
        <w:t>compétence des juridictions militaires en cas de violations massives des droits de</w:t>
      </w:r>
      <w:r>
        <w:rPr>
          <w:lang w:val="fr-FR"/>
        </w:rPr>
        <w:t xml:space="preserve"> </w:t>
      </w:r>
      <w:r w:rsidRPr="005A3E1B">
        <w:rPr>
          <w:lang w:val="fr-FR"/>
        </w:rPr>
        <w:t>l’homme, que les victimes soient militaires ou civiles, est devenue une question</w:t>
      </w:r>
      <w:r>
        <w:rPr>
          <w:lang w:val="fr-FR"/>
        </w:rPr>
        <w:t xml:space="preserve"> </w:t>
      </w:r>
      <w:r w:rsidRPr="005A3E1B">
        <w:rPr>
          <w:lang w:val="fr-FR"/>
        </w:rPr>
        <w:t>importante à laquelle est confronté le Comité des disparitions forcées dans le cadre de</w:t>
      </w:r>
      <w:r>
        <w:rPr>
          <w:lang w:val="fr-FR"/>
        </w:rPr>
        <w:t xml:space="preserve"> </w:t>
      </w:r>
      <w:r w:rsidRPr="005A3E1B">
        <w:rPr>
          <w:lang w:val="fr-FR"/>
        </w:rPr>
        <w:t>sa mission, en particulier lors de l’examen des rapports des États parties au titre de</w:t>
      </w:r>
      <w:r>
        <w:rPr>
          <w:lang w:val="fr-FR"/>
        </w:rPr>
        <w:t xml:space="preserve"> </w:t>
      </w:r>
      <w:r w:rsidRPr="005A3E1B">
        <w:rPr>
          <w:lang w:val="fr-FR"/>
        </w:rPr>
        <w:t>l’article 29 de la Convention internationale pour la protection de toutes les personnes</w:t>
      </w:r>
      <w:r>
        <w:rPr>
          <w:lang w:val="fr-FR"/>
        </w:rPr>
        <w:t xml:space="preserve"> </w:t>
      </w:r>
      <w:r w:rsidRPr="005A3E1B">
        <w:rPr>
          <w:lang w:val="fr-FR"/>
        </w:rPr>
        <w:t>contre les disparitions forcées. Dans ce contexte, le Comité a organisé un débat public</w:t>
      </w:r>
      <w:r>
        <w:rPr>
          <w:lang w:val="fr-FR"/>
        </w:rPr>
        <w:t xml:space="preserve"> </w:t>
      </w:r>
      <w:r w:rsidRPr="005A3E1B">
        <w:rPr>
          <w:lang w:val="fr-FR"/>
        </w:rPr>
        <w:t>sur la disparition forcée et la justice militaire, le 25 mars 2014, lors de sa sixième</w:t>
      </w:r>
      <w:r>
        <w:rPr>
          <w:lang w:val="fr-FR"/>
        </w:rPr>
        <w:t xml:space="preserve"> </w:t>
      </w:r>
      <w:r w:rsidRPr="005A3E1B">
        <w:rPr>
          <w:lang w:val="fr-FR"/>
        </w:rPr>
        <w:t>session.</w:t>
      </w:r>
    </w:p>
    <w:p w14:paraId="489CCAFA" w14:textId="77777777" w:rsidR="005A3E1B" w:rsidRPr="005A3E1B" w:rsidRDefault="005A3E1B" w:rsidP="005A3E1B">
      <w:pPr>
        <w:rPr>
          <w:lang w:val="fr-FR"/>
        </w:rPr>
      </w:pPr>
    </w:p>
    <w:p w14:paraId="61C946D5" w14:textId="2D47315F" w:rsidR="005A3E1B" w:rsidRDefault="005A3E1B" w:rsidP="005A3E1B">
      <w:pPr>
        <w:rPr>
          <w:lang w:val="fr-FR"/>
        </w:rPr>
      </w:pPr>
      <w:r w:rsidRPr="005A3E1B">
        <w:rPr>
          <w:lang w:val="fr-FR"/>
        </w:rPr>
        <w:t>2. Le Comité fait la déclaration suivante afin de clarifier, à l’intention des États</w:t>
      </w:r>
      <w:r>
        <w:rPr>
          <w:lang w:val="fr-FR"/>
        </w:rPr>
        <w:t xml:space="preserve"> </w:t>
      </w:r>
      <w:r w:rsidRPr="005A3E1B">
        <w:rPr>
          <w:lang w:val="fr-FR"/>
        </w:rPr>
        <w:t>parties, les principes qu’il applique lors de l’examen des mesures prises par les États</w:t>
      </w:r>
      <w:r>
        <w:rPr>
          <w:lang w:val="fr-FR"/>
        </w:rPr>
        <w:t xml:space="preserve"> </w:t>
      </w:r>
      <w:r w:rsidRPr="005A3E1B">
        <w:rPr>
          <w:lang w:val="fr-FR"/>
        </w:rPr>
        <w:t>parties pour donner effet à leur obligation de mettre en œuvre la Convention. L</w:t>
      </w:r>
      <w:r>
        <w:rPr>
          <w:lang w:val="fr-FR"/>
        </w:rPr>
        <w:t xml:space="preserve">e </w:t>
      </w:r>
      <w:r w:rsidRPr="005A3E1B">
        <w:rPr>
          <w:lang w:val="fr-FR"/>
        </w:rPr>
        <w:t>Comité fait observer que la Convention définit des obligations dans le domaine des</w:t>
      </w:r>
      <w:r>
        <w:rPr>
          <w:lang w:val="fr-FR"/>
        </w:rPr>
        <w:t xml:space="preserve"> </w:t>
      </w:r>
      <w:r w:rsidRPr="005A3E1B">
        <w:rPr>
          <w:lang w:val="fr-FR"/>
        </w:rPr>
        <w:t>enquêtes, des poursuites et des procès. Le Comité est d’avis que la juridiction militaire</w:t>
      </w:r>
      <w:r>
        <w:rPr>
          <w:lang w:val="fr-FR"/>
        </w:rPr>
        <w:t xml:space="preserve"> </w:t>
      </w:r>
      <w:r w:rsidRPr="005A3E1B">
        <w:rPr>
          <w:lang w:val="fr-FR"/>
        </w:rPr>
        <w:t>pourrait limiter l’efficacité des enquêtes, des poursuites et des procès dans les affaires</w:t>
      </w:r>
      <w:r>
        <w:rPr>
          <w:lang w:val="fr-FR"/>
        </w:rPr>
        <w:t xml:space="preserve"> </w:t>
      </w:r>
      <w:r w:rsidRPr="005A3E1B">
        <w:rPr>
          <w:lang w:val="fr-FR"/>
        </w:rPr>
        <w:t>de disparition forcée.</w:t>
      </w:r>
    </w:p>
    <w:p w14:paraId="1F3DC8AE" w14:textId="77777777" w:rsidR="005A3E1B" w:rsidRPr="005A3E1B" w:rsidRDefault="005A3E1B" w:rsidP="005A3E1B">
      <w:pPr>
        <w:rPr>
          <w:lang w:val="fr-FR"/>
        </w:rPr>
      </w:pPr>
    </w:p>
    <w:p w14:paraId="304268B3" w14:textId="5E6A50EC" w:rsidR="005A3E1B" w:rsidRDefault="005A3E1B" w:rsidP="005A3E1B">
      <w:pPr>
        <w:rPr>
          <w:lang w:val="fr-FR"/>
        </w:rPr>
      </w:pPr>
      <w:r w:rsidRPr="005A3E1B">
        <w:rPr>
          <w:lang w:val="fr-FR"/>
        </w:rPr>
        <w:t>3. Les enquêtes doivent être approfondies et impartiales et des mesures devront être</w:t>
      </w:r>
      <w:r>
        <w:rPr>
          <w:lang w:val="fr-FR"/>
        </w:rPr>
        <w:t xml:space="preserve"> </w:t>
      </w:r>
      <w:r w:rsidRPr="005A3E1B">
        <w:rPr>
          <w:lang w:val="fr-FR"/>
        </w:rPr>
        <w:t>prises pour assurer la protection du plaignant, des témoins et des proches (par. 1 de</w:t>
      </w:r>
      <w:r>
        <w:rPr>
          <w:lang w:val="fr-FR"/>
        </w:rPr>
        <w:t xml:space="preserve"> </w:t>
      </w:r>
      <w:r w:rsidRPr="005A3E1B">
        <w:rPr>
          <w:lang w:val="fr-FR"/>
        </w:rPr>
        <w:t>l’article 12) ainsi que l’accès des victimes à la documentation et à d’autres</w:t>
      </w:r>
      <w:r>
        <w:rPr>
          <w:lang w:val="fr-FR"/>
        </w:rPr>
        <w:t xml:space="preserve"> </w:t>
      </w:r>
      <w:r w:rsidRPr="005A3E1B">
        <w:rPr>
          <w:lang w:val="fr-FR"/>
        </w:rPr>
        <w:t>informations pertinentes pour l’enquête (par. 3 a) de l’article 12). En outre, les États</w:t>
      </w:r>
      <w:r>
        <w:rPr>
          <w:lang w:val="fr-FR"/>
        </w:rPr>
        <w:t xml:space="preserve"> </w:t>
      </w:r>
      <w:r w:rsidRPr="005A3E1B">
        <w:rPr>
          <w:lang w:val="fr-FR"/>
        </w:rPr>
        <w:t>parties doivent s’assurer que les personnes soupçonnées d’avoir commis un crime de</w:t>
      </w:r>
      <w:r>
        <w:rPr>
          <w:lang w:val="fr-FR"/>
        </w:rPr>
        <w:t xml:space="preserve"> </w:t>
      </w:r>
      <w:r w:rsidRPr="005A3E1B">
        <w:rPr>
          <w:lang w:val="fr-FR"/>
        </w:rPr>
        <w:t>disparition forcée ne sont pas en mesure d’influer sur le cours de l’enquête par des</w:t>
      </w:r>
      <w:r>
        <w:rPr>
          <w:lang w:val="fr-FR"/>
        </w:rPr>
        <w:t xml:space="preserve"> </w:t>
      </w:r>
      <w:r w:rsidRPr="005A3E1B">
        <w:rPr>
          <w:lang w:val="fr-FR"/>
        </w:rPr>
        <w:t>pressions ou des actes d’intimidation ou de représailles (par. 4 de l’article 12).</w:t>
      </w:r>
    </w:p>
    <w:p w14:paraId="2FAF5549" w14:textId="77777777" w:rsidR="005A3E1B" w:rsidRPr="005A3E1B" w:rsidRDefault="005A3E1B" w:rsidP="005A3E1B">
      <w:pPr>
        <w:rPr>
          <w:lang w:val="fr-FR"/>
        </w:rPr>
      </w:pPr>
    </w:p>
    <w:p w14:paraId="2D620B74" w14:textId="7535001F" w:rsidR="005A3E1B" w:rsidRDefault="005A3E1B" w:rsidP="005A3E1B">
      <w:pPr>
        <w:rPr>
          <w:lang w:val="fr-FR"/>
        </w:rPr>
      </w:pPr>
      <w:r w:rsidRPr="005A3E1B">
        <w:rPr>
          <w:lang w:val="fr-FR"/>
        </w:rPr>
        <w:t>4. La Convention prévoit également que toute personne jugée pour un crime de</w:t>
      </w:r>
      <w:r>
        <w:rPr>
          <w:lang w:val="fr-FR"/>
        </w:rPr>
        <w:t xml:space="preserve"> </w:t>
      </w:r>
      <w:r w:rsidRPr="005A3E1B">
        <w:rPr>
          <w:lang w:val="fr-FR"/>
        </w:rPr>
        <w:t>disparition forcée bénéficie d’un procès équitable devant une cour ou un tribunal</w:t>
      </w:r>
      <w:r>
        <w:rPr>
          <w:lang w:val="fr-FR"/>
        </w:rPr>
        <w:t xml:space="preserve"> </w:t>
      </w:r>
      <w:r w:rsidRPr="005A3E1B">
        <w:rPr>
          <w:lang w:val="fr-FR"/>
        </w:rPr>
        <w:t>compétent, indépendant et impartial, établi par la loi (par. 3 de l’article 11).</w:t>
      </w:r>
    </w:p>
    <w:p w14:paraId="0D52919D" w14:textId="77777777" w:rsidR="005A3E1B" w:rsidRPr="005A3E1B" w:rsidRDefault="005A3E1B" w:rsidP="005A3E1B">
      <w:pPr>
        <w:rPr>
          <w:lang w:val="fr-FR"/>
        </w:rPr>
      </w:pPr>
    </w:p>
    <w:p w14:paraId="2D222704" w14:textId="698E4CAD" w:rsidR="005A3E1B" w:rsidRDefault="005A3E1B" w:rsidP="005A3E1B">
      <w:pPr>
        <w:rPr>
          <w:lang w:val="fr-FR"/>
        </w:rPr>
      </w:pPr>
      <w:r w:rsidRPr="005A3E1B">
        <w:rPr>
          <w:lang w:val="fr-FR"/>
        </w:rPr>
        <w:t>5. Afin de préciser les dispositions de la Convention et dans l’optique de garantir</w:t>
      </w:r>
      <w:r>
        <w:rPr>
          <w:lang w:val="fr-FR"/>
        </w:rPr>
        <w:t xml:space="preserve"> </w:t>
      </w:r>
      <w:r w:rsidRPr="005A3E1B">
        <w:rPr>
          <w:lang w:val="fr-FR"/>
        </w:rPr>
        <w:t>un procès devant un tribunal indépendant et impartial, le Comité a recommandé aux</w:t>
      </w:r>
      <w:r>
        <w:rPr>
          <w:lang w:val="fr-FR"/>
        </w:rPr>
        <w:t xml:space="preserve"> </w:t>
      </w:r>
      <w:r w:rsidRPr="005A3E1B">
        <w:rPr>
          <w:lang w:val="fr-FR"/>
        </w:rPr>
        <w:t>États parties, lorsque cela était nécessaire, dans les observations finales qu’il leur a</w:t>
      </w:r>
      <w:r>
        <w:rPr>
          <w:lang w:val="fr-FR"/>
        </w:rPr>
        <w:t xml:space="preserve"> </w:t>
      </w:r>
      <w:r w:rsidRPr="005A3E1B">
        <w:rPr>
          <w:lang w:val="fr-FR"/>
        </w:rPr>
        <w:t>adressées, de faire en sorte que les disparitions forcées restent expressément en dehors</w:t>
      </w:r>
      <w:r>
        <w:rPr>
          <w:lang w:val="fr-FR"/>
        </w:rPr>
        <w:t xml:space="preserve"> </w:t>
      </w:r>
      <w:r w:rsidRPr="005A3E1B">
        <w:rPr>
          <w:lang w:val="fr-FR"/>
        </w:rPr>
        <w:t>du champ de compétence des juridictions militaires dans tous les cas , que ces affaires</w:t>
      </w:r>
      <w:r>
        <w:rPr>
          <w:lang w:val="fr-FR"/>
        </w:rPr>
        <w:t xml:space="preserve"> </w:t>
      </w:r>
      <w:r w:rsidRPr="005A3E1B">
        <w:rPr>
          <w:lang w:val="fr-FR"/>
        </w:rPr>
        <w:t>ne puissent faire l’objet d’une enquête et entraîner des poursuites que de la part des</w:t>
      </w:r>
      <w:r>
        <w:rPr>
          <w:lang w:val="fr-FR"/>
        </w:rPr>
        <w:t xml:space="preserve"> </w:t>
      </w:r>
      <w:r w:rsidRPr="005A3E1B">
        <w:rPr>
          <w:lang w:val="fr-FR"/>
        </w:rPr>
        <w:t>autorités civiles ou sous leur contrôle, et que ces affaires soient jugées uniquement par</w:t>
      </w:r>
      <w:r>
        <w:rPr>
          <w:lang w:val="fr-FR"/>
        </w:rPr>
        <w:t xml:space="preserve"> </w:t>
      </w:r>
      <w:r w:rsidRPr="005A3E1B">
        <w:rPr>
          <w:lang w:val="fr-FR"/>
        </w:rPr>
        <w:t>des tribunaux de droit commun.</w:t>
      </w:r>
    </w:p>
    <w:p w14:paraId="1320725A" w14:textId="77777777" w:rsidR="005A3E1B" w:rsidRPr="005A3E1B" w:rsidRDefault="005A3E1B" w:rsidP="005A3E1B">
      <w:pPr>
        <w:rPr>
          <w:lang w:val="fr-FR"/>
        </w:rPr>
      </w:pPr>
    </w:p>
    <w:p w14:paraId="7A343588" w14:textId="39D8C2C6" w:rsidR="005A3E1B" w:rsidRDefault="005A3E1B" w:rsidP="005A3E1B">
      <w:pPr>
        <w:rPr>
          <w:lang w:val="fr-FR"/>
        </w:rPr>
      </w:pPr>
      <w:r w:rsidRPr="005A3E1B">
        <w:rPr>
          <w:lang w:val="fr-FR"/>
        </w:rPr>
        <w:t>6. Le Comité prend note de la pratique appliquée par d’autres organes</w:t>
      </w:r>
      <w:r>
        <w:rPr>
          <w:lang w:val="fr-FR"/>
        </w:rPr>
        <w:t xml:space="preserve"> </w:t>
      </w:r>
      <w:r w:rsidRPr="005A3E1B">
        <w:rPr>
          <w:lang w:val="fr-FR"/>
        </w:rPr>
        <w:t>conventionnels relatifs aux droits de l’homme, en particulier le Comité des droits de</w:t>
      </w:r>
      <w:r>
        <w:rPr>
          <w:lang w:val="fr-FR"/>
        </w:rPr>
        <w:t xml:space="preserve"> </w:t>
      </w:r>
      <w:r w:rsidRPr="005A3E1B">
        <w:rPr>
          <w:lang w:val="fr-FR"/>
        </w:rPr>
        <w:t>l’homme, lorsqu’il examine le rôle des tribunaux militaires (justice ou juridiction)</w:t>
      </w:r>
      <w:r>
        <w:rPr>
          <w:lang w:val="fr-FR"/>
        </w:rPr>
        <w:t xml:space="preserve"> </w:t>
      </w:r>
      <w:r w:rsidRPr="005A3E1B">
        <w:rPr>
          <w:lang w:val="fr-FR"/>
        </w:rPr>
        <w:t>dans le cadre de poursuites pour violations massives des droits de l’homme.</w:t>
      </w:r>
    </w:p>
    <w:p w14:paraId="4BB4F0DC" w14:textId="77777777" w:rsidR="005A3E1B" w:rsidRPr="005A3E1B" w:rsidRDefault="005A3E1B" w:rsidP="005A3E1B">
      <w:pPr>
        <w:rPr>
          <w:lang w:val="fr-FR"/>
        </w:rPr>
      </w:pPr>
    </w:p>
    <w:p w14:paraId="299D64E7" w14:textId="5720543A" w:rsidR="005A3E1B" w:rsidRPr="005A3E1B" w:rsidRDefault="005A3E1B" w:rsidP="005A3E1B">
      <w:pPr>
        <w:rPr>
          <w:lang w:val="fr-FR"/>
        </w:rPr>
      </w:pPr>
      <w:r w:rsidRPr="005A3E1B">
        <w:rPr>
          <w:lang w:val="fr-FR"/>
        </w:rPr>
        <w:t>7. Le Comité tient compte de la Déclaration sur la protection de toutes les</w:t>
      </w:r>
      <w:r>
        <w:rPr>
          <w:lang w:val="fr-FR"/>
        </w:rPr>
        <w:t xml:space="preserve"> </w:t>
      </w:r>
      <w:r w:rsidRPr="005A3E1B">
        <w:rPr>
          <w:lang w:val="fr-FR"/>
        </w:rPr>
        <w:t>personnes contre les disparitions forcées, en particulier de son article 14, et garde à</w:t>
      </w:r>
      <w:r>
        <w:rPr>
          <w:lang w:val="fr-FR"/>
        </w:rPr>
        <w:t xml:space="preserve"> </w:t>
      </w:r>
      <w:r w:rsidRPr="005A3E1B">
        <w:rPr>
          <w:lang w:val="fr-FR"/>
        </w:rPr>
        <w:t>l’esprit l’approche adoptée par le Groupe de travail sur les disparitions forcées ou</w:t>
      </w:r>
      <w:r>
        <w:rPr>
          <w:lang w:val="fr-FR"/>
        </w:rPr>
        <w:t xml:space="preserve"> </w:t>
      </w:r>
      <w:r w:rsidRPr="005A3E1B">
        <w:rPr>
          <w:lang w:val="fr-FR"/>
        </w:rPr>
        <w:t>involontaires du Conseil des droits de l’homme à cet égard.</w:t>
      </w:r>
    </w:p>
    <w:p w14:paraId="18072542" w14:textId="77777777" w:rsidR="005A3E1B" w:rsidRDefault="005A3E1B" w:rsidP="005A3E1B">
      <w:pPr>
        <w:rPr>
          <w:lang w:val="fr-FR"/>
        </w:rPr>
      </w:pPr>
    </w:p>
    <w:p w14:paraId="0792B2EE" w14:textId="6B3F8DD9" w:rsidR="005A3E1B" w:rsidRDefault="005A3E1B" w:rsidP="005A3E1B">
      <w:pPr>
        <w:rPr>
          <w:lang w:val="fr-FR"/>
        </w:rPr>
      </w:pPr>
      <w:r w:rsidRPr="005A3E1B">
        <w:rPr>
          <w:lang w:val="fr-FR"/>
        </w:rPr>
        <w:t>8. Le Comité est informé des autres évolutions du droit international, en particulier</w:t>
      </w:r>
      <w:r>
        <w:rPr>
          <w:lang w:val="fr-FR"/>
        </w:rPr>
        <w:t xml:space="preserve"> </w:t>
      </w:r>
      <w:r w:rsidRPr="005A3E1B">
        <w:rPr>
          <w:lang w:val="fr-FR"/>
        </w:rPr>
        <w:t>de la Convention interaméricaine sur la disparition forcée des personnes (art. IX), qui</w:t>
      </w:r>
      <w:r>
        <w:rPr>
          <w:lang w:val="fr-FR"/>
        </w:rPr>
        <w:t xml:space="preserve"> </w:t>
      </w:r>
      <w:r w:rsidRPr="005A3E1B">
        <w:rPr>
          <w:lang w:val="fr-FR"/>
        </w:rPr>
        <w:t>dispose que « les auteurs présumés des faits constitutifs du délit de disparition forcée</w:t>
      </w:r>
      <w:r>
        <w:rPr>
          <w:lang w:val="fr-FR"/>
        </w:rPr>
        <w:t xml:space="preserve"> </w:t>
      </w:r>
      <w:r w:rsidRPr="005A3E1B">
        <w:rPr>
          <w:lang w:val="fr-FR"/>
        </w:rPr>
        <w:t>des personnes peuvent être jugés uniquement par les juridictions de droit commun</w:t>
      </w:r>
      <w:r>
        <w:rPr>
          <w:lang w:val="fr-FR"/>
        </w:rPr>
        <w:t xml:space="preserve"> </w:t>
      </w:r>
      <w:r w:rsidRPr="005A3E1B">
        <w:rPr>
          <w:lang w:val="fr-FR"/>
        </w:rPr>
        <w:t>compétentes dans chaque État. Aucune autre juridiction spéciale ne sera autorisée,</w:t>
      </w:r>
      <w:r>
        <w:rPr>
          <w:lang w:val="fr-FR"/>
        </w:rPr>
        <w:t xml:space="preserve"> </w:t>
      </w:r>
      <w:r w:rsidRPr="005A3E1B">
        <w:rPr>
          <w:lang w:val="fr-FR"/>
        </w:rPr>
        <w:t>notamment la juridiction militaire ».</w:t>
      </w:r>
    </w:p>
    <w:p w14:paraId="0031B5A6" w14:textId="77777777" w:rsidR="005A3E1B" w:rsidRPr="005A3E1B" w:rsidRDefault="005A3E1B" w:rsidP="005A3E1B">
      <w:pPr>
        <w:rPr>
          <w:lang w:val="fr-FR"/>
        </w:rPr>
      </w:pPr>
    </w:p>
    <w:p w14:paraId="53E053B3" w14:textId="5F915939" w:rsidR="005A3E1B" w:rsidRDefault="005A3E1B" w:rsidP="005A3E1B">
      <w:pPr>
        <w:rPr>
          <w:lang w:val="fr-FR"/>
        </w:rPr>
      </w:pPr>
      <w:r w:rsidRPr="005A3E1B">
        <w:rPr>
          <w:lang w:val="fr-FR"/>
        </w:rPr>
        <w:t>9. Le Comité a également connaissance de l’ensemble de principes actualisé pour la</w:t>
      </w:r>
      <w:r>
        <w:rPr>
          <w:lang w:val="fr-FR"/>
        </w:rPr>
        <w:t xml:space="preserve"> </w:t>
      </w:r>
      <w:r w:rsidRPr="005A3E1B">
        <w:rPr>
          <w:lang w:val="fr-FR"/>
        </w:rPr>
        <w:t>protection et la promotion des droits de l’homme par la lutte contre l’impunité</w:t>
      </w:r>
      <w:r>
        <w:rPr>
          <w:lang w:val="fr-FR"/>
        </w:rPr>
        <w:t xml:space="preserve"> </w:t>
      </w:r>
      <w:r w:rsidRPr="005A3E1B">
        <w:rPr>
          <w:lang w:val="fr-FR"/>
        </w:rPr>
        <w:t>(E/CN.4/2005/102/Add.1, Principe 29) qui limite la compétence des tribunaux</w:t>
      </w:r>
      <w:r>
        <w:rPr>
          <w:lang w:val="fr-FR"/>
        </w:rPr>
        <w:t xml:space="preserve"> </w:t>
      </w:r>
      <w:r w:rsidRPr="005A3E1B">
        <w:rPr>
          <w:lang w:val="fr-FR"/>
        </w:rPr>
        <w:t>militaires aux infractions spécifiquement militaires commises par des militaires, à</w:t>
      </w:r>
      <w:r>
        <w:rPr>
          <w:lang w:val="fr-FR"/>
        </w:rPr>
        <w:t xml:space="preserve"> </w:t>
      </w:r>
      <w:r w:rsidRPr="005A3E1B">
        <w:rPr>
          <w:lang w:val="fr-FR"/>
        </w:rPr>
        <w:t>l’exclusion des violations des droits de l’homme et du projet de principes sur</w:t>
      </w:r>
      <w:r>
        <w:rPr>
          <w:lang w:val="fr-FR"/>
        </w:rPr>
        <w:t xml:space="preserve"> </w:t>
      </w:r>
      <w:r w:rsidRPr="005A3E1B">
        <w:rPr>
          <w:lang w:val="fr-FR"/>
        </w:rPr>
        <w:t xml:space="preserve">l’administration de la justice par les tribunaux militaires élaborés par la </w:t>
      </w:r>
      <w:proofErr w:type="spellStart"/>
      <w:r w:rsidRPr="005A3E1B">
        <w:rPr>
          <w:lang w:val="fr-FR"/>
        </w:rPr>
        <w:t>Sous</w:t>
      </w:r>
      <w:r>
        <w:rPr>
          <w:lang w:val="fr-FR"/>
        </w:rPr>
        <w:t xml:space="preserve"> </w:t>
      </w:r>
      <w:r w:rsidRPr="005A3E1B">
        <w:rPr>
          <w:lang w:val="fr-FR"/>
        </w:rPr>
        <w:t>Commission</w:t>
      </w:r>
      <w:proofErr w:type="spellEnd"/>
      <w:r w:rsidRPr="005A3E1B">
        <w:rPr>
          <w:lang w:val="fr-FR"/>
        </w:rPr>
        <w:t xml:space="preserve"> de la promotion et de la protection des droits de l’homm</w:t>
      </w:r>
      <w:r>
        <w:rPr>
          <w:lang w:val="fr-FR"/>
        </w:rPr>
        <w:t xml:space="preserve">e </w:t>
      </w:r>
      <w:r w:rsidRPr="005A3E1B">
        <w:rPr>
          <w:lang w:val="fr-FR"/>
        </w:rPr>
        <w:t>(E/CN.4/2006/58, Principe 9), qui prévoient que la compétence des juridictions</w:t>
      </w:r>
      <w:r>
        <w:rPr>
          <w:lang w:val="fr-FR"/>
        </w:rPr>
        <w:t xml:space="preserve"> </w:t>
      </w:r>
      <w:r w:rsidRPr="005A3E1B">
        <w:rPr>
          <w:lang w:val="fr-FR"/>
        </w:rPr>
        <w:t>militaires doit être écartée au profit de celle des juridictions ordinaires pour mener à</w:t>
      </w:r>
      <w:r>
        <w:rPr>
          <w:lang w:val="fr-FR"/>
        </w:rPr>
        <w:t xml:space="preserve"> </w:t>
      </w:r>
      <w:r w:rsidRPr="005A3E1B">
        <w:rPr>
          <w:lang w:val="fr-FR"/>
        </w:rPr>
        <w:t>bien les enquêtes sur les violations graves des droits de l’homme, telles que les</w:t>
      </w:r>
      <w:r>
        <w:rPr>
          <w:lang w:val="fr-FR"/>
        </w:rPr>
        <w:t xml:space="preserve"> </w:t>
      </w:r>
      <w:r w:rsidRPr="005A3E1B">
        <w:rPr>
          <w:lang w:val="fr-FR"/>
        </w:rPr>
        <w:t>disparitions forcées, et poursuivre et juger les auteurs de ces crime.</w:t>
      </w:r>
      <w:r>
        <w:rPr>
          <w:lang w:val="fr-FR"/>
        </w:rPr>
        <w:t xml:space="preserve"> </w:t>
      </w:r>
    </w:p>
    <w:p w14:paraId="41E978EC" w14:textId="77777777" w:rsidR="005A3E1B" w:rsidRDefault="005A3E1B" w:rsidP="005A3E1B">
      <w:pPr>
        <w:rPr>
          <w:lang w:val="fr-FR"/>
        </w:rPr>
      </w:pPr>
    </w:p>
    <w:p w14:paraId="54ABDC9C" w14:textId="6227C03D" w:rsidR="00446FE5" w:rsidRPr="005A3E1B" w:rsidRDefault="005A3E1B" w:rsidP="005A3E1B">
      <w:pPr>
        <w:rPr>
          <w:lang w:val="fr-FR"/>
        </w:rPr>
      </w:pPr>
      <w:r w:rsidRPr="005A3E1B">
        <w:rPr>
          <w:lang w:val="fr-FR"/>
        </w:rPr>
        <w:t>10. Compte tenu des dispositions de la Convention et de l’évolution progressive du</w:t>
      </w:r>
      <w:r>
        <w:rPr>
          <w:lang w:val="fr-FR"/>
        </w:rPr>
        <w:t xml:space="preserve"> </w:t>
      </w:r>
      <w:r w:rsidRPr="005A3E1B">
        <w:rPr>
          <w:lang w:val="fr-FR"/>
        </w:rPr>
        <w:t>droit international et en vue d’assurer une mise en œuvre cohérente des normes</w:t>
      </w:r>
      <w:r>
        <w:rPr>
          <w:lang w:val="fr-FR"/>
        </w:rPr>
        <w:t xml:space="preserve"> </w:t>
      </w:r>
      <w:r w:rsidRPr="005A3E1B">
        <w:rPr>
          <w:lang w:val="fr-FR"/>
        </w:rPr>
        <w:t>internationales, le Comité réaffirme que la juridiction militaire doit être exclue dans</w:t>
      </w:r>
      <w:r>
        <w:rPr>
          <w:lang w:val="fr-FR"/>
        </w:rPr>
        <w:t xml:space="preserve"> </w:t>
      </w:r>
      <w:r w:rsidRPr="005A3E1B">
        <w:rPr>
          <w:lang w:val="fr-FR"/>
        </w:rPr>
        <w:t>les cas de violations massives des droits de l’homme, notamment les disparitions</w:t>
      </w:r>
      <w:r>
        <w:rPr>
          <w:lang w:val="fr-FR"/>
        </w:rPr>
        <w:t xml:space="preserve"> </w:t>
      </w:r>
      <w:r w:rsidRPr="005A3E1B">
        <w:rPr>
          <w:lang w:val="fr-FR"/>
        </w:rPr>
        <w:t>forcées.</w:t>
      </w:r>
    </w:p>
    <w:sectPr w:rsidR="00446FE5" w:rsidRPr="005A3E1B" w:rsidSect="00382A1F"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95265D2" w14:textId="77777777" w:rsidR="005A3E1B" w:rsidRDefault="005A3E1B" w:rsidP="00F95C08"/>
  </w:endnote>
  <w:endnote w:type="continuationSeparator" w:id="0">
    <w:p w14:paraId="3CFC18CB" w14:textId="77777777" w:rsidR="005A3E1B" w:rsidRPr="00AC3823" w:rsidRDefault="005A3E1B" w:rsidP="00AC3823">
      <w:pPr>
        <w:pStyle w:val="Footer"/>
      </w:pPr>
    </w:p>
  </w:endnote>
  <w:endnote w:type="continuationNotice" w:id="1">
    <w:p w14:paraId="4DDA1400" w14:textId="77777777" w:rsidR="005A3E1B" w:rsidRDefault="005A3E1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03B3B31" w14:textId="77777777" w:rsidR="005A3E1B" w:rsidRPr="00AC3823" w:rsidRDefault="005A3E1B" w:rsidP="00AC3823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3E5BAA8E" w14:textId="77777777" w:rsidR="005A3E1B" w:rsidRPr="00AC3823" w:rsidRDefault="005A3E1B" w:rsidP="00AC3823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14:paraId="7C65A67D" w14:textId="77777777" w:rsidR="005A3E1B" w:rsidRPr="00AC3823" w:rsidRDefault="005A3E1B">
      <w:pPr>
        <w:rPr>
          <w:sz w:val="2"/>
          <w:szCs w:val="2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 w15:restartNumberingAfterBreak="0">
    <w:nsid w:val="63C95284"/>
    <w:multiLevelType w:val="hybridMultilevel"/>
    <w:tmpl w:val="B4A01022"/>
    <w:lvl w:ilvl="0" w:tplc="A7C84148">
      <w:start w:val="1"/>
      <w:numFmt w:val="decimal"/>
      <w:lvlText w:val="%1."/>
      <w:lvlJc w:val="left"/>
      <w:pPr>
        <w:ind w:left="185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6FAEC2A8">
      <w:start w:val="1"/>
      <w:numFmt w:val="decimal"/>
      <w:lvlText w:val="%3."/>
      <w:lvlJc w:val="lef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1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2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9"/>
  <w:proofState w:spelling="clean" w:grammar="clean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3E1B"/>
    <w:rsid w:val="00017F94"/>
    <w:rsid w:val="00023842"/>
    <w:rsid w:val="000334F9"/>
    <w:rsid w:val="0007796D"/>
    <w:rsid w:val="000B7790"/>
    <w:rsid w:val="000C390E"/>
    <w:rsid w:val="00111F2F"/>
    <w:rsid w:val="0014365E"/>
    <w:rsid w:val="0014660A"/>
    <w:rsid w:val="00150DB2"/>
    <w:rsid w:val="00176178"/>
    <w:rsid w:val="001F525A"/>
    <w:rsid w:val="00223272"/>
    <w:rsid w:val="0024779E"/>
    <w:rsid w:val="00291F1D"/>
    <w:rsid w:val="0029407C"/>
    <w:rsid w:val="00350987"/>
    <w:rsid w:val="00353ED5"/>
    <w:rsid w:val="00382A1F"/>
    <w:rsid w:val="00390178"/>
    <w:rsid w:val="003D1AD0"/>
    <w:rsid w:val="00446FE5"/>
    <w:rsid w:val="00452396"/>
    <w:rsid w:val="004D1CEB"/>
    <w:rsid w:val="005505B7"/>
    <w:rsid w:val="005706C8"/>
    <w:rsid w:val="00573BE5"/>
    <w:rsid w:val="00586ED3"/>
    <w:rsid w:val="00596AA9"/>
    <w:rsid w:val="005A3E1B"/>
    <w:rsid w:val="006122C4"/>
    <w:rsid w:val="006E2C9B"/>
    <w:rsid w:val="0071601D"/>
    <w:rsid w:val="0076624F"/>
    <w:rsid w:val="00766CEC"/>
    <w:rsid w:val="00770252"/>
    <w:rsid w:val="007A62E6"/>
    <w:rsid w:val="0080684C"/>
    <w:rsid w:val="00815502"/>
    <w:rsid w:val="00845D2D"/>
    <w:rsid w:val="00871C75"/>
    <w:rsid w:val="008776DC"/>
    <w:rsid w:val="008F2A1D"/>
    <w:rsid w:val="00957790"/>
    <w:rsid w:val="009705C8"/>
    <w:rsid w:val="00A12AB5"/>
    <w:rsid w:val="00AC3823"/>
    <w:rsid w:val="00AE323C"/>
    <w:rsid w:val="00AE7D9F"/>
    <w:rsid w:val="00B00181"/>
    <w:rsid w:val="00B43C66"/>
    <w:rsid w:val="00B55090"/>
    <w:rsid w:val="00B765F7"/>
    <w:rsid w:val="00BA0CA9"/>
    <w:rsid w:val="00BB3E59"/>
    <w:rsid w:val="00BE1F4C"/>
    <w:rsid w:val="00BE4745"/>
    <w:rsid w:val="00BF3C2C"/>
    <w:rsid w:val="00C02897"/>
    <w:rsid w:val="00CF3AE1"/>
    <w:rsid w:val="00D3439C"/>
    <w:rsid w:val="00D40AEB"/>
    <w:rsid w:val="00D73742"/>
    <w:rsid w:val="00DA22F4"/>
    <w:rsid w:val="00DB1831"/>
    <w:rsid w:val="00DD3BFD"/>
    <w:rsid w:val="00DF6678"/>
    <w:rsid w:val="00E22CF2"/>
    <w:rsid w:val="00E33F14"/>
    <w:rsid w:val="00E44A12"/>
    <w:rsid w:val="00E52D9F"/>
    <w:rsid w:val="00F12269"/>
    <w:rsid w:val="00F164B0"/>
    <w:rsid w:val="00F660DF"/>
    <w:rsid w:val="00F80094"/>
    <w:rsid w:val="00F95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303B07"/>
  <w15:chartTrackingRefBased/>
  <w15:docId w15:val="{23133298-D57E-4710-9F3A-2A19E8AECC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Times New Roman"/>
        <w:lang w:val="fr-CH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5D2D"/>
  </w:style>
  <w:style w:type="paragraph" w:styleId="Heading1">
    <w:name w:val="heading 1"/>
    <w:aliases w:val="Table_G"/>
    <w:basedOn w:val="SingleTxtG"/>
    <w:next w:val="SingleTxtG"/>
    <w:link w:val="Heading1Char"/>
    <w:qFormat/>
    <w:rsid w:val="0080684C"/>
    <w:pPr>
      <w:keepNext/>
      <w:keepLines/>
      <w:spacing w:after="0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qFormat/>
    <w:rsid w:val="00023842"/>
    <w:pPr>
      <w:outlineLvl w:val="1"/>
    </w:pPr>
  </w:style>
  <w:style w:type="paragraph" w:styleId="Heading3">
    <w:name w:val="heading 3"/>
    <w:basedOn w:val="Normal"/>
    <w:next w:val="Normal"/>
    <w:link w:val="Heading3Char"/>
    <w:semiHidden/>
    <w:qFormat/>
    <w:rsid w:val="00023842"/>
    <w:pPr>
      <w:outlineLvl w:val="2"/>
    </w:pPr>
  </w:style>
  <w:style w:type="paragraph" w:styleId="Heading4">
    <w:name w:val="heading 4"/>
    <w:basedOn w:val="Normal"/>
    <w:next w:val="Normal"/>
    <w:link w:val="Heading4Char"/>
    <w:semiHidden/>
    <w:qFormat/>
    <w:rsid w:val="00023842"/>
    <w:pPr>
      <w:outlineLvl w:val="3"/>
    </w:pPr>
  </w:style>
  <w:style w:type="paragraph" w:styleId="Heading5">
    <w:name w:val="heading 5"/>
    <w:basedOn w:val="Normal"/>
    <w:next w:val="Normal"/>
    <w:link w:val="Heading5Char"/>
    <w:semiHidden/>
    <w:qFormat/>
    <w:rsid w:val="00023842"/>
    <w:pPr>
      <w:outlineLvl w:val="4"/>
    </w:pPr>
  </w:style>
  <w:style w:type="paragraph" w:styleId="Heading6">
    <w:name w:val="heading 6"/>
    <w:basedOn w:val="Normal"/>
    <w:next w:val="Normal"/>
    <w:link w:val="Heading6Char"/>
    <w:semiHidden/>
    <w:qFormat/>
    <w:rsid w:val="00023842"/>
    <w:pPr>
      <w:outlineLvl w:val="5"/>
    </w:pPr>
  </w:style>
  <w:style w:type="paragraph" w:styleId="Heading7">
    <w:name w:val="heading 7"/>
    <w:basedOn w:val="Normal"/>
    <w:next w:val="Normal"/>
    <w:link w:val="Heading7Char"/>
    <w:semiHidden/>
    <w:qFormat/>
    <w:rsid w:val="00023842"/>
    <w:pPr>
      <w:outlineLvl w:val="6"/>
    </w:pPr>
  </w:style>
  <w:style w:type="paragraph" w:styleId="Heading8">
    <w:name w:val="heading 8"/>
    <w:basedOn w:val="Normal"/>
    <w:next w:val="Normal"/>
    <w:link w:val="Heading8Char"/>
    <w:semiHidden/>
    <w:qFormat/>
    <w:rsid w:val="00023842"/>
    <w:pPr>
      <w:outlineLvl w:val="7"/>
    </w:pPr>
  </w:style>
  <w:style w:type="paragraph" w:styleId="Heading9">
    <w:name w:val="heading 9"/>
    <w:basedOn w:val="Normal"/>
    <w:next w:val="Normal"/>
    <w:link w:val="Heading9Char"/>
    <w:semiHidden/>
    <w:qFormat/>
    <w:rsid w:val="00023842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rsid w:val="00AE7D9F"/>
    <w:pPr>
      <w:pBdr>
        <w:bottom w:val="single" w:sz="4" w:space="4" w:color="auto"/>
      </w:pBdr>
    </w:pPr>
    <w:rPr>
      <w:rFonts w:eastAsia="Times New Roman"/>
      <w:b/>
      <w:sz w:val="18"/>
    </w:rPr>
  </w:style>
  <w:style w:type="character" w:customStyle="1" w:styleId="HeaderChar">
    <w:name w:val="Header Char"/>
    <w:aliases w:val="6_G Char"/>
    <w:basedOn w:val="DefaultParagraphFont"/>
    <w:link w:val="Header"/>
    <w:rsid w:val="0080684C"/>
    <w:rPr>
      <w:rFonts w:ascii="Times New Roman" w:eastAsia="Times New Roman" w:hAnsi="Times New Roman" w:cs="Times New Roman"/>
      <w:b/>
      <w:sz w:val="18"/>
      <w:szCs w:val="20"/>
      <w:lang w:val="en-GB"/>
    </w:rPr>
  </w:style>
  <w:style w:type="paragraph" w:styleId="Footer">
    <w:name w:val="footer"/>
    <w:aliases w:val="3_G"/>
    <w:basedOn w:val="Normal"/>
    <w:next w:val="Normal"/>
    <w:link w:val="FooterChar"/>
    <w:qFormat/>
    <w:rsid w:val="0080684C"/>
    <w:rPr>
      <w:sz w:val="16"/>
    </w:rPr>
  </w:style>
  <w:style w:type="character" w:customStyle="1" w:styleId="FooterChar">
    <w:name w:val="Footer Char"/>
    <w:aliases w:val="3_G Char"/>
    <w:basedOn w:val="DefaultParagraphFont"/>
    <w:link w:val="Footer"/>
    <w:rsid w:val="0080684C"/>
    <w:rPr>
      <w:rFonts w:ascii="Times New Roman" w:eastAsia="Times New Roman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871C7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qFormat/>
    <w:rsid w:val="0080684C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80684C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80684C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80684C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871C7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80684C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80684C"/>
    <w:pPr>
      <w:numPr>
        <w:numId w:val="2"/>
      </w:numPr>
      <w:spacing w:after="120"/>
      <w:ind w:right="1134"/>
      <w:jc w:val="both"/>
    </w:pPr>
  </w:style>
  <w:style w:type="character" w:styleId="FootnoteReference">
    <w:name w:val="footnote reference"/>
    <w:aliases w:val="4_G"/>
    <w:basedOn w:val="DefaultParagraphFont"/>
    <w:qFormat/>
    <w:rsid w:val="00023842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qFormat/>
    <w:rsid w:val="00023842"/>
    <w:rPr>
      <w:rFonts w:ascii="Times New Roman" w:hAnsi="Times New Roman"/>
      <w:sz w:val="18"/>
      <w:vertAlign w:val="superscript"/>
      <w:lang w:val="fr-CH"/>
    </w:rPr>
  </w:style>
  <w:style w:type="table" w:styleId="TableGrid">
    <w:name w:val="Table Grid"/>
    <w:basedOn w:val="TableNormal"/>
    <w:rsid w:val="00382A1F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basedOn w:val="DefaultParagraphFont"/>
    <w:semiHidden/>
    <w:rsid w:val="00957790"/>
    <w:rPr>
      <w:color w:val="0000FF"/>
      <w:u w:val="none"/>
    </w:rPr>
  </w:style>
  <w:style w:type="character" w:styleId="FollowedHyperlink">
    <w:name w:val="FollowedHyperlink"/>
    <w:basedOn w:val="DefaultParagraphFont"/>
    <w:semiHidden/>
    <w:rsid w:val="00957790"/>
    <w:rPr>
      <w:color w:val="0000FF"/>
      <w:u w:val="none"/>
    </w:rPr>
  </w:style>
  <w:style w:type="paragraph" w:styleId="FootnoteText">
    <w:name w:val="footnote text"/>
    <w:aliases w:val="5_G"/>
    <w:basedOn w:val="Normal"/>
    <w:link w:val="FootnoteTextChar"/>
    <w:qFormat/>
    <w:rsid w:val="0080684C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paragraph" w:styleId="EndnoteText">
    <w:name w:val="endnote text"/>
    <w:aliases w:val="2_G"/>
    <w:basedOn w:val="FootnoteText"/>
    <w:link w:val="EndnoteTextChar"/>
    <w:qFormat/>
    <w:rsid w:val="0080684C"/>
  </w:style>
  <w:style w:type="character" w:customStyle="1" w:styleId="EndnoteTextChar">
    <w:name w:val="Endnote Text Char"/>
    <w:aliases w:val="2_G Char"/>
    <w:basedOn w:val="DefaultParagraphFont"/>
    <w:link w:val="EndnoteText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character" w:styleId="PageNumber">
    <w:name w:val="page number"/>
    <w:aliases w:val="7_G"/>
    <w:basedOn w:val="DefaultParagraphFont"/>
    <w:qFormat/>
    <w:rsid w:val="00023842"/>
    <w:rPr>
      <w:rFonts w:ascii="Times New Roman" w:hAnsi="Times New Roman"/>
      <w:b/>
      <w:sz w:val="18"/>
      <w:lang w:val="fr-CH"/>
    </w:rPr>
  </w:style>
  <w:style w:type="character" w:customStyle="1" w:styleId="Heading1Char">
    <w:name w:val="Heading 1 Char"/>
    <w:aliases w:val="Table_G Char"/>
    <w:basedOn w:val="DefaultParagraphFont"/>
    <w:link w:val="Heading1"/>
    <w:rsid w:val="0080684C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2Char">
    <w:name w:val="Heading 2 Char"/>
    <w:basedOn w:val="DefaultParagraphFont"/>
    <w:link w:val="Heading2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3Char">
    <w:name w:val="Heading 3 Char"/>
    <w:basedOn w:val="DefaultParagraphFont"/>
    <w:link w:val="Heading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4Char">
    <w:name w:val="Heading 4 Char"/>
    <w:basedOn w:val="DefaultParagraphFont"/>
    <w:link w:val="Heading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5Char">
    <w:name w:val="Heading 5 Char"/>
    <w:basedOn w:val="DefaultParagraphFont"/>
    <w:link w:val="Heading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6Char">
    <w:name w:val="Heading 6 Char"/>
    <w:basedOn w:val="DefaultParagraphFont"/>
    <w:link w:val="Heading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7Char">
    <w:name w:val="Heading 7 Char"/>
    <w:basedOn w:val="DefaultParagraphFont"/>
    <w:link w:val="Heading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8Char">
    <w:name w:val="Heading 8 Char"/>
    <w:basedOn w:val="DefaultParagraphFont"/>
    <w:link w:val="Heading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9Char">
    <w:name w:val="Heading 9 Char"/>
    <w:basedOn w:val="DefaultParagraphFont"/>
    <w:link w:val="Heading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ParNoG">
    <w:name w:val="_ParNo_G"/>
    <w:basedOn w:val="SingleTxtG"/>
    <w:qFormat/>
    <w:rsid w:val="005706C8"/>
    <w:pPr>
      <w:numPr>
        <w:numId w:val="15"/>
      </w:numPr>
      <w:tabs>
        <w:tab w:val="clear" w:pos="1701"/>
      </w:tabs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3.xml"/><Relationship Id="rId5" Type="http://schemas.openxmlformats.org/officeDocument/2006/relationships/footnotes" Target="footnotes.xm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8E76F2209421842A1575431D230AEB4" ma:contentTypeVersion="0" ma:contentTypeDescription="Create a new document." ma:contentTypeScope="" ma:versionID="7c5c3bbcefacea7b362fddce4151d4e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73F4E95-8E8E-4558-ACD5-E5F8FC31CFC5}"/>
</file>

<file path=customXml/itemProps2.xml><?xml version="1.0" encoding="utf-8"?>
<ds:datastoreItem xmlns:ds="http://schemas.openxmlformats.org/officeDocument/2006/customXml" ds:itemID="{A274B274-0DE0-4B17-A165-E5E2D0FCE55C}"/>
</file>

<file path=customXml/itemProps3.xml><?xml version="1.0" encoding="utf-8"?>
<ds:datastoreItem xmlns:ds="http://schemas.openxmlformats.org/officeDocument/2006/customXml" ds:itemID="{2D2ECCF2-F9AE-417F-9558-5C8C519F0156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782</Words>
  <Characters>4458</Characters>
  <Application>Microsoft Office Word</Application>
  <DocSecurity>0</DocSecurity>
  <Lines>37</Lines>
  <Paragraphs>10</Paragraphs>
  <ScaleCrop>false</ScaleCrop>
  <Company>OHCHR</Company>
  <LinksUpToDate>false</LinksUpToDate>
  <CharactersWithSpaces>5230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Perrine Deja</dc:creator>
  <cp:keywords/>
  <dc:description/>
  <cp:lastModifiedBy>Perrine Deja</cp:lastModifiedBy>
  <cp:revision>1</cp:revision>
  <cp:lastPrinted>2014-05-14T10:59:00Z</cp:lastPrinted>
  <dcterms:created xsi:type="dcterms:W3CDTF">2022-01-14T09:55:00Z</dcterms:created>
  <dcterms:modified xsi:type="dcterms:W3CDTF">2022-01-14T10:01:00Z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0x01010018E76F2209421842A1575431D230AEB4</vt:lpwstr>
  </property>
</Properties>
</file>