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9CBF0" w14:textId="072E2EAE" w:rsidR="008B5D5C" w:rsidRPr="008B5D5C" w:rsidRDefault="008B5D5C" w:rsidP="008B5D5C">
      <w:pPr>
        <w:rPr>
          <w:rFonts w:ascii="Arial" w:eastAsia="Calibri" w:hAnsi="Arial" w:cs="Arial"/>
          <w:sz w:val="24"/>
          <w:szCs w:val="24"/>
        </w:rPr>
      </w:pPr>
      <w:r>
        <w:rPr>
          <w:rFonts w:ascii="Arial" w:eastAsia="Calibri" w:hAnsi="Arial" w:cs="Arial"/>
          <w:b/>
          <w:sz w:val="24"/>
          <w:szCs w:val="24"/>
        </w:rPr>
        <w:t xml:space="preserve">  </w:t>
      </w:r>
    </w:p>
    <w:p w14:paraId="73A1A36E" w14:textId="77777777" w:rsidR="008B5D5C" w:rsidRPr="008B5D5C" w:rsidRDefault="008B5D5C" w:rsidP="008B5D5C">
      <w:pPr>
        <w:jc w:val="center"/>
        <w:rPr>
          <w:rFonts w:ascii="Arial" w:eastAsia="Calibri" w:hAnsi="Arial" w:cs="Arial"/>
          <w:sz w:val="24"/>
          <w:szCs w:val="24"/>
        </w:rPr>
      </w:pPr>
    </w:p>
    <w:p w14:paraId="1B07ACB9" w14:textId="77777777" w:rsidR="008B5D5C" w:rsidRPr="008B5D5C" w:rsidRDefault="008B5D5C" w:rsidP="008B5D5C">
      <w:pPr>
        <w:jc w:val="center"/>
        <w:rPr>
          <w:rFonts w:ascii="Arial" w:eastAsia="Calibri" w:hAnsi="Arial" w:cs="Arial"/>
          <w:sz w:val="24"/>
          <w:szCs w:val="24"/>
        </w:rPr>
      </w:pPr>
    </w:p>
    <w:p w14:paraId="1079EF21" w14:textId="77777777" w:rsidR="008B5D5C" w:rsidRPr="008B5D5C" w:rsidRDefault="008B5D5C" w:rsidP="008B5D5C">
      <w:pPr>
        <w:jc w:val="center"/>
        <w:rPr>
          <w:rFonts w:ascii="Arial" w:eastAsia="Calibri" w:hAnsi="Arial" w:cs="Arial"/>
          <w:sz w:val="24"/>
          <w:szCs w:val="24"/>
        </w:rPr>
      </w:pPr>
    </w:p>
    <w:p w14:paraId="30D78820" w14:textId="77777777" w:rsidR="008B5D5C" w:rsidRPr="008B5D5C" w:rsidRDefault="008B5D5C" w:rsidP="008B5D5C">
      <w:pPr>
        <w:jc w:val="center"/>
        <w:rPr>
          <w:rFonts w:ascii="Arial" w:eastAsia="Calibri" w:hAnsi="Arial" w:cs="Arial"/>
          <w:sz w:val="24"/>
          <w:szCs w:val="24"/>
        </w:rPr>
      </w:pPr>
    </w:p>
    <w:p w14:paraId="578E03DF" w14:textId="77777777" w:rsidR="008B5D5C" w:rsidRPr="008B5D5C" w:rsidRDefault="008B5D5C" w:rsidP="008B5D5C">
      <w:pPr>
        <w:jc w:val="center"/>
        <w:rPr>
          <w:rFonts w:ascii="Arial" w:eastAsia="Calibri" w:hAnsi="Arial" w:cs="Arial"/>
          <w:sz w:val="24"/>
          <w:szCs w:val="24"/>
        </w:rPr>
      </w:pPr>
    </w:p>
    <w:p w14:paraId="7E377074" w14:textId="77777777" w:rsidR="008B5D5C" w:rsidRPr="008B5D5C" w:rsidRDefault="008B5D5C" w:rsidP="008B5D5C">
      <w:pPr>
        <w:jc w:val="center"/>
        <w:rPr>
          <w:rFonts w:ascii="Arial" w:eastAsia="Calibri" w:hAnsi="Arial" w:cs="Arial"/>
          <w:sz w:val="24"/>
          <w:szCs w:val="24"/>
        </w:rPr>
      </w:pPr>
    </w:p>
    <w:p w14:paraId="2FE2084E" w14:textId="77777777" w:rsidR="008B5D5C" w:rsidRPr="008B5D5C" w:rsidRDefault="008B5D5C" w:rsidP="008B5D5C">
      <w:pPr>
        <w:jc w:val="center"/>
        <w:rPr>
          <w:rFonts w:ascii="Arial" w:eastAsia="Calibri" w:hAnsi="Arial" w:cs="Arial"/>
          <w:sz w:val="24"/>
          <w:szCs w:val="24"/>
        </w:rPr>
      </w:pPr>
    </w:p>
    <w:p w14:paraId="0D655D0C" w14:textId="77777777" w:rsidR="008B5D5C" w:rsidRPr="008B5D5C" w:rsidRDefault="008B5D5C" w:rsidP="008B5D5C">
      <w:pPr>
        <w:jc w:val="center"/>
        <w:rPr>
          <w:rFonts w:ascii="Arial" w:eastAsia="Calibri" w:hAnsi="Arial" w:cs="Arial"/>
          <w:sz w:val="24"/>
          <w:szCs w:val="24"/>
        </w:rPr>
      </w:pPr>
    </w:p>
    <w:p w14:paraId="04AF5E7E" w14:textId="77777777" w:rsidR="008B5D5C" w:rsidRPr="008B5D5C" w:rsidRDefault="008B5D5C" w:rsidP="008B5D5C">
      <w:pPr>
        <w:jc w:val="center"/>
        <w:rPr>
          <w:rFonts w:ascii="Arial" w:eastAsia="Calibri" w:hAnsi="Arial" w:cs="Arial"/>
          <w:b/>
          <w:sz w:val="24"/>
          <w:szCs w:val="24"/>
        </w:rPr>
      </w:pPr>
      <w:r w:rsidRPr="008B5D5C">
        <w:rPr>
          <w:rFonts w:ascii="Arial" w:eastAsia="Calibri" w:hAnsi="Arial" w:cs="Arial"/>
          <w:b/>
          <w:sz w:val="24"/>
          <w:szCs w:val="24"/>
        </w:rPr>
        <w:t xml:space="preserve">INFORME ALTERNATIVO AL NOVENO INFORME PERIÓDICO DE LA REPÚBLICA BOLIVARIANA DE VENEZUELA </w:t>
      </w:r>
    </w:p>
    <w:p w14:paraId="56C8C60A" w14:textId="77777777" w:rsidR="008B5D5C" w:rsidRPr="008B5D5C" w:rsidRDefault="008B5D5C" w:rsidP="008B5D5C">
      <w:pPr>
        <w:jc w:val="center"/>
        <w:rPr>
          <w:rFonts w:ascii="Arial" w:eastAsia="Calibri" w:hAnsi="Arial" w:cs="Arial"/>
          <w:b/>
          <w:sz w:val="24"/>
          <w:szCs w:val="24"/>
        </w:rPr>
      </w:pPr>
    </w:p>
    <w:p w14:paraId="6F62454C" w14:textId="77777777" w:rsidR="008B5D5C" w:rsidRPr="008B5D5C" w:rsidRDefault="008B5D5C" w:rsidP="008B5D5C">
      <w:pPr>
        <w:jc w:val="center"/>
        <w:rPr>
          <w:rFonts w:ascii="Arial" w:eastAsia="Calibri" w:hAnsi="Arial" w:cs="Arial"/>
          <w:b/>
          <w:sz w:val="24"/>
          <w:szCs w:val="24"/>
        </w:rPr>
      </w:pPr>
      <w:r w:rsidRPr="008B5D5C">
        <w:rPr>
          <w:rFonts w:ascii="Arial" w:eastAsia="Calibri" w:hAnsi="Arial" w:cs="Arial"/>
          <w:b/>
          <w:sz w:val="24"/>
          <w:szCs w:val="24"/>
        </w:rPr>
        <w:t>SOBRE EL CUMPLIMIENTO DE LA CONVENCIÓN SOBRE LA ELIMINACIÓN DE TODAS LAS FORMAS DE DISCRIMINACIÓN CONTRA LA MUJER AL COMITÉ PARA LA ELIMINACIÓN DE TODAS LAS FORMAS DE DISCRIMINACIÓN CONTRA LA MUJER DE LA ORGANIZACIÓN DE LAS NACIONES UNIDAS</w:t>
      </w:r>
    </w:p>
    <w:p w14:paraId="28096262" w14:textId="77777777" w:rsidR="008B5D5C" w:rsidRPr="008B5D5C" w:rsidRDefault="008B5D5C" w:rsidP="008B5D5C">
      <w:pPr>
        <w:jc w:val="center"/>
        <w:rPr>
          <w:rFonts w:ascii="Arial" w:eastAsia="Calibri" w:hAnsi="Arial" w:cs="Arial"/>
          <w:sz w:val="24"/>
          <w:szCs w:val="24"/>
        </w:rPr>
      </w:pPr>
    </w:p>
    <w:p w14:paraId="0B100121" w14:textId="77777777" w:rsidR="008B5D5C" w:rsidRPr="008B5D5C" w:rsidRDefault="008B5D5C" w:rsidP="008B5D5C">
      <w:pPr>
        <w:jc w:val="center"/>
        <w:rPr>
          <w:rFonts w:ascii="Arial" w:eastAsia="Calibri" w:hAnsi="Arial" w:cs="Arial"/>
          <w:sz w:val="24"/>
          <w:szCs w:val="24"/>
        </w:rPr>
      </w:pPr>
    </w:p>
    <w:p w14:paraId="0007F2F5" w14:textId="77777777" w:rsidR="008B5D5C" w:rsidRPr="008B5D5C" w:rsidRDefault="008B5D5C" w:rsidP="008B5D5C">
      <w:pPr>
        <w:jc w:val="center"/>
        <w:rPr>
          <w:rFonts w:ascii="Arial" w:eastAsia="Calibri" w:hAnsi="Arial" w:cs="Arial"/>
          <w:sz w:val="24"/>
          <w:szCs w:val="24"/>
        </w:rPr>
      </w:pPr>
    </w:p>
    <w:p w14:paraId="4C005BAC" w14:textId="77777777" w:rsidR="008B5D5C" w:rsidRPr="008B5D5C" w:rsidRDefault="008B5D5C" w:rsidP="008B5D5C">
      <w:pPr>
        <w:jc w:val="center"/>
        <w:rPr>
          <w:rFonts w:ascii="Arial" w:eastAsia="Calibri" w:hAnsi="Arial" w:cs="Arial"/>
          <w:sz w:val="24"/>
          <w:szCs w:val="24"/>
        </w:rPr>
      </w:pPr>
    </w:p>
    <w:p w14:paraId="44C9B7F1" w14:textId="77777777" w:rsidR="008B5D5C" w:rsidRPr="008B5D5C" w:rsidRDefault="008B5D5C" w:rsidP="008B5D5C">
      <w:pPr>
        <w:jc w:val="center"/>
        <w:rPr>
          <w:rFonts w:ascii="Arial" w:eastAsia="Calibri" w:hAnsi="Arial" w:cs="Arial"/>
          <w:sz w:val="24"/>
          <w:szCs w:val="24"/>
        </w:rPr>
      </w:pPr>
    </w:p>
    <w:p w14:paraId="09A27398" w14:textId="77777777" w:rsidR="008B5D5C" w:rsidRPr="008B5D5C" w:rsidRDefault="008B5D5C" w:rsidP="008B5D5C">
      <w:pPr>
        <w:jc w:val="center"/>
        <w:rPr>
          <w:rFonts w:ascii="Arial" w:eastAsia="Calibri" w:hAnsi="Arial" w:cs="Arial"/>
          <w:sz w:val="24"/>
          <w:szCs w:val="24"/>
        </w:rPr>
      </w:pPr>
    </w:p>
    <w:p w14:paraId="383935EE" w14:textId="77777777" w:rsidR="008B5D5C" w:rsidRPr="008B5D5C" w:rsidRDefault="008B5D5C" w:rsidP="008B5D5C">
      <w:pPr>
        <w:jc w:val="center"/>
        <w:rPr>
          <w:rFonts w:ascii="Arial" w:eastAsia="Calibri" w:hAnsi="Arial" w:cs="Arial"/>
          <w:b/>
          <w:sz w:val="24"/>
          <w:szCs w:val="24"/>
        </w:rPr>
      </w:pPr>
    </w:p>
    <w:p w14:paraId="05D6CFA5" w14:textId="7988A513" w:rsidR="008B5D5C" w:rsidRDefault="008B5D5C" w:rsidP="008B5D5C">
      <w:pPr>
        <w:jc w:val="both"/>
        <w:rPr>
          <w:rFonts w:ascii="Arial" w:eastAsia="Calibri" w:hAnsi="Arial" w:cs="Arial"/>
          <w:sz w:val="24"/>
          <w:szCs w:val="24"/>
        </w:rPr>
      </w:pPr>
      <w:r w:rsidRPr="008B5D5C">
        <w:rPr>
          <w:rFonts w:ascii="Arial" w:eastAsia="Calibri" w:hAnsi="Arial" w:cs="Arial"/>
          <w:b/>
          <w:sz w:val="24"/>
          <w:szCs w:val="24"/>
        </w:rPr>
        <w:t>Elaborado por:</w:t>
      </w:r>
      <w:r w:rsidRPr="008B5D5C">
        <w:rPr>
          <w:rFonts w:ascii="Arial" w:eastAsia="Calibri" w:hAnsi="Arial" w:cs="Arial"/>
          <w:sz w:val="24"/>
          <w:szCs w:val="24"/>
        </w:rPr>
        <w:t xml:space="preserve"> </w:t>
      </w:r>
      <w:r w:rsidR="005314FB" w:rsidRPr="005825B0">
        <w:rPr>
          <w:rFonts w:ascii="Arial" w:eastAsia="Calibri" w:hAnsi="Arial" w:cs="Arial"/>
          <w:sz w:val="24"/>
          <w:szCs w:val="24"/>
          <w:lang w:val="es-MX"/>
        </w:rPr>
        <w:t>ACCSI</w:t>
      </w:r>
      <w:r w:rsidR="005314FB">
        <w:rPr>
          <w:rFonts w:ascii="Arial" w:eastAsia="Calibri" w:hAnsi="Arial" w:cs="Arial"/>
          <w:sz w:val="24"/>
          <w:szCs w:val="24"/>
          <w:lang w:val="es-MX"/>
        </w:rPr>
        <w:t xml:space="preserve">, </w:t>
      </w:r>
      <w:proofErr w:type="spellStart"/>
      <w:r w:rsidR="005314FB" w:rsidRPr="005825B0">
        <w:rPr>
          <w:rFonts w:ascii="Arial" w:eastAsia="Calibri" w:hAnsi="Arial" w:cs="Arial"/>
          <w:sz w:val="24"/>
          <w:szCs w:val="24"/>
          <w:lang w:val="es-MX"/>
        </w:rPr>
        <w:t>Kapé</w:t>
      </w:r>
      <w:proofErr w:type="spellEnd"/>
      <w:r w:rsidR="005314FB" w:rsidRPr="005825B0">
        <w:rPr>
          <w:rFonts w:ascii="Arial" w:eastAsia="Calibri" w:hAnsi="Arial" w:cs="Arial"/>
          <w:sz w:val="24"/>
          <w:szCs w:val="24"/>
          <w:lang w:val="es-MX"/>
        </w:rPr>
        <w:t>, CONSORVEN, COFAVIC, CEJIL</w:t>
      </w:r>
      <w:r w:rsidR="005314FB">
        <w:rPr>
          <w:rFonts w:ascii="Arial" w:eastAsia="Calibri" w:hAnsi="Arial" w:cs="Arial"/>
          <w:sz w:val="24"/>
          <w:szCs w:val="24"/>
          <w:lang w:val="es-MX"/>
        </w:rPr>
        <w:t xml:space="preserve"> y la OMCT</w:t>
      </w:r>
      <w:r w:rsidRPr="008B5D5C">
        <w:rPr>
          <w:rFonts w:ascii="Arial" w:eastAsia="Calibri" w:hAnsi="Arial" w:cs="Arial"/>
          <w:sz w:val="24"/>
          <w:szCs w:val="24"/>
        </w:rPr>
        <w:t>.</w:t>
      </w:r>
    </w:p>
    <w:p w14:paraId="3890E0CD" w14:textId="37DE786D" w:rsidR="00280933" w:rsidRPr="00280933" w:rsidRDefault="00280933" w:rsidP="008B5D5C">
      <w:pPr>
        <w:jc w:val="both"/>
        <w:rPr>
          <w:rFonts w:ascii="Arial" w:eastAsia="Calibri" w:hAnsi="Arial" w:cs="Arial"/>
          <w:b/>
          <w:bCs/>
          <w:sz w:val="24"/>
          <w:szCs w:val="24"/>
        </w:rPr>
      </w:pPr>
      <w:r w:rsidRPr="00280933">
        <w:rPr>
          <w:rFonts w:ascii="Arial" w:eastAsia="Calibri" w:hAnsi="Arial" w:cs="Arial"/>
          <w:b/>
          <w:bCs/>
          <w:sz w:val="24"/>
          <w:szCs w:val="24"/>
        </w:rPr>
        <w:t>Abril, 2023</w:t>
      </w:r>
    </w:p>
    <w:p w14:paraId="1CE89ACD" w14:textId="77777777" w:rsidR="008B5D5C" w:rsidRPr="008B5D5C" w:rsidRDefault="008B5D5C" w:rsidP="008B5D5C">
      <w:pPr>
        <w:jc w:val="both"/>
        <w:rPr>
          <w:rFonts w:ascii="Arial" w:eastAsia="Calibri" w:hAnsi="Arial" w:cs="Arial"/>
          <w:sz w:val="24"/>
          <w:szCs w:val="24"/>
        </w:rPr>
      </w:pPr>
    </w:p>
    <w:p w14:paraId="2287643F" w14:textId="77777777" w:rsidR="008B5D5C" w:rsidRPr="008B5D5C" w:rsidRDefault="008B5D5C" w:rsidP="008B5D5C">
      <w:pPr>
        <w:jc w:val="both"/>
        <w:rPr>
          <w:rFonts w:ascii="Arial" w:eastAsia="Calibri" w:hAnsi="Arial" w:cs="Arial"/>
          <w:sz w:val="24"/>
          <w:szCs w:val="24"/>
        </w:rPr>
      </w:pPr>
    </w:p>
    <w:p w14:paraId="3F1D7A16" w14:textId="77777777" w:rsidR="008B5D5C" w:rsidRPr="008B5D5C" w:rsidRDefault="008B5D5C" w:rsidP="008B5D5C">
      <w:pPr>
        <w:jc w:val="both"/>
        <w:rPr>
          <w:rFonts w:ascii="Arial" w:eastAsia="Calibri" w:hAnsi="Arial" w:cs="Arial"/>
          <w:sz w:val="24"/>
          <w:szCs w:val="24"/>
        </w:rPr>
      </w:pPr>
    </w:p>
    <w:p w14:paraId="68E1767B" w14:textId="77777777" w:rsidR="008B5D5C" w:rsidRPr="008B5D5C" w:rsidRDefault="008B5D5C" w:rsidP="008B5D5C">
      <w:pPr>
        <w:jc w:val="both"/>
        <w:rPr>
          <w:rFonts w:ascii="Arial" w:eastAsia="Calibri" w:hAnsi="Arial" w:cs="Arial"/>
          <w:sz w:val="24"/>
          <w:szCs w:val="24"/>
        </w:rPr>
      </w:pPr>
    </w:p>
    <w:p w14:paraId="0F9DF68C" w14:textId="77777777" w:rsidR="00827224" w:rsidRPr="00D27012" w:rsidRDefault="00827224" w:rsidP="00D27012">
      <w:pPr>
        <w:spacing w:line="240" w:lineRule="auto"/>
        <w:rPr>
          <w:rFonts w:ascii="Arial" w:eastAsia="Calibri" w:hAnsi="Arial" w:cs="Arial"/>
          <w:b/>
          <w:sz w:val="24"/>
          <w:szCs w:val="24"/>
        </w:rPr>
      </w:pPr>
      <w:r w:rsidRPr="00D27012">
        <w:rPr>
          <w:rFonts w:ascii="Arial" w:eastAsia="Calibri" w:hAnsi="Arial" w:cs="Arial"/>
          <w:b/>
          <w:sz w:val="24"/>
          <w:szCs w:val="24"/>
        </w:rPr>
        <w:lastRenderedPageBreak/>
        <w:t>CONTENIDO</w:t>
      </w:r>
    </w:p>
    <w:p w14:paraId="3A080FDC" w14:textId="77777777" w:rsidR="00827224" w:rsidRPr="00D27012" w:rsidRDefault="00827224" w:rsidP="00D27012">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Presentación</w:t>
      </w:r>
    </w:p>
    <w:p w14:paraId="62552AD5" w14:textId="77777777" w:rsidR="00827224" w:rsidRPr="00D27012" w:rsidRDefault="00827224" w:rsidP="00D27012">
      <w:pPr>
        <w:spacing w:line="240" w:lineRule="auto"/>
        <w:ind w:left="720"/>
        <w:contextualSpacing/>
        <w:rPr>
          <w:rFonts w:ascii="Arial" w:eastAsia="Calibri" w:hAnsi="Arial" w:cs="Arial"/>
          <w:sz w:val="24"/>
          <w:szCs w:val="24"/>
        </w:rPr>
      </w:pPr>
    </w:p>
    <w:p w14:paraId="78592B41" w14:textId="77777777" w:rsidR="00827224" w:rsidRPr="00D27012" w:rsidRDefault="00827224" w:rsidP="00D27012">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Marco jurídico</w:t>
      </w:r>
    </w:p>
    <w:p w14:paraId="031BB119" w14:textId="77777777" w:rsidR="00827224" w:rsidRPr="00D27012" w:rsidRDefault="00827224" w:rsidP="00D27012">
      <w:pPr>
        <w:spacing w:line="240" w:lineRule="auto"/>
        <w:contextualSpacing/>
        <w:rPr>
          <w:rFonts w:ascii="Arial" w:eastAsia="Calibri" w:hAnsi="Arial" w:cs="Arial"/>
          <w:sz w:val="24"/>
          <w:szCs w:val="24"/>
        </w:rPr>
      </w:pPr>
    </w:p>
    <w:p w14:paraId="5865CDCB" w14:textId="1F8AA4DA" w:rsidR="00827224" w:rsidRPr="00D27012" w:rsidRDefault="00827224" w:rsidP="00D27012">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 xml:space="preserve">Grupos de mujeres </w:t>
      </w:r>
      <w:r w:rsidR="00280933">
        <w:rPr>
          <w:rFonts w:ascii="Arial" w:eastAsia="Calibri" w:hAnsi="Arial" w:cs="Arial"/>
          <w:sz w:val="24"/>
          <w:szCs w:val="24"/>
        </w:rPr>
        <w:t>en situación de mayor vulnerabilidad</w:t>
      </w:r>
      <w:r w:rsidR="00F222D0">
        <w:rPr>
          <w:rFonts w:ascii="Arial" w:eastAsia="Calibri" w:hAnsi="Arial" w:cs="Arial"/>
          <w:sz w:val="24"/>
          <w:szCs w:val="24"/>
        </w:rPr>
        <w:t xml:space="preserve"> en la crisis venezolana</w:t>
      </w:r>
    </w:p>
    <w:p w14:paraId="5494CA0D" w14:textId="77777777" w:rsidR="00827224" w:rsidRPr="00D27012" w:rsidRDefault="00827224" w:rsidP="00D27012">
      <w:pPr>
        <w:numPr>
          <w:ilvl w:val="1"/>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Mujeres indígenas</w:t>
      </w:r>
    </w:p>
    <w:p w14:paraId="1AC4B038" w14:textId="77777777" w:rsidR="00827224" w:rsidRPr="00D27012" w:rsidRDefault="00827224" w:rsidP="00D27012">
      <w:pPr>
        <w:numPr>
          <w:ilvl w:val="1"/>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Mujeres defensoras de derechos humanos</w:t>
      </w:r>
    </w:p>
    <w:p w14:paraId="06A91011" w14:textId="77777777" w:rsidR="00827224" w:rsidRPr="00D27012" w:rsidRDefault="00827224" w:rsidP="00D27012">
      <w:pPr>
        <w:spacing w:line="240" w:lineRule="auto"/>
        <w:contextualSpacing/>
        <w:rPr>
          <w:rFonts w:ascii="Arial" w:eastAsia="Calibri" w:hAnsi="Arial" w:cs="Arial"/>
          <w:sz w:val="24"/>
          <w:szCs w:val="24"/>
        </w:rPr>
      </w:pPr>
    </w:p>
    <w:p w14:paraId="1EDA06BD" w14:textId="77777777" w:rsidR="00827224" w:rsidRPr="00D27012" w:rsidRDefault="00827224" w:rsidP="00D27012">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Violencia de género contra la mujer en Venezuela</w:t>
      </w:r>
    </w:p>
    <w:p w14:paraId="2D413ABB" w14:textId="4C4C7006" w:rsidR="00827224" w:rsidRDefault="00827224" w:rsidP="00D27012">
      <w:pPr>
        <w:pStyle w:val="Prrafodelista"/>
        <w:numPr>
          <w:ilvl w:val="1"/>
          <w:numId w:val="2"/>
        </w:numPr>
        <w:spacing w:line="240" w:lineRule="auto"/>
        <w:rPr>
          <w:rFonts w:ascii="Arial" w:eastAsia="Calibri" w:hAnsi="Arial" w:cs="Arial"/>
          <w:sz w:val="24"/>
          <w:szCs w:val="24"/>
        </w:rPr>
      </w:pPr>
      <w:r w:rsidRPr="00D27012">
        <w:rPr>
          <w:rFonts w:ascii="Arial" w:eastAsia="Calibri" w:hAnsi="Arial" w:cs="Arial"/>
          <w:sz w:val="24"/>
          <w:szCs w:val="24"/>
        </w:rPr>
        <w:t xml:space="preserve">Muertes violentas de mujeres </w:t>
      </w:r>
    </w:p>
    <w:p w14:paraId="2B728586" w14:textId="2B49DE8C" w:rsidR="00701F62" w:rsidRPr="00D27012" w:rsidRDefault="00701F62" w:rsidP="00D27012">
      <w:pPr>
        <w:pStyle w:val="Prrafodelista"/>
        <w:numPr>
          <w:ilvl w:val="1"/>
          <w:numId w:val="2"/>
        </w:numPr>
        <w:spacing w:line="240" w:lineRule="auto"/>
        <w:rPr>
          <w:rFonts w:ascii="Arial" w:eastAsia="Calibri" w:hAnsi="Arial" w:cs="Arial"/>
          <w:sz w:val="24"/>
          <w:szCs w:val="24"/>
        </w:rPr>
      </w:pPr>
      <w:r>
        <w:rPr>
          <w:rFonts w:ascii="Arial" w:eastAsia="Calibri" w:hAnsi="Arial" w:cs="Arial"/>
          <w:sz w:val="24"/>
          <w:szCs w:val="24"/>
        </w:rPr>
        <w:t>Violencia sexual</w:t>
      </w:r>
    </w:p>
    <w:p w14:paraId="3A76E902" w14:textId="77777777" w:rsidR="00827224" w:rsidRDefault="00827224" w:rsidP="00D27012">
      <w:pPr>
        <w:pStyle w:val="Prrafodelista"/>
        <w:numPr>
          <w:ilvl w:val="1"/>
          <w:numId w:val="2"/>
        </w:numPr>
        <w:spacing w:line="240" w:lineRule="auto"/>
        <w:rPr>
          <w:rFonts w:ascii="Arial" w:eastAsia="Calibri" w:hAnsi="Arial" w:cs="Arial"/>
          <w:sz w:val="24"/>
          <w:szCs w:val="24"/>
        </w:rPr>
      </w:pPr>
      <w:r w:rsidRPr="00D27012">
        <w:rPr>
          <w:rFonts w:ascii="Arial" w:eastAsia="Calibri" w:hAnsi="Arial" w:cs="Arial"/>
          <w:sz w:val="24"/>
          <w:szCs w:val="24"/>
        </w:rPr>
        <w:t xml:space="preserve">Acceso a la justicia </w:t>
      </w:r>
    </w:p>
    <w:p w14:paraId="7ED5B9BB" w14:textId="17FD691A" w:rsidR="00827224" w:rsidRPr="00701F62" w:rsidRDefault="001E1509" w:rsidP="00701F62">
      <w:pPr>
        <w:pStyle w:val="Prrafodelista"/>
        <w:numPr>
          <w:ilvl w:val="1"/>
          <w:numId w:val="2"/>
        </w:numPr>
        <w:spacing w:line="240" w:lineRule="auto"/>
        <w:rPr>
          <w:rFonts w:ascii="Arial" w:eastAsia="Calibri" w:hAnsi="Arial" w:cs="Arial"/>
          <w:sz w:val="24"/>
          <w:szCs w:val="24"/>
        </w:rPr>
      </w:pPr>
      <w:r>
        <w:rPr>
          <w:rFonts w:ascii="Arial" w:eastAsia="Calibri" w:hAnsi="Arial" w:cs="Arial"/>
          <w:sz w:val="24"/>
          <w:szCs w:val="24"/>
        </w:rPr>
        <w:t>Impacto diferenciado en las mujeres durante el desarrollo de operativos de seguridad ciudadana</w:t>
      </w:r>
    </w:p>
    <w:p w14:paraId="68432A20" w14:textId="77777777" w:rsidR="00827224" w:rsidRPr="00D27012" w:rsidRDefault="00827224" w:rsidP="00D27012">
      <w:pPr>
        <w:pStyle w:val="Prrafodelista"/>
        <w:numPr>
          <w:ilvl w:val="1"/>
          <w:numId w:val="2"/>
        </w:numPr>
        <w:spacing w:line="240" w:lineRule="auto"/>
        <w:rPr>
          <w:rFonts w:ascii="Arial" w:hAnsi="Arial" w:cs="Arial"/>
          <w:sz w:val="24"/>
          <w:szCs w:val="24"/>
        </w:rPr>
      </w:pPr>
      <w:r w:rsidRPr="00D27012">
        <w:rPr>
          <w:rFonts w:ascii="Arial" w:hAnsi="Arial" w:cs="Arial"/>
          <w:sz w:val="24"/>
          <w:szCs w:val="24"/>
        </w:rPr>
        <w:t xml:space="preserve">Salud </w:t>
      </w:r>
    </w:p>
    <w:p w14:paraId="73B3FCBE" w14:textId="77777777" w:rsidR="00827224" w:rsidRPr="00D27012" w:rsidRDefault="00827224" w:rsidP="00D27012">
      <w:pPr>
        <w:pStyle w:val="Prrafodelista"/>
        <w:numPr>
          <w:ilvl w:val="0"/>
          <w:numId w:val="1"/>
        </w:numPr>
        <w:spacing w:line="240" w:lineRule="auto"/>
        <w:ind w:left="1418" w:firstLine="0"/>
        <w:rPr>
          <w:rFonts w:ascii="Arial" w:hAnsi="Arial" w:cs="Arial"/>
          <w:sz w:val="24"/>
          <w:szCs w:val="24"/>
        </w:rPr>
      </w:pPr>
      <w:r w:rsidRPr="00D27012">
        <w:rPr>
          <w:rFonts w:ascii="Arial" w:hAnsi="Arial" w:cs="Arial"/>
          <w:sz w:val="24"/>
          <w:szCs w:val="24"/>
        </w:rPr>
        <w:t>Mujeres viviendo con VIH</w:t>
      </w:r>
    </w:p>
    <w:p w14:paraId="5AF3ED2C" w14:textId="77777777" w:rsidR="00827224" w:rsidRPr="00D27012" w:rsidRDefault="00827224" w:rsidP="00D27012">
      <w:pPr>
        <w:pStyle w:val="Prrafodelista"/>
        <w:numPr>
          <w:ilvl w:val="0"/>
          <w:numId w:val="1"/>
        </w:numPr>
        <w:spacing w:line="240" w:lineRule="auto"/>
        <w:ind w:left="1418" w:firstLine="0"/>
        <w:rPr>
          <w:rFonts w:ascii="Arial" w:hAnsi="Arial" w:cs="Arial"/>
          <w:sz w:val="24"/>
          <w:szCs w:val="24"/>
        </w:rPr>
      </w:pPr>
      <w:r w:rsidRPr="00D27012">
        <w:rPr>
          <w:rFonts w:ascii="Arial" w:hAnsi="Arial" w:cs="Arial"/>
          <w:sz w:val="24"/>
          <w:szCs w:val="24"/>
        </w:rPr>
        <w:t>Impacto diferenciado en el acceso a servicios de salud sexual y reproductiva a mujeres con discapacidad.</w:t>
      </w:r>
    </w:p>
    <w:p w14:paraId="5ADE9D68" w14:textId="77777777" w:rsidR="00827224" w:rsidRPr="00D27012" w:rsidRDefault="00827224" w:rsidP="00D27012">
      <w:pPr>
        <w:pStyle w:val="Prrafodelista"/>
        <w:spacing w:line="240" w:lineRule="auto"/>
        <w:ind w:left="1418"/>
        <w:rPr>
          <w:rFonts w:ascii="Arial" w:hAnsi="Arial" w:cs="Arial"/>
          <w:sz w:val="24"/>
          <w:szCs w:val="24"/>
        </w:rPr>
      </w:pPr>
    </w:p>
    <w:p w14:paraId="29497241" w14:textId="77777777" w:rsidR="00827224" w:rsidRPr="00D27012" w:rsidRDefault="00827224" w:rsidP="00D27012">
      <w:pPr>
        <w:pStyle w:val="Prrafodelista"/>
        <w:numPr>
          <w:ilvl w:val="0"/>
          <w:numId w:val="2"/>
        </w:numPr>
        <w:spacing w:line="240" w:lineRule="auto"/>
        <w:rPr>
          <w:rFonts w:ascii="Arial" w:hAnsi="Arial" w:cs="Arial"/>
          <w:sz w:val="24"/>
          <w:szCs w:val="24"/>
        </w:rPr>
      </w:pPr>
      <w:r w:rsidRPr="00D27012">
        <w:rPr>
          <w:rFonts w:ascii="Arial" w:hAnsi="Arial" w:cs="Arial"/>
          <w:sz w:val="24"/>
          <w:szCs w:val="24"/>
        </w:rPr>
        <w:t xml:space="preserve"> Falta de cumplimiento de sentencias emanadas del sistema interamericano </w:t>
      </w:r>
    </w:p>
    <w:p w14:paraId="01B0E86E" w14:textId="77777777" w:rsidR="00827224" w:rsidRPr="00D27012" w:rsidRDefault="00827224" w:rsidP="00D27012">
      <w:pPr>
        <w:spacing w:line="240" w:lineRule="auto"/>
        <w:ind w:left="1440"/>
        <w:contextualSpacing/>
        <w:rPr>
          <w:rFonts w:ascii="Arial" w:eastAsia="Calibri" w:hAnsi="Arial" w:cs="Arial"/>
          <w:sz w:val="24"/>
          <w:szCs w:val="24"/>
        </w:rPr>
      </w:pPr>
    </w:p>
    <w:p w14:paraId="7AD17C01" w14:textId="77777777" w:rsidR="00827224" w:rsidRPr="00D27012" w:rsidRDefault="00827224" w:rsidP="00D27012">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Recomendaciones</w:t>
      </w:r>
    </w:p>
    <w:p w14:paraId="518F2D79" w14:textId="77777777" w:rsidR="00827224" w:rsidRPr="00D27012" w:rsidRDefault="00827224" w:rsidP="00D27012">
      <w:pPr>
        <w:spacing w:line="240" w:lineRule="auto"/>
        <w:rPr>
          <w:rFonts w:ascii="Arial" w:eastAsia="Calibri" w:hAnsi="Arial" w:cs="Arial"/>
          <w:sz w:val="24"/>
          <w:szCs w:val="24"/>
        </w:rPr>
      </w:pPr>
    </w:p>
    <w:p w14:paraId="1F4DF8C0" w14:textId="42F2323D" w:rsidR="00C84001" w:rsidRPr="00D27012" w:rsidRDefault="00C84001" w:rsidP="00D27012">
      <w:pPr>
        <w:spacing w:line="240" w:lineRule="auto"/>
        <w:rPr>
          <w:rFonts w:ascii="Arial" w:hAnsi="Arial" w:cs="Arial"/>
          <w:sz w:val="24"/>
          <w:szCs w:val="24"/>
          <w:lang w:val="es-ES"/>
        </w:rPr>
      </w:pPr>
    </w:p>
    <w:p w14:paraId="607E35DC" w14:textId="64E521BF" w:rsidR="00244A9E" w:rsidRPr="00D27012" w:rsidRDefault="00244A9E" w:rsidP="00D27012">
      <w:pPr>
        <w:spacing w:line="240" w:lineRule="auto"/>
        <w:rPr>
          <w:rFonts w:ascii="Arial" w:hAnsi="Arial" w:cs="Arial"/>
          <w:sz w:val="24"/>
          <w:szCs w:val="24"/>
          <w:lang w:val="es-ES"/>
        </w:rPr>
      </w:pPr>
    </w:p>
    <w:p w14:paraId="454C7AA6" w14:textId="2209F91D" w:rsidR="00244A9E" w:rsidRPr="00D27012" w:rsidRDefault="00244A9E" w:rsidP="00D27012">
      <w:pPr>
        <w:spacing w:line="240" w:lineRule="auto"/>
        <w:rPr>
          <w:rFonts w:ascii="Arial" w:hAnsi="Arial" w:cs="Arial"/>
          <w:sz w:val="24"/>
          <w:szCs w:val="24"/>
          <w:lang w:val="es-ES"/>
        </w:rPr>
      </w:pPr>
    </w:p>
    <w:p w14:paraId="73A699F6" w14:textId="596D56B2" w:rsidR="00244A9E" w:rsidRPr="00D27012" w:rsidRDefault="00244A9E" w:rsidP="00D27012">
      <w:pPr>
        <w:spacing w:line="240" w:lineRule="auto"/>
        <w:rPr>
          <w:rFonts w:ascii="Arial" w:hAnsi="Arial" w:cs="Arial"/>
          <w:sz w:val="24"/>
          <w:szCs w:val="24"/>
          <w:lang w:val="es-ES"/>
        </w:rPr>
      </w:pPr>
    </w:p>
    <w:p w14:paraId="52A3CCE5" w14:textId="65595F37" w:rsidR="004B5A14" w:rsidRDefault="004B5A14">
      <w:pPr>
        <w:rPr>
          <w:rFonts w:ascii="Arial" w:hAnsi="Arial" w:cs="Arial"/>
          <w:sz w:val="24"/>
          <w:szCs w:val="24"/>
          <w:lang w:val="es-ES"/>
        </w:rPr>
      </w:pPr>
      <w:r>
        <w:rPr>
          <w:rFonts w:ascii="Arial" w:hAnsi="Arial" w:cs="Arial"/>
          <w:sz w:val="24"/>
          <w:szCs w:val="24"/>
          <w:lang w:val="es-ES"/>
        </w:rPr>
        <w:br w:type="page"/>
      </w:r>
    </w:p>
    <w:p w14:paraId="0E973690" w14:textId="77777777" w:rsidR="00244A9E" w:rsidRPr="004B5A14" w:rsidRDefault="00244A9E" w:rsidP="00D27012">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lastRenderedPageBreak/>
        <w:t>Presentación</w:t>
      </w:r>
    </w:p>
    <w:p w14:paraId="5A14E304" w14:textId="11C17D84" w:rsidR="00244A9E" w:rsidRDefault="00244A9E" w:rsidP="008B5D5C">
      <w:pPr>
        <w:spacing w:line="240" w:lineRule="auto"/>
        <w:contextualSpacing/>
        <w:rPr>
          <w:rFonts w:ascii="Arial" w:eastAsia="Calibri" w:hAnsi="Arial" w:cs="Arial"/>
          <w:b/>
          <w:sz w:val="24"/>
          <w:szCs w:val="24"/>
        </w:rPr>
      </w:pPr>
    </w:p>
    <w:p w14:paraId="0BEBF08A" w14:textId="0A31BDE5" w:rsidR="008B5D5C" w:rsidRPr="008B5D5C" w:rsidRDefault="008B5D5C" w:rsidP="008B5D5C">
      <w:pPr>
        <w:spacing w:line="240" w:lineRule="auto"/>
        <w:jc w:val="both"/>
        <w:rPr>
          <w:rFonts w:ascii="Arial" w:eastAsia="Calibri" w:hAnsi="Arial" w:cs="Arial"/>
          <w:sz w:val="24"/>
          <w:szCs w:val="24"/>
        </w:rPr>
      </w:pPr>
      <w:r w:rsidRPr="008B5D5C">
        <w:rPr>
          <w:rFonts w:ascii="Arial" w:eastAsia="Calibri" w:hAnsi="Arial" w:cs="Arial"/>
          <w:sz w:val="24"/>
          <w:szCs w:val="24"/>
        </w:rPr>
        <w:t xml:space="preserve">El presente informe alternativo fue elaborado conjuntamente por la Asociación Civil, Acción Ciudadana Contra </w:t>
      </w:r>
      <w:r w:rsidR="00554565">
        <w:rPr>
          <w:rFonts w:ascii="Arial" w:eastAsia="Calibri" w:hAnsi="Arial" w:cs="Arial"/>
          <w:sz w:val="24"/>
          <w:szCs w:val="24"/>
        </w:rPr>
        <w:t>el Sida</w:t>
      </w:r>
      <w:r w:rsidRPr="008B5D5C">
        <w:rPr>
          <w:rFonts w:ascii="Arial" w:eastAsia="Calibri" w:hAnsi="Arial" w:cs="Arial"/>
          <w:sz w:val="24"/>
          <w:szCs w:val="24"/>
        </w:rPr>
        <w:t xml:space="preserve"> (</w:t>
      </w:r>
      <w:bookmarkStart w:id="0" w:name="_Hlk131605428"/>
      <w:r w:rsidRPr="008B5D5C">
        <w:rPr>
          <w:rFonts w:ascii="Arial" w:eastAsia="Calibri" w:hAnsi="Arial" w:cs="Arial"/>
          <w:sz w:val="24"/>
          <w:szCs w:val="24"/>
        </w:rPr>
        <w:t xml:space="preserve">ACCSI), Asociación Civil Kapé – Kapé, la Confederación de Sordos de Venezuela (CONSORVEN), el Comité de Familiares de las Victimas de los Sucesos de Febrero-Marzo de 1989 (COFAVIC), </w:t>
      </w:r>
      <w:r w:rsidR="005314FB">
        <w:rPr>
          <w:rFonts w:ascii="Arial" w:eastAsia="Calibri" w:hAnsi="Arial" w:cs="Arial"/>
          <w:sz w:val="24"/>
          <w:szCs w:val="24"/>
        </w:rPr>
        <w:t>el Centro por la Justicia y el Derecho Internacional (CEJIL)</w:t>
      </w:r>
      <w:r w:rsidRPr="008B5D5C">
        <w:rPr>
          <w:rFonts w:ascii="Arial" w:eastAsia="Calibri" w:hAnsi="Arial" w:cs="Arial"/>
          <w:sz w:val="24"/>
          <w:szCs w:val="24"/>
        </w:rPr>
        <w:t xml:space="preserve">, con el apoyo y Cooperación de la Organización Mundial Contra la Tortura (OMCT) </w:t>
      </w:r>
      <w:bookmarkEnd w:id="0"/>
      <w:r w:rsidRPr="008B5D5C">
        <w:rPr>
          <w:rFonts w:ascii="Arial" w:eastAsia="Calibri" w:hAnsi="Arial" w:cs="Arial"/>
          <w:sz w:val="24"/>
          <w:szCs w:val="24"/>
        </w:rPr>
        <w:t>y tiene como objetivo proveer información adicional al Comité para la Eliminación de la Discriminación contra la Mujer (</w:t>
      </w:r>
      <w:r w:rsidRPr="008B5D5C">
        <w:rPr>
          <w:rFonts w:ascii="Arial" w:eastAsia="Calibri" w:hAnsi="Arial" w:cs="Arial"/>
          <w:i/>
          <w:iCs/>
          <w:sz w:val="24"/>
          <w:szCs w:val="24"/>
        </w:rPr>
        <w:t>CEDAW</w:t>
      </w:r>
      <w:r w:rsidRPr="008B5D5C">
        <w:rPr>
          <w:rFonts w:ascii="Arial" w:eastAsia="Calibri" w:hAnsi="Arial" w:cs="Arial"/>
          <w:sz w:val="24"/>
          <w:szCs w:val="24"/>
        </w:rPr>
        <w:t>) en cuanto a la observancia de los compromisos derivados de la Convención sobre la Eliminación de Todas las Formas de Discriminación contra la Mujer (la Convención) por parte de la República Bolivariana de Venezuela, en aquellas áreas que conciernen directamente al mandato de las organizaciones que suscribimos este informe.</w:t>
      </w:r>
    </w:p>
    <w:p w14:paraId="01B59D46" w14:textId="77777777" w:rsidR="008B5D5C" w:rsidRPr="004B5A14" w:rsidRDefault="008B5D5C" w:rsidP="008B5D5C">
      <w:pPr>
        <w:spacing w:line="240" w:lineRule="auto"/>
        <w:contextualSpacing/>
        <w:rPr>
          <w:rFonts w:ascii="Arial" w:eastAsia="Calibri" w:hAnsi="Arial" w:cs="Arial"/>
          <w:b/>
          <w:sz w:val="24"/>
          <w:szCs w:val="24"/>
        </w:rPr>
      </w:pPr>
    </w:p>
    <w:p w14:paraId="5D16F4B4" w14:textId="7EDEC150" w:rsidR="002E2C7D" w:rsidRPr="00AA1405" w:rsidRDefault="00244A9E" w:rsidP="00D27012">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t>Marco jurídico</w:t>
      </w:r>
    </w:p>
    <w:p w14:paraId="15AC4AB9" w14:textId="41431D8B" w:rsidR="00301D3C" w:rsidRDefault="002E2C7D" w:rsidP="00D91141">
      <w:pPr>
        <w:pStyle w:val="pf0"/>
        <w:jc w:val="both"/>
        <w:rPr>
          <w:rFonts w:ascii="Arial" w:eastAsia="Calibri" w:hAnsi="Arial" w:cs="Arial"/>
          <w:lang w:val="es-ES"/>
        </w:rPr>
      </w:pPr>
      <w:r w:rsidRPr="00D91141">
        <w:rPr>
          <w:rFonts w:ascii="Arial" w:eastAsia="Calibri" w:hAnsi="Arial" w:cs="Arial"/>
          <w:lang w:val="es-ES"/>
        </w:rPr>
        <w:t xml:space="preserve">A nivel </w:t>
      </w:r>
      <w:r w:rsidR="00A51E93">
        <w:rPr>
          <w:rFonts w:ascii="Arial" w:eastAsia="Calibri" w:hAnsi="Arial" w:cs="Arial"/>
          <w:lang w:val="es-ES"/>
        </w:rPr>
        <w:t>universal</w:t>
      </w:r>
      <w:r w:rsidRPr="00D91141">
        <w:rPr>
          <w:rFonts w:ascii="Arial" w:eastAsia="Calibri" w:hAnsi="Arial" w:cs="Arial"/>
          <w:lang w:val="es-ES"/>
        </w:rPr>
        <w:t xml:space="preserve">, </w:t>
      </w:r>
      <w:r w:rsidR="00301D3C" w:rsidRPr="00D91141">
        <w:rPr>
          <w:rFonts w:ascii="Arial" w:eastAsia="Calibri" w:hAnsi="Arial" w:cs="Arial"/>
          <w:lang w:val="es-ES"/>
        </w:rPr>
        <w:t xml:space="preserve">Venezuela suscribió </w:t>
      </w:r>
      <w:r w:rsidR="00301D3C" w:rsidRPr="00D91141">
        <w:rPr>
          <w:rStyle w:val="cf01"/>
          <w:rFonts w:ascii="Arial" w:hAnsi="Arial" w:cs="Arial"/>
          <w:sz w:val="24"/>
          <w:szCs w:val="24"/>
        </w:rPr>
        <w:t xml:space="preserve">la </w:t>
      </w:r>
      <w:r w:rsidR="00D91141" w:rsidRPr="00D91141">
        <w:rPr>
          <w:rStyle w:val="cf01"/>
          <w:rFonts w:ascii="Arial" w:hAnsi="Arial" w:cs="Arial"/>
          <w:sz w:val="24"/>
          <w:szCs w:val="24"/>
        </w:rPr>
        <w:t>Convención para la Eliminación de todas las formas de Discriminación contra la mujer</w:t>
      </w:r>
      <w:r w:rsidR="00D91141">
        <w:rPr>
          <w:rStyle w:val="cf01"/>
          <w:rFonts w:ascii="Arial" w:hAnsi="Arial" w:cs="Arial"/>
          <w:sz w:val="24"/>
          <w:szCs w:val="24"/>
        </w:rPr>
        <w:t xml:space="preserve"> </w:t>
      </w:r>
      <w:r w:rsidR="00301D3C" w:rsidRPr="00D91141">
        <w:rPr>
          <w:rStyle w:val="cf01"/>
          <w:rFonts w:ascii="Arial" w:hAnsi="Arial" w:cs="Arial"/>
          <w:sz w:val="24"/>
          <w:szCs w:val="24"/>
        </w:rPr>
        <w:t>en julio de 1980 y ratificada en mayo de 1983.</w:t>
      </w:r>
      <w:r w:rsidR="00D91141">
        <w:rPr>
          <w:rFonts w:ascii="Arial" w:eastAsia="Calibri" w:hAnsi="Arial" w:cs="Arial"/>
        </w:rPr>
        <w:t xml:space="preserve"> </w:t>
      </w:r>
      <w:r w:rsidR="00D91141">
        <w:rPr>
          <w:rStyle w:val="cf01"/>
          <w:rFonts w:ascii="Arial" w:hAnsi="Arial" w:cs="Arial"/>
          <w:sz w:val="24"/>
          <w:szCs w:val="24"/>
        </w:rPr>
        <w:t xml:space="preserve">Sin embargo, </w:t>
      </w:r>
      <w:r w:rsidR="00D91141" w:rsidRPr="00D27012">
        <w:rPr>
          <w:rFonts w:ascii="Arial" w:eastAsia="Calibri" w:hAnsi="Arial" w:cs="Arial"/>
          <w:lang w:val="es-ES"/>
        </w:rPr>
        <w:t>continúa sin ratificar el Protocolo Facultativo de la Convención contra la Tortura ni la Convención para la Protección de Todas las Personas contra la Desaparición Forzada</w:t>
      </w:r>
    </w:p>
    <w:p w14:paraId="0727424D" w14:textId="0BB17255" w:rsidR="001E0C63" w:rsidRDefault="001E0C63" w:rsidP="001E0C63">
      <w:pPr>
        <w:spacing w:line="240" w:lineRule="auto"/>
        <w:jc w:val="both"/>
        <w:rPr>
          <w:rFonts w:ascii="Arial" w:eastAsia="Calibri" w:hAnsi="Arial" w:cs="Arial"/>
          <w:sz w:val="24"/>
          <w:szCs w:val="24"/>
          <w:lang w:val="es-ES"/>
        </w:rPr>
      </w:pPr>
      <w:r w:rsidRPr="00D27012">
        <w:rPr>
          <w:rFonts w:ascii="Arial" w:eastAsia="Calibri" w:hAnsi="Arial" w:cs="Arial"/>
          <w:sz w:val="24"/>
          <w:szCs w:val="24"/>
          <w:lang w:val="es-ES"/>
        </w:rPr>
        <w:t>A nivel regional,</w:t>
      </w:r>
      <w:r w:rsidR="00A51E93">
        <w:rPr>
          <w:rFonts w:ascii="Arial" w:eastAsia="Calibri" w:hAnsi="Arial" w:cs="Arial"/>
        </w:rPr>
        <w:t xml:space="preserve"> </w:t>
      </w:r>
      <w:r w:rsidR="00A51E93" w:rsidRPr="00D91141">
        <w:rPr>
          <w:rStyle w:val="cf01"/>
          <w:rFonts w:ascii="Arial" w:hAnsi="Arial" w:cs="Arial"/>
          <w:sz w:val="24"/>
          <w:szCs w:val="24"/>
        </w:rPr>
        <w:t xml:space="preserve">en junio de 1994 </w:t>
      </w:r>
      <w:r w:rsidR="00A51E93">
        <w:rPr>
          <w:rStyle w:val="cf01"/>
          <w:rFonts w:ascii="Arial" w:hAnsi="Arial" w:cs="Arial"/>
          <w:sz w:val="24"/>
          <w:szCs w:val="24"/>
        </w:rPr>
        <w:t xml:space="preserve">suscribió la </w:t>
      </w:r>
      <w:proofErr w:type="spellStart"/>
      <w:r w:rsidR="00A51E93" w:rsidRPr="00D91141">
        <w:rPr>
          <w:rFonts w:ascii="Arial" w:eastAsia="Calibri" w:hAnsi="Arial" w:cs="Arial"/>
          <w:sz w:val="24"/>
          <w:szCs w:val="24"/>
          <w:lang w:val="es-ES"/>
        </w:rPr>
        <w:t>Convencion</w:t>
      </w:r>
      <w:proofErr w:type="spellEnd"/>
      <w:r w:rsidR="00A51E93" w:rsidRPr="00D91141">
        <w:rPr>
          <w:rFonts w:ascii="Arial" w:eastAsia="Calibri" w:hAnsi="Arial" w:cs="Arial"/>
          <w:sz w:val="24"/>
          <w:szCs w:val="24"/>
          <w:lang w:val="es-ES"/>
        </w:rPr>
        <w:t xml:space="preserve"> Interamericana Para Prevenir, Sancionar y Erradicar la violencia contra la mujer "</w:t>
      </w:r>
      <w:proofErr w:type="spellStart"/>
      <w:r w:rsidR="00A51E93" w:rsidRPr="00D91141">
        <w:rPr>
          <w:rFonts w:ascii="Arial" w:eastAsia="Calibri" w:hAnsi="Arial" w:cs="Arial"/>
          <w:sz w:val="24"/>
          <w:szCs w:val="24"/>
          <w:lang w:val="es-ES"/>
        </w:rPr>
        <w:t>Convencion</w:t>
      </w:r>
      <w:proofErr w:type="spellEnd"/>
      <w:r w:rsidR="00A51E93" w:rsidRPr="00D91141">
        <w:rPr>
          <w:rFonts w:ascii="Arial" w:eastAsia="Calibri" w:hAnsi="Arial" w:cs="Arial"/>
          <w:sz w:val="24"/>
          <w:szCs w:val="24"/>
          <w:lang w:val="es-ES"/>
        </w:rPr>
        <w:t xml:space="preserve"> De Belem Do Para</w:t>
      </w:r>
      <w:proofErr w:type="gramStart"/>
      <w:r w:rsidR="00A51E93" w:rsidRPr="00D91141">
        <w:rPr>
          <w:rFonts w:ascii="Arial" w:eastAsia="Calibri" w:hAnsi="Arial" w:cs="Arial"/>
          <w:sz w:val="24"/>
          <w:szCs w:val="24"/>
          <w:lang w:val="es-ES"/>
        </w:rPr>
        <w:t xml:space="preserve">" </w:t>
      </w:r>
      <w:r w:rsidR="00A51E93" w:rsidRPr="00D91141">
        <w:rPr>
          <w:rStyle w:val="cf01"/>
          <w:rFonts w:ascii="Arial" w:hAnsi="Arial" w:cs="Arial"/>
          <w:sz w:val="24"/>
          <w:szCs w:val="24"/>
        </w:rPr>
        <w:t xml:space="preserve"> que</w:t>
      </w:r>
      <w:proofErr w:type="gramEnd"/>
      <w:r w:rsidR="00A51E93" w:rsidRPr="00D91141">
        <w:rPr>
          <w:rStyle w:val="cf01"/>
          <w:rFonts w:ascii="Arial" w:hAnsi="Arial" w:cs="Arial"/>
          <w:sz w:val="24"/>
          <w:szCs w:val="24"/>
        </w:rPr>
        <w:t xml:space="preserve"> ratificó en febrero de 1995</w:t>
      </w:r>
      <w:r w:rsidR="00A51E93">
        <w:rPr>
          <w:rStyle w:val="cf01"/>
          <w:rFonts w:ascii="Arial" w:hAnsi="Arial" w:cs="Arial"/>
          <w:sz w:val="24"/>
          <w:szCs w:val="24"/>
        </w:rPr>
        <w:t xml:space="preserve">. Sin embargo, </w:t>
      </w:r>
      <w:r w:rsidRPr="00D27012">
        <w:rPr>
          <w:rFonts w:ascii="Arial" w:eastAsia="Calibri" w:hAnsi="Arial" w:cs="Arial"/>
          <w:sz w:val="24"/>
          <w:szCs w:val="24"/>
          <w:lang w:val="es-ES"/>
        </w:rPr>
        <w:t>Venezuela denunció la Convención Americana sobre Derechos Humanos el 10 de septiembre del 2012, lo cual significó un retroceso importante para la protección de derechos humanos en el país.</w:t>
      </w:r>
      <w:r>
        <w:rPr>
          <w:rFonts w:ascii="Arial" w:eastAsia="Calibri" w:hAnsi="Arial" w:cs="Arial"/>
          <w:sz w:val="24"/>
          <w:szCs w:val="24"/>
          <w:lang w:val="es-ES"/>
        </w:rPr>
        <w:t xml:space="preserve"> </w:t>
      </w:r>
    </w:p>
    <w:p w14:paraId="7C77CD2C" w14:textId="2F94BE4C" w:rsidR="00A51E93" w:rsidRDefault="00D91141" w:rsidP="00D27012">
      <w:pPr>
        <w:spacing w:line="240" w:lineRule="auto"/>
        <w:jc w:val="both"/>
        <w:rPr>
          <w:rFonts w:ascii="Arial" w:eastAsia="Calibri" w:hAnsi="Arial" w:cs="Arial"/>
          <w:sz w:val="24"/>
          <w:szCs w:val="24"/>
          <w:lang w:val="es-ES"/>
        </w:rPr>
      </w:pPr>
      <w:r w:rsidRPr="00D27012">
        <w:rPr>
          <w:rFonts w:ascii="Arial" w:eastAsia="Calibri" w:hAnsi="Arial" w:cs="Arial"/>
          <w:sz w:val="24"/>
          <w:szCs w:val="24"/>
          <w:lang w:val="es-ES"/>
        </w:rPr>
        <w:t>A nivel local</w:t>
      </w:r>
      <w:r>
        <w:rPr>
          <w:rFonts w:ascii="Arial" w:eastAsia="Calibri" w:hAnsi="Arial" w:cs="Arial"/>
          <w:sz w:val="24"/>
          <w:szCs w:val="24"/>
          <w:lang w:val="es-ES"/>
        </w:rPr>
        <w:t xml:space="preserve">, han </w:t>
      </w:r>
      <w:r w:rsidR="002E2C7D" w:rsidRPr="00D27012">
        <w:rPr>
          <w:rFonts w:ascii="Arial" w:eastAsia="Calibri" w:hAnsi="Arial" w:cs="Arial"/>
          <w:sz w:val="24"/>
          <w:szCs w:val="24"/>
          <w:lang w:val="es-ES"/>
        </w:rPr>
        <w:t xml:space="preserve">existido algunos avances normativos relacionados con la prohibición de la tortura, particularmente en la Constitución de la República Bolivariana de Venezuela (CRBV) y con la adopción de la Ley Especial para Prevenir y Sancionar la Tortura y otros Tratos Crueles, Inhumanos y Degradantes, </w:t>
      </w:r>
      <w:r>
        <w:rPr>
          <w:rFonts w:ascii="Arial" w:eastAsia="Calibri" w:hAnsi="Arial" w:cs="Arial"/>
          <w:sz w:val="24"/>
          <w:szCs w:val="24"/>
          <w:lang w:val="es-ES"/>
        </w:rPr>
        <w:t xml:space="preserve">sin </w:t>
      </w:r>
      <w:proofErr w:type="gramStart"/>
      <w:r>
        <w:rPr>
          <w:rFonts w:ascii="Arial" w:eastAsia="Calibri" w:hAnsi="Arial" w:cs="Arial"/>
          <w:sz w:val="24"/>
          <w:szCs w:val="24"/>
          <w:lang w:val="es-ES"/>
        </w:rPr>
        <w:t>embargo</w:t>
      </w:r>
      <w:proofErr w:type="gramEnd"/>
      <w:r>
        <w:rPr>
          <w:rFonts w:ascii="Arial" w:eastAsia="Calibri" w:hAnsi="Arial" w:cs="Arial"/>
          <w:sz w:val="24"/>
          <w:szCs w:val="24"/>
          <w:lang w:val="es-ES"/>
        </w:rPr>
        <w:t xml:space="preserve"> </w:t>
      </w:r>
      <w:r w:rsidR="002E2C7D" w:rsidRPr="00D27012">
        <w:rPr>
          <w:rFonts w:ascii="Arial" w:eastAsia="Calibri" w:hAnsi="Arial" w:cs="Arial"/>
          <w:sz w:val="24"/>
          <w:szCs w:val="24"/>
          <w:lang w:val="es-ES"/>
        </w:rPr>
        <w:t>la tortura no está adecuadamente tipificada.</w:t>
      </w:r>
      <w:r w:rsidR="00A51E93">
        <w:rPr>
          <w:rStyle w:val="Refdenotaalfinal"/>
          <w:rFonts w:ascii="Arial" w:eastAsia="Calibri" w:hAnsi="Arial" w:cs="Arial"/>
          <w:sz w:val="24"/>
          <w:szCs w:val="24"/>
          <w:lang w:val="es-ES"/>
        </w:rPr>
        <w:endnoteReference w:id="1"/>
      </w:r>
    </w:p>
    <w:p w14:paraId="65C53F97" w14:textId="321B6945" w:rsidR="00554565" w:rsidRPr="00D27012" w:rsidRDefault="00D91141" w:rsidP="00554565">
      <w:pPr>
        <w:spacing w:line="240" w:lineRule="auto"/>
        <w:jc w:val="both"/>
        <w:rPr>
          <w:rFonts w:ascii="Arial" w:eastAsia="Calibri" w:hAnsi="Arial" w:cs="Arial"/>
          <w:sz w:val="24"/>
          <w:szCs w:val="24"/>
          <w:lang w:val="es-ES"/>
        </w:rPr>
      </w:pPr>
      <w:r>
        <w:rPr>
          <w:rFonts w:ascii="Arial" w:eastAsia="Calibri" w:hAnsi="Arial" w:cs="Arial"/>
          <w:sz w:val="24"/>
          <w:szCs w:val="24"/>
          <w:lang w:val="es-ES"/>
        </w:rPr>
        <w:t>A</w:t>
      </w:r>
      <w:r w:rsidR="00554565" w:rsidRPr="00D27012">
        <w:rPr>
          <w:rFonts w:ascii="Arial" w:eastAsia="Calibri" w:hAnsi="Arial" w:cs="Arial"/>
          <w:sz w:val="24"/>
          <w:szCs w:val="24"/>
          <w:lang w:val="es-ES"/>
        </w:rPr>
        <w:t xml:space="preserve"> pesar de que </w:t>
      </w:r>
      <w:r w:rsidR="005314FB">
        <w:rPr>
          <w:rFonts w:ascii="Arial" w:eastAsia="Calibri" w:hAnsi="Arial" w:cs="Arial"/>
          <w:sz w:val="24"/>
          <w:szCs w:val="24"/>
          <w:lang w:val="es-ES"/>
        </w:rPr>
        <w:t xml:space="preserve">Venezuela </w:t>
      </w:r>
      <w:r w:rsidR="00554565" w:rsidRPr="00D27012">
        <w:rPr>
          <w:rFonts w:ascii="Arial" w:eastAsia="Calibri" w:hAnsi="Arial" w:cs="Arial"/>
          <w:sz w:val="24"/>
          <w:szCs w:val="24"/>
          <w:lang w:val="es-ES"/>
        </w:rPr>
        <w:t xml:space="preserve">cuenta con una Ley Orgánica sobre el derecho de las mujeres a una vida libre de </w:t>
      </w:r>
      <w:proofErr w:type="spellStart"/>
      <w:r w:rsidR="00554565" w:rsidRPr="00D27012">
        <w:rPr>
          <w:rFonts w:ascii="Arial" w:eastAsia="Calibri" w:hAnsi="Arial" w:cs="Arial"/>
          <w:sz w:val="24"/>
          <w:szCs w:val="24"/>
          <w:lang w:val="es-ES"/>
        </w:rPr>
        <w:t>violenciaen</w:t>
      </w:r>
      <w:proofErr w:type="spellEnd"/>
      <w:r w:rsidR="00554565" w:rsidRPr="00D27012">
        <w:rPr>
          <w:rFonts w:ascii="Arial" w:eastAsia="Calibri" w:hAnsi="Arial" w:cs="Arial"/>
          <w:sz w:val="24"/>
          <w:szCs w:val="24"/>
          <w:lang w:val="es-ES"/>
        </w:rPr>
        <w:t xml:space="preserve"> la que se incorporaron nuevos tipos legales, hasta la fecha no tenemos constancia de que exista un protocolo específico de actuación de jueces y fiscales para atender a las víctimas e investigar de forma eficaz, con especial énfasis en víctimas de violencia sexual. Igualmente, el estado mantiene la deuda de elaborar y promulgar el reglamento de esta ley que vendría a regular aspectos asociados a la ejecución de la ley. </w:t>
      </w:r>
    </w:p>
    <w:p w14:paraId="716BCC85" w14:textId="77777777" w:rsidR="00244A9E" w:rsidRPr="00D27012" w:rsidRDefault="00244A9E" w:rsidP="00D27012">
      <w:pPr>
        <w:spacing w:line="240" w:lineRule="auto"/>
        <w:contextualSpacing/>
        <w:rPr>
          <w:rFonts w:ascii="Arial" w:eastAsia="Calibri" w:hAnsi="Arial" w:cs="Arial"/>
          <w:sz w:val="24"/>
          <w:szCs w:val="24"/>
        </w:rPr>
      </w:pPr>
    </w:p>
    <w:p w14:paraId="2CD90E09" w14:textId="77777777" w:rsidR="00244A9E" w:rsidRPr="004B5A14" w:rsidRDefault="00244A9E" w:rsidP="00D27012">
      <w:pPr>
        <w:spacing w:line="240" w:lineRule="auto"/>
        <w:contextualSpacing/>
        <w:rPr>
          <w:rFonts w:ascii="Arial" w:eastAsia="Calibri" w:hAnsi="Arial" w:cs="Arial"/>
          <w:b/>
          <w:sz w:val="24"/>
          <w:szCs w:val="24"/>
        </w:rPr>
      </w:pPr>
    </w:p>
    <w:p w14:paraId="1DFC3D59" w14:textId="505EEAFD" w:rsidR="00244A9E" w:rsidRPr="004B5A14" w:rsidRDefault="00244A9E" w:rsidP="00D27012">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lastRenderedPageBreak/>
        <w:t xml:space="preserve">Grupos de mujeres </w:t>
      </w:r>
      <w:r w:rsidR="00280933">
        <w:rPr>
          <w:rFonts w:ascii="Arial" w:eastAsia="Calibri" w:hAnsi="Arial" w:cs="Arial"/>
          <w:b/>
          <w:sz w:val="24"/>
          <w:szCs w:val="24"/>
        </w:rPr>
        <w:t xml:space="preserve">en situación de mayor </w:t>
      </w:r>
      <w:proofErr w:type="spellStart"/>
      <w:r w:rsidR="00280933">
        <w:rPr>
          <w:rFonts w:ascii="Arial" w:eastAsia="Calibri" w:hAnsi="Arial" w:cs="Arial"/>
          <w:b/>
          <w:sz w:val="24"/>
          <w:szCs w:val="24"/>
        </w:rPr>
        <w:t>vulnerabiidad</w:t>
      </w:r>
      <w:proofErr w:type="spellEnd"/>
      <w:r w:rsidR="00280933">
        <w:rPr>
          <w:rFonts w:ascii="Arial" w:eastAsia="Calibri" w:hAnsi="Arial" w:cs="Arial"/>
          <w:b/>
          <w:sz w:val="24"/>
          <w:szCs w:val="24"/>
        </w:rPr>
        <w:t xml:space="preserve"> </w:t>
      </w:r>
      <w:r w:rsidR="00F222D0">
        <w:rPr>
          <w:rFonts w:ascii="Arial" w:eastAsia="Calibri" w:hAnsi="Arial" w:cs="Arial"/>
          <w:b/>
          <w:sz w:val="24"/>
          <w:szCs w:val="24"/>
        </w:rPr>
        <w:t>en la crisis venezolana</w:t>
      </w:r>
    </w:p>
    <w:p w14:paraId="044763FD" w14:textId="6BE517A9" w:rsidR="00D27012" w:rsidRPr="00D27012" w:rsidRDefault="00D27012" w:rsidP="00D27012">
      <w:pPr>
        <w:spacing w:after="0" w:line="240" w:lineRule="auto"/>
        <w:contextualSpacing/>
        <w:rPr>
          <w:rFonts w:ascii="Arial" w:eastAsia="Calibri" w:hAnsi="Arial" w:cs="Arial"/>
          <w:sz w:val="24"/>
          <w:szCs w:val="24"/>
        </w:rPr>
      </w:pPr>
    </w:p>
    <w:p w14:paraId="70CA3D25" w14:textId="4442B44F" w:rsidR="00244A9E" w:rsidRPr="00D27012" w:rsidRDefault="00244A9E" w:rsidP="00D27012">
      <w:pPr>
        <w:numPr>
          <w:ilvl w:val="1"/>
          <w:numId w:val="3"/>
        </w:numPr>
        <w:spacing w:line="240" w:lineRule="auto"/>
        <w:contextualSpacing/>
        <w:rPr>
          <w:rFonts w:ascii="Arial" w:eastAsia="Calibri" w:hAnsi="Arial" w:cs="Arial"/>
          <w:sz w:val="24"/>
          <w:szCs w:val="24"/>
        </w:rPr>
      </w:pPr>
      <w:r w:rsidRPr="00D27012">
        <w:rPr>
          <w:rFonts w:ascii="Arial" w:eastAsia="Calibri" w:hAnsi="Arial" w:cs="Arial"/>
          <w:sz w:val="24"/>
          <w:szCs w:val="24"/>
        </w:rPr>
        <w:t>Mujeres indígenas</w:t>
      </w:r>
    </w:p>
    <w:p w14:paraId="4E0C1DFB" w14:textId="41E6F383" w:rsidR="00BD05CB" w:rsidRPr="00D27012" w:rsidRDefault="00BD05CB" w:rsidP="00D27012">
      <w:pPr>
        <w:spacing w:line="240" w:lineRule="auto"/>
        <w:contextualSpacing/>
        <w:rPr>
          <w:rFonts w:ascii="Arial" w:eastAsia="Calibri" w:hAnsi="Arial" w:cs="Arial"/>
          <w:sz w:val="24"/>
          <w:szCs w:val="24"/>
        </w:rPr>
      </w:pPr>
    </w:p>
    <w:p w14:paraId="79009369" w14:textId="52C45659" w:rsidR="003B561B" w:rsidRPr="004B5A14" w:rsidRDefault="00280933" w:rsidP="00D27012">
      <w:pPr>
        <w:spacing w:line="240" w:lineRule="auto"/>
        <w:jc w:val="both"/>
        <w:rPr>
          <w:rFonts w:ascii="Arial" w:hAnsi="Arial" w:cs="Arial"/>
          <w:sz w:val="24"/>
          <w:szCs w:val="24"/>
        </w:rPr>
      </w:pPr>
      <w:r>
        <w:rPr>
          <w:rFonts w:ascii="Arial" w:hAnsi="Arial" w:cs="Arial"/>
          <w:sz w:val="24"/>
          <w:szCs w:val="24"/>
        </w:rPr>
        <w:t>Actualmente,</w:t>
      </w:r>
      <w:r w:rsidR="00BD05CB" w:rsidRPr="004B5A14">
        <w:rPr>
          <w:rFonts w:ascii="Arial" w:hAnsi="Arial" w:cs="Arial"/>
          <w:sz w:val="24"/>
          <w:szCs w:val="24"/>
        </w:rPr>
        <w:t xml:space="preserve"> los pueblos indígenas de Venezuela, </w:t>
      </w:r>
      <w:r>
        <w:rPr>
          <w:rFonts w:ascii="Arial" w:hAnsi="Arial" w:cs="Arial"/>
          <w:sz w:val="24"/>
          <w:szCs w:val="24"/>
        </w:rPr>
        <w:t>particularmente</w:t>
      </w:r>
      <w:r w:rsidR="00BD05CB" w:rsidRPr="004B5A14">
        <w:rPr>
          <w:rFonts w:ascii="Arial" w:hAnsi="Arial" w:cs="Arial"/>
          <w:sz w:val="24"/>
          <w:szCs w:val="24"/>
        </w:rPr>
        <w:t xml:space="preserve"> los </w:t>
      </w:r>
      <w:r>
        <w:rPr>
          <w:rFonts w:ascii="Arial" w:hAnsi="Arial" w:cs="Arial"/>
          <w:sz w:val="24"/>
          <w:szCs w:val="24"/>
        </w:rPr>
        <w:t xml:space="preserve">del </w:t>
      </w:r>
      <w:r w:rsidR="00BD05CB" w:rsidRPr="004B5A14">
        <w:rPr>
          <w:rFonts w:ascii="Arial" w:hAnsi="Arial" w:cs="Arial"/>
          <w:sz w:val="24"/>
          <w:szCs w:val="24"/>
        </w:rPr>
        <w:t>sur del país, son víctimas de una sistemática violación de derechos humanos, pues en estas etnias con más fuerza son visibles los efectos de una crisis económica sin precedentes en la historia del país. Según el informe “Ruta del migrante indígena. 2021” realizado por Kapé Kapé, en Bolívar, Amazonas y Delta Amacuro, el 38% de los migrantes indígenas son mujeres, que en su mayoría señalaron como la razón de su movilidad la falta de trabajo y la búsqueda de alimento.</w:t>
      </w:r>
      <w:r w:rsidR="003B561B" w:rsidRPr="004B5A14">
        <w:rPr>
          <w:rStyle w:val="Refdenotaalfinal"/>
          <w:rFonts w:ascii="Arial" w:hAnsi="Arial" w:cs="Arial"/>
          <w:sz w:val="24"/>
          <w:szCs w:val="24"/>
        </w:rPr>
        <w:endnoteReference w:id="2"/>
      </w:r>
      <w:r w:rsidR="003B561B" w:rsidRPr="004B5A14">
        <w:rPr>
          <w:rFonts w:ascii="Arial" w:hAnsi="Arial" w:cs="Arial"/>
          <w:sz w:val="24"/>
          <w:szCs w:val="24"/>
        </w:rPr>
        <w:t xml:space="preserve"> </w:t>
      </w:r>
    </w:p>
    <w:p w14:paraId="78B91394" w14:textId="4ECB00A5" w:rsidR="00A51E93" w:rsidRDefault="00F222D0" w:rsidP="00D27012">
      <w:pPr>
        <w:spacing w:line="240" w:lineRule="auto"/>
        <w:jc w:val="both"/>
        <w:rPr>
          <w:rFonts w:ascii="Arial" w:hAnsi="Arial" w:cs="Arial"/>
          <w:sz w:val="24"/>
          <w:szCs w:val="24"/>
        </w:rPr>
      </w:pPr>
      <w:r>
        <w:rPr>
          <w:rFonts w:ascii="Arial" w:hAnsi="Arial" w:cs="Arial"/>
          <w:sz w:val="24"/>
          <w:szCs w:val="24"/>
        </w:rPr>
        <w:t xml:space="preserve">A </w:t>
      </w:r>
      <w:r w:rsidR="003B561B" w:rsidRPr="004B5A14">
        <w:rPr>
          <w:rFonts w:ascii="Arial" w:hAnsi="Arial" w:cs="Arial"/>
          <w:sz w:val="24"/>
          <w:szCs w:val="24"/>
        </w:rPr>
        <w:t>esta grave situación se han sumado</w:t>
      </w:r>
      <w:r w:rsidR="00280933">
        <w:rPr>
          <w:rFonts w:ascii="Arial" w:hAnsi="Arial" w:cs="Arial"/>
          <w:sz w:val="24"/>
          <w:szCs w:val="24"/>
        </w:rPr>
        <w:t xml:space="preserve">, </w:t>
      </w:r>
      <w:r w:rsidR="003B561B" w:rsidRPr="004B5A14">
        <w:rPr>
          <w:rFonts w:ascii="Arial" w:hAnsi="Arial" w:cs="Arial"/>
          <w:sz w:val="24"/>
          <w:szCs w:val="24"/>
        </w:rPr>
        <w:t>otros factores que han contribuido a la profundización de esta crisis como lo ha sido el auge de la minería ilegal, a propósito de la conformación del Arco Minero del Orinoco (AMO)</w:t>
      </w:r>
      <w:r w:rsidR="00280933">
        <w:rPr>
          <w:rFonts w:ascii="Arial" w:hAnsi="Arial" w:cs="Arial"/>
          <w:sz w:val="24"/>
          <w:szCs w:val="24"/>
        </w:rPr>
        <w:t>.</w:t>
      </w:r>
    </w:p>
    <w:p w14:paraId="5A4EB58E" w14:textId="5835BA97" w:rsidR="008276BC" w:rsidRDefault="003B561B" w:rsidP="008276BC">
      <w:pPr>
        <w:spacing w:line="240" w:lineRule="auto"/>
        <w:jc w:val="both"/>
        <w:rPr>
          <w:rFonts w:ascii="Arial" w:hAnsi="Arial" w:cs="Arial"/>
          <w:sz w:val="24"/>
          <w:szCs w:val="24"/>
        </w:rPr>
      </w:pPr>
      <w:r w:rsidRPr="004B5A14">
        <w:rPr>
          <w:rFonts w:ascii="Arial" w:hAnsi="Arial" w:cs="Arial"/>
          <w:sz w:val="24"/>
          <w:szCs w:val="24"/>
        </w:rPr>
        <w:t xml:space="preserve">El contexto minero ha desencadenado otras formas de violencia como la explotación laboral, la violencia sexual, la prostitución forzada, el tráfico y trata de mujeres, niñas y adolescentes, entre otras. </w:t>
      </w:r>
      <w:r w:rsidR="00280933">
        <w:rPr>
          <w:rFonts w:ascii="Arial" w:hAnsi="Arial" w:cs="Arial"/>
          <w:sz w:val="24"/>
          <w:szCs w:val="24"/>
        </w:rPr>
        <w:t xml:space="preserve">Todo esto dentro de los </w:t>
      </w:r>
      <w:r w:rsidRPr="004B5A14">
        <w:rPr>
          <w:rFonts w:ascii="Arial" w:hAnsi="Arial" w:cs="Arial"/>
          <w:sz w:val="24"/>
          <w:szCs w:val="24"/>
        </w:rPr>
        <w:t xml:space="preserve">territorios ocupados por el Arco Minero del Orinoco, así como las comunidades indígenas de los estados adyacentes. En medio de la crisis social y económica que </w:t>
      </w:r>
      <w:r w:rsidRPr="003D5DF2">
        <w:rPr>
          <w:rFonts w:ascii="Arial" w:hAnsi="Arial" w:cs="Arial"/>
          <w:sz w:val="24"/>
          <w:szCs w:val="24"/>
        </w:rPr>
        <w:t>atraviesa el país, las mujeres indígenas están expuestas a violencia en medio de la gran ola migratoria que vive el país.</w:t>
      </w:r>
      <w:r w:rsidRPr="003D5DF2">
        <w:rPr>
          <w:rStyle w:val="Refdenotaalfinal"/>
          <w:rFonts w:ascii="Arial" w:hAnsi="Arial" w:cs="Arial"/>
          <w:sz w:val="24"/>
          <w:szCs w:val="24"/>
        </w:rPr>
        <w:endnoteReference w:id="3"/>
      </w:r>
      <w:r w:rsidRPr="003D5DF2">
        <w:rPr>
          <w:rFonts w:ascii="Arial" w:hAnsi="Arial" w:cs="Arial"/>
          <w:sz w:val="24"/>
          <w:szCs w:val="24"/>
        </w:rPr>
        <w:t xml:space="preserve"> </w:t>
      </w:r>
    </w:p>
    <w:p w14:paraId="48D2EFDC" w14:textId="1897E965" w:rsidR="00830DE5" w:rsidRDefault="008276BC" w:rsidP="00D27012">
      <w:pPr>
        <w:spacing w:line="240" w:lineRule="auto"/>
        <w:jc w:val="both"/>
        <w:rPr>
          <w:rFonts w:ascii="Arial" w:hAnsi="Arial" w:cs="Arial"/>
          <w:sz w:val="24"/>
          <w:szCs w:val="24"/>
        </w:rPr>
      </w:pPr>
      <w:r w:rsidRPr="00830DE5">
        <w:rPr>
          <w:rFonts w:ascii="Arial" w:hAnsi="Arial" w:cs="Arial"/>
          <w:sz w:val="24"/>
          <w:szCs w:val="24"/>
        </w:rPr>
        <w:t>Así, el fenómeno de la violencia en el contexto indígena, y concretamente la violencia hacia las mujeres indígenas se ha convertido en un fenómeno social de</w:t>
      </w:r>
      <w:r w:rsidRPr="003D5DF2">
        <w:rPr>
          <w:rFonts w:ascii="Arial" w:hAnsi="Arial" w:cs="Arial"/>
          <w:sz w:val="24"/>
          <w:szCs w:val="24"/>
        </w:rPr>
        <w:t xml:space="preserve"> </w:t>
      </w:r>
      <w:r>
        <w:rPr>
          <w:rFonts w:ascii="Arial" w:hAnsi="Arial" w:cs="Arial"/>
          <w:sz w:val="24"/>
          <w:szCs w:val="24"/>
        </w:rPr>
        <w:t>muy alta gravedad</w:t>
      </w:r>
      <w:r w:rsidRPr="003D5DF2">
        <w:rPr>
          <w:rFonts w:ascii="Arial" w:hAnsi="Arial" w:cs="Arial"/>
          <w:sz w:val="24"/>
          <w:szCs w:val="24"/>
        </w:rPr>
        <w:t>.</w:t>
      </w:r>
    </w:p>
    <w:p w14:paraId="6EB91CBE" w14:textId="20442918" w:rsidR="003D5DF2" w:rsidRPr="00830DE5" w:rsidRDefault="003D5DF2" w:rsidP="00830DE5">
      <w:pPr>
        <w:pStyle w:val="SingleTxtG"/>
        <w:ind w:left="0" w:right="49"/>
        <w:rPr>
          <w:rFonts w:ascii="Arial" w:hAnsi="Arial" w:cs="Arial"/>
          <w:i/>
          <w:iCs/>
          <w:sz w:val="24"/>
          <w:szCs w:val="24"/>
          <w:lang w:val="es-AR"/>
        </w:rPr>
      </w:pPr>
      <w:r w:rsidRPr="00830DE5">
        <w:rPr>
          <w:rStyle w:val="markedcontent"/>
          <w:rFonts w:ascii="Arial" w:hAnsi="Arial" w:cs="Arial"/>
          <w:sz w:val="24"/>
          <w:szCs w:val="24"/>
          <w:lang w:val="es-VE"/>
        </w:rPr>
        <w:t xml:space="preserve">Al respecto la </w:t>
      </w:r>
      <w:r w:rsidR="00830DE5" w:rsidRPr="00830DE5">
        <w:rPr>
          <w:rStyle w:val="markedcontent"/>
          <w:rFonts w:ascii="Arial" w:hAnsi="Arial" w:cs="Arial"/>
          <w:sz w:val="24"/>
          <w:szCs w:val="24"/>
          <w:lang w:val="es-VE"/>
        </w:rPr>
        <w:t>Misión</w:t>
      </w:r>
      <w:r w:rsidR="005314FB" w:rsidRPr="005314FB">
        <w:rPr>
          <w:rStyle w:val="markedcontent"/>
          <w:rFonts w:ascii="Arial" w:hAnsi="Arial" w:cs="Arial"/>
          <w:sz w:val="24"/>
          <w:szCs w:val="24"/>
          <w:lang w:val="es-VE"/>
        </w:rPr>
        <w:t xml:space="preserve"> internacional independiente de determinación de los hechos sobre la República Bolivariana de Venezuela</w:t>
      </w:r>
      <w:r w:rsidR="00830DE5" w:rsidRPr="00830DE5">
        <w:rPr>
          <w:rStyle w:val="markedcontent"/>
          <w:rFonts w:ascii="Arial" w:hAnsi="Arial" w:cs="Arial"/>
          <w:sz w:val="24"/>
          <w:szCs w:val="24"/>
          <w:lang w:val="es-VE"/>
        </w:rPr>
        <w:t xml:space="preserve"> </w:t>
      </w:r>
      <w:r w:rsidR="005314FB">
        <w:rPr>
          <w:rStyle w:val="markedcontent"/>
          <w:rFonts w:ascii="Arial" w:hAnsi="Arial" w:cs="Arial"/>
          <w:sz w:val="24"/>
          <w:szCs w:val="24"/>
          <w:lang w:val="es-VE"/>
        </w:rPr>
        <w:t xml:space="preserve">(la Misión) </w:t>
      </w:r>
      <w:r w:rsidRPr="00830DE5">
        <w:rPr>
          <w:rStyle w:val="markedcontent"/>
          <w:rFonts w:ascii="Arial" w:hAnsi="Arial" w:cs="Arial"/>
          <w:sz w:val="24"/>
          <w:szCs w:val="24"/>
          <w:lang w:val="es-VE"/>
        </w:rPr>
        <w:t>estableció que “</w:t>
      </w:r>
      <w:r w:rsidR="00830DE5" w:rsidRPr="00830DE5">
        <w:rPr>
          <w:rStyle w:val="markedcontent"/>
          <w:rFonts w:ascii="Arial" w:hAnsi="Arial" w:cs="Arial"/>
          <w:sz w:val="24"/>
          <w:szCs w:val="24"/>
          <w:lang w:val="es-VE"/>
        </w:rPr>
        <w:t>e</w:t>
      </w:r>
      <w:r w:rsidR="00830DE5" w:rsidRPr="00830DE5">
        <w:rPr>
          <w:rFonts w:ascii="Arial" w:hAnsi="Arial" w:cs="Arial"/>
          <w:i/>
          <w:iCs/>
          <w:sz w:val="24"/>
          <w:szCs w:val="24"/>
          <w:lang w:val="es-AR"/>
        </w:rPr>
        <w:t xml:space="preserve">l establecimiento de la región del Arco Minero </w:t>
      </w:r>
      <w:r w:rsidR="008276BC" w:rsidRPr="008276BC">
        <w:rPr>
          <w:rFonts w:ascii="Arial" w:hAnsi="Arial" w:cs="Arial"/>
          <w:i/>
          <w:iCs/>
          <w:sz w:val="24"/>
          <w:szCs w:val="24"/>
          <w:lang w:val="es-MX"/>
        </w:rPr>
        <w:t xml:space="preserve"> </w:t>
      </w:r>
      <w:r w:rsidR="008276BC">
        <w:rPr>
          <w:rFonts w:ascii="Arial" w:hAnsi="Arial" w:cs="Arial"/>
          <w:i/>
          <w:iCs/>
          <w:sz w:val="24"/>
          <w:szCs w:val="24"/>
          <w:lang w:val="es-MX"/>
        </w:rPr>
        <w:t xml:space="preserve">[…] </w:t>
      </w:r>
      <w:r w:rsidR="00830DE5" w:rsidRPr="00830DE5">
        <w:rPr>
          <w:rFonts w:ascii="Arial" w:hAnsi="Arial" w:cs="Arial"/>
          <w:i/>
          <w:iCs/>
          <w:sz w:val="24"/>
          <w:szCs w:val="24"/>
          <w:lang w:val="es-AR"/>
        </w:rPr>
        <w:t xml:space="preserve">ha creado un contexto en el que se han cometido violaciones de derechos humanos y delitos. </w:t>
      </w:r>
      <w:r w:rsidR="008276BC">
        <w:rPr>
          <w:rFonts w:ascii="Arial" w:hAnsi="Arial" w:cs="Arial"/>
          <w:i/>
          <w:iCs/>
          <w:sz w:val="24"/>
          <w:szCs w:val="24"/>
          <w:lang w:val="es-AR"/>
        </w:rPr>
        <w:t xml:space="preserve">[…] </w:t>
      </w:r>
      <w:r w:rsidR="00830DE5" w:rsidRPr="00830DE5">
        <w:rPr>
          <w:rFonts w:ascii="Arial" w:hAnsi="Arial" w:cs="Arial"/>
          <w:i/>
          <w:iCs/>
          <w:sz w:val="24"/>
          <w:szCs w:val="24"/>
          <w:lang w:val="es-AR"/>
        </w:rPr>
        <w:t>La Misión también ha investigado la violencia sexual y de género por parte de actores tanto estatales como no estatales, y se muestra preocupada por la falta general de protección del Estado hacia las personas vulnerables, en particular los niños.</w:t>
      </w:r>
      <w:r w:rsidRPr="00830DE5">
        <w:rPr>
          <w:rStyle w:val="markedcontent"/>
          <w:rFonts w:ascii="Arial" w:hAnsi="Arial" w:cs="Arial"/>
          <w:i/>
          <w:iCs/>
          <w:sz w:val="24"/>
          <w:szCs w:val="24"/>
          <w:lang w:val="es-VE"/>
        </w:rPr>
        <w:t>”</w:t>
      </w:r>
      <w:r w:rsidRPr="00830DE5">
        <w:rPr>
          <w:rStyle w:val="Refdenotaalfinal"/>
          <w:rFonts w:ascii="Arial" w:hAnsi="Arial" w:cs="Arial"/>
          <w:i/>
          <w:iCs/>
          <w:sz w:val="24"/>
          <w:szCs w:val="24"/>
        </w:rPr>
        <w:endnoteReference w:id="4"/>
      </w:r>
    </w:p>
    <w:p w14:paraId="6AE0E1AA" w14:textId="2005A1E6" w:rsidR="003B561B" w:rsidRPr="004B5A14" w:rsidRDefault="008276BC" w:rsidP="00D27012">
      <w:pPr>
        <w:spacing w:line="240" w:lineRule="auto"/>
        <w:jc w:val="both"/>
        <w:rPr>
          <w:rFonts w:ascii="Arial" w:hAnsi="Arial" w:cs="Arial"/>
          <w:sz w:val="24"/>
          <w:szCs w:val="24"/>
        </w:rPr>
      </w:pPr>
      <w:r>
        <w:rPr>
          <w:rFonts w:ascii="Arial" w:hAnsi="Arial" w:cs="Arial"/>
          <w:sz w:val="24"/>
          <w:szCs w:val="24"/>
          <w:lang w:val="es-AR"/>
        </w:rPr>
        <w:t xml:space="preserve">En este sentido, </w:t>
      </w:r>
      <w:r w:rsidR="003B561B" w:rsidRPr="003D5DF2">
        <w:rPr>
          <w:rFonts w:ascii="Arial" w:hAnsi="Arial" w:cs="Arial"/>
          <w:sz w:val="24"/>
          <w:szCs w:val="24"/>
        </w:rPr>
        <w:t xml:space="preserve">una investigación realizada en 36 mujeres indígenas de las comunidades </w:t>
      </w:r>
      <w:proofErr w:type="spellStart"/>
      <w:r w:rsidR="003B561B" w:rsidRPr="003D5DF2">
        <w:rPr>
          <w:rFonts w:ascii="Arial" w:hAnsi="Arial" w:cs="Arial"/>
          <w:sz w:val="24"/>
          <w:szCs w:val="24"/>
        </w:rPr>
        <w:t>Bare</w:t>
      </w:r>
      <w:proofErr w:type="spellEnd"/>
      <w:r w:rsidR="003B561B" w:rsidRPr="003D5DF2">
        <w:rPr>
          <w:rFonts w:ascii="Arial" w:hAnsi="Arial" w:cs="Arial"/>
          <w:sz w:val="24"/>
          <w:szCs w:val="24"/>
        </w:rPr>
        <w:t xml:space="preserve">, </w:t>
      </w:r>
      <w:proofErr w:type="spellStart"/>
      <w:r w:rsidR="003B561B" w:rsidRPr="003D5DF2">
        <w:rPr>
          <w:rFonts w:ascii="Arial" w:hAnsi="Arial" w:cs="Arial"/>
          <w:sz w:val="24"/>
          <w:szCs w:val="24"/>
        </w:rPr>
        <w:t>Jivi</w:t>
      </w:r>
      <w:proofErr w:type="spellEnd"/>
      <w:r w:rsidR="003B561B" w:rsidRPr="003D5DF2">
        <w:rPr>
          <w:rFonts w:ascii="Arial" w:hAnsi="Arial" w:cs="Arial"/>
          <w:sz w:val="24"/>
          <w:szCs w:val="24"/>
        </w:rPr>
        <w:t xml:space="preserve">, </w:t>
      </w:r>
      <w:proofErr w:type="spellStart"/>
      <w:r w:rsidR="003B561B" w:rsidRPr="003D5DF2">
        <w:rPr>
          <w:rFonts w:ascii="Arial" w:hAnsi="Arial" w:cs="Arial"/>
          <w:sz w:val="24"/>
          <w:szCs w:val="24"/>
        </w:rPr>
        <w:t>Uwotuja</w:t>
      </w:r>
      <w:proofErr w:type="spellEnd"/>
      <w:r w:rsidR="003B561B" w:rsidRPr="003D5DF2">
        <w:rPr>
          <w:rFonts w:ascii="Arial" w:hAnsi="Arial" w:cs="Arial"/>
          <w:sz w:val="24"/>
          <w:szCs w:val="24"/>
        </w:rPr>
        <w:t xml:space="preserve">, Pemón, </w:t>
      </w:r>
      <w:proofErr w:type="spellStart"/>
      <w:r w:rsidR="003B561B" w:rsidRPr="003D5DF2">
        <w:rPr>
          <w:rFonts w:ascii="Arial" w:hAnsi="Arial" w:cs="Arial"/>
          <w:sz w:val="24"/>
          <w:szCs w:val="24"/>
        </w:rPr>
        <w:t>Yekuana</w:t>
      </w:r>
      <w:proofErr w:type="spellEnd"/>
      <w:r w:rsidR="003B561B" w:rsidRPr="003D5DF2">
        <w:rPr>
          <w:rFonts w:ascii="Arial" w:hAnsi="Arial" w:cs="Arial"/>
          <w:sz w:val="24"/>
          <w:szCs w:val="24"/>
        </w:rPr>
        <w:t xml:space="preserve"> y Warao de los estados</w:t>
      </w:r>
      <w:r w:rsidR="003B561B" w:rsidRPr="004B5A14">
        <w:rPr>
          <w:rFonts w:ascii="Arial" w:hAnsi="Arial" w:cs="Arial"/>
          <w:sz w:val="24"/>
          <w:szCs w:val="24"/>
        </w:rPr>
        <w:t xml:space="preserve"> Amazonas, Bolívar y Delta Amacuro se pudo constatar que el (97%) de las entrevistadas indicó haber sido víctima de hechos de violencia, siendo la violencia psicológica (42%) y física (35%) las de mayor magnitud en las comunidades indígenas de estos estados. No obstante, en el contexto indígena también las mujeres son víctimas de otros tipos de violencia como la violencia institucional, obstétrica y sexual.</w:t>
      </w:r>
      <w:r w:rsidR="003B561B" w:rsidRPr="004B5A14">
        <w:rPr>
          <w:rStyle w:val="Refdenotaalfinal"/>
          <w:rFonts w:ascii="Arial" w:hAnsi="Arial" w:cs="Arial"/>
          <w:sz w:val="24"/>
          <w:szCs w:val="24"/>
        </w:rPr>
        <w:endnoteReference w:id="5"/>
      </w:r>
      <w:r>
        <w:rPr>
          <w:rFonts w:ascii="Arial" w:hAnsi="Arial" w:cs="Arial"/>
          <w:sz w:val="24"/>
          <w:szCs w:val="24"/>
        </w:rPr>
        <w:t xml:space="preserve"> </w:t>
      </w:r>
      <w:r w:rsidR="003B561B" w:rsidRPr="004B5A14">
        <w:rPr>
          <w:rFonts w:ascii="Arial" w:hAnsi="Arial" w:cs="Arial"/>
          <w:sz w:val="24"/>
          <w:szCs w:val="24"/>
        </w:rPr>
        <w:t>Así mismo, es importante señalar, que un 70% de las mujeres participantes en el estudio indicaron ser objeto de más de un tipo de violencia. Un 42% de 2 tipos de violencia y un 28% de 3 tipos de violencia.</w:t>
      </w:r>
      <w:r w:rsidR="003B561B" w:rsidRPr="004B5A14">
        <w:rPr>
          <w:rStyle w:val="Refdenotaalfinal"/>
          <w:rFonts w:ascii="Arial" w:hAnsi="Arial" w:cs="Arial"/>
          <w:sz w:val="24"/>
          <w:szCs w:val="24"/>
        </w:rPr>
        <w:endnoteReference w:id="6"/>
      </w:r>
    </w:p>
    <w:p w14:paraId="79F55965" w14:textId="77777777" w:rsidR="003B561B" w:rsidRPr="004B5A14" w:rsidRDefault="003B561B" w:rsidP="00D27012">
      <w:pPr>
        <w:spacing w:line="240" w:lineRule="auto"/>
        <w:jc w:val="both"/>
        <w:rPr>
          <w:rFonts w:ascii="Arial" w:hAnsi="Arial" w:cs="Arial"/>
          <w:sz w:val="24"/>
          <w:szCs w:val="24"/>
        </w:rPr>
      </w:pPr>
      <w:r w:rsidRPr="004B5A14">
        <w:rPr>
          <w:rFonts w:ascii="Arial" w:hAnsi="Arial" w:cs="Arial"/>
          <w:sz w:val="24"/>
          <w:szCs w:val="24"/>
        </w:rPr>
        <w:lastRenderedPageBreak/>
        <w:t xml:space="preserve">En relación a las consecuencias originadas a partir del hecho de violencia, casi la mitad de las víctimas (49%) indicó tener depresión y estrés postraumático, seguido de un 28% que señaló tener lesiones físicas. </w:t>
      </w:r>
    </w:p>
    <w:p w14:paraId="54737186" w14:textId="77777777" w:rsidR="003B561B" w:rsidRPr="004B5A14" w:rsidRDefault="003B561B" w:rsidP="00D27012">
      <w:pPr>
        <w:spacing w:line="240" w:lineRule="auto"/>
        <w:jc w:val="both"/>
        <w:rPr>
          <w:rFonts w:ascii="Arial" w:hAnsi="Arial" w:cs="Arial"/>
          <w:sz w:val="24"/>
          <w:szCs w:val="24"/>
        </w:rPr>
      </w:pPr>
      <w:r w:rsidRPr="004B5A14">
        <w:rPr>
          <w:rFonts w:ascii="Arial" w:hAnsi="Arial" w:cs="Arial"/>
          <w:sz w:val="24"/>
          <w:szCs w:val="24"/>
        </w:rPr>
        <w:t>En el caso de la violencia sexual, es importante acotar, como se indicó con antelación, que la cultura de violencia que ha emergido a partir de la instauración del (AMO) ha traído entre sus consecuencias la presencia de este tipo de violencia, adicionalmente a otras como la explotación laboral, sexual, el tráfico y trata de mujeres, niñas y adolescentes. También, han sido frecuentes las denuncias sobre amenazas, desapariciones y feminicidios.</w:t>
      </w:r>
    </w:p>
    <w:p w14:paraId="6BD70901" w14:textId="59D366D1" w:rsidR="003B561B" w:rsidRPr="004B5A14" w:rsidRDefault="008276BC" w:rsidP="00D27012">
      <w:pPr>
        <w:spacing w:line="240" w:lineRule="auto"/>
        <w:jc w:val="both"/>
        <w:rPr>
          <w:rFonts w:ascii="Arial" w:hAnsi="Arial" w:cs="Arial"/>
          <w:sz w:val="24"/>
          <w:szCs w:val="24"/>
        </w:rPr>
      </w:pPr>
      <w:r>
        <w:rPr>
          <w:rFonts w:ascii="Arial" w:hAnsi="Arial" w:cs="Arial"/>
          <w:sz w:val="24"/>
          <w:szCs w:val="24"/>
        </w:rPr>
        <w:t xml:space="preserve">Además se ha observado que </w:t>
      </w:r>
      <w:r w:rsidR="003B561B" w:rsidRPr="004B5A14">
        <w:rPr>
          <w:rFonts w:ascii="Arial" w:hAnsi="Arial" w:cs="Arial"/>
          <w:sz w:val="24"/>
          <w:szCs w:val="24"/>
        </w:rPr>
        <w:t>el nivel educativo de las m</w:t>
      </w:r>
      <w:r>
        <w:rPr>
          <w:rFonts w:ascii="Arial" w:hAnsi="Arial" w:cs="Arial"/>
          <w:sz w:val="24"/>
          <w:szCs w:val="24"/>
        </w:rPr>
        <w:t xml:space="preserve">ujeres </w:t>
      </w:r>
      <w:proofErr w:type="spellStart"/>
      <w:r>
        <w:rPr>
          <w:rFonts w:ascii="Arial" w:hAnsi="Arial" w:cs="Arial"/>
          <w:sz w:val="24"/>
          <w:szCs w:val="24"/>
        </w:rPr>
        <w:t>indigenas</w:t>
      </w:r>
      <w:proofErr w:type="spellEnd"/>
      <w:r>
        <w:rPr>
          <w:rFonts w:ascii="Arial" w:hAnsi="Arial" w:cs="Arial"/>
          <w:sz w:val="24"/>
          <w:szCs w:val="24"/>
        </w:rPr>
        <w:t xml:space="preserve">, su situación de empleo informal, el idioma </w:t>
      </w:r>
      <w:r w:rsidR="003B561B" w:rsidRPr="004B5A14">
        <w:rPr>
          <w:rFonts w:ascii="Arial" w:hAnsi="Arial" w:cs="Arial"/>
          <w:sz w:val="24"/>
          <w:szCs w:val="24"/>
        </w:rPr>
        <w:t>y la ausencia</w:t>
      </w:r>
      <w:r>
        <w:rPr>
          <w:rFonts w:ascii="Arial" w:hAnsi="Arial" w:cs="Arial"/>
          <w:sz w:val="24"/>
          <w:szCs w:val="24"/>
        </w:rPr>
        <w:t>,</w:t>
      </w:r>
      <w:r w:rsidR="003B561B" w:rsidRPr="004B5A14">
        <w:rPr>
          <w:rFonts w:ascii="Arial" w:hAnsi="Arial" w:cs="Arial"/>
          <w:sz w:val="24"/>
          <w:szCs w:val="24"/>
        </w:rPr>
        <w:t xml:space="preserve"> en muchos casos</w:t>
      </w:r>
      <w:r>
        <w:rPr>
          <w:rFonts w:ascii="Arial" w:hAnsi="Arial" w:cs="Arial"/>
          <w:sz w:val="24"/>
          <w:szCs w:val="24"/>
        </w:rPr>
        <w:t>,</w:t>
      </w:r>
      <w:r w:rsidR="003B561B" w:rsidRPr="004B5A14">
        <w:rPr>
          <w:rFonts w:ascii="Arial" w:hAnsi="Arial" w:cs="Arial"/>
          <w:sz w:val="24"/>
          <w:szCs w:val="24"/>
        </w:rPr>
        <w:t xml:space="preserve"> de documentos de identidad son factores que </w:t>
      </w:r>
      <w:r>
        <w:rPr>
          <w:rFonts w:ascii="Arial" w:hAnsi="Arial" w:cs="Arial"/>
          <w:sz w:val="24"/>
          <w:szCs w:val="24"/>
        </w:rPr>
        <w:t xml:space="preserve"> las colocan en mayor </w:t>
      </w:r>
      <w:r w:rsidR="003B561B" w:rsidRPr="004B5A14">
        <w:rPr>
          <w:rFonts w:ascii="Arial" w:hAnsi="Arial" w:cs="Arial"/>
          <w:sz w:val="24"/>
          <w:szCs w:val="24"/>
        </w:rPr>
        <w:t>vulnerabilidad ante situaciones violencia.</w:t>
      </w:r>
      <w:r w:rsidR="003B561B" w:rsidRPr="004B5A14">
        <w:rPr>
          <w:rStyle w:val="Refdenotaalfinal"/>
          <w:rFonts w:ascii="Arial" w:hAnsi="Arial" w:cs="Arial"/>
          <w:sz w:val="24"/>
          <w:szCs w:val="24"/>
        </w:rPr>
        <w:endnoteReference w:id="7"/>
      </w:r>
      <w:r w:rsidR="003B561B" w:rsidRPr="004B5A14">
        <w:rPr>
          <w:rFonts w:ascii="Arial" w:hAnsi="Arial" w:cs="Arial"/>
          <w:sz w:val="24"/>
          <w:szCs w:val="24"/>
        </w:rPr>
        <w:t xml:space="preserve"> </w:t>
      </w:r>
    </w:p>
    <w:p w14:paraId="338157B6" w14:textId="416E2459" w:rsidR="003B561B" w:rsidRPr="004B5A14" w:rsidRDefault="008276BC" w:rsidP="00D27012">
      <w:pPr>
        <w:spacing w:line="240" w:lineRule="auto"/>
        <w:jc w:val="both"/>
        <w:rPr>
          <w:rFonts w:ascii="Arial" w:hAnsi="Arial" w:cs="Arial"/>
          <w:sz w:val="24"/>
          <w:szCs w:val="24"/>
        </w:rPr>
      </w:pPr>
      <w:r>
        <w:rPr>
          <w:rFonts w:ascii="Arial" w:hAnsi="Arial" w:cs="Arial"/>
          <w:sz w:val="24"/>
          <w:szCs w:val="24"/>
        </w:rPr>
        <w:t xml:space="preserve">Adicional a lo anterior, </w:t>
      </w:r>
      <w:r w:rsidR="003B561B" w:rsidRPr="004B5A14">
        <w:rPr>
          <w:rFonts w:ascii="Arial" w:hAnsi="Arial" w:cs="Arial"/>
          <w:sz w:val="24"/>
          <w:szCs w:val="24"/>
        </w:rPr>
        <w:t xml:space="preserve">en las comunidades indígenas no se cuentan </w:t>
      </w:r>
      <w:r>
        <w:rPr>
          <w:rFonts w:ascii="Arial" w:hAnsi="Arial" w:cs="Arial"/>
          <w:sz w:val="24"/>
          <w:szCs w:val="24"/>
        </w:rPr>
        <w:t xml:space="preserve">con </w:t>
      </w:r>
      <w:r w:rsidR="003B561B" w:rsidRPr="004B5A14">
        <w:rPr>
          <w:rFonts w:ascii="Arial" w:hAnsi="Arial" w:cs="Arial"/>
          <w:sz w:val="24"/>
          <w:szCs w:val="24"/>
        </w:rPr>
        <w:t>condiciones materiales ni técnicas para ser órganos de recepción de denuncias mediante lo establecido en el artículo 71 de la Ley Orgánica sobre el Derecho de las Mujeres a una Vida libre de Violencia.</w:t>
      </w:r>
    </w:p>
    <w:p w14:paraId="040EADC6" w14:textId="08ACBD28" w:rsidR="003B561B" w:rsidRPr="004B5A14" w:rsidRDefault="008276BC" w:rsidP="00D27012">
      <w:pPr>
        <w:spacing w:line="240" w:lineRule="auto"/>
        <w:jc w:val="both"/>
        <w:rPr>
          <w:rFonts w:ascii="Arial" w:hAnsi="Arial" w:cs="Arial"/>
          <w:sz w:val="24"/>
          <w:szCs w:val="24"/>
        </w:rPr>
      </w:pPr>
      <w:r w:rsidRPr="008276BC">
        <w:rPr>
          <w:rFonts w:ascii="Arial" w:hAnsi="Arial" w:cs="Arial"/>
          <w:sz w:val="24"/>
          <w:szCs w:val="24"/>
        </w:rPr>
        <w:t>Lo anterior evidencia</w:t>
      </w:r>
      <w:r>
        <w:rPr>
          <w:rFonts w:ascii="Arial" w:hAnsi="Arial" w:cs="Arial"/>
          <w:sz w:val="24"/>
          <w:szCs w:val="24"/>
        </w:rPr>
        <w:t>,</w:t>
      </w:r>
      <w:r w:rsidRPr="008276BC">
        <w:rPr>
          <w:rFonts w:ascii="Arial" w:hAnsi="Arial" w:cs="Arial"/>
          <w:sz w:val="24"/>
          <w:szCs w:val="24"/>
        </w:rPr>
        <w:t xml:space="preserve"> por parte del Estado</w:t>
      </w:r>
      <w:r>
        <w:rPr>
          <w:rFonts w:ascii="Arial" w:hAnsi="Arial" w:cs="Arial"/>
          <w:sz w:val="24"/>
          <w:szCs w:val="24"/>
        </w:rPr>
        <w:t xml:space="preserve">, </w:t>
      </w:r>
      <w:r w:rsidRPr="008276BC">
        <w:rPr>
          <w:rFonts w:ascii="Arial" w:hAnsi="Arial" w:cs="Arial"/>
          <w:sz w:val="24"/>
          <w:szCs w:val="24"/>
        </w:rPr>
        <w:t>una falta de</w:t>
      </w:r>
      <w:r w:rsidR="003B561B" w:rsidRPr="008276BC">
        <w:rPr>
          <w:rFonts w:ascii="Arial" w:hAnsi="Arial" w:cs="Arial"/>
          <w:sz w:val="24"/>
          <w:szCs w:val="24"/>
        </w:rPr>
        <w:t xml:space="preserve"> perspectiva interseccional</w:t>
      </w:r>
      <w:r>
        <w:rPr>
          <w:rFonts w:ascii="Arial" w:hAnsi="Arial" w:cs="Arial"/>
          <w:sz w:val="24"/>
          <w:szCs w:val="24"/>
        </w:rPr>
        <w:t xml:space="preserve"> para proteger a las mujeres indígenas </w:t>
      </w:r>
      <w:r w:rsidRPr="008276BC">
        <w:rPr>
          <w:rFonts w:ascii="Arial" w:hAnsi="Arial" w:cs="Arial"/>
          <w:sz w:val="24"/>
          <w:szCs w:val="24"/>
        </w:rPr>
        <w:t>y serias falencias en garantizar el</w:t>
      </w:r>
      <w:r w:rsidR="003B561B" w:rsidRPr="008276BC">
        <w:rPr>
          <w:rFonts w:ascii="Arial" w:hAnsi="Arial" w:cs="Arial"/>
          <w:sz w:val="24"/>
          <w:szCs w:val="24"/>
        </w:rPr>
        <w:t xml:space="preserve"> acceso a la justicia ante la violencia</w:t>
      </w:r>
      <w:r w:rsidRPr="008276BC">
        <w:rPr>
          <w:rFonts w:ascii="Arial" w:hAnsi="Arial" w:cs="Arial"/>
          <w:sz w:val="24"/>
          <w:szCs w:val="24"/>
        </w:rPr>
        <w:t>,</w:t>
      </w:r>
      <w:r>
        <w:rPr>
          <w:rFonts w:ascii="Arial" w:hAnsi="Arial" w:cs="Arial"/>
          <w:sz w:val="24"/>
          <w:szCs w:val="24"/>
        </w:rPr>
        <w:t xml:space="preserve"> lo que permite que estos casos se mantengan en la impunidad.</w:t>
      </w:r>
    </w:p>
    <w:p w14:paraId="117F5951" w14:textId="77777777" w:rsidR="003B561B" w:rsidRPr="005A2B85" w:rsidRDefault="003B561B" w:rsidP="00D27012">
      <w:pPr>
        <w:numPr>
          <w:ilvl w:val="1"/>
          <w:numId w:val="3"/>
        </w:numPr>
        <w:spacing w:line="240" w:lineRule="auto"/>
        <w:contextualSpacing/>
        <w:rPr>
          <w:rFonts w:ascii="Arial" w:eastAsia="Calibri" w:hAnsi="Arial" w:cs="Arial"/>
          <w:sz w:val="24"/>
          <w:szCs w:val="24"/>
        </w:rPr>
      </w:pPr>
      <w:r w:rsidRPr="005A2B85">
        <w:rPr>
          <w:rFonts w:ascii="Arial" w:eastAsia="Calibri" w:hAnsi="Arial" w:cs="Arial"/>
          <w:sz w:val="24"/>
          <w:szCs w:val="24"/>
        </w:rPr>
        <w:t>Mujeres defensoras de derechos humanos</w:t>
      </w:r>
    </w:p>
    <w:p w14:paraId="0D432909" w14:textId="77777777" w:rsidR="00F77786" w:rsidRPr="005A2B85" w:rsidRDefault="00F77786" w:rsidP="00F77786">
      <w:pPr>
        <w:spacing w:line="240" w:lineRule="auto"/>
        <w:ind w:left="720"/>
        <w:contextualSpacing/>
        <w:rPr>
          <w:rFonts w:ascii="Arial" w:eastAsia="Calibri" w:hAnsi="Arial" w:cs="Arial"/>
          <w:sz w:val="24"/>
          <w:szCs w:val="24"/>
        </w:rPr>
      </w:pPr>
    </w:p>
    <w:p w14:paraId="3D3BF56B" w14:textId="330F63D0" w:rsidR="00F77786" w:rsidRPr="00C758BC" w:rsidRDefault="00F77786" w:rsidP="00C758BC">
      <w:pPr>
        <w:spacing w:line="240" w:lineRule="auto"/>
        <w:jc w:val="both"/>
        <w:rPr>
          <w:rFonts w:ascii="Arial" w:eastAsia="Calibri" w:hAnsi="Arial" w:cs="Arial"/>
          <w:sz w:val="24"/>
          <w:szCs w:val="24"/>
          <w:highlight w:val="red"/>
        </w:rPr>
      </w:pPr>
      <w:r w:rsidRPr="005A2B85">
        <w:rPr>
          <w:rStyle w:val="s1"/>
          <w:rFonts w:ascii="Arial" w:hAnsi="Arial" w:cs="Arial"/>
          <w:sz w:val="24"/>
          <w:szCs w:val="24"/>
        </w:rPr>
        <w:t>Con base en investigaciones, monitoreo permanente y el acompañamiento a víctimas</w:t>
      </w:r>
      <w:r w:rsidR="008276BC">
        <w:rPr>
          <w:rStyle w:val="s1"/>
          <w:rFonts w:ascii="Arial" w:hAnsi="Arial" w:cs="Arial"/>
          <w:sz w:val="24"/>
          <w:szCs w:val="24"/>
        </w:rPr>
        <w:t>, COFAVIC ha</w:t>
      </w:r>
      <w:r w:rsidRPr="005A2B85">
        <w:rPr>
          <w:rStyle w:val="s1"/>
          <w:rFonts w:ascii="Arial" w:hAnsi="Arial" w:cs="Arial"/>
          <w:sz w:val="24"/>
          <w:szCs w:val="24"/>
        </w:rPr>
        <w:t xml:space="preserve"> denunciado una política</w:t>
      </w:r>
      <w:r w:rsidRPr="00C758BC">
        <w:rPr>
          <w:rStyle w:val="s1"/>
          <w:rFonts w:ascii="Arial" w:hAnsi="Arial" w:cs="Arial"/>
          <w:sz w:val="24"/>
          <w:szCs w:val="24"/>
        </w:rPr>
        <w:t xml:space="preserve"> estatal que busca el cierre del espacio cívico democrático, mediante la constante criminalización, persecución y amenaza a personas defensoras en Venezuela. </w:t>
      </w:r>
      <w:r w:rsidRPr="00830DE5">
        <w:rPr>
          <w:rStyle w:val="s1"/>
          <w:rFonts w:ascii="Arial" w:hAnsi="Arial" w:cs="Arial"/>
          <w:sz w:val="24"/>
          <w:szCs w:val="24"/>
        </w:rPr>
        <w:t xml:space="preserve">Entre 2018 y </w:t>
      </w:r>
      <w:r w:rsidR="00830DE5" w:rsidRPr="00830DE5">
        <w:rPr>
          <w:rStyle w:val="s1"/>
          <w:rFonts w:ascii="Arial" w:hAnsi="Arial" w:cs="Arial"/>
          <w:sz w:val="24"/>
          <w:szCs w:val="24"/>
        </w:rPr>
        <w:t>enero de 2023</w:t>
      </w:r>
      <w:r w:rsidRPr="00830DE5">
        <w:rPr>
          <w:rStyle w:val="s1"/>
          <w:rFonts w:ascii="Arial" w:hAnsi="Arial" w:cs="Arial"/>
          <w:sz w:val="24"/>
          <w:szCs w:val="24"/>
        </w:rPr>
        <w:t xml:space="preserve"> se cometieron </w:t>
      </w:r>
      <w:r w:rsidR="00830DE5" w:rsidRPr="00830DE5">
        <w:rPr>
          <w:rStyle w:val="s1"/>
          <w:rFonts w:ascii="Arial" w:hAnsi="Arial" w:cs="Arial"/>
          <w:sz w:val="24"/>
          <w:szCs w:val="24"/>
        </w:rPr>
        <w:t>1776</w:t>
      </w:r>
      <w:r w:rsidRPr="00830DE5">
        <w:rPr>
          <w:rStyle w:val="s1"/>
          <w:rFonts w:ascii="Arial" w:hAnsi="Arial" w:cs="Arial"/>
          <w:sz w:val="24"/>
          <w:szCs w:val="24"/>
        </w:rPr>
        <w:t xml:space="preserve"> ataques de diferente naturaleza contra quienes defienden derechos, de acuerdo con </w:t>
      </w:r>
      <w:r w:rsidR="008276BC">
        <w:rPr>
          <w:rStyle w:val="s1"/>
          <w:rFonts w:ascii="Arial" w:hAnsi="Arial" w:cs="Arial"/>
          <w:sz w:val="24"/>
          <w:szCs w:val="24"/>
        </w:rPr>
        <w:t>el</w:t>
      </w:r>
      <w:r w:rsidRPr="00830DE5">
        <w:rPr>
          <w:rStyle w:val="s1"/>
          <w:rFonts w:ascii="Arial" w:hAnsi="Arial" w:cs="Arial"/>
          <w:sz w:val="24"/>
          <w:szCs w:val="24"/>
        </w:rPr>
        <w:t xml:space="preserve"> registro</w:t>
      </w:r>
      <w:r w:rsidR="008276BC">
        <w:rPr>
          <w:rStyle w:val="s1"/>
          <w:rFonts w:ascii="Arial" w:hAnsi="Arial" w:cs="Arial"/>
          <w:sz w:val="24"/>
          <w:szCs w:val="24"/>
        </w:rPr>
        <w:t xml:space="preserve"> de COFAVIC</w:t>
      </w:r>
      <w:r w:rsidR="00280933">
        <w:rPr>
          <w:rStyle w:val="s1"/>
          <w:rFonts w:ascii="Arial" w:hAnsi="Arial" w:cs="Arial"/>
          <w:sz w:val="24"/>
          <w:szCs w:val="24"/>
        </w:rPr>
        <w:t>.</w:t>
      </w:r>
      <w:r w:rsidRPr="00830DE5">
        <w:rPr>
          <w:rStyle w:val="s1"/>
          <w:rFonts w:ascii="Arial" w:hAnsi="Arial" w:cs="Arial"/>
          <w:sz w:val="24"/>
          <w:szCs w:val="24"/>
        </w:rPr>
        <w:t xml:space="preserve"> </w:t>
      </w:r>
      <w:r w:rsidR="00280933">
        <w:rPr>
          <w:rStyle w:val="s1"/>
          <w:rFonts w:ascii="Arial" w:hAnsi="Arial" w:cs="Arial"/>
          <w:sz w:val="24"/>
          <w:szCs w:val="24"/>
        </w:rPr>
        <w:t xml:space="preserve">Esto evidencia un </w:t>
      </w:r>
      <w:r w:rsidRPr="00C758BC">
        <w:rPr>
          <w:rStyle w:val="s1"/>
          <w:rFonts w:ascii="Arial" w:hAnsi="Arial" w:cs="Arial"/>
          <w:sz w:val="24"/>
          <w:szCs w:val="24"/>
        </w:rPr>
        <w:t xml:space="preserve">patrón de parte del Estado: </w:t>
      </w:r>
      <w:r w:rsidRPr="00C758BC">
        <w:rPr>
          <w:rFonts w:ascii="Arial" w:hAnsi="Arial" w:cs="Arial"/>
          <w:sz w:val="24"/>
          <w:szCs w:val="24"/>
        </w:rPr>
        <w:t>la persecución a todas las expresiones de la sociedad civil organizada en Venezuela</w:t>
      </w:r>
      <w:r w:rsidRPr="00C758BC">
        <w:rPr>
          <w:rStyle w:val="Refdenotaalfinal"/>
          <w:rFonts w:ascii="Arial" w:hAnsi="Arial" w:cs="Arial"/>
          <w:sz w:val="24"/>
          <w:szCs w:val="24"/>
        </w:rPr>
        <w:endnoteReference w:id="8"/>
      </w:r>
      <w:r w:rsidRPr="00C758BC">
        <w:rPr>
          <w:rFonts w:ascii="Arial" w:hAnsi="Arial" w:cs="Arial"/>
          <w:sz w:val="24"/>
          <w:szCs w:val="24"/>
        </w:rPr>
        <w:t xml:space="preserve">. </w:t>
      </w:r>
      <w:r w:rsidR="00830DE5">
        <w:rPr>
          <w:rFonts w:ascii="Arial" w:hAnsi="Arial" w:cs="Arial"/>
          <w:sz w:val="24"/>
          <w:szCs w:val="24"/>
        </w:rPr>
        <w:t xml:space="preserve">De este total, 146 ataques estuvieron dirigidos en contra de mujeres defensoras de derechos humanos, lo que constituye el </w:t>
      </w:r>
      <w:proofErr w:type="spellStart"/>
      <w:r w:rsidR="00717A4C">
        <w:rPr>
          <w:rFonts w:ascii="Arial" w:hAnsi="Arial" w:cs="Arial"/>
          <w:sz w:val="24"/>
          <w:szCs w:val="24"/>
        </w:rPr>
        <w:t>el</w:t>
      </w:r>
      <w:proofErr w:type="spellEnd"/>
      <w:r w:rsidR="00717A4C">
        <w:rPr>
          <w:rFonts w:ascii="Arial" w:hAnsi="Arial" w:cs="Arial"/>
          <w:sz w:val="24"/>
          <w:szCs w:val="24"/>
        </w:rPr>
        <w:t xml:space="preserve"> 8,2% del total de la muestra. </w:t>
      </w:r>
    </w:p>
    <w:p w14:paraId="55B41734" w14:textId="60413AA0" w:rsidR="00137563" w:rsidRPr="00C758BC" w:rsidRDefault="00137563" w:rsidP="00C758BC">
      <w:pPr>
        <w:spacing w:line="240" w:lineRule="auto"/>
        <w:jc w:val="both"/>
        <w:rPr>
          <w:rFonts w:ascii="Arial" w:hAnsi="Arial" w:cs="Arial"/>
          <w:sz w:val="24"/>
          <w:szCs w:val="24"/>
        </w:rPr>
      </w:pPr>
      <w:r w:rsidRPr="00C758BC">
        <w:rPr>
          <w:rFonts w:ascii="Arial" w:eastAsia="Calibri" w:hAnsi="Arial" w:cs="Arial"/>
          <w:sz w:val="24"/>
          <w:szCs w:val="24"/>
        </w:rPr>
        <w:t>E</w:t>
      </w:r>
      <w:r w:rsidRPr="00C758BC">
        <w:rPr>
          <w:rFonts w:ascii="Arial" w:hAnsi="Arial" w:cs="Arial"/>
          <w:sz w:val="24"/>
          <w:szCs w:val="24"/>
        </w:rPr>
        <w:t xml:space="preserve">l Estado ha </w:t>
      </w:r>
      <w:r w:rsidR="008276BC">
        <w:rPr>
          <w:rFonts w:ascii="Arial" w:hAnsi="Arial" w:cs="Arial"/>
          <w:sz w:val="24"/>
          <w:szCs w:val="24"/>
        </w:rPr>
        <w:t xml:space="preserve">construido </w:t>
      </w:r>
      <w:r w:rsidRPr="00C758BC">
        <w:rPr>
          <w:rFonts w:ascii="Arial" w:hAnsi="Arial" w:cs="Arial"/>
          <w:sz w:val="24"/>
          <w:szCs w:val="24"/>
        </w:rPr>
        <w:t xml:space="preserve">un andamiaje de restricciones judiciales, legales y administrativas destinadas a obstaculizar e imposibilitar la acción libre e independiente de las ONG. </w:t>
      </w:r>
      <w:r w:rsidR="008276BC">
        <w:rPr>
          <w:rFonts w:ascii="Arial" w:hAnsi="Arial" w:cs="Arial"/>
          <w:sz w:val="24"/>
          <w:szCs w:val="24"/>
        </w:rPr>
        <w:t>Así, l</w:t>
      </w:r>
      <w:r w:rsidRPr="00C758BC">
        <w:rPr>
          <w:rFonts w:ascii="Arial" w:hAnsi="Arial" w:cs="Arial"/>
          <w:sz w:val="24"/>
          <w:szCs w:val="24"/>
        </w:rPr>
        <w:t>as múltiples limitaciones de este tipo promulgadas en el país tienen la finalidad de debilitar, y finalmente socavar, la operatividad financiera y administrativa de las organizaciones civiles</w:t>
      </w:r>
      <w:r w:rsidRPr="00C758BC">
        <w:rPr>
          <w:rStyle w:val="Refdenotaalfinal"/>
          <w:rFonts w:ascii="Arial" w:hAnsi="Arial" w:cs="Arial"/>
          <w:sz w:val="24"/>
          <w:szCs w:val="24"/>
        </w:rPr>
        <w:endnoteReference w:id="9"/>
      </w:r>
      <w:r w:rsidRPr="00C758BC">
        <w:rPr>
          <w:rFonts w:ascii="Arial" w:hAnsi="Arial" w:cs="Arial"/>
          <w:sz w:val="24"/>
          <w:szCs w:val="24"/>
        </w:rPr>
        <w:t xml:space="preserve"> dedicadas al acompañamiento de personas víctimas de violaciones de derechos humanos y a los sectores más vulnerables de nuestra sociedad</w:t>
      </w:r>
      <w:r w:rsidR="008276BC">
        <w:rPr>
          <w:rFonts w:ascii="Arial" w:hAnsi="Arial" w:cs="Arial"/>
          <w:sz w:val="24"/>
          <w:szCs w:val="24"/>
        </w:rPr>
        <w:t>, incluyendo aquellas que trabajan en la defensa de los derechos de las mujeres</w:t>
      </w:r>
      <w:r w:rsidRPr="00C758BC">
        <w:rPr>
          <w:rFonts w:ascii="Arial" w:hAnsi="Arial" w:cs="Arial"/>
          <w:sz w:val="24"/>
          <w:szCs w:val="24"/>
        </w:rPr>
        <w:t xml:space="preserve">.  </w:t>
      </w:r>
    </w:p>
    <w:p w14:paraId="78EB05B9" w14:textId="37B3A87C" w:rsidR="00137563" w:rsidRPr="00C758BC" w:rsidRDefault="00280933" w:rsidP="00C758BC">
      <w:pPr>
        <w:pStyle w:val="p2"/>
        <w:shd w:val="clear" w:color="auto" w:fill="FFFFFF"/>
        <w:spacing w:before="0" w:beforeAutospacing="0" w:after="150" w:afterAutospacing="0"/>
        <w:jc w:val="both"/>
        <w:rPr>
          <w:rStyle w:val="s1"/>
          <w:rFonts w:ascii="Arial" w:hAnsi="Arial" w:cs="Arial"/>
        </w:rPr>
      </w:pPr>
      <w:r>
        <w:rPr>
          <w:rStyle w:val="s1"/>
          <w:rFonts w:ascii="Arial" w:hAnsi="Arial" w:cs="Arial"/>
        </w:rPr>
        <w:t>E</w:t>
      </w:r>
      <w:r w:rsidR="00137563" w:rsidRPr="00C758BC">
        <w:rPr>
          <w:rStyle w:val="s1"/>
          <w:rFonts w:ascii="Arial" w:hAnsi="Arial" w:cs="Arial"/>
        </w:rPr>
        <w:t>l 24 de enero de 2023</w:t>
      </w:r>
      <w:r w:rsidR="008276BC">
        <w:rPr>
          <w:rStyle w:val="s1"/>
          <w:rFonts w:ascii="Arial" w:hAnsi="Arial" w:cs="Arial"/>
        </w:rPr>
        <w:t>,</w:t>
      </w:r>
      <w:r>
        <w:rPr>
          <w:rStyle w:val="s1"/>
          <w:rFonts w:ascii="Arial" w:hAnsi="Arial" w:cs="Arial"/>
        </w:rPr>
        <w:t xml:space="preserve"> </w:t>
      </w:r>
      <w:r w:rsidR="008276BC">
        <w:rPr>
          <w:rStyle w:val="s1"/>
          <w:rFonts w:ascii="Arial" w:hAnsi="Arial" w:cs="Arial"/>
        </w:rPr>
        <w:t>l</w:t>
      </w:r>
      <w:r w:rsidR="00137563" w:rsidRPr="00C758BC">
        <w:rPr>
          <w:rStyle w:val="s1"/>
          <w:rFonts w:ascii="Arial" w:hAnsi="Arial" w:cs="Arial"/>
        </w:rPr>
        <w:t xml:space="preserve">a Asamblea Nacional aprobó en primera discusión un proyecto de Ley que elimina la acción libre e independiente de las ONG. </w:t>
      </w:r>
      <w:r>
        <w:rPr>
          <w:rStyle w:val="s1"/>
          <w:rFonts w:ascii="Arial" w:hAnsi="Arial" w:cs="Arial"/>
        </w:rPr>
        <w:t xml:space="preserve">Se </w:t>
      </w:r>
      <w:r w:rsidR="00137563" w:rsidRPr="00C758BC">
        <w:rPr>
          <w:rStyle w:val="s1"/>
          <w:rFonts w:ascii="Arial" w:hAnsi="Arial" w:cs="Arial"/>
        </w:rPr>
        <w:lastRenderedPageBreak/>
        <w:t xml:space="preserve">denomina </w:t>
      </w:r>
      <w:r w:rsidR="00137563" w:rsidRPr="00C758BC">
        <w:rPr>
          <w:rStyle w:val="s1"/>
          <w:rFonts w:ascii="Arial" w:hAnsi="Arial" w:cs="Arial"/>
          <w:i/>
        </w:rPr>
        <w:t xml:space="preserve">Ley de Fiscalización, Regularización, Actuación y Financiamiento de las Organizaciones No Gubernamentales y Afines. </w:t>
      </w:r>
      <w:r w:rsidR="00137563" w:rsidRPr="00C758BC">
        <w:rPr>
          <w:rStyle w:val="s1"/>
          <w:rFonts w:ascii="Arial" w:hAnsi="Arial" w:cs="Arial"/>
        </w:rPr>
        <w:t xml:space="preserve">De ser sancionado como </w:t>
      </w:r>
      <w:r>
        <w:rPr>
          <w:rStyle w:val="s1"/>
          <w:rFonts w:ascii="Arial" w:hAnsi="Arial" w:cs="Arial"/>
        </w:rPr>
        <w:t>l</w:t>
      </w:r>
      <w:r w:rsidR="00137563" w:rsidRPr="00C758BC">
        <w:rPr>
          <w:rStyle w:val="s1"/>
          <w:rFonts w:ascii="Arial" w:hAnsi="Arial" w:cs="Arial"/>
        </w:rPr>
        <w:t xml:space="preserve">ey, se establecerán restricciones definitivas al derecho de asociación en Venezuela. </w:t>
      </w:r>
    </w:p>
    <w:p w14:paraId="6B477042" w14:textId="007BB028" w:rsidR="00137563" w:rsidRPr="00C758BC" w:rsidRDefault="00137563" w:rsidP="00C758BC">
      <w:pPr>
        <w:pStyle w:val="p2"/>
        <w:shd w:val="clear" w:color="auto" w:fill="FFFFFF"/>
        <w:spacing w:before="0" w:beforeAutospacing="0" w:after="150" w:afterAutospacing="0"/>
        <w:jc w:val="both"/>
        <w:rPr>
          <w:rStyle w:val="s1"/>
          <w:rFonts w:ascii="Arial" w:hAnsi="Arial" w:cs="Arial"/>
        </w:rPr>
      </w:pPr>
      <w:r w:rsidRPr="00C758BC">
        <w:rPr>
          <w:rStyle w:val="s1"/>
          <w:rFonts w:ascii="Arial" w:hAnsi="Arial" w:cs="Arial"/>
        </w:rPr>
        <w:t>Est</w:t>
      </w:r>
      <w:r w:rsidR="00280933">
        <w:rPr>
          <w:rStyle w:val="s1"/>
          <w:rFonts w:ascii="Arial" w:hAnsi="Arial" w:cs="Arial"/>
        </w:rPr>
        <w:t xml:space="preserve">o </w:t>
      </w:r>
      <w:r w:rsidR="008276BC">
        <w:rPr>
          <w:rStyle w:val="s1"/>
          <w:rFonts w:ascii="Arial" w:hAnsi="Arial" w:cs="Arial"/>
        </w:rPr>
        <w:t>forma parte de</w:t>
      </w:r>
      <w:r w:rsidRPr="00C758BC">
        <w:rPr>
          <w:rStyle w:val="s1"/>
          <w:rFonts w:ascii="Arial" w:hAnsi="Arial" w:cs="Arial"/>
        </w:rPr>
        <w:t xml:space="preserve"> una política </w:t>
      </w:r>
      <w:r w:rsidR="00E550E1">
        <w:rPr>
          <w:rStyle w:val="s1"/>
          <w:rFonts w:ascii="Arial" w:hAnsi="Arial" w:cs="Arial"/>
        </w:rPr>
        <w:t>estatal</w:t>
      </w:r>
      <w:r w:rsidRPr="00C758BC">
        <w:rPr>
          <w:rStyle w:val="s1"/>
          <w:rFonts w:ascii="Arial" w:hAnsi="Arial" w:cs="Arial"/>
        </w:rPr>
        <w:t xml:space="preserve"> dirigida a minar el desarrollo legítimo y legal de las O</w:t>
      </w:r>
      <w:r w:rsidR="008276BC">
        <w:rPr>
          <w:rStyle w:val="s1"/>
          <w:rFonts w:ascii="Arial" w:hAnsi="Arial" w:cs="Arial"/>
        </w:rPr>
        <w:t>NG</w:t>
      </w:r>
      <w:r w:rsidRPr="00C758BC">
        <w:rPr>
          <w:rStyle w:val="s1"/>
          <w:rFonts w:ascii="Arial" w:hAnsi="Arial" w:cs="Arial"/>
        </w:rPr>
        <w:t>, en particular, mediante acusaciones infundadas de tener vínculos con el terrorismo</w:t>
      </w:r>
      <w:r w:rsidRPr="00C758BC">
        <w:rPr>
          <w:rStyle w:val="Refdenotaalfinal"/>
          <w:rFonts w:ascii="Arial" w:hAnsi="Arial" w:cs="Arial"/>
        </w:rPr>
        <w:endnoteReference w:id="10"/>
      </w:r>
      <w:r w:rsidRPr="00C758BC">
        <w:rPr>
          <w:rStyle w:val="s1"/>
          <w:rFonts w:ascii="Arial" w:hAnsi="Arial" w:cs="Arial"/>
        </w:rPr>
        <w:t>.</w:t>
      </w:r>
    </w:p>
    <w:p w14:paraId="335457B6" w14:textId="22A3097E" w:rsidR="00941630" w:rsidRDefault="005F769C" w:rsidP="00C758BC">
      <w:pPr>
        <w:pStyle w:val="NormalWeb"/>
        <w:shd w:val="clear" w:color="auto" w:fill="FFFFFF"/>
        <w:jc w:val="both"/>
        <w:rPr>
          <w:rFonts w:ascii="Arial" w:hAnsi="Arial" w:cs="Arial"/>
        </w:rPr>
      </w:pPr>
      <w:r w:rsidRPr="00C758BC">
        <w:rPr>
          <w:rFonts w:ascii="Arial" w:hAnsi="Arial" w:cs="Arial"/>
        </w:rPr>
        <w:t xml:space="preserve">Las mujeres defensoras en </w:t>
      </w:r>
      <w:proofErr w:type="gramStart"/>
      <w:r w:rsidRPr="00C758BC">
        <w:rPr>
          <w:rFonts w:ascii="Arial" w:hAnsi="Arial" w:cs="Arial"/>
        </w:rPr>
        <w:t>Venezuela,</w:t>
      </w:r>
      <w:proofErr w:type="gramEnd"/>
      <w:r w:rsidRPr="00C758BC">
        <w:rPr>
          <w:rFonts w:ascii="Arial" w:hAnsi="Arial" w:cs="Arial"/>
        </w:rPr>
        <w:t xml:space="preserve"> </w:t>
      </w:r>
      <w:r w:rsidR="008276BC">
        <w:rPr>
          <w:rFonts w:ascii="Arial" w:hAnsi="Arial" w:cs="Arial"/>
        </w:rPr>
        <w:t>corren</w:t>
      </w:r>
      <w:r w:rsidRPr="00C758BC">
        <w:rPr>
          <w:rFonts w:ascii="Arial" w:hAnsi="Arial" w:cs="Arial"/>
        </w:rPr>
        <w:t xml:space="preserve"> un mayor riesgo de sufrir violencia sexual</w:t>
      </w:r>
      <w:r w:rsidR="00280933">
        <w:rPr>
          <w:rFonts w:ascii="Arial" w:hAnsi="Arial" w:cs="Arial"/>
        </w:rPr>
        <w:t xml:space="preserve"> y </w:t>
      </w:r>
      <w:proofErr w:type="spellStart"/>
      <w:r w:rsidRPr="00C758BC">
        <w:rPr>
          <w:rFonts w:ascii="Arial" w:hAnsi="Arial" w:cs="Arial"/>
        </w:rPr>
        <w:t>campañas</w:t>
      </w:r>
      <w:proofErr w:type="spellEnd"/>
      <w:r w:rsidRPr="00C758BC">
        <w:rPr>
          <w:rFonts w:ascii="Arial" w:hAnsi="Arial" w:cs="Arial"/>
        </w:rPr>
        <w:t xml:space="preserve"> de </w:t>
      </w:r>
      <w:proofErr w:type="spellStart"/>
      <w:r w:rsidRPr="00C758BC">
        <w:rPr>
          <w:rFonts w:ascii="Arial" w:hAnsi="Arial" w:cs="Arial"/>
        </w:rPr>
        <w:t>difamación</w:t>
      </w:r>
      <w:proofErr w:type="spellEnd"/>
      <w:r w:rsidRPr="00C758BC">
        <w:rPr>
          <w:rFonts w:ascii="Arial" w:hAnsi="Arial" w:cs="Arial"/>
        </w:rPr>
        <w:t xml:space="preserve"> basadas en estereotipos de </w:t>
      </w:r>
      <w:proofErr w:type="spellStart"/>
      <w:r w:rsidRPr="00C758BC">
        <w:rPr>
          <w:rFonts w:ascii="Arial" w:hAnsi="Arial" w:cs="Arial"/>
        </w:rPr>
        <w:t>género</w:t>
      </w:r>
      <w:proofErr w:type="spellEnd"/>
      <w:r w:rsidRPr="00C758BC">
        <w:rPr>
          <w:rFonts w:ascii="Arial" w:hAnsi="Arial" w:cs="Arial"/>
        </w:rPr>
        <w:t xml:space="preserve">. Igualmente, se ven obligadas a abandonar su actividad de defensa de los derechos humanos después de un ataque, ya sea por la falta de redes de apoyo o como mecanismo de </w:t>
      </w:r>
      <w:proofErr w:type="spellStart"/>
      <w:r w:rsidRPr="00C758BC">
        <w:rPr>
          <w:rFonts w:ascii="Arial" w:hAnsi="Arial" w:cs="Arial"/>
        </w:rPr>
        <w:t>protección</w:t>
      </w:r>
      <w:proofErr w:type="spellEnd"/>
      <w:r w:rsidRPr="00C758BC">
        <w:rPr>
          <w:rFonts w:ascii="Arial" w:hAnsi="Arial" w:cs="Arial"/>
        </w:rPr>
        <w:t xml:space="preserve"> a sus familias. </w:t>
      </w:r>
      <w:r w:rsidR="007A6C53">
        <w:rPr>
          <w:rFonts w:ascii="Arial" w:hAnsi="Arial" w:cs="Arial"/>
        </w:rPr>
        <w:t>Un caso emblem</w:t>
      </w:r>
      <w:r w:rsidR="00941630">
        <w:rPr>
          <w:rFonts w:ascii="Arial" w:hAnsi="Arial" w:cs="Arial"/>
        </w:rPr>
        <w:t>ático es el de una periodista, directora de un diario del oriente del país, quien fue señalada de “acomplejada bipolar” luego de que el mismo publicara un reportaje asociado a una denuncia ciudadana.</w:t>
      </w:r>
      <w:r w:rsidR="00941630">
        <w:rPr>
          <w:rStyle w:val="Refdenotaalfinal"/>
          <w:rFonts w:ascii="Arial" w:hAnsi="Arial" w:cs="Arial"/>
        </w:rPr>
        <w:endnoteReference w:id="11"/>
      </w:r>
    </w:p>
    <w:p w14:paraId="4BED2B9D" w14:textId="71D745FE" w:rsidR="003B561B" w:rsidRPr="004B5A14" w:rsidRDefault="003B561B" w:rsidP="00D27012">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t>Violencia de género contra la mujer en Venezuela</w:t>
      </w:r>
    </w:p>
    <w:p w14:paraId="4F0EA9D0" w14:textId="00957CC3" w:rsidR="003B561B" w:rsidRPr="00D27012" w:rsidRDefault="003B561B" w:rsidP="00D27012">
      <w:pPr>
        <w:spacing w:line="240" w:lineRule="auto"/>
        <w:contextualSpacing/>
        <w:rPr>
          <w:rFonts w:ascii="Arial" w:eastAsia="Calibri" w:hAnsi="Arial" w:cs="Arial"/>
          <w:sz w:val="24"/>
          <w:szCs w:val="24"/>
        </w:rPr>
      </w:pPr>
    </w:p>
    <w:p w14:paraId="10914AB7" w14:textId="30545D33" w:rsidR="003B561B" w:rsidRPr="00D27012" w:rsidRDefault="003B561B" w:rsidP="00D27012">
      <w:pPr>
        <w:spacing w:line="240" w:lineRule="auto"/>
        <w:jc w:val="both"/>
        <w:rPr>
          <w:rFonts w:ascii="Arial" w:eastAsia="Calibri" w:hAnsi="Arial" w:cs="Arial"/>
          <w:sz w:val="24"/>
          <w:szCs w:val="24"/>
          <w:lang w:val="es-ES_tradnl"/>
        </w:rPr>
      </w:pPr>
      <w:r w:rsidRPr="00D27012">
        <w:rPr>
          <w:rFonts w:ascii="Arial" w:hAnsi="Arial" w:cs="Arial"/>
          <w:sz w:val="24"/>
          <w:szCs w:val="24"/>
          <w:lang w:val="es-ES_tradnl"/>
        </w:rPr>
        <w:t xml:space="preserve">En su informe presentado a la CEDAW, el </w:t>
      </w:r>
      <w:r w:rsidR="00E550E1">
        <w:rPr>
          <w:rFonts w:ascii="Arial" w:hAnsi="Arial" w:cs="Arial"/>
          <w:sz w:val="24"/>
          <w:szCs w:val="24"/>
          <w:lang w:val="es-ES_tradnl"/>
        </w:rPr>
        <w:t>E</w:t>
      </w:r>
      <w:r w:rsidRPr="00D27012">
        <w:rPr>
          <w:rFonts w:ascii="Arial" w:hAnsi="Arial" w:cs="Arial"/>
          <w:sz w:val="24"/>
          <w:szCs w:val="24"/>
          <w:lang w:val="es-ES_tradnl"/>
        </w:rPr>
        <w:t xml:space="preserve">stado indicó que a partir de la reforma a la Ley Orgánica sobre el derecho de las mujeres a una vida libre de violencia </w:t>
      </w:r>
      <w:r w:rsidR="00E550E1">
        <w:rPr>
          <w:rFonts w:ascii="Arial" w:hAnsi="Arial" w:cs="Arial"/>
          <w:sz w:val="24"/>
          <w:szCs w:val="24"/>
          <w:lang w:val="es-ES_tradnl"/>
        </w:rPr>
        <w:t>en</w:t>
      </w:r>
      <w:r w:rsidRPr="00D27012">
        <w:rPr>
          <w:rFonts w:ascii="Arial" w:hAnsi="Arial" w:cs="Arial"/>
          <w:sz w:val="24"/>
          <w:szCs w:val="24"/>
          <w:lang w:val="es-ES_tradnl"/>
        </w:rPr>
        <w:t xml:space="preserve"> 2021 se creó </w:t>
      </w:r>
      <w:r w:rsidRPr="00D27012">
        <w:rPr>
          <w:rFonts w:ascii="Arial" w:hAnsi="Arial" w:cs="Arial"/>
          <w:i/>
          <w:sz w:val="24"/>
          <w:szCs w:val="24"/>
          <w:lang w:val="es-ES_tradnl"/>
        </w:rPr>
        <w:t>la Comisión Nacional para garantizar el derecho de las mujeres a una vida libre de violencia (CNDMVLV)</w:t>
      </w:r>
      <w:r w:rsidRPr="00D27012">
        <w:rPr>
          <w:rStyle w:val="Refdenotaalfinal"/>
          <w:rFonts w:ascii="Arial" w:hAnsi="Arial" w:cs="Arial"/>
          <w:sz w:val="24"/>
          <w:szCs w:val="24"/>
          <w:lang w:val="es-ES_tradnl"/>
        </w:rPr>
        <w:endnoteReference w:id="12"/>
      </w:r>
      <w:r w:rsidRPr="00D27012">
        <w:rPr>
          <w:rFonts w:ascii="Arial" w:hAnsi="Arial" w:cs="Arial"/>
          <w:sz w:val="24"/>
          <w:szCs w:val="24"/>
          <w:lang w:val="es-ES_tradnl"/>
        </w:rPr>
        <w:t>. Como parte de sus actividades, esta Comisión “</w:t>
      </w:r>
      <w:r w:rsidRPr="00D27012">
        <w:rPr>
          <w:rFonts w:ascii="Arial" w:hAnsi="Arial" w:cs="Arial"/>
          <w:i/>
          <w:sz w:val="24"/>
          <w:szCs w:val="24"/>
          <w:lang w:val="es-ES_tradnl"/>
        </w:rPr>
        <w:t>tiene el mandato legal de establecer un sistema integrado de recolección de datos estadísticos sobre la violencia contra las mujeres por razones de género, desglosados en función del tipo de violencia y la relación entre los autores y las víctimas, y sobre el número de denuncias, enjuiciamientos, condenas y penas impuestas a los autores, así como sobre las medidas de protección y reparación a las víctimas</w:t>
      </w:r>
      <w:r w:rsidRPr="00D27012">
        <w:rPr>
          <w:rFonts w:ascii="Arial" w:hAnsi="Arial" w:cs="Arial"/>
          <w:sz w:val="24"/>
          <w:szCs w:val="24"/>
          <w:lang w:val="es-ES_tradnl"/>
        </w:rPr>
        <w:t>”</w:t>
      </w:r>
      <w:r w:rsidRPr="00D27012">
        <w:rPr>
          <w:rStyle w:val="Refdenotaalfinal"/>
          <w:rFonts w:ascii="Arial" w:hAnsi="Arial" w:cs="Arial"/>
          <w:sz w:val="24"/>
          <w:szCs w:val="24"/>
          <w:lang w:val="es-ES_tradnl"/>
        </w:rPr>
        <w:endnoteReference w:id="13"/>
      </w:r>
      <w:r w:rsidRPr="00D27012">
        <w:rPr>
          <w:rFonts w:ascii="Arial" w:hAnsi="Arial" w:cs="Arial"/>
          <w:sz w:val="24"/>
          <w:szCs w:val="24"/>
          <w:lang w:val="es-ES_tradnl"/>
        </w:rPr>
        <w:t xml:space="preserve">. Ahora bien, </w:t>
      </w:r>
      <w:r w:rsidR="00E550E1">
        <w:rPr>
          <w:rFonts w:ascii="Arial" w:hAnsi="Arial" w:cs="Arial"/>
          <w:sz w:val="24"/>
          <w:szCs w:val="24"/>
          <w:lang w:val="es-ES_tradnl"/>
        </w:rPr>
        <w:t>a la</w:t>
      </w:r>
      <w:r w:rsidRPr="00D27012">
        <w:rPr>
          <w:rFonts w:ascii="Arial" w:hAnsi="Arial" w:cs="Arial"/>
          <w:sz w:val="24"/>
          <w:szCs w:val="24"/>
          <w:lang w:val="es-ES_tradnl"/>
        </w:rPr>
        <w:t xml:space="preserve"> fecha se desconoce si dicha comisión se encuentra operativa, y no ha sido presentada estadística nacional disgregada con relación a los casos de violencia basada en género en el país ni las medidas desarrollada por dicho órgano para atender esta situación.</w:t>
      </w:r>
      <w:r w:rsidR="008276BC">
        <w:rPr>
          <w:rFonts w:ascii="Arial" w:hAnsi="Arial" w:cs="Arial"/>
          <w:sz w:val="24"/>
          <w:szCs w:val="24"/>
          <w:lang w:val="es-ES_tradnl"/>
        </w:rPr>
        <w:t xml:space="preserve"> </w:t>
      </w:r>
    </w:p>
    <w:p w14:paraId="64AF13BA" w14:textId="6D58B445" w:rsidR="003B561B" w:rsidRPr="00D27012" w:rsidRDefault="003B561B" w:rsidP="00D27012">
      <w:pPr>
        <w:pStyle w:val="Prrafodelista"/>
        <w:numPr>
          <w:ilvl w:val="1"/>
          <w:numId w:val="3"/>
        </w:numPr>
        <w:spacing w:line="240" w:lineRule="auto"/>
        <w:jc w:val="both"/>
        <w:rPr>
          <w:rFonts w:ascii="Arial" w:eastAsia="Calibri" w:hAnsi="Arial" w:cs="Arial"/>
          <w:sz w:val="24"/>
          <w:szCs w:val="24"/>
        </w:rPr>
      </w:pPr>
      <w:r w:rsidRPr="00D27012">
        <w:rPr>
          <w:rFonts w:ascii="Arial" w:eastAsia="Calibri" w:hAnsi="Arial" w:cs="Arial"/>
          <w:sz w:val="24"/>
          <w:szCs w:val="24"/>
        </w:rPr>
        <w:t xml:space="preserve">Muertes violentas de mujeres </w:t>
      </w:r>
    </w:p>
    <w:p w14:paraId="57E3B201" w14:textId="309A974A" w:rsidR="003B561B" w:rsidRPr="00D27012" w:rsidRDefault="003B561B" w:rsidP="00D27012">
      <w:pPr>
        <w:spacing w:line="240" w:lineRule="auto"/>
        <w:jc w:val="both"/>
        <w:rPr>
          <w:rFonts w:ascii="Arial" w:eastAsia="Calibri" w:hAnsi="Arial" w:cs="Arial"/>
          <w:sz w:val="24"/>
          <w:szCs w:val="24"/>
          <w:lang w:val="es-ES"/>
        </w:rPr>
      </w:pPr>
      <w:r w:rsidRPr="00D27012">
        <w:rPr>
          <w:rFonts w:ascii="Arial" w:eastAsia="Calibri" w:hAnsi="Arial" w:cs="Arial"/>
          <w:sz w:val="24"/>
          <w:szCs w:val="24"/>
          <w:lang w:val="es-ES"/>
        </w:rPr>
        <w:t>Debido a la opacidad que existe en las cifras oficiales, COFAVIC ha realizado un monitoreo de manera independiente a escala nacional de la situación de derechos humanos, en particular, del fenómeno de las muertes violentas de mujeres en el país</w:t>
      </w:r>
      <w:r w:rsidRPr="00D27012">
        <w:rPr>
          <w:rFonts w:ascii="Arial" w:eastAsia="Calibri" w:hAnsi="Arial" w:cs="Arial"/>
          <w:sz w:val="24"/>
          <w:szCs w:val="24"/>
          <w:vertAlign w:val="superscript"/>
          <w:lang w:val="es-ES"/>
        </w:rPr>
        <w:endnoteReference w:id="14"/>
      </w:r>
      <w:r w:rsidRPr="00D27012">
        <w:rPr>
          <w:rFonts w:ascii="Arial" w:eastAsia="Calibri" w:hAnsi="Arial" w:cs="Arial"/>
          <w:sz w:val="24"/>
          <w:szCs w:val="24"/>
          <w:lang w:val="es-ES"/>
        </w:rPr>
        <w:t xml:space="preserve"> y los presuntos feminicidios. Dentro de esta metodología se registr</w:t>
      </w:r>
      <w:r w:rsidR="008276BC">
        <w:rPr>
          <w:rFonts w:ascii="Arial" w:eastAsia="Calibri" w:hAnsi="Arial" w:cs="Arial"/>
          <w:sz w:val="24"/>
          <w:szCs w:val="24"/>
          <w:lang w:val="es-ES"/>
        </w:rPr>
        <w:t>ó</w:t>
      </w:r>
      <w:r w:rsidRPr="00D27012">
        <w:rPr>
          <w:rFonts w:ascii="Arial" w:eastAsia="Calibri" w:hAnsi="Arial" w:cs="Arial"/>
          <w:sz w:val="24"/>
          <w:szCs w:val="24"/>
          <w:lang w:val="es-ES"/>
        </w:rPr>
        <w:t xml:space="preserve"> un total de </w:t>
      </w:r>
      <w:r w:rsidRPr="008276BC">
        <w:rPr>
          <w:rFonts w:ascii="Arial" w:eastAsia="Calibri" w:hAnsi="Arial" w:cs="Arial"/>
          <w:bCs/>
          <w:sz w:val="24"/>
          <w:szCs w:val="24"/>
        </w:rPr>
        <w:t xml:space="preserve">2098 casos de </w:t>
      </w:r>
      <w:r w:rsidR="00F222D0" w:rsidRPr="008276BC">
        <w:rPr>
          <w:rFonts w:ascii="Arial" w:eastAsia="Calibri" w:hAnsi="Arial" w:cs="Arial"/>
          <w:bCs/>
          <w:sz w:val="24"/>
          <w:szCs w:val="24"/>
        </w:rPr>
        <w:t xml:space="preserve">presuntas </w:t>
      </w:r>
      <w:r w:rsidRPr="008276BC">
        <w:rPr>
          <w:rFonts w:ascii="Arial" w:eastAsia="Calibri" w:hAnsi="Arial" w:cs="Arial"/>
          <w:bCs/>
          <w:sz w:val="24"/>
          <w:szCs w:val="24"/>
        </w:rPr>
        <w:t>muertes violentas de mujeres en el país</w:t>
      </w:r>
      <w:r w:rsidRPr="00D27012">
        <w:rPr>
          <w:rFonts w:ascii="Arial" w:eastAsia="Calibri" w:hAnsi="Arial" w:cs="Arial"/>
          <w:sz w:val="24"/>
          <w:szCs w:val="24"/>
        </w:rPr>
        <w:t xml:space="preserve"> </w:t>
      </w:r>
      <w:r w:rsidRPr="00D27012">
        <w:rPr>
          <w:rFonts w:ascii="Arial" w:eastAsia="Calibri" w:hAnsi="Arial" w:cs="Arial"/>
          <w:sz w:val="24"/>
          <w:szCs w:val="24"/>
          <w:lang w:val="es-ES"/>
        </w:rPr>
        <w:t xml:space="preserve">en el período 2017 - 2022.  </w:t>
      </w:r>
    </w:p>
    <w:p w14:paraId="5530C7CC" w14:textId="77777777" w:rsidR="003B561B" w:rsidRPr="00D27012" w:rsidRDefault="003B561B" w:rsidP="00D27012">
      <w:pPr>
        <w:spacing w:line="240" w:lineRule="auto"/>
        <w:jc w:val="both"/>
        <w:rPr>
          <w:rFonts w:ascii="Arial" w:eastAsia="Calibri" w:hAnsi="Arial" w:cs="Arial"/>
          <w:sz w:val="24"/>
          <w:szCs w:val="24"/>
        </w:rPr>
      </w:pPr>
      <w:r w:rsidRPr="00D27012">
        <w:rPr>
          <w:rFonts w:ascii="Arial" w:eastAsia="Calibri" w:hAnsi="Arial" w:cs="Arial"/>
          <w:sz w:val="24"/>
          <w:szCs w:val="24"/>
        </w:rPr>
        <w:t>Del total de casos registrados, 1187 (57%) corresponde a mujeres entre 18 y 40 años de edad, 373 casos (18%) corresponden a mujeres de 41 a 60 años, 357 casos (17%) a niñas menores de edad, y finalmente 181 casos (9%) de mujeres con 61 años o más.</w:t>
      </w:r>
    </w:p>
    <w:p w14:paraId="4B6DCB7A" w14:textId="5208A479" w:rsidR="003B561B" w:rsidRPr="00D27012" w:rsidRDefault="003B561B" w:rsidP="00D27012">
      <w:pPr>
        <w:spacing w:line="240" w:lineRule="auto"/>
        <w:jc w:val="both"/>
        <w:rPr>
          <w:rFonts w:ascii="Arial" w:eastAsia="Calibri" w:hAnsi="Arial" w:cs="Arial"/>
          <w:sz w:val="24"/>
          <w:szCs w:val="24"/>
        </w:rPr>
      </w:pPr>
      <w:r w:rsidRPr="00D27012">
        <w:rPr>
          <w:rFonts w:ascii="Arial" w:eastAsia="Calibri" w:hAnsi="Arial" w:cs="Arial"/>
          <w:sz w:val="24"/>
          <w:szCs w:val="24"/>
        </w:rPr>
        <w:t xml:space="preserve">En lo relativo a la causa de la muerte, la data arrojó que en 971 de los casos (46%), las mujeres murieron producto de una herida por arma de fuego, 319 casos (15%) producto de una herida producida por un arma blanca; 224 casos (11%) por asfixia, </w:t>
      </w:r>
      <w:r w:rsidRPr="00D27012">
        <w:rPr>
          <w:rFonts w:ascii="Arial" w:eastAsia="Calibri" w:hAnsi="Arial" w:cs="Arial"/>
          <w:sz w:val="24"/>
          <w:szCs w:val="24"/>
        </w:rPr>
        <w:lastRenderedPageBreak/>
        <w:t>190 casos (9%) como resultado de una golpiza, 56 casos (3%) de mujeres que fueron degolladas, 52 casos (2%) de mujeres que murieron producto de quemaduras, 41 casos (2%) de mujeres que murieron producto de un impacto contundente, 33 casos (2%) de mujeres que fueron descuartizadas, 24 casos (1%) de mujeres que fallecieron producto de un arrollamiento, 23 casos de personas que fallecieron por factores de complicaciones de salud asociados a hechos violentos previos, 10 casos de mujeres que murieron ahorcadas, 8 casos de mujeres que murieron envenenadas,  7 casos de mujeres que fallecieron producto de una explosión, y finalmente 6 casos de mujeres decapitadas. En 135 casos no se logró precisar la causa de la muerte en la información pública disponible, lo que representa el 6%.</w:t>
      </w:r>
    </w:p>
    <w:p w14:paraId="4E23F683" w14:textId="436516BF" w:rsidR="003B561B" w:rsidRPr="00D27012" w:rsidRDefault="003B561B" w:rsidP="00D27012">
      <w:pPr>
        <w:spacing w:line="240" w:lineRule="auto"/>
        <w:jc w:val="both"/>
        <w:rPr>
          <w:rFonts w:ascii="Arial" w:eastAsia="Calibri" w:hAnsi="Arial" w:cs="Arial"/>
          <w:sz w:val="24"/>
          <w:szCs w:val="24"/>
        </w:rPr>
      </w:pPr>
      <w:r w:rsidRPr="00D27012">
        <w:rPr>
          <w:rFonts w:ascii="Arial" w:eastAsia="Calibri" w:hAnsi="Arial" w:cs="Arial"/>
          <w:sz w:val="24"/>
          <w:szCs w:val="24"/>
        </w:rPr>
        <w:t>Con relación a si las víctimas pertenecían a un grupo específico en situación de vulnerabilidad, las cifras más representativas se concentran en los casos de mujeres de la tercera edad con 292 casos, lo que representa el 14%. Los casos de mujeres que fueron halladas indocumentadas luego de su muerte ascienden a 211 casos (10%) y los asesinatos de mujeres embarazadas suman 59 casos (3%). Igualmente se registraron 18 casos de mujeres indígenas, 15 casos de mujeres en situación de calle</w:t>
      </w:r>
      <w:r w:rsidR="008276BC">
        <w:rPr>
          <w:rFonts w:ascii="Arial" w:eastAsia="Calibri" w:hAnsi="Arial" w:cs="Arial"/>
          <w:sz w:val="24"/>
          <w:szCs w:val="24"/>
        </w:rPr>
        <w:t xml:space="preserve">, </w:t>
      </w:r>
      <w:r w:rsidRPr="00D27012">
        <w:rPr>
          <w:rFonts w:ascii="Arial" w:eastAsia="Calibri" w:hAnsi="Arial" w:cs="Arial"/>
          <w:sz w:val="24"/>
          <w:szCs w:val="24"/>
        </w:rPr>
        <w:t>14 casos de mujeres con alguna discapacidad y 13 casos de mujeres extranjeras, y finalmente 12 casos de mujeres que eran parte de la comunidad LGBTIQ+. En 1464 de los casos (70%), las mujeres no se encontraban en ninguno de los grupos antes mencionados o no se pudo determinar de la información pública tal información.</w:t>
      </w:r>
    </w:p>
    <w:p w14:paraId="54B4EEB5" w14:textId="1617C4FD" w:rsidR="003B561B" w:rsidRDefault="003B561B" w:rsidP="00D27012">
      <w:pPr>
        <w:spacing w:line="240" w:lineRule="auto"/>
        <w:jc w:val="both"/>
        <w:rPr>
          <w:rFonts w:ascii="Arial" w:eastAsia="Calibri" w:hAnsi="Arial" w:cs="Arial"/>
          <w:sz w:val="24"/>
          <w:szCs w:val="24"/>
        </w:rPr>
      </w:pPr>
      <w:r w:rsidRPr="00D27012">
        <w:rPr>
          <w:rFonts w:ascii="Arial" w:eastAsia="Calibri" w:hAnsi="Arial" w:cs="Arial"/>
          <w:sz w:val="24"/>
          <w:szCs w:val="24"/>
        </w:rPr>
        <w:t>Como lugar del hecho registrado, las muertes ocurridas en el hogar de la víctima reúnen el mayor número de casos con 883 mujeres asesinadas lo que equivale al 42% de los casos totales registrados; en 772 casos (37%) las muertes se producen en la calle (vía pública) y en 226 casos (11%) en una zona aislada. Las muertes ocurridas en la casa de un familiar o amigo de la víctima ascienden a 65 casos (3%) y las ocurridas en su lugar de trabajo registraron 43 casos (2%). Finalmente, en 110 de los casos (5%) registrados no se precisa el lugar del hecho.</w:t>
      </w:r>
    </w:p>
    <w:p w14:paraId="315E6A6E" w14:textId="7FF53ECE" w:rsidR="00C5443C" w:rsidRDefault="00C5443C" w:rsidP="00D27012">
      <w:pPr>
        <w:pStyle w:val="Prrafodelista"/>
        <w:numPr>
          <w:ilvl w:val="1"/>
          <w:numId w:val="3"/>
        </w:numPr>
        <w:spacing w:line="240" w:lineRule="auto"/>
        <w:rPr>
          <w:rFonts w:ascii="Arial" w:eastAsia="Calibri" w:hAnsi="Arial" w:cs="Arial"/>
          <w:sz w:val="24"/>
          <w:szCs w:val="24"/>
        </w:rPr>
      </w:pPr>
      <w:r>
        <w:rPr>
          <w:rFonts w:ascii="Arial" w:eastAsia="Calibri" w:hAnsi="Arial" w:cs="Arial"/>
          <w:sz w:val="24"/>
          <w:szCs w:val="24"/>
        </w:rPr>
        <w:t>Violencia sexual</w:t>
      </w:r>
    </w:p>
    <w:p w14:paraId="68E25D8C" w14:textId="5A141C17" w:rsidR="00C5443C" w:rsidRPr="00C5443C" w:rsidRDefault="00C5443C" w:rsidP="00C5443C">
      <w:pPr>
        <w:spacing w:line="240" w:lineRule="auto"/>
        <w:jc w:val="both"/>
        <w:rPr>
          <w:rFonts w:ascii="Arial" w:eastAsia="Calibri" w:hAnsi="Arial" w:cs="Arial"/>
          <w:b/>
          <w:bCs/>
          <w:sz w:val="28"/>
          <w:szCs w:val="28"/>
        </w:rPr>
      </w:pPr>
      <w:r w:rsidRPr="00C5443C">
        <w:rPr>
          <w:rFonts w:ascii="Arial" w:eastAsia="Calibri" w:hAnsi="Arial" w:cs="Arial"/>
          <w:sz w:val="24"/>
          <w:szCs w:val="24"/>
        </w:rPr>
        <w:t xml:space="preserve">Respecto </w:t>
      </w:r>
      <w:r w:rsidR="008276BC">
        <w:rPr>
          <w:rFonts w:ascii="Arial" w:eastAsia="Calibri" w:hAnsi="Arial" w:cs="Arial"/>
          <w:sz w:val="24"/>
          <w:szCs w:val="24"/>
        </w:rPr>
        <w:t xml:space="preserve">a la </w:t>
      </w:r>
      <w:r w:rsidRPr="00C5443C">
        <w:rPr>
          <w:rFonts w:ascii="Arial" w:eastAsia="Calibri" w:hAnsi="Arial" w:cs="Arial"/>
          <w:sz w:val="24"/>
          <w:szCs w:val="24"/>
        </w:rPr>
        <w:t>violencia sexual, no existe en Venezuela una normativa formal que regule el protocolo específico de actuación, lo cual ha promovido una tendencia instaurada en tribunales de solicitar pruebas testimoniales, toma de muestras físicas y otro</w:t>
      </w:r>
      <w:r w:rsidR="00E550E1">
        <w:rPr>
          <w:rFonts w:ascii="Arial" w:eastAsia="Calibri" w:hAnsi="Arial" w:cs="Arial"/>
          <w:sz w:val="24"/>
          <w:szCs w:val="24"/>
        </w:rPr>
        <w:t>s</w:t>
      </w:r>
      <w:r w:rsidRPr="00C5443C">
        <w:rPr>
          <w:rFonts w:ascii="Arial" w:eastAsia="Calibri" w:hAnsi="Arial" w:cs="Arial"/>
          <w:sz w:val="24"/>
          <w:szCs w:val="24"/>
        </w:rPr>
        <w:t xml:space="preserve"> tipo</w:t>
      </w:r>
      <w:r w:rsidR="00E550E1">
        <w:rPr>
          <w:rFonts w:ascii="Arial" w:eastAsia="Calibri" w:hAnsi="Arial" w:cs="Arial"/>
          <w:sz w:val="24"/>
          <w:szCs w:val="24"/>
        </w:rPr>
        <w:t>s</w:t>
      </w:r>
      <w:r w:rsidRPr="00C5443C">
        <w:rPr>
          <w:rFonts w:ascii="Arial" w:eastAsia="Calibri" w:hAnsi="Arial" w:cs="Arial"/>
          <w:sz w:val="24"/>
          <w:szCs w:val="24"/>
        </w:rPr>
        <w:t xml:space="preserve"> que se considere</w:t>
      </w:r>
      <w:r w:rsidR="00E550E1">
        <w:rPr>
          <w:rFonts w:ascii="Arial" w:eastAsia="Calibri" w:hAnsi="Arial" w:cs="Arial"/>
          <w:sz w:val="24"/>
          <w:szCs w:val="24"/>
        </w:rPr>
        <w:t>n</w:t>
      </w:r>
      <w:r w:rsidRPr="00C5443C">
        <w:rPr>
          <w:rFonts w:ascii="Arial" w:eastAsia="Calibri" w:hAnsi="Arial" w:cs="Arial"/>
          <w:sz w:val="24"/>
          <w:szCs w:val="24"/>
        </w:rPr>
        <w:t xml:space="preserve"> pertinente</w:t>
      </w:r>
      <w:r w:rsidR="00E550E1">
        <w:rPr>
          <w:rFonts w:ascii="Arial" w:eastAsia="Calibri" w:hAnsi="Arial" w:cs="Arial"/>
          <w:sz w:val="24"/>
          <w:szCs w:val="24"/>
        </w:rPr>
        <w:t>s</w:t>
      </w:r>
      <w:r w:rsidRPr="00C5443C">
        <w:rPr>
          <w:rFonts w:ascii="Arial" w:eastAsia="Calibri" w:hAnsi="Arial" w:cs="Arial"/>
          <w:sz w:val="24"/>
          <w:szCs w:val="24"/>
        </w:rPr>
        <w:t xml:space="preserve">, a los fines de confirmar la declaración hecha por la víctima. </w:t>
      </w:r>
      <w:r w:rsidR="00E550E1">
        <w:rPr>
          <w:rFonts w:ascii="Arial" w:eastAsia="Calibri" w:hAnsi="Arial" w:cs="Arial"/>
          <w:sz w:val="24"/>
          <w:szCs w:val="24"/>
        </w:rPr>
        <w:t>Así</w:t>
      </w:r>
      <w:r w:rsidRPr="00C5443C">
        <w:rPr>
          <w:rFonts w:ascii="Arial" w:eastAsia="Calibri" w:hAnsi="Arial" w:cs="Arial"/>
          <w:sz w:val="24"/>
          <w:szCs w:val="24"/>
        </w:rPr>
        <w:t xml:space="preserve">, en los casos de violencia sexual la práctica es la duda y se desestima casi por completo el testimonio de la víctima, </w:t>
      </w:r>
      <w:r w:rsidR="00E550E1">
        <w:rPr>
          <w:rFonts w:ascii="Arial" w:eastAsia="Calibri" w:hAnsi="Arial" w:cs="Arial"/>
          <w:sz w:val="24"/>
          <w:szCs w:val="24"/>
        </w:rPr>
        <w:t xml:space="preserve">imponiéndole </w:t>
      </w:r>
      <w:r w:rsidRPr="00C5443C">
        <w:rPr>
          <w:rFonts w:ascii="Arial" w:eastAsia="Calibri" w:hAnsi="Arial" w:cs="Arial"/>
          <w:sz w:val="24"/>
          <w:szCs w:val="24"/>
        </w:rPr>
        <w:t xml:space="preserve">la carga </w:t>
      </w:r>
      <w:r w:rsidR="00E550E1">
        <w:rPr>
          <w:rFonts w:ascii="Arial" w:eastAsia="Calibri" w:hAnsi="Arial" w:cs="Arial"/>
          <w:sz w:val="24"/>
          <w:szCs w:val="24"/>
        </w:rPr>
        <w:t xml:space="preserve">de la prueba que </w:t>
      </w:r>
      <w:r w:rsidRPr="00C5443C">
        <w:rPr>
          <w:rFonts w:ascii="Arial" w:eastAsia="Calibri" w:hAnsi="Arial" w:cs="Arial"/>
          <w:sz w:val="24"/>
          <w:szCs w:val="24"/>
        </w:rPr>
        <w:t xml:space="preserve">respalde su declaración. Esto trae como consecuencia </w:t>
      </w:r>
      <w:r w:rsidR="008276BC">
        <w:rPr>
          <w:rFonts w:ascii="Arial" w:eastAsia="Calibri" w:hAnsi="Arial" w:cs="Arial"/>
          <w:sz w:val="24"/>
          <w:szCs w:val="24"/>
        </w:rPr>
        <w:t xml:space="preserve">no solo la </w:t>
      </w:r>
      <w:proofErr w:type="spellStart"/>
      <w:r w:rsidR="008276BC">
        <w:rPr>
          <w:rFonts w:ascii="Arial" w:eastAsia="Calibri" w:hAnsi="Arial" w:cs="Arial"/>
          <w:sz w:val="24"/>
          <w:szCs w:val="24"/>
        </w:rPr>
        <w:t>revictimación</w:t>
      </w:r>
      <w:proofErr w:type="spellEnd"/>
      <w:r w:rsidR="008276BC">
        <w:rPr>
          <w:rFonts w:ascii="Arial" w:eastAsia="Calibri" w:hAnsi="Arial" w:cs="Arial"/>
          <w:sz w:val="24"/>
          <w:szCs w:val="24"/>
        </w:rPr>
        <w:t xml:space="preserve"> y recrudecimiento del trauma sino también </w:t>
      </w:r>
      <w:r w:rsidRPr="00C5443C">
        <w:rPr>
          <w:rFonts w:ascii="Arial" w:eastAsia="Calibri" w:hAnsi="Arial" w:cs="Arial"/>
          <w:sz w:val="24"/>
          <w:szCs w:val="24"/>
        </w:rPr>
        <w:t xml:space="preserve">la falta de investigación y sanción a este delito, e incluso </w:t>
      </w:r>
      <w:r w:rsidR="00280933">
        <w:rPr>
          <w:rFonts w:ascii="Arial" w:eastAsia="Calibri" w:hAnsi="Arial" w:cs="Arial"/>
          <w:sz w:val="24"/>
          <w:szCs w:val="24"/>
        </w:rPr>
        <w:t xml:space="preserve">genera que </w:t>
      </w:r>
      <w:r w:rsidRPr="00C5443C">
        <w:rPr>
          <w:rFonts w:ascii="Arial" w:eastAsia="Calibri" w:hAnsi="Arial" w:cs="Arial"/>
          <w:sz w:val="24"/>
          <w:szCs w:val="24"/>
        </w:rPr>
        <w:t>las víctimas no acudan al sistema judicial.</w:t>
      </w:r>
    </w:p>
    <w:p w14:paraId="4F2BB4A0" w14:textId="67A41988" w:rsidR="00C5443C" w:rsidRPr="00C5443C" w:rsidRDefault="00C5443C" w:rsidP="00C5443C">
      <w:pPr>
        <w:spacing w:line="240" w:lineRule="auto"/>
        <w:jc w:val="both"/>
        <w:rPr>
          <w:rFonts w:ascii="Arial" w:eastAsia="Calibri" w:hAnsi="Arial" w:cs="Arial"/>
          <w:sz w:val="24"/>
          <w:szCs w:val="24"/>
        </w:rPr>
      </w:pPr>
      <w:r w:rsidRPr="00C5443C">
        <w:rPr>
          <w:rFonts w:ascii="Arial" w:eastAsia="Calibri" w:hAnsi="Arial" w:cs="Arial"/>
          <w:sz w:val="24"/>
          <w:szCs w:val="24"/>
        </w:rPr>
        <w:t>A pesar de que el Estado informó que el país cuenta con “</w:t>
      </w:r>
      <w:r w:rsidRPr="00C5443C">
        <w:rPr>
          <w:rFonts w:ascii="Arial" w:eastAsia="Calibri" w:hAnsi="Arial" w:cs="Arial"/>
          <w:i/>
          <w:iCs/>
          <w:sz w:val="24"/>
          <w:szCs w:val="24"/>
        </w:rPr>
        <w:t>Normas de actuación de los funcionarios policiales y de investigación penal para atención temprana y oportuna de víctimas de violencia de género, la recepción de las correspondientes denuncias y la actuación policial en los procesos de investigación</w:t>
      </w:r>
      <w:r w:rsidRPr="00C5443C">
        <w:rPr>
          <w:rFonts w:ascii="Arial" w:eastAsia="Calibri" w:hAnsi="Arial" w:cs="Arial"/>
          <w:sz w:val="24"/>
          <w:szCs w:val="24"/>
        </w:rPr>
        <w:t xml:space="preserve">”, el mismo resulta </w:t>
      </w:r>
      <w:r w:rsidRPr="00C5443C">
        <w:rPr>
          <w:rFonts w:ascii="Arial" w:eastAsia="Calibri" w:hAnsi="Arial" w:cs="Arial"/>
          <w:sz w:val="24"/>
          <w:szCs w:val="24"/>
        </w:rPr>
        <w:lastRenderedPageBreak/>
        <w:t>insuficiente, además de ser inobservado en la práctica por los funcionarios encargados de recibir denuncias de casos de violencia basada en género. Según la información que nuestras organizaciones han podido recopilar, en muchas oportunidades los funcionarios del Ministerio Público han indicado a las víctimas denunciantes que “</w:t>
      </w:r>
      <w:r w:rsidRPr="00C5443C">
        <w:rPr>
          <w:rFonts w:ascii="Arial" w:eastAsia="Calibri" w:hAnsi="Arial" w:cs="Arial"/>
          <w:i/>
          <w:iCs/>
          <w:sz w:val="24"/>
          <w:szCs w:val="24"/>
        </w:rPr>
        <w:t>deben tolerar las conductas violentas porque se trata de sus familiares</w:t>
      </w:r>
      <w:r w:rsidRPr="00C5443C">
        <w:rPr>
          <w:rFonts w:ascii="Arial" w:eastAsia="Calibri" w:hAnsi="Arial" w:cs="Arial"/>
          <w:sz w:val="24"/>
          <w:szCs w:val="24"/>
        </w:rPr>
        <w:t xml:space="preserve">”, así como comentarios que terminan siendo justificantes a las conductas violentas o que les responsabilizan por la agresión de las que han sido víctimas. </w:t>
      </w:r>
    </w:p>
    <w:p w14:paraId="2B94C3C7" w14:textId="6775E851" w:rsidR="003B561B" w:rsidRDefault="003B561B" w:rsidP="00D27012">
      <w:pPr>
        <w:pStyle w:val="Prrafodelista"/>
        <w:numPr>
          <w:ilvl w:val="1"/>
          <w:numId w:val="3"/>
        </w:numPr>
        <w:spacing w:line="240" w:lineRule="auto"/>
        <w:rPr>
          <w:rFonts w:ascii="Arial" w:eastAsia="Calibri" w:hAnsi="Arial" w:cs="Arial"/>
          <w:sz w:val="24"/>
          <w:szCs w:val="24"/>
        </w:rPr>
      </w:pPr>
      <w:r w:rsidRPr="00D27012">
        <w:rPr>
          <w:rFonts w:ascii="Arial" w:eastAsia="Calibri" w:hAnsi="Arial" w:cs="Arial"/>
          <w:sz w:val="24"/>
          <w:szCs w:val="24"/>
        </w:rPr>
        <w:t xml:space="preserve">Acceso a la justicia </w:t>
      </w:r>
    </w:p>
    <w:p w14:paraId="3E874F93" w14:textId="19AB74C2" w:rsidR="008B5D5C" w:rsidRPr="008B5D5C" w:rsidRDefault="008B5D5C" w:rsidP="008B5D5C">
      <w:pPr>
        <w:spacing w:line="240" w:lineRule="auto"/>
        <w:jc w:val="both"/>
        <w:rPr>
          <w:rFonts w:ascii="Arial" w:eastAsia="Calibri" w:hAnsi="Arial" w:cs="Arial"/>
          <w:sz w:val="24"/>
          <w:szCs w:val="24"/>
        </w:rPr>
      </w:pPr>
      <w:r w:rsidRPr="008B5D5C">
        <w:rPr>
          <w:rFonts w:ascii="Arial" w:eastAsia="Calibri" w:hAnsi="Arial" w:cs="Arial"/>
          <w:sz w:val="24"/>
          <w:szCs w:val="24"/>
          <w:lang w:val="es-ES"/>
        </w:rPr>
        <w:t xml:space="preserve">El </w:t>
      </w:r>
      <w:r w:rsidR="00280933">
        <w:rPr>
          <w:rFonts w:ascii="Arial" w:eastAsia="Calibri" w:hAnsi="Arial" w:cs="Arial"/>
          <w:sz w:val="24"/>
          <w:szCs w:val="24"/>
          <w:lang w:val="es-ES"/>
        </w:rPr>
        <w:t>E</w:t>
      </w:r>
      <w:r w:rsidRPr="008B5D5C">
        <w:rPr>
          <w:rFonts w:ascii="Arial" w:eastAsia="Calibri" w:hAnsi="Arial" w:cs="Arial"/>
          <w:sz w:val="24"/>
          <w:szCs w:val="24"/>
          <w:lang w:val="es-ES"/>
        </w:rPr>
        <w:t>stado en el informe presentado a la CEDAW</w:t>
      </w:r>
      <w:r w:rsidRPr="008B5D5C">
        <w:rPr>
          <w:rFonts w:ascii="Arial" w:hAnsi="Arial" w:cs="Arial"/>
          <w:sz w:val="24"/>
          <w:szCs w:val="24"/>
          <w:vertAlign w:val="superscript"/>
          <w:lang w:val="es-ES"/>
        </w:rPr>
        <w:endnoteReference w:id="15"/>
      </w:r>
      <w:r w:rsidRPr="008B5D5C">
        <w:rPr>
          <w:rFonts w:ascii="Arial" w:eastAsia="Calibri" w:hAnsi="Arial" w:cs="Arial"/>
          <w:sz w:val="24"/>
          <w:szCs w:val="24"/>
        </w:rPr>
        <w:t xml:space="preserve"> reconoció que de </w:t>
      </w:r>
      <w:r w:rsidRPr="008B5D5C">
        <w:rPr>
          <w:rFonts w:ascii="Arial" w:eastAsia="Calibri" w:hAnsi="Arial" w:cs="Arial"/>
          <w:b/>
          <w:sz w:val="24"/>
          <w:szCs w:val="24"/>
        </w:rPr>
        <w:t xml:space="preserve">enero de 2014 a septiembre de 2020 </w:t>
      </w:r>
      <w:r w:rsidRPr="008B5D5C">
        <w:rPr>
          <w:rFonts w:ascii="Arial" w:eastAsia="Calibri" w:hAnsi="Arial" w:cs="Arial"/>
          <w:sz w:val="24"/>
          <w:szCs w:val="24"/>
        </w:rPr>
        <w:t xml:space="preserve">ingresaron a la Dirección General para la Protección de la Familia y la Mujer del MP un total de </w:t>
      </w:r>
      <w:r w:rsidRPr="008B5D5C">
        <w:rPr>
          <w:rFonts w:ascii="Arial" w:eastAsia="Calibri" w:hAnsi="Arial" w:cs="Arial"/>
          <w:b/>
          <w:sz w:val="24"/>
          <w:szCs w:val="24"/>
        </w:rPr>
        <w:t>399.742 casos</w:t>
      </w:r>
      <w:r w:rsidRPr="008B5D5C">
        <w:rPr>
          <w:rFonts w:ascii="Arial" w:eastAsia="Calibri" w:hAnsi="Arial" w:cs="Arial"/>
          <w:sz w:val="24"/>
          <w:szCs w:val="24"/>
        </w:rPr>
        <w:t xml:space="preserve"> de violencia basada en género, sin embargo, al </w:t>
      </w:r>
      <w:r w:rsidR="00F222D0">
        <w:rPr>
          <w:rFonts w:ascii="Arial" w:eastAsia="Calibri" w:hAnsi="Arial" w:cs="Arial"/>
          <w:sz w:val="24"/>
          <w:szCs w:val="24"/>
        </w:rPr>
        <w:t>desa</w:t>
      </w:r>
      <w:r w:rsidR="00F222D0" w:rsidRPr="008B5D5C">
        <w:rPr>
          <w:rFonts w:ascii="Arial" w:eastAsia="Calibri" w:hAnsi="Arial" w:cs="Arial"/>
          <w:sz w:val="24"/>
          <w:szCs w:val="24"/>
        </w:rPr>
        <w:t xml:space="preserve">gregar </w:t>
      </w:r>
      <w:r w:rsidRPr="008B5D5C">
        <w:rPr>
          <w:rFonts w:ascii="Arial" w:eastAsia="Calibri" w:hAnsi="Arial" w:cs="Arial"/>
          <w:sz w:val="24"/>
          <w:szCs w:val="24"/>
        </w:rPr>
        <w:t xml:space="preserve">los delitos a los que se refiere dicha cifra, la totalización corresponde a 366.199 casos, </w:t>
      </w:r>
      <w:r w:rsidR="00280933">
        <w:rPr>
          <w:rFonts w:ascii="Arial" w:eastAsia="Calibri" w:hAnsi="Arial" w:cs="Arial"/>
          <w:sz w:val="24"/>
          <w:szCs w:val="24"/>
        </w:rPr>
        <w:t xml:space="preserve">esto discrepa </w:t>
      </w:r>
      <w:r w:rsidRPr="008B5D5C">
        <w:rPr>
          <w:rFonts w:ascii="Arial" w:eastAsia="Calibri" w:hAnsi="Arial" w:cs="Arial"/>
          <w:sz w:val="24"/>
          <w:szCs w:val="24"/>
        </w:rPr>
        <w:t xml:space="preserve">en la información presentada. Igualmente, de los datos disponibles, el </w:t>
      </w:r>
      <w:r w:rsidR="00F222D0">
        <w:rPr>
          <w:rFonts w:ascii="Arial" w:eastAsia="Calibri" w:hAnsi="Arial" w:cs="Arial"/>
          <w:sz w:val="24"/>
          <w:szCs w:val="24"/>
        </w:rPr>
        <w:t>E</w:t>
      </w:r>
      <w:r w:rsidRPr="008B5D5C">
        <w:rPr>
          <w:rFonts w:ascii="Arial" w:eastAsia="Calibri" w:hAnsi="Arial" w:cs="Arial"/>
          <w:sz w:val="24"/>
          <w:szCs w:val="24"/>
        </w:rPr>
        <w:t xml:space="preserve">stado no señala cuantos casos han sido </w:t>
      </w:r>
      <w:r w:rsidR="00280933">
        <w:rPr>
          <w:rFonts w:ascii="Arial" w:eastAsia="Calibri" w:hAnsi="Arial" w:cs="Arial"/>
          <w:sz w:val="24"/>
          <w:szCs w:val="24"/>
        </w:rPr>
        <w:t>juzgados y sancionados.</w:t>
      </w:r>
    </w:p>
    <w:p w14:paraId="68048C5F" w14:textId="21E9FD33" w:rsidR="008B5D5C" w:rsidRDefault="008B5D5C" w:rsidP="008B5D5C">
      <w:pPr>
        <w:spacing w:line="240" w:lineRule="auto"/>
        <w:jc w:val="both"/>
        <w:rPr>
          <w:rFonts w:ascii="Arial" w:eastAsia="Calibri" w:hAnsi="Arial" w:cs="Arial"/>
          <w:sz w:val="24"/>
          <w:szCs w:val="24"/>
        </w:rPr>
      </w:pPr>
      <w:r w:rsidRPr="008B5D5C">
        <w:rPr>
          <w:rFonts w:ascii="Arial" w:eastAsia="Calibri" w:hAnsi="Arial" w:cs="Arial"/>
          <w:sz w:val="24"/>
          <w:szCs w:val="24"/>
        </w:rPr>
        <w:t xml:space="preserve">La opacidad de la información oficial presentada es un elemento que contribuye con el mantenimiento de las </w:t>
      </w:r>
      <w:r w:rsidR="00F222D0">
        <w:rPr>
          <w:rFonts w:ascii="Arial" w:eastAsia="Calibri" w:hAnsi="Arial" w:cs="Arial"/>
          <w:sz w:val="24"/>
          <w:szCs w:val="24"/>
        </w:rPr>
        <w:t xml:space="preserve">preocupantes </w:t>
      </w:r>
      <w:r w:rsidRPr="008B5D5C">
        <w:rPr>
          <w:rFonts w:ascii="Arial" w:eastAsia="Calibri" w:hAnsi="Arial" w:cs="Arial"/>
          <w:sz w:val="24"/>
          <w:szCs w:val="24"/>
        </w:rPr>
        <w:t>cifras de violencia</w:t>
      </w:r>
      <w:r w:rsidR="008276BC">
        <w:rPr>
          <w:rFonts w:ascii="Arial" w:eastAsia="Calibri" w:hAnsi="Arial" w:cs="Arial"/>
          <w:sz w:val="24"/>
          <w:szCs w:val="24"/>
        </w:rPr>
        <w:t xml:space="preserve"> contra la mujer</w:t>
      </w:r>
      <w:r w:rsidRPr="008B5D5C">
        <w:rPr>
          <w:rFonts w:ascii="Arial" w:eastAsia="Calibri" w:hAnsi="Arial" w:cs="Arial"/>
          <w:sz w:val="24"/>
          <w:szCs w:val="24"/>
        </w:rPr>
        <w:t xml:space="preserve">. Las pocas cifras aportadas por el Ministerio Público </w:t>
      </w:r>
      <w:r w:rsidR="00280933">
        <w:rPr>
          <w:rFonts w:ascii="Arial" w:eastAsia="Calibri" w:hAnsi="Arial" w:cs="Arial"/>
          <w:sz w:val="24"/>
          <w:szCs w:val="24"/>
        </w:rPr>
        <w:t xml:space="preserve">sobre estos crímenes </w:t>
      </w:r>
      <w:r w:rsidRPr="008B5D5C">
        <w:rPr>
          <w:rFonts w:ascii="Arial" w:eastAsia="Calibri" w:hAnsi="Arial" w:cs="Arial"/>
          <w:sz w:val="24"/>
          <w:szCs w:val="24"/>
        </w:rPr>
        <w:t xml:space="preserve">no </w:t>
      </w:r>
      <w:r w:rsidR="00280933">
        <w:rPr>
          <w:rFonts w:ascii="Arial" w:eastAsia="Calibri" w:hAnsi="Arial" w:cs="Arial"/>
          <w:sz w:val="24"/>
          <w:szCs w:val="24"/>
        </w:rPr>
        <w:t xml:space="preserve">informan sobre </w:t>
      </w:r>
      <w:r w:rsidRPr="008B5D5C">
        <w:rPr>
          <w:rFonts w:ascii="Arial" w:eastAsia="Calibri" w:hAnsi="Arial" w:cs="Arial"/>
          <w:sz w:val="24"/>
          <w:szCs w:val="24"/>
        </w:rPr>
        <w:t xml:space="preserve">la naturaleza de la violencia, </w:t>
      </w:r>
      <w:r w:rsidR="00280933">
        <w:rPr>
          <w:rFonts w:ascii="Arial" w:eastAsia="Calibri" w:hAnsi="Arial" w:cs="Arial"/>
          <w:sz w:val="24"/>
          <w:szCs w:val="24"/>
        </w:rPr>
        <w:t xml:space="preserve">la judicialización, sanción </w:t>
      </w:r>
      <w:r w:rsidRPr="008B5D5C">
        <w:rPr>
          <w:rFonts w:ascii="Arial" w:eastAsia="Calibri" w:hAnsi="Arial" w:cs="Arial"/>
          <w:sz w:val="24"/>
          <w:szCs w:val="24"/>
        </w:rPr>
        <w:t xml:space="preserve">o la reparación. </w:t>
      </w:r>
      <w:r w:rsidR="00280933">
        <w:rPr>
          <w:rFonts w:ascii="Arial" w:eastAsia="Calibri" w:hAnsi="Arial" w:cs="Arial"/>
          <w:sz w:val="24"/>
          <w:szCs w:val="24"/>
        </w:rPr>
        <w:t>El Ministerio Público t</w:t>
      </w:r>
      <w:r w:rsidRPr="008B5D5C">
        <w:rPr>
          <w:rFonts w:ascii="Arial" w:eastAsia="Calibri" w:hAnsi="Arial" w:cs="Arial"/>
          <w:sz w:val="24"/>
          <w:szCs w:val="24"/>
        </w:rPr>
        <w:t>ampoco p</w:t>
      </w:r>
      <w:r w:rsidR="00F222D0">
        <w:rPr>
          <w:rFonts w:ascii="Arial" w:eastAsia="Calibri" w:hAnsi="Arial" w:cs="Arial"/>
          <w:sz w:val="24"/>
          <w:szCs w:val="24"/>
        </w:rPr>
        <w:t>ú</w:t>
      </w:r>
      <w:r w:rsidRPr="008B5D5C">
        <w:rPr>
          <w:rFonts w:ascii="Arial" w:eastAsia="Calibri" w:hAnsi="Arial" w:cs="Arial"/>
          <w:sz w:val="24"/>
          <w:szCs w:val="24"/>
        </w:rPr>
        <w:t xml:space="preserve">blica </w:t>
      </w:r>
      <w:r w:rsidR="00280933">
        <w:rPr>
          <w:rFonts w:ascii="Arial" w:eastAsia="Calibri" w:hAnsi="Arial" w:cs="Arial"/>
          <w:sz w:val="24"/>
          <w:szCs w:val="24"/>
        </w:rPr>
        <w:t xml:space="preserve">cifras sobre las </w:t>
      </w:r>
      <w:r w:rsidRPr="008B5D5C">
        <w:rPr>
          <w:rFonts w:ascii="Arial" w:eastAsia="Calibri" w:hAnsi="Arial" w:cs="Arial"/>
          <w:sz w:val="24"/>
          <w:szCs w:val="24"/>
        </w:rPr>
        <w:t xml:space="preserve">denuncias de casos de violencia contra la mujer, </w:t>
      </w:r>
      <w:r w:rsidR="00280933">
        <w:rPr>
          <w:rFonts w:ascii="Arial" w:eastAsia="Calibri" w:hAnsi="Arial" w:cs="Arial"/>
          <w:sz w:val="24"/>
          <w:szCs w:val="24"/>
        </w:rPr>
        <w:t>o</w:t>
      </w:r>
      <w:r w:rsidRPr="008B5D5C">
        <w:rPr>
          <w:rFonts w:ascii="Arial" w:eastAsia="Calibri" w:hAnsi="Arial" w:cs="Arial"/>
          <w:sz w:val="24"/>
          <w:szCs w:val="24"/>
        </w:rPr>
        <w:t xml:space="preserve"> de la afectación diferenciada de género en casos de </w:t>
      </w:r>
      <w:r w:rsidR="00E550E1">
        <w:rPr>
          <w:rFonts w:ascii="Arial" w:eastAsia="Calibri" w:hAnsi="Arial" w:cs="Arial"/>
          <w:sz w:val="24"/>
          <w:szCs w:val="24"/>
        </w:rPr>
        <w:t>graves violaciones a derechos humanos.</w:t>
      </w:r>
    </w:p>
    <w:p w14:paraId="07597FBF" w14:textId="2AC81BCD" w:rsidR="000B26BF" w:rsidRDefault="000B26BF" w:rsidP="000B26BF">
      <w:pPr>
        <w:spacing w:line="240" w:lineRule="auto"/>
        <w:jc w:val="both"/>
        <w:rPr>
          <w:rFonts w:ascii="Arial" w:hAnsi="Arial" w:cs="Arial"/>
          <w:sz w:val="24"/>
          <w:szCs w:val="24"/>
          <w:lang w:val="es-MX"/>
        </w:rPr>
      </w:pPr>
      <w:r w:rsidRPr="000B26BF">
        <w:rPr>
          <w:rFonts w:ascii="Arial" w:hAnsi="Arial" w:cs="Arial"/>
          <w:sz w:val="24"/>
          <w:szCs w:val="24"/>
          <w:lang w:val="es-MX"/>
        </w:rPr>
        <w:t xml:space="preserve">Por otro lado, </w:t>
      </w:r>
      <w:r>
        <w:rPr>
          <w:rFonts w:ascii="Arial" w:hAnsi="Arial" w:cs="Arial"/>
          <w:sz w:val="24"/>
          <w:szCs w:val="24"/>
          <w:lang w:val="es-MX"/>
        </w:rPr>
        <w:t>a</w:t>
      </w:r>
      <w:r w:rsidRPr="000B26BF">
        <w:rPr>
          <w:rFonts w:ascii="Arial" w:hAnsi="Arial" w:cs="Arial"/>
          <w:sz w:val="24"/>
          <w:szCs w:val="24"/>
          <w:lang w:val="es-MX"/>
        </w:rPr>
        <w:t xml:space="preserve"> pesar de que el </w:t>
      </w:r>
      <w:r w:rsidR="00280933">
        <w:rPr>
          <w:rFonts w:ascii="Arial" w:hAnsi="Arial" w:cs="Arial"/>
          <w:sz w:val="24"/>
          <w:szCs w:val="24"/>
          <w:lang w:val="es-MX"/>
        </w:rPr>
        <w:t>E</w:t>
      </w:r>
      <w:r w:rsidRPr="000B26BF">
        <w:rPr>
          <w:rFonts w:ascii="Arial" w:hAnsi="Arial" w:cs="Arial"/>
          <w:sz w:val="24"/>
          <w:szCs w:val="24"/>
          <w:lang w:val="es-MX"/>
        </w:rPr>
        <w:t>stado informó que “</w:t>
      </w:r>
      <w:r w:rsidRPr="000B26BF">
        <w:rPr>
          <w:rFonts w:ascii="Arial" w:hAnsi="Arial" w:cs="Arial"/>
          <w:i/>
          <w:iCs/>
          <w:sz w:val="24"/>
          <w:szCs w:val="24"/>
          <w:lang w:val="es-MX"/>
        </w:rPr>
        <w:t>el servicio de Abordaje Integral a Víctimas de Delitos de Violencia de Género del MP cuenta con intérpretes de señas venezolanas para la recepción de denuncia de mujeres con algún tipo de discapacidad</w:t>
      </w:r>
      <w:r w:rsidRPr="000B26BF">
        <w:rPr>
          <w:rFonts w:ascii="Arial" w:hAnsi="Arial" w:cs="Arial"/>
          <w:sz w:val="24"/>
          <w:szCs w:val="24"/>
          <w:lang w:val="es-MX"/>
        </w:rPr>
        <w:t>”</w:t>
      </w:r>
      <w:r w:rsidRPr="000B26BF">
        <w:rPr>
          <w:vertAlign w:val="superscript"/>
          <w:lang w:val="es-MX"/>
        </w:rPr>
        <w:endnoteReference w:id="16"/>
      </w:r>
      <w:r w:rsidRPr="000B26BF">
        <w:rPr>
          <w:rFonts w:ascii="Arial" w:hAnsi="Arial" w:cs="Arial"/>
          <w:sz w:val="24"/>
          <w:szCs w:val="24"/>
          <w:vertAlign w:val="superscript"/>
          <w:lang w:val="es-MX"/>
        </w:rPr>
        <w:t>,</w:t>
      </w:r>
      <w:r w:rsidRPr="000B26BF">
        <w:rPr>
          <w:rFonts w:ascii="Arial" w:hAnsi="Arial" w:cs="Arial"/>
          <w:sz w:val="24"/>
          <w:szCs w:val="24"/>
          <w:lang w:val="es-MX"/>
        </w:rPr>
        <w:t xml:space="preserve"> de</w:t>
      </w:r>
      <w:r w:rsidRPr="00BA0EEB">
        <w:rPr>
          <w:rFonts w:ascii="Arial" w:hAnsi="Arial" w:cs="Arial"/>
          <w:sz w:val="24"/>
          <w:szCs w:val="24"/>
          <w:lang w:val="es-MX"/>
        </w:rPr>
        <w:t xml:space="preserve"> acuerdo con registros de CONSORVEN, las mujeres con discapacidad auditiva, víctimas de violencia basada en género, acuden en reiteradas oportunidades ante los Órganos Receptores de Denuncia (ODR), para formular la denuncia, y no son atendidas por falta de Intérprete</w:t>
      </w:r>
      <w:r>
        <w:rPr>
          <w:rFonts w:ascii="Arial" w:hAnsi="Arial" w:cs="Arial"/>
          <w:sz w:val="24"/>
          <w:szCs w:val="24"/>
          <w:lang w:val="es-MX"/>
        </w:rPr>
        <w:t xml:space="preserve">. Un ejemplo, es </w:t>
      </w:r>
      <w:r w:rsidRPr="00BA0EEB">
        <w:rPr>
          <w:rFonts w:ascii="Arial" w:hAnsi="Arial" w:cs="Arial"/>
          <w:sz w:val="24"/>
          <w:szCs w:val="24"/>
          <w:lang w:val="es-MX"/>
        </w:rPr>
        <w:t xml:space="preserve">el caso de una mujer sorda del estado Lara víctima de violencia psicológica y amenazas de su pareja. La mujer, ante la falta de intérprete, se sintió vulnerable por no poder denunciar a su agresor. Asimismo, en el Distrito Capital una mujer víctima de violencia física y psicológica fue atendida en el Ministerio Público con el acompañamiento de Intérprete </w:t>
      </w:r>
      <w:r w:rsidR="00280933">
        <w:rPr>
          <w:rFonts w:ascii="Arial" w:hAnsi="Arial" w:cs="Arial"/>
          <w:sz w:val="24"/>
          <w:szCs w:val="24"/>
          <w:lang w:val="es-MX"/>
        </w:rPr>
        <w:t xml:space="preserve">pero </w:t>
      </w:r>
      <w:r w:rsidRPr="00BA0EEB">
        <w:rPr>
          <w:rFonts w:ascii="Arial" w:hAnsi="Arial" w:cs="Arial"/>
          <w:sz w:val="24"/>
          <w:szCs w:val="24"/>
          <w:lang w:val="es-MX"/>
        </w:rPr>
        <w:t xml:space="preserve">su caso no ha tenido avances y la violencia persiste, generando afectación emocional. </w:t>
      </w:r>
    </w:p>
    <w:p w14:paraId="783F4908" w14:textId="7B3E7325" w:rsidR="008B5D5C" w:rsidRDefault="008B5D5C" w:rsidP="008B5D5C">
      <w:pPr>
        <w:spacing w:line="240" w:lineRule="auto"/>
        <w:jc w:val="both"/>
        <w:rPr>
          <w:rFonts w:ascii="Arial" w:eastAsia="Calibri" w:hAnsi="Arial" w:cs="Arial"/>
          <w:sz w:val="24"/>
          <w:szCs w:val="24"/>
        </w:rPr>
      </w:pPr>
      <w:r w:rsidRPr="008B5D5C">
        <w:rPr>
          <w:rFonts w:ascii="Arial" w:eastAsia="Calibri" w:hAnsi="Arial" w:cs="Arial"/>
          <w:sz w:val="24"/>
          <w:szCs w:val="24"/>
        </w:rPr>
        <w:t xml:space="preserve">Por otro lado, </w:t>
      </w:r>
      <w:r w:rsidR="008276BC">
        <w:rPr>
          <w:rFonts w:ascii="Arial" w:eastAsia="Calibri" w:hAnsi="Arial" w:cs="Arial"/>
          <w:sz w:val="24"/>
          <w:szCs w:val="24"/>
        </w:rPr>
        <w:t xml:space="preserve">en relación con la impunidad y la participación del Estado en graves violaciones a derechos humanos, incluyendo la violencia sexual, </w:t>
      </w:r>
      <w:r w:rsidRPr="008B5D5C">
        <w:rPr>
          <w:rFonts w:ascii="Arial" w:eastAsia="Calibri" w:hAnsi="Arial" w:cs="Arial"/>
          <w:sz w:val="24"/>
          <w:szCs w:val="24"/>
        </w:rPr>
        <w:t>la Misión ha señalado que “</w:t>
      </w:r>
      <w:r w:rsidRPr="008B5D5C">
        <w:rPr>
          <w:rFonts w:ascii="Arial" w:eastAsia="Calibri" w:hAnsi="Arial" w:cs="Arial"/>
          <w:i/>
          <w:iCs/>
          <w:sz w:val="24"/>
          <w:szCs w:val="24"/>
        </w:rPr>
        <w:t xml:space="preserve">además de desempeñar un papel activo </w:t>
      </w:r>
      <w:r w:rsidR="00280933" w:rsidRPr="00280933">
        <w:rPr>
          <w:rFonts w:ascii="Arial" w:eastAsia="Calibri" w:hAnsi="Arial" w:cs="Arial"/>
          <w:i/>
          <w:iCs/>
          <w:sz w:val="24"/>
          <w:szCs w:val="24"/>
          <w:lang w:val="es-MX"/>
        </w:rPr>
        <w:t>[</w:t>
      </w:r>
      <w:r w:rsidR="00280933">
        <w:rPr>
          <w:rFonts w:ascii="Arial" w:eastAsia="Calibri" w:hAnsi="Arial" w:cs="Arial"/>
          <w:i/>
          <w:iCs/>
          <w:sz w:val="24"/>
          <w:szCs w:val="24"/>
          <w:lang w:val="es-MX"/>
        </w:rPr>
        <w:t xml:space="preserve">…] </w:t>
      </w:r>
      <w:r w:rsidRPr="008B5D5C">
        <w:rPr>
          <w:rFonts w:ascii="Arial" w:eastAsia="Calibri" w:hAnsi="Arial" w:cs="Arial"/>
          <w:i/>
          <w:iCs/>
          <w:sz w:val="24"/>
          <w:szCs w:val="24"/>
        </w:rPr>
        <w:t>actores fiscales y judiciales no previnieron las violaciones y delitos cometidos por otros actores del Estado</w:t>
      </w:r>
      <w:r w:rsidR="00280933">
        <w:rPr>
          <w:rFonts w:ascii="Arial" w:eastAsia="Calibri" w:hAnsi="Arial" w:cs="Arial"/>
          <w:i/>
          <w:iCs/>
          <w:sz w:val="24"/>
          <w:szCs w:val="24"/>
        </w:rPr>
        <w:t xml:space="preserve"> […]</w:t>
      </w:r>
      <w:r w:rsidRPr="008B5D5C">
        <w:rPr>
          <w:rFonts w:ascii="Arial" w:eastAsia="Calibri" w:hAnsi="Arial" w:cs="Arial"/>
          <w:i/>
          <w:iCs/>
          <w:sz w:val="24"/>
          <w:szCs w:val="24"/>
        </w:rPr>
        <w:t xml:space="preserve"> Esto impidió que las víctimas de </w:t>
      </w:r>
      <w:r w:rsidR="00280933">
        <w:rPr>
          <w:rFonts w:ascii="Arial" w:eastAsia="Calibri" w:hAnsi="Arial" w:cs="Arial"/>
          <w:i/>
          <w:iCs/>
          <w:sz w:val="24"/>
          <w:szCs w:val="24"/>
        </w:rPr>
        <w:t xml:space="preserve">[…] </w:t>
      </w:r>
      <w:r w:rsidRPr="008B5D5C">
        <w:rPr>
          <w:rFonts w:ascii="Arial" w:eastAsia="Calibri" w:hAnsi="Arial" w:cs="Arial"/>
          <w:i/>
          <w:iCs/>
          <w:sz w:val="24"/>
          <w:szCs w:val="24"/>
        </w:rPr>
        <w:t>violencia sexual y de género perpetuadas especialmente por los cuerpos de seguridad e inteligencia del Estado tuvieran acceso a recursos legales y judiciales efectivos</w:t>
      </w:r>
      <w:r w:rsidRPr="008B5D5C">
        <w:rPr>
          <w:rFonts w:ascii="Arial" w:eastAsia="Calibri" w:hAnsi="Arial" w:cs="Arial"/>
          <w:sz w:val="24"/>
          <w:szCs w:val="24"/>
        </w:rPr>
        <w:t>.”</w:t>
      </w:r>
      <w:r w:rsidRPr="008B5D5C">
        <w:rPr>
          <w:rFonts w:ascii="Arial" w:hAnsi="Arial" w:cs="Arial"/>
          <w:sz w:val="24"/>
          <w:szCs w:val="24"/>
          <w:vertAlign w:val="superscript"/>
        </w:rPr>
        <w:endnoteReference w:id="17"/>
      </w:r>
    </w:p>
    <w:p w14:paraId="4A795155" w14:textId="466ADC11" w:rsidR="001E1509" w:rsidRPr="00280933" w:rsidRDefault="001E1509" w:rsidP="000B26BF">
      <w:pPr>
        <w:spacing w:line="240" w:lineRule="auto"/>
        <w:jc w:val="both"/>
        <w:rPr>
          <w:rFonts w:ascii="Arial" w:hAnsi="Arial" w:cs="Arial"/>
          <w:i/>
          <w:iCs/>
          <w:sz w:val="24"/>
          <w:szCs w:val="24"/>
        </w:rPr>
      </w:pPr>
      <w:r w:rsidRPr="00C758BC">
        <w:rPr>
          <w:rFonts w:ascii="Arial" w:hAnsi="Arial" w:cs="Arial"/>
          <w:sz w:val="24"/>
          <w:szCs w:val="24"/>
          <w:lang w:val="es-MX"/>
        </w:rPr>
        <w:lastRenderedPageBreak/>
        <w:t xml:space="preserve">La </w:t>
      </w:r>
      <w:r w:rsidRPr="00C758BC">
        <w:rPr>
          <w:rFonts w:ascii="Arial" w:hAnsi="Arial" w:cs="Arial"/>
          <w:sz w:val="24"/>
          <w:szCs w:val="24"/>
        </w:rPr>
        <w:t xml:space="preserve"> M</w:t>
      </w:r>
      <w:r w:rsidR="000B26BF">
        <w:rPr>
          <w:rFonts w:ascii="Arial" w:hAnsi="Arial" w:cs="Arial"/>
          <w:sz w:val="24"/>
          <w:szCs w:val="24"/>
        </w:rPr>
        <w:t xml:space="preserve">isión ha señalado igualmente </w:t>
      </w:r>
      <w:r w:rsidRPr="00C758BC">
        <w:rPr>
          <w:rFonts w:ascii="Arial" w:hAnsi="Arial" w:cs="Arial"/>
          <w:sz w:val="24"/>
          <w:szCs w:val="24"/>
        </w:rPr>
        <w:t xml:space="preserve"> que “</w:t>
      </w:r>
      <w:r w:rsidRPr="00C758BC">
        <w:rPr>
          <w:rFonts w:ascii="Arial" w:hAnsi="Arial" w:cs="Arial"/>
          <w:i/>
          <w:iCs/>
          <w:sz w:val="24"/>
          <w:szCs w:val="24"/>
        </w:rPr>
        <w:t xml:space="preserve">el nombramiento y la </w:t>
      </w:r>
      <w:proofErr w:type="spellStart"/>
      <w:r w:rsidRPr="00C758BC">
        <w:rPr>
          <w:rFonts w:ascii="Arial" w:hAnsi="Arial" w:cs="Arial"/>
          <w:i/>
          <w:iCs/>
          <w:sz w:val="24"/>
          <w:szCs w:val="24"/>
        </w:rPr>
        <w:t>disciplinamiento</w:t>
      </w:r>
      <w:proofErr w:type="spellEnd"/>
      <w:r w:rsidRPr="00C758BC">
        <w:rPr>
          <w:rFonts w:ascii="Arial" w:hAnsi="Arial" w:cs="Arial"/>
          <w:i/>
          <w:iCs/>
          <w:sz w:val="24"/>
          <w:szCs w:val="24"/>
        </w:rPr>
        <w:t xml:space="preserve"> de juezas, jueces y fiscales </w:t>
      </w:r>
      <w:r w:rsidR="00280933">
        <w:rPr>
          <w:rFonts w:ascii="Arial" w:hAnsi="Arial" w:cs="Arial"/>
          <w:i/>
          <w:iCs/>
          <w:sz w:val="24"/>
          <w:szCs w:val="24"/>
        </w:rPr>
        <w:t xml:space="preserve">[…] </w:t>
      </w:r>
      <w:r w:rsidRPr="00C758BC">
        <w:rPr>
          <w:rFonts w:ascii="Arial" w:hAnsi="Arial" w:cs="Arial"/>
          <w:i/>
          <w:iCs/>
          <w:sz w:val="24"/>
          <w:szCs w:val="24"/>
        </w:rPr>
        <w:t xml:space="preserve">han sido especialmente perjudiciales para la independencia del sistema judicial. </w:t>
      </w:r>
      <w:r w:rsidR="00280933">
        <w:rPr>
          <w:rFonts w:ascii="Arial" w:hAnsi="Arial" w:cs="Arial"/>
          <w:i/>
          <w:iCs/>
          <w:sz w:val="24"/>
          <w:szCs w:val="24"/>
        </w:rPr>
        <w:t>[…]</w:t>
      </w:r>
      <w:r w:rsidR="007D0BDA">
        <w:rPr>
          <w:rFonts w:ascii="Arial" w:hAnsi="Arial" w:cs="Arial"/>
          <w:i/>
          <w:iCs/>
          <w:sz w:val="24"/>
          <w:szCs w:val="24"/>
        </w:rPr>
        <w:t>”</w:t>
      </w:r>
      <w:r w:rsidR="007D0BDA">
        <w:rPr>
          <w:rStyle w:val="Refdenotaalfinal"/>
          <w:rFonts w:ascii="Arial" w:hAnsi="Arial" w:cs="Arial"/>
          <w:i/>
          <w:iCs/>
          <w:sz w:val="24"/>
          <w:szCs w:val="24"/>
        </w:rPr>
        <w:endnoteReference w:id="18"/>
      </w:r>
      <w:r w:rsidR="00280933">
        <w:rPr>
          <w:rFonts w:ascii="Arial" w:hAnsi="Arial" w:cs="Arial"/>
          <w:i/>
          <w:iCs/>
          <w:sz w:val="24"/>
          <w:szCs w:val="24"/>
        </w:rPr>
        <w:t xml:space="preserve"> </w:t>
      </w:r>
      <w:r w:rsidR="007D0BDA" w:rsidRPr="00903F1D">
        <w:rPr>
          <w:rFonts w:ascii="Arial" w:hAnsi="Arial" w:cs="Arial"/>
          <w:sz w:val="24"/>
          <w:szCs w:val="24"/>
        </w:rPr>
        <w:t>En consecuenci</w:t>
      </w:r>
      <w:r w:rsidR="007D0BDA" w:rsidRPr="00C758BC">
        <w:rPr>
          <w:rFonts w:ascii="Arial" w:hAnsi="Arial" w:cs="Arial"/>
          <w:i/>
          <w:iCs/>
          <w:sz w:val="24"/>
          <w:szCs w:val="24"/>
        </w:rPr>
        <w:t xml:space="preserve">a, </w:t>
      </w:r>
      <w:r w:rsidR="007D0BDA">
        <w:rPr>
          <w:rFonts w:ascii="Arial" w:hAnsi="Arial" w:cs="Arial"/>
          <w:i/>
          <w:iCs/>
          <w:sz w:val="24"/>
          <w:szCs w:val="24"/>
        </w:rPr>
        <w:t>“</w:t>
      </w:r>
      <w:r w:rsidR="007D0BDA" w:rsidRPr="00C758BC">
        <w:rPr>
          <w:rFonts w:ascii="Arial" w:hAnsi="Arial" w:cs="Arial"/>
          <w:i/>
          <w:iCs/>
          <w:sz w:val="24"/>
          <w:szCs w:val="24"/>
        </w:rPr>
        <w:t xml:space="preserve">la </w:t>
      </w:r>
      <w:proofErr w:type="spellStart"/>
      <w:r w:rsidR="007D0BDA" w:rsidRPr="00C758BC">
        <w:rPr>
          <w:rFonts w:ascii="Arial" w:hAnsi="Arial" w:cs="Arial"/>
          <w:i/>
          <w:iCs/>
          <w:sz w:val="24"/>
          <w:szCs w:val="24"/>
        </w:rPr>
        <w:t>Misión</w:t>
      </w:r>
      <w:proofErr w:type="spellEnd"/>
      <w:r w:rsidR="007D0BDA" w:rsidRPr="00C758BC">
        <w:rPr>
          <w:rFonts w:ascii="Arial" w:hAnsi="Arial" w:cs="Arial"/>
          <w:i/>
          <w:iCs/>
          <w:sz w:val="24"/>
          <w:szCs w:val="24"/>
        </w:rPr>
        <w:t xml:space="preserve"> tiene motivos razonables para creer que </w:t>
      </w:r>
      <w:r w:rsidR="00280933">
        <w:rPr>
          <w:rFonts w:ascii="Arial" w:hAnsi="Arial" w:cs="Arial"/>
          <w:i/>
          <w:iCs/>
          <w:sz w:val="24"/>
          <w:szCs w:val="24"/>
        </w:rPr>
        <w:t>[…]</w:t>
      </w:r>
      <w:r w:rsidR="007D0BDA" w:rsidRPr="00C758BC">
        <w:rPr>
          <w:rFonts w:ascii="Arial" w:hAnsi="Arial" w:cs="Arial"/>
          <w:i/>
          <w:iCs/>
          <w:sz w:val="24"/>
          <w:szCs w:val="24"/>
        </w:rPr>
        <w:t xml:space="preserve">juezas, jueces y fiscales </w:t>
      </w:r>
      <w:r w:rsidR="00280933">
        <w:rPr>
          <w:rFonts w:ascii="Arial" w:hAnsi="Arial" w:cs="Arial"/>
          <w:i/>
          <w:iCs/>
          <w:sz w:val="24"/>
          <w:szCs w:val="24"/>
        </w:rPr>
        <w:t xml:space="preserve">[…] </w:t>
      </w:r>
      <w:r w:rsidR="007D0BDA" w:rsidRPr="00C758BC">
        <w:rPr>
          <w:rFonts w:ascii="Arial" w:hAnsi="Arial" w:cs="Arial"/>
          <w:i/>
          <w:iCs/>
          <w:sz w:val="24"/>
          <w:szCs w:val="24"/>
        </w:rPr>
        <w:t xml:space="preserve">han denegado el goce de derechos a personas opositoras al Gobierno, reales o percibidas, por haber sufrido </w:t>
      </w:r>
      <w:proofErr w:type="spellStart"/>
      <w:r w:rsidR="007D0BDA" w:rsidRPr="00C758BC">
        <w:rPr>
          <w:rFonts w:ascii="Arial" w:hAnsi="Arial" w:cs="Arial"/>
          <w:i/>
          <w:iCs/>
          <w:sz w:val="24"/>
          <w:szCs w:val="24"/>
        </w:rPr>
        <w:t>presión</w:t>
      </w:r>
      <w:proofErr w:type="spellEnd"/>
      <w:r w:rsidR="007D0BDA" w:rsidRPr="00C758BC">
        <w:rPr>
          <w:rFonts w:ascii="Arial" w:hAnsi="Arial" w:cs="Arial"/>
          <w:i/>
          <w:iCs/>
          <w:sz w:val="24"/>
          <w:szCs w:val="24"/>
        </w:rPr>
        <w:t xml:space="preserve"> e injerencia</w:t>
      </w:r>
      <w:r w:rsidR="00280933">
        <w:rPr>
          <w:rFonts w:ascii="Arial" w:hAnsi="Arial" w:cs="Arial"/>
          <w:i/>
          <w:iCs/>
          <w:sz w:val="24"/>
          <w:szCs w:val="24"/>
        </w:rPr>
        <w:t xml:space="preserve"> [de otros grupos de poder y del Estado]</w:t>
      </w:r>
      <w:r w:rsidR="007D0BDA" w:rsidRPr="00C758BC">
        <w:rPr>
          <w:rFonts w:ascii="Arial" w:hAnsi="Arial" w:cs="Arial"/>
          <w:i/>
          <w:iCs/>
          <w:sz w:val="24"/>
          <w:szCs w:val="24"/>
        </w:rPr>
        <w:t>. Son especialmente prevalentes las irregularidades en casos presentados ante juzgados y tribunales con competencia especializada en materia de terrorismo</w:t>
      </w:r>
      <w:r w:rsidR="007D0BDA">
        <w:rPr>
          <w:rFonts w:ascii="Arial" w:hAnsi="Arial" w:cs="Arial"/>
          <w:i/>
          <w:iCs/>
          <w:sz w:val="24"/>
          <w:szCs w:val="24"/>
        </w:rPr>
        <w:t>”</w:t>
      </w:r>
      <w:r w:rsidR="007D0BDA">
        <w:rPr>
          <w:rStyle w:val="Refdenotaalfinal"/>
          <w:rFonts w:ascii="Arial" w:hAnsi="Arial" w:cs="Arial"/>
          <w:i/>
          <w:iCs/>
          <w:sz w:val="24"/>
          <w:szCs w:val="24"/>
        </w:rPr>
        <w:endnoteReference w:id="19"/>
      </w:r>
      <w:r w:rsidR="007D0BDA" w:rsidRPr="00C758BC">
        <w:rPr>
          <w:rFonts w:ascii="Arial" w:hAnsi="Arial" w:cs="Arial"/>
          <w:i/>
          <w:iCs/>
          <w:sz w:val="24"/>
          <w:szCs w:val="24"/>
        </w:rPr>
        <w:t>.</w:t>
      </w:r>
      <w:r w:rsidRPr="00C758BC">
        <w:rPr>
          <w:rFonts w:ascii="Arial" w:hAnsi="Arial" w:cs="Arial"/>
          <w:i/>
          <w:iCs/>
          <w:sz w:val="24"/>
          <w:szCs w:val="24"/>
        </w:rPr>
        <w:t xml:space="preserve"> </w:t>
      </w:r>
    </w:p>
    <w:p w14:paraId="2B321674" w14:textId="34DEFF0E" w:rsidR="00604501" w:rsidRDefault="001E1509" w:rsidP="00C758BC">
      <w:pPr>
        <w:pStyle w:val="NormalWeb"/>
        <w:jc w:val="both"/>
        <w:rPr>
          <w:rFonts w:ascii="Arial" w:hAnsi="Arial" w:cs="Arial"/>
          <w:i/>
          <w:iCs/>
          <w:position w:val="8"/>
        </w:rPr>
      </w:pPr>
      <w:r w:rsidRPr="00C758BC">
        <w:rPr>
          <w:rFonts w:ascii="Arial" w:hAnsi="Arial" w:cs="Arial"/>
        </w:rPr>
        <w:t xml:space="preserve">La ACNUDH, en su informe del </w:t>
      </w:r>
      <w:proofErr w:type="spellStart"/>
      <w:r w:rsidRPr="00C758BC">
        <w:rPr>
          <w:rFonts w:ascii="Arial" w:hAnsi="Arial" w:cs="Arial"/>
        </w:rPr>
        <w:t>año</w:t>
      </w:r>
      <w:proofErr w:type="spellEnd"/>
      <w:r w:rsidRPr="00C758BC">
        <w:rPr>
          <w:rFonts w:ascii="Arial" w:hAnsi="Arial" w:cs="Arial"/>
        </w:rPr>
        <w:t xml:space="preserve"> 2020 se </w:t>
      </w:r>
      <w:proofErr w:type="spellStart"/>
      <w:r w:rsidRPr="00C758BC">
        <w:rPr>
          <w:rFonts w:ascii="Arial" w:hAnsi="Arial" w:cs="Arial"/>
        </w:rPr>
        <w:t>pronuncio</w:t>
      </w:r>
      <w:proofErr w:type="spellEnd"/>
      <w:r w:rsidRPr="00C758BC">
        <w:rPr>
          <w:rFonts w:ascii="Arial" w:hAnsi="Arial" w:cs="Arial"/>
        </w:rPr>
        <w:t xml:space="preserve">́ sobre los factores que socavan la independencia judicial </w:t>
      </w:r>
      <w:r w:rsidR="00280933">
        <w:rPr>
          <w:rFonts w:ascii="Arial" w:hAnsi="Arial" w:cs="Arial"/>
        </w:rPr>
        <w:t>e</w:t>
      </w:r>
      <w:r w:rsidRPr="00C758BC">
        <w:rPr>
          <w:rFonts w:ascii="Arial" w:hAnsi="Arial" w:cs="Arial"/>
        </w:rPr>
        <w:t xml:space="preserve"> impiden su trabajo para controlar el ejercicio del poder de otras organizaciones y el respeto de los derechos humanos</w:t>
      </w:r>
      <w:r w:rsidRPr="00C758BC">
        <w:rPr>
          <w:rFonts w:ascii="Arial" w:hAnsi="Arial" w:cs="Arial"/>
          <w:i/>
          <w:iCs/>
        </w:rPr>
        <w:t xml:space="preserve">. </w:t>
      </w:r>
      <w:r w:rsidRPr="00C758BC">
        <w:rPr>
          <w:rFonts w:ascii="Arial" w:hAnsi="Arial" w:cs="Arial"/>
        </w:rPr>
        <w:t xml:space="preserve">También documentó los desafíos para garantizar la debida diligencia en la </w:t>
      </w:r>
      <w:proofErr w:type="spellStart"/>
      <w:r w:rsidRPr="00C758BC">
        <w:rPr>
          <w:rFonts w:ascii="Arial" w:hAnsi="Arial" w:cs="Arial"/>
        </w:rPr>
        <w:t>atención</w:t>
      </w:r>
      <w:proofErr w:type="spellEnd"/>
      <w:r w:rsidRPr="00C758BC">
        <w:rPr>
          <w:rFonts w:ascii="Arial" w:hAnsi="Arial" w:cs="Arial"/>
        </w:rPr>
        <w:t xml:space="preserve"> a </w:t>
      </w:r>
      <w:proofErr w:type="spellStart"/>
      <w:r w:rsidRPr="00C758BC">
        <w:rPr>
          <w:rFonts w:ascii="Arial" w:hAnsi="Arial" w:cs="Arial"/>
        </w:rPr>
        <w:t>víctimas</w:t>
      </w:r>
      <w:proofErr w:type="spellEnd"/>
      <w:r w:rsidRPr="00C758BC">
        <w:rPr>
          <w:rFonts w:ascii="Arial" w:hAnsi="Arial" w:cs="Arial"/>
        </w:rPr>
        <w:t xml:space="preserve"> y la </w:t>
      </w:r>
      <w:proofErr w:type="spellStart"/>
      <w:r w:rsidRPr="00C758BC">
        <w:rPr>
          <w:rFonts w:ascii="Arial" w:hAnsi="Arial" w:cs="Arial"/>
        </w:rPr>
        <w:t>investigación</w:t>
      </w:r>
      <w:proofErr w:type="spellEnd"/>
      <w:r w:rsidRPr="00C758BC">
        <w:rPr>
          <w:rFonts w:ascii="Arial" w:hAnsi="Arial" w:cs="Arial"/>
        </w:rPr>
        <w:t xml:space="preserve"> de sus casos</w:t>
      </w:r>
      <w:r w:rsidR="00604501">
        <w:rPr>
          <w:rFonts w:ascii="Arial" w:hAnsi="Arial" w:cs="Arial"/>
        </w:rPr>
        <w:t>.</w:t>
      </w:r>
      <w:r w:rsidR="00604501">
        <w:rPr>
          <w:rStyle w:val="Refdenotaalfinal"/>
          <w:rFonts w:ascii="Arial" w:hAnsi="Arial" w:cs="Arial"/>
        </w:rPr>
        <w:endnoteReference w:id="20"/>
      </w:r>
    </w:p>
    <w:p w14:paraId="1D0CCEE5" w14:textId="6B60FF01" w:rsidR="001E1509" w:rsidRPr="00D27012" w:rsidRDefault="001E1509" w:rsidP="008276BC">
      <w:pPr>
        <w:pStyle w:val="Prrafodelista"/>
        <w:spacing w:line="240" w:lineRule="auto"/>
        <w:ind w:left="1276" w:hanging="283"/>
        <w:jc w:val="both"/>
        <w:rPr>
          <w:rFonts w:ascii="Arial" w:eastAsia="Calibri" w:hAnsi="Arial" w:cs="Arial"/>
          <w:sz w:val="24"/>
          <w:szCs w:val="24"/>
        </w:rPr>
      </w:pPr>
      <w:r>
        <w:rPr>
          <w:rFonts w:ascii="Arial" w:eastAsia="Calibri" w:hAnsi="Arial" w:cs="Arial"/>
          <w:sz w:val="24"/>
          <w:szCs w:val="24"/>
          <w:lang w:val="es-MX"/>
        </w:rPr>
        <w:t>d.</w:t>
      </w:r>
      <w:r w:rsidRPr="001E1509">
        <w:rPr>
          <w:rFonts w:ascii="Arial" w:eastAsia="Calibri" w:hAnsi="Arial" w:cs="Arial"/>
          <w:sz w:val="24"/>
          <w:szCs w:val="24"/>
        </w:rPr>
        <w:t xml:space="preserve"> </w:t>
      </w:r>
      <w:r>
        <w:rPr>
          <w:rFonts w:ascii="Arial" w:eastAsia="Calibri" w:hAnsi="Arial" w:cs="Arial"/>
          <w:sz w:val="24"/>
          <w:szCs w:val="24"/>
        </w:rPr>
        <w:t>Impacto diferenciado en las mujeres durante el desarrollo de operativos de seguridad ciudadana</w:t>
      </w:r>
    </w:p>
    <w:p w14:paraId="4732D4A9" w14:textId="5C193CEF" w:rsidR="00CE7422" w:rsidRDefault="001E1509" w:rsidP="00604501">
      <w:pPr>
        <w:pStyle w:val="NormalWeb"/>
        <w:jc w:val="both"/>
        <w:rPr>
          <w:rFonts w:ascii="Arial" w:hAnsi="Arial" w:cs="Arial"/>
        </w:rPr>
      </w:pPr>
      <w:r w:rsidRPr="00941630">
        <w:rPr>
          <w:rFonts w:ascii="Arial" w:hAnsi="Arial" w:cs="Arial"/>
        </w:rPr>
        <w:t xml:space="preserve">En Venezuela, las violaciones a los derechos humanos y el contexto de violencia </w:t>
      </w:r>
      <w:r w:rsidR="00280933">
        <w:rPr>
          <w:rFonts w:ascii="Arial" w:hAnsi="Arial" w:cs="Arial"/>
        </w:rPr>
        <w:t xml:space="preserve">en operativos de seguridad ciudadana tienen </w:t>
      </w:r>
      <w:r w:rsidRPr="00941630">
        <w:rPr>
          <w:rFonts w:ascii="Arial" w:hAnsi="Arial" w:cs="Arial"/>
        </w:rPr>
        <w:t xml:space="preserve">un impacto diferenciado en mujeres y niñas. </w:t>
      </w:r>
      <w:proofErr w:type="spellStart"/>
      <w:r w:rsidRPr="00941630">
        <w:rPr>
          <w:rFonts w:ascii="Arial" w:hAnsi="Arial" w:cs="Arial"/>
        </w:rPr>
        <w:t>Según</w:t>
      </w:r>
      <w:proofErr w:type="spellEnd"/>
      <w:r w:rsidRPr="00941630">
        <w:rPr>
          <w:rFonts w:ascii="Arial" w:hAnsi="Arial" w:cs="Arial"/>
        </w:rPr>
        <w:t xml:space="preserve"> </w:t>
      </w:r>
      <w:proofErr w:type="spellStart"/>
      <w:r w:rsidRPr="00941630">
        <w:rPr>
          <w:rFonts w:ascii="Arial" w:hAnsi="Arial" w:cs="Arial"/>
        </w:rPr>
        <w:t>información</w:t>
      </w:r>
      <w:proofErr w:type="spellEnd"/>
      <w:r w:rsidRPr="00941630">
        <w:rPr>
          <w:rFonts w:ascii="Arial" w:hAnsi="Arial" w:cs="Arial"/>
        </w:rPr>
        <w:t xml:space="preserve"> </w:t>
      </w:r>
      <w:r w:rsidR="008276BC">
        <w:rPr>
          <w:rFonts w:ascii="Arial" w:hAnsi="Arial" w:cs="Arial"/>
        </w:rPr>
        <w:t>recabada</w:t>
      </w:r>
      <w:r w:rsidRPr="00941630">
        <w:rPr>
          <w:rFonts w:ascii="Arial" w:hAnsi="Arial" w:cs="Arial"/>
        </w:rPr>
        <w:t xml:space="preserve"> por COFAVIC, durante operativos de seguridad ciudadana, los cuerpos de seguridad irrumpen </w:t>
      </w:r>
      <w:r w:rsidR="00280933">
        <w:rPr>
          <w:rFonts w:ascii="Arial" w:hAnsi="Arial" w:cs="Arial"/>
        </w:rPr>
        <w:t xml:space="preserve">violentamente </w:t>
      </w:r>
      <w:r w:rsidRPr="00941630">
        <w:rPr>
          <w:rFonts w:ascii="Arial" w:hAnsi="Arial" w:cs="Arial"/>
        </w:rPr>
        <w:t>en las viviendas</w:t>
      </w:r>
      <w:r w:rsidR="00280933">
        <w:rPr>
          <w:rFonts w:ascii="Arial" w:hAnsi="Arial" w:cs="Arial"/>
        </w:rPr>
        <w:t>,</w:t>
      </w:r>
      <w:r w:rsidRPr="00941630">
        <w:rPr>
          <w:rFonts w:ascii="Arial" w:hAnsi="Arial" w:cs="Arial"/>
        </w:rPr>
        <w:t xml:space="preserve"> identifican a las víctimas y las someten. Ante la intervención de las madres, hermanas, esposas y otras figuras femeninas, quienes ruegan por la vida de sus familiares, los presuntos funcionarios les señalan como responsables de “criar delincuentes” o de encubrir sus presuntas actividades delictivas. Las mujeres que se identifican como parejas de los detenidos, son </w:t>
      </w:r>
      <w:proofErr w:type="spellStart"/>
      <w:r w:rsidRPr="00941630">
        <w:rPr>
          <w:rFonts w:ascii="Arial" w:hAnsi="Arial" w:cs="Arial"/>
        </w:rPr>
        <w:t>señaladas</w:t>
      </w:r>
      <w:proofErr w:type="spellEnd"/>
      <w:r w:rsidRPr="00941630">
        <w:rPr>
          <w:rFonts w:ascii="Arial" w:hAnsi="Arial" w:cs="Arial"/>
        </w:rPr>
        <w:t xml:space="preserve"> de manera despectiva por ser pareja de delincuentes</w:t>
      </w:r>
      <w:r w:rsidR="00280933" w:rsidRPr="00280933">
        <w:rPr>
          <w:rFonts w:ascii="Arial" w:hAnsi="Arial" w:cs="Arial"/>
        </w:rPr>
        <w:t xml:space="preserve"> </w:t>
      </w:r>
      <w:r w:rsidR="00280933" w:rsidRPr="00941630">
        <w:rPr>
          <w:rFonts w:ascii="Arial" w:hAnsi="Arial" w:cs="Arial"/>
        </w:rPr>
        <w:t xml:space="preserve">e incluso hay </w:t>
      </w:r>
      <w:proofErr w:type="spellStart"/>
      <w:r w:rsidR="00280933" w:rsidRPr="00941630">
        <w:rPr>
          <w:rFonts w:ascii="Arial" w:hAnsi="Arial" w:cs="Arial"/>
        </w:rPr>
        <w:t>señalamientos</w:t>
      </w:r>
      <w:proofErr w:type="spellEnd"/>
      <w:r w:rsidR="00280933" w:rsidRPr="00941630">
        <w:rPr>
          <w:rFonts w:ascii="Arial" w:hAnsi="Arial" w:cs="Arial"/>
        </w:rPr>
        <w:t xml:space="preserve"> despectivos de </w:t>
      </w:r>
      <w:proofErr w:type="spellStart"/>
      <w:r w:rsidR="00280933" w:rsidRPr="00941630">
        <w:rPr>
          <w:rFonts w:ascii="Arial" w:hAnsi="Arial" w:cs="Arial"/>
        </w:rPr>
        <w:t>carácter</w:t>
      </w:r>
      <w:proofErr w:type="spellEnd"/>
      <w:r w:rsidR="00280933" w:rsidRPr="00941630">
        <w:rPr>
          <w:rFonts w:ascii="Arial" w:hAnsi="Arial" w:cs="Arial"/>
        </w:rPr>
        <w:t xml:space="preserve"> sexua</w:t>
      </w:r>
      <w:r w:rsidR="00280933">
        <w:rPr>
          <w:rFonts w:ascii="Arial" w:hAnsi="Arial" w:cs="Arial"/>
        </w:rPr>
        <w:t>l</w:t>
      </w:r>
      <w:r w:rsidR="00CE7422" w:rsidRPr="00941630">
        <w:rPr>
          <w:rStyle w:val="Refdenotaalfinal"/>
          <w:rFonts w:ascii="Arial" w:hAnsi="Arial" w:cs="Arial"/>
        </w:rPr>
        <w:endnoteReference w:id="21"/>
      </w:r>
    </w:p>
    <w:p w14:paraId="0E4BA54A" w14:textId="66293C95" w:rsidR="00CE7422" w:rsidRPr="00D733DB" w:rsidRDefault="00280933" w:rsidP="00604501">
      <w:pPr>
        <w:pStyle w:val="NormalWeb"/>
        <w:jc w:val="both"/>
        <w:rPr>
          <w:rFonts w:ascii="Arial" w:hAnsi="Arial" w:cs="Arial"/>
        </w:rPr>
      </w:pPr>
      <w:r>
        <w:rPr>
          <w:rFonts w:ascii="Arial" w:hAnsi="Arial" w:cs="Arial"/>
        </w:rPr>
        <w:t>L</w:t>
      </w:r>
      <w:r w:rsidR="00CE7422">
        <w:rPr>
          <w:rFonts w:ascii="Arial" w:hAnsi="Arial" w:cs="Arial"/>
        </w:rPr>
        <w:t xml:space="preserve">a Misión ha señalado que “en algunos casos, los agentes de seguridad degradaron a las parientes femeninas en función de su sexo y de sus relaciones con las víctimas masculinas de las operaciones. </w:t>
      </w:r>
      <w:r>
        <w:rPr>
          <w:rFonts w:ascii="Arial" w:hAnsi="Arial" w:cs="Arial"/>
        </w:rPr>
        <w:t xml:space="preserve">Por ejemplo, en un </w:t>
      </w:r>
      <w:r w:rsidR="00CE7422">
        <w:rPr>
          <w:rFonts w:ascii="Arial" w:hAnsi="Arial" w:cs="Arial"/>
        </w:rPr>
        <w:t xml:space="preserve">caso, una funcionaria obligó a las parientes femeninas a desnudarse y saltar desnudas, aparentemente para asegurarse de que </w:t>
      </w:r>
      <w:r w:rsidR="00CE7422" w:rsidRPr="00D733DB">
        <w:rPr>
          <w:rFonts w:ascii="Arial" w:hAnsi="Arial" w:cs="Arial"/>
        </w:rPr>
        <w:t>no tuvieran contrabando escondido en sus vaginas</w:t>
      </w:r>
      <w:r>
        <w:rPr>
          <w:rFonts w:ascii="Arial" w:hAnsi="Arial" w:cs="Arial"/>
        </w:rPr>
        <w:t xml:space="preserve">. </w:t>
      </w:r>
      <w:r w:rsidR="00CE7422" w:rsidRPr="00D733DB">
        <w:rPr>
          <w:rFonts w:ascii="Arial" w:hAnsi="Arial" w:cs="Arial"/>
        </w:rPr>
        <w:t>Los oficiales de la FAES llamaron a las niñas y mujeres “malditas perras” y “putas”.</w:t>
      </w:r>
      <w:r w:rsidR="00CE7422" w:rsidRPr="00D733DB">
        <w:rPr>
          <w:rStyle w:val="Refdenotaalfinal"/>
          <w:rFonts w:ascii="Arial" w:hAnsi="Arial" w:cs="Arial"/>
        </w:rPr>
        <w:endnoteReference w:id="22"/>
      </w:r>
    </w:p>
    <w:p w14:paraId="351D8600" w14:textId="39DA0B80" w:rsidR="00D733DB" w:rsidRPr="00D733DB" w:rsidRDefault="001E1509" w:rsidP="00604501">
      <w:pPr>
        <w:pStyle w:val="NormalWeb"/>
        <w:jc w:val="both"/>
        <w:rPr>
          <w:rFonts w:ascii="Arial" w:hAnsi="Arial" w:cs="Arial"/>
        </w:rPr>
      </w:pPr>
      <w:r w:rsidRPr="00D733DB">
        <w:rPr>
          <w:rFonts w:ascii="Arial" w:hAnsi="Arial" w:cs="Arial"/>
        </w:rPr>
        <w:t>La M</w:t>
      </w:r>
      <w:r w:rsidR="00CE7422" w:rsidRPr="00D733DB">
        <w:rPr>
          <w:rFonts w:ascii="Arial" w:hAnsi="Arial" w:cs="Arial"/>
        </w:rPr>
        <w:t>isión</w:t>
      </w:r>
      <w:r w:rsidRPr="00D733DB">
        <w:rPr>
          <w:rFonts w:ascii="Arial" w:hAnsi="Arial" w:cs="Arial"/>
        </w:rPr>
        <w:t xml:space="preserve"> documentó patrones en los métodos de tortura utilizados por funcionarios de seguridad a mujeres detenidas por motivos políticos, y otras personas consideradas </w:t>
      </w:r>
      <w:proofErr w:type="spellStart"/>
      <w:r w:rsidRPr="00D733DB">
        <w:rPr>
          <w:rFonts w:ascii="Arial" w:hAnsi="Arial" w:cs="Arial"/>
        </w:rPr>
        <w:t>críticas</w:t>
      </w:r>
      <w:proofErr w:type="spellEnd"/>
      <w:r w:rsidRPr="00D733DB">
        <w:rPr>
          <w:rFonts w:ascii="Arial" w:hAnsi="Arial" w:cs="Arial"/>
        </w:rPr>
        <w:t xml:space="preserve"> con el Gobierno, quienes durante los interrogatorios fueron amenazadas con ser violadas utilizando partes del cuerpo y/</w:t>
      </w:r>
      <w:proofErr w:type="spellStart"/>
      <w:r w:rsidRPr="00D733DB">
        <w:rPr>
          <w:rFonts w:ascii="Arial" w:hAnsi="Arial" w:cs="Arial"/>
        </w:rPr>
        <w:t>o</w:t>
      </w:r>
      <w:proofErr w:type="spellEnd"/>
      <w:r w:rsidRPr="00D733DB">
        <w:rPr>
          <w:rFonts w:ascii="Arial" w:hAnsi="Arial" w:cs="Arial"/>
        </w:rPr>
        <w:t xml:space="preserve"> objetos</w:t>
      </w:r>
      <w:r w:rsidR="00D733DB" w:rsidRPr="00D733DB">
        <w:rPr>
          <w:rStyle w:val="Refdenotaalfinal"/>
          <w:rFonts w:ascii="Arial" w:hAnsi="Arial" w:cs="Arial"/>
        </w:rPr>
        <w:endnoteReference w:id="23"/>
      </w:r>
      <w:r w:rsidR="00D733DB" w:rsidRPr="00D733DB">
        <w:rPr>
          <w:rFonts w:ascii="Arial" w:hAnsi="Arial" w:cs="Arial"/>
        </w:rPr>
        <w:t xml:space="preserve">. </w:t>
      </w:r>
      <w:proofErr w:type="spellStart"/>
      <w:r w:rsidR="00D733DB" w:rsidRPr="00D733DB">
        <w:rPr>
          <w:rFonts w:ascii="Arial" w:hAnsi="Arial" w:cs="Arial"/>
        </w:rPr>
        <w:t>También</w:t>
      </w:r>
      <w:proofErr w:type="spellEnd"/>
      <w:r w:rsidR="00D733DB" w:rsidRPr="00D733DB">
        <w:rPr>
          <w:rFonts w:ascii="Arial" w:hAnsi="Arial" w:cs="Arial"/>
        </w:rPr>
        <w:t xml:space="preserve"> amenazaron con violencia sexual o de otro tipo contra las mujeres de la familia de los detenidos. Igualmente, la </w:t>
      </w:r>
      <w:proofErr w:type="spellStart"/>
      <w:r w:rsidR="00D733DB" w:rsidRPr="00D733DB">
        <w:rPr>
          <w:rFonts w:ascii="Arial" w:hAnsi="Arial" w:cs="Arial"/>
        </w:rPr>
        <w:t>Misión</w:t>
      </w:r>
      <w:proofErr w:type="spellEnd"/>
      <w:r w:rsidR="00D733DB" w:rsidRPr="00D733DB">
        <w:rPr>
          <w:rFonts w:ascii="Arial" w:hAnsi="Arial" w:cs="Arial"/>
        </w:rPr>
        <w:t xml:space="preserve"> documentó que, en varios casos, mujeres que menstruaban fueron retenidas </w:t>
      </w:r>
      <w:proofErr w:type="spellStart"/>
      <w:r w:rsidR="00D733DB" w:rsidRPr="00D733DB">
        <w:rPr>
          <w:rFonts w:ascii="Arial" w:hAnsi="Arial" w:cs="Arial"/>
        </w:rPr>
        <w:t>después</w:t>
      </w:r>
      <w:proofErr w:type="spellEnd"/>
      <w:r w:rsidR="00D733DB" w:rsidRPr="00D733DB">
        <w:rPr>
          <w:rFonts w:ascii="Arial" w:hAnsi="Arial" w:cs="Arial"/>
        </w:rPr>
        <w:t xml:space="preserve"> de su arresto sin tener acceso a productos de higiene menstrual y sin poder </w:t>
      </w:r>
      <w:proofErr w:type="spellStart"/>
      <w:r w:rsidR="00D733DB" w:rsidRPr="00D733DB">
        <w:rPr>
          <w:rFonts w:ascii="Arial" w:hAnsi="Arial" w:cs="Arial"/>
        </w:rPr>
        <w:t>bañarse</w:t>
      </w:r>
      <w:proofErr w:type="spellEnd"/>
      <w:r w:rsidR="00D733DB" w:rsidRPr="00D733DB">
        <w:rPr>
          <w:rFonts w:ascii="Arial" w:hAnsi="Arial" w:cs="Arial"/>
        </w:rPr>
        <w:t xml:space="preserve"> adecuadamente. En ocasiones, se presentaban a mujeres en el tribunal con estas ropas ensangrentadas y/o funcionarios de seguridad se burlaban de ellas y de la sangre.</w:t>
      </w:r>
      <w:r w:rsidR="00D733DB" w:rsidRPr="00D733DB">
        <w:rPr>
          <w:rStyle w:val="Refdenotaalfinal"/>
          <w:rFonts w:ascii="Arial" w:hAnsi="Arial" w:cs="Arial"/>
        </w:rPr>
        <w:endnoteReference w:id="24"/>
      </w:r>
      <w:r w:rsidR="00D733DB" w:rsidRPr="00D733DB">
        <w:rPr>
          <w:rFonts w:ascii="Arial" w:hAnsi="Arial" w:cs="Arial"/>
        </w:rPr>
        <w:t xml:space="preserve"> Mujeres detenidas </w:t>
      </w:r>
      <w:r w:rsidR="00D733DB" w:rsidRPr="00D733DB">
        <w:rPr>
          <w:rFonts w:ascii="Arial" w:hAnsi="Arial" w:cs="Arial"/>
        </w:rPr>
        <w:lastRenderedPageBreak/>
        <w:t xml:space="preserve">informaron que </w:t>
      </w:r>
      <w:proofErr w:type="spellStart"/>
      <w:r w:rsidR="00D733DB" w:rsidRPr="00D733DB">
        <w:rPr>
          <w:rFonts w:ascii="Arial" w:hAnsi="Arial" w:cs="Arial"/>
        </w:rPr>
        <w:t>tenían</w:t>
      </w:r>
      <w:proofErr w:type="spellEnd"/>
      <w:r w:rsidR="00D733DB" w:rsidRPr="00D733DB">
        <w:rPr>
          <w:rFonts w:ascii="Arial" w:hAnsi="Arial" w:cs="Arial"/>
        </w:rPr>
        <w:t xml:space="preserve"> menos acceso a la luz solar y a la actividad </w:t>
      </w:r>
      <w:proofErr w:type="spellStart"/>
      <w:r w:rsidR="00D733DB" w:rsidRPr="00D733DB">
        <w:rPr>
          <w:rFonts w:ascii="Arial" w:hAnsi="Arial" w:cs="Arial"/>
        </w:rPr>
        <w:t>física</w:t>
      </w:r>
      <w:proofErr w:type="spellEnd"/>
      <w:r w:rsidR="00D733DB" w:rsidRPr="00D733DB">
        <w:rPr>
          <w:rFonts w:ascii="Arial" w:hAnsi="Arial" w:cs="Arial"/>
        </w:rPr>
        <w:t xml:space="preserve"> en </w:t>
      </w:r>
      <w:proofErr w:type="spellStart"/>
      <w:r w:rsidR="00D733DB" w:rsidRPr="00D733DB">
        <w:rPr>
          <w:rFonts w:ascii="Arial" w:hAnsi="Arial" w:cs="Arial"/>
        </w:rPr>
        <w:t>comparación</w:t>
      </w:r>
      <w:proofErr w:type="spellEnd"/>
      <w:r w:rsidR="00D733DB" w:rsidRPr="00D733DB">
        <w:rPr>
          <w:rFonts w:ascii="Arial" w:hAnsi="Arial" w:cs="Arial"/>
        </w:rPr>
        <w:t xml:space="preserve"> de los hombres.</w:t>
      </w:r>
      <w:r w:rsidR="00D733DB" w:rsidRPr="00D733DB">
        <w:rPr>
          <w:rStyle w:val="Refdenotaalfinal"/>
          <w:rFonts w:ascii="Arial" w:hAnsi="Arial" w:cs="Arial"/>
        </w:rPr>
        <w:endnoteReference w:id="25"/>
      </w:r>
      <w:r w:rsidR="00D733DB" w:rsidRPr="00D733DB">
        <w:rPr>
          <w:rFonts w:ascii="Arial" w:hAnsi="Arial" w:cs="Arial"/>
        </w:rPr>
        <w:t xml:space="preserve"> Mujeres bajo custodia </w:t>
      </w:r>
      <w:proofErr w:type="spellStart"/>
      <w:r w:rsidR="00D733DB" w:rsidRPr="00D733DB">
        <w:rPr>
          <w:rFonts w:ascii="Arial" w:hAnsi="Arial" w:cs="Arial"/>
        </w:rPr>
        <w:t>también</w:t>
      </w:r>
      <w:proofErr w:type="spellEnd"/>
      <w:r w:rsidR="00D733DB" w:rsidRPr="00D733DB">
        <w:rPr>
          <w:rFonts w:ascii="Arial" w:hAnsi="Arial" w:cs="Arial"/>
        </w:rPr>
        <w:t xml:space="preserve"> enfrentaron riesgos adicionales de </w:t>
      </w:r>
      <w:proofErr w:type="spellStart"/>
      <w:r w:rsidR="00D733DB" w:rsidRPr="00D733DB">
        <w:rPr>
          <w:rFonts w:ascii="Arial" w:hAnsi="Arial" w:cs="Arial"/>
        </w:rPr>
        <w:t>explotación</w:t>
      </w:r>
      <w:proofErr w:type="spellEnd"/>
      <w:r w:rsidR="00D733DB" w:rsidRPr="00D733DB">
        <w:rPr>
          <w:rFonts w:ascii="Arial" w:hAnsi="Arial" w:cs="Arial"/>
        </w:rPr>
        <w:t xml:space="preserve"> sexual y sexo transaccional coercitivo.</w:t>
      </w:r>
      <w:r w:rsidR="00D733DB" w:rsidRPr="00D733DB">
        <w:rPr>
          <w:rStyle w:val="Refdenotaalfinal"/>
          <w:rFonts w:ascii="Arial" w:hAnsi="Arial" w:cs="Arial"/>
        </w:rPr>
        <w:endnoteReference w:id="26"/>
      </w:r>
    </w:p>
    <w:p w14:paraId="0C68FC3E" w14:textId="29D0A730" w:rsidR="003B561B" w:rsidRPr="005A2B85" w:rsidRDefault="003B561B" w:rsidP="005A2B85">
      <w:pPr>
        <w:pStyle w:val="Prrafodelista"/>
        <w:numPr>
          <w:ilvl w:val="0"/>
          <w:numId w:val="14"/>
        </w:numPr>
        <w:spacing w:after="0" w:line="240" w:lineRule="auto"/>
        <w:ind w:left="1418" w:hanging="284"/>
        <w:rPr>
          <w:rFonts w:ascii="Arial" w:hAnsi="Arial" w:cs="Arial"/>
          <w:sz w:val="24"/>
          <w:szCs w:val="24"/>
        </w:rPr>
      </w:pPr>
      <w:r w:rsidRPr="005A2B85">
        <w:rPr>
          <w:rFonts w:ascii="Arial" w:hAnsi="Arial" w:cs="Arial"/>
          <w:sz w:val="24"/>
          <w:szCs w:val="24"/>
        </w:rPr>
        <w:t xml:space="preserve">Salud </w:t>
      </w:r>
    </w:p>
    <w:p w14:paraId="226EB193" w14:textId="0E914DE6" w:rsidR="003B561B" w:rsidRPr="00D27012" w:rsidRDefault="003B561B" w:rsidP="00D27012">
      <w:pPr>
        <w:spacing w:after="0" w:line="240" w:lineRule="auto"/>
        <w:rPr>
          <w:rFonts w:ascii="Arial" w:hAnsi="Arial" w:cs="Arial"/>
          <w:sz w:val="24"/>
          <w:szCs w:val="24"/>
        </w:rPr>
      </w:pPr>
    </w:p>
    <w:p w14:paraId="254D2F66" w14:textId="19DB8394" w:rsidR="003B561B" w:rsidRPr="004B5A14" w:rsidRDefault="00280933" w:rsidP="00D27012">
      <w:pPr>
        <w:pStyle w:val="SingleTxtG"/>
        <w:tabs>
          <w:tab w:val="clear" w:pos="2835"/>
        </w:tabs>
        <w:spacing w:line="240" w:lineRule="auto"/>
        <w:ind w:left="0" w:right="49"/>
        <w:rPr>
          <w:rFonts w:ascii="Arial" w:hAnsi="Arial" w:cs="Arial"/>
          <w:sz w:val="24"/>
          <w:szCs w:val="24"/>
          <w:lang w:val="es-ES"/>
        </w:rPr>
      </w:pPr>
      <w:r>
        <w:rPr>
          <w:rFonts w:ascii="Arial" w:hAnsi="Arial" w:cs="Arial"/>
          <w:sz w:val="24"/>
          <w:szCs w:val="24"/>
          <w:lang w:val="es"/>
        </w:rPr>
        <w:t xml:space="preserve">El </w:t>
      </w:r>
      <w:r w:rsidR="003B561B" w:rsidRPr="004B5A14">
        <w:rPr>
          <w:rFonts w:ascii="Arial" w:hAnsi="Arial" w:cs="Arial"/>
          <w:sz w:val="24"/>
          <w:szCs w:val="24"/>
          <w:lang w:val="es"/>
        </w:rPr>
        <w:t>COVID-19 agravó un sistema de salud ya frágil. Se siguió reportando la falta de medicamentos, suministros y suficiente personal calificado en el sistema de salud, afectando en particular el acceso de mujeres y niños a una atención médica adecuada, incluido el tratamiento especializado para niños y niñas con enfermedades crónicas y la vacunación contra enfermedades prevenibles, y la salud sexual y reproductiva de mujeres y adolescentes. Según se reporta, los centros de salud se han visto afectados por apagones regulares, lo que ha impactado la prestación de servicios a los pacientes.</w:t>
      </w:r>
      <w:r w:rsidR="003B561B" w:rsidRPr="004B5A14">
        <w:rPr>
          <w:rStyle w:val="Refdenotaalfinal"/>
          <w:rFonts w:ascii="Arial" w:hAnsi="Arial" w:cs="Arial"/>
          <w:sz w:val="24"/>
          <w:szCs w:val="24"/>
          <w:lang w:val="es"/>
        </w:rPr>
        <w:endnoteReference w:id="27"/>
      </w:r>
    </w:p>
    <w:p w14:paraId="777B35CB" w14:textId="77777777" w:rsidR="003B561B" w:rsidRPr="00D27012" w:rsidRDefault="003B561B" w:rsidP="00D27012">
      <w:pPr>
        <w:spacing w:after="0" w:line="240" w:lineRule="auto"/>
        <w:rPr>
          <w:rFonts w:ascii="Arial" w:hAnsi="Arial" w:cs="Arial"/>
          <w:sz w:val="24"/>
          <w:szCs w:val="24"/>
          <w:lang w:val="es-ES"/>
        </w:rPr>
      </w:pPr>
    </w:p>
    <w:p w14:paraId="04A5455C" w14:textId="41E51525" w:rsidR="003B561B" w:rsidRPr="00D27012" w:rsidRDefault="003B561B" w:rsidP="00D27012">
      <w:pPr>
        <w:pStyle w:val="Prrafodelista"/>
        <w:numPr>
          <w:ilvl w:val="0"/>
          <w:numId w:val="1"/>
        </w:numPr>
        <w:spacing w:line="240" w:lineRule="auto"/>
        <w:ind w:left="1418" w:firstLine="0"/>
        <w:rPr>
          <w:rFonts w:ascii="Arial" w:hAnsi="Arial" w:cs="Arial"/>
          <w:sz w:val="24"/>
          <w:szCs w:val="24"/>
          <w:u w:val="single"/>
        </w:rPr>
      </w:pPr>
      <w:r w:rsidRPr="00D27012">
        <w:rPr>
          <w:rFonts w:ascii="Arial" w:hAnsi="Arial" w:cs="Arial"/>
          <w:sz w:val="24"/>
          <w:szCs w:val="24"/>
          <w:u w:val="single"/>
        </w:rPr>
        <w:t>Mujeres viviendo con VIH</w:t>
      </w:r>
    </w:p>
    <w:p w14:paraId="66F9FD96" w14:textId="155376E5" w:rsidR="003B561B" w:rsidRPr="00D27012" w:rsidRDefault="003B561B" w:rsidP="00D27012">
      <w:pPr>
        <w:spacing w:line="240" w:lineRule="auto"/>
        <w:jc w:val="both"/>
        <w:rPr>
          <w:rFonts w:ascii="Arial" w:hAnsi="Arial" w:cs="Arial"/>
          <w:sz w:val="24"/>
          <w:szCs w:val="24"/>
        </w:rPr>
      </w:pPr>
      <w:r w:rsidRPr="00D27012">
        <w:rPr>
          <w:rFonts w:ascii="Arial" w:hAnsi="Arial" w:cs="Arial"/>
          <w:sz w:val="24"/>
          <w:szCs w:val="24"/>
        </w:rPr>
        <w:t>En los últimos 10 años se diagnosticaron 65.768 nuevos casos</w:t>
      </w:r>
      <w:r w:rsidR="00280933">
        <w:rPr>
          <w:rFonts w:ascii="Arial" w:hAnsi="Arial" w:cs="Arial"/>
          <w:sz w:val="24"/>
          <w:szCs w:val="24"/>
        </w:rPr>
        <w:t xml:space="preserve"> </w:t>
      </w:r>
      <w:r w:rsidR="008276BC">
        <w:rPr>
          <w:rFonts w:ascii="Arial" w:hAnsi="Arial" w:cs="Arial"/>
          <w:sz w:val="24"/>
          <w:szCs w:val="24"/>
        </w:rPr>
        <w:t>de VIH</w:t>
      </w:r>
      <w:r w:rsidRPr="00D27012">
        <w:rPr>
          <w:rFonts w:ascii="Arial" w:hAnsi="Arial" w:cs="Arial"/>
          <w:sz w:val="24"/>
          <w:szCs w:val="24"/>
        </w:rPr>
        <w:t>, con un aumento en mujeres de 21,9% en 2011 a 25,8% en 2020, pero que, en los años 2015 y 2017, alcanzó el 38%. Las mujeres más afectadas son las trabajadoras sexuales y las mujeres trans, en 2019 mostraron prevalencias de un 3,74% y 35,85% respectivamente.</w:t>
      </w:r>
      <w:r w:rsidRPr="00D27012">
        <w:rPr>
          <w:rStyle w:val="Refdenotaalfinal"/>
          <w:rFonts w:ascii="Arial" w:hAnsi="Arial" w:cs="Arial"/>
          <w:sz w:val="24"/>
          <w:szCs w:val="24"/>
        </w:rPr>
        <w:endnoteReference w:id="28"/>
      </w:r>
      <w:r w:rsidRPr="00D27012">
        <w:rPr>
          <w:rFonts w:ascii="Arial" w:hAnsi="Arial" w:cs="Arial"/>
          <w:sz w:val="24"/>
          <w:szCs w:val="24"/>
        </w:rPr>
        <w:t xml:space="preserve"> Las </w:t>
      </w:r>
      <w:r w:rsidR="008276BC">
        <w:rPr>
          <w:rFonts w:ascii="Arial" w:hAnsi="Arial" w:cs="Arial"/>
          <w:sz w:val="24"/>
          <w:szCs w:val="24"/>
        </w:rPr>
        <w:t xml:space="preserve">personas </w:t>
      </w:r>
      <w:r w:rsidRPr="00D27012">
        <w:rPr>
          <w:rFonts w:ascii="Arial" w:hAnsi="Arial" w:cs="Arial"/>
          <w:sz w:val="24"/>
          <w:szCs w:val="24"/>
        </w:rPr>
        <w:t xml:space="preserve">trans son poblaciones sumamente discriminadas en Venezuela </w:t>
      </w:r>
      <w:r w:rsidRPr="00D27012">
        <w:rPr>
          <w:rStyle w:val="Refdenotaalfinal"/>
          <w:rFonts w:ascii="Arial" w:hAnsi="Arial" w:cs="Arial"/>
          <w:sz w:val="24"/>
          <w:szCs w:val="24"/>
        </w:rPr>
        <w:endnoteReference w:id="29"/>
      </w:r>
      <w:r w:rsidRPr="00D27012">
        <w:rPr>
          <w:rFonts w:ascii="Arial" w:hAnsi="Arial" w:cs="Arial"/>
          <w:sz w:val="24"/>
          <w:szCs w:val="24"/>
        </w:rPr>
        <w:t xml:space="preserve">. </w:t>
      </w:r>
    </w:p>
    <w:p w14:paraId="50F0B6B9" w14:textId="15F9CA07" w:rsidR="003B561B" w:rsidRPr="00D27012" w:rsidRDefault="003B561B" w:rsidP="00D27012">
      <w:pPr>
        <w:spacing w:line="240" w:lineRule="auto"/>
        <w:jc w:val="both"/>
        <w:rPr>
          <w:rFonts w:ascii="Arial" w:hAnsi="Arial" w:cs="Arial"/>
          <w:sz w:val="24"/>
          <w:szCs w:val="24"/>
        </w:rPr>
      </w:pPr>
      <w:r w:rsidRPr="00D27012">
        <w:rPr>
          <w:rFonts w:ascii="Arial" w:hAnsi="Arial" w:cs="Arial"/>
          <w:sz w:val="24"/>
          <w:szCs w:val="24"/>
        </w:rPr>
        <w:t>La tasa de mortalidad por VIH en mujeres ha mantenido un constante aumento desde 2011, teniendo su máximo en 2017</w:t>
      </w:r>
      <w:r w:rsidRPr="00D27012">
        <w:rPr>
          <w:rStyle w:val="Refdenotaalfinal"/>
          <w:rFonts w:ascii="Arial" w:hAnsi="Arial" w:cs="Arial"/>
          <w:sz w:val="24"/>
          <w:szCs w:val="24"/>
        </w:rPr>
        <w:endnoteReference w:id="30"/>
      </w:r>
      <w:r w:rsidRPr="00D27012">
        <w:rPr>
          <w:rFonts w:ascii="Arial" w:hAnsi="Arial" w:cs="Arial"/>
          <w:sz w:val="24"/>
          <w:szCs w:val="24"/>
        </w:rPr>
        <w:t>. Según el Sistema de Información de Salud (SIS) del MPPS, se realizó, en 2019, la prueba de VIH a 41.284 gestantes, con 490 nuevos casos de VIH en mujeres embarazadas. A esto se suman las mujeres conocidas con VIH que se embarazaron. El total de gestantes para 2019 fue de 546.</w:t>
      </w:r>
      <w:r w:rsidRPr="00D27012">
        <w:rPr>
          <w:rStyle w:val="Refdenotaalfinal"/>
          <w:rFonts w:ascii="Arial" w:hAnsi="Arial" w:cs="Arial"/>
          <w:sz w:val="24"/>
          <w:szCs w:val="24"/>
        </w:rPr>
        <w:endnoteReference w:id="31"/>
      </w:r>
      <w:r w:rsidR="008276BC">
        <w:rPr>
          <w:rFonts w:ascii="Arial" w:hAnsi="Arial" w:cs="Arial"/>
          <w:sz w:val="24"/>
          <w:szCs w:val="24"/>
        </w:rPr>
        <w:t xml:space="preserve"> </w:t>
      </w:r>
      <w:proofErr w:type="gramStart"/>
      <w:r w:rsidR="008276BC" w:rsidRPr="008276BC">
        <w:rPr>
          <w:rFonts w:ascii="Arial" w:hAnsi="Arial" w:cs="Arial"/>
          <w:sz w:val="24"/>
          <w:szCs w:val="24"/>
        </w:rPr>
        <w:t>De acuerdo al</w:t>
      </w:r>
      <w:proofErr w:type="gramEnd"/>
      <w:r w:rsidR="008276BC" w:rsidRPr="008276BC">
        <w:rPr>
          <w:rFonts w:ascii="Arial" w:hAnsi="Arial" w:cs="Arial"/>
          <w:sz w:val="24"/>
          <w:szCs w:val="24"/>
        </w:rPr>
        <w:t xml:space="preserve"> Informe VIH en Venezuela, 57 embarazadas con VIH fueron obligadas a parir en el momento del parto, sin aplicar </w:t>
      </w:r>
      <w:proofErr w:type="spellStart"/>
      <w:r w:rsidR="008276BC" w:rsidRPr="008276BC">
        <w:rPr>
          <w:rFonts w:ascii="Arial" w:hAnsi="Arial" w:cs="Arial"/>
          <w:sz w:val="24"/>
          <w:szCs w:val="24"/>
        </w:rPr>
        <w:t>cesarea</w:t>
      </w:r>
      <w:proofErr w:type="spellEnd"/>
      <w:r w:rsidR="008276BC" w:rsidRPr="008276BC">
        <w:rPr>
          <w:rFonts w:ascii="Arial" w:hAnsi="Arial" w:cs="Arial"/>
          <w:sz w:val="24"/>
          <w:szCs w:val="24"/>
        </w:rPr>
        <w:t xml:space="preserve">, lo que contradice las recomendaciones de OMS/OPS. Igualmente, se informa que a las embarazadas con VIH+ se le </w:t>
      </w:r>
      <w:proofErr w:type="gramStart"/>
      <w:r w:rsidR="008276BC" w:rsidRPr="008276BC">
        <w:rPr>
          <w:rFonts w:ascii="Arial" w:hAnsi="Arial" w:cs="Arial"/>
          <w:sz w:val="24"/>
          <w:szCs w:val="24"/>
        </w:rPr>
        <w:t>continua</w:t>
      </w:r>
      <w:proofErr w:type="gramEnd"/>
      <w:r w:rsidR="008276BC" w:rsidRPr="008276BC">
        <w:rPr>
          <w:rFonts w:ascii="Arial" w:hAnsi="Arial" w:cs="Arial"/>
          <w:sz w:val="24"/>
          <w:szCs w:val="24"/>
        </w:rPr>
        <w:t xml:space="preserve"> exigiendo kit de bioseguridad, lo que contraviene la Resolución SG 439 del Ministerio del Poder Popular para la Salud.</w:t>
      </w:r>
    </w:p>
    <w:p w14:paraId="0A379F57" w14:textId="77777777" w:rsidR="003B561B" w:rsidRPr="00D27012" w:rsidRDefault="003B561B" w:rsidP="00D27012">
      <w:pPr>
        <w:spacing w:before="100" w:after="100" w:line="240" w:lineRule="auto"/>
        <w:jc w:val="both"/>
        <w:rPr>
          <w:rFonts w:ascii="Arial" w:eastAsia="Times New Roman" w:hAnsi="Arial" w:cs="Arial"/>
          <w:sz w:val="24"/>
          <w:szCs w:val="24"/>
          <w:lang w:eastAsia="es-ES_tradnl"/>
        </w:rPr>
      </w:pPr>
      <w:r w:rsidRPr="00D27012">
        <w:rPr>
          <w:rFonts w:ascii="Arial" w:eastAsia="Times New Roman" w:hAnsi="Arial" w:cs="Arial"/>
          <w:sz w:val="24"/>
          <w:szCs w:val="24"/>
          <w:lang w:eastAsia="es-ES_tradnl"/>
        </w:rPr>
        <w:t>El informe de derechos humanos de las mujeres con VIH</w:t>
      </w:r>
      <w:r w:rsidRPr="00D27012">
        <w:rPr>
          <w:rStyle w:val="Refdenotaalfinal"/>
          <w:rFonts w:ascii="Arial" w:eastAsia="Times New Roman" w:hAnsi="Arial" w:cs="Arial"/>
          <w:sz w:val="24"/>
          <w:szCs w:val="24"/>
          <w:lang w:eastAsia="es-ES_tradnl"/>
        </w:rPr>
        <w:endnoteReference w:id="32"/>
      </w:r>
      <w:r w:rsidRPr="00D27012">
        <w:rPr>
          <w:rFonts w:ascii="Arial" w:eastAsia="Times New Roman" w:hAnsi="Arial" w:cs="Arial"/>
          <w:sz w:val="24"/>
          <w:szCs w:val="24"/>
          <w:lang w:eastAsia="es-ES_tradnl"/>
        </w:rPr>
        <w:t xml:space="preserve"> revela que “el tratamiento no es igual para todos”. El esquema de tratamiento universal es determinado con base en el peso corporal y tomando en cuenta sí la mujer se encuentra o no en edad reproductiva, entre otras. Las participantes del estudio, señalaron que la guía para el manejo de terapia antirretroviral no se cumple y que el MPPS no da seguimiento. Cuando los medicamentos están disponibles, a las mujeres se les está administrando la misma dosis que a los hombres. Las mujeres no reciben información sobre la dosificación diferenciada del TARV, lo cual podría producir consecuencias en salud y calidad de vida.</w:t>
      </w:r>
    </w:p>
    <w:p w14:paraId="7BAEE0FF" w14:textId="18ABE841" w:rsidR="003B561B" w:rsidRPr="00D27012" w:rsidRDefault="003B561B" w:rsidP="00D27012">
      <w:pPr>
        <w:spacing w:line="240" w:lineRule="auto"/>
        <w:jc w:val="both"/>
        <w:rPr>
          <w:rFonts w:ascii="Arial" w:hAnsi="Arial" w:cs="Arial"/>
          <w:sz w:val="24"/>
          <w:szCs w:val="24"/>
        </w:rPr>
      </w:pPr>
      <w:r w:rsidRPr="00D27012">
        <w:rPr>
          <w:rFonts w:ascii="Arial" w:hAnsi="Arial" w:cs="Arial"/>
          <w:sz w:val="24"/>
          <w:szCs w:val="24"/>
        </w:rPr>
        <w:t xml:space="preserve">El desabasto de medicamento, pruebas de seguimiento clínico de acuerdo con el MPPS se ha dado por el </w:t>
      </w:r>
      <w:r w:rsidRPr="00D27012">
        <w:rPr>
          <w:rFonts w:ascii="Arial" w:hAnsi="Arial" w:cs="Arial"/>
          <w:i/>
          <w:iCs/>
          <w:sz w:val="24"/>
          <w:szCs w:val="24"/>
        </w:rPr>
        <w:t>bloqueo de los recursos económicos del país en cuentas bancarias en el exterior</w:t>
      </w:r>
      <w:r w:rsidRPr="00D27012">
        <w:rPr>
          <w:rFonts w:ascii="Arial" w:hAnsi="Arial" w:cs="Arial"/>
          <w:sz w:val="24"/>
          <w:szCs w:val="24"/>
        </w:rPr>
        <w:t xml:space="preserve">, así como a las </w:t>
      </w:r>
      <w:r w:rsidRPr="00D27012">
        <w:rPr>
          <w:rFonts w:ascii="Arial" w:hAnsi="Arial" w:cs="Arial"/>
          <w:i/>
          <w:iCs/>
          <w:sz w:val="24"/>
          <w:szCs w:val="24"/>
        </w:rPr>
        <w:t>sanciones</w:t>
      </w:r>
      <w:r w:rsidRPr="00D27012">
        <w:rPr>
          <w:rFonts w:ascii="Arial" w:hAnsi="Arial" w:cs="Arial"/>
          <w:sz w:val="24"/>
          <w:szCs w:val="24"/>
        </w:rPr>
        <w:t xml:space="preserve">.  </w:t>
      </w:r>
      <w:r w:rsidR="00E550E1">
        <w:rPr>
          <w:rFonts w:ascii="Arial" w:hAnsi="Arial" w:cs="Arial"/>
          <w:sz w:val="24"/>
          <w:szCs w:val="24"/>
        </w:rPr>
        <w:t xml:space="preserve">El </w:t>
      </w:r>
      <w:r w:rsidRPr="00D27012">
        <w:rPr>
          <w:rFonts w:ascii="Arial" w:hAnsi="Arial" w:cs="Arial"/>
          <w:sz w:val="24"/>
          <w:szCs w:val="24"/>
        </w:rPr>
        <w:t xml:space="preserve">Ministerio del Poder Popular </w:t>
      </w:r>
      <w:r w:rsidRPr="00D27012">
        <w:rPr>
          <w:rFonts w:ascii="Arial" w:hAnsi="Arial" w:cs="Arial"/>
          <w:sz w:val="24"/>
          <w:szCs w:val="24"/>
        </w:rPr>
        <w:lastRenderedPageBreak/>
        <w:t>para la Salud</w:t>
      </w:r>
      <w:r w:rsidR="00E550E1">
        <w:rPr>
          <w:rFonts w:ascii="Arial" w:hAnsi="Arial" w:cs="Arial"/>
          <w:sz w:val="24"/>
          <w:szCs w:val="24"/>
        </w:rPr>
        <w:t xml:space="preserve"> reconoce</w:t>
      </w:r>
      <w:r w:rsidRPr="00D27012">
        <w:rPr>
          <w:rFonts w:ascii="Arial" w:hAnsi="Arial" w:cs="Arial"/>
          <w:sz w:val="24"/>
          <w:szCs w:val="24"/>
        </w:rPr>
        <w:t xml:space="preserve"> que la adquisición de medicamentos ARV, </w:t>
      </w:r>
      <w:r w:rsidRPr="004B5A14">
        <w:rPr>
          <w:rFonts w:ascii="Arial" w:hAnsi="Arial" w:cs="Arial"/>
          <w:sz w:val="24"/>
          <w:szCs w:val="24"/>
        </w:rPr>
        <w:t>a partir de 2019</w:t>
      </w:r>
      <w:r w:rsidRPr="00D27012">
        <w:rPr>
          <w:rFonts w:ascii="Arial" w:hAnsi="Arial" w:cs="Arial"/>
          <w:sz w:val="24"/>
          <w:szCs w:val="24"/>
        </w:rPr>
        <w:t>, se debe a los recursos aportados por el Fondo Mundial.</w:t>
      </w:r>
      <w:r w:rsidRPr="00D27012">
        <w:rPr>
          <w:rStyle w:val="Refdenotaalfinal"/>
          <w:rFonts w:ascii="Arial" w:hAnsi="Arial" w:cs="Arial"/>
          <w:sz w:val="24"/>
          <w:szCs w:val="24"/>
        </w:rPr>
        <w:endnoteReference w:id="33"/>
      </w:r>
      <w:r w:rsidRPr="00D27012">
        <w:rPr>
          <w:rFonts w:ascii="Arial" w:hAnsi="Arial" w:cs="Arial"/>
          <w:sz w:val="24"/>
          <w:szCs w:val="24"/>
        </w:rPr>
        <w:t xml:space="preserve"> De acuerdo con datos del MPPS en 2020, 1281 mujeres iniciaron tratamiento y 1427 lo reiniciaron. </w:t>
      </w:r>
    </w:p>
    <w:p w14:paraId="53629996" w14:textId="77777777" w:rsidR="003B561B" w:rsidRPr="00D27012" w:rsidRDefault="003B561B" w:rsidP="00D27012">
      <w:pPr>
        <w:pStyle w:val="Prrafodelista"/>
        <w:numPr>
          <w:ilvl w:val="0"/>
          <w:numId w:val="1"/>
        </w:numPr>
        <w:spacing w:line="240" w:lineRule="auto"/>
        <w:ind w:left="1418" w:firstLine="0"/>
        <w:rPr>
          <w:rFonts w:ascii="Arial" w:hAnsi="Arial" w:cs="Arial"/>
          <w:sz w:val="24"/>
          <w:szCs w:val="24"/>
          <w:u w:val="single"/>
        </w:rPr>
      </w:pPr>
      <w:r w:rsidRPr="00D27012">
        <w:rPr>
          <w:rFonts w:ascii="Arial" w:hAnsi="Arial" w:cs="Arial"/>
          <w:sz w:val="24"/>
          <w:szCs w:val="24"/>
          <w:u w:val="single"/>
        </w:rPr>
        <w:t>Impacto diferenciado en el acceso a servicios de salud sexual y reproductiva a mujeres con discapacidad.</w:t>
      </w:r>
    </w:p>
    <w:p w14:paraId="20B56676" w14:textId="0E4DB748" w:rsidR="00E550E1" w:rsidRDefault="00E550E1" w:rsidP="00D27012">
      <w:pPr>
        <w:spacing w:after="0" w:line="240" w:lineRule="auto"/>
        <w:jc w:val="both"/>
        <w:rPr>
          <w:rFonts w:ascii="Arial" w:hAnsi="Arial" w:cs="Arial"/>
          <w:sz w:val="24"/>
          <w:szCs w:val="24"/>
          <w:lang w:val="es-MX"/>
        </w:rPr>
      </w:pPr>
      <w:r>
        <w:rPr>
          <w:rFonts w:ascii="Arial" w:hAnsi="Arial" w:cs="Arial"/>
          <w:sz w:val="24"/>
          <w:szCs w:val="24"/>
          <w:lang w:val="es-MX"/>
        </w:rPr>
        <w:t xml:space="preserve">Las mujeres con discapacidad en </w:t>
      </w:r>
      <w:proofErr w:type="spellStart"/>
      <w:r>
        <w:rPr>
          <w:rFonts w:ascii="Arial" w:hAnsi="Arial" w:cs="Arial"/>
          <w:sz w:val="24"/>
          <w:szCs w:val="24"/>
          <w:lang w:val="es-MX"/>
        </w:rPr>
        <w:t>Veneuela</w:t>
      </w:r>
      <w:proofErr w:type="spellEnd"/>
      <w:r>
        <w:rPr>
          <w:rFonts w:ascii="Arial" w:hAnsi="Arial" w:cs="Arial"/>
          <w:sz w:val="24"/>
          <w:szCs w:val="24"/>
          <w:lang w:val="es-MX"/>
        </w:rPr>
        <w:t xml:space="preserve"> se enfrentan a obstáculos diferenciados en el acceso a la salud, información y educación.</w:t>
      </w:r>
    </w:p>
    <w:p w14:paraId="1E4B46AD" w14:textId="77777777" w:rsidR="00280933" w:rsidRDefault="00280933" w:rsidP="00D27012">
      <w:pPr>
        <w:spacing w:after="0" w:line="240" w:lineRule="auto"/>
        <w:jc w:val="both"/>
        <w:rPr>
          <w:rFonts w:ascii="Arial" w:hAnsi="Arial" w:cs="Arial"/>
          <w:sz w:val="24"/>
          <w:szCs w:val="24"/>
          <w:lang w:val="es-MX"/>
        </w:rPr>
      </w:pPr>
    </w:p>
    <w:p w14:paraId="73007A2D" w14:textId="580BA2D1" w:rsidR="003B561B" w:rsidRPr="004B5A14" w:rsidRDefault="003B561B" w:rsidP="00D27012">
      <w:pPr>
        <w:spacing w:after="0" w:line="240" w:lineRule="auto"/>
        <w:jc w:val="both"/>
        <w:rPr>
          <w:rFonts w:ascii="Arial" w:hAnsi="Arial" w:cs="Arial"/>
          <w:sz w:val="24"/>
          <w:szCs w:val="24"/>
          <w:lang w:val="es-MX"/>
        </w:rPr>
      </w:pPr>
      <w:r w:rsidRPr="00D27012">
        <w:rPr>
          <w:rFonts w:ascii="Arial" w:hAnsi="Arial" w:cs="Arial"/>
          <w:sz w:val="24"/>
          <w:szCs w:val="24"/>
          <w:lang w:val="es-MX"/>
        </w:rPr>
        <w:t xml:space="preserve">CONSORVEN realizó un estudio en 2021 que consistió en una </w:t>
      </w:r>
      <w:r w:rsidR="00E550E1">
        <w:rPr>
          <w:rFonts w:ascii="Arial" w:hAnsi="Arial" w:cs="Arial"/>
          <w:sz w:val="24"/>
          <w:szCs w:val="24"/>
          <w:lang w:val="es-MX"/>
        </w:rPr>
        <w:t>e</w:t>
      </w:r>
      <w:r w:rsidRPr="00D27012">
        <w:rPr>
          <w:rFonts w:ascii="Arial" w:hAnsi="Arial" w:cs="Arial"/>
          <w:sz w:val="24"/>
          <w:szCs w:val="24"/>
          <w:lang w:val="es-MX"/>
        </w:rPr>
        <w:t>ncuesta a 175 mujeres con discapacidad, en 9 Entidades federales del país.</w:t>
      </w:r>
      <w:r w:rsidR="00280933">
        <w:rPr>
          <w:rFonts w:ascii="Arial" w:hAnsi="Arial" w:cs="Arial"/>
          <w:sz w:val="24"/>
          <w:szCs w:val="24"/>
          <w:lang w:val="es-MX"/>
        </w:rPr>
        <w:t xml:space="preserve"> Se concluyó </w:t>
      </w:r>
      <w:r w:rsidRPr="004B5A14">
        <w:rPr>
          <w:rFonts w:ascii="Arial" w:hAnsi="Arial" w:cs="Arial"/>
          <w:sz w:val="24"/>
          <w:szCs w:val="24"/>
          <w:lang w:val="es-MX"/>
        </w:rPr>
        <w:t>que las dificultades económicas son la principal causa (54,3%) que impide a las mujeres con discapacidad acceder a servicios de salud ginecológica y a la realización de estudios o exámenes de mamas, dejando por fuera de los servicios de ginecología a 1 de cada 10 mujeres con discapacidad, y de los servicios de estudios o exámenes de las mamas a 6 de cada 10 mujeres con discapacidad. Esto implica un riesgo de salud que coloca a las mujeres con discapacidad</w:t>
      </w:r>
      <w:r w:rsidR="00280933">
        <w:rPr>
          <w:rFonts w:ascii="Arial" w:hAnsi="Arial" w:cs="Arial"/>
          <w:sz w:val="24"/>
          <w:szCs w:val="24"/>
          <w:lang w:val="es-MX"/>
        </w:rPr>
        <w:t xml:space="preserve"> expuestas a</w:t>
      </w:r>
      <w:r w:rsidRPr="004B5A14">
        <w:rPr>
          <w:rFonts w:ascii="Arial" w:hAnsi="Arial" w:cs="Arial"/>
          <w:sz w:val="24"/>
          <w:szCs w:val="24"/>
          <w:lang w:val="es-MX"/>
        </w:rPr>
        <w:t xml:space="preserve"> enfermedades como el cáncer de mama o de cuello uterino, como principales causas de muerte de las mujeres en Venezuela (OMS, 2020).</w:t>
      </w:r>
    </w:p>
    <w:p w14:paraId="745C083B" w14:textId="77777777" w:rsidR="003B561B" w:rsidRPr="004B5A14" w:rsidRDefault="003B561B" w:rsidP="00D27012">
      <w:pPr>
        <w:spacing w:after="0" w:line="240" w:lineRule="auto"/>
        <w:jc w:val="both"/>
        <w:rPr>
          <w:rFonts w:ascii="Arial" w:hAnsi="Arial" w:cs="Arial"/>
          <w:sz w:val="24"/>
          <w:szCs w:val="24"/>
          <w:lang w:val="es-MX"/>
        </w:rPr>
      </w:pPr>
    </w:p>
    <w:p w14:paraId="6A08342C" w14:textId="52ED3CFA" w:rsidR="00280933" w:rsidRPr="004B5A14" w:rsidRDefault="008276BC" w:rsidP="00D27012">
      <w:pPr>
        <w:spacing w:after="0" w:line="240" w:lineRule="auto"/>
        <w:jc w:val="both"/>
        <w:rPr>
          <w:rFonts w:ascii="Arial" w:hAnsi="Arial" w:cs="Arial"/>
          <w:sz w:val="24"/>
          <w:szCs w:val="24"/>
          <w:lang w:val="es-MX"/>
        </w:rPr>
      </w:pPr>
      <w:r>
        <w:rPr>
          <w:rFonts w:ascii="Arial" w:hAnsi="Arial" w:cs="Arial"/>
          <w:sz w:val="24"/>
          <w:szCs w:val="24"/>
          <w:lang w:val="es-MX"/>
        </w:rPr>
        <w:t xml:space="preserve">Adicionalmente, </w:t>
      </w:r>
      <w:r w:rsidR="003B561B" w:rsidRPr="004B5A14">
        <w:rPr>
          <w:rFonts w:ascii="Arial" w:hAnsi="Arial" w:cs="Arial"/>
          <w:sz w:val="24"/>
          <w:szCs w:val="24"/>
          <w:lang w:val="es-MX"/>
        </w:rPr>
        <w:t xml:space="preserve">el 43,7% de las mujeres con discapacidad asisten a servicios de salud ginecológica cada 3 años o más, y lo mismo sucede en el 69,9% para el caso de estudios o exámenes de mamas. La OMS (2020) establece como estándar mínimo de frecuencia de asistencia a salud ginecológica y mastológica alrededor de 1 año. </w:t>
      </w:r>
      <w:r w:rsidR="00280933">
        <w:rPr>
          <w:rFonts w:ascii="Arial" w:hAnsi="Arial" w:cs="Arial"/>
          <w:sz w:val="24"/>
          <w:szCs w:val="24"/>
          <w:lang w:val="es-MX"/>
        </w:rPr>
        <w:t xml:space="preserve">Además, se </w:t>
      </w:r>
      <w:proofErr w:type="spellStart"/>
      <w:r w:rsidR="00280933">
        <w:rPr>
          <w:rFonts w:ascii="Arial" w:hAnsi="Arial" w:cs="Arial"/>
          <w:sz w:val="24"/>
          <w:szCs w:val="24"/>
          <w:lang w:val="es-MX"/>
        </w:rPr>
        <w:t>deetermino</w:t>
      </w:r>
      <w:proofErr w:type="spellEnd"/>
      <w:r w:rsidR="00280933">
        <w:rPr>
          <w:rFonts w:ascii="Arial" w:hAnsi="Arial" w:cs="Arial"/>
          <w:sz w:val="24"/>
          <w:szCs w:val="24"/>
          <w:lang w:val="es-MX"/>
        </w:rPr>
        <w:t xml:space="preserve"> un limitado acceso a métodos </w:t>
      </w:r>
      <w:proofErr w:type="spellStart"/>
      <w:r w:rsidR="00280933">
        <w:rPr>
          <w:rFonts w:ascii="Arial" w:hAnsi="Arial" w:cs="Arial"/>
          <w:sz w:val="24"/>
          <w:szCs w:val="24"/>
          <w:lang w:val="es-MX"/>
        </w:rPr>
        <w:t>anticoptivos</w:t>
      </w:r>
      <w:proofErr w:type="spellEnd"/>
      <w:r w:rsidR="00280933">
        <w:rPr>
          <w:rFonts w:ascii="Arial" w:hAnsi="Arial" w:cs="Arial"/>
          <w:sz w:val="24"/>
          <w:szCs w:val="24"/>
          <w:lang w:val="es-MX"/>
        </w:rPr>
        <w:t xml:space="preserve"> y a un adecuado control </w:t>
      </w:r>
      <w:proofErr w:type="spellStart"/>
      <w:r w:rsidR="00280933">
        <w:rPr>
          <w:rFonts w:ascii="Arial" w:hAnsi="Arial" w:cs="Arial"/>
          <w:sz w:val="24"/>
          <w:szCs w:val="24"/>
          <w:lang w:val="es-MX"/>
        </w:rPr>
        <w:t>penatal</w:t>
      </w:r>
      <w:proofErr w:type="spellEnd"/>
      <w:r w:rsidR="00280933">
        <w:rPr>
          <w:rFonts w:ascii="Arial" w:hAnsi="Arial" w:cs="Arial"/>
          <w:sz w:val="24"/>
          <w:szCs w:val="24"/>
          <w:lang w:val="es-MX"/>
        </w:rPr>
        <w:t xml:space="preserve"> de mujeres embarazas. </w:t>
      </w:r>
    </w:p>
    <w:p w14:paraId="39E64367" w14:textId="51B48DAD" w:rsidR="003B561B" w:rsidRPr="004B5A14" w:rsidRDefault="003B561B" w:rsidP="00D27012">
      <w:pPr>
        <w:spacing w:after="0" w:line="240" w:lineRule="auto"/>
        <w:jc w:val="both"/>
        <w:rPr>
          <w:rFonts w:ascii="Arial" w:hAnsi="Arial" w:cs="Arial"/>
          <w:sz w:val="24"/>
          <w:szCs w:val="24"/>
          <w:lang w:val="es-MX"/>
        </w:rPr>
      </w:pPr>
    </w:p>
    <w:p w14:paraId="5E8FE0DE" w14:textId="4FA5D97B" w:rsidR="003B561B" w:rsidRPr="004B5A14" w:rsidRDefault="003B561B" w:rsidP="00D27012">
      <w:pPr>
        <w:pStyle w:val="Default"/>
        <w:jc w:val="both"/>
        <w:rPr>
          <w:rFonts w:ascii="Arial" w:hAnsi="Arial" w:cs="Arial"/>
          <w:lang w:val="es-MX"/>
        </w:rPr>
      </w:pPr>
      <w:r w:rsidRPr="004B5A14">
        <w:rPr>
          <w:rFonts w:ascii="Arial" w:hAnsi="Arial" w:cs="Arial"/>
          <w:color w:val="auto"/>
          <w:lang w:val="es-MX"/>
        </w:rPr>
        <w:t xml:space="preserve">El </w:t>
      </w:r>
      <w:r w:rsidR="00E70058">
        <w:rPr>
          <w:rFonts w:ascii="Arial" w:hAnsi="Arial" w:cs="Arial"/>
          <w:color w:val="auto"/>
          <w:lang w:val="es-MX"/>
        </w:rPr>
        <w:t>E</w:t>
      </w:r>
      <w:r w:rsidRPr="004B5A14">
        <w:rPr>
          <w:rFonts w:ascii="Arial" w:hAnsi="Arial" w:cs="Arial"/>
          <w:color w:val="auto"/>
          <w:lang w:val="es-MX"/>
        </w:rPr>
        <w:t>stado ha indicado en su informe que en 2018, la Asamblea Nacional Constituyente promulgó el Decreto Constituyente para la Promoción y Protección del Parto y el Nacimiento Humanizado, con el objeto de proteger y garantizar el derecho humano de las mujeres a una gestación y parto humanizado, además de crear un marco jurídico orientado a disminuir la mortalidad materna</w:t>
      </w:r>
      <w:r w:rsidRPr="004B5A14">
        <w:rPr>
          <w:rFonts w:ascii="Arial" w:hAnsi="Arial" w:cs="Arial"/>
          <w:color w:val="auto"/>
          <w:vertAlign w:val="superscript"/>
          <w:lang w:val="es-MX"/>
        </w:rPr>
        <w:endnoteReference w:id="34"/>
      </w:r>
      <w:r w:rsidRPr="004B5A14">
        <w:rPr>
          <w:rFonts w:ascii="Arial" w:hAnsi="Arial" w:cs="Arial"/>
          <w:color w:val="auto"/>
          <w:lang w:val="es-MX"/>
        </w:rPr>
        <w:t xml:space="preserve">, sin embargo un estudio realizado por la Organización CONSORVEN estima que </w:t>
      </w:r>
      <w:r w:rsidRPr="004B5A14">
        <w:rPr>
          <w:rFonts w:ascii="Arial" w:hAnsi="Arial" w:cs="Arial"/>
          <w:lang w:val="es-MX"/>
        </w:rPr>
        <w:t xml:space="preserve">más de la mitad (52,6%) de las mujeres con discapacidad no conocían o conocen el Plan Parto Humanizado, a pesar de ser la principal política pública en materia de salud reproductiva emanada del Estado venezolano. Incluso, apenas un 13,7% reconocen al Plan como una política pública vigente. </w:t>
      </w:r>
    </w:p>
    <w:p w14:paraId="50B29005" w14:textId="77777777" w:rsidR="003B561B" w:rsidRPr="004B5A14" w:rsidRDefault="003B561B" w:rsidP="00D27012">
      <w:pPr>
        <w:spacing w:after="0" w:line="240" w:lineRule="auto"/>
        <w:jc w:val="both"/>
        <w:rPr>
          <w:rFonts w:ascii="Arial" w:hAnsi="Arial" w:cs="Arial"/>
          <w:sz w:val="24"/>
          <w:szCs w:val="24"/>
          <w:lang w:val="es-MX"/>
        </w:rPr>
      </w:pPr>
    </w:p>
    <w:p w14:paraId="6D4BF4D1" w14:textId="687D8877" w:rsidR="003B561B" w:rsidRDefault="003B561B" w:rsidP="00D27012">
      <w:pPr>
        <w:spacing w:after="0" w:line="240" w:lineRule="auto"/>
        <w:jc w:val="both"/>
        <w:rPr>
          <w:rFonts w:ascii="Arial" w:hAnsi="Arial" w:cs="Arial"/>
          <w:sz w:val="24"/>
          <w:szCs w:val="24"/>
          <w:lang w:val="es-MX"/>
        </w:rPr>
      </w:pPr>
      <w:r w:rsidRPr="004B5A14">
        <w:rPr>
          <w:rFonts w:ascii="Arial" w:hAnsi="Arial" w:cs="Arial"/>
          <w:sz w:val="24"/>
          <w:szCs w:val="24"/>
          <w:lang w:val="es-MX"/>
        </w:rPr>
        <w:t xml:space="preserve">No obstante, dentro del Plan de la Patria (2019-2025), donde se contempla el Plan Nacional de Parto Humanizado, no se especifica si se encuentran incluidas las mujeres con discapacidad y las medidas de accesibilidad requeridas. Asimismo, el Estado ha establecido como meta del Plan, la atención de cuatro millones de mujeres hasta 2025, pero, actualmente se desconocen cifras oficiales de mujeres, y de mujeres con discapacidad atendidas bajo el Plan. </w:t>
      </w:r>
    </w:p>
    <w:p w14:paraId="43DB3F2B" w14:textId="77777777" w:rsidR="008276BC" w:rsidRPr="004B5A14" w:rsidRDefault="008276BC" w:rsidP="00D27012">
      <w:pPr>
        <w:spacing w:after="0" w:line="240" w:lineRule="auto"/>
        <w:jc w:val="both"/>
        <w:rPr>
          <w:rFonts w:ascii="Arial" w:hAnsi="Arial" w:cs="Arial"/>
          <w:sz w:val="24"/>
          <w:szCs w:val="24"/>
          <w:lang w:val="es-MX"/>
        </w:rPr>
      </w:pPr>
    </w:p>
    <w:p w14:paraId="15FBF070" w14:textId="7DBDE814" w:rsidR="003B561B" w:rsidRPr="004B5A14" w:rsidRDefault="008276BC" w:rsidP="00D27012">
      <w:pPr>
        <w:spacing w:after="0" w:line="240" w:lineRule="auto"/>
        <w:jc w:val="both"/>
        <w:rPr>
          <w:rFonts w:ascii="Arial" w:hAnsi="Arial" w:cs="Arial"/>
          <w:sz w:val="24"/>
          <w:szCs w:val="24"/>
          <w:lang w:val="es-MX"/>
        </w:rPr>
      </w:pPr>
      <w:r>
        <w:rPr>
          <w:rFonts w:ascii="Arial" w:hAnsi="Arial" w:cs="Arial"/>
          <w:sz w:val="24"/>
          <w:szCs w:val="24"/>
          <w:lang w:val="es-MX"/>
        </w:rPr>
        <w:lastRenderedPageBreak/>
        <w:t xml:space="preserve">Así, </w:t>
      </w:r>
      <w:r w:rsidR="003B561B" w:rsidRPr="004B5A14">
        <w:rPr>
          <w:rFonts w:ascii="Arial" w:hAnsi="Arial" w:cs="Arial"/>
          <w:sz w:val="24"/>
          <w:szCs w:val="24"/>
          <w:lang w:val="es-MX"/>
        </w:rPr>
        <w:t xml:space="preserve">la principal barrera </w:t>
      </w:r>
      <w:r w:rsidR="00280933">
        <w:rPr>
          <w:rFonts w:ascii="Arial" w:hAnsi="Arial" w:cs="Arial"/>
          <w:sz w:val="24"/>
          <w:szCs w:val="24"/>
          <w:lang w:val="es-MX"/>
        </w:rPr>
        <w:t xml:space="preserve">de acceso para </w:t>
      </w:r>
      <w:r w:rsidR="003B561B" w:rsidRPr="004B5A14">
        <w:rPr>
          <w:rFonts w:ascii="Arial" w:hAnsi="Arial" w:cs="Arial"/>
          <w:sz w:val="24"/>
          <w:szCs w:val="24"/>
          <w:lang w:val="es-MX"/>
        </w:rPr>
        <w:t xml:space="preserve">mujeres con discapacidad a una óptima salud sexual, reproductiva y de las mamas es la </w:t>
      </w:r>
      <w:r w:rsidR="00280933">
        <w:rPr>
          <w:rFonts w:ascii="Arial" w:hAnsi="Arial" w:cs="Arial"/>
          <w:sz w:val="24"/>
          <w:szCs w:val="24"/>
          <w:lang w:val="es-MX"/>
        </w:rPr>
        <w:t xml:space="preserve">falta </w:t>
      </w:r>
      <w:r w:rsidR="003B561B" w:rsidRPr="004B5A14">
        <w:rPr>
          <w:rFonts w:ascii="Arial" w:hAnsi="Arial" w:cs="Arial"/>
          <w:sz w:val="24"/>
          <w:szCs w:val="24"/>
          <w:lang w:val="es-MX"/>
        </w:rPr>
        <w:t>de información accesible</w:t>
      </w:r>
      <w:r w:rsidR="00280933">
        <w:rPr>
          <w:rFonts w:ascii="Arial" w:hAnsi="Arial" w:cs="Arial"/>
          <w:sz w:val="24"/>
          <w:szCs w:val="24"/>
          <w:lang w:val="es-MX"/>
        </w:rPr>
        <w:t xml:space="preserve">, </w:t>
      </w:r>
      <w:r w:rsidR="003B561B" w:rsidRPr="004B5A14">
        <w:rPr>
          <w:rFonts w:ascii="Arial" w:hAnsi="Arial" w:cs="Arial"/>
          <w:sz w:val="24"/>
          <w:szCs w:val="24"/>
          <w:lang w:val="es-MX"/>
        </w:rPr>
        <w:t>en tanto que 54,8% de las mujeres con discapacidad entrevistadas no reciben información científica o de fuentes confiables sobre</w:t>
      </w:r>
      <w:r w:rsidR="00280933">
        <w:rPr>
          <w:rFonts w:ascii="Arial" w:hAnsi="Arial" w:cs="Arial"/>
          <w:sz w:val="24"/>
          <w:szCs w:val="24"/>
          <w:lang w:val="es-MX"/>
        </w:rPr>
        <w:t xml:space="preserve"> salud de </w:t>
      </w:r>
      <w:proofErr w:type="spellStart"/>
      <w:r w:rsidR="00280933">
        <w:rPr>
          <w:rFonts w:ascii="Arial" w:hAnsi="Arial" w:cs="Arial"/>
          <w:sz w:val="24"/>
          <w:szCs w:val="24"/>
          <w:lang w:val="es-MX"/>
        </w:rPr>
        <w:t>lasmujeres</w:t>
      </w:r>
      <w:proofErr w:type="spellEnd"/>
      <w:r w:rsidR="003B561B" w:rsidRPr="004B5A14">
        <w:rPr>
          <w:rFonts w:ascii="Arial" w:hAnsi="Arial" w:cs="Arial"/>
          <w:sz w:val="24"/>
          <w:szCs w:val="24"/>
          <w:lang w:val="es-MX"/>
        </w:rPr>
        <w:t xml:space="preserve">. </w:t>
      </w:r>
    </w:p>
    <w:p w14:paraId="7D43AB8F" w14:textId="77777777" w:rsidR="003B561B" w:rsidRPr="004B5A14" w:rsidRDefault="003B561B" w:rsidP="00D27012">
      <w:pPr>
        <w:spacing w:after="0" w:line="240" w:lineRule="auto"/>
        <w:jc w:val="both"/>
        <w:rPr>
          <w:rFonts w:ascii="Arial" w:hAnsi="Arial" w:cs="Arial"/>
          <w:sz w:val="24"/>
          <w:szCs w:val="24"/>
          <w:lang w:val="es-MX"/>
        </w:rPr>
      </w:pPr>
    </w:p>
    <w:p w14:paraId="79346CDF" w14:textId="77777777" w:rsidR="003B561B" w:rsidRPr="004B5A14" w:rsidRDefault="003B561B" w:rsidP="00D27012">
      <w:pPr>
        <w:spacing w:after="0" w:line="240" w:lineRule="auto"/>
        <w:jc w:val="both"/>
        <w:rPr>
          <w:rFonts w:ascii="Arial" w:hAnsi="Arial" w:cs="Arial"/>
          <w:sz w:val="24"/>
          <w:szCs w:val="24"/>
          <w:lang w:val="es-MX"/>
        </w:rPr>
      </w:pPr>
      <w:r w:rsidRPr="004B5A14">
        <w:rPr>
          <w:rFonts w:ascii="Arial" w:hAnsi="Arial" w:cs="Arial"/>
          <w:sz w:val="24"/>
          <w:szCs w:val="24"/>
          <w:lang w:val="es-MX"/>
        </w:rPr>
        <w:t>Así, 2 de cada 10 mujeres con discapacidad que sí acceden a servicios de consulta ginecológica, estudios o exámenes de mamas y controles prenatales, refieren algún tipo de desinformación sobre los procedimientos de rutina médica, los exámenes a realizar, sus resultados y riesgos, aumentando esto las barreras para alcanzar un nivel óptimo de salud e información.</w:t>
      </w:r>
    </w:p>
    <w:p w14:paraId="6B41A68A" w14:textId="77777777" w:rsidR="003B561B" w:rsidRPr="004B5A14" w:rsidRDefault="003B561B" w:rsidP="00D27012">
      <w:pPr>
        <w:spacing w:after="0" w:line="240" w:lineRule="auto"/>
        <w:jc w:val="both"/>
        <w:rPr>
          <w:rFonts w:ascii="Arial" w:hAnsi="Arial" w:cs="Arial"/>
          <w:sz w:val="24"/>
          <w:szCs w:val="24"/>
          <w:lang w:val="es-MX"/>
        </w:rPr>
      </w:pPr>
    </w:p>
    <w:p w14:paraId="0D89DD26" w14:textId="3CA88F85" w:rsidR="003B561B" w:rsidRDefault="008276BC" w:rsidP="00E550E1">
      <w:pPr>
        <w:spacing w:after="0" w:line="240" w:lineRule="auto"/>
        <w:jc w:val="both"/>
        <w:rPr>
          <w:rFonts w:ascii="Arial" w:hAnsi="Arial" w:cs="Arial"/>
          <w:sz w:val="24"/>
          <w:szCs w:val="24"/>
          <w:lang w:val="es-MX"/>
        </w:rPr>
      </w:pPr>
      <w:r>
        <w:rPr>
          <w:rFonts w:ascii="Arial" w:hAnsi="Arial" w:cs="Arial"/>
          <w:sz w:val="24"/>
          <w:szCs w:val="24"/>
          <w:lang w:val="es-MX"/>
        </w:rPr>
        <w:t>Final</w:t>
      </w:r>
      <w:r w:rsidR="00280933">
        <w:rPr>
          <w:rFonts w:ascii="Arial" w:hAnsi="Arial" w:cs="Arial"/>
          <w:sz w:val="24"/>
          <w:szCs w:val="24"/>
          <w:lang w:val="es-MX"/>
        </w:rPr>
        <w:t>m</w:t>
      </w:r>
      <w:r>
        <w:rPr>
          <w:rFonts w:ascii="Arial" w:hAnsi="Arial" w:cs="Arial"/>
          <w:sz w:val="24"/>
          <w:szCs w:val="24"/>
          <w:lang w:val="es-MX"/>
        </w:rPr>
        <w:t>ente, según los datos disponibles el</w:t>
      </w:r>
      <w:r w:rsidR="003B561B" w:rsidRPr="004B5A14">
        <w:rPr>
          <w:rFonts w:ascii="Arial" w:hAnsi="Arial" w:cs="Arial"/>
          <w:sz w:val="24"/>
          <w:szCs w:val="24"/>
          <w:lang w:val="es-MX"/>
        </w:rPr>
        <w:t xml:space="preserve"> 16,7% de las mujeres con discapacidad no asisten a servicios de salud ginecológica debido a que su familia no lo ha</w:t>
      </w:r>
      <w:r w:rsidR="00280933">
        <w:rPr>
          <w:rFonts w:ascii="Arial" w:hAnsi="Arial" w:cs="Arial"/>
          <w:sz w:val="24"/>
          <w:szCs w:val="24"/>
          <w:lang w:val="es-MX"/>
        </w:rPr>
        <w:t xml:space="preserve"> </w:t>
      </w:r>
      <w:r w:rsidR="003B561B" w:rsidRPr="004B5A14">
        <w:rPr>
          <w:rFonts w:ascii="Arial" w:hAnsi="Arial" w:cs="Arial"/>
          <w:sz w:val="24"/>
          <w:szCs w:val="24"/>
          <w:lang w:val="es-MX"/>
        </w:rPr>
        <w:t>considerado necesario, colocándolas en una situación de coerción que interrumpe el derecho al libre desenvolvimiento de la personalidad y el acceso a la salud.</w:t>
      </w:r>
    </w:p>
    <w:p w14:paraId="2996A594" w14:textId="77777777" w:rsidR="00E550E1" w:rsidRDefault="00E550E1" w:rsidP="00E550E1">
      <w:pPr>
        <w:spacing w:after="0" w:line="240" w:lineRule="auto"/>
        <w:jc w:val="both"/>
        <w:rPr>
          <w:rFonts w:ascii="Arial" w:hAnsi="Arial" w:cs="Arial"/>
          <w:sz w:val="24"/>
          <w:szCs w:val="24"/>
          <w:lang w:val="es-MX"/>
        </w:rPr>
      </w:pPr>
    </w:p>
    <w:p w14:paraId="0451D193" w14:textId="6FE1ED8C" w:rsidR="008276BC" w:rsidRDefault="008276BC" w:rsidP="008276BC">
      <w:pPr>
        <w:spacing w:line="240" w:lineRule="auto"/>
        <w:jc w:val="both"/>
        <w:rPr>
          <w:rFonts w:ascii="Arial" w:hAnsi="Arial" w:cs="Arial"/>
          <w:sz w:val="24"/>
          <w:szCs w:val="24"/>
          <w:lang w:val="es-MX"/>
        </w:rPr>
      </w:pPr>
      <w:r>
        <w:rPr>
          <w:rFonts w:ascii="Arial" w:hAnsi="Arial" w:cs="Arial"/>
          <w:sz w:val="24"/>
          <w:szCs w:val="24"/>
          <w:lang w:val="es-MX"/>
        </w:rPr>
        <w:t>Todo lo anterior da cuenta de la grave situación en Venezuela que impactan los derechos a la salud de las mujeres en Venezuela, particularmente en relación son su salud sexual y reproductiva.</w:t>
      </w:r>
    </w:p>
    <w:p w14:paraId="2FF12797" w14:textId="77777777" w:rsidR="008276BC" w:rsidRPr="004B5A14" w:rsidRDefault="008276BC" w:rsidP="00D27012">
      <w:pPr>
        <w:spacing w:line="240" w:lineRule="auto"/>
        <w:rPr>
          <w:rFonts w:ascii="Arial" w:hAnsi="Arial" w:cs="Arial"/>
          <w:sz w:val="24"/>
          <w:szCs w:val="24"/>
          <w:lang w:val="es-MX"/>
        </w:rPr>
      </w:pPr>
    </w:p>
    <w:p w14:paraId="207B4B68" w14:textId="0368C2D7" w:rsidR="003B561B" w:rsidRPr="005A2B85" w:rsidRDefault="003B561B" w:rsidP="005A2B85">
      <w:pPr>
        <w:pStyle w:val="Prrafodelista"/>
        <w:numPr>
          <w:ilvl w:val="0"/>
          <w:numId w:val="3"/>
        </w:numPr>
        <w:spacing w:line="240" w:lineRule="auto"/>
        <w:jc w:val="both"/>
        <w:rPr>
          <w:rFonts w:ascii="Arial" w:hAnsi="Arial" w:cs="Arial"/>
          <w:b/>
          <w:sz w:val="24"/>
          <w:szCs w:val="24"/>
        </w:rPr>
      </w:pPr>
      <w:r w:rsidRPr="005A2B85">
        <w:rPr>
          <w:rFonts w:ascii="Arial" w:hAnsi="Arial" w:cs="Arial"/>
          <w:b/>
          <w:sz w:val="24"/>
          <w:szCs w:val="24"/>
        </w:rPr>
        <w:t xml:space="preserve">Falta de cumplimiento de sentencias emanadas del sistema interamericano </w:t>
      </w:r>
    </w:p>
    <w:p w14:paraId="62216E97" w14:textId="2BF03030"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E</w:t>
      </w:r>
      <w:r w:rsidR="00280933">
        <w:rPr>
          <w:rFonts w:ascii="Arial" w:hAnsi="Arial" w:cs="Arial"/>
          <w:sz w:val="24"/>
          <w:szCs w:val="24"/>
          <w:lang w:val="es-MX"/>
        </w:rPr>
        <w:t>ste Comité,</w:t>
      </w:r>
      <w:r w:rsidRPr="00D27012">
        <w:rPr>
          <w:rFonts w:ascii="Arial" w:hAnsi="Arial" w:cs="Arial"/>
          <w:sz w:val="24"/>
          <w:szCs w:val="24"/>
          <w:lang w:val="es-MX"/>
        </w:rPr>
        <w:t xml:space="preserve"> en su último informe sobre Venezuela, mostró su preocupación por que el Estado venezolano “</w:t>
      </w:r>
      <w:r w:rsidRPr="00D27012">
        <w:rPr>
          <w:rFonts w:ascii="Arial" w:hAnsi="Arial" w:cs="Arial"/>
          <w:i/>
          <w:iCs/>
          <w:sz w:val="24"/>
          <w:szCs w:val="24"/>
          <w:lang w:val="es-MX"/>
        </w:rPr>
        <w:t>denunciara la Convención Americana sobre Derechos Humanos en 2012, lo que excluye la competencia de la Corte Interamericana de Derechos Humanos</w:t>
      </w:r>
      <w:r w:rsidRPr="00D27012">
        <w:rPr>
          <w:rFonts w:ascii="Arial" w:hAnsi="Arial" w:cs="Arial"/>
          <w:sz w:val="24"/>
          <w:szCs w:val="24"/>
          <w:lang w:val="es-MX"/>
        </w:rPr>
        <w:t>”</w:t>
      </w:r>
      <w:r w:rsidRPr="00D27012">
        <w:rPr>
          <w:rStyle w:val="Refdenotaalfinal"/>
          <w:rFonts w:ascii="Arial" w:hAnsi="Arial" w:cs="Arial"/>
          <w:sz w:val="24"/>
          <w:szCs w:val="24"/>
          <w:lang w:val="es-MX"/>
        </w:rPr>
        <w:endnoteReference w:id="35"/>
      </w:r>
      <w:r w:rsidRPr="00D27012">
        <w:rPr>
          <w:rFonts w:ascii="Arial" w:hAnsi="Arial" w:cs="Arial"/>
          <w:sz w:val="24"/>
          <w:szCs w:val="24"/>
          <w:lang w:val="es-MX"/>
        </w:rPr>
        <w:t xml:space="preserve">.  En su momento recomendó al Estado venezolano reconsiderar su retirada de la Convención Americana sobre Derechos Humanos, al considerar que dicho instrumento y la </w:t>
      </w:r>
      <w:r w:rsidRPr="00D27012">
        <w:rPr>
          <w:rFonts w:ascii="Arial" w:hAnsi="Arial" w:cs="Arial"/>
          <w:i/>
          <w:iCs/>
          <w:sz w:val="24"/>
          <w:szCs w:val="24"/>
          <w:lang w:val="es-MX"/>
        </w:rPr>
        <w:t>“Convención sobre la Eliminación de Todas las Formas de Discriminación contra la Mujer se refuerzan entre sí</w:t>
      </w:r>
      <w:r w:rsidRPr="00D27012">
        <w:rPr>
          <w:rFonts w:ascii="Arial" w:hAnsi="Arial" w:cs="Arial"/>
          <w:sz w:val="24"/>
          <w:szCs w:val="24"/>
          <w:lang w:val="es-MX"/>
        </w:rPr>
        <w:t>”</w:t>
      </w:r>
      <w:r w:rsidRPr="00D27012">
        <w:rPr>
          <w:rStyle w:val="Refdenotaalfinal"/>
          <w:rFonts w:ascii="Arial" w:hAnsi="Arial" w:cs="Arial"/>
          <w:sz w:val="24"/>
          <w:szCs w:val="24"/>
          <w:lang w:val="es-MX"/>
        </w:rPr>
        <w:endnoteReference w:id="36"/>
      </w:r>
      <w:r w:rsidRPr="00D27012">
        <w:rPr>
          <w:rFonts w:ascii="Arial" w:hAnsi="Arial" w:cs="Arial"/>
          <w:sz w:val="24"/>
          <w:szCs w:val="24"/>
          <w:lang w:val="es-MX"/>
        </w:rPr>
        <w:t>.</w:t>
      </w:r>
    </w:p>
    <w:p w14:paraId="379C85E6" w14:textId="0D759B20" w:rsidR="003B561B" w:rsidRPr="00D27012" w:rsidRDefault="00280933" w:rsidP="00D27012">
      <w:pPr>
        <w:spacing w:line="240" w:lineRule="auto"/>
        <w:jc w:val="both"/>
        <w:rPr>
          <w:rFonts w:ascii="Arial" w:hAnsi="Arial" w:cs="Arial"/>
          <w:sz w:val="24"/>
          <w:szCs w:val="24"/>
          <w:lang w:val="es-MX"/>
        </w:rPr>
      </w:pPr>
      <w:r>
        <w:rPr>
          <w:rFonts w:ascii="Arial" w:hAnsi="Arial" w:cs="Arial"/>
          <w:sz w:val="24"/>
          <w:szCs w:val="24"/>
          <w:lang w:val="es-MX"/>
        </w:rPr>
        <w:t>E</w:t>
      </w:r>
      <w:r w:rsidR="003B561B" w:rsidRPr="00D27012">
        <w:rPr>
          <w:rFonts w:ascii="Arial" w:hAnsi="Arial" w:cs="Arial"/>
          <w:sz w:val="24"/>
          <w:szCs w:val="24"/>
          <w:lang w:val="es-MX"/>
        </w:rPr>
        <w:t>l Estado venezolano denunció la Convención Americana sobre Derechos Humanos (CADH) en septiembre de 2012, la cual comenzó a surtir efectos un año después</w:t>
      </w:r>
      <w:r w:rsidR="003B561B" w:rsidRPr="00D27012">
        <w:rPr>
          <w:rStyle w:val="Refdenotaalfinal"/>
          <w:rFonts w:ascii="Arial" w:hAnsi="Arial" w:cs="Arial"/>
          <w:sz w:val="24"/>
          <w:szCs w:val="24"/>
          <w:lang w:val="es-MX"/>
        </w:rPr>
        <w:endnoteReference w:id="37"/>
      </w:r>
      <w:r w:rsidR="003B561B" w:rsidRPr="00D27012">
        <w:rPr>
          <w:rFonts w:ascii="Arial" w:hAnsi="Arial" w:cs="Arial"/>
          <w:sz w:val="24"/>
          <w:szCs w:val="24"/>
          <w:lang w:val="es-MX"/>
        </w:rPr>
        <w:t>. Posteriormente en abril de 2017, el Estado venezolano presentó su denuncia de la Carta de la OEA, que surtiría efectos en abril de 2019</w:t>
      </w:r>
      <w:r w:rsidR="003B561B" w:rsidRPr="00D27012">
        <w:rPr>
          <w:rStyle w:val="Refdenotaalfinal"/>
          <w:rFonts w:ascii="Arial" w:hAnsi="Arial" w:cs="Arial"/>
          <w:sz w:val="24"/>
          <w:szCs w:val="24"/>
          <w:lang w:val="es-MX"/>
        </w:rPr>
        <w:endnoteReference w:id="38"/>
      </w:r>
      <w:r w:rsidR="003B561B" w:rsidRPr="00D27012">
        <w:rPr>
          <w:rFonts w:ascii="Arial" w:hAnsi="Arial" w:cs="Arial"/>
          <w:sz w:val="24"/>
          <w:szCs w:val="24"/>
          <w:lang w:val="es-MX"/>
        </w:rPr>
        <w:t>.</w:t>
      </w:r>
    </w:p>
    <w:p w14:paraId="0AC9A9BE" w14:textId="68AEDD8F" w:rsidR="003B561B" w:rsidRPr="00D27012" w:rsidRDefault="00E550E1" w:rsidP="00D27012">
      <w:pPr>
        <w:spacing w:line="240" w:lineRule="auto"/>
        <w:jc w:val="both"/>
        <w:rPr>
          <w:rFonts w:ascii="Arial" w:hAnsi="Arial" w:cs="Arial"/>
          <w:sz w:val="24"/>
          <w:szCs w:val="24"/>
          <w:lang w:val="es-MX"/>
        </w:rPr>
      </w:pPr>
      <w:r>
        <w:rPr>
          <w:rFonts w:ascii="Arial" w:hAnsi="Arial" w:cs="Arial"/>
          <w:sz w:val="24"/>
          <w:szCs w:val="24"/>
          <w:lang w:val="es-MX"/>
        </w:rPr>
        <w:t>N</w:t>
      </w:r>
      <w:r w:rsidR="003B561B" w:rsidRPr="00D27012">
        <w:rPr>
          <w:rFonts w:ascii="Arial" w:hAnsi="Arial" w:cs="Arial"/>
          <w:sz w:val="24"/>
          <w:szCs w:val="24"/>
          <w:lang w:val="es-MX"/>
        </w:rPr>
        <w:t xml:space="preserve">os enfocaremos en la falta de cumplimiento </w:t>
      </w:r>
      <w:r w:rsidR="00280933">
        <w:rPr>
          <w:rFonts w:ascii="Arial" w:hAnsi="Arial" w:cs="Arial"/>
          <w:sz w:val="24"/>
          <w:szCs w:val="24"/>
          <w:lang w:val="es-MX"/>
        </w:rPr>
        <w:t xml:space="preserve">estatal </w:t>
      </w:r>
      <w:r w:rsidR="003B561B" w:rsidRPr="00D27012">
        <w:rPr>
          <w:rFonts w:ascii="Arial" w:hAnsi="Arial" w:cs="Arial"/>
          <w:sz w:val="24"/>
          <w:szCs w:val="24"/>
          <w:lang w:val="es-MX"/>
        </w:rPr>
        <w:t xml:space="preserve">de sus obligaciones internacionales emanadas de decisiones de la Corte Interamericana relacionados con hechos previos a la denuncia. Particularmente, decisiones sobre la violencia contra la mujer </w:t>
      </w:r>
      <w:r w:rsidR="00280933">
        <w:rPr>
          <w:rFonts w:ascii="Arial" w:hAnsi="Arial" w:cs="Arial"/>
          <w:sz w:val="24"/>
          <w:szCs w:val="24"/>
          <w:lang w:val="es-MX"/>
        </w:rPr>
        <w:t>y</w:t>
      </w:r>
      <w:r w:rsidR="003B561B" w:rsidRPr="00D27012">
        <w:rPr>
          <w:rFonts w:ascii="Arial" w:hAnsi="Arial" w:cs="Arial"/>
          <w:sz w:val="24"/>
          <w:szCs w:val="24"/>
          <w:lang w:val="es-MX"/>
        </w:rPr>
        <w:t xml:space="preserve"> cómo este incumplimiento tiene efectos generales en el derecho de las mujeres en Venezuela a vivir una vida libre de violencia,</w:t>
      </w:r>
    </w:p>
    <w:p w14:paraId="758181B0" w14:textId="1836CEE9"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La Corte Interamericana ha emitido diversas sentencias que abordan la situación de violencia contra la mujer en el continente americano. El tribunal ha desarrollado un marco jurisprudencial sólido sobre las obligaciones internacionales de los Estados en relación con la violencia contra la mujer, su prevención y sanción.</w:t>
      </w:r>
    </w:p>
    <w:p w14:paraId="0FFDD831" w14:textId="36C5DBB9"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lastRenderedPageBreak/>
        <w:t>Hasta el momento, la Corte IDH solo ha emitido una sentencia sobre violencia contra la mujer en Venezuela</w:t>
      </w:r>
      <w:r w:rsidRPr="00D27012">
        <w:rPr>
          <w:rStyle w:val="Refdenotaalfinal"/>
          <w:rFonts w:ascii="Arial" w:hAnsi="Arial" w:cs="Arial"/>
          <w:sz w:val="24"/>
          <w:szCs w:val="24"/>
          <w:lang w:val="es-MX"/>
        </w:rPr>
        <w:endnoteReference w:id="39"/>
      </w:r>
      <w:r w:rsidR="008276BC">
        <w:rPr>
          <w:rFonts w:ascii="Arial" w:hAnsi="Arial" w:cs="Arial"/>
          <w:sz w:val="24"/>
          <w:szCs w:val="24"/>
          <w:lang w:val="es-MX"/>
        </w:rPr>
        <w:t xml:space="preserve">, </w:t>
      </w:r>
      <w:r w:rsidR="00280933">
        <w:rPr>
          <w:rFonts w:ascii="Arial" w:hAnsi="Arial" w:cs="Arial"/>
          <w:sz w:val="24"/>
          <w:szCs w:val="24"/>
          <w:lang w:val="es-MX"/>
        </w:rPr>
        <w:t xml:space="preserve">donde </w:t>
      </w:r>
      <w:r w:rsidR="008276BC">
        <w:rPr>
          <w:rFonts w:ascii="Arial" w:hAnsi="Arial" w:cs="Arial"/>
          <w:sz w:val="24"/>
          <w:szCs w:val="24"/>
          <w:lang w:val="es-MX"/>
        </w:rPr>
        <w:t xml:space="preserve">ordenó al Estado medidas de no repetición que buscan </w:t>
      </w:r>
      <w:r w:rsidRPr="00D27012">
        <w:rPr>
          <w:rFonts w:ascii="Arial" w:hAnsi="Arial" w:cs="Arial"/>
          <w:sz w:val="24"/>
          <w:szCs w:val="24"/>
          <w:lang w:val="es-MX"/>
        </w:rPr>
        <w:t xml:space="preserve">superar la situación que permitió que los hechos </w:t>
      </w:r>
      <w:r w:rsidR="008276BC">
        <w:rPr>
          <w:rFonts w:ascii="Arial" w:hAnsi="Arial" w:cs="Arial"/>
          <w:sz w:val="24"/>
          <w:szCs w:val="24"/>
          <w:lang w:val="es-MX"/>
        </w:rPr>
        <w:t xml:space="preserve">de violencia contra la mujer </w:t>
      </w:r>
      <w:r w:rsidRPr="00D27012">
        <w:rPr>
          <w:rFonts w:ascii="Arial" w:hAnsi="Arial" w:cs="Arial"/>
          <w:sz w:val="24"/>
          <w:szCs w:val="24"/>
          <w:lang w:val="es-MX"/>
        </w:rPr>
        <w:t xml:space="preserve">sucedieran y asegurar que estos no se repitan en el futuro. </w:t>
      </w:r>
    </w:p>
    <w:p w14:paraId="185B7F62" w14:textId="24150803"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A</w:t>
      </w:r>
      <w:r w:rsidR="008276BC">
        <w:rPr>
          <w:rFonts w:ascii="Arial" w:hAnsi="Arial" w:cs="Arial"/>
          <w:sz w:val="24"/>
          <w:szCs w:val="24"/>
          <w:lang w:val="es-MX"/>
        </w:rPr>
        <w:t>sí, la</w:t>
      </w:r>
      <w:r w:rsidRPr="00D27012">
        <w:rPr>
          <w:rFonts w:ascii="Arial" w:hAnsi="Arial" w:cs="Arial"/>
          <w:sz w:val="24"/>
          <w:szCs w:val="24"/>
          <w:lang w:val="es-MX"/>
        </w:rPr>
        <w:t xml:space="preserve"> Corte ordenó reglamentar la Ley Orgánica sobre el Derecho de las Mujeres a una Vida Libre de Violencia, </w:t>
      </w:r>
      <w:r w:rsidR="00280933">
        <w:rPr>
          <w:rFonts w:ascii="Arial" w:hAnsi="Arial" w:cs="Arial"/>
          <w:sz w:val="24"/>
          <w:szCs w:val="24"/>
          <w:lang w:val="es-MX"/>
        </w:rPr>
        <w:t xml:space="preserve">para </w:t>
      </w:r>
      <w:r w:rsidRPr="00D27012">
        <w:rPr>
          <w:rFonts w:ascii="Arial" w:hAnsi="Arial" w:cs="Arial"/>
          <w:sz w:val="24"/>
          <w:szCs w:val="24"/>
          <w:lang w:val="es-MX"/>
        </w:rPr>
        <w:t xml:space="preserve">establecer estándares uniformes para la atención, investigación y juzgamiento de este tipo de delitos y para permitir la articulación de política pública en la materia y prevenir los hechos. </w:t>
      </w:r>
      <w:r w:rsidR="00280933">
        <w:rPr>
          <w:rFonts w:ascii="Arial" w:hAnsi="Arial" w:cs="Arial"/>
          <w:sz w:val="24"/>
          <w:szCs w:val="24"/>
          <w:lang w:val="es-MX"/>
        </w:rPr>
        <w:t xml:space="preserve">Hasta ahora </w:t>
      </w:r>
      <w:r w:rsidRPr="00D27012">
        <w:rPr>
          <w:rFonts w:ascii="Arial" w:hAnsi="Arial" w:cs="Arial"/>
          <w:sz w:val="24"/>
          <w:szCs w:val="24"/>
          <w:lang w:val="es-MX"/>
        </w:rPr>
        <w:t xml:space="preserve">el Estado venezolano no ha dado cumplimiento. </w:t>
      </w:r>
    </w:p>
    <w:p w14:paraId="09329332" w14:textId="36B09A12"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Como antecedente, en el año 2007 Venezuela promulgó la Ley Orgánica sobre el derecho de las Mujeres a una vida libre de violencia, dicha ley ha tenido dos reformas</w:t>
      </w:r>
      <w:r w:rsidR="008276BC">
        <w:rPr>
          <w:rFonts w:ascii="Arial" w:hAnsi="Arial" w:cs="Arial"/>
          <w:sz w:val="24"/>
          <w:szCs w:val="24"/>
          <w:lang w:val="es-MX"/>
        </w:rPr>
        <w:t>.</w:t>
      </w:r>
      <w:r w:rsidRPr="00D27012">
        <w:rPr>
          <w:rFonts w:ascii="Arial" w:hAnsi="Arial" w:cs="Arial"/>
          <w:sz w:val="24"/>
          <w:szCs w:val="24"/>
          <w:lang w:val="es-MX"/>
        </w:rPr>
        <w:t xml:space="preserve"> </w:t>
      </w:r>
      <w:r w:rsidR="008276BC">
        <w:rPr>
          <w:rFonts w:ascii="Arial" w:hAnsi="Arial" w:cs="Arial"/>
          <w:sz w:val="24"/>
          <w:szCs w:val="24"/>
          <w:lang w:val="es-MX"/>
        </w:rPr>
        <w:t>S</w:t>
      </w:r>
      <w:r w:rsidRPr="00D27012">
        <w:rPr>
          <w:rFonts w:ascii="Arial" w:hAnsi="Arial" w:cs="Arial"/>
          <w:sz w:val="24"/>
          <w:szCs w:val="24"/>
          <w:lang w:val="es-MX"/>
        </w:rPr>
        <w:t>in embargo, las mujeres aun presentan limitaciones para acceder a los mecanismos de protección, prevención y acceso a justicia</w:t>
      </w:r>
      <w:r w:rsidRPr="00D27012">
        <w:rPr>
          <w:rStyle w:val="Refdenotaalfinal"/>
          <w:rFonts w:ascii="Arial" w:hAnsi="Arial" w:cs="Arial"/>
          <w:sz w:val="24"/>
          <w:szCs w:val="24"/>
        </w:rPr>
        <w:endnoteReference w:id="40"/>
      </w:r>
      <w:r w:rsidRPr="00D27012">
        <w:rPr>
          <w:rFonts w:ascii="Arial" w:hAnsi="Arial" w:cs="Arial"/>
          <w:sz w:val="24"/>
          <w:szCs w:val="24"/>
          <w:lang w:val="es-MX"/>
        </w:rPr>
        <w:t>.</w:t>
      </w:r>
    </w:p>
    <w:p w14:paraId="7445884D" w14:textId="286A618C" w:rsidR="003B561B"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Otras de las medidas ordenadas por la Corte tiene</w:t>
      </w:r>
      <w:r w:rsidR="008276BC">
        <w:rPr>
          <w:rFonts w:ascii="Arial" w:hAnsi="Arial" w:cs="Arial"/>
          <w:sz w:val="24"/>
          <w:szCs w:val="24"/>
          <w:lang w:val="es-MX"/>
        </w:rPr>
        <w:t xml:space="preserve"> </w:t>
      </w:r>
      <w:r w:rsidRPr="00D27012">
        <w:rPr>
          <w:rFonts w:ascii="Arial" w:hAnsi="Arial" w:cs="Arial"/>
          <w:sz w:val="24"/>
          <w:szCs w:val="24"/>
          <w:lang w:val="es-MX"/>
        </w:rPr>
        <w:t xml:space="preserve">que ver con el establecimiento de Tribunales de Violencia contra la Mujer en cada </w:t>
      </w:r>
      <w:r w:rsidR="00280933">
        <w:rPr>
          <w:rFonts w:ascii="Arial" w:hAnsi="Arial" w:cs="Arial"/>
          <w:sz w:val="24"/>
          <w:szCs w:val="24"/>
          <w:lang w:val="es-MX"/>
        </w:rPr>
        <w:t>estado</w:t>
      </w:r>
      <w:r w:rsidRPr="00D27012">
        <w:rPr>
          <w:rFonts w:ascii="Arial" w:hAnsi="Arial" w:cs="Arial"/>
          <w:sz w:val="24"/>
          <w:szCs w:val="24"/>
          <w:lang w:val="es-MX"/>
        </w:rPr>
        <w:t xml:space="preserve"> y adoptar, implementar y fiscalizar protocolos para investigar y atender de manera integral a mujeres víctimas de violencia. Estas medidas, también se encuentran en un incumplimiento total</w:t>
      </w:r>
      <w:r w:rsidR="00280933">
        <w:rPr>
          <w:rFonts w:ascii="Arial" w:hAnsi="Arial" w:cs="Arial"/>
          <w:sz w:val="24"/>
          <w:szCs w:val="24"/>
          <w:lang w:val="es-MX"/>
        </w:rPr>
        <w:t>.</w:t>
      </w:r>
    </w:p>
    <w:p w14:paraId="2A8AF972" w14:textId="12551FDE" w:rsidR="007606AC" w:rsidRPr="00D27012" w:rsidRDefault="003B561B" w:rsidP="00D27012">
      <w:pPr>
        <w:spacing w:line="240" w:lineRule="auto"/>
        <w:jc w:val="both"/>
        <w:rPr>
          <w:rFonts w:ascii="Arial" w:hAnsi="Arial" w:cs="Arial"/>
          <w:sz w:val="24"/>
          <w:szCs w:val="24"/>
          <w:lang w:val="es-MX"/>
        </w:rPr>
      </w:pPr>
      <w:r w:rsidRPr="00D27012">
        <w:rPr>
          <w:rFonts w:ascii="Arial" w:hAnsi="Arial" w:cs="Arial"/>
          <w:sz w:val="24"/>
          <w:szCs w:val="24"/>
          <w:lang w:val="es-MX"/>
        </w:rPr>
        <w:t>Otro elemento indispensable para superar los altos índices de violencia contra la mujer es la recopilación y el análisis</w:t>
      </w:r>
      <w:r w:rsidR="008276BC">
        <w:rPr>
          <w:rFonts w:ascii="Arial" w:hAnsi="Arial" w:cs="Arial"/>
          <w:sz w:val="24"/>
          <w:szCs w:val="24"/>
          <w:lang w:val="es-MX"/>
        </w:rPr>
        <w:t xml:space="preserve"> </w:t>
      </w:r>
      <w:r w:rsidRPr="00D27012">
        <w:rPr>
          <w:rFonts w:ascii="Arial" w:hAnsi="Arial" w:cs="Arial"/>
          <w:sz w:val="24"/>
          <w:szCs w:val="24"/>
          <w:lang w:val="es-MX"/>
        </w:rPr>
        <w:t xml:space="preserve">de datos para comprender los fenómenos delictivos de violencia contra la mujer, </w:t>
      </w:r>
      <w:r w:rsidR="008276BC">
        <w:rPr>
          <w:rFonts w:ascii="Arial" w:hAnsi="Arial" w:cs="Arial"/>
          <w:sz w:val="24"/>
          <w:szCs w:val="24"/>
          <w:lang w:val="es-MX"/>
        </w:rPr>
        <w:t xml:space="preserve">y </w:t>
      </w:r>
      <w:r w:rsidR="008276BC" w:rsidRPr="00D27012">
        <w:rPr>
          <w:rFonts w:ascii="Arial" w:hAnsi="Arial" w:cs="Arial"/>
          <w:sz w:val="24"/>
          <w:szCs w:val="24"/>
          <w:lang w:val="es-MX"/>
        </w:rPr>
        <w:t>así diseñar, implementar, evaluar modificar las políticas estatales para prevenir, investigar, juzgar y sancionar</w:t>
      </w:r>
      <w:r w:rsidR="00280933">
        <w:rPr>
          <w:rFonts w:ascii="Arial" w:hAnsi="Arial" w:cs="Arial"/>
          <w:sz w:val="24"/>
          <w:szCs w:val="24"/>
          <w:lang w:val="es-MX"/>
        </w:rPr>
        <w:t xml:space="preserve"> estos </w:t>
      </w:r>
      <w:proofErr w:type="spellStart"/>
      <w:r w:rsidR="00280933">
        <w:rPr>
          <w:rFonts w:ascii="Arial" w:hAnsi="Arial" w:cs="Arial"/>
          <w:sz w:val="24"/>
          <w:szCs w:val="24"/>
          <w:lang w:val="es-MX"/>
        </w:rPr>
        <w:t>crimenes</w:t>
      </w:r>
      <w:proofErr w:type="spellEnd"/>
      <w:r w:rsidR="008276BC">
        <w:rPr>
          <w:rFonts w:ascii="Arial" w:hAnsi="Arial" w:cs="Arial"/>
          <w:sz w:val="24"/>
          <w:szCs w:val="24"/>
          <w:lang w:val="es-MX"/>
        </w:rPr>
        <w:t xml:space="preserve">. </w:t>
      </w:r>
      <w:r w:rsidRPr="00D27012">
        <w:rPr>
          <w:rFonts w:ascii="Arial" w:hAnsi="Arial" w:cs="Arial"/>
          <w:sz w:val="24"/>
          <w:szCs w:val="24"/>
          <w:lang w:val="es-MX"/>
        </w:rPr>
        <w:t>Por ello, la Corte a en su sentencia ordenó establecer un “</w:t>
      </w:r>
      <w:r w:rsidRPr="00D27012">
        <w:rPr>
          <w:rFonts w:ascii="Arial" w:hAnsi="Arial" w:cs="Arial"/>
          <w:i/>
          <w:iCs/>
          <w:sz w:val="24"/>
          <w:szCs w:val="24"/>
          <w:lang w:val="es-MX"/>
        </w:rPr>
        <w:t>sistema de recopilación de datos y cifras vinculadas a los casos de violencia contra las mujeres en todo el territorio nacional</w:t>
      </w:r>
      <w:r w:rsidRPr="00D27012">
        <w:rPr>
          <w:rFonts w:ascii="Arial" w:hAnsi="Arial" w:cs="Arial"/>
          <w:sz w:val="24"/>
          <w:szCs w:val="24"/>
          <w:lang w:val="es-MX"/>
        </w:rPr>
        <w:t>”</w:t>
      </w:r>
      <w:r w:rsidRPr="00D27012">
        <w:rPr>
          <w:rStyle w:val="Refdenotaalfinal"/>
          <w:rFonts w:ascii="Arial" w:hAnsi="Arial" w:cs="Arial"/>
          <w:sz w:val="24"/>
          <w:szCs w:val="24"/>
          <w:lang w:val="es-MX"/>
        </w:rPr>
        <w:endnoteReference w:id="41"/>
      </w:r>
      <w:r w:rsidR="007606AC" w:rsidRPr="00D27012">
        <w:rPr>
          <w:rFonts w:ascii="Arial" w:hAnsi="Arial" w:cs="Arial"/>
          <w:sz w:val="24"/>
          <w:szCs w:val="24"/>
          <w:lang w:val="es-MX"/>
        </w:rPr>
        <w:t xml:space="preserve">. </w:t>
      </w:r>
      <w:r w:rsidR="008276BC">
        <w:rPr>
          <w:rFonts w:ascii="Arial" w:hAnsi="Arial" w:cs="Arial"/>
          <w:sz w:val="24"/>
          <w:szCs w:val="24"/>
          <w:lang w:val="es-MX"/>
        </w:rPr>
        <w:t xml:space="preserve">Sin embargo, </w:t>
      </w:r>
      <w:r w:rsidR="007606AC" w:rsidRPr="00D27012">
        <w:rPr>
          <w:rFonts w:ascii="Arial" w:hAnsi="Arial" w:cs="Arial"/>
          <w:sz w:val="24"/>
          <w:szCs w:val="24"/>
          <w:lang w:val="es-MX"/>
        </w:rPr>
        <w:t>el Estado desde hace años que no publica cifras oficiales actualizadas ni registros individualizados de violencia contra las mujeres y los niveles de impunidad de estos.</w:t>
      </w:r>
    </w:p>
    <w:p w14:paraId="30904D7A" w14:textId="321724A7" w:rsidR="007606AC" w:rsidRPr="00D27012" w:rsidRDefault="008276BC" w:rsidP="00D27012">
      <w:pPr>
        <w:spacing w:line="240" w:lineRule="auto"/>
        <w:jc w:val="both"/>
        <w:rPr>
          <w:rFonts w:ascii="Arial" w:hAnsi="Arial" w:cs="Arial"/>
          <w:sz w:val="24"/>
          <w:szCs w:val="24"/>
          <w:lang w:val="es-MX"/>
        </w:rPr>
      </w:pPr>
      <w:r>
        <w:rPr>
          <w:rFonts w:ascii="Arial" w:hAnsi="Arial" w:cs="Arial"/>
          <w:sz w:val="24"/>
          <w:szCs w:val="24"/>
          <w:lang w:val="es-MX"/>
        </w:rPr>
        <w:t>Por lo anterior, sostenemos que e</w:t>
      </w:r>
      <w:r w:rsidR="007606AC" w:rsidRPr="00D27012">
        <w:rPr>
          <w:rFonts w:ascii="Arial" w:hAnsi="Arial" w:cs="Arial"/>
          <w:sz w:val="24"/>
          <w:szCs w:val="24"/>
          <w:lang w:val="es-MX"/>
        </w:rPr>
        <w:t xml:space="preserve">l incumplimiento </w:t>
      </w:r>
      <w:r>
        <w:rPr>
          <w:rFonts w:ascii="Arial" w:hAnsi="Arial" w:cs="Arial"/>
          <w:sz w:val="24"/>
          <w:szCs w:val="24"/>
          <w:lang w:val="es-MX"/>
        </w:rPr>
        <w:t xml:space="preserve">por parte del Estado de sus obligaciones internacionales permite </w:t>
      </w:r>
      <w:r w:rsidR="007606AC" w:rsidRPr="00D27012">
        <w:rPr>
          <w:rFonts w:ascii="Arial" w:hAnsi="Arial" w:cs="Arial"/>
          <w:sz w:val="24"/>
          <w:szCs w:val="24"/>
          <w:lang w:val="es-MX"/>
        </w:rPr>
        <w:t xml:space="preserve">que las víctimas de violencia contra la mujer en Venezuela se enfrenten a un aparato estatal que carece de perspectiva de género, que perpetua practicas revictimizantes, con procedimientos dilatorios y fallas estructurales en el aparato de justicia. </w:t>
      </w:r>
    </w:p>
    <w:p w14:paraId="5C973442" w14:textId="0F98C6E4" w:rsidR="008276BC" w:rsidRPr="00D27012" w:rsidRDefault="007606AC" w:rsidP="00D27012">
      <w:pPr>
        <w:spacing w:line="240" w:lineRule="auto"/>
        <w:jc w:val="both"/>
        <w:rPr>
          <w:rFonts w:ascii="Arial" w:hAnsi="Arial" w:cs="Arial"/>
          <w:sz w:val="24"/>
          <w:szCs w:val="24"/>
          <w:lang w:val="es-MX"/>
        </w:rPr>
      </w:pPr>
      <w:r w:rsidRPr="00D27012">
        <w:rPr>
          <w:rFonts w:ascii="Arial" w:hAnsi="Arial" w:cs="Arial"/>
          <w:sz w:val="24"/>
          <w:szCs w:val="24"/>
          <w:lang w:val="es-MX"/>
        </w:rPr>
        <w:t xml:space="preserve">Esta situación conduce a las víctimas de violencia contra la mujer a retraerse al momento de denunciar y debilita la confianza en los órganos de protección estatales, incrementa las tasas de impunidad de sus agresores y permite la repetición crónica de estos hechos.  </w:t>
      </w:r>
    </w:p>
    <w:p w14:paraId="24A4EF09" w14:textId="40FD4A4C" w:rsidR="00244A9E" w:rsidRDefault="00244A9E" w:rsidP="005A2B85">
      <w:pPr>
        <w:pStyle w:val="Prrafodelista"/>
        <w:numPr>
          <w:ilvl w:val="0"/>
          <w:numId w:val="3"/>
        </w:numPr>
        <w:spacing w:line="240" w:lineRule="auto"/>
        <w:rPr>
          <w:rFonts w:ascii="Arial" w:eastAsia="Calibri" w:hAnsi="Arial" w:cs="Arial"/>
          <w:b/>
          <w:sz w:val="24"/>
          <w:szCs w:val="24"/>
        </w:rPr>
      </w:pPr>
      <w:r w:rsidRPr="005A2B85">
        <w:rPr>
          <w:rFonts w:ascii="Arial" w:eastAsia="Calibri" w:hAnsi="Arial" w:cs="Arial"/>
          <w:b/>
          <w:sz w:val="24"/>
          <w:szCs w:val="24"/>
        </w:rPr>
        <w:t>Recomendaciones</w:t>
      </w:r>
    </w:p>
    <w:p w14:paraId="77166CDD" w14:textId="7D66E630" w:rsidR="008276BC" w:rsidRDefault="00E550E1" w:rsidP="005A2B85">
      <w:pPr>
        <w:spacing w:after="0" w:line="240" w:lineRule="auto"/>
        <w:contextualSpacing/>
        <w:jc w:val="both"/>
        <w:rPr>
          <w:rFonts w:ascii="Arial" w:hAnsi="Arial" w:cs="Arial"/>
          <w:sz w:val="24"/>
          <w:szCs w:val="24"/>
        </w:rPr>
      </w:pPr>
      <w:r>
        <w:rPr>
          <w:rFonts w:ascii="Arial" w:hAnsi="Arial" w:cs="Arial"/>
          <w:sz w:val="24"/>
          <w:szCs w:val="24"/>
        </w:rPr>
        <w:t>Respetuosamente ponemos a su consideración las siguientes recomendaciones al Estado que</w:t>
      </w:r>
      <w:r w:rsidR="008276BC">
        <w:rPr>
          <w:rFonts w:ascii="Arial" w:hAnsi="Arial" w:cs="Arial"/>
          <w:sz w:val="24"/>
          <w:szCs w:val="24"/>
        </w:rPr>
        <w:t xml:space="preserve"> consideramos pueden ayudar a superar las diversas situaciones que impiden a las mujeres vivir una vida libre de violencia, como se informó a lo largo del presente documento.</w:t>
      </w:r>
    </w:p>
    <w:p w14:paraId="0D2EFC65" w14:textId="77777777" w:rsidR="008276BC" w:rsidRDefault="008276BC" w:rsidP="005A2B85">
      <w:pPr>
        <w:spacing w:after="0" w:line="240" w:lineRule="auto"/>
        <w:contextualSpacing/>
        <w:jc w:val="both"/>
        <w:rPr>
          <w:rFonts w:ascii="Arial" w:hAnsi="Arial" w:cs="Arial"/>
          <w:sz w:val="24"/>
          <w:szCs w:val="24"/>
        </w:rPr>
      </w:pPr>
    </w:p>
    <w:p w14:paraId="3C83C952" w14:textId="326DA2BD" w:rsidR="005A2B85" w:rsidRDefault="00E550E1" w:rsidP="008276BC">
      <w:pPr>
        <w:pStyle w:val="Prrafodelista"/>
        <w:numPr>
          <w:ilvl w:val="0"/>
          <w:numId w:val="15"/>
        </w:numPr>
        <w:spacing w:after="0" w:line="240" w:lineRule="auto"/>
        <w:jc w:val="both"/>
        <w:rPr>
          <w:rFonts w:ascii="Arial" w:eastAsia="Calibri" w:hAnsi="Arial" w:cs="Arial"/>
          <w:sz w:val="24"/>
          <w:szCs w:val="24"/>
        </w:rPr>
      </w:pPr>
      <w:r>
        <w:rPr>
          <w:rFonts w:ascii="Arial" w:hAnsi="Arial" w:cs="Arial"/>
          <w:sz w:val="24"/>
          <w:szCs w:val="24"/>
        </w:rPr>
        <w:lastRenderedPageBreak/>
        <w:t xml:space="preserve">Reglamentar la </w:t>
      </w:r>
      <w:r w:rsidR="005A2B85" w:rsidRPr="008276BC">
        <w:rPr>
          <w:rFonts w:ascii="Arial" w:eastAsia="Calibri" w:hAnsi="Arial" w:cs="Arial"/>
          <w:sz w:val="24"/>
          <w:szCs w:val="24"/>
        </w:rPr>
        <w:t>Ley orgánica sobre el derecho de las mujeres a una vida libre de violencia, así como de un Protocolo de atención a mujeres y niñas víctimas de violencia sexual.</w:t>
      </w:r>
    </w:p>
    <w:p w14:paraId="178D2194" w14:textId="3E7EB9BD" w:rsidR="005A2B85" w:rsidRPr="008276BC" w:rsidRDefault="00E550E1" w:rsidP="008276BC">
      <w:pPr>
        <w:pStyle w:val="Prrafodelista"/>
        <w:numPr>
          <w:ilvl w:val="0"/>
          <w:numId w:val="15"/>
        </w:numPr>
        <w:spacing w:after="0" w:line="240" w:lineRule="auto"/>
        <w:jc w:val="both"/>
        <w:rPr>
          <w:rFonts w:ascii="Arial" w:eastAsia="Calibri" w:hAnsi="Arial" w:cs="Arial"/>
          <w:sz w:val="24"/>
          <w:szCs w:val="24"/>
        </w:rPr>
      </w:pPr>
      <w:r>
        <w:rPr>
          <w:rFonts w:ascii="Arial" w:eastAsia="Calibri" w:hAnsi="Arial" w:cs="Arial"/>
          <w:sz w:val="24"/>
          <w:szCs w:val="24"/>
        </w:rPr>
        <w:t>Adoptar</w:t>
      </w:r>
      <w:r w:rsidR="008276BC">
        <w:rPr>
          <w:rFonts w:ascii="Arial" w:eastAsia="Calibri" w:hAnsi="Arial" w:cs="Arial"/>
          <w:sz w:val="24"/>
          <w:szCs w:val="24"/>
        </w:rPr>
        <w:t xml:space="preserve"> legislación para </w:t>
      </w:r>
      <w:r w:rsidR="005A2B85" w:rsidRPr="008276BC">
        <w:rPr>
          <w:rFonts w:ascii="Arial" w:hAnsi="Arial" w:cs="Arial"/>
          <w:sz w:val="24"/>
          <w:szCs w:val="24"/>
          <w:lang w:val="es-MX"/>
        </w:rPr>
        <w:t>pr</w:t>
      </w:r>
      <w:r w:rsidR="008276BC">
        <w:rPr>
          <w:rFonts w:ascii="Arial" w:hAnsi="Arial" w:cs="Arial"/>
          <w:sz w:val="24"/>
          <w:szCs w:val="24"/>
          <w:lang w:val="es-MX"/>
        </w:rPr>
        <w:t>evenir</w:t>
      </w:r>
      <w:r w:rsidR="005A2B85" w:rsidRPr="008276BC">
        <w:rPr>
          <w:rFonts w:ascii="Arial" w:hAnsi="Arial" w:cs="Arial"/>
          <w:sz w:val="24"/>
          <w:szCs w:val="24"/>
          <w:lang w:val="es-MX"/>
        </w:rPr>
        <w:t xml:space="preserve"> todas las formas de discriminación, incluso por motivos de orientación sexual, identidad y expresión de género, y características sexuales</w:t>
      </w:r>
      <w:r w:rsidR="008276BC">
        <w:rPr>
          <w:rFonts w:ascii="Arial" w:hAnsi="Arial" w:cs="Arial"/>
          <w:sz w:val="24"/>
          <w:szCs w:val="24"/>
          <w:lang w:val="es-MX"/>
        </w:rPr>
        <w:t>.</w:t>
      </w:r>
    </w:p>
    <w:p w14:paraId="37F2BDFA" w14:textId="766EF828" w:rsidR="008276BC" w:rsidRPr="008276BC" w:rsidRDefault="008276BC" w:rsidP="005A2B85">
      <w:pPr>
        <w:pStyle w:val="Prrafodelista"/>
        <w:numPr>
          <w:ilvl w:val="0"/>
          <w:numId w:val="15"/>
        </w:numPr>
        <w:spacing w:after="0" w:line="240" w:lineRule="auto"/>
        <w:jc w:val="both"/>
        <w:rPr>
          <w:rFonts w:ascii="Arial" w:eastAsia="Calibri" w:hAnsi="Arial" w:cs="Arial"/>
          <w:sz w:val="24"/>
          <w:szCs w:val="24"/>
        </w:rPr>
      </w:pPr>
      <w:r>
        <w:rPr>
          <w:rFonts w:ascii="Arial" w:eastAsia="Calibri" w:hAnsi="Arial" w:cs="Arial"/>
          <w:sz w:val="24"/>
          <w:szCs w:val="24"/>
        </w:rPr>
        <w:t xml:space="preserve">Acciones que abonen al empoderamiento de las mujeres indígenas </w:t>
      </w:r>
      <w:r w:rsidR="005A2B85" w:rsidRPr="008276BC">
        <w:rPr>
          <w:rFonts w:ascii="Arial" w:hAnsi="Arial" w:cs="Arial"/>
          <w:sz w:val="24"/>
          <w:szCs w:val="24"/>
        </w:rPr>
        <w:t>ante las diversas manifestaciones de violencia de las cuales son víctimas, dándoles asistencia social directa en sus comunidades</w:t>
      </w:r>
      <w:r>
        <w:rPr>
          <w:rFonts w:ascii="Arial" w:hAnsi="Arial" w:cs="Arial"/>
          <w:sz w:val="24"/>
          <w:szCs w:val="24"/>
        </w:rPr>
        <w:t>.</w:t>
      </w:r>
    </w:p>
    <w:p w14:paraId="452AF421" w14:textId="1652DBE0" w:rsidR="00701F62" w:rsidRPr="008276BC" w:rsidRDefault="00E550E1" w:rsidP="00701F62">
      <w:pPr>
        <w:pStyle w:val="Prrafodelista"/>
        <w:numPr>
          <w:ilvl w:val="0"/>
          <w:numId w:val="15"/>
        </w:numPr>
        <w:spacing w:after="0" w:line="240" w:lineRule="auto"/>
        <w:jc w:val="both"/>
        <w:rPr>
          <w:rFonts w:ascii="Arial" w:eastAsia="Calibri" w:hAnsi="Arial" w:cs="Arial"/>
          <w:sz w:val="24"/>
          <w:szCs w:val="24"/>
        </w:rPr>
      </w:pPr>
      <w:r>
        <w:rPr>
          <w:rFonts w:ascii="Arial" w:hAnsi="Arial" w:cs="Arial"/>
          <w:sz w:val="24"/>
          <w:szCs w:val="24"/>
        </w:rPr>
        <w:t>Adoptar</w:t>
      </w:r>
      <w:r w:rsidR="008276BC">
        <w:rPr>
          <w:rFonts w:ascii="Arial" w:hAnsi="Arial" w:cs="Arial"/>
          <w:sz w:val="24"/>
          <w:szCs w:val="24"/>
        </w:rPr>
        <w:t xml:space="preserve"> de medidas legislativas</w:t>
      </w:r>
      <w:r w:rsidR="00701F62" w:rsidRPr="008276BC">
        <w:rPr>
          <w:rFonts w:ascii="Arial" w:hAnsi="Arial" w:cs="Arial"/>
          <w:sz w:val="24"/>
          <w:szCs w:val="24"/>
        </w:rPr>
        <w:t>, administrativas y que permitan reforzar la prohibición de las prácticas de tortura en razón de género, orientación sexual, identidad y expresión de género, en los servicios de salud, centros educativos públicos y privados, recintos carcelarios y en la vía pública.</w:t>
      </w:r>
    </w:p>
    <w:p w14:paraId="09036EBE" w14:textId="37BCAF0D" w:rsidR="00701F62" w:rsidRPr="008276BC" w:rsidRDefault="008276BC" w:rsidP="00701F62">
      <w:pPr>
        <w:pStyle w:val="Prrafodelista"/>
        <w:numPr>
          <w:ilvl w:val="0"/>
          <w:numId w:val="15"/>
        </w:numPr>
        <w:spacing w:after="0" w:line="240" w:lineRule="auto"/>
        <w:jc w:val="both"/>
        <w:rPr>
          <w:rStyle w:val="s1"/>
          <w:rFonts w:ascii="Arial" w:eastAsia="Calibri" w:hAnsi="Arial" w:cs="Arial"/>
          <w:sz w:val="24"/>
          <w:szCs w:val="24"/>
        </w:rPr>
      </w:pPr>
      <w:r>
        <w:rPr>
          <w:rFonts w:ascii="Arial" w:hAnsi="Arial" w:cs="Arial"/>
          <w:sz w:val="24"/>
          <w:szCs w:val="24"/>
        </w:rPr>
        <w:t xml:space="preserve">Cesar la </w:t>
      </w:r>
      <w:proofErr w:type="spellStart"/>
      <w:r w:rsidR="00701F62" w:rsidRPr="008276BC">
        <w:rPr>
          <w:rFonts w:ascii="Arial" w:hAnsi="Arial" w:cs="Arial"/>
          <w:sz w:val="24"/>
          <w:szCs w:val="24"/>
        </w:rPr>
        <w:t>persecucion</w:t>
      </w:r>
      <w:proofErr w:type="spellEnd"/>
      <w:r w:rsidR="00701F62" w:rsidRPr="008276BC">
        <w:rPr>
          <w:rFonts w:ascii="Arial" w:hAnsi="Arial" w:cs="Arial"/>
          <w:sz w:val="24"/>
          <w:szCs w:val="24"/>
        </w:rPr>
        <w:t xml:space="preserve">, </w:t>
      </w:r>
      <w:proofErr w:type="spellStart"/>
      <w:r w:rsidR="00701F62" w:rsidRPr="008276BC">
        <w:rPr>
          <w:rFonts w:ascii="Arial" w:hAnsi="Arial" w:cs="Arial"/>
          <w:sz w:val="24"/>
          <w:szCs w:val="24"/>
        </w:rPr>
        <w:t>criminalizacion</w:t>
      </w:r>
      <w:proofErr w:type="spellEnd"/>
      <w:r w:rsidR="00701F62" w:rsidRPr="008276BC">
        <w:rPr>
          <w:rFonts w:ascii="Arial" w:hAnsi="Arial" w:cs="Arial"/>
          <w:sz w:val="24"/>
          <w:szCs w:val="24"/>
        </w:rPr>
        <w:t xml:space="preserve"> y hostigamiento contra personas defensoras de derechos humanos en Venezuela y </w:t>
      </w:r>
      <w:r>
        <w:rPr>
          <w:rFonts w:ascii="Arial" w:hAnsi="Arial" w:cs="Arial"/>
          <w:sz w:val="24"/>
          <w:szCs w:val="24"/>
        </w:rPr>
        <w:t xml:space="preserve">abstenerse de aprobar normativa que </w:t>
      </w:r>
      <w:r w:rsidR="00701F62" w:rsidRPr="008276BC">
        <w:rPr>
          <w:rFonts w:ascii="Arial" w:hAnsi="Arial" w:cs="Arial"/>
          <w:sz w:val="24"/>
          <w:szCs w:val="24"/>
        </w:rPr>
        <w:t xml:space="preserve">restringe indebidamente el accionar libre e independiente de las ONG como lo es la </w:t>
      </w:r>
      <w:r w:rsidR="00701F62" w:rsidRPr="008276BC">
        <w:rPr>
          <w:rStyle w:val="s1"/>
          <w:rFonts w:ascii="Arial" w:hAnsi="Arial" w:cs="Arial"/>
          <w:i/>
          <w:sz w:val="24"/>
          <w:szCs w:val="24"/>
        </w:rPr>
        <w:t>Ley de Fiscalización, Regularización, Actuación y Financiamiento de las Organizaciones No Gubernamentales y Afines.</w:t>
      </w:r>
    </w:p>
    <w:p w14:paraId="75C8DF7D" w14:textId="77777777" w:rsidR="008276BC" w:rsidRPr="008276BC" w:rsidRDefault="008276BC" w:rsidP="009346D4">
      <w:pPr>
        <w:pStyle w:val="Prrafodelista"/>
        <w:numPr>
          <w:ilvl w:val="0"/>
          <w:numId w:val="15"/>
        </w:numPr>
        <w:spacing w:after="0" w:line="240" w:lineRule="auto"/>
        <w:jc w:val="both"/>
        <w:rPr>
          <w:rFonts w:ascii="Arial" w:eastAsia="Calibri" w:hAnsi="Arial" w:cs="Arial"/>
          <w:sz w:val="24"/>
          <w:szCs w:val="24"/>
        </w:rPr>
      </w:pPr>
      <w:r>
        <w:rPr>
          <w:rStyle w:val="s1"/>
          <w:rFonts w:ascii="Arial" w:hAnsi="Arial" w:cs="Arial"/>
          <w:iCs/>
          <w:sz w:val="24"/>
          <w:szCs w:val="24"/>
        </w:rPr>
        <w:t xml:space="preserve">Llevar a cabo esfuerzos para </w:t>
      </w:r>
      <w:r w:rsidR="00701F62" w:rsidRPr="008276BC">
        <w:rPr>
          <w:rFonts w:ascii="Arial" w:hAnsi="Arial" w:cs="Arial"/>
          <w:sz w:val="24"/>
          <w:szCs w:val="24"/>
        </w:rPr>
        <w:t xml:space="preserve">prevenir la violencia sexual y de género y para alentar a las víctimas a denunciar los casos. De la misma forma, debe reforzar e institucionalizar una capacitación con perspectiva de género, obligatoria para todo el personal judicial, los miembros de la fuerza pública y el personal de los servicios de salud, con el fin de asegurar que estén preparados para responder de forma efectiva a todas las formas de violencia en contra de la mujer. </w:t>
      </w:r>
    </w:p>
    <w:p w14:paraId="20169F13" w14:textId="645BA8CD" w:rsidR="008276BC" w:rsidRPr="008276BC" w:rsidRDefault="008276BC" w:rsidP="009346D4">
      <w:pPr>
        <w:pStyle w:val="Prrafodelista"/>
        <w:numPr>
          <w:ilvl w:val="0"/>
          <w:numId w:val="15"/>
        </w:numPr>
        <w:spacing w:after="0" w:line="240" w:lineRule="auto"/>
        <w:jc w:val="both"/>
        <w:rPr>
          <w:rFonts w:ascii="Arial" w:eastAsia="Calibri" w:hAnsi="Arial" w:cs="Arial"/>
          <w:sz w:val="24"/>
          <w:szCs w:val="24"/>
        </w:rPr>
      </w:pPr>
      <w:r>
        <w:rPr>
          <w:rFonts w:ascii="Arial" w:hAnsi="Arial" w:cs="Arial"/>
          <w:sz w:val="24"/>
          <w:szCs w:val="24"/>
        </w:rPr>
        <w:t>Investigar, juzgar</w:t>
      </w:r>
      <w:r w:rsidR="00E550E1">
        <w:rPr>
          <w:rFonts w:ascii="Arial" w:hAnsi="Arial" w:cs="Arial"/>
          <w:sz w:val="24"/>
          <w:szCs w:val="24"/>
        </w:rPr>
        <w:t xml:space="preserve">, </w:t>
      </w:r>
      <w:r>
        <w:rPr>
          <w:rFonts w:ascii="Arial" w:hAnsi="Arial" w:cs="Arial"/>
          <w:sz w:val="24"/>
          <w:szCs w:val="24"/>
        </w:rPr>
        <w:t xml:space="preserve">sancionar y reparar los delitos contra la mujer incluyendo aquellos cometidos </w:t>
      </w:r>
      <w:r w:rsidRPr="00D27012">
        <w:rPr>
          <w:rFonts w:ascii="Arial" w:eastAsia="Calibri" w:hAnsi="Arial" w:cs="Arial"/>
          <w:sz w:val="24"/>
          <w:szCs w:val="24"/>
        </w:rPr>
        <w:t>en el contexto de operativos de seguridad ciudadana</w:t>
      </w:r>
      <w:r>
        <w:rPr>
          <w:rFonts w:ascii="Arial" w:hAnsi="Arial" w:cs="Arial"/>
          <w:sz w:val="24"/>
          <w:szCs w:val="24"/>
        </w:rPr>
        <w:t>, en estricto apego a los estándares internacionales y con el apoyo de las instituciones encargadas de velar por los derechos de las mujeres, asegurando que estas cuenten con suficientes recursos para cumplir sus mandatos.</w:t>
      </w:r>
    </w:p>
    <w:p w14:paraId="216A3BA1" w14:textId="3DB53350" w:rsidR="008276BC" w:rsidRPr="008276BC" w:rsidRDefault="00E550E1" w:rsidP="009346D4">
      <w:pPr>
        <w:pStyle w:val="Prrafodelista"/>
        <w:numPr>
          <w:ilvl w:val="0"/>
          <w:numId w:val="15"/>
        </w:numPr>
        <w:spacing w:after="0" w:line="240" w:lineRule="auto"/>
        <w:jc w:val="both"/>
        <w:rPr>
          <w:rFonts w:ascii="Arial" w:eastAsia="Calibri" w:hAnsi="Arial" w:cs="Arial"/>
          <w:sz w:val="24"/>
          <w:szCs w:val="24"/>
        </w:rPr>
      </w:pPr>
      <w:r>
        <w:rPr>
          <w:rFonts w:ascii="Arial" w:hAnsi="Arial" w:cs="Arial"/>
          <w:sz w:val="24"/>
          <w:szCs w:val="24"/>
        </w:rPr>
        <w:t>Recopilar y analizar</w:t>
      </w:r>
      <w:r w:rsidR="008276BC" w:rsidRPr="00D27012">
        <w:rPr>
          <w:rFonts w:ascii="Arial" w:hAnsi="Arial" w:cs="Arial"/>
          <w:sz w:val="24"/>
          <w:szCs w:val="24"/>
          <w:lang w:val="es-MX"/>
        </w:rPr>
        <w:t xml:space="preserve"> datos para comprender los fenómenos delictivos de violencia contra la mujer</w:t>
      </w:r>
      <w:r w:rsidR="008276BC">
        <w:rPr>
          <w:rFonts w:ascii="Arial" w:hAnsi="Arial" w:cs="Arial"/>
          <w:sz w:val="24"/>
          <w:szCs w:val="24"/>
          <w:lang w:val="es-MX"/>
        </w:rPr>
        <w:t xml:space="preserve"> y publicar datos oficiales sobre estos crímenes.</w:t>
      </w:r>
    </w:p>
    <w:p w14:paraId="7926B14F" w14:textId="5D5ED084" w:rsidR="008276BC" w:rsidRPr="008276BC" w:rsidRDefault="008276BC" w:rsidP="009346D4">
      <w:pPr>
        <w:pStyle w:val="Prrafodelista"/>
        <w:numPr>
          <w:ilvl w:val="0"/>
          <w:numId w:val="15"/>
        </w:numPr>
        <w:spacing w:after="0" w:line="240" w:lineRule="auto"/>
        <w:jc w:val="both"/>
        <w:rPr>
          <w:rFonts w:ascii="Arial" w:eastAsia="Calibri" w:hAnsi="Arial" w:cs="Arial"/>
          <w:sz w:val="24"/>
          <w:szCs w:val="24"/>
        </w:rPr>
      </w:pPr>
      <w:r>
        <w:rPr>
          <w:rFonts w:ascii="Arial" w:eastAsia="Calibri" w:hAnsi="Arial" w:cs="Arial"/>
          <w:sz w:val="24"/>
          <w:szCs w:val="24"/>
        </w:rPr>
        <w:t xml:space="preserve">Considerar </w:t>
      </w:r>
      <w:r w:rsidRPr="008276BC">
        <w:rPr>
          <w:rFonts w:ascii="Arial" w:eastAsia="Calibri" w:hAnsi="Arial" w:cs="Arial"/>
          <w:sz w:val="24"/>
          <w:szCs w:val="24"/>
        </w:rPr>
        <w:t>las necesidades</w:t>
      </w:r>
      <w:r>
        <w:rPr>
          <w:rFonts w:ascii="Arial" w:eastAsia="Calibri" w:hAnsi="Arial" w:cs="Arial"/>
          <w:sz w:val="24"/>
          <w:szCs w:val="24"/>
        </w:rPr>
        <w:t xml:space="preserve"> </w:t>
      </w:r>
      <w:proofErr w:type="spellStart"/>
      <w:r>
        <w:rPr>
          <w:rFonts w:ascii="Arial" w:eastAsia="Calibri" w:hAnsi="Arial" w:cs="Arial"/>
          <w:sz w:val="24"/>
          <w:szCs w:val="24"/>
        </w:rPr>
        <w:t>especificas</w:t>
      </w:r>
      <w:proofErr w:type="spellEnd"/>
      <w:r w:rsidRPr="008276BC">
        <w:rPr>
          <w:rFonts w:ascii="Arial" w:eastAsia="Calibri" w:hAnsi="Arial" w:cs="Arial"/>
          <w:sz w:val="24"/>
          <w:szCs w:val="24"/>
        </w:rPr>
        <w:t xml:space="preserve"> de las mujeres con discapacidad para ofrecer respuestas específicas y diferenciadas en sus programas y/o políticas.</w:t>
      </w:r>
    </w:p>
    <w:p w14:paraId="0D23886D" w14:textId="21457B29" w:rsidR="00A0404F" w:rsidRPr="008276BC" w:rsidRDefault="008276BC" w:rsidP="009346D4">
      <w:pPr>
        <w:pStyle w:val="Prrafodelista"/>
        <w:numPr>
          <w:ilvl w:val="0"/>
          <w:numId w:val="15"/>
        </w:numPr>
        <w:spacing w:after="0" w:line="240" w:lineRule="auto"/>
        <w:jc w:val="both"/>
        <w:rPr>
          <w:rFonts w:ascii="Arial" w:eastAsia="Calibri" w:hAnsi="Arial" w:cs="Arial"/>
          <w:sz w:val="24"/>
          <w:szCs w:val="24"/>
        </w:rPr>
      </w:pPr>
      <w:r>
        <w:rPr>
          <w:rFonts w:ascii="Arial" w:hAnsi="Arial" w:cs="Arial"/>
          <w:sz w:val="24"/>
          <w:szCs w:val="24"/>
          <w:lang w:val="es-MX"/>
        </w:rPr>
        <w:t xml:space="preserve">Atender sus obligaciones emanadas del SIDH </w:t>
      </w:r>
      <w:r w:rsidR="00A0404F" w:rsidRPr="008276BC">
        <w:rPr>
          <w:rFonts w:ascii="Arial" w:hAnsi="Arial" w:cs="Arial"/>
          <w:sz w:val="24"/>
          <w:szCs w:val="24"/>
          <w:lang w:val="es-MX"/>
        </w:rPr>
        <w:t xml:space="preserve">en materia de violencia contra la mujer </w:t>
      </w:r>
      <w:r>
        <w:rPr>
          <w:rFonts w:ascii="Arial" w:hAnsi="Arial" w:cs="Arial"/>
          <w:sz w:val="24"/>
          <w:szCs w:val="24"/>
          <w:lang w:val="es-MX"/>
        </w:rPr>
        <w:t xml:space="preserve">y </w:t>
      </w:r>
      <w:r w:rsidR="00A0404F" w:rsidRPr="008276BC">
        <w:rPr>
          <w:rFonts w:ascii="Arial" w:hAnsi="Arial" w:cs="Arial"/>
          <w:sz w:val="24"/>
          <w:szCs w:val="24"/>
          <w:lang w:val="es-MX"/>
        </w:rPr>
        <w:t>reconsiderar su retirada de la Convención Americana sobre Derechos Humanos.</w:t>
      </w:r>
    </w:p>
    <w:p w14:paraId="24137359" w14:textId="77777777" w:rsidR="00A928F7" w:rsidRPr="00D27012" w:rsidRDefault="00A928F7" w:rsidP="00D27012">
      <w:pPr>
        <w:spacing w:line="240" w:lineRule="auto"/>
        <w:jc w:val="both"/>
        <w:rPr>
          <w:rFonts w:ascii="Arial" w:hAnsi="Arial" w:cs="Arial"/>
          <w:sz w:val="24"/>
          <w:szCs w:val="24"/>
        </w:rPr>
      </w:pPr>
    </w:p>
    <w:p w14:paraId="008A66EB" w14:textId="77777777" w:rsidR="00244A9E" w:rsidRPr="00D27012" w:rsidRDefault="00244A9E" w:rsidP="00D27012">
      <w:pPr>
        <w:spacing w:line="240" w:lineRule="auto"/>
        <w:rPr>
          <w:rFonts w:ascii="Arial" w:hAnsi="Arial" w:cs="Arial"/>
          <w:sz w:val="24"/>
          <w:szCs w:val="24"/>
          <w:lang w:val="es-ES"/>
        </w:rPr>
      </w:pPr>
    </w:p>
    <w:sectPr w:rsidR="00244A9E" w:rsidRPr="00D27012">
      <w:endnotePr>
        <w:numFmt w:val="decimal"/>
      </w:end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75500" w14:textId="77777777" w:rsidR="00265903" w:rsidRDefault="00265903" w:rsidP="00244A9E">
      <w:pPr>
        <w:spacing w:after="0" w:line="240" w:lineRule="auto"/>
      </w:pPr>
      <w:r>
        <w:separator/>
      </w:r>
    </w:p>
  </w:endnote>
  <w:endnote w:type="continuationSeparator" w:id="0">
    <w:p w14:paraId="09219F17" w14:textId="77777777" w:rsidR="00265903" w:rsidRDefault="00265903" w:rsidP="00244A9E">
      <w:pPr>
        <w:spacing w:after="0" w:line="240" w:lineRule="auto"/>
      </w:pPr>
      <w:r>
        <w:continuationSeparator/>
      </w:r>
    </w:p>
  </w:endnote>
  <w:endnote w:id="1">
    <w:p w14:paraId="6EF52553" w14:textId="1CE545D4" w:rsidR="00A51E93" w:rsidRPr="00183E15" w:rsidRDefault="00A51E93" w:rsidP="00941630">
      <w:pPr>
        <w:pStyle w:val="Textonotaalfinal"/>
        <w:jc w:val="both"/>
        <w:rPr>
          <w:rFonts w:ascii="Arial" w:hAnsi="Arial" w:cs="Arial"/>
          <w:lang w:val="es-ES"/>
        </w:rPr>
      </w:pPr>
      <w:r>
        <w:rPr>
          <w:rStyle w:val="Refdenotaalfinal"/>
        </w:rPr>
        <w:endnoteRef/>
      </w:r>
      <w:r>
        <w:t xml:space="preserve"> </w:t>
      </w:r>
      <w:r w:rsidRPr="00183E15">
        <w:rPr>
          <w:rFonts w:ascii="Arial" w:hAnsi="Arial" w:cs="Arial"/>
        </w:rPr>
        <w:t>Comité contra la Tortura. En sus Observaciones finales sobre los informes periódicos tercero y cuarto combinados de la República Bolivariana de Venezuela el comité indicó que “</w:t>
      </w:r>
      <w:r w:rsidRPr="00183E15">
        <w:rPr>
          <w:rFonts w:ascii="Arial" w:hAnsi="Arial" w:cs="Arial"/>
          <w:i/>
          <w:iCs/>
        </w:rPr>
        <w:t>urge al Estado parte a que considere armonizar el contenido del artículo 17 de la Ley contra la Tortura con lo dispuesto en el artículo 1 de la Convención, a fin de incluir los dolores o sufrimientos infligidos por personas en el ejercicio de funciones públicas, o a instigación o con el consentimiento o aquiescencia de funcionarios públicos, y contra individuos que estén sometidos o no a privación de libertad</w:t>
      </w:r>
      <w:r w:rsidRPr="00183E15">
        <w:rPr>
          <w:rFonts w:ascii="Arial" w:hAnsi="Arial" w:cs="Arial"/>
        </w:rPr>
        <w:t xml:space="preserve">.” Disponible en </w:t>
      </w:r>
      <w:hyperlink r:id="rId1" w:history="1">
        <w:r w:rsidRPr="00183E15">
          <w:rPr>
            <w:rStyle w:val="Hipervnculo"/>
            <w:rFonts w:ascii="Arial" w:hAnsi="Arial" w:cs="Arial"/>
          </w:rPr>
          <w:t>https://tbinternet.ohchr.org/_layouts/15/treatybodyexternal/Download.aspx?symbolno=CAT%2FC%2FVEN%2FCO%2F3-4&amp;Lang=es</w:t>
        </w:r>
      </w:hyperlink>
      <w:r w:rsidRPr="00183E15">
        <w:rPr>
          <w:rFonts w:ascii="Arial" w:hAnsi="Arial" w:cs="Arial"/>
        </w:rPr>
        <w:t xml:space="preserve"> </w:t>
      </w:r>
    </w:p>
  </w:endnote>
  <w:endnote w:id="2">
    <w:p w14:paraId="25CCBAFD" w14:textId="18013CA0" w:rsidR="003B561B" w:rsidRPr="00183E15" w:rsidRDefault="003B561B"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00067736" w:rsidRPr="00183E15">
        <w:rPr>
          <w:rFonts w:ascii="Arial" w:hAnsi="Arial" w:cs="Arial"/>
        </w:rPr>
        <w:t>Kape-Kape</w:t>
      </w:r>
      <w:proofErr w:type="spellEnd"/>
      <w:r w:rsidR="00067736" w:rsidRPr="00183E15">
        <w:rPr>
          <w:rFonts w:ascii="Arial" w:hAnsi="Arial" w:cs="Arial"/>
        </w:rPr>
        <w:t xml:space="preserve">. </w:t>
      </w:r>
      <w:r w:rsidR="00067736" w:rsidRPr="00183E15">
        <w:rPr>
          <w:rFonts w:ascii="Arial" w:hAnsi="Arial" w:cs="Arial"/>
          <w:i/>
          <w:iCs/>
        </w:rPr>
        <w:t>I</w:t>
      </w:r>
      <w:r w:rsidR="00067736" w:rsidRPr="00183E15">
        <w:rPr>
          <w:rStyle w:val="markedcontent"/>
          <w:rFonts w:ascii="Arial" w:hAnsi="Arial" w:cs="Arial"/>
          <w:i/>
          <w:iCs/>
        </w:rPr>
        <w:t>nforme de migración ruta del migrante indígena 2021</w:t>
      </w:r>
      <w:r w:rsidR="00067736" w:rsidRPr="00183E15">
        <w:rPr>
          <w:rStyle w:val="markedcontent"/>
          <w:rFonts w:ascii="Arial" w:hAnsi="Arial" w:cs="Arial"/>
        </w:rPr>
        <w:t xml:space="preserve"> del mes de noviembre de 2021. Disponible en: </w:t>
      </w:r>
      <w:hyperlink r:id="rId2" w:history="1">
        <w:r w:rsidR="00067736" w:rsidRPr="00183E15">
          <w:rPr>
            <w:rStyle w:val="Hipervnculo"/>
            <w:rFonts w:ascii="Arial" w:hAnsi="Arial" w:cs="Arial"/>
          </w:rPr>
          <w:t>https://kape-kape.one/wp-content/uploads/pdf/informe-de-migracion-2021_opt.pdf</w:t>
        </w:r>
      </w:hyperlink>
    </w:p>
  </w:endnote>
  <w:endnote w:id="3">
    <w:p w14:paraId="58F21259" w14:textId="20BB839D" w:rsidR="003B561B" w:rsidRPr="00183E15" w:rsidRDefault="003B561B" w:rsidP="00067736">
      <w:pPr>
        <w:pStyle w:val="Textonotaalfinal"/>
        <w:jc w:val="both"/>
        <w:rPr>
          <w:rFonts w:ascii="Arial" w:hAnsi="Arial" w:cs="Arial"/>
        </w:rPr>
      </w:pPr>
      <w:r w:rsidRPr="00183E15">
        <w:rPr>
          <w:rStyle w:val="Refdenotaalfinal"/>
          <w:rFonts w:ascii="Arial" w:hAnsi="Arial" w:cs="Arial"/>
        </w:rPr>
        <w:endnoteRef/>
      </w:r>
      <w:r w:rsidRPr="005314FB">
        <w:rPr>
          <w:rFonts w:ascii="Arial" w:hAnsi="Arial" w:cs="Arial"/>
          <w:lang w:val="es-MX"/>
        </w:rPr>
        <w:t xml:space="preserve"> </w:t>
      </w:r>
      <w:proofErr w:type="spellStart"/>
      <w:r w:rsidR="00067736" w:rsidRPr="005314FB">
        <w:rPr>
          <w:rFonts w:ascii="Arial" w:hAnsi="Arial" w:cs="Arial"/>
          <w:lang w:val="es-MX"/>
        </w:rPr>
        <w:t>Kape-Kape</w:t>
      </w:r>
      <w:proofErr w:type="spellEnd"/>
      <w:r w:rsidR="00067736" w:rsidRPr="005314FB">
        <w:rPr>
          <w:rFonts w:ascii="Arial" w:hAnsi="Arial" w:cs="Arial"/>
          <w:lang w:val="es-MX"/>
        </w:rPr>
        <w:t xml:space="preserve">. </w:t>
      </w:r>
      <w:r w:rsidR="00067736" w:rsidRPr="00183E15">
        <w:rPr>
          <w:rFonts w:ascii="Arial" w:hAnsi="Arial" w:cs="Arial"/>
          <w:i/>
          <w:iCs/>
        </w:rPr>
        <w:t>Violencia contra la mujer indígena, una manifestación más de la desigualdad social</w:t>
      </w:r>
      <w:r w:rsidR="00067736" w:rsidRPr="00183E15">
        <w:rPr>
          <w:rFonts w:ascii="Arial" w:hAnsi="Arial" w:cs="Arial"/>
        </w:rPr>
        <w:t xml:space="preserve"> de junio del año 2022. Disponible en </w:t>
      </w:r>
      <w:hyperlink r:id="rId3" w:history="1">
        <w:r w:rsidR="00067736" w:rsidRPr="00183E15">
          <w:rPr>
            <w:rStyle w:val="Hipervnculo"/>
            <w:rFonts w:ascii="Arial" w:hAnsi="Arial" w:cs="Arial"/>
          </w:rPr>
          <w:t>https://kape-kape.one/wp-content/uploads/pdf/boletin-27-Violencia.contra.la.mujer.indigena.pdf</w:t>
        </w:r>
      </w:hyperlink>
    </w:p>
  </w:endnote>
  <w:endnote w:id="4">
    <w:p w14:paraId="326345EA" w14:textId="6CB24BB9" w:rsidR="003D5DF2" w:rsidRPr="00183E15" w:rsidRDefault="003D5DF2"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r w:rsidR="00830DE5" w:rsidRPr="00183E15">
        <w:rPr>
          <w:rFonts w:ascii="Arial" w:hAnsi="Arial" w:cs="Arial"/>
        </w:rPr>
        <w:t xml:space="preserve">Conclusiones detalladas de la Misión internacional independiente de determinación de los hechos sobre la República Bolivariana de Venezuela: </w:t>
      </w:r>
      <w:r w:rsidR="00830DE5" w:rsidRPr="00183E15">
        <w:rPr>
          <w:rFonts w:ascii="Arial" w:hAnsi="Arial" w:cs="Arial"/>
          <w:i/>
          <w:iCs/>
        </w:rPr>
        <w:t>La situación de los derechos humanos en el Arco Minero del Orinoco y otras áreas del estado de Bolívar,</w:t>
      </w:r>
      <w:r w:rsidRPr="00183E15">
        <w:rPr>
          <w:rFonts w:ascii="Arial" w:hAnsi="Arial" w:cs="Arial"/>
        </w:rPr>
        <w:t xml:space="preserve"> de fecha 2</w:t>
      </w:r>
      <w:r w:rsidR="00830DE5" w:rsidRPr="00183E15">
        <w:rPr>
          <w:rFonts w:ascii="Arial" w:hAnsi="Arial" w:cs="Arial"/>
        </w:rPr>
        <w:t>0</w:t>
      </w:r>
      <w:r w:rsidRPr="00183E15">
        <w:rPr>
          <w:rFonts w:ascii="Arial" w:hAnsi="Arial" w:cs="Arial"/>
        </w:rPr>
        <w:t xml:space="preserve"> de septiembre de 202</w:t>
      </w:r>
      <w:r w:rsidR="00830DE5" w:rsidRPr="00183E15">
        <w:rPr>
          <w:rFonts w:ascii="Arial" w:hAnsi="Arial" w:cs="Arial"/>
        </w:rPr>
        <w:t>2</w:t>
      </w:r>
      <w:r w:rsidRPr="00183E15">
        <w:rPr>
          <w:rFonts w:ascii="Arial" w:hAnsi="Arial" w:cs="Arial"/>
        </w:rPr>
        <w:t>.</w:t>
      </w:r>
      <w:r w:rsidR="00830DE5" w:rsidRPr="00183E15">
        <w:rPr>
          <w:rFonts w:ascii="Arial" w:hAnsi="Arial" w:cs="Arial"/>
        </w:rPr>
        <w:t xml:space="preserve"> Párrafo 728</w:t>
      </w:r>
    </w:p>
  </w:endnote>
  <w:endnote w:id="5">
    <w:p w14:paraId="0A4FF041" w14:textId="140190D6" w:rsidR="003B561B" w:rsidRPr="00183E15" w:rsidRDefault="003B561B" w:rsidP="00941630">
      <w:pPr>
        <w:pStyle w:val="Textonotaalfinal"/>
        <w:jc w:val="both"/>
        <w:rPr>
          <w:rFonts w:ascii="Arial" w:hAnsi="Arial" w:cs="Arial"/>
          <w:lang w:val="es-ES_tradnl"/>
        </w:rPr>
      </w:pPr>
      <w:r w:rsidRPr="00183E15">
        <w:rPr>
          <w:rStyle w:val="Refdenotaalfinal"/>
          <w:rFonts w:ascii="Arial" w:hAnsi="Arial" w:cs="Arial"/>
        </w:rPr>
        <w:endnoteRef/>
      </w:r>
      <w:r w:rsidRPr="00183E15">
        <w:rPr>
          <w:rFonts w:ascii="Arial" w:hAnsi="Arial" w:cs="Arial"/>
        </w:rPr>
        <w:t xml:space="preserve"> </w:t>
      </w:r>
      <w:proofErr w:type="spellStart"/>
      <w:r w:rsidR="00183E15" w:rsidRPr="00183E15">
        <w:rPr>
          <w:rFonts w:ascii="Arial" w:hAnsi="Arial" w:cs="Arial"/>
        </w:rPr>
        <w:t>Kape-Kape</w:t>
      </w:r>
      <w:proofErr w:type="spellEnd"/>
      <w:r w:rsidR="00183E15" w:rsidRPr="00183E15">
        <w:rPr>
          <w:rFonts w:ascii="Arial" w:hAnsi="Arial" w:cs="Arial"/>
        </w:rPr>
        <w:t xml:space="preserve">. </w:t>
      </w:r>
      <w:r w:rsidR="00183E15" w:rsidRPr="00183E15">
        <w:rPr>
          <w:rStyle w:val="markedcontent"/>
          <w:rFonts w:ascii="Arial" w:hAnsi="Arial" w:cs="Arial"/>
          <w:i/>
          <w:iCs/>
        </w:rPr>
        <w:t>Violencia hacia la Mujer Indígena: Estados Amazonas, Bolívar y Delta Amacuro</w:t>
      </w:r>
      <w:r w:rsidR="00183E15" w:rsidRPr="00183E15">
        <w:rPr>
          <w:rStyle w:val="markedcontent"/>
          <w:rFonts w:ascii="Arial" w:hAnsi="Arial" w:cs="Arial"/>
        </w:rPr>
        <w:t xml:space="preserve"> del año 2022. </w:t>
      </w:r>
      <w:r w:rsidR="00183E15" w:rsidRPr="00072221">
        <w:rPr>
          <w:rStyle w:val="markedcontent"/>
          <w:rFonts w:ascii="Arial" w:hAnsi="Arial" w:cs="Arial"/>
        </w:rPr>
        <w:t xml:space="preserve">Disponible en </w:t>
      </w:r>
      <w:hyperlink r:id="rId4" w:history="1">
        <w:r w:rsidR="00183E15" w:rsidRPr="00072221">
          <w:rPr>
            <w:rStyle w:val="Hipervnculo"/>
            <w:rFonts w:ascii="Arial" w:hAnsi="Arial" w:cs="Arial"/>
          </w:rPr>
          <w:t>https://kape-kape.one/wp-content/uploads/pdf/Violencia.hacia.la.mujer.indigena.2022.opt.pdf</w:t>
        </w:r>
      </w:hyperlink>
    </w:p>
  </w:endnote>
  <w:endnote w:id="6">
    <w:p w14:paraId="5BD58A78" w14:textId="3898D557" w:rsidR="003B561B" w:rsidRPr="00183E15" w:rsidRDefault="003B561B" w:rsidP="00941630">
      <w:pPr>
        <w:pStyle w:val="Textonotaalfinal"/>
        <w:jc w:val="both"/>
        <w:rPr>
          <w:rFonts w:ascii="Arial" w:hAnsi="Arial" w:cs="Arial"/>
          <w:lang w:val="es-ES_tradnl"/>
        </w:rPr>
      </w:pPr>
      <w:r w:rsidRPr="00183E15">
        <w:rPr>
          <w:rStyle w:val="Refdenotaalfinal"/>
          <w:rFonts w:ascii="Arial" w:hAnsi="Arial" w:cs="Arial"/>
        </w:rPr>
        <w:endnoteRef/>
      </w:r>
      <w:r w:rsidRPr="00183E15">
        <w:rPr>
          <w:rFonts w:ascii="Arial" w:hAnsi="Arial" w:cs="Arial"/>
        </w:rPr>
        <w:t xml:space="preserve"> </w:t>
      </w:r>
      <w:proofErr w:type="spellStart"/>
      <w:r w:rsidR="00183E15" w:rsidRPr="00183E15">
        <w:rPr>
          <w:rFonts w:ascii="Arial" w:hAnsi="Arial" w:cs="Arial"/>
        </w:rPr>
        <w:t>Ibídem</w:t>
      </w:r>
      <w:proofErr w:type="spellEnd"/>
    </w:p>
  </w:endnote>
  <w:endnote w:id="7">
    <w:p w14:paraId="7BC7CF90" w14:textId="6DB65FEE" w:rsidR="003B561B" w:rsidRPr="00072221" w:rsidRDefault="003B561B" w:rsidP="00941630">
      <w:pPr>
        <w:pStyle w:val="Textonotaalfinal"/>
        <w:jc w:val="both"/>
        <w:rPr>
          <w:rFonts w:ascii="Arial" w:hAnsi="Arial" w:cs="Arial"/>
        </w:rPr>
      </w:pPr>
      <w:r w:rsidRPr="00183E15">
        <w:rPr>
          <w:rStyle w:val="Refdenotaalfinal"/>
          <w:rFonts w:ascii="Arial" w:hAnsi="Arial" w:cs="Arial"/>
        </w:rPr>
        <w:endnoteRef/>
      </w:r>
      <w:r w:rsidR="00067736" w:rsidRPr="00183E15">
        <w:rPr>
          <w:rFonts w:ascii="Arial" w:hAnsi="Arial" w:cs="Arial"/>
        </w:rPr>
        <w:t xml:space="preserve"> </w:t>
      </w:r>
      <w:proofErr w:type="spellStart"/>
      <w:r w:rsidR="00183E15" w:rsidRPr="00183E15">
        <w:rPr>
          <w:rFonts w:ascii="Arial" w:hAnsi="Arial" w:cs="Arial"/>
        </w:rPr>
        <w:t>Ibídem</w:t>
      </w:r>
      <w:proofErr w:type="spellEnd"/>
    </w:p>
  </w:endnote>
  <w:endnote w:id="8">
    <w:p w14:paraId="5B0FD750" w14:textId="64715B67" w:rsidR="00F77786" w:rsidRPr="00183E15" w:rsidRDefault="00F77786"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Informes sobre la situación de personas defensoras de derechos humanos en Venezuela de 2018 a 2022: </w:t>
      </w:r>
      <w:r w:rsidR="001E0C63" w:rsidRPr="00183E15">
        <w:rPr>
          <w:rFonts w:ascii="Arial" w:hAnsi="Arial" w:cs="Arial"/>
        </w:rPr>
        <w:t xml:space="preserve"> </w:t>
      </w:r>
      <w:hyperlink r:id="rId5" w:history="1">
        <w:r w:rsidR="001E0C63" w:rsidRPr="00183E15">
          <w:rPr>
            <w:rStyle w:val="Hipervnculo"/>
            <w:rFonts w:ascii="Arial" w:hAnsi="Arial" w:cs="Arial"/>
          </w:rPr>
          <w:t>https://cofavic.org/wp-content/uploads/2021/02/Informe-Venezuela-Enemigos-internos-COVID-2021-1.pdf</w:t>
        </w:r>
      </w:hyperlink>
      <w:r w:rsidRPr="00183E15">
        <w:rPr>
          <w:rFonts w:ascii="Arial" w:hAnsi="Arial" w:cs="Arial"/>
        </w:rPr>
        <w:t xml:space="preserve"> </w:t>
      </w:r>
      <w:r w:rsidR="001E0C63" w:rsidRPr="00183E15">
        <w:rPr>
          <w:rFonts w:ascii="Arial" w:hAnsi="Arial" w:cs="Arial"/>
        </w:rPr>
        <w:t xml:space="preserve">; </w:t>
      </w:r>
      <w:hyperlink r:id="rId6" w:history="1">
        <w:r w:rsidRPr="00183E15">
          <w:rPr>
            <w:rStyle w:val="Hipervnculo"/>
            <w:rFonts w:ascii="Arial" w:hAnsi="Arial" w:cs="Arial"/>
          </w:rPr>
          <w:t>https://cofavic.org/wpcontent/uploads/2022/10/COFAVIC_Resumen_Agresiones_DefensaDDHH_ene_ago_2022_W.pdf</w:t>
        </w:r>
      </w:hyperlink>
      <w:r w:rsidRPr="00183E15">
        <w:rPr>
          <w:rFonts w:ascii="Arial" w:hAnsi="Arial" w:cs="Arial"/>
        </w:rPr>
        <w:t xml:space="preserve">  </w:t>
      </w:r>
    </w:p>
  </w:endnote>
  <w:endnote w:id="9">
    <w:p w14:paraId="2EAA7D1A" w14:textId="77777777" w:rsidR="00137563" w:rsidRPr="00183E15" w:rsidRDefault="00137563"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COFAVIC. Grave restricciones atentan de nuevo contra existencia de las ONG.</w:t>
      </w:r>
    </w:p>
    <w:p w14:paraId="5D8E224A" w14:textId="77777777" w:rsidR="00137563" w:rsidRPr="00183E15" w:rsidRDefault="00072221" w:rsidP="00941630">
      <w:pPr>
        <w:pStyle w:val="Textonotaalfinal"/>
        <w:jc w:val="both"/>
        <w:rPr>
          <w:rFonts w:ascii="Arial" w:hAnsi="Arial" w:cs="Arial"/>
        </w:rPr>
      </w:pPr>
      <w:hyperlink r:id="rId7" w:history="1">
        <w:r w:rsidR="00137563" w:rsidRPr="00183E15">
          <w:rPr>
            <w:rStyle w:val="Hipervnculo"/>
            <w:rFonts w:ascii="Arial" w:hAnsi="Arial" w:cs="Arial"/>
          </w:rPr>
          <w:t>https://cofavic.org/wp-content/uploads/2021/04/COFAVIC_Graves_Restricciones-a-la-Sociedad-Civil.-2021DEF.pdf</w:t>
        </w:r>
      </w:hyperlink>
      <w:r w:rsidR="00137563" w:rsidRPr="00183E15">
        <w:rPr>
          <w:rFonts w:ascii="Arial" w:hAnsi="Arial" w:cs="Arial"/>
        </w:rPr>
        <w:t xml:space="preserve"> </w:t>
      </w:r>
    </w:p>
  </w:endnote>
  <w:endnote w:id="10">
    <w:p w14:paraId="30C6548A" w14:textId="77777777" w:rsidR="00137563" w:rsidRPr="00183E15" w:rsidRDefault="00137563"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Ibidem</w:t>
      </w:r>
    </w:p>
  </w:endnote>
  <w:endnote w:id="11">
    <w:p w14:paraId="02E4C785" w14:textId="06D785A3" w:rsidR="00941630" w:rsidRPr="00183E15" w:rsidRDefault="00941630"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w:t>
      </w:r>
      <w:r w:rsidRPr="00183E15">
        <w:rPr>
          <w:rFonts w:ascii="Arial" w:hAnsi="Arial" w:cs="Arial"/>
          <w:lang w:val="es-ES"/>
        </w:rPr>
        <w:t xml:space="preserve">IPYS. Diario El Vistazo y su directora víctimas de campañas de agravios nuevamente, de fecha 15 de agosto de 2022. Disponible en </w:t>
      </w:r>
      <w:hyperlink r:id="rId8" w:history="1">
        <w:r w:rsidRPr="00183E15">
          <w:rPr>
            <w:rStyle w:val="Hipervnculo"/>
            <w:rFonts w:ascii="Arial" w:hAnsi="Arial" w:cs="Arial"/>
            <w:lang w:val="es-ES"/>
          </w:rPr>
          <w:t>https://ipysvenezuela.org/alerta/alerta-ipysve-diario-el-vistazo-y-su-directora-victimas-de-campanas-de-agravios-nuevamente/</w:t>
        </w:r>
      </w:hyperlink>
      <w:r w:rsidRPr="00183E15">
        <w:rPr>
          <w:rFonts w:ascii="Arial" w:hAnsi="Arial" w:cs="Arial"/>
          <w:lang w:val="es-ES"/>
        </w:rPr>
        <w:t xml:space="preserve"> </w:t>
      </w:r>
    </w:p>
  </w:endnote>
  <w:endnote w:id="12">
    <w:p w14:paraId="30EC192F"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Comité para la Eliminación de la Discriminación contra la Mujer. </w:t>
      </w:r>
      <w:r w:rsidRPr="00183E15">
        <w:rPr>
          <w:rFonts w:ascii="Arial" w:hAnsi="Arial" w:cs="Arial"/>
          <w:i/>
        </w:rPr>
        <w:t>Respuestas de la República Bolivariana de Venezuela a la lista de cuestiones y preguntas relativa a su noveno informe periódico</w:t>
      </w:r>
      <w:r w:rsidRPr="00183E15">
        <w:rPr>
          <w:rFonts w:ascii="Arial" w:hAnsi="Arial" w:cs="Arial"/>
        </w:rPr>
        <w:t xml:space="preserve"> de fecha 24 de octubre de 2022. Párrafo 36</w:t>
      </w:r>
    </w:p>
  </w:endnote>
  <w:endnote w:id="13">
    <w:p w14:paraId="6C8EFD95" w14:textId="5789BEDE" w:rsidR="003B561B" w:rsidRPr="00183E15" w:rsidRDefault="003B561B" w:rsidP="00941630">
      <w:pPr>
        <w:pStyle w:val="Textonotaalfinal"/>
        <w:jc w:val="both"/>
        <w:rPr>
          <w:rFonts w:ascii="Arial" w:hAnsi="Arial" w:cs="Arial"/>
          <w:lang w:val="es-ES_tradnl"/>
        </w:rPr>
      </w:pPr>
      <w:r w:rsidRPr="00183E15">
        <w:rPr>
          <w:rStyle w:val="Refdenotaalfinal"/>
          <w:rFonts w:ascii="Arial" w:hAnsi="Arial" w:cs="Arial"/>
        </w:rPr>
        <w:endnoteRef/>
      </w:r>
      <w:r w:rsidRPr="00183E15">
        <w:rPr>
          <w:rFonts w:ascii="Arial" w:hAnsi="Arial" w:cs="Arial"/>
        </w:rPr>
        <w:t xml:space="preserve"> A</w:t>
      </w:r>
      <w:proofErr w:type="spellStart"/>
      <w:r w:rsidRPr="00183E15">
        <w:rPr>
          <w:rFonts w:ascii="Arial" w:hAnsi="Arial" w:cs="Arial"/>
          <w:lang w:val="es-ES_tradnl"/>
        </w:rPr>
        <w:t>rtículo</w:t>
      </w:r>
      <w:proofErr w:type="spellEnd"/>
      <w:r w:rsidRPr="00183E15">
        <w:rPr>
          <w:rFonts w:ascii="Arial" w:hAnsi="Arial" w:cs="Arial"/>
          <w:lang w:val="es-ES_tradnl"/>
        </w:rPr>
        <w:t xml:space="preserve"> 50.7 </w:t>
      </w:r>
      <w:r w:rsidRPr="00183E15">
        <w:rPr>
          <w:rFonts w:ascii="Arial" w:hAnsi="Arial" w:cs="Arial"/>
        </w:rPr>
        <w:t xml:space="preserve">de la segunda reforma parcial de la </w:t>
      </w:r>
      <w:r w:rsidRPr="00183E15">
        <w:rPr>
          <w:rFonts w:ascii="Arial" w:hAnsi="Arial" w:cs="Arial"/>
          <w:lang w:val="es-ES_tradnl"/>
        </w:rPr>
        <w:t>Ley Orgánica sobre el derecho de las mujeres a una vida libre de violencia</w:t>
      </w:r>
      <w:r w:rsidRPr="00183E15">
        <w:rPr>
          <w:rFonts w:ascii="Arial" w:hAnsi="Arial" w:cs="Arial"/>
        </w:rPr>
        <w:t xml:space="preserve"> (2021)</w:t>
      </w:r>
    </w:p>
  </w:endnote>
  <w:endnote w:id="14">
    <w:p w14:paraId="3C367DE8"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COFAVIC. </w:t>
      </w:r>
      <w:r w:rsidRPr="00183E15">
        <w:rPr>
          <w:rFonts w:ascii="Arial" w:hAnsi="Arial" w:cs="Arial"/>
          <w:i/>
          <w:iCs/>
        </w:rPr>
        <w:t>Informe COFAVIC: Violencia contra las venezolanas</w:t>
      </w:r>
      <w:r w:rsidRPr="00183E15">
        <w:rPr>
          <w:rFonts w:ascii="Arial" w:hAnsi="Arial" w:cs="Arial"/>
        </w:rPr>
        <w:t xml:space="preserve"> publicado en abril de 2022. Disponible en  </w:t>
      </w:r>
      <w:hyperlink r:id="rId9" w:history="1">
        <w:r w:rsidRPr="00183E15">
          <w:rPr>
            <w:rStyle w:val="Hipervnculo1"/>
            <w:rFonts w:ascii="Arial" w:hAnsi="Arial" w:cs="Arial"/>
          </w:rPr>
          <w:t>https://cofavic.org/informe-cofavic-violencia-contra-las-venezolanas/</w:t>
        </w:r>
      </w:hyperlink>
      <w:r w:rsidRPr="00183E15">
        <w:rPr>
          <w:rFonts w:ascii="Arial" w:hAnsi="Arial" w:cs="Arial"/>
        </w:rPr>
        <w:t xml:space="preserve"> </w:t>
      </w:r>
    </w:p>
  </w:endnote>
  <w:endnote w:id="15">
    <w:p w14:paraId="2EE1AB86" w14:textId="33D7035C" w:rsidR="008B5D5C" w:rsidRPr="00183E15" w:rsidRDefault="008B5D5C" w:rsidP="00941630">
      <w:pPr>
        <w:pStyle w:val="Textonotaalfinal"/>
        <w:jc w:val="both"/>
        <w:rPr>
          <w:rFonts w:ascii="Arial" w:hAnsi="Arial" w:cs="Arial"/>
        </w:rPr>
      </w:pPr>
      <w:r w:rsidRPr="00183E15">
        <w:rPr>
          <w:rStyle w:val="Refdenotaalfinal"/>
          <w:rFonts w:ascii="Arial" w:hAnsi="Arial" w:cs="Arial"/>
        </w:rPr>
        <w:endnoteRef/>
      </w:r>
      <w:r w:rsidR="00280933">
        <w:rPr>
          <w:rStyle w:val="markedcontent"/>
          <w:rFonts w:ascii="Arial" w:hAnsi="Arial" w:cs="Arial"/>
        </w:rPr>
        <w:t>CEDAW</w:t>
      </w:r>
      <w:r w:rsidR="00067736" w:rsidRPr="00183E15">
        <w:rPr>
          <w:rStyle w:val="markedcontent"/>
          <w:rFonts w:ascii="Arial" w:hAnsi="Arial" w:cs="Arial"/>
        </w:rPr>
        <w:t xml:space="preserve">. Noveno informe periódico que la República Bolivariana de Venezuela debía presentar en 2018 en virtud del artículo 18 de la Convención de fecha 04 de octubre del 2021. </w:t>
      </w:r>
    </w:p>
  </w:endnote>
  <w:endnote w:id="16">
    <w:p w14:paraId="0F866A54" w14:textId="71DAF99F" w:rsidR="000B26BF" w:rsidRPr="00183E15" w:rsidRDefault="000B26BF" w:rsidP="00067736">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w:t>
      </w:r>
      <w:r w:rsidR="00067736" w:rsidRPr="00183E15">
        <w:rPr>
          <w:rFonts w:ascii="Arial" w:hAnsi="Arial" w:cs="Arial"/>
        </w:rPr>
        <w:t xml:space="preserve">Respuestas de la República Bolivariana de Venezuela a la lista de cuestiones y preguntas relativa a su noveno informe periódico de fecha 24 de octubre de 2022. </w:t>
      </w:r>
      <w:r w:rsidRPr="00183E15">
        <w:rPr>
          <w:rFonts w:ascii="Arial" w:hAnsi="Arial" w:cs="Arial"/>
        </w:rPr>
        <w:t>Párrafo 31</w:t>
      </w:r>
    </w:p>
  </w:endnote>
  <w:endnote w:id="17">
    <w:p w14:paraId="6BB17BF8" w14:textId="75970C0F" w:rsidR="008B5D5C" w:rsidRPr="00183E15" w:rsidRDefault="008B5D5C"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Conclusiones detalladas de la Misión internacional independiente de determinación de los hechos sobre la República Bolivariana de Venezuela de fecha 16 de septiembre de 2021</w:t>
      </w:r>
      <w:r w:rsidR="007D0BDA" w:rsidRPr="00183E15">
        <w:rPr>
          <w:rFonts w:ascii="Arial" w:hAnsi="Arial" w:cs="Arial"/>
        </w:rPr>
        <w:t xml:space="preserve">. Párrafo 193. </w:t>
      </w:r>
      <w:proofErr w:type="spellStart"/>
      <w:r w:rsidR="007D0BDA" w:rsidRPr="00183E15">
        <w:rPr>
          <w:rFonts w:ascii="Arial" w:hAnsi="Arial" w:cs="Arial"/>
        </w:rPr>
        <w:t>Dispsonible</w:t>
      </w:r>
      <w:proofErr w:type="spellEnd"/>
      <w:r w:rsidR="007D0BDA" w:rsidRPr="00183E15">
        <w:rPr>
          <w:rFonts w:ascii="Arial" w:hAnsi="Arial" w:cs="Arial"/>
        </w:rPr>
        <w:t xml:space="preserve"> en </w:t>
      </w:r>
      <w:hyperlink r:id="rId10" w:history="1">
        <w:r w:rsidR="007D0BDA" w:rsidRPr="00183E15">
          <w:rPr>
            <w:rStyle w:val="Hipervnculo"/>
            <w:rFonts w:ascii="Arial" w:hAnsi="Arial" w:cs="Arial"/>
          </w:rPr>
          <w:t>https://www.ohchr.org/sites/default/files/Documents/HRBodies/HRCouncil/FFMV/A-HRC-48-CRP.5_SP.pdf</w:t>
        </w:r>
      </w:hyperlink>
      <w:r w:rsidR="007D0BDA" w:rsidRPr="00183E15">
        <w:rPr>
          <w:rFonts w:ascii="Arial" w:hAnsi="Arial" w:cs="Arial"/>
        </w:rPr>
        <w:t xml:space="preserve"> </w:t>
      </w:r>
    </w:p>
  </w:endnote>
  <w:endnote w:id="18">
    <w:p w14:paraId="7DFB2C5D" w14:textId="2553CD96" w:rsidR="007D0BDA" w:rsidRPr="00183E15" w:rsidRDefault="007D0BDA"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00D733DB" w:rsidRPr="00183E15">
        <w:rPr>
          <w:rFonts w:ascii="Arial" w:hAnsi="Arial" w:cs="Arial"/>
        </w:rPr>
        <w:t>Ibídem</w:t>
      </w:r>
      <w:proofErr w:type="spellEnd"/>
      <w:r w:rsidR="00D733DB" w:rsidRPr="00183E15">
        <w:rPr>
          <w:rFonts w:ascii="Arial" w:hAnsi="Arial" w:cs="Arial"/>
        </w:rPr>
        <w:t xml:space="preserve">. Párrafo </w:t>
      </w:r>
      <w:r w:rsidRPr="00183E15">
        <w:rPr>
          <w:rFonts w:ascii="Arial" w:hAnsi="Arial" w:cs="Arial"/>
        </w:rPr>
        <w:t>472</w:t>
      </w:r>
    </w:p>
  </w:endnote>
  <w:endnote w:id="19">
    <w:p w14:paraId="5145582E" w14:textId="77DC45EF" w:rsidR="007D0BDA" w:rsidRPr="00183E15" w:rsidRDefault="007D0BDA"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00D733DB" w:rsidRPr="00183E15">
        <w:rPr>
          <w:rFonts w:ascii="Arial" w:hAnsi="Arial" w:cs="Arial"/>
        </w:rPr>
        <w:t>Ibídem</w:t>
      </w:r>
      <w:proofErr w:type="spellEnd"/>
      <w:r w:rsidR="00D733DB" w:rsidRPr="00183E15">
        <w:rPr>
          <w:rFonts w:ascii="Arial" w:hAnsi="Arial" w:cs="Arial"/>
        </w:rPr>
        <w:t xml:space="preserve">. Párrafo </w:t>
      </w:r>
      <w:r w:rsidRPr="00183E15">
        <w:rPr>
          <w:rFonts w:ascii="Arial" w:hAnsi="Arial" w:cs="Arial"/>
          <w:lang w:val="es-ES"/>
        </w:rPr>
        <w:t>100</w:t>
      </w:r>
    </w:p>
  </w:endnote>
  <w:endnote w:id="20">
    <w:p w14:paraId="77AB47BD" w14:textId="0D109BC1" w:rsidR="00604501" w:rsidRPr="00183E15" w:rsidRDefault="00604501" w:rsidP="00941630">
      <w:pPr>
        <w:pStyle w:val="Textonotaalfinal"/>
        <w:jc w:val="both"/>
        <w:rPr>
          <w:rFonts w:ascii="Arial" w:hAnsi="Arial" w:cs="Arial"/>
          <w:lang w:val="es-ES"/>
        </w:rPr>
      </w:pPr>
      <w:r w:rsidRPr="00183E15">
        <w:rPr>
          <w:rStyle w:val="Refdenotaalfinal"/>
          <w:rFonts w:ascii="Arial" w:hAnsi="Arial" w:cs="Arial"/>
        </w:rPr>
        <w:endnoteRef/>
      </w:r>
      <w:r w:rsidRPr="00183E15">
        <w:rPr>
          <w:rStyle w:val="markedcontent"/>
          <w:rFonts w:ascii="Arial" w:hAnsi="Arial" w:cs="Arial"/>
        </w:rPr>
        <w:t xml:space="preserve"> Informe de la</w:t>
      </w:r>
      <w:r w:rsidR="00280933">
        <w:rPr>
          <w:rStyle w:val="markedcontent"/>
          <w:rFonts w:ascii="Arial" w:hAnsi="Arial" w:cs="Arial"/>
        </w:rPr>
        <w:t xml:space="preserve"> ACNUDH</w:t>
      </w:r>
      <w:r w:rsidRPr="00183E15">
        <w:rPr>
          <w:rFonts w:ascii="Arial" w:hAnsi="Arial" w:cs="Arial"/>
        </w:rPr>
        <w:t xml:space="preserve">. </w:t>
      </w:r>
      <w:r w:rsidRPr="00183E15">
        <w:rPr>
          <w:rStyle w:val="markedcontent"/>
          <w:rFonts w:ascii="Arial" w:hAnsi="Arial" w:cs="Arial"/>
        </w:rPr>
        <w:t xml:space="preserve">Independencia del sistema judicial y acceso a la justicia en la República Bolivariana de Venezuela, también respecto de las violaciones de los derechos económicos y sociales, y situación de los derechos humanos en la región del Arco Minero del Orinoco de fecha 29 de septiembre de 2020. Disponible en </w:t>
      </w:r>
      <w:hyperlink r:id="rId11" w:history="1">
        <w:r w:rsidRPr="00183E15">
          <w:rPr>
            <w:rStyle w:val="Hipervnculo"/>
            <w:rFonts w:ascii="Arial" w:hAnsi="Arial" w:cs="Arial"/>
          </w:rPr>
          <w:t>https://documents-dds-ny.un.org/doc/UNDOC/GEN/G20/242/34/PDF/G2024234.pdf?OpenElement</w:t>
        </w:r>
      </w:hyperlink>
      <w:r w:rsidRPr="00183E15">
        <w:rPr>
          <w:rFonts w:ascii="Arial" w:hAnsi="Arial" w:cs="Arial"/>
        </w:rPr>
        <w:t xml:space="preserve"> </w:t>
      </w:r>
    </w:p>
  </w:endnote>
  <w:endnote w:id="21">
    <w:p w14:paraId="3A739298" w14:textId="6CF5F32C" w:rsidR="00CE7422" w:rsidRPr="00183E15" w:rsidRDefault="00CE7422" w:rsidP="00CE7422">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r w:rsidRPr="00183E15">
        <w:rPr>
          <w:rFonts w:ascii="Arial" w:hAnsi="Arial" w:cs="Arial"/>
          <w:lang w:val="es-ES"/>
        </w:rPr>
        <w:t xml:space="preserve">COFAVIC. Violencia contra las venezolanas: Informe sobre muertes violentas de niñas y mujeres en Venezuela 2017-2021. Disponible en </w:t>
      </w:r>
      <w:hyperlink r:id="rId12" w:history="1">
        <w:r w:rsidRPr="00183E15">
          <w:rPr>
            <w:rStyle w:val="Hipervnculo"/>
            <w:rFonts w:ascii="Arial" w:hAnsi="Arial" w:cs="Arial"/>
            <w:lang w:val="es-ES"/>
          </w:rPr>
          <w:t>https://cofavic.org/?recursos=informe-violencia-contra-las-mujeres-2021_cofavic</w:t>
        </w:r>
      </w:hyperlink>
      <w:r w:rsidRPr="00183E15">
        <w:rPr>
          <w:rFonts w:ascii="Arial" w:hAnsi="Arial" w:cs="Arial"/>
          <w:lang w:val="es-ES"/>
        </w:rPr>
        <w:t xml:space="preserve"> </w:t>
      </w:r>
    </w:p>
  </w:endnote>
  <w:endnote w:id="22">
    <w:p w14:paraId="44734A32" w14:textId="5133E9A5" w:rsidR="00CE7422" w:rsidRPr="00183E15" w:rsidRDefault="00CE7422" w:rsidP="00CE7422">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Conclusiones detalladas de la Misión internacional independiente. 15 de septiembre de 2020. Pág. 273 Párr. 1282. Recuperado de: </w:t>
      </w:r>
      <w:hyperlink r:id="rId13" w:history="1">
        <w:r w:rsidRPr="00183E15">
          <w:rPr>
            <w:rStyle w:val="Hipervnculo"/>
            <w:rFonts w:ascii="Arial" w:hAnsi="Arial" w:cs="Arial"/>
          </w:rPr>
          <w:t>https://www.ohchr.org/Documents/HRBodies/HRCouncil/FFMV/A_HRC_45_CRP.11_SP.pdf</w:t>
        </w:r>
      </w:hyperlink>
      <w:r w:rsidRPr="00183E15">
        <w:rPr>
          <w:rFonts w:ascii="Arial" w:hAnsi="Arial" w:cs="Arial"/>
        </w:rPr>
        <w:t xml:space="preserve"> </w:t>
      </w:r>
    </w:p>
  </w:endnote>
  <w:endnote w:id="23">
    <w:p w14:paraId="356356EC" w14:textId="6DD773CA" w:rsidR="00D733DB" w:rsidRPr="00183E15" w:rsidRDefault="00D733DB">
      <w:pPr>
        <w:pStyle w:val="Textonotaalfinal"/>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Pr="00183E15">
        <w:rPr>
          <w:rFonts w:ascii="Arial" w:hAnsi="Arial" w:cs="Arial"/>
        </w:rPr>
        <w:t>Ibídem</w:t>
      </w:r>
      <w:proofErr w:type="spellEnd"/>
      <w:r w:rsidRPr="00183E15">
        <w:rPr>
          <w:rFonts w:ascii="Arial" w:hAnsi="Arial" w:cs="Arial"/>
        </w:rPr>
        <w:t>. Párrafo 286</w:t>
      </w:r>
    </w:p>
  </w:endnote>
  <w:endnote w:id="24">
    <w:p w14:paraId="5F1CBD6F" w14:textId="0DE62039" w:rsidR="00D733DB" w:rsidRPr="00183E15" w:rsidRDefault="00D733DB">
      <w:pPr>
        <w:pStyle w:val="Textonotaalfinal"/>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Pr="00183E15">
        <w:rPr>
          <w:rFonts w:ascii="Arial" w:hAnsi="Arial" w:cs="Arial"/>
        </w:rPr>
        <w:t>Ibídem</w:t>
      </w:r>
      <w:proofErr w:type="spellEnd"/>
      <w:r w:rsidRPr="00183E15">
        <w:rPr>
          <w:rFonts w:ascii="Arial" w:hAnsi="Arial" w:cs="Arial"/>
        </w:rPr>
        <w:t xml:space="preserve">. Párrafo </w:t>
      </w:r>
      <w:r w:rsidRPr="00183E15">
        <w:rPr>
          <w:rFonts w:ascii="Arial" w:hAnsi="Arial" w:cs="Arial"/>
          <w:lang w:val="es-ES"/>
        </w:rPr>
        <w:t>1924</w:t>
      </w:r>
    </w:p>
  </w:endnote>
  <w:endnote w:id="25">
    <w:p w14:paraId="737AF04F" w14:textId="3E2D7646" w:rsidR="00D733DB" w:rsidRPr="00183E15" w:rsidRDefault="00D733DB">
      <w:pPr>
        <w:pStyle w:val="Textonotaalfinal"/>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Pr="00183E15">
        <w:rPr>
          <w:rFonts w:ascii="Arial" w:hAnsi="Arial" w:cs="Arial"/>
        </w:rPr>
        <w:t>Ibídem</w:t>
      </w:r>
      <w:proofErr w:type="spellEnd"/>
      <w:r w:rsidRPr="00183E15">
        <w:rPr>
          <w:rFonts w:ascii="Arial" w:hAnsi="Arial" w:cs="Arial"/>
        </w:rPr>
        <w:t xml:space="preserve">. Párrafo </w:t>
      </w:r>
      <w:r w:rsidRPr="00183E15">
        <w:rPr>
          <w:rFonts w:ascii="Arial" w:hAnsi="Arial" w:cs="Arial"/>
          <w:lang w:val="es-ES"/>
        </w:rPr>
        <w:t>1925</w:t>
      </w:r>
    </w:p>
  </w:endnote>
  <w:endnote w:id="26">
    <w:p w14:paraId="06B9472E" w14:textId="711F4407" w:rsidR="00D733DB" w:rsidRPr="00183E15" w:rsidRDefault="00D733DB">
      <w:pPr>
        <w:pStyle w:val="Textonotaalfinal"/>
        <w:rPr>
          <w:rFonts w:ascii="Arial" w:hAnsi="Arial" w:cs="Arial"/>
          <w:lang w:val="es-ES"/>
        </w:rPr>
      </w:pPr>
      <w:r w:rsidRPr="00183E15">
        <w:rPr>
          <w:rStyle w:val="Refdenotaalfinal"/>
          <w:rFonts w:ascii="Arial" w:hAnsi="Arial" w:cs="Arial"/>
        </w:rPr>
        <w:endnoteRef/>
      </w:r>
      <w:r w:rsidRPr="00183E15">
        <w:rPr>
          <w:rFonts w:ascii="Arial" w:hAnsi="Arial" w:cs="Arial"/>
        </w:rPr>
        <w:t xml:space="preserve"> </w:t>
      </w:r>
      <w:proofErr w:type="spellStart"/>
      <w:r w:rsidRPr="00183E15">
        <w:rPr>
          <w:rFonts w:ascii="Arial" w:hAnsi="Arial" w:cs="Arial"/>
        </w:rPr>
        <w:t>Ibídem</w:t>
      </w:r>
      <w:proofErr w:type="spellEnd"/>
      <w:r w:rsidRPr="00183E15">
        <w:rPr>
          <w:rFonts w:ascii="Arial" w:hAnsi="Arial" w:cs="Arial"/>
        </w:rPr>
        <w:t xml:space="preserve">. Párrafo </w:t>
      </w:r>
      <w:r w:rsidRPr="00183E15">
        <w:rPr>
          <w:rFonts w:ascii="Arial" w:hAnsi="Arial" w:cs="Arial"/>
          <w:lang w:val="es-ES"/>
        </w:rPr>
        <w:t>1926</w:t>
      </w:r>
    </w:p>
  </w:endnote>
  <w:endnote w:id="27">
    <w:p w14:paraId="1D201D78" w14:textId="11541137" w:rsidR="003B561B" w:rsidRPr="00183E15" w:rsidRDefault="003B561B" w:rsidP="00941630">
      <w:pPr>
        <w:pStyle w:val="Textonotaalfinal"/>
        <w:jc w:val="both"/>
        <w:rPr>
          <w:rFonts w:ascii="Arial" w:hAnsi="Arial" w:cs="Arial"/>
          <w:lang w:val="es-ES"/>
        </w:rPr>
      </w:pPr>
      <w:r w:rsidRPr="00183E15">
        <w:rPr>
          <w:rStyle w:val="Refdenotaalfinal"/>
          <w:rFonts w:ascii="Arial" w:hAnsi="Arial" w:cs="Arial"/>
          <w:lang w:val="es"/>
        </w:rPr>
        <w:endnoteRef/>
      </w:r>
      <w:r w:rsidRPr="00183E15">
        <w:rPr>
          <w:rFonts w:ascii="Arial" w:hAnsi="Arial" w:cs="Arial"/>
          <w:lang w:val="es"/>
        </w:rPr>
        <w:tab/>
        <w:t>OCHA, Informe de Situación, Enero-Febrero 2022, https://reports.unocha.org/es/country/venezuela-bolivarian-republic-of/</w:t>
      </w:r>
    </w:p>
  </w:endnote>
  <w:endnote w:id="28">
    <w:p w14:paraId="7EFA988F"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Encuesta nacional de percepción social sobre la comunidad LGBTIQ+ en Venezuela/Febrero, 2023. Se percibe mucha discriminación </w:t>
      </w:r>
      <w:proofErr w:type="gramStart"/>
      <w:r w:rsidRPr="00183E15">
        <w:rPr>
          <w:rFonts w:ascii="Arial" w:hAnsi="Arial" w:cs="Arial"/>
        </w:rPr>
        <w:t>a  trans</w:t>
      </w:r>
      <w:proofErr w:type="gramEnd"/>
      <w:r w:rsidRPr="00183E15">
        <w:rPr>
          <w:rFonts w:ascii="Arial" w:hAnsi="Arial" w:cs="Arial"/>
        </w:rPr>
        <w:t xml:space="preserve">-67% de los encuestados. </w:t>
      </w:r>
    </w:p>
  </w:endnote>
  <w:endnote w:id="29">
    <w:p w14:paraId="6EBBA4F3"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Las mujeres Trans constituyen el grupo poblacional con mayor vulnerabilidad al VIH debido al marginamiento social impuesto pues no se reconoce su identidad, la transfobia, la discriminación, la violencia y la criminalización, determinan efectos graves y nocivos para su salud física y mental, dificultándoles el acceso a servicios de prevención y atención.</w:t>
      </w:r>
    </w:p>
  </w:endnote>
  <w:endnote w:id="30">
    <w:p w14:paraId="2FB3F9FC"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Monitoreo Global del Sida 2021 República Bolivariana de Venezuela. MPPS</w:t>
      </w:r>
    </w:p>
  </w:endnote>
  <w:endnote w:id="31">
    <w:p w14:paraId="268A0E31" w14:textId="77777777" w:rsidR="003B561B" w:rsidRPr="00183E15" w:rsidRDefault="003B561B"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Informe EPU Venezuela. Situación de los derechos humanos de las personas con VIH. Julio 2021</w:t>
      </w:r>
    </w:p>
  </w:endnote>
  <w:endnote w:id="32">
    <w:p w14:paraId="194F38E2" w14:textId="77777777" w:rsidR="003B561B" w:rsidRPr="00183E15" w:rsidRDefault="003B561B" w:rsidP="00941630">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w:t>
      </w:r>
      <w:proofErr w:type="spellStart"/>
      <w:proofErr w:type="gramStart"/>
      <w:r w:rsidRPr="00183E15">
        <w:rPr>
          <w:rFonts w:ascii="Arial" w:hAnsi="Arial" w:cs="Arial"/>
        </w:rPr>
        <w:t>Kislinger,L</w:t>
      </w:r>
      <w:proofErr w:type="spellEnd"/>
      <w:r w:rsidRPr="00183E15">
        <w:rPr>
          <w:rFonts w:ascii="Arial" w:hAnsi="Arial" w:cs="Arial"/>
        </w:rPr>
        <w:t>.</w:t>
      </w:r>
      <w:proofErr w:type="gramEnd"/>
      <w:r w:rsidRPr="00183E15">
        <w:rPr>
          <w:rFonts w:ascii="Arial" w:hAnsi="Arial" w:cs="Arial"/>
        </w:rPr>
        <w:t xml:space="preserve"> 2018. Informe derechos humanos de las mujeres venezolanas con VIH/Sida en el contexto de la crisis del sector salud. http://www.accsi.org.ve/accsi/wp-content/uploads/mujeres-y-vih-luisa-kislinger-definitivo.pdf</w:t>
      </w:r>
    </w:p>
  </w:endnote>
  <w:endnote w:id="33">
    <w:p w14:paraId="0824642F" w14:textId="1E1EAE93" w:rsidR="003B561B" w:rsidRPr="00183E15" w:rsidRDefault="003B561B" w:rsidP="00941630">
      <w:pPr>
        <w:pStyle w:val="Textonotaalfinal"/>
        <w:jc w:val="both"/>
        <w:rPr>
          <w:rFonts w:ascii="Arial" w:hAnsi="Arial" w:cs="Arial"/>
          <w:lang w:val="es-ES"/>
        </w:rPr>
      </w:pPr>
      <w:r w:rsidRPr="00183E15">
        <w:rPr>
          <w:rStyle w:val="Refdenotaalfinal"/>
          <w:rFonts w:ascii="Arial" w:hAnsi="Arial" w:cs="Arial"/>
        </w:rPr>
        <w:endnoteRef/>
      </w:r>
      <w:r w:rsidRPr="00183E15">
        <w:rPr>
          <w:rFonts w:ascii="Arial" w:hAnsi="Arial" w:cs="Arial"/>
        </w:rPr>
        <w:t xml:space="preserve"> Monitoreo Global del Sida 2021 República Bolivariana de Venezuela. MPPS</w:t>
      </w:r>
    </w:p>
  </w:endnote>
  <w:endnote w:id="34">
    <w:p w14:paraId="672CB906" w14:textId="35664E94" w:rsidR="003B561B" w:rsidRPr="00183E15" w:rsidRDefault="003B561B" w:rsidP="00941630">
      <w:pPr>
        <w:pStyle w:val="Default"/>
        <w:jc w:val="both"/>
        <w:rPr>
          <w:rFonts w:ascii="Arial" w:hAnsi="Arial" w:cs="Arial"/>
          <w:sz w:val="20"/>
          <w:szCs w:val="20"/>
          <w:lang w:val="es-ES_tradnl"/>
        </w:rPr>
      </w:pPr>
      <w:r w:rsidRPr="00183E15">
        <w:rPr>
          <w:rStyle w:val="Refdenotaalfinal"/>
          <w:rFonts w:ascii="Arial" w:hAnsi="Arial" w:cs="Arial"/>
          <w:sz w:val="20"/>
          <w:szCs w:val="20"/>
        </w:rPr>
        <w:endnoteRef/>
      </w:r>
      <w:r w:rsidR="00280933">
        <w:rPr>
          <w:rFonts w:ascii="Arial" w:hAnsi="Arial" w:cs="Arial"/>
          <w:sz w:val="20"/>
          <w:szCs w:val="20"/>
        </w:rPr>
        <w:t>CEDAW</w:t>
      </w:r>
      <w:r w:rsidRPr="00183E15">
        <w:rPr>
          <w:rFonts w:ascii="Arial" w:hAnsi="Arial" w:cs="Arial"/>
          <w:sz w:val="20"/>
          <w:szCs w:val="20"/>
        </w:rPr>
        <w:t xml:space="preserve">. </w:t>
      </w:r>
      <w:r w:rsidRPr="00183E15">
        <w:rPr>
          <w:rFonts w:ascii="Arial" w:hAnsi="Arial" w:cs="Arial"/>
          <w:i/>
          <w:sz w:val="20"/>
          <w:szCs w:val="20"/>
        </w:rPr>
        <w:t>Noveno informe periódico que la República Bolivariana de Venezuela debía presentar en 2018 en virtud del artículo 18 de la Convención sobre la Eliminación de Todas las Formas de Discriminación contra la Mujer</w:t>
      </w:r>
      <w:r w:rsidRPr="00183E15">
        <w:rPr>
          <w:rFonts w:ascii="Arial" w:hAnsi="Arial" w:cs="Arial"/>
          <w:sz w:val="20"/>
          <w:szCs w:val="20"/>
        </w:rPr>
        <w:t>, de fecha 09 de junio de 2021.</w:t>
      </w:r>
    </w:p>
  </w:endnote>
  <w:endnote w:id="35">
    <w:p w14:paraId="5A45BB3A" w14:textId="58400131"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lang w:val="es-MX"/>
        </w:rPr>
        <w:t xml:space="preserve"> C</w:t>
      </w:r>
      <w:r w:rsidR="00280933">
        <w:rPr>
          <w:rFonts w:ascii="Arial" w:hAnsi="Arial" w:cs="Arial"/>
          <w:lang w:val="es-MX"/>
        </w:rPr>
        <w:t xml:space="preserve">EDAW, </w:t>
      </w:r>
      <w:r w:rsidRPr="00183E15">
        <w:rPr>
          <w:rFonts w:ascii="Arial" w:hAnsi="Arial" w:cs="Arial"/>
          <w:lang w:val="es-MX"/>
        </w:rPr>
        <w:t xml:space="preserve">Observaciones finales sobre los informes periódicos séptimo y octavo combinados de la República Bolivariana de Venezuela, 14 de noviembre de 2014, C/VEN/CO/7-8, párr. 10. </w:t>
      </w:r>
    </w:p>
  </w:endnote>
  <w:endnote w:id="36">
    <w:p w14:paraId="402C8E97" w14:textId="77777777"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rPr>
        <w:t xml:space="preserve"> </w:t>
      </w:r>
      <w:proofErr w:type="spellStart"/>
      <w:r w:rsidRPr="00183E15">
        <w:rPr>
          <w:rFonts w:ascii="Arial" w:hAnsi="Arial" w:cs="Arial"/>
          <w:i/>
          <w:iCs/>
          <w:lang w:val="es-MX"/>
        </w:rPr>
        <w:t>Íbid</w:t>
      </w:r>
      <w:proofErr w:type="spellEnd"/>
      <w:r w:rsidRPr="00183E15">
        <w:rPr>
          <w:rFonts w:ascii="Arial" w:hAnsi="Arial" w:cs="Arial"/>
          <w:i/>
          <w:iCs/>
          <w:lang w:val="es-MX"/>
        </w:rPr>
        <w:t xml:space="preserve">, </w:t>
      </w:r>
      <w:r w:rsidRPr="00183E15">
        <w:rPr>
          <w:rFonts w:ascii="Arial" w:hAnsi="Arial" w:cs="Arial"/>
          <w:lang w:val="es-MX"/>
        </w:rPr>
        <w:t>párr. 11</w:t>
      </w:r>
      <w:r w:rsidRPr="00183E15">
        <w:rPr>
          <w:rFonts w:ascii="Arial" w:hAnsi="Arial" w:cs="Arial"/>
          <w:i/>
          <w:iCs/>
          <w:lang w:val="es-MX"/>
        </w:rPr>
        <w:t xml:space="preserve">, </w:t>
      </w:r>
      <w:r w:rsidRPr="00183E15">
        <w:rPr>
          <w:rFonts w:ascii="Arial" w:hAnsi="Arial" w:cs="Arial"/>
          <w:lang w:val="es-MX"/>
        </w:rPr>
        <w:t>enciso e).</w:t>
      </w:r>
    </w:p>
  </w:endnote>
  <w:endnote w:id="37">
    <w:p w14:paraId="08670DA0" w14:textId="77777777"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lang w:val="es-MX"/>
        </w:rPr>
        <w:t xml:space="preserve"> CIDH, CIDH manifiesta su profunda preocupación por efecto de la denuncia de la Convención Americana por parte de Venezuela, 10 de septiembre de 2013. Disponible en: </w:t>
      </w:r>
      <w:hyperlink r:id="rId14" w:history="1">
        <w:r w:rsidRPr="00183E15">
          <w:rPr>
            <w:rStyle w:val="Hipervnculo"/>
            <w:rFonts w:ascii="Arial" w:hAnsi="Arial" w:cs="Arial"/>
            <w:lang w:val="es-MX"/>
          </w:rPr>
          <w:t>https://www.oas.org/es/cidh/prensa/comunicados/2013/064.asp</w:t>
        </w:r>
      </w:hyperlink>
      <w:r w:rsidRPr="00183E15">
        <w:rPr>
          <w:rFonts w:ascii="Arial" w:hAnsi="Arial" w:cs="Arial"/>
          <w:lang w:val="es-MX"/>
        </w:rPr>
        <w:t xml:space="preserve"> </w:t>
      </w:r>
    </w:p>
  </w:endnote>
  <w:endnote w:id="38">
    <w:p w14:paraId="748273A3" w14:textId="77777777"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lang w:val="es-MX"/>
        </w:rPr>
        <w:t xml:space="preserve"> Denuncia de Carta de la OEA por parte de Venezuela de fecha 27 de abril de 2017. Disponible en: </w:t>
      </w:r>
      <w:hyperlink r:id="rId15" w:history="1">
        <w:r w:rsidRPr="00183E15">
          <w:rPr>
            <w:rStyle w:val="Hipervnculo"/>
            <w:rFonts w:ascii="Arial" w:hAnsi="Arial" w:cs="Arial"/>
            <w:lang w:val="es-MX"/>
          </w:rPr>
          <w:t>http://www.oas.org/es/sla/ddi/docs/a-41_nota_venezuela_04-28-2017.pdf</w:t>
        </w:r>
      </w:hyperlink>
      <w:r w:rsidRPr="00183E15">
        <w:rPr>
          <w:rFonts w:ascii="Arial" w:hAnsi="Arial" w:cs="Arial"/>
          <w:lang w:val="es-MX"/>
        </w:rPr>
        <w:t xml:space="preserve"> </w:t>
      </w:r>
    </w:p>
  </w:endnote>
  <w:endnote w:id="39">
    <w:p w14:paraId="4B9B1D1D" w14:textId="77777777"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lang w:val="es-MX"/>
        </w:rPr>
        <w:t xml:space="preserve"> </w:t>
      </w:r>
      <w:r w:rsidRPr="00280933">
        <w:rPr>
          <w:rFonts w:ascii="Arial" w:hAnsi="Arial" w:cs="Arial"/>
          <w:lang w:val="es-MX"/>
        </w:rPr>
        <w:t>Corte IDH. Caso López Soto y otros Vs. Venezuela. Fondo, Reparaciones y Costas. Sentencia de 26 de septiembre de 2018. Serie C No. 362.</w:t>
      </w:r>
    </w:p>
  </w:endnote>
  <w:endnote w:id="40">
    <w:p w14:paraId="03AE0FE5" w14:textId="77777777" w:rsidR="003B561B" w:rsidRPr="008276BC"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lang w:val="es-MX"/>
        </w:rPr>
        <w:t xml:space="preserve"> CEPAZ, </w:t>
      </w:r>
      <w:r w:rsidRPr="00183E15">
        <w:rPr>
          <w:rFonts w:ascii="Arial" w:hAnsi="Arial" w:cs="Arial"/>
          <w:i/>
          <w:lang w:val="es-MX"/>
        </w:rPr>
        <w:t xml:space="preserve">Ser mujer en Venezuela: Diagnóstico comunitario y propuestas de acción comunitaria. </w:t>
      </w:r>
      <w:r w:rsidRPr="00183E15">
        <w:rPr>
          <w:rFonts w:ascii="Arial" w:hAnsi="Arial" w:cs="Arial"/>
        </w:rPr>
        <w:t>Octubre 2022, Pág 30.</w:t>
      </w:r>
    </w:p>
  </w:endnote>
  <w:endnote w:id="41">
    <w:p w14:paraId="47A46AA1" w14:textId="69AD8745" w:rsidR="003B561B" w:rsidRPr="00183E15" w:rsidRDefault="003B561B" w:rsidP="00941630">
      <w:pPr>
        <w:pStyle w:val="Textonotaalfinal"/>
        <w:jc w:val="both"/>
        <w:rPr>
          <w:rFonts w:ascii="Arial" w:hAnsi="Arial" w:cs="Arial"/>
          <w:lang w:val="es-MX"/>
        </w:rPr>
      </w:pPr>
      <w:r w:rsidRPr="00183E15">
        <w:rPr>
          <w:rStyle w:val="Refdenotaalfinal"/>
          <w:rFonts w:ascii="Arial" w:hAnsi="Arial" w:cs="Arial"/>
        </w:rPr>
        <w:endnoteRef/>
      </w:r>
      <w:r w:rsidRPr="00183E15">
        <w:rPr>
          <w:rFonts w:ascii="Arial" w:hAnsi="Arial" w:cs="Arial"/>
        </w:rPr>
        <w:t xml:space="preserve"> </w:t>
      </w:r>
      <w:r w:rsidR="00280933" w:rsidRPr="00280933">
        <w:rPr>
          <w:rFonts w:ascii="Arial" w:hAnsi="Arial" w:cs="Arial"/>
          <w:lang w:val="es-MX"/>
        </w:rPr>
        <w:t>Corte IDH. Caso López Soto y otros Vs. Venezuela. Fondo, Reparaciones y Costas. Sentencia de 26 de septiembre de 2018. Serie C No. 362.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E4580" w14:textId="77777777" w:rsidR="00265903" w:rsidRDefault="00265903" w:rsidP="00244A9E">
      <w:pPr>
        <w:spacing w:after="0" w:line="240" w:lineRule="auto"/>
      </w:pPr>
      <w:r>
        <w:separator/>
      </w:r>
    </w:p>
  </w:footnote>
  <w:footnote w:type="continuationSeparator" w:id="0">
    <w:p w14:paraId="50CCF7B5" w14:textId="77777777" w:rsidR="00265903" w:rsidRDefault="00265903" w:rsidP="00244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82D95"/>
    <w:multiLevelType w:val="multilevel"/>
    <w:tmpl w:val="ECF4D68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83C49"/>
    <w:multiLevelType w:val="hybridMultilevel"/>
    <w:tmpl w:val="03BA4B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1AB5CE4"/>
    <w:multiLevelType w:val="multilevel"/>
    <w:tmpl w:val="C56C3F4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B44C89"/>
    <w:multiLevelType w:val="hybridMultilevel"/>
    <w:tmpl w:val="8A125116"/>
    <w:lvl w:ilvl="0" w:tplc="F1BED12E">
      <w:start w:val="6"/>
      <w:numFmt w:val="lowerLetter"/>
      <w:lvlText w:val="%1."/>
      <w:lvlJc w:val="left"/>
      <w:pPr>
        <w:ind w:left="1440" w:hanging="360"/>
      </w:pPr>
      <w:rPr>
        <w:rFonts w:hint="default"/>
      </w:r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4" w15:restartNumberingAfterBreak="0">
    <w:nsid w:val="27F22144"/>
    <w:multiLevelType w:val="hybridMultilevel"/>
    <w:tmpl w:val="02D87010"/>
    <w:lvl w:ilvl="0" w:tplc="61E277D8">
      <w:start w:val="6"/>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2F325D48"/>
    <w:multiLevelType w:val="multilevel"/>
    <w:tmpl w:val="D12C2ED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0D46D5"/>
    <w:multiLevelType w:val="hybridMultilevel"/>
    <w:tmpl w:val="91420426"/>
    <w:lvl w:ilvl="0" w:tplc="200A0013">
      <w:start w:val="1"/>
      <w:numFmt w:val="upperRoman"/>
      <w:lvlText w:val="%1."/>
      <w:lvlJc w:val="righ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15:restartNumberingAfterBreak="0">
    <w:nsid w:val="3C52520A"/>
    <w:multiLevelType w:val="hybridMultilevel"/>
    <w:tmpl w:val="E5A465A4"/>
    <w:lvl w:ilvl="0" w:tplc="42C61950">
      <w:start w:val="1"/>
      <w:numFmt w:val="upperRoman"/>
      <w:lvlText w:val="%1."/>
      <w:lvlJc w:val="right"/>
      <w:pPr>
        <w:ind w:left="720" w:hanging="360"/>
      </w:pPr>
      <w:rPr>
        <w:b/>
        <w:bCs/>
      </w:rPr>
    </w:lvl>
    <w:lvl w:ilvl="1" w:tplc="200A0019">
      <w:start w:val="1"/>
      <w:numFmt w:val="lowerLetter"/>
      <w:lvlText w:val="%2."/>
      <w:lvlJc w:val="left"/>
      <w:pPr>
        <w:ind w:left="1440" w:hanging="360"/>
      </w:pPr>
    </w:lvl>
    <w:lvl w:ilvl="2" w:tplc="200A0001">
      <w:start w:val="1"/>
      <w:numFmt w:val="bullet"/>
      <w:lvlText w:val=""/>
      <w:lvlJc w:val="left"/>
      <w:pPr>
        <w:ind w:left="720" w:hanging="360"/>
      </w:pPr>
      <w:rPr>
        <w:rFonts w:ascii="Symbol" w:hAnsi="Symbol" w:hint="default"/>
      </w:rPr>
    </w:lvl>
    <w:lvl w:ilvl="3" w:tplc="200A000F">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41824D46"/>
    <w:multiLevelType w:val="hybridMultilevel"/>
    <w:tmpl w:val="B914DC90"/>
    <w:lvl w:ilvl="0" w:tplc="200A0019">
      <w:start w:val="5"/>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539822BC"/>
    <w:multiLevelType w:val="hybridMultilevel"/>
    <w:tmpl w:val="154AFF08"/>
    <w:lvl w:ilvl="0" w:tplc="60CA8210">
      <w:start w:val="1"/>
      <w:numFmt w:val="decimal"/>
      <w:lvlText w:val="%1."/>
      <w:lvlJc w:val="left"/>
      <w:pPr>
        <w:ind w:left="1004" w:hanging="720"/>
      </w:pPr>
      <w:rPr>
        <w:rFonts w:ascii="Times New Roman" w:eastAsiaTheme="minorHAnsi" w:hAnsi="Times New Roman" w:cs="Times New Roman"/>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8D0D23"/>
    <w:multiLevelType w:val="multilevel"/>
    <w:tmpl w:val="32EAC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C40420"/>
    <w:multiLevelType w:val="multilevel"/>
    <w:tmpl w:val="D728BC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1367B9"/>
    <w:multiLevelType w:val="hybridMultilevel"/>
    <w:tmpl w:val="7C98398E"/>
    <w:lvl w:ilvl="0" w:tplc="200A0013">
      <w:start w:val="1"/>
      <w:numFmt w:val="upperRoman"/>
      <w:lvlText w:val="%1."/>
      <w:lvlJc w:val="right"/>
      <w:pPr>
        <w:ind w:left="720" w:hanging="360"/>
      </w:pPr>
      <w:rPr>
        <w:b/>
        <w:bCs/>
      </w:rPr>
    </w:lvl>
    <w:lvl w:ilvl="1" w:tplc="FFFFFFFF">
      <w:start w:val="1"/>
      <w:numFmt w:val="lowerLetter"/>
      <w:lvlText w:val="%2."/>
      <w:lvlJc w:val="left"/>
      <w:pPr>
        <w:ind w:left="1440" w:hanging="360"/>
      </w:pPr>
    </w:lvl>
    <w:lvl w:ilvl="2" w:tplc="FFFFFFFF">
      <w:start w:val="1"/>
      <w:numFmt w:val="bullet"/>
      <w:lvlText w:val=""/>
      <w:lvlJc w:val="left"/>
      <w:pPr>
        <w:ind w:left="72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C310BD"/>
    <w:multiLevelType w:val="hybridMultilevel"/>
    <w:tmpl w:val="A0686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585425"/>
    <w:multiLevelType w:val="hybridMultilevel"/>
    <w:tmpl w:val="D3D62F1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16cid:durableId="895629612">
    <w:abstractNumId w:val="14"/>
  </w:num>
  <w:num w:numId="2" w16cid:durableId="186911406">
    <w:abstractNumId w:val="7"/>
  </w:num>
  <w:num w:numId="3" w16cid:durableId="1627391174">
    <w:abstractNumId w:val="12"/>
  </w:num>
  <w:num w:numId="4" w16cid:durableId="638457117">
    <w:abstractNumId w:val="9"/>
  </w:num>
  <w:num w:numId="5" w16cid:durableId="1392729312">
    <w:abstractNumId w:val="1"/>
  </w:num>
  <w:num w:numId="6" w16cid:durableId="1124230101">
    <w:abstractNumId w:val="4"/>
  </w:num>
  <w:num w:numId="7" w16cid:durableId="1735814472">
    <w:abstractNumId w:val="2"/>
  </w:num>
  <w:num w:numId="8" w16cid:durableId="386799195">
    <w:abstractNumId w:val="5"/>
  </w:num>
  <w:num w:numId="9" w16cid:durableId="531041634">
    <w:abstractNumId w:val="11"/>
  </w:num>
  <w:num w:numId="10" w16cid:durableId="870532326">
    <w:abstractNumId w:val="0"/>
  </w:num>
  <w:num w:numId="11" w16cid:durableId="340474565">
    <w:abstractNumId w:val="10"/>
  </w:num>
  <w:num w:numId="12" w16cid:durableId="520169754">
    <w:abstractNumId w:val="3"/>
  </w:num>
  <w:num w:numId="13" w16cid:durableId="1055735908">
    <w:abstractNumId w:val="6"/>
  </w:num>
  <w:num w:numId="14" w16cid:durableId="94401819">
    <w:abstractNumId w:val="8"/>
  </w:num>
  <w:num w:numId="15" w16cid:durableId="17893550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24"/>
    <w:rsid w:val="00067736"/>
    <w:rsid w:val="00072221"/>
    <w:rsid w:val="000B26BF"/>
    <w:rsid w:val="00137563"/>
    <w:rsid w:val="00160B0A"/>
    <w:rsid w:val="00183E15"/>
    <w:rsid w:val="001E0C63"/>
    <w:rsid w:val="001E1509"/>
    <w:rsid w:val="00244A9E"/>
    <w:rsid w:val="002554B8"/>
    <w:rsid w:val="00265903"/>
    <w:rsid w:val="00280933"/>
    <w:rsid w:val="002E2C7D"/>
    <w:rsid w:val="00301D3C"/>
    <w:rsid w:val="00317F5D"/>
    <w:rsid w:val="003B561B"/>
    <w:rsid w:val="003D5DF2"/>
    <w:rsid w:val="00420530"/>
    <w:rsid w:val="004B5A14"/>
    <w:rsid w:val="00516A67"/>
    <w:rsid w:val="005256E1"/>
    <w:rsid w:val="005314FB"/>
    <w:rsid w:val="00554565"/>
    <w:rsid w:val="005A2B85"/>
    <w:rsid w:val="005F769C"/>
    <w:rsid w:val="00604501"/>
    <w:rsid w:val="00613A0B"/>
    <w:rsid w:val="00615A68"/>
    <w:rsid w:val="00626D9D"/>
    <w:rsid w:val="00646F44"/>
    <w:rsid w:val="006645C7"/>
    <w:rsid w:val="00674C48"/>
    <w:rsid w:val="006B28ED"/>
    <w:rsid w:val="00701F62"/>
    <w:rsid w:val="00717A4C"/>
    <w:rsid w:val="007606AC"/>
    <w:rsid w:val="007A6C53"/>
    <w:rsid w:val="007D0BDA"/>
    <w:rsid w:val="00800AD8"/>
    <w:rsid w:val="00827224"/>
    <w:rsid w:val="008276BC"/>
    <w:rsid w:val="00830DE5"/>
    <w:rsid w:val="00890BEC"/>
    <w:rsid w:val="008B5D5C"/>
    <w:rsid w:val="008D247A"/>
    <w:rsid w:val="008F11D1"/>
    <w:rsid w:val="00903F1D"/>
    <w:rsid w:val="009346D4"/>
    <w:rsid w:val="00941630"/>
    <w:rsid w:val="00980FA0"/>
    <w:rsid w:val="009A78BD"/>
    <w:rsid w:val="00A0404F"/>
    <w:rsid w:val="00A51E93"/>
    <w:rsid w:val="00A53EDA"/>
    <w:rsid w:val="00A722AB"/>
    <w:rsid w:val="00A928F7"/>
    <w:rsid w:val="00AA1405"/>
    <w:rsid w:val="00AE6B3A"/>
    <w:rsid w:val="00AF53CD"/>
    <w:rsid w:val="00B10401"/>
    <w:rsid w:val="00B40C15"/>
    <w:rsid w:val="00BA0EEB"/>
    <w:rsid w:val="00BD05CB"/>
    <w:rsid w:val="00BF365F"/>
    <w:rsid w:val="00C5443C"/>
    <w:rsid w:val="00C758BC"/>
    <w:rsid w:val="00C84001"/>
    <w:rsid w:val="00CE7422"/>
    <w:rsid w:val="00D27012"/>
    <w:rsid w:val="00D733DB"/>
    <w:rsid w:val="00D90D4A"/>
    <w:rsid w:val="00D91141"/>
    <w:rsid w:val="00E550E1"/>
    <w:rsid w:val="00E70058"/>
    <w:rsid w:val="00F222D0"/>
    <w:rsid w:val="00F309F6"/>
    <w:rsid w:val="00F376FF"/>
    <w:rsid w:val="00F7778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D6B5"/>
  <w15:chartTrackingRefBased/>
  <w15:docId w15:val="{828D13E5-CC6D-4D42-AAA6-43C20171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2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27224"/>
    <w:pPr>
      <w:ind w:left="720"/>
      <w:contextualSpacing/>
    </w:pPr>
  </w:style>
  <w:style w:type="paragraph" w:styleId="Textonotapie">
    <w:name w:val="footnote text"/>
    <w:aliases w:val="5_G"/>
    <w:basedOn w:val="Normal"/>
    <w:link w:val="TextonotapieCar"/>
    <w:uiPriority w:val="99"/>
    <w:unhideWhenUsed/>
    <w:qFormat/>
    <w:rsid w:val="00244A9E"/>
    <w:pPr>
      <w:spacing w:after="0" w:line="240" w:lineRule="auto"/>
    </w:pPr>
    <w:rPr>
      <w:sz w:val="20"/>
      <w:szCs w:val="20"/>
      <w:lang w:val="es-ES_tradnl"/>
    </w:rPr>
  </w:style>
  <w:style w:type="character" w:customStyle="1" w:styleId="TextonotapieCar">
    <w:name w:val="Texto nota pie Car"/>
    <w:aliases w:val="5_G Car"/>
    <w:basedOn w:val="Fuentedeprrafopredeter"/>
    <w:link w:val="Textonotapie"/>
    <w:uiPriority w:val="99"/>
    <w:rsid w:val="00244A9E"/>
    <w:rPr>
      <w:sz w:val="20"/>
      <w:szCs w:val="20"/>
      <w:lang w:val="es-ES_tradnl"/>
    </w:rPr>
  </w:style>
  <w:style w:type="character" w:styleId="Refdenotaalpie">
    <w:name w:val="footnote reference"/>
    <w:aliases w:val="4_G"/>
    <w:basedOn w:val="Fuentedeprrafopredeter"/>
    <w:uiPriority w:val="99"/>
    <w:unhideWhenUsed/>
    <w:qFormat/>
    <w:rsid w:val="00244A9E"/>
    <w:rPr>
      <w:vertAlign w:val="superscript"/>
    </w:rPr>
  </w:style>
  <w:style w:type="paragraph" w:styleId="Textonotaalfinal">
    <w:name w:val="endnote text"/>
    <w:basedOn w:val="Normal"/>
    <w:link w:val="TextonotaalfinalCar"/>
    <w:uiPriority w:val="99"/>
    <w:semiHidden/>
    <w:unhideWhenUsed/>
    <w:rsid w:val="00244A9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44A9E"/>
    <w:rPr>
      <w:sz w:val="20"/>
      <w:szCs w:val="20"/>
    </w:rPr>
  </w:style>
  <w:style w:type="character" w:styleId="Refdenotaalfinal">
    <w:name w:val="endnote reference"/>
    <w:uiPriority w:val="99"/>
    <w:unhideWhenUsed/>
    <w:rsid w:val="00244A9E"/>
    <w:rPr>
      <w:vertAlign w:val="superscript"/>
    </w:rPr>
  </w:style>
  <w:style w:type="character" w:customStyle="1" w:styleId="Hipervnculo1">
    <w:name w:val="Hipervínculo1"/>
    <w:basedOn w:val="Fuentedeprrafopredeter"/>
    <w:uiPriority w:val="99"/>
    <w:unhideWhenUsed/>
    <w:rsid w:val="00244A9E"/>
    <w:rPr>
      <w:color w:val="0563C1"/>
      <w:u w:val="single"/>
    </w:rPr>
  </w:style>
  <w:style w:type="paragraph" w:customStyle="1" w:styleId="SingleTxtG">
    <w:name w:val="_ Single Txt_G"/>
    <w:basedOn w:val="Normal"/>
    <w:link w:val="SingleTxtGChar"/>
    <w:qFormat/>
    <w:rsid w:val="00A53ED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A53EDA"/>
    <w:rPr>
      <w:rFonts w:ascii="Times New Roman" w:hAnsi="Times New Roman" w:cs="Times New Roman"/>
      <w:sz w:val="20"/>
      <w:szCs w:val="20"/>
      <w:lang w:val="en-GB"/>
    </w:rPr>
  </w:style>
  <w:style w:type="character" w:styleId="Hipervnculo">
    <w:name w:val="Hyperlink"/>
    <w:basedOn w:val="Fuentedeprrafopredeter"/>
    <w:uiPriority w:val="99"/>
    <w:unhideWhenUsed/>
    <w:rsid w:val="007606AC"/>
    <w:rPr>
      <w:color w:val="0000FF"/>
      <w:u w:val="single"/>
    </w:rPr>
  </w:style>
  <w:style w:type="paragraph" w:customStyle="1" w:styleId="Default">
    <w:name w:val="Default"/>
    <w:rsid w:val="0042053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encinsinresolver1">
    <w:name w:val="Mención sin resolver1"/>
    <w:basedOn w:val="Fuentedeprrafopredeter"/>
    <w:uiPriority w:val="99"/>
    <w:semiHidden/>
    <w:unhideWhenUsed/>
    <w:rsid w:val="00BF365F"/>
    <w:rPr>
      <w:color w:val="605E5C"/>
      <w:shd w:val="clear" w:color="auto" w:fill="E1DFDD"/>
    </w:rPr>
  </w:style>
  <w:style w:type="paragraph" w:styleId="Textodeglobo">
    <w:name w:val="Balloon Text"/>
    <w:basedOn w:val="Normal"/>
    <w:link w:val="TextodegloboCar"/>
    <w:uiPriority w:val="99"/>
    <w:semiHidden/>
    <w:unhideWhenUsed/>
    <w:rsid w:val="008B5D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5D5C"/>
    <w:rPr>
      <w:rFonts w:ascii="Segoe UI" w:hAnsi="Segoe UI" w:cs="Segoe UI"/>
      <w:sz w:val="18"/>
      <w:szCs w:val="18"/>
    </w:rPr>
  </w:style>
  <w:style w:type="paragraph" w:styleId="Revisin">
    <w:name w:val="Revision"/>
    <w:hidden/>
    <w:uiPriority w:val="99"/>
    <w:semiHidden/>
    <w:rsid w:val="00554565"/>
    <w:pPr>
      <w:spacing w:after="0" w:line="240" w:lineRule="auto"/>
    </w:pPr>
  </w:style>
  <w:style w:type="character" w:styleId="Refdecomentario">
    <w:name w:val="annotation reference"/>
    <w:basedOn w:val="Fuentedeprrafopredeter"/>
    <w:uiPriority w:val="99"/>
    <w:semiHidden/>
    <w:unhideWhenUsed/>
    <w:rsid w:val="00554565"/>
    <w:rPr>
      <w:sz w:val="16"/>
      <w:szCs w:val="16"/>
    </w:rPr>
  </w:style>
  <w:style w:type="paragraph" w:styleId="Textocomentario">
    <w:name w:val="annotation text"/>
    <w:basedOn w:val="Normal"/>
    <w:link w:val="TextocomentarioCar"/>
    <w:uiPriority w:val="99"/>
    <w:semiHidden/>
    <w:unhideWhenUsed/>
    <w:rsid w:val="0055456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54565"/>
    <w:rPr>
      <w:sz w:val="20"/>
      <w:szCs w:val="20"/>
    </w:rPr>
  </w:style>
  <w:style w:type="paragraph" w:styleId="Asuntodelcomentario">
    <w:name w:val="annotation subject"/>
    <w:basedOn w:val="Textocomentario"/>
    <w:next w:val="Textocomentario"/>
    <w:link w:val="AsuntodelcomentarioCar"/>
    <w:uiPriority w:val="99"/>
    <w:semiHidden/>
    <w:unhideWhenUsed/>
    <w:rsid w:val="00554565"/>
    <w:rPr>
      <w:b/>
      <w:bCs/>
    </w:rPr>
  </w:style>
  <w:style w:type="character" w:customStyle="1" w:styleId="AsuntodelcomentarioCar">
    <w:name w:val="Asunto del comentario Car"/>
    <w:basedOn w:val="TextocomentarioCar"/>
    <w:link w:val="Asuntodelcomentario"/>
    <w:uiPriority w:val="99"/>
    <w:semiHidden/>
    <w:rsid w:val="00554565"/>
    <w:rPr>
      <w:b/>
      <w:bCs/>
      <w:sz w:val="20"/>
      <w:szCs w:val="20"/>
    </w:rPr>
  </w:style>
  <w:style w:type="paragraph" w:styleId="NormalWeb">
    <w:name w:val="Normal (Web)"/>
    <w:basedOn w:val="Normal"/>
    <w:uiPriority w:val="99"/>
    <w:unhideWhenUsed/>
    <w:rsid w:val="001E1509"/>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1">
    <w:name w:val="s1"/>
    <w:basedOn w:val="Fuentedeprrafopredeter"/>
    <w:rsid w:val="00137563"/>
  </w:style>
  <w:style w:type="paragraph" w:customStyle="1" w:styleId="p2">
    <w:name w:val="p2"/>
    <w:basedOn w:val="Normal"/>
    <w:rsid w:val="00137563"/>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Mencinsinresolver">
    <w:name w:val="Unresolved Mention"/>
    <w:basedOn w:val="Fuentedeprrafopredeter"/>
    <w:uiPriority w:val="99"/>
    <w:semiHidden/>
    <w:unhideWhenUsed/>
    <w:rsid w:val="007D0BDA"/>
    <w:rPr>
      <w:color w:val="605E5C"/>
      <w:shd w:val="clear" w:color="auto" w:fill="E1DFDD"/>
    </w:rPr>
  </w:style>
  <w:style w:type="character" w:customStyle="1" w:styleId="markedcontent">
    <w:name w:val="markedcontent"/>
    <w:basedOn w:val="Fuentedeprrafopredeter"/>
    <w:rsid w:val="00604501"/>
  </w:style>
  <w:style w:type="paragraph" w:customStyle="1" w:styleId="pf0">
    <w:name w:val="pf0"/>
    <w:basedOn w:val="Normal"/>
    <w:rsid w:val="00B10401"/>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customStyle="1" w:styleId="cf01">
    <w:name w:val="cf01"/>
    <w:basedOn w:val="Fuentedeprrafopredeter"/>
    <w:rsid w:val="00B1040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1997">
      <w:bodyDiv w:val="1"/>
      <w:marLeft w:val="0"/>
      <w:marRight w:val="0"/>
      <w:marTop w:val="0"/>
      <w:marBottom w:val="0"/>
      <w:divBdr>
        <w:top w:val="none" w:sz="0" w:space="0" w:color="auto"/>
        <w:left w:val="none" w:sz="0" w:space="0" w:color="auto"/>
        <w:bottom w:val="none" w:sz="0" w:space="0" w:color="auto"/>
        <w:right w:val="none" w:sz="0" w:space="0" w:color="auto"/>
      </w:divBdr>
      <w:divsChild>
        <w:div w:id="882131546">
          <w:marLeft w:val="0"/>
          <w:marRight w:val="0"/>
          <w:marTop w:val="0"/>
          <w:marBottom w:val="0"/>
          <w:divBdr>
            <w:top w:val="none" w:sz="0" w:space="0" w:color="auto"/>
            <w:left w:val="none" w:sz="0" w:space="0" w:color="auto"/>
            <w:bottom w:val="none" w:sz="0" w:space="0" w:color="auto"/>
            <w:right w:val="none" w:sz="0" w:space="0" w:color="auto"/>
          </w:divBdr>
          <w:divsChild>
            <w:div w:id="1103644281">
              <w:marLeft w:val="0"/>
              <w:marRight w:val="0"/>
              <w:marTop w:val="0"/>
              <w:marBottom w:val="0"/>
              <w:divBdr>
                <w:top w:val="none" w:sz="0" w:space="0" w:color="auto"/>
                <w:left w:val="none" w:sz="0" w:space="0" w:color="auto"/>
                <w:bottom w:val="none" w:sz="0" w:space="0" w:color="auto"/>
                <w:right w:val="none" w:sz="0" w:space="0" w:color="auto"/>
              </w:divBdr>
              <w:divsChild>
                <w:div w:id="120417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823275">
      <w:bodyDiv w:val="1"/>
      <w:marLeft w:val="0"/>
      <w:marRight w:val="0"/>
      <w:marTop w:val="0"/>
      <w:marBottom w:val="0"/>
      <w:divBdr>
        <w:top w:val="none" w:sz="0" w:space="0" w:color="auto"/>
        <w:left w:val="none" w:sz="0" w:space="0" w:color="auto"/>
        <w:bottom w:val="none" w:sz="0" w:space="0" w:color="auto"/>
        <w:right w:val="none" w:sz="0" w:space="0" w:color="auto"/>
      </w:divBdr>
      <w:divsChild>
        <w:div w:id="1157108381">
          <w:marLeft w:val="0"/>
          <w:marRight w:val="0"/>
          <w:marTop w:val="0"/>
          <w:marBottom w:val="0"/>
          <w:divBdr>
            <w:top w:val="none" w:sz="0" w:space="0" w:color="auto"/>
            <w:left w:val="none" w:sz="0" w:space="0" w:color="auto"/>
            <w:bottom w:val="none" w:sz="0" w:space="0" w:color="auto"/>
            <w:right w:val="none" w:sz="0" w:space="0" w:color="auto"/>
          </w:divBdr>
          <w:divsChild>
            <w:div w:id="142158746">
              <w:marLeft w:val="0"/>
              <w:marRight w:val="0"/>
              <w:marTop w:val="0"/>
              <w:marBottom w:val="0"/>
              <w:divBdr>
                <w:top w:val="none" w:sz="0" w:space="0" w:color="auto"/>
                <w:left w:val="none" w:sz="0" w:space="0" w:color="auto"/>
                <w:bottom w:val="none" w:sz="0" w:space="0" w:color="auto"/>
                <w:right w:val="none" w:sz="0" w:space="0" w:color="auto"/>
              </w:divBdr>
              <w:divsChild>
                <w:div w:id="172956417">
                  <w:marLeft w:val="0"/>
                  <w:marRight w:val="0"/>
                  <w:marTop w:val="0"/>
                  <w:marBottom w:val="0"/>
                  <w:divBdr>
                    <w:top w:val="none" w:sz="0" w:space="0" w:color="auto"/>
                    <w:left w:val="none" w:sz="0" w:space="0" w:color="auto"/>
                    <w:bottom w:val="none" w:sz="0" w:space="0" w:color="auto"/>
                    <w:right w:val="none" w:sz="0" w:space="0" w:color="auto"/>
                  </w:divBdr>
                  <w:divsChild>
                    <w:div w:id="416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90884">
      <w:bodyDiv w:val="1"/>
      <w:marLeft w:val="0"/>
      <w:marRight w:val="0"/>
      <w:marTop w:val="0"/>
      <w:marBottom w:val="0"/>
      <w:divBdr>
        <w:top w:val="none" w:sz="0" w:space="0" w:color="auto"/>
        <w:left w:val="none" w:sz="0" w:space="0" w:color="auto"/>
        <w:bottom w:val="none" w:sz="0" w:space="0" w:color="auto"/>
        <w:right w:val="none" w:sz="0" w:space="0" w:color="auto"/>
      </w:divBdr>
    </w:div>
    <w:div w:id="754127695">
      <w:bodyDiv w:val="1"/>
      <w:marLeft w:val="0"/>
      <w:marRight w:val="0"/>
      <w:marTop w:val="0"/>
      <w:marBottom w:val="0"/>
      <w:divBdr>
        <w:top w:val="none" w:sz="0" w:space="0" w:color="auto"/>
        <w:left w:val="none" w:sz="0" w:space="0" w:color="auto"/>
        <w:bottom w:val="none" w:sz="0" w:space="0" w:color="auto"/>
        <w:right w:val="none" w:sz="0" w:space="0" w:color="auto"/>
      </w:divBdr>
      <w:divsChild>
        <w:div w:id="1922325985">
          <w:marLeft w:val="0"/>
          <w:marRight w:val="0"/>
          <w:marTop w:val="0"/>
          <w:marBottom w:val="0"/>
          <w:divBdr>
            <w:top w:val="none" w:sz="0" w:space="0" w:color="auto"/>
            <w:left w:val="none" w:sz="0" w:space="0" w:color="auto"/>
            <w:bottom w:val="none" w:sz="0" w:space="0" w:color="auto"/>
            <w:right w:val="none" w:sz="0" w:space="0" w:color="auto"/>
          </w:divBdr>
          <w:divsChild>
            <w:div w:id="1310750604">
              <w:marLeft w:val="0"/>
              <w:marRight w:val="0"/>
              <w:marTop w:val="0"/>
              <w:marBottom w:val="0"/>
              <w:divBdr>
                <w:top w:val="none" w:sz="0" w:space="0" w:color="auto"/>
                <w:left w:val="none" w:sz="0" w:space="0" w:color="auto"/>
                <w:bottom w:val="none" w:sz="0" w:space="0" w:color="auto"/>
                <w:right w:val="none" w:sz="0" w:space="0" w:color="auto"/>
              </w:divBdr>
              <w:divsChild>
                <w:div w:id="145910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82332">
      <w:bodyDiv w:val="1"/>
      <w:marLeft w:val="0"/>
      <w:marRight w:val="0"/>
      <w:marTop w:val="0"/>
      <w:marBottom w:val="0"/>
      <w:divBdr>
        <w:top w:val="none" w:sz="0" w:space="0" w:color="auto"/>
        <w:left w:val="none" w:sz="0" w:space="0" w:color="auto"/>
        <w:bottom w:val="none" w:sz="0" w:space="0" w:color="auto"/>
        <w:right w:val="none" w:sz="0" w:space="0" w:color="auto"/>
      </w:divBdr>
      <w:divsChild>
        <w:div w:id="429400675">
          <w:marLeft w:val="0"/>
          <w:marRight w:val="0"/>
          <w:marTop w:val="0"/>
          <w:marBottom w:val="0"/>
          <w:divBdr>
            <w:top w:val="none" w:sz="0" w:space="0" w:color="auto"/>
            <w:left w:val="none" w:sz="0" w:space="0" w:color="auto"/>
            <w:bottom w:val="none" w:sz="0" w:space="0" w:color="auto"/>
            <w:right w:val="none" w:sz="0" w:space="0" w:color="auto"/>
          </w:divBdr>
          <w:divsChild>
            <w:div w:id="1758018308">
              <w:marLeft w:val="0"/>
              <w:marRight w:val="0"/>
              <w:marTop w:val="0"/>
              <w:marBottom w:val="0"/>
              <w:divBdr>
                <w:top w:val="none" w:sz="0" w:space="0" w:color="auto"/>
                <w:left w:val="none" w:sz="0" w:space="0" w:color="auto"/>
                <w:bottom w:val="none" w:sz="0" w:space="0" w:color="auto"/>
                <w:right w:val="none" w:sz="0" w:space="0" w:color="auto"/>
              </w:divBdr>
              <w:divsChild>
                <w:div w:id="14249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172939">
      <w:bodyDiv w:val="1"/>
      <w:marLeft w:val="0"/>
      <w:marRight w:val="0"/>
      <w:marTop w:val="0"/>
      <w:marBottom w:val="0"/>
      <w:divBdr>
        <w:top w:val="none" w:sz="0" w:space="0" w:color="auto"/>
        <w:left w:val="none" w:sz="0" w:space="0" w:color="auto"/>
        <w:bottom w:val="none" w:sz="0" w:space="0" w:color="auto"/>
        <w:right w:val="none" w:sz="0" w:space="0" w:color="auto"/>
      </w:divBdr>
    </w:div>
    <w:div w:id="1252621984">
      <w:bodyDiv w:val="1"/>
      <w:marLeft w:val="0"/>
      <w:marRight w:val="0"/>
      <w:marTop w:val="0"/>
      <w:marBottom w:val="0"/>
      <w:divBdr>
        <w:top w:val="none" w:sz="0" w:space="0" w:color="auto"/>
        <w:left w:val="none" w:sz="0" w:space="0" w:color="auto"/>
        <w:bottom w:val="none" w:sz="0" w:space="0" w:color="auto"/>
        <w:right w:val="none" w:sz="0" w:space="0" w:color="auto"/>
      </w:divBdr>
    </w:div>
    <w:div w:id="1604342122">
      <w:bodyDiv w:val="1"/>
      <w:marLeft w:val="0"/>
      <w:marRight w:val="0"/>
      <w:marTop w:val="0"/>
      <w:marBottom w:val="0"/>
      <w:divBdr>
        <w:top w:val="none" w:sz="0" w:space="0" w:color="auto"/>
        <w:left w:val="none" w:sz="0" w:space="0" w:color="auto"/>
        <w:bottom w:val="none" w:sz="0" w:space="0" w:color="auto"/>
        <w:right w:val="none" w:sz="0" w:space="0" w:color="auto"/>
      </w:divBdr>
    </w:div>
    <w:div w:id="1699508795">
      <w:bodyDiv w:val="1"/>
      <w:marLeft w:val="0"/>
      <w:marRight w:val="0"/>
      <w:marTop w:val="0"/>
      <w:marBottom w:val="0"/>
      <w:divBdr>
        <w:top w:val="none" w:sz="0" w:space="0" w:color="auto"/>
        <w:left w:val="none" w:sz="0" w:space="0" w:color="auto"/>
        <w:bottom w:val="none" w:sz="0" w:space="0" w:color="auto"/>
        <w:right w:val="none" w:sz="0" w:space="0" w:color="auto"/>
      </w:divBdr>
      <w:divsChild>
        <w:div w:id="1855420127">
          <w:marLeft w:val="0"/>
          <w:marRight w:val="0"/>
          <w:marTop w:val="0"/>
          <w:marBottom w:val="0"/>
          <w:divBdr>
            <w:top w:val="none" w:sz="0" w:space="0" w:color="auto"/>
            <w:left w:val="none" w:sz="0" w:space="0" w:color="auto"/>
            <w:bottom w:val="none" w:sz="0" w:space="0" w:color="auto"/>
            <w:right w:val="none" w:sz="0" w:space="0" w:color="auto"/>
          </w:divBdr>
          <w:divsChild>
            <w:div w:id="424810040">
              <w:marLeft w:val="0"/>
              <w:marRight w:val="0"/>
              <w:marTop w:val="0"/>
              <w:marBottom w:val="0"/>
              <w:divBdr>
                <w:top w:val="none" w:sz="0" w:space="0" w:color="auto"/>
                <w:left w:val="none" w:sz="0" w:space="0" w:color="auto"/>
                <w:bottom w:val="none" w:sz="0" w:space="0" w:color="auto"/>
                <w:right w:val="none" w:sz="0" w:space="0" w:color="auto"/>
              </w:divBdr>
              <w:divsChild>
                <w:div w:id="128484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642238">
      <w:bodyDiv w:val="1"/>
      <w:marLeft w:val="0"/>
      <w:marRight w:val="0"/>
      <w:marTop w:val="0"/>
      <w:marBottom w:val="0"/>
      <w:divBdr>
        <w:top w:val="none" w:sz="0" w:space="0" w:color="auto"/>
        <w:left w:val="none" w:sz="0" w:space="0" w:color="auto"/>
        <w:bottom w:val="none" w:sz="0" w:space="0" w:color="auto"/>
        <w:right w:val="none" w:sz="0" w:space="0" w:color="auto"/>
      </w:divBdr>
    </w:div>
    <w:div w:id="1996687024">
      <w:bodyDiv w:val="1"/>
      <w:marLeft w:val="0"/>
      <w:marRight w:val="0"/>
      <w:marTop w:val="0"/>
      <w:marBottom w:val="0"/>
      <w:divBdr>
        <w:top w:val="none" w:sz="0" w:space="0" w:color="auto"/>
        <w:left w:val="none" w:sz="0" w:space="0" w:color="auto"/>
        <w:bottom w:val="none" w:sz="0" w:space="0" w:color="auto"/>
        <w:right w:val="none" w:sz="0" w:space="0" w:color="auto"/>
      </w:divBdr>
      <w:divsChild>
        <w:div w:id="776750198">
          <w:marLeft w:val="0"/>
          <w:marRight w:val="0"/>
          <w:marTop w:val="0"/>
          <w:marBottom w:val="0"/>
          <w:divBdr>
            <w:top w:val="none" w:sz="0" w:space="0" w:color="auto"/>
            <w:left w:val="none" w:sz="0" w:space="0" w:color="auto"/>
            <w:bottom w:val="none" w:sz="0" w:space="0" w:color="auto"/>
            <w:right w:val="none" w:sz="0" w:space="0" w:color="auto"/>
          </w:divBdr>
          <w:divsChild>
            <w:div w:id="1509905184">
              <w:marLeft w:val="0"/>
              <w:marRight w:val="0"/>
              <w:marTop w:val="0"/>
              <w:marBottom w:val="0"/>
              <w:divBdr>
                <w:top w:val="none" w:sz="0" w:space="0" w:color="auto"/>
                <w:left w:val="none" w:sz="0" w:space="0" w:color="auto"/>
                <w:bottom w:val="none" w:sz="0" w:space="0" w:color="auto"/>
                <w:right w:val="none" w:sz="0" w:space="0" w:color="auto"/>
              </w:divBdr>
              <w:divsChild>
                <w:div w:id="400374513">
                  <w:marLeft w:val="0"/>
                  <w:marRight w:val="0"/>
                  <w:marTop w:val="0"/>
                  <w:marBottom w:val="0"/>
                  <w:divBdr>
                    <w:top w:val="none" w:sz="0" w:space="0" w:color="auto"/>
                    <w:left w:val="none" w:sz="0" w:space="0" w:color="auto"/>
                    <w:bottom w:val="none" w:sz="0" w:space="0" w:color="auto"/>
                    <w:right w:val="none" w:sz="0" w:space="0" w:color="auto"/>
                  </w:divBdr>
                </w:div>
              </w:divsChild>
            </w:div>
            <w:div w:id="474832303">
              <w:marLeft w:val="0"/>
              <w:marRight w:val="0"/>
              <w:marTop w:val="0"/>
              <w:marBottom w:val="0"/>
              <w:divBdr>
                <w:top w:val="none" w:sz="0" w:space="0" w:color="auto"/>
                <w:left w:val="none" w:sz="0" w:space="0" w:color="auto"/>
                <w:bottom w:val="none" w:sz="0" w:space="0" w:color="auto"/>
                <w:right w:val="none" w:sz="0" w:space="0" w:color="auto"/>
              </w:divBdr>
              <w:divsChild>
                <w:div w:id="4488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8798">
          <w:marLeft w:val="0"/>
          <w:marRight w:val="0"/>
          <w:marTop w:val="0"/>
          <w:marBottom w:val="0"/>
          <w:divBdr>
            <w:top w:val="none" w:sz="0" w:space="0" w:color="auto"/>
            <w:left w:val="none" w:sz="0" w:space="0" w:color="auto"/>
            <w:bottom w:val="none" w:sz="0" w:space="0" w:color="auto"/>
            <w:right w:val="none" w:sz="0" w:space="0" w:color="auto"/>
          </w:divBdr>
          <w:divsChild>
            <w:div w:id="1125393854">
              <w:marLeft w:val="0"/>
              <w:marRight w:val="0"/>
              <w:marTop w:val="0"/>
              <w:marBottom w:val="0"/>
              <w:divBdr>
                <w:top w:val="none" w:sz="0" w:space="0" w:color="auto"/>
                <w:left w:val="none" w:sz="0" w:space="0" w:color="auto"/>
                <w:bottom w:val="none" w:sz="0" w:space="0" w:color="auto"/>
                <w:right w:val="none" w:sz="0" w:space="0" w:color="auto"/>
              </w:divBdr>
              <w:divsChild>
                <w:div w:id="27328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ipysvenezuela.org/alerta/alerta-ipysve-diario-el-vistazo-y-su-directora-victimas-de-campanas-de-agravios-nuevamente/" TargetMode="External"/><Relationship Id="rId13" Type="http://schemas.openxmlformats.org/officeDocument/2006/relationships/hyperlink" Target="https://www.ohchr.org/Documents/HRBodies/HRCouncil/FFMV/A_HRC_45_CRP.11_SP.pdf" TargetMode="External"/><Relationship Id="rId3" Type="http://schemas.openxmlformats.org/officeDocument/2006/relationships/hyperlink" Target="https://kape-kape.one/wp-content/uploads/pdf/boletin-27-Violencia.contra.la.mujer.indigena.pdf" TargetMode="External"/><Relationship Id="rId7" Type="http://schemas.openxmlformats.org/officeDocument/2006/relationships/hyperlink" Target="https://cofavic.org/wp-content/uploads/2021/04/COFAVIC_Graves_Restricciones-a-la-Sociedad-Civil.-2021DEF.pdf" TargetMode="External"/><Relationship Id="rId12" Type="http://schemas.openxmlformats.org/officeDocument/2006/relationships/hyperlink" Target="https://cofavic.org/?recursos=informe-violencia-contra-las-mujeres-2021_cofavic" TargetMode="External"/><Relationship Id="rId2" Type="http://schemas.openxmlformats.org/officeDocument/2006/relationships/hyperlink" Target="https://kape-kape.one/wp-content/uploads/pdf/informe-de-migracion-2021_opt.pdf" TargetMode="External"/><Relationship Id="rId1" Type="http://schemas.openxmlformats.org/officeDocument/2006/relationships/hyperlink" Target="https://tbinternet.ohchr.org/_layouts/15/treatybodyexternal/Download.aspx?symbolno=CAT%2FC%2FVEN%2FCO%2F3-4&amp;Lang=es" TargetMode="External"/><Relationship Id="rId6" Type="http://schemas.openxmlformats.org/officeDocument/2006/relationships/hyperlink" Target="https://cofavic.org/wpcontent/uploads/2022/10/COFAVIC_Resumen_Agresiones_DefensaDDHH_ene_ago_2022_W.pdf" TargetMode="External"/><Relationship Id="rId11" Type="http://schemas.openxmlformats.org/officeDocument/2006/relationships/hyperlink" Target="https://documents-dds-ny.un.org/doc/UNDOC/GEN/G20/242/34/PDF/G2024234.pdf?OpenElement" TargetMode="External"/><Relationship Id="rId5" Type="http://schemas.openxmlformats.org/officeDocument/2006/relationships/hyperlink" Target="https://cofavic.org/wp-content/uploads/2021/02/Informe-Venezuela-Enemigos-internos-COVID-2021-1.pdf" TargetMode="External"/><Relationship Id="rId15" Type="http://schemas.openxmlformats.org/officeDocument/2006/relationships/hyperlink" Target="http://www.oas.org/es/sla/ddi/docs/a-41_nota_venezuela_04-28-2017.pdf" TargetMode="External"/><Relationship Id="rId10" Type="http://schemas.openxmlformats.org/officeDocument/2006/relationships/hyperlink" Target="https://www.ohchr.org/sites/default/files/Documents/HRBodies/HRCouncil/FFMV/A-HRC-48-CRP.5_SP.pdf" TargetMode="External"/><Relationship Id="rId4" Type="http://schemas.openxmlformats.org/officeDocument/2006/relationships/hyperlink" Target="https://kape-kape.one/wp-content/uploads/pdf/Violencia.hacia.la.mujer.indigena.2022.opt.pdf" TargetMode="External"/><Relationship Id="rId9" Type="http://schemas.openxmlformats.org/officeDocument/2006/relationships/hyperlink" Target="https://cofavic.org/informe-cofavic-violencia-contra-las-venezolanas/" TargetMode="External"/><Relationship Id="rId14" Type="http://schemas.openxmlformats.org/officeDocument/2006/relationships/hyperlink" Target="https://www.oas.org/es/cidh/prensa/comunicados/2013/064.a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C5CD-8B5A-3243-8FFA-17B9CE57A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5543</Words>
  <Characters>30487</Characters>
  <Application>Microsoft Office Word</Application>
  <DocSecurity>0</DocSecurity>
  <Lines>254</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Subero</dc:creator>
  <cp:keywords/>
  <dc:description/>
  <cp:lastModifiedBy>Karla Subero</cp:lastModifiedBy>
  <cp:revision>3</cp:revision>
  <cp:lastPrinted>2023-03-28T20:27:00Z</cp:lastPrinted>
  <dcterms:created xsi:type="dcterms:W3CDTF">2023-04-07T20:22:00Z</dcterms:created>
  <dcterms:modified xsi:type="dcterms:W3CDTF">2023-05-02T14:32:00Z</dcterms:modified>
</cp:coreProperties>
</file>