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DEEC57" w14:textId="77777777" w:rsidR="009A3EC8" w:rsidRDefault="009A3EC8">
      <w:pPr>
        <w:pBdr>
          <w:top w:val="nil"/>
          <w:left w:val="nil"/>
          <w:bottom w:val="nil"/>
          <w:right w:val="nil"/>
          <w:between w:val="nil"/>
        </w:pBdr>
        <w:spacing w:after="0" w:line="276" w:lineRule="auto"/>
        <w:rPr>
          <w:color w:val="000000"/>
        </w:rPr>
      </w:pPr>
    </w:p>
    <w:p w14:paraId="431D99E6" w14:textId="77777777" w:rsidR="009A3EC8" w:rsidRDefault="00000000">
      <w:pPr>
        <w:spacing w:after="0" w:line="276" w:lineRule="auto"/>
        <w:jc w:val="center"/>
        <w:rPr>
          <w:b/>
          <w:sz w:val="24"/>
          <w:szCs w:val="24"/>
        </w:rPr>
      </w:pPr>
      <w:r>
        <w:rPr>
          <w:b/>
          <w:sz w:val="24"/>
          <w:szCs w:val="24"/>
        </w:rPr>
        <w:t>STATEMENT</w:t>
      </w:r>
    </w:p>
    <w:p w14:paraId="61A5F3A7" w14:textId="77777777" w:rsidR="009A3EC8" w:rsidRDefault="009A3EC8">
      <w:pPr>
        <w:pBdr>
          <w:top w:val="nil"/>
          <w:left w:val="nil"/>
          <w:bottom w:val="nil"/>
          <w:right w:val="nil"/>
          <w:between w:val="nil"/>
        </w:pBdr>
        <w:spacing w:after="0" w:line="276" w:lineRule="auto"/>
        <w:rPr>
          <w:color w:val="000000"/>
        </w:rPr>
      </w:pPr>
    </w:p>
    <w:p w14:paraId="36814B79" w14:textId="77777777" w:rsidR="009A3EC8" w:rsidRDefault="00000000">
      <w:pPr>
        <w:pBdr>
          <w:top w:val="nil"/>
          <w:left w:val="nil"/>
          <w:bottom w:val="nil"/>
          <w:right w:val="nil"/>
          <w:between w:val="nil"/>
        </w:pBdr>
        <w:spacing w:after="0" w:line="276" w:lineRule="auto"/>
        <w:jc w:val="center"/>
        <w:rPr>
          <w:b/>
          <w:color w:val="000000"/>
          <w:sz w:val="24"/>
          <w:szCs w:val="24"/>
        </w:rPr>
      </w:pPr>
      <w:r>
        <w:rPr>
          <w:b/>
          <w:color w:val="000000"/>
          <w:sz w:val="24"/>
          <w:szCs w:val="24"/>
        </w:rPr>
        <w:t>ROSEMARIE G. EDILLON</w:t>
      </w:r>
    </w:p>
    <w:p w14:paraId="193939D3" w14:textId="77777777" w:rsidR="009A3EC8" w:rsidRDefault="00000000">
      <w:pPr>
        <w:pBdr>
          <w:top w:val="nil"/>
          <w:left w:val="nil"/>
          <w:bottom w:val="nil"/>
          <w:right w:val="nil"/>
          <w:between w:val="nil"/>
        </w:pBdr>
        <w:spacing w:after="0" w:line="276" w:lineRule="auto"/>
        <w:jc w:val="center"/>
        <w:rPr>
          <w:color w:val="000000"/>
          <w:sz w:val="24"/>
          <w:szCs w:val="24"/>
        </w:rPr>
      </w:pPr>
      <w:r>
        <w:rPr>
          <w:color w:val="000000"/>
          <w:sz w:val="24"/>
          <w:szCs w:val="24"/>
        </w:rPr>
        <w:t>Undersecretary for Policy and Planning, NEDA</w:t>
      </w:r>
    </w:p>
    <w:p w14:paraId="436C1776" w14:textId="77777777" w:rsidR="009A3EC8" w:rsidRDefault="00000000">
      <w:pPr>
        <w:pBdr>
          <w:top w:val="nil"/>
          <w:left w:val="nil"/>
          <w:bottom w:val="nil"/>
          <w:right w:val="nil"/>
          <w:between w:val="nil"/>
        </w:pBdr>
        <w:spacing w:after="0" w:line="276" w:lineRule="auto"/>
        <w:jc w:val="center"/>
        <w:rPr>
          <w:color w:val="000000"/>
          <w:sz w:val="24"/>
          <w:szCs w:val="24"/>
        </w:rPr>
      </w:pPr>
      <w:r>
        <w:rPr>
          <w:color w:val="000000"/>
          <w:sz w:val="24"/>
          <w:szCs w:val="24"/>
        </w:rPr>
        <w:t>Head of Delegation</w:t>
      </w:r>
    </w:p>
    <w:p w14:paraId="24CCF278" w14:textId="77777777" w:rsidR="009A3EC8" w:rsidRDefault="009A3EC8">
      <w:pPr>
        <w:spacing w:after="0" w:line="276" w:lineRule="auto"/>
        <w:jc w:val="center"/>
        <w:rPr>
          <w:sz w:val="24"/>
          <w:szCs w:val="24"/>
        </w:rPr>
      </w:pPr>
    </w:p>
    <w:p w14:paraId="657EAEF2" w14:textId="77777777" w:rsidR="009A3EC8" w:rsidRDefault="00000000">
      <w:pPr>
        <w:pBdr>
          <w:top w:val="nil"/>
          <w:left w:val="nil"/>
          <w:bottom w:val="nil"/>
          <w:right w:val="nil"/>
          <w:between w:val="nil"/>
        </w:pBdr>
        <w:spacing w:after="0" w:line="276" w:lineRule="auto"/>
        <w:jc w:val="center"/>
        <w:rPr>
          <w:b/>
          <w:color w:val="000000"/>
          <w:sz w:val="24"/>
          <w:szCs w:val="24"/>
        </w:rPr>
      </w:pPr>
      <w:r>
        <w:rPr>
          <w:b/>
          <w:color w:val="000000"/>
          <w:sz w:val="24"/>
          <w:szCs w:val="24"/>
        </w:rPr>
        <w:t>Constructive Dialogue on the International Covenant on the Economic, Social, and Cultural Rights (ICESCR) 7</w:t>
      </w:r>
      <w:r>
        <w:rPr>
          <w:b/>
          <w:color w:val="000000"/>
          <w:sz w:val="24"/>
          <w:szCs w:val="24"/>
          <w:vertAlign w:val="superscript"/>
        </w:rPr>
        <w:t>th</w:t>
      </w:r>
      <w:r>
        <w:rPr>
          <w:b/>
          <w:color w:val="000000"/>
          <w:sz w:val="24"/>
          <w:szCs w:val="24"/>
        </w:rPr>
        <w:t xml:space="preserve"> Periodic Report</w:t>
      </w:r>
    </w:p>
    <w:p w14:paraId="480A7373" w14:textId="77777777" w:rsidR="009A3EC8" w:rsidRDefault="00000000">
      <w:pPr>
        <w:spacing w:after="0" w:line="276" w:lineRule="auto"/>
        <w:jc w:val="center"/>
        <w:rPr>
          <w:i/>
          <w:sz w:val="24"/>
          <w:szCs w:val="24"/>
        </w:rPr>
      </w:pPr>
      <w:r>
        <w:rPr>
          <w:i/>
          <w:sz w:val="24"/>
          <w:szCs w:val="24"/>
        </w:rPr>
        <w:t>Opening Statement</w:t>
      </w:r>
    </w:p>
    <w:p w14:paraId="53FBCE14" w14:textId="77777777" w:rsidR="009A3EC8" w:rsidRDefault="00000000">
      <w:pPr>
        <w:spacing w:after="0" w:line="276" w:lineRule="auto"/>
        <w:jc w:val="center"/>
        <w:rPr>
          <w:sz w:val="24"/>
          <w:szCs w:val="24"/>
        </w:rPr>
      </w:pPr>
      <w:r>
        <w:rPr>
          <w:sz w:val="24"/>
          <w:szCs w:val="24"/>
        </w:rPr>
        <w:t xml:space="preserve">February 18, 2025 | Geneva, Switzerland </w:t>
      </w:r>
    </w:p>
    <w:p w14:paraId="7E1DC428" w14:textId="77777777" w:rsidR="009A3EC8" w:rsidRDefault="009A3EC8">
      <w:pPr>
        <w:spacing w:after="0" w:line="276" w:lineRule="auto"/>
        <w:jc w:val="both"/>
        <w:rPr>
          <w:sz w:val="24"/>
          <w:szCs w:val="24"/>
        </w:rPr>
      </w:pPr>
    </w:p>
    <w:p w14:paraId="56FB2C24" w14:textId="77777777" w:rsidR="009A3EC8" w:rsidRDefault="00000000">
      <w:pPr>
        <w:spacing w:after="0" w:line="276" w:lineRule="auto"/>
        <w:jc w:val="both"/>
        <w:rPr>
          <w:sz w:val="24"/>
          <w:szCs w:val="24"/>
        </w:rPr>
      </w:pPr>
      <w:r>
        <w:rPr>
          <w:sz w:val="24"/>
          <w:szCs w:val="24"/>
        </w:rPr>
        <w:t xml:space="preserve">Chairperson Laura-Maria </w:t>
      </w:r>
      <w:proofErr w:type="spellStart"/>
      <w:r>
        <w:rPr>
          <w:sz w:val="24"/>
          <w:szCs w:val="24"/>
        </w:rPr>
        <w:t>Craciunean</w:t>
      </w:r>
      <w:proofErr w:type="spellEnd"/>
      <w:r>
        <w:rPr>
          <w:sz w:val="24"/>
          <w:szCs w:val="24"/>
        </w:rPr>
        <w:t>-Tatu;</w:t>
      </w:r>
    </w:p>
    <w:p w14:paraId="7CD9336C" w14:textId="77777777" w:rsidR="009A3EC8" w:rsidRDefault="00000000">
      <w:pPr>
        <w:spacing w:after="0" w:line="276" w:lineRule="auto"/>
        <w:jc w:val="both"/>
        <w:rPr>
          <w:sz w:val="24"/>
          <w:szCs w:val="24"/>
        </w:rPr>
      </w:pPr>
      <w:r>
        <w:rPr>
          <w:sz w:val="24"/>
          <w:szCs w:val="24"/>
        </w:rPr>
        <w:t xml:space="preserve">Country Rapporteur </w:t>
      </w:r>
      <w:hyperlink r:id="rId7">
        <w:r>
          <w:rPr>
            <w:color w:val="000000"/>
            <w:sz w:val="24"/>
            <w:szCs w:val="24"/>
          </w:rPr>
          <w:t>Asraf Ally Caunhye;</w:t>
        </w:r>
      </w:hyperlink>
    </w:p>
    <w:p w14:paraId="3396A7FA" w14:textId="77777777" w:rsidR="009A3EC8" w:rsidRDefault="00000000">
      <w:pPr>
        <w:spacing w:after="0" w:line="276" w:lineRule="auto"/>
        <w:jc w:val="both"/>
        <w:rPr>
          <w:sz w:val="24"/>
          <w:szCs w:val="24"/>
        </w:rPr>
      </w:pPr>
      <w:r>
        <w:rPr>
          <w:sz w:val="24"/>
          <w:szCs w:val="24"/>
        </w:rPr>
        <w:t>Distinguished Members of the Committee on Economic, Social and Cultural Rights;</w:t>
      </w:r>
    </w:p>
    <w:p w14:paraId="35B6F178" w14:textId="77777777" w:rsidR="009A3EC8" w:rsidRDefault="00000000">
      <w:pPr>
        <w:spacing w:after="0" w:line="276" w:lineRule="auto"/>
        <w:jc w:val="both"/>
        <w:rPr>
          <w:sz w:val="24"/>
          <w:szCs w:val="24"/>
        </w:rPr>
      </w:pPr>
      <w:r>
        <w:rPr>
          <w:sz w:val="24"/>
          <w:szCs w:val="24"/>
        </w:rPr>
        <w:t>Observers from non-government organizations;</w:t>
      </w:r>
    </w:p>
    <w:p w14:paraId="465A65A8" w14:textId="77777777" w:rsidR="009A3EC8" w:rsidRDefault="00000000">
      <w:pPr>
        <w:spacing w:after="0" w:line="276" w:lineRule="auto"/>
        <w:jc w:val="both"/>
        <w:rPr>
          <w:sz w:val="24"/>
          <w:szCs w:val="24"/>
        </w:rPr>
      </w:pPr>
      <w:r>
        <w:rPr>
          <w:sz w:val="24"/>
          <w:szCs w:val="24"/>
        </w:rPr>
        <w:t>Representatives from the Commission on Human Rights of the Philippines;</w:t>
      </w:r>
    </w:p>
    <w:p w14:paraId="14FAA870" w14:textId="77777777" w:rsidR="009A3EC8" w:rsidRDefault="00000000">
      <w:pPr>
        <w:spacing w:after="0" w:line="276" w:lineRule="auto"/>
        <w:jc w:val="both"/>
        <w:rPr>
          <w:sz w:val="24"/>
          <w:szCs w:val="24"/>
        </w:rPr>
      </w:pPr>
      <w:r>
        <w:rPr>
          <w:sz w:val="24"/>
          <w:szCs w:val="24"/>
        </w:rPr>
        <w:t>Distinguished guests, ladies and gentlemen,</w:t>
      </w:r>
    </w:p>
    <w:p w14:paraId="6F1C9252" w14:textId="77777777" w:rsidR="009A3EC8" w:rsidRDefault="009A3EC8">
      <w:pPr>
        <w:spacing w:after="0" w:line="276" w:lineRule="auto"/>
        <w:jc w:val="both"/>
        <w:rPr>
          <w:sz w:val="24"/>
          <w:szCs w:val="24"/>
        </w:rPr>
      </w:pPr>
    </w:p>
    <w:p w14:paraId="3626587D" w14:textId="77777777" w:rsidR="009A3EC8" w:rsidRDefault="00000000">
      <w:pPr>
        <w:spacing w:after="0" w:line="276" w:lineRule="auto"/>
        <w:jc w:val="both"/>
        <w:rPr>
          <w:sz w:val="24"/>
          <w:szCs w:val="24"/>
        </w:rPr>
      </w:pPr>
      <w:r>
        <w:rPr>
          <w:sz w:val="24"/>
          <w:szCs w:val="24"/>
        </w:rPr>
        <w:t>Good afternoon.</w:t>
      </w:r>
    </w:p>
    <w:p w14:paraId="781D8142" w14:textId="77777777" w:rsidR="009A3EC8" w:rsidRDefault="009A3EC8">
      <w:pPr>
        <w:spacing w:after="0" w:line="276" w:lineRule="auto"/>
        <w:jc w:val="both"/>
        <w:rPr>
          <w:sz w:val="24"/>
          <w:szCs w:val="24"/>
        </w:rPr>
      </w:pPr>
    </w:p>
    <w:p w14:paraId="1EF4B69E" w14:textId="77777777" w:rsidR="009A3EC8" w:rsidRDefault="00000000">
      <w:pPr>
        <w:spacing w:after="0" w:line="276" w:lineRule="auto"/>
        <w:jc w:val="both"/>
        <w:rPr>
          <w:color w:val="FF0000"/>
          <w:sz w:val="24"/>
          <w:szCs w:val="24"/>
        </w:rPr>
      </w:pPr>
      <w:r>
        <w:rPr>
          <w:sz w:val="24"/>
          <w:szCs w:val="24"/>
        </w:rPr>
        <w:t xml:space="preserve">I am Dr. Rosemarie G. </w:t>
      </w:r>
      <w:proofErr w:type="spellStart"/>
      <w:r>
        <w:rPr>
          <w:sz w:val="24"/>
          <w:szCs w:val="24"/>
        </w:rPr>
        <w:t>Edillon</w:t>
      </w:r>
      <w:proofErr w:type="spellEnd"/>
      <w:r>
        <w:rPr>
          <w:sz w:val="24"/>
          <w:szCs w:val="24"/>
        </w:rPr>
        <w:t>, Undersecretary of the National Economic and Development Authority (NEDA) the Philippines’ socioeconomic development and planning agency. I am accompanied by dedicated officials and staff from various agencies, each playing a vital role in upholding and advancing the economic, social, and cultural rights of the Filipino people.</w:t>
      </w:r>
    </w:p>
    <w:p w14:paraId="2D0E85C5" w14:textId="77777777" w:rsidR="009A3EC8" w:rsidRDefault="009A3EC8">
      <w:pPr>
        <w:spacing w:after="0" w:line="276" w:lineRule="auto"/>
        <w:jc w:val="both"/>
        <w:rPr>
          <w:sz w:val="24"/>
          <w:szCs w:val="24"/>
        </w:rPr>
      </w:pPr>
    </w:p>
    <w:p w14:paraId="212E9D27" w14:textId="77777777" w:rsidR="009A3EC8" w:rsidRDefault="00000000">
      <w:pPr>
        <w:spacing w:after="0" w:line="276" w:lineRule="auto"/>
        <w:jc w:val="both"/>
        <w:rPr>
          <w:sz w:val="24"/>
          <w:szCs w:val="24"/>
        </w:rPr>
      </w:pPr>
      <w:r>
        <w:rPr>
          <w:sz w:val="24"/>
          <w:szCs w:val="24"/>
        </w:rPr>
        <w:t xml:space="preserve">I head the Policy and Planning Group of NEDA. Among my major responsibilities is shepherding the formulation of the Philippine Development Plan (PDP), which is the government’s blueprint of policies and strategies designed to achieve the development priorities of the administration. In turn, these medium-term policies and strategies are important building blocks to enable and empower every Filipino to achieve his/her long-term aspiration of a strongly-rooted family and community, a comfortable lifestyle and a secure future. I also chair various inter-agency committees, among which is the Subcommittee on the Sustainable Development Goals (SDGs). This subcommittee is strategically placed under the Development Budget Coordination Committee (DBCC), the recommending body to the President on the annual government expenditure program, to facilitate the linkage between the SDG-related initiatives and the needed fiscal resources. </w:t>
      </w:r>
    </w:p>
    <w:p w14:paraId="144F98B1" w14:textId="77777777" w:rsidR="009A3EC8" w:rsidRDefault="009A3EC8">
      <w:pPr>
        <w:spacing w:after="0" w:line="276" w:lineRule="auto"/>
        <w:jc w:val="both"/>
        <w:rPr>
          <w:sz w:val="24"/>
          <w:szCs w:val="24"/>
        </w:rPr>
      </w:pPr>
    </w:p>
    <w:p w14:paraId="4CA188A1" w14:textId="77777777" w:rsidR="009A3EC8" w:rsidRDefault="00000000">
      <w:pPr>
        <w:spacing w:after="0" w:line="276" w:lineRule="auto"/>
        <w:jc w:val="both"/>
        <w:rPr>
          <w:sz w:val="24"/>
          <w:szCs w:val="24"/>
        </w:rPr>
      </w:pPr>
      <w:r>
        <w:rPr>
          <w:sz w:val="24"/>
          <w:szCs w:val="24"/>
        </w:rPr>
        <w:t>My group also conducts policy analysis and provides recommendations to the President, Congress, and members of the Cabinet, especially the committees of the NEDA Board, which is the highest policy-making body in the country. In the conduct of our policy studies, we always consult the various stakeholders using various modalities like face-to-face interview, crowd sourcing, focus group discussions, and round table discussions. We also closely work with development partners, especially the UN agencies in the conduct of more in-depth research and pilot studies to help inform our policy recommendations.</w:t>
      </w:r>
    </w:p>
    <w:p w14:paraId="6C036985" w14:textId="77777777" w:rsidR="009A3EC8" w:rsidRDefault="009A3EC8">
      <w:pPr>
        <w:spacing w:after="0" w:line="276" w:lineRule="auto"/>
        <w:jc w:val="both"/>
        <w:rPr>
          <w:sz w:val="24"/>
          <w:szCs w:val="24"/>
        </w:rPr>
      </w:pPr>
    </w:p>
    <w:p w14:paraId="59F3F5C5" w14:textId="77777777" w:rsidR="009A3EC8" w:rsidRDefault="00000000">
      <w:pPr>
        <w:spacing w:after="0" w:line="276" w:lineRule="auto"/>
        <w:jc w:val="both"/>
        <w:rPr>
          <w:sz w:val="24"/>
          <w:szCs w:val="24"/>
        </w:rPr>
      </w:pPr>
      <w:r>
        <w:rPr>
          <w:sz w:val="24"/>
          <w:szCs w:val="24"/>
        </w:rPr>
        <w:t xml:space="preserve">I also stand before the Committee today as a member of the Presidential Human Rights Committee and the lead agency designated to oversee our compliance with the International Covenant on Economic, Social and Cultural Rights (ICESCR) as mandated by Administrative Order 163 issued in 2006. Given this role, we appreciate this august body for its tireless efforts in promoting the full realization of the ICESCR. We are likewise grateful for this opportunity to engage in a constructive dialogue aimed at advancing our shared commitment to uphold human dignity. </w:t>
      </w:r>
    </w:p>
    <w:p w14:paraId="7F287A7A" w14:textId="77777777" w:rsidR="009A3EC8" w:rsidRDefault="009A3EC8">
      <w:pPr>
        <w:spacing w:after="0" w:line="276" w:lineRule="auto"/>
        <w:jc w:val="both"/>
        <w:rPr>
          <w:sz w:val="24"/>
          <w:szCs w:val="24"/>
        </w:rPr>
      </w:pPr>
    </w:p>
    <w:p w14:paraId="4EEF9A72" w14:textId="77777777" w:rsidR="009A3EC8" w:rsidRDefault="00000000">
      <w:pPr>
        <w:spacing w:after="0" w:line="276" w:lineRule="auto"/>
        <w:jc w:val="both"/>
        <w:rPr>
          <w:sz w:val="24"/>
          <w:szCs w:val="24"/>
        </w:rPr>
      </w:pPr>
      <w:r>
        <w:rPr>
          <w:sz w:val="24"/>
          <w:szCs w:val="24"/>
        </w:rPr>
        <w:t>The 1987 Philippine Constitution serves as a firm foundation for the protection and promotion of economic, social, and cultural rights, as enshrined in its Declaration of Principles and State Policies, Bill of Rights, and provisions on Social Justice, National Economy, and Human Rights. This foundation is reinforced by laws and policies that support workers, promote equitable economic participation, and provide social protection. Recognizing that the promotion of ESCR involves multiple duty bearers, various executive and administrative orders were issued to specify the implementation mechanisms including institutional arrangements and accountability measures. Oftentimes, the commitments are demonstrated through programs and projects.</w:t>
      </w:r>
    </w:p>
    <w:p w14:paraId="5904F8A1" w14:textId="77777777" w:rsidR="009A3EC8" w:rsidRDefault="009A3EC8">
      <w:pPr>
        <w:spacing w:after="0" w:line="276" w:lineRule="auto"/>
        <w:jc w:val="both"/>
        <w:rPr>
          <w:sz w:val="24"/>
          <w:szCs w:val="24"/>
        </w:rPr>
      </w:pPr>
    </w:p>
    <w:p w14:paraId="2EC323F0" w14:textId="77777777" w:rsidR="009A3EC8" w:rsidRDefault="00000000">
      <w:pPr>
        <w:spacing w:after="0" w:line="276" w:lineRule="auto"/>
        <w:jc w:val="both"/>
        <w:rPr>
          <w:b/>
          <w:sz w:val="24"/>
          <w:szCs w:val="24"/>
        </w:rPr>
      </w:pPr>
      <w:r>
        <w:rPr>
          <w:b/>
          <w:sz w:val="24"/>
          <w:szCs w:val="24"/>
        </w:rPr>
        <w:t>Post-COVID Response</w:t>
      </w:r>
    </w:p>
    <w:p w14:paraId="0F4673CD" w14:textId="77777777" w:rsidR="009A3EC8" w:rsidRDefault="009A3EC8">
      <w:pPr>
        <w:spacing w:after="0" w:line="276" w:lineRule="auto"/>
        <w:jc w:val="both"/>
        <w:rPr>
          <w:b/>
          <w:sz w:val="24"/>
          <w:szCs w:val="24"/>
        </w:rPr>
      </w:pPr>
    </w:p>
    <w:p w14:paraId="1CD52923" w14:textId="77777777" w:rsidR="009A3EC8" w:rsidRDefault="00000000">
      <w:pPr>
        <w:spacing w:after="0" w:line="276" w:lineRule="auto"/>
        <w:jc w:val="both"/>
        <w:rPr>
          <w:sz w:val="24"/>
          <w:szCs w:val="24"/>
        </w:rPr>
      </w:pPr>
      <w:r>
        <w:rPr>
          <w:sz w:val="24"/>
          <w:szCs w:val="24"/>
        </w:rPr>
        <w:t xml:space="preserve">Our commitment to ensuring human rights continues even as we strive to recover from the social and economic losses brought about by the COVID19 pandemic and the mobility restrictions imposed during that time. We have put in place a </w:t>
      </w:r>
      <w:r>
        <w:rPr>
          <w:b/>
          <w:sz w:val="24"/>
          <w:szCs w:val="24"/>
        </w:rPr>
        <w:t xml:space="preserve">Plan for Economic and Social Transformation </w:t>
      </w:r>
      <w:r>
        <w:rPr>
          <w:sz w:val="24"/>
          <w:szCs w:val="24"/>
        </w:rPr>
        <w:t>that accelerates economic and social</w:t>
      </w:r>
      <w:r>
        <w:rPr>
          <w:b/>
          <w:sz w:val="24"/>
          <w:szCs w:val="24"/>
        </w:rPr>
        <w:t xml:space="preserve"> </w:t>
      </w:r>
      <w:r>
        <w:rPr>
          <w:sz w:val="24"/>
          <w:szCs w:val="24"/>
        </w:rPr>
        <w:t xml:space="preserve">recovery toward a prosperous, inclusive and resilient society - the PDP 2023-2028. The development targets we have set and the strategies we have outlined in the PDP demonstrate our commitment to the ICESCR. In addition, our strategies toward the SDGs are also mainstreamed in the PDP. This means that implementing agencies need only to refer to the PDP in identifying their priority policies, programs and </w:t>
      </w:r>
      <w:r>
        <w:rPr>
          <w:sz w:val="24"/>
          <w:szCs w:val="24"/>
        </w:rPr>
        <w:lastRenderedPageBreak/>
        <w:t>projects. As we monitor the accomplishment with respect to the PDP targets, we likewise monitor the progress towards the realization of our commitments on human rights, ICESCR and the SDGs.</w:t>
      </w:r>
    </w:p>
    <w:p w14:paraId="3897D6E4" w14:textId="77777777" w:rsidR="009A3EC8" w:rsidRDefault="009A3EC8">
      <w:pPr>
        <w:spacing w:after="0" w:line="276" w:lineRule="auto"/>
        <w:jc w:val="both"/>
        <w:rPr>
          <w:sz w:val="24"/>
          <w:szCs w:val="24"/>
        </w:rPr>
      </w:pPr>
    </w:p>
    <w:p w14:paraId="341BC4FE" w14:textId="77777777" w:rsidR="009A3EC8" w:rsidRDefault="00000000">
      <w:pPr>
        <w:spacing w:after="0" w:line="276" w:lineRule="auto"/>
        <w:jc w:val="both"/>
        <w:rPr>
          <w:b/>
          <w:sz w:val="24"/>
          <w:szCs w:val="24"/>
        </w:rPr>
      </w:pPr>
      <w:r>
        <w:rPr>
          <w:b/>
          <w:sz w:val="24"/>
          <w:szCs w:val="24"/>
        </w:rPr>
        <w:t>Economic Rights</w:t>
      </w:r>
    </w:p>
    <w:p w14:paraId="286107C9" w14:textId="77777777" w:rsidR="009A3EC8" w:rsidRDefault="009A3EC8">
      <w:pPr>
        <w:spacing w:after="0" w:line="276" w:lineRule="auto"/>
        <w:jc w:val="both"/>
        <w:rPr>
          <w:b/>
          <w:sz w:val="24"/>
          <w:szCs w:val="24"/>
        </w:rPr>
      </w:pPr>
    </w:p>
    <w:p w14:paraId="2D7476BF" w14:textId="77777777" w:rsidR="009A3EC8" w:rsidRDefault="00000000">
      <w:pPr>
        <w:spacing w:after="0" w:line="276" w:lineRule="auto"/>
        <w:jc w:val="both"/>
        <w:rPr>
          <w:strike/>
          <w:sz w:val="24"/>
          <w:szCs w:val="24"/>
        </w:rPr>
      </w:pPr>
      <w:r>
        <w:rPr>
          <w:sz w:val="24"/>
          <w:szCs w:val="24"/>
        </w:rPr>
        <w:t xml:space="preserve">Economic development, resilience building, and poverty reduction are central to our human rights agenda. From 2015 to 2023, the poverty rate dropped from 23.5% to 15.5% of population, based on our national poverty line. Before the pandemic, we have been employing a multi-dimensional strategy to reduce poverty – expanding the economic pie, facilitating access by the poor to the drivers of economic growth, and providing social protection to the most vulnerable and disadvantaged. We have broad-based programs like the Pantawid </w:t>
      </w:r>
      <w:proofErr w:type="spellStart"/>
      <w:r>
        <w:rPr>
          <w:sz w:val="24"/>
          <w:szCs w:val="24"/>
        </w:rPr>
        <w:t>Pamilyang</w:t>
      </w:r>
      <w:proofErr w:type="spellEnd"/>
      <w:r>
        <w:rPr>
          <w:sz w:val="24"/>
          <w:szCs w:val="24"/>
        </w:rPr>
        <w:t xml:space="preserve"> Pilipino Program, the Philippines’ conditional cash transfer program, which benefits over 4.4 million households, on the condition that their children receive health care and education. We have since enhanced this through legislation, ensuring that resources will be allocated to the 4Ps program and that the beneficiaries are likewise covered by other social development programs. </w:t>
      </w:r>
    </w:p>
    <w:p w14:paraId="67FC5739" w14:textId="77777777" w:rsidR="009A3EC8" w:rsidRDefault="009A3EC8">
      <w:pPr>
        <w:spacing w:after="0" w:line="276" w:lineRule="auto"/>
        <w:jc w:val="both"/>
        <w:rPr>
          <w:sz w:val="24"/>
          <w:szCs w:val="24"/>
        </w:rPr>
      </w:pPr>
    </w:p>
    <w:p w14:paraId="56AB1DBE" w14:textId="77777777" w:rsidR="009A3EC8" w:rsidRDefault="00000000">
      <w:pPr>
        <w:spacing w:after="0" w:line="276" w:lineRule="auto"/>
        <w:jc w:val="both"/>
        <w:rPr>
          <w:sz w:val="24"/>
          <w:szCs w:val="24"/>
        </w:rPr>
      </w:pPr>
      <w:bookmarkStart w:id="0" w:name="_heading=h.gjdgxs" w:colFirst="0" w:colLast="0"/>
      <w:bookmarkEnd w:id="0"/>
      <w:r>
        <w:rPr>
          <w:sz w:val="24"/>
          <w:szCs w:val="24"/>
        </w:rPr>
        <w:t xml:space="preserve">Our labor market has made a strong recovery after the pandemic. The unemployment rate in 2024 is estimated at 4.3 percent, underemployment at 10.9 percent, and the share of wage and salaried workers in private establishments at 50.7 percent.  Even with these favorable figures, we will not be complacent, recognizing that there is much volatility and uncertainty in the domestic and external fronts. For this reason, Congress has passed a legislation that mandated the crafting of a 10-year labor market development plan. The goal of the plan, </w:t>
      </w:r>
      <w:proofErr w:type="spellStart"/>
      <w:r>
        <w:rPr>
          <w:sz w:val="24"/>
          <w:szCs w:val="24"/>
        </w:rPr>
        <w:t>Trabaho</w:t>
      </w:r>
      <w:proofErr w:type="spellEnd"/>
      <w:r>
        <w:rPr>
          <w:sz w:val="24"/>
          <w:szCs w:val="24"/>
        </w:rPr>
        <w:t xml:space="preserve"> Para </w:t>
      </w:r>
      <w:proofErr w:type="spellStart"/>
      <w:r>
        <w:rPr>
          <w:sz w:val="24"/>
          <w:szCs w:val="24"/>
        </w:rPr>
        <w:t>sa</w:t>
      </w:r>
      <w:proofErr w:type="spellEnd"/>
      <w:r>
        <w:rPr>
          <w:sz w:val="24"/>
          <w:szCs w:val="24"/>
        </w:rPr>
        <w:t xml:space="preserve"> Bayan (TPB) Plan, is to promote a dynamic, efficient and inclusive labor market environment.</w:t>
      </w:r>
    </w:p>
    <w:p w14:paraId="7DA0DB69" w14:textId="77777777" w:rsidR="009A3EC8" w:rsidRDefault="009A3EC8">
      <w:pPr>
        <w:spacing w:after="0" w:line="276" w:lineRule="auto"/>
        <w:jc w:val="both"/>
        <w:rPr>
          <w:sz w:val="24"/>
          <w:szCs w:val="24"/>
        </w:rPr>
      </w:pPr>
    </w:p>
    <w:p w14:paraId="1F0E3FBC" w14:textId="77777777" w:rsidR="009A3EC8" w:rsidRDefault="00000000">
      <w:pPr>
        <w:spacing w:after="0" w:line="276" w:lineRule="auto"/>
        <w:jc w:val="both"/>
        <w:rPr>
          <w:sz w:val="24"/>
          <w:szCs w:val="24"/>
        </w:rPr>
      </w:pPr>
      <w:r>
        <w:rPr>
          <w:sz w:val="24"/>
          <w:szCs w:val="24"/>
        </w:rPr>
        <w:t>A significant inefficiency in the country's labor market is the persistent job-skills mismatch. By analyzing the skills most frequently sought by employers, we can identify the competencies required in the workplace. The recently enacted Enterprise-based Education and Training Act introduces incentives and strategies to encourage enterprises to equip workers with relevant job skills. However, another key factor contributing to this mismatch is the limited collaboration between industry and academia, which the TPB Plan aims to address.</w:t>
      </w:r>
    </w:p>
    <w:p w14:paraId="00AFDB0E" w14:textId="77777777" w:rsidR="009A3EC8" w:rsidRDefault="009A3EC8">
      <w:pPr>
        <w:spacing w:after="0" w:line="276" w:lineRule="auto"/>
        <w:jc w:val="both"/>
        <w:rPr>
          <w:sz w:val="24"/>
          <w:szCs w:val="24"/>
        </w:rPr>
      </w:pPr>
    </w:p>
    <w:p w14:paraId="75734DB2" w14:textId="77777777" w:rsidR="009A3EC8" w:rsidRDefault="00000000">
      <w:pPr>
        <w:spacing w:after="0" w:line="276" w:lineRule="auto"/>
        <w:jc w:val="both"/>
        <w:rPr>
          <w:sz w:val="24"/>
          <w:szCs w:val="24"/>
        </w:rPr>
      </w:pPr>
      <w:r>
        <w:rPr>
          <w:sz w:val="24"/>
          <w:szCs w:val="24"/>
        </w:rPr>
        <w:t xml:space="preserve">We are also committed to protecting the welfare of workers. We place a strong emphasis on protecting trade union rights and fostering genuine participation in tripartite bodies, which is enshrined in our Labor Code. Regional representatives from </w:t>
      </w:r>
      <w:r>
        <w:rPr>
          <w:sz w:val="24"/>
          <w:szCs w:val="24"/>
        </w:rPr>
        <w:lastRenderedPageBreak/>
        <w:t xml:space="preserve">labor and employer groups sit at the same table as government representatives in the Regional Tripartite Wages and Productivity Board (RTWPB), to regularly discuss and recommend policies on wage and productivity. The discussions are also informed by inputs coming from various stakeholders to maintain inclusivity. To address violence against trade unionists, an Inter-Agency Committee has been created under Executive Order 23 of 2023 to investigate and resolve cases involving freedom of association and labor rights. </w:t>
      </w:r>
    </w:p>
    <w:p w14:paraId="6378ACE9" w14:textId="77777777" w:rsidR="009A3EC8" w:rsidRDefault="009A3EC8">
      <w:pPr>
        <w:spacing w:after="0" w:line="276" w:lineRule="auto"/>
        <w:jc w:val="both"/>
        <w:rPr>
          <w:sz w:val="24"/>
          <w:szCs w:val="24"/>
        </w:rPr>
      </w:pPr>
    </w:p>
    <w:p w14:paraId="278E46C8" w14:textId="77777777" w:rsidR="009A3EC8" w:rsidRDefault="00000000">
      <w:pPr>
        <w:spacing w:after="0" w:line="276" w:lineRule="auto"/>
        <w:jc w:val="both"/>
        <w:rPr>
          <w:sz w:val="24"/>
          <w:szCs w:val="24"/>
        </w:rPr>
      </w:pPr>
      <w:r>
        <w:rPr>
          <w:sz w:val="24"/>
          <w:szCs w:val="24"/>
        </w:rPr>
        <w:t xml:space="preserve">Women’s economic empowerment is also a priority. The basic policy framework is given by the Magna Carta for Women. However, as shown in a NEDA study done in 2017, there are structural factors that need to be addressed in order to increase the labor force participation of women. Subsequent legislation </w:t>
      </w:r>
      <w:proofErr w:type="gramStart"/>
      <w:r>
        <w:rPr>
          <w:sz w:val="24"/>
          <w:szCs w:val="24"/>
        </w:rPr>
        <w:t>have</w:t>
      </w:r>
      <w:proofErr w:type="gramEnd"/>
      <w:r>
        <w:rPr>
          <w:sz w:val="24"/>
          <w:szCs w:val="24"/>
        </w:rPr>
        <w:t xml:space="preserve"> been enacted to address these factors, like the Safe Spaces Act, the Expanded Maternity Leave Law, and the Telecommuting Act. There are also projects that provide skills training specifically for women. In 2022, at least 35,000 women benefitted from livelihood assistance programs, while more than 306,000 women graduated from technical-vocational training programs provided </w:t>
      </w:r>
      <w:proofErr w:type="gramStart"/>
      <w:r>
        <w:rPr>
          <w:sz w:val="24"/>
          <w:szCs w:val="24"/>
        </w:rPr>
        <w:t>by  Technical</w:t>
      </w:r>
      <w:proofErr w:type="gramEnd"/>
      <w:r>
        <w:rPr>
          <w:sz w:val="24"/>
          <w:szCs w:val="24"/>
        </w:rPr>
        <w:t xml:space="preserve"> Education and Skills Development Authority. Currently, NEDA, in collaboration with the TPB Council, is conducting studies and consultation to define the policy and regulatory framework covering inclusive work arrangements. </w:t>
      </w:r>
    </w:p>
    <w:p w14:paraId="183E1BDC" w14:textId="77777777" w:rsidR="009A3EC8" w:rsidRDefault="009A3EC8">
      <w:pPr>
        <w:spacing w:after="0" w:line="276" w:lineRule="auto"/>
        <w:jc w:val="both"/>
        <w:rPr>
          <w:sz w:val="24"/>
          <w:szCs w:val="24"/>
        </w:rPr>
      </w:pPr>
    </w:p>
    <w:p w14:paraId="21BF790D" w14:textId="77777777" w:rsidR="009A3EC8" w:rsidRDefault="00000000">
      <w:pPr>
        <w:spacing w:after="0" w:line="276" w:lineRule="auto"/>
        <w:jc w:val="both"/>
        <w:rPr>
          <w:sz w:val="24"/>
          <w:szCs w:val="24"/>
        </w:rPr>
      </w:pPr>
      <w:r>
        <w:rPr>
          <w:sz w:val="24"/>
          <w:szCs w:val="24"/>
        </w:rPr>
        <w:t xml:space="preserve">Social protection coverage for informal workers was also expanded, with nearly 900,000 individuals newly registered in the Social Security System. </w:t>
      </w:r>
    </w:p>
    <w:p w14:paraId="4993AF0E" w14:textId="77777777" w:rsidR="009A3EC8" w:rsidRDefault="009A3EC8">
      <w:pPr>
        <w:spacing w:after="0" w:line="276" w:lineRule="auto"/>
        <w:jc w:val="both"/>
        <w:rPr>
          <w:sz w:val="24"/>
          <w:szCs w:val="24"/>
        </w:rPr>
      </w:pPr>
    </w:p>
    <w:p w14:paraId="41AF82EE" w14:textId="77777777" w:rsidR="009A3EC8" w:rsidRDefault="00000000">
      <w:pPr>
        <w:spacing w:after="0" w:line="276" w:lineRule="auto"/>
        <w:jc w:val="both"/>
        <w:rPr>
          <w:sz w:val="24"/>
          <w:szCs w:val="24"/>
        </w:rPr>
      </w:pPr>
      <w:r>
        <w:rPr>
          <w:sz w:val="24"/>
          <w:szCs w:val="24"/>
        </w:rPr>
        <w:t xml:space="preserve">The government has created the Department of Migrant Workers (DMW), which promotes the welfare of overseas Filipino workers (OFWs) throughout the migration journey, from recruitment, to working in the destination countries, and finally, reintegration back to the Philippines. The DMW has been collaborating with labor ministries in the destination countries to formulate bilateral labor agreements to ensure the protection of OFW rights. Government is also quick to respond to the need to repatriate OFWs affected by political strife and other emergency situations in the destination countries. During the pandemic, government repatriated more than 900,000 workers, many of whom were provided livelihood support and other assistance. </w:t>
      </w:r>
    </w:p>
    <w:p w14:paraId="053EABF2" w14:textId="77777777" w:rsidR="009A3EC8" w:rsidRDefault="009A3EC8">
      <w:pPr>
        <w:spacing w:after="0" w:line="276" w:lineRule="auto"/>
        <w:jc w:val="both"/>
        <w:rPr>
          <w:sz w:val="24"/>
          <w:szCs w:val="24"/>
        </w:rPr>
      </w:pPr>
    </w:p>
    <w:p w14:paraId="50572154" w14:textId="77777777" w:rsidR="009A3EC8" w:rsidRDefault="00000000">
      <w:pPr>
        <w:spacing w:after="0" w:line="276" w:lineRule="auto"/>
        <w:jc w:val="both"/>
        <w:rPr>
          <w:b/>
          <w:sz w:val="24"/>
          <w:szCs w:val="24"/>
        </w:rPr>
      </w:pPr>
      <w:r>
        <w:rPr>
          <w:b/>
          <w:sz w:val="24"/>
          <w:szCs w:val="24"/>
        </w:rPr>
        <w:t>Social Rights</w:t>
      </w:r>
    </w:p>
    <w:p w14:paraId="39A6791E" w14:textId="77777777" w:rsidR="009A3EC8" w:rsidRDefault="009A3EC8">
      <w:pPr>
        <w:spacing w:after="0" w:line="276" w:lineRule="auto"/>
        <w:jc w:val="both"/>
        <w:rPr>
          <w:b/>
          <w:sz w:val="24"/>
          <w:szCs w:val="24"/>
        </w:rPr>
      </w:pPr>
    </w:p>
    <w:p w14:paraId="4281596D" w14:textId="77777777" w:rsidR="009A3EC8" w:rsidRDefault="00000000">
      <w:pPr>
        <w:spacing w:after="0" w:line="276" w:lineRule="auto"/>
        <w:jc w:val="both"/>
        <w:rPr>
          <w:sz w:val="24"/>
          <w:szCs w:val="24"/>
        </w:rPr>
      </w:pPr>
      <w:r>
        <w:rPr>
          <w:sz w:val="24"/>
          <w:szCs w:val="24"/>
        </w:rPr>
        <w:t xml:space="preserve">Legislative measures have been enacted to institutionalize and expand social protection. In healthcare, the Universal Health Care Law ensures automatic PhilHealth </w:t>
      </w:r>
      <w:r>
        <w:rPr>
          <w:sz w:val="24"/>
          <w:szCs w:val="24"/>
        </w:rPr>
        <w:lastRenderedPageBreak/>
        <w:t>coverage for all Filipinos. Family planning initiatives have reached 8 million women, preventing an estimated 774,000 unsafe abortions and 1,400 maternal deaths annually. For those with psychosocial disabilities, the Mental Health Act has expanded services to ensure informed consent in treatment, prohibit shackling, and provide culturally sensitive care. Ongoing efforts focus on breaking barriers such as attitudinal biases, inadequate modifications in public spaces, and employment challenges faced by persons with disabilities.</w:t>
      </w:r>
    </w:p>
    <w:p w14:paraId="77508927" w14:textId="77777777" w:rsidR="009A3EC8" w:rsidRDefault="009A3EC8">
      <w:pPr>
        <w:spacing w:after="0" w:line="276" w:lineRule="auto"/>
        <w:jc w:val="both"/>
        <w:rPr>
          <w:sz w:val="24"/>
          <w:szCs w:val="24"/>
        </w:rPr>
      </w:pPr>
    </w:p>
    <w:p w14:paraId="67AAA636" w14:textId="77777777" w:rsidR="009A3EC8" w:rsidRDefault="00000000">
      <w:pPr>
        <w:spacing w:after="0" w:line="276" w:lineRule="auto"/>
        <w:jc w:val="both"/>
        <w:rPr>
          <w:sz w:val="24"/>
          <w:szCs w:val="24"/>
        </w:rPr>
      </w:pPr>
      <w:r>
        <w:rPr>
          <w:sz w:val="24"/>
          <w:szCs w:val="24"/>
        </w:rPr>
        <w:t>Following disruptions caused by the pandemic, the Department of Education has launched the Basic Education Development Plan 2030 and the Learning Recovery Continuity Plan to reverse learning loss. Enrollment has rebounded to 28.5 million learners in the 2022–2023 school year, surpassing pre-pandemic levels. We are also strengthening access to special education through policies like Department of Education Order No. 44, which provides clear guidance for implementing programs tailored for learners with disabilities. Monitoring mechanisms are in place to assess the effectiveness of these programs, ensuring inclusive and supportive learning environments.</w:t>
      </w:r>
    </w:p>
    <w:p w14:paraId="18B74800" w14:textId="77777777" w:rsidR="009A3EC8" w:rsidRDefault="009A3EC8">
      <w:pPr>
        <w:spacing w:after="0" w:line="276" w:lineRule="auto"/>
        <w:jc w:val="both"/>
        <w:rPr>
          <w:sz w:val="24"/>
          <w:szCs w:val="24"/>
        </w:rPr>
      </w:pPr>
    </w:p>
    <w:p w14:paraId="4A51EE6F" w14:textId="77777777" w:rsidR="009A3EC8" w:rsidRDefault="00000000">
      <w:pPr>
        <w:spacing w:after="0" w:line="276" w:lineRule="auto"/>
        <w:jc w:val="both"/>
        <w:rPr>
          <w:sz w:val="24"/>
          <w:szCs w:val="24"/>
        </w:rPr>
      </w:pPr>
      <w:r>
        <w:rPr>
          <w:sz w:val="24"/>
          <w:szCs w:val="24"/>
        </w:rPr>
        <w:t>Through legislative measures such as the Safe Spaces Act and the Anti-Online Sexual Abuse and Exploitation of Children Act, the Philippines upholds non-discrimination and addresses critical gaps in protecting vulnerable groups. Our child labor prevention program has profiled over 620,000 child laborers and withdrawn 138,000 from hazardous work since 2018.</w:t>
      </w:r>
    </w:p>
    <w:p w14:paraId="4434E846" w14:textId="77777777" w:rsidR="009A3EC8" w:rsidRDefault="009A3EC8">
      <w:pPr>
        <w:spacing w:after="0" w:line="276" w:lineRule="auto"/>
        <w:jc w:val="both"/>
        <w:rPr>
          <w:b/>
          <w:sz w:val="24"/>
          <w:szCs w:val="24"/>
        </w:rPr>
      </w:pPr>
    </w:p>
    <w:p w14:paraId="3CBF9800" w14:textId="77777777" w:rsidR="009A3EC8" w:rsidRDefault="00000000">
      <w:pPr>
        <w:spacing w:after="0" w:line="276" w:lineRule="auto"/>
        <w:jc w:val="both"/>
        <w:rPr>
          <w:b/>
          <w:sz w:val="24"/>
          <w:szCs w:val="24"/>
        </w:rPr>
      </w:pPr>
      <w:r>
        <w:rPr>
          <w:b/>
          <w:sz w:val="24"/>
          <w:szCs w:val="24"/>
        </w:rPr>
        <w:t>Cultural Rights</w:t>
      </w:r>
    </w:p>
    <w:p w14:paraId="1D371849" w14:textId="77777777" w:rsidR="009A3EC8" w:rsidRDefault="009A3EC8">
      <w:pPr>
        <w:spacing w:after="0" w:line="276" w:lineRule="auto"/>
        <w:jc w:val="both"/>
        <w:rPr>
          <w:b/>
          <w:sz w:val="24"/>
          <w:szCs w:val="24"/>
        </w:rPr>
      </w:pPr>
    </w:p>
    <w:p w14:paraId="65AB6BA7" w14:textId="77777777" w:rsidR="009A3EC8" w:rsidRDefault="00000000">
      <w:pPr>
        <w:spacing w:after="0" w:line="276" w:lineRule="auto"/>
        <w:jc w:val="both"/>
        <w:rPr>
          <w:sz w:val="24"/>
          <w:szCs w:val="24"/>
        </w:rPr>
      </w:pPr>
      <w:r>
        <w:rPr>
          <w:sz w:val="24"/>
          <w:szCs w:val="24"/>
        </w:rPr>
        <w:t>Free, Prior and Informed Consent is a cornerstone of our indigenous peoples’ rights as an integral part of IPRA. Although challenges persist in its effective enforcement, the Philippines continues collaborate with key stakeholders, government agencies, IP communities to ensure that indigenous rights and sustainable development initiatives are effectively upheld.</w:t>
      </w:r>
    </w:p>
    <w:p w14:paraId="7C4DDC47" w14:textId="77777777" w:rsidR="009A3EC8" w:rsidRDefault="009A3EC8">
      <w:pPr>
        <w:spacing w:after="0" w:line="276" w:lineRule="auto"/>
        <w:jc w:val="both"/>
        <w:rPr>
          <w:b/>
          <w:sz w:val="24"/>
          <w:szCs w:val="24"/>
        </w:rPr>
      </w:pPr>
    </w:p>
    <w:p w14:paraId="52087E3D" w14:textId="77777777" w:rsidR="009A3EC8" w:rsidRDefault="00000000">
      <w:pPr>
        <w:spacing w:after="0" w:line="276" w:lineRule="auto"/>
        <w:jc w:val="both"/>
        <w:rPr>
          <w:sz w:val="24"/>
          <w:szCs w:val="24"/>
        </w:rPr>
      </w:pPr>
      <w:r>
        <w:rPr>
          <w:sz w:val="24"/>
          <w:szCs w:val="24"/>
        </w:rPr>
        <w:t>Cultural preservation and digital inclusion are integral to our development agenda. The government continues to promote and safeguard the cultural integrity of IPs by conducting initiatives that highlight traditional knowledge, practices, and crafts. Efforts include community-driven documentation of indigenous cultural practices, promotion of local crafts, and support for Indigenous cultural festivals that celebrate diversity and strengthen cultural pride.</w:t>
      </w:r>
    </w:p>
    <w:p w14:paraId="2ADFBA1C" w14:textId="77777777" w:rsidR="009A3EC8" w:rsidRDefault="009A3EC8">
      <w:pPr>
        <w:spacing w:after="0" w:line="276" w:lineRule="auto"/>
        <w:jc w:val="both"/>
        <w:rPr>
          <w:sz w:val="24"/>
          <w:szCs w:val="24"/>
        </w:rPr>
      </w:pPr>
    </w:p>
    <w:p w14:paraId="63F396BE" w14:textId="77777777" w:rsidR="009A3EC8" w:rsidRDefault="00000000">
      <w:pPr>
        <w:spacing w:after="0" w:line="276" w:lineRule="auto"/>
        <w:jc w:val="both"/>
        <w:rPr>
          <w:sz w:val="24"/>
          <w:szCs w:val="24"/>
        </w:rPr>
      </w:pPr>
      <w:r>
        <w:rPr>
          <w:sz w:val="24"/>
          <w:szCs w:val="24"/>
        </w:rPr>
        <w:lastRenderedPageBreak/>
        <w:t>To bridge the digital divide and facilitate access to knowledge, the Department of Information and Communications Technology has deployed satellite-based internet services to 871 underserved locations, including IP communities. These efforts aim to ensure that Indigenous Peoples not only preserve their traditions but also have opportunities to participate in a rapidly evolving digital world.</w:t>
      </w:r>
    </w:p>
    <w:p w14:paraId="12EAD74F" w14:textId="77777777" w:rsidR="009A3EC8" w:rsidRDefault="009A3EC8">
      <w:pPr>
        <w:spacing w:after="0" w:line="276" w:lineRule="auto"/>
        <w:jc w:val="both"/>
        <w:rPr>
          <w:sz w:val="24"/>
          <w:szCs w:val="24"/>
        </w:rPr>
      </w:pPr>
    </w:p>
    <w:p w14:paraId="5652B4D5" w14:textId="77777777" w:rsidR="009A3EC8" w:rsidRDefault="009A3EC8">
      <w:pPr>
        <w:spacing w:after="0" w:line="276" w:lineRule="auto"/>
        <w:jc w:val="both"/>
        <w:rPr>
          <w:sz w:val="24"/>
          <w:szCs w:val="24"/>
        </w:rPr>
      </w:pPr>
    </w:p>
    <w:p w14:paraId="3DF045FE" w14:textId="77777777" w:rsidR="009A3EC8" w:rsidRDefault="00000000">
      <w:pPr>
        <w:spacing w:after="0" w:line="276" w:lineRule="auto"/>
        <w:jc w:val="both"/>
        <w:rPr>
          <w:b/>
          <w:sz w:val="24"/>
          <w:szCs w:val="24"/>
        </w:rPr>
      </w:pPr>
      <w:r>
        <w:rPr>
          <w:b/>
          <w:sz w:val="24"/>
          <w:szCs w:val="24"/>
        </w:rPr>
        <w:t>Way Forward</w:t>
      </w:r>
    </w:p>
    <w:p w14:paraId="45B9E95B" w14:textId="77777777" w:rsidR="009A3EC8" w:rsidRDefault="009A3EC8">
      <w:pPr>
        <w:spacing w:after="0" w:line="276" w:lineRule="auto"/>
        <w:jc w:val="both"/>
        <w:rPr>
          <w:b/>
          <w:sz w:val="24"/>
          <w:szCs w:val="24"/>
        </w:rPr>
      </w:pPr>
    </w:p>
    <w:p w14:paraId="083A17DC" w14:textId="77777777" w:rsidR="009A3EC8" w:rsidRDefault="00000000">
      <w:pPr>
        <w:spacing w:after="0" w:line="276" w:lineRule="auto"/>
        <w:jc w:val="both"/>
        <w:rPr>
          <w:sz w:val="24"/>
          <w:szCs w:val="24"/>
        </w:rPr>
      </w:pPr>
      <w:r>
        <w:rPr>
          <w:sz w:val="24"/>
          <w:szCs w:val="24"/>
        </w:rPr>
        <w:t xml:space="preserve">Building on these initiatives, the Philippine government, in collaboration with civil society, has launched the Fourth Philippine Human Rights Plan (PHRP4) as a comprehensive roadmap for protecting and promoting human rights. Its Second Thematic Chapter focuses on the country’s commitment to the ICESCR, integrating human rights into national development efforts and prioritizing marginalized communities. Aligned with the Philippine Development Plan (PDP) 2023-2028, Sustainable Development Goals (SDGs), and </w:t>
      </w:r>
      <w:proofErr w:type="spellStart"/>
      <w:r>
        <w:rPr>
          <w:i/>
          <w:sz w:val="24"/>
          <w:szCs w:val="24"/>
        </w:rPr>
        <w:t>AmBisyon</w:t>
      </w:r>
      <w:proofErr w:type="spellEnd"/>
      <w:r>
        <w:rPr>
          <w:i/>
          <w:sz w:val="24"/>
          <w:szCs w:val="24"/>
        </w:rPr>
        <w:t xml:space="preserve"> Natin</w:t>
      </w:r>
      <w:r>
        <w:rPr>
          <w:sz w:val="24"/>
          <w:szCs w:val="24"/>
        </w:rPr>
        <w:t xml:space="preserve"> 2040, PHRP4 builds on past achievements by advancing a Human Rights-Based Approach (HRBA) and strengthening good governance. It also enhances treaty body reporting and rights-based planning while reinforcing the National Mechanism for Reporting and Follow-up (NMRF) through the National Recommendations Tracking Database (NRTD).</w:t>
      </w:r>
    </w:p>
    <w:p w14:paraId="37B2178F" w14:textId="77777777" w:rsidR="009A3EC8" w:rsidRDefault="009A3EC8">
      <w:pPr>
        <w:spacing w:after="0" w:line="276" w:lineRule="auto"/>
        <w:jc w:val="both"/>
        <w:rPr>
          <w:sz w:val="24"/>
          <w:szCs w:val="24"/>
        </w:rPr>
      </w:pPr>
    </w:p>
    <w:p w14:paraId="463E8B1C" w14:textId="77777777" w:rsidR="009A3EC8" w:rsidRDefault="00000000">
      <w:pPr>
        <w:spacing w:after="0" w:line="276" w:lineRule="auto"/>
        <w:jc w:val="both"/>
        <w:rPr>
          <w:sz w:val="24"/>
          <w:szCs w:val="24"/>
        </w:rPr>
      </w:pPr>
      <w:r>
        <w:rPr>
          <w:sz w:val="24"/>
          <w:szCs w:val="24"/>
        </w:rPr>
        <w:t xml:space="preserve">In closing, the Philippines, under the current administration of President </w:t>
      </w:r>
      <w:proofErr w:type="spellStart"/>
      <w:r>
        <w:rPr>
          <w:sz w:val="24"/>
          <w:szCs w:val="24"/>
        </w:rPr>
        <w:t>Fedinand</w:t>
      </w:r>
      <w:proofErr w:type="spellEnd"/>
      <w:r>
        <w:rPr>
          <w:sz w:val="24"/>
          <w:szCs w:val="24"/>
        </w:rPr>
        <w:t xml:space="preserve"> Marcos, Jr., reaffirms its unwavering commitment to the ICESCR and its principles. We view this periodic review, not merely as a compliance exercise, but as an opportunity for introspection and growth. The feedback and recommendations from this Committee will serve as a valuable guide as we strive to build a society where every Filipino can progressively realize their economic, social, and cultural rights; and no one is left behind.</w:t>
      </w:r>
    </w:p>
    <w:p w14:paraId="686B99EB" w14:textId="77777777" w:rsidR="009A3EC8" w:rsidRDefault="009A3EC8">
      <w:pPr>
        <w:spacing w:after="0" w:line="276" w:lineRule="auto"/>
        <w:jc w:val="both"/>
        <w:rPr>
          <w:sz w:val="24"/>
          <w:szCs w:val="24"/>
        </w:rPr>
      </w:pPr>
    </w:p>
    <w:p w14:paraId="02FCCA08" w14:textId="77777777" w:rsidR="009A3EC8" w:rsidRDefault="009A3EC8">
      <w:pPr>
        <w:spacing w:after="0" w:line="276" w:lineRule="auto"/>
        <w:jc w:val="both"/>
        <w:rPr>
          <w:sz w:val="24"/>
          <w:szCs w:val="24"/>
        </w:rPr>
      </w:pPr>
    </w:p>
    <w:sectPr w:rsidR="009A3EC8">
      <w:headerReference w:type="default" r:id="rId8"/>
      <w:footerReference w:type="default" r:id="rId9"/>
      <w:headerReference w:type="first" r:id="rId10"/>
      <w:footerReference w:type="first" r:id="rId11"/>
      <w:pgSz w:w="11907" w:h="16839"/>
      <w:pgMar w:top="2448" w:right="1440" w:bottom="2016" w:left="1440" w:header="2045" w:footer="965"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19DA05" w14:textId="77777777" w:rsidR="00D25B77" w:rsidRDefault="00D25B77">
      <w:pPr>
        <w:spacing w:after="0" w:line="240" w:lineRule="auto"/>
      </w:pPr>
      <w:r>
        <w:separator/>
      </w:r>
    </w:p>
  </w:endnote>
  <w:endnote w:type="continuationSeparator" w:id="0">
    <w:p w14:paraId="5D9434F7" w14:textId="77777777" w:rsidR="00D25B77" w:rsidRDefault="00D25B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7AF54" w14:textId="77777777" w:rsidR="009A3EC8" w:rsidRDefault="00000000">
    <w:pPr>
      <w:pBdr>
        <w:top w:val="nil"/>
        <w:left w:val="nil"/>
        <w:bottom w:val="nil"/>
        <w:right w:val="nil"/>
        <w:between w:val="nil"/>
      </w:pBdr>
      <w:tabs>
        <w:tab w:val="center" w:pos="4680"/>
        <w:tab w:val="right" w:pos="9360"/>
      </w:tabs>
      <w:spacing w:after="0" w:line="240" w:lineRule="auto"/>
      <w:jc w:val="right"/>
      <w:rPr>
        <w:color w:val="000000"/>
        <w:sz w:val="20"/>
        <w:szCs w:val="20"/>
      </w:rPr>
    </w:pPr>
    <w:r>
      <w:rPr>
        <w:noProof/>
      </w:rPr>
      <mc:AlternateContent>
        <mc:Choice Requires="wpg">
          <w:drawing>
            <wp:anchor distT="0" distB="0" distL="114300" distR="114300" simplePos="0" relativeHeight="251660288" behindDoc="0" locked="0" layoutInCell="1" hidden="0" allowOverlap="1" wp14:anchorId="3B3A1354" wp14:editId="3E04601F">
              <wp:simplePos x="0" y="0"/>
              <wp:positionH relativeFrom="column">
                <wp:posOffset>-546099</wp:posOffset>
              </wp:positionH>
              <wp:positionV relativeFrom="paragraph">
                <wp:posOffset>228600</wp:posOffset>
              </wp:positionV>
              <wp:extent cx="6969125" cy="891540"/>
              <wp:effectExtent l="0" t="0" r="0" b="0"/>
              <wp:wrapNone/>
              <wp:docPr id="1574093724" name="Group 1574093724"/>
              <wp:cNvGraphicFramePr/>
              <a:graphic xmlns:a="http://schemas.openxmlformats.org/drawingml/2006/main">
                <a:graphicData uri="http://schemas.microsoft.com/office/word/2010/wordprocessingGroup">
                  <wpg:wgp>
                    <wpg:cNvGrpSpPr/>
                    <wpg:grpSpPr>
                      <a:xfrm>
                        <a:off x="0" y="0"/>
                        <a:ext cx="6969125" cy="891540"/>
                        <a:chOff x="1861425" y="3334225"/>
                        <a:chExt cx="6969150" cy="891550"/>
                      </a:xfrm>
                    </wpg:grpSpPr>
                    <wpg:grpSp>
                      <wpg:cNvPr id="813055862" name="Group 813055862"/>
                      <wpg:cNvGrpSpPr/>
                      <wpg:grpSpPr>
                        <a:xfrm>
                          <a:off x="1861438" y="3334230"/>
                          <a:ext cx="6969125" cy="891540"/>
                          <a:chOff x="0" y="179"/>
                          <a:chExt cx="6969125" cy="891181"/>
                        </a:xfrm>
                      </wpg:grpSpPr>
                      <wps:wsp>
                        <wps:cNvPr id="1868997865" name="Rectangle 1868997865"/>
                        <wps:cNvSpPr/>
                        <wps:spPr>
                          <a:xfrm>
                            <a:off x="0" y="179"/>
                            <a:ext cx="6969125" cy="891175"/>
                          </a:xfrm>
                          <a:prstGeom prst="rect">
                            <a:avLst/>
                          </a:prstGeom>
                          <a:noFill/>
                          <a:ln>
                            <a:noFill/>
                          </a:ln>
                        </wps:spPr>
                        <wps:txbx>
                          <w:txbxContent>
                            <w:p w14:paraId="40D62DE1" w14:textId="77777777" w:rsidR="009A3EC8" w:rsidRDefault="009A3EC8">
                              <w:pPr>
                                <w:spacing w:after="0"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9" name="Shape 9" descr="C:\Users\JCALANO\Downloads\[PNG] bagong pilipinas.png"/>
                          <pic:cNvPicPr preferRelativeResize="0"/>
                        </pic:nvPicPr>
                        <pic:blipFill rotWithShape="1">
                          <a:blip r:embed="rId1">
                            <a:alphaModFix/>
                          </a:blip>
                          <a:srcRect/>
                          <a:stretch/>
                        </pic:blipFill>
                        <pic:spPr>
                          <a:xfrm>
                            <a:off x="6256020" y="53340"/>
                            <a:ext cx="713105" cy="742950"/>
                          </a:xfrm>
                          <a:prstGeom prst="rect">
                            <a:avLst/>
                          </a:prstGeom>
                          <a:noFill/>
                          <a:ln>
                            <a:noFill/>
                          </a:ln>
                        </pic:spPr>
                      </pic:pic>
                      <pic:pic xmlns:pic="http://schemas.openxmlformats.org/drawingml/2006/picture">
                        <pic:nvPicPr>
                          <pic:cNvPr id="10" name="Shape 10"/>
                          <pic:cNvPicPr preferRelativeResize="0"/>
                        </pic:nvPicPr>
                        <pic:blipFill rotWithShape="1">
                          <a:blip r:embed="rId2">
                            <a:alphaModFix/>
                          </a:blip>
                          <a:srcRect/>
                          <a:stretch/>
                        </pic:blipFill>
                        <pic:spPr>
                          <a:xfrm>
                            <a:off x="0" y="179"/>
                            <a:ext cx="4187190" cy="891181"/>
                          </a:xfrm>
                          <a:prstGeom prst="rect">
                            <a:avLst/>
                          </a:prstGeom>
                          <a:noFill/>
                          <a:ln>
                            <a:noFill/>
                          </a:ln>
                        </pic:spPr>
                      </pic:pic>
                    </wpg:grpSp>
                  </wpg:wg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-546099</wp:posOffset>
              </wp:positionH>
              <wp:positionV relativeFrom="paragraph">
                <wp:posOffset>228600</wp:posOffset>
              </wp:positionV>
              <wp:extent cx="6969125" cy="891540"/>
              <wp:effectExtent b="0" l="0" r="0" t="0"/>
              <wp:wrapNone/>
              <wp:docPr id="1574093724" name="image5.png"/>
              <a:graphic>
                <a:graphicData uri="http://schemas.openxmlformats.org/drawingml/2006/picture">
                  <pic:pic>
                    <pic:nvPicPr>
                      <pic:cNvPr id="0" name="image5.png"/>
                      <pic:cNvPicPr preferRelativeResize="0"/>
                    </pic:nvPicPr>
                    <pic:blipFill>
                      <a:blip r:embed="rId3"/>
                      <a:srcRect/>
                      <a:stretch>
                        <a:fillRect/>
                      </a:stretch>
                    </pic:blipFill>
                    <pic:spPr>
                      <a:xfrm>
                        <a:off x="0" y="0"/>
                        <a:ext cx="6969125" cy="891540"/>
                      </a:xfrm>
                      <a:prstGeom prst="rect"/>
                      <a:ln/>
                    </pic:spPr>
                  </pic:pic>
                </a:graphicData>
              </a:graphic>
            </wp:anchor>
          </w:drawing>
        </mc:Fallback>
      </mc:AlternateContent>
    </w:r>
    <w:r>
      <w:rPr>
        <w:noProof/>
      </w:rPr>
      <mc:AlternateContent>
        <mc:Choice Requires="wpg">
          <w:drawing>
            <wp:anchor distT="0" distB="0" distL="114300" distR="114300" simplePos="0" relativeHeight="251661312" behindDoc="0" locked="0" layoutInCell="1" hidden="0" allowOverlap="1" wp14:anchorId="48E86099" wp14:editId="15CEB789">
              <wp:simplePos x="0" y="0"/>
              <wp:positionH relativeFrom="column">
                <wp:posOffset>4902200</wp:posOffset>
              </wp:positionH>
              <wp:positionV relativeFrom="paragraph">
                <wp:posOffset>-177799</wp:posOffset>
              </wp:positionV>
              <wp:extent cx="1516934" cy="638175"/>
              <wp:effectExtent l="0" t="0" r="0" b="0"/>
              <wp:wrapNone/>
              <wp:docPr id="1574093721" name="Rectangle 1574093721"/>
              <wp:cNvGraphicFramePr/>
              <a:graphic xmlns:a="http://schemas.openxmlformats.org/drawingml/2006/main">
                <a:graphicData uri="http://schemas.microsoft.com/office/word/2010/wordprocessingShape">
                  <wps:wsp>
                    <wps:cNvSpPr/>
                    <wps:spPr>
                      <a:xfrm>
                        <a:off x="4592296" y="3465675"/>
                        <a:ext cx="1507409" cy="628650"/>
                      </a:xfrm>
                      <a:prstGeom prst="rect">
                        <a:avLst/>
                      </a:prstGeom>
                      <a:noFill/>
                      <a:ln>
                        <a:noFill/>
                      </a:ln>
                    </wps:spPr>
                    <wps:txbx>
                      <w:txbxContent>
                        <w:p w14:paraId="7F96FA31" w14:textId="77777777" w:rsidR="009A3EC8" w:rsidRDefault="009A3EC8">
                          <w:pPr>
                            <w:spacing w:after="0" w:line="240" w:lineRule="auto"/>
                            <w:ind w:right="30"/>
                            <w:jc w:val="center"/>
                            <w:textDirection w:val="btLr"/>
                          </w:pPr>
                        </w:p>
                        <w:p w14:paraId="5E09291A" w14:textId="77777777" w:rsidR="009A3EC8" w:rsidRDefault="00000000">
                          <w:pPr>
                            <w:spacing w:after="0" w:line="240" w:lineRule="auto"/>
                            <w:ind w:right="30"/>
                            <w:jc w:val="right"/>
                            <w:textDirection w:val="btLr"/>
                          </w:pPr>
                          <w:proofErr w:type="gramStart"/>
                          <w:r>
                            <w:rPr>
                              <w:color w:val="262626"/>
                              <w:sz w:val="20"/>
                            </w:rPr>
                            <w:t xml:space="preserve">Page </w:t>
                          </w:r>
                          <w:r>
                            <w:rPr>
                              <w:b/>
                              <w:color w:val="262626"/>
                              <w:sz w:val="20"/>
                            </w:rPr>
                            <w:t xml:space="preserve"> </w:t>
                          </w:r>
                          <w:proofErr w:type="spellStart"/>
                          <w:r>
                            <w:rPr>
                              <w:b/>
                              <w:color w:val="262626"/>
                              <w:sz w:val="20"/>
                            </w:rPr>
                            <w:t>PAGE</w:t>
                          </w:r>
                          <w:proofErr w:type="spellEnd"/>
                          <w:proofErr w:type="gramEnd"/>
                          <w:r>
                            <w:rPr>
                              <w:b/>
                              <w:color w:val="262626"/>
                              <w:sz w:val="20"/>
                            </w:rPr>
                            <w:t xml:space="preserve"> 3</w:t>
                          </w:r>
                          <w:r>
                            <w:rPr>
                              <w:color w:val="262626"/>
                              <w:sz w:val="20"/>
                            </w:rPr>
                            <w:t xml:space="preserve"> of </w:t>
                          </w:r>
                          <w:r>
                            <w:rPr>
                              <w:b/>
                              <w:color w:val="262626"/>
                              <w:sz w:val="20"/>
                            </w:rPr>
                            <w:t xml:space="preserve"> NUMPAGES  </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4902200</wp:posOffset>
              </wp:positionH>
              <wp:positionV relativeFrom="paragraph">
                <wp:posOffset>-177799</wp:posOffset>
              </wp:positionV>
              <wp:extent cx="1516934" cy="638175"/>
              <wp:effectExtent b="0" l="0" r="0" t="0"/>
              <wp:wrapNone/>
              <wp:docPr id="1574093721" name="image2.png"/>
              <a:graphic>
                <a:graphicData uri="http://schemas.openxmlformats.org/drawingml/2006/picture">
                  <pic:pic>
                    <pic:nvPicPr>
                      <pic:cNvPr id="0" name="image2.png"/>
                      <pic:cNvPicPr preferRelativeResize="0"/>
                    </pic:nvPicPr>
                    <pic:blipFill>
                      <a:blip r:embed="rId3"/>
                      <a:srcRect/>
                      <a:stretch>
                        <a:fillRect/>
                      </a:stretch>
                    </pic:blipFill>
                    <pic:spPr>
                      <a:xfrm>
                        <a:off x="0" y="0"/>
                        <a:ext cx="1516934" cy="638175"/>
                      </a:xfrm>
                      <a:prstGeom prst="rect"/>
                      <a:ln/>
                    </pic:spPr>
                  </pic:pic>
                </a:graphicData>
              </a:graphic>
            </wp:anchor>
          </w:drawing>
        </mc:Fallback>
      </mc:AlternateContent>
    </w:r>
  </w:p>
  <w:p w14:paraId="73AE0F57" w14:textId="77777777" w:rsidR="009A3EC8" w:rsidRDefault="009A3EC8">
    <w:pPr>
      <w:pBdr>
        <w:top w:val="nil"/>
        <w:left w:val="nil"/>
        <w:bottom w:val="nil"/>
        <w:right w:val="nil"/>
        <w:between w:val="nil"/>
      </w:pBdr>
      <w:tabs>
        <w:tab w:val="center" w:pos="4680"/>
        <w:tab w:val="right" w:pos="9360"/>
      </w:tabs>
      <w:spacing w:after="0" w:line="240" w:lineRule="auto"/>
      <w:jc w:val="right"/>
      <w:rPr>
        <w:b/>
        <w:color w:val="000000"/>
        <w:sz w:val="20"/>
        <w:szCs w:val="20"/>
      </w:rPr>
    </w:pPr>
  </w:p>
  <w:p w14:paraId="778F7709" w14:textId="77777777" w:rsidR="009A3EC8" w:rsidRDefault="009A3EC8">
    <w:pPr>
      <w:pBdr>
        <w:top w:val="nil"/>
        <w:left w:val="nil"/>
        <w:bottom w:val="nil"/>
        <w:right w:val="nil"/>
        <w:between w:val="nil"/>
      </w:pBdr>
      <w:tabs>
        <w:tab w:val="center" w:pos="4680"/>
        <w:tab w:val="right" w:pos="9360"/>
      </w:tabs>
      <w:spacing w:after="0" w:line="240" w:lineRule="auto"/>
      <w:jc w:val="right"/>
      <w:rPr>
        <w:b/>
        <w:color w:val="000000"/>
        <w:sz w:val="20"/>
        <w:szCs w:val="20"/>
      </w:rPr>
    </w:pPr>
  </w:p>
  <w:p w14:paraId="55D68CFA" w14:textId="77777777" w:rsidR="009A3EC8" w:rsidRDefault="009A3EC8">
    <w:pPr>
      <w:pBdr>
        <w:top w:val="nil"/>
        <w:left w:val="nil"/>
        <w:bottom w:val="nil"/>
        <w:right w:val="nil"/>
        <w:between w:val="nil"/>
      </w:pBdr>
      <w:tabs>
        <w:tab w:val="center" w:pos="4680"/>
        <w:tab w:val="right" w:pos="9360"/>
      </w:tabs>
      <w:spacing w:after="0" w:line="240" w:lineRule="auto"/>
      <w:jc w:val="right"/>
      <w:rPr>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863CA" w14:textId="77777777" w:rsidR="009A3EC8"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t xml:space="preserve"> </w:t>
    </w:r>
    <w:r>
      <w:rPr>
        <w:noProof/>
      </w:rPr>
      <mc:AlternateContent>
        <mc:Choice Requires="wpg">
          <w:drawing>
            <wp:anchor distT="0" distB="0" distL="114300" distR="114300" simplePos="0" relativeHeight="251662336" behindDoc="0" locked="0" layoutInCell="1" hidden="0" allowOverlap="1" wp14:anchorId="091E3C4F" wp14:editId="67FC5234">
              <wp:simplePos x="0" y="0"/>
              <wp:positionH relativeFrom="column">
                <wp:posOffset>-634999</wp:posOffset>
              </wp:positionH>
              <wp:positionV relativeFrom="paragraph">
                <wp:posOffset>50800</wp:posOffset>
              </wp:positionV>
              <wp:extent cx="6969125" cy="891540"/>
              <wp:effectExtent l="0" t="0" r="0" b="0"/>
              <wp:wrapNone/>
              <wp:docPr id="1574093722" name="Group 1574093722"/>
              <wp:cNvGraphicFramePr/>
              <a:graphic xmlns:a="http://schemas.openxmlformats.org/drawingml/2006/main">
                <a:graphicData uri="http://schemas.microsoft.com/office/word/2010/wordprocessingGroup">
                  <wpg:wgp>
                    <wpg:cNvGrpSpPr/>
                    <wpg:grpSpPr>
                      <a:xfrm>
                        <a:off x="0" y="0"/>
                        <a:ext cx="6969125" cy="891540"/>
                        <a:chOff x="1861425" y="3334225"/>
                        <a:chExt cx="6969150" cy="891550"/>
                      </a:xfrm>
                    </wpg:grpSpPr>
                    <wpg:grpSp>
                      <wpg:cNvPr id="894682859" name="Group 894682859"/>
                      <wpg:cNvGrpSpPr/>
                      <wpg:grpSpPr>
                        <a:xfrm>
                          <a:off x="1861438" y="3334230"/>
                          <a:ext cx="6969125" cy="891540"/>
                          <a:chOff x="0" y="179"/>
                          <a:chExt cx="6969125" cy="891181"/>
                        </a:xfrm>
                      </wpg:grpSpPr>
                      <wps:wsp>
                        <wps:cNvPr id="318918759" name="Rectangle 318918759"/>
                        <wps:cNvSpPr/>
                        <wps:spPr>
                          <a:xfrm>
                            <a:off x="0" y="179"/>
                            <a:ext cx="6969125" cy="891175"/>
                          </a:xfrm>
                          <a:prstGeom prst="rect">
                            <a:avLst/>
                          </a:prstGeom>
                          <a:noFill/>
                          <a:ln>
                            <a:noFill/>
                          </a:ln>
                        </wps:spPr>
                        <wps:txbx>
                          <w:txbxContent>
                            <w:p w14:paraId="1F7E2DD8" w14:textId="77777777" w:rsidR="009A3EC8" w:rsidRDefault="009A3EC8">
                              <w:pPr>
                                <w:spacing w:after="0"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5" name="Shape 5" descr="C:\Users\JCALANO\Downloads\[PNG] bagong pilipinas.png"/>
                          <pic:cNvPicPr preferRelativeResize="0"/>
                        </pic:nvPicPr>
                        <pic:blipFill rotWithShape="1">
                          <a:blip r:embed="rId1">
                            <a:alphaModFix/>
                          </a:blip>
                          <a:srcRect/>
                          <a:stretch/>
                        </pic:blipFill>
                        <pic:spPr>
                          <a:xfrm>
                            <a:off x="6256020" y="53340"/>
                            <a:ext cx="713105" cy="742950"/>
                          </a:xfrm>
                          <a:prstGeom prst="rect">
                            <a:avLst/>
                          </a:prstGeom>
                          <a:noFill/>
                          <a:ln>
                            <a:noFill/>
                          </a:ln>
                        </pic:spPr>
                      </pic:pic>
                      <pic:pic xmlns:pic="http://schemas.openxmlformats.org/drawingml/2006/picture">
                        <pic:nvPicPr>
                          <pic:cNvPr id="6" name="Shape 6"/>
                          <pic:cNvPicPr preferRelativeResize="0"/>
                        </pic:nvPicPr>
                        <pic:blipFill rotWithShape="1">
                          <a:blip r:embed="rId2">
                            <a:alphaModFix/>
                          </a:blip>
                          <a:srcRect/>
                          <a:stretch/>
                        </pic:blipFill>
                        <pic:spPr>
                          <a:xfrm>
                            <a:off x="0" y="179"/>
                            <a:ext cx="4187190" cy="891181"/>
                          </a:xfrm>
                          <a:prstGeom prst="rect">
                            <a:avLst/>
                          </a:prstGeom>
                          <a:noFill/>
                          <a:ln>
                            <a:noFill/>
                          </a:ln>
                        </pic:spPr>
                      </pic:pic>
                    </wpg:grpSp>
                  </wpg:wg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-634999</wp:posOffset>
              </wp:positionH>
              <wp:positionV relativeFrom="paragraph">
                <wp:posOffset>50800</wp:posOffset>
              </wp:positionV>
              <wp:extent cx="6969125" cy="891540"/>
              <wp:effectExtent b="0" l="0" r="0" t="0"/>
              <wp:wrapNone/>
              <wp:docPr id="1574093722" name="image3.png"/>
              <a:graphic>
                <a:graphicData uri="http://schemas.openxmlformats.org/drawingml/2006/picture">
                  <pic:pic>
                    <pic:nvPicPr>
                      <pic:cNvPr id="0" name="image3.png"/>
                      <pic:cNvPicPr preferRelativeResize="0"/>
                    </pic:nvPicPr>
                    <pic:blipFill>
                      <a:blip r:embed="rId3"/>
                      <a:srcRect/>
                      <a:stretch>
                        <a:fillRect/>
                      </a:stretch>
                    </pic:blipFill>
                    <pic:spPr>
                      <a:xfrm>
                        <a:off x="0" y="0"/>
                        <a:ext cx="6969125" cy="891540"/>
                      </a:xfrm>
                      <a:prstGeom prst="rect"/>
                      <a:ln/>
                    </pic:spPr>
                  </pic:pic>
                </a:graphicData>
              </a:graphic>
            </wp:anchor>
          </w:drawing>
        </mc:Fallback>
      </mc:AlternateContent>
    </w:r>
  </w:p>
  <w:p w14:paraId="4BF8F9C0" w14:textId="77777777" w:rsidR="009A3EC8" w:rsidRDefault="009A3EC8">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D7D9FC" w14:textId="77777777" w:rsidR="00D25B77" w:rsidRDefault="00D25B77">
      <w:pPr>
        <w:spacing w:after="0" w:line="240" w:lineRule="auto"/>
      </w:pPr>
      <w:r>
        <w:separator/>
      </w:r>
    </w:p>
  </w:footnote>
  <w:footnote w:type="continuationSeparator" w:id="0">
    <w:p w14:paraId="7367498F" w14:textId="77777777" w:rsidR="00D25B77" w:rsidRDefault="00D25B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C54950" w14:textId="77777777" w:rsidR="009A3EC8" w:rsidRDefault="00000000">
    <w:pPr>
      <w:pBdr>
        <w:top w:val="nil"/>
        <w:left w:val="nil"/>
        <w:bottom w:val="nil"/>
        <w:right w:val="nil"/>
        <w:between w:val="nil"/>
      </w:pBdr>
      <w:tabs>
        <w:tab w:val="center" w:pos="4680"/>
        <w:tab w:val="right" w:pos="9360"/>
      </w:tabs>
      <w:spacing w:after="0" w:line="240" w:lineRule="auto"/>
      <w:rPr>
        <w:color w:val="000000"/>
      </w:rPr>
    </w:pPr>
    <w:r>
      <w:rPr>
        <w:noProof/>
      </w:rPr>
      <mc:AlternateContent>
        <mc:Choice Requires="wpg">
          <w:drawing>
            <wp:anchor distT="0" distB="0" distL="114300" distR="114300" simplePos="0" relativeHeight="251658240" behindDoc="0" locked="0" layoutInCell="1" hidden="0" allowOverlap="1" wp14:anchorId="031B25AB" wp14:editId="4380B204">
              <wp:simplePos x="0" y="0"/>
              <wp:positionH relativeFrom="column">
                <wp:posOffset>-215899</wp:posOffset>
              </wp:positionH>
              <wp:positionV relativeFrom="paragraph">
                <wp:posOffset>-698499</wp:posOffset>
              </wp:positionV>
              <wp:extent cx="6734175" cy="638175"/>
              <wp:effectExtent l="0" t="0" r="0" b="0"/>
              <wp:wrapNone/>
              <wp:docPr id="1574093723" name="Rectangle 1574093723"/>
              <wp:cNvGraphicFramePr/>
              <a:graphic xmlns:a="http://schemas.openxmlformats.org/drawingml/2006/main">
                <a:graphicData uri="http://schemas.microsoft.com/office/word/2010/wordprocessingShape">
                  <wps:wsp>
                    <wps:cNvSpPr/>
                    <wps:spPr>
                      <a:xfrm>
                        <a:off x="1983675" y="3465675"/>
                        <a:ext cx="6724650" cy="628650"/>
                      </a:xfrm>
                      <a:prstGeom prst="rect">
                        <a:avLst/>
                      </a:prstGeom>
                      <a:noFill/>
                      <a:ln>
                        <a:noFill/>
                      </a:ln>
                    </wps:spPr>
                    <wps:txbx>
                      <w:txbxContent>
                        <w:p w14:paraId="55EA74DF" w14:textId="77777777" w:rsidR="009A3EC8" w:rsidRDefault="00000000">
                          <w:pPr>
                            <w:spacing w:after="0" w:line="240" w:lineRule="auto"/>
                            <w:ind w:right="30"/>
                            <w:jc w:val="right"/>
                            <w:textDirection w:val="btLr"/>
                          </w:pPr>
                          <w:r>
                            <w:rPr>
                              <w:b/>
                              <w:color w:val="000000"/>
                              <w:sz w:val="16"/>
                            </w:rPr>
                            <w:t>ICESCR Constructive Dialogue: Opening Statement</w:t>
                          </w:r>
                        </w:p>
                        <w:p w14:paraId="1E928301" w14:textId="77777777" w:rsidR="009A3EC8" w:rsidRDefault="009A3EC8">
                          <w:pPr>
                            <w:spacing w:after="0" w:line="240" w:lineRule="auto"/>
                            <w:ind w:right="30"/>
                            <w:jc w:val="center"/>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-215899</wp:posOffset>
              </wp:positionH>
              <wp:positionV relativeFrom="paragraph">
                <wp:posOffset>-698499</wp:posOffset>
              </wp:positionV>
              <wp:extent cx="6734175" cy="638175"/>
              <wp:effectExtent b="0" l="0" r="0" t="0"/>
              <wp:wrapNone/>
              <wp:docPr id="1574093723"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6734175" cy="638175"/>
                      </a:xfrm>
                      <a:prstGeom prst="rect"/>
                      <a:ln/>
                    </pic:spPr>
                  </pic:pic>
                </a:graphicData>
              </a:graphic>
            </wp:anchor>
          </w:drawing>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4F7AF" w14:textId="77777777" w:rsidR="009A3EC8" w:rsidRDefault="00000000">
    <w:pPr>
      <w:pBdr>
        <w:top w:val="nil"/>
        <w:left w:val="nil"/>
        <w:bottom w:val="nil"/>
        <w:right w:val="nil"/>
        <w:between w:val="nil"/>
      </w:pBdr>
      <w:tabs>
        <w:tab w:val="center" w:pos="4680"/>
        <w:tab w:val="right" w:pos="9360"/>
      </w:tabs>
      <w:spacing w:after="0" w:line="240" w:lineRule="auto"/>
      <w:rPr>
        <w:color w:val="000000"/>
      </w:rPr>
    </w:pPr>
    <w:r>
      <w:rPr>
        <w:noProof/>
      </w:rPr>
      <w:drawing>
        <wp:anchor distT="0" distB="0" distL="0" distR="0" simplePos="0" relativeHeight="251659264" behindDoc="1" locked="0" layoutInCell="1" hidden="0" allowOverlap="1" wp14:anchorId="3663B01A" wp14:editId="2967AB2A">
          <wp:simplePos x="0" y="0"/>
          <wp:positionH relativeFrom="column">
            <wp:posOffset>-442837</wp:posOffset>
          </wp:positionH>
          <wp:positionV relativeFrom="paragraph">
            <wp:posOffset>-1273174</wp:posOffset>
          </wp:positionV>
          <wp:extent cx="6692109" cy="1510511"/>
          <wp:effectExtent l="0" t="0" r="0" b="0"/>
          <wp:wrapNone/>
          <wp:docPr id="157409372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692109" cy="1510511"/>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3EC8"/>
    <w:rsid w:val="000D5BA2"/>
    <w:rsid w:val="005D4DB7"/>
    <w:rsid w:val="009A3EC8"/>
    <w:rsid w:val="00D25B77"/>
  </w:rsids>
  <m:mathPr>
    <m:mathFont m:val="Cambria Math"/>
    <m:brkBin m:val="before"/>
    <m:brkBinSub m:val="--"/>
    <m:smallFrac m:val="0"/>
    <m:dispDef/>
    <m:lMargin m:val="0"/>
    <m:rMargin m:val="0"/>
    <m:defJc m:val="centerGroup"/>
    <m:wrapIndent m:val="1440"/>
    <m:intLim m:val="subSup"/>
    <m:naryLim m:val="undOvr"/>
  </m:mathPr>
  <w:themeFontLang w:val="en-CH"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B3365"/>
  <w15:docId w15:val="{57028978-E2AE-4454-B2A3-C7B9A0355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PH" w:eastAsia="en-CH"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3AE4"/>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otnoteReference">
    <w:name w:val="footnote reference"/>
    <w:aliases w:val="ftref,footnote ref,Footnotes refss,16 Point,Superscript 6 Point,Footnote Reference1,Appel note de bas de p,fr,Appel note de bas de p + 11 pt,Italic,(NECG) Footnote Reference,(NECG) Footnote Reference1,(NECG) Footnote Reference2,o,Nota"/>
    <w:basedOn w:val="DefaultParagraphFont"/>
    <w:uiPriority w:val="99"/>
    <w:unhideWhenUsed/>
    <w:qFormat/>
    <w:rPr>
      <w:vertAlign w:val="superscript"/>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paragraph" w:styleId="ListParagraph">
    <w:name w:val="List Paragraph"/>
    <w:basedOn w:val="Normal"/>
    <w:uiPriority w:val="34"/>
    <w:qFormat/>
    <w:rsid w:val="00F2272A"/>
    <w:pPr>
      <w:ind w:left="720"/>
      <w:contextualSpacing/>
    </w:pPr>
  </w:style>
  <w:style w:type="paragraph" w:styleId="BalloonText">
    <w:name w:val="Balloon Text"/>
    <w:basedOn w:val="Normal"/>
    <w:link w:val="BalloonTextChar"/>
    <w:uiPriority w:val="99"/>
    <w:semiHidden/>
    <w:unhideWhenUsed/>
    <w:rsid w:val="006C5CC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5CCA"/>
    <w:rPr>
      <w:rFonts w:ascii="Segoe UI" w:hAnsi="Segoe UI" w:cs="Segoe UI"/>
      <w:sz w:val="18"/>
      <w:szCs w:val="18"/>
    </w:rPr>
  </w:style>
  <w:style w:type="paragraph" w:styleId="Header">
    <w:name w:val="header"/>
    <w:basedOn w:val="Normal"/>
    <w:link w:val="HeaderChar"/>
    <w:uiPriority w:val="99"/>
    <w:unhideWhenUsed/>
    <w:rsid w:val="004D17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179E"/>
  </w:style>
  <w:style w:type="paragraph" w:styleId="Footer">
    <w:name w:val="footer"/>
    <w:basedOn w:val="Normal"/>
    <w:link w:val="FooterChar"/>
    <w:uiPriority w:val="99"/>
    <w:unhideWhenUsed/>
    <w:rsid w:val="004D17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179E"/>
  </w:style>
  <w:style w:type="character" w:styleId="Hyperlink">
    <w:name w:val="Hyperlink"/>
    <w:basedOn w:val="DefaultParagraphFont"/>
    <w:uiPriority w:val="99"/>
    <w:unhideWhenUsed/>
    <w:rsid w:val="009D53A2"/>
    <w:rPr>
      <w:color w:val="0563C1" w:themeColor="hyperlink"/>
      <w:u w:val="single"/>
    </w:rPr>
  </w:style>
  <w:style w:type="character" w:customStyle="1" w:styleId="UnresolvedMention1">
    <w:name w:val="Unresolved Mention1"/>
    <w:basedOn w:val="DefaultParagraphFont"/>
    <w:uiPriority w:val="99"/>
    <w:semiHidden/>
    <w:unhideWhenUsed/>
    <w:rsid w:val="009D53A2"/>
    <w:rPr>
      <w:color w:val="605E5C"/>
      <w:shd w:val="clear" w:color="auto" w:fill="E1DFDD"/>
    </w:rPr>
  </w:style>
  <w:style w:type="paragraph" w:customStyle="1" w:styleId="paragraph">
    <w:name w:val="paragraph"/>
    <w:basedOn w:val="Normal"/>
    <w:rsid w:val="00C1167F"/>
    <w:pPr>
      <w:spacing w:before="100" w:beforeAutospacing="1" w:after="100" w:afterAutospacing="1" w:line="240" w:lineRule="auto"/>
    </w:pPr>
    <w:rPr>
      <w:rFonts w:ascii="Times New Roman" w:eastAsia="Times New Roman" w:hAnsi="Times New Roman" w:cs="Times New Roman"/>
      <w:sz w:val="24"/>
      <w:szCs w:val="24"/>
      <w:lang w:eastAsia="en-PH"/>
    </w:rPr>
  </w:style>
  <w:style w:type="character" w:customStyle="1" w:styleId="normaltextrun">
    <w:name w:val="normaltextrun"/>
    <w:basedOn w:val="DefaultParagraphFont"/>
    <w:rsid w:val="00C1167F"/>
  </w:style>
  <w:style w:type="character" w:customStyle="1" w:styleId="eop">
    <w:name w:val="eop"/>
    <w:basedOn w:val="DefaultParagraphFont"/>
    <w:rsid w:val="00C1167F"/>
  </w:style>
  <w:style w:type="character" w:customStyle="1" w:styleId="superscript">
    <w:name w:val="superscript"/>
    <w:basedOn w:val="DefaultParagraphFont"/>
    <w:rsid w:val="00473371"/>
  </w:style>
  <w:style w:type="character" w:styleId="CommentReference">
    <w:name w:val="annotation reference"/>
    <w:basedOn w:val="DefaultParagraphFont"/>
    <w:uiPriority w:val="99"/>
    <w:semiHidden/>
    <w:unhideWhenUsed/>
    <w:rsid w:val="00AA6675"/>
    <w:rPr>
      <w:sz w:val="16"/>
      <w:szCs w:val="16"/>
    </w:rPr>
  </w:style>
  <w:style w:type="paragraph" w:styleId="CommentText">
    <w:name w:val="annotation text"/>
    <w:basedOn w:val="Normal"/>
    <w:link w:val="CommentTextChar"/>
    <w:uiPriority w:val="99"/>
    <w:unhideWhenUsed/>
    <w:rsid w:val="00AA6675"/>
    <w:pPr>
      <w:spacing w:line="240" w:lineRule="auto"/>
    </w:pPr>
    <w:rPr>
      <w:sz w:val="20"/>
      <w:szCs w:val="20"/>
    </w:rPr>
  </w:style>
  <w:style w:type="character" w:customStyle="1" w:styleId="CommentTextChar">
    <w:name w:val="Comment Text Char"/>
    <w:basedOn w:val="DefaultParagraphFont"/>
    <w:link w:val="CommentText"/>
    <w:uiPriority w:val="99"/>
    <w:rsid w:val="00AA6675"/>
    <w:rPr>
      <w:sz w:val="20"/>
      <w:szCs w:val="20"/>
    </w:rPr>
  </w:style>
  <w:style w:type="paragraph" w:styleId="CommentSubject">
    <w:name w:val="annotation subject"/>
    <w:basedOn w:val="CommentText"/>
    <w:next w:val="CommentText"/>
    <w:link w:val="CommentSubjectChar"/>
    <w:uiPriority w:val="99"/>
    <w:semiHidden/>
    <w:unhideWhenUsed/>
    <w:rsid w:val="00AA6675"/>
    <w:rPr>
      <w:b/>
      <w:bCs/>
    </w:rPr>
  </w:style>
  <w:style w:type="character" w:customStyle="1" w:styleId="CommentSubjectChar">
    <w:name w:val="Comment Subject Char"/>
    <w:basedOn w:val="CommentTextChar"/>
    <w:link w:val="CommentSubject"/>
    <w:uiPriority w:val="99"/>
    <w:semiHidden/>
    <w:rsid w:val="00AA6675"/>
    <w:rPr>
      <w:b/>
      <w:bCs/>
      <w:sz w:val="20"/>
      <w:szCs w:val="20"/>
    </w:rPr>
  </w:style>
  <w:style w:type="character" w:customStyle="1" w:styleId="scxw60309651">
    <w:name w:val="scxw60309651"/>
    <w:basedOn w:val="DefaultParagraphFont"/>
    <w:rsid w:val="001235C3"/>
  </w:style>
  <w:style w:type="paragraph" w:styleId="NoSpacing">
    <w:name w:val="No Spacing"/>
    <w:uiPriority w:val="1"/>
    <w:qFormat/>
    <w:rsid w:val="003725BB"/>
    <w:pPr>
      <w:spacing w:after="0" w:line="240" w:lineRule="auto"/>
    </w:pPr>
  </w:style>
  <w:style w:type="paragraph" w:styleId="NormalWeb">
    <w:name w:val="Normal (Web)"/>
    <w:basedOn w:val="Normal"/>
    <w:uiPriority w:val="99"/>
    <w:semiHidden/>
    <w:unhideWhenUsed/>
    <w:rsid w:val="00D40620"/>
    <w:rPr>
      <w:rFonts w:ascii="Times New Roman" w:hAnsi="Times New Roman" w:cs="Times New Roman"/>
      <w:sz w:val="24"/>
      <w:szCs w:val="24"/>
    </w:rPr>
  </w:style>
  <w:style w:type="paragraph" w:styleId="Revision">
    <w:name w:val="Revision"/>
    <w:hidden/>
    <w:uiPriority w:val="99"/>
    <w:semiHidden/>
    <w:rsid w:val="00E33BDC"/>
    <w:pPr>
      <w:spacing w:after="0" w:line="240" w:lineRule="auto"/>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ohchr.org/sites/default/files/Documents/HRBodies/CESCR/CVMembers/CV_CAUNHYE.doc"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2.pn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2.png"/><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54i4s1PZCv2D7CxhkSJl8vpIg==">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</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39" ma:contentTypeDescription="Create a new document." ma:contentTypeScope="" ma:versionID="d07e31bd03e02eb78e19894c50a32a65">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5165a84018ee3c31fb222f921fb7a9c5"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2025-02-18T11:25:58+00:00</Document_x0020_Date>
    <Donor xmlns="11a6fe0c-d8de-4390-afb3-d9c7c54181f0" xsi:nil="true"/>
    <Report_x0020_Type xmlns="11a6fe0c-d8de-4390-afb3-d9c7c54181f0" xsi:nil="true"/>
    <lcf76f155ced4ddcb4097134ff3c332f xmlns="8eb6b7aa-b3e9-4746-bd27-3634f5bdf43e">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4026893-0A50-4A63-A5B6-EF21A640798F}"/>
</file>

<file path=customXml/itemProps3.xml><?xml version="1.0" encoding="utf-8"?>
<ds:datastoreItem xmlns:ds="http://schemas.openxmlformats.org/officeDocument/2006/customXml" ds:itemID="{74E361D3-23CB-4322-9604-FD6CC85102E6}"/>
</file>

<file path=customXml/itemProps4.xml><?xml version="1.0" encoding="utf-8"?>
<ds:datastoreItem xmlns:ds="http://schemas.openxmlformats.org/officeDocument/2006/customXml" ds:itemID="{A0EB294C-4896-4153-B7ED-775FDEEFFC7B}"/>
</file>

<file path=docProps/app.xml><?xml version="1.0" encoding="utf-8"?>
<Properties xmlns="http://schemas.openxmlformats.org/officeDocument/2006/extended-properties" xmlns:vt="http://schemas.openxmlformats.org/officeDocument/2006/docPropsVTypes">
  <Template>Normal</Template>
  <TotalTime>0</TotalTime>
  <Pages>6</Pages>
  <Words>2082</Words>
  <Characters>11871</Characters>
  <Application>Microsoft Office Word</Application>
  <DocSecurity>0</DocSecurity>
  <Lines>98</Lines>
  <Paragraphs>27</Paragraphs>
  <ScaleCrop>false</ScaleCrop>
  <Company/>
  <LinksUpToDate>false</LinksUpToDate>
  <CharactersWithSpaces>13926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Mara</dc:creator>
  <cp:lastModifiedBy>Chona</cp:lastModifiedBy>
  <cp:revision>2</cp:revision>
  <cp:lastPrinted>2025-02-18T10:46:00Z</cp:lastPrinted>
  <dcterms:created xsi:type="dcterms:W3CDTF">2025-02-18T10:48:00Z</dcterms:created>
  <dcterms:modified xsi:type="dcterms:W3CDTF">2025-02-18T10:48:00Z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0x0101008BAEE822EC96B34D9E54BA1D59F1A75A</vt:lpwstr>
  </property>
  <property fmtid="{D5CDD505-2E9C-101B-9397-08002B2CF9AE}" pid="3" name="TaxKeyword">
    <vt:lpwstr/>
  </property>
  <property fmtid="{D5CDD505-2E9C-101B-9397-08002B2CF9AE}" pid="4" name="MediaServiceImageTags">
    <vt:lpwstr/>
  </property>
</Properties>
</file>