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867147" w14:textId="77777777" w:rsidR="009D0088" w:rsidRDefault="006A749F" w:rsidP="009D0088">
      <w:pPr>
        <w:spacing w:before="0" w:after="0"/>
        <w:rPr>
          <w:rFonts w:eastAsia="Open Sans" w:cs="Open Sans"/>
          <w:b/>
          <w:bCs/>
          <w:sz w:val="36"/>
          <w:szCs w:val="36"/>
        </w:rPr>
      </w:pPr>
      <w:bookmarkStart w:id="0" w:name="_GoBack"/>
      <w:bookmarkEnd w:id="0"/>
      <w:r w:rsidRPr="00B446F3">
        <w:rPr>
          <w:noProof/>
          <w:lang w:val="en-GB" w:eastAsia="en-GB"/>
        </w:rPr>
        <w:drawing>
          <wp:anchor distT="0" distB="0" distL="114300" distR="114300" simplePos="0" relativeHeight="251658240" behindDoc="0" locked="0" layoutInCell="1" allowOverlap="1" wp14:anchorId="357BBACE" wp14:editId="12A92294">
            <wp:simplePos x="0" y="0"/>
            <wp:positionH relativeFrom="column">
              <wp:posOffset>93455</wp:posOffset>
            </wp:positionH>
            <wp:positionV relativeFrom="paragraph">
              <wp:posOffset>138</wp:posOffset>
            </wp:positionV>
            <wp:extent cx="1689100" cy="546100"/>
            <wp:effectExtent l="0" t="0" r="0" b="6350"/>
            <wp:wrapSquare wrapText="bothSides"/>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689100" cy="546100"/>
                    </a:xfrm>
                    <a:prstGeom prst="rect">
                      <a:avLst/>
                    </a:prstGeom>
                  </pic:spPr>
                </pic:pic>
              </a:graphicData>
            </a:graphic>
          </wp:anchor>
        </w:drawing>
      </w:r>
      <w:r w:rsidR="2D01641E" w:rsidRPr="09BE2B0E">
        <w:rPr>
          <w:rFonts w:eastAsia="Open Sans" w:cs="Open Sans"/>
          <w:b/>
          <w:bCs/>
          <w:sz w:val="36"/>
          <w:szCs w:val="36"/>
        </w:rPr>
        <w:t>Information for List of Issues</w:t>
      </w:r>
      <w:r w:rsidR="006964F5">
        <w:rPr>
          <w:rFonts w:eastAsia="Open Sans" w:cs="Open Sans"/>
          <w:b/>
          <w:bCs/>
          <w:sz w:val="36"/>
          <w:szCs w:val="36"/>
        </w:rPr>
        <w:t>—</w:t>
      </w:r>
    </w:p>
    <w:p w14:paraId="1170CD68" w14:textId="2A870932" w:rsidR="004E5D5C" w:rsidRPr="004E5D5C" w:rsidRDefault="2D01641E" w:rsidP="004E5D5C">
      <w:pPr>
        <w:spacing w:before="0" w:after="0"/>
        <w:rPr>
          <w:rFonts w:eastAsia="Open Sans" w:cs="Open Sans"/>
          <w:b/>
          <w:bCs/>
          <w:sz w:val="36"/>
          <w:szCs w:val="36"/>
        </w:rPr>
      </w:pPr>
      <w:r w:rsidRPr="09BE2B0E">
        <w:rPr>
          <w:rFonts w:eastAsia="Open Sans" w:cs="Open Sans"/>
          <w:b/>
          <w:bCs/>
          <w:sz w:val="36"/>
          <w:szCs w:val="36"/>
        </w:rPr>
        <w:t>Australia</w:t>
      </w:r>
    </w:p>
    <w:p w14:paraId="69DA4B68" w14:textId="70413A91" w:rsidR="00665FEF" w:rsidRPr="00665FEF" w:rsidRDefault="00665FEF" w:rsidP="004400BD">
      <w:pPr>
        <w:pStyle w:val="Heading1"/>
        <w:numPr>
          <w:ilvl w:val="0"/>
          <w:numId w:val="0"/>
        </w:numPr>
        <w:spacing w:after="360"/>
        <w:rPr>
          <w:rFonts w:cs="Open Sans"/>
          <w:sz w:val="28"/>
        </w:rPr>
      </w:pPr>
      <w:r>
        <w:rPr>
          <w:rFonts w:cs="Open Sans"/>
          <w:sz w:val="28"/>
        </w:rPr>
        <w:t>Introduction</w:t>
      </w:r>
    </w:p>
    <w:p w14:paraId="24214B0D" w14:textId="28F4444C" w:rsidR="008F2AFF" w:rsidRPr="002D46C0" w:rsidRDefault="0EF49208" w:rsidP="00A8789C">
      <w:pPr>
        <w:pStyle w:val="SubmissionNormal"/>
        <w:rPr>
          <w:rFonts w:asciiTheme="minorHAnsi" w:eastAsiaTheme="minorEastAsia" w:hAnsiTheme="minorHAnsi" w:cstheme="minorBidi"/>
          <w:sz w:val="22"/>
          <w:szCs w:val="22"/>
        </w:rPr>
      </w:pPr>
      <w:r w:rsidRPr="002D46C0">
        <w:rPr>
          <w:rFonts w:cs="Open Sans"/>
          <w:sz w:val="22"/>
          <w:szCs w:val="22"/>
          <w:lang w:val="en-NZ" w:eastAsia="en-US"/>
        </w:rPr>
        <w:t>This submission is made by the Australian Human Rights Commission</w:t>
      </w:r>
      <w:r w:rsidR="66E6E71E" w:rsidRPr="002D46C0">
        <w:rPr>
          <w:rFonts w:cs="Open Sans"/>
          <w:sz w:val="22"/>
          <w:szCs w:val="22"/>
          <w:lang w:val="en-NZ" w:eastAsia="en-US"/>
        </w:rPr>
        <w:t xml:space="preserve"> (</w:t>
      </w:r>
      <w:r w:rsidR="749A0801" w:rsidRPr="002D46C0">
        <w:rPr>
          <w:rFonts w:cs="Open Sans"/>
          <w:sz w:val="22"/>
          <w:szCs w:val="22"/>
          <w:lang w:val="en-NZ" w:eastAsia="en-US"/>
        </w:rPr>
        <w:t>Commission</w:t>
      </w:r>
      <w:r w:rsidR="66E6E71E" w:rsidRPr="002D46C0">
        <w:rPr>
          <w:rFonts w:cs="Open Sans"/>
          <w:sz w:val="22"/>
          <w:szCs w:val="22"/>
          <w:lang w:val="en-NZ" w:eastAsia="en-US"/>
        </w:rPr>
        <w:t>)</w:t>
      </w:r>
      <w:r w:rsidRPr="002D46C0">
        <w:rPr>
          <w:rFonts w:cs="Open Sans"/>
          <w:sz w:val="22"/>
          <w:szCs w:val="22"/>
          <w:lang w:val="en-NZ" w:eastAsia="en-US"/>
        </w:rPr>
        <w:t>.</w:t>
      </w:r>
      <w:bookmarkStart w:id="1" w:name="_Toc162769290"/>
      <w:bookmarkStart w:id="2" w:name="_Toc207761831"/>
      <w:bookmarkStart w:id="3" w:name="_Toc209578267"/>
      <w:bookmarkStart w:id="4" w:name="_Toc209941767"/>
      <w:r w:rsidRPr="002D46C0">
        <w:rPr>
          <w:rFonts w:cs="Open Sans"/>
          <w:sz w:val="22"/>
          <w:szCs w:val="22"/>
        </w:rPr>
        <w:t xml:space="preserve"> </w:t>
      </w:r>
      <w:r w:rsidR="195288E6" w:rsidRPr="002D46C0">
        <w:rPr>
          <w:rFonts w:cs="Open Sans"/>
          <w:sz w:val="22"/>
          <w:szCs w:val="22"/>
        </w:rPr>
        <w:t xml:space="preserve">The Commission is an ‘A status’ national human rights institution, operating in conformity with the </w:t>
      </w:r>
      <w:r w:rsidR="67CA5B38" w:rsidRPr="002D46C0">
        <w:rPr>
          <w:rFonts w:cs="Open Sans"/>
          <w:sz w:val="22"/>
          <w:szCs w:val="22"/>
        </w:rPr>
        <w:t>Paris Principles.</w:t>
      </w:r>
      <w:bookmarkEnd w:id="1"/>
      <w:bookmarkEnd w:id="2"/>
      <w:bookmarkEnd w:id="3"/>
      <w:bookmarkEnd w:id="4"/>
      <w:r w:rsidR="008F2AFF" w:rsidRPr="09BE2B0E">
        <w:rPr>
          <w:rStyle w:val="EndnoteReference"/>
          <w:rFonts w:cs="Open Sans"/>
        </w:rPr>
        <w:endnoteReference w:id="2"/>
      </w:r>
      <w:r w:rsidR="00B603DF">
        <w:rPr>
          <w:rFonts w:cs="Open Sans"/>
          <w:sz w:val="22"/>
          <w:szCs w:val="22"/>
        </w:rPr>
        <w:t xml:space="preserve"> </w:t>
      </w:r>
      <w:r w:rsidR="1479EE1F" w:rsidRPr="09BE2B0E">
        <w:rPr>
          <w:rFonts w:cs="Open Sans"/>
          <w:sz w:val="22"/>
          <w:szCs w:val="22"/>
        </w:rPr>
        <w:t>The submission is based on work that has been undertaken by the Commission in accordance with our mandate and functions.</w:t>
      </w:r>
    </w:p>
    <w:p w14:paraId="2D0DA59D" w14:textId="4857752D" w:rsidR="008F2AFF" w:rsidRPr="00163E6A" w:rsidRDefault="008F2AFF" w:rsidP="00A8789C">
      <w:pPr>
        <w:pStyle w:val="Heading1"/>
        <w:numPr>
          <w:ilvl w:val="0"/>
          <w:numId w:val="0"/>
        </w:numPr>
        <w:ind w:left="720" w:hanging="720"/>
        <w:rPr>
          <w:rFonts w:cs="Open Sans"/>
          <w:sz w:val="28"/>
        </w:rPr>
      </w:pPr>
      <w:r w:rsidRPr="00163E6A">
        <w:rPr>
          <w:rFonts w:cs="Open Sans"/>
          <w:sz w:val="28"/>
        </w:rPr>
        <w:t>Framework</w:t>
      </w:r>
    </w:p>
    <w:p w14:paraId="189FEDBD" w14:textId="77777777" w:rsidR="008F2AFF" w:rsidRPr="002D46C0" w:rsidRDefault="008F2AFF" w:rsidP="003423FA">
      <w:pPr>
        <w:pStyle w:val="Heading2"/>
        <w:numPr>
          <w:ilvl w:val="0"/>
          <w:numId w:val="0"/>
        </w:numPr>
        <w:ind w:left="720" w:hanging="720"/>
        <w:rPr>
          <w:rFonts w:cs="Open Sans"/>
          <w:color w:val="auto"/>
          <w:sz w:val="24"/>
          <w:szCs w:val="24"/>
        </w:rPr>
      </w:pPr>
      <w:bookmarkStart w:id="5" w:name="_Toc49332448"/>
      <w:r w:rsidRPr="002D46C0">
        <w:rPr>
          <w:rFonts w:cs="Open Sans"/>
          <w:color w:val="auto"/>
          <w:sz w:val="24"/>
          <w:szCs w:val="24"/>
        </w:rPr>
        <w:t xml:space="preserve">Ratification of the Optional Protocol to the ICESCR </w:t>
      </w:r>
    </w:p>
    <w:p w14:paraId="2BAFF6E8" w14:textId="4F50E4BD" w:rsidR="008F2AFF" w:rsidRPr="002D46C0" w:rsidRDefault="0C781A1E" w:rsidP="005009E0">
      <w:pPr>
        <w:pStyle w:val="SubmissionNormal"/>
        <w:rPr>
          <w:rFonts w:cs="Open Sans"/>
          <w:sz w:val="22"/>
          <w:szCs w:val="22"/>
          <w:lang w:val="en-NZ" w:eastAsia="en-US"/>
        </w:rPr>
      </w:pPr>
      <w:r w:rsidRPr="002D46C0">
        <w:rPr>
          <w:rFonts w:cs="Open Sans"/>
          <w:sz w:val="22"/>
          <w:szCs w:val="22"/>
          <w:lang w:eastAsia="en-US"/>
        </w:rPr>
        <w:t>Australia has not</w:t>
      </w:r>
      <w:r w:rsidR="1479EE1F" w:rsidRPr="002D46C0">
        <w:rPr>
          <w:rFonts w:cs="Open Sans"/>
          <w:sz w:val="22"/>
          <w:szCs w:val="22"/>
          <w:lang w:eastAsia="en-US"/>
        </w:rPr>
        <w:t xml:space="preserve"> ratifi</w:t>
      </w:r>
      <w:r w:rsidR="74C1B484" w:rsidRPr="002D46C0">
        <w:rPr>
          <w:rFonts w:cs="Open Sans"/>
          <w:sz w:val="22"/>
          <w:szCs w:val="22"/>
          <w:lang w:eastAsia="en-US"/>
        </w:rPr>
        <w:t>ed</w:t>
      </w:r>
      <w:r w:rsidR="1479EE1F" w:rsidRPr="002D46C0">
        <w:rPr>
          <w:rFonts w:cs="Open Sans"/>
          <w:sz w:val="22"/>
          <w:szCs w:val="22"/>
          <w:lang w:eastAsia="en-US"/>
        </w:rPr>
        <w:t xml:space="preserve"> the </w:t>
      </w:r>
      <w:r w:rsidR="1479EE1F" w:rsidRPr="09BE2B0E">
        <w:rPr>
          <w:rFonts w:cs="Open Sans"/>
          <w:i/>
          <w:iCs/>
          <w:sz w:val="22"/>
          <w:szCs w:val="22"/>
          <w:lang w:eastAsia="en-US"/>
        </w:rPr>
        <w:t>Optional Protocol to the ICESCR</w:t>
      </w:r>
      <w:r w:rsidR="1479EE1F" w:rsidRPr="002D46C0">
        <w:rPr>
          <w:rFonts w:cs="Open Sans"/>
          <w:sz w:val="22"/>
          <w:szCs w:val="22"/>
          <w:lang w:eastAsia="en-US"/>
        </w:rPr>
        <w:t xml:space="preserve"> (OP-ICESCR)</w:t>
      </w:r>
      <w:r w:rsidR="35D5E3F8" w:rsidRPr="002D46C0">
        <w:rPr>
          <w:rFonts w:cs="Open Sans"/>
          <w:sz w:val="22"/>
          <w:szCs w:val="22"/>
          <w:lang w:eastAsia="en-US"/>
        </w:rPr>
        <w:t xml:space="preserve"> which leaves a significant gap in protection and accountability for </w:t>
      </w:r>
      <w:r w:rsidR="5E300743">
        <w:rPr>
          <w:rFonts w:cs="Open Sans"/>
          <w:sz w:val="22"/>
          <w:szCs w:val="22"/>
          <w:lang w:eastAsia="en-US"/>
        </w:rPr>
        <w:t xml:space="preserve">economic, social and cultural (ESC) </w:t>
      </w:r>
      <w:r w:rsidR="35D5E3F8" w:rsidRPr="002D46C0">
        <w:rPr>
          <w:rFonts w:cs="Open Sans"/>
          <w:sz w:val="22"/>
          <w:szCs w:val="22"/>
          <w:lang w:eastAsia="en-US"/>
        </w:rPr>
        <w:t>rights</w:t>
      </w:r>
      <w:r w:rsidR="1479EE1F" w:rsidRPr="002D46C0">
        <w:rPr>
          <w:rFonts w:cs="Open Sans"/>
          <w:sz w:val="22"/>
          <w:szCs w:val="22"/>
          <w:lang w:eastAsia="en-US"/>
        </w:rPr>
        <w:t>.</w:t>
      </w:r>
      <w:r w:rsidR="008F2AFF" w:rsidRPr="002D46C0">
        <w:rPr>
          <w:rStyle w:val="EndnoteReference"/>
          <w:rFonts w:cs="Open Sans"/>
          <w:sz w:val="22"/>
          <w:szCs w:val="22"/>
          <w:lang w:eastAsia="en-US"/>
        </w:rPr>
        <w:endnoteReference w:id="3"/>
      </w:r>
    </w:p>
    <w:p w14:paraId="34ED2CA5" w14:textId="6BE4DA9D" w:rsidR="008F2AFF" w:rsidRPr="002D46C0" w:rsidRDefault="008F2AFF" w:rsidP="003423FA">
      <w:pPr>
        <w:pStyle w:val="Heading2"/>
        <w:numPr>
          <w:ilvl w:val="0"/>
          <w:numId w:val="0"/>
        </w:numPr>
        <w:ind w:left="720" w:hanging="720"/>
        <w:rPr>
          <w:rFonts w:cs="Open Sans"/>
          <w:color w:val="auto"/>
          <w:sz w:val="24"/>
          <w:szCs w:val="24"/>
        </w:rPr>
      </w:pPr>
      <w:r w:rsidRPr="002D46C0">
        <w:rPr>
          <w:rFonts w:cs="Open Sans"/>
          <w:color w:val="auto"/>
          <w:sz w:val="24"/>
          <w:szCs w:val="24"/>
        </w:rPr>
        <w:t>Constitutional and legislative framework</w:t>
      </w:r>
      <w:bookmarkEnd w:id="5"/>
      <w:r w:rsidRPr="002D46C0">
        <w:rPr>
          <w:rFonts w:cs="Open Sans"/>
          <w:color w:val="auto"/>
          <w:sz w:val="24"/>
          <w:szCs w:val="24"/>
        </w:rPr>
        <w:t xml:space="preserve"> </w:t>
      </w:r>
    </w:p>
    <w:p w14:paraId="599DEBA5" w14:textId="5E54F4BB" w:rsidR="008F2AFF" w:rsidRPr="002D46C0" w:rsidRDefault="1479EE1F" w:rsidP="007F3DCD">
      <w:pPr>
        <w:pStyle w:val="SubmissionNormal"/>
        <w:rPr>
          <w:rFonts w:cs="Open Sans"/>
          <w:sz w:val="22"/>
          <w:szCs w:val="22"/>
        </w:rPr>
      </w:pPr>
      <w:r w:rsidRPr="002D46C0">
        <w:rPr>
          <w:rFonts w:cs="Open Sans"/>
          <w:sz w:val="22"/>
          <w:szCs w:val="22"/>
          <w:lang w:val="en-NZ" w:eastAsia="en-US"/>
        </w:rPr>
        <w:t>Australia has a</w:t>
      </w:r>
      <w:r w:rsidR="4FDAE5DF" w:rsidRPr="002D46C0">
        <w:rPr>
          <w:rFonts w:cs="Open Sans"/>
          <w:sz w:val="22"/>
          <w:szCs w:val="22"/>
          <w:lang w:val="en-NZ" w:eastAsia="en-US"/>
        </w:rPr>
        <w:t xml:space="preserve"> limited</w:t>
      </w:r>
      <w:r w:rsidRPr="002D46C0">
        <w:rPr>
          <w:rFonts w:cs="Open Sans"/>
          <w:sz w:val="22"/>
          <w:szCs w:val="22"/>
          <w:lang w:val="en-NZ" w:eastAsia="en-US"/>
        </w:rPr>
        <w:t xml:space="preserve"> legal framework for implementing its human rights obligations and providing remedies. In its 2017 Concluding Observations the Committee recommended that Australia incorporate ICESCR into its domestic law.</w:t>
      </w:r>
      <w:r w:rsidR="008F2AFF" w:rsidRPr="002D46C0">
        <w:rPr>
          <w:rStyle w:val="EndnoteReference"/>
          <w:rFonts w:cs="Open Sans"/>
          <w:sz w:val="22"/>
          <w:szCs w:val="22"/>
          <w:lang w:val="en-NZ" w:eastAsia="en-US"/>
        </w:rPr>
        <w:endnoteReference w:id="4"/>
      </w:r>
    </w:p>
    <w:p w14:paraId="21A9AAE3" w14:textId="00141426" w:rsidR="008F2AFF" w:rsidRPr="002D46C0" w:rsidRDefault="032B6261" w:rsidP="39F1D228">
      <w:pPr>
        <w:pStyle w:val="SubmissionNormal"/>
        <w:rPr>
          <w:rFonts w:asciiTheme="minorHAnsi" w:eastAsiaTheme="minorEastAsia" w:hAnsiTheme="minorHAnsi" w:cstheme="minorBidi"/>
          <w:sz w:val="22"/>
          <w:szCs w:val="22"/>
          <w:lang w:val="en-US" w:eastAsia="en-US"/>
        </w:rPr>
      </w:pPr>
      <w:r w:rsidRPr="15A4D369">
        <w:rPr>
          <w:rFonts w:cs="Open Sans"/>
          <w:sz w:val="22"/>
          <w:szCs w:val="22"/>
          <w:lang w:val="en-NZ" w:eastAsia="en-US"/>
        </w:rPr>
        <w:t>T</w:t>
      </w:r>
      <w:r w:rsidR="1479EE1F" w:rsidRPr="15A4D369">
        <w:rPr>
          <w:rFonts w:cs="Open Sans"/>
          <w:sz w:val="22"/>
          <w:szCs w:val="22"/>
          <w:lang w:val="en-NZ" w:eastAsia="en-US"/>
        </w:rPr>
        <w:t xml:space="preserve">he Commission </w:t>
      </w:r>
      <w:r w:rsidR="3B5C5605" w:rsidRPr="15A4D369">
        <w:rPr>
          <w:rFonts w:cs="Open Sans"/>
          <w:sz w:val="22"/>
          <w:szCs w:val="22"/>
          <w:lang w:val="en-NZ" w:eastAsia="en-US"/>
        </w:rPr>
        <w:t xml:space="preserve">has </w:t>
      </w:r>
      <w:r w:rsidR="448AD513" w:rsidRPr="15A4D369">
        <w:rPr>
          <w:rFonts w:cs="Open Sans"/>
          <w:sz w:val="22"/>
          <w:szCs w:val="22"/>
          <w:lang w:val="en-NZ" w:eastAsia="en-US"/>
        </w:rPr>
        <w:t xml:space="preserve">recently released </w:t>
      </w:r>
      <w:r w:rsidR="1479EE1F" w:rsidRPr="15A4D369">
        <w:rPr>
          <w:rFonts w:cs="Open Sans"/>
          <w:sz w:val="22"/>
          <w:szCs w:val="22"/>
          <w:lang w:val="en-NZ" w:eastAsia="en-US"/>
        </w:rPr>
        <w:t>a</w:t>
      </w:r>
      <w:r w:rsidR="6BD8D902" w:rsidRPr="15A4D369">
        <w:rPr>
          <w:rFonts w:cs="Open Sans"/>
          <w:sz w:val="22"/>
          <w:szCs w:val="22"/>
          <w:lang w:val="en-NZ" w:eastAsia="en-US"/>
        </w:rPr>
        <w:t xml:space="preserve"> report recommending reforms to</w:t>
      </w:r>
      <w:r w:rsidR="1479EE1F" w:rsidRPr="15A4D369">
        <w:rPr>
          <w:rFonts w:cs="Open Sans"/>
          <w:sz w:val="22"/>
          <w:szCs w:val="22"/>
          <w:lang w:val="en-NZ" w:eastAsia="en-US"/>
        </w:rPr>
        <w:t xml:space="preserve"> federal discrimination laws as part of </w:t>
      </w:r>
      <w:r w:rsidR="58CBAB12" w:rsidRPr="15A4D369">
        <w:rPr>
          <w:rFonts w:cs="Open Sans"/>
          <w:sz w:val="22"/>
          <w:szCs w:val="22"/>
          <w:lang w:val="en-NZ" w:eastAsia="en-US"/>
        </w:rPr>
        <w:t xml:space="preserve">its </w:t>
      </w:r>
      <w:r w:rsidR="58CBAB12" w:rsidRPr="43AB74C1">
        <w:rPr>
          <w:rFonts w:cs="Open Sans"/>
          <w:sz w:val="22"/>
          <w:szCs w:val="22"/>
          <w:lang w:val="en-NZ" w:eastAsia="en-US"/>
        </w:rPr>
        <w:t>‘Free &amp; Equal’</w:t>
      </w:r>
      <w:r w:rsidR="1479EE1F" w:rsidRPr="15A4D369">
        <w:rPr>
          <w:rFonts w:cs="Open Sans"/>
          <w:sz w:val="22"/>
          <w:szCs w:val="22"/>
          <w:lang w:val="en-NZ" w:eastAsia="en-US"/>
        </w:rPr>
        <w:t xml:space="preserve"> project.</w:t>
      </w:r>
      <w:r w:rsidR="008F2AFF" w:rsidRPr="25A9F1B5">
        <w:rPr>
          <w:rStyle w:val="EndnoteReference"/>
          <w:rFonts w:cs="Open Sans"/>
          <w:sz w:val="22"/>
          <w:szCs w:val="22"/>
          <w:lang w:val="en-NZ" w:eastAsia="en-US"/>
        </w:rPr>
        <w:endnoteReference w:id="5"/>
      </w:r>
      <w:r w:rsidR="1479EE1F" w:rsidRPr="15A4D369">
        <w:rPr>
          <w:rFonts w:cs="Open Sans"/>
          <w:sz w:val="22"/>
          <w:szCs w:val="22"/>
          <w:lang w:val="en-NZ" w:eastAsia="en-US"/>
        </w:rPr>
        <w:t xml:space="preserve"> </w:t>
      </w:r>
      <w:r w:rsidR="2B8F3C85" w:rsidRPr="70A08AAD">
        <w:rPr>
          <w:rFonts w:cs="Open Sans"/>
          <w:sz w:val="22"/>
          <w:szCs w:val="22"/>
          <w:lang w:val="en-US" w:eastAsia="en-US"/>
        </w:rPr>
        <w:t xml:space="preserve">These recommendations would ensure more robust, effective protection against </w:t>
      </w:r>
      <w:r w:rsidR="2B8F3C85" w:rsidRPr="39F1D228">
        <w:rPr>
          <w:rFonts w:cs="Open Sans"/>
          <w:sz w:val="22"/>
          <w:szCs w:val="22"/>
          <w:lang w:val="en-US" w:eastAsia="en-US"/>
        </w:rPr>
        <w:t xml:space="preserve">discrimination </w:t>
      </w:r>
      <w:r w:rsidR="558AC0DE" w:rsidRPr="39F1D228">
        <w:rPr>
          <w:rFonts w:cs="Open Sans"/>
          <w:sz w:val="22"/>
          <w:szCs w:val="22"/>
          <w:lang w:val="en-US" w:eastAsia="en-US"/>
        </w:rPr>
        <w:t>for</w:t>
      </w:r>
      <w:r w:rsidR="2B8F3C85" w:rsidRPr="39F1D228">
        <w:rPr>
          <w:rFonts w:cs="Open Sans"/>
          <w:sz w:val="22"/>
          <w:szCs w:val="22"/>
          <w:lang w:val="en-US" w:eastAsia="en-US"/>
        </w:rPr>
        <w:t xml:space="preserve"> ESC rights.</w:t>
      </w:r>
      <w:r w:rsidR="187B063A" w:rsidRPr="39F1D228">
        <w:rPr>
          <w:rFonts w:cs="Open Sans"/>
          <w:sz w:val="22"/>
          <w:szCs w:val="22"/>
          <w:lang w:val="en-US" w:eastAsia="en-US"/>
        </w:rPr>
        <w:t xml:space="preserve"> </w:t>
      </w:r>
      <w:r w:rsidR="1479EE1F" w:rsidRPr="09BE2B0E">
        <w:rPr>
          <w:rFonts w:cs="Open Sans"/>
          <w:sz w:val="22"/>
          <w:szCs w:val="22"/>
          <w:lang w:val="en-US" w:eastAsia="en-US"/>
        </w:rPr>
        <w:t xml:space="preserve">The </w:t>
      </w:r>
      <w:r w:rsidR="6B59EF42" w:rsidRPr="09BE2B0E">
        <w:rPr>
          <w:rFonts w:cs="Open Sans"/>
          <w:sz w:val="22"/>
          <w:szCs w:val="22"/>
          <w:lang w:val="en-US" w:eastAsia="en-US"/>
        </w:rPr>
        <w:t>Commission</w:t>
      </w:r>
      <w:r w:rsidR="1479EE1F" w:rsidRPr="09BE2B0E">
        <w:rPr>
          <w:rFonts w:cs="Open Sans"/>
          <w:sz w:val="22"/>
          <w:szCs w:val="22"/>
          <w:lang w:val="en-US" w:eastAsia="en-US"/>
        </w:rPr>
        <w:t xml:space="preserve"> will </w:t>
      </w:r>
      <w:r w:rsidR="45A052AF" w:rsidRPr="09BE2B0E">
        <w:rPr>
          <w:rFonts w:cs="Open Sans"/>
          <w:sz w:val="22"/>
          <w:szCs w:val="22"/>
          <w:lang w:val="en-US" w:eastAsia="en-US"/>
        </w:rPr>
        <w:t xml:space="preserve">shortly </w:t>
      </w:r>
      <w:r w:rsidR="1479EE1F" w:rsidRPr="09BE2B0E">
        <w:rPr>
          <w:rFonts w:cs="Open Sans"/>
          <w:sz w:val="22"/>
          <w:szCs w:val="22"/>
          <w:lang w:val="en-US" w:eastAsia="en-US"/>
        </w:rPr>
        <w:t>outline a model for a federal human rights act</w:t>
      </w:r>
      <w:r w:rsidR="392424DF" w:rsidRPr="09BE2B0E">
        <w:rPr>
          <w:rFonts w:cs="Open Sans"/>
          <w:sz w:val="22"/>
          <w:szCs w:val="22"/>
          <w:lang w:val="en-US" w:eastAsia="en-US"/>
        </w:rPr>
        <w:t xml:space="preserve"> and accompanying reforms</w:t>
      </w:r>
      <w:r w:rsidR="7063836A" w:rsidRPr="09BE2B0E">
        <w:rPr>
          <w:rFonts w:cs="Open Sans"/>
          <w:sz w:val="22"/>
          <w:szCs w:val="22"/>
          <w:lang w:val="en-US" w:eastAsia="en-US"/>
        </w:rPr>
        <w:t xml:space="preserve"> as part of the Free </w:t>
      </w:r>
      <w:r w:rsidR="0DDAFCFB" w:rsidRPr="09BE2B0E">
        <w:rPr>
          <w:rFonts w:cs="Open Sans"/>
          <w:sz w:val="22"/>
          <w:szCs w:val="22"/>
          <w:lang w:val="en-US" w:eastAsia="en-US"/>
        </w:rPr>
        <w:t>&amp;</w:t>
      </w:r>
      <w:r w:rsidR="7063836A" w:rsidRPr="09BE2B0E">
        <w:rPr>
          <w:rFonts w:cs="Open Sans"/>
          <w:sz w:val="22"/>
          <w:szCs w:val="22"/>
          <w:lang w:val="en-US" w:eastAsia="en-US"/>
        </w:rPr>
        <w:t xml:space="preserve"> Equal Project</w:t>
      </w:r>
      <w:r w:rsidR="12EC998F" w:rsidRPr="09BE2B0E">
        <w:rPr>
          <w:rFonts w:cs="Open Sans"/>
          <w:sz w:val="22"/>
          <w:szCs w:val="22"/>
          <w:lang w:val="en-US" w:eastAsia="en-US"/>
        </w:rPr>
        <w:t>, including</w:t>
      </w:r>
      <w:r w:rsidR="1C179BC7" w:rsidRPr="09BE2B0E">
        <w:rPr>
          <w:rFonts w:cs="Open Sans"/>
          <w:sz w:val="22"/>
          <w:szCs w:val="22"/>
          <w:lang w:val="en-US" w:eastAsia="en-US"/>
        </w:rPr>
        <w:t xml:space="preserve"> consideration of effective domestic legal protection of ESC rights</w:t>
      </w:r>
      <w:r w:rsidR="1479EE1F" w:rsidRPr="09BE2B0E">
        <w:rPr>
          <w:rFonts w:cs="Open Sans"/>
          <w:sz w:val="22"/>
          <w:szCs w:val="22"/>
          <w:lang w:val="en-US" w:eastAsia="en-US"/>
        </w:rPr>
        <w:t xml:space="preserve">. </w:t>
      </w:r>
    </w:p>
    <w:p w14:paraId="6E652F82" w14:textId="5908E533" w:rsidR="008F2AFF" w:rsidRPr="002D46C0" w:rsidRDefault="1479EE1F" w:rsidP="00A72A61">
      <w:pPr>
        <w:pStyle w:val="SubmissionNormal"/>
        <w:rPr>
          <w:rFonts w:cs="Open Sans"/>
          <w:sz w:val="22"/>
          <w:szCs w:val="22"/>
          <w:lang w:eastAsia="en-US"/>
        </w:rPr>
      </w:pPr>
      <w:r w:rsidRPr="002D46C0">
        <w:rPr>
          <w:rFonts w:cs="Open Sans"/>
          <w:sz w:val="22"/>
          <w:szCs w:val="22"/>
          <w:lang w:eastAsia="en-US"/>
        </w:rPr>
        <w:t xml:space="preserve">The Parliamentary Joint Committee on Human Rights (PJCHR), analyses bills and legislative instruments before the federal Parliament for compliance with human rights, including the ICESCR. </w:t>
      </w:r>
      <w:r w:rsidRPr="002D46C0">
        <w:rPr>
          <w:rFonts w:cs="Open Sans"/>
          <w:sz w:val="22"/>
          <w:szCs w:val="22"/>
          <w:lang w:val="en-NZ" w:eastAsia="en-US"/>
        </w:rPr>
        <w:t xml:space="preserve">The Commission is concerned </w:t>
      </w:r>
      <w:r w:rsidR="40B89E7D">
        <w:rPr>
          <w:rFonts w:cs="Open Sans"/>
          <w:sz w:val="22"/>
          <w:szCs w:val="22"/>
          <w:lang w:val="en-NZ" w:eastAsia="en-US"/>
        </w:rPr>
        <w:t>about</w:t>
      </w:r>
      <w:r w:rsidRPr="002D46C0">
        <w:rPr>
          <w:rFonts w:cs="Open Sans"/>
          <w:sz w:val="22"/>
          <w:szCs w:val="22"/>
          <w:lang w:val="en-NZ" w:eastAsia="en-US"/>
        </w:rPr>
        <w:t xml:space="preserve"> the quality of ‘Statements of Compatibility with Human Rights’ that accompany bills, and limited consideration of the views of the PJCHR prior to the passage of legislation.</w:t>
      </w:r>
      <w:r w:rsidR="008F2AFF" w:rsidRPr="002D46C0">
        <w:rPr>
          <w:rFonts w:cs="Open Sans"/>
          <w:sz w:val="22"/>
          <w:szCs w:val="22"/>
          <w:vertAlign w:val="superscript"/>
          <w:lang w:val="en-NZ" w:eastAsia="en-US"/>
        </w:rPr>
        <w:endnoteReference w:id="6"/>
      </w:r>
      <w:r w:rsidRPr="002D46C0">
        <w:rPr>
          <w:rFonts w:cs="Open Sans"/>
          <w:b/>
          <w:bCs/>
          <w:sz w:val="22"/>
          <w:szCs w:val="22"/>
          <w:lang w:val="en-NZ" w:eastAsia="en-US"/>
        </w:rPr>
        <w:t xml:space="preserve"> </w:t>
      </w:r>
      <w:r w:rsidR="491F798B" w:rsidRPr="2C030034">
        <w:rPr>
          <w:rFonts w:cs="Open Sans"/>
          <w:sz w:val="22"/>
          <w:szCs w:val="22"/>
          <w:lang w:val="en-NZ" w:eastAsia="en-US"/>
        </w:rPr>
        <w:t xml:space="preserve">There is limited human rights education and training for public officials to assist in the preparation of these Statements of Compatibility. </w:t>
      </w:r>
      <w:r w:rsidRPr="002D46C0">
        <w:rPr>
          <w:rFonts w:cs="Open Sans"/>
          <w:sz w:val="22"/>
          <w:szCs w:val="22"/>
          <w:lang w:eastAsia="en-US"/>
        </w:rPr>
        <w:t xml:space="preserve">The processes of the PJCHR stand in isolation as compared with other jurisdictions that incorporate the obligations in the ICESCR into domestic law via a national human rights act or charter of rights. </w:t>
      </w:r>
    </w:p>
    <w:p w14:paraId="734DF76D" w14:textId="0D3E97E4" w:rsidR="008F2AFF" w:rsidRPr="002D46C0" w:rsidRDefault="008F2AFF" w:rsidP="003423FA">
      <w:pPr>
        <w:pStyle w:val="Heading2"/>
        <w:numPr>
          <w:ilvl w:val="0"/>
          <w:numId w:val="0"/>
        </w:numPr>
        <w:ind w:left="720" w:hanging="720"/>
        <w:rPr>
          <w:rFonts w:cs="Open Sans"/>
          <w:color w:val="auto"/>
          <w:sz w:val="24"/>
          <w:szCs w:val="24"/>
        </w:rPr>
      </w:pPr>
      <w:r w:rsidRPr="002D46C0">
        <w:rPr>
          <w:rFonts w:cs="Open Sans"/>
          <w:color w:val="auto"/>
          <w:sz w:val="24"/>
          <w:szCs w:val="24"/>
        </w:rPr>
        <w:t xml:space="preserve">National Human Rights Institution </w:t>
      </w:r>
    </w:p>
    <w:p w14:paraId="7AE149F7" w14:textId="55B82742" w:rsidR="008F2AFF" w:rsidRPr="002D46C0" w:rsidRDefault="1479EE1F" w:rsidP="00686FB2">
      <w:pPr>
        <w:pStyle w:val="SubmissionNormal"/>
        <w:rPr>
          <w:rFonts w:cs="Open Sans"/>
          <w:sz w:val="22"/>
          <w:szCs w:val="22"/>
          <w:lang w:eastAsia="en-US"/>
        </w:rPr>
      </w:pPr>
      <w:r w:rsidRPr="002D46C0">
        <w:rPr>
          <w:rFonts w:cs="Open Sans"/>
          <w:sz w:val="22"/>
          <w:szCs w:val="22"/>
          <w:lang w:eastAsia="en-US"/>
        </w:rPr>
        <w:t xml:space="preserve">The Commission has a statutory power to promote and protect human rights under the </w:t>
      </w:r>
      <w:r w:rsidRPr="09BE2B0E">
        <w:rPr>
          <w:rFonts w:cs="Open Sans"/>
          <w:i/>
          <w:iCs/>
          <w:sz w:val="22"/>
          <w:szCs w:val="22"/>
          <w:lang w:eastAsia="en-US"/>
        </w:rPr>
        <w:t>Australian Human Rights Commission Act</w:t>
      </w:r>
      <w:r w:rsidRPr="002D46C0">
        <w:rPr>
          <w:rFonts w:cs="Open Sans"/>
          <w:sz w:val="22"/>
          <w:szCs w:val="22"/>
          <w:lang w:eastAsia="en-US"/>
        </w:rPr>
        <w:t xml:space="preserve"> 1986 (Cth) (AHRC Act). Human rights are defined as the international instruments scheduled to the Act. </w:t>
      </w:r>
      <w:r w:rsidR="39E9904D" w:rsidRPr="002D46C0">
        <w:rPr>
          <w:rFonts w:cs="Open Sans"/>
          <w:sz w:val="22"/>
          <w:szCs w:val="22"/>
          <w:lang w:eastAsia="en-US"/>
        </w:rPr>
        <w:t xml:space="preserve">While the Commission considers it is able to consider ESC rights issues due to the </w:t>
      </w:r>
      <w:r w:rsidR="58FB4342" w:rsidRPr="002D46C0">
        <w:rPr>
          <w:rFonts w:cs="Open Sans"/>
          <w:sz w:val="22"/>
          <w:szCs w:val="22"/>
          <w:lang w:eastAsia="en-US"/>
        </w:rPr>
        <w:t xml:space="preserve">scheduling </w:t>
      </w:r>
      <w:r w:rsidR="39E9904D" w:rsidRPr="002D46C0">
        <w:rPr>
          <w:rFonts w:cs="Open Sans"/>
          <w:sz w:val="22"/>
          <w:szCs w:val="22"/>
          <w:lang w:eastAsia="en-US"/>
        </w:rPr>
        <w:t>of other international treaties</w:t>
      </w:r>
      <w:r w:rsidR="162A20E3" w:rsidRPr="002D46C0">
        <w:rPr>
          <w:rFonts w:cs="Open Sans"/>
          <w:sz w:val="22"/>
          <w:szCs w:val="22"/>
          <w:lang w:eastAsia="en-US"/>
        </w:rPr>
        <w:t xml:space="preserve"> to the AHRC Act, or through the operation of federal discrimination laws,</w:t>
      </w:r>
      <w:r w:rsidR="39E9904D" w:rsidRPr="002D46C0">
        <w:rPr>
          <w:rFonts w:cs="Open Sans"/>
          <w:sz w:val="22"/>
          <w:szCs w:val="22"/>
          <w:lang w:eastAsia="en-US"/>
        </w:rPr>
        <w:t xml:space="preserve"> </w:t>
      </w:r>
      <w:r w:rsidR="456FE9F1" w:rsidRPr="002D46C0">
        <w:rPr>
          <w:rFonts w:cs="Open Sans"/>
          <w:sz w:val="22"/>
          <w:szCs w:val="22"/>
          <w:lang w:eastAsia="en-US"/>
        </w:rPr>
        <w:t>t</w:t>
      </w:r>
      <w:r w:rsidRPr="002D46C0">
        <w:rPr>
          <w:rFonts w:cs="Open Sans"/>
          <w:sz w:val="22"/>
          <w:szCs w:val="22"/>
          <w:lang w:eastAsia="en-US"/>
        </w:rPr>
        <w:t xml:space="preserve">he Commission’s legislation does not </w:t>
      </w:r>
      <w:r w:rsidR="6FDCED8A" w:rsidRPr="002D46C0">
        <w:rPr>
          <w:rFonts w:cs="Open Sans"/>
          <w:sz w:val="22"/>
          <w:szCs w:val="22"/>
          <w:lang w:eastAsia="en-US"/>
        </w:rPr>
        <w:t>explicitly</w:t>
      </w:r>
      <w:r w:rsidRPr="002D46C0">
        <w:rPr>
          <w:rFonts w:cs="Open Sans"/>
          <w:sz w:val="22"/>
          <w:szCs w:val="22"/>
          <w:lang w:eastAsia="en-US"/>
        </w:rPr>
        <w:t xml:space="preserve"> include the ICESCR within the definition of ‘human rights’</w:t>
      </w:r>
      <w:r w:rsidRPr="002D46C0">
        <w:rPr>
          <w:rFonts w:cs="Open Sans"/>
          <w:sz w:val="22"/>
          <w:szCs w:val="22"/>
          <w:lang w:val="en-NZ" w:eastAsia="en-US"/>
        </w:rPr>
        <w:t>.</w:t>
      </w:r>
      <w:r w:rsidR="008F2AFF" w:rsidRPr="01816EFD">
        <w:rPr>
          <w:rStyle w:val="EndnoteReference"/>
          <w:rFonts w:cs="Open Sans"/>
          <w:lang w:val="en-NZ" w:eastAsia="en-US"/>
        </w:rPr>
        <w:endnoteReference w:id="7"/>
      </w:r>
      <w:r w:rsidRPr="002D46C0">
        <w:rPr>
          <w:rFonts w:cs="Open Sans"/>
          <w:sz w:val="22"/>
          <w:szCs w:val="22"/>
          <w:lang w:eastAsia="en-US"/>
        </w:rPr>
        <w:t xml:space="preserve"> The Committee previously recommended that Australia include ICESCR in the Commission’s mandate</w:t>
      </w:r>
      <w:r w:rsidR="022FA22D">
        <w:rPr>
          <w:rFonts w:cs="Open Sans"/>
          <w:sz w:val="22"/>
          <w:szCs w:val="22"/>
          <w:lang w:eastAsia="en-US"/>
        </w:rPr>
        <w:t xml:space="preserve"> </w:t>
      </w:r>
      <w:r w:rsidRPr="002D46C0">
        <w:rPr>
          <w:rFonts w:cs="Open Sans"/>
          <w:sz w:val="22"/>
          <w:szCs w:val="22"/>
          <w:lang w:eastAsia="en-US"/>
        </w:rPr>
        <w:t xml:space="preserve">and ensure that the Commission has sufficient resources to discharge its role effectively. </w:t>
      </w:r>
    </w:p>
    <w:p w14:paraId="3620E43E" w14:textId="724F9D2F" w:rsidR="008F2AFF" w:rsidRPr="002D46C0" w:rsidRDefault="008F2AFF" w:rsidP="003423FA">
      <w:pPr>
        <w:pStyle w:val="Heading2"/>
        <w:numPr>
          <w:ilvl w:val="0"/>
          <w:numId w:val="0"/>
        </w:numPr>
        <w:ind w:left="720" w:hanging="720"/>
        <w:rPr>
          <w:rFonts w:cs="Open Sans"/>
          <w:color w:val="auto"/>
          <w:sz w:val="24"/>
          <w:szCs w:val="24"/>
        </w:rPr>
      </w:pPr>
      <w:r w:rsidRPr="002D46C0">
        <w:rPr>
          <w:rFonts w:cs="Open Sans"/>
          <w:color w:val="auto"/>
          <w:sz w:val="24"/>
          <w:szCs w:val="24"/>
        </w:rPr>
        <w:t xml:space="preserve">Human Rights Education </w:t>
      </w:r>
    </w:p>
    <w:p w14:paraId="58EA8C2E" w14:textId="5231E99D" w:rsidR="008F2AFF" w:rsidRPr="004B3765" w:rsidRDefault="1479EE1F" w:rsidP="009E04F2">
      <w:pPr>
        <w:pStyle w:val="SubmissionNormal"/>
        <w:rPr>
          <w:rFonts w:cs="Open Sans"/>
          <w:b/>
          <w:bCs/>
          <w:sz w:val="22"/>
          <w:szCs w:val="22"/>
        </w:rPr>
      </w:pPr>
      <w:r w:rsidRPr="002D46C0">
        <w:rPr>
          <w:rFonts w:cs="Open Sans"/>
          <w:sz w:val="22"/>
          <w:szCs w:val="22"/>
          <w:lang w:val="en-NZ" w:eastAsia="en-US"/>
        </w:rPr>
        <w:t xml:space="preserve">References to human rights in the national school curriculum are limited, particularly regarding coverage of </w:t>
      </w:r>
      <w:r w:rsidR="3D446BA6">
        <w:rPr>
          <w:rFonts w:cs="Open Sans"/>
          <w:sz w:val="22"/>
          <w:szCs w:val="22"/>
          <w:lang w:val="en-NZ" w:eastAsia="en-US"/>
        </w:rPr>
        <w:t xml:space="preserve">ESC </w:t>
      </w:r>
      <w:r w:rsidRPr="002D46C0">
        <w:rPr>
          <w:rFonts w:cs="Open Sans"/>
          <w:sz w:val="22"/>
          <w:szCs w:val="22"/>
          <w:lang w:val="en-NZ" w:eastAsia="en-US"/>
        </w:rPr>
        <w:t>rights.</w:t>
      </w:r>
      <w:r w:rsidR="008F2AFF" w:rsidRPr="002D46C0">
        <w:rPr>
          <w:rStyle w:val="EndnoteReference"/>
          <w:rFonts w:cs="Open Sans"/>
          <w:sz w:val="22"/>
          <w:szCs w:val="22"/>
          <w:lang w:val="en-NZ" w:eastAsia="en-US"/>
        </w:rPr>
        <w:endnoteReference w:id="8"/>
      </w:r>
      <w:r w:rsidRPr="002D46C0">
        <w:rPr>
          <w:rFonts w:cs="Open Sans"/>
          <w:b/>
          <w:bCs/>
          <w:sz w:val="22"/>
          <w:szCs w:val="22"/>
        </w:rPr>
        <w:t xml:space="preserve"> </w:t>
      </w:r>
      <w:r w:rsidRPr="002D46C0">
        <w:rPr>
          <w:rFonts w:cs="Open Sans"/>
          <w:sz w:val="22"/>
          <w:szCs w:val="22"/>
        </w:rPr>
        <w:t xml:space="preserve">There remains a need for ongoing human rights education across all areas of the public sector </w:t>
      </w:r>
      <w:r w:rsidR="0A0B91FF">
        <w:rPr>
          <w:rFonts w:cs="Open Sans"/>
          <w:sz w:val="22"/>
          <w:szCs w:val="22"/>
        </w:rPr>
        <w:t xml:space="preserve">– </w:t>
      </w:r>
      <w:r w:rsidRPr="002D46C0">
        <w:rPr>
          <w:rFonts w:cs="Open Sans"/>
          <w:sz w:val="22"/>
          <w:szCs w:val="22"/>
        </w:rPr>
        <w:t>particularly for those working with children and in the administration of justice and places of detention</w:t>
      </w:r>
      <w:r w:rsidRPr="008F7C5D">
        <w:rPr>
          <w:rFonts w:cs="Open Sans"/>
          <w:sz w:val="22"/>
          <w:szCs w:val="22"/>
        </w:rPr>
        <w:t>.</w:t>
      </w:r>
    </w:p>
    <w:p w14:paraId="0FB7486F" w14:textId="1F36E27F" w:rsidR="004B3765" w:rsidRPr="004B3765" w:rsidRDefault="004B3765" w:rsidP="004B3765">
      <w:pPr>
        <w:pStyle w:val="SubmissionNormal"/>
        <w:numPr>
          <w:ilvl w:val="0"/>
          <w:numId w:val="0"/>
        </w:numPr>
        <w:rPr>
          <w:rFonts w:cs="Open Sans"/>
          <w:b/>
          <w:bCs/>
          <w:sz w:val="22"/>
          <w:szCs w:val="22"/>
        </w:rPr>
      </w:pPr>
      <w:r w:rsidRPr="004B3765">
        <w:rPr>
          <w:rFonts w:cs="Open Sans"/>
          <w:b/>
          <w:bCs/>
          <w:sz w:val="22"/>
          <w:szCs w:val="22"/>
        </w:rPr>
        <w:lastRenderedPageBreak/>
        <w:t xml:space="preserve">Issues for consideration: </w:t>
      </w:r>
    </w:p>
    <w:p w14:paraId="4C6D721F" w14:textId="4397F1DA" w:rsidR="008F2AFF" w:rsidRPr="002D46C0" w:rsidRDefault="008F2AFF" w:rsidP="00F17595">
      <w:pPr>
        <w:pStyle w:val="SubmissionNormal"/>
        <w:numPr>
          <w:ilvl w:val="0"/>
          <w:numId w:val="24"/>
        </w:numPr>
        <w:spacing w:before="0" w:after="0"/>
        <w:ind w:left="714" w:hanging="357"/>
        <w:rPr>
          <w:rFonts w:cs="Open Sans"/>
          <w:b/>
          <w:bCs/>
          <w:sz w:val="22"/>
          <w:szCs w:val="22"/>
        </w:rPr>
      </w:pPr>
      <w:r w:rsidRPr="002D46C0">
        <w:rPr>
          <w:rFonts w:cs="Open Sans"/>
          <w:b/>
          <w:bCs/>
          <w:sz w:val="22"/>
          <w:szCs w:val="22"/>
        </w:rPr>
        <w:t xml:space="preserve">Information on consideration </w:t>
      </w:r>
      <w:r w:rsidRPr="1402DF6D">
        <w:rPr>
          <w:rFonts w:cs="Open Sans"/>
          <w:b/>
          <w:bCs/>
          <w:sz w:val="22"/>
          <w:szCs w:val="22"/>
        </w:rPr>
        <w:t>be</w:t>
      </w:r>
      <w:r w:rsidR="0B662F83" w:rsidRPr="1402DF6D">
        <w:rPr>
          <w:rFonts w:cs="Open Sans"/>
          <w:b/>
          <w:bCs/>
          <w:sz w:val="22"/>
          <w:szCs w:val="22"/>
        </w:rPr>
        <w:t>ing</w:t>
      </w:r>
      <w:r w:rsidRPr="002D46C0">
        <w:rPr>
          <w:rFonts w:cs="Open Sans"/>
          <w:b/>
          <w:bCs/>
          <w:sz w:val="22"/>
          <w:szCs w:val="22"/>
        </w:rPr>
        <w:t xml:space="preserve"> given to the ratification of the OP-ICESCR </w:t>
      </w:r>
    </w:p>
    <w:p w14:paraId="7979065C" w14:textId="00EE2E28" w:rsidR="008F2AFF" w:rsidRPr="002D46C0" w:rsidRDefault="008F2AFF" w:rsidP="00F17595">
      <w:pPr>
        <w:pStyle w:val="SubmissionNormal"/>
        <w:numPr>
          <w:ilvl w:val="0"/>
          <w:numId w:val="24"/>
        </w:numPr>
        <w:spacing w:before="0" w:after="0"/>
        <w:ind w:left="714" w:hanging="357"/>
        <w:rPr>
          <w:rFonts w:cs="Open Sans"/>
          <w:b/>
          <w:bCs/>
          <w:sz w:val="22"/>
          <w:szCs w:val="22"/>
        </w:rPr>
      </w:pPr>
      <w:r w:rsidRPr="002D46C0">
        <w:rPr>
          <w:rFonts w:cs="Open Sans"/>
          <w:b/>
          <w:bCs/>
          <w:sz w:val="22"/>
          <w:szCs w:val="22"/>
        </w:rPr>
        <w:t xml:space="preserve">Information on the incorporation of ICESCR into Australian law </w:t>
      </w:r>
    </w:p>
    <w:p w14:paraId="52266307" w14:textId="37260BAB" w:rsidR="008F2AFF" w:rsidRPr="002D46C0" w:rsidRDefault="008F2AFF" w:rsidP="00F17595">
      <w:pPr>
        <w:pStyle w:val="SubmissionNormal"/>
        <w:numPr>
          <w:ilvl w:val="0"/>
          <w:numId w:val="24"/>
        </w:numPr>
        <w:spacing w:before="0" w:after="0"/>
        <w:ind w:left="714" w:hanging="357"/>
        <w:rPr>
          <w:rFonts w:cs="Open Sans"/>
          <w:b/>
          <w:bCs/>
          <w:sz w:val="22"/>
          <w:szCs w:val="22"/>
        </w:rPr>
      </w:pPr>
      <w:r w:rsidRPr="002D46C0">
        <w:rPr>
          <w:rFonts w:cs="Open Sans"/>
          <w:b/>
          <w:bCs/>
          <w:sz w:val="22"/>
          <w:szCs w:val="22"/>
        </w:rPr>
        <w:t xml:space="preserve">Information on improving and strengthening the </w:t>
      </w:r>
      <w:r w:rsidR="4C8604F3" w:rsidRPr="1402DF6D">
        <w:rPr>
          <w:rFonts w:cs="Open Sans"/>
          <w:b/>
          <w:bCs/>
          <w:sz w:val="22"/>
          <w:szCs w:val="22"/>
        </w:rPr>
        <w:t xml:space="preserve">federal </w:t>
      </w:r>
      <w:r w:rsidRPr="002D46C0">
        <w:rPr>
          <w:rFonts w:cs="Open Sans"/>
          <w:b/>
          <w:bCs/>
          <w:sz w:val="22"/>
          <w:szCs w:val="22"/>
        </w:rPr>
        <w:t xml:space="preserve">discrimination law system </w:t>
      </w:r>
      <w:r w:rsidR="0E059624" w:rsidRPr="1402DF6D">
        <w:rPr>
          <w:rFonts w:cs="Open Sans"/>
          <w:b/>
          <w:bCs/>
          <w:sz w:val="22"/>
          <w:szCs w:val="22"/>
        </w:rPr>
        <w:t xml:space="preserve">to ensure its </w:t>
      </w:r>
      <w:r w:rsidR="0E059624" w:rsidRPr="7D0300AF">
        <w:rPr>
          <w:rFonts w:cs="Open Sans"/>
          <w:b/>
          <w:bCs/>
          <w:sz w:val="22"/>
          <w:szCs w:val="22"/>
        </w:rPr>
        <w:t>effectiveness</w:t>
      </w:r>
      <w:r w:rsidRPr="002D46C0">
        <w:rPr>
          <w:rFonts w:cs="Open Sans"/>
          <w:b/>
          <w:bCs/>
          <w:sz w:val="22"/>
          <w:szCs w:val="22"/>
        </w:rPr>
        <w:t xml:space="preserve">  </w:t>
      </w:r>
    </w:p>
    <w:p w14:paraId="6AF4B073" w14:textId="026D2CE4" w:rsidR="008F2AFF" w:rsidRPr="002D46C0" w:rsidRDefault="008F2AFF" w:rsidP="00F17595">
      <w:pPr>
        <w:pStyle w:val="SubmissionNormal"/>
        <w:numPr>
          <w:ilvl w:val="0"/>
          <w:numId w:val="24"/>
        </w:numPr>
        <w:spacing w:before="0" w:after="0"/>
        <w:ind w:left="714" w:hanging="357"/>
        <w:rPr>
          <w:rFonts w:cs="Open Sans"/>
          <w:b/>
          <w:bCs/>
          <w:sz w:val="22"/>
          <w:szCs w:val="22"/>
        </w:rPr>
      </w:pPr>
      <w:r w:rsidRPr="002D46C0">
        <w:rPr>
          <w:rFonts w:cs="Open Sans"/>
          <w:b/>
          <w:bCs/>
          <w:sz w:val="22"/>
          <w:szCs w:val="22"/>
        </w:rPr>
        <w:t>Information about procedures for considering the concerns raised by the PJCHR</w:t>
      </w:r>
    </w:p>
    <w:p w14:paraId="66794EDF" w14:textId="499A5FEF" w:rsidR="008F2AFF" w:rsidRPr="002D46C0" w:rsidRDefault="008F2AFF" w:rsidP="00F17595">
      <w:pPr>
        <w:pStyle w:val="SubmissionNormal"/>
        <w:numPr>
          <w:ilvl w:val="0"/>
          <w:numId w:val="24"/>
        </w:numPr>
        <w:spacing w:before="0" w:after="0"/>
        <w:ind w:left="714" w:hanging="357"/>
        <w:rPr>
          <w:rFonts w:cs="Open Sans"/>
          <w:b/>
          <w:bCs/>
          <w:sz w:val="22"/>
          <w:szCs w:val="22"/>
        </w:rPr>
      </w:pPr>
      <w:r w:rsidRPr="002D46C0">
        <w:rPr>
          <w:rFonts w:cs="Open Sans"/>
          <w:b/>
          <w:bCs/>
          <w:sz w:val="22"/>
          <w:szCs w:val="22"/>
        </w:rPr>
        <w:t xml:space="preserve">Information </w:t>
      </w:r>
      <w:r w:rsidR="00AA1EB9">
        <w:rPr>
          <w:rFonts w:cs="Open Sans"/>
          <w:b/>
          <w:bCs/>
          <w:sz w:val="22"/>
          <w:szCs w:val="22"/>
        </w:rPr>
        <w:t>on e</w:t>
      </w:r>
      <w:r w:rsidRPr="002D46C0">
        <w:rPr>
          <w:rFonts w:cs="Open Sans"/>
          <w:b/>
          <w:bCs/>
          <w:sz w:val="22"/>
          <w:szCs w:val="22"/>
        </w:rPr>
        <w:t xml:space="preserve">nsuring that the Commission is guided by a comprehensive definition on human rights, including by </w:t>
      </w:r>
      <w:r w:rsidR="357FECB7" w:rsidRPr="1CD9167E">
        <w:rPr>
          <w:rFonts w:cs="Open Sans"/>
          <w:b/>
          <w:bCs/>
          <w:sz w:val="22"/>
          <w:szCs w:val="22"/>
        </w:rPr>
        <w:t xml:space="preserve">scheduling </w:t>
      </w:r>
      <w:r w:rsidRPr="1CD9167E">
        <w:rPr>
          <w:rFonts w:cs="Open Sans"/>
          <w:b/>
          <w:bCs/>
          <w:sz w:val="22"/>
          <w:szCs w:val="22"/>
        </w:rPr>
        <w:t xml:space="preserve">ICESCR </w:t>
      </w:r>
      <w:r w:rsidR="38DECAD8" w:rsidRPr="1CD9167E">
        <w:rPr>
          <w:rFonts w:cs="Open Sans"/>
          <w:b/>
          <w:bCs/>
          <w:sz w:val="22"/>
          <w:szCs w:val="22"/>
        </w:rPr>
        <w:t>to the AHRC Act</w:t>
      </w:r>
    </w:p>
    <w:p w14:paraId="38EFD662" w14:textId="414BB70E" w:rsidR="008F2AFF" w:rsidRPr="002D46C0" w:rsidRDefault="008F2AFF" w:rsidP="00F17595">
      <w:pPr>
        <w:pStyle w:val="SubmissionNormal"/>
        <w:numPr>
          <w:ilvl w:val="0"/>
          <w:numId w:val="24"/>
        </w:numPr>
        <w:spacing w:before="0" w:after="0"/>
        <w:ind w:left="714" w:hanging="357"/>
        <w:rPr>
          <w:rFonts w:cs="Open Sans"/>
          <w:b/>
          <w:bCs/>
          <w:sz w:val="22"/>
          <w:szCs w:val="22"/>
        </w:rPr>
      </w:pPr>
      <w:r w:rsidRPr="002D46C0">
        <w:rPr>
          <w:rFonts w:cs="Open Sans"/>
          <w:b/>
          <w:bCs/>
          <w:sz w:val="22"/>
          <w:szCs w:val="22"/>
        </w:rPr>
        <w:t>Information on the provision of human rights education in the national school curriculum, in particular, with regard to economic, social and cultural rights. Details of the extent of human rights training that is provided to all professions and sectors having a direct role in the promotion and protection of human rights, including judges, lawyers, civil servants, teachers, law enforcement officers, migration officers, the police and the military</w:t>
      </w:r>
    </w:p>
    <w:p w14:paraId="5B8948F2" w14:textId="3052403B" w:rsidR="008F2AFF" w:rsidRPr="00163E6A" w:rsidRDefault="008F2AFF" w:rsidP="003423FA">
      <w:pPr>
        <w:pStyle w:val="Heading1"/>
        <w:numPr>
          <w:ilvl w:val="0"/>
          <w:numId w:val="0"/>
        </w:numPr>
        <w:ind w:left="720" w:hanging="720"/>
        <w:rPr>
          <w:rFonts w:cs="Open Sans"/>
          <w:sz w:val="28"/>
        </w:rPr>
      </w:pPr>
      <w:r w:rsidRPr="00163E6A">
        <w:rPr>
          <w:rFonts w:cs="Open Sans"/>
          <w:sz w:val="28"/>
        </w:rPr>
        <w:t xml:space="preserve">Human rights on the ground </w:t>
      </w:r>
    </w:p>
    <w:p w14:paraId="3FA60D34" w14:textId="0EF70E0C" w:rsidR="008F2AFF" w:rsidRPr="002D46C0" w:rsidRDefault="008F2AFF" w:rsidP="003423FA">
      <w:pPr>
        <w:pStyle w:val="Heading1"/>
        <w:numPr>
          <w:ilvl w:val="0"/>
          <w:numId w:val="0"/>
        </w:numPr>
        <w:ind w:left="720" w:hanging="720"/>
        <w:rPr>
          <w:rFonts w:cs="Open Sans"/>
          <w:i/>
          <w:iCs/>
          <w:sz w:val="24"/>
          <w:szCs w:val="24"/>
        </w:rPr>
      </w:pPr>
      <w:r w:rsidRPr="002D46C0">
        <w:rPr>
          <w:rFonts w:cs="Open Sans"/>
          <w:i/>
          <w:iCs/>
          <w:sz w:val="24"/>
          <w:szCs w:val="24"/>
        </w:rPr>
        <w:t xml:space="preserve">COVID-19 policy </w:t>
      </w:r>
    </w:p>
    <w:p w14:paraId="6B7F3ADE" w14:textId="08293E3B" w:rsidR="00AD615A" w:rsidRPr="002D46C0" w:rsidRDefault="5751D4A2" w:rsidP="006800C7">
      <w:pPr>
        <w:pStyle w:val="SubmissionNormal"/>
        <w:rPr>
          <w:rFonts w:cs="Open Sans"/>
          <w:sz w:val="22"/>
          <w:szCs w:val="22"/>
        </w:rPr>
      </w:pPr>
      <w:r w:rsidRPr="23009638">
        <w:rPr>
          <w:rFonts w:cs="Open Sans"/>
          <w:sz w:val="22"/>
          <w:szCs w:val="22"/>
        </w:rPr>
        <w:t>R</w:t>
      </w:r>
      <w:r w:rsidR="1479EE1F" w:rsidRPr="002D46C0">
        <w:rPr>
          <w:rFonts w:cs="Open Sans"/>
          <w:sz w:val="22"/>
          <w:szCs w:val="22"/>
        </w:rPr>
        <w:t>estrictions on rights</w:t>
      </w:r>
      <w:r w:rsidR="4DB7012F" w:rsidRPr="23009638">
        <w:rPr>
          <w:rFonts w:cs="Open Sans"/>
          <w:sz w:val="22"/>
          <w:szCs w:val="22"/>
        </w:rPr>
        <w:t>, as well as</w:t>
      </w:r>
      <w:r w:rsidR="1479EE1F" w:rsidRPr="002D46C0">
        <w:rPr>
          <w:rFonts w:cs="Open Sans"/>
          <w:sz w:val="22"/>
          <w:szCs w:val="22"/>
        </w:rPr>
        <w:t xml:space="preserve"> penalties</w:t>
      </w:r>
      <w:r w:rsidR="0DE9767B" w:rsidRPr="23009638">
        <w:rPr>
          <w:rFonts w:cs="Open Sans"/>
          <w:sz w:val="22"/>
          <w:szCs w:val="22"/>
        </w:rPr>
        <w:t>,</w:t>
      </w:r>
      <w:r w:rsidR="1479EE1F" w:rsidRPr="002D46C0">
        <w:rPr>
          <w:rFonts w:cs="Open Sans"/>
          <w:sz w:val="22"/>
          <w:szCs w:val="22"/>
        </w:rPr>
        <w:t xml:space="preserve"> </w:t>
      </w:r>
      <w:r w:rsidR="4D5E907B" w:rsidRPr="002D46C0">
        <w:rPr>
          <w:rFonts w:cs="Open Sans"/>
          <w:sz w:val="22"/>
          <w:szCs w:val="22"/>
        </w:rPr>
        <w:t xml:space="preserve">have been </w:t>
      </w:r>
      <w:r w:rsidR="1479EE1F" w:rsidRPr="002D46C0">
        <w:rPr>
          <w:rFonts w:cs="Open Sans"/>
          <w:sz w:val="22"/>
          <w:szCs w:val="22"/>
        </w:rPr>
        <w:t xml:space="preserve">introduced </w:t>
      </w:r>
      <w:r w:rsidR="6CD02C07" w:rsidRPr="002D46C0">
        <w:rPr>
          <w:rFonts w:cs="Open Sans"/>
          <w:sz w:val="22"/>
          <w:szCs w:val="22"/>
        </w:rPr>
        <w:t xml:space="preserve">as part of the response </w:t>
      </w:r>
      <w:r w:rsidR="1479EE1F" w:rsidRPr="002D46C0">
        <w:rPr>
          <w:rFonts w:cs="Open Sans"/>
          <w:sz w:val="22"/>
          <w:szCs w:val="22"/>
        </w:rPr>
        <w:t xml:space="preserve">to the COVID-19 pandemic without </w:t>
      </w:r>
      <w:r w:rsidR="455908A3" w:rsidRPr="002D46C0">
        <w:rPr>
          <w:rFonts w:cs="Open Sans"/>
          <w:sz w:val="22"/>
          <w:szCs w:val="22"/>
        </w:rPr>
        <w:t xml:space="preserve">there always being </w:t>
      </w:r>
      <w:r w:rsidR="4EF147A1" w:rsidRPr="002D46C0">
        <w:rPr>
          <w:rFonts w:cs="Open Sans"/>
          <w:sz w:val="22"/>
          <w:szCs w:val="22"/>
        </w:rPr>
        <w:t>adequate</w:t>
      </w:r>
      <w:r w:rsidR="1479EE1F" w:rsidRPr="002D46C0">
        <w:rPr>
          <w:rFonts w:cs="Open Sans"/>
          <w:sz w:val="22"/>
          <w:szCs w:val="22"/>
        </w:rPr>
        <w:t xml:space="preserve"> legislative oversight or review, or consideration through a human-rights framework.</w:t>
      </w:r>
      <w:r w:rsidR="008F2AFF" w:rsidRPr="002D46C0">
        <w:rPr>
          <w:rStyle w:val="EndnoteReference"/>
          <w:rFonts w:cs="Open Sans"/>
          <w:sz w:val="22"/>
          <w:szCs w:val="22"/>
        </w:rPr>
        <w:endnoteReference w:id="9"/>
      </w:r>
      <w:r w:rsidR="1479EE1F" w:rsidRPr="002D46C0">
        <w:rPr>
          <w:rFonts w:cs="Open Sans"/>
          <w:sz w:val="22"/>
          <w:szCs w:val="22"/>
        </w:rPr>
        <w:t xml:space="preserve"> There are </w:t>
      </w:r>
      <w:r w:rsidR="6923FF00">
        <w:rPr>
          <w:rFonts w:cs="Open Sans"/>
          <w:sz w:val="22"/>
          <w:szCs w:val="22"/>
        </w:rPr>
        <w:t>limited</w:t>
      </w:r>
      <w:r w:rsidR="1479EE1F" w:rsidRPr="002D46C0">
        <w:rPr>
          <w:rFonts w:cs="Open Sans"/>
          <w:sz w:val="22"/>
          <w:szCs w:val="22"/>
        </w:rPr>
        <w:t xml:space="preserve"> processes to ensure the human rights impacts of decisions made during public emergencies are properly considered. </w:t>
      </w:r>
    </w:p>
    <w:p w14:paraId="4111B23E" w14:textId="09C538F5" w:rsidR="007F629C" w:rsidRPr="000E0EDB" w:rsidRDefault="1479EE1F" w:rsidP="000E0EDB">
      <w:pPr>
        <w:pStyle w:val="SubmissionNormal"/>
        <w:rPr>
          <w:sz w:val="22"/>
          <w:szCs w:val="22"/>
        </w:rPr>
      </w:pPr>
      <w:r w:rsidRPr="000E0EDB">
        <w:rPr>
          <w:sz w:val="22"/>
          <w:szCs w:val="22"/>
        </w:rPr>
        <w:t>Australia implemented international and internal border closures and restrictions for extended periods of time during COVID-19. This included the unprecedented step of effectively preventing thousands of Australian citizens from re-entering Australia</w:t>
      </w:r>
      <w:r w:rsidR="7C8256EB" w:rsidRPr="000E0EDB">
        <w:rPr>
          <w:sz w:val="22"/>
          <w:szCs w:val="22"/>
        </w:rPr>
        <w:t>,</w:t>
      </w:r>
      <w:r w:rsidRPr="000E0EDB">
        <w:rPr>
          <w:sz w:val="22"/>
          <w:szCs w:val="22"/>
        </w:rPr>
        <w:t xml:space="preserve"> through travel caps;</w:t>
      </w:r>
      <w:r w:rsidR="008F2AFF" w:rsidRPr="000E0EDB">
        <w:rPr>
          <w:rStyle w:val="EndnoteReference"/>
          <w:rFonts w:cs="Open Sans"/>
          <w:sz w:val="22"/>
          <w:szCs w:val="22"/>
        </w:rPr>
        <w:endnoteReference w:id="10"/>
      </w:r>
      <w:r w:rsidRPr="000E0EDB">
        <w:rPr>
          <w:sz w:val="22"/>
          <w:szCs w:val="22"/>
        </w:rPr>
        <w:t xml:space="preserve"> and a ban on citizens returning from India (with penalties of 5 years imprisonment or a $66,000 fine) during the </w:t>
      </w:r>
      <w:r w:rsidR="646AB6E0" w:rsidRPr="000E0EDB">
        <w:rPr>
          <w:sz w:val="22"/>
          <w:szCs w:val="22"/>
        </w:rPr>
        <w:t>D</w:t>
      </w:r>
      <w:r w:rsidRPr="000E0EDB">
        <w:rPr>
          <w:sz w:val="22"/>
          <w:szCs w:val="22"/>
        </w:rPr>
        <w:t>elta outbreak, which drew concern by the Office of the High Commissioner for Human Rights.</w:t>
      </w:r>
      <w:r w:rsidR="008F2AFF" w:rsidRPr="000E0EDB">
        <w:rPr>
          <w:rStyle w:val="EndnoteReference"/>
          <w:rFonts w:cs="Open Sans"/>
          <w:sz w:val="22"/>
          <w:szCs w:val="22"/>
        </w:rPr>
        <w:endnoteReference w:id="11"/>
      </w:r>
      <w:r w:rsidRPr="000E0EDB">
        <w:rPr>
          <w:sz w:val="22"/>
          <w:szCs w:val="22"/>
        </w:rPr>
        <w:t xml:space="preserve"> These policies resulted in Australians overseas</w:t>
      </w:r>
      <w:r w:rsidR="71662114" w:rsidRPr="000E0EDB">
        <w:rPr>
          <w:sz w:val="22"/>
          <w:szCs w:val="22"/>
        </w:rPr>
        <w:t xml:space="preserve"> being unable to leave COVID hotspots</w:t>
      </w:r>
      <w:r w:rsidRPr="000E0EDB">
        <w:rPr>
          <w:sz w:val="22"/>
          <w:szCs w:val="22"/>
        </w:rPr>
        <w:t>; extended periods of family separation; high financial costs associated with inflated travel prices, accommodation abroad and mandated hotel quarantine upon return to Australia; lost employment opportunities</w:t>
      </w:r>
      <w:r w:rsidR="3C30127D" w:rsidRPr="000E0EDB">
        <w:rPr>
          <w:sz w:val="22"/>
          <w:szCs w:val="22"/>
        </w:rPr>
        <w:t>; and mental health</w:t>
      </w:r>
      <w:r w:rsidRPr="000E0EDB">
        <w:rPr>
          <w:sz w:val="22"/>
          <w:szCs w:val="22"/>
        </w:rPr>
        <w:t xml:space="preserve"> impacts. </w:t>
      </w:r>
      <w:r w:rsidR="246AF613" w:rsidRPr="000E0EDB">
        <w:rPr>
          <w:sz w:val="22"/>
          <w:szCs w:val="22"/>
        </w:rPr>
        <w:t>I</w:t>
      </w:r>
      <w:r w:rsidRPr="000E0EDB">
        <w:rPr>
          <w:sz w:val="22"/>
          <w:szCs w:val="22"/>
        </w:rPr>
        <w:t xml:space="preserve">nternal border closures (between states) </w:t>
      </w:r>
      <w:r w:rsidR="61491667" w:rsidRPr="000E0EDB">
        <w:rPr>
          <w:sz w:val="22"/>
          <w:szCs w:val="22"/>
        </w:rPr>
        <w:t xml:space="preserve">has also </w:t>
      </w:r>
      <w:r w:rsidRPr="000E0EDB">
        <w:rPr>
          <w:sz w:val="22"/>
          <w:szCs w:val="22"/>
        </w:rPr>
        <w:t xml:space="preserve">resulted in unjust outcomes – for example the Victorian Ombudsman found that the narrow discretion exercised by Victorian officials over exemption applications </w:t>
      </w:r>
      <w:r w:rsidR="7BD4CF59" w:rsidRPr="000E0EDB">
        <w:rPr>
          <w:sz w:val="22"/>
          <w:szCs w:val="22"/>
        </w:rPr>
        <w:t>’resulted in unjust outcomes, potentially for thousands of people’</w:t>
      </w:r>
      <w:r w:rsidRPr="000E0EDB">
        <w:rPr>
          <w:sz w:val="22"/>
          <w:szCs w:val="22"/>
        </w:rPr>
        <w:t>.</w:t>
      </w:r>
      <w:r w:rsidR="008F2AFF" w:rsidRPr="000E0EDB">
        <w:rPr>
          <w:rStyle w:val="EndnoteReference"/>
          <w:rFonts w:cs="Open Sans"/>
          <w:sz w:val="22"/>
          <w:szCs w:val="22"/>
        </w:rPr>
        <w:endnoteReference w:id="12"/>
      </w:r>
      <w:r w:rsidRPr="000E0EDB">
        <w:rPr>
          <w:sz w:val="22"/>
          <w:szCs w:val="22"/>
        </w:rPr>
        <w:t xml:space="preserve"> </w:t>
      </w:r>
    </w:p>
    <w:p w14:paraId="2AB4A924" w14:textId="53AC14A4" w:rsidR="00290563" w:rsidRPr="00290563" w:rsidRDefault="1479EE1F" w:rsidP="00DE1D1C">
      <w:pPr>
        <w:pStyle w:val="SubmissionNormal"/>
      </w:pPr>
      <w:r w:rsidRPr="000E0EDB">
        <w:rPr>
          <w:sz w:val="22"/>
          <w:szCs w:val="22"/>
        </w:rPr>
        <w:t>Australia presently has a high vaccination rate</w:t>
      </w:r>
      <w:r w:rsidR="46166957" w:rsidRPr="000E0EDB">
        <w:rPr>
          <w:sz w:val="22"/>
          <w:szCs w:val="22"/>
        </w:rPr>
        <w:t>,</w:t>
      </w:r>
      <w:r w:rsidRPr="000E0EDB">
        <w:rPr>
          <w:sz w:val="22"/>
          <w:szCs w:val="22"/>
        </w:rPr>
        <w:t xml:space="preserve"> with 90.</w:t>
      </w:r>
      <w:r w:rsidR="478098D6" w:rsidRPr="000E0EDB">
        <w:rPr>
          <w:sz w:val="22"/>
          <w:szCs w:val="22"/>
        </w:rPr>
        <w:t>49</w:t>
      </w:r>
      <w:r w:rsidRPr="000E0EDB">
        <w:rPr>
          <w:sz w:val="22"/>
          <w:szCs w:val="22"/>
        </w:rPr>
        <w:t xml:space="preserve">% of Australians over 16 </w:t>
      </w:r>
      <w:r w:rsidR="765299D4" w:rsidRPr="000E0EDB">
        <w:rPr>
          <w:sz w:val="22"/>
          <w:szCs w:val="22"/>
        </w:rPr>
        <w:t>double vaccinated</w:t>
      </w:r>
      <w:r w:rsidRPr="000E0EDB">
        <w:rPr>
          <w:sz w:val="22"/>
          <w:szCs w:val="22"/>
        </w:rPr>
        <w:t>.</w:t>
      </w:r>
      <w:r w:rsidR="008F2AFF" w:rsidRPr="000E0EDB">
        <w:rPr>
          <w:rStyle w:val="EndnoteReference"/>
          <w:rFonts w:cs="Open Sans"/>
          <w:sz w:val="22"/>
          <w:szCs w:val="22"/>
        </w:rPr>
        <w:endnoteReference w:id="13"/>
      </w:r>
      <w:r w:rsidRPr="000E0EDB">
        <w:rPr>
          <w:sz w:val="22"/>
          <w:szCs w:val="22"/>
        </w:rPr>
        <w:t xml:space="preserve"> However, Australia’s initial vaccine rollout </w:t>
      </w:r>
      <w:r w:rsidR="347F1733" w:rsidRPr="000E0EDB">
        <w:rPr>
          <w:sz w:val="22"/>
          <w:szCs w:val="22"/>
        </w:rPr>
        <w:t>experienced</w:t>
      </w:r>
      <w:r w:rsidRPr="000E0EDB">
        <w:rPr>
          <w:sz w:val="22"/>
          <w:szCs w:val="22"/>
        </w:rPr>
        <w:t xml:space="preserve"> problems and lengthy delays.</w:t>
      </w:r>
      <w:r w:rsidR="008F2AFF" w:rsidRPr="000E0EDB">
        <w:rPr>
          <w:rStyle w:val="EndnoteReference"/>
          <w:rFonts w:cs="Open Sans"/>
          <w:sz w:val="22"/>
          <w:szCs w:val="22"/>
        </w:rPr>
        <w:endnoteReference w:id="14"/>
      </w:r>
      <w:r w:rsidRPr="000E0EDB">
        <w:rPr>
          <w:sz w:val="22"/>
          <w:szCs w:val="22"/>
        </w:rPr>
        <w:t xml:space="preserve"> </w:t>
      </w:r>
      <w:r w:rsidR="6A33C022" w:rsidRPr="000E0EDB">
        <w:rPr>
          <w:sz w:val="22"/>
          <w:szCs w:val="22"/>
        </w:rPr>
        <w:t>There</w:t>
      </w:r>
      <w:r w:rsidR="2A08B008" w:rsidRPr="000E0EDB">
        <w:rPr>
          <w:sz w:val="22"/>
          <w:szCs w:val="22"/>
        </w:rPr>
        <w:t xml:space="preserve"> </w:t>
      </w:r>
      <w:r w:rsidR="776C162D" w:rsidRPr="000E0EDB">
        <w:rPr>
          <w:sz w:val="22"/>
          <w:szCs w:val="22"/>
        </w:rPr>
        <w:t>is also unevenness</w:t>
      </w:r>
      <w:r w:rsidR="2A08B008" w:rsidRPr="000E0EDB">
        <w:rPr>
          <w:sz w:val="22"/>
          <w:szCs w:val="22"/>
        </w:rPr>
        <w:t xml:space="preserve"> </w:t>
      </w:r>
      <w:r w:rsidR="4A4BB226" w:rsidRPr="000E0EDB">
        <w:rPr>
          <w:sz w:val="22"/>
          <w:szCs w:val="22"/>
        </w:rPr>
        <w:t xml:space="preserve">associated with vaccination of </w:t>
      </w:r>
      <w:r w:rsidR="2A08B008" w:rsidRPr="000E0EDB">
        <w:rPr>
          <w:sz w:val="22"/>
          <w:szCs w:val="22"/>
        </w:rPr>
        <w:t>certain vulnerable groups</w:t>
      </w:r>
      <w:r w:rsidR="55D06D28" w:rsidRPr="000E0EDB">
        <w:rPr>
          <w:sz w:val="22"/>
          <w:szCs w:val="22"/>
        </w:rPr>
        <w:t xml:space="preserve">. </w:t>
      </w:r>
      <w:r w:rsidR="6A33C022" w:rsidRPr="000E0EDB">
        <w:rPr>
          <w:sz w:val="22"/>
          <w:szCs w:val="22"/>
        </w:rPr>
        <w:t xml:space="preserve">Aboriginal and Torres Strait Islander peoples </w:t>
      </w:r>
      <w:r w:rsidR="768363B3" w:rsidRPr="000E0EDB">
        <w:rPr>
          <w:sz w:val="22"/>
          <w:szCs w:val="22"/>
        </w:rPr>
        <w:t xml:space="preserve">have lower vaccination rates </w:t>
      </w:r>
      <w:r w:rsidR="66BF0B06" w:rsidRPr="000E0EDB">
        <w:rPr>
          <w:sz w:val="22"/>
          <w:szCs w:val="22"/>
        </w:rPr>
        <w:t>compared to the overall population</w:t>
      </w:r>
      <w:r w:rsidR="7D3AED1E" w:rsidRPr="000E0EDB">
        <w:rPr>
          <w:sz w:val="22"/>
          <w:szCs w:val="22"/>
        </w:rPr>
        <w:t xml:space="preserve"> </w:t>
      </w:r>
      <w:r w:rsidR="2711BCBB" w:rsidRPr="000E0EDB">
        <w:rPr>
          <w:sz w:val="22"/>
          <w:szCs w:val="22"/>
        </w:rPr>
        <w:t xml:space="preserve">despite being classified as high priority at the </w:t>
      </w:r>
      <w:r w:rsidR="4B5A7493" w:rsidRPr="000E0EDB">
        <w:rPr>
          <w:sz w:val="22"/>
          <w:szCs w:val="22"/>
        </w:rPr>
        <w:t xml:space="preserve">commencement </w:t>
      </w:r>
      <w:r w:rsidR="2711BCBB" w:rsidRPr="000E0EDB">
        <w:rPr>
          <w:sz w:val="22"/>
          <w:szCs w:val="22"/>
        </w:rPr>
        <w:t>of the rollout</w:t>
      </w:r>
      <w:r w:rsidR="528E89D0" w:rsidRPr="000E0EDB">
        <w:rPr>
          <w:sz w:val="22"/>
          <w:szCs w:val="22"/>
        </w:rPr>
        <w:t xml:space="preserve">, </w:t>
      </w:r>
      <w:r w:rsidR="7D3AED1E" w:rsidRPr="000E0EDB">
        <w:rPr>
          <w:sz w:val="22"/>
          <w:szCs w:val="22"/>
        </w:rPr>
        <w:t>and t</w:t>
      </w:r>
      <w:r w:rsidR="1BC67142" w:rsidRPr="000E0EDB">
        <w:rPr>
          <w:sz w:val="22"/>
          <w:szCs w:val="22"/>
        </w:rPr>
        <w:t xml:space="preserve">here </w:t>
      </w:r>
      <w:r w:rsidRPr="000E0EDB">
        <w:rPr>
          <w:sz w:val="22"/>
          <w:szCs w:val="22"/>
        </w:rPr>
        <w:t xml:space="preserve">have been several outbreaks in remote </w:t>
      </w:r>
      <w:r w:rsidR="1FABC315" w:rsidRPr="000E0EDB">
        <w:rPr>
          <w:sz w:val="22"/>
          <w:szCs w:val="22"/>
        </w:rPr>
        <w:t xml:space="preserve">Indigenous </w:t>
      </w:r>
      <w:r w:rsidRPr="000E0EDB">
        <w:rPr>
          <w:sz w:val="22"/>
          <w:szCs w:val="22"/>
        </w:rPr>
        <w:t>communities.</w:t>
      </w:r>
      <w:r w:rsidR="008F2AFF" w:rsidRPr="006C1608">
        <w:rPr>
          <w:rStyle w:val="EndnoteReference"/>
          <w:rFonts w:cs="Open Sans"/>
          <w:sz w:val="22"/>
          <w:szCs w:val="22"/>
        </w:rPr>
        <w:endnoteReference w:id="15"/>
      </w:r>
      <w:r w:rsidRPr="008A1F55">
        <w:rPr>
          <w:sz w:val="22"/>
          <w:szCs w:val="22"/>
        </w:rPr>
        <w:t xml:space="preserve"> Available reporting indicates that prisoners have lower vaccination rates and limited access to testing, despite prisons being particularly susceptible to COVID outbreaks.</w:t>
      </w:r>
      <w:r w:rsidR="008F2AFF" w:rsidRPr="00DE1D1C">
        <w:rPr>
          <w:rStyle w:val="EndnoteReference"/>
          <w:rFonts w:cs="Open Sans"/>
          <w:sz w:val="22"/>
          <w:szCs w:val="22"/>
        </w:rPr>
        <w:endnoteReference w:id="16"/>
      </w:r>
      <w:r w:rsidRPr="008A1F55">
        <w:rPr>
          <w:sz w:val="22"/>
          <w:szCs w:val="22"/>
        </w:rPr>
        <w:t xml:space="preserve"> </w:t>
      </w:r>
      <w:r w:rsidR="39477B46" w:rsidRPr="3E497008">
        <w:rPr>
          <w:sz w:val="22"/>
          <w:szCs w:val="22"/>
        </w:rPr>
        <w:t xml:space="preserve"> </w:t>
      </w:r>
      <w:r w:rsidR="39477B46" w:rsidRPr="453700B8">
        <w:rPr>
          <w:sz w:val="22"/>
          <w:szCs w:val="22"/>
        </w:rPr>
        <w:t xml:space="preserve">Similar concerns have previously been raised </w:t>
      </w:r>
      <w:r w:rsidR="16417E70" w:rsidRPr="2B47D227">
        <w:rPr>
          <w:sz w:val="22"/>
          <w:szCs w:val="22"/>
        </w:rPr>
        <w:t>with respect to</w:t>
      </w:r>
      <w:r w:rsidR="39477B46" w:rsidRPr="453700B8">
        <w:rPr>
          <w:sz w:val="22"/>
          <w:szCs w:val="22"/>
        </w:rPr>
        <w:t xml:space="preserve"> individuals held in immigration detention,</w:t>
      </w:r>
      <w:r w:rsidRPr="1A09FD7C">
        <w:rPr>
          <w:rStyle w:val="EndnoteReference"/>
        </w:rPr>
        <w:endnoteReference w:id="17"/>
      </w:r>
      <w:r w:rsidR="39477B46" w:rsidRPr="453700B8">
        <w:rPr>
          <w:sz w:val="22"/>
          <w:szCs w:val="22"/>
        </w:rPr>
        <w:t xml:space="preserve"> although we note </w:t>
      </w:r>
      <w:r w:rsidR="39477B46" w:rsidRPr="23BEC195">
        <w:rPr>
          <w:sz w:val="22"/>
          <w:szCs w:val="22"/>
        </w:rPr>
        <w:t>that the offer of vaccinations to detainees has been available since early August 2021.</w:t>
      </w:r>
      <w:r w:rsidRPr="006307E0">
        <w:rPr>
          <w:rStyle w:val="EndnoteReference"/>
        </w:rPr>
        <w:endnoteReference w:id="18"/>
      </w:r>
      <w:r w:rsidR="005131D1" w:rsidRPr="005131D1">
        <w:t xml:space="preserve"> </w:t>
      </w:r>
      <w:r w:rsidR="005131D1" w:rsidRPr="005131D1">
        <w:rPr>
          <w:sz w:val="22"/>
          <w:szCs w:val="22"/>
        </w:rPr>
        <w:t xml:space="preserve">The Commission’s report </w:t>
      </w:r>
      <w:r w:rsidR="005131D1" w:rsidRPr="006307E0">
        <w:rPr>
          <w:i/>
          <w:iCs/>
          <w:sz w:val="22"/>
          <w:szCs w:val="22"/>
        </w:rPr>
        <w:t>Management of COVID-19 risks in immigration detention</w:t>
      </w:r>
      <w:r w:rsidR="005131D1" w:rsidRPr="005131D1">
        <w:rPr>
          <w:sz w:val="22"/>
          <w:szCs w:val="22"/>
        </w:rPr>
        <w:t>, recommended additional measures to address the risk of COVID-19 in immigration detention while also reducing the negative human rights impact.</w:t>
      </w:r>
      <w:r w:rsidR="005131D1">
        <w:rPr>
          <w:rStyle w:val="EndnoteReference"/>
          <w:szCs w:val="22"/>
        </w:rPr>
        <w:endnoteReference w:id="19"/>
      </w:r>
    </w:p>
    <w:p w14:paraId="742B5F09" w14:textId="7987A93A" w:rsidR="008F2AFF" w:rsidRPr="003568B7" w:rsidRDefault="008F2AFF" w:rsidP="006307E0">
      <w:pPr>
        <w:pStyle w:val="SubmissionNormal"/>
        <w:numPr>
          <w:ilvl w:val="0"/>
          <w:numId w:val="45"/>
        </w:numPr>
        <w:rPr>
          <w:rFonts w:cs="Open Sans"/>
          <w:b/>
          <w:bCs/>
          <w:sz w:val="22"/>
          <w:szCs w:val="22"/>
        </w:rPr>
      </w:pPr>
      <w:r w:rsidRPr="003568B7">
        <w:rPr>
          <w:rFonts w:cs="Open Sans"/>
          <w:b/>
          <w:bCs/>
          <w:sz w:val="22"/>
          <w:szCs w:val="22"/>
        </w:rPr>
        <w:t xml:space="preserve">Information on consideration of human rights in public decision-making </w:t>
      </w:r>
      <w:r w:rsidR="00CA570B" w:rsidRPr="003568B7">
        <w:rPr>
          <w:rFonts w:cs="Open Sans"/>
          <w:b/>
          <w:bCs/>
          <w:sz w:val="22"/>
          <w:szCs w:val="22"/>
        </w:rPr>
        <w:t xml:space="preserve">during the </w:t>
      </w:r>
      <w:r w:rsidRPr="003568B7">
        <w:rPr>
          <w:rFonts w:cs="Open Sans"/>
          <w:b/>
          <w:bCs/>
          <w:sz w:val="22"/>
          <w:szCs w:val="22"/>
        </w:rPr>
        <w:t>COVID-19</w:t>
      </w:r>
      <w:r w:rsidR="00CA570B" w:rsidRPr="003568B7">
        <w:rPr>
          <w:rFonts w:cs="Open Sans"/>
          <w:b/>
          <w:bCs/>
          <w:sz w:val="22"/>
          <w:szCs w:val="22"/>
        </w:rPr>
        <w:t xml:space="preserve"> pandemic</w:t>
      </w:r>
      <w:r w:rsidRPr="003568B7">
        <w:rPr>
          <w:rFonts w:cs="Open Sans"/>
          <w:b/>
          <w:bCs/>
          <w:sz w:val="22"/>
          <w:szCs w:val="22"/>
        </w:rPr>
        <w:t xml:space="preserve">, and </w:t>
      </w:r>
      <w:r w:rsidR="00574C1F" w:rsidRPr="003568B7">
        <w:rPr>
          <w:rFonts w:cs="Open Sans"/>
          <w:b/>
          <w:bCs/>
          <w:sz w:val="22"/>
          <w:szCs w:val="22"/>
        </w:rPr>
        <w:t xml:space="preserve">on </w:t>
      </w:r>
      <w:r w:rsidRPr="003568B7">
        <w:rPr>
          <w:rFonts w:cs="Open Sans"/>
          <w:b/>
          <w:bCs/>
          <w:sz w:val="22"/>
          <w:szCs w:val="22"/>
        </w:rPr>
        <w:t>addressing the ongoing human rights impacts of COVID-19 policies</w:t>
      </w:r>
      <w:r w:rsidR="09704536" w:rsidRPr="003568B7">
        <w:rPr>
          <w:rFonts w:cs="Open Sans"/>
          <w:b/>
          <w:bCs/>
          <w:sz w:val="22"/>
          <w:szCs w:val="22"/>
        </w:rPr>
        <w:t xml:space="preserve"> on ESC rights</w:t>
      </w:r>
      <w:r w:rsidRPr="003568B7">
        <w:rPr>
          <w:rFonts w:cs="Open Sans"/>
          <w:b/>
          <w:bCs/>
          <w:sz w:val="22"/>
          <w:szCs w:val="22"/>
        </w:rPr>
        <w:t xml:space="preserve">. </w:t>
      </w:r>
    </w:p>
    <w:p w14:paraId="5A1D77DA" w14:textId="68207143" w:rsidR="008F2AFF" w:rsidRPr="002D46C0" w:rsidRDefault="008F2AFF" w:rsidP="003423FA">
      <w:pPr>
        <w:pStyle w:val="Heading1"/>
        <w:numPr>
          <w:ilvl w:val="0"/>
          <w:numId w:val="0"/>
        </w:numPr>
        <w:ind w:left="720" w:hanging="720"/>
        <w:rPr>
          <w:rFonts w:cs="Open Sans"/>
          <w:i/>
          <w:iCs/>
          <w:sz w:val="24"/>
          <w:szCs w:val="24"/>
        </w:rPr>
      </w:pPr>
      <w:r w:rsidRPr="002D46C0">
        <w:rPr>
          <w:rFonts w:cs="Open Sans"/>
          <w:i/>
          <w:iCs/>
          <w:sz w:val="24"/>
          <w:szCs w:val="24"/>
        </w:rPr>
        <w:lastRenderedPageBreak/>
        <w:t xml:space="preserve">Aboriginal and Torres Strait Islander Peoples </w:t>
      </w:r>
    </w:p>
    <w:p w14:paraId="0982ED6B" w14:textId="02066091" w:rsidR="008F2AFF" w:rsidRPr="002D46C0" w:rsidRDefault="18C01D52" w:rsidP="003002C6">
      <w:pPr>
        <w:pStyle w:val="SubmissionNormal"/>
        <w:rPr>
          <w:rFonts w:cs="Open Sans"/>
          <w:sz w:val="22"/>
          <w:szCs w:val="22"/>
        </w:rPr>
      </w:pPr>
      <w:r w:rsidRPr="002D46C0">
        <w:rPr>
          <w:rFonts w:cs="Open Sans"/>
          <w:sz w:val="22"/>
          <w:szCs w:val="22"/>
        </w:rPr>
        <w:t xml:space="preserve">There remains an </w:t>
      </w:r>
      <w:r w:rsidR="1479EE1F" w:rsidRPr="002D46C0">
        <w:rPr>
          <w:rFonts w:cs="Open Sans"/>
          <w:sz w:val="22"/>
          <w:szCs w:val="22"/>
        </w:rPr>
        <w:t>unacceptable level of disadvantage experienced by Aboriginal and Torres Strait Islander peoples</w:t>
      </w:r>
      <w:r w:rsidR="5FFDF854" w:rsidRPr="002D46C0">
        <w:rPr>
          <w:rFonts w:cs="Open Sans"/>
          <w:sz w:val="22"/>
          <w:szCs w:val="22"/>
        </w:rPr>
        <w:t>, as well as a lack</w:t>
      </w:r>
      <w:r w:rsidR="1479EE1F" w:rsidRPr="002D46C0">
        <w:rPr>
          <w:rFonts w:cs="Open Sans"/>
          <w:sz w:val="22"/>
          <w:szCs w:val="22"/>
        </w:rPr>
        <w:t xml:space="preserve"> of </w:t>
      </w:r>
      <w:r w:rsidR="392CB3D8">
        <w:rPr>
          <w:rFonts w:cs="Open Sans"/>
          <w:sz w:val="22"/>
          <w:szCs w:val="22"/>
        </w:rPr>
        <w:t>C</w:t>
      </w:r>
      <w:r w:rsidR="1479EE1F" w:rsidRPr="002D46C0">
        <w:rPr>
          <w:rFonts w:cs="Open Sans"/>
          <w:sz w:val="22"/>
          <w:szCs w:val="22"/>
        </w:rPr>
        <w:t>onstitutional recognition.</w:t>
      </w:r>
      <w:r w:rsidR="008F2AFF" w:rsidRPr="01816EFD">
        <w:rPr>
          <w:rStyle w:val="EndnoteReference"/>
          <w:rFonts w:cs="Open Sans"/>
        </w:rPr>
        <w:endnoteReference w:id="20"/>
      </w:r>
      <w:r w:rsidR="1479EE1F" w:rsidRPr="002D46C0">
        <w:rPr>
          <w:rFonts w:cs="Open Sans"/>
          <w:sz w:val="22"/>
          <w:szCs w:val="22"/>
        </w:rPr>
        <w:t xml:space="preserve"> This was also a focus of the Committee in its 2017 Concluding </w:t>
      </w:r>
      <w:r w:rsidR="704AC563" w:rsidRPr="002D46C0">
        <w:rPr>
          <w:rFonts w:cs="Open Sans"/>
          <w:sz w:val="22"/>
          <w:szCs w:val="22"/>
        </w:rPr>
        <w:t>Observations</w:t>
      </w:r>
      <w:r w:rsidR="1479EE1F" w:rsidRPr="002D46C0">
        <w:rPr>
          <w:rFonts w:cs="Open Sans"/>
          <w:sz w:val="22"/>
          <w:szCs w:val="22"/>
        </w:rPr>
        <w:t>.</w:t>
      </w:r>
      <w:r w:rsidR="008F2AFF" w:rsidRPr="10F118F0">
        <w:rPr>
          <w:rStyle w:val="EndnoteReference"/>
          <w:rFonts w:cs="Open Sans"/>
        </w:rPr>
        <w:endnoteReference w:id="21"/>
      </w:r>
      <w:r w:rsidR="1479EE1F" w:rsidRPr="002D46C0">
        <w:rPr>
          <w:rFonts w:cs="Open Sans"/>
          <w:sz w:val="22"/>
          <w:szCs w:val="22"/>
        </w:rPr>
        <w:t xml:space="preserve"> </w:t>
      </w:r>
    </w:p>
    <w:p w14:paraId="07C5E5C6" w14:textId="365D809C" w:rsidR="008F2AFF" w:rsidRPr="002D46C0" w:rsidRDefault="1479EE1F" w:rsidP="003002C6">
      <w:pPr>
        <w:pStyle w:val="SubmissionNormal"/>
        <w:rPr>
          <w:rFonts w:cs="Open Sans"/>
          <w:sz w:val="22"/>
          <w:szCs w:val="22"/>
        </w:rPr>
      </w:pPr>
      <w:r w:rsidRPr="002D46C0">
        <w:rPr>
          <w:rFonts w:eastAsia="Calibri" w:cs="Open Sans"/>
          <w:sz w:val="22"/>
          <w:szCs w:val="22"/>
          <w:lang w:val="en-NZ" w:eastAsia="en-US"/>
        </w:rPr>
        <w:t xml:space="preserve">There is no program to implement the </w:t>
      </w:r>
      <w:r w:rsidRPr="002D46C0">
        <w:rPr>
          <w:rFonts w:cs="Open Sans"/>
          <w:sz w:val="22"/>
          <w:szCs w:val="22"/>
        </w:rPr>
        <w:t>UN Declaration on the Rights of Indigenous Peoples (UNDRIP)</w:t>
      </w:r>
      <w:r w:rsidRPr="09BE2B0E">
        <w:rPr>
          <w:rFonts w:cs="Open Sans"/>
          <w:i/>
          <w:iCs/>
          <w:sz w:val="22"/>
          <w:szCs w:val="22"/>
        </w:rPr>
        <w:t xml:space="preserve"> </w:t>
      </w:r>
      <w:r w:rsidRPr="002D46C0">
        <w:rPr>
          <w:rFonts w:cs="Open Sans"/>
          <w:sz w:val="22"/>
          <w:szCs w:val="22"/>
        </w:rPr>
        <w:t xml:space="preserve">in Australia, nor </w:t>
      </w:r>
      <w:r w:rsidR="0492C475" w:rsidRPr="002D46C0">
        <w:rPr>
          <w:rFonts w:cs="Open Sans"/>
          <w:sz w:val="22"/>
          <w:szCs w:val="22"/>
        </w:rPr>
        <w:t xml:space="preserve">a national representative </w:t>
      </w:r>
      <w:r w:rsidR="79F0A6D5" w:rsidRPr="002D46C0">
        <w:rPr>
          <w:rFonts w:cs="Open Sans"/>
          <w:sz w:val="22"/>
          <w:szCs w:val="22"/>
        </w:rPr>
        <w:t>mechanism</w:t>
      </w:r>
      <w:r w:rsidR="0492C475" w:rsidRPr="002D46C0">
        <w:rPr>
          <w:rFonts w:cs="Open Sans"/>
          <w:sz w:val="22"/>
          <w:szCs w:val="22"/>
        </w:rPr>
        <w:t xml:space="preserve"> for </w:t>
      </w:r>
      <w:r w:rsidR="392CB3D8">
        <w:rPr>
          <w:rFonts w:cs="Open Sans"/>
          <w:sz w:val="22"/>
          <w:szCs w:val="22"/>
        </w:rPr>
        <w:t>I</w:t>
      </w:r>
      <w:r w:rsidR="0492C475" w:rsidRPr="002D46C0">
        <w:rPr>
          <w:rFonts w:cs="Open Sans"/>
          <w:sz w:val="22"/>
          <w:szCs w:val="22"/>
        </w:rPr>
        <w:t>ndigenous peoples, as freely determined by them</w:t>
      </w:r>
      <w:r w:rsidRPr="002D46C0">
        <w:rPr>
          <w:rFonts w:cs="Open Sans"/>
          <w:sz w:val="22"/>
          <w:szCs w:val="22"/>
        </w:rPr>
        <w:t>.</w:t>
      </w:r>
      <w:r w:rsidR="008F2AFF" w:rsidRPr="002D46C0">
        <w:rPr>
          <w:rFonts w:cs="Open Sans"/>
          <w:sz w:val="22"/>
          <w:szCs w:val="22"/>
          <w:vertAlign w:val="superscript"/>
        </w:rPr>
        <w:endnoteReference w:id="22"/>
      </w:r>
      <w:r w:rsidRPr="002D46C0">
        <w:rPr>
          <w:rFonts w:cs="Open Sans"/>
          <w:sz w:val="22"/>
          <w:szCs w:val="22"/>
        </w:rPr>
        <w:t xml:space="preserve"> </w:t>
      </w:r>
    </w:p>
    <w:p w14:paraId="4E0C8491" w14:textId="5B9EC7C2" w:rsidR="008F2AFF" w:rsidRPr="002D46C0" w:rsidRDefault="1479EE1F" w:rsidP="003002C6">
      <w:pPr>
        <w:pStyle w:val="SubmissionNormal"/>
        <w:rPr>
          <w:rFonts w:cs="Open Sans"/>
          <w:sz w:val="22"/>
          <w:szCs w:val="22"/>
        </w:rPr>
      </w:pPr>
      <w:r w:rsidRPr="002D46C0">
        <w:rPr>
          <w:rFonts w:cs="Open Sans"/>
          <w:sz w:val="22"/>
          <w:szCs w:val="22"/>
        </w:rPr>
        <w:t>The Australian Constitution permits racial discrimination.</w:t>
      </w:r>
      <w:r w:rsidR="008F2AFF" w:rsidRPr="002D46C0">
        <w:rPr>
          <w:rStyle w:val="EndnoteReference"/>
          <w:rFonts w:cs="Open Sans"/>
          <w:sz w:val="22"/>
          <w:szCs w:val="22"/>
        </w:rPr>
        <w:endnoteReference w:id="23"/>
      </w:r>
      <w:r w:rsidRPr="002D46C0">
        <w:rPr>
          <w:rFonts w:cs="Open Sans"/>
          <w:sz w:val="22"/>
          <w:szCs w:val="22"/>
        </w:rPr>
        <w:t xml:space="preserve"> A referendum has not yet taken place to address this or recognise Aboriginal and Torres Strait Islander peoples</w:t>
      </w:r>
      <w:r w:rsidR="008F2AFF" w:rsidRPr="002D46C0">
        <w:rPr>
          <w:rStyle w:val="EndnoteReference"/>
          <w:rFonts w:eastAsia="MS Mincho" w:cs="Open Sans"/>
          <w:sz w:val="22"/>
          <w:szCs w:val="22"/>
        </w:rPr>
        <w:endnoteReference w:id="24"/>
      </w:r>
      <w:r w:rsidRPr="002D46C0">
        <w:rPr>
          <w:rFonts w:cs="Open Sans"/>
          <w:sz w:val="22"/>
          <w:szCs w:val="22"/>
        </w:rPr>
        <w:t xml:space="preserve"> despite multiple processes since 2011.</w:t>
      </w:r>
      <w:r w:rsidR="008F2AFF" w:rsidRPr="002D46C0">
        <w:rPr>
          <w:rStyle w:val="EndnoteReference"/>
          <w:rFonts w:eastAsia="MS Mincho" w:cs="Open Sans"/>
          <w:sz w:val="22"/>
          <w:szCs w:val="22"/>
        </w:rPr>
        <w:endnoteReference w:id="25"/>
      </w:r>
      <w:r w:rsidRPr="002D46C0">
        <w:rPr>
          <w:rFonts w:cs="Open Sans"/>
          <w:sz w:val="22"/>
          <w:szCs w:val="22"/>
        </w:rPr>
        <w:t xml:space="preserve"> Constitutional reform, truth telling and agreement making are critical to addressing the concerns experienced by Aboriginal and Torres Strait Islander peoples, including self-determination and key </w:t>
      </w:r>
      <w:r w:rsidR="3D446BA6">
        <w:rPr>
          <w:rFonts w:cs="Open Sans"/>
          <w:sz w:val="22"/>
          <w:szCs w:val="22"/>
        </w:rPr>
        <w:t>ESC</w:t>
      </w:r>
      <w:r w:rsidRPr="002D46C0">
        <w:rPr>
          <w:rFonts w:cs="Open Sans"/>
          <w:sz w:val="22"/>
          <w:szCs w:val="22"/>
        </w:rPr>
        <w:t xml:space="preserve"> rights. </w:t>
      </w:r>
      <w:r w:rsidR="2347C556" w:rsidRPr="002D46C0">
        <w:rPr>
          <w:rFonts w:cs="Open Sans"/>
          <w:sz w:val="22"/>
          <w:szCs w:val="22"/>
        </w:rPr>
        <w:t>The</w:t>
      </w:r>
      <w:r w:rsidRPr="002D46C0">
        <w:rPr>
          <w:rFonts w:cs="Open Sans"/>
          <w:sz w:val="22"/>
          <w:szCs w:val="22"/>
        </w:rPr>
        <w:t xml:space="preserve"> Uluru Statement </w:t>
      </w:r>
      <w:r w:rsidR="5E30AC09" w:rsidRPr="002D46C0">
        <w:rPr>
          <w:rFonts w:cs="Open Sans"/>
          <w:sz w:val="22"/>
          <w:szCs w:val="22"/>
        </w:rPr>
        <w:t xml:space="preserve">of the Heart sets out a process to address these concerns. It has not been implemented to date, although the Government is currently considering options for </w:t>
      </w:r>
      <w:r w:rsidR="68BA94D6" w:rsidRPr="002D46C0">
        <w:rPr>
          <w:rFonts w:cs="Open Sans"/>
          <w:sz w:val="22"/>
          <w:szCs w:val="22"/>
        </w:rPr>
        <w:t>national</w:t>
      </w:r>
      <w:r w:rsidR="5E30AC09" w:rsidRPr="002D46C0">
        <w:rPr>
          <w:rFonts w:cs="Open Sans"/>
          <w:sz w:val="22"/>
          <w:szCs w:val="22"/>
        </w:rPr>
        <w:t xml:space="preserve"> and regional representative structures for </w:t>
      </w:r>
      <w:r w:rsidR="68BA94D6">
        <w:rPr>
          <w:rFonts w:cs="Open Sans"/>
          <w:sz w:val="22"/>
          <w:szCs w:val="22"/>
        </w:rPr>
        <w:t>I</w:t>
      </w:r>
      <w:r w:rsidR="5E30AC09" w:rsidRPr="002D46C0">
        <w:rPr>
          <w:rFonts w:cs="Open Sans"/>
          <w:sz w:val="22"/>
          <w:szCs w:val="22"/>
        </w:rPr>
        <w:t>ndigenous peoples</w:t>
      </w:r>
      <w:r w:rsidRPr="002D46C0">
        <w:rPr>
          <w:rFonts w:cs="Open Sans"/>
          <w:sz w:val="22"/>
          <w:szCs w:val="22"/>
        </w:rPr>
        <w:t>.</w:t>
      </w:r>
      <w:r w:rsidR="008F2AFF" w:rsidRPr="002D46C0">
        <w:rPr>
          <w:rStyle w:val="EndnoteReference"/>
          <w:rFonts w:eastAsia="MS Mincho" w:cs="Open Sans"/>
          <w:sz w:val="22"/>
          <w:szCs w:val="22"/>
        </w:rPr>
        <w:endnoteReference w:id="26"/>
      </w:r>
      <w:r w:rsidRPr="002D46C0">
        <w:rPr>
          <w:rFonts w:cs="Open Sans"/>
          <w:sz w:val="22"/>
          <w:szCs w:val="22"/>
        </w:rPr>
        <w:t xml:space="preserve"> </w:t>
      </w:r>
    </w:p>
    <w:p w14:paraId="2A34345C" w14:textId="436DF626" w:rsidR="008F2AFF" w:rsidRPr="002D2EBB" w:rsidRDefault="1479EE1F" w:rsidP="00E506C1">
      <w:pPr>
        <w:pStyle w:val="SubmissionNormal"/>
        <w:rPr>
          <w:rFonts w:cs="Open Sans"/>
          <w:sz w:val="22"/>
          <w:szCs w:val="22"/>
        </w:rPr>
      </w:pPr>
      <w:r w:rsidRPr="002D46C0">
        <w:rPr>
          <w:rFonts w:cs="Open Sans"/>
          <w:sz w:val="22"/>
          <w:szCs w:val="22"/>
        </w:rPr>
        <w:t>The Closing the Gap strategy aims to ‘</w:t>
      </w:r>
      <w:r w:rsidRPr="002D46C0">
        <w:rPr>
          <w:rFonts w:eastAsia="Calibri" w:cs="Open Sans"/>
          <w:sz w:val="22"/>
          <w:szCs w:val="22"/>
          <w:lang w:val="en-NZ" w:eastAsia="en-US"/>
        </w:rPr>
        <w:t xml:space="preserve">close the gap’ between Indigenous and non-Indigenous </w:t>
      </w:r>
      <w:r w:rsidRPr="002D46C0">
        <w:rPr>
          <w:rFonts w:eastAsia="Calibri" w:cs="Open Sans"/>
          <w:sz w:val="22"/>
          <w:szCs w:val="22"/>
          <w:lang w:val="en-NZ"/>
        </w:rPr>
        <w:t>Australians</w:t>
      </w:r>
      <w:r w:rsidRPr="002D46C0">
        <w:rPr>
          <w:rFonts w:eastAsia="Calibri" w:cs="Open Sans"/>
          <w:sz w:val="22"/>
          <w:szCs w:val="22"/>
          <w:lang w:val="en-NZ" w:eastAsia="en-US"/>
        </w:rPr>
        <w:t xml:space="preserve"> </w:t>
      </w:r>
      <w:r w:rsidRPr="002D46C0">
        <w:rPr>
          <w:rFonts w:cs="Open Sans"/>
          <w:sz w:val="22"/>
          <w:szCs w:val="22"/>
        </w:rPr>
        <w:t>across a range of life outcomes. As of 2020, Government reporting shows that two of the seven targets</w:t>
      </w:r>
      <w:r w:rsidRPr="002D46C0">
        <w:rPr>
          <w:rFonts w:cs="Open Sans"/>
          <w:sz w:val="22"/>
          <w:szCs w:val="22"/>
          <w:shd w:val="clear" w:color="auto" w:fill="FFFFFF"/>
        </w:rPr>
        <w:t>—</w:t>
      </w:r>
      <w:r w:rsidRPr="002D46C0">
        <w:rPr>
          <w:rFonts w:eastAsia="Calibri" w:cs="Open Sans"/>
          <w:sz w:val="22"/>
          <w:szCs w:val="22"/>
          <w:lang w:val="en-NZ" w:eastAsia="en-US"/>
        </w:rPr>
        <w:t>early childhood education and Year 12 attainment</w:t>
      </w:r>
      <w:r w:rsidRPr="002D46C0">
        <w:rPr>
          <w:rFonts w:cs="Open Sans"/>
          <w:sz w:val="22"/>
          <w:szCs w:val="22"/>
          <w:shd w:val="clear" w:color="auto" w:fill="FFFFFF"/>
        </w:rPr>
        <w:t>—</w:t>
      </w:r>
      <w:r w:rsidRPr="002D46C0">
        <w:rPr>
          <w:rFonts w:eastAsia="Calibri" w:cs="Open Sans"/>
          <w:sz w:val="22"/>
          <w:szCs w:val="22"/>
          <w:lang w:val="en-NZ" w:eastAsia="en-US"/>
        </w:rPr>
        <w:t>are on track to be met by 2031.</w:t>
      </w:r>
      <w:r w:rsidR="008F2AFF" w:rsidRPr="002D46C0">
        <w:rPr>
          <w:rStyle w:val="EndnoteReference"/>
          <w:rFonts w:eastAsia="Calibri" w:cs="Open Sans"/>
          <w:sz w:val="22"/>
          <w:szCs w:val="22"/>
          <w:lang w:val="en-NZ" w:eastAsia="en-US"/>
        </w:rPr>
        <w:endnoteReference w:id="27"/>
      </w:r>
      <w:r w:rsidRPr="002D46C0">
        <w:rPr>
          <w:rFonts w:cs="Open Sans"/>
          <w:sz w:val="22"/>
          <w:szCs w:val="22"/>
        </w:rPr>
        <w:t xml:space="preserve"> Other areas such as employment and school attendance have not seen improvements,</w:t>
      </w:r>
      <w:r w:rsidR="008F2AFF" w:rsidRPr="002D46C0">
        <w:rPr>
          <w:rStyle w:val="EndnoteReference"/>
          <w:rFonts w:eastAsia="MS Mincho" w:cs="Open Sans"/>
          <w:sz w:val="22"/>
          <w:szCs w:val="22"/>
        </w:rPr>
        <w:endnoteReference w:id="28"/>
      </w:r>
      <w:r w:rsidRPr="002D46C0">
        <w:rPr>
          <w:rFonts w:cs="Open Sans"/>
          <w:sz w:val="22"/>
          <w:szCs w:val="22"/>
        </w:rPr>
        <w:t xml:space="preserve"> and the life expectancy gap has persisted.</w:t>
      </w:r>
      <w:r w:rsidR="008F2AFF" w:rsidRPr="002D46C0">
        <w:rPr>
          <w:rStyle w:val="EndnoteReference"/>
          <w:rFonts w:eastAsia="MS Mincho" w:cs="Open Sans"/>
          <w:sz w:val="22"/>
          <w:szCs w:val="22"/>
        </w:rPr>
        <w:endnoteReference w:id="29"/>
      </w:r>
      <w:r w:rsidRPr="002D46C0">
        <w:rPr>
          <w:rFonts w:cs="Open Sans"/>
          <w:sz w:val="22"/>
          <w:szCs w:val="22"/>
        </w:rPr>
        <w:t xml:space="preserve"> The Commission</w:t>
      </w:r>
      <w:r w:rsidR="1C68A7A1" w:rsidRPr="002D46C0">
        <w:rPr>
          <w:rFonts w:cs="Open Sans"/>
          <w:sz w:val="22"/>
          <w:szCs w:val="22"/>
        </w:rPr>
        <w:t xml:space="preserve"> </w:t>
      </w:r>
      <w:r w:rsidRPr="002D46C0">
        <w:rPr>
          <w:rFonts w:cs="Open Sans"/>
          <w:sz w:val="22"/>
          <w:szCs w:val="22"/>
        </w:rPr>
        <w:t xml:space="preserve"> </w:t>
      </w:r>
      <w:r w:rsidR="5C7C53AE" w:rsidRPr="002D46C0">
        <w:rPr>
          <w:rFonts w:cs="Open Sans"/>
          <w:sz w:val="22"/>
          <w:szCs w:val="22"/>
        </w:rPr>
        <w:t xml:space="preserve">in </w:t>
      </w:r>
      <w:r w:rsidRPr="002D46C0">
        <w:rPr>
          <w:rFonts w:cs="Open Sans"/>
          <w:sz w:val="22"/>
          <w:szCs w:val="22"/>
        </w:rPr>
        <w:t xml:space="preserve">2021 </w:t>
      </w:r>
      <w:r w:rsidR="3CA1CDF3" w:rsidRPr="002D46C0">
        <w:rPr>
          <w:rFonts w:cs="Open Sans"/>
          <w:sz w:val="22"/>
          <w:szCs w:val="22"/>
        </w:rPr>
        <w:t>has noted</w:t>
      </w:r>
      <w:r w:rsidRPr="002D46C0">
        <w:rPr>
          <w:rFonts w:cs="Open Sans"/>
          <w:sz w:val="22"/>
          <w:szCs w:val="22"/>
        </w:rPr>
        <w:t xml:space="preserve"> improvements in some health </w:t>
      </w:r>
      <w:r w:rsidRPr="002D2EBB">
        <w:rPr>
          <w:rFonts w:cs="Open Sans"/>
          <w:sz w:val="22"/>
          <w:szCs w:val="22"/>
        </w:rPr>
        <w:t>areas, such as antenatal, infant and early childhood health, and a lack of improvement in areas including rates of out-of</w:t>
      </w:r>
      <w:r w:rsidR="7EFD6255">
        <w:rPr>
          <w:rFonts w:cs="Open Sans"/>
          <w:sz w:val="22"/>
          <w:szCs w:val="22"/>
        </w:rPr>
        <w:t>-</w:t>
      </w:r>
      <w:r w:rsidRPr="002D2EBB">
        <w:rPr>
          <w:rFonts w:cs="Open Sans"/>
          <w:sz w:val="22"/>
          <w:szCs w:val="22"/>
        </w:rPr>
        <w:t>home care and imprisonment.</w:t>
      </w:r>
      <w:r w:rsidR="008F2AFF" w:rsidRPr="01816EFD">
        <w:rPr>
          <w:rStyle w:val="EndnoteReference"/>
          <w:rFonts w:cs="Open Sans"/>
        </w:rPr>
        <w:endnoteReference w:id="30"/>
      </w:r>
      <w:r w:rsidRPr="002D2EBB">
        <w:rPr>
          <w:rFonts w:cs="Open Sans"/>
          <w:sz w:val="22"/>
          <w:szCs w:val="22"/>
        </w:rPr>
        <w:t xml:space="preserve"> The Commission welcomes the Partnership Agreement in 2019 between the Coalition of Peaks and NFRC</w:t>
      </w:r>
      <w:r w:rsidRPr="002D2EBB">
        <w:rPr>
          <w:rFonts w:cs="Open Sans"/>
          <w:sz w:val="22"/>
          <w:szCs w:val="22"/>
          <w:shd w:val="clear" w:color="auto" w:fill="FFFFFF"/>
        </w:rPr>
        <w:t>—</w:t>
      </w:r>
      <w:r w:rsidRPr="002D2EBB">
        <w:rPr>
          <w:rFonts w:cs="Open Sans"/>
          <w:sz w:val="22"/>
          <w:szCs w:val="22"/>
        </w:rPr>
        <w:t>the peak intergovernmental forum in Australia.</w:t>
      </w:r>
      <w:r w:rsidR="008F2AFF" w:rsidRPr="002D2EBB">
        <w:rPr>
          <w:rStyle w:val="EndnoteReference"/>
          <w:rFonts w:eastAsia="MS Mincho" w:cs="Open Sans"/>
          <w:sz w:val="22"/>
          <w:szCs w:val="22"/>
        </w:rPr>
        <w:endnoteReference w:id="31"/>
      </w:r>
      <w:r w:rsidRPr="002D2EBB">
        <w:rPr>
          <w:rFonts w:cs="Open Sans"/>
          <w:sz w:val="22"/>
          <w:szCs w:val="22"/>
        </w:rPr>
        <w:t xml:space="preserve"> </w:t>
      </w:r>
    </w:p>
    <w:p w14:paraId="7372910B" w14:textId="6F18595E" w:rsidR="008F2AFF" w:rsidRPr="002D2EBB" w:rsidRDefault="1479EE1F">
      <w:pPr>
        <w:pStyle w:val="SubmissionNormal"/>
        <w:rPr>
          <w:rFonts w:cs="Open Sans"/>
          <w:sz w:val="22"/>
          <w:szCs w:val="22"/>
        </w:rPr>
      </w:pPr>
      <w:r w:rsidRPr="002D2EBB">
        <w:rPr>
          <w:rFonts w:cs="Open Sans"/>
          <w:sz w:val="22"/>
          <w:szCs w:val="22"/>
        </w:rPr>
        <w:t xml:space="preserve">The Commission’s </w:t>
      </w:r>
      <w:bookmarkStart w:id="6" w:name="_Hlk90556981"/>
      <w:r w:rsidRPr="09BE2B0E">
        <w:rPr>
          <w:rFonts w:cs="Open Sans"/>
          <w:i/>
          <w:iCs/>
          <w:sz w:val="22"/>
          <w:szCs w:val="22"/>
        </w:rPr>
        <w:t>Wiyi Yani U Thangani</w:t>
      </w:r>
      <w:r w:rsidRPr="002D2EBB">
        <w:rPr>
          <w:rFonts w:cs="Open Sans"/>
          <w:sz w:val="22"/>
          <w:szCs w:val="22"/>
        </w:rPr>
        <w:t xml:space="preserve"> </w:t>
      </w:r>
      <w:bookmarkEnd w:id="6"/>
      <w:r w:rsidRPr="002D2EBB">
        <w:rPr>
          <w:rFonts w:cs="Open Sans"/>
          <w:sz w:val="22"/>
          <w:szCs w:val="22"/>
        </w:rPr>
        <w:t>project identifies actions to improve the human rights of Aboriginal and Torres Strait Islander women and girls. This includes an urgent focus on reducing over-representation of Indigenous people in care and protection systems,</w:t>
      </w:r>
      <w:r w:rsidR="008F2AFF" w:rsidRPr="002D2EBB">
        <w:rPr>
          <w:rStyle w:val="EndnoteReference"/>
          <w:rFonts w:eastAsia="MS Mincho" w:cs="Open Sans"/>
          <w:sz w:val="22"/>
          <w:szCs w:val="22"/>
        </w:rPr>
        <w:endnoteReference w:id="32"/>
      </w:r>
      <w:r w:rsidRPr="002D2EBB">
        <w:rPr>
          <w:rFonts w:cs="Open Sans"/>
          <w:sz w:val="22"/>
          <w:szCs w:val="22"/>
        </w:rPr>
        <w:t xml:space="preserve"> criminal justice,</w:t>
      </w:r>
      <w:r w:rsidR="008F2AFF" w:rsidRPr="002D2EBB">
        <w:rPr>
          <w:rStyle w:val="EndnoteReference"/>
          <w:rFonts w:eastAsia="MS Mincho" w:cs="Open Sans"/>
          <w:sz w:val="22"/>
          <w:szCs w:val="22"/>
        </w:rPr>
        <w:endnoteReference w:id="33"/>
      </w:r>
      <w:r w:rsidRPr="002D2EBB">
        <w:rPr>
          <w:rFonts w:cs="Open Sans"/>
          <w:sz w:val="22"/>
          <w:szCs w:val="22"/>
        </w:rPr>
        <w:t xml:space="preserve"> and as victims of family violence,</w:t>
      </w:r>
      <w:r w:rsidR="008F2AFF" w:rsidRPr="002D2EBB">
        <w:rPr>
          <w:rStyle w:val="EndnoteReference"/>
          <w:rFonts w:eastAsia="MS Mincho" w:cs="Open Sans"/>
          <w:sz w:val="22"/>
          <w:szCs w:val="22"/>
        </w:rPr>
        <w:endnoteReference w:id="34"/>
      </w:r>
      <w:r w:rsidRPr="002D2EBB">
        <w:rPr>
          <w:rFonts w:cs="Open Sans"/>
          <w:sz w:val="22"/>
          <w:szCs w:val="22"/>
        </w:rPr>
        <w:t xml:space="preserve"> with a focus on trauma recovery. A key recommendation is the development of a National Action Plan for Aboriginal and Torres Islander Women and Girls.</w:t>
      </w:r>
      <w:r w:rsidR="008F2AFF" w:rsidRPr="01816EFD">
        <w:rPr>
          <w:rStyle w:val="EndnoteReference"/>
          <w:rFonts w:cs="Open Sans"/>
        </w:rPr>
        <w:endnoteReference w:id="35"/>
      </w:r>
      <w:r w:rsidRPr="002D2EBB">
        <w:rPr>
          <w:rFonts w:cs="Open Sans"/>
          <w:sz w:val="22"/>
          <w:szCs w:val="22"/>
        </w:rPr>
        <w:t xml:space="preserve"> </w:t>
      </w:r>
    </w:p>
    <w:p w14:paraId="0D20DA4F" w14:textId="1429533A" w:rsidR="008F2AFF" w:rsidRPr="002D46C0" w:rsidRDefault="1479EE1F" w:rsidP="00B06C9A">
      <w:pPr>
        <w:pStyle w:val="SubmissionNormal"/>
        <w:rPr>
          <w:rFonts w:cs="Open Sans"/>
          <w:sz w:val="22"/>
          <w:szCs w:val="22"/>
        </w:rPr>
      </w:pPr>
      <w:r w:rsidRPr="002D46C0">
        <w:rPr>
          <w:rFonts w:cs="Open Sans"/>
          <w:sz w:val="22"/>
          <w:szCs w:val="22"/>
        </w:rPr>
        <w:t xml:space="preserve">Significant concerns remain about the evidentiary requirements under the </w:t>
      </w:r>
      <w:r w:rsidRPr="09BE2B0E">
        <w:rPr>
          <w:rFonts w:cs="Open Sans"/>
          <w:i/>
          <w:iCs/>
          <w:sz w:val="22"/>
          <w:szCs w:val="22"/>
        </w:rPr>
        <w:t xml:space="preserve">Native Title Act 1993 </w:t>
      </w:r>
      <w:r w:rsidRPr="002D46C0">
        <w:rPr>
          <w:rFonts w:cs="Open Sans"/>
          <w:sz w:val="22"/>
          <w:szCs w:val="22"/>
        </w:rPr>
        <w:t>for proving Indigenous peoples’ connection to country.</w:t>
      </w:r>
      <w:r w:rsidR="008F2AFF" w:rsidRPr="002D46C0">
        <w:rPr>
          <w:rStyle w:val="EndnoteReference"/>
          <w:rFonts w:cs="Open Sans"/>
          <w:sz w:val="22"/>
          <w:szCs w:val="22"/>
        </w:rPr>
        <w:endnoteReference w:id="36"/>
      </w:r>
      <w:r w:rsidRPr="002D46C0">
        <w:rPr>
          <w:rFonts w:cs="Open Sans"/>
          <w:sz w:val="22"/>
          <w:szCs w:val="22"/>
        </w:rPr>
        <w:t xml:space="preserve"> The Commission also notes the Joint Standing Committee on Northern Australia’s ‘Final report into the destruction of Indigenous heritage sites at Juukan Gorge’, which found that deficiencies exist in Aboriginal and Torres Strait Islander cultural heritage legislation in all Australian jurisdictions.</w:t>
      </w:r>
      <w:r w:rsidR="008F2AFF" w:rsidRPr="002D46C0">
        <w:rPr>
          <w:rStyle w:val="EndnoteReference"/>
          <w:rFonts w:cs="Open Sans"/>
          <w:sz w:val="22"/>
          <w:szCs w:val="22"/>
        </w:rPr>
        <w:endnoteReference w:id="37"/>
      </w:r>
      <w:r w:rsidRPr="002D46C0">
        <w:rPr>
          <w:rFonts w:cs="Open Sans"/>
          <w:sz w:val="22"/>
          <w:szCs w:val="22"/>
        </w:rPr>
        <w:t xml:space="preserve"> </w:t>
      </w:r>
    </w:p>
    <w:p w14:paraId="5EACCD91" w14:textId="60CD9855" w:rsidR="008F2AFF" w:rsidRPr="002D46C0" w:rsidRDefault="008F2AFF" w:rsidP="00F17595">
      <w:pPr>
        <w:pStyle w:val="SubmissionNormal"/>
        <w:numPr>
          <w:ilvl w:val="0"/>
          <w:numId w:val="26"/>
        </w:numPr>
        <w:spacing w:before="0" w:after="0"/>
        <w:ind w:left="714" w:hanging="357"/>
        <w:rPr>
          <w:rFonts w:cs="Open Sans"/>
          <w:b/>
          <w:bCs/>
          <w:sz w:val="22"/>
          <w:szCs w:val="22"/>
        </w:rPr>
      </w:pPr>
      <w:r w:rsidRPr="002D46C0">
        <w:rPr>
          <w:rFonts w:cs="Open Sans"/>
          <w:b/>
          <w:bCs/>
          <w:sz w:val="22"/>
          <w:szCs w:val="22"/>
        </w:rPr>
        <w:t xml:space="preserve">Information on the implementation of UNDRIP </w:t>
      </w:r>
    </w:p>
    <w:p w14:paraId="1CDFE2F3" w14:textId="04126635" w:rsidR="008F2AFF" w:rsidRPr="002D46C0" w:rsidRDefault="008F2AFF" w:rsidP="00F17595">
      <w:pPr>
        <w:pStyle w:val="SubmissionNormal"/>
        <w:numPr>
          <w:ilvl w:val="0"/>
          <w:numId w:val="26"/>
        </w:numPr>
        <w:spacing w:before="0" w:after="0"/>
        <w:ind w:left="714" w:hanging="357"/>
        <w:rPr>
          <w:rFonts w:cs="Open Sans"/>
          <w:b/>
          <w:bCs/>
          <w:sz w:val="22"/>
          <w:szCs w:val="22"/>
        </w:rPr>
      </w:pPr>
      <w:r w:rsidRPr="002D46C0">
        <w:rPr>
          <w:rFonts w:cs="Open Sans"/>
          <w:b/>
          <w:bCs/>
          <w:sz w:val="22"/>
          <w:szCs w:val="22"/>
        </w:rPr>
        <w:t xml:space="preserve">Information on steps taken to institute Constitutional reform, including a Voice to Parliament as set out in the Uluru statement </w:t>
      </w:r>
    </w:p>
    <w:p w14:paraId="03FA6363" w14:textId="74F76E14" w:rsidR="008F2AFF" w:rsidRPr="002D46C0" w:rsidRDefault="008F2AFF" w:rsidP="00F17595">
      <w:pPr>
        <w:pStyle w:val="SubmissionNormal"/>
        <w:numPr>
          <w:ilvl w:val="0"/>
          <w:numId w:val="26"/>
        </w:numPr>
        <w:spacing w:before="0" w:after="0"/>
        <w:ind w:left="714" w:hanging="357"/>
        <w:rPr>
          <w:rFonts w:cs="Open Sans"/>
          <w:b/>
          <w:bCs/>
          <w:sz w:val="22"/>
          <w:szCs w:val="22"/>
        </w:rPr>
      </w:pPr>
      <w:r w:rsidRPr="002D46C0">
        <w:rPr>
          <w:rFonts w:cs="Open Sans"/>
          <w:b/>
          <w:bCs/>
          <w:sz w:val="22"/>
          <w:szCs w:val="22"/>
        </w:rPr>
        <w:t>Information about funding and actions to achieve Closing the Gap targets by 2031</w:t>
      </w:r>
    </w:p>
    <w:p w14:paraId="08FC468F" w14:textId="5346FB50" w:rsidR="008F2AFF" w:rsidRPr="002D46C0" w:rsidRDefault="008F2AFF" w:rsidP="00F17595">
      <w:pPr>
        <w:pStyle w:val="SubmissionNormal"/>
        <w:numPr>
          <w:ilvl w:val="0"/>
          <w:numId w:val="26"/>
        </w:numPr>
        <w:spacing w:before="0" w:after="0"/>
        <w:ind w:left="714" w:hanging="357"/>
        <w:rPr>
          <w:rFonts w:cs="Open Sans"/>
          <w:b/>
          <w:bCs/>
          <w:sz w:val="22"/>
          <w:szCs w:val="22"/>
        </w:rPr>
      </w:pPr>
      <w:r w:rsidRPr="002D46C0">
        <w:rPr>
          <w:rFonts w:cs="Open Sans"/>
          <w:b/>
          <w:bCs/>
          <w:sz w:val="22"/>
          <w:szCs w:val="22"/>
        </w:rPr>
        <w:t xml:space="preserve">Information on steps taken to implement the </w:t>
      </w:r>
      <w:r w:rsidRPr="002D46C0">
        <w:rPr>
          <w:rFonts w:cs="Open Sans"/>
          <w:b/>
          <w:bCs/>
          <w:i/>
          <w:iCs/>
          <w:sz w:val="22"/>
          <w:szCs w:val="22"/>
        </w:rPr>
        <w:t xml:space="preserve">Wiyi Yani U Thangani </w:t>
      </w:r>
      <w:r w:rsidRPr="002D46C0">
        <w:rPr>
          <w:rFonts w:cs="Open Sans"/>
          <w:b/>
          <w:bCs/>
          <w:sz w:val="22"/>
          <w:szCs w:val="22"/>
        </w:rPr>
        <w:t xml:space="preserve">project recommendations </w:t>
      </w:r>
    </w:p>
    <w:p w14:paraId="60863904" w14:textId="3F20DC42" w:rsidR="008F2AFF" w:rsidRPr="002D46C0" w:rsidRDefault="008F2AFF" w:rsidP="00F17595">
      <w:pPr>
        <w:pStyle w:val="SubmissionNormal"/>
        <w:numPr>
          <w:ilvl w:val="0"/>
          <w:numId w:val="26"/>
        </w:numPr>
        <w:spacing w:before="0" w:after="0"/>
        <w:ind w:left="714" w:hanging="357"/>
        <w:rPr>
          <w:rFonts w:cs="Open Sans"/>
          <w:b/>
          <w:bCs/>
          <w:sz w:val="22"/>
          <w:szCs w:val="22"/>
        </w:rPr>
      </w:pPr>
      <w:r w:rsidRPr="002D46C0">
        <w:rPr>
          <w:rFonts w:cs="Open Sans"/>
          <w:b/>
          <w:bCs/>
          <w:sz w:val="22"/>
          <w:szCs w:val="22"/>
        </w:rPr>
        <w:t>Information on steps to be taken to better recognise and protect Indigenous peoples’ native title rights and interests</w:t>
      </w:r>
    </w:p>
    <w:p w14:paraId="08AD0E7A" w14:textId="3E60BD4D" w:rsidR="008F2AFF" w:rsidRPr="002D46C0" w:rsidRDefault="008F2AFF" w:rsidP="00F17595">
      <w:pPr>
        <w:pStyle w:val="SubmissionNormal"/>
        <w:numPr>
          <w:ilvl w:val="0"/>
          <w:numId w:val="26"/>
        </w:numPr>
        <w:spacing w:before="0" w:after="0"/>
        <w:ind w:left="714" w:hanging="357"/>
        <w:rPr>
          <w:rFonts w:cs="Open Sans"/>
          <w:b/>
          <w:bCs/>
          <w:sz w:val="22"/>
          <w:szCs w:val="22"/>
        </w:rPr>
      </w:pPr>
      <w:r w:rsidRPr="002D46C0">
        <w:rPr>
          <w:rFonts w:cs="Open Sans"/>
          <w:b/>
          <w:bCs/>
          <w:sz w:val="22"/>
          <w:szCs w:val="22"/>
        </w:rPr>
        <w:t xml:space="preserve">Information on the adequacy of Aboriginal and Torres Strait Islander cultural heritage protection </w:t>
      </w:r>
    </w:p>
    <w:p w14:paraId="61B02455" w14:textId="02E24F50" w:rsidR="008F2AFF" w:rsidRPr="002D46C0" w:rsidRDefault="008F2AFF" w:rsidP="003423FA">
      <w:pPr>
        <w:pStyle w:val="Heading2"/>
        <w:numPr>
          <w:ilvl w:val="0"/>
          <w:numId w:val="0"/>
        </w:numPr>
        <w:ind w:left="720" w:hanging="720"/>
        <w:rPr>
          <w:rFonts w:cs="Open Sans"/>
          <w:color w:val="auto"/>
          <w:sz w:val="24"/>
          <w:szCs w:val="24"/>
        </w:rPr>
      </w:pPr>
      <w:bookmarkStart w:id="7" w:name="_Toc49332454"/>
      <w:r w:rsidRPr="002D46C0">
        <w:rPr>
          <w:rFonts w:cs="Open Sans"/>
          <w:color w:val="auto"/>
          <w:sz w:val="24"/>
          <w:szCs w:val="24"/>
        </w:rPr>
        <w:t>People with disability</w:t>
      </w:r>
      <w:bookmarkEnd w:id="7"/>
    </w:p>
    <w:p w14:paraId="0D162BC3" w14:textId="49B33F8A" w:rsidR="008F2AFF" w:rsidRPr="002D46C0" w:rsidRDefault="1479EE1F" w:rsidP="003002C6">
      <w:pPr>
        <w:pStyle w:val="SubmissionNormal"/>
        <w:rPr>
          <w:rFonts w:cs="Open Sans"/>
          <w:sz w:val="22"/>
          <w:szCs w:val="22"/>
        </w:rPr>
      </w:pPr>
      <w:r w:rsidRPr="002D46C0">
        <w:rPr>
          <w:rFonts w:cs="Open Sans"/>
          <w:sz w:val="22"/>
          <w:szCs w:val="22"/>
        </w:rPr>
        <w:t xml:space="preserve">The National Disability Strategy 2010–2020 was chronically underfunded, with key commitments not achieved. A new Strategy was </w:t>
      </w:r>
      <w:r>
        <w:rPr>
          <w:rFonts w:cs="Open Sans"/>
          <w:sz w:val="22"/>
          <w:szCs w:val="22"/>
        </w:rPr>
        <w:t xml:space="preserve">launched in December </w:t>
      </w:r>
      <w:r w:rsidRPr="002D46C0">
        <w:rPr>
          <w:rFonts w:cs="Open Sans"/>
          <w:sz w:val="22"/>
          <w:szCs w:val="22"/>
        </w:rPr>
        <w:t>2021</w:t>
      </w:r>
      <w:r>
        <w:rPr>
          <w:rFonts w:cs="Open Sans"/>
          <w:sz w:val="22"/>
          <w:szCs w:val="22"/>
        </w:rPr>
        <w:t>.</w:t>
      </w:r>
      <w:r w:rsidR="008F2AFF" w:rsidRPr="01816EFD">
        <w:rPr>
          <w:rStyle w:val="EndnoteReference"/>
          <w:rFonts w:cs="Open Sans"/>
        </w:rPr>
        <w:endnoteReference w:id="38"/>
      </w:r>
      <w:r w:rsidRPr="002D46C0">
        <w:rPr>
          <w:rFonts w:cs="Open Sans"/>
          <w:sz w:val="22"/>
          <w:szCs w:val="22"/>
        </w:rPr>
        <w:t xml:space="preserve">  </w:t>
      </w:r>
    </w:p>
    <w:p w14:paraId="7CBD21B3" w14:textId="364D905E" w:rsidR="008F2AFF" w:rsidRPr="002D46C0" w:rsidRDefault="1479EE1F" w:rsidP="005A1B26">
      <w:pPr>
        <w:pStyle w:val="SubmissionNormal"/>
        <w:rPr>
          <w:rFonts w:cs="Open Sans"/>
          <w:sz w:val="22"/>
          <w:szCs w:val="22"/>
        </w:rPr>
      </w:pPr>
      <w:r w:rsidRPr="002D46C0">
        <w:rPr>
          <w:rFonts w:cs="Open Sans"/>
          <w:sz w:val="22"/>
          <w:szCs w:val="22"/>
        </w:rPr>
        <w:t>The Commission is concerned that people with disability are treated inconsistently under the National Disability Insurance Service (NDIS), resulting in inequality of access and outcomes. People who face social, cultural, educational or literacy barriers and/or experience intersectional discrimination are often disadvantaged accessing the NDIS.</w:t>
      </w:r>
      <w:r w:rsidR="008F2AFF" w:rsidRPr="01816EFD">
        <w:rPr>
          <w:rStyle w:val="EndnoteReference"/>
          <w:rFonts w:cs="Open Sans"/>
        </w:rPr>
        <w:endnoteReference w:id="39"/>
      </w:r>
      <w:r w:rsidRPr="002D46C0">
        <w:rPr>
          <w:rFonts w:cs="Open Sans"/>
          <w:sz w:val="22"/>
          <w:szCs w:val="22"/>
        </w:rPr>
        <w:t xml:space="preserve"> </w:t>
      </w:r>
    </w:p>
    <w:p w14:paraId="33375F9D" w14:textId="56D8E8AA" w:rsidR="008F2AFF" w:rsidRPr="002D46C0" w:rsidRDefault="1479EE1F" w:rsidP="00105EC2">
      <w:pPr>
        <w:pStyle w:val="SubmissionNormal"/>
        <w:rPr>
          <w:rFonts w:cs="Open Sans"/>
          <w:sz w:val="22"/>
          <w:szCs w:val="22"/>
        </w:rPr>
      </w:pPr>
      <w:r w:rsidRPr="002D46C0">
        <w:rPr>
          <w:rFonts w:cs="Open Sans"/>
          <w:sz w:val="22"/>
          <w:szCs w:val="22"/>
        </w:rPr>
        <w:lastRenderedPageBreak/>
        <w:t>Rates of labour force participation of people with disability have not improved</w:t>
      </w:r>
      <w:r w:rsidRPr="002D46C0">
        <w:rPr>
          <w:rFonts w:eastAsia="Calibri" w:cs="Open Sans"/>
          <w:sz w:val="22"/>
          <w:szCs w:val="22"/>
          <w:lang w:val="en-NZ" w:eastAsia="en-US"/>
        </w:rPr>
        <w:t>.</w:t>
      </w:r>
      <w:r w:rsidR="008F2AFF" w:rsidRPr="002D46C0">
        <w:rPr>
          <w:rStyle w:val="EndnoteReference"/>
          <w:rFonts w:eastAsia="Calibri" w:cs="Open Sans"/>
          <w:sz w:val="22"/>
          <w:szCs w:val="22"/>
          <w:lang w:val="en-NZ" w:eastAsia="en-US"/>
        </w:rPr>
        <w:endnoteReference w:id="40"/>
      </w:r>
      <w:r w:rsidRPr="002D46C0">
        <w:rPr>
          <w:rFonts w:eastAsia="Calibri" w:cs="Open Sans"/>
          <w:sz w:val="22"/>
          <w:szCs w:val="22"/>
          <w:lang w:val="en-NZ" w:eastAsia="en-US"/>
        </w:rPr>
        <w:t xml:space="preserve"> The Commission’s IncludeAbility project aims to increase access to meaningful employment for people with a disability by building greater capacity among public and private sector organisations.</w:t>
      </w:r>
      <w:r w:rsidR="008F2AFF" w:rsidRPr="01816EFD">
        <w:rPr>
          <w:rStyle w:val="EndnoteReference"/>
          <w:rFonts w:eastAsia="Calibri" w:cs="Open Sans"/>
          <w:lang w:val="en-NZ" w:eastAsia="en-US"/>
        </w:rPr>
        <w:endnoteReference w:id="41"/>
      </w:r>
      <w:r w:rsidRPr="002D46C0">
        <w:rPr>
          <w:rFonts w:eastAsia="Calibri" w:cs="Open Sans"/>
          <w:sz w:val="22"/>
          <w:szCs w:val="22"/>
          <w:lang w:val="en-NZ" w:eastAsia="en-US"/>
        </w:rPr>
        <w:t xml:space="preserve"> The Commission’s 2015 </w:t>
      </w:r>
      <w:r w:rsidRPr="09BE2B0E">
        <w:rPr>
          <w:rFonts w:eastAsia="Calibri" w:cs="Open Sans"/>
          <w:i/>
          <w:iCs/>
          <w:sz w:val="22"/>
          <w:szCs w:val="22"/>
          <w:lang w:val="en-NZ" w:eastAsia="en-US"/>
        </w:rPr>
        <w:t xml:space="preserve">Willing to Work </w:t>
      </w:r>
      <w:r w:rsidRPr="002D46C0">
        <w:rPr>
          <w:rFonts w:eastAsia="Calibri" w:cs="Open Sans"/>
          <w:sz w:val="22"/>
          <w:szCs w:val="22"/>
          <w:lang w:val="en-NZ" w:eastAsia="en-US"/>
        </w:rPr>
        <w:t>report contains recommendations for addressing discrimination against older Australians and Australians with disability.</w:t>
      </w:r>
      <w:r w:rsidR="008F2AFF" w:rsidRPr="01816EFD">
        <w:rPr>
          <w:rStyle w:val="EndnoteReference"/>
          <w:rFonts w:eastAsia="Calibri" w:cs="Open Sans"/>
          <w:lang w:val="en-NZ" w:eastAsia="en-US"/>
        </w:rPr>
        <w:endnoteReference w:id="42"/>
      </w:r>
      <w:r w:rsidRPr="002D46C0">
        <w:rPr>
          <w:rFonts w:eastAsia="Calibri" w:cs="Open Sans"/>
          <w:sz w:val="22"/>
          <w:szCs w:val="22"/>
          <w:lang w:val="en-NZ" w:eastAsia="en-US"/>
        </w:rPr>
        <w:t xml:space="preserve"> </w:t>
      </w:r>
    </w:p>
    <w:p w14:paraId="679A9BD3" w14:textId="31C95127" w:rsidR="008F2AFF" w:rsidRPr="002D46C0" w:rsidRDefault="1479EE1F" w:rsidP="003002C6">
      <w:pPr>
        <w:pStyle w:val="SubmissionNormal"/>
        <w:rPr>
          <w:rFonts w:cs="Open Sans"/>
          <w:sz w:val="22"/>
          <w:szCs w:val="22"/>
        </w:rPr>
      </w:pPr>
      <w:r w:rsidRPr="002D46C0">
        <w:rPr>
          <w:rFonts w:cs="Open Sans"/>
          <w:sz w:val="22"/>
          <w:szCs w:val="22"/>
        </w:rPr>
        <w:t>Australia has not implemented a nationally consistent supported decision-making framework and lacks legislation prohibiting the sterilisation of people with disability without consent.</w:t>
      </w:r>
      <w:r w:rsidR="008F2AFF" w:rsidRPr="002D46C0">
        <w:rPr>
          <w:rStyle w:val="EndnoteReference"/>
          <w:rFonts w:eastAsia="MS Mincho" w:cs="Open Sans"/>
          <w:sz w:val="22"/>
          <w:szCs w:val="22"/>
        </w:rPr>
        <w:endnoteReference w:id="43"/>
      </w:r>
      <w:r w:rsidRPr="002D46C0">
        <w:rPr>
          <w:rFonts w:cs="Open Sans"/>
          <w:sz w:val="22"/>
          <w:szCs w:val="22"/>
        </w:rPr>
        <w:t xml:space="preserve"> </w:t>
      </w:r>
    </w:p>
    <w:p w14:paraId="302ED482" w14:textId="4E7BF2D4" w:rsidR="008F2AFF" w:rsidRPr="002D46C0" w:rsidRDefault="1479EE1F" w:rsidP="003E16B2">
      <w:pPr>
        <w:pStyle w:val="SubmissionNormal"/>
        <w:rPr>
          <w:rFonts w:cs="Open Sans"/>
          <w:sz w:val="22"/>
          <w:szCs w:val="22"/>
        </w:rPr>
      </w:pPr>
      <w:r w:rsidRPr="002D46C0">
        <w:rPr>
          <w:rFonts w:cs="Open Sans"/>
          <w:sz w:val="22"/>
          <w:szCs w:val="22"/>
        </w:rPr>
        <w:t>There are high rates of violence against people with disability,</w:t>
      </w:r>
      <w:r w:rsidR="008F2AFF" w:rsidRPr="002D46C0">
        <w:rPr>
          <w:rStyle w:val="EndnoteReference"/>
          <w:rFonts w:eastAsia="MS Mincho" w:cs="Open Sans"/>
          <w:sz w:val="22"/>
          <w:szCs w:val="22"/>
        </w:rPr>
        <w:endnoteReference w:id="44"/>
      </w:r>
      <w:r w:rsidRPr="002D46C0">
        <w:rPr>
          <w:rFonts w:cs="Open Sans"/>
          <w:sz w:val="22"/>
          <w:szCs w:val="22"/>
        </w:rPr>
        <w:t xml:space="preserve"> in particular</w:t>
      </w:r>
      <w:r w:rsidR="51AAEA7D">
        <w:rPr>
          <w:rFonts w:cs="Open Sans"/>
          <w:sz w:val="22"/>
          <w:szCs w:val="22"/>
        </w:rPr>
        <w:t>,</w:t>
      </w:r>
      <w:r w:rsidRPr="002D46C0">
        <w:rPr>
          <w:rFonts w:cs="Open Sans"/>
          <w:sz w:val="22"/>
          <w:szCs w:val="22"/>
        </w:rPr>
        <w:t xml:space="preserve"> women and girls.</w:t>
      </w:r>
      <w:r w:rsidR="008F2AFF" w:rsidRPr="002D46C0">
        <w:rPr>
          <w:rStyle w:val="EndnoteReference"/>
          <w:rFonts w:eastAsia="MS Mincho" w:cs="Open Sans"/>
          <w:sz w:val="22"/>
          <w:szCs w:val="22"/>
        </w:rPr>
        <w:endnoteReference w:id="45"/>
      </w:r>
      <w:r w:rsidRPr="002D46C0">
        <w:rPr>
          <w:rFonts w:cs="Open Sans"/>
          <w:sz w:val="22"/>
          <w:szCs w:val="22"/>
        </w:rPr>
        <w:t xml:space="preserve"> The Commission is also concerned about the lack of a nationally consistent approach to eliminating the use of restrictive practices.</w:t>
      </w:r>
      <w:r w:rsidR="008F2AFF" w:rsidRPr="002D46C0">
        <w:rPr>
          <w:rFonts w:eastAsia="MS Mincho" w:cs="Open Sans"/>
          <w:sz w:val="22"/>
          <w:szCs w:val="22"/>
          <w:vertAlign w:val="superscript"/>
        </w:rPr>
        <w:endnoteReference w:id="46"/>
      </w:r>
      <w:r w:rsidRPr="002D46C0">
        <w:rPr>
          <w:rFonts w:cs="Open Sans"/>
          <w:sz w:val="22"/>
          <w:szCs w:val="22"/>
        </w:rPr>
        <w:t xml:space="preserve"> The Commission welcomes the Royal Commission into Violence, Abuse, Neglect and Exploitation of People with Disability. </w:t>
      </w:r>
    </w:p>
    <w:p w14:paraId="3AEF9028" w14:textId="1ADFD14E" w:rsidR="008F2AFF" w:rsidRPr="002D46C0" w:rsidRDefault="1479EE1F" w:rsidP="00664267">
      <w:pPr>
        <w:pStyle w:val="SubmissionNormal"/>
        <w:rPr>
          <w:rFonts w:cs="Open Sans"/>
          <w:sz w:val="22"/>
          <w:szCs w:val="22"/>
        </w:rPr>
      </w:pPr>
      <w:r w:rsidRPr="002D46C0">
        <w:rPr>
          <w:rFonts w:cs="Open Sans"/>
          <w:sz w:val="22"/>
          <w:szCs w:val="22"/>
        </w:rPr>
        <w:t>People with disabilities have higher rates of interaction with the criminal justice system than other Australians. There is also a high rate of disability among Aboriginal and Torres Strait Islander peoples and they are over-represented in Australian prisons.</w:t>
      </w:r>
      <w:r w:rsidR="008F2AFF" w:rsidRPr="01816EFD">
        <w:rPr>
          <w:rStyle w:val="EndnoteReference"/>
          <w:rFonts w:cs="Open Sans"/>
        </w:rPr>
        <w:endnoteReference w:id="47"/>
      </w:r>
      <w:r w:rsidRPr="002D46C0">
        <w:rPr>
          <w:rFonts w:cs="Open Sans"/>
          <w:sz w:val="22"/>
          <w:szCs w:val="22"/>
        </w:rPr>
        <w:t xml:space="preserve"> </w:t>
      </w:r>
    </w:p>
    <w:p w14:paraId="0F9B4F1A" w14:textId="5D86851B" w:rsidR="008F2AFF" w:rsidRPr="002D46C0" w:rsidRDefault="1479EE1F" w:rsidP="003E16B2">
      <w:pPr>
        <w:pStyle w:val="SubmissionNormal"/>
        <w:rPr>
          <w:rFonts w:cs="Open Sans"/>
          <w:sz w:val="22"/>
          <w:szCs w:val="22"/>
        </w:rPr>
      </w:pPr>
      <w:r w:rsidRPr="002D46C0">
        <w:rPr>
          <w:rFonts w:cs="Open Sans"/>
          <w:sz w:val="22"/>
          <w:szCs w:val="22"/>
        </w:rPr>
        <w:t>Australia lacks a human-rights based approach to mental health laws. There are instances of indefinite detention of people with disability who are assessed as unfit to stand trial or not guilty by reason of mental impairment.</w:t>
      </w:r>
      <w:r w:rsidR="008F2AFF" w:rsidRPr="002D46C0">
        <w:rPr>
          <w:rStyle w:val="EndnoteReference"/>
          <w:rFonts w:eastAsia="MS Mincho" w:cs="Open Sans"/>
          <w:sz w:val="22"/>
          <w:szCs w:val="22"/>
        </w:rPr>
        <w:endnoteReference w:id="48"/>
      </w:r>
      <w:r w:rsidRPr="002D46C0">
        <w:rPr>
          <w:rFonts w:cs="Open Sans"/>
          <w:sz w:val="22"/>
          <w:szCs w:val="22"/>
        </w:rPr>
        <w:t xml:space="preserve"> The Commission is also concerned about the imposition of compulsory treatment and involuntary hospitalisation.</w:t>
      </w:r>
      <w:r w:rsidR="008F2AFF" w:rsidRPr="002D46C0">
        <w:rPr>
          <w:rStyle w:val="EndnoteReference"/>
          <w:rFonts w:eastAsia="MS Mincho" w:cs="Open Sans"/>
          <w:sz w:val="22"/>
          <w:szCs w:val="22"/>
        </w:rPr>
        <w:endnoteReference w:id="49"/>
      </w:r>
      <w:r w:rsidRPr="002D46C0">
        <w:rPr>
          <w:rFonts w:cs="Open Sans"/>
          <w:sz w:val="22"/>
          <w:szCs w:val="22"/>
        </w:rPr>
        <w:t xml:space="preserve"> </w:t>
      </w:r>
    </w:p>
    <w:p w14:paraId="0D20507A" w14:textId="726BAC1F" w:rsidR="008F2AFF" w:rsidRPr="002D46C0" w:rsidRDefault="008F2AFF" w:rsidP="00F17595">
      <w:pPr>
        <w:pStyle w:val="SubmissionNormal"/>
        <w:numPr>
          <w:ilvl w:val="0"/>
          <w:numId w:val="28"/>
        </w:numPr>
        <w:spacing w:before="0" w:after="0"/>
        <w:ind w:left="714" w:hanging="357"/>
        <w:rPr>
          <w:rFonts w:cs="Open Sans"/>
          <w:b/>
          <w:bCs/>
          <w:sz w:val="22"/>
          <w:szCs w:val="22"/>
        </w:rPr>
      </w:pPr>
      <w:r w:rsidRPr="002D46C0">
        <w:rPr>
          <w:rFonts w:cs="Open Sans"/>
          <w:b/>
          <w:bCs/>
          <w:sz w:val="22"/>
          <w:szCs w:val="22"/>
        </w:rPr>
        <w:t xml:space="preserve">Information on the funding the new Disability Strategy </w:t>
      </w:r>
    </w:p>
    <w:p w14:paraId="464785A3" w14:textId="46D512F7" w:rsidR="008F2AFF" w:rsidRPr="002D46C0" w:rsidRDefault="008F2AFF" w:rsidP="00F17595">
      <w:pPr>
        <w:pStyle w:val="SubmissionNormal"/>
        <w:numPr>
          <w:ilvl w:val="0"/>
          <w:numId w:val="28"/>
        </w:numPr>
        <w:spacing w:before="0" w:after="0"/>
        <w:ind w:left="714" w:hanging="357"/>
        <w:rPr>
          <w:rFonts w:cs="Open Sans"/>
          <w:b/>
          <w:bCs/>
          <w:sz w:val="22"/>
          <w:szCs w:val="22"/>
        </w:rPr>
      </w:pPr>
      <w:r w:rsidRPr="002D46C0">
        <w:rPr>
          <w:rFonts w:cs="Open Sans"/>
          <w:b/>
          <w:bCs/>
          <w:sz w:val="22"/>
          <w:szCs w:val="22"/>
        </w:rPr>
        <w:t>Information on accessibility and equitable outcomes under the NDIS</w:t>
      </w:r>
    </w:p>
    <w:p w14:paraId="7D5A1E3C" w14:textId="445667A5" w:rsidR="008F2AFF" w:rsidRPr="002D46C0" w:rsidRDefault="008F2AFF" w:rsidP="00F17595">
      <w:pPr>
        <w:pStyle w:val="SubmissionNormal"/>
        <w:numPr>
          <w:ilvl w:val="0"/>
          <w:numId w:val="28"/>
        </w:numPr>
        <w:spacing w:before="0" w:after="0"/>
        <w:ind w:left="714" w:hanging="357"/>
        <w:rPr>
          <w:rFonts w:cs="Open Sans"/>
          <w:b/>
          <w:bCs/>
          <w:sz w:val="22"/>
          <w:szCs w:val="22"/>
        </w:rPr>
      </w:pPr>
      <w:r w:rsidRPr="002D46C0">
        <w:rPr>
          <w:rFonts w:cs="Open Sans"/>
          <w:b/>
          <w:bCs/>
          <w:sz w:val="22"/>
          <w:szCs w:val="22"/>
        </w:rPr>
        <w:t xml:space="preserve">Information on labour-force participation for people with disability </w:t>
      </w:r>
    </w:p>
    <w:p w14:paraId="49DB79C8" w14:textId="6DAEAB25" w:rsidR="008F2AFF" w:rsidRPr="002D46C0" w:rsidRDefault="008F2AFF" w:rsidP="00F17595">
      <w:pPr>
        <w:pStyle w:val="SubmissionNormal"/>
        <w:numPr>
          <w:ilvl w:val="0"/>
          <w:numId w:val="28"/>
        </w:numPr>
        <w:spacing w:before="0" w:after="0"/>
        <w:ind w:left="714" w:hanging="357"/>
        <w:rPr>
          <w:rFonts w:cs="Open Sans"/>
          <w:b/>
          <w:bCs/>
          <w:sz w:val="22"/>
          <w:szCs w:val="22"/>
        </w:rPr>
      </w:pPr>
      <w:r w:rsidRPr="002D46C0">
        <w:rPr>
          <w:rFonts w:cs="Open Sans"/>
          <w:b/>
          <w:bCs/>
          <w:sz w:val="22"/>
          <w:szCs w:val="22"/>
        </w:rPr>
        <w:t>Information on implementing a nationally consistent supported decision-making framework</w:t>
      </w:r>
    </w:p>
    <w:p w14:paraId="1B72CE58" w14:textId="77777777" w:rsidR="008F2AFF" w:rsidRPr="002D46C0" w:rsidRDefault="008F2AFF" w:rsidP="00F17595">
      <w:pPr>
        <w:pStyle w:val="SubmissionNormal"/>
        <w:numPr>
          <w:ilvl w:val="0"/>
          <w:numId w:val="28"/>
        </w:numPr>
        <w:spacing w:before="0" w:after="0"/>
        <w:ind w:left="714" w:hanging="357"/>
        <w:rPr>
          <w:rFonts w:cs="Open Sans"/>
          <w:b/>
          <w:bCs/>
          <w:sz w:val="22"/>
          <w:szCs w:val="22"/>
        </w:rPr>
      </w:pPr>
      <w:r w:rsidRPr="002D46C0">
        <w:rPr>
          <w:rFonts w:cs="Open Sans"/>
          <w:b/>
          <w:bCs/>
          <w:sz w:val="22"/>
          <w:szCs w:val="22"/>
        </w:rPr>
        <w:t xml:space="preserve">Information on steps taken to address violence against people with disability </w:t>
      </w:r>
    </w:p>
    <w:p w14:paraId="6A924E03" w14:textId="7F7D1009" w:rsidR="008F2AFF" w:rsidRPr="002D46C0" w:rsidRDefault="008F2AFF" w:rsidP="00F17595">
      <w:pPr>
        <w:pStyle w:val="SubmissionNormal"/>
        <w:numPr>
          <w:ilvl w:val="0"/>
          <w:numId w:val="28"/>
        </w:numPr>
        <w:spacing w:before="0" w:after="0"/>
        <w:ind w:left="714" w:hanging="357"/>
        <w:rPr>
          <w:rFonts w:cs="Open Sans"/>
          <w:b/>
          <w:bCs/>
          <w:sz w:val="22"/>
          <w:szCs w:val="22"/>
        </w:rPr>
      </w:pPr>
      <w:r w:rsidRPr="002D46C0">
        <w:rPr>
          <w:rFonts w:cs="Open Sans"/>
          <w:b/>
          <w:bCs/>
          <w:sz w:val="22"/>
          <w:szCs w:val="22"/>
        </w:rPr>
        <w:t xml:space="preserve">Information </w:t>
      </w:r>
      <w:r w:rsidRPr="002D46C0">
        <w:rPr>
          <w:rFonts w:cs="Open Sans"/>
          <w:b/>
          <w:bCs/>
          <w:iCs/>
          <w:sz w:val="22"/>
          <w:szCs w:val="22"/>
        </w:rPr>
        <w:t xml:space="preserve">about responses to issues affecting prisoners with a disability or mental health issues and strategies to address the rates of people with disability in the criminal justice system. </w:t>
      </w:r>
    </w:p>
    <w:p w14:paraId="497FF288" w14:textId="438971E1" w:rsidR="008F2AFF" w:rsidRPr="002D46C0" w:rsidRDefault="008F2AFF" w:rsidP="00F17595">
      <w:pPr>
        <w:pStyle w:val="SubmissionNormal"/>
        <w:numPr>
          <w:ilvl w:val="0"/>
          <w:numId w:val="28"/>
        </w:numPr>
        <w:spacing w:before="0" w:after="0"/>
        <w:ind w:left="714" w:hanging="357"/>
        <w:rPr>
          <w:rFonts w:cs="Open Sans"/>
          <w:b/>
          <w:bCs/>
          <w:sz w:val="22"/>
          <w:szCs w:val="22"/>
        </w:rPr>
      </w:pPr>
      <w:r w:rsidRPr="002D46C0">
        <w:rPr>
          <w:rFonts w:cs="Open Sans"/>
          <w:b/>
          <w:bCs/>
          <w:sz w:val="22"/>
          <w:szCs w:val="22"/>
        </w:rPr>
        <w:t xml:space="preserve">Information on steps taken to address human rights concerns associated with mental health laws and practices </w:t>
      </w:r>
    </w:p>
    <w:p w14:paraId="2CD4F2C5" w14:textId="77777777" w:rsidR="008F2AFF" w:rsidRPr="002D46C0" w:rsidRDefault="008F2AFF" w:rsidP="003423FA">
      <w:pPr>
        <w:pStyle w:val="Heading2"/>
        <w:numPr>
          <w:ilvl w:val="0"/>
          <w:numId w:val="0"/>
        </w:numPr>
        <w:ind w:left="720" w:hanging="720"/>
        <w:rPr>
          <w:rFonts w:cs="Open Sans"/>
          <w:color w:val="auto"/>
          <w:sz w:val="24"/>
          <w:szCs w:val="24"/>
        </w:rPr>
      </w:pPr>
      <w:bookmarkStart w:id="8" w:name="_Toc49332452"/>
      <w:r w:rsidRPr="002D46C0">
        <w:rPr>
          <w:rFonts w:cs="Open Sans"/>
          <w:color w:val="auto"/>
          <w:sz w:val="24"/>
          <w:szCs w:val="24"/>
        </w:rPr>
        <w:t>Gender equality</w:t>
      </w:r>
      <w:bookmarkEnd w:id="8"/>
      <w:r w:rsidRPr="002D46C0">
        <w:rPr>
          <w:rFonts w:cs="Open Sans"/>
          <w:color w:val="auto"/>
          <w:sz w:val="24"/>
          <w:szCs w:val="24"/>
        </w:rPr>
        <w:t xml:space="preserve"> and gender-based violence </w:t>
      </w:r>
    </w:p>
    <w:p w14:paraId="00724510" w14:textId="62556847" w:rsidR="008F2AFF" w:rsidRPr="002D46C0" w:rsidRDefault="1479EE1F" w:rsidP="006B6EFB">
      <w:pPr>
        <w:pStyle w:val="SubmissionNormal"/>
        <w:rPr>
          <w:rFonts w:cs="Open Sans"/>
          <w:sz w:val="22"/>
          <w:szCs w:val="22"/>
        </w:rPr>
      </w:pPr>
      <w:r w:rsidRPr="002D46C0">
        <w:rPr>
          <w:rFonts w:cs="Open Sans"/>
          <w:sz w:val="22"/>
          <w:szCs w:val="22"/>
        </w:rPr>
        <w:t xml:space="preserve">There are a range of gender equality gaps in Australia that impact on women’s right to work, right to just </w:t>
      </w:r>
      <w:r w:rsidR="77ACA5B3">
        <w:rPr>
          <w:rFonts w:cs="Open Sans"/>
          <w:sz w:val="22"/>
          <w:szCs w:val="22"/>
        </w:rPr>
        <w:t xml:space="preserve">and </w:t>
      </w:r>
      <w:r w:rsidRPr="002D46C0">
        <w:rPr>
          <w:rFonts w:cs="Open Sans"/>
          <w:sz w:val="22"/>
          <w:szCs w:val="22"/>
        </w:rPr>
        <w:t>favourable conditions of work and right to adequate standard of living for themselves and their family. Australia’s national gender pay gap is currently 14.2%,</w:t>
      </w:r>
      <w:r w:rsidR="008F2AFF" w:rsidRPr="002D46C0">
        <w:rPr>
          <w:rStyle w:val="EndnoteReference"/>
          <w:rFonts w:eastAsia="MS Mincho" w:cs="Open Sans"/>
          <w:sz w:val="22"/>
          <w:szCs w:val="22"/>
        </w:rPr>
        <w:endnoteReference w:id="50"/>
      </w:r>
      <w:r w:rsidRPr="002D46C0">
        <w:rPr>
          <w:rFonts w:cs="Open Sans"/>
          <w:sz w:val="22"/>
          <w:szCs w:val="22"/>
        </w:rPr>
        <w:t xml:space="preserve"> contributing to the significant gap in retirement savings for women,</w:t>
      </w:r>
      <w:r w:rsidR="00652C6A" w:rsidRPr="3E497008">
        <w:rPr>
          <w:rStyle w:val="EndnoteReference"/>
          <w:rFonts w:cs="Open Sans"/>
        </w:rPr>
        <w:endnoteReference w:id="51"/>
      </w:r>
      <w:r w:rsidRPr="002D46C0">
        <w:rPr>
          <w:rFonts w:cs="Open Sans"/>
          <w:sz w:val="22"/>
          <w:szCs w:val="22"/>
        </w:rPr>
        <w:t xml:space="preserve"> and women are under-represented in the workplace</w:t>
      </w:r>
      <w:r w:rsidR="5F6F8815" w:rsidRPr="002D46C0">
        <w:rPr>
          <w:rFonts w:cs="Open Sans"/>
          <w:sz w:val="22"/>
          <w:szCs w:val="22"/>
        </w:rPr>
        <w:t xml:space="preserve"> and in leadership roles</w:t>
      </w:r>
      <w:r w:rsidRPr="002D46C0">
        <w:rPr>
          <w:rFonts w:cs="Open Sans"/>
          <w:sz w:val="22"/>
          <w:szCs w:val="22"/>
        </w:rPr>
        <w:t>.</w:t>
      </w:r>
      <w:r w:rsidR="00EB65A5">
        <w:rPr>
          <w:rStyle w:val="EndnoteReference"/>
          <w:rFonts w:cs="Open Sans"/>
          <w:szCs w:val="22"/>
        </w:rPr>
        <w:endnoteReference w:id="52"/>
      </w:r>
    </w:p>
    <w:p w14:paraId="3AD033F4" w14:textId="33F15D0A" w:rsidR="008F2AFF" w:rsidRPr="002D46C0" w:rsidRDefault="1479EE1F" w:rsidP="006B6EFB">
      <w:pPr>
        <w:pStyle w:val="SubmissionNormal"/>
        <w:rPr>
          <w:rFonts w:cs="Open Sans"/>
          <w:b/>
          <w:bCs/>
          <w:sz w:val="22"/>
          <w:szCs w:val="22"/>
        </w:rPr>
      </w:pPr>
      <w:r w:rsidRPr="002D46C0">
        <w:rPr>
          <w:rFonts w:cs="Open Sans"/>
          <w:sz w:val="22"/>
          <w:szCs w:val="22"/>
        </w:rPr>
        <w:t xml:space="preserve">Women and girls face particular challenges during the COVID-19 pandemic, including economic impacts, increased </w:t>
      </w:r>
      <w:r w:rsidR="03091034" w:rsidRPr="002D46C0">
        <w:rPr>
          <w:rFonts w:cs="Open Sans"/>
          <w:sz w:val="22"/>
          <w:szCs w:val="22"/>
        </w:rPr>
        <w:t xml:space="preserve">risk of </w:t>
      </w:r>
      <w:r w:rsidRPr="002D46C0">
        <w:rPr>
          <w:rFonts w:cs="Open Sans"/>
          <w:sz w:val="22"/>
          <w:szCs w:val="22"/>
        </w:rPr>
        <w:t>violence at home and the compounding effects of intersectional disadvantage.</w:t>
      </w:r>
      <w:r w:rsidR="008F2AFF" w:rsidRPr="002D46C0">
        <w:rPr>
          <w:rStyle w:val="EndnoteReference"/>
          <w:rFonts w:cs="Open Sans"/>
          <w:sz w:val="22"/>
          <w:szCs w:val="22"/>
        </w:rPr>
        <w:endnoteReference w:id="53"/>
      </w:r>
      <w:r w:rsidRPr="002D46C0">
        <w:rPr>
          <w:rFonts w:cs="Open Sans"/>
          <w:sz w:val="22"/>
          <w:szCs w:val="22"/>
        </w:rPr>
        <w:t xml:space="preserve"> </w:t>
      </w:r>
    </w:p>
    <w:p w14:paraId="10A68E7F" w14:textId="19A81558" w:rsidR="008F2AFF" w:rsidRPr="002D46C0" w:rsidRDefault="1479EE1F" w:rsidP="004461A7">
      <w:pPr>
        <w:pStyle w:val="SubmissionNormal"/>
        <w:rPr>
          <w:rFonts w:cs="Open Sans"/>
          <w:b/>
          <w:bCs/>
          <w:sz w:val="22"/>
          <w:szCs w:val="22"/>
        </w:rPr>
      </w:pPr>
      <w:r w:rsidRPr="002D46C0">
        <w:rPr>
          <w:rFonts w:cs="Open Sans"/>
          <w:sz w:val="22"/>
          <w:szCs w:val="22"/>
        </w:rPr>
        <w:t xml:space="preserve">The Commission’s </w:t>
      </w:r>
      <w:r w:rsidRPr="09BE2B0E">
        <w:rPr>
          <w:rFonts w:cs="Open Sans"/>
          <w:i/>
          <w:iCs/>
          <w:sz w:val="22"/>
          <w:szCs w:val="22"/>
        </w:rPr>
        <w:t xml:space="preserve">Respect@Work </w:t>
      </w:r>
      <w:r w:rsidRPr="002D46C0">
        <w:rPr>
          <w:rFonts w:cs="Open Sans"/>
          <w:sz w:val="22"/>
          <w:szCs w:val="22"/>
        </w:rPr>
        <w:t>report identifies drivers and impacts of workplace sexual harassment, the adequacy of the current legal framework and measures to address this.</w:t>
      </w:r>
      <w:r w:rsidR="008F2AFF" w:rsidRPr="01816EFD">
        <w:rPr>
          <w:rStyle w:val="EndnoteReference"/>
          <w:rFonts w:cs="Open Sans"/>
        </w:rPr>
        <w:endnoteReference w:id="54"/>
      </w:r>
      <w:r w:rsidRPr="00026342">
        <w:rPr>
          <w:rFonts w:cs="Open Sans"/>
          <w:sz w:val="20"/>
          <w:szCs w:val="20"/>
        </w:rPr>
        <w:t xml:space="preserve"> </w:t>
      </w:r>
      <w:r w:rsidR="7268F776" w:rsidRPr="00026342">
        <w:rPr>
          <w:rFonts w:cs="Open Sans"/>
          <w:sz w:val="20"/>
          <w:szCs w:val="20"/>
        </w:rPr>
        <w:t>While t</w:t>
      </w:r>
      <w:r w:rsidRPr="002D46C0">
        <w:rPr>
          <w:rFonts w:cs="Open Sans"/>
          <w:sz w:val="22"/>
          <w:szCs w:val="22"/>
        </w:rPr>
        <w:t xml:space="preserve">he Government has </w:t>
      </w:r>
      <w:r w:rsidR="62A8A96D" w:rsidRPr="002D46C0">
        <w:rPr>
          <w:rFonts w:cs="Open Sans"/>
          <w:sz w:val="22"/>
          <w:szCs w:val="22"/>
        </w:rPr>
        <w:t xml:space="preserve">stated that it has accepted </w:t>
      </w:r>
      <w:r w:rsidRPr="002D46C0">
        <w:rPr>
          <w:rFonts w:cs="Open Sans"/>
          <w:sz w:val="22"/>
          <w:szCs w:val="22"/>
        </w:rPr>
        <w:t>in whole, in part, in principle or noted all 55 recommendations of the report</w:t>
      </w:r>
      <w:r w:rsidR="61AB09AF" w:rsidRPr="002D46C0">
        <w:rPr>
          <w:rFonts w:cs="Open Sans"/>
          <w:sz w:val="22"/>
          <w:szCs w:val="22"/>
        </w:rPr>
        <w:t xml:space="preserve">, </w:t>
      </w:r>
      <w:r w:rsidR="5B3C29CE" w:rsidRPr="002D46C0">
        <w:rPr>
          <w:rFonts w:cs="Open Sans"/>
          <w:sz w:val="22"/>
          <w:szCs w:val="22"/>
        </w:rPr>
        <w:t xml:space="preserve">a </w:t>
      </w:r>
      <w:r w:rsidR="61AB09AF" w:rsidRPr="002D46C0">
        <w:rPr>
          <w:rFonts w:cs="Open Sans"/>
          <w:sz w:val="22"/>
          <w:szCs w:val="22"/>
        </w:rPr>
        <w:t>key recommendation</w:t>
      </w:r>
      <w:r w:rsidR="45D43D82" w:rsidRPr="002D46C0">
        <w:rPr>
          <w:rFonts w:cs="Open Sans"/>
          <w:sz w:val="22"/>
          <w:szCs w:val="22"/>
        </w:rPr>
        <w:t xml:space="preserve"> to introduce a positive duty into the Sex Discrimination Act is still under consideration</w:t>
      </w:r>
      <w:r w:rsidR="0AC38BFF" w:rsidRPr="002D46C0">
        <w:rPr>
          <w:rFonts w:cs="Open Sans"/>
          <w:sz w:val="22"/>
          <w:szCs w:val="22"/>
        </w:rPr>
        <w:t xml:space="preserve"> and should be implemented</w:t>
      </w:r>
      <w:r w:rsidRPr="002D46C0">
        <w:rPr>
          <w:rFonts w:cs="Open Sans"/>
          <w:sz w:val="22"/>
          <w:szCs w:val="22"/>
        </w:rPr>
        <w:t>.</w:t>
      </w:r>
      <w:r w:rsidR="008F2AFF" w:rsidRPr="01816EFD">
        <w:rPr>
          <w:rStyle w:val="EndnoteReference"/>
          <w:rFonts w:cs="Open Sans"/>
        </w:rPr>
        <w:endnoteReference w:id="55"/>
      </w:r>
      <w:r w:rsidRPr="002D46C0">
        <w:rPr>
          <w:rFonts w:cs="Open Sans"/>
          <w:sz w:val="22"/>
          <w:szCs w:val="22"/>
        </w:rPr>
        <w:t xml:space="preserve"> In March 2021, the Commission was asked by </w:t>
      </w:r>
      <w:r w:rsidR="72F8B97F">
        <w:rPr>
          <w:rFonts w:cs="Open Sans"/>
          <w:sz w:val="22"/>
          <w:szCs w:val="22"/>
        </w:rPr>
        <w:t xml:space="preserve">the Australian </w:t>
      </w:r>
      <w:r w:rsidRPr="002D46C0">
        <w:rPr>
          <w:rFonts w:cs="Open Sans"/>
          <w:sz w:val="22"/>
          <w:szCs w:val="22"/>
        </w:rPr>
        <w:t xml:space="preserve">Government to conduct a review into Commonwealth parliamentary workplaces, to ensure that they are safe and respectful and that the Parliament reflects best practice in prevention and response to bullying, sexual harassment and sexual assault. The </w:t>
      </w:r>
      <w:r w:rsidRPr="09BE2B0E">
        <w:rPr>
          <w:rFonts w:cs="Open Sans"/>
          <w:i/>
          <w:iCs/>
          <w:sz w:val="22"/>
          <w:szCs w:val="22"/>
        </w:rPr>
        <w:t xml:space="preserve">Set the Standard </w:t>
      </w:r>
      <w:r w:rsidRPr="002D46C0">
        <w:rPr>
          <w:rFonts w:cs="Open Sans"/>
          <w:sz w:val="22"/>
          <w:szCs w:val="22"/>
        </w:rPr>
        <w:t>report was subsequently released in November, making 28 recommendations for reform.</w:t>
      </w:r>
      <w:r w:rsidR="008F2AFF" w:rsidRPr="01816EFD">
        <w:rPr>
          <w:rStyle w:val="EndnoteReference"/>
          <w:rFonts w:cs="Open Sans"/>
        </w:rPr>
        <w:endnoteReference w:id="56"/>
      </w:r>
    </w:p>
    <w:p w14:paraId="618E16F9" w14:textId="09996075" w:rsidR="008F2AFF" w:rsidRDefault="1479EE1F" w:rsidP="00481DFF">
      <w:pPr>
        <w:pStyle w:val="SubmissionNormal"/>
        <w:rPr>
          <w:rFonts w:cs="Open Sans"/>
          <w:sz w:val="22"/>
          <w:szCs w:val="22"/>
        </w:rPr>
      </w:pPr>
      <w:r w:rsidRPr="002D46C0">
        <w:rPr>
          <w:rFonts w:cs="Open Sans"/>
          <w:sz w:val="22"/>
          <w:szCs w:val="22"/>
        </w:rPr>
        <w:lastRenderedPageBreak/>
        <w:t xml:space="preserve">The Commission </w:t>
      </w:r>
      <w:r w:rsidR="343B24D6" w:rsidRPr="002D46C0">
        <w:rPr>
          <w:rFonts w:cs="Open Sans"/>
          <w:sz w:val="22"/>
          <w:szCs w:val="22"/>
        </w:rPr>
        <w:t>notes the significance of</w:t>
      </w:r>
      <w:r w:rsidRPr="002D46C0">
        <w:rPr>
          <w:rFonts w:cs="Open Sans"/>
          <w:sz w:val="22"/>
          <w:szCs w:val="22"/>
        </w:rPr>
        <w:t xml:space="preserve"> the Fourth Action Plan of the National Plan to Reduce Violence Against Women and Their Children 2010–2022 and notes that the development of a subsequent National Plan is currently underway.</w:t>
      </w:r>
      <w:r w:rsidR="008F2AFF" w:rsidRPr="01816EFD">
        <w:rPr>
          <w:rStyle w:val="EndnoteReference"/>
          <w:rFonts w:cs="Open Sans"/>
        </w:rPr>
        <w:endnoteReference w:id="57"/>
      </w:r>
      <w:r w:rsidRPr="002D46C0">
        <w:rPr>
          <w:rFonts w:cs="Open Sans"/>
          <w:sz w:val="22"/>
          <w:szCs w:val="22"/>
        </w:rPr>
        <w:t xml:space="preserve"> </w:t>
      </w:r>
      <w:r w:rsidR="60CE70EE" w:rsidRPr="002D46C0">
        <w:rPr>
          <w:rFonts w:cs="Open Sans"/>
          <w:sz w:val="22"/>
          <w:szCs w:val="22"/>
        </w:rPr>
        <w:t>The next plan should cover all forms of gender-based violence including domestic and family violence, sexual violence, online violence</w:t>
      </w:r>
      <w:r w:rsidR="66F7F628" w:rsidRPr="002D46C0">
        <w:rPr>
          <w:rFonts w:cs="Open Sans"/>
          <w:sz w:val="22"/>
          <w:szCs w:val="22"/>
        </w:rPr>
        <w:t>, gendered based elder abuse</w:t>
      </w:r>
      <w:r w:rsidR="60CE70EE" w:rsidRPr="002D46C0">
        <w:rPr>
          <w:rFonts w:cs="Open Sans"/>
          <w:sz w:val="22"/>
          <w:szCs w:val="22"/>
        </w:rPr>
        <w:t xml:space="preserve"> and sexual harassment</w:t>
      </w:r>
      <w:r w:rsidR="10AE895C" w:rsidRPr="002D46C0">
        <w:rPr>
          <w:rFonts w:cs="Open Sans"/>
          <w:sz w:val="22"/>
          <w:szCs w:val="22"/>
        </w:rPr>
        <w:t>.</w:t>
      </w:r>
      <w:r w:rsidRPr="002D46C0">
        <w:rPr>
          <w:rFonts w:cs="Open Sans"/>
          <w:sz w:val="22"/>
          <w:szCs w:val="22"/>
        </w:rPr>
        <w:t xml:space="preserve"> The intersection of gender with other forms of inequality results in women with disability and from Indigenous, LGBTQI, and culturally and linguistically diverse backgrounds experiencing higher rates of violence, and additional barriers to support.</w:t>
      </w:r>
      <w:r w:rsidR="008F2AFF" w:rsidRPr="002D46C0">
        <w:rPr>
          <w:rStyle w:val="EndnoteReference"/>
          <w:rFonts w:eastAsia="MS Mincho" w:cs="Open Sans"/>
          <w:sz w:val="22"/>
          <w:szCs w:val="22"/>
        </w:rPr>
        <w:endnoteReference w:id="58"/>
      </w:r>
      <w:r w:rsidRPr="002D46C0">
        <w:rPr>
          <w:rFonts w:cs="Open Sans"/>
          <w:sz w:val="22"/>
          <w:szCs w:val="22"/>
        </w:rPr>
        <w:t xml:space="preserve"> </w:t>
      </w:r>
    </w:p>
    <w:p w14:paraId="3615BD54" w14:textId="19F0C924" w:rsidR="006504B1" w:rsidRPr="002D46C0" w:rsidRDefault="264CD3C0" w:rsidP="00481DFF">
      <w:pPr>
        <w:pStyle w:val="SubmissionNormal"/>
        <w:rPr>
          <w:rFonts w:cs="Open Sans"/>
          <w:sz w:val="22"/>
          <w:szCs w:val="22"/>
        </w:rPr>
      </w:pPr>
      <w:r w:rsidRPr="09BE2B0E">
        <w:rPr>
          <w:rFonts w:cs="Open Sans"/>
          <w:sz w:val="22"/>
          <w:szCs w:val="22"/>
        </w:rPr>
        <w:t>The prevalence of s</w:t>
      </w:r>
      <w:r w:rsidR="2175B774" w:rsidRPr="09BE2B0E">
        <w:rPr>
          <w:rFonts w:cs="Open Sans"/>
          <w:sz w:val="22"/>
          <w:szCs w:val="22"/>
        </w:rPr>
        <w:t xml:space="preserve">exual harassment and sexual assault </w:t>
      </w:r>
      <w:r w:rsidR="7C62BDD0" w:rsidRPr="09BE2B0E">
        <w:rPr>
          <w:rFonts w:cs="Open Sans"/>
          <w:sz w:val="22"/>
          <w:szCs w:val="22"/>
        </w:rPr>
        <w:t>in schools</w:t>
      </w:r>
      <w:r w:rsidR="00234605">
        <w:rPr>
          <w:rStyle w:val="EndnoteReference"/>
          <w:rFonts w:cs="Open Sans"/>
          <w:szCs w:val="22"/>
        </w:rPr>
        <w:endnoteReference w:id="59"/>
      </w:r>
      <w:r w:rsidR="7C62BDD0" w:rsidRPr="09BE2B0E">
        <w:rPr>
          <w:rFonts w:cs="Open Sans"/>
          <w:sz w:val="22"/>
          <w:szCs w:val="22"/>
        </w:rPr>
        <w:t xml:space="preserve"> and in universities</w:t>
      </w:r>
      <w:r w:rsidR="00234605">
        <w:rPr>
          <w:rStyle w:val="EndnoteReference"/>
          <w:rFonts w:cs="Open Sans"/>
          <w:szCs w:val="22"/>
        </w:rPr>
        <w:endnoteReference w:id="60"/>
      </w:r>
      <w:r w:rsidR="7C62BDD0" w:rsidRPr="09BE2B0E">
        <w:rPr>
          <w:rFonts w:cs="Open Sans"/>
          <w:sz w:val="22"/>
          <w:szCs w:val="22"/>
        </w:rPr>
        <w:t xml:space="preserve"> </w:t>
      </w:r>
      <w:r w:rsidR="4D5D8DBE" w:rsidRPr="09BE2B0E">
        <w:rPr>
          <w:rFonts w:cs="Open Sans"/>
          <w:sz w:val="22"/>
          <w:szCs w:val="22"/>
        </w:rPr>
        <w:t xml:space="preserve">negatively </w:t>
      </w:r>
      <w:r w:rsidR="2175B774" w:rsidRPr="09BE2B0E">
        <w:rPr>
          <w:rFonts w:cs="Open Sans"/>
          <w:sz w:val="22"/>
          <w:szCs w:val="22"/>
        </w:rPr>
        <w:t>impacts upon education opportunities for women and girls in Australia</w:t>
      </w:r>
      <w:r w:rsidR="5C321A28" w:rsidRPr="09BE2B0E">
        <w:rPr>
          <w:rFonts w:cs="Open Sans"/>
          <w:sz w:val="22"/>
          <w:szCs w:val="22"/>
        </w:rPr>
        <w:t>.</w:t>
      </w:r>
      <w:r w:rsidR="00590223">
        <w:rPr>
          <w:rStyle w:val="EndnoteReference"/>
          <w:rFonts w:cs="Open Sans"/>
          <w:szCs w:val="22"/>
        </w:rPr>
        <w:endnoteReference w:id="61"/>
      </w:r>
    </w:p>
    <w:p w14:paraId="6BA8AC56" w14:textId="3A4D349E" w:rsidR="008F2AFF" w:rsidRPr="002D46C0" w:rsidRDefault="008F2AFF" w:rsidP="00F17595">
      <w:pPr>
        <w:pStyle w:val="ListParagraph"/>
        <w:keepLines w:val="0"/>
        <w:numPr>
          <w:ilvl w:val="0"/>
          <w:numId w:val="36"/>
        </w:numPr>
        <w:spacing w:before="0" w:after="0"/>
        <w:ind w:left="714" w:hanging="357"/>
        <w:contextualSpacing w:val="0"/>
        <w:rPr>
          <w:rFonts w:cs="Open Sans"/>
          <w:b/>
          <w:sz w:val="22"/>
          <w:szCs w:val="22"/>
        </w:rPr>
      </w:pPr>
      <w:r w:rsidRPr="002D46C0">
        <w:rPr>
          <w:rFonts w:cs="Open Sans"/>
          <w:b/>
          <w:sz w:val="22"/>
          <w:szCs w:val="22"/>
        </w:rPr>
        <w:t>Information on measures to strengthen efforts to support women in paid work and unpaid caring work and reduce gender gaps in workforce participation, wages and retirement incomes and savings, and information on responses taken to address the particular challenges faced by women and girls during the COVID pandemic.</w:t>
      </w:r>
    </w:p>
    <w:p w14:paraId="40E8466B" w14:textId="28151599" w:rsidR="008F2AFF" w:rsidRPr="002D46C0" w:rsidRDefault="008F2AFF" w:rsidP="00F17595">
      <w:pPr>
        <w:pStyle w:val="ListParagraph"/>
        <w:keepLines w:val="0"/>
        <w:numPr>
          <w:ilvl w:val="0"/>
          <w:numId w:val="36"/>
        </w:numPr>
        <w:spacing w:before="0" w:after="0"/>
        <w:ind w:left="714" w:hanging="357"/>
        <w:contextualSpacing w:val="0"/>
        <w:rPr>
          <w:rFonts w:cs="Open Sans"/>
          <w:b/>
          <w:sz w:val="22"/>
          <w:szCs w:val="22"/>
        </w:rPr>
      </w:pPr>
      <w:r w:rsidRPr="002D46C0">
        <w:rPr>
          <w:rFonts w:cs="Open Sans"/>
          <w:b/>
          <w:sz w:val="22"/>
          <w:szCs w:val="22"/>
        </w:rPr>
        <w:t xml:space="preserve">Steps taken to fully implement the </w:t>
      </w:r>
      <w:r w:rsidRPr="002D46C0">
        <w:rPr>
          <w:rFonts w:cs="Open Sans"/>
          <w:b/>
          <w:i/>
          <w:iCs/>
          <w:sz w:val="22"/>
          <w:szCs w:val="22"/>
        </w:rPr>
        <w:t xml:space="preserve">Respect@Work </w:t>
      </w:r>
      <w:r w:rsidRPr="002D46C0">
        <w:rPr>
          <w:rFonts w:cs="Open Sans"/>
          <w:b/>
          <w:sz w:val="22"/>
          <w:szCs w:val="22"/>
        </w:rPr>
        <w:t xml:space="preserve">and </w:t>
      </w:r>
      <w:r w:rsidRPr="002D46C0">
        <w:rPr>
          <w:rFonts w:cs="Open Sans"/>
          <w:b/>
          <w:i/>
          <w:iCs/>
          <w:sz w:val="22"/>
          <w:szCs w:val="22"/>
        </w:rPr>
        <w:t xml:space="preserve">Set the Standard </w:t>
      </w:r>
      <w:r w:rsidRPr="002D46C0">
        <w:rPr>
          <w:rFonts w:cs="Open Sans"/>
          <w:b/>
          <w:sz w:val="22"/>
          <w:szCs w:val="22"/>
        </w:rPr>
        <w:t xml:space="preserve">reports. </w:t>
      </w:r>
    </w:p>
    <w:p w14:paraId="54B55AE8" w14:textId="755075B7" w:rsidR="008F2AFF" w:rsidRDefault="008F2AFF" w:rsidP="00F17595">
      <w:pPr>
        <w:pStyle w:val="ListParagraph"/>
        <w:keepLines w:val="0"/>
        <w:numPr>
          <w:ilvl w:val="0"/>
          <w:numId w:val="36"/>
        </w:numPr>
        <w:spacing w:before="0" w:after="0"/>
        <w:ind w:left="714" w:hanging="357"/>
        <w:contextualSpacing w:val="0"/>
        <w:rPr>
          <w:rFonts w:cs="Open Sans"/>
          <w:b/>
          <w:sz w:val="22"/>
          <w:szCs w:val="22"/>
        </w:rPr>
      </w:pPr>
      <w:r w:rsidRPr="002D46C0">
        <w:rPr>
          <w:rFonts w:cs="Open Sans"/>
          <w:b/>
          <w:sz w:val="22"/>
          <w:szCs w:val="22"/>
        </w:rPr>
        <w:t>Information about measures to increase prevention and early intervention initiatives on DFV, including tailored measures to address intersectional discrimination, and information on funding for specialist support services.</w:t>
      </w:r>
    </w:p>
    <w:p w14:paraId="6B5FC98F" w14:textId="51F73004" w:rsidR="00F85566" w:rsidRPr="002D46C0" w:rsidRDefault="00F85566" w:rsidP="00F17595">
      <w:pPr>
        <w:pStyle w:val="ListParagraph"/>
        <w:keepLines w:val="0"/>
        <w:numPr>
          <w:ilvl w:val="0"/>
          <w:numId w:val="36"/>
        </w:numPr>
        <w:spacing w:before="0" w:after="0"/>
        <w:ind w:left="714" w:hanging="357"/>
        <w:contextualSpacing w:val="0"/>
        <w:rPr>
          <w:rFonts w:cs="Open Sans"/>
          <w:b/>
          <w:sz w:val="22"/>
          <w:szCs w:val="22"/>
        </w:rPr>
      </w:pPr>
      <w:r>
        <w:rPr>
          <w:rFonts w:cs="Open Sans"/>
          <w:b/>
          <w:sz w:val="22"/>
          <w:szCs w:val="22"/>
        </w:rPr>
        <w:t xml:space="preserve">Information about measures to address sexual harassment and sexual assault in educational environments. </w:t>
      </w:r>
    </w:p>
    <w:p w14:paraId="1B72156B" w14:textId="77777777" w:rsidR="008F2AFF" w:rsidRPr="002D46C0" w:rsidRDefault="008F2AFF" w:rsidP="003423FA">
      <w:pPr>
        <w:pStyle w:val="Heading2"/>
        <w:numPr>
          <w:ilvl w:val="0"/>
          <w:numId w:val="0"/>
        </w:numPr>
        <w:ind w:left="720" w:hanging="720"/>
        <w:rPr>
          <w:rFonts w:cs="Open Sans"/>
          <w:color w:val="auto"/>
          <w:sz w:val="24"/>
          <w:szCs w:val="24"/>
        </w:rPr>
      </w:pPr>
      <w:bookmarkStart w:id="9" w:name="_Toc49332453"/>
      <w:r w:rsidRPr="002D46C0">
        <w:rPr>
          <w:rFonts w:cs="Open Sans"/>
          <w:color w:val="auto"/>
          <w:sz w:val="24"/>
          <w:szCs w:val="24"/>
        </w:rPr>
        <w:t>Older persons</w:t>
      </w:r>
      <w:bookmarkEnd w:id="9"/>
    </w:p>
    <w:p w14:paraId="02AC6AFD" w14:textId="76E8B693" w:rsidR="008F2AFF" w:rsidRPr="002D46C0" w:rsidRDefault="1479EE1F" w:rsidP="09BE2B0E">
      <w:pPr>
        <w:pStyle w:val="SubmissionNormal"/>
        <w:rPr>
          <w:rFonts w:eastAsia="Calibri" w:cs="Open Sans"/>
          <w:b/>
          <w:bCs/>
          <w:i/>
          <w:iCs/>
          <w:sz w:val="22"/>
          <w:szCs w:val="22"/>
          <w:lang w:val="en-NZ" w:eastAsia="en-US"/>
        </w:rPr>
      </w:pPr>
      <w:r w:rsidRPr="002D46C0">
        <w:rPr>
          <w:rFonts w:cs="Open Sans"/>
          <w:sz w:val="22"/>
          <w:szCs w:val="22"/>
        </w:rPr>
        <w:t>Older</w:t>
      </w:r>
      <w:r w:rsidRPr="002D46C0">
        <w:rPr>
          <w:rFonts w:eastAsia="Calibri" w:cs="Open Sans"/>
          <w:sz w:val="22"/>
          <w:szCs w:val="22"/>
          <w:lang w:val="en-NZ" w:eastAsia="en-US"/>
        </w:rPr>
        <w:t xml:space="preserve"> Australians face challenges relating to stereotyping and various forms of</w:t>
      </w:r>
      <w:r w:rsidRPr="002D46C0">
        <w:rPr>
          <w:rFonts w:cs="Open Sans"/>
          <w:sz w:val="22"/>
          <w:szCs w:val="22"/>
        </w:rPr>
        <w:t xml:space="preserve"> abuse. The Commission’s report</w:t>
      </w:r>
      <w:r w:rsidR="67EED45A">
        <w:rPr>
          <w:rFonts w:cs="Open Sans"/>
          <w:sz w:val="22"/>
          <w:szCs w:val="22"/>
        </w:rPr>
        <w:t>,</w:t>
      </w:r>
      <w:r w:rsidRPr="002D46C0">
        <w:rPr>
          <w:rFonts w:cs="Open Sans"/>
          <w:sz w:val="22"/>
          <w:szCs w:val="22"/>
        </w:rPr>
        <w:t xml:space="preserve"> </w:t>
      </w:r>
      <w:bookmarkStart w:id="10" w:name="_Hlk90971601"/>
      <w:r w:rsidRPr="09BE2B0E">
        <w:rPr>
          <w:rFonts w:cs="Open Sans"/>
          <w:i/>
          <w:iCs/>
          <w:sz w:val="22"/>
          <w:szCs w:val="22"/>
        </w:rPr>
        <w:t>What’s age got to do with it</w:t>
      </w:r>
      <w:r w:rsidR="67EED45A">
        <w:rPr>
          <w:rFonts w:cs="Open Sans"/>
          <w:sz w:val="22"/>
          <w:szCs w:val="22"/>
        </w:rPr>
        <w:t>,</w:t>
      </w:r>
      <w:r w:rsidRPr="09BE2B0E">
        <w:rPr>
          <w:rFonts w:cs="Open Sans"/>
          <w:i/>
          <w:iCs/>
          <w:sz w:val="22"/>
          <w:szCs w:val="22"/>
        </w:rPr>
        <w:t xml:space="preserve"> </w:t>
      </w:r>
      <w:bookmarkEnd w:id="10"/>
      <w:r w:rsidRPr="002D46C0">
        <w:rPr>
          <w:rFonts w:cs="Open Sans"/>
          <w:sz w:val="22"/>
          <w:szCs w:val="22"/>
        </w:rPr>
        <w:t>highlighted the pervasiveness of ageism in Australian society.</w:t>
      </w:r>
      <w:r w:rsidR="008F2AFF" w:rsidRPr="002D46C0">
        <w:rPr>
          <w:rStyle w:val="EndnoteReference"/>
          <w:rFonts w:eastAsia="Calibri" w:cs="Open Sans"/>
          <w:sz w:val="22"/>
          <w:szCs w:val="22"/>
          <w:lang w:val="en-NZ" w:eastAsia="en-US"/>
        </w:rPr>
        <w:endnoteReference w:id="62"/>
      </w:r>
      <w:r w:rsidRPr="002D46C0">
        <w:rPr>
          <w:rFonts w:cs="Open Sans"/>
          <w:sz w:val="22"/>
          <w:szCs w:val="22"/>
        </w:rPr>
        <w:t xml:space="preserve"> </w:t>
      </w:r>
      <w:r w:rsidRPr="002D46C0">
        <w:rPr>
          <w:rFonts w:eastAsia="Calibri" w:cs="Open Sans"/>
          <w:sz w:val="22"/>
          <w:szCs w:val="22"/>
          <w:lang w:val="en-NZ" w:eastAsia="en-US"/>
        </w:rPr>
        <w:t>The Commission welcomes the launch of the National Plan to Respond to the Abuse of Older Australians (2019–2023)</w:t>
      </w:r>
      <w:r w:rsidRPr="002D46C0">
        <w:rPr>
          <w:rFonts w:eastAsia="Calibri" w:cs="Open Sans"/>
          <w:sz w:val="22"/>
          <w:szCs w:val="22"/>
          <w:lang w:eastAsia="en-US"/>
        </w:rPr>
        <w:t>.</w:t>
      </w:r>
      <w:r w:rsidR="008F2AFF" w:rsidRPr="002D46C0">
        <w:rPr>
          <w:rStyle w:val="EndnoteReference"/>
          <w:rFonts w:eastAsia="Calibri" w:cs="Open Sans"/>
          <w:sz w:val="22"/>
          <w:szCs w:val="22"/>
          <w:lang w:eastAsia="en-US"/>
        </w:rPr>
        <w:endnoteReference w:id="63"/>
      </w:r>
      <w:r w:rsidRPr="002D46C0">
        <w:rPr>
          <w:rFonts w:eastAsia="Calibri" w:cs="Open Sans"/>
          <w:sz w:val="22"/>
          <w:szCs w:val="22"/>
          <w:lang w:eastAsia="en-US"/>
        </w:rPr>
        <w:t xml:space="preserve"> </w:t>
      </w:r>
      <w:r w:rsidRPr="002D46C0">
        <w:rPr>
          <w:rFonts w:eastAsia="Calibri" w:cs="Open Sans"/>
          <w:sz w:val="22"/>
          <w:szCs w:val="22"/>
          <w:lang w:val="en-NZ" w:eastAsia="en-US"/>
        </w:rPr>
        <w:t xml:space="preserve">Age discrimination is a major barrier to the participation of older Australians in the labour force, </w:t>
      </w:r>
      <w:r>
        <w:rPr>
          <w:rFonts w:eastAsia="Calibri" w:cs="Open Sans"/>
          <w:sz w:val="22"/>
          <w:szCs w:val="22"/>
          <w:lang w:val="en-NZ" w:eastAsia="en-US"/>
        </w:rPr>
        <w:t xml:space="preserve">and has been </w:t>
      </w:r>
      <w:r w:rsidRPr="002D46C0">
        <w:rPr>
          <w:rFonts w:eastAsia="Calibri" w:cs="Open Sans"/>
          <w:sz w:val="22"/>
          <w:szCs w:val="22"/>
          <w:lang w:val="en-NZ" w:eastAsia="en-US"/>
        </w:rPr>
        <w:t>exacerbated during the COVID-19 pandemic.</w:t>
      </w:r>
      <w:r w:rsidR="008F2AFF" w:rsidRPr="002D46C0">
        <w:rPr>
          <w:rStyle w:val="EndnoteReference"/>
          <w:rFonts w:eastAsia="Calibri" w:cs="Open Sans"/>
          <w:sz w:val="22"/>
          <w:szCs w:val="22"/>
          <w:lang w:val="en-NZ" w:eastAsia="en-US"/>
        </w:rPr>
        <w:endnoteReference w:id="64"/>
      </w:r>
      <w:r w:rsidRPr="002D46C0">
        <w:rPr>
          <w:rFonts w:eastAsia="Calibri" w:cs="Open Sans"/>
          <w:sz w:val="22"/>
          <w:szCs w:val="22"/>
          <w:lang w:val="en-NZ" w:eastAsia="en-US"/>
        </w:rPr>
        <w:t xml:space="preserve"> </w:t>
      </w:r>
      <w:r w:rsidRPr="15A4D369">
        <w:rPr>
          <w:rFonts w:eastAsia="Calibri" w:cs="Open Sans"/>
          <w:sz w:val="22"/>
          <w:szCs w:val="22"/>
          <w:lang w:val="en-NZ" w:eastAsia="en-US"/>
        </w:rPr>
        <w:t xml:space="preserve">The ALRC’s report </w:t>
      </w:r>
      <w:r w:rsidRPr="09BE2B0E">
        <w:rPr>
          <w:rFonts w:eastAsia="Calibri" w:cs="Open Sans"/>
          <w:i/>
          <w:iCs/>
          <w:sz w:val="22"/>
          <w:szCs w:val="22"/>
          <w:lang w:val="en-NZ" w:eastAsia="en-US"/>
        </w:rPr>
        <w:t>Elder Abuse</w:t>
      </w:r>
      <w:r w:rsidRPr="09BE2B0E">
        <w:rPr>
          <w:rFonts w:eastAsia="Calibri" w:cs="Open Sans"/>
          <w:i/>
          <w:iCs/>
          <w:sz w:val="22"/>
          <w:szCs w:val="22"/>
          <w:lang w:eastAsia="en-US"/>
        </w:rPr>
        <w:t>—</w:t>
      </w:r>
      <w:r w:rsidRPr="09BE2B0E">
        <w:rPr>
          <w:rFonts w:eastAsia="Calibri" w:cs="Open Sans"/>
          <w:i/>
          <w:iCs/>
          <w:sz w:val="22"/>
          <w:szCs w:val="22"/>
          <w:lang w:val="en-NZ" w:eastAsia="en-US"/>
        </w:rPr>
        <w:t>A National Legal Response</w:t>
      </w:r>
      <w:r w:rsidR="008F2AFF" w:rsidRPr="15A4D369">
        <w:rPr>
          <w:rStyle w:val="EndnoteReference"/>
          <w:rFonts w:eastAsia="Calibri" w:cs="Open Sans"/>
          <w:sz w:val="22"/>
          <w:szCs w:val="22"/>
          <w:lang w:val="en-NZ" w:eastAsia="en-US"/>
        </w:rPr>
        <w:endnoteReference w:id="65"/>
      </w:r>
      <w:r w:rsidRPr="15A4D369">
        <w:rPr>
          <w:rFonts w:eastAsia="Calibri" w:cs="Open Sans"/>
          <w:sz w:val="22"/>
          <w:szCs w:val="22"/>
          <w:lang w:val="en-NZ" w:eastAsia="en-US"/>
        </w:rPr>
        <w:t xml:space="preserve"> and the Commission’s </w:t>
      </w:r>
      <w:r w:rsidRPr="09BE2B0E">
        <w:rPr>
          <w:rFonts w:eastAsia="Calibri" w:cs="Open Sans"/>
          <w:i/>
          <w:iCs/>
          <w:sz w:val="22"/>
          <w:szCs w:val="22"/>
          <w:lang w:val="en-NZ" w:eastAsia="en-US"/>
        </w:rPr>
        <w:t xml:space="preserve">Willing to Work </w:t>
      </w:r>
      <w:r w:rsidRPr="15A4D369">
        <w:rPr>
          <w:rFonts w:eastAsia="Calibri" w:cs="Open Sans"/>
          <w:sz w:val="22"/>
          <w:szCs w:val="22"/>
          <w:lang w:val="en-NZ" w:eastAsia="en-US"/>
        </w:rPr>
        <w:t>report</w:t>
      </w:r>
      <w:r w:rsidR="008F2AFF" w:rsidRPr="15A4D369">
        <w:rPr>
          <w:rStyle w:val="EndnoteReference"/>
          <w:rFonts w:eastAsia="Calibri" w:cs="Open Sans"/>
          <w:sz w:val="22"/>
          <w:szCs w:val="22"/>
          <w:lang w:val="en-NZ" w:eastAsia="en-US"/>
        </w:rPr>
        <w:endnoteReference w:id="66"/>
      </w:r>
      <w:r w:rsidRPr="15A4D369">
        <w:rPr>
          <w:rFonts w:eastAsia="Calibri" w:cs="Open Sans"/>
          <w:sz w:val="22"/>
          <w:szCs w:val="22"/>
          <w:lang w:val="en-NZ" w:eastAsia="en-US"/>
        </w:rPr>
        <w:t xml:space="preserve"> address these issues and make recommendations.</w:t>
      </w:r>
    </w:p>
    <w:p w14:paraId="6487AC48" w14:textId="5C3C7572" w:rsidR="008F2AFF" w:rsidRPr="002D46C0" w:rsidRDefault="008F2AFF" w:rsidP="003423FA">
      <w:pPr>
        <w:pStyle w:val="SubmissionNormal"/>
        <w:numPr>
          <w:ilvl w:val="0"/>
          <w:numId w:val="31"/>
        </w:numPr>
        <w:rPr>
          <w:rFonts w:eastAsia="Calibri" w:cs="Open Sans"/>
          <w:b/>
          <w:bCs/>
          <w:sz w:val="22"/>
          <w:szCs w:val="22"/>
          <w:lang w:val="en-NZ" w:eastAsia="en-US"/>
        </w:rPr>
      </w:pPr>
      <w:r w:rsidRPr="002D46C0">
        <w:rPr>
          <w:rFonts w:eastAsia="Calibri" w:cs="Open Sans"/>
          <w:b/>
          <w:bCs/>
          <w:sz w:val="22"/>
          <w:szCs w:val="22"/>
          <w:lang w:val="en-NZ" w:eastAsia="en-US"/>
        </w:rPr>
        <w:t>Information about responses to workplace discrimination</w:t>
      </w:r>
      <w:r w:rsidR="4F74DC88" w:rsidRPr="7644A60A">
        <w:rPr>
          <w:rFonts w:eastAsia="Calibri" w:cs="Open Sans"/>
          <w:b/>
          <w:bCs/>
          <w:sz w:val="22"/>
          <w:szCs w:val="22"/>
          <w:lang w:val="en-NZ" w:eastAsia="en-US"/>
        </w:rPr>
        <w:t>, elder abuse and stereotyping</w:t>
      </w:r>
      <w:r w:rsidRPr="002D46C0">
        <w:rPr>
          <w:rFonts w:eastAsia="Calibri" w:cs="Open Sans"/>
          <w:b/>
          <w:bCs/>
          <w:sz w:val="22"/>
          <w:szCs w:val="22"/>
          <w:lang w:val="en-NZ" w:eastAsia="en-US"/>
        </w:rPr>
        <w:t xml:space="preserve"> against older Australians </w:t>
      </w:r>
    </w:p>
    <w:p w14:paraId="00AB6823" w14:textId="0DE4745D" w:rsidR="008F2AFF" w:rsidRPr="002D46C0" w:rsidRDefault="008F2AFF" w:rsidP="003423FA">
      <w:pPr>
        <w:pStyle w:val="Heading2"/>
        <w:numPr>
          <w:ilvl w:val="0"/>
          <w:numId w:val="0"/>
        </w:numPr>
        <w:rPr>
          <w:rFonts w:cs="Open Sans"/>
          <w:color w:val="auto"/>
          <w:sz w:val="24"/>
          <w:szCs w:val="24"/>
        </w:rPr>
      </w:pPr>
      <w:bookmarkStart w:id="11" w:name="_Toc49332455"/>
      <w:r w:rsidRPr="002D46C0">
        <w:rPr>
          <w:rFonts w:cs="Open Sans"/>
          <w:color w:val="auto"/>
          <w:sz w:val="24"/>
          <w:szCs w:val="24"/>
        </w:rPr>
        <w:t>Lesbian, gay, bisexual, trans, gender diverse and intersex people</w:t>
      </w:r>
      <w:bookmarkEnd w:id="11"/>
    </w:p>
    <w:p w14:paraId="3653AD08" w14:textId="7B7395E5" w:rsidR="008F2AFF" w:rsidRPr="002D46C0" w:rsidRDefault="1479EE1F" w:rsidP="006F7EC5">
      <w:pPr>
        <w:pStyle w:val="SubmissionNormal"/>
        <w:rPr>
          <w:rFonts w:cs="Open Sans"/>
          <w:i/>
          <w:iCs/>
          <w:sz w:val="22"/>
          <w:szCs w:val="22"/>
        </w:rPr>
      </w:pPr>
      <w:r w:rsidRPr="002D46C0">
        <w:rPr>
          <w:rFonts w:cs="Open Sans"/>
          <w:sz w:val="22"/>
          <w:szCs w:val="22"/>
        </w:rPr>
        <w:t>The Commission welcome</w:t>
      </w:r>
      <w:r>
        <w:rPr>
          <w:rFonts w:cs="Open Sans"/>
          <w:sz w:val="22"/>
          <w:szCs w:val="22"/>
        </w:rPr>
        <w:t>d</w:t>
      </w:r>
      <w:r w:rsidRPr="002D46C0">
        <w:rPr>
          <w:rFonts w:cs="Open Sans"/>
          <w:sz w:val="22"/>
          <w:szCs w:val="22"/>
        </w:rPr>
        <w:t xml:space="preserve"> marriage equality legislation</w:t>
      </w:r>
      <w:r w:rsidR="008F2AFF" w:rsidRPr="002D46C0">
        <w:rPr>
          <w:rStyle w:val="EndnoteReference"/>
          <w:rFonts w:cs="Open Sans"/>
          <w:sz w:val="22"/>
          <w:szCs w:val="22"/>
        </w:rPr>
        <w:endnoteReference w:id="67"/>
      </w:r>
      <w:r w:rsidRPr="002D46C0">
        <w:rPr>
          <w:rFonts w:cs="Open Sans"/>
          <w:sz w:val="22"/>
          <w:szCs w:val="22"/>
        </w:rPr>
        <w:t xml:space="preserve"> and legislation expunging historic criminal convictions for consensual homosexual sex.</w:t>
      </w:r>
      <w:r w:rsidR="008F2AFF" w:rsidRPr="002D46C0">
        <w:rPr>
          <w:rStyle w:val="EndnoteReference"/>
          <w:rFonts w:cs="Open Sans"/>
          <w:sz w:val="22"/>
          <w:szCs w:val="22"/>
        </w:rPr>
        <w:endnoteReference w:id="68"/>
      </w:r>
    </w:p>
    <w:p w14:paraId="57BBDB25" w14:textId="27AE8765" w:rsidR="008F2AFF" w:rsidRPr="002D46C0" w:rsidRDefault="1479EE1F" w:rsidP="006F7EC5">
      <w:pPr>
        <w:pStyle w:val="SubmissionNormal"/>
        <w:rPr>
          <w:rFonts w:cs="Open Sans"/>
          <w:i/>
          <w:iCs/>
          <w:sz w:val="22"/>
          <w:szCs w:val="22"/>
        </w:rPr>
      </w:pPr>
      <w:r w:rsidRPr="002D46C0">
        <w:rPr>
          <w:rFonts w:cs="Open Sans"/>
          <w:sz w:val="22"/>
          <w:szCs w:val="22"/>
        </w:rPr>
        <w:t>The Commission is concerned about involuntary surgery on people born with variations in sex characteristics, especially infants.</w:t>
      </w:r>
      <w:r w:rsidR="008F2AFF" w:rsidRPr="002D46C0">
        <w:rPr>
          <w:rStyle w:val="EndnoteReference"/>
          <w:rFonts w:cs="Open Sans"/>
          <w:sz w:val="22"/>
          <w:szCs w:val="22"/>
        </w:rPr>
        <w:endnoteReference w:id="69"/>
      </w:r>
      <w:r w:rsidRPr="002D46C0">
        <w:rPr>
          <w:rFonts w:cs="Open Sans"/>
          <w:sz w:val="22"/>
          <w:szCs w:val="22"/>
        </w:rPr>
        <w:t xml:space="preserve"> The Commission has recently released a report</w:t>
      </w:r>
      <w:r w:rsidR="55CBA3F3">
        <w:rPr>
          <w:rFonts w:cs="Open Sans"/>
          <w:sz w:val="22"/>
          <w:szCs w:val="22"/>
        </w:rPr>
        <w:t>,</w:t>
      </w:r>
      <w:r w:rsidRPr="002D46C0">
        <w:rPr>
          <w:rFonts w:cs="Open Sans"/>
          <w:sz w:val="22"/>
          <w:szCs w:val="22"/>
        </w:rPr>
        <w:t xml:space="preserve"> </w:t>
      </w:r>
      <w:r w:rsidR="42EDD461" w:rsidRPr="09BE2B0E">
        <w:rPr>
          <w:rFonts w:cs="Open Sans"/>
          <w:i/>
          <w:iCs/>
          <w:sz w:val="22"/>
          <w:szCs w:val="22"/>
        </w:rPr>
        <w:t>A</w:t>
      </w:r>
      <w:r w:rsidRPr="09BE2B0E">
        <w:rPr>
          <w:rFonts w:cs="Open Sans"/>
          <w:i/>
          <w:iCs/>
          <w:sz w:val="22"/>
          <w:szCs w:val="22"/>
        </w:rPr>
        <w:t xml:space="preserve"> human </w:t>
      </w:r>
      <w:r w:rsidR="7C61F2FE" w:rsidRPr="09BE2B0E">
        <w:rPr>
          <w:rFonts w:cs="Open Sans"/>
          <w:i/>
          <w:iCs/>
          <w:sz w:val="22"/>
          <w:szCs w:val="22"/>
        </w:rPr>
        <w:t>rights-based</w:t>
      </w:r>
      <w:r w:rsidRPr="09BE2B0E">
        <w:rPr>
          <w:rFonts w:cs="Open Sans"/>
          <w:i/>
          <w:iCs/>
          <w:sz w:val="22"/>
          <w:szCs w:val="22"/>
        </w:rPr>
        <w:t xml:space="preserve"> approach for people born with variations in sex characteristics</w:t>
      </w:r>
      <w:r w:rsidRPr="002D46C0">
        <w:rPr>
          <w:rFonts w:cs="Open Sans"/>
          <w:sz w:val="22"/>
          <w:szCs w:val="22"/>
        </w:rPr>
        <w:t>, with recommendations to address these practices.</w:t>
      </w:r>
      <w:r w:rsidR="008F2AFF" w:rsidRPr="01816EFD">
        <w:rPr>
          <w:rStyle w:val="EndnoteReference"/>
          <w:rFonts w:cs="Open Sans"/>
        </w:rPr>
        <w:endnoteReference w:id="70"/>
      </w:r>
    </w:p>
    <w:p w14:paraId="3EBF53A5" w14:textId="05C3B6AB" w:rsidR="008F2AFF" w:rsidRPr="002D46C0" w:rsidRDefault="1479EE1F" w:rsidP="09BE2B0E">
      <w:pPr>
        <w:pStyle w:val="SubmissionNormal"/>
        <w:rPr>
          <w:rFonts w:cs="Open Sans"/>
          <w:i/>
          <w:iCs/>
          <w:sz w:val="22"/>
          <w:szCs w:val="22"/>
        </w:rPr>
      </w:pPr>
      <w:r w:rsidRPr="09BE2B0E">
        <w:rPr>
          <w:rFonts w:cs="Open Sans"/>
          <w:sz w:val="22"/>
          <w:szCs w:val="22"/>
        </w:rPr>
        <w:t xml:space="preserve">The Commission remains concerned that people experience discrimination at work on the basis of sexual orientation, gender identity and intersex </w:t>
      </w:r>
      <w:r w:rsidR="113751DD" w:rsidRPr="09BE2B0E">
        <w:rPr>
          <w:rFonts w:cs="Open Sans"/>
          <w:sz w:val="22"/>
          <w:szCs w:val="22"/>
        </w:rPr>
        <w:t xml:space="preserve">(SOGII) </w:t>
      </w:r>
      <w:r w:rsidRPr="09BE2B0E">
        <w:rPr>
          <w:rFonts w:cs="Open Sans"/>
          <w:sz w:val="22"/>
          <w:szCs w:val="22"/>
        </w:rPr>
        <w:t>status</w:t>
      </w:r>
      <w:r w:rsidR="0C031419" w:rsidRPr="09BE2B0E">
        <w:rPr>
          <w:rFonts w:cs="Open Sans"/>
          <w:sz w:val="22"/>
          <w:szCs w:val="22"/>
        </w:rPr>
        <w:t>, including higher rates of sexual harassment</w:t>
      </w:r>
      <w:r w:rsidRPr="09BE2B0E">
        <w:rPr>
          <w:rFonts w:cs="Open Sans"/>
          <w:sz w:val="22"/>
          <w:szCs w:val="22"/>
        </w:rPr>
        <w:t>.</w:t>
      </w:r>
      <w:r w:rsidR="7C26D834" w:rsidRPr="09BE2B0E">
        <w:rPr>
          <w:rFonts w:cs="Open Sans"/>
          <w:sz w:val="22"/>
          <w:szCs w:val="22"/>
        </w:rPr>
        <w:t xml:space="preserve"> </w:t>
      </w:r>
      <w:r w:rsidRPr="002D46C0">
        <w:rPr>
          <w:rFonts w:cs="Open Sans"/>
          <w:sz w:val="22"/>
          <w:szCs w:val="22"/>
        </w:rPr>
        <w:t xml:space="preserve">The Commission remains concerned that children and young people experience disproportionately high rates of discrimination, harassment and abuse at school on the basis of </w:t>
      </w:r>
      <w:r w:rsidR="414E1B31" w:rsidRPr="09BE2B0E">
        <w:rPr>
          <w:rFonts w:cs="Open Sans"/>
          <w:sz w:val="22"/>
          <w:szCs w:val="22"/>
        </w:rPr>
        <w:t xml:space="preserve">SOGII </w:t>
      </w:r>
      <w:r w:rsidR="001B7345" w:rsidRPr="15A4D369">
        <w:rPr>
          <w:rFonts w:cs="Open Sans"/>
          <w:sz w:val="22"/>
          <w:szCs w:val="22"/>
        </w:rPr>
        <w:t>status</w:t>
      </w:r>
      <w:r w:rsidR="00CE3626">
        <w:rPr>
          <w:rFonts w:cs="Open Sans"/>
          <w:sz w:val="22"/>
          <w:szCs w:val="22"/>
        </w:rPr>
        <w:t>.</w:t>
      </w:r>
      <w:r w:rsidR="008F2AFF" w:rsidRPr="002D46C0">
        <w:rPr>
          <w:rFonts w:cs="Open Sans"/>
          <w:sz w:val="22"/>
          <w:szCs w:val="22"/>
          <w:vertAlign w:val="superscript"/>
        </w:rPr>
        <w:endnoteReference w:id="71"/>
      </w:r>
      <w:r w:rsidRPr="15A4D369">
        <w:rPr>
          <w:rFonts w:cs="Open Sans"/>
          <w:sz w:val="22"/>
          <w:szCs w:val="22"/>
        </w:rPr>
        <w:t>.</w:t>
      </w:r>
      <w:r w:rsidR="6DCF5E77" w:rsidRPr="09BE2B0E">
        <w:rPr>
          <w:rFonts w:cs="Open Sans"/>
          <w:sz w:val="22"/>
          <w:szCs w:val="22"/>
        </w:rPr>
        <w:t xml:space="preserve">Section </w:t>
      </w:r>
      <w:r w:rsidR="192E9F35" w:rsidRPr="09BE2B0E">
        <w:rPr>
          <w:rFonts w:cs="Open Sans"/>
          <w:sz w:val="22"/>
          <w:szCs w:val="22"/>
        </w:rPr>
        <w:t>38</w:t>
      </w:r>
      <w:r w:rsidR="6DCF5E77" w:rsidRPr="09BE2B0E">
        <w:rPr>
          <w:rFonts w:cs="Open Sans"/>
          <w:sz w:val="22"/>
          <w:szCs w:val="22"/>
        </w:rPr>
        <w:t xml:space="preserve"> of the </w:t>
      </w:r>
      <w:r w:rsidR="5B036E8C" w:rsidRPr="09BE2B0E">
        <w:rPr>
          <w:rFonts w:cs="Open Sans"/>
          <w:i/>
          <w:iCs/>
          <w:sz w:val="22"/>
          <w:szCs w:val="22"/>
        </w:rPr>
        <w:t xml:space="preserve">Sex Discrimination Act </w:t>
      </w:r>
      <w:r w:rsidR="7786015D" w:rsidRPr="09BE2B0E">
        <w:rPr>
          <w:rFonts w:cs="Open Sans"/>
          <w:i/>
          <w:iCs/>
          <w:sz w:val="22"/>
          <w:szCs w:val="22"/>
        </w:rPr>
        <w:t xml:space="preserve">1984 </w:t>
      </w:r>
      <w:r w:rsidR="008C79D5">
        <w:rPr>
          <w:rFonts w:cs="Open Sans"/>
          <w:sz w:val="22"/>
          <w:szCs w:val="22"/>
        </w:rPr>
        <w:t xml:space="preserve">(Cth) </w:t>
      </w:r>
      <w:r w:rsidR="15142089" w:rsidRPr="09BE2B0E">
        <w:rPr>
          <w:rFonts w:cs="Open Sans"/>
          <w:sz w:val="22"/>
          <w:szCs w:val="22"/>
        </w:rPr>
        <w:t>creates an exception for educational institutions established for religious purposes</w:t>
      </w:r>
      <w:r w:rsidR="058E476B" w:rsidRPr="09BE2B0E">
        <w:rPr>
          <w:rFonts w:cs="Open Sans"/>
          <w:sz w:val="22"/>
          <w:szCs w:val="22"/>
        </w:rPr>
        <w:t xml:space="preserve">. This </w:t>
      </w:r>
      <w:r w:rsidR="001D5BC7">
        <w:rPr>
          <w:rFonts w:cs="Open Sans"/>
          <w:sz w:val="22"/>
          <w:szCs w:val="22"/>
        </w:rPr>
        <w:t xml:space="preserve">renders </w:t>
      </w:r>
      <w:r w:rsidR="47A234A5" w:rsidRPr="09BE2B0E">
        <w:rPr>
          <w:rFonts w:cs="Open Sans"/>
          <w:sz w:val="22"/>
          <w:szCs w:val="22"/>
        </w:rPr>
        <w:t xml:space="preserve">discrimination </w:t>
      </w:r>
      <w:r w:rsidR="058E476B" w:rsidRPr="09BE2B0E">
        <w:rPr>
          <w:rFonts w:cs="Open Sans"/>
          <w:sz w:val="22"/>
          <w:szCs w:val="22"/>
        </w:rPr>
        <w:t xml:space="preserve">by religious schools </w:t>
      </w:r>
      <w:r w:rsidR="4851645F" w:rsidRPr="09BE2B0E">
        <w:rPr>
          <w:rFonts w:cs="Open Sans"/>
          <w:sz w:val="22"/>
          <w:szCs w:val="22"/>
        </w:rPr>
        <w:t xml:space="preserve">against teachers and students </w:t>
      </w:r>
      <w:r w:rsidR="008B0615">
        <w:rPr>
          <w:rFonts w:cs="Open Sans"/>
          <w:sz w:val="22"/>
          <w:szCs w:val="22"/>
        </w:rPr>
        <w:t xml:space="preserve">not unlawful </w:t>
      </w:r>
      <w:r w:rsidR="47A234A5" w:rsidRPr="09BE2B0E">
        <w:rPr>
          <w:rFonts w:cs="Open Sans"/>
          <w:sz w:val="22"/>
          <w:szCs w:val="22"/>
        </w:rPr>
        <w:t xml:space="preserve">on the basis of </w:t>
      </w:r>
      <w:r w:rsidR="60259259" w:rsidRPr="09BE2B0E">
        <w:rPr>
          <w:rFonts w:cs="Open Sans"/>
          <w:sz w:val="22"/>
          <w:szCs w:val="22"/>
        </w:rPr>
        <w:t xml:space="preserve">grounds including </w:t>
      </w:r>
      <w:r w:rsidR="391DC7D4" w:rsidRPr="09BE2B0E">
        <w:rPr>
          <w:rFonts w:cs="Open Sans"/>
          <w:sz w:val="22"/>
          <w:szCs w:val="22"/>
        </w:rPr>
        <w:t xml:space="preserve">SOGII </w:t>
      </w:r>
      <w:r w:rsidR="47A234A5" w:rsidRPr="09BE2B0E">
        <w:rPr>
          <w:rFonts w:cs="Open Sans"/>
          <w:sz w:val="22"/>
          <w:szCs w:val="22"/>
        </w:rPr>
        <w:t>status</w:t>
      </w:r>
      <w:r w:rsidR="058E476B" w:rsidRPr="09BE2B0E">
        <w:rPr>
          <w:rFonts w:cs="Open Sans"/>
          <w:sz w:val="22"/>
          <w:szCs w:val="22"/>
        </w:rPr>
        <w:t xml:space="preserve">, </w:t>
      </w:r>
      <w:r w:rsidR="3E00B965" w:rsidRPr="09BE2B0E">
        <w:rPr>
          <w:rFonts w:cs="Open Sans"/>
          <w:sz w:val="22"/>
          <w:szCs w:val="22"/>
        </w:rPr>
        <w:t xml:space="preserve">where certain conditions are met. </w:t>
      </w:r>
      <w:r w:rsidR="3D83F383" w:rsidRPr="09BE2B0E">
        <w:rPr>
          <w:rFonts w:cs="Open Sans"/>
          <w:sz w:val="22"/>
          <w:szCs w:val="22"/>
        </w:rPr>
        <w:t xml:space="preserve">The Commission </w:t>
      </w:r>
      <w:r w:rsidR="1A29BAD2" w:rsidRPr="09BE2B0E">
        <w:rPr>
          <w:rFonts w:cs="Open Sans"/>
          <w:sz w:val="22"/>
          <w:szCs w:val="22"/>
        </w:rPr>
        <w:t>notes</w:t>
      </w:r>
      <w:r w:rsidR="3D83F383" w:rsidRPr="09BE2B0E">
        <w:rPr>
          <w:rFonts w:cs="Open Sans"/>
          <w:sz w:val="22"/>
          <w:szCs w:val="22"/>
        </w:rPr>
        <w:t xml:space="preserve"> that the Government’s proposed Religious Discrimination Bill</w:t>
      </w:r>
      <w:r w:rsidR="2E6927D9" w:rsidRPr="09BE2B0E">
        <w:rPr>
          <w:rFonts w:cs="Open Sans"/>
          <w:sz w:val="22"/>
          <w:szCs w:val="22"/>
        </w:rPr>
        <w:t xml:space="preserve"> 2021</w:t>
      </w:r>
      <w:r w:rsidR="3D83F383" w:rsidRPr="09BE2B0E">
        <w:rPr>
          <w:rFonts w:cs="Open Sans"/>
          <w:sz w:val="22"/>
          <w:szCs w:val="22"/>
        </w:rPr>
        <w:t xml:space="preserve"> </w:t>
      </w:r>
      <w:r w:rsidR="0661888D" w:rsidRPr="09BE2B0E">
        <w:rPr>
          <w:rFonts w:cs="Open Sans"/>
          <w:sz w:val="22"/>
          <w:szCs w:val="22"/>
        </w:rPr>
        <w:t xml:space="preserve">includes </w:t>
      </w:r>
      <w:r w:rsidR="3C0FA08D" w:rsidRPr="09BE2B0E">
        <w:rPr>
          <w:rFonts w:cs="Open Sans"/>
          <w:sz w:val="22"/>
          <w:szCs w:val="22"/>
        </w:rPr>
        <w:t>a</w:t>
      </w:r>
      <w:r w:rsidR="23C45386" w:rsidRPr="09BE2B0E">
        <w:rPr>
          <w:rFonts w:cs="Open Sans"/>
          <w:sz w:val="22"/>
          <w:szCs w:val="22"/>
        </w:rPr>
        <w:t>n overly broad</w:t>
      </w:r>
      <w:r w:rsidR="3C0FA08D" w:rsidRPr="09BE2B0E">
        <w:rPr>
          <w:rFonts w:cs="Open Sans"/>
          <w:sz w:val="22"/>
          <w:szCs w:val="22"/>
        </w:rPr>
        <w:t xml:space="preserve"> general</w:t>
      </w:r>
      <w:r w:rsidR="0661888D" w:rsidRPr="09BE2B0E">
        <w:rPr>
          <w:rFonts w:cs="Open Sans"/>
          <w:sz w:val="22"/>
          <w:szCs w:val="22"/>
        </w:rPr>
        <w:t xml:space="preserve"> exemption</w:t>
      </w:r>
      <w:r w:rsidR="3C0FA08D" w:rsidRPr="09BE2B0E">
        <w:rPr>
          <w:rFonts w:cs="Open Sans"/>
          <w:sz w:val="22"/>
          <w:szCs w:val="22"/>
        </w:rPr>
        <w:t xml:space="preserve"> </w:t>
      </w:r>
      <w:r w:rsidR="23C45386" w:rsidRPr="09BE2B0E">
        <w:rPr>
          <w:rFonts w:cs="Open Sans"/>
          <w:sz w:val="22"/>
          <w:szCs w:val="22"/>
        </w:rPr>
        <w:t xml:space="preserve">that would enable </w:t>
      </w:r>
      <w:r w:rsidR="0661888D" w:rsidRPr="09BE2B0E">
        <w:rPr>
          <w:rFonts w:cs="Open Sans"/>
          <w:sz w:val="22"/>
          <w:szCs w:val="22"/>
        </w:rPr>
        <w:t xml:space="preserve">discrimination against </w:t>
      </w:r>
      <w:r w:rsidR="391DC7D4" w:rsidRPr="09BE2B0E">
        <w:rPr>
          <w:rFonts w:cs="Open Sans"/>
          <w:sz w:val="22"/>
          <w:szCs w:val="22"/>
        </w:rPr>
        <w:t xml:space="preserve">SOGII </w:t>
      </w:r>
      <w:r w:rsidR="0661888D" w:rsidRPr="09BE2B0E">
        <w:rPr>
          <w:rFonts w:cs="Open Sans"/>
          <w:sz w:val="22"/>
          <w:szCs w:val="22"/>
        </w:rPr>
        <w:t>students and teachers</w:t>
      </w:r>
      <w:r w:rsidR="12F8B0AD" w:rsidRPr="09BE2B0E">
        <w:rPr>
          <w:rFonts w:cs="Open Sans"/>
          <w:sz w:val="22"/>
          <w:szCs w:val="22"/>
        </w:rPr>
        <w:t xml:space="preserve"> if passed in its current form.</w:t>
      </w:r>
      <w:r w:rsidR="008F2AFF" w:rsidRPr="09BE2B0E">
        <w:rPr>
          <w:rStyle w:val="EndnoteReference"/>
          <w:rFonts w:cs="Open Sans"/>
        </w:rPr>
        <w:endnoteReference w:id="72"/>
      </w:r>
    </w:p>
    <w:p w14:paraId="4321D57C" w14:textId="45C36A89" w:rsidR="008F2AFF" w:rsidRPr="002D46C0" w:rsidRDefault="008F2AFF" w:rsidP="003423FA">
      <w:pPr>
        <w:pStyle w:val="SubmissionNormal"/>
        <w:numPr>
          <w:ilvl w:val="0"/>
          <w:numId w:val="32"/>
        </w:numPr>
        <w:rPr>
          <w:rFonts w:cs="Open Sans"/>
          <w:b/>
          <w:bCs/>
          <w:sz w:val="22"/>
          <w:szCs w:val="22"/>
        </w:rPr>
      </w:pPr>
      <w:r w:rsidRPr="002D46C0">
        <w:rPr>
          <w:rFonts w:cs="Open Sans"/>
          <w:b/>
          <w:bCs/>
          <w:sz w:val="22"/>
          <w:szCs w:val="22"/>
        </w:rPr>
        <w:t xml:space="preserve">Information on Government response to the Commission’s report on people born with variations in sex characteristics, and steps taken to ensure a nationally consistent human rights-based approach to medical interventions.  </w:t>
      </w:r>
    </w:p>
    <w:p w14:paraId="108E3BA7" w14:textId="3FB36376" w:rsidR="008F2AFF" w:rsidRPr="002D46C0" w:rsidRDefault="008F2AFF" w:rsidP="00505F7B">
      <w:pPr>
        <w:pStyle w:val="SubmissionNormal"/>
        <w:numPr>
          <w:ilvl w:val="0"/>
          <w:numId w:val="32"/>
        </w:numPr>
        <w:rPr>
          <w:rFonts w:cs="Open Sans"/>
          <w:b/>
          <w:bCs/>
          <w:sz w:val="22"/>
          <w:szCs w:val="22"/>
        </w:rPr>
      </w:pPr>
      <w:r w:rsidRPr="002D46C0">
        <w:rPr>
          <w:rFonts w:cs="Open Sans"/>
          <w:b/>
          <w:bCs/>
          <w:sz w:val="22"/>
          <w:szCs w:val="22"/>
        </w:rPr>
        <w:t xml:space="preserve">Information on steps taken to reduce discrimination on the basis of sexual orientation, gender identity and intersex status in employment, and to create safe and supportive school environments. </w:t>
      </w:r>
    </w:p>
    <w:p w14:paraId="1B46658F" w14:textId="11C7281D" w:rsidR="008F2AFF" w:rsidRPr="002D46C0" w:rsidRDefault="008F2AFF" w:rsidP="003423FA">
      <w:pPr>
        <w:pStyle w:val="Heading2"/>
        <w:numPr>
          <w:ilvl w:val="0"/>
          <w:numId w:val="0"/>
        </w:numPr>
        <w:ind w:left="720" w:hanging="720"/>
        <w:rPr>
          <w:rFonts w:cs="Open Sans"/>
          <w:color w:val="auto"/>
          <w:sz w:val="24"/>
          <w:szCs w:val="24"/>
        </w:rPr>
      </w:pPr>
      <w:r w:rsidRPr="002D46C0">
        <w:rPr>
          <w:rFonts w:cs="Open Sans"/>
          <w:color w:val="auto"/>
          <w:sz w:val="24"/>
          <w:szCs w:val="24"/>
        </w:rPr>
        <w:t xml:space="preserve">Children </w:t>
      </w:r>
    </w:p>
    <w:p w14:paraId="1327C20A" w14:textId="29DFA3BD" w:rsidR="008F2AFF" w:rsidRPr="002D46C0" w:rsidRDefault="1479EE1F" w:rsidP="007E3130">
      <w:pPr>
        <w:pStyle w:val="SubmissionNormal"/>
        <w:rPr>
          <w:rFonts w:cs="Open Sans"/>
          <w:b/>
          <w:bCs/>
          <w:sz w:val="22"/>
          <w:szCs w:val="22"/>
        </w:rPr>
      </w:pPr>
      <w:r w:rsidRPr="002D46C0">
        <w:rPr>
          <w:rFonts w:cs="Open Sans"/>
          <w:sz w:val="22"/>
          <w:szCs w:val="22"/>
        </w:rPr>
        <w:t>There are inadequate legal protections for children’s rights in Australia, including remedies. Significant gaps in the implementation of children’s rights exist across all areas of data collection, policy, programs and service delivery. Approaches to children experiencing vulnerability and adversity are fragmented and are largely reactive rather than preventative. The Commission has recommended the development of a National Plan for Child Wellbeing and a national children’s data framework to improve and coordinate children’s policy and service-delivery across government portfolios.</w:t>
      </w:r>
      <w:r w:rsidR="008F2AFF" w:rsidRPr="002D46C0">
        <w:rPr>
          <w:rStyle w:val="EndnoteReference"/>
          <w:rFonts w:cs="Open Sans"/>
          <w:sz w:val="22"/>
          <w:szCs w:val="22"/>
        </w:rPr>
        <w:endnoteReference w:id="73"/>
      </w:r>
      <w:r w:rsidRPr="002D46C0">
        <w:rPr>
          <w:rFonts w:cs="Open Sans"/>
          <w:b/>
          <w:bCs/>
          <w:sz w:val="22"/>
          <w:szCs w:val="22"/>
        </w:rPr>
        <w:t xml:space="preserve"> </w:t>
      </w:r>
    </w:p>
    <w:p w14:paraId="2DAA5BCF" w14:textId="544B6BA3" w:rsidR="008F2AFF" w:rsidRPr="002D46C0" w:rsidRDefault="1479EE1F" w:rsidP="007E3130">
      <w:pPr>
        <w:pStyle w:val="SubmissionNormal"/>
        <w:rPr>
          <w:rFonts w:cs="Open Sans"/>
          <w:sz w:val="22"/>
          <w:szCs w:val="22"/>
        </w:rPr>
      </w:pPr>
      <w:r w:rsidRPr="002D46C0">
        <w:rPr>
          <w:rFonts w:cs="Open Sans"/>
          <w:sz w:val="22"/>
          <w:szCs w:val="22"/>
        </w:rPr>
        <w:t>The Commission is concerned that the needs of children have not been a priority of COVID-19 policy</w:t>
      </w:r>
      <w:r w:rsidR="12993BFA" w:rsidRPr="002D46C0">
        <w:rPr>
          <w:rFonts w:cs="Open Sans"/>
          <w:sz w:val="22"/>
          <w:szCs w:val="22"/>
        </w:rPr>
        <w:t xml:space="preserve">, </w:t>
      </w:r>
      <w:r w:rsidR="37E3D849" w:rsidRPr="002D46C0">
        <w:rPr>
          <w:rFonts w:cs="Open Sans"/>
          <w:sz w:val="22"/>
          <w:szCs w:val="22"/>
        </w:rPr>
        <w:t>such as</w:t>
      </w:r>
      <w:r w:rsidRPr="002D46C0">
        <w:rPr>
          <w:rFonts w:cs="Open Sans"/>
          <w:sz w:val="22"/>
          <w:szCs w:val="22"/>
        </w:rPr>
        <w:t xml:space="preserve"> mental health, learning and social life.</w:t>
      </w:r>
      <w:r w:rsidR="008F2AFF" w:rsidRPr="002D46C0">
        <w:rPr>
          <w:rStyle w:val="EndnoteReference"/>
          <w:rFonts w:cs="Open Sans"/>
          <w:sz w:val="22"/>
          <w:szCs w:val="22"/>
        </w:rPr>
        <w:endnoteReference w:id="74"/>
      </w:r>
      <w:r w:rsidRPr="002D46C0">
        <w:rPr>
          <w:rFonts w:cs="Open Sans"/>
          <w:sz w:val="22"/>
          <w:szCs w:val="22"/>
        </w:rPr>
        <w:t xml:space="preserve"> </w:t>
      </w:r>
    </w:p>
    <w:p w14:paraId="7D820F6A" w14:textId="0F9B3D06" w:rsidR="008F2AFF" w:rsidRPr="002D46C0" w:rsidRDefault="1479EE1F" w:rsidP="00702949">
      <w:pPr>
        <w:pStyle w:val="SubmissionNormal"/>
        <w:rPr>
          <w:rFonts w:cs="Open Sans"/>
          <w:sz w:val="22"/>
          <w:szCs w:val="22"/>
        </w:rPr>
      </w:pPr>
      <w:r w:rsidRPr="002D46C0">
        <w:rPr>
          <w:rFonts w:cs="Open Sans"/>
          <w:sz w:val="22"/>
          <w:szCs w:val="22"/>
        </w:rPr>
        <w:t>Violence against children is a serious problem in Australia. Child protection data indicates that the rate of substantiations of child abuse and neglect was at 9 per 1,000 children in 2019</w:t>
      </w:r>
      <w:r w:rsidR="4744DD62">
        <w:rPr>
          <w:rFonts w:cs="Open Sans"/>
          <w:sz w:val="22"/>
          <w:szCs w:val="22"/>
        </w:rPr>
        <w:t>–</w:t>
      </w:r>
      <w:r w:rsidRPr="002D46C0">
        <w:rPr>
          <w:rFonts w:cs="Open Sans"/>
          <w:sz w:val="22"/>
          <w:szCs w:val="22"/>
        </w:rPr>
        <w:t>20, up from 8 per 1,000 in 2015</w:t>
      </w:r>
      <w:r w:rsidR="4744DD62">
        <w:rPr>
          <w:rFonts w:cs="Open Sans"/>
          <w:sz w:val="22"/>
          <w:szCs w:val="22"/>
        </w:rPr>
        <w:t>–</w:t>
      </w:r>
      <w:r w:rsidRPr="002D46C0">
        <w:rPr>
          <w:rFonts w:cs="Open Sans"/>
          <w:sz w:val="22"/>
          <w:szCs w:val="22"/>
        </w:rPr>
        <w:t>16.</w:t>
      </w:r>
      <w:r w:rsidR="008F2AFF" w:rsidRPr="002D46C0">
        <w:rPr>
          <w:rStyle w:val="EndnoteReference"/>
          <w:rFonts w:cs="Open Sans"/>
          <w:sz w:val="22"/>
          <w:szCs w:val="22"/>
        </w:rPr>
        <w:endnoteReference w:id="75"/>
      </w:r>
      <w:r w:rsidRPr="002D46C0">
        <w:rPr>
          <w:rFonts w:cs="Open Sans"/>
          <w:sz w:val="22"/>
          <w:szCs w:val="22"/>
        </w:rPr>
        <w:t xml:space="preserve"> The Commission is currently consulting with children and young people to inform the successor plan to the </w:t>
      </w:r>
      <w:r w:rsidRPr="09BE2B0E">
        <w:rPr>
          <w:rFonts w:cs="Open Sans"/>
          <w:i/>
          <w:iCs/>
          <w:sz w:val="22"/>
          <w:szCs w:val="22"/>
        </w:rPr>
        <w:t>National Framework for Protecting Australia’s Children (2009</w:t>
      </w:r>
      <w:r w:rsidR="4744DD62" w:rsidRPr="09BE2B0E">
        <w:rPr>
          <w:rFonts w:cs="Open Sans"/>
          <w:i/>
          <w:iCs/>
          <w:sz w:val="22"/>
          <w:szCs w:val="22"/>
        </w:rPr>
        <w:t>–</w:t>
      </w:r>
      <w:r w:rsidRPr="09BE2B0E">
        <w:rPr>
          <w:rFonts w:cs="Open Sans"/>
          <w:i/>
          <w:iCs/>
          <w:sz w:val="22"/>
          <w:szCs w:val="22"/>
        </w:rPr>
        <w:t>2020).</w:t>
      </w:r>
      <w:r w:rsidR="008F2AFF" w:rsidRPr="09BE2B0E">
        <w:rPr>
          <w:rStyle w:val="EndnoteReference"/>
          <w:rFonts w:cs="Open Sans"/>
          <w:i/>
          <w:iCs/>
          <w:sz w:val="22"/>
          <w:szCs w:val="22"/>
        </w:rPr>
        <w:endnoteReference w:id="76"/>
      </w:r>
    </w:p>
    <w:p w14:paraId="43519B71" w14:textId="141939CB" w:rsidR="008F2AFF" w:rsidRPr="002D46C0" w:rsidRDefault="1479EE1F" w:rsidP="00702949">
      <w:pPr>
        <w:pStyle w:val="SubmissionNormal"/>
        <w:rPr>
          <w:rFonts w:cs="Open Sans"/>
          <w:b/>
          <w:bCs/>
          <w:sz w:val="22"/>
          <w:szCs w:val="22"/>
        </w:rPr>
      </w:pPr>
      <w:r w:rsidRPr="002D46C0">
        <w:rPr>
          <w:rFonts w:cs="Open Sans"/>
          <w:sz w:val="22"/>
          <w:szCs w:val="22"/>
        </w:rPr>
        <w:t xml:space="preserve">Rates of children in out-of-home care have steadily </w:t>
      </w:r>
      <w:r w:rsidRPr="002D46C0">
        <w:rPr>
          <w:rFonts w:cs="Open Sans"/>
          <w:sz w:val="22"/>
          <w:szCs w:val="22"/>
          <w:lang w:val="en-US"/>
        </w:rPr>
        <w:t>increased</w:t>
      </w:r>
      <w:r w:rsidRPr="002D46C0">
        <w:rPr>
          <w:rFonts w:cs="Open Sans"/>
          <w:sz w:val="22"/>
          <w:szCs w:val="22"/>
        </w:rPr>
        <w:t>,</w:t>
      </w:r>
      <w:r w:rsidR="008F2AFF" w:rsidRPr="002D46C0">
        <w:rPr>
          <w:rStyle w:val="EndnoteReference"/>
          <w:rFonts w:eastAsia="MS Mincho" w:cs="Open Sans"/>
          <w:sz w:val="22"/>
          <w:szCs w:val="22"/>
        </w:rPr>
        <w:endnoteReference w:id="77"/>
      </w:r>
      <w:r w:rsidRPr="002D46C0">
        <w:rPr>
          <w:rFonts w:cs="Open Sans"/>
          <w:sz w:val="22"/>
          <w:szCs w:val="22"/>
        </w:rPr>
        <w:t xml:space="preserve"> with Indigenous children significantly over-represented.</w:t>
      </w:r>
      <w:r w:rsidRPr="15A4D369">
        <w:rPr>
          <w:rFonts w:cs="Open Sans"/>
          <w:b/>
          <w:bCs/>
          <w:sz w:val="22"/>
          <w:szCs w:val="22"/>
        </w:rPr>
        <w:t xml:space="preserve"> </w:t>
      </w:r>
      <w:r w:rsidR="2005E9D0" w:rsidRPr="15A4D369">
        <w:rPr>
          <w:rFonts w:cs="Open Sans"/>
          <w:sz w:val="22"/>
          <w:szCs w:val="22"/>
        </w:rPr>
        <w:t>One</w:t>
      </w:r>
      <w:r w:rsidRPr="15A4D369">
        <w:rPr>
          <w:rFonts w:cs="Open Sans"/>
          <w:sz w:val="22"/>
          <w:szCs w:val="22"/>
        </w:rPr>
        <w:t xml:space="preserve"> in 18 Indigenous children were in out-of-home care as of 30 June 2020, almost two-thirds (63%) of whom were living with relatives, kin or other Indigenous caregivers.</w:t>
      </w:r>
      <w:r w:rsidR="008F2AFF" w:rsidRPr="01816EFD">
        <w:rPr>
          <w:rStyle w:val="EndnoteReference"/>
          <w:rFonts w:cs="Open Sans"/>
        </w:rPr>
        <w:endnoteReference w:id="78"/>
      </w:r>
    </w:p>
    <w:p w14:paraId="17DBE414" w14:textId="14038A83" w:rsidR="008F2AFF" w:rsidRPr="002D46C0" w:rsidRDefault="1479EE1F" w:rsidP="00FE3E62">
      <w:pPr>
        <w:pStyle w:val="SubmissionNormal"/>
        <w:rPr>
          <w:rFonts w:cs="Open Sans"/>
          <w:sz w:val="22"/>
          <w:szCs w:val="22"/>
        </w:rPr>
      </w:pPr>
      <w:r w:rsidRPr="002D46C0">
        <w:rPr>
          <w:rFonts w:cs="Open Sans"/>
          <w:sz w:val="22"/>
          <w:szCs w:val="22"/>
        </w:rPr>
        <w:t>Aboriginal and Torres Strait Islander children consistently identify the need for support for culture and language in primary and secondary education.</w:t>
      </w:r>
      <w:r w:rsidR="008F2AFF" w:rsidRPr="002D46C0">
        <w:rPr>
          <w:rStyle w:val="EndnoteReference"/>
          <w:rFonts w:eastAsia="MS Mincho" w:cs="Open Sans"/>
          <w:sz w:val="22"/>
          <w:szCs w:val="22"/>
        </w:rPr>
        <w:endnoteReference w:id="79"/>
      </w:r>
      <w:r w:rsidRPr="002D46C0">
        <w:rPr>
          <w:rFonts w:cs="Open Sans"/>
          <w:sz w:val="22"/>
          <w:szCs w:val="22"/>
        </w:rPr>
        <w:t xml:space="preserve"> </w:t>
      </w:r>
    </w:p>
    <w:p w14:paraId="719BEDE2" w14:textId="78D74077" w:rsidR="008F2AFF" w:rsidRPr="002D46C0" w:rsidRDefault="008F2AFF" w:rsidP="007F298C">
      <w:pPr>
        <w:pStyle w:val="SubmissionNormal"/>
        <w:numPr>
          <w:ilvl w:val="0"/>
          <w:numId w:val="33"/>
        </w:numPr>
        <w:spacing w:before="0" w:after="0"/>
        <w:ind w:left="714" w:hanging="357"/>
        <w:rPr>
          <w:rFonts w:cs="Open Sans"/>
          <w:b/>
          <w:bCs/>
          <w:sz w:val="22"/>
          <w:szCs w:val="22"/>
        </w:rPr>
      </w:pPr>
      <w:r w:rsidRPr="002D46C0">
        <w:rPr>
          <w:rFonts w:cs="Open Sans"/>
          <w:b/>
          <w:bCs/>
          <w:sz w:val="22"/>
          <w:szCs w:val="22"/>
        </w:rPr>
        <w:t xml:space="preserve">Information on the development and implementation of coordinated, child-focused, prevention-focused policies to address vulnerability and adversity. </w:t>
      </w:r>
    </w:p>
    <w:p w14:paraId="408D932A" w14:textId="788A6D9C" w:rsidR="008F2AFF" w:rsidRPr="002D46C0" w:rsidRDefault="008F2AFF" w:rsidP="007F298C">
      <w:pPr>
        <w:pStyle w:val="SubmissionNormal"/>
        <w:numPr>
          <w:ilvl w:val="0"/>
          <w:numId w:val="33"/>
        </w:numPr>
        <w:spacing w:before="0" w:after="0"/>
        <w:ind w:left="714" w:hanging="357"/>
        <w:rPr>
          <w:rFonts w:cs="Open Sans"/>
          <w:sz w:val="22"/>
          <w:szCs w:val="22"/>
        </w:rPr>
      </w:pPr>
      <w:r w:rsidRPr="002D46C0">
        <w:rPr>
          <w:rFonts w:cs="Open Sans"/>
          <w:b/>
          <w:bCs/>
          <w:sz w:val="22"/>
          <w:szCs w:val="22"/>
        </w:rPr>
        <w:t>Information on the delivery of child targeted mental health and support services in light of COVID-19.</w:t>
      </w:r>
    </w:p>
    <w:p w14:paraId="0C2479ED" w14:textId="761A7FE7" w:rsidR="008F2AFF" w:rsidRPr="002D46C0" w:rsidRDefault="1479EE1F" w:rsidP="007F298C">
      <w:pPr>
        <w:pStyle w:val="SubmissionNormal"/>
        <w:numPr>
          <w:ilvl w:val="0"/>
          <w:numId w:val="33"/>
        </w:numPr>
        <w:spacing w:before="0" w:after="0"/>
        <w:ind w:left="714" w:hanging="357"/>
        <w:rPr>
          <w:rFonts w:cs="Open Sans"/>
          <w:b/>
          <w:bCs/>
          <w:sz w:val="22"/>
          <w:szCs w:val="22"/>
        </w:rPr>
      </w:pPr>
      <w:r w:rsidRPr="15A4D369">
        <w:rPr>
          <w:rFonts w:cs="Open Sans"/>
          <w:b/>
          <w:bCs/>
          <w:sz w:val="22"/>
          <w:szCs w:val="22"/>
        </w:rPr>
        <w:t xml:space="preserve">Information on prevention and </w:t>
      </w:r>
      <w:r w:rsidRPr="002D46C0">
        <w:rPr>
          <w:rFonts w:cs="Open Sans"/>
          <w:b/>
          <w:bCs/>
          <w:sz w:val="22"/>
          <w:szCs w:val="22"/>
        </w:rPr>
        <w:t>early intervention programs to prevent children entering child protection, and on Government efforts to fully implement the Aboriginal and Torres Strait Islander Child Placement Principle.</w:t>
      </w:r>
      <w:r w:rsidR="008F2AFF" w:rsidRPr="002D46C0">
        <w:rPr>
          <w:rStyle w:val="EndnoteReference"/>
          <w:rFonts w:eastAsia="MS Mincho" w:cs="Open Sans"/>
          <w:sz w:val="22"/>
          <w:szCs w:val="22"/>
        </w:rPr>
        <w:endnoteReference w:id="80"/>
      </w:r>
    </w:p>
    <w:p w14:paraId="50400DFE" w14:textId="21EA0957" w:rsidR="008F2AFF" w:rsidRPr="002D46C0" w:rsidRDefault="008F2AFF" w:rsidP="007F298C">
      <w:pPr>
        <w:pStyle w:val="SubmissionNormal"/>
        <w:numPr>
          <w:ilvl w:val="0"/>
          <w:numId w:val="33"/>
        </w:numPr>
        <w:spacing w:before="0" w:after="0"/>
        <w:ind w:left="714" w:hanging="357"/>
        <w:rPr>
          <w:rFonts w:cs="Open Sans"/>
          <w:sz w:val="22"/>
          <w:szCs w:val="22"/>
        </w:rPr>
      </w:pPr>
      <w:r w:rsidRPr="002D46C0">
        <w:rPr>
          <w:rFonts w:cs="Open Sans"/>
          <w:b/>
          <w:bCs/>
          <w:sz w:val="22"/>
          <w:szCs w:val="22"/>
        </w:rPr>
        <w:t>Information on implementing Aboriginal and Torres Strait Islander cultural education within the school curriculum, and on the availability of bilingual education.</w:t>
      </w:r>
    </w:p>
    <w:p w14:paraId="726CA83E" w14:textId="039B6DC6" w:rsidR="008F2AFF" w:rsidRPr="002D46C0" w:rsidRDefault="008F2AFF" w:rsidP="004D2E60">
      <w:pPr>
        <w:pStyle w:val="Heading2"/>
        <w:numPr>
          <w:ilvl w:val="0"/>
          <w:numId w:val="0"/>
        </w:numPr>
        <w:ind w:left="720" w:hanging="720"/>
        <w:rPr>
          <w:rFonts w:cs="Open Sans"/>
          <w:color w:val="auto"/>
          <w:sz w:val="24"/>
          <w:szCs w:val="24"/>
        </w:rPr>
      </w:pPr>
      <w:bookmarkStart w:id="13" w:name="_Toc49332457"/>
      <w:r w:rsidRPr="002D46C0">
        <w:rPr>
          <w:rFonts w:cs="Open Sans"/>
          <w:color w:val="auto"/>
          <w:sz w:val="24"/>
          <w:szCs w:val="24"/>
        </w:rPr>
        <w:t>Refugees, asylum seekers and migrants</w:t>
      </w:r>
      <w:bookmarkEnd w:id="13"/>
    </w:p>
    <w:p w14:paraId="4E4424D8" w14:textId="4761E8F2" w:rsidR="008F2AFF" w:rsidRPr="008D07D5" w:rsidRDefault="1479EE1F" w:rsidP="00027164">
      <w:pPr>
        <w:pStyle w:val="SubmissionNormal"/>
        <w:rPr>
          <w:rFonts w:eastAsia="MS Mincho" w:cs="Open Sans"/>
          <w:sz w:val="22"/>
          <w:szCs w:val="22"/>
          <w:shd w:val="clear" w:color="auto" w:fill="FFFFFF"/>
        </w:rPr>
      </w:pPr>
      <w:r w:rsidRPr="002D46C0">
        <w:rPr>
          <w:rStyle w:val="normaltextrun"/>
          <w:rFonts w:eastAsia="MS Mincho" w:cs="Open Sans"/>
          <w:sz w:val="22"/>
          <w:szCs w:val="22"/>
          <w:shd w:val="clear" w:color="auto" w:fill="FFFFFF"/>
        </w:rPr>
        <w:t>Immigration detention remains mandatory for all unlawful non-citizens,</w:t>
      </w:r>
      <w:r w:rsidR="008F2AFF" w:rsidRPr="002D46C0">
        <w:rPr>
          <w:rStyle w:val="EndnoteReference"/>
          <w:rFonts w:eastAsia="MS Mincho" w:cs="Open Sans"/>
          <w:sz w:val="22"/>
          <w:szCs w:val="22"/>
          <w:shd w:val="clear" w:color="auto" w:fill="FFFFFF"/>
        </w:rPr>
        <w:endnoteReference w:id="81"/>
      </w:r>
      <w:r w:rsidRPr="002D46C0">
        <w:rPr>
          <w:rStyle w:val="normaltextrun"/>
          <w:rFonts w:eastAsia="MS Mincho" w:cs="Open Sans"/>
          <w:sz w:val="22"/>
          <w:szCs w:val="22"/>
          <w:shd w:val="clear" w:color="auto" w:fill="FFFFFF"/>
        </w:rPr>
        <w:t xml:space="preserve"> which can result in prolonged and/or indefinite detention that may be arbitrary and risks mental ill-health.</w:t>
      </w:r>
      <w:r w:rsidR="008F2AFF" w:rsidRPr="002D46C0">
        <w:rPr>
          <w:rStyle w:val="EndnoteReference"/>
          <w:rFonts w:eastAsia="MS Mincho" w:cs="Open Sans"/>
          <w:sz w:val="22"/>
          <w:szCs w:val="22"/>
          <w:shd w:val="clear" w:color="auto" w:fill="FFFFFF"/>
        </w:rPr>
        <w:endnoteReference w:id="82"/>
      </w:r>
      <w:r w:rsidRPr="002D46C0">
        <w:rPr>
          <w:rStyle w:val="normaltextrun"/>
          <w:rFonts w:eastAsia="MS Mincho" w:cs="Open Sans"/>
          <w:sz w:val="22"/>
          <w:szCs w:val="22"/>
          <w:shd w:val="clear" w:color="auto" w:fill="FFFFFF"/>
        </w:rPr>
        <w:t xml:space="preserve"> </w:t>
      </w:r>
      <w:r>
        <w:rPr>
          <w:rStyle w:val="normaltextrun"/>
          <w:rFonts w:eastAsia="MS Mincho" w:cs="Open Sans"/>
          <w:sz w:val="22"/>
          <w:szCs w:val="22"/>
          <w:shd w:val="clear" w:color="auto" w:fill="FFFFFF"/>
        </w:rPr>
        <w:t xml:space="preserve">As of </w:t>
      </w:r>
      <w:r w:rsidR="0F1EC5F0">
        <w:rPr>
          <w:rStyle w:val="normaltextrun"/>
          <w:rFonts w:eastAsia="MS Mincho" w:cs="Open Sans"/>
          <w:sz w:val="22"/>
          <w:szCs w:val="22"/>
          <w:shd w:val="clear" w:color="auto" w:fill="FFFFFF"/>
        </w:rPr>
        <w:t xml:space="preserve">August </w:t>
      </w:r>
      <w:r>
        <w:rPr>
          <w:rStyle w:val="normaltextrun"/>
          <w:rFonts w:eastAsia="MS Mincho" w:cs="Open Sans"/>
          <w:sz w:val="22"/>
          <w:szCs w:val="22"/>
          <w:shd w:val="clear" w:color="auto" w:fill="FFFFFF"/>
        </w:rPr>
        <w:t xml:space="preserve">2021, the </w:t>
      </w:r>
      <w:r w:rsidRPr="002D46C0">
        <w:rPr>
          <w:rStyle w:val="normaltextrun"/>
          <w:rFonts w:eastAsia="MS Mincho" w:cs="Open Sans"/>
          <w:sz w:val="22"/>
          <w:szCs w:val="22"/>
          <w:shd w:val="clear" w:color="auto" w:fill="FFFFFF"/>
        </w:rPr>
        <w:t xml:space="preserve">average period of immigration detention is </w:t>
      </w:r>
      <w:r w:rsidR="5FCB3A1C">
        <w:rPr>
          <w:rStyle w:val="normaltextrun"/>
          <w:rFonts w:eastAsia="MS Mincho" w:cs="Open Sans"/>
          <w:sz w:val="22"/>
          <w:szCs w:val="22"/>
          <w:shd w:val="clear" w:color="auto" w:fill="FFFFFF"/>
        </w:rPr>
        <w:t xml:space="preserve">696 </w:t>
      </w:r>
      <w:r w:rsidRPr="002D46C0">
        <w:rPr>
          <w:rStyle w:val="normaltextrun"/>
          <w:rFonts w:eastAsia="MS Mincho" w:cs="Open Sans"/>
          <w:sz w:val="22"/>
          <w:szCs w:val="22"/>
          <w:shd w:val="clear" w:color="auto" w:fill="FFFFFF"/>
        </w:rPr>
        <w:t>days</w:t>
      </w:r>
      <w:r w:rsidR="26575E93">
        <w:rPr>
          <w:rStyle w:val="normaltextrun"/>
          <w:rFonts w:eastAsia="MS Mincho" w:cs="Open Sans"/>
          <w:sz w:val="22"/>
          <w:szCs w:val="22"/>
          <w:shd w:val="clear" w:color="auto" w:fill="FFFFFF"/>
        </w:rPr>
        <w:t>, the longest average period on record</w:t>
      </w:r>
      <w:r w:rsidRPr="002D46C0">
        <w:rPr>
          <w:rStyle w:val="normaltextrun"/>
          <w:rFonts w:eastAsia="MS Mincho" w:cs="Open Sans"/>
          <w:sz w:val="22"/>
          <w:szCs w:val="22"/>
          <w:shd w:val="clear" w:color="auto" w:fill="FFFFFF"/>
        </w:rPr>
        <w:t>.</w:t>
      </w:r>
      <w:r w:rsidR="008F2AFF" w:rsidRPr="002D46C0">
        <w:rPr>
          <w:rStyle w:val="EndnoteReference"/>
          <w:rFonts w:eastAsia="MS Mincho" w:cs="Open Sans"/>
          <w:sz w:val="22"/>
          <w:szCs w:val="22"/>
          <w:shd w:val="clear" w:color="auto" w:fill="FFFFFF"/>
        </w:rPr>
        <w:endnoteReference w:id="83"/>
      </w:r>
      <w:r w:rsidRPr="002D46C0">
        <w:rPr>
          <w:rStyle w:val="normaltextrun"/>
          <w:rFonts w:eastAsia="MS Mincho" w:cs="Open Sans"/>
          <w:sz w:val="22"/>
          <w:szCs w:val="22"/>
          <w:shd w:val="clear" w:color="auto" w:fill="FFFFFF"/>
        </w:rPr>
        <w:t xml:space="preserve"> </w:t>
      </w:r>
      <w:r w:rsidRPr="002D46C0">
        <w:rPr>
          <w:rFonts w:cs="Open Sans"/>
          <w:sz w:val="22"/>
          <w:szCs w:val="22"/>
        </w:rPr>
        <w:t>Immigration</w:t>
      </w:r>
      <w:r w:rsidRPr="002D46C0">
        <w:rPr>
          <w:rFonts w:eastAsia="MS Mincho" w:cs="Open Sans"/>
          <w:sz w:val="22"/>
          <w:szCs w:val="22"/>
        </w:rPr>
        <w:t xml:space="preserve"> detention </w:t>
      </w:r>
      <w:r w:rsidRPr="002D46C0">
        <w:rPr>
          <w:rFonts w:cs="Open Sans"/>
          <w:sz w:val="22"/>
          <w:szCs w:val="22"/>
        </w:rPr>
        <w:t>facilities are approaching capacity, making physical distancing for COVID-19 difficult.</w:t>
      </w:r>
      <w:r w:rsidR="008F2AFF" w:rsidRPr="002D46C0">
        <w:rPr>
          <w:rStyle w:val="EndnoteReference"/>
          <w:rFonts w:cs="Open Sans"/>
          <w:sz w:val="22"/>
          <w:szCs w:val="22"/>
        </w:rPr>
        <w:endnoteReference w:id="84"/>
      </w:r>
    </w:p>
    <w:p w14:paraId="49175D57" w14:textId="4D2A5BFC" w:rsidR="008F2AFF" w:rsidRPr="008D07D5" w:rsidRDefault="5579CFDE" w:rsidP="008D07D5">
      <w:pPr>
        <w:pStyle w:val="SubmissionNormal"/>
        <w:tabs>
          <w:tab w:val="num" w:pos="2560"/>
        </w:tabs>
        <w:rPr>
          <w:rStyle w:val="normaltextrun"/>
          <w:rFonts w:cs="Open Sans"/>
          <w:b/>
          <w:bCs/>
          <w:sz w:val="22"/>
          <w:szCs w:val="22"/>
        </w:rPr>
      </w:pPr>
      <w:r w:rsidRPr="6E98226D">
        <w:rPr>
          <w:rStyle w:val="normaltextrun"/>
          <w:rFonts w:eastAsia="MS Mincho" w:cs="Open Sans"/>
          <w:sz w:val="22"/>
          <w:szCs w:val="22"/>
        </w:rPr>
        <w:t xml:space="preserve">Aspects of </w:t>
      </w:r>
      <w:r w:rsidR="1479EE1F" w:rsidRPr="002D46C0">
        <w:rPr>
          <w:rStyle w:val="normaltextrun"/>
          <w:rFonts w:eastAsia="MS Mincho" w:cs="Open Sans"/>
          <w:sz w:val="22"/>
          <w:szCs w:val="22"/>
          <w:shd w:val="clear" w:color="auto" w:fill="FFFFFF"/>
        </w:rPr>
        <w:t>Australia’s current regime of third country processing in Nauru</w:t>
      </w:r>
      <w:r w:rsidR="7578D054" w:rsidRPr="01816EFD">
        <w:rPr>
          <w:rStyle w:val="normaltextrun"/>
          <w:rFonts w:eastAsia="MS Mincho" w:cs="Open Sans"/>
          <w:sz w:val="22"/>
          <w:szCs w:val="22"/>
        </w:rPr>
        <w:t>,</w:t>
      </w:r>
      <w:r w:rsidR="1479EE1F" w:rsidRPr="002D46C0">
        <w:rPr>
          <w:rStyle w:val="normaltextrun"/>
          <w:rFonts w:eastAsia="MS Mincho" w:cs="Open Sans"/>
          <w:sz w:val="22"/>
          <w:szCs w:val="22"/>
          <w:shd w:val="clear" w:color="auto" w:fill="FFFFFF"/>
        </w:rPr>
        <w:t xml:space="preserve"> for asylum seekers who arrive by sea</w:t>
      </w:r>
      <w:r w:rsidR="7948D72E" w:rsidRPr="6E98226D">
        <w:rPr>
          <w:rStyle w:val="normaltextrun"/>
          <w:rFonts w:eastAsia="MS Mincho" w:cs="Open Sans"/>
          <w:sz w:val="22"/>
          <w:szCs w:val="22"/>
        </w:rPr>
        <w:t>,</w:t>
      </w:r>
      <w:r w:rsidR="1479EE1F" w:rsidRPr="002D46C0">
        <w:rPr>
          <w:rStyle w:val="normaltextrun"/>
          <w:rFonts w:eastAsia="MS Mincho" w:cs="Open Sans"/>
          <w:sz w:val="22"/>
          <w:szCs w:val="22"/>
          <w:shd w:val="clear" w:color="auto" w:fill="FFFFFF"/>
        </w:rPr>
        <w:t xml:space="preserve"> </w:t>
      </w:r>
      <w:r w:rsidR="404D2FBB" w:rsidRPr="6E98226D">
        <w:rPr>
          <w:rStyle w:val="normaltextrun"/>
          <w:rFonts w:eastAsia="MS Mincho" w:cs="Open Sans"/>
          <w:sz w:val="22"/>
          <w:szCs w:val="22"/>
        </w:rPr>
        <w:t>raise</w:t>
      </w:r>
      <w:r w:rsidR="5E6D91B2" w:rsidRPr="6E98226D">
        <w:rPr>
          <w:rStyle w:val="normaltextrun"/>
          <w:rFonts w:eastAsia="MS Mincho" w:cs="Open Sans"/>
          <w:sz w:val="22"/>
          <w:szCs w:val="22"/>
        </w:rPr>
        <w:t xml:space="preserve"> serious concerns </w:t>
      </w:r>
      <w:r w:rsidR="404D2FBB" w:rsidRPr="6E98226D">
        <w:rPr>
          <w:rStyle w:val="normaltextrun"/>
          <w:rFonts w:eastAsia="MS Mincho" w:cs="Open Sans"/>
          <w:sz w:val="22"/>
          <w:szCs w:val="22"/>
        </w:rPr>
        <w:t>under</w:t>
      </w:r>
      <w:r w:rsidR="1479EE1F" w:rsidRPr="002D46C0">
        <w:rPr>
          <w:rStyle w:val="normaltextrun"/>
          <w:rFonts w:eastAsia="MS Mincho" w:cs="Open Sans"/>
          <w:sz w:val="22"/>
          <w:szCs w:val="22"/>
          <w:shd w:val="clear" w:color="auto" w:fill="FFFFFF"/>
        </w:rPr>
        <w:t xml:space="preserve"> international human rights law.</w:t>
      </w:r>
      <w:r w:rsidR="008F2AFF" w:rsidRPr="002D46C0">
        <w:rPr>
          <w:rStyle w:val="EndnoteReference"/>
          <w:rFonts w:eastAsia="MS Mincho" w:cs="Open Sans"/>
          <w:sz w:val="22"/>
          <w:szCs w:val="22"/>
          <w:shd w:val="clear" w:color="auto" w:fill="FFFFFF"/>
        </w:rPr>
        <w:endnoteReference w:id="85"/>
      </w:r>
      <w:r w:rsidR="1479EE1F" w:rsidRPr="002D46C0">
        <w:rPr>
          <w:rStyle w:val="normaltextrun"/>
          <w:rFonts w:eastAsia="MS Mincho" w:cs="Open Sans"/>
          <w:sz w:val="22"/>
          <w:szCs w:val="22"/>
          <w:shd w:val="clear" w:color="auto" w:fill="FFFFFF"/>
        </w:rPr>
        <w:t xml:space="preserve"> </w:t>
      </w:r>
      <w:r w:rsidR="1479EE1F" w:rsidRPr="00257828">
        <w:rPr>
          <w:rStyle w:val="normaltextrun"/>
          <w:rFonts w:eastAsia="MS Mincho" w:cs="Open Sans"/>
          <w:sz w:val="22"/>
          <w:szCs w:val="22"/>
          <w:shd w:val="clear" w:color="auto" w:fill="FFFFFF"/>
        </w:rPr>
        <w:t>The Commission is concerned that refugees and asylum seekers in regional processing countries are receiving inadequate physical or mental health care. The Commission considers the repeal of ‘Medevac legislation’,</w:t>
      </w:r>
      <w:r w:rsidR="008F2AFF" w:rsidRPr="002D46C0">
        <w:rPr>
          <w:rStyle w:val="EndnoteReference"/>
          <w:rFonts w:eastAsia="MS Mincho" w:cs="Open Sans"/>
          <w:sz w:val="22"/>
          <w:szCs w:val="22"/>
          <w:shd w:val="clear" w:color="auto" w:fill="FFFFFF"/>
        </w:rPr>
        <w:endnoteReference w:id="86"/>
      </w:r>
      <w:r w:rsidR="1479EE1F" w:rsidRPr="00257828">
        <w:rPr>
          <w:rStyle w:val="normaltextrun"/>
          <w:rFonts w:eastAsia="MS Mincho" w:cs="Open Sans"/>
          <w:sz w:val="22"/>
          <w:szCs w:val="22"/>
          <w:shd w:val="clear" w:color="auto" w:fill="FFFFFF"/>
        </w:rPr>
        <w:t xml:space="preserve"> which established a framework for transferring refugees and asylum seekers from regional processing countries to Australia for medical treatment, is retrogressive in ensuring the highest attainable standard of physical and mental health.</w:t>
      </w:r>
      <w:r w:rsidR="008F2AFF" w:rsidRPr="002D46C0">
        <w:rPr>
          <w:rStyle w:val="EndnoteReference"/>
          <w:rFonts w:eastAsia="MS Mincho" w:cs="Open Sans"/>
          <w:sz w:val="22"/>
          <w:szCs w:val="22"/>
          <w:shd w:val="clear" w:color="auto" w:fill="FFFFFF"/>
        </w:rPr>
        <w:endnoteReference w:id="87"/>
      </w:r>
      <w:r w:rsidR="1479EE1F" w:rsidRPr="00257828">
        <w:rPr>
          <w:rStyle w:val="normaltextrun"/>
          <w:rFonts w:eastAsia="MS Mincho" w:cs="Open Sans"/>
          <w:sz w:val="22"/>
          <w:szCs w:val="22"/>
          <w:shd w:val="clear" w:color="auto" w:fill="FFFFFF"/>
        </w:rPr>
        <w:t xml:space="preserve"> </w:t>
      </w:r>
    </w:p>
    <w:p w14:paraId="7F487B52" w14:textId="06B92FA7" w:rsidR="008F2AFF" w:rsidRPr="002D46C0" w:rsidRDefault="1479EE1F" w:rsidP="00027164">
      <w:pPr>
        <w:pStyle w:val="SubmissionNormal"/>
        <w:rPr>
          <w:rFonts w:cs="Open Sans"/>
          <w:b/>
          <w:bCs/>
          <w:sz w:val="22"/>
          <w:szCs w:val="22"/>
          <w:shd w:val="clear" w:color="auto" w:fill="FFFFFF"/>
        </w:rPr>
      </w:pPr>
      <w:r w:rsidRPr="002D46C0">
        <w:rPr>
          <w:rStyle w:val="normaltextrun"/>
          <w:rFonts w:eastAsia="MS Mincho" w:cs="Open Sans"/>
          <w:sz w:val="22"/>
          <w:szCs w:val="22"/>
          <w:shd w:val="clear" w:color="auto" w:fill="FFFFFF"/>
        </w:rPr>
        <w:t xml:space="preserve">The Commission is concerned about human rights protections for refugees and asylum seekers in </w:t>
      </w:r>
      <w:r w:rsidRPr="002D46C0">
        <w:rPr>
          <w:rStyle w:val="spellingerror"/>
          <w:rFonts w:eastAsia="MS Mincho" w:cs="Open Sans"/>
          <w:sz w:val="22"/>
          <w:szCs w:val="22"/>
          <w:shd w:val="clear" w:color="auto" w:fill="FFFFFF"/>
        </w:rPr>
        <w:t>the ‘Legacy</w:t>
      </w:r>
      <w:r w:rsidRPr="002D46C0">
        <w:rPr>
          <w:rStyle w:val="normaltextrun"/>
          <w:rFonts w:eastAsia="MS Mincho" w:cs="Open Sans"/>
          <w:sz w:val="22"/>
          <w:szCs w:val="22"/>
          <w:shd w:val="clear" w:color="auto" w:fill="FFFFFF"/>
        </w:rPr>
        <w:t> Caseload’</w:t>
      </w:r>
      <w:r w:rsidR="008F2AFF" w:rsidRPr="002D46C0">
        <w:rPr>
          <w:rStyle w:val="EndnoteReference"/>
          <w:rFonts w:eastAsia="MS Mincho" w:cs="Open Sans"/>
          <w:sz w:val="22"/>
          <w:szCs w:val="22"/>
          <w:shd w:val="clear" w:color="auto" w:fill="FFFFFF"/>
        </w:rPr>
        <w:endnoteReference w:id="88"/>
      </w:r>
      <w:r w:rsidRPr="002D46C0">
        <w:rPr>
          <w:rStyle w:val="normaltextrun"/>
          <w:rFonts w:eastAsia="MS Mincho" w:cs="Open Sans"/>
          <w:sz w:val="22"/>
          <w:szCs w:val="22"/>
          <w:shd w:val="clear" w:color="auto" w:fill="FFFFFF"/>
        </w:rPr>
        <w:t>—</w:t>
      </w:r>
      <w:r>
        <w:rPr>
          <w:rStyle w:val="normaltextrun"/>
          <w:rFonts w:eastAsia="MS Mincho" w:cs="Open Sans"/>
          <w:sz w:val="22"/>
          <w:szCs w:val="22"/>
          <w:shd w:val="clear" w:color="auto" w:fill="FFFFFF"/>
        </w:rPr>
        <w:t>including</w:t>
      </w:r>
      <w:r w:rsidRPr="002D46C0">
        <w:rPr>
          <w:rStyle w:val="normaltextrun"/>
          <w:rFonts w:eastAsia="MS Mincho" w:cs="Open Sans"/>
          <w:sz w:val="22"/>
          <w:szCs w:val="22"/>
          <w:shd w:val="clear" w:color="auto" w:fill="FFFFFF"/>
        </w:rPr>
        <w:t xml:space="preserve"> insufficient support to ensure an adequate standard of living,</w:t>
      </w:r>
      <w:r w:rsidR="008F2AFF" w:rsidRPr="002D46C0">
        <w:rPr>
          <w:rStyle w:val="EndnoteReference"/>
          <w:rFonts w:eastAsia="MS Mincho" w:cs="Open Sans"/>
          <w:sz w:val="22"/>
          <w:szCs w:val="22"/>
          <w:shd w:val="clear" w:color="auto" w:fill="FFFFFF"/>
        </w:rPr>
        <w:endnoteReference w:id="89"/>
      </w:r>
      <w:r w:rsidRPr="002D46C0">
        <w:rPr>
          <w:rStyle w:val="normaltextrun"/>
          <w:rFonts w:eastAsia="MS Mincho" w:cs="Open Sans"/>
          <w:sz w:val="22"/>
          <w:szCs w:val="22"/>
          <w:shd w:val="clear" w:color="auto" w:fill="FFFFFF"/>
        </w:rPr>
        <w:t xml:space="preserve"> and restrictions on family reunion that</w:t>
      </w:r>
      <w:r w:rsidR="0C6E6379">
        <w:rPr>
          <w:rStyle w:val="normaltextrun"/>
          <w:rFonts w:eastAsia="MS Mincho" w:cs="Open Sans"/>
          <w:sz w:val="22"/>
          <w:szCs w:val="22"/>
          <w:shd w:val="clear" w:color="auto" w:fill="FFFFFF"/>
        </w:rPr>
        <w:t xml:space="preserve"> result in family separation and can </w:t>
      </w:r>
      <w:r w:rsidRPr="002D46C0">
        <w:rPr>
          <w:rStyle w:val="normaltextrun"/>
          <w:rFonts w:eastAsia="MS Mincho" w:cs="Open Sans"/>
          <w:sz w:val="22"/>
          <w:szCs w:val="22"/>
          <w:shd w:val="clear" w:color="auto" w:fill="FFFFFF"/>
        </w:rPr>
        <w:t>create a risk of constructive refoulement.</w:t>
      </w:r>
      <w:r w:rsidR="008F2AFF" w:rsidRPr="002D46C0">
        <w:rPr>
          <w:rStyle w:val="EndnoteReference"/>
          <w:rFonts w:eastAsia="MS Mincho" w:cs="Open Sans"/>
          <w:sz w:val="22"/>
          <w:szCs w:val="22"/>
          <w:shd w:val="clear" w:color="auto" w:fill="FFFFFF"/>
        </w:rPr>
        <w:endnoteReference w:id="90"/>
      </w:r>
      <w:r w:rsidRPr="002D46C0">
        <w:rPr>
          <w:rStyle w:val="normaltextrun"/>
          <w:rFonts w:eastAsia="MS Mincho" w:cs="Open Sans"/>
          <w:sz w:val="22"/>
          <w:szCs w:val="22"/>
          <w:shd w:val="clear" w:color="auto" w:fill="FFFFFF"/>
        </w:rPr>
        <w:t xml:space="preserve"> </w:t>
      </w:r>
      <w:r w:rsidRPr="002D46C0">
        <w:rPr>
          <w:rFonts w:eastAsia="MS Mincho" w:cs="Open Sans"/>
          <w:sz w:val="22"/>
          <w:szCs w:val="22"/>
          <w:shd w:val="clear" w:color="auto" w:fill="FFFFFF"/>
        </w:rPr>
        <w:t xml:space="preserve">Asylum seekers arriving by boat may only apply for temporary protection visas, </w:t>
      </w:r>
      <w:r w:rsidR="7780B3BA">
        <w:rPr>
          <w:rFonts w:eastAsia="MS Mincho" w:cs="Open Sans"/>
          <w:sz w:val="22"/>
          <w:szCs w:val="22"/>
          <w:shd w:val="clear" w:color="auto" w:fill="FFFFFF"/>
        </w:rPr>
        <w:t>resulting</w:t>
      </w:r>
      <w:r w:rsidR="2D3D6C40">
        <w:rPr>
          <w:rFonts w:eastAsia="MS Mincho" w:cs="Open Sans"/>
          <w:sz w:val="22"/>
          <w:szCs w:val="22"/>
          <w:shd w:val="clear" w:color="auto" w:fill="FFFFFF"/>
        </w:rPr>
        <w:t xml:space="preserve"> in </w:t>
      </w:r>
      <w:r w:rsidRPr="002D46C0">
        <w:rPr>
          <w:rFonts w:eastAsia="MS Mincho" w:cs="Open Sans"/>
          <w:sz w:val="22"/>
          <w:szCs w:val="22"/>
          <w:shd w:val="clear" w:color="auto" w:fill="FFFFFF"/>
        </w:rPr>
        <w:t xml:space="preserve">discrimination </w:t>
      </w:r>
      <w:r w:rsidR="2F7B2315" w:rsidRPr="002D46C0">
        <w:rPr>
          <w:rFonts w:eastAsia="MS Mincho" w:cs="Open Sans"/>
          <w:sz w:val="22"/>
          <w:szCs w:val="22"/>
          <w:shd w:val="clear" w:color="auto" w:fill="FFFFFF"/>
        </w:rPr>
        <w:t>due to</w:t>
      </w:r>
      <w:r w:rsidRPr="002D46C0">
        <w:rPr>
          <w:rFonts w:eastAsia="MS Mincho" w:cs="Open Sans"/>
          <w:sz w:val="22"/>
          <w:szCs w:val="22"/>
          <w:shd w:val="clear" w:color="auto" w:fill="FFFFFF"/>
        </w:rPr>
        <w:t xml:space="preserve"> mode of arrival.</w:t>
      </w:r>
      <w:r w:rsidR="008F2AFF" w:rsidRPr="002D46C0">
        <w:rPr>
          <w:rFonts w:eastAsia="MS Mincho" w:cs="Open Sans"/>
          <w:sz w:val="22"/>
          <w:szCs w:val="22"/>
          <w:shd w:val="clear" w:color="auto" w:fill="FFFFFF"/>
          <w:vertAlign w:val="superscript"/>
        </w:rPr>
        <w:endnoteReference w:id="91"/>
      </w:r>
    </w:p>
    <w:p w14:paraId="7CFCFC7A" w14:textId="326A2DC6" w:rsidR="008F2AFF" w:rsidRDefault="1479EE1F" w:rsidP="008D1678">
      <w:pPr>
        <w:pStyle w:val="SubmissionNormal"/>
        <w:rPr>
          <w:rFonts w:cs="Open Sans"/>
          <w:sz w:val="22"/>
          <w:szCs w:val="22"/>
        </w:rPr>
      </w:pPr>
      <w:r w:rsidRPr="002D46C0">
        <w:rPr>
          <w:rFonts w:cs="Open Sans"/>
          <w:sz w:val="22"/>
          <w:szCs w:val="22"/>
        </w:rPr>
        <w:t>Temporary visa holders do not have access to the same services and entitlements as permanent visa holders.</w:t>
      </w:r>
      <w:r w:rsidR="008F2AFF" w:rsidRPr="01816EFD">
        <w:rPr>
          <w:rStyle w:val="EndnoteReference"/>
          <w:rFonts w:cs="Open Sans"/>
        </w:rPr>
        <w:endnoteReference w:id="92"/>
      </w:r>
      <w:r w:rsidRPr="002D46C0">
        <w:rPr>
          <w:rFonts w:cs="Open Sans"/>
          <w:sz w:val="22"/>
          <w:szCs w:val="22"/>
        </w:rPr>
        <w:t xml:space="preserve"> They are not eligible for a range of settlement services and face barriers to accessing tertiary education. </w:t>
      </w:r>
      <w:r w:rsidRPr="00585772">
        <w:rPr>
          <w:rFonts w:cs="Open Sans"/>
          <w:sz w:val="22"/>
          <w:szCs w:val="22"/>
        </w:rPr>
        <w:t xml:space="preserve">The Migrant Workers Centre’s </w:t>
      </w:r>
      <w:r w:rsidRPr="09BE2B0E">
        <w:rPr>
          <w:rFonts w:cs="Open Sans"/>
          <w:i/>
          <w:iCs/>
          <w:sz w:val="22"/>
          <w:szCs w:val="22"/>
        </w:rPr>
        <w:t>Lives in Limbo</w:t>
      </w:r>
      <w:r w:rsidRPr="00585772">
        <w:rPr>
          <w:rFonts w:cs="Open Sans"/>
          <w:sz w:val="22"/>
          <w:szCs w:val="22"/>
        </w:rPr>
        <w:t xml:space="preserve"> report found a clear link between workplace exploitation and temporary visa status, with 91% of workers who experienced wage theft arriving on a visa with no pathway to permanent residency.</w:t>
      </w:r>
      <w:r w:rsidR="008F2AFF" w:rsidRPr="01816EFD">
        <w:rPr>
          <w:rStyle w:val="EndnoteReference"/>
          <w:rFonts w:cs="Open Sans"/>
        </w:rPr>
        <w:endnoteReference w:id="93"/>
      </w:r>
      <w:r>
        <w:rPr>
          <w:rFonts w:cs="Open Sans"/>
          <w:sz w:val="22"/>
          <w:szCs w:val="22"/>
        </w:rPr>
        <w:t xml:space="preserve"> </w:t>
      </w:r>
      <w:r w:rsidRPr="00A14AC9">
        <w:rPr>
          <w:rFonts w:cs="Open Sans"/>
          <w:sz w:val="22"/>
          <w:szCs w:val="22"/>
        </w:rPr>
        <w:t>In addition, t</w:t>
      </w:r>
      <w:r>
        <w:rPr>
          <w:rFonts w:cs="Open Sans"/>
          <w:sz w:val="22"/>
          <w:szCs w:val="22"/>
        </w:rPr>
        <w:t xml:space="preserve">emporary visa holders </w:t>
      </w:r>
      <w:r w:rsidRPr="00A14AC9">
        <w:rPr>
          <w:rFonts w:cs="Open Sans"/>
          <w:sz w:val="22"/>
          <w:szCs w:val="22"/>
        </w:rPr>
        <w:t>are not permitted to sponsor family members for resettlement in Australia and as a result</w:t>
      </w:r>
      <w:r w:rsidR="6646B66E">
        <w:rPr>
          <w:rFonts w:cs="Open Sans"/>
          <w:sz w:val="22"/>
          <w:szCs w:val="22"/>
        </w:rPr>
        <w:t>,</w:t>
      </w:r>
      <w:r w:rsidRPr="00A14AC9">
        <w:rPr>
          <w:rFonts w:cs="Open Sans"/>
          <w:sz w:val="22"/>
          <w:szCs w:val="22"/>
        </w:rPr>
        <w:t xml:space="preserve"> face the prospect of prolonged and potentially permanent separation from relatives. Permanent visa holders who arrived in Australia as asylum seekers and/or by boat also face restrictions on family reunion opportunities.</w:t>
      </w:r>
      <w:r w:rsidR="008F2AFF" w:rsidRPr="002D46C0">
        <w:rPr>
          <w:rStyle w:val="EndnoteReference"/>
          <w:rFonts w:eastAsia="MS Mincho" w:cs="Open Sans"/>
          <w:sz w:val="22"/>
          <w:szCs w:val="22"/>
        </w:rPr>
        <w:endnoteReference w:id="94"/>
      </w:r>
    </w:p>
    <w:p w14:paraId="3AEEA1B5" w14:textId="2B3A28A0" w:rsidR="008F2AFF" w:rsidRPr="00DF239B" w:rsidRDefault="1479EE1F" w:rsidP="09BE2B0E">
      <w:pPr>
        <w:pStyle w:val="SubmissionNormal"/>
        <w:rPr>
          <w:rStyle w:val="normaltextrun"/>
          <w:rFonts w:eastAsiaTheme="minorEastAsia" w:cs="Open Sans"/>
          <w:sz w:val="22"/>
          <w:szCs w:val="22"/>
          <w:lang w:eastAsia="en-US"/>
        </w:rPr>
      </w:pPr>
      <w:r w:rsidRPr="002D46C0">
        <w:rPr>
          <w:rFonts w:cs="Open Sans"/>
          <w:sz w:val="22"/>
          <w:szCs w:val="22"/>
        </w:rPr>
        <w:t>The Commission is concerned about possible refoulement, arbitrary, prolonged and/or indefinite detention and separation from family resulting from decisions to cancel visas of non-citizens</w:t>
      </w:r>
      <w:r w:rsidR="5073B7D2">
        <w:rPr>
          <w:rFonts w:cs="Open Sans"/>
          <w:sz w:val="22"/>
          <w:szCs w:val="22"/>
        </w:rPr>
        <w:t>, including permanent residents,</w:t>
      </w:r>
      <w:r w:rsidRPr="002D46C0">
        <w:rPr>
          <w:rFonts w:cs="Open Sans"/>
          <w:sz w:val="22"/>
          <w:szCs w:val="22"/>
        </w:rPr>
        <w:t xml:space="preserve"> under s501 and </w:t>
      </w:r>
      <w:r w:rsidR="00024E56">
        <w:rPr>
          <w:rFonts w:cs="Open Sans"/>
          <w:sz w:val="22"/>
          <w:szCs w:val="22"/>
        </w:rPr>
        <w:t>s</w:t>
      </w:r>
      <w:r w:rsidRPr="002D46C0">
        <w:rPr>
          <w:rFonts w:cs="Open Sans"/>
          <w:sz w:val="22"/>
          <w:szCs w:val="22"/>
        </w:rPr>
        <w:t xml:space="preserve">116 of the </w:t>
      </w:r>
      <w:r w:rsidRPr="00C26A96">
        <w:rPr>
          <w:rFonts w:cs="Open Sans"/>
          <w:i/>
          <w:iCs/>
          <w:sz w:val="22"/>
          <w:szCs w:val="22"/>
        </w:rPr>
        <w:t>Migration Act</w:t>
      </w:r>
      <w:r w:rsidR="00C26A96" w:rsidRPr="00C26A96">
        <w:rPr>
          <w:rFonts w:cs="Open Sans"/>
          <w:i/>
          <w:iCs/>
          <w:sz w:val="22"/>
          <w:szCs w:val="22"/>
        </w:rPr>
        <w:t xml:space="preserve"> 1958</w:t>
      </w:r>
      <w:r w:rsidR="00C26A96">
        <w:rPr>
          <w:rFonts w:cs="Open Sans"/>
          <w:i/>
          <w:iCs/>
          <w:sz w:val="22"/>
          <w:szCs w:val="22"/>
        </w:rPr>
        <w:t xml:space="preserve"> </w:t>
      </w:r>
      <w:r w:rsidR="00C26A96">
        <w:rPr>
          <w:rFonts w:cs="Open Sans"/>
          <w:sz w:val="22"/>
          <w:szCs w:val="22"/>
        </w:rPr>
        <w:t>(Cth)</w:t>
      </w:r>
      <w:r w:rsidRPr="002D46C0">
        <w:rPr>
          <w:rFonts w:cs="Open Sans"/>
          <w:sz w:val="22"/>
          <w:szCs w:val="22"/>
        </w:rPr>
        <w:t>.</w:t>
      </w:r>
      <w:r w:rsidR="008F2AFF" w:rsidRPr="002D46C0">
        <w:rPr>
          <w:rStyle w:val="EndnoteReference"/>
          <w:rFonts w:cs="Open Sans"/>
          <w:sz w:val="22"/>
          <w:szCs w:val="22"/>
        </w:rPr>
        <w:endnoteReference w:id="95"/>
      </w:r>
      <w:r w:rsidRPr="002D46C0">
        <w:rPr>
          <w:rFonts w:cs="Open Sans"/>
          <w:sz w:val="22"/>
          <w:szCs w:val="22"/>
        </w:rPr>
        <w:t xml:space="preserve"> </w:t>
      </w:r>
    </w:p>
    <w:p w14:paraId="6FB4D231" w14:textId="06C7198F" w:rsidR="008F2AFF" w:rsidRPr="00016094" w:rsidRDefault="008F2AFF" w:rsidP="007F298C">
      <w:pPr>
        <w:pStyle w:val="SubmissionNormal"/>
        <w:numPr>
          <w:ilvl w:val="0"/>
          <w:numId w:val="44"/>
        </w:numPr>
        <w:spacing w:before="0" w:after="0"/>
        <w:ind w:left="714" w:hanging="357"/>
        <w:rPr>
          <w:rFonts w:cs="Open Sans"/>
          <w:b/>
          <w:bCs/>
          <w:sz w:val="22"/>
          <w:szCs w:val="22"/>
          <w:shd w:val="clear" w:color="auto" w:fill="FFFFFF"/>
        </w:rPr>
      </w:pPr>
      <w:r>
        <w:rPr>
          <w:rFonts w:cs="Open Sans"/>
          <w:b/>
          <w:bCs/>
          <w:sz w:val="22"/>
          <w:szCs w:val="22"/>
          <w:shd w:val="clear" w:color="auto" w:fill="FFFFFF"/>
        </w:rPr>
        <w:t>Information on t</w:t>
      </w:r>
      <w:r w:rsidRPr="002D46C0">
        <w:rPr>
          <w:rFonts w:cs="Open Sans"/>
          <w:b/>
          <w:bCs/>
          <w:sz w:val="22"/>
          <w:szCs w:val="22"/>
          <w:shd w:val="clear" w:color="auto" w:fill="FFFFFF"/>
        </w:rPr>
        <w:t>he use of mandatory and prolonged detention in light of the impacts that long-term indefinite detention has on the mental health of those detained</w:t>
      </w:r>
      <w:r>
        <w:rPr>
          <w:rFonts w:cs="Open Sans"/>
          <w:b/>
          <w:bCs/>
          <w:sz w:val="22"/>
          <w:szCs w:val="22"/>
          <w:shd w:val="clear" w:color="auto" w:fill="FFFFFF"/>
        </w:rPr>
        <w:t>; and t</w:t>
      </w:r>
      <w:r w:rsidRPr="00016094">
        <w:rPr>
          <w:rFonts w:cs="Open Sans"/>
          <w:b/>
          <w:bCs/>
          <w:sz w:val="22"/>
          <w:szCs w:val="22"/>
          <w:shd w:val="clear" w:color="auto" w:fill="FFFFFF"/>
        </w:rPr>
        <w:t>imelines for the processing of asylum claims and their impact on the mental health of asylum seeker</w:t>
      </w:r>
      <w:r>
        <w:rPr>
          <w:rFonts w:cs="Open Sans"/>
          <w:b/>
          <w:bCs/>
          <w:sz w:val="22"/>
          <w:szCs w:val="22"/>
          <w:shd w:val="clear" w:color="auto" w:fill="FFFFFF"/>
        </w:rPr>
        <w:t>s.</w:t>
      </w:r>
    </w:p>
    <w:p w14:paraId="06F08C81" w14:textId="2EB0EC53" w:rsidR="008F2AFF" w:rsidRPr="002D46C0" w:rsidRDefault="008F2AFF" w:rsidP="007F298C">
      <w:pPr>
        <w:pStyle w:val="SubmissionNormal"/>
        <w:numPr>
          <w:ilvl w:val="0"/>
          <w:numId w:val="29"/>
        </w:numPr>
        <w:spacing w:before="0" w:after="0"/>
        <w:ind w:left="714" w:hanging="357"/>
        <w:rPr>
          <w:rFonts w:cs="Open Sans"/>
          <w:b/>
          <w:bCs/>
          <w:sz w:val="22"/>
          <w:szCs w:val="22"/>
          <w:shd w:val="clear" w:color="auto" w:fill="FFFFFF"/>
        </w:rPr>
      </w:pPr>
      <w:r w:rsidRPr="002D46C0">
        <w:rPr>
          <w:rFonts w:cs="Open Sans"/>
          <w:b/>
          <w:bCs/>
          <w:sz w:val="22"/>
          <w:szCs w:val="22"/>
          <w:shd w:val="clear" w:color="auto" w:fill="FFFFFF"/>
        </w:rPr>
        <w:t>The availability of regular judicial oversight of detention and the minimum standards for conditions of detention.</w:t>
      </w:r>
    </w:p>
    <w:p w14:paraId="76EEBF4A" w14:textId="4016A9AB" w:rsidR="008F2AFF" w:rsidRDefault="008F2AFF" w:rsidP="007F298C">
      <w:pPr>
        <w:pStyle w:val="SubmissionNormal"/>
        <w:numPr>
          <w:ilvl w:val="0"/>
          <w:numId w:val="29"/>
        </w:numPr>
        <w:spacing w:before="0" w:after="0"/>
        <w:ind w:left="714" w:hanging="357"/>
        <w:rPr>
          <w:rFonts w:cs="Open Sans"/>
          <w:b/>
          <w:bCs/>
          <w:sz w:val="22"/>
          <w:szCs w:val="22"/>
          <w:shd w:val="clear" w:color="auto" w:fill="FFFFFF"/>
        </w:rPr>
      </w:pPr>
      <w:r w:rsidRPr="002D46C0">
        <w:rPr>
          <w:rFonts w:cs="Open Sans"/>
          <w:b/>
          <w:bCs/>
          <w:sz w:val="22"/>
          <w:szCs w:val="22"/>
          <w:shd w:val="clear" w:color="auto" w:fill="FFFFFF"/>
        </w:rPr>
        <w:t>Information on third country processing of asylum claims in Nauru and processes to ensure that the human rights of people subject to third country processing are adequately protected</w:t>
      </w:r>
      <w:r>
        <w:rPr>
          <w:rFonts w:cs="Open Sans"/>
          <w:b/>
          <w:bCs/>
          <w:sz w:val="22"/>
          <w:szCs w:val="22"/>
          <w:shd w:val="clear" w:color="auto" w:fill="FFFFFF"/>
        </w:rPr>
        <w:t xml:space="preserve">, including the right to health. </w:t>
      </w:r>
    </w:p>
    <w:p w14:paraId="29219BAB" w14:textId="5019556B" w:rsidR="008F2AFF" w:rsidRPr="00ED4DFF" w:rsidRDefault="008F2AFF" w:rsidP="007F298C">
      <w:pPr>
        <w:pStyle w:val="SubmissionNormal"/>
        <w:numPr>
          <w:ilvl w:val="0"/>
          <w:numId w:val="29"/>
        </w:numPr>
        <w:spacing w:before="0" w:after="0"/>
        <w:ind w:left="714" w:hanging="357"/>
        <w:rPr>
          <w:rFonts w:cs="Open Sans"/>
          <w:b/>
          <w:bCs/>
          <w:sz w:val="22"/>
          <w:szCs w:val="22"/>
          <w:shd w:val="clear" w:color="auto" w:fill="FFFFFF"/>
        </w:rPr>
      </w:pPr>
      <w:r w:rsidRPr="00016094">
        <w:rPr>
          <w:rFonts w:cs="Open Sans"/>
          <w:b/>
          <w:sz w:val="22"/>
          <w:szCs w:val="22"/>
        </w:rPr>
        <w:t>Information on</w:t>
      </w:r>
      <w:r w:rsidRPr="00016094">
        <w:rPr>
          <w:rFonts w:cs="Open Sans"/>
          <w:b/>
          <w:bCs/>
          <w:sz w:val="22"/>
          <w:szCs w:val="22"/>
          <w:shd w:val="clear" w:color="auto" w:fill="FFFFFF"/>
        </w:rPr>
        <w:t xml:space="preserve"> </w:t>
      </w:r>
      <w:r w:rsidRPr="00016094">
        <w:rPr>
          <w:rFonts w:cs="Open Sans"/>
          <w:b/>
          <w:bCs/>
          <w:sz w:val="22"/>
          <w:szCs w:val="22"/>
        </w:rPr>
        <w:t>support provided to asylum seekers living in the Australian community and</w:t>
      </w:r>
      <w:r w:rsidRPr="00016094">
        <w:rPr>
          <w:rFonts w:cs="Open Sans"/>
          <w:b/>
          <w:sz w:val="22"/>
          <w:szCs w:val="22"/>
        </w:rPr>
        <w:t xml:space="preserve"> restrictions on access to services and entitlements that are based on a person’s mode of arrival in Australia.</w:t>
      </w:r>
    </w:p>
    <w:p w14:paraId="13240DA5" w14:textId="52C21EC9" w:rsidR="00530DA1" w:rsidRPr="00016094" w:rsidRDefault="00530DA1" w:rsidP="007F298C">
      <w:pPr>
        <w:pStyle w:val="SubmissionNormal"/>
        <w:numPr>
          <w:ilvl w:val="0"/>
          <w:numId w:val="29"/>
        </w:numPr>
        <w:spacing w:before="0" w:after="0"/>
        <w:ind w:left="714" w:hanging="357"/>
        <w:rPr>
          <w:rStyle w:val="normaltextrun"/>
          <w:rFonts w:cs="Open Sans"/>
          <w:b/>
          <w:bCs/>
          <w:sz w:val="22"/>
          <w:szCs w:val="22"/>
          <w:shd w:val="clear" w:color="auto" w:fill="FFFFFF"/>
        </w:rPr>
      </w:pPr>
      <w:r>
        <w:rPr>
          <w:rFonts w:cs="Open Sans"/>
          <w:b/>
          <w:sz w:val="22"/>
          <w:szCs w:val="22"/>
        </w:rPr>
        <w:t xml:space="preserve">Information on the availability of family reunion visas for </w:t>
      </w:r>
      <w:r w:rsidR="0072582A">
        <w:rPr>
          <w:rFonts w:cs="Open Sans"/>
          <w:b/>
          <w:sz w:val="22"/>
          <w:szCs w:val="22"/>
        </w:rPr>
        <w:t xml:space="preserve">refugees, asylum seekers and </w:t>
      </w:r>
      <w:r w:rsidR="00682CFD">
        <w:rPr>
          <w:rFonts w:cs="Open Sans"/>
          <w:b/>
          <w:sz w:val="22"/>
          <w:szCs w:val="22"/>
        </w:rPr>
        <w:t>migrants.</w:t>
      </w:r>
    </w:p>
    <w:p w14:paraId="4A8A5799" w14:textId="3559AFF2" w:rsidR="008F2AFF" w:rsidRPr="002D46C0" w:rsidRDefault="008F2AFF" w:rsidP="004D2E60">
      <w:pPr>
        <w:pStyle w:val="Heading2"/>
        <w:numPr>
          <w:ilvl w:val="0"/>
          <w:numId w:val="0"/>
        </w:numPr>
        <w:ind w:left="720" w:hanging="720"/>
        <w:rPr>
          <w:rFonts w:cs="Open Sans"/>
          <w:color w:val="auto"/>
          <w:sz w:val="24"/>
          <w:szCs w:val="24"/>
        </w:rPr>
      </w:pPr>
      <w:bookmarkStart w:id="15" w:name="_Toc49332458"/>
      <w:r w:rsidRPr="002D46C0">
        <w:rPr>
          <w:rFonts w:cs="Open Sans"/>
          <w:color w:val="auto"/>
          <w:sz w:val="24"/>
          <w:szCs w:val="24"/>
        </w:rPr>
        <w:t>People from culturally and linguistically diverse backgrounds</w:t>
      </w:r>
      <w:bookmarkEnd w:id="15"/>
    </w:p>
    <w:p w14:paraId="27E72793" w14:textId="2EF9D92C" w:rsidR="008F2AFF" w:rsidRPr="002D46C0" w:rsidRDefault="1479EE1F" w:rsidP="002448AE">
      <w:pPr>
        <w:pStyle w:val="SubmissionNormal"/>
        <w:rPr>
          <w:rFonts w:cs="Open Sans"/>
          <w:sz w:val="22"/>
          <w:szCs w:val="22"/>
        </w:rPr>
      </w:pPr>
      <w:r w:rsidRPr="002D46C0">
        <w:rPr>
          <w:rFonts w:cs="Open Sans"/>
          <w:sz w:val="22"/>
          <w:szCs w:val="22"/>
        </w:rPr>
        <w:t xml:space="preserve">Racial discrimination is present in </w:t>
      </w:r>
      <w:r w:rsidRPr="002D46C0">
        <w:rPr>
          <w:rFonts w:eastAsia="Calibri" w:cs="Open Sans"/>
          <w:sz w:val="22"/>
          <w:szCs w:val="22"/>
          <w:lang w:val="en-NZ"/>
        </w:rPr>
        <w:t>Australian</w:t>
      </w:r>
      <w:r w:rsidRPr="002D46C0">
        <w:rPr>
          <w:rFonts w:cs="Open Sans"/>
          <w:sz w:val="22"/>
          <w:szCs w:val="22"/>
        </w:rPr>
        <w:t xml:space="preserve"> society, particularly for Aboriginal and Torres Strait Islander peoples.</w:t>
      </w:r>
      <w:r w:rsidR="008F2AFF" w:rsidRPr="002D46C0">
        <w:rPr>
          <w:rStyle w:val="EndnoteReference"/>
          <w:rFonts w:eastAsia="MS Mincho" w:cs="Open Sans"/>
          <w:sz w:val="22"/>
          <w:szCs w:val="22"/>
        </w:rPr>
        <w:endnoteReference w:id="96"/>
      </w:r>
      <w:r w:rsidRPr="002D46C0">
        <w:rPr>
          <w:rFonts w:cs="Open Sans"/>
          <w:sz w:val="22"/>
          <w:szCs w:val="22"/>
        </w:rPr>
        <w:t xml:space="preserve"> The Commission is concerned about the </w:t>
      </w:r>
      <w:r w:rsidRPr="002D46C0">
        <w:rPr>
          <w:rFonts w:eastAsia="Calibri" w:cs="Open Sans"/>
          <w:sz w:val="22"/>
          <w:szCs w:val="22"/>
          <w:lang w:val="en-NZ" w:eastAsia="en-US"/>
        </w:rPr>
        <w:t>increase</w:t>
      </w:r>
      <w:r w:rsidRPr="002D46C0">
        <w:rPr>
          <w:rFonts w:cs="Open Sans"/>
          <w:sz w:val="22"/>
          <w:szCs w:val="22"/>
        </w:rPr>
        <w:t xml:space="preserve"> in severe Islamophobic attacks,</w:t>
      </w:r>
      <w:r w:rsidR="008F2AFF" w:rsidRPr="002D46C0">
        <w:rPr>
          <w:rStyle w:val="EndnoteReference"/>
          <w:rFonts w:eastAsia="MS Mincho" w:cs="Open Sans"/>
          <w:sz w:val="22"/>
          <w:szCs w:val="22"/>
        </w:rPr>
        <w:endnoteReference w:id="97"/>
      </w:r>
      <w:r w:rsidRPr="002D46C0">
        <w:rPr>
          <w:rFonts w:cs="Open Sans"/>
          <w:sz w:val="22"/>
          <w:szCs w:val="22"/>
        </w:rPr>
        <w:t xml:space="preserve"> far-right extremism,</w:t>
      </w:r>
      <w:r w:rsidR="008F2AFF" w:rsidRPr="002D46C0">
        <w:rPr>
          <w:rStyle w:val="EndnoteReference"/>
          <w:rFonts w:cs="Open Sans"/>
          <w:sz w:val="22"/>
          <w:szCs w:val="22"/>
        </w:rPr>
        <w:endnoteReference w:id="98"/>
      </w:r>
      <w:r w:rsidRPr="002D46C0">
        <w:rPr>
          <w:rFonts w:cs="Open Sans"/>
          <w:sz w:val="22"/>
          <w:szCs w:val="22"/>
        </w:rPr>
        <w:t xml:space="preserve"> increased racism experienced by people of Asian background during the COVID-19 pandemic</w:t>
      </w:r>
      <w:r w:rsidR="008F2AFF" w:rsidRPr="002D46C0">
        <w:rPr>
          <w:rStyle w:val="EndnoteReference"/>
          <w:rFonts w:cs="Open Sans"/>
          <w:sz w:val="22"/>
          <w:szCs w:val="22"/>
        </w:rPr>
        <w:endnoteReference w:id="99"/>
      </w:r>
      <w:r w:rsidRPr="002D46C0">
        <w:rPr>
          <w:rFonts w:cs="Open Sans"/>
          <w:sz w:val="22"/>
          <w:szCs w:val="22"/>
        </w:rPr>
        <w:t xml:space="preserve"> and cyber racism. The Commission is </w:t>
      </w:r>
      <w:r w:rsidR="4F3915B5" w:rsidRPr="002D46C0">
        <w:rPr>
          <w:rFonts w:cs="Open Sans"/>
          <w:sz w:val="22"/>
          <w:szCs w:val="22"/>
        </w:rPr>
        <w:t xml:space="preserve">currently conducting national consultations on the introduction of </w:t>
      </w:r>
      <w:r w:rsidRPr="002D46C0">
        <w:rPr>
          <w:rFonts w:cs="Open Sans"/>
          <w:sz w:val="22"/>
          <w:szCs w:val="22"/>
        </w:rPr>
        <w:t xml:space="preserve">a </w:t>
      </w:r>
      <w:r w:rsidRPr="002D46C0">
        <w:rPr>
          <w:rFonts w:eastAsia="Calibri" w:cs="Open Sans"/>
          <w:sz w:val="22"/>
          <w:szCs w:val="22"/>
          <w:lang w:val="en-NZ"/>
        </w:rPr>
        <w:t>national anti-racism framework to coordinate efforts to address racism</w:t>
      </w:r>
      <w:r w:rsidR="04862251" w:rsidRPr="002D46C0">
        <w:rPr>
          <w:rFonts w:eastAsia="Calibri" w:cs="Open Sans"/>
          <w:sz w:val="22"/>
          <w:szCs w:val="22"/>
          <w:lang w:val="en-NZ"/>
        </w:rPr>
        <w:t xml:space="preserve"> - for consideration by the government</w:t>
      </w:r>
      <w:r w:rsidRPr="002D46C0">
        <w:rPr>
          <w:rFonts w:eastAsia="Calibri" w:cs="Open Sans"/>
          <w:sz w:val="22"/>
          <w:szCs w:val="22"/>
          <w:lang w:val="en-NZ"/>
        </w:rPr>
        <w:t>.</w:t>
      </w:r>
      <w:r w:rsidR="008F2AFF" w:rsidRPr="002D46C0">
        <w:rPr>
          <w:rStyle w:val="EndnoteReference"/>
          <w:rFonts w:eastAsia="Calibri" w:cs="Open Sans"/>
          <w:sz w:val="22"/>
          <w:szCs w:val="22"/>
          <w:lang w:val="en-NZ"/>
        </w:rPr>
        <w:endnoteReference w:id="100"/>
      </w:r>
      <w:r w:rsidRPr="002D46C0">
        <w:rPr>
          <w:rFonts w:eastAsia="Calibri" w:cs="Open Sans"/>
          <w:sz w:val="22"/>
          <w:szCs w:val="22"/>
          <w:lang w:val="en-NZ"/>
        </w:rPr>
        <w:t xml:space="preserve"> </w:t>
      </w:r>
    </w:p>
    <w:p w14:paraId="59E6EABD" w14:textId="3D5FF9E4" w:rsidR="008F2AFF" w:rsidRPr="002D46C0" w:rsidRDefault="1479EE1F" w:rsidP="00415633">
      <w:pPr>
        <w:pStyle w:val="SubmissionNormal"/>
        <w:rPr>
          <w:rFonts w:cs="Open Sans"/>
          <w:sz w:val="22"/>
          <w:szCs w:val="22"/>
        </w:rPr>
      </w:pPr>
      <w:r w:rsidRPr="002D46C0">
        <w:rPr>
          <w:rFonts w:cs="Open Sans"/>
          <w:sz w:val="22"/>
          <w:szCs w:val="22"/>
        </w:rPr>
        <w:t>There is limited cultural diversity in leadership of Australian organisations.</w:t>
      </w:r>
      <w:r w:rsidR="008F2AFF" w:rsidRPr="002D46C0">
        <w:rPr>
          <w:rStyle w:val="EndnoteReference"/>
          <w:rFonts w:eastAsia="MS Mincho" w:cs="Open Sans"/>
          <w:sz w:val="22"/>
          <w:szCs w:val="22"/>
        </w:rPr>
        <w:endnoteReference w:id="101"/>
      </w:r>
      <w:r w:rsidRPr="002D46C0">
        <w:rPr>
          <w:rFonts w:cs="Open Sans"/>
          <w:sz w:val="22"/>
          <w:szCs w:val="22"/>
        </w:rPr>
        <w:t xml:space="preserve"> </w:t>
      </w:r>
    </w:p>
    <w:p w14:paraId="035B1541" w14:textId="09ED5C7C" w:rsidR="008F2AFF" w:rsidRPr="002D46C0" w:rsidRDefault="008F2AFF" w:rsidP="007F298C">
      <w:pPr>
        <w:pStyle w:val="SubmissionNormal"/>
        <w:numPr>
          <w:ilvl w:val="0"/>
          <w:numId w:val="34"/>
        </w:numPr>
        <w:spacing w:before="0" w:after="0"/>
        <w:ind w:left="714" w:hanging="357"/>
        <w:rPr>
          <w:rFonts w:cs="Open Sans"/>
          <w:b/>
          <w:bCs/>
          <w:sz w:val="22"/>
          <w:szCs w:val="22"/>
        </w:rPr>
      </w:pPr>
      <w:r w:rsidRPr="002D46C0">
        <w:rPr>
          <w:rFonts w:cs="Open Sans"/>
          <w:b/>
          <w:bCs/>
          <w:sz w:val="22"/>
          <w:szCs w:val="22"/>
        </w:rPr>
        <w:t>Information about addressing racial discrimination in a coordinated fashion, including the increase in racist incidents during C</w:t>
      </w:r>
      <w:r w:rsidR="009C5FA0">
        <w:rPr>
          <w:rFonts w:cs="Open Sans"/>
          <w:b/>
          <w:bCs/>
          <w:sz w:val="22"/>
          <w:szCs w:val="22"/>
        </w:rPr>
        <w:t>OVID-19</w:t>
      </w:r>
      <w:r w:rsidRPr="002D46C0">
        <w:rPr>
          <w:rFonts w:cs="Open Sans"/>
          <w:b/>
          <w:bCs/>
          <w:sz w:val="22"/>
          <w:szCs w:val="22"/>
        </w:rPr>
        <w:t xml:space="preserve"> </w:t>
      </w:r>
    </w:p>
    <w:p w14:paraId="26026DFB" w14:textId="664F1810" w:rsidR="008F2AFF" w:rsidRPr="002D46C0" w:rsidRDefault="008F2AFF" w:rsidP="007F298C">
      <w:pPr>
        <w:pStyle w:val="SubmissionNormal"/>
        <w:numPr>
          <w:ilvl w:val="0"/>
          <w:numId w:val="34"/>
        </w:numPr>
        <w:spacing w:before="0" w:after="0"/>
        <w:ind w:left="714" w:hanging="357"/>
        <w:rPr>
          <w:rFonts w:cs="Open Sans"/>
          <w:b/>
          <w:bCs/>
          <w:sz w:val="22"/>
          <w:szCs w:val="22"/>
        </w:rPr>
      </w:pPr>
      <w:r w:rsidRPr="002D46C0">
        <w:rPr>
          <w:rFonts w:cs="Open Sans"/>
          <w:b/>
          <w:bCs/>
          <w:sz w:val="22"/>
          <w:szCs w:val="22"/>
        </w:rPr>
        <w:t xml:space="preserve">Information about cultural diversity in leadership positions, including Government </w:t>
      </w:r>
    </w:p>
    <w:p w14:paraId="1E52ED6F" w14:textId="77777777" w:rsidR="008F2AFF" w:rsidRPr="002D46C0" w:rsidRDefault="008F2AFF" w:rsidP="00EE0B6D">
      <w:pPr>
        <w:pStyle w:val="Heading1"/>
        <w:numPr>
          <w:ilvl w:val="0"/>
          <w:numId w:val="0"/>
        </w:numPr>
        <w:rPr>
          <w:rFonts w:cs="Open Sans"/>
          <w:i/>
          <w:iCs/>
          <w:sz w:val="24"/>
          <w:szCs w:val="24"/>
        </w:rPr>
      </w:pPr>
      <w:r w:rsidRPr="002D46C0">
        <w:rPr>
          <w:rFonts w:cs="Open Sans"/>
          <w:i/>
          <w:iCs/>
          <w:sz w:val="24"/>
          <w:szCs w:val="24"/>
        </w:rPr>
        <w:t xml:space="preserve">Right to Social Security </w:t>
      </w:r>
    </w:p>
    <w:p w14:paraId="3A83DB62" w14:textId="48CDB151" w:rsidR="008F2AFF" w:rsidRPr="002D46C0" w:rsidRDefault="1479EE1F" w:rsidP="002C6025">
      <w:pPr>
        <w:pStyle w:val="SubmissionNormal"/>
        <w:rPr>
          <w:rFonts w:cs="Open Sans"/>
          <w:b/>
          <w:bCs/>
          <w:i/>
          <w:iCs/>
          <w:sz w:val="22"/>
          <w:szCs w:val="22"/>
        </w:rPr>
      </w:pPr>
      <w:r w:rsidRPr="002D46C0">
        <w:rPr>
          <w:rFonts w:cs="Open Sans"/>
          <w:sz w:val="22"/>
          <w:szCs w:val="22"/>
        </w:rPr>
        <w:t>The main income support payment for unemployed Australians, ‘JobSeeker Allowance’,</w:t>
      </w:r>
      <w:r w:rsidR="008F2AFF" w:rsidRPr="002D46C0">
        <w:rPr>
          <w:rStyle w:val="EndnoteReference"/>
          <w:rFonts w:cs="Open Sans"/>
          <w:sz w:val="22"/>
          <w:szCs w:val="22"/>
        </w:rPr>
        <w:endnoteReference w:id="102"/>
      </w:r>
      <w:r w:rsidRPr="002D46C0">
        <w:rPr>
          <w:rFonts w:cs="Open Sans"/>
          <w:sz w:val="22"/>
          <w:szCs w:val="22"/>
        </w:rPr>
        <w:t xml:space="preserve"> is inadequate.</w:t>
      </w:r>
      <w:r w:rsidR="008F2AFF" w:rsidRPr="002D46C0">
        <w:rPr>
          <w:rStyle w:val="EndnoteReference"/>
          <w:rFonts w:cs="Open Sans"/>
          <w:sz w:val="22"/>
          <w:szCs w:val="22"/>
        </w:rPr>
        <w:endnoteReference w:id="103"/>
      </w:r>
      <w:r w:rsidRPr="002D46C0">
        <w:rPr>
          <w:rFonts w:cs="Open Sans"/>
          <w:sz w:val="22"/>
          <w:szCs w:val="22"/>
        </w:rPr>
        <w:t xml:space="preserve"> </w:t>
      </w:r>
      <w:r w:rsidRPr="00D562BF">
        <w:rPr>
          <w:rFonts w:cs="Open Sans"/>
          <w:sz w:val="22"/>
          <w:szCs w:val="22"/>
        </w:rPr>
        <w:t>This has been acknowledged by the Government which increased payments during the COVID-19 pandemic.</w:t>
      </w:r>
      <w:r w:rsidR="008F2AFF" w:rsidRPr="00D562BF">
        <w:rPr>
          <w:rStyle w:val="EndnoteReference"/>
          <w:rFonts w:cs="Open Sans"/>
          <w:sz w:val="22"/>
          <w:szCs w:val="22"/>
        </w:rPr>
        <w:endnoteReference w:id="104"/>
      </w:r>
      <w:r>
        <w:rPr>
          <w:rFonts w:cs="Open Sans"/>
          <w:sz w:val="22"/>
          <w:szCs w:val="22"/>
        </w:rPr>
        <w:t xml:space="preserve"> These increased payments have subsequently been discontinued.</w:t>
      </w:r>
      <w:r w:rsidR="008F2AFF" w:rsidRPr="01816EFD">
        <w:rPr>
          <w:rStyle w:val="EndnoteReference"/>
          <w:rFonts w:cs="Open Sans"/>
        </w:rPr>
        <w:endnoteReference w:id="105"/>
      </w:r>
      <w:r w:rsidRPr="002D46C0">
        <w:rPr>
          <w:rFonts w:cs="Open Sans"/>
          <w:sz w:val="22"/>
          <w:szCs w:val="22"/>
        </w:rPr>
        <w:t xml:space="preserve"> The Commission has expressed concerns at punitive welfare programs, notably the ‘ParentsNext’</w:t>
      </w:r>
      <w:r w:rsidR="008F2AFF" w:rsidRPr="002D46C0">
        <w:rPr>
          <w:rStyle w:val="EndnoteReference"/>
          <w:rFonts w:cs="Open Sans"/>
          <w:sz w:val="22"/>
          <w:szCs w:val="22"/>
        </w:rPr>
        <w:endnoteReference w:id="106"/>
      </w:r>
      <w:r w:rsidRPr="002D46C0">
        <w:rPr>
          <w:rFonts w:cs="Open Sans"/>
          <w:sz w:val="22"/>
          <w:szCs w:val="22"/>
        </w:rPr>
        <w:t xml:space="preserve"> ‘pre-employment’ program</w:t>
      </w:r>
      <w:r w:rsidR="008F2AFF" w:rsidRPr="002D46C0">
        <w:rPr>
          <w:rStyle w:val="EndnoteReference"/>
          <w:rFonts w:cs="Open Sans"/>
          <w:sz w:val="22"/>
          <w:szCs w:val="22"/>
        </w:rPr>
        <w:endnoteReference w:id="107"/>
      </w:r>
      <w:r w:rsidRPr="002D46C0">
        <w:rPr>
          <w:rFonts w:cs="Open Sans"/>
          <w:sz w:val="22"/>
          <w:szCs w:val="22"/>
        </w:rPr>
        <w:t xml:space="preserve"> and compulsory income management schemes that disproportionately affect Aboriginal and Torres Strait </w:t>
      </w:r>
      <w:r w:rsidRPr="09BE2B0E">
        <w:rPr>
          <w:rFonts w:eastAsiaTheme="minorEastAsia" w:cs="Open Sans"/>
          <w:sz w:val="22"/>
          <w:szCs w:val="22"/>
          <w:lang w:eastAsia="en-US"/>
        </w:rPr>
        <w:t>Islander</w:t>
      </w:r>
      <w:r w:rsidRPr="002D46C0">
        <w:rPr>
          <w:rFonts w:cs="Open Sans"/>
          <w:sz w:val="22"/>
          <w:szCs w:val="22"/>
        </w:rPr>
        <w:t xml:space="preserve"> peoples.</w:t>
      </w:r>
      <w:r w:rsidR="008F2AFF" w:rsidRPr="002D46C0">
        <w:rPr>
          <w:rStyle w:val="EndnoteReference"/>
          <w:rFonts w:cs="Open Sans"/>
          <w:sz w:val="22"/>
          <w:szCs w:val="22"/>
        </w:rPr>
        <w:endnoteReference w:id="108"/>
      </w:r>
      <w:r w:rsidRPr="002D46C0">
        <w:rPr>
          <w:rFonts w:cs="Open Sans"/>
          <w:sz w:val="22"/>
          <w:szCs w:val="22"/>
        </w:rPr>
        <w:t xml:space="preserve"> The Commission also notes the failure of the so-called ‘Robo-debt’ scheme, implemented in 2017, which resulted in thousands of welfare recipients being sent inaccurate debt notices</w:t>
      </w:r>
      <w:r w:rsidRPr="002D46C0">
        <w:rPr>
          <w:rFonts w:eastAsia="Calibri" w:cs="Open Sans"/>
          <w:sz w:val="22"/>
          <w:szCs w:val="22"/>
          <w:lang w:eastAsia="en-US"/>
        </w:rPr>
        <w:t xml:space="preserve"> </w:t>
      </w:r>
      <w:r w:rsidRPr="002D46C0">
        <w:rPr>
          <w:rFonts w:cs="Open Sans"/>
          <w:sz w:val="22"/>
          <w:szCs w:val="22"/>
        </w:rPr>
        <w:t>following the introduction of a new digital system. The debt notices caused anguish and stress for many vulnerable and disadvantaged recipients.</w:t>
      </w:r>
      <w:r w:rsidR="008F2AFF" w:rsidRPr="002D46C0">
        <w:rPr>
          <w:rFonts w:cs="Open Sans"/>
          <w:sz w:val="22"/>
          <w:szCs w:val="22"/>
          <w:vertAlign w:val="superscript"/>
        </w:rPr>
        <w:endnoteReference w:id="109"/>
      </w:r>
    </w:p>
    <w:p w14:paraId="4EC40815" w14:textId="63D6EE01" w:rsidR="008F2AFF" w:rsidRPr="002D46C0" w:rsidRDefault="008F2AFF" w:rsidP="007F298C">
      <w:pPr>
        <w:pStyle w:val="SubmissionNormal"/>
        <w:numPr>
          <w:ilvl w:val="0"/>
          <w:numId w:val="35"/>
        </w:numPr>
        <w:spacing w:before="0" w:after="0"/>
        <w:ind w:left="714" w:hanging="357"/>
        <w:rPr>
          <w:rFonts w:cs="Open Sans"/>
          <w:b/>
          <w:bCs/>
          <w:sz w:val="22"/>
          <w:szCs w:val="22"/>
        </w:rPr>
      </w:pPr>
      <w:r w:rsidRPr="002D46C0">
        <w:rPr>
          <w:rFonts w:cs="Open Sans"/>
          <w:b/>
          <w:bCs/>
          <w:sz w:val="22"/>
          <w:szCs w:val="22"/>
        </w:rPr>
        <w:t xml:space="preserve">Information on JobSeeker and other welfare support programs; and the extent to which they provide an adequate standard of living </w:t>
      </w:r>
    </w:p>
    <w:p w14:paraId="1C40107B" w14:textId="786229F9" w:rsidR="008F2AFF" w:rsidRPr="002D46C0" w:rsidRDefault="008F2AFF" w:rsidP="007F298C">
      <w:pPr>
        <w:pStyle w:val="SubmissionNormal"/>
        <w:numPr>
          <w:ilvl w:val="0"/>
          <w:numId w:val="35"/>
        </w:numPr>
        <w:spacing w:before="0" w:after="0"/>
        <w:ind w:left="714" w:hanging="357"/>
        <w:rPr>
          <w:rFonts w:cs="Open Sans"/>
          <w:b/>
          <w:bCs/>
          <w:sz w:val="22"/>
          <w:szCs w:val="22"/>
        </w:rPr>
      </w:pPr>
      <w:r w:rsidRPr="002D46C0">
        <w:rPr>
          <w:rFonts w:cs="Open Sans"/>
          <w:b/>
          <w:bCs/>
          <w:sz w:val="22"/>
          <w:szCs w:val="22"/>
        </w:rPr>
        <w:t>Information on compulsory income management schemes and effects on Aboriginal and Torres Strait Islander communities</w:t>
      </w:r>
    </w:p>
    <w:p w14:paraId="04D0BC50" w14:textId="41048796" w:rsidR="008F2AFF" w:rsidRPr="002D46C0" w:rsidRDefault="008F2AFF" w:rsidP="000A25EF">
      <w:pPr>
        <w:pStyle w:val="Heading1"/>
        <w:numPr>
          <w:ilvl w:val="0"/>
          <w:numId w:val="0"/>
        </w:numPr>
        <w:rPr>
          <w:rFonts w:cs="Open Sans"/>
          <w:i/>
          <w:iCs/>
          <w:sz w:val="24"/>
          <w:szCs w:val="24"/>
        </w:rPr>
      </w:pPr>
      <w:r w:rsidRPr="002D46C0">
        <w:rPr>
          <w:rFonts w:cs="Open Sans"/>
          <w:i/>
          <w:iCs/>
          <w:sz w:val="24"/>
          <w:szCs w:val="24"/>
        </w:rPr>
        <w:t xml:space="preserve">Right to adequate housing </w:t>
      </w:r>
    </w:p>
    <w:p w14:paraId="6F4A66E8" w14:textId="44D4F16E" w:rsidR="008F2AFF" w:rsidRPr="002D46C0" w:rsidRDefault="1479EE1F" w:rsidP="008C7D1C">
      <w:pPr>
        <w:pStyle w:val="SubmissionNormal"/>
        <w:rPr>
          <w:rFonts w:cs="Open Sans"/>
          <w:sz w:val="22"/>
          <w:szCs w:val="22"/>
        </w:rPr>
      </w:pPr>
      <w:r w:rsidRPr="002D46C0">
        <w:rPr>
          <w:rFonts w:cs="Open Sans"/>
          <w:sz w:val="22"/>
          <w:szCs w:val="22"/>
        </w:rPr>
        <w:t>In response to COVID-19, emergency accommodation was provided to more than 40,000 people, a ‘remarkable’ outcome, according to homelessness researchers. However only a third of ‘rough sleepers’ accommodated during this period were subsequently transitioned into long-term housing.</w:t>
      </w:r>
      <w:r w:rsidR="008F2AFF" w:rsidRPr="01816EFD">
        <w:rPr>
          <w:rStyle w:val="EndnoteReference"/>
          <w:rFonts w:cs="Open Sans"/>
        </w:rPr>
        <w:endnoteReference w:id="110"/>
      </w:r>
      <w:r w:rsidRPr="002D46C0">
        <w:rPr>
          <w:rFonts w:cs="Open Sans"/>
          <w:sz w:val="22"/>
          <w:szCs w:val="22"/>
        </w:rPr>
        <w:t xml:space="preserve"> </w:t>
      </w:r>
    </w:p>
    <w:p w14:paraId="7A78BD18" w14:textId="6CCF02E2" w:rsidR="008F2AFF" w:rsidRPr="002D46C0" w:rsidRDefault="1479EE1F" w:rsidP="09BE2B0E">
      <w:pPr>
        <w:pStyle w:val="SubmissionNormal"/>
        <w:rPr>
          <w:rFonts w:eastAsia="Calibri" w:cs="Open Sans"/>
          <w:b/>
          <w:bCs/>
          <w:i/>
          <w:iCs/>
          <w:sz w:val="22"/>
          <w:szCs w:val="22"/>
          <w:lang w:val="en-NZ" w:eastAsia="en-US"/>
        </w:rPr>
      </w:pPr>
      <w:r w:rsidRPr="002D46C0">
        <w:rPr>
          <w:rFonts w:cs="Open Sans"/>
          <w:sz w:val="22"/>
          <w:szCs w:val="22"/>
        </w:rPr>
        <w:t>Research indicates that that people</w:t>
      </w:r>
      <w:r w:rsidR="2FC01D72">
        <w:rPr>
          <w:rFonts w:cs="Open Sans"/>
          <w:sz w:val="22"/>
          <w:szCs w:val="22"/>
        </w:rPr>
        <w:t>’</w:t>
      </w:r>
      <w:r w:rsidRPr="002D46C0">
        <w:rPr>
          <w:rFonts w:cs="Open Sans"/>
          <w:sz w:val="22"/>
          <w:szCs w:val="22"/>
        </w:rPr>
        <w:t>s employment, ability to pay rent, living environment and risk of eviction were negatively affected due to COVID-19.</w:t>
      </w:r>
      <w:r w:rsidR="008F2AFF" w:rsidRPr="002D46C0">
        <w:rPr>
          <w:rStyle w:val="EndnoteReference"/>
          <w:rFonts w:cs="Open Sans"/>
          <w:sz w:val="22"/>
          <w:szCs w:val="22"/>
        </w:rPr>
        <w:endnoteReference w:id="111"/>
      </w:r>
      <w:r w:rsidRPr="002D46C0">
        <w:rPr>
          <w:rFonts w:cs="Open Sans"/>
          <w:sz w:val="22"/>
          <w:szCs w:val="22"/>
        </w:rPr>
        <w:t xml:space="preserve">  Australians known to be at particular risk of homelessness include those who have experienced </w:t>
      </w:r>
      <w:r w:rsidR="05295B08">
        <w:rPr>
          <w:rFonts w:cs="Open Sans"/>
          <w:sz w:val="22"/>
          <w:szCs w:val="22"/>
        </w:rPr>
        <w:t>FDV</w:t>
      </w:r>
      <w:r w:rsidRPr="002D46C0">
        <w:rPr>
          <w:rFonts w:cs="Open Sans"/>
          <w:sz w:val="22"/>
          <w:szCs w:val="22"/>
        </w:rPr>
        <w:t>, young people, children on care and protection orders, Aboriginal and Torres Strait Islander people, people leaving health or social care arrangements, and Australians aged 55 or older.</w:t>
      </w:r>
      <w:r w:rsidR="008F2AFF" w:rsidRPr="002D46C0">
        <w:rPr>
          <w:rStyle w:val="EndnoteReference"/>
          <w:rFonts w:cs="Open Sans"/>
          <w:sz w:val="22"/>
          <w:szCs w:val="22"/>
        </w:rPr>
        <w:endnoteReference w:id="112"/>
      </w:r>
      <w:r w:rsidRPr="002D46C0">
        <w:rPr>
          <w:rFonts w:eastAsia="Calibri" w:cs="Open Sans"/>
          <w:sz w:val="22"/>
          <w:szCs w:val="22"/>
          <w:lang w:val="en-NZ" w:eastAsia="en-US"/>
        </w:rPr>
        <w:t xml:space="preserve"> Older women</w:t>
      </w:r>
      <w:r w:rsidR="1B0C85A1" w:rsidRPr="09BE2B0E">
        <w:rPr>
          <w:rFonts w:eastAsia="Calibri" w:cs="Open Sans"/>
          <w:sz w:val="22"/>
          <w:szCs w:val="22"/>
          <w:lang w:val="en-NZ" w:eastAsia="en-US"/>
        </w:rPr>
        <w:t xml:space="preserve"> face a higher risk of homelessness, and</w:t>
      </w:r>
      <w:r w:rsidRPr="002D46C0">
        <w:rPr>
          <w:rFonts w:eastAsia="Calibri" w:cs="Open Sans"/>
          <w:sz w:val="22"/>
          <w:szCs w:val="22"/>
          <w:lang w:val="en-NZ" w:eastAsia="en-US"/>
        </w:rPr>
        <w:t xml:space="preserve"> were the fastest growing cohort of homeless Australians 2011</w:t>
      </w:r>
      <w:r w:rsidR="69486F90">
        <w:rPr>
          <w:rFonts w:eastAsia="Calibri" w:cs="Open Sans"/>
          <w:sz w:val="22"/>
          <w:szCs w:val="22"/>
          <w:lang w:val="en-NZ" w:eastAsia="en-US"/>
        </w:rPr>
        <w:t>–</w:t>
      </w:r>
      <w:r w:rsidRPr="002D46C0">
        <w:rPr>
          <w:rFonts w:eastAsia="Calibri" w:cs="Open Sans"/>
          <w:sz w:val="22"/>
          <w:szCs w:val="22"/>
          <w:lang w:val="en-NZ" w:eastAsia="en-US"/>
        </w:rPr>
        <w:t>2016, increasing by 31%</w:t>
      </w:r>
      <w:r w:rsidR="51E3D59F" w:rsidRPr="09BE2B0E">
        <w:rPr>
          <w:rFonts w:eastAsia="Calibri" w:cs="Open Sans"/>
          <w:sz w:val="22"/>
          <w:szCs w:val="22"/>
          <w:lang w:val="en-NZ" w:eastAsia="en-US"/>
        </w:rPr>
        <w:t>, as explored in the Commission’s 2019 background paper on this topic.</w:t>
      </w:r>
      <w:r w:rsidR="008F2AFF" w:rsidRPr="002D46C0">
        <w:rPr>
          <w:rStyle w:val="EndnoteReference"/>
          <w:rFonts w:eastAsia="Calibri" w:cs="Open Sans"/>
          <w:sz w:val="22"/>
          <w:szCs w:val="22"/>
          <w:lang w:val="en-NZ" w:eastAsia="en-US"/>
        </w:rPr>
        <w:endnoteReference w:id="113"/>
      </w:r>
      <w:r w:rsidRPr="002D46C0">
        <w:rPr>
          <w:rFonts w:eastAsia="Calibri" w:cs="Open Sans"/>
          <w:sz w:val="22"/>
          <w:szCs w:val="22"/>
          <w:lang w:val="en-NZ" w:eastAsia="en-US"/>
        </w:rPr>
        <w:t xml:space="preserve"> </w:t>
      </w:r>
      <w:r w:rsidRPr="002D46C0">
        <w:rPr>
          <w:rFonts w:cs="Open Sans"/>
          <w:sz w:val="22"/>
          <w:szCs w:val="22"/>
        </w:rPr>
        <w:t>The Committee previously observed a shortage of affordable housing, including rental and social housing, and overcrowded housing for Indigenous peoples in remote areas.</w:t>
      </w:r>
      <w:r w:rsidR="008F2AFF" w:rsidRPr="002D46C0">
        <w:rPr>
          <w:rStyle w:val="EndnoteReference"/>
          <w:rFonts w:cs="Open Sans"/>
          <w:sz w:val="22"/>
          <w:szCs w:val="22"/>
        </w:rPr>
        <w:endnoteReference w:id="114"/>
      </w:r>
      <w:r w:rsidRPr="002D46C0">
        <w:rPr>
          <w:rFonts w:cs="Open Sans"/>
          <w:sz w:val="22"/>
          <w:szCs w:val="22"/>
        </w:rPr>
        <w:t xml:space="preserve"> These problems persist.</w:t>
      </w:r>
      <w:r w:rsidR="008F2AFF" w:rsidRPr="002D46C0">
        <w:rPr>
          <w:rStyle w:val="EndnoteReference"/>
          <w:rFonts w:cs="Open Sans"/>
          <w:sz w:val="22"/>
          <w:szCs w:val="22"/>
        </w:rPr>
        <w:endnoteReference w:id="115"/>
      </w:r>
    </w:p>
    <w:p w14:paraId="1860D110" w14:textId="0980AB25" w:rsidR="008F2AFF" w:rsidRPr="002D46C0" w:rsidRDefault="1479EE1F" w:rsidP="00F108FB">
      <w:pPr>
        <w:pStyle w:val="SubmissionNormal"/>
        <w:numPr>
          <w:ilvl w:val="0"/>
          <w:numId w:val="42"/>
        </w:numPr>
        <w:rPr>
          <w:rFonts w:cs="Open Sans"/>
          <w:b/>
          <w:bCs/>
          <w:sz w:val="22"/>
          <w:szCs w:val="22"/>
        </w:rPr>
      </w:pPr>
      <w:r w:rsidRPr="09BE2B0E">
        <w:rPr>
          <w:rFonts w:cs="Open Sans"/>
          <w:b/>
          <w:bCs/>
          <w:sz w:val="22"/>
          <w:szCs w:val="22"/>
        </w:rPr>
        <w:t xml:space="preserve">Information about homelessness and affordable housing </w:t>
      </w:r>
    </w:p>
    <w:p w14:paraId="39B6AD86" w14:textId="5D0ADD18" w:rsidR="008F2AFF" w:rsidRPr="002D46C0" w:rsidRDefault="008F2AFF" w:rsidP="000A25EF">
      <w:pPr>
        <w:pStyle w:val="Heading1"/>
        <w:numPr>
          <w:ilvl w:val="0"/>
          <w:numId w:val="0"/>
        </w:numPr>
        <w:ind w:left="720" w:hanging="720"/>
        <w:rPr>
          <w:rFonts w:cs="Open Sans"/>
          <w:i/>
          <w:iCs/>
          <w:sz w:val="24"/>
          <w:szCs w:val="24"/>
        </w:rPr>
      </w:pPr>
      <w:r w:rsidRPr="002D46C0">
        <w:rPr>
          <w:rFonts w:cs="Open Sans"/>
          <w:i/>
          <w:iCs/>
          <w:sz w:val="24"/>
          <w:szCs w:val="24"/>
        </w:rPr>
        <w:t xml:space="preserve">Human Rights and the Environment </w:t>
      </w:r>
    </w:p>
    <w:p w14:paraId="5D813C13" w14:textId="79D7E787" w:rsidR="008F2AFF" w:rsidRPr="002D46C0" w:rsidRDefault="1479EE1F" w:rsidP="009338FD">
      <w:pPr>
        <w:pStyle w:val="SubmissionNormal"/>
        <w:rPr>
          <w:rFonts w:cs="Open Sans"/>
          <w:sz w:val="22"/>
          <w:szCs w:val="22"/>
        </w:rPr>
      </w:pPr>
      <w:r w:rsidRPr="09BE2B0E">
        <w:rPr>
          <w:rFonts w:cs="Open Sans"/>
          <w:sz w:val="22"/>
          <w:szCs w:val="22"/>
        </w:rPr>
        <w:t xml:space="preserve">Ongoing changes to Australia’s physical environment and increasing instances of natural disaster are impacting Australians’ rights to the enjoyment of the highest attainable standard of physical health and to safe and healthy working conditions. </w:t>
      </w:r>
    </w:p>
    <w:p w14:paraId="14D28E1D" w14:textId="4CA4186A" w:rsidR="008F2AFF" w:rsidRPr="002D46C0" w:rsidRDefault="008F2AFF" w:rsidP="00176D30">
      <w:pPr>
        <w:pStyle w:val="SubmissionNormal"/>
        <w:numPr>
          <w:ilvl w:val="0"/>
          <w:numId w:val="42"/>
        </w:numPr>
        <w:rPr>
          <w:rFonts w:cs="Open Sans"/>
          <w:b/>
          <w:bCs/>
          <w:sz w:val="22"/>
          <w:szCs w:val="22"/>
        </w:rPr>
      </w:pPr>
      <w:r w:rsidRPr="002D46C0">
        <w:rPr>
          <w:rFonts w:cs="Open Sans"/>
          <w:b/>
          <w:bCs/>
          <w:sz w:val="22"/>
          <w:szCs w:val="22"/>
        </w:rPr>
        <w:t>Information about steps taken to implement the Paris Agreement and integrate a human rights-based approach into disaster recovery policies.</w:t>
      </w:r>
    </w:p>
    <w:p w14:paraId="6B0FF0FC" w14:textId="616E1E5C" w:rsidR="008F2AFF" w:rsidRPr="002D46C0" w:rsidRDefault="1479EE1F" w:rsidP="09BE2B0E">
      <w:pPr>
        <w:pStyle w:val="Heading1"/>
        <w:numPr>
          <w:ilvl w:val="0"/>
          <w:numId w:val="0"/>
        </w:numPr>
        <w:ind w:left="720" w:hanging="720"/>
        <w:rPr>
          <w:rFonts w:cs="Open Sans"/>
          <w:i/>
          <w:iCs/>
          <w:sz w:val="24"/>
          <w:szCs w:val="24"/>
        </w:rPr>
      </w:pPr>
      <w:r w:rsidRPr="09BE2B0E">
        <w:rPr>
          <w:rFonts w:cs="Open Sans"/>
          <w:i/>
          <w:iCs/>
          <w:sz w:val="24"/>
          <w:szCs w:val="24"/>
        </w:rPr>
        <w:t xml:space="preserve">Business and Human Rights </w:t>
      </w:r>
    </w:p>
    <w:p w14:paraId="1CC50E46" w14:textId="5CAE911C" w:rsidR="008F2AFF" w:rsidRDefault="1479EE1F" w:rsidP="00200702">
      <w:pPr>
        <w:pStyle w:val="SubmissionNormal"/>
        <w:rPr>
          <w:rFonts w:cs="Open Sans"/>
          <w:sz w:val="22"/>
          <w:szCs w:val="22"/>
        </w:rPr>
      </w:pPr>
      <w:r w:rsidRPr="002D46C0">
        <w:rPr>
          <w:rFonts w:cs="Open Sans"/>
          <w:sz w:val="22"/>
          <w:szCs w:val="22"/>
        </w:rPr>
        <w:t>The Commission commends Australia for reforms to its OECD National Contact Point.</w:t>
      </w:r>
      <w:r w:rsidR="008F2AFF" w:rsidRPr="002D46C0">
        <w:rPr>
          <w:rStyle w:val="EndnoteReference"/>
          <w:rFonts w:eastAsia="MS Mincho" w:cs="Open Sans"/>
          <w:sz w:val="22"/>
          <w:szCs w:val="22"/>
        </w:rPr>
        <w:endnoteReference w:id="116"/>
      </w:r>
      <w:r w:rsidRPr="002D46C0">
        <w:rPr>
          <w:rFonts w:cs="Open Sans"/>
          <w:sz w:val="22"/>
          <w:szCs w:val="22"/>
        </w:rPr>
        <w:t xml:space="preserve"> The Government consulted on a National Action Plan on Business and Human Rights in 2017 but did not proceed. There remains a</w:t>
      </w:r>
      <w:r w:rsidRPr="002D46C0">
        <w:rPr>
          <w:rFonts w:cs="Open Sans"/>
          <w:sz w:val="22"/>
          <w:szCs w:val="22"/>
          <w:lang w:val="en-GB"/>
        </w:rPr>
        <w:t xml:space="preserve"> lack of a regulatory framework to ensure that companies operating Australia, as well as companies under Australia’s jurisdiction acting overseas (such as service providers in regional processing centres), fully respect </w:t>
      </w:r>
      <w:r w:rsidR="3D446BA6">
        <w:rPr>
          <w:rFonts w:cs="Open Sans"/>
          <w:sz w:val="22"/>
          <w:szCs w:val="22"/>
          <w:lang w:val="en-GB"/>
        </w:rPr>
        <w:t>ESC</w:t>
      </w:r>
      <w:r w:rsidRPr="002D46C0">
        <w:rPr>
          <w:rFonts w:cs="Open Sans"/>
          <w:sz w:val="22"/>
          <w:szCs w:val="22"/>
          <w:lang w:val="en-GB"/>
        </w:rPr>
        <w:t xml:space="preserve"> rights.</w:t>
      </w:r>
      <w:r w:rsidR="008F2AFF" w:rsidRPr="01816EFD">
        <w:rPr>
          <w:rStyle w:val="EndnoteReference"/>
          <w:rFonts w:cs="Open Sans"/>
          <w:lang w:val="en-GB"/>
        </w:rPr>
        <w:endnoteReference w:id="117"/>
      </w:r>
      <w:r w:rsidRPr="002D46C0">
        <w:rPr>
          <w:rFonts w:cs="Open Sans"/>
          <w:sz w:val="22"/>
          <w:szCs w:val="22"/>
        </w:rPr>
        <w:t xml:space="preserve"> </w:t>
      </w:r>
      <w:r w:rsidR="6F254137" w:rsidRPr="002D46C0">
        <w:rPr>
          <w:rFonts w:cs="Open Sans"/>
          <w:sz w:val="22"/>
          <w:szCs w:val="22"/>
        </w:rPr>
        <w:t xml:space="preserve">The Commission’s recent report </w:t>
      </w:r>
      <w:r w:rsidR="6F254137" w:rsidRPr="45227F6C">
        <w:rPr>
          <w:rFonts w:cs="Open Sans"/>
          <w:i/>
          <w:iCs/>
          <w:sz w:val="22"/>
          <w:szCs w:val="22"/>
        </w:rPr>
        <w:t xml:space="preserve">At the Crossroads: 10 Years of Implementing the UN Guiding Principles on Business and Human Rights </w:t>
      </w:r>
      <w:r w:rsidR="6F254137" w:rsidRPr="45227F6C">
        <w:rPr>
          <w:rFonts w:cs="Open Sans"/>
          <w:sz w:val="22"/>
          <w:szCs w:val="22"/>
        </w:rPr>
        <w:t>made a number of recommendation</w:t>
      </w:r>
      <w:r w:rsidR="00C01363">
        <w:rPr>
          <w:rFonts w:cs="Open Sans"/>
          <w:sz w:val="22"/>
          <w:szCs w:val="22"/>
        </w:rPr>
        <w:t>s</w:t>
      </w:r>
      <w:r w:rsidR="6F254137" w:rsidRPr="45227F6C">
        <w:rPr>
          <w:rFonts w:cs="Open Sans"/>
          <w:sz w:val="22"/>
          <w:szCs w:val="22"/>
        </w:rPr>
        <w:t xml:space="preserve"> towa</w:t>
      </w:r>
      <w:r w:rsidR="6D658AC4" w:rsidRPr="45227F6C">
        <w:rPr>
          <w:rFonts w:cs="Open Sans"/>
          <w:sz w:val="22"/>
          <w:szCs w:val="22"/>
        </w:rPr>
        <w:t xml:space="preserve">rds the more effective implementation of the United Nations Guiding Principles on Business and </w:t>
      </w:r>
      <w:r w:rsidR="6D658AC4" w:rsidRPr="2E00860B">
        <w:rPr>
          <w:rFonts w:cs="Open Sans"/>
          <w:sz w:val="22"/>
          <w:szCs w:val="22"/>
        </w:rPr>
        <w:t>Human Rights (UNGPs) in Australia, including the introduction of mandatory human rights due diligence laws.</w:t>
      </w:r>
      <w:r w:rsidR="000E2741">
        <w:rPr>
          <w:rStyle w:val="EndnoteReference"/>
          <w:rFonts w:cs="Open Sans"/>
          <w:szCs w:val="22"/>
        </w:rPr>
        <w:endnoteReference w:id="118"/>
      </w:r>
    </w:p>
    <w:p w14:paraId="0B196CB6" w14:textId="192F93B3" w:rsidR="00765786" w:rsidRPr="002D46C0" w:rsidRDefault="0B2041F1" w:rsidP="00200702">
      <w:pPr>
        <w:pStyle w:val="SubmissionNormal"/>
        <w:rPr>
          <w:rFonts w:cs="Open Sans"/>
          <w:sz w:val="22"/>
          <w:szCs w:val="22"/>
        </w:rPr>
      </w:pPr>
      <w:r w:rsidRPr="09BE2B0E">
        <w:rPr>
          <w:rFonts w:cs="Open Sans"/>
          <w:sz w:val="22"/>
          <w:szCs w:val="22"/>
        </w:rPr>
        <w:t xml:space="preserve">The Commission has conducted extensive work </w:t>
      </w:r>
      <w:r w:rsidR="5EAA9F1A" w:rsidRPr="09BE2B0E">
        <w:rPr>
          <w:rFonts w:cs="Open Sans"/>
          <w:sz w:val="22"/>
          <w:szCs w:val="22"/>
        </w:rPr>
        <w:t xml:space="preserve">on </w:t>
      </w:r>
      <w:r w:rsidRPr="09BE2B0E">
        <w:rPr>
          <w:rFonts w:cs="Open Sans"/>
          <w:sz w:val="22"/>
          <w:szCs w:val="22"/>
        </w:rPr>
        <w:t>human rights concerns in sport</w:t>
      </w:r>
      <w:r w:rsidR="59245314" w:rsidRPr="09BE2B0E">
        <w:rPr>
          <w:rFonts w:cs="Open Sans"/>
          <w:sz w:val="22"/>
          <w:szCs w:val="22"/>
        </w:rPr>
        <w:t>,</w:t>
      </w:r>
      <w:r w:rsidR="1C3D2B77" w:rsidRPr="09BE2B0E">
        <w:rPr>
          <w:rFonts w:cs="Open Sans"/>
          <w:sz w:val="22"/>
          <w:szCs w:val="22"/>
        </w:rPr>
        <w:t xml:space="preserve"> </w:t>
      </w:r>
      <w:r w:rsidR="143FC5EA" w:rsidRPr="09BE2B0E">
        <w:rPr>
          <w:rFonts w:cs="Open Sans"/>
          <w:sz w:val="22"/>
          <w:szCs w:val="22"/>
        </w:rPr>
        <w:t>exposing</w:t>
      </w:r>
      <w:r w:rsidR="1C3D2B77" w:rsidRPr="09BE2B0E">
        <w:rPr>
          <w:rFonts w:cs="Open Sans"/>
          <w:sz w:val="22"/>
          <w:szCs w:val="22"/>
        </w:rPr>
        <w:t xml:space="preserve"> </w:t>
      </w:r>
      <w:r w:rsidR="1ED5DA71" w:rsidRPr="09BE2B0E">
        <w:rPr>
          <w:rFonts w:cs="Open Sans"/>
          <w:sz w:val="22"/>
          <w:szCs w:val="22"/>
        </w:rPr>
        <w:t xml:space="preserve">issues associated with racial discrimination, </w:t>
      </w:r>
      <w:r w:rsidR="5EAA9F1A" w:rsidRPr="09BE2B0E">
        <w:rPr>
          <w:rFonts w:cs="Open Sans"/>
          <w:sz w:val="22"/>
          <w:szCs w:val="22"/>
        </w:rPr>
        <w:t>sex discrimination</w:t>
      </w:r>
      <w:r w:rsidR="006D4269">
        <w:rPr>
          <w:rFonts w:cs="Open Sans"/>
          <w:sz w:val="22"/>
          <w:szCs w:val="22"/>
        </w:rPr>
        <w:t>,</w:t>
      </w:r>
      <w:r w:rsidR="1ED5DA71" w:rsidRPr="09BE2B0E">
        <w:rPr>
          <w:rFonts w:cs="Open Sans"/>
          <w:sz w:val="22"/>
          <w:szCs w:val="22"/>
        </w:rPr>
        <w:t xml:space="preserve"> </w:t>
      </w:r>
      <w:r w:rsidR="0074757C" w:rsidRPr="001E76DD">
        <w:rPr>
          <w:rFonts w:cs="Open Sans"/>
          <w:sz w:val="22"/>
          <w:szCs w:val="22"/>
        </w:rPr>
        <w:t xml:space="preserve">abuse, bullying, sexual harassment and assault </w:t>
      </w:r>
      <w:r w:rsidR="1ED5DA71" w:rsidRPr="09BE2B0E">
        <w:rPr>
          <w:rFonts w:cs="Open Sans"/>
          <w:sz w:val="22"/>
          <w:szCs w:val="22"/>
        </w:rPr>
        <w:t>and children’s rights across a range of sports and sporting institutions</w:t>
      </w:r>
      <w:r w:rsidR="143FC5EA" w:rsidRPr="09BE2B0E">
        <w:rPr>
          <w:rFonts w:cs="Open Sans"/>
          <w:sz w:val="22"/>
          <w:szCs w:val="22"/>
        </w:rPr>
        <w:t>;</w:t>
      </w:r>
      <w:r w:rsidR="00E82BB1">
        <w:rPr>
          <w:rStyle w:val="EndnoteReference"/>
          <w:rFonts w:cs="Open Sans"/>
          <w:szCs w:val="22"/>
        </w:rPr>
        <w:endnoteReference w:id="119"/>
      </w:r>
      <w:r w:rsidR="42085F56" w:rsidRPr="09BE2B0E">
        <w:rPr>
          <w:rFonts w:cs="Open Sans"/>
        </w:rPr>
        <w:t xml:space="preserve"> </w:t>
      </w:r>
      <w:r w:rsidR="143FC5EA" w:rsidRPr="09BE2B0E">
        <w:rPr>
          <w:rFonts w:cs="Open Sans"/>
        </w:rPr>
        <w:t xml:space="preserve">and </w:t>
      </w:r>
      <w:r w:rsidR="3CD51A61" w:rsidRPr="09BE2B0E">
        <w:rPr>
          <w:rFonts w:cs="Open Sans"/>
          <w:sz w:val="22"/>
          <w:szCs w:val="22"/>
        </w:rPr>
        <w:t xml:space="preserve">addressing compliance </w:t>
      </w:r>
      <w:r w:rsidR="618D4BCD" w:rsidRPr="09BE2B0E">
        <w:rPr>
          <w:rFonts w:cs="Open Sans"/>
          <w:sz w:val="22"/>
          <w:szCs w:val="22"/>
        </w:rPr>
        <w:t xml:space="preserve">of sporting bodies </w:t>
      </w:r>
      <w:r w:rsidR="3CD51A61" w:rsidRPr="09BE2B0E">
        <w:rPr>
          <w:rFonts w:cs="Open Sans"/>
          <w:sz w:val="22"/>
          <w:szCs w:val="22"/>
        </w:rPr>
        <w:t>with the</w:t>
      </w:r>
      <w:r w:rsidR="19BC0366">
        <w:t xml:space="preserve"> </w:t>
      </w:r>
      <w:r w:rsidR="19BC0366" w:rsidRPr="09BE2B0E">
        <w:rPr>
          <w:rFonts w:cs="Open Sans"/>
          <w:sz w:val="22"/>
          <w:szCs w:val="22"/>
        </w:rPr>
        <w:t>United Nations Guiding Principles on Business and Human Rights</w:t>
      </w:r>
      <w:r w:rsidR="1F2980DB" w:rsidRPr="09BE2B0E">
        <w:rPr>
          <w:rFonts w:cs="Open Sans"/>
          <w:sz w:val="22"/>
          <w:szCs w:val="22"/>
        </w:rPr>
        <w:t>,</w:t>
      </w:r>
      <w:r w:rsidR="007E06F1">
        <w:rPr>
          <w:rStyle w:val="EndnoteReference"/>
          <w:rFonts w:cs="Open Sans"/>
          <w:szCs w:val="22"/>
        </w:rPr>
        <w:endnoteReference w:id="120"/>
      </w:r>
      <w:r w:rsidR="69694251" w:rsidRPr="09BE2B0E">
        <w:rPr>
          <w:rFonts w:cs="Open Sans"/>
          <w:sz w:val="22"/>
          <w:szCs w:val="22"/>
        </w:rPr>
        <w:t xml:space="preserve"> and</w:t>
      </w:r>
      <w:r w:rsidR="3CD51A61" w:rsidRPr="09BE2B0E">
        <w:rPr>
          <w:rFonts w:cs="Open Sans"/>
          <w:sz w:val="22"/>
          <w:szCs w:val="22"/>
        </w:rPr>
        <w:t xml:space="preserve"> </w:t>
      </w:r>
      <w:r w:rsidR="7E9E15E2" w:rsidRPr="09BE2B0E">
        <w:rPr>
          <w:rFonts w:cs="Open Sans"/>
          <w:sz w:val="22"/>
          <w:szCs w:val="22"/>
        </w:rPr>
        <w:t xml:space="preserve">with </w:t>
      </w:r>
      <w:r w:rsidR="541F3BCF" w:rsidRPr="09BE2B0E">
        <w:rPr>
          <w:rFonts w:cs="Open Sans"/>
          <w:sz w:val="22"/>
          <w:szCs w:val="22"/>
        </w:rPr>
        <w:t>domestic discrimination law</w:t>
      </w:r>
      <w:r w:rsidR="7A093DCE" w:rsidRPr="09BE2B0E">
        <w:rPr>
          <w:rFonts w:cs="Open Sans"/>
          <w:sz w:val="22"/>
          <w:szCs w:val="22"/>
        </w:rPr>
        <w:t>s</w:t>
      </w:r>
      <w:r w:rsidR="69694251" w:rsidRPr="09BE2B0E">
        <w:rPr>
          <w:rFonts w:cs="Open Sans"/>
          <w:sz w:val="22"/>
          <w:szCs w:val="22"/>
        </w:rPr>
        <w:t>.</w:t>
      </w:r>
      <w:r w:rsidR="005E37D6">
        <w:rPr>
          <w:rStyle w:val="EndnoteReference"/>
          <w:rFonts w:cs="Open Sans"/>
          <w:szCs w:val="22"/>
        </w:rPr>
        <w:endnoteReference w:id="121"/>
      </w:r>
      <w:r w:rsidR="69694251" w:rsidRPr="09BE2B0E">
        <w:rPr>
          <w:rFonts w:cs="Open Sans"/>
          <w:sz w:val="22"/>
          <w:szCs w:val="22"/>
        </w:rPr>
        <w:t xml:space="preserve"> </w:t>
      </w:r>
    </w:p>
    <w:p w14:paraId="664727CC" w14:textId="06FF53F9" w:rsidR="008F2AFF" w:rsidRPr="002D46C0" w:rsidRDefault="1479EE1F" w:rsidP="00200702">
      <w:pPr>
        <w:pStyle w:val="SubmissionNormal"/>
        <w:rPr>
          <w:rFonts w:cs="Open Sans"/>
          <w:sz w:val="22"/>
          <w:szCs w:val="22"/>
        </w:rPr>
      </w:pPr>
      <w:r w:rsidRPr="002D46C0">
        <w:rPr>
          <w:rFonts w:cs="Open Sans"/>
          <w:sz w:val="22"/>
          <w:szCs w:val="22"/>
        </w:rPr>
        <w:t xml:space="preserve">The Commission is also concerned about increasing use of new </w:t>
      </w:r>
      <w:r w:rsidR="59D21900" w:rsidRPr="002D46C0">
        <w:rPr>
          <w:rFonts w:cs="Open Sans"/>
          <w:sz w:val="22"/>
          <w:szCs w:val="22"/>
        </w:rPr>
        <w:t xml:space="preserve">and emerging </w:t>
      </w:r>
      <w:r w:rsidRPr="002D46C0">
        <w:rPr>
          <w:rFonts w:cs="Open Sans"/>
          <w:sz w:val="22"/>
          <w:szCs w:val="22"/>
        </w:rPr>
        <w:t xml:space="preserve">technologies such as artificial intelligence in a manner that impacts upon </w:t>
      </w:r>
      <w:r w:rsidR="3D446BA6">
        <w:rPr>
          <w:rFonts w:cs="Open Sans"/>
          <w:sz w:val="22"/>
          <w:szCs w:val="22"/>
        </w:rPr>
        <w:t>ESC</w:t>
      </w:r>
      <w:r w:rsidRPr="002D46C0">
        <w:rPr>
          <w:rFonts w:cs="Open Sans"/>
          <w:sz w:val="22"/>
          <w:szCs w:val="22"/>
        </w:rPr>
        <w:t xml:space="preserve"> rights. The Commission’s </w:t>
      </w:r>
      <w:r w:rsidRPr="09BE2B0E">
        <w:rPr>
          <w:rFonts w:cs="Open Sans"/>
          <w:i/>
          <w:iCs/>
          <w:sz w:val="22"/>
          <w:szCs w:val="22"/>
        </w:rPr>
        <w:t>Human Rights and Technology</w:t>
      </w:r>
      <w:r w:rsidRPr="002D46C0">
        <w:rPr>
          <w:rFonts w:cs="Open Sans"/>
          <w:sz w:val="22"/>
          <w:szCs w:val="22"/>
        </w:rPr>
        <w:t xml:space="preserve"> report makes recommendations to embed human rights considerations and safeguards into the development and use of technology.</w:t>
      </w:r>
      <w:r w:rsidR="008F2AFF" w:rsidRPr="01816EFD">
        <w:rPr>
          <w:rStyle w:val="EndnoteReference"/>
          <w:rFonts w:cs="Open Sans"/>
        </w:rPr>
        <w:endnoteReference w:id="122"/>
      </w:r>
    </w:p>
    <w:p w14:paraId="1236F7B2" w14:textId="7AC36CE8" w:rsidR="008F2AFF" w:rsidRDefault="44AB722C" w:rsidP="007F298C">
      <w:pPr>
        <w:pStyle w:val="SubmissionNormal"/>
        <w:numPr>
          <w:ilvl w:val="0"/>
          <w:numId w:val="40"/>
        </w:numPr>
        <w:spacing w:before="0" w:after="0"/>
        <w:ind w:left="714" w:hanging="357"/>
        <w:rPr>
          <w:rFonts w:cs="Open Sans"/>
          <w:b/>
          <w:bCs/>
          <w:sz w:val="22"/>
          <w:szCs w:val="22"/>
        </w:rPr>
      </w:pPr>
      <w:r w:rsidRPr="3A10EE8F">
        <w:rPr>
          <w:rFonts w:cs="Open Sans"/>
          <w:b/>
          <w:bCs/>
          <w:sz w:val="22"/>
          <w:szCs w:val="22"/>
        </w:rPr>
        <w:t xml:space="preserve">Information about steps taken to ensure </w:t>
      </w:r>
      <w:r w:rsidR="7EAA30C2" w:rsidRPr="55585758">
        <w:rPr>
          <w:rFonts w:cs="Open Sans"/>
          <w:b/>
          <w:bCs/>
          <w:sz w:val="22"/>
          <w:szCs w:val="22"/>
        </w:rPr>
        <w:t xml:space="preserve">the </w:t>
      </w:r>
      <w:r w:rsidR="7EAA30C2" w:rsidRPr="0637BC6C">
        <w:rPr>
          <w:rFonts w:cs="Open Sans"/>
          <w:b/>
          <w:bCs/>
          <w:sz w:val="22"/>
          <w:szCs w:val="22"/>
        </w:rPr>
        <w:t xml:space="preserve">substantive implementation of UNGPs in Australia by </w:t>
      </w:r>
      <w:r w:rsidR="2FA5112E" w:rsidRPr="638BED6A">
        <w:rPr>
          <w:rFonts w:cs="Open Sans"/>
          <w:b/>
          <w:bCs/>
          <w:sz w:val="22"/>
          <w:szCs w:val="22"/>
        </w:rPr>
        <w:t xml:space="preserve">both </w:t>
      </w:r>
      <w:r w:rsidR="7EAA30C2" w:rsidRPr="0637BC6C">
        <w:rPr>
          <w:rFonts w:cs="Open Sans"/>
          <w:b/>
          <w:bCs/>
          <w:sz w:val="22"/>
          <w:szCs w:val="22"/>
        </w:rPr>
        <w:t>business and government</w:t>
      </w:r>
    </w:p>
    <w:p w14:paraId="36BFD36E" w14:textId="69D061CD" w:rsidR="00050E8F" w:rsidRPr="002D46C0" w:rsidRDefault="00050E8F" w:rsidP="007F298C">
      <w:pPr>
        <w:pStyle w:val="SubmissionNormal"/>
        <w:numPr>
          <w:ilvl w:val="0"/>
          <w:numId w:val="40"/>
        </w:numPr>
        <w:spacing w:before="0" w:after="0"/>
        <w:ind w:left="714" w:hanging="357"/>
        <w:rPr>
          <w:rFonts w:cs="Open Sans"/>
          <w:b/>
          <w:bCs/>
          <w:sz w:val="22"/>
          <w:szCs w:val="22"/>
        </w:rPr>
      </w:pPr>
      <w:r>
        <w:rPr>
          <w:rFonts w:cs="Open Sans"/>
          <w:b/>
          <w:bCs/>
          <w:sz w:val="22"/>
          <w:szCs w:val="22"/>
        </w:rPr>
        <w:t xml:space="preserve">Information on </w:t>
      </w:r>
      <w:r w:rsidR="00FB6081">
        <w:rPr>
          <w:rFonts w:cs="Open Sans"/>
          <w:b/>
          <w:bCs/>
          <w:sz w:val="22"/>
          <w:szCs w:val="22"/>
        </w:rPr>
        <w:t>ensuring</w:t>
      </w:r>
      <w:r>
        <w:rPr>
          <w:rFonts w:cs="Open Sans"/>
          <w:b/>
          <w:bCs/>
          <w:sz w:val="22"/>
          <w:szCs w:val="22"/>
        </w:rPr>
        <w:t xml:space="preserve"> sporting bodies </w:t>
      </w:r>
      <w:r w:rsidR="00FB6081">
        <w:rPr>
          <w:rFonts w:cs="Open Sans"/>
          <w:b/>
          <w:bCs/>
          <w:sz w:val="22"/>
          <w:szCs w:val="22"/>
        </w:rPr>
        <w:t xml:space="preserve">comply </w:t>
      </w:r>
      <w:r>
        <w:rPr>
          <w:rFonts w:cs="Open Sans"/>
          <w:b/>
          <w:bCs/>
          <w:sz w:val="22"/>
          <w:szCs w:val="22"/>
        </w:rPr>
        <w:t xml:space="preserve">with human rights standards </w:t>
      </w:r>
    </w:p>
    <w:p w14:paraId="72642338" w14:textId="7D084C9C" w:rsidR="008F2AFF" w:rsidRPr="002D46C0" w:rsidRDefault="008F2AFF" w:rsidP="007F298C">
      <w:pPr>
        <w:pStyle w:val="SubmissionNormal"/>
        <w:numPr>
          <w:ilvl w:val="0"/>
          <w:numId w:val="40"/>
        </w:numPr>
        <w:spacing w:before="0" w:after="0"/>
        <w:ind w:left="714" w:hanging="357"/>
        <w:rPr>
          <w:rFonts w:cs="Open Sans"/>
          <w:b/>
          <w:bCs/>
          <w:sz w:val="22"/>
          <w:szCs w:val="22"/>
        </w:rPr>
      </w:pPr>
      <w:r w:rsidRPr="002D46C0">
        <w:rPr>
          <w:rFonts w:cs="Open Sans"/>
          <w:b/>
          <w:bCs/>
          <w:sz w:val="22"/>
          <w:szCs w:val="22"/>
        </w:rPr>
        <w:t xml:space="preserve">Information on regulating the development and use of new </w:t>
      </w:r>
      <w:r w:rsidR="14FD4EFE" w:rsidRPr="3893D536">
        <w:rPr>
          <w:rFonts w:cs="Open Sans"/>
          <w:b/>
          <w:bCs/>
          <w:sz w:val="22"/>
          <w:szCs w:val="22"/>
        </w:rPr>
        <w:t>and emerging</w:t>
      </w:r>
      <w:r w:rsidRPr="3893D536">
        <w:rPr>
          <w:rFonts w:cs="Open Sans"/>
          <w:b/>
          <w:bCs/>
          <w:sz w:val="22"/>
          <w:szCs w:val="22"/>
        </w:rPr>
        <w:t xml:space="preserve"> </w:t>
      </w:r>
      <w:r w:rsidRPr="002D46C0">
        <w:rPr>
          <w:rFonts w:cs="Open Sans"/>
          <w:b/>
          <w:bCs/>
          <w:sz w:val="22"/>
          <w:szCs w:val="22"/>
        </w:rPr>
        <w:t xml:space="preserve">technologies through a human-rights framework </w:t>
      </w:r>
    </w:p>
    <w:p w14:paraId="458E0A5B" w14:textId="77777777" w:rsidR="008F2AFF" w:rsidRPr="002D46C0" w:rsidRDefault="008F2AFF" w:rsidP="000A25EF">
      <w:pPr>
        <w:pStyle w:val="Heading1"/>
        <w:numPr>
          <w:ilvl w:val="0"/>
          <w:numId w:val="0"/>
        </w:numPr>
        <w:ind w:left="720" w:hanging="720"/>
        <w:rPr>
          <w:rFonts w:cs="Open Sans"/>
          <w:i/>
          <w:iCs/>
          <w:sz w:val="24"/>
          <w:szCs w:val="24"/>
        </w:rPr>
      </w:pPr>
      <w:r w:rsidRPr="002D46C0">
        <w:rPr>
          <w:rFonts w:cs="Open Sans"/>
          <w:i/>
          <w:iCs/>
          <w:sz w:val="24"/>
          <w:szCs w:val="24"/>
        </w:rPr>
        <w:t xml:space="preserve">Slavery and trafficking </w:t>
      </w:r>
    </w:p>
    <w:p w14:paraId="75302783" w14:textId="4F28E27C" w:rsidR="008F2AFF" w:rsidRPr="002D46C0" w:rsidRDefault="1479EE1F" w:rsidP="00C3029C">
      <w:pPr>
        <w:pStyle w:val="SubmissionNormal"/>
        <w:rPr>
          <w:rFonts w:cs="Open Sans"/>
          <w:b/>
          <w:bCs/>
          <w:sz w:val="22"/>
          <w:szCs w:val="22"/>
        </w:rPr>
      </w:pPr>
      <w:r w:rsidRPr="09BE2B0E">
        <w:rPr>
          <w:rFonts w:cs="Open Sans"/>
          <w:sz w:val="22"/>
          <w:szCs w:val="22"/>
        </w:rPr>
        <w:t xml:space="preserve">The Commission commends Australia for the </w:t>
      </w:r>
      <w:r w:rsidRPr="09BE2B0E">
        <w:rPr>
          <w:rFonts w:cs="Open Sans"/>
          <w:i/>
          <w:iCs/>
          <w:sz w:val="22"/>
          <w:szCs w:val="22"/>
        </w:rPr>
        <w:t>Modern Slavery Act 2018</w:t>
      </w:r>
      <w:r w:rsidRPr="09BE2B0E">
        <w:rPr>
          <w:rFonts w:cs="Open Sans"/>
          <w:sz w:val="22"/>
          <w:szCs w:val="22"/>
        </w:rPr>
        <w:t xml:space="preserve"> (Cth), which includes the Government as a reporting entity. </w:t>
      </w:r>
      <w:r w:rsidR="0C9CCC36" w:rsidRPr="41283D81">
        <w:rPr>
          <w:rFonts w:cs="Open Sans"/>
          <w:sz w:val="22"/>
          <w:szCs w:val="22"/>
        </w:rPr>
        <w:t xml:space="preserve">The </w:t>
      </w:r>
      <w:r w:rsidR="0C9CCC36" w:rsidRPr="07CC6990">
        <w:rPr>
          <w:rFonts w:cs="Open Sans"/>
          <w:sz w:val="22"/>
          <w:szCs w:val="22"/>
        </w:rPr>
        <w:t>upcoming three-year review of the Act</w:t>
      </w:r>
      <w:r w:rsidRPr="09BE2B0E">
        <w:rPr>
          <w:rFonts w:cs="Open Sans"/>
          <w:sz w:val="22"/>
          <w:szCs w:val="22"/>
        </w:rPr>
        <w:t xml:space="preserve"> </w:t>
      </w:r>
      <w:r w:rsidR="00133C5B">
        <w:rPr>
          <w:rStyle w:val="EndnoteReference"/>
          <w:rFonts w:cs="Open Sans"/>
          <w:szCs w:val="22"/>
        </w:rPr>
        <w:endnoteReference w:id="123"/>
      </w:r>
      <w:r w:rsidR="00133C5B">
        <w:rPr>
          <w:rFonts w:cs="Open Sans"/>
          <w:sz w:val="22"/>
          <w:szCs w:val="22"/>
        </w:rPr>
        <w:t xml:space="preserve"> </w:t>
      </w:r>
      <w:r w:rsidR="3F4DBDC5" w:rsidRPr="7C2DC2AB">
        <w:rPr>
          <w:rFonts w:cs="Open Sans"/>
          <w:sz w:val="22"/>
          <w:szCs w:val="22"/>
        </w:rPr>
        <w:t>provides a welcome opportunity to strengthen Australia’s regulatory framework, noting that</w:t>
      </w:r>
      <w:r w:rsidRPr="0F456E3B">
        <w:rPr>
          <w:rFonts w:cs="Open Sans"/>
          <w:sz w:val="22"/>
          <w:szCs w:val="22"/>
        </w:rPr>
        <w:t xml:space="preserve"> </w:t>
      </w:r>
      <w:r w:rsidRPr="09BE2B0E">
        <w:rPr>
          <w:rFonts w:cs="Open Sans"/>
          <w:sz w:val="22"/>
          <w:szCs w:val="22"/>
        </w:rPr>
        <w:t>there are no financial penalties for non-compliance with reporting requirements</w:t>
      </w:r>
      <w:r w:rsidR="09C110CA" w:rsidRPr="19F57C30">
        <w:rPr>
          <w:rFonts w:cs="Open Sans"/>
          <w:sz w:val="22"/>
          <w:szCs w:val="22"/>
        </w:rPr>
        <w:t>,</w:t>
      </w:r>
      <w:r w:rsidR="00133C5B" w:rsidRPr="3E497008">
        <w:rPr>
          <w:rFonts w:cs="Open Sans"/>
        </w:rPr>
        <w:t xml:space="preserve"> </w:t>
      </w:r>
      <w:r w:rsidRPr="09BE2B0E">
        <w:rPr>
          <w:rFonts w:cs="Open Sans"/>
          <w:sz w:val="22"/>
          <w:szCs w:val="22"/>
        </w:rPr>
        <w:t>no federal Anti-Slavery Commissioner with oversight of modern slavery statements</w:t>
      </w:r>
      <w:r w:rsidR="7254C5C5" w:rsidRPr="19F57C30">
        <w:rPr>
          <w:rFonts w:cs="Open Sans"/>
          <w:sz w:val="22"/>
          <w:szCs w:val="22"/>
        </w:rPr>
        <w:t xml:space="preserve">, and no national compensation scheme for victims of slavery and human </w:t>
      </w:r>
      <w:r w:rsidR="7254C5C5" w:rsidRPr="6DE2005B">
        <w:rPr>
          <w:rFonts w:cs="Open Sans"/>
          <w:sz w:val="22"/>
          <w:szCs w:val="22"/>
        </w:rPr>
        <w:t>trafficking</w:t>
      </w:r>
      <w:r w:rsidRPr="09BE2B0E">
        <w:rPr>
          <w:rFonts w:cs="Open Sans"/>
          <w:sz w:val="22"/>
          <w:szCs w:val="22"/>
        </w:rPr>
        <w:t>.</w:t>
      </w:r>
    </w:p>
    <w:p w14:paraId="5368C05A" w14:textId="22463C98" w:rsidR="00C3029C" w:rsidRPr="002D46C0" w:rsidRDefault="1479EE1F" w:rsidP="00C3029C">
      <w:pPr>
        <w:pStyle w:val="SubmissionNormal"/>
        <w:rPr>
          <w:rFonts w:cs="Open Sans"/>
          <w:b/>
          <w:bCs/>
          <w:sz w:val="22"/>
          <w:szCs w:val="22"/>
        </w:rPr>
      </w:pPr>
      <w:r w:rsidRPr="002D46C0">
        <w:rPr>
          <w:rFonts w:cs="Open Sans"/>
          <w:sz w:val="22"/>
          <w:szCs w:val="22"/>
        </w:rPr>
        <w:t>The Commission welcomes the</w:t>
      </w:r>
      <w:r w:rsidRPr="002D46C0">
        <w:rPr>
          <w:rFonts w:cs="Open Sans"/>
          <w:b/>
          <w:bCs/>
          <w:sz w:val="22"/>
          <w:szCs w:val="22"/>
        </w:rPr>
        <w:t xml:space="preserve"> </w:t>
      </w:r>
      <w:r w:rsidRPr="002D46C0">
        <w:rPr>
          <w:rFonts w:cs="Open Sans"/>
          <w:sz w:val="22"/>
          <w:szCs w:val="22"/>
        </w:rPr>
        <w:t>National Action Plan to Combat Modern Slavery 2020–202</w:t>
      </w:r>
      <w:r>
        <w:rPr>
          <w:rFonts w:cs="Open Sans"/>
          <w:sz w:val="22"/>
          <w:szCs w:val="22"/>
        </w:rPr>
        <w:t>5</w:t>
      </w:r>
      <w:r w:rsidRPr="002D46C0">
        <w:rPr>
          <w:rFonts w:cs="Open Sans"/>
          <w:sz w:val="22"/>
          <w:szCs w:val="22"/>
        </w:rPr>
        <w:t>.</w:t>
      </w:r>
      <w:r w:rsidR="008F2AFF" w:rsidRPr="002D46C0">
        <w:rPr>
          <w:rStyle w:val="EndnoteReference"/>
          <w:rFonts w:cs="Open Sans"/>
          <w:sz w:val="22"/>
          <w:szCs w:val="22"/>
        </w:rPr>
        <w:endnoteReference w:id="124"/>
      </w:r>
      <w:r w:rsidRPr="002D46C0">
        <w:rPr>
          <w:rFonts w:cs="Open Sans"/>
          <w:b/>
          <w:bCs/>
          <w:sz w:val="22"/>
          <w:szCs w:val="22"/>
        </w:rPr>
        <w:t xml:space="preserve"> </w:t>
      </w:r>
      <w:r w:rsidR="4C29F777" w:rsidRPr="006307E0">
        <w:rPr>
          <w:rFonts w:cs="Open Sans"/>
          <w:sz w:val="22"/>
          <w:szCs w:val="22"/>
        </w:rPr>
        <w:t>In</w:t>
      </w:r>
      <w:r w:rsidR="4C29F777" w:rsidRPr="70EC0C23">
        <w:rPr>
          <w:rFonts w:cs="Open Sans"/>
          <w:sz w:val="22"/>
          <w:szCs w:val="22"/>
        </w:rPr>
        <w:t xml:space="preserve"> particular, the Commission welcomes the commitment to afford victims and </w:t>
      </w:r>
      <w:r w:rsidR="4C29F777" w:rsidRPr="42C34399">
        <w:rPr>
          <w:rFonts w:cs="Open Sans"/>
          <w:sz w:val="22"/>
          <w:szCs w:val="22"/>
        </w:rPr>
        <w:t xml:space="preserve">survivors of modern slavery access to effective remedies, but notes this would be strengthened by expanding the provision of support and pathways to remedy which </w:t>
      </w:r>
      <w:r w:rsidR="4C29F777" w:rsidRPr="543FB63F">
        <w:rPr>
          <w:rFonts w:cs="Open Sans"/>
          <w:sz w:val="22"/>
          <w:szCs w:val="22"/>
        </w:rPr>
        <w:t xml:space="preserve">are not contingent on either engagement with a policing agency or participation in criminal </w:t>
      </w:r>
      <w:r w:rsidR="4C29F777" w:rsidRPr="676C3312">
        <w:rPr>
          <w:rFonts w:cs="Open Sans"/>
          <w:sz w:val="22"/>
          <w:szCs w:val="22"/>
        </w:rPr>
        <w:t>prosec</w:t>
      </w:r>
      <w:r w:rsidR="2A2D9B21" w:rsidRPr="676C3312">
        <w:rPr>
          <w:rFonts w:cs="Open Sans"/>
          <w:sz w:val="22"/>
          <w:szCs w:val="22"/>
        </w:rPr>
        <w:t>u</w:t>
      </w:r>
      <w:r w:rsidR="4C29F777" w:rsidRPr="676C3312">
        <w:rPr>
          <w:rFonts w:cs="Open Sans"/>
          <w:sz w:val="22"/>
          <w:szCs w:val="22"/>
        </w:rPr>
        <w:t>tions.</w:t>
      </w:r>
      <w:bookmarkStart w:id="19" w:name="_Hlk29826765"/>
    </w:p>
    <w:p w14:paraId="2B878A71" w14:textId="34808A11" w:rsidR="4C29F777" w:rsidRDefault="4C29F777" w:rsidP="1CEAB6B4">
      <w:pPr>
        <w:pStyle w:val="SubmissionNormal"/>
        <w:numPr>
          <w:ilvl w:val="0"/>
          <w:numId w:val="43"/>
        </w:numPr>
        <w:rPr>
          <w:b/>
          <w:bCs/>
          <w:sz w:val="22"/>
          <w:szCs w:val="22"/>
        </w:rPr>
      </w:pPr>
      <w:r w:rsidRPr="2A330ED1">
        <w:rPr>
          <w:rFonts w:cs="Open Sans"/>
          <w:b/>
          <w:bCs/>
          <w:sz w:val="22"/>
          <w:szCs w:val="22"/>
        </w:rPr>
        <w:t xml:space="preserve">Information about the three-year </w:t>
      </w:r>
      <w:r w:rsidRPr="2F18071F">
        <w:rPr>
          <w:rFonts w:cs="Open Sans"/>
          <w:b/>
          <w:bCs/>
          <w:sz w:val="22"/>
          <w:szCs w:val="22"/>
        </w:rPr>
        <w:t>revi</w:t>
      </w:r>
      <w:r w:rsidR="3F90AC74" w:rsidRPr="2F18071F">
        <w:rPr>
          <w:rFonts w:cs="Open Sans"/>
          <w:b/>
          <w:bCs/>
          <w:sz w:val="22"/>
          <w:szCs w:val="22"/>
        </w:rPr>
        <w:t>e</w:t>
      </w:r>
      <w:r w:rsidRPr="2F18071F">
        <w:rPr>
          <w:rFonts w:cs="Open Sans"/>
          <w:b/>
          <w:bCs/>
          <w:sz w:val="22"/>
          <w:szCs w:val="22"/>
        </w:rPr>
        <w:t>w</w:t>
      </w:r>
      <w:r w:rsidRPr="2A330ED1">
        <w:rPr>
          <w:rFonts w:cs="Open Sans"/>
          <w:b/>
          <w:bCs/>
          <w:sz w:val="22"/>
          <w:szCs w:val="22"/>
        </w:rPr>
        <w:t xml:space="preserve"> of the </w:t>
      </w:r>
      <w:r w:rsidRPr="2A330ED1">
        <w:rPr>
          <w:rFonts w:cs="Open Sans"/>
          <w:b/>
          <w:bCs/>
          <w:i/>
          <w:iCs/>
          <w:sz w:val="22"/>
          <w:szCs w:val="22"/>
        </w:rPr>
        <w:t xml:space="preserve">Modern Slavery Act 2018 </w:t>
      </w:r>
      <w:r w:rsidRPr="2A330ED1">
        <w:rPr>
          <w:rFonts w:cs="Open Sans"/>
          <w:b/>
          <w:bCs/>
          <w:sz w:val="22"/>
          <w:szCs w:val="22"/>
        </w:rPr>
        <w:t>(Cth)</w:t>
      </w:r>
    </w:p>
    <w:p w14:paraId="59C2D73B" w14:textId="0C02CB10" w:rsidR="00B37C27" w:rsidRPr="002D46C0" w:rsidRDefault="00C3029C" w:rsidP="00176D30">
      <w:pPr>
        <w:pStyle w:val="SubmissionNormal"/>
        <w:numPr>
          <w:ilvl w:val="0"/>
          <w:numId w:val="43"/>
        </w:numPr>
        <w:rPr>
          <w:rFonts w:cs="Open Sans"/>
          <w:b/>
          <w:bCs/>
          <w:sz w:val="22"/>
          <w:szCs w:val="22"/>
        </w:rPr>
      </w:pPr>
      <w:r w:rsidRPr="002D46C0">
        <w:rPr>
          <w:rFonts w:cs="Open Sans"/>
          <w:b/>
          <w:bCs/>
          <w:sz w:val="22"/>
          <w:szCs w:val="22"/>
        </w:rPr>
        <w:t>Information about the implementation of the National Action Plan to Combat Modern Slavery.</w:t>
      </w:r>
    </w:p>
    <w:bookmarkEnd w:id="19"/>
    <w:p w14:paraId="2F3D6CA5" w14:textId="4663CE43" w:rsidR="00BF253D" w:rsidRDefault="00A8789C" w:rsidP="00FD75E1">
      <w:pPr>
        <w:keepLines w:val="0"/>
        <w:spacing w:before="0" w:after="160" w:line="259" w:lineRule="auto"/>
        <w:rPr>
          <w:b/>
          <w:bCs/>
        </w:rPr>
      </w:pPr>
      <w:r w:rsidRPr="002D46C0">
        <w:rPr>
          <w:rFonts w:cs="Open Sans"/>
          <w:b/>
          <w:bCs/>
        </w:rPr>
        <w:br w:type="page"/>
      </w:r>
      <w:r w:rsidR="008F2058">
        <w:rPr>
          <w:b/>
          <w:bCs/>
        </w:rPr>
        <w:t>APPENDIX</w:t>
      </w:r>
      <w:r w:rsidR="00192F95">
        <w:rPr>
          <w:b/>
          <w:bCs/>
        </w:rPr>
        <w:t xml:space="preserve"> </w:t>
      </w:r>
    </w:p>
    <w:p w14:paraId="472B67A3" w14:textId="15426585" w:rsidR="008F2058" w:rsidRPr="00FD75E1" w:rsidRDefault="008F2058" w:rsidP="00FD75E1">
      <w:pPr>
        <w:keepLines w:val="0"/>
        <w:spacing w:before="0" w:after="160" w:line="259" w:lineRule="auto"/>
        <w:rPr>
          <w:rFonts w:eastAsia="Times New Roman" w:cs="Open Sans"/>
          <w:b/>
          <w:bCs/>
        </w:rPr>
      </w:pPr>
      <w:r>
        <w:rPr>
          <w:b/>
          <w:bCs/>
        </w:rPr>
        <w:t xml:space="preserve">ENDNOTES </w:t>
      </w:r>
    </w:p>
    <w:sectPr w:rsidR="008F2058" w:rsidRPr="00FD75E1" w:rsidSect="006D436E">
      <w:footerReference w:type="default" r:id="rId15"/>
      <w:endnotePr>
        <w:numFmt w:val="decimal"/>
      </w:endnotePr>
      <w:pgSz w:w="11906" w:h="16838" w:code="9"/>
      <w:pgMar w:top="1134" w:right="851" w:bottom="1134" w:left="851" w:header="709"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F1EBD" w14:textId="77777777" w:rsidR="00291951" w:rsidRDefault="00291951" w:rsidP="003002C6">
      <w:pPr>
        <w:spacing w:before="0" w:after="0"/>
      </w:pPr>
      <w:r>
        <w:separator/>
      </w:r>
    </w:p>
  </w:endnote>
  <w:endnote w:type="continuationSeparator" w:id="0">
    <w:p w14:paraId="2C52937C" w14:textId="77777777" w:rsidR="00291951" w:rsidRDefault="00291951" w:rsidP="003002C6">
      <w:pPr>
        <w:spacing w:before="0" w:after="0"/>
      </w:pPr>
      <w:r>
        <w:continuationSeparator/>
      </w:r>
    </w:p>
  </w:endnote>
  <w:endnote w:type="continuationNotice" w:id="1">
    <w:p w14:paraId="0EB20981" w14:textId="77777777" w:rsidR="00291951" w:rsidRDefault="00291951">
      <w:pPr>
        <w:spacing w:before="0" w:after="0"/>
      </w:pPr>
    </w:p>
  </w:endnote>
  <w:endnote w:id="2">
    <w:p w14:paraId="29877C65" w14:textId="37F4F243"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‘Principles Relating to the Status and Functions of National Institutions for the Promotion and Protection of Human Rights’ in General Assembly Resolution 48/134, 1993.</w:t>
      </w:r>
    </w:p>
  </w:endnote>
  <w:endnote w:id="3">
    <w:p w14:paraId="49E5F935" w14:textId="7FA39924" w:rsidR="008F2AFF" w:rsidRPr="008F2AFF" w:rsidRDefault="008F2AFF" w:rsidP="005009E0">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Human Rights Council, </w:t>
      </w:r>
      <w:r w:rsidRPr="008F2AFF">
        <w:rPr>
          <w:rFonts w:cs="Open Sans"/>
          <w:i/>
          <w:iCs/>
          <w:sz w:val="17"/>
          <w:szCs w:val="17"/>
        </w:rPr>
        <w:t xml:space="preserve">Report of the Working Group on the Universal Periodic Review: Australia, </w:t>
      </w:r>
      <w:r w:rsidRPr="008F2AFF">
        <w:rPr>
          <w:rFonts w:cs="Open Sans"/>
          <w:sz w:val="17"/>
          <w:szCs w:val="17"/>
        </w:rPr>
        <w:t>47</w:t>
      </w:r>
      <w:r w:rsidRPr="008F2AFF">
        <w:rPr>
          <w:rFonts w:cs="Open Sans"/>
          <w:sz w:val="17"/>
          <w:szCs w:val="17"/>
          <w:vertAlign w:val="superscript"/>
        </w:rPr>
        <w:t>th</w:t>
      </w:r>
      <w:r w:rsidRPr="008F2AFF">
        <w:rPr>
          <w:rFonts w:cs="Open Sans"/>
          <w:sz w:val="17"/>
          <w:szCs w:val="17"/>
        </w:rPr>
        <w:t xml:space="preserve"> sess, UN Doc A/HRC/47/8 (24 March 2021), Recommendations 146.23 – 146.30</w:t>
      </w:r>
    </w:p>
  </w:endnote>
  <w:endnote w:id="4">
    <w:p w14:paraId="3AB7D9A9" w14:textId="15F92C3A"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United Nations Committee on Economic, Social and Cultural Rights</w:t>
      </w:r>
      <w:r w:rsidRPr="008F2AFF">
        <w:rPr>
          <w:rFonts w:cs="Open Sans"/>
          <w:i/>
          <w:iCs/>
          <w:sz w:val="17"/>
          <w:szCs w:val="17"/>
        </w:rPr>
        <w:t>, Concluding observations on fifth periodic report on Australia</w:t>
      </w:r>
      <w:r w:rsidRPr="008F2AFF">
        <w:rPr>
          <w:rFonts w:cs="Open Sans"/>
          <w:sz w:val="17"/>
          <w:szCs w:val="17"/>
        </w:rPr>
        <w:t>, 61</w:t>
      </w:r>
      <w:r w:rsidRPr="008F2AFF">
        <w:rPr>
          <w:rFonts w:cs="Open Sans"/>
          <w:sz w:val="17"/>
          <w:szCs w:val="17"/>
          <w:vertAlign w:val="superscript"/>
        </w:rPr>
        <w:t>st</w:t>
      </w:r>
      <w:r w:rsidRPr="008F2AFF">
        <w:rPr>
          <w:rFonts w:cs="Open Sans"/>
          <w:sz w:val="17"/>
          <w:szCs w:val="17"/>
        </w:rPr>
        <w:t xml:space="preserve"> sess, UN Doc E/C.12/Aus/CO/5 (11 July 2017), [6]. </w:t>
      </w:r>
    </w:p>
  </w:endnote>
  <w:endnote w:id="5">
    <w:p w14:paraId="05557C84" w14:textId="11BA9A07" w:rsidR="25A9F1B5" w:rsidRPr="00C10DB5" w:rsidRDefault="25A9F1B5" w:rsidP="00C10DB5">
      <w:pPr>
        <w:pStyle w:val="SubmissionNormal"/>
        <w:numPr>
          <w:ilvl w:val="0"/>
          <w:numId w:val="0"/>
        </w:numPr>
        <w:spacing w:before="0" w:after="0"/>
        <w:rPr>
          <w:sz w:val="17"/>
          <w:szCs w:val="17"/>
          <w:lang w:val="en-US" w:eastAsia="en-US"/>
        </w:rPr>
      </w:pPr>
      <w:r w:rsidRPr="00C10DB5">
        <w:rPr>
          <w:rStyle w:val="EndnoteReference"/>
          <w:rFonts w:cs="Open Sans"/>
          <w:sz w:val="17"/>
          <w:szCs w:val="17"/>
        </w:rPr>
        <w:endnoteRef/>
      </w:r>
      <w:r w:rsidRPr="00C10DB5">
        <w:rPr>
          <w:rFonts w:cs="Open Sans"/>
          <w:sz w:val="17"/>
          <w:szCs w:val="17"/>
        </w:rPr>
        <w:t xml:space="preserve"> Australian Human Rights Commission, </w:t>
      </w:r>
      <w:r w:rsidRPr="00C10DB5">
        <w:rPr>
          <w:rFonts w:cs="Open Sans"/>
          <w:i/>
          <w:iCs/>
          <w:sz w:val="17"/>
          <w:szCs w:val="17"/>
        </w:rPr>
        <w:t xml:space="preserve">Free &amp; Equal: a reform agenda for federal discrimination laws </w:t>
      </w:r>
      <w:r w:rsidRPr="00C10DB5">
        <w:rPr>
          <w:rFonts w:cs="Open Sans"/>
          <w:sz w:val="17"/>
          <w:szCs w:val="17"/>
        </w:rPr>
        <w:t>(Position Paper, December 2021) &lt;https://humanrights.gov.au/our-work/rights-and-freedoms/publications/free-and-equal-reform-agenda-federal-discrimination-laws&gt;.</w:t>
      </w:r>
      <w:r w:rsidR="43AB74C1" w:rsidRPr="00C10DB5">
        <w:rPr>
          <w:rFonts w:cs="Open Sans"/>
          <w:sz w:val="17"/>
          <w:szCs w:val="17"/>
        </w:rPr>
        <w:t xml:space="preserve"> </w:t>
      </w:r>
      <w:r w:rsidR="43AB74C1" w:rsidRPr="00C10DB5">
        <w:rPr>
          <w:rFonts w:cs="Open Sans"/>
          <w:sz w:val="17"/>
          <w:szCs w:val="17"/>
          <w:lang w:val="en-NZ" w:eastAsia="en-US"/>
        </w:rPr>
        <w:t>The Commission has identified reforms for discrimination laws focused on building a preventative culture; modernising the regulatory framework; enhancing access to justice;</w:t>
      </w:r>
      <w:r w:rsidR="43AB74C1" w:rsidRPr="00C10DB5">
        <w:rPr>
          <w:rFonts w:cs="Open Sans"/>
          <w:sz w:val="17"/>
          <w:szCs w:val="17"/>
          <w:lang w:val="en-US" w:eastAsia="en-US"/>
        </w:rPr>
        <w:t xml:space="preserve"> and improving the practical operation of these laws.</w:t>
      </w:r>
    </w:p>
  </w:endnote>
  <w:endnote w:id="6">
    <w:p w14:paraId="35ECF633" w14:textId="52D4DF9C" w:rsidR="008F2AFF" w:rsidRPr="008F2AFF" w:rsidRDefault="008F2AFF" w:rsidP="0030020C">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The </w:t>
      </w:r>
      <w:r w:rsidRPr="008F2AFF">
        <w:rPr>
          <w:rFonts w:cs="Open Sans"/>
          <w:i/>
          <w:sz w:val="17"/>
          <w:szCs w:val="17"/>
        </w:rPr>
        <w:t>Human Rights (Parliamentary Scrutiny) Act 2011</w:t>
      </w:r>
      <w:r w:rsidRPr="008F2AFF">
        <w:rPr>
          <w:rFonts w:cs="Open Sans"/>
          <w:sz w:val="17"/>
          <w:szCs w:val="17"/>
        </w:rPr>
        <w:t xml:space="preserve"> (Cth) establishes the Parliamentary Joint Committee on Human Rights and requires the preparation of Statements of Compatibility with Human Rights with all bills and most legislative instruments introduced to Parliament for consideration. The Act defines human rights as the rights and freedoms recognised or declared by the International Convention on the Elimination of all Forms of Racial Discrimination; International Covenant on Civil and Political Rights; Convention on the Elimination of All Forms of Discrimination Against Women; Convention Against Torture and Other Cruel, Inhuman or Degrading Treatment or Punishment; Convention on the Rights of the Child and the Convention on the Rights of Persons with Disabilities. See further: Parliament of Australia, </w:t>
      </w:r>
      <w:r w:rsidRPr="008F2AFF">
        <w:rPr>
          <w:rFonts w:cs="Open Sans"/>
          <w:i/>
          <w:sz w:val="17"/>
          <w:szCs w:val="17"/>
        </w:rPr>
        <w:t>Parliamentary Joint Committee on Human Rights</w:t>
      </w:r>
      <w:r w:rsidRPr="008F2AFF">
        <w:rPr>
          <w:rFonts w:cs="Open Sans"/>
          <w:iCs/>
          <w:sz w:val="17"/>
          <w:szCs w:val="17"/>
        </w:rPr>
        <w:t>,</w:t>
      </w:r>
      <w:r w:rsidRPr="008F2AFF">
        <w:rPr>
          <w:rFonts w:cs="Open Sans"/>
          <w:sz w:val="17"/>
          <w:szCs w:val="17"/>
        </w:rPr>
        <w:t xml:space="preserve"> &lt;</w:t>
      </w:r>
      <w:hyperlink r:id="rId1" w:history="1">
        <w:r w:rsidRPr="008F2AFF">
          <w:rPr>
            <w:rStyle w:val="Hyperlink"/>
            <w:rFonts w:cs="Open Sans"/>
            <w:sz w:val="17"/>
            <w:szCs w:val="17"/>
          </w:rPr>
          <w:t>http://www.aph.gov.au/Parliamentary_Business/Committees/Joint/Human_Rights</w:t>
        </w:r>
      </w:hyperlink>
      <w:r w:rsidRPr="008F2AFF">
        <w:rPr>
          <w:rStyle w:val="Hyperlink"/>
          <w:rFonts w:cs="Open Sans"/>
          <w:sz w:val="17"/>
          <w:szCs w:val="17"/>
        </w:rPr>
        <w:t>&gt;</w:t>
      </w:r>
      <w:r w:rsidRPr="008F2AFF">
        <w:rPr>
          <w:rFonts w:cs="Open Sans"/>
          <w:sz w:val="17"/>
          <w:szCs w:val="17"/>
        </w:rPr>
        <w:t>.</w:t>
      </w:r>
    </w:p>
  </w:endnote>
  <w:endnote w:id="7">
    <w:p w14:paraId="2216E75D" w14:textId="21EC44E2" w:rsidR="008F2AFF" w:rsidRPr="008F2AFF" w:rsidRDefault="008F2AFF">
      <w:pPr>
        <w:pStyle w:val="EndnoteText"/>
        <w:rPr>
          <w:rFonts w:cs="Open Sans"/>
          <w:sz w:val="17"/>
          <w:szCs w:val="17"/>
        </w:rPr>
      </w:pPr>
      <w:r w:rsidRPr="008F2AFF">
        <w:rPr>
          <w:rStyle w:val="EndnoteReference"/>
          <w:rFonts w:cs="Open Sans"/>
          <w:sz w:val="17"/>
          <w:szCs w:val="17"/>
        </w:rPr>
        <w:endnoteRef/>
      </w:r>
      <w:r w:rsidR="4BB961E0" w:rsidRPr="008F2AFF">
        <w:rPr>
          <w:rFonts w:cs="Open Sans"/>
          <w:sz w:val="17"/>
          <w:szCs w:val="17"/>
        </w:rPr>
        <w:t xml:space="preserve">There are two </w:t>
      </w:r>
      <w:r w:rsidR="5946B0EC" w:rsidRPr="008F2AFF">
        <w:rPr>
          <w:rFonts w:cs="Open Sans"/>
          <w:sz w:val="17"/>
          <w:szCs w:val="17"/>
        </w:rPr>
        <w:t>exceptions to this: the</w:t>
      </w:r>
      <w:r w:rsidRPr="008F2AFF">
        <w:rPr>
          <w:rFonts w:cs="Open Sans"/>
          <w:sz w:val="17"/>
          <w:szCs w:val="17"/>
        </w:rPr>
        <w:t xml:space="preserve"> Aboriginal and Torres Strait Islander Social Justice Commissioner is required to have regard to ICESCR when exercising their functions set out in section 46C of the </w:t>
      </w:r>
      <w:r w:rsidRPr="008F2AFF">
        <w:rPr>
          <w:rFonts w:cs="Open Sans"/>
          <w:i/>
          <w:iCs/>
          <w:sz w:val="17"/>
          <w:szCs w:val="17"/>
        </w:rPr>
        <w:t>Australian Human Rights Commission Act 1986</w:t>
      </w:r>
      <w:r w:rsidRPr="008F2AFF">
        <w:rPr>
          <w:rFonts w:cs="Open Sans"/>
          <w:sz w:val="17"/>
          <w:szCs w:val="17"/>
        </w:rPr>
        <w:t xml:space="preserve"> (Cth); the Children’s Commissioner is specifically required to have regard to the ICESCR and the Convention on the Rights of the Child, other human rights treaties and declarations, and other human rights instruments the Commissioner considers relevant, when exercising their functions as set out in s 46MB of the </w:t>
      </w:r>
      <w:r w:rsidRPr="008F2AFF">
        <w:rPr>
          <w:rFonts w:cs="Open Sans"/>
          <w:i/>
          <w:iCs/>
          <w:sz w:val="17"/>
          <w:szCs w:val="17"/>
        </w:rPr>
        <w:t>Australian Human Rights Commission Act 1986</w:t>
      </w:r>
      <w:r w:rsidRPr="008F2AFF">
        <w:rPr>
          <w:rFonts w:cs="Open Sans"/>
          <w:sz w:val="17"/>
          <w:szCs w:val="17"/>
        </w:rPr>
        <w:t xml:space="preserve"> (Cth).</w:t>
      </w:r>
    </w:p>
  </w:endnote>
  <w:endnote w:id="8">
    <w:p w14:paraId="02AE350F" w14:textId="092DA416"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Australian Human Rights Commission, </w:t>
      </w:r>
      <w:r w:rsidRPr="008F2AFF">
        <w:rPr>
          <w:rFonts w:cs="Open Sans"/>
          <w:i/>
          <w:iCs/>
          <w:sz w:val="17"/>
          <w:szCs w:val="17"/>
        </w:rPr>
        <w:t>Children’s Rights Report 2019—In Their Own Right: Children’s Rights in Australia</w:t>
      </w:r>
      <w:r w:rsidRPr="008F2AFF">
        <w:rPr>
          <w:rFonts w:cs="Open Sans"/>
          <w:sz w:val="17"/>
          <w:szCs w:val="17"/>
        </w:rPr>
        <w:t xml:space="preserve"> (2019) 49. At </w:t>
      </w:r>
      <w:hyperlink r:id="rId2" w:history="1">
        <w:r w:rsidRPr="008F2AFF">
          <w:rPr>
            <w:rStyle w:val="Hyperlink"/>
            <w:rFonts w:cs="Open Sans"/>
            <w:sz w:val="17"/>
            <w:szCs w:val="17"/>
          </w:rPr>
          <w:t>https://humanrights.gov.au/our-work/childrens-rights/publications/childrens-rights-report-2019</w:t>
        </w:r>
      </w:hyperlink>
      <w:r w:rsidRPr="008F2AFF">
        <w:rPr>
          <w:rFonts w:cs="Open Sans"/>
          <w:sz w:val="17"/>
          <w:szCs w:val="17"/>
        </w:rPr>
        <w:t>.</w:t>
      </w:r>
    </w:p>
  </w:endnote>
  <w:endnote w:id="9">
    <w:p w14:paraId="2A132F49" w14:textId="77777777" w:rsidR="008F2AFF" w:rsidRPr="008F2AFF" w:rsidRDefault="008F2AFF" w:rsidP="006800C7">
      <w:pPr>
        <w:pStyle w:val="EndnoteText"/>
        <w:rPr>
          <w:rFonts w:cs="Open Sans"/>
          <w:sz w:val="17"/>
          <w:szCs w:val="17"/>
          <w:lang w:val="en-US"/>
        </w:rPr>
      </w:pPr>
      <w:r w:rsidRPr="008F2AFF">
        <w:rPr>
          <w:rStyle w:val="EndnoteReference"/>
          <w:rFonts w:cs="Open Sans"/>
          <w:sz w:val="17"/>
          <w:szCs w:val="17"/>
        </w:rPr>
        <w:endnoteRef/>
      </w:r>
      <w:r w:rsidRPr="008F2AFF">
        <w:rPr>
          <w:rFonts w:cs="Open Sans"/>
          <w:sz w:val="17"/>
          <w:szCs w:val="17"/>
        </w:rPr>
        <w:t xml:space="preserve"> </w:t>
      </w:r>
      <w:r w:rsidRPr="008F2AFF">
        <w:rPr>
          <w:rFonts w:cs="Open Sans"/>
          <w:sz w:val="17"/>
          <w:szCs w:val="17"/>
          <w:lang w:val="en-US"/>
        </w:rPr>
        <w:t xml:space="preserve">Australia has implemented a number of restrictions in response to the COVID-19 pandemic including significant restrictions on freedom of assembly and freedom of movement, often accompanied by increased police enforcement powers. Many measures and restrictions have been introduced through delegated legislation which has not been subject to oversight of parliament. At the federal level, this has included changes to visa arrangements and restricting travel overseas. See, for example, </w:t>
      </w:r>
      <w:r w:rsidRPr="008F2AFF">
        <w:rPr>
          <w:rFonts w:cs="Open Sans"/>
          <w:i/>
          <w:iCs/>
          <w:sz w:val="17"/>
          <w:szCs w:val="17"/>
          <w:lang w:val="en-US"/>
        </w:rPr>
        <w:t xml:space="preserve">Migration (LIN 20/122: COVID-19 Pandemic event for Subclass 408 (Temporary Activity) visa and visa application charge for Temporary Activity (Class GG) visa) Instrument 2020 </w:t>
      </w:r>
      <w:r w:rsidRPr="008F2AFF">
        <w:rPr>
          <w:rFonts w:cs="Open Sans"/>
          <w:sz w:val="17"/>
          <w:szCs w:val="17"/>
          <w:lang w:val="en-US"/>
        </w:rPr>
        <w:t xml:space="preserve">(Cth) and </w:t>
      </w:r>
      <w:r w:rsidRPr="008F2AFF">
        <w:rPr>
          <w:rFonts w:cs="Open Sans"/>
          <w:i/>
          <w:iCs/>
          <w:sz w:val="17"/>
          <w:szCs w:val="17"/>
          <w:lang w:val="en-US"/>
        </w:rPr>
        <w:t xml:space="preserve">Biosecurity (Human Biosecurity Emergency) (Human Coronavirus with Pandemic Potential) (Overseas Travel Ban Emergency Requirements) Determination 2020 </w:t>
      </w:r>
      <w:r w:rsidRPr="008F2AFF">
        <w:rPr>
          <w:rFonts w:cs="Open Sans"/>
          <w:sz w:val="17"/>
          <w:szCs w:val="17"/>
          <w:lang w:val="en-US"/>
        </w:rPr>
        <w:t xml:space="preserve">(Cth). At a State and Territory level, delegated legislation has been used to implement measure including self-isolation orders, restrictions of visitors to aged care facilities and restrictions on the size and place of gatherings. See, for example, </w:t>
      </w:r>
      <w:r w:rsidRPr="008F2AFF">
        <w:rPr>
          <w:rFonts w:cs="Open Sans"/>
          <w:i/>
          <w:iCs/>
          <w:sz w:val="17"/>
          <w:szCs w:val="17"/>
          <w:lang w:val="en-US"/>
        </w:rPr>
        <w:t>Public Health (COVID-19 Gatherings) Order (No</w:t>
      </w:r>
      <w:r w:rsidRPr="008F2AFF">
        <w:rPr>
          <w:rFonts w:cs="Open Sans"/>
          <w:sz w:val="17"/>
          <w:szCs w:val="17"/>
        </w:rPr>
        <w:t> </w:t>
      </w:r>
      <w:r w:rsidRPr="008F2AFF">
        <w:rPr>
          <w:rFonts w:cs="Open Sans"/>
          <w:i/>
          <w:iCs/>
          <w:sz w:val="17"/>
          <w:szCs w:val="17"/>
          <w:lang w:val="en-US"/>
        </w:rPr>
        <w:t xml:space="preserve">3) 2020 </w:t>
      </w:r>
      <w:r w:rsidRPr="008F2AFF">
        <w:rPr>
          <w:rFonts w:cs="Open Sans"/>
          <w:sz w:val="17"/>
          <w:szCs w:val="17"/>
          <w:lang w:val="en-US"/>
        </w:rPr>
        <w:t xml:space="preserve">(NSW) and </w:t>
      </w:r>
      <w:r w:rsidRPr="008F2AFF">
        <w:rPr>
          <w:rFonts w:cs="Open Sans"/>
          <w:i/>
          <w:iCs/>
          <w:sz w:val="17"/>
          <w:szCs w:val="17"/>
        </w:rPr>
        <w:t>COVID-19 Emergency Response (Schedule 1) Regulations 2020</w:t>
      </w:r>
      <w:r w:rsidRPr="008F2AFF">
        <w:rPr>
          <w:rFonts w:cs="Open Sans"/>
          <w:sz w:val="17"/>
          <w:szCs w:val="17"/>
        </w:rPr>
        <w:t xml:space="preserve"> (SA). Other legislated restrictions have often been passed quickly with minimal parliamentary scrutiny and have included increased powers for police.</w:t>
      </w:r>
    </w:p>
  </w:endnote>
  <w:endnote w:id="10">
    <w:p w14:paraId="75569D42" w14:textId="1B99EE30"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See, e.g., Elias Visontay, ‘More than 45,000 Australians stranded overseas registered for government help’ </w:t>
      </w:r>
      <w:r w:rsidRPr="008F2AFF">
        <w:rPr>
          <w:rFonts w:cs="Open Sans"/>
          <w:i/>
          <w:iCs/>
          <w:sz w:val="17"/>
          <w:szCs w:val="17"/>
        </w:rPr>
        <w:t xml:space="preserve">The Guardian </w:t>
      </w:r>
      <w:r w:rsidRPr="008F2AFF">
        <w:rPr>
          <w:rFonts w:cs="Open Sans"/>
          <w:sz w:val="17"/>
          <w:szCs w:val="17"/>
        </w:rPr>
        <w:t>(Online, 21 September 2021) &lt;</w:t>
      </w:r>
      <w:hyperlink r:id="rId3" w:history="1">
        <w:r w:rsidRPr="008F2AFF">
          <w:rPr>
            <w:rStyle w:val="Hyperlink"/>
            <w:rFonts w:cs="Open Sans"/>
            <w:sz w:val="17"/>
            <w:szCs w:val="17"/>
          </w:rPr>
          <w:t>https://www.theguardian.com/business/2021/sep/21/more-than-45000-australians-stranded-overseas-registered-for-government-help</w:t>
        </w:r>
      </w:hyperlink>
      <w:r w:rsidRPr="008F2AFF">
        <w:rPr>
          <w:rStyle w:val="Hyperlink"/>
          <w:rFonts w:cs="Open Sans"/>
          <w:sz w:val="17"/>
          <w:szCs w:val="17"/>
        </w:rPr>
        <w:t>&gt;.</w:t>
      </w:r>
      <w:r w:rsidRPr="008F2AFF">
        <w:rPr>
          <w:rFonts w:cs="Open Sans"/>
          <w:sz w:val="17"/>
          <w:szCs w:val="17"/>
        </w:rPr>
        <w:t xml:space="preserve"> </w:t>
      </w:r>
    </w:p>
  </w:endnote>
  <w:endnote w:id="11">
    <w:p w14:paraId="0ECA234A" w14:textId="02039828"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Daniel Hurst, ‘UN raises serious human rights concerns over Australia’s India travel ban’ </w:t>
      </w:r>
      <w:r w:rsidRPr="008F2AFF">
        <w:rPr>
          <w:rFonts w:cs="Open Sans"/>
          <w:i/>
          <w:iCs/>
          <w:sz w:val="17"/>
          <w:szCs w:val="17"/>
        </w:rPr>
        <w:t xml:space="preserve">The Guardian </w:t>
      </w:r>
      <w:r w:rsidRPr="008F2AFF">
        <w:rPr>
          <w:rFonts w:cs="Open Sans"/>
          <w:sz w:val="17"/>
          <w:szCs w:val="17"/>
        </w:rPr>
        <w:t>(Online, 5 May 2021) &lt;https://www.theguardian.com/australia-news/2021/may/05/un-raises-serious-human-rights-concerns-over-australia-india-travel-ban&gt;.</w:t>
      </w:r>
    </w:p>
  </w:endnote>
  <w:endnote w:id="12">
    <w:p w14:paraId="7B153E60" w14:textId="6617B3B7" w:rsidR="008F2AFF" w:rsidRPr="008F2AFF" w:rsidRDefault="008F2AFF">
      <w:pPr>
        <w:pStyle w:val="EndnoteText"/>
        <w:rPr>
          <w:rFonts w:cs="Open Sans"/>
          <w:b/>
          <w:bCs/>
          <w:sz w:val="17"/>
          <w:szCs w:val="17"/>
        </w:rPr>
      </w:pPr>
      <w:r w:rsidRPr="008F2AFF">
        <w:rPr>
          <w:rStyle w:val="EndnoteReference"/>
          <w:rFonts w:cs="Open Sans"/>
          <w:sz w:val="17"/>
          <w:szCs w:val="17"/>
        </w:rPr>
        <w:endnoteRef/>
      </w:r>
      <w:r w:rsidRPr="008F2AFF">
        <w:rPr>
          <w:rFonts w:cs="Open Sans"/>
          <w:sz w:val="17"/>
          <w:szCs w:val="17"/>
        </w:rPr>
        <w:t xml:space="preserve"> See e.g., Victorian Ombudsman, </w:t>
      </w:r>
      <w:r w:rsidRPr="008F2AFF">
        <w:rPr>
          <w:rFonts w:cs="Open Sans"/>
          <w:i/>
          <w:iCs/>
          <w:sz w:val="17"/>
          <w:szCs w:val="17"/>
        </w:rPr>
        <w:t xml:space="preserve">Investigation into decision-making under the Victorian Border Crossing Permit Directions </w:t>
      </w:r>
      <w:r w:rsidRPr="008F2AFF">
        <w:rPr>
          <w:rFonts w:cs="Open Sans"/>
          <w:sz w:val="17"/>
          <w:szCs w:val="17"/>
        </w:rPr>
        <w:t>(December 2021) &lt; https://www.ombudsman.vic.gov.au/our-impact/investigation-reports/investigation-into-decision-making-under-the-victorian-border-crossing-permit-directions/&gt;.</w:t>
      </w:r>
    </w:p>
  </w:endnote>
  <w:endnote w:id="13">
    <w:p w14:paraId="2C8478B0" w14:textId="6693F6A6" w:rsidR="008F2AFF" w:rsidRPr="008F2AFF" w:rsidRDefault="008F2AFF" w:rsidP="00872BEA">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‘Vaccination numbers and statistics’ </w:t>
      </w:r>
      <w:r w:rsidRPr="008F2AFF">
        <w:rPr>
          <w:rFonts w:cs="Open Sans"/>
          <w:i/>
          <w:iCs/>
          <w:sz w:val="17"/>
          <w:szCs w:val="17"/>
        </w:rPr>
        <w:t xml:space="preserve">Department of Health </w:t>
      </w:r>
      <w:r w:rsidRPr="008F2AFF">
        <w:rPr>
          <w:rFonts w:cs="Open Sans"/>
          <w:sz w:val="17"/>
          <w:szCs w:val="17"/>
        </w:rPr>
        <w:t xml:space="preserve">(Web Page) </w:t>
      </w:r>
    </w:p>
    <w:p w14:paraId="67964E0E" w14:textId="507B1400" w:rsidR="008F2AFF" w:rsidRPr="008F2AFF" w:rsidRDefault="008F2AFF">
      <w:pPr>
        <w:pStyle w:val="EndnoteText"/>
        <w:rPr>
          <w:rFonts w:cs="Open Sans"/>
          <w:sz w:val="17"/>
          <w:szCs w:val="17"/>
        </w:rPr>
      </w:pPr>
      <w:r w:rsidRPr="008F2AFF">
        <w:rPr>
          <w:rFonts w:cs="Open Sans"/>
          <w:sz w:val="17"/>
          <w:szCs w:val="17"/>
        </w:rPr>
        <w:t>&lt;https://www.health.gov.au/initiatives-and-programs/covid-19-vaccines/numbers-statistics&gt;.</w:t>
      </w:r>
    </w:p>
  </w:endnote>
  <w:endnote w:id="14">
    <w:p w14:paraId="25731B66" w14:textId="5C96EB07"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See Michael Buckland, Felix Zerbib, Connor Wherrett, </w:t>
      </w:r>
      <w:r w:rsidRPr="008F2AFF">
        <w:rPr>
          <w:rFonts w:cs="Open Sans"/>
          <w:i/>
          <w:iCs/>
          <w:sz w:val="17"/>
          <w:szCs w:val="17"/>
        </w:rPr>
        <w:t xml:space="preserve">Counting the cost of Australia’s delayed vaccine rollout </w:t>
      </w:r>
      <w:r w:rsidRPr="008F2AFF">
        <w:rPr>
          <w:rFonts w:cs="Open Sans"/>
          <w:sz w:val="17"/>
          <w:szCs w:val="17"/>
        </w:rPr>
        <w:t>(APO Report, April 2021) &lt;</w:t>
      </w:r>
      <w:hyperlink r:id="rId4" w:history="1">
        <w:r w:rsidRPr="008F2AFF">
          <w:rPr>
            <w:rStyle w:val="Hyperlink"/>
            <w:rFonts w:cs="Open Sans"/>
            <w:sz w:val="17"/>
            <w:szCs w:val="17"/>
          </w:rPr>
          <w:t>https://apo.org.au/node/311761</w:t>
        </w:r>
      </w:hyperlink>
      <w:r w:rsidRPr="008F2AFF">
        <w:rPr>
          <w:rFonts w:cs="Open Sans"/>
          <w:sz w:val="17"/>
          <w:szCs w:val="17"/>
        </w:rPr>
        <w:t xml:space="preserve">&gt;. </w:t>
      </w:r>
    </w:p>
  </w:endnote>
  <w:endnote w:id="15">
    <w:p w14:paraId="61AFD5CF" w14:textId="100DB9B8"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 Protect At-Risk Communities from Covid-19’ </w:t>
      </w:r>
      <w:r w:rsidRPr="008F2AFF">
        <w:rPr>
          <w:rFonts w:cs="Open Sans"/>
          <w:i/>
          <w:iCs/>
          <w:sz w:val="17"/>
          <w:szCs w:val="17"/>
        </w:rPr>
        <w:t>Human Rights Watch</w:t>
      </w:r>
      <w:r w:rsidRPr="008F2AFF">
        <w:rPr>
          <w:rFonts w:cs="Open Sans"/>
          <w:sz w:val="17"/>
          <w:szCs w:val="17"/>
        </w:rPr>
        <w:t xml:space="preserve"> (Web Page, August 2021) &lt;</w:t>
      </w:r>
      <w:hyperlink r:id="rId5" w:history="1">
        <w:r w:rsidRPr="008F2AFF">
          <w:rPr>
            <w:rStyle w:val="Hyperlink"/>
            <w:rFonts w:cs="Open Sans"/>
            <w:sz w:val="17"/>
            <w:szCs w:val="17"/>
          </w:rPr>
          <w:t>https://www.hrw.org/news/2021/08/19/australia-protect-risk-communities-covid-19#</w:t>
        </w:r>
      </w:hyperlink>
      <w:r w:rsidRPr="008F2AFF">
        <w:rPr>
          <w:rFonts w:cs="Open Sans"/>
          <w:sz w:val="17"/>
          <w:szCs w:val="17"/>
        </w:rPr>
        <w:t>&gt;</w:t>
      </w:r>
      <w:r w:rsidR="00DD5B62">
        <w:rPr>
          <w:rFonts w:cs="Open Sans"/>
          <w:sz w:val="17"/>
          <w:szCs w:val="17"/>
        </w:rPr>
        <w:t xml:space="preserve">; </w:t>
      </w:r>
      <w:r w:rsidR="00D96314">
        <w:rPr>
          <w:rFonts w:cs="Open Sans"/>
          <w:sz w:val="17"/>
          <w:szCs w:val="17"/>
        </w:rPr>
        <w:t>‘</w:t>
      </w:r>
      <w:r w:rsidR="00F17C7A" w:rsidRPr="00F17C7A">
        <w:rPr>
          <w:rFonts w:cs="Open Sans"/>
          <w:sz w:val="17"/>
          <w:szCs w:val="17"/>
        </w:rPr>
        <w:t>PM urged to address low Indigenous vaccination rates</w:t>
      </w:r>
      <w:r w:rsidR="00D96314">
        <w:rPr>
          <w:rFonts w:cs="Open Sans"/>
          <w:sz w:val="17"/>
          <w:szCs w:val="17"/>
        </w:rPr>
        <w:t xml:space="preserve">’ </w:t>
      </w:r>
      <w:r w:rsidR="00D96314">
        <w:rPr>
          <w:rFonts w:cs="Open Sans"/>
          <w:i/>
          <w:iCs/>
          <w:sz w:val="17"/>
          <w:szCs w:val="17"/>
        </w:rPr>
        <w:t>Australian National University</w:t>
      </w:r>
      <w:r w:rsidR="00F17C7A">
        <w:rPr>
          <w:rFonts w:cs="Open Sans"/>
          <w:sz w:val="17"/>
          <w:szCs w:val="17"/>
        </w:rPr>
        <w:t xml:space="preserve"> (29 October 2021) </w:t>
      </w:r>
      <w:r w:rsidR="002C1BF5">
        <w:rPr>
          <w:rFonts w:cs="Open Sans"/>
          <w:sz w:val="17"/>
          <w:szCs w:val="17"/>
        </w:rPr>
        <w:t>&lt;</w:t>
      </w:r>
      <w:r w:rsidR="002449B5" w:rsidRPr="002449B5">
        <w:t xml:space="preserve"> </w:t>
      </w:r>
      <w:r w:rsidR="002449B5" w:rsidRPr="002449B5">
        <w:rPr>
          <w:rFonts w:cs="Open Sans"/>
          <w:sz w:val="17"/>
          <w:szCs w:val="17"/>
        </w:rPr>
        <w:t>https://www.anu.edu.au/news/all-news/pm-urged-to-address-low-indigenous-vaccination-rates</w:t>
      </w:r>
      <w:r w:rsidR="002449B5">
        <w:rPr>
          <w:rFonts w:cs="Open Sans"/>
          <w:sz w:val="17"/>
          <w:szCs w:val="17"/>
        </w:rPr>
        <w:t>&gt;.</w:t>
      </w:r>
    </w:p>
  </w:endnote>
  <w:endnote w:id="16">
    <w:p w14:paraId="1884BFC3" w14:textId="4417EC65" w:rsidR="008F2AFF" w:rsidRPr="0039781B" w:rsidRDefault="008F2AFF" w:rsidP="0039781B">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‘Australia: Protect At-Risk Communities from Covid-19’ </w:t>
      </w:r>
      <w:r w:rsidRPr="008F2AFF">
        <w:rPr>
          <w:rFonts w:cs="Open Sans"/>
          <w:i/>
          <w:iCs/>
          <w:sz w:val="17"/>
          <w:szCs w:val="17"/>
        </w:rPr>
        <w:t>Human Rights Watch</w:t>
      </w:r>
      <w:r w:rsidRPr="008F2AFF">
        <w:rPr>
          <w:rFonts w:cs="Open Sans"/>
          <w:sz w:val="17"/>
          <w:szCs w:val="17"/>
        </w:rPr>
        <w:t xml:space="preserve"> (Web Page, August 2021) &lt;</w:t>
      </w:r>
      <w:hyperlink r:id="rId6" w:history="1">
        <w:r w:rsidRPr="008F2AFF">
          <w:rPr>
            <w:rStyle w:val="Hyperlink"/>
            <w:rFonts w:cs="Open Sans"/>
            <w:sz w:val="17"/>
            <w:szCs w:val="17"/>
          </w:rPr>
          <w:t>https://www.hrw.org/news/2021/08/19/australia-protect-risk-communities-covid-19#</w:t>
        </w:r>
      </w:hyperlink>
      <w:r w:rsidRPr="008F2AFF">
        <w:rPr>
          <w:rFonts w:cs="Open Sans"/>
          <w:sz w:val="17"/>
          <w:szCs w:val="17"/>
        </w:rPr>
        <w:t xml:space="preserve">&gt;;  ‘Australia: Prisoners Denied Vaccine Access’ </w:t>
      </w:r>
      <w:r w:rsidRPr="008F2AFF">
        <w:rPr>
          <w:rFonts w:cs="Open Sans"/>
          <w:i/>
          <w:iCs/>
          <w:sz w:val="17"/>
          <w:szCs w:val="17"/>
        </w:rPr>
        <w:t xml:space="preserve">Human Rights Watch </w:t>
      </w:r>
      <w:r w:rsidRPr="008F2AFF">
        <w:rPr>
          <w:rFonts w:cs="Open Sans"/>
          <w:sz w:val="17"/>
          <w:szCs w:val="17"/>
        </w:rPr>
        <w:t>(Web Page, September 2021) &lt;</w:t>
      </w:r>
      <w:hyperlink r:id="rId7" w:history="1">
        <w:r w:rsidRPr="008F2AFF">
          <w:rPr>
            <w:rStyle w:val="Hyperlink"/>
            <w:rFonts w:cs="Open Sans"/>
            <w:sz w:val="17"/>
            <w:szCs w:val="17"/>
          </w:rPr>
          <w:t>https://www.hrw.org/news/2021/09/01/australia-prisoners-denied-vaccine-access</w:t>
        </w:r>
      </w:hyperlink>
      <w:r w:rsidRPr="008F2AFF">
        <w:rPr>
          <w:rFonts w:cs="Open Sans"/>
          <w:sz w:val="17"/>
          <w:szCs w:val="17"/>
        </w:rPr>
        <w:t xml:space="preserve">&gt;; Denham Sadler, ‘Delays in vaccinating prisoners’ </w:t>
      </w:r>
      <w:r w:rsidRPr="008F2AFF">
        <w:rPr>
          <w:rFonts w:cs="Open Sans"/>
          <w:i/>
          <w:iCs/>
          <w:sz w:val="17"/>
          <w:szCs w:val="17"/>
        </w:rPr>
        <w:t xml:space="preserve">The Saturday Paper </w:t>
      </w:r>
      <w:r w:rsidRPr="008F2AFF">
        <w:rPr>
          <w:rFonts w:cs="Open Sans"/>
          <w:sz w:val="17"/>
          <w:szCs w:val="17"/>
        </w:rPr>
        <w:t xml:space="preserve">(online, 12 June 2021) </w:t>
      </w:r>
      <w:hyperlink r:id="rId8" w:history="1">
        <w:r w:rsidRPr="0039781B">
          <w:rPr>
            <w:rStyle w:val="Hyperlink"/>
            <w:rFonts w:cs="Open Sans"/>
            <w:sz w:val="17"/>
            <w:szCs w:val="17"/>
          </w:rPr>
          <w:t>https://www.thesaturdaypaper.com.au/news/politics/2021/06/12/delays-vaccinating-prisoners/162342000011860</w:t>
        </w:r>
      </w:hyperlink>
      <w:r w:rsidRPr="0039781B">
        <w:rPr>
          <w:rFonts w:cs="Open Sans"/>
          <w:sz w:val="17"/>
          <w:szCs w:val="17"/>
        </w:rPr>
        <w:t xml:space="preserve">. </w:t>
      </w:r>
    </w:p>
  </w:endnote>
  <w:endnote w:id="17">
    <w:p w14:paraId="43FDE2B1" w14:textId="3990FF02" w:rsidR="3144ED64" w:rsidRPr="006307E0" w:rsidRDefault="3144ED64" w:rsidP="006307E0">
      <w:pPr>
        <w:spacing w:before="0" w:after="0"/>
        <w:rPr>
          <w:rFonts w:cs="Open Sans"/>
          <w:sz w:val="17"/>
          <w:szCs w:val="17"/>
        </w:rPr>
      </w:pPr>
      <w:r w:rsidRPr="006307E0">
        <w:rPr>
          <w:rFonts w:cs="Open Sans"/>
          <w:sz w:val="17"/>
          <w:szCs w:val="17"/>
        </w:rPr>
        <w:endnoteRef/>
      </w:r>
      <w:r w:rsidR="0B3CD24C" w:rsidRPr="006307E0">
        <w:rPr>
          <w:rFonts w:cs="Open Sans"/>
          <w:sz w:val="17"/>
          <w:szCs w:val="17"/>
        </w:rPr>
        <w:t xml:space="preserve"> Anthea Vogl, ’How many people in immigration detention have been vaccinated? </w:t>
      </w:r>
      <w:r w:rsidR="044BC246" w:rsidRPr="006307E0">
        <w:rPr>
          <w:rFonts w:cs="Open Sans"/>
          <w:sz w:val="17"/>
          <w:szCs w:val="17"/>
        </w:rPr>
        <w:t xml:space="preserve">Home Affairs won’t tell us’, </w:t>
      </w:r>
      <w:r w:rsidR="044BC246" w:rsidRPr="006307E0">
        <w:rPr>
          <w:rFonts w:cs="Open Sans"/>
          <w:i/>
          <w:iCs/>
          <w:sz w:val="17"/>
          <w:szCs w:val="17"/>
        </w:rPr>
        <w:t xml:space="preserve">The Conversation, </w:t>
      </w:r>
      <w:r w:rsidR="044BC246" w:rsidRPr="006307E0">
        <w:rPr>
          <w:rFonts w:cs="Open Sans"/>
          <w:sz w:val="17"/>
          <w:szCs w:val="17"/>
        </w:rPr>
        <w:t>23 August 2021 &lt;</w:t>
      </w:r>
      <w:hyperlink r:id="rId9" w:history="1">
        <w:r w:rsidR="044BC246" w:rsidRPr="006307E0">
          <w:rPr>
            <w:rStyle w:val="Hyperlink"/>
            <w:rFonts w:cs="Open Sans"/>
            <w:sz w:val="17"/>
            <w:szCs w:val="17"/>
          </w:rPr>
          <w:t>How many people in immigration detention have been vaccinated? Home Affairs won’t tell us (theconversation.com)</w:t>
        </w:r>
      </w:hyperlink>
      <w:r w:rsidR="044BC246" w:rsidRPr="006307E0">
        <w:rPr>
          <w:rStyle w:val="Hyperlink"/>
          <w:rFonts w:cs="Open Sans"/>
          <w:sz w:val="17"/>
          <w:szCs w:val="17"/>
        </w:rPr>
        <w:t xml:space="preserve">&gt;. </w:t>
      </w:r>
    </w:p>
  </w:endnote>
  <w:endnote w:id="18">
    <w:p w14:paraId="6BB728C6" w14:textId="150F97C6" w:rsidR="2B47D227" w:rsidRPr="006307E0" w:rsidRDefault="2B47D227" w:rsidP="006307E0">
      <w:pPr>
        <w:spacing w:before="0" w:after="0"/>
        <w:rPr>
          <w:rFonts w:cs="Open Sans"/>
          <w:sz w:val="17"/>
          <w:szCs w:val="17"/>
        </w:rPr>
      </w:pPr>
      <w:r w:rsidRPr="006307E0">
        <w:rPr>
          <w:rFonts w:cs="Open Sans"/>
          <w:sz w:val="17"/>
          <w:szCs w:val="17"/>
        </w:rPr>
        <w:endnoteRef/>
      </w:r>
      <w:r w:rsidR="50B8B601" w:rsidRPr="006307E0">
        <w:rPr>
          <w:rFonts w:cs="Open Sans"/>
          <w:sz w:val="17"/>
          <w:szCs w:val="17"/>
        </w:rPr>
        <w:t xml:space="preserve"> Australian Border Force, </w:t>
      </w:r>
      <w:r w:rsidR="50B8B601" w:rsidRPr="006307E0">
        <w:rPr>
          <w:rFonts w:cs="Open Sans"/>
          <w:i/>
          <w:iCs/>
          <w:sz w:val="17"/>
          <w:szCs w:val="17"/>
        </w:rPr>
        <w:t xml:space="preserve">Statement on the management of COVID-19 in the detention network in Melbourne, </w:t>
      </w:r>
      <w:r w:rsidR="50B8B601" w:rsidRPr="006307E0">
        <w:rPr>
          <w:rFonts w:cs="Open Sans"/>
          <w:sz w:val="17"/>
          <w:szCs w:val="17"/>
        </w:rPr>
        <w:t xml:space="preserve">29 November 2021 </w:t>
      </w:r>
      <w:r w:rsidR="740ACC08" w:rsidRPr="006307E0">
        <w:rPr>
          <w:rFonts w:cs="Open Sans"/>
          <w:sz w:val="17"/>
          <w:szCs w:val="17"/>
        </w:rPr>
        <w:t>&lt;</w:t>
      </w:r>
      <w:hyperlink r:id="rId10" w:history="1">
        <w:r w:rsidR="50B8B601" w:rsidRPr="006307E0">
          <w:rPr>
            <w:rStyle w:val="Hyperlink"/>
            <w:rFonts w:cs="Open Sans"/>
            <w:sz w:val="17"/>
            <w:szCs w:val="17"/>
          </w:rPr>
          <w:t>Statement on the management of COVID-19 in the detention network in Melbourne (abf.gov.au)</w:t>
        </w:r>
      </w:hyperlink>
      <w:r w:rsidR="1A09FD7C" w:rsidRPr="006307E0">
        <w:rPr>
          <w:rStyle w:val="Hyperlink"/>
          <w:rFonts w:cs="Open Sans"/>
          <w:sz w:val="17"/>
          <w:szCs w:val="17"/>
        </w:rPr>
        <w:t xml:space="preserve">&gt;; </w:t>
      </w:r>
    </w:p>
  </w:endnote>
  <w:endnote w:id="19">
    <w:p w14:paraId="5F7F77F0" w14:textId="3769CD2C" w:rsidR="005131D1" w:rsidRDefault="005131D1" w:rsidP="0039781B">
      <w:pPr>
        <w:pStyle w:val="EndnoteText"/>
      </w:pPr>
      <w:r w:rsidRPr="006307E0">
        <w:rPr>
          <w:rStyle w:val="EndnoteReference"/>
          <w:rFonts w:cs="Open Sans"/>
          <w:sz w:val="17"/>
          <w:szCs w:val="17"/>
        </w:rPr>
        <w:endnoteRef/>
      </w:r>
      <w:r w:rsidRPr="006307E0">
        <w:rPr>
          <w:rFonts w:cs="Open Sans"/>
          <w:sz w:val="17"/>
          <w:szCs w:val="17"/>
        </w:rPr>
        <w:t xml:space="preserve"> </w:t>
      </w:r>
      <w:r w:rsidR="00CE39D7" w:rsidRPr="006307E0">
        <w:rPr>
          <w:rFonts w:cs="Open Sans"/>
          <w:sz w:val="17"/>
          <w:szCs w:val="17"/>
        </w:rPr>
        <w:t xml:space="preserve">Australian Human Rights Commission, </w:t>
      </w:r>
      <w:r w:rsidR="00CE39D7" w:rsidRPr="006307E0">
        <w:rPr>
          <w:rFonts w:cs="Open Sans"/>
          <w:i/>
          <w:iCs/>
          <w:sz w:val="17"/>
          <w:szCs w:val="17"/>
        </w:rPr>
        <w:t>Management of COVID-19 risks in immigration detention</w:t>
      </w:r>
      <w:r w:rsidR="00CE39D7" w:rsidRPr="006307E0">
        <w:rPr>
          <w:rFonts w:cs="Open Sans"/>
          <w:sz w:val="17"/>
          <w:szCs w:val="17"/>
        </w:rPr>
        <w:t xml:space="preserve"> </w:t>
      </w:r>
      <w:r w:rsidR="007D49A6" w:rsidRPr="006307E0">
        <w:rPr>
          <w:rFonts w:cs="Open Sans"/>
          <w:sz w:val="17"/>
          <w:szCs w:val="17"/>
        </w:rPr>
        <w:t>(June 2021) &lt;https://humanrights.gov.au/our-work/asylum-seekers-and-refugees/publications/management-covid-19-risks-immigration-detention&gt;.</w:t>
      </w:r>
    </w:p>
  </w:endnote>
  <w:endnote w:id="20">
    <w:p w14:paraId="6C50F49D" w14:textId="2033CD89"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Human Rights Council, </w:t>
      </w:r>
      <w:r w:rsidRPr="008F2AFF">
        <w:rPr>
          <w:rFonts w:cs="Open Sans"/>
          <w:i/>
          <w:iCs/>
          <w:sz w:val="17"/>
          <w:szCs w:val="17"/>
        </w:rPr>
        <w:t xml:space="preserve">Report of the Working Group on the Universal Periodic Review: Australia, </w:t>
      </w:r>
      <w:r w:rsidRPr="008F2AFF">
        <w:rPr>
          <w:rFonts w:cs="Open Sans"/>
          <w:sz w:val="17"/>
          <w:szCs w:val="17"/>
        </w:rPr>
        <w:t>47</w:t>
      </w:r>
      <w:r w:rsidRPr="008F2AFF">
        <w:rPr>
          <w:rFonts w:cs="Open Sans"/>
          <w:sz w:val="17"/>
          <w:szCs w:val="17"/>
          <w:vertAlign w:val="superscript"/>
        </w:rPr>
        <w:t>th</w:t>
      </w:r>
      <w:r w:rsidRPr="008F2AFF">
        <w:rPr>
          <w:rFonts w:cs="Open Sans"/>
          <w:sz w:val="17"/>
          <w:szCs w:val="17"/>
        </w:rPr>
        <w:t xml:space="preserve"> sess, UN Doc A/HRC/47/8 (24 March 2021). </w:t>
      </w:r>
    </w:p>
  </w:endnote>
  <w:endnote w:id="21">
    <w:p w14:paraId="50E6358E" w14:textId="0D49B8F6"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United Nations Committee on Economic, Social and Cultural Rights</w:t>
      </w:r>
      <w:r w:rsidRPr="008F2AFF">
        <w:rPr>
          <w:rFonts w:cs="Open Sans"/>
          <w:i/>
          <w:iCs/>
          <w:sz w:val="17"/>
          <w:szCs w:val="17"/>
        </w:rPr>
        <w:t>, Concluding observations on fifth periodic report on Australia</w:t>
      </w:r>
      <w:r w:rsidRPr="008F2AFF">
        <w:rPr>
          <w:rFonts w:cs="Open Sans"/>
          <w:sz w:val="17"/>
          <w:szCs w:val="17"/>
        </w:rPr>
        <w:t>, 61</w:t>
      </w:r>
      <w:r w:rsidRPr="008F2AFF">
        <w:rPr>
          <w:rFonts w:cs="Open Sans"/>
          <w:sz w:val="17"/>
          <w:szCs w:val="17"/>
          <w:vertAlign w:val="superscript"/>
        </w:rPr>
        <w:t>st</w:t>
      </w:r>
      <w:r w:rsidRPr="008F2AFF">
        <w:rPr>
          <w:rFonts w:cs="Open Sans"/>
          <w:sz w:val="17"/>
          <w:szCs w:val="17"/>
        </w:rPr>
        <w:t xml:space="preserve"> sess, UN Doc E/C.12/Aus/CO/5 (11 July 2017), [15-16].</w:t>
      </w:r>
    </w:p>
  </w:endnote>
  <w:endnote w:id="22">
    <w:p w14:paraId="2DA46924" w14:textId="746E1C1A" w:rsidR="008F2AFF" w:rsidRPr="008F2AFF" w:rsidRDefault="008F2AFF" w:rsidP="003002C6">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United Nations General Assembly, </w:t>
      </w:r>
      <w:r w:rsidRPr="008F2AFF">
        <w:rPr>
          <w:rFonts w:cs="Open Sans"/>
          <w:i/>
          <w:iCs/>
          <w:sz w:val="17"/>
          <w:szCs w:val="17"/>
        </w:rPr>
        <w:t>Outcome document of the high-level plenary meeting of the General Assembly known as the World Conference on Indigenous Peoples</w:t>
      </w:r>
      <w:r w:rsidRPr="008F2AFF">
        <w:rPr>
          <w:rFonts w:cs="Open Sans"/>
          <w:sz w:val="17"/>
          <w:szCs w:val="17"/>
        </w:rPr>
        <w:t>, GA Res 69/2, UN Doc No A/69/L.1, [7]-[8] &lt;</w:t>
      </w:r>
      <w:hyperlink r:id="rId11" w:history="1">
        <w:r w:rsidRPr="008F2AFF">
          <w:rPr>
            <w:rStyle w:val="Hyperlink"/>
            <w:rFonts w:cs="Open Sans"/>
            <w:sz w:val="17"/>
            <w:szCs w:val="17"/>
          </w:rPr>
          <w:t>https://www.un.org/en/ga/search/view_doc.asp?symbol=A/69/L.1</w:t>
        </w:r>
      </w:hyperlink>
      <w:r w:rsidRPr="008F2AFF">
        <w:rPr>
          <w:rFonts w:cs="Open Sans"/>
          <w:sz w:val="17"/>
          <w:szCs w:val="17"/>
        </w:rPr>
        <w:t xml:space="preserve">&gt;. Recommendations </w:t>
      </w:r>
      <w:r w:rsidRPr="008F2AFF">
        <w:rPr>
          <w:rFonts w:cs="Open Sans"/>
          <w:color w:val="000000"/>
          <w:sz w:val="17"/>
          <w:szCs w:val="17"/>
          <w:lang w:eastAsia="en-GB"/>
        </w:rPr>
        <w:t>136.75, 136.77, 136.84, 136.85.</w:t>
      </w:r>
    </w:p>
  </w:endnote>
  <w:endnote w:id="23">
    <w:p w14:paraId="5AA4F988" w14:textId="08A367B1" w:rsidR="008F2AFF" w:rsidRPr="008F2AFF" w:rsidRDefault="008F2AFF">
      <w:pPr>
        <w:pStyle w:val="EndnoteText"/>
        <w:rPr>
          <w:rFonts w:cs="Open Sans"/>
          <w:sz w:val="17"/>
          <w:szCs w:val="17"/>
          <w:lang w:val="en-US"/>
        </w:rPr>
      </w:pPr>
      <w:r w:rsidRPr="008F2AFF">
        <w:rPr>
          <w:rStyle w:val="EndnoteReference"/>
          <w:rFonts w:cs="Open Sans"/>
          <w:sz w:val="17"/>
          <w:szCs w:val="17"/>
        </w:rPr>
        <w:endnoteRef/>
      </w:r>
      <w:r w:rsidRPr="008F2AFF">
        <w:rPr>
          <w:rFonts w:cs="Open Sans"/>
          <w:sz w:val="17"/>
          <w:szCs w:val="17"/>
        </w:rPr>
        <w:t xml:space="preserve"> </w:t>
      </w:r>
      <w:r w:rsidRPr="008F2AFF">
        <w:rPr>
          <w:rFonts w:cs="Open Sans"/>
          <w:sz w:val="17"/>
          <w:szCs w:val="17"/>
          <w:lang w:val="en-US"/>
        </w:rPr>
        <w:t xml:space="preserve">This occurs through the operation </w:t>
      </w:r>
      <w:r w:rsidRPr="008F2AFF">
        <w:rPr>
          <w:rFonts w:cs="Open Sans"/>
          <w:sz w:val="17"/>
          <w:szCs w:val="17"/>
        </w:rPr>
        <w:t>of s51(xxvi) and s25.</w:t>
      </w:r>
    </w:p>
  </w:endnote>
  <w:endnote w:id="24">
    <w:p w14:paraId="2313F179" w14:textId="1B4620DF" w:rsidR="008F2AFF" w:rsidRPr="008F2AFF" w:rsidRDefault="008F2AFF" w:rsidP="00167748">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Voluntary commitment by Australia: Human Rights Council, 31</w:t>
      </w:r>
      <w:r w:rsidRPr="008F2AFF">
        <w:rPr>
          <w:rFonts w:cs="Open Sans"/>
          <w:sz w:val="17"/>
          <w:szCs w:val="17"/>
          <w:vertAlign w:val="superscript"/>
        </w:rPr>
        <w:t>st</w:t>
      </w:r>
      <w:r w:rsidRPr="008F2AFF">
        <w:rPr>
          <w:rFonts w:cs="Open Sans"/>
          <w:sz w:val="17"/>
          <w:szCs w:val="17"/>
        </w:rPr>
        <w:t xml:space="preserve"> session, Agenda Item 6. </w:t>
      </w:r>
      <w:r w:rsidRPr="008F2AFF">
        <w:rPr>
          <w:rFonts w:cs="Open Sans"/>
          <w:i/>
          <w:iCs/>
          <w:sz w:val="17"/>
          <w:szCs w:val="17"/>
        </w:rPr>
        <w:t>Report of the Working Group on the Universal Periodic Review: Australia</w:t>
      </w:r>
      <w:r w:rsidRPr="008F2AFF">
        <w:rPr>
          <w:rFonts w:cs="Open Sans"/>
          <w:sz w:val="17"/>
          <w:szCs w:val="17"/>
        </w:rPr>
        <w:t xml:space="preserve"> (13 January 2016), UN Doc A/HRC/31/14 &lt;</w:t>
      </w:r>
      <w:hyperlink r:id="rId12" w:history="1">
        <w:r w:rsidRPr="008F2AFF">
          <w:rPr>
            <w:rStyle w:val="Hyperlink"/>
            <w:rFonts w:cs="Open Sans"/>
            <w:sz w:val="17"/>
            <w:szCs w:val="17"/>
          </w:rPr>
          <w:t>https://undocs.org/A/HRC/31/14</w:t>
        </w:r>
      </w:hyperlink>
      <w:r w:rsidRPr="008F2AFF">
        <w:rPr>
          <w:rFonts w:cs="Open Sans"/>
          <w:sz w:val="17"/>
          <w:szCs w:val="17"/>
        </w:rPr>
        <w:t>&gt;.</w:t>
      </w:r>
    </w:p>
  </w:endnote>
  <w:endnote w:id="25">
    <w:p w14:paraId="3404C707" w14:textId="3F4D6022" w:rsidR="008F2AFF" w:rsidRPr="008F2AFF" w:rsidRDefault="008F2AFF" w:rsidP="003002C6">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National Indigenous Australians Agency, </w:t>
      </w:r>
      <w:r w:rsidRPr="008F2AFF">
        <w:rPr>
          <w:rFonts w:cs="Open Sans"/>
          <w:i/>
          <w:iCs/>
          <w:sz w:val="17"/>
          <w:szCs w:val="17"/>
        </w:rPr>
        <w:t>Indigenous Voice</w:t>
      </w:r>
      <w:r w:rsidRPr="008F2AFF">
        <w:rPr>
          <w:rFonts w:cs="Open Sans"/>
          <w:sz w:val="17"/>
          <w:szCs w:val="17"/>
        </w:rPr>
        <w:t>, &lt;</w:t>
      </w:r>
      <w:hyperlink r:id="rId13" w:history="1">
        <w:r w:rsidRPr="008F2AFF">
          <w:rPr>
            <w:rStyle w:val="Hyperlink"/>
            <w:rFonts w:cs="Open Sans"/>
            <w:sz w:val="17"/>
            <w:szCs w:val="17"/>
          </w:rPr>
          <w:t>https://www.indigenous.gov.au/topics/indigenous-voice</w:t>
        </w:r>
      </w:hyperlink>
      <w:r w:rsidRPr="008F2AFF">
        <w:rPr>
          <w:rStyle w:val="Hyperlink"/>
          <w:rFonts w:cs="Open Sans"/>
          <w:sz w:val="17"/>
          <w:szCs w:val="17"/>
        </w:rPr>
        <w:t>&gt;</w:t>
      </w:r>
      <w:r w:rsidRPr="008F2AFF">
        <w:rPr>
          <w:rFonts w:cs="Open Sans"/>
          <w:sz w:val="17"/>
          <w:szCs w:val="17"/>
        </w:rPr>
        <w:t xml:space="preserve">. Processes since 2011 include the formation of the Expert Panel on Constitutional Recognition of Indigenous Australians, the Recognise Campaign established by Reconciliation Australia with funding from the Australian Government, the Joint Select Committee on Constitutional Recognition of Aboriginal and Torres Strait Islander Peoples, the enactment of the Aboriginal and Torres Strait Islander Peoples Recognition Act and the convening of the Referendum Council Dialogues. See: Australian Human Rights Commission, </w:t>
      </w:r>
      <w:r w:rsidRPr="008F2AFF">
        <w:rPr>
          <w:rFonts w:cs="Open Sans"/>
          <w:i/>
          <w:iCs/>
          <w:sz w:val="17"/>
          <w:szCs w:val="17"/>
        </w:rPr>
        <w:t>Submission to the Expert Mechanism on the Rights of Indigenous Peoples for its Study on Recognition, Reparations and Reconciliation</w:t>
      </w:r>
      <w:r w:rsidRPr="008F2AFF">
        <w:rPr>
          <w:rFonts w:cs="Open Sans"/>
          <w:sz w:val="17"/>
          <w:szCs w:val="17"/>
        </w:rPr>
        <w:t xml:space="preserve"> (29 February 2019) &lt;</w:t>
      </w:r>
      <w:hyperlink r:id="rId14" w:history="1">
        <w:r w:rsidRPr="008F2AFF">
          <w:rPr>
            <w:rStyle w:val="Hyperlink"/>
            <w:rFonts w:cs="Open Sans"/>
            <w:sz w:val="17"/>
            <w:szCs w:val="17"/>
          </w:rPr>
          <w:t>https://www.ohchr.org/Documents/Issues/IPeoples/EMRIP/StudyRRR/Australia_NHRI1.pdf</w:t>
        </w:r>
      </w:hyperlink>
      <w:r w:rsidRPr="008F2AFF">
        <w:rPr>
          <w:rStyle w:val="Hyperlink"/>
          <w:rFonts w:cs="Open Sans"/>
          <w:sz w:val="17"/>
          <w:szCs w:val="17"/>
        </w:rPr>
        <w:t>&gt;</w:t>
      </w:r>
      <w:r w:rsidRPr="008F2AFF">
        <w:rPr>
          <w:rFonts w:cs="Open Sans"/>
          <w:sz w:val="17"/>
          <w:szCs w:val="17"/>
        </w:rPr>
        <w:t>.</w:t>
      </w:r>
    </w:p>
  </w:endnote>
  <w:endnote w:id="26">
    <w:p w14:paraId="55C0DC3D" w14:textId="02F37B6C" w:rsidR="008F2AFF" w:rsidRPr="008F2AFF" w:rsidRDefault="008F2AFF" w:rsidP="003002C6">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Australian Human Rights Commission, </w:t>
      </w:r>
      <w:r w:rsidRPr="008F2AFF">
        <w:rPr>
          <w:rFonts w:cs="Open Sans"/>
          <w:i/>
          <w:iCs/>
          <w:sz w:val="17"/>
          <w:szCs w:val="17"/>
        </w:rPr>
        <w:t>Submission to the Joint Select Committee on Constitutional Recognition relating to Aboriginal and Torres Strait Islander Peoples</w:t>
      </w:r>
      <w:r w:rsidRPr="008F2AFF">
        <w:rPr>
          <w:rFonts w:cs="Open Sans"/>
          <w:sz w:val="17"/>
          <w:szCs w:val="17"/>
        </w:rPr>
        <w:t xml:space="preserve"> (29 July 2018). &lt;</w:t>
      </w:r>
      <w:hyperlink r:id="rId15" w:history="1">
        <w:r w:rsidRPr="008F2AFF">
          <w:rPr>
            <w:rStyle w:val="Hyperlink"/>
            <w:rFonts w:cs="Open Sans"/>
            <w:sz w:val="17"/>
            <w:szCs w:val="17"/>
          </w:rPr>
          <w:t>https://www.aph.gov.au/DocumentStore.ashx?id=81afbee8-381f-40a4-a758-b1384881e633&amp;subId=658933</w:t>
        </w:r>
      </w:hyperlink>
      <w:r w:rsidRPr="008F2AFF">
        <w:rPr>
          <w:rStyle w:val="Hyperlink"/>
          <w:rFonts w:cs="Open Sans"/>
          <w:sz w:val="17"/>
          <w:szCs w:val="17"/>
        </w:rPr>
        <w:t>&gt;</w:t>
      </w:r>
      <w:r w:rsidRPr="008F2AFF">
        <w:rPr>
          <w:rFonts w:cs="Open Sans"/>
          <w:sz w:val="17"/>
          <w:szCs w:val="17"/>
        </w:rPr>
        <w:t>.</w:t>
      </w:r>
    </w:p>
  </w:endnote>
  <w:endnote w:id="27">
    <w:p w14:paraId="62CE00A0" w14:textId="41894D83" w:rsidR="008F2AFF" w:rsidRPr="008F2AFF" w:rsidRDefault="008F2AFF" w:rsidP="003002C6">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National Indigenous Australians Agency, </w:t>
      </w:r>
      <w:r w:rsidRPr="008F2AFF">
        <w:rPr>
          <w:rFonts w:cs="Open Sans"/>
          <w:i/>
          <w:iCs/>
          <w:sz w:val="17"/>
          <w:szCs w:val="17"/>
        </w:rPr>
        <w:t xml:space="preserve">Closing the Gap: Report 2020 </w:t>
      </w:r>
      <w:r w:rsidRPr="008F2AFF">
        <w:rPr>
          <w:rFonts w:cs="Open Sans"/>
          <w:sz w:val="17"/>
          <w:szCs w:val="17"/>
        </w:rPr>
        <w:t>(February 2020) 11 &lt;</w:t>
      </w:r>
      <w:hyperlink r:id="rId16" w:history="1">
        <w:r w:rsidRPr="008F2AFF">
          <w:rPr>
            <w:rStyle w:val="Hyperlink"/>
            <w:rFonts w:cs="Open Sans"/>
            <w:sz w:val="17"/>
            <w:szCs w:val="17"/>
          </w:rPr>
          <w:t>https://ctgreport.niaa.gov.au/</w:t>
        </w:r>
      </w:hyperlink>
      <w:r w:rsidRPr="008F2AFF">
        <w:rPr>
          <w:rFonts w:cs="Open Sans"/>
          <w:sz w:val="17"/>
          <w:szCs w:val="17"/>
        </w:rPr>
        <w:t>.&gt;</w:t>
      </w:r>
    </w:p>
  </w:endnote>
  <w:endnote w:id="28">
    <w:p w14:paraId="13FAEC9E" w14:textId="47EDFCF2" w:rsidR="008F2AFF" w:rsidRPr="008F2AFF" w:rsidRDefault="008F2AFF" w:rsidP="003002C6">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National Indigenous Australians Agency, </w:t>
      </w:r>
      <w:r w:rsidRPr="008F2AFF">
        <w:rPr>
          <w:rFonts w:cs="Open Sans"/>
          <w:i/>
          <w:iCs/>
          <w:sz w:val="17"/>
          <w:szCs w:val="17"/>
        </w:rPr>
        <w:t xml:space="preserve">Closing the Gap: Report 2020 </w:t>
      </w:r>
      <w:r w:rsidRPr="008F2AFF">
        <w:rPr>
          <w:rFonts w:cs="Open Sans"/>
          <w:sz w:val="17"/>
          <w:szCs w:val="17"/>
        </w:rPr>
        <w:t>(February 2020) 65, 33 &lt;</w:t>
      </w:r>
      <w:hyperlink r:id="rId17" w:history="1">
        <w:r w:rsidRPr="008F2AFF">
          <w:rPr>
            <w:rStyle w:val="Hyperlink"/>
            <w:rFonts w:cs="Open Sans"/>
            <w:sz w:val="17"/>
            <w:szCs w:val="17"/>
          </w:rPr>
          <w:t>https://ctgreport.niaa.gov.au/</w:t>
        </w:r>
      </w:hyperlink>
      <w:r w:rsidRPr="008F2AFF">
        <w:rPr>
          <w:rFonts w:cs="Open Sans"/>
          <w:sz w:val="17"/>
          <w:szCs w:val="17"/>
        </w:rPr>
        <w:t>&gt;.</w:t>
      </w:r>
    </w:p>
  </w:endnote>
  <w:endnote w:id="29">
    <w:p w14:paraId="1C5431DB" w14:textId="44556405" w:rsidR="008F2AFF" w:rsidRPr="008F2AFF" w:rsidRDefault="008F2AFF" w:rsidP="003002C6">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Close the Gap Campaign, </w:t>
      </w:r>
      <w:r w:rsidRPr="008F2AFF">
        <w:rPr>
          <w:rFonts w:cs="Open Sans"/>
          <w:i/>
          <w:iCs/>
          <w:sz w:val="17"/>
          <w:szCs w:val="17"/>
        </w:rPr>
        <w:t>Close the Gap Report: Our Choices, Our Voices</w:t>
      </w:r>
      <w:r w:rsidRPr="008F2AFF">
        <w:rPr>
          <w:rFonts w:cs="Open Sans"/>
          <w:sz w:val="17"/>
          <w:szCs w:val="17"/>
        </w:rPr>
        <w:t xml:space="preserve"> (2019) &lt;</w:t>
      </w:r>
      <w:hyperlink r:id="rId18" w:history="1">
        <w:r w:rsidRPr="008F2AFF">
          <w:rPr>
            <w:rStyle w:val="Hyperlink"/>
            <w:rFonts w:cs="Open Sans"/>
            <w:sz w:val="17"/>
            <w:szCs w:val="17"/>
          </w:rPr>
          <w:t>https://www.humanrights.gov.au/our-work/aboriginal-and-torres-strait-islander-social-justice/publications/close-gap-report-our</w:t>
        </w:r>
      </w:hyperlink>
      <w:r w:rsidRPr="008F2AFF">
        <w:rPr>
          <w:rFonts w:cs="Open Sans"/>
          <w:sz w:val="17"/>
          <w:szCs w:val="17"/>
        </w:rPr>
        <w:t xml:space="preserve">&gt;. </w:t>
      </w:r>
    </w:p>
  </w:endnote>
  <w:endnote w:id="30">
    <w:p w14:paraId="0B75978A" w14:textId="0C2DCFC2"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Australian Human Rights Commission, </w:t>
      </w:r>
      <w:r w:rsidRPr="008F2AFF">
        <w:rPr>
          <w:rFonts w:cs="Open Sans"/>
          <w:i/>
          <w:iCs/>
          <w:sz w:val="17"/>
          <w:szCs w:val="17"/>
        </w:rPr>
        <w:t xml:space="preserve">Close the Gap (2021) </w:t>
      </w:r>
      <w:r w:rsidRPr="008F2AFF">
        <w:rPr>
          <w:rFonts w:cs="Open Sans"/>
          <w:sz w:val="17"/>
          <w:szCs w:val="17"/>
        </w:rPr>
        <w:t>15 &lt;</w:t>
      </w:r>
      <w:hyperlink r:id="rId19" w:history="1">
        <w:r w:rsidRPr="008F2AFF">
          <w:rPr>
            <w:rStyle w:val="Hyperlink"/>
            <w:rFonts w:cs="Open Sans"/>
            <w:sz w:val="17"/>
            <w:szCs w:val="17"/>
          </w:rPr>
          <w:t>https://humanrights.gov.au/our-work/aboriginal-and-torres-strait-islander-social-justice/publications/close-gap-2021</w:t>
        </w:r>
      </w:hyperlink>
      <w:r w:rsidRPr="008F2AFF">
        <w:rPr>
          <w:rFonts w:cs="Open Sans"/>
          <w:sz w:val="17"/>
          <w:szCs w:val="17"/>
        </w:rPr>
        <w:t>&gt;.</w:t>
      </w:r>
    </w:p>
  </w:endnote>
  <w:endnote w:id="31">
    <w:p w14:paraId="65096AD5" w14:textId="261DEB8B" w:rsidR="008F2AFF" w:rsidRPr="008F2AFF" w:rsidRDefault="008F2AFF" w:rsidP="003002C6">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National Aboriginal Community Controlled Health Organisation, </w:t>
      </w:r>
      <w:r w:rsidRPr="008F2AFF">
        <w:rPr>
          <w:rFonts w:cs="Open Sans"/>
          <w:i/>
          <w:iCs/>
          <w:sz w:val="17"/>
          <w:szCs w:val="17"/>
        </w:rPr>
        <w:t>A new way of working Talking about what’s needed to close the gap in life outcomes between Aboriginal and Torres Strait Islander people and other Australians</w:t>
      </w:r>
      <w:r w:rsidRPr="008F2AFF">
        <w:rPr>
          <w:rFonts w:cs="Open Sans"/>
          <w:sz w:val="17"/>
          <w:szCs w:val="17"/>
        </w:rPr>
        <w:t xml:space="preserve"> &lt;</w:t>
      </w:r>
      <w:hyperlink r:id="rId20" w:history="1">
        <w:r w:rsidRPr="008F2AFF">
          <w:rPr>
            <w:rStyle w:val="Hyperlink"/>
            <w:rFonts w:cs="Open Sans"/>
            <w:sz w:val="17"/>
            <w:szCs w:val="17"/>
          </w:rPr>
          <w:t>https://www.naccho.org.au/wp-content/uploads/FINAL-discussion-booklet-a-new-way-of-working-09.09.pdf</w:t>
        </w:r>
      </w:hyperlink>
      <w:r w:rsidRPr="008F2AFF">
        <w:rPr>
          <w:rFonts w:cs="Open Sans"/>
          <w:sz w:val="17"/>
          <w:szCs w:val="17"/>
        </w:rPr>
        <w:t>&gt;.</w:t>
      </w:r>
    </w:p>
  </w:endnote>
  <w:endnote w:id="32">
    <w:p w14:paraId="593989A5" w14:textId="10F67FFE" w:rsidR="008F2AFF" w:rsidRPr="008F2AFF" w:rsidRDefault="008F2AFF" w:rsidP="00596208">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SNAICC – National Voice for our Children, National Family Violence Prevention Legal Services Forum and National Aboriginal and Torres Strait Islander Legal Services, </w:t>
      </w:r>
      <w:r w:rsidRPr="008F2AFF">
        <w:rPr>
          <w:rFonts w:cs="Open Sans"/>
          <w:i/>
          <w:iCs/>
          <w:sz w:val="17"/>
          <w:szCs w:val="17"/>
        </w:rPr>
        <w:t xml:space="preserve">Strong Families, Safe Kids: Family violence response and prevention for Aboriginal and Torres Strait Islander children and families </w:t>
      </w:r>
      <w:r w:rsidRPr="008F2AFF">
        <w:rPr>
          <w:rFonts w:cs="Open Sans"/>
          <w:sz w:val="17"/>
          <w:szCs w:val="17"/>
        </w:rPr>
        <w:t>(September 2017) &lt;</w:t>
      </w:r>
      <w:hyperlink r:id="rId21" w:history="1">
        <w:r w:rsidRPr="008F2AFF">
          <w:rPr>
            <w:rStyle w:val="Hyperlink"/>
            <w:rFonts w:cs="Open Sans"/>
            <w:sz w:val="17"/>
            <w:szCs w:val="17"/>
          </w:rPr>
          <w:t>https://www.nationalfvpls.org/images/files/SNAICC-NATSILS-NFVPLS_Strong_Families_Safe_Kids-Sep_2017.pdf</w:t>
        </w:r>
      </w:hyperlink>
      <w:r w:rsidRPr="008F2AFF">
        <w:rPr>
          <w:rFonts w:cs="Open Sans"/>
          <w:sz w:val="17"/>
          <w:szCs w:val="17"/>
        </w:rPr>
        <w:t>&gt;.</w:t>
      </w:r>
    </w:p>
  </w:endnote>
  <w:endnote w:id="33">
    <w:p w14:paraId="32B14C39" w14:textId="07CE6CF2" w:rsidR="008F2AFF" w:rsidRPr="008F2AFF" w:rsidRDefault="008F2AFF" w:rsidP="00596208">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Australian Law Reform Commission, </w:t>
      </w:r>
      <w:r w:rsidRPr="008F2AFF">
        <w:rPr>
          <w:rFonts w:cs="Open Sans"/>
          <w:i/>
          <w:iCs/>
          <w:sz w:val="17"/>
          <w:szCs w:val="17"/>
        </w:rPr>
        <w:t xml:space="preserve">Pathways to Justice—An Inquiry into the Incarceration Rate of Aboriginal and Torres Strait Islander Peoples: Final Report </w:t>
      </w:r>
      <w:r w:rsidRPr="008F2AFF">
        <w:rPr>
          <w:rFonts w:cs="Open Sans"/>
          <w:sz w:val="17"/>
          <w:szCs w:val="17"/>
        </w:rPr>
        <w:t>(ALRC Report 133, March 2018) &lt;</w:t>
      </w:r>
      <w:hyperlink r:id="rId22" w:history="1">
        <w:r w:rsidRPr="008F2AFF">
          <w:rPr>
            <w:rStyle w:val="Hyperlink"/>
            <w:rFonts w:cs="Open Sans"/>
            <w:sz w:val="17"/>
            <w:szCs w:val="17"/>
          </w:rPr>
          <w:t>https://www.alrc.gov.au/publication/pathways-to-justice-inquiry-into-the-incarceration-rate-of-aboriginal-and-torres-strait-islander-peoples-alrc-report-133/</w:t>
        </w:r>
      </w:hyperlink>
      <w:r w:rsidRPr="008F2AFF">
        <w:rPr>
          <w:rFonts w:cs="Open Sans"/>
          <w:sz w:val="17"/>
          <w:szCs w:val="17"/>
        </w:rPr>
        <w:t xml:space="preserve">&gt;. </w:t>
      </w:r>
    </w:p>
  </w:endnote>
  <w:endnote w:id="34">
    <w:p w14:paraId="59B78477" w14:textId="3F0ACD2C" w:rsidR="008F2AFF" w:rsidRPr="008F2AFF" w:rsidRDefault="008F2AFF" w:rsidP="00C11BA0">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SCRGSP (Steering Committee for the Review of Government Service Provision) 2016, </w:t>
      </w:r>
      <w:r w:rsidRPr="008F2AFF">
        <w:rPr>
          <w:rFonts w:cs="Open Sans"/>
          <w:i/>
          <w:iCs/>
          <w:sz w:val="17"/>
          <w:szCs w:val="17"/>
        </w:rPr>
        <w:t>Overcoming Indigenous Disadvantage: Key Indicators 2016</w:t>
      </w:r>
      <w:r w:rsidRPr="008F2AFF">
        <w:rPr>
          <w:rFonts w:cs="Open Sans"/>
          <w:sz w:val="17"/>
          <w:szCs w:val="17"/>
        </w:rPr>
        <w:t>, Productivity Commission (2016) 4.98 and table 4A.12.13 &lt;</w:t>
      </w:r>
      <w:hyperlink r:id="rId23" w:history="1">
        <w:r w:rsidRPr="008F2AFF">
          <w:rPr>
            <w:rStyle w:val="Hyperlink"/>
            <w:rFonts w:cs="Open Sans"/>
            <w:sz w:val="17"/>
            <w:szCs w:val="17"/>
          </w:rPr>
          <w:t>https://www.pc.gov.au/research/ongoing/overcoming-indigenous-disadvantage/2016/report-documents/oid-2016-overcoming-indigenous-disadvantage-key-indicators-2016-report.pdf</w:t>
        </w:r>
      </w:hyperlink>
      <w:r w:rsidRPr="008F2AFF">
        <w:rPr>
          <w:rStyle w:val="Hyperlink"/>
          <w:rFonts w:cs="Open Sans"/>
          <w:sz w:val="17"/>
          <w:szCs w:val="17"/>
        </w:rPr>
        <w:t>&gt;</w:t>
      </w:r>
      <w:r w:rsidRPr="008F2AFF">
        <w:rPr>
          <w:rFonts w:cs="Open Sans"/>
          <w:sz w:val="17"/>
          <w:szCs w:val="17"/>
        </w:rPr>
        <w:t>.</w:t>
      </w:r>
    </w:p>
  </w:endnote>
  <w:endnote w:id="35">
    <w:p w14:paraId="4570B464" w14:textId="03A46C73" w:rsidR="008F2AFF" w:rsidRPr="008F2AFF" w:rsidRDefault="008F2AFF">
      <w:pPr>
        <w:pStyle w:val="EndnoteText"/>
        <w:rPr>
          <w:rFonts w:cs="Open Sans"/>
          <w:b/>
          <w:bCs/>
          <w:sz w:val="17"/>
          <w:szCs w:val="17"/>
        </w:rPr>
      </w:pPr>
      <w:r w:rsidRPr="008F2AFF">
        <w:rPr>
          <w:rStyle w:val="EndnoteReference"/>
          <w:rFonts w:cs="Open Sans"/>
          <w:sz w:val="17"/>
          <w:szCs w:val="17"/>
        </w:rPr>
        <w:endnoteRef/>
      </w:r>
      <w:r w:rsidRPr="008F2AFF">
        <w:rPr>
          <w:rFonts w:cs="Open Sans"/>
          <w:sz w:val="17"/>
          <w:szCs w:val="17"/>
        </w:rPr>
        <w:t xml:space="preserve"> Australian Human Rights Commission, </w:t>
      </w:r>
      <w:r w:rsidRPr="008F2AFF">
        <w:rPr>
          <w:rFonts w:cs="Open Sans"/>
          <w:i/>
          <w:iCs/>
          <w:sz w:val="17"/>
          <w:szCs w:val="17"/>
        </w:rPr>
        <w:t>Wiyi Yani U Thangani: Securing our rights, securing our future report</w:t>
      </w:r>
      <w:r w:rsidRPr="008F2AFF">
        <w:rPr>
          <w:rFonts w:cs="Open Sans"/>
          <w:sz w:val="17"/>
          <w:szCs w:val="17"/>
        </w:rPr>
        <w:t xml:space="preserve"> (October 2020) &lt;https://humanrights.gov.au/our-work/aboriginal-and-torres-strait-islander-social-justice/publications/wiyi-yani-u-thangani&gt;.</w:t>
      </w:r>
    </w:p>
  </w:endnote>
  <w:endnote w:id="36">
    <w:p w14:paraId="231726FA" w14:textId="1E02D8A1"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Australian Law Reform Commission, </w:t>
      </w:r>
      <w:r w:rsidRPr="008F2AFF">
        <w:rPr>
          <w:rFonts w:cs="Open Sans"/>
          <w:i/>
          <w:iCs/>
          <w:sz w:val="17"/>
          <w:szCs w:val="17"/>
        </w:rPr>
        <w:t xml:space="preserve">Connection to Country: Review of the Native Title Act 1993 </w:t>
      </w:r>
      <w:r w:rsidRPr="008F2AFF">
        <w:rPr>
          <w:rFonts w:cs="Open Sans"/>
          <w:sz w:val="17"/>
          <w:szCs w:val="17"/>
        </w:rPr>
        <w:t>(ALRC Report 126, June 2015) &lt;</w:t>
      </w:r>
      <w:hyperlink r:id="rId24" w:history="1">
        <w:r w:rsidRPr="008F2AFF">
          <w:rPr>
            <w:rStyle w:val="Hyperlink"/>
            <w:rFonts w:cs="Open Sans"/>
            <w:sz w:val="17"/>
            <w:szCs w:val="17"/>
          </w:rPr>
          <w:t>https://www.alrc.gov.au/publication/connection-to-country-review-of-the-native-title-act-1993-cth-alrc-report-126/</w:t>
        </w:r>
      </w:hyperlink>
      <w:r w:rsidRPr="008F2AFF">
        <w:rPr>
          <w:rStyle w:val="Hyperlink"/>
          <w:rFonts w:cs="Open Sans"/>
          <w:sz w:val="17"/>
          <w:szCs w:val="17"/>
        </w:rPr>
        <w:t>&gt;</w:t>
      </w:r>
      <w:r w:rsidRPr="008F2AFF">
        <w:rPr>
          <w:rFonts w:cs="Open Sans"/>
          <w:sz w:val="17"/>
          <w:szCs w:val="17"/>
        </w:rPr>
        <w:t>.</w:t>
      </w:r>
    </w:p>
  </w:endnote>
  <w:endnote w:id="37">
    <w:p w14:paraId="1D2F7A45" w14:textId="0DEFD79A"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Joint Standing Committee on Northern Australia, </w:t>
      </w:r>
      <w:r w:rsidRPr="008F2AFF">
        <w:rPr>
          <w:rFonts w:cs="Open Sans"/>
          <w:i/>
          <w:iCs/>
          <w:sz w:val="17"/>
          <w:szCs w:val="17"/>
        </w:rPr>
        <w:t>A Way Forward</w:t>
      </w:r>
      <w:r w:rsidRPr="008F2AFF">
        <w:rPr>
          <w:rFonts w:cs="Open Sans"/>
          <w:sz w:val="17"/>
          <w:szCs w:val="17"/>
        </w:rPr>
        <w:t xml:space="preserve">: </w:t>
      </w:r>
      <w:r w:rsidRPr="008F2AFF">
        <w:rPr>
          <w:rFonts w:cs="Open Sans"/>
          <w:i/>
          <w:iCs/>
          <w:sz w:val="17"/>
          <w:szCs w:val="17"/>
        </w:rPr>
        <w:t>Final report into the destruction of Indigenous heritage sites at Juukan Gorge</w:t>
      </w:r>
      <w:r w:rsidRPr="008F2AFF">
        <w:rPr>
          <w:rFonts w:cs="Open Sans"/>
          <w:sz w:val="17"/>
          <w:szCs w:val="17"/>
        </w:rPr>
        <w:t> (October 2021) &lt;https://www.aph.gov.au/Parliamentary_Business/Committees/Joint/Northern_Australia/CavesatJuukanGorge/Report&gt;</w:t>
      </w:r>
    </w:p>
  </w:endnote>
  <w:endnote w:id="38">
    <w:p w14:paraId="62386613" w14:textId="2D8DFAAA"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‘A new national disability strategy’ </w:t>
      </w:r>
      <w:r w:rsidRPr="008F2AFF">
        <w:rPr>
          <w:rFonts w:cs="Open Sans"/>
          <w:i/>
          <w:iCs/>
          <w:sz w:val="17"/>
          <w:szCs w:val="17"/>
        </w:rPr>
        <w:t xml:space="preserve">Department of Social Services </w:t>
      </w:r>
      <w:r w:rsidRPr="008F2AFF">
        <w:rPr>
          <w:rFonts w:cs="Open Sans"/>
          <w:sz w:val="17"/>
          <w:szCs w:val="17"/>
        </w:rPr>
        <w:t>(Web Page) &lt;</w:t>
      </w:r>
      <w:hyperlink r:id="rId25" w:history="1">
        <w:r w:rsidRPr="008F2AFF">
          <w:rPr>
            <w:rStyle w:val="Hyperlink"/>
            <w:rFonts w:cs="Open Sans"/>
            <w:sz w:val="17"/>
            <w:szCs w:val="17"/>
          </w:rPr>
          <w:t>https://www.dss.gov.au/disability-and-carers/a-new-national-disability-strategy</w:t>
        </w:r>
      </w:hyperlink>
      <w:r w:rsidRPr="008F2AFF">
        <w:rPr>
          <w:rFonts w:cs="Open Sans"/>
          <w:sz w:val="17"/>
          <w:szCs w:val="17"/>
        </w:rPr>
        <w:t>&gt;.</w:t>
      </w:r>
    </w:p>
  </w:endnote>
  <w:endnote w:id="39">
    <w:p w14:paraId="18E845C0" w14:textId="21E698A8" w:rsidR="008F2AFF" w:rsidRPr="008F2AFF" w:rsidRDefault="008F2AFF" w:rsidP="001B2089">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Karen Soldatic et al, ‘Intellectual Disability and Complex Intersections: Marginalisation under the National Disability Insurance Scheme’ 1(1) </w:t>
      </w:r>
      <w:r w:rsidRPr="008F2AFF">
        <w:rPr>
          <w:rFonts w:cs="Open Sans"/>
          <w:i/>
          <w:iCs/>
          <w:sz w:val="17"/>
          <w:szCs w:val="17"/>
        </w:rPr>
        <w:t xml:space="preserve">Research and Practice in Intellectual and Developmental Disabilities </w:t>
      </w:r>
      <w:r w:rsidRPr="008F2AFF">
        <w:rPr>
          <w:rFonts w:cs="Open Sans"/>
          <w:sz w:val="17"/>
          <w:szCs w:val="17"/>
        </w:rPr>
        <w:t xml:space="preserve">6. See also Australian Human Rights Commission, </w:t>
      </w:r>
      <w:r w:rsidRPr="008F2AFF">
        <w:rPr>
          <w:rFonts w:cs="Open Sans"/>
          <w:i/>
          <w:iCs/>
          <w:sz w:val="17"/>
          <w:szCs w:val="17"/>
        </w:rPr>
        <w:t>Submission to the Committee on the Rights of Persons with</w:t>
      </w:r>
      <w:r w:rsidRPr="008F2AFF">
        <w:rPr>
          <w:rFonts w:cs="Open Sans"/>
          <w:sz w:val="17"/>
          <w:szCs w:val="17"/>
        </w:rPr>
        <w:t xml:space="preserve"> </w:t>
      </w:r>
      <w:r w:rsidRPr="008F2AFF">
        <w:rPr>
          <w:rFonts w:cs="Open Sans"/>
          <w:i/>
          <w:iCs/>
          <w:sz w:val="17"/>
          <w:szCs w:val="17"/>
        </w:rPr>
        <w:t xml:space="preserve">Disabilities </w:t>
      </w:r>
      <w:r w:rsidRPr="008F2AFF">
        <w:rPr>
          <w:rFonts w:cs="Open Sans"/>
          <w:sz w:val="17"/>
          <w:szCs w:val="17"/>
        </w:rPr>
        <w:t>(25 July 2019), [66] &lt;</w:t>
      </w:r>
      <w:hyperlink r:id="rId26" w:history="1">
        <w:r w:rsidRPr="008F2AFF">
          <w:rPr>
            <w:rStyle w:val="Hyperlink"/>
            <w:rFonts w:cs="Open Sans"/>
            <w:sz w:val="17"/>
            <w:szCs w:val="17"/>
          </w:rPr>
          <w:t>https://www.humanrights</w:t>
        </w:r>
      </w:hyperlink>
      <w:r w:rsidRPr="008F2AFF">
        <w:rPr>
          <w:rFonts w:cs="Open Sans"/>
          <w:sz w:val="17"/>
          <w:szCs w:val="17"/>
        </w:rPr>
        <w:t>.gov.au/our-work/legal/submission/information-concerningaustralias-compliance-convention-rights-persons&gt;.</w:t>
      </w:r>
    </w:p>
  </w:endnote>
  <w:endnote w:id="40">
    <w:p w14:paraId="55A3C129" w14:textId="7B74AF3E" w:rsidR="008F2AFF" w:rsidRPr="008F2AFF" w:rsidRDefault="008F2AFF" w:rsidP="00105EC2">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Australian Bureau of Statistics, </w:t>
      </w:r>
      <w:r w:rsidRPr="008F2AFF">
        <w:rPr>
          <w:rFonts w:cs="Open Sans"/>
          <w:i/>
          <w:iCs/>
          <w:sz w:val="17"/>
          <w:szCs w:val="17"/>
        </w:rPr>
        <w:t>Disability, Ageing and Carers, Australia: Summary of Findings, 2018</w:t>
      </w:r>
      <w:r w:rsidRPr="008F2AFF">
        <w:rPr>
          <w:rFonts w:cs="Open Sans"/>
          <w:sz w:val="17"/>
          <w:szCs w:val="17"/>
        </w:rPr>
        <w:t xml:space="preserve"> (24 October 2019). &lt;</w:t>
      </w:r>
      <w:hyperlink r:id="rId27" w:history="1">
        <w:r w:rsidRPr="008F2AFF">
          <w:rPr>
            <w:rStyle w:val="Hyperlink"/>
            <w:rFonts w:cs="Open Sans"/>
            <w:sz w:val="17"/>
            <w:szCs w:val="17"/>
          </w:rPr>
          <w:t>https://www.abs.gov.au/ausstats/abs@.nsf/mf/4430.0</w:t>
        </w:r>
      </w:hyperlink>
      <w:r w:rsidRPr="008F2AFF">
        <w:rPr>
          <w:rFonts w:cs="Open Sans"/>
          <w:sz w:val="17"/>
          <w:szCs w:val="17"/>
        </w:rPr>
        <w:t>&gt;.</w:t>
      </w:r>
    </w:p>
  </w:endnote>
  <w:endnote w:id="41">
    <w:p w14:paraId="3BBCC914" w14:textId="66C10B79" w:rsidR="008F2AFF" w:rsidRPr="008F2AFF" w:rsidRDefault="008F2AFF" w:rsidP="003654FF">
      <w:pPr>
        <w:pStyle w:val="EndnoteText"/>
        <w:tabs>
          <w:tab w:val="left" w:pos="1464"/>
        </w:tabs>
        <w:rPr>
          <w:rFonts w:cs="Open Sans"/>
          <w:sz w:val="17"/>
          <w:szCs w:val="17"/>
        </w:rPr>
      </w:pPr>
      <w:r w:rsidRPr="008F2AFF">
        <w:rPr>
          <w:rStyle w:val="EndnoteReference"/>
          <w:rFonts w:cs="Open Sans"/>
          <w:sz w:val="17"/>
          <w:szCs w:val="17"/>
        </w:rPr>
        <w:endnoteRef/>
      </w:r>
      <w:r w:rsidRPr="008F2AFF">
        <w:rPr>
          <w:rFonts w:cs="Open Sans"/>
          <w:sz w:val="17"/>
          <w:szCs w:val="17"/>
        </w:rPr>
        <w:t xml:space="preserve"> ‘IncudeAbility’ </w:t>
      </w:r>
      <w:r w:rsidRPr="008F2AFF">
        <w:rPr>
          <w:rFonts w:cs="Open Sans"/>
          <w:i/>
          <w:iCs/>
          <w:sz w:val="17"/>
          <w:szCs w:val="17"/>
        </w:rPr>
        <w:t xml:space="preserve">Australian Human Rights Commission </w:t>
      </w:r>
      <w:r w:rsidRPr="008F2AFF">
        <w:rPr>
          <w:rFonts w:cs="Open Sans"/>
          <w:sz w:val="17"/>
          <w:szCs w:val="17"/>
        </w:rPr>
        <w:t>(Web Page) &lt;</w:t>
      </w:r>
      <w:hyperlink r:id="rId28" w:history="1">
        <w:r w:rsidRPr="008F2AFF">
          <w:rPr>
            <w:rStyle w:val="Hyperlink"/>
            <w:rFonts w:cs="Open Sans"/>
            <w:sz w:val="17"/>
            <w:szCs w:val="17"/>
          </w:rPr>
          <w:t>https://humanrights.gov.au/our-work/disability-rights/projects/includeability</w:t>
        </w:r>
      </w:hyperlink>
      <w:r w:rsidRPr="008F2AFF">
        <w:rPr>
          <w:rFonts w:cs="Open Sans"/>
          <w:sz w:val="17"/>
          <w:szCs w:val="17"/>
        </w:rPr>
        <w:t>&gt;.</w:t>
      </w:r>
    </w:p>
  </w:endnote>
  <w:endnote w:id="42">
    <w:p w14:paraId="229D4AF1" w14:textId="3AD131C6"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Australian Human Rights Commission, </w:t>
      </w:r>
      <w:r w:rsidRPr="008F2AFF">
        <w:rPr>
          <w:rFonts w:cs="Open Sans"/>
          <w:i/>
          <w:iCs/>
          <w:sz w:val="17"/>
          <w:szCs w:val="17"/>
        </w:rPr>
        <w:t xml:space="preserve">Willing to Work—National Inquiry into Employment Discrimination against Older Australians and Australians with Disability </w:t>
      </w:r>
      <w:r w:rsidRPr="008F2AFF">
        <w:rPr>
          <w:rFonts w:cs="Open Sans"/>
          <w:sz w:val="17"/>
          <w:szCs w:val="17"/>
        </w:rPr>
        <w:t>(March 2015) &lt; https://humanrights.gov.au/our-work/age-discrimination/projects/willing-work-national-inquiry-employment-discrimination&gt;.</w:t>
      </w:r>
    </w:p>
  </w:endnote>
  <w:endnote w:id="43">
    <w:p w14:paraId="7BB51E85" w14:textId="4E69B33A" w:rsidR="008F2AFF" w:rsidRPr="008F2AFF" w:rsidRDefault="008F2AFF" w:rsidP="009A5087">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See Australian Human Rights Commission, </w:t>
      </w:r>
      <w:r w:rsidRPr="008F2AFF">
        <w:rPr>
          <w:rFonts w:cs="Open Sans"/>
          <w:i/>
          <w:iCs/>
          <w:sz w:val="17"/>
          <w:szCs w:val="17"/>
        </w:rPr>
        <w:t>Information Concerning Australia’s Compliance with the Convention on the Elimination of All Forms of Discrimination against Women</w:t>
      </w:r>
      <w:r w:rsidRPr="008F2AFF">
        <w:rPr>
          <w:rFonts w:cs="Open Sans"/>
          <w:sz w:val="17"/>
          <w:szCs w:val="17"/>
        </w:rPr>
        <w:t xml:space="preserve"> (12 June 2018) [25] &lt;</w:t>
      </w:r>
      <w:hyperlink r:id="rId29" w:history="1">
        <w:r w:rsidRPr="008F2AFF">
          <w:rPr>
            <w:rStyle w:val="Hyperlink"/>
            <w:rFonts w:cs="Open Sans"/>
            <w:sz w:val="17"/>
            <w:szCs w:val="17"/>
          </w:rPr>
          <w:t>https://tbinternet.ohchr.org/Treaties/CEDAW/Shared%20Documents/AUS/INT_CEDAW_IFN_AUS_31439_E.pdf</w:t>
        </w:r>
      </w:hyperlink>
      <w:r w:rsidRPr="008F2AFF">
        <w:rPr>
          <w:rFonts w:cs="Open Sans"/>
          <w:sz w:val="17"/>
          <w:szCs w:val="17"/>
        </w:rPr>
        <w:t>&gt;; Australian Human Rights Commission, ‘Information Relating to 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 (1 November 2018) [204]-[205] &lt;</w:t>
      </w:r>
      <w:hyperlink r:id="rId30" w:history="1">
        <w:r w:rsidRPr="008F2AFF">
          <w:rPr>
            <w:rStyle w:val="Hyperlink"/>
            <w:rFonts w:cs="Open Sans"/>
            <w:sz w:val="17"/>
            <w:szCs w:val="17"/>
          </w:rPr>
          <w:t>https://www.humanrights.gov.au/our-work/childrens-rights/publications/report-un-committee-rights-child-2018</w:t>
        </w:r>
      </w:hyperlink>
      <w:r w:rsidRPr="008F2AFF">
        <w:rPr>
          <w:rStyle w:val="Hyperlink"/>
          <w:rFonts w:cs="Open Sans"/>
          <w:sz w:val="17"/>
          <w:szCs w:val="17"/>
        </w:rPr>
        <w:t>&gt;</w:t>
      </w:r>
      <w:r w:rsidRPr="008F2AFF">
        <w:rPr>
          <w:rFonts w:cs="Open Sans"/>
          <w:sz w:val="17"/>
          <w:szCs w:val="17"/>
        </w:rPr>
        <w:t xml:space="preserve">; and Australian Human Rights Commission, </w:t>
      </w:r>
      <w:r w:rsidRPr="008F2AFF">
        <w:rPr>
          <w:rFonts w:cs="Open Sans"/>
          <w:i/>
          <w:iCs/>
          <w:sz w:val="17"/>
          <w:szCs w:val="17"/>
        </w:rPr>
        <w:t>Submission to the UN Human Rights Committee: Information Concerning Australia’s Compliance with the International Covenant on Civil and Political Rights</w:t>
      </w:r>
      <w:r w:rsidRPr="008F2AFF">
        <w:rPr>
          <w:rFonts w:cs="Open Sans"/>
          <w:sz w:val="17"/>
          <w:szCs w:val="17"/>
        </w:rPr>
        <w:t xml:space="preserve"> (18 September 2017) [61] &lt;</w:t>
      </w:r>
      <w:hyperlink r:id="rId31" w:history="1">
        <w:r w:rsidRPr="008F2AFF">
          <w:rPr>
            <w:rStyle w:val="Hyperlink"/>
            <w:rFonts w:cs="Open Sans"/>
            <w:sz w:val="17"/>
            <w:szCs w:val="17"/>
          </w:rPr>
          <w:t>https://tbinternet.ohchr.org/Treaties/CCPR/Shared%20Documents/AUS/INT_CCPR_NHS_AUS_28980_E.pdf</w:t>
        </w:r>
      </w:hyperlink>
      <w:r w:rsidRPr="008F2AFF">
        <w:rPr>
          <w:rStyle w:val="Hyperlink"/>
          <w:rFonts w:cs="Open Sans"/>
          <w:sz w:val="17"/>
          <w:szCs w:val="17"/>
        </w:rPr>
        <w:t>&gt;.</w:t>
      </w:r>
      <w:r w:rsidRPr="008F2AFF">
        <w:rPr>
          <w:rFonts w:cs="Open Sans"/>
          <w:sz w:val="17"/>
          <w:szCs w:val="17"/>
        </w:rPr>
        <w:t xml:space="preserve"> </w:t>
      </w:r>
    </w:p>
  </w:endnote>
  <w:endnote w:id="44">
    <w:p w14:paraId="5436640C" w14:textId="4157D4E6" w:rsidR="008F2AFF" w:rsidRPr="008F2AFF" w:rsidRDefault="008F2AFF" w:rsidP="003E16B2">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Australian Human Rights Commission, </w:t>
      </w:r>
      <w:r w:rsidRPr="008F2AFF">
        <w:rPr>
          <w:rFonts w:cs="Open Sans"/>
          <w:i/>
          <w:iCs/>
          <w:sz w:val="17"/>
          <w:szCs w:val="17"/>
        </w:rPr>
        <w:t>A Future Without Violence: Quality, Safeguarding and Oversight to Prevent and Address Violence against People with Disability in Institutional Settings</w:t>
      </w:r>
      <w:r w:rsidRPr="008F2AFF">
        <w:rPr>
          <w:rFonts w:cs="Open Sans"/>
          <w:sz w:val="17"/>
          <w:szCs w:val="17"/>
        </w:rPr>
        <w:t xml:space="preserve"> (June 2018) &lt;</w:t>
      </w:r>
      <w:hyperlink r:id="rId32" w:history="1">
        <w:r w:rsidRPr="008F2AFF">
          <w:rPr>
            <w:rStyle w:val="Hyperlink"/>
            <w:rFonts w:cs="Open Sans"/>
            <w:sz w:val="17"/>
            <w:szCs w:val="17"/>
          </w:rPr>
          <w:t>https://www.humanrights.gov.au/our-work/disability-rights/publications/future-without-violence-2018</w:t>
        </w:r>
      </w:hyperlink>
      <w:r w:rsidRPr="008F2AFF">
        <w:rPr>
          <w:rStyle w:val="Hyperlink"/>
          <w:rFonts w:cs="Open Sans"/>
          <w:sz w:val="17"/>
          <w:szCs w:val="17"/>
        </w:rPr>
        <w:t>&gt;</w:t>
      </w:r>
      <w:r w:rsidRPr="008F2AFF">
        <w:rPr>
          <w:rFonts w:cs="Open Sans"/>
          <w:sz w:val="17"/>
          <w:szCs w:val="17"/>
        </w:rPr>
        <w:t xml:space="preserve">. </w:t>
      </w:r>
    </w:p>
  </w:endnote>
  <w:endnote w:id="45">
    <w:p w14:paraId="002895F8" w14:textId="1B74633C" w:rsidR="008F2AFF" w:rsidRPr="008F2AFF" w:rsidRDefault="008F2AFF" w:rsidP="003E16B2">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Australian Institute of Health and Welfare, ‘Family, Domestic and Sexual Violence in Australia: Continuing the National Story 2019’ (5 June 2019) &lt;</w:t>
      </w:r>
      <w:hyperlink r:id="rId33" w:history="1">
        <w:r w:rsidRPr="008F2AFF">
          <w:rPr>
            <w:rStyle w:val="Hyperlink"/>
            <w:rFonts w:cs="Open Sans"/>
            <w:sz w:val="17"/>
            <w:szCs w:val="17"/>
          </w:rPr>
          <w:t>https://www.aihw.gov.au/reports/domestic-violence/family-domestic-sexual-violence-australia-2019/report-editions</w:t>
        </w:r>
      </w:hyperlink>
      <w:r w:rsidRPr="008F2AFF">
        <w:rPr>
          <w:rStyle w:val="Hyperlink"/>
          <w:rFonts w:cs="Open Sans"/>
          <w:sz w:val="17"/>
          <w:szCs w:val="17"/>
        </w:rPr>
        <w:t>&gt;.</w:t>
      </w:r>
      <w:r w:rsidRPr="008F2AFF">
        <w:rPr>
          <w:rFonts w:cs="Open Sans"/>
          <w:sz w:val="17"/>
          <w:szCs w:val="17"/>
        </w:rPr>
        <w:t xml:space="preserve"> </w:t>
      </w:r>
    </w:p>
  </w:endnote>
  <w:endnote w:id="46">
    <w:p w14:paraId="300DF880" w14:textId="032D7735" w:rsidR="008F2AFF" w:rsidRPr="008F2AFF" w:rsidRDefault="008F2AFF" w:rsidP="003E16B2">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Council of Australian Governments, </w:t>
      </w:r>
      <w:r w:rsidRPr="008F2AFF">
        <w:rPr>
          <w:rFonts w:cs="Open Sans"/>
          <w:i/>
          <w:iCs/>
          <w:sz w:val="17"/>
          <w:szCs w:val="17"/>
        </w:rPr>
        <w:t>National Framework for Reducing and Eliminating the Use of Restrictive Practices in the Disability Services Sector</w:t>
      </w:r>
      <w:r w:rsidRPr="008F2AFF">
        <w:rPr>
          <w:rFonts w:cs="Open Sans"/>
          <w:sz w:val="17"/>
          <w:szCs w:val="17"/>
        </w:rPr>
        <w:t xml:space="preserve"> (1 May 2013) &lt;</w:t>
      </w:r>
      <w:hyperlink r:id="rId34" w:history="1">
        <w:r w:rsidRPr="008F2AFF">
          <w:rPr>
            <w:rStyle w:val="Hyperlink"/>
            <w:rFonts w:cs="Open Sans"/>
            <w:sz w:val="17"/>
            <w:szCs w:val="17"/>
          </w:rPr>
          <w:t>https://www.dss.gov.au/our-responsibilities/disability-and-carers/publications-articles/policy-research/national-framework-for-reducing-and-eliminating-the-use-of-restrictive-practices-in-the-disability-service-sector</w:t>
        </w:r>
      </w:hyperlink>
      <w:r w:rsidRPr="008F2AFF">
        <w:rPr>
          <w:rStyle w:val="Hyperlink"/>
          <w:rFonts w:cs="Open Sans"/>
          <w:sz w:val="17"/>
          <w:szCs w:val="17"/>
        </w:rPr>
        <w:t>&gt;.</w:t>
      </w:r>
      <w:r w:rsidRPr="008F2AFF">
        <w:rPr>
          <w:rFonts w:cs="Open Sans"/>
          <w:sz w:val="17"/>
          <w:szCs w:val="17"/>
        </w:rPr>
        <w:t xml:space="preserve"> </w:t>
      </w:r>
    </w:p>
  </w:endnote>
  <w:endnote w:id="47">
    <w:p w14:paraId="6E8A1226" w14:textId="3E6BA56C" w:rsidR="008F2AFF" w:rsidRPr="008F2AFF" w:rsidRDefault="008F2AFF" w:rsidP="000F3FE5">
      <w:pPr>
        <w:pStyle w:val="EndnoteText"/>
        <w:rPr>
          <w:rFonts w:cs="Open Sans"/>
          <w:i/>
          <w:iCs/>
          <w:sz w:val="17"/>
          <w:szCs w:val="17"/>
        </w:rPr>
      </w:pPr>
      <w:r w:rsidRPr="008F2AFF">
        <w:rPr>
          <w:rStyle w:val="EndnoteReference"/>
          <w:rFonts w:cs="Open Sans"/>
          <w:sz w:val="17"/>
          <w:szCs w:val="17"/>
        </w:rPr>
        <w:endnoteRef/>
      </w:r>
      <w:r w:rsidRPr="008F2AFF">
        <w:rPr>
          <w:rFonts w:cs="Open Sans"/>
          <w:sz w:val="17"/>
          <w:szCs w:val="17"/>
        </w:rPr>
        <w:t xml:space="preserve"> United Nations Committee on Economic, Social and Cultural Rights</w:t>
      </w:r>
      <w:r w:rsidRPr="008F2AFF">
        <w:rPr>
          <w:rFonts w:cs="Open Sans"/>
          <w:i/>
          <w:iCs/>
          <w:sz w:val="17"/>
          <w:szCs w:val="17"/>
        </w:rPr>
        <w:t>, Concluding observations on fifth periodic report on Australia</w:t>
      </w:r>
      <w:r w:rsidRPr="008F2AFF">
        <w:rPr>
          <w:rFonts w:cs="Open Sans"/>
          <w:sz w:val="17"/>
          <w:szCs w:val="17"/>
        </w:rPr>
        <w:t>, 61</w:t>
      </w:r>
      <w:r w:rsidRPr="008F2AFF">
        <w:rPr>
          <w:rFonts w:cs="Open Sans"/>
          <w:sz w:val="17"/>
          <w:szCs w:val="17"/>
          <w:vertAlign w:val="superscript"/>
        </w:rPr>
        <w:t>st</w:t>
      </w:r>
      <w:r w:rsidRPr="008F2AFF">
        <w:rPr>
          <w:rFonts w:cs="Open Sans"/>
          <w:sz w:val="17"/>
          <w:szCs w:val="17"/>
        </w:rPr>
        <w:t xml:space="preserve"> sess, UN Doc E/C.12/Aus/CO/5 (11 July 2017) [45-46]; Royal Commission into Violence, Abuse, Neglect and Exploitation of People with Disability, ‘People with disability over represented at all stages of the criminal justice system’ (Media Release, 23 December 2020) &lt; https://disability.royalcommission.gov.au/news-and-media/media-releases/people-disability-over-represented-all-stages-criminal-justice-system &gt;; Australian Bureau of Statistics, </w:t>
      </w:r>
      <w:r w:rsidRPr="008F2AFF">
        <w:rPr>
          <w:rFonts w:cs="Open Sans"/>
          <w:i/>
          <w:iCs/>
          <w:sz w:val="17"/>
          <w:szCs w:val="17"/>
        </w:rPr>
        <w:t xml:space="preserve">Prisoners in Australia, Aboriginal and Torres Strait Islander Prisoner Characteristics </w:t>
      </w:r>
      <w:r w:rsidRPr="008F2AFF">
        <w:rPr>
          <w:rFonts w:cs="Open Sans"/>
          <w:sz w:val="17"/>
          <w:szCs w:val="17"/>
        </w:rPr>
        <w:t>(9 December 2021) &lt; https://www.abs.gov.au/statistics/people/crime-and-justice/prisoners-australia/latest-release#aboriginal-and-torres-strait-islander-prisoners&gt;.</w:t>
      </w:r>
    </w:p>
  </w:endnote>
  <w:endnote w:id="48">
    <w:p w14:paraId="4A69C4C0" w14:textId="0F19338C" w:rsidR="008F2AFF" w:rsidRPr="008F2AFF" w:rsidRDefault="008F2AFF" w:rsidP="003E16B2">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Voluntary commitment made by Australia: Human Rights Council, </w:t>
      </w:r>
      <w:r w:rsidRPr="008F2AFF">
        <w:rPr>
          <w:rFonts w:cs="Open Sans"/>
          <w:i/>
          <w:iCs/>
          <w:sz w:val="17"/>
          <w:szCs w:val="17"/>
        </w:rPr>
        <w:t>Report of the Working Group on the Universal Periodic Review: Australia</w:t>
      </w:r>
      <w:r w:rsidRPr="008F2AFF">
        <w:rPr>
          <w:rFonts w:cs="Open Sans"/>
          <w:sz w:val="17"/>
          <w:szCs w:val="17"/>
        </w:rPr>
        <w:t>, Un Doc A/HRC/31/14 (13 January 2016) [141] &lt;</w:t>
      </w:r>
      <w:hyperlink r:id="rId35" w:history="1">
        <w:r w:rsidRPr="008F2AFF">
          <w:rPr>
            <w:rStyle w:val="Hyperlink"/>
            <w:rFonts w:cs="Open Sans"/>
            <w:sz w:val="17"/>
            <w:szCs w:val="17"/>
          </w:rPr>
          <w:t>https://undocs.org/A/HRC/31/14</w:t>
        </w:r>
      </w:hyperlink>
      <w:r w:rsidRPr="008F2AFF">
        <w:rPr>
          <w:rFonts w:cs="Open Sans"/>
          <w:sz w:val="17"/>
          <w:szCs w:val="17"/>
        </w:rPr>
        <w:t xml:space="preserve">&gt;; and Human Rights Council, </w:t>
      </w:r>
      <w:r w:rsidRPr="008F2AFF">
        <w:rPr>
          <w:rFonts w:cs="Open Sans"/>
          <w:i/>
          <w:iCs/>
          <w:sz w:val="17"/>
          <w:szCs w:val="17"/>
        </w:rPr>
        <w:t>Addendum: Views on Conclusions and/or Recommendations, Voluntary Commitments and Replies Presented by the State under Review</w:t>
      </w:r>
      <w:r w:rsidRPr="008F2AFF">
        <w:rPr>
          <w:rFonts w:cs="Open Sans"/>
          <w:sz w:val="17"/>
          <w:szCs w:val="17"/>
        </w:rPr>
        <w:t>, UN Doc A/HRC/31/14/Add.1 (29 February 2016) [37] &lt;</w:t>
      </w:r>
      <w:hyperlink r:id="rId36" w:history="1">
        <w:r w:rsidRPr="008F2AFF">
          <w:rPr>
            <w:rStyle w:val="Hyperlink"/>
            <w:rFonts w:cs="Open Sans"/>
            <w:sz w:val="17"/>
            <w:szCs w:val="17"/>
          </w:rPr>
          <w:t>https://www.ohchr.org/EN/HRBodies/UPR/Pages/AUIndex.aspx</w:t>
        </w:r>
      </w:hyperlink>
      <w:r w:rsidRPr="008F2AFF">
        <w:rPr>
          <w:rFonts w:cs="Open Sans"/>
          <w:sz w:val="17"/>
          <w:szCs w:val="17"/>
        </w:rPr>
        <w:t>&gt;. In 2019, the National Statement of Principles Relating to Persons Unfit to Plead or Found Not Guilty by Reason of Cognitive or Mental Health Impairment was finalised. It is voluntary and not all states have committed to implement it. This falls short of expected actions.</w:t>
      </w:r>
    </w:p>
  </w:endnote>
  <w:endnote w:id="49">
    <w:p w14:paraId="56ADCB32" w14:textId="127E79B0" w:rsidR="008F2AFF" w:rsidRPr="008F2AFF" w:rsidRDefault="008F2AFF" w:rsidP="003E16B2">
      <w:pPr>
        <w:pStyle w:val="EndnoteText"/>
        <w:tabs>
          <w:tab w:val="right" w:pos="709"/>
        </w:tabs>
        <w:rPr>
          <w:rFonts w:cs="Open Sans"/>
          <w:sz w:val="17"/>
          <w:szCs w:val="17"/>
        </w:rPr>
      </w:pPr>
      <w:r w:rsidRPr="008F2AFF">
        <w:rPr>
          <w:rStyle w:val="EndnoteReference"/>
          <w:rFonts w:cs="Open Sans"/>
          <w:sz w:val="17"/>
          <w:szCs w:val="17"/>
        </w:rPr>
        <w:endnoteRef/>
      </w:r>
      <w:r w:rsidRPr="008F2AFF">
        <w:rPr>
          <w:rFonts w:cs="Open Sans"/>
          <w:sz w:val="17"/>
          <w:szCs w:val="17"/>
        </w:rPr>
        <w:t xml:space="preserve"> See: Australian Human Rights Commission, Submission to the Committee on the Rights of Persons with Disabilities (25 July 2019), [66] &lt;</w:t>
      </w:r>
      <w:hyperlink r:id="rId37" w:history="1">
        <w:r w:rsidRPr="008F2AFF">
          <w:rPr>
            <w:rStyle w:val="Hyperlink"/>
            <w:rFonts w:cs="Open Sans"/>
            <w:sz w:val="17"/>
            <w:szCs w:val="17"/>
          </w:rPr>
          <w:t>https://www.humanrights.gov.au/our-work/legal/submission/information-concerning-australias-compliance-convention-rights-persons</w:t>
        </w:r>
      </w:hyperlink>
      <w:r w:rsidRPr="008F2AFF">
        <w:rPr>
          <w:rFonts w:cs="Open Sans"/>
          <w:sz w:val="17"/>
          <w:szCs w:val="17"/>
        </w:rPr>
        <w:t>&gt;.</w:t>
      </w:r>
    </w:p>
  </w:endnote>
  <w:endnote w:id="50">
    <w:p w14:paraId="0114B240" w14:textId="5004048E" w:rsidR="008F2AFF" w:rsidRPr="008F2AFF" w:rsidRDefault="008F2AFF" w:rsidP="006B6EFB">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‘Australia’s Gender Pay Gap Statistics’ </w:t>
      </w:r>
      <w:r w:rsidRPr="008F2AFF">
        <w:rPr>
          <w:rFonts w:cs="Open Sans"/>
          <w:i/>
          <w:iCs/>
          <w:sz w:val="17"/>
          <w:szCs w:val="17"/>
        </w:rPr>
        <w:t>Workplace Gender Equality Agency</w:t>
      </w:r>
      <w:r w:rsidRPr="008F2AFF">
        <w:rPr>
          <w:rFonts w:cs="Open Sans"/>
          <w:sz w:val="17"/>
          <w:szCs w:val="17"/>
        </w:rPr>
        <w:t xml:space="preserve"> (Web Page, August 2021) &lt;</w:t>
      </w:r>
      <w:hyperlink r:id="rId38" w:history="1">
        <w:r w:rsidRPr="008F2AFF">
          <w:rPr>
            <w:rStyle w:val="Hyperlink"/>
            <w:rFonts w:cs="Open Sans"/>
            <w:sz w:val="17"/>
            <w:szCs w:val="17"/>
          </w:rPr>
          <w:t>https://www.wgea.gov.au/publications/australias-gender-pay-gap-statistics</w:t>
        </w:r>
      </w:hyperlink>
      <w:r w:rsidRPr="008F2AFF">
        <w:rPr>
          <w:rFonts w:cs="Open Sans"/>
          <w:sz w:val="17"/>
          <w:szCs w:val="17"/>
        </w:rPr>
        <w:t xml:space="preserve">&gt;. For factors that contribute to the gender pay gap; see also: KPMG, </w:t>
      </w:r>
      <w:r w:rsidRPr="008F2AFF">
        <w:rPr>
          <w:rFonts w:cs="Open Sans"/>
          <w:i/>
          <w:iCs/>
          <w:sz w:val="17"/>
          <w:szCs w:val="17"/>
        </w:rPr>
        <w:t>She’s Price(d)less: The economics of the gender pay gap. Prepared for Diversity Council Australia (DCA) and the Workplace Gender Equality Agency</w:t>
      </w:r>
      <w:r w:rsidRPr="008F2AFF">
        <w:rPr>
          <w:rFonts w:cs="Open Sans"/>
          <w:sz w:val="17"/>
          <w:szCs w:val="17"/>
        </w:rPr>
        <w:t xml:space="preserve"> (August 2019) &lt;</w:t>
      </w:r>
      <w:hyperlink r:id="rId39" w:history="1">
        <w:r w:rsidRPr="008F2AFF">
          <w:rPr>
            <w:rStyle w:val="Hyperlink"/>
            <w:rFonts w:cs="Open Sans"/>
            <w:sz w:val="17"/>
            <w:szCs w:val="17"/>
          </w:rPr>
          <w:t>https://www.wgea.gov.au/data/wgea-research/shes-pricedless-the-economics-of-the-gender-pay-gap</w:t>
        </w:r>
      </w:hyperlink>
      <w:r w:rsidRPr="008F2AFF">
        <w:rPr>
          <w:rStyle w:val="Hyperlink"/>
          <w:rFonts w:cs="Open Sans"/>
          <w:sz w:val="17"/>
          <w:szCs w:val="17"/>
        </w:rPr>
        <w:t>&gt;</w:t>
      </w:r>
      <w:r w:rsidRPr="008F2AFF">
        <w:rPr>
          <w:rFonts w:cs="Open Sans"/>
          <w:sz w:val="17"/>
          <w:szCs w:val="17"/>
        </w:rPr>
        <w:t xml:space="preserve">; and Australian Human Rights Commission, </w:t>
      </w:r>
      <w:r w:rsidRPr="008F2AFF">
        <w:rPr>
          <w:rFonts w:cs="Open Sans"/>
          <w:i/>
          <w:iCs/>
          <w:sz w:val="17"/>
          <w:szCs w:val="17"/>
        </w:rPr>
        <w:t xml:space="preserve">Submission to the Finance and Public Administration References Committee on Gender segregation in the workplace and its impact on women’s economic equality </w:t>
      </w:r>
      <w:r w:rsidRPr="008F2AFF">
        <w:rPr>
          <w:rFonts w:cs="Open Sans"/>
          <w:sz w:val="17"/>
          <w:szCs w:val="17"/>
        </w:rPr>
        <w:t>(March 2017) &lt;</w:t>
      </w:r>
      <w:hyperlink r:id="rId40" w:history="1">
        <w:r w:rsidRPr="008F2AFF">
          <w:rPr>
            <w:rStyle w:val="Hyperlink"/>
            <w:rFonts w:cs="Open Sans"/>
            <w:sz w:val="17"/>
            <w:szCs w:val="17"/>
          </w:rPr>
          <w:t>https://www.humanrights.gov.au/our-work/legal/submission/gender-segregation-workplace-and-its-impact-womens-economic-equality</w:t>
        </w:r>
      </w:hyperlink>
      <w:r w:rsidRPr="008F2AFF">
        <w:rPr>
          <w:rFonts w:cs="Open Sans"/>
          <w:sz w:val="17"/>
          <w:szCs w:val="17"/>
        </w:rPr>
        <w:t xml:space="preserve">&gt;. </w:t>
      </w:r>
    </w:p>
  </w:endnote>
  <w:endnote w:id="51">
    <w:p w14:paraId="30E31EC3" w14:textId="74D6DC06" w:rsidR="00652C6A" w:rsidRDefault="00652C6A">
      <w:pPr>
        <w:pStyle w:val="EndnoteText"/>
      </w:pPr>
      <w:r>
        <w:rPr>
          <w:rStyle w:val="EndnoteReference"/>
        </w:rPr>
        <w:endnoteRef/>
      </w:r>
      <w:r>
        <w:t xml:space="preserve"> </w:t>
      </w:r>
      <w:r w:rsidRPr="008F2AFF">
        <w:rPr>
          <w:rFonts w:cs="Open Sans"/>
          <w:sz w:val="17"/>
          <w:szCs w:val="17"/>
        </w:rPr>
        <w:t xml:space="preserve">See: ASFA Research and Resource Centre, </w:t>
      </w:r>
      <w:r w:rsidRPr="008F2AFF">
        <w:rPr>
          <w:rFonts w:cs="Open Sans"/>
          <w:i/>
          <w:iCs/>
          <w:sz w:val="17"/>
          <w:szCs w:val="17"/>
        </w:rPr>
        <w:t>Superannuation account balances by age and gender</w:t>
      </w:r>
      <w:r w:rsidRPr="008F2AFF">
        <w:rPr>
          <w:rFonts w:cs="Open Sans"/>
          <w:sz w:val="17"/>
          <w:szCs w:val="17"/>
        </w:rPr>
        <w:t xml:space="preserve"> (October 2017) &lt;</w:t>
      </w:r>
      <w:hyperlink r:id="rId41" w:history="1">
        <w:r w:rsidRPr="008F2AFF">
          <w:rPr>
            <w:rStyle w:val="Hyperlink"/>
            <w:rFonts w:cs="Open Sans"/>
            <w:sz w:val="17"/>
            <w:szCs w:val="17"/>
          </w:rPr>
          <w:t>https://www.superannuation.asn.au/ArticleDocuments/359/1710_Superannuation_account_balances_by_age_and_gender.pdf.aspx</w:t>
        </w:r>
      </w:hyperlink>
      <w:r w:rsidRPr="008F2AFF">
        <w:rPr>
          <w:rFonts w:cs="Open Sans"/>
          <w:sz w:val="17"/>
          <w:szCs w:val="17"/>
        </w:rPr>
        <w:t>&gt;; Roger Wilkins, ‘The Household, Income and Labour Dynamics in Australia Survey: Selected Findings from Waves 1 to 16’ (Statistical Report No 13, Melbourne Institute, University of Melbourne, 2018) 35–38</w:t>
      </w:r>
      <w:r>
        <w:rPr>
          <w:rFonts w:cs="Open Sans"/>
          <w:sz w:val="17"/>
          <w:szCs w:val="17"/>
        </w:rPr>
        <w:t>.</w:t>
      </w:r>
      <w:r w:rsidRPr="008F2AFF">
        <w:rPr>
          <w:rFonts w:cs="Open Sans"/>
          <w:sz w:val="17"/>
          <w:szCs w:val="17"/>
        </w:rPr>
        <w:t>; Senate Economics References Committee, Parliament of Australia, ‘A Husband is Not a Retirement Plan: Achieving Economic Security for Women in Retirement’ (Report, 2016) 5–15, 119; and Australian Human Rights Commission (AHRC), ‘Accumulating Poverty? Women’s Experiences of Inequality over the Lifecycle’ (Issue paper, AHRC, 2009) 22–23.</w:t>
      </w:r>
    </w:p>
  </w:endnote>
  <w:endnote w:id="52">
    <w:p w14:paraId="144142CD" w14:textId="0375EEDB" w:rsidR="00EB65A5" w:rsidRPr="006307E0" w:rsidRDefault="00EB65A5">
      <w:pPr>
        <w:pStyle w:val="EndnoteText"/>
        <w:rPr>
          <w:sz w:val="17"/>
          <w:szCs w:val="17"/>
        </w:rPr>
      </w:pPr>
      <w:r w:rsidRPr="006307E0">
        <w:rPr>
          <w:rStyle w:val="EndnoteReference"/>
          <w:sz w:val="17"/>
          <w:szCs w:val="17"/>
        </w:rPr>
        <w:endnoteRef/>
      </w:r>
      <w:r w:rsidRPr="006307E0">
        <w:rPr>
          <w:sz w:val="17"/>
          <w:szCs w:val="17"/>
        </w:rPr>
        <w:t xml:space="preserve"> See Chief Executive Women, </w:t>
      </w:r>
      <w:r w:rsidRPr="006307E0">
        <w:rPr>
          <w:i/>
          <w:iCs/>
          <w:sz w:val="17"/>
          <w:szCs w:val="17"/>
        </w:rPr>
        <w:t xml:space="preserve">Senior Executive Census 2021 </w:t>
      </w:r>
      <w:r w:rsidRPr="006307E0">
        <w:rPr>
          <w:sz w:val="17"/>
          <w:szCs w:val="17"/>
        </w:rPr>
        <w:t xml:space="preserve">(September 2021) &lt; </w:t>
      </w:r>
      <w:hyperlink r:id="rId42" w:history="1">
        <w:r w:rsidRPr="006307E0">
          <w:rPr>
            <w:rStyle w:val="Hyperlink"/>
            <w:sz w:val="17"/>
            <w:szCs w:val="17"/>
          </w:rPr>
          <w:t>https://cew.org.au/topics/cew-senior-executive-census/</w:t>
        </w:r>
      </w:hyperlink>
      <w:r w:rsidRPr="006307E0">
        <w:rPr>
          <w:sz w:val="17"/>
          <w:szCs w:val="17"/>
        </w:rPr>
        <w:t xml:space="preserve">&gt;;  ‘Women in leadership’ </w:t>
      </w:r>
      <w:r w:rsidRPr="006307E0">
        <w:rPr>
          <w:i/>
          <w:iCs/>
          <w:sz w:val="17"/>
          <w:szCs w:val="17"/>
        </w:rPr>
        <w:t>Workplace Gender Equality Agency</w:t>
      </w:r>
      <w:r w:rsidRPr="006307E0">
        <w:rPr>
          <w:sz w:val="17"/>
          <w:szCs w:val="17"/>
        </w:rPr>
        <w:t xml:space="preserve"> (Web Page, 2020) &lt;https://www.wgea.gov.au/women-in-leadership&gt;;</w:t>
      </w:r>
      <w:r w:rsidRPr="006307E0">
        <w:rPr>
          <w:i/>
          <w:iCs/>
          <w:sz w:val="17"/>
          <w:szCs w:val="17"/>
        </w:rPr>
        <w:t xml:space="preserve"> </w:t>
      </w:r>
      <w:r w:rsidRPr="006307E0">
        <w:rPr>
          <w:sz w:val="17"/>
          <w:szCs w:val="17"/>
        </w:rPr>
        <w:t xml:space="preserve">‘Women on ASX Boards’ </w:t>
      </w:r>
      <w:r w:rsidRPr="006307E0">
        <w:rPr>
          <w:i/>
          <w:iCs/>
          <w:sz w:val="17"/>
          <w:szCs w:val="17"/>
        </w:rPr>
        <w:t xml:space="preserve">Australian Institute of Company Directors </w:t>
      </w:r>
      <w:r w:rsidRPr="006307E0">
        <w:rPr>
          <w:sz w:val="17"/>
          <w:szCs w:val="17"/>
        </w:rPr>
        <w:t>(Web Page, November 2021) &lt;https://aicd.companydirectors.com.au/advocacy/board-diversity/statistics&gt;.</w:t>
      </w:r>
    </w:p>
  </w:endnote>
  <w:endnote w:id="53">
    <w:p w14:paraId="4ECBCDE7" w14:textId="3A38E35A" w:rsidR="008F2AFF" w:rsidRPr="008F2AFF" w:rsidRDefault="008F2AFF" w:rsidP="006B6EFB">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w:t>
      </w:r>
      <w:r w:rsidR="002B5B21">
        <w:rPr>
          <w:rFonts w:cs="Open Sans"/>
          <w:sz w:val="17"/>
          <w:szCs w:val="17"/>
        </w:rPr>
        <w:t xml:space="preserve">Australian Human Rights Commission, </w:t>
      </w:r>
      <w:r w:rsidR="002B5B21">
        <w:rPr>
          <w:rFonts w:cs="Open Sans"/>
          <w:i/>
          <w:iCs/>
          <w:sz w:val="17"/>
          <w:szCs w:val="17"/>
        </w:rPr>
        <w:t>Better Decisions, Better Futures</w:t>
      </w:r>
      <w:r w:rsidR="00AB3549">
        <w:rPr>
          <w:rFonts w:cs="Open Sans"/>
          <w:i/>
          <w:iCs/>
          <w:sz w:val="17"/>
          <w:szCs w:val="17"/>
        </w:rPr>
        <w:t xml:space="preserve"> </w:t>
      </w:r>
      <w:r w:rsidR="00AB3549">
        <w:rPr>
          <w:rFonts w:cs="Open Sans"/>
          <w:sz w:val="17"/>
          <w:szCs w:val="17"/>
        </w:rPr>
        <w:t>(Discussion Paper, June 2020) &lt;</w:t>
      </w:r>
      <w:r w:rsidR="003D3434" w:rsidRPr="003D3434">
        <w:rPr>
          <w:rFonts w:cs="Open Sans"/>
          <w:sz w:val="17"/>
          <w:szCs w:val="17"/>
        </w:rPr>
        <w:t>https://humanrights.gov.au/sites/default/files/2020-06/PDF%20Better%20Decisions%2C%20Better%20Futures%20Discussion%20Paper_2020.pdf</w:t>
      </w:r>
      <w:r w:rsidR="003D3434">
        <w:rPr>
          <w:rFonts w:cs="Open Sans"/>
          <w:sz w:val="17"/>
          <w:szCs w:val="17"/>
        </w:rPr>
        <w:t>&gt;;</w:t>
      </w:r>
      <w:r w:rsidR="002B5B21">
        <w:rPr>
          <w:rFonts w:cs="Open Sans"/>
          <w:i/>
          <w:iCs/>
          <w:sz w:val="17"/>
          <w:szCs w:val="17"/>
        </w:rPr>
        <w:t xml:space="preserve"> </w:t>
      </w:r>
      <w:r w:rsidRPr="008F2AFF">
        <w:rPr>
          <w:rFonts w:cs="Open Sans"/>
          <w:sz w:val="17"/>
          <w:szCs w:val="17"/>
        </w:rPr>
        <w:t xml:space="preserve">UN Women, </w:t>
      </w:r>
      <w:r w:rsidRPr="008F2AFF">
        <w:rPr>
          <w:rFonts w:cs="Open Sans"/>
          <w:i/>
          <w:iCs/>
          <w:sz w:val="17"/>
          <w:szCs w:val="17"/>
        </w:rPr>
        <w:t>Policy Brief: The Impact of COVID-19 on Women</w:t>
      </w:r>
      <w:r w:rsidRPr="008F2AFF">
        <w:rPr>
          <w:rFonts w:cs="Open Sans"/>
          <w:sz w:val="17"/>
          <w:szCs w:val="17"/>
        </w:rPr>
        <w:t xml:space="preserve"> (9 April 2020). &lt;</w:t>
      </w:r>
      <w:hyperlink r:id="rId43" w:history="1">
        <w:r w:rsidRPr="008F2AFF">
          <w:rPr>
            <w:rStyle w:val="Hyperlink"/>
            <w:rFonts w:cs="Open Sans"/>
            <w:sz w:val="17"/>
            <w:szCs w:val="17"/>
          </w:rPr>
          <w:t>https://www.unwomen.org/-/media/headquarters/attachments/sections/library/publications/2020/policy-brief-the-impact-of-covid-19-on-women-en.pdf?la=en&amp;vs=1406</w:t>
        </w:r>
      </w:hyperlink>
      <w:r w:rsidRPr="008F2AFF">
        <w:rPr>
          <w:rStyle w:val="Hyperlink"/>
          <w:rFonts w:cs="Open Sans"/>
          <w:sz w:val="17"/>
          <w:szCs w:val="17"/>
        </w:rPr>
        <w:t>&gt;</w:t>
      </w:r>
    </w:p>
  </w:endnote>
  <w:endnote w:id="54">
    <w:p w14:paraId="056F0F59" w14:textId="535E4D66" w:rsidR="008F2AFF" w:rsidRPr="008F2AFF" w:rsidRDefault="008F2AFF" w:rsidP="006B6EFB">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Australian Human Rights Commission, </w:t>
      </w:r>
      <w:r w:rsidRPr="008F2AFF">
        <w:rPr>
          <w:rFonts w:cs="Open Sans"/>
          <w:i/>
          <w:iCs/>
          <w:sz w:val="17"/>
          <w:szCs w:val="17"/>
        </w:rPr>
        <w:t>Respect@Work: Sexual Harassment National Inquiry Report</w:t>
      </w:r>
      <w:r w:rsidRPr="008F2AFF">
        <w:rPr>
          <w:rFonts w:cs="Open Sans"/>
          <w:sz w:val="17"/>
          <w:szCs w:val="17"/>
        </w:rPr>
        <w:t xml:space="preserve"> (2020). &lt;</w:t>
      </w:r>
      <w:hyperlink r:id="rId44" w:history="1">
        <w:r w:rsidRPr="008F2AFF">
          <w:rPr>
            <w:rStyle w:val="Hyperlink"/>
            <w:rFonts w:cs="Open Sans"/>
            <w:sz w:val="17"/>
            <w:szCs w:val="17"/>
          </w:rPr>
          <w:t>https://www.humanrights.gov.au/our-work/sex-discrimination/publications/respectwork-sexual-harassment-national-inquiry-report-2020?mc_cid=1065707e3c&amp;mc_eid=%5bUNIQID%5d</w:t>
        </w:r>
      </w:hyperlink>
      <w:r w:rsidRPr="008F2AFF">
        <w:rPr>
          <w:rFonts w:cs="Open Sans"/>
          <w:sz w:val="17"/>
          <w:szCs w:val="17"/>
        </w:rPr>
        <w:t>&gt;.</w:t>
      </w:r>
    </w:p>
  </w:endnote>
  <w:endnote w:id="55">
    <w:p w14:paraId="3634C00D" w14:textId="345958BE" w:rsidR="008F2AFF" w:rsidRPr="008F2AFF" w:rsidRDefault="008F2AFF">
      <w:pPr>
        <w:pStyle w:val="EndnoteText"/>
        <w:rPr>
          <w:rFonts w:cs="Open Sans"/>
          <w:b/>
          <w:bCs/>
          <w:sz w:val="17"/>
          <w:szCs w:val="17"/>
        </w:rPr>
      </w:pPr>
      <w:r w:rsidRPr="008F2AFF">
        <w:rPr>
          <w:rStyle w:val="EndnoteReference"/>
          <w:rFonts w:cs="Open Sans"/>
          <w:sz w:val="17"/>
          <w:szCs w:val="17"/>
        </w:rPr>
        <w:endnoteRef/>
      </w:r>
      <w:r w:rsidRPr="008F2AFF">
        <w:rPr>
          <w:rFonts w:cs="Open Sans"/>
          <w:sz w:val="17"/>
          <w:szCs w:val="17"/>
        </w:rPr>
        <w:t xml:space="preserve"> Attorney-General’s Department, </w:t>
      </w:r>
      <w:r w:rsidRPr="008F2AFF">
        <w:rPr>
          <w:rFonts w:cs="Open Sans"/>
          <w:i/>
          <w:iCs/>
          <w:sz w:val="17"/>
          <w:szCs w:val="17"/>
        </w:rPr>
        <w:t xml:space="preserve">A Roadmap for Respect: Preventing and Addressing Sexual Harassment in Australian Workplaces </w:t>
      </w:r>
      <w:r w:rsidRPr="008F2AFF">
        <w:rPr>
          <w:rFonts w:cs="Open Sans"/>
          <w:sz w:val="17"/>
          <w:szCs w:val="17"/>
        </w:rPr>
        <w:t>(April 2021) &lt;https://www.ag.gov.au/rights-and-protections/publications/roadmap-for-respect&gt;.</w:t>
      </w:r>
    </w:p>
  </w:endnote>
  <w:endnote w:id="56">
    <w:p w14:paraId="1752CEEB" w14:textId="6A1932F0" w:rsidR="008F2AFF" w:rsidRPr="008F2AFF" w:rsidRDefault="008F2AFF">
      <w:pPr>
        <w:pStyle w:val="EndnoteText"/>
        <w:rPr>
          <w:rFonts w:cs="Open Sans"/>
          <w:b/>
          <w:bCs/>
          <w:sz w:val="17"/>
          <w:szCs w:val="17"/>
        </w:rPr>
      </w:pPr>
      <w:r w:rsidRPr="008F2AFF">
        <w:rPr>
          <w:rStyle w:val="EndnoteReference"/>
          <w:rFonts w:cs="Open Sans"/>
          <w:sz w:val="17"/>
          <w:szCs w:val="17"/>
        </w:rPr>
        <w:endnoteRef/>
      </w:r>
      <w:r w:rsidRPr="008F2AFF">
        <w:rPr>
          <w:rFonts w:cs="Open Sans"/>
          <w:sz w:val="17"/>
          <w:szCs w:val="17"/>
        </w:rPr>
        <w:t xml:space="preserve"> Australian Human Rights Commission, </w:t>
      </w:r>
      <w:r w:rsidRPr="008F2AFF">
        <w:rPr>
          <w:rFonts w:cs="Open Sans"/>
          <w:i/>
          <w:iCs/>
          <w:sz w:val="17"/>
          <w:szCs w:val="17"/>
        </w:rPr>
        <w:t>Set the Standard: Report on the Independent Review into Commonwealth Parliamentary Workplaces </w:t>
      </w:r>
      <w:r w:rsidRPr="008F2AFF">
        <w:rPr>
          <w:rFonts w:cs="Open Sans"/>
          <w:sz w:val="17"/>
          <w:szCs w:val="17"/>
        </w:rPr>
        <w:t>(November 2021) &lt;https://humanrights.gov.au/set-standard-2021&gt;.</w:t>
      </w:r>
    </w:p>
  </w:endnote>
  <w:endnote w:id="57">
    <w:p w14:paraId="677B6ECB" w14:textId="5D105B0A" w:rsidR="008F2AFF" w:rsidRPr="008F2AFF" w:rsidRDefault="008F2AFF" w:rsidP="00AC4C13">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‘Developing the next National Plan to Reduce Violence against Women and their Children’</w:t>
      </w:r>
    </w:p>
    <w:p w14:paraId="31DF8C1C" w14:textId="78E0539F" w:rsidR="008F2AFF" w:rsidRPr="008F2AFF" w:rsidRDefault="008F2AFF">
      <w:pPr>
        <w:pStyle w:val="EndnoteText"/>
        <w:rPr>
          <w:rFonts w:cs="Open Sans"/>
          <w:sz w:val="17"/>
          <w:szCs w:val="17"/>
        </w:rPr>
      </w:pPr>
      <w:r w:rsidRPr="008F2AFF">
        <w:rPr>
          <w:rFonts w:cs="Open Sans"/>
          <w:i/>
          <w:iCs/>
          <w:sz w:val="17"/>
          <w:szCs w:val="17"/>
        </w:rPr>
        <w:t>Department of Social Services</w:t>
      </w:r>
      <w:r w:rsidRPr="008F2AFF">
        <w:rPr>
          <w:rFonts w:cs="Open Sans"/>
          <w:sz w:val="17"/>
          <w:szCs w:val="17"/>
        </w:rPr>
        <w:t xml:space="preserve"> (Web Page) &lt;</w:t>
      </w:r>
      <w:hyperlink r:id="rId45" w:history="1">
        <w:r w:rsidRPr="008F2AFF">
          <w:rPr>
            <w:rStyle w:val="Hyperlink"/>
            <w:rFonts w:cs="Open Sans"/>
            <w:sz w:val="17"/>
            <w:szCs w:val="17"/>
          </w:rPr>
          <w:t>https://engage.dss.gov.au/developing-the-next-national-plan-to-reduce-violence-against-women-and-their-children/</w:t>
        </w:r>
      </w:hyperlink>
      <w:r w:rsidRPr="008F2AFF">
        <w:rPr>
          <w:rFonts w:cs="Open Sans"/>
          <w:sz w:val="17"/>
          <w:szCs w:val="17"/>
        </w:rPr>
        <w:t xml:space="preserve">&gt;. </w:t>
      </w:r>
    </w:p>
  </w:endnote>
  <w:endnote w:id="58">
    <w:p w14:paraId="7505E2D9" w14:textId="64AB7871" w:rsidR="008F2AFF" w:rsidRPr="008F2AFF" w:rsidRDefault="008F2AFF" w:rsidP="006B6EFB">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Our Watch, Australia’s National Research Organisation for Women’s Safety (ANROWS) and VicHealth, </w:t>
      </w:r>
      <w:r w:rsidRPr="008F2AFF">
        <w:rPr>
          <w:rFonts w:cs="Open Sans"/>
          <w:i/>
          <w:iCs/>
          <w:sz w:val="17"/>
          <w:szCs w:val="17"/>
        </w:rPr>
        <w:t xml:space="preserve">Framework foundations 2: Think pieces, stakeholder consultations, issues, implications and approach Companion document to Change the Story: A shared framework for the primary prevention of violence against women and their children in Australia </w:t>
      </w:r>
      <w:r w:rsidRPr="008F2AFF">
        <w:rPr>
          <w:rFonts w:cs="Open Sans"/>
          <w:sz w:val="17"/>
          <w:szCs w:val="17"/>
        </w:rPr>
        <w:t>(2015) 14 &lt;</w:t>
      </w:r>
      <w:hyperlink r:id="rId46" w:history="1">
        <w:r w:rsidRPr="008F2AFF">
          <w:rPr>
            <w:rStyle w:val="Hyperlink"/>
            <w:rFonts w:cs="Open Sans"/>
            <w:sz w:val="17"/>
            <w:szCs w:val="17"/>
          </w:rPr>
          <w:t>https://www.ourwatch.org.au/getmedia/a415a239-5de6-4dbd-806d-4e92a53e532e/Change-the-story-framework-foundations-2.pdf.aspx</w:t>
        </w:r>
      </w:hyperlink>
      <w:r w:rsidRPr="008F2AFF">
        <w:rPr>
          <w:rStyle w:val="Hyperlink"/>
          <w:rFonts w:cs="Open Sans"/>
          <w:sz w:val="17"/>
          <w:szCs w:val="17"/>
        </w:rPr>
        <w:t>&gt;</w:t>
      </w:r>
      <w:r w:rsidRPr="008F2AFF">
        <w:rPr>
          <w:rFonts w:cs="Open Sans"/>
          <w:sz w:val="17"/>
          <w:szCs w:val="17"/>
        </w:rPr>
        <w:t xml:space="preserve">; and Australian Human Rights Commission, </w:t>
      </w:r>
      <w:r w:rsidRPr="008F2AFF">
        <w:rPr>
          <w:rFonts w:cs="Open Sans"/>
          <w:i/>
          <w:iCs/>
          <w:sz w:val="17"/>
          <w:szCs w:val="17"/>
        </w:rPr>
        <w:t>A Conversation in Gender Equality</w:t>
      </w:r>
      <w:r w:rsidRPr="008F2AFF">
        <w:rPr>
          <w:rFonts w:cs="Open Sans"/>
          <w:sz w:val="17"/>
          <w:szCs w:val="17"/>
        </w:rPr>
        <w:t xml:space="preserve"> (2017) &lt;</w:t>
      </w:r>
      <w:hyperlink r:id="rId47" w:history="1">
        <w:r w:rsidRPr="008F2AFF">
          <w:rPr>
            <w:rStyle w:val="Hyperlink"/>
            <w:rFonts w:cs="Open Sans"/>
            <w:sz w:val="17"/>
            <w:szCs w:val="17"/>
          </w:rPr>
          <w:t>https://www.humanrights.gov.au/our-work/sex-discrimination/publications/conversation-gender-equality-2017</w:t>
        </w:r>
      </w:hyperlink>
      <w:r w:rsidRPr="008F2AFF">
        <w:rPr>
          <w:rStyle w:val="Hyperlink"/>
          <w:rFonts w:cs="Open Sans"/>
          <w:sz w:val="17"/>
          <w:szCs w:val="17"/>
        </w:rPr>
        <w:t>&gt;</w:t>
      </w:r>
      <w:r w:rsidRPr="008F2AFF">
        <w:rPr>
          <w:rFonts w:cs="Open Sans"/>
          <w:sz w:val="17"/>
          <w:szCs w:val="17"/>
        </w:rPr>
        <w:t>.</w:t>
      </w:r>
    </w:p>
  </w:endnote>
  <w:endnote w:id="59">
    <w:p w14:paraId="5647227F" w14:textId="77777777" w:rsidR="00234605" w:rsidRPr="006153B6" w:rsidRDefault="00234605" w:rsidP="00C10DB5">
      <w:pPr>
        <w:pStyle w:val="EndnoteText"/>
        <w:rPr>
          <w:sz w:val="17"/>
          <w:szCs w:val="17"/>
        </w:rPr>
      </w:pPr>
      <w:r w:rsidRPr="006153B6">
        <w:rPr>
          <w:rStyle w:val="EndnoteReference"/>
          <w:sz w:val="17"/>
          <w:szCs w:val="17"/>
        </w:rPr>
        <w:endnoteRef/>
      </w:r>
      <w:r w:rsidRPr="006153B6">
        <w:rPr>
          <w:sz w:val="17"/>
          <w:szCs w:val="17"/>
        </w:rPr>
        <w:t xml:space="preserve"> See Chanel Contos, ‘Petition for consent to be taught in Australian schools’ </w:t>
      </w:r>
      <w:r w:rsidRPr="006153B6">
        <w:rPr>
          <w:i/>
          <w:iCs/>
          <w:sz w:val="17"/>
          <w:szCs w:val="17"/>
        </w:rPr>
        <w:t xml:space="preserve">Teach us consent </w:t>
      </w:r>
      <w:r w:rsidRPr="006153B6">
        <w:rPr>
          <w:sz w:val="17"/>
          <w:szCs w:val="17"/>
        </w:rPr>
        <w:t>(Web Page) &lt;https://www.teachusconsent.com/&gt;.</w:t>
      </w:r>
    </w:p>
  </w:endnote>
  <w:endnote w:id="60">
    <w:p w14:paraId="020350F6" w14:textId="77777777" w:rsidR="00234605" w:rsidRPr="006153B6" w:rsidRDefault="00234605" w:rsidP="00C10DB5">
      <w:pPr>
        <w:pStyle w:val="EndnoteText"/>
        <w:rPr>
          <w:sz w:val="17"/>
          <w:szCs w:val="17"/>
        </w:rPr>
      </w:pPr>
      <w:r w:rsidRPr="006153B6">
        <w:rPr>
          <w:rStyle w:val="EndnoteReference"/>
          <w:sz w:val="17"/>
          <w:szCs w:val="17"/>
        </w:rPr>
        <w:endnoteRef/>
      </w:r>
      <w:r w:rsidRPr="006153B6">
        <w:rPr>
          <w:sz w:val="17"/>
          <w:szCs w:val="17"/>
        </w:rPr>
        <w:t xml:space="preserve"> See Australian Human Rights Commission, </w:t>
      </w:r>
      <w:r w:rsidRPr="006153B6">
        <w:rPr>
          <w:i/>
          <w:iCs/>
          <w:sz w:val="17"/>
          <w:szCs w:val="17"/>
        </w:rPr>
        <w:t xml:space="preserve">Change the Course: National Report on Sexual Assault and Sexual Harassment in Australian Universities </w:t>
      </w:r>
      <w:r w:rsidRPr="006153B6">
        <w:rPr>
          <w:sz w:val="17"/>
          <w:szCs w:val="17"/>
        </w:rPr>
        <w:t>(2017) &lt; https://humanrights.gov.au/our-work/sex-discrimination/publications/change-course-national-report-sexual-assault-and-sexual&gt;.</w:t>
      </w:r>
    </w:p>
  </w:endnote>
  <w:endnote w:id="61">
    <w:p w14:paraId="1ED0805E" w14:textId="3D53B322" w:rsidR="00590223" w:rsidRPr="006307E0" w:rsidRDefault="00590223" w:rsidP="00C10DB5">
      <w:pPr>
        <w:pStyle w:val="SubmissionNormal"/>
        <w:numPr>
          <w:ilvl w:val="0"/>
          <w:numId w:val="0"/>
        </w:numPr>
        <w:spacing w:before="0" w:after="0"/>
        <w:rPr>
          <w:rStyle w:val="EndnoteReference"/>
        </w:rPr>
      </w:pPr>
      <w:r w:rsidRPr="006307E0">
        <w:rPr>
          <w:rStyle w:val="EndnoteReference"/>
          <w:sz w:val="17"/>
          <w:szCs w:val="17"/>
        </w:rPr>
        <w:endnoteRef/>
      </w:r>
      <w:r w:rsidR="09BE2B0E" w:rsidRPr="006307E0">
        <w:rPr>
          <w:sz w:val="17"/>
          <w:szCs w:val="17"/>
        </w:rPr>
        <w:t xml:space="preserve"> </w:t>
      </w:r>
      <w:r w:rsidR="001C0CA7" w:rsidRPr="001C0CA7">
        <w:rPr>
          <w:sz w:val="17"/>
          <w:szCs w:val="17"/>
        </w:rPr>
        <w:t xml:space="preserve">For example, the Commission’s </w:t>
      </w:r>
      <w:r w:rsidR="001C0CA7" w:rsidRPr="001C0CA7">
        <w:rPr>
          <w:i/>
          <w:iCs/>
          <w:sz w:val="17"/>
          <w:szCs w:val="17"/>
        </w:rPr>
        <w:t xml:space="preserve">Change the Course </w:t>
      </w:r>
      <w:r w:rsidR="001C0CA7" w:rsidRPr="001C0CA7">
        <w:rPr>
          <w:sz w:val="17"/>
          <w:szCs w:val="17"/>
        </w:rPr>
        <w:t>report found that one in five students were sexually harassed in a university setting in 2016, and 1.6% were sexually assaulted on at least one occasion in 2015 or 2016.</w:t>
      </w:r>
      <w:r w:rsidR="001C0CA7">
        <w:rPr>
          <w:sz w:val="17"/>
          <w:szCs w:val="17"/>
        </w:rPr>
        <w:t xml:space="preserve"> </w:t>
      </w:r>
      <w:r w:rsidR="09BE2B0E" w:rsidRPr="006307E0">
        <w:rPr>
          <w:sz w:val="17"/>
          <w:szCs w:val="17"/>
        </w:rPr>
        <w:t xml:space="preserve">Australian Human Rights Commission, </w:t>
      </w:r>
      <w:r w:rsidR="09BE2B0E" w:rsidRPr="006307E0">
        <w:rPr>
          <w:i/>
          <w:iCs/>
          <w:sz w:val="17"/>
          <w:szCs w:val="17"/>
        </w:rPr>
        <w:t xml:space="preserve">Change the Course: National Report on Sexual Assault and Sexual Harassment in Australian Universities </w:t>
      </w:r>
      <w:r w:rsidR="09BE2B0E" w:rsidRPr="006307E0">
        <w:rPr>
          <w:sz w:val="17"/>
          <w:szCs w:val="17"/>
        </w:rPr>
        <w:t xml:space="preserve">(2017) </w:t>
      </w:r>
      <w:r w:rsidR="09BE2B0E" w:rsidRPr="09BE2B0E">
        <w:rPr>
          <w:sz w:val="17"/>
          <w:szCs w:val="17"/>
        </w:rPr>
        <w:t xml:space="preserve">4 </w:t>
      </w:r>
      <w:r w:rsidR="09BE2B0E" w:rsidRPr="006307E0">
        <w:rPr>
          <w:sz w:val="17"/>
          <w:szCs w:val="17"/>
        </w:rPr>
        <w:t>&lt;https://humanrights.gov.au/our-work/sex-discrimination/publications/change-course-national-report-sexual-assault-and-sexual&gt;.</w:t>
      </w:r>
      <w:r w:rsidR="09BE2B0E" w:rsidRPr="00590223">
        <w:rPr>
          <w:sz w:val="17"/>
          <w:szCs w:val="17"/>
        </w:rPr>
        <w:t xml:space="preserve"> </w:t>
      </w:r>
    </w:p>
  </w:endnote>
  <w:endnote w:id="62">
    <w:p w14:paraId="7DDC955D" w14:textId="7C5ACEC5" w:rsidR="008F2AFF" w:rsidRPr="008F2AFF" w:rsidRDefault="008F2AFF" w:rsidP="006B6EFB">
      <w:pPr>
        <w:pStyle w:val="EndnoteText"/>
        <w:tabs>
          <w:tab w:val="left" w:pos="5103"/>
        </w:tabs>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Australian Human Rights Commission, </w:t>
      </w:r>
      <w:r w:rsidRPr="008F2AFF">
        <w:rPr>
          <w:rFonts w:cs="Open Sans"/>
          <w:i/>
          <w:iCs/>
          <w:sz w:val="17"/>
          <w:szCs w:val="17"/>
        </w:rPr>
        <w:t xml:space="preserve">What’s age got to do with it </w:t>
      </w:r>
      <w:r w:rsidRPr="008F2AFF">
        <w:rPr>
          <w:rFonts w:cs="Open Sans"/>
          <w:sz w:val="17"/>
          <w:szCs w:val="17"/>
        </w:rPr>
        <w:t>(September 2021) &lt;https://humanrights.gov.au/our-work/age-discrimination/publications/whats-age-got-do-it-2021&gt;.</w:t>
      </w:r>
    </w:p>
  </w:endnote>
  <w:endnote w:id="63">
    <w:p w14:paraId="125B1EC7" w14:textId="507CD9BB" w:rsidR="008F2AFF" w:rsidRPr="008F2AFF" w:rsidRDefault="008F2AFF" w:rsidP="006B6EFB">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Australian Human Rights Commission, ‘Commission welcomes National Plan on elder abuse’ (Media Release, 22 March 2019). &lt;</w:t>
      </w:r>
      <w:hyperlink r:id="rId48" w:history="1">
        <w:r w:rsidRPr="008F2AFF">
          <w:rPr>
            <w:rStyle w:val="Hyperlink"/>
            <w:rFonts w:cs="Open Sans"/>
            <w:sz w:val="17"/>
            <w:szCs w:val="17"/>
          </w:rPr>
          <w:t>https://www.humanrights.gov.au/about/news/commission-welcomes-national-plan-elder-abuse</w:t>
        </w:r>
      </w:hyperlink>
      <w:r w:rsidRPr="008F2AFF">
        <w:rPr>
          <w:rFonts w:cs="Open Sans"/>
          <w:sz w:val="17"/>
          <w:szCs w:val="17"/>
        </w:rPr>
        <w:t xml:space="preserve">&gt;. </w:t>
      </w:r>
    </w:p>
  </w:endnote>
  <w:endnote w:id="64">
    <w:p w14:paraId="4CB873DC" w14:textId="1ADF5505" w:rsidR="008F2AFF" w:rsidRPr="008F2AFF" w:rsidRDefault="008F2AFF" w:rsidP="006B6EFB">
      <w:pPr>
        <w:pStyle w:val="EndnoteText"/>
        <w:tabs>
          <w:tab w:val="left" w:pos="426"/>
        </w:tabs>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Australian HR Institute and Australian Human Rights Commission, </w:t>
      </w:r>
      <w:r w:rsidRPr="008F2AFF">
        <w:rPr>
          <w:rFonts w:cs="Open Sans"/>
          <w:i/>
          <w:iCs/>
          <w:sz w:val="17"/>
          <w:szCs w:val="17"/>
        </w:rPr>
        <w:t xml:space="preserve">Employing and retaining older workers </w:t>
      </w:r>
      <w:r w:rsidRPr="008F2AFF">
        <w:rPr>
          <w:rFonts w:cs="Open Sans"/>
          <w:sz w:val="17"/>
          <w:szCs w:val="17"/>
        </w:rPr>
        <w:t>(April 2021) &lt;https://humanrights.gov.au/sites/default/files/document/publication/ahri_employingolderworkers_april_2021.pdf &gt; 28.</w:t>
      </w:r>
    </w:p>
  </w:endnote>
  <w:endnote w:id="65">
    <w:p w14:paraId="5B41A845" w14:textId="7EAE627D" w:rsidR="008F2AFF" w:rsidRPr="008F2AFF" w:rsidRDefault="008F2AFF" w:rsidP="006B6EFB">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Australian Law Reform Commission, </w:t>
      </w:r>
      <w:r w:rsidRPr="008F2AFF">
        <w:rPr>
          <w:rFonts w:cs="Open Sans"/>
          <w:i/>
          <w:iCs/>
          <w:sz w:val="17"/>
          <w:szCs w:val="17"/>
        </w:rPr>
        <w:t xml:space="preserve">Elder Abuse—A National Legal Response </w:t>
      </w:r>
      <w:r w:rsidRPr="008F2AFF">
        <w:rPr>
          <w:rFonts w:cs="Open Sans"/>
          <w:sz w:val="17"/>
          <w:szCs w:val="17"/>
        </w:rPr>
        <w:t>(ALRC Report 131, June 2017). &lt;</w:t>
      </w:r>
      <w:hyperlink r:id="rId49" w:history="1">
        <w:r w:rsidRPr="008F2AFF">
          <w:rPr>
            <w:rStyle w:val="Hyperlink"/>
            <w:rFonts w:cs="Open Sans"/>
            <w:sz w:val="17"/>
            <w:szCs w:val="17"/>
          </w:rPr>
          <w:t>https://www.alrc.gov.au/publication/elder-abuse-a-national-legal-response-alrc-report-131/</w:t>
        </w:r>
      </w:hyperlink>
      <w:r w:rsidRPr="008F2AFF">
        <w:rPr>
          <w:rStyle w:val="Hyperlink"/>
          <w:rFonts w:cs="Open Sans"/>
          <w:sz w:val="17"/>
          <w:szCs w:val="17"/>
        </w:rPr>
        <w:t>&gt;</w:t>
      </w:r>
      <w:r w:rsidRPr="008F2AFF">
        <w:rPr>
          <w:rFonts w:cs="Open Sans"/>
          <w:sz w:val="17"/>
          <w:szCs w:val="17"/>
        </w:rPr>
        <w:t>.</w:t>
      </w:r>
    </w:p>
  </w:endnote>
  <w:endnote w:id="66">
    <w:p w14:paraId="00E147BF" w14:textId="7F30257D" w:rsidR="008F2AFF" w:rsidRPr="008F2AFF" w:rsidRDefault="008F2AFF" w:rsidP="006B6EFB">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Australian Human Rights Commission, </w:t>
      </w:r>
      <w:r w:rsidRPr="008F2AFF">
        <w:rPr>
          <w:rFonts w:cs="Open Sans"/>
          <w:i/>
          <w:iCs/>
          <w:sz w:val="17"/>
          <w:szCs w:val="17"/>
        </w:rPr>
        <w:t>Willing to Work: National Inquiry into Employment Discrimination against Older Australians and Australians with Disability</w:t>
      </w:r>
      <w:r w:rsidRPr="008F2AFF">
        <w:rPr>
          <w:rFonts w:cs="Open Sans"/>
          <w:sz w:val="17"/>
          <w:szCs w:val="17"/>
        </w:rPr>
        <w:t xml:space="preserve"> (2016) &lt;</w:t>
      </w:r>
      <w:hyperlink r:id="rId50" w:history="1">
        <w:r w:rsidRPr="008F2AFF">
          <w:rPr>
            <w:rStyle w:val="Hyperlink"/>
            <w:rFonts w:cs="Open Sans"/>
            <w:sz w:val="17"/>
            <w:szCs w:val="17"/>
          </w:rPr>
          <w:t>https://www.humanrights.gov.au/our-work/age-discrimination/projects/willing-work-national-inquiry-employment-discrimination</w:t>
        </w:r>
      </w:hyperlink>
      <w:r w:rsidRPr="008F2AFF">
        <w:rPr>
          <w:rFonts w:cs="Open Sans"/>
          <w:sz w:val="17"/>
          <w:szCs w:val="17"/>
        </w:rPr>
        <w:t>&gt;</w:t>
      </w:r>
      <w:r w:rsidRPr="008F2AFF">
        <w:rPr>
          <w:rStyle w:val="Hyperlink"/>
          <w:rFonts w:cs="Open Sans"/>
          <w:sz w:val="17"/>
          <w:szCs w:val="17"/>
        </w:rPr>
        <w:t>.</w:t>
      </w:r>
    </w:p>
  </w:endnote>
  <w:endnote w:id="67">
    <w:p w14:paraId="128920B1" w14:textId="0FB8BC1B"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w:t>
      </w:r>
      <w:r w:rsidRPr="008F2AFF">
        <w:rPr>
          <w:rFonts w:cs="Open Sans"/>
          <w:i/>
          <w:iCs/>
          <w:sz w:val="17"/>
          <w:szCs w:val="17"/>
        </w:rPr>
        <w:t>Marriage Amendment (Definition and Religious Freedoms) Act 2017</w:t>
      </w:r>
      <w:r w:rsidRPr="008F2AFF">
        <w:rPr>
          <w:rFonts w:cs="Open Sans"/>
          <w:sz w:val="17"/>
          <w:szCs w:val="17"/>
        </w:rPr>
        <w:t xml:space="preserve"> (Cth).</w:t>
      </w:r>
    </w:p>
  </w:endnote>
  <w:endnote w:id="68">
    <w:p w14:paraId="29CB6239" w14:textId="36E1ADDA"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Such laws have now been passed in all states and territories: </w:t>
      </w:r>
      <w:r w:rsidRPr="008F2AFF">
        <w:rPr>
          <w:rFonts w:cs="Open Sans"/>
          <w:i/>
          <w:sz w:val="17"/>
          <w:szCs w:val="17"/>
        </w:rPr>
        <w:t>Sentencing Amendment (Historical Homosexual Convictions Expungement) Act 2014</w:t>
      </w:r>
      <w:r w:rsidRPr="008F2AFF">
        <w:rPr>
          <w:rFonts w:cs="Open Sans"/>
          <w:sz w:val="17"/>
          <w:szCs w:val="17"/>
        </w:rPr>
        <w:t xml:space="preserve"> (Vic); </w:t>
      </w:r>
      <w:r w:rsidRPr="008F2AFF">
        <w:rPr>
          <w:rFonts w:cs="Open Sans"/>
          <w:i/>
          <w:sz w:val="17"/>
          <w:szCs w:val="17"/>
        </w:rPr>
        <w:t>Criminal Records Amendment (Historical Homosexual Offences) Act 2014</w:t>
      </w:r>
      <w:r w:rsidRPr="008F2AFF">
        <w:rPr>
          <w:rFonts w:cs="Open Sans"/>
          <w:sz w:val="17"/>
          <w:szCs w:val="17"/>
        </w:rPr>
        <w:t xml:space="preserve"> (NSW); </w:t>
      </w:r>
      <w:r w:rsidRPr="008F2AFF">
        <w:rPr>
          <w:rFonts w:cs="Open Sans"/>
          <w:i/>
          <w:iCs/>
          <w:sz w:val="17"/>
          <w:szCs w:val="17"/>
        </w:rPr>
        <w:t xml:space="preserve">Criminal Law (Historical Homosexual Convictions Expungement) Act 2017 </w:t>
      </w:r>
      <w:r w:rsidRPr="008F2AFF">
        <w:rPr>
          <w:rFonts w:cs="Open Sans"/>
          <w:sz w:val="17"/>
          <w:szCs w:val="17"/>
        </w:rPr>
        <w:t xml:space="preserve">(Qld); </w:t>
      </w:r>
      <w:r w:rsidRPr="008F2AFF">
        <w:rPr>
          <w:rFonts w:cs="Open Sans"/>
          <w:i/>
          <w:iCs/>
          <w:sz w:val="17"/>
          <w:szCs w:val="17"/>
        </w:rPr>
        <w:t xml:space="preserve">Expungement of Historical Offences Act 2017 </w:t>
      </w:r>
      <w:r w:rsidRPr="008F2AFF">
        <w:rPr>
          <w:rFonts w:cs="Open Sans"/>
          <w:sz w:val="17"/>
          <w:szCs w:val="17"/>
        </w:rPr>
        <w:t xml:space="preserve">(Tas); </w:t>
      </w:r>
      <w:r w:rsidRPr="008F2AFF">
        <w:rPr>
          <w:rFonts w:cs="Open Sans"/>
          <w:i/>
          <w:iCs/>
          <w:sz w:val="17"/>
          <w:szCs w:val="17"/>
        </w:rPr>
        <w:t>Historical Homosexual Convictions Expungement Act 2018</w:t>
      </w:r>
      <w:r w:rsidRPr="008F2AFF">
        <w:rPr>
          <w:rFonts w:cs="Open Sans"/>
          <w:sz w:val="17"/>
          <w:szCs w:val="17"/>
        </w:rPr>
        <w:t xml:space="preserve"> (WA), </w:t>
      </w:r>
      <w:r w:rsidRPr="008F2AFF">
        <w:rPr>
          <w:rFonts w:cs="Open Sans"/>
          <w:i/>
          <w:iCs/>
          <w:sz w:val="17"/>
          <w:szCs w:val="17"/>
        </w:rPr>
        <w:t xml:space="preserve">Expungement of Historical Homosexual Offence Records Act 2018 </w:t>
      </w:r>
      <w:r w:rsidRPr="008F2AFF">
        <w:rPr>
          <w:rFonts w:cs="Open Sans"/>
          <w:sz w:val="17"/>
          <w:szCs w:val="17"/>
        </w:rPr>
        <w:t xml:space="preserve">(NT); </w:t>
      </w:r>
      <w:r w:rsidRPr="008F2AFF">
        <w:rPr>
          <w:rFonts w:cs="Open Sans"/>
          <w:i/>
          <w:iCs/>
          <w:sz w:val="17"/>
          <w:szCs w:val="17"/>
        </w:rPr>
        <w:t>Spent Convictions (Historical Homosexual Convictions Extinguishment) Amendment Act 2015</w:t>
      </w:r>
      <w:r w:rsidRPr="008F2AFF">
        <w:rPr>
          <w:rFonts w:cs="Open Sans"/>
          <w:sz w:val="17"/>
          <w:szCs w:val="17"/>
        </w:rPr>
        <w:t xml:space="preserve"> (ACT); and </w:t>
      </w:r>
      <w:r w:rsidRPr="008F2AFF">
        <w:rPr>
          <w:rFonts w:cs="Open Sans"/>
          <w:i/>
          <w:iCs/>
          <w:sz w:val="17"/>
          <w:szCs w:val="17"/>
        </w:rPr>
        <w:t>Spent Convictions (Decriminalised Offences) Amendment Act 2013</w:t>
      </w:r>
      <w:r w:rsidRPr="008F2AFF">
        <w:rPr>
          <w:rFonts w:cs="Open Sans"/>
          <w:sz w:val="17"/>
          <w:szCs w:val="17"/>
        </w:rPr>
        <w:t xml:space="preserve"> (SA).</w:t>
      </w:r>
    </w:p>
  </w:endnote>
  <w:endnote w:id="69">
    <w:p w14:paraId="69D502F5" w14:textId="34EFA24A"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Australian Human Rights Commission, </w:t>
      </w:r>
      <w:r w:rsidRPr="008F2AFF">
        <w:rPr>
          <w:rFonts w:cs="Open Sans"/>
          <w:i/>
          <w:iCs/>
          <w:sz w:val="17"/>
          <w:szCs w:val="17"/>
        </w:rPr>
        <w:t>Protecting the human rights of people born with variations in sex characteristics in the context of medical interventions</w:t>
      </w:r>
      <w:r w:rsidRPr="008F2AFF">
        <w:rPr>
          <w:rFonts w:cs="Open Sans"/>
          <w:sz w:val="17"/>
          <w:szCs w:val="17"/>
        </w:rPr>
        <w:t xml:space="preserve"> (October 2021) &lt;https://humanrights.gov.au/intersex-report-2021&gt;.</w:t>
      </w:r>
    </w:p>
  </w:endnote>
  <w:endnote w:id="70">
    <w:p w14:paraId="0ACDE168" w14:textId="79DAD993"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w:t>
      </w:r>
      <w:bookmarkStart w:id="12" w:name="_Hlk90972275"/>
      <w:r w:rsidRPr="008F2AFF">
        <w:rPr>
          <w:rFonts w:cs="Open Sans"/>
          <w:sz w:val="17"/>
          <w:szCs w:val="17"/>
        </w:rPr>
        <w:t xml:space="preserve">Australian Human Rights Commission, </w:t>
      </w:r>
      <w:r w:rsidRPr="008F2AFF">
        <w:rPr>
          <w:rFonts w:cs="Open Sans"/>
          <w:i/>
          <w:iCs/>
          <w:sz w:val="17"/>
          <w:szCs w:val="17"/>
        </w:rPr>
        <w:t>Protecting the human rights of people born with variations in sex characteristics in the context of medical interventions</w:t>
      </w:r>
      <w:r w:rsidRPr="008F2AFF">
        <w:rPr>
          <w:rFonts w:cs="Open Sans"/>
          <w:sz w:val="17"/>
          <w:szCs w:val="17"/>
        </w:rPr>
        <w:t xml:space="preserve"> (October 2021) &lt;https://humanrights.gov.au/intersex-report-2021&gt;.</w:t>
      </w:r>
      <w:bookmarkEnd w:id="12"/>
    </w:p>
  </w:endnote>
  <w:endnote w:id="71">
    <w:p w14:paraId="7DBAB578" w14:textId="218A2423" w:rsidR="008F2AFF" w:rsidRPr="008F2AFF" w:rsidRDefault="008F2AFF" w:rsidP="006B062A">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Australian Human Rights Commission, </w:t>
      </w:r>
      <w:r w:rsidRPr="008F2AFF">
        <w:rPr>
          <w:rFonts w:cs="Open Sans"/>
          <w:i/>
          <w:iCs/>
          <w:sz w:val="17"/>
          <w:szCs w:val="17"/>
        </w:rPr>
        <w:t>Resilient Individuals: Sexual Orientation, Gender Identity &amp; Intersex Rights 2015</w:t>
      </w:r>
      <w:r w:rsidRPr="008F2AFF">
        <w:rPr>
          <w:rFonts w:cs="Open Sans"/>
          <w:sz w:val="17"/>
          <w:szCs w:val="17"/>
        </w:rPr>
        <w:t>, 41-42 &lt;</w:t>
      </w:r>
      <w:hyperlink r:id="rId51" w:history="1">
        <w:r w:rsidRPr="008F2AFF">
          <w:rPr>
            <w:rStyle w:val="Hyperlink"/>
            <w:rFonts w:cs="Open Sans"/>
            <w:sz w:val="17"/>
            <w:szCs w:val="17"/>
          </w:rPr>
          <w:t>https://www.humanrights.gov.au/our-work/sexual-orientation-sex-gender-identity/publications/resilient-individuals-sexual</w:t>
        </w:r>
      </w:hyperlink>
      <w:r w:rsidRPr="008F2AFF">
        <w:rPr>
          <w:rFonts w:cs="Open Sans"/>
          <w:sz w:val="17"/>
          <w:szCs w:val="17"/>
        </w:rPr>
        <w:t>&gt;.</w:t>
      </w:r>
    </w:p>
  </w:endnote>
  <w:endnote w:id="72">
    <w:p w14:paraId="24D7BC78" w14:textId="706D2A1B" w:rsidR="00F63934" w:rsidRPr="006307E0" w:rsidRDefault="00F63934">
      <w:pPr>
        <w:pStyle w:val="EndnoteText"/>
        <w:rPr>
          <w:sz w:val="17"/>
          <w:szCs w:val="17"/>
        </w:rPr>
      </w:pPr>
      <w:r w:rsidRPr="006307E0">
        <w:rPr>
          <w:rStyle w:val="EndnoteReference"/>
          <w:sz w:val="17"/>
          <w:szCs w:val="17"/>
        </w:rPr>
        <w:endnoteRef/>
      </w:r>
      <w:r w:rsidRPr="006307E0">
        <w:rPr>
          <w:sz w:val="17"/>
          <w:szCs w:val="17"/>
        </w:rPr>
        <w:t xml:space="preserve"> Australian Human Rights Commission, Submission No 97 to the </w:t>
      </w:r>
      <w:r w:rsidR="00741861" w:rsidRPr="006307E0">
        <w:rPr>
          <w:sz w:val="17"/>
          <w:szCs w:val="17"/>
        </w:rPr>
        <w:t xml:space="preserve">Parliamentary Joint Committee on Human Rights, </w:t>
      </w:r>
      <w:r w:rsidR="00741861" w:rsidRPr="006307E0">
        <w:rPr>
          <w:i/>
          <w:iCs/>
          <w:sz w:val="17"/>
          <w:szCs w:val="17"/>
        </w:rPr>
        <w:t xml:space="preserve">Religious Discrimination and Related Bills </w:t>
      </w:r>
      <w:r w:rsidR="00741861" w:rsidRPr="006307E0">
        <w:rPr>
          <w:sz w:val="17"/>
          <w:szCs w:val="17"/>
        </w:rPr>
        <w:t>(</w:t>
      </w:r>
      <w:r w:rsidR="008E42A1" w:rsidRPr="006307E0">
        <w:rPr>
          <w:sz w:val="17"/>
          <w:szCs w:val="17"/>
        </w:rPr>
        <w:t xml:space="preserve">21 </w:t>
      </w:r>
      <w:r w:rsidR="00741861" w:rsidRPr="006307E0">
        <w:rPr>
          <w:sz w:val="17"/>
          <w:szCs w:val="17"/>
        </w:rPr>
        <w:t xml:space="preserve">December 2021). </w:t>
      </w:r>
    </w:p>
  </w:endnote>
  <w:endnote w:id="73">
    <w:p w14:paraId="70DA902B" w14:textId="64AF5D84" w:rsidR="008F2AFF" w:rsidRPr="008F2AFF" w:rsidRDefault="008F2AFF" w:rsidP="00757D10">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National Children’s Commissioner Anne Hollonds, ‘Towards a National Child Wellbeing Strategy’ Speech to the Parliamentary Friends of Early Childhood, 25 February 2021, &lt;https://humanrights.gov.au/about/news/speeches/towards-national-child-wellbeing-strategy&gt;.</w:t>
      </w:r>
    </w:p>
  </w:endnote>
  <w:endnote w:id="74">
    <w:p w14:paraId="67FA256D" w14:textId="20E61C5A" w:rsidR="008F2AFF" w:rsidRPr="008F2AFF" w:rsidRDefault="008F2AFF" w:rsidP="001707F4">
      <w:pPr>
        <w:pStyle w:val="EndnoteText"/>
        <w:rPr>
          <w:rFonts w:cs="Open Sans"/>
          <w:b/>
          <w:bCs/>
          <w:sz w:val="17"/>
          <w:szCs w:val="17"/>
        </w:rPr>
      </w:pPr>
      <w:r w:rsidRPr="008F2AFF">
        <w:rPr>
          <w:rStyle w:val="EndnoteReference"/>
          <w:rFonts w:cs="Open Sans"/>
          <w:sz w:val="17"/>
          <w:szCs w:val="17"/>
        </w:rPr>
        <w:endnoteRef/>
      </w:r>
      <w:r w:rsidRPr="008F2AFF">
        <w:rPr>
          <w:rFonts w:cs="Open Sans"/>
          <w:sz w:val="17"/>
          <w:szCs w:val="17"/>
        </w:rPr>
        <w:t xml:space="preserve"> ‘Call for National Plan as children tell of lockdown toll’ </w:t>
      </w:r>
      <w:r w:rsidRPr="008F2AFF">
        <w:rPr>
          <w:rFonts w:cs="Open Sans"/>
          <w:i/>
          <w:iCs/>
          <w:sz w:val="17"/>
          <w:szCs w:val="17"/>
        </w:rPr>
        <w:t xml:space="preserve">Unicef </w:t>
      </w:r>
      <w:r w:rsidRPr="008F2AFF">
        <w:rPr>
          <w:rFonts w:cs="Open Sans"/>
          <w:sz w:val="17"/>
          <w:szCs w:val="17"/>
        </w:rPr>
        <w:t xml:space="preserve">(Web Page, 25 October 2021) </w:t>
      </w:r>
    </w:p>
    <w:p w14:paraId="292095F6" w14:textId="304643FA" w:rsidR="008F2AFF" w:rsidRPr="008F2AFF" w:rsidRDefault="008F2AFF" w:rsidP="009727E2">
      <w:pPr>
        <w:pStyle w:val="EndnoteText"/>
        <w:rPr>
          <w:rFonts w:cs="Open Sans"/>
          <w:b/>
          <w:bCs/>
          <w:sz w:val="17"/>
          <w:szCs w:val="17"/>
        </w:rPr>
      </w:pPr>
      <w:r w:rsidRPr="008F2AFF">
        <w:rPr>
          <w:rFonts w:cs="Open Sans"/>
          <w:sz w:val="17"/>
          <w:szCs w:val="17"/>
        </w:rPr>
        <w:t>&lt;</w:t>
      </w:r>
      <w:hyperlink r:id="rId52" w:history="1">
        <w:r w:rsidRPr="008F2AFF">
          <w:rPr>
            <w:rStyle w:val="Hyperlink"/>
            <w:rFonts w:cs="Open Sans"/>
            <w:sz w:val="17"/>
            <w:szCs w:val="17"/>
          </w:rPr>
          <w:t>https://www.unicef.org.au/about-us/media/october-2021/call-for-national-plan-as-children-tell-of-lockdow</w:t>
        </w:r>
      </w:hyperlink>
      <w:r w:rsidRPr="008F2AFF">
        <w:rPr>
          <w:rFonts w:cs="Open Sans"/>
          <w:sz w:val="17"/>
          <w:szCs w:val="17"/>
        </w:rPr>
        <w:t>&gt;; Kids Helpline and the Australian Human Rights Commission,</w:t>
      </w:r>
      <w:r w:rsidRPr="008F2AFF">
        <w:rPr>
          <w:rFonts w:cs="Open Sans"/>
          <w:i/>
          <w:iCs/>
          <w:sz w:val="17"/>
          <w:szCs w:val="17"/>
        </w:rPr>
        <w:t xml:space="preserve"> Impacts of COVID-19 on children and young people who contact Kids Helpline</w:t>
      </w:r>
      <w:r w:rsidRPr="008F2AFF">
        <w:rPr>
          <w:rFonts w:cs="Open Sans"/>
          <w:b/>
          <w:bCs/>
          <w:sz w:val="17"/>
          <w:szCs w:val="17"/>
        </w:rPr>
        <w:t xml:space="preserve"> </w:t>
      </w:r>
      <w:r w:rsidRPr="008F2AFF">
        <w:rPr>
          <w:rFonts w:cs="Open Sans"/>
          <w:sz w:val="17"/>
          <w:szCs w:val="17"/>
        </w:rPr>
        <w:t>(September 2020) &lt;https://humanrights.gov.au/our-work/childrens-rights/publications/impacts-covid-19-children-and-young-people-who-contact-kids&gt;</w:t>
      </w:r>
    </w:p>
  </w:endnote>
  <w:endnote w:id="75">
    <w:p w14:paraId="5E82ECDF" w14:textId="70DAC498"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Australian Institute of Health and Welfare, </w:t>
      </w:r>
      <w:r w:rsidRPr="008F2AFF">
        <w:rPr>
          <w:rFonts w:cs="Open Sans"/>
          <w:i/>
          <w:iCs/>
          <w:sz w:val="17"/>
          <w:szCs w:val="17"/>
        </w:rPr>
        <w:t xml:space="preserve">Child Protection: Snapshot </w:t>
      </w:r>
      <w:r w:rsidRPr="008F2AFF">
        <w:rPr>
          <w:rFonts w:cs="Open Sans"/>
          <w:sz w:val="17"/>
          <w:szCs w:val="17"/>
        </w:rPr>
        <w:t>(18 May 2021) &lt;</w:t>
      </w:r>
      <w:hyperlink r:id="rId53" w:history="1">
        <w:r w:rsidRPr="008F2AFF">
          <w:rPr>
            <w:rStyle w:val="Hyperlink"/>
            <w:rFonts w:cs="Open Sans"/>
            <w:sz w:val="17"/>
            <w:szCs w:val="17"/>
          </w:rPr>
          <w:t>https://www.aihw.gov.au/reports/australias-welfare/child-protection</w:t>
        </w:r>
      </w:hyperlink>
      <w:r w:rsidRPr="008F2AFF">
        <w:rPr>
          <w:rFonts w:cs="Open Sans"/>
          <w:sz w:val="17"/>
          <w:szCs w:val="17"/>
        </w:rPr>
        <w:t xml:space="preserve">&gt;. </w:t>
      </w:r>
    </w:p>
  </w:endnote>
  <w:endnote w:id="76">
    <w:p w14:paraId="762DDBB4" w14:textId="6A6165E4" w:rsidR="008F2AFF" w:rsidRPr="008F2AFF" w:rsidRDefault="008F2AFF" w:rsidP="00DA3C7A">
      <w:pPr>
        <w:pStyle w:val="EndnoteText"/>
        <w:rPr>
          <w:rFonts w:cs="Open Sans"/>
          <w:b/>
          <w:bCs/>
          <w:sz w:val="17"/>
          <w:szCs w:val="17"/>
        </w:rPr>
      </w:pPr>
      <w:r w:rsidRPr="008F2AFF">
        <w:rPr>
          <w:rStyle w:val="EndnoteReference"/>
          <w:rFonts w:cs="Open Sans"/>
          <w:sz w:val="17"/>
          <w:szCs w:val="17"/>
        </w:rPr>
        <w:endnoteRef/>
      </w:r>
      <w:r w:rsidRPr="008F2AFF">
        <w:rPr>
          <w:rFonts w:cs="Open Sans"/>
          <w:sz w:val="17"/>
          <w:szCs w:val="17"/>
        </w:rPr>
        <w:t xml:space="preserve"> ‘Keeping kids safe and well: National Children's Commissioner consulting with children, young people and their families’,</w:t>
      </w:r>
      <w:r w:rsidRPr="008F2AFF">
        <w:rPr>
          <w:rFonts w:cs="Open Sans"/>
          <w:i/>
          <w:iCs/>
          <w:sz w:val="17"/>
          <w:szCs w:val="17"/>
        </w:rPr>
        <w:t xml:space="preserve"> Australian Human Rights Commission</w:t>
      </w:r>
      <w:r w:rsidRPr="008F2AFF">
        <w:rPr>
          <w:rFonts w:cs="Open Sans"/>
          <w:sz w:val="17"/>
          <w:szCs w:val="17"/>
        </w:rPr>
        <w:t xml:space="preserve"> (Web Page, August 2021) </w:t>
      </w:r>
    </w:p>
    <w:p w14:paraId="6F11DA40" w14:textId="535ED8F9" w:rsidR="008F2AFF" w:rsidRPr="008F2AFF" w:rsidRDefault="008F2AFF">
      <w:pPr>
        <w:pStyle w:val="EndnoteText"/>
        <w:rPr>
          <w:rFonts w:cs="Open Sans"/>
          <w:sz w:val="17"/>
          <w:szCs w:val="17"/>
        </w:rPr>
      </w:pPr>
      <w:r w:rsidRPr="008F2AFF">
        <w:rPr>
          <w:rFonts w:cs="Open Sans"/>
          <w:sz w:val="17"/>
          <w:szCs w:val="17"/>
        </w:rPr>
        <w:t>&lt;https://humanrights.gov.au/about/news/keeping-kids-safe-and-well-national-childrens-commissioner-consulting-children-young&gt;.</w:t>
      </w:r>
    </w:p>
  </w:endnote>
  <w:endnote w:id="77">
    <w:p w14:paraId="04384312" w14:textId="70DC12ED" w:rsidR="008F2AFF" w:rsidRPr="008F2AFF" w:rsidRDefault="008F2AFF" w:rsidP="003002C6">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Australian Institute of Health and Welfare, </w:t>
      </w:r>
      <w:r w:rsidRPr="008F2AFF">
        <w:rPr>
          <w:rFonts w:cs="Open Sans"/>
          <w:i/>
          <w:iCs/>
          <w:sz w:val="17"/>
          <w:szCs w:val="17"/>
        </w:rPr>
        <w:t>Child protection Australia 2017–2018</w:t>
      </w:r>
      <w:r w:rsidRPr="008F2AFF">
        <w:rPr>
          <w:rFonts w:cs="Open Sans"/>
          <w:sz w:val="17"/>
          <w:szCs w:val="17"/>
        </w:rPr>
        <w:t xml:space="preserve"> (Child Welfare Series No. 70, 2019) &lt;</w:t>
      </w:r>
      <w:hyperlink r:id="rId54" w:history="1">
        <w:r w:rsidRPr="008F2AFF">
          <w:rPr>
            <w:rStyle w:val="Hyperlink"/>
            <w:rFonts w:cs="Open Sans"/>
            <w:sz w:val="17"/>
            <w:szCs w:val="17"/>
          </w:rPr>
          <w:t>https://www.aihw.gov.au/getmedia/e551a2bc-9149-4625-83c0-7bf1523c3793/aihw-cws-65.pdf.aspx?inline=true</w:t>
        </w:r>
      </w:hyperlink>
      <w:r w:rsidRPr="008F2AFF">
        <w:rPr>
          <w:rFonts w:cs="Open Sans"/>
          <w:sz w:val="17"/>
          <w:szCs w:val="17"/>
        </w:rPr>
        <w:t xml:space="preserve">&gt;; Australian Institute of Health and Welfare, </w:t>
      </w:r>
      <w:r w:rsidRPr="008F2AFF">
        <w:rPr>
          <w:rFonts w:cs="Open Sans"/>
          <w:i/>
          <w:iCs/>
          <w:sz w:val="17"/>
          <w:szCs w:val="17"/>
        </w:rPr>
        <w:t xml:space="preserve">Child Protection: Snapshot </w:t>
      </w:r>
      <w:r w:rsidRPr="008F2AFF">
        <w:rPr>
          <w:rFonts w:cs="Open Sans"/>
          <w:sz w:val="17"/>
          <w:szCs w:val="17"/>
        </w:rPr>
        <w:t>(18 May 2021) &lt;</w:t>
      </w:r>
      <w:hyperlink r:id="rId55" w:history="1">
        <w:r w:rsidRPr="008F2AFF">
          <w:rPr>
            <w:rStyle w:val="Hyperlink"/>
            <w:rFonts w:cs="Open Sans"/>
            <w:sz w:val="17"/>
            <w:szCs w:val="17"/>
          </w:rPr>
          <w:t>https://www.aihw.gov.au/reports/australias-welfare/child-protection</w:t>
        </w:r>
      </w:hyperlink>
      <w:r w:rsidRPr="008F2AFF">
        <w:rPr>
          <w:rFonts w:cs="Open Sans"/>
          <w:sz w:val="17"/>
          <w:szCs w:val="17"/>
        </w:rPr>
        <w:t xml:space="preserve">&gt;. </w:t>
      </w:r>
    </w:p>
  </w:endnote>
  <w:endnote w:id="78">
    <w:p w14:paraId="34E42DFB" w14:textId="633C490B"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Australian Institute of Health and Welfare, </w:t>
      </w:r>
      <w:r w:rsidRPr="008F2AFF">
        <w:rPr>
          <w:rFonts w:cs="Open Sans"/>
          <w:i/>
          <w:iCs/>
          <w:sz w:val="17"/>
          <w:szCs w:val="17"/>
        </w:rPr>
        <w:t>Child protection Australia 2019–2020</w:t>
      </w:r>
      <w:r w:rsidRPr="008F2AFF">
        <w:rPr>
          <w:rFonts w:cs="Open Sans"/>
          <w:sz w:val="17"/>
          <w:szCs w:val="17"/>
        </w:rPr>
        <w:t xml:space="preserve"> (May 2021) &lt;https://www.aihw.gov.au/reports/child-protection/child-protection-australia-2019-20/summary&gt;</w:t>
      </w:r>
    </w:p>
  </w:endnote>
  <w:endnote w:id="79">
    <w:p w14:paraId="233811BD" w14:textId="224E5D3E" w:rsidR="008F2AFF" w:rsidRPr="008F2AFF" w:rsidRDefault="008F2AFF" w:rsidP="00FE3E62">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Australian Lawyers for Human Rights, Submission No 100 to Australian Human Rights Commission, </w:t>
      </w:r>
      <w:r w:rsidRPr="008F2AFF">
        <w:rPr>
          <w:rFonts w:cs="Open Sans"/>
          <w:i/>
          <w:sz w:val="17"/>
          <w:szCs w:val="17"/>
        </w:rPr>
        <w:t>Report under article 44, paragraph 1(b), on the Convention on the Rights of the Child</w:t>
      </w:r>
      <w:r w:rsidRPr="008F2AFF">
        <w:rPr>
          <w:rFonts w:cs="Open Sans"/>
          <w:sz w:val="17"/>
          <w:szCs w:val="17"/>
        </w:rPr>
        <w:t xml:space="preserve"> (30 May 2018); NSW Aboriginal Education Consultative Group, Submission No 102 to Australian Human Rights Commission, </w:t>
      </w:r>
      <w:r w:rsidRPr="008F2AFF">
        <w:rPr>
          <w:rFonts w:cs="Open Sans"/>
          <w:i/>
          <w:sz w:val="17"/>
          <w:szCs w:val="17"/>
        </w:rPr>
        <w:t>Report under article 44, paragraph 1(b), on the Convention on the Rights of the Child</w:t>
      </w:r>
      <w:r w:rsidRPr="008F2AFF">
        <w:rPr>
          <w:rFonts w:cs="Open Sans"/>
          <w:sz w:val="17"/>
          <w:szCs w:val="17"/>
        </w:rPr>
        <w:t xml:space="preserve"> (30 May 2018) &lt;</w:t>
      </w:r>
      <w:hyperlink r:id="rId56" w:history="1">
        <w:r w:rsidRPr="008F2AFF">
          <w:rPr>
            <w:rStyle w:val="Hyperlink"/>
            <w:rFonts w:cs="Open Sans"/>
            <w:sz w:val="17"/>
            <w:szCs w:val="17"/>
          </w:rPr>
          <w:t>https://www.humanrights.gov.au/our-work/childrens-rights/projects/reporting-united-nations-childrens-rights</w:t>
        </w:r>
      </w:hyperlink>
      <w:r w:rsidRPr="008F2AFF">
        <w:rPr>
          <w:rStyle w:val="Hyperlink"/>
          <w:rFonts w:cs="Open Sans"/>
          <w:sz w:val="17"/>
          <w:szCs w:val="17"/>
        </w:rPr>
        <w:t>&gt;</w:t>
      </w:r>
      <w:r w:rsidRPr="008F2AFF">
        <w:rPr>
          <w:rFonts w:cs="Open Sans"/>
          <w:sz w:val="17"/>
          <w:szCs w:val="17"/>
        </w:rPr>
        <w:t xml:space="preserve">. </w:t>
      </w:r>
    </w:p>
  </w:endnote>
  <w:endnote w:id="80">
    <w:p w14:paraId="6E662C92" w14:textId="2983E528" w:rsidR="008F2AFF" w:rsidRPr="008F2AFF" w:rsidRDefault="008F2AFF" w:rsidP="00BF7061">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SNAICC, </w:t>
      </w:r>
      <w:r w:rsidRPr="008F2AFF">
        <w:rPr>
          <w:rFonts w:cs="Open Sans"/>
          <w:i/>
          <w:iCs/>
          <w:sz w:val="17"/>
          <w:szCs w:val="17"/>
        </w:rPr>
        <w:t xml:space="preserve">Understanding and Applying the Aboriginal and Torres Strait Islander Child Placement Principle: A Resource for Legislation, Policy, and Program Development </w:t>
      </w:r>
      <w:r w:rsidRPr="008F2AFF">
        <w:rPr>
          <w:rFonts w:cs="Open Sans"/>
          <w:sz w:val="17"/>
          <w:szCs w:val="17"/>
        </w:rPr>
        <w:t>(June 2017) &lt;</w:t>
      </w:r>
      <w:hyperlink r:id="rId57" w:history="1">
        <w:r w:rsidRPr="008F2AFF">
          <w:rPr>
            <w:rStyle w:val="Hyperlink"/>
            <w:rFonts w:cs="Open Sans"/>
            <w:sz w:val="17"/>
            <w:szCs w:val="17"/>
          </w:rPr>
          <w:t>https://www.snaicc.org.au/wp-content/uploads/2017/07/Understanding_applying_ATSICCP.pdf</w:t>
        </w:r>
      </w:hyperlink>
      <w:r w:rsidRPr="008F2AFF">
        <w:rPr>
          <w:rStyle w:val="Hyperlink"/>
          <w:rFonts w:cs="Open Sans"/>
          <w:sz w:val="17"/>
          <w:szCs w:val="17"/>
        </w:rPr>
        <w:t>&gt;.</w:t>
      </w:r>
    </w:p>
  </w:endnote>
  <w:endnote w:id="81">
    <w:p w14:paraId="31EF1BC7" w14:textId="7357B198"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w:t>
      </w:r>
      <w:r w:rsidRPr="008F2AFF">
        <w:rPr>
          <w:rFonts w:cs="Open Sans"/>
          <w:i/>
          <w:iCs/>
          <w:sz w:val="17"/>
          <w:szCs w:val="17"/>
        </w:rPr>
        <w:t>Migration Act 1958</w:t>
      </w:r>
      <w:r w:rsidRPr="008F2AFF">
        <w:rPr>
          <w:rFonts w:cs="Open Sans"/>
          <w:sz w:val="17"/>
          <w:szCs w:val="17"/>
        </w:rPr>
        <w:t> (Cth) ss 189, 196.  See also Australian Human Rights Commission, </w:t>
      </w:r>
      <w:r w:rsidRPr="008F2AFF">
        <w:rPr>
          <w:rFonts w:cs="Open Sans"/>
          <w:i/>
          <w:iCs/>
          <w:sz w:val="17"/>
          <w:szCs w:val="17"/>
        </w:rPr>
        <w:t xml:space="preserve">In Their Own Right: Children’s Rights in Australia </w:t>
      </w:r>
      <w:r w:rsidRPr="008F2AFF">
        <w:rPr>
          <w:rFonts w:cs="Open Sans"/>
          <w:sz w:val="17"/>
          <w:szCs w:val="17"/>
        </w:rPr>
        <w:t>(2019) 278-295 &lt;</w:t>
      </w:r>
      <w:hyperlink r:id="rId58" w:history="1">
        <w:r w:rsidRPr="008F2AFF">
          <w:rPr>
            <w:rStyle w:val="Hyperlink"/>
            <w:rFonts w:cs="Open Sans"/>
            <w:sz w:val="17"/>
            <w:szCs w:val="17"/>
          </w:rPr>
          <w:t>https://www.humanrights.gov.au/our-work/childrens-rights/publications/childrens-rights-report-2019</w:t>
        </w:r>
      </w:hyperlink>
      <w:r w:rsidRPr="008F2AFF">
        <w:rPr>
          <w:rStyle w:val="Hyperlink"/>
          <w:rFonts w:cs="Open Sans"/>
          <w:sz w:val="17"/>
          <w:szCs w:val="17"/>
        </w:rPr>
        <w:t>&gt;</w:t>
      </w:r>
      <w:r w:rsidRPr="008F2AFF">
        <w:rPr>
          <w:rFonts w:cs="Open Sans"/>
          <w:sz w:val="17"/>
          <w:szCs w:val="17"/>
        </w:rPr>
        <w:t>. </w:t>
      </w:r>
    </w:p>
  </w:endnote>
  <w:endnote w:id="82">
    <w:p w14:paraId="6E3C2DB1" w14:textId="59F6C63A"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w:t>
      </w:r>
      <w:r w:rsidRPr="008F2AFF">
        <w:rPr>
          <w:rStyle w:val="normaltextrun"/>
          <w:rFonts w:cs="Open Sans"/>
          <w:color w:val="000000"/>
          <w:sz w:val="17"/>
          <w:szCs w:val="17"/>
          <w:shd w:val="clear" w:color="auto" w:fill="FFFFFF"/>
        </w:rPr>
        <w:t>Australian Human Rights Commission, </w:t>
      </w:r>
      <w:r w:rsidRPr="008F2AFF">
        <w:rPr>
          <w:rStyle w:val="normaltextrun"/>
          <w:rFonts w:cs="Open Sans"/>
          <w:i/>
          <w:iCs/>
          <w:color w:val="000000"/>
          <w:sz w:val="17"/>
          <w:szCs w:val="17"/>
          <w:shd w:val="clear" w:color="auto" w:fill="FFFFFF"/>
        </w:rPr>
        <w:t>Risk management in immigration detention</w:t>
      </w:r>
      <w:r w:rsidRPr="008F2AFF">
        <w:rPr>
          <w:rStyle w:val="normaltextrun"/>
          <w:rFonts w:cs="Open Sans"/>
          <w:color w:val="000000"/>
          <w:sz w:val="17"/>
          <w:szCs w:val="17"/>
          <w:shd w:val="clear" w:color="auto" w:fill="FFFFFF"/>
        </w:rPr>
        <w:t> (2019) 66-68. &lt;</w:t>
      </w:r>
      <w:hyperlink r:id="rId59" w:history="1">
        <w:r w:rsidRPr="008F2AFF">
          <w:rPr>
            <w:rStyle w:val="Hyperlink"/>
            <w:rFonts w:cs="Open Sans"/>
            <w:sz w:val="17"/>
            <w:szCs w:val="17"/>
          </w:rPr>
          <w:t>https://www.humanrights.gov.au/our-work/asylum-seekers-and-refugees/publications/risk-management-immigration-detention-2019</w:t>
        </w:r>
      </w:hyperlink>
      <w:r w:rsidRPr="008F2AFF">
        <w:rPr>
          <w:rStyle w:val="normaltextrun"/>
          <w:rFonts w:cs="Open Sans"/>
          <w:color w:val="000000"/>
          <w:sz w:val="17"/>
          <w:szCs w:val="17"/>
          <w:shd w:val="clear" w:color="auto" w:fill="FFFFFF"/>
        </w:rPr>
        <w:t>&gt;.</w:t>
      </w:r>
    </w:p>
  </w:endnote>
  <w:endnote w:id="83">
    <w:p w14:paraId="50519A31" w14:textId="2CD1D022" w:rsidR="008F2AFF" w:rsidRPr="008F2AFF"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Department of Home Affairs, </w:t>
      </w:r>
      <w:r w:rsidRPr="008F2AFF">
        <w:rPr>
          <w:rFonts w:cs="Open Sans"/>
          <w:i/>
          <w:iCs/>
          <w:sz w:val="17"/>
          <w:szCs w:val="17"/>
        </w:rPr>
        <w:t>Immigration Detention and Community Statistics Summary</w:t>
      </w:r>
      <w:r w:rsidRPr="008F2AFF">
        <w:rPr>
          <w:rFonts w:cs="Open Sans"/>
          <w:sz w:val="17"/>
          <w:szCs w:val="17"/>
        </w:rPr>
        <w:t xml:space="preserve"> (</w:t>
      </w:r>
      <w:r w:rsidR="00C76504">
        <w:rPr>
          <w:rFonts w:cs="Open Sans"/>
          <w:sz w:val="17"/>
          <w:szCs w:val="17"/>
        </w:rPr>
        <w:t xml:space="preserve">31 August </w:t>
      </w:r>
      <w:r w:rsidRPr="008F2AFF">
        <w:rPr>
          <w:rFonts w:cs="Open Sans"/>
          <w:sz w:val="17"/>
          <w:szCs w:val="17"/>
        </w:rPr>
        <w:t>2021) 12. &lt;</w:t>
      </w:r>
      <w:r w:rsidR="001254B0" w:rsidRPr="001254B0">
        <w:rPr>
          <w:rFonts w:cs="Open Sans"/>
          <w:sz w:val="17"/>
          <w:szCs w:val="17"/>
        </w:rPr>
        <w:t>https://www.homeaffairs.gov.au/research-and-stats/files/immigration-detention-statistics-31-august-2021.pdf</w:t>
      </w:r>
      <w:r w:rsidRPr="008F2AFF">
        <w:rPr>
          <w:rStyle w:val="Hyperlink"/>
          <w:rFonts w:cs="Open Sans"/>
          <w:sz w:val="17"/>
          <w:szCs w:val="17"/>
        </w:rPr>
        <w:t>&gt;</w:t>
      </w:r>
      <w:r w:rsidRPr="008F2AFF">
        <w:rPr>
          <w:rFonts w:cs="Open Sans"/>
          <w:sz w:val="17"/>
          <w:szCs w:val="17"/>
        </w:rPr>
        <w:t>.</w:t>
      </w:r>
    </w:p>
  </w:endnote>
  <w:endnote w:id="84">
    <w:p w14:paraId="5224CA53" w14:textId="75B371D0" w:rsidR="008F2AFF" w:rsidRPr="00240C17" w:rsidRDefault="008F2AFF">
      <w:pPr>
        <w:pStyle w:val="EndnoteText"/>
        <w:rPr>
          <w:rFonts w:cs="Open Sans"/>
          <w:sz w:val="17"/>
          <w:szCs w:val="17"/>
        </w:rPr>
      </w:pPr>
      <w:r w:rsidRPr="008F2AFF">
        <w:rPr>
          <w:rStyle w:val="EndnoteReference"/>
          <w:rFonts w:cs="Open Sans"/>
          <w:sz w:val="17"/>
          <w:szCs w:val="17"/>
        </w:rPr>
        <w:endnoteRef/>
      </w:r>
      <w:r w:rsidRPr="008F2AFF">
        <w:rPr>
          <w:rFonts w:cs="Open Sans"/>
          <w:sz w:val="17"/>
          <w:szCs w:val="17"/>
        </w:rPr>
        <w:t xml:space="preserve"> Commonwealth Ombudsman Michael Manthorpe, ‘Statement by the Commonwealth Ombudsman Michael Manthorpe on the management of COVID-19 risks in immigration detention facilities’ (Statement, 1 July 2020) &lt;</w:t>
      </w:r>
      <w:hyperlink r:id="rId60" w:history="1">
        <w:r w:rsidRPr="008F2AFF">
          <w:rPr>
            <w:rStyle w:val="Hyperlink"/>
            <w:rFonts w:cs="Open Sans"/>
            <w:sz w:val="17"/>
            <w:szCs w:val="17"/>
          </w:rPr>
          <w:t>https://www.ombudsman.gov.au/__data/assets/pdf_file/0013/111235/1-July-2020-Statement-by-the-Commonwealth-Ombudsman-Michael-Manthorpe-on-the-management-of-COVID-19-risks-in-immigration-detention-facilities.pdf</w:t>
        </w:r>
      </w:hyperlink>
      <w:r w:rsidRPr="008F2AFF">
        <w:rPr>
          <w:rStyle w:val="Hyperlink"/>
          <w:rFonts w:cs="Open Sans"/>
          <w:sz w:val="17"/>
          <w:szCs w:val="17"/>
        </w:rPr>
        <w:t>&gt;</w:t>
      </w:r>
      <w:r w:rsidRPr="008F2AFF">
        <w:rPr>
          <w:rFonts w:cs="Open Sans"/>
          <w:sz w:val="17"/>
          <w:szCs w:val="17"/>
        </w:rPr>
        <w:t>.</w:t>
      </w:r>
    </w:p>
  </w:endnote>
  <w:endnote w:id="85">
    <w:p w14:paraId="50948A75" w14:textId="52B6A756" w:rsidR="008F2AFF" w:rsidRPr="001265AE" w:rsidRDefault="008F2AFF" w:rsidP="008D07D5">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w:t>
      </w:r>
      <w:r w:rsidRPr="001265AE">
        <w:rPr>
          <w:rStyle w:val="normaltextrun"/>
          <w:rFonts w:cs="Open Sans"/>
          <w:color w:val="000000"/>
          <w:sz w:val="17"/>
          <w:szCs w:val="17"/>
          <w:shd w:val="clear" w:color="auto" w:fill="FFFFFF"/>
        </w:rPr>
        <w:t xml:space="preserve">See: </w:t>
      </w:r>
      <w:bookmarkStart w:id="14" w:name="_Hlk90890516"/>
      <w:r w:rsidRPr="001265AE">
        <w:rPr>
          <w:rFonts w:cs="Open Sans"/>
          <w:color w:val="000000"/>
          <w:sz w:val="17"/>
          <w:szCs w:val="17"/>
          <w:shd w:val="clear" w:color="auto" w:fill="FFFFFF"/>
        </w:rPr>
        <w:t>United Nations Committee on Economic, Social and Cultural Rights</w:t>
      </w:r>
      <w:r w:rsidRPr="001265AE">
        <w:rPr>
          <w:rFonts w:cs="Open Sans"/>
          <w:i/>
          <w:iCs/>
          <w:color w:val="000000"/>
          <w:sz w:val="17"/>
          <w:szCs w:val="17"/>
          <w:shd w:val="clear" w:color="auto" w:fill="FFFFFF"/>
        </w:rPr>
        <w:t>, Concluding observations on fifth periodic report on Australia</w:t>
      </w:r>
      <w:r w:rsidRPr="001265AE">
        <w:rPr>
          <w:rFonts w:cs="Open Sans"/>
          <w:color w:val="000000"/>
          <w:sz w:val="17"/>
          <w:szCs w:val="17"/>
          <w:shd w:val="clear" w:color="auto" w:fill="FFFFFF"/>
        </w:rPr>
        <w:t>, 61</w:t>
      </w:r>
      <w:r w:rsidRPr="001265AE">
        <w:rPr>
          <w:rFonts w:cs="Open Sans"/>
          <w:color w:val="000000"/>
          <w:sz w:val="17"/>
          <w:szCs w:val="17"/>
          <w:shd w:val="clear" w:color="auto" w:fill="FFFFFF"/>
          <w:vertAlign w:val="superscript"/>
        </w:rPr>
        <w:t>st</w:t>
      </w:r>
      <w:r w:rsidRPr="001265AE">
        <w:rPr>
          <w:rFonts w:cs="Open Sans"/>
          <w:color w:val="000000"/>
          <w:sz w:val="17"/>
          <w:szCs w:val="17"/>
          <w:shd w:val="clear" w:color="auto" w:fill="FFFFFF"/>
        </w:rPr>
        <w:t xml:space="preserve"> sess, UN Doc E/C.12/Aus/CO/5 (11 July 2017) &lt;</w:t>
      </w:r>
      <w:hyperlink r:id="rId61" w:history="1">
        <w:r w:rsidRPr="001265AE">
          <w:rPr>
            <w:rStyle w:val="Hyperlink"/>
            <w:rFonts w:cs="Open Sans"/>
            <w:sz w:val="17"/>
            <w:szCs w:val="17"/>
            <w:shd w:val="clear" w:color="auto" w:fill="FFFFFF"/>
          </w:rPr>
          <w:t>https://tbinternet.ohchr.org/_layouts/15/treatybodyexternal/Download.aspx?symbolno=E/C.12/AUS/CO/5&amp;Lang=En</w:t>
        </w:r>
      </w:hyperlink>
      <w:bookmarkEnd w:id="14"/>
      <w:r w:rsidRPr="001265AE">
        <w:rPr>
          <w:rFonts w:cs="Open Sans"/>
          <w:sz w:val="17"/>
          <w:szCs w:val="17"/>
          <w:shd w:val="clear" w:color="auto" w:fill="FFFFFF"/>
        </w:rPr>
        <w:t>&gt;</w:t>
      </w:r>
      <w:r w:rsidRPr="001265AE">
        <w:rPr>
          <w:rFonts w:cs="Open Sans"/>
          <w:color w:val="000000"/>
          <w:sz w:val="17"/>
          <w:szCs w:val="17"/>
          <w:shd w:val="clear" w:color="auto" w:fill="FFFFFF"/>
        </w:rPr>
        <w:t xml:space="preserve">; </w:t>
      </w:r>
      <w:r w:rsidRPr="001265AE">
        <w:rPr>
          <w:rFonts w:cs="Open Sans"/>
          <w:sz w:val="17"/>
          <w:szCs w:val="17"/>
        </w:rPr>
        <w:t xml:space="preserve">Australian Human Rights Commission, </w:t>
      </w:r>
      <w:r w:rsidRPr="001265AE">
        <w:rPr>
          <w:rFonts w:cs="Open Sans"/>
          <w:i/>
          <w:iCs/>
          <w:sz w:val="17"/>
          <w:szCs w:val="17"/>
        </w:rPr>
        <w:t>Submission No 54 to Senate Standing Committee on Legal and Constitutional Affairs</w:t>
      </w:r>
      <w:r w:rsidRPr="001265AE">
        <w:rPr>
          <w:rFonts w:cs="Open Sans"/>
          <w:sz w:val="17"/>
          <w:szCs w:val="17"/>
        </w:rPr>
        <w:t xml:space="preserve"> </w:t>
      </w:r>
      <w:r w:rsidRPr="001265AE">
        <w:rPr>
          <w:rFonts w:cs="Open Sans"/>
          <w:i/>
          <w:iCs/>
          <w:sz w:val="17"/>
          <w:szCs w:val="17"/>
        </w:rPr>
        <w:t>on the Migration Amendment (Repairing Medical Transfers) Bill 2019 [Provisions]</w:t>
      </w:r>
      <w:r w:rsidRPr="001265AE">
        <w:rPr>
          <w:rFonts w:cs="Open Sans"/>
          <w:sz w:val="17"/>
          <w:szCs w:val="17"/>
        </w:rPr>
        <w:t xml:space="preserve"> (21 August 2019); </w:t>
      </w:r>
      <w:r w:rsidRPr="001265AE">
        <w:rPr>
          <w:rFonts w:cs="Open Sans"/>
          <w:i/>
          <w:iCs/>
          <w:sz w:val="17"/>
          <w:szCs w:val="17"/>
        </w:rPr>
        <w:t>Ms BK, Ms CO and Mr DE on behalf of themselves and their families v Commonwealth of Australia</w:t>
      </w:r>
      <w:r w:rsidRPr="001265AE">
        <w:rPr>
          <w:rFonts w:cs="Open Sans"/>
          <w:sz w:val="17"/>
          <w:szCs w:val="17"/>
        </w:rPr>
        <w:t xml:space="preserve"> [2018] AusHRC 128; Australian Human Rights Commission, ‘Children on Nauru’ (Media Release, 23 October 2018); Elizabeth Elliott and Hasantha Gunasekera, </w:t>
      </w:r>
      <w:r w:rsidRPr="001265AE">
        <w:rPr>
          <w:rFonts w:cs="Open Sans"/>
          <w:i/>
          <w:iCs/>
          <w:sz w:val="17"/>
          <w:szCs w:val="17"/>
        </w:rPr>
        <w:t xml:space="preserve">The Health and Well-Being of Children in Immigration Detention: Report to the Australian Human Rights Commission – Monitoring Visit to Wickham Point Detention Centre, Darwin, NT </w:t>
      </w:r>
      <w:r w:rsidRPr="001265AE">
        <w:rPr>
          <w:rFonts w:cs="Open Sans"/>
          <w:sz w:val="17"/>
          <w:szCs w:val="17"/>
        </w:rPr>
        <w:t xml:space="preserve">(Report, 2016); </w:t>
      </w:r>
      <w:r w:rsidRPr="001265AE">
        <w:rPr>
          <w:rStyle w:val="normaltextrun"/>
          <w:rFonts w:cs="Open Sans"/>
          <w:color w:val="000000"/>
          <w:sz w:val="17"/>
          <w:szCs w:val="17"/>
          <w:shd w:val="clear" w:color="auto" w:fill="FFFFFF"/>
        </w:rPr>
        <w:t xml:space="preserve">Australian Human Rights Commission, </w:t>
      </w:r>
      <w:r w:rsidRPr="001265AE">
        <w:rPr>
          <w:rStyle w:val="normaltextrun"/>
          <w:rFonts w:cs="Open Sans"/>
          <w:i/>
          <w:iCs/>
          <w:color w:val="000000"/>
          <w:sz w:val="17"/>
          <w:szCs w:val="17"/>
          <w:shd w:val="clear" w:color="auto" w:fill="FFFFFF"/>
        </w:rPr>
        <w:t xml:space="preserve">The Forgotten Children: National Inquiry into Children in Immigration Detention </w:t>
      </w:r>
      <w:r w:rsidRPr="001265AE">
        <w:rPr>
          <w:rStyle w:val="normaltextrun"/>
          <w:rFonts w:cs="Open Sans"/>
          <w:color w:val="000000"/>
          <w:sz w:val="17"/>
          <w:szCs w:val="17"/>
          <w:shd w:val="clear" w:color="auto" w:fill="FFFFFF"/>
        </w:rPr>
        <w:t>(November 2014) &lt;</w:t>
      </w:r>
      <w:hyperlink r:id="rId62" w:history="1">
        <w:r w:rsidRPr="001265AE">
          <w:rPr>
            <w:rStyle w:val="Hyperlink"/>
            <w:rFonts w:cs="Open Sans"/>
            <w:sz w:val="17"/>
            <w:szCs w:val="17"/>
          </w:rPr>
          <w:t>https://www.humanrights.gov.au/sites/default/files/document/publication/forgotten_children_2014.pdf</w:t>
        </w:r>
      </w:hyperlink>
      <w:r w:rsidRPr="001265AE">
        <w:rPr>
          <w:rStyle w:val="Hyperlink"/>
          <w:rFonts w:cs="Open Sans"/>
          <w:sz w:val="17"/>
          <w:szCs w:val="17"/>
        </w:rPr>
        <w:t>&gt;</w:t>
      </w:r>
      <w:r w:rsidRPr="001265AE">
        <w:rPr>
          <w:rStyle w:val="normaltextrun"/>
          <w:rFonts w:cs="Open Sans"/>
          <w:color w:val="000000"/>
          <w:sz w:val="17"/>
          <w:szCs w:val="17"/>
          <w:shd w:val="clear" w:color="auto" w:fill="FFFFFF"/>
        </w:rPr>
        <w:t xml:space="preserve">; </w:t>
      </w:r>
      <w:r w:rsidRPr="001265AE">
        <w:rPr>
          <w:rFonts w:cs="Open Sans"/>
          <w:sz w:val="17"/>
          <w:szCs w:val="17"/>
        </w:rPr>
        <w:t xml:space="preserve">United Nations High Commissioner for Refugees, </w:t>
      </w:r>
      <w:r w:rsidRPr="001265AE">
        <w:rPr>
          <w:rFonts w:cs="Open Sans"/>
          <w:i/>
          <w:iCs/>
          <w:sz w:val="17"/>
          <w:szCs w:val="17"/>
        </w:rPr>
        <w:t xml:space="preserve">UNHCR Factsheet on the Situation of Refugees and Asylum Seekers on Manus Island, Papua New Guinea </w:t>
      </w:r>
      <w:r w:rsidRPr="001265AE">
        <w:rPr>
          <w:rFonts w:cs="Open Sans"/>
          <w:sz w:val="17"/>
          <w:szCs w:val="17"/>
        </w:rPr>
        <w:t xml:space="preserve">(Factsheet, 21 January 2018); United Nations High Commissioner for Refugees, </w:t>
      </w:r>
      <w:r w:rsidRPr="001265AE">
        <w:rPr>
          <w:rFonts w:cs="Open Sans"/>
          <w:i/>
          <w:iCs/>
          <w:sz w:val="17"/>
          <w:szCs w:val="17"/>
        </w:rPr>
        <w:t xml:space="preserve">Medical Expert Mission Papua New Guinea 10 to 16 November 2017 </w:t>
      </w:r>
      <w:r w:rsidRPr="001265AE">
        <w:rPr>
          <w:rFonts w:cs="Open Sans"/>
          <w:sz w:val="17"/>
          <w:szCs w:val="17"/>
        </w:rPr>
        <w:t>(Report, 16 November 2017)</w:t>
      </w:r>
      <w:r w:rsidRPr="001265AE">
        <w:rPr>
          <w:rStyle w:val="normaltextrun"/>
          <w:rFonts w:cs="Open Sans"/>
          <w:color w:val="000000"/>
          <w:sz w:val="17"/>
          <w:szCs w:val="17"/>
          <w:shd w:val="clear" w:color="auto" w:fill="FFFFFF"/>
        </w:rPr>
        <w:t xml:space="preserve">; United Nations High Commissioner for Refugees, </w:t>
      </w:r>
      <w:r w:rsidRPr="001265AE">
        <w:rPr>
          <w:rStyle w:val="normaltextrun"/>
          <w:rFonts w:cs="Open Sans"/>
          <w:i/>
          <w:iCs/>
          <w:color w:val="000000"/>
          <w:sz w:val="17"/>
          <w:szCs w:val="17"/>
          <w:shd w:val="clear" w:color="auto" w:fill="FFFFFF"/>
        </w:rPr>
        <w:t>UNHCR Mission to Manus Island, Papua New Guinea, 15-17 January 2013</w:t>
      </w:r>
      <w:r w:rsidRPr="001265AE">
        <w:rPr>
          <w:rStyle w:val="normaltextrun"/>
          <w:rFonts w:cs="Open Sans"/>
          <w:color w:val="000000"/>
          <w:sz w:val="17"/>
          <w:szCs w:val="17"/>
          <w:shd w:val="clear" w:color="auto" w:fill="FFFFFF"/>
        </w:rPr>
        <w:t xml:space="preserve"> (2013). &lt;</w:t>
      </w:r>
      <w:hyperlink r:id="rId63" w:history="1">
        <w:r w:rsidRPr="001265AE">
          <w:rPr>
            <w:rStyle w:val="Hyperlink"/>
            <w:rFonts w:cs="Open Sans"/>
            <w:sz w:val="17"/>
            <w:szCs w:val="17"/>
          </w:rPr>
          <w:t>http://www.refworld.org/docid/5139ab872.html</w:t>
        </w:r>
      </w:hyperlink>
      <w:r w:rsidRPr="001265AE">
        <w:rPr>
          <w:rStyle w:val="Hyperlink"/>
          <w:rFonts w:cs="Open Sans"/>
          <w:sz w:val="17"/>
          <w:szCs w:val="17"/>
        </w:rPr>
        <w:t>&gt;</w:t>
      </w:r>
      <w:r w:rsidRPr="001265AE">
        <w:rPr>
          <w:rStyle w:val="normaltextrun"/>
          <w:rFonts w:cs="Open Sans"/>
          <w:color w:val="000000"/>
          <w:sz w:val="17"/>
          <w:szCs w:val="17"/>
          <w:shd w:val="clear" w:color="auto" w:fill="FFFFFF"/>
        </w:rPr>
        <w:t xml:space="preserve">; Parliamentary Joint Committee on Human Rights, </w:t>
      </w:r>
      <w:r w:rsidRPr="001265AE">
        <w:rPr>
          <w:rStyle w:val="normaltextrun"/>
          <w:rFonts w:cs="Open Sans"/>
          <w:i/>
          <w:iCs/>
          <w:color w:val="000000"/>
          <w:sz w:val="17"/>
          <w:szCs w:val="17"/>
          <w:shd w:val="clear" w:color="auto" w:fill="FFFFFF"/>
        </w:rPr>
        <w:t>Examination of the Migration (Regional Processing) package of legislation</w:t>
      </w:r>
      <w:r w:rsidRPr="001265AE">
        <w:rPr>
          <w:rStyle w:val="normaltextrun"/>
          <w:rFonts w:cs="Open Sans"/>
          <w:color w:val="000000"/>
          <w:sz w:val="17"/>
          <w:szCs w:val="17"/>
          <w:shd w:val="clear" w:color="auto" w:fill="FFFFFF"/>
        </w:rPr>
        <w:t xml:space="preserve"> (19 June 2013) &lt;</w:t>
      </w:r>
      <w:hyperlink r:id="rId64" w:history="1">
        <w:r w:rsidRPr="001265AE">
          <w:rPr>
            <w:rStyle w:val="Hyperlink"/>
            <w:rFonts w:cs="Open Sans"/>
            <w:sz w:val="17"/>
            <w:szCs w:val="17"/>
          </w:rPr>
          <w:t>http://www.aph.gov.au/Parliamentary_Business/Committees/Joint/Human_Rights/Committee_Inquiries/migration/index</w:t>
        </w:r>
      </w:hyperlink>
      <w:r w:rsidRPr="001265AE">
        <w:rPr>
          <w:rStyle w:val="Hyperlink"/>
          <w:rFonts w:cs="Open Sans"/>
          <w:sz w:val="17"/>
          <w:szCs w:val="17"/>
        </w:rPr>
        <w:t>&gt;</w:t>
      </w:r>
      <w:r w:rsidRPr="001265AE">
        <w:rPr>
          <w:rStyle w:val="normaltextrun"/>
          <w:rFonts w:cs="Open Sans"/>
          <w:color w:val="000000"/>
          <w:sz w:val="17"/>
          <w:szCs w:val="17"/>
          <w:shd w:val="clear" w:color="auto" w:fill="FFFFFF"/>
        </w:rPr>
        <w:t>; United Nations High Commissioner for Refugees, </w:t>
      </w:r>
      <w:r w:rsidRPr="001265AE">
        <w:rPr>
          <w:rStyle w:val="normaltextrun"/>
          <w:rFonts w:cs="Open Sans"/>
          <w:i/>
          <w:iCs/>
          <w:color w:val="000000"/>
          <w:sz w:val="17"/>
          <w:szCs w:val="17"/>
          <w:shd w:val="clear" w:color="auto" w:fill="FFFFFF"/>
        </w:rPr>
        <w:t xml:space="preserve">UNHCR monitoring visit to the Republic of Nauru, 7 to 9 October 2013 </w:t>
      </w:r>
      <w:r w:rsidRPr="001265AE">
        <w:rPr>
          <w:rStyle w:val="normaltextrun"/>
          <w:rFonts w:cs="Open Sans"/>
          <w:color w:val="000000"/>
          <w:sz w:val="17"/>
          <w:szCs w:val="17"/>
          <w:shd w:val="clear" w:color="auto" w:fill="FFFFFF"/>
        </w:rPr>
        <w:t>(2013) &lt;</w:t>
      </w:r>
      <w:hyperlink r:id="rId65" w:history="1">
        <w:r w:rsidRPr="001265AE">
          <w:rPr>
            <w:rStyle w:val="Hyperlink"/>
            <w:rFonts w:cs="Open Sans"/>
            <w:sz w:val="17"/>
            <w:szCs w:val="17"/>
          </w:rPr>
          <w:t>http://www.unhcr.org/en-au/publications/legal/58117b931/unhcr-monitoring-visit-to-the-republic-of-nauru-7-to-9-october-2013.html</w:t>
        </w:r>
      </w:hyperlink>
      <w:r w:rsidRPr="001265AE">
        <w:rPr>
          <w:rStyle w:val="Hyperlink"/>
          <w:rFonts w:cs="Open Sans"/>
          <w:sz w:val="17"/>
          <w:szCs w:val="17"/>
        </w:rPr>
        <w:t>&gt;</w:t>
      </w:r>
      <w:r w:rsidRPr="001265AE">
        <w:rPr>
          <w:rStyle w:val="normaltextrun"/>
          <w:rFonts w:cs="Open Sans"/>
          <w:color w:val="000000"/>
          <w:sz w:val="17"/>
          <w:szCs w:val="17"/>
          <w:shd w:val="clear" w:color="auto" w:fill="FFFFFF"/>
        </w:rPr>
        <w:t>; Robert Cornall, </w:t>
      </w:r>
      <w:r w:rsidRPr="001265AE">
        <w:rPr>
          <w:rStyle w:val="normaltextrun"/>
          <w:rFonts w:cs="Open Sans"/>
          <w:i/>
          <w:iCs/>
          <w:color w:val="000000"/>
          <w:sz w:val="17"/>
          <w:szCs w:val="17"/>
          <w:shd w:val="clear" w:color="auto" w:fill="FFFFFF"/>
        </w:rPr>
        <w:t>Review into the events of 16-18 February 2014 at the Manus Regional Processing Centre </w:t>
      </w:r>
      <w:r w:rsidRPr="001265AE">
        <w:rPr>
          <w:rStyle w:val="normaltextrun"/>
          <w:rFonts w:cs="Open Sans"/>
          <w:color w:val="000000"/>
          <w:sz w:val="17"/>
          <w:szCs w:val="17"/>
          <w:shd w:val="clear" w:color="auto" w:fill="FFFFFF"/>
        </w:rPr>
        <w:t>(Department of Immigration and Border Protection, 23</w:t>
      </w:r>
      <w:r w:rsidRPr="001265AE">
        <w:rPr>
          <w:rFonts w:cs="Open Sans"/>
          <w:sz w:val="17"/>
          <w:szCs w:val="17"/>
        </w:rPr>
        <w:t> </w:t>
      </w:r>
      <w:r w:rsidRPr="001265AE">
        <w:rPr>
          <w:rStyle w:val="normaltextrun"/>
          <w:rFonts w:cs="Open Sans"/>
          <w:color w:val="000000"/>
          <w:sz w:val="17"/>
          <w:szCs w:val="17"/>
          <w:shd w:val="clear" w:color="auto" w:fill="FFFFFF"/>
        </w:rPr>
        <w:t>May 2014) &lt;</w:t>
      </w:r>
      <w:hyperlink r:id="rId66" w:history="1">
        <w:r w:rsidRPr="001265AE">
          <w:rPr>
            <w:rStyle w:val="Hyperlink"/>
            <w:rFonts w:cs="Open Sans"/>
            <w:sz w:val="17"/>
            <w:szCs w:val="17"/>
          </w:rPr>
          <w:t>https://www.homeaffairs.gov.au/reports-and-pubs/files/review-robert-cornall.pdf</w:t>
        </w:r>
      </w:hyperlink>
      <w:r w:rsidRPr="001265AE">
        <w:rPr>
          <w:rStyle w:val="Hyperlink"/>
          <w:rFonts w:cs="Open Sans"/>
          <w:sz w:val="17"/>
          <w:szCs w:val="17"/>
        </w:rPr>
        <w:t>&gt;</w:t>
      </w:r>
      <w:r w:rsidRPr="001265AE">
        <w:rPr>
          <w:rStyle w:val="normaltextrun"/>
          <w:rFonts w:cs="Open Sans"/>
          <w:color w:val="000000"/>
          <w:sz w:val="17"/>
          <w:szCs w:val="17"/>
          <w:shd w:val="clear" w:color="auto" w:fill="FFFFFF"/>
        </w:rPr>
        <w:t>; United Nations Committee against Torture, </w:t>
      </w:r>
      <w:r w:rsidRPr="001265AE">
        <w:rPr>
          <w:rStyle w:val="normaltextrun"/>
          <w:rFonts w:cs="Open Sans"/>
          <w:i/>
          <w:iCs/>
          <w:color w:val="000000"/>
          <w:sz w:val="17"/>
          <w:szCs w:val="17"/>
          <w:shd w:val="clear" w:color="auto" w:fill="FFFFFF"/>
        </w:rPr>
        <w:t>Concluding observations on the combined fourth and fifth periodic reports of Australia</w:t>
      </w:r>
      <w:r w:rsidRPr="001265AE">
        <w:rPr>
          <w:rStyle w:val="normaltextrun"/>
          <w:rFonts w:cs="Open Sans"/>
          <w:color w:val="000000"/>
          <w:sz w:val="17"/>
          <w:szCs w:val="17"/>
          <w:shd w:val="clear" w:color="auto" w:fill="FFFFFF"/>
        </w:rPr>
        <w:t>, UN Doc CAT/C/AUS/CO/4-5 (23 December 2014) 6 &lt;</w:t>
      </w:r>
      <w:hyperlink r:id="rId67" w:history="1">
        <w:r w:rsidRPr="001265AE">
          <w:rPr>
            <w:rStyle w:val="Hyperlink"/>
            <w:rFonts w:cs="Open Sans"/>
            <w:sz w:val="17"/>
            <w:szCs w:val="17"/>
          </w:rPr>
          <w:t>https://tbinternet.ohchr.org/_layouts/15/treatybodyexternal/Download.aspx?symbolno=CAT/C/AUS/CO/4-5&amp;Lang=En</w:t>
        </w:r>
      </w:hyperlink>
      <w:r w:rsidRPr="001265AE">
        <w:rPr>
          <w:rStyle w:val="Hyperlink"/>
          <w:rFonts w:cs="Open Sans"/>
          <w:sz w:val="17"/>
          <w:szCs w:val="17"/>
        </w:rPr>
        <w:t>&gt;</w:t>
      </w:r>
      <w:r w:rsidRPr="001265AE">
        <w:rPr>
          <w:rStyle w:val="normaltextrun"/>
          <w:rFonts w:cs="Open Sans"/>
          <w:color w:val="000000"/>
          <w:sz w:val="17"/>
          <w:szCs w:val="17"/>
          <w:shd w:val="clear" w:color="auto" w:fill="FFFFFF"/>
        </w:rPr>
        <w:t>; Philip Moss, </w:t>
      </w:r>
      <w:r w:rsidRPr="001265AE">
        <w:rPr>
          <w:rStyle w:val="normaltextrun"/>
          <w:rFonts w:cs="Open Sans"/>
          <w:i/>
          <w:iCs/>
          <w:color w:val="000000"/>
          <w:sz w:val="17"/>
          <w:szCs w:val="17"/>
          <w:shd w:val="clear" w:color="auto" w:fill="FFFFFF"/>
        </w:rPr>
        <w:t>Review into recent allegations relating to conditions and circumstances at the Regional Processing Centre in Nauru </w:t>
      </w:r>
      <w:r w:rsidRPr="001265AE">
        <w:rPr>
          <w:rStyle w:val="normaltextrun"/>
          <w:rFonts w:cs="Open Sans"/>
          <w:color w:val="000000"/>
          <w:sz w:val="17"/>
          <w:szCs w:val="17"/>
          <w:shd w:val="clear" w:color="auto" w:fill="FFFFFF"/>
        </w:rPr>
        <w:t>(Department of Immigration and Border Protection, 6 February 2015) &lt;</w:t>
      </w:r>
      <w:hyperlink r:id="rId68" w:history="1">
        <w:r w:rsidRPr="001265AE">
          <w:rPr>
            <w:rStyle w:val="Hyperlink"/>
            <w:rFonts w:cs="Open Sans"/>
            <w:sz w:val="17"/>
            <w:szCs w:val="17"/>
          </w:rPr>
          <w:t>https://www.homeaffairs.gov.au/reports-and-pubs/files/review-conditions-circumstances-nauru.pdf</w:t>
        </w:r>
      </w:hyperlink>
      <w:r w:rsidRPr="001265AE">
        <w:rPr>
          <w:rStyle w:val="Hyperlink"/>
          <w:rFonts w:cs="Open Sans"/>
          <w:sz w:val="17"/>
          <w:szCs w:val="17"/>
        </w:rPr>
        <w:t>&gt;</w:t>
      </w:r>
      <w:r w:rsidRPr="001265AE">
        <w:rPr>
          <w:rStyle w:val="normaltextrun"/>
          <w:rFonts w:cs="Open Sans"/>
          <w:color w:val="000000"/>
          <w:sz w:val="17"/>
          <w:szCs w:val="17"/>
          <w:shd w:val="clear" w:color="auto" w:fill="FFFFFF"/>
        </w:rPr>
        <w:t>; Senate Legal and Constitutional Affairs References Committee, Parliament of Australia, </w:t>
      </w:r>
      <w:r w:rsidRPr="001265AE">
        <w:rPr>
          <w:rStyle w:val="normaltextrun"/>
          <w:rFonts w:cs="Open Sans"/>
          <w:i/>
          <w:iCs/>
          <w:color w:val="000000"/>
          <w:sz w:val="17"/>
          <w:szCs w:val="17"/>
          <w:shd w:val="clear" w:color="auto" w:fill="FFFFFF"/>
        </w:rPr>
        <w:t>Incident at the Manus Island Detention Centre from 16 February to 18 February 2014 </w:t>
      </w:r>
      <w:r w:rsidRPr="001265AE">
        <w:rPr>
          <w:rStyle w:val="normaltextrun"/>
          <w:rFonts w:cs="Open Sans"/>
          <w:color w:val="000000"/>
          <w:sz w:val="17"/>
          <w:szCs w:val="17"/>
          <w:shd w:val="clear" w:color="auto" w:fill="FFFFFF"/>
        </w:rPr>
        <w:t>(December 2014) 37–54. Juan E. Méndez, Special Rapporteur on torture and other cruel, inhuman or degrading treatment or punishment, </w:t>
      </w:r>
      <w:r w:rsidRPr="001265AE">
        <w:rPr>
          <w:rStyle w:val="normaltextrun"/>
          <w:rFonts w:cs="Open Sans"/>
          <w:i/>
          <w:iCs/>
          <w:color w:val="000000"/>
          <w:sz w:val="17"/>
          <w:szCs w:val="17"/>
          <w:shd w:val="clear" w:color="auto" w:fill="FFFFFF"/>
        </w:rPr>
        <w:t>Observations on communications transmitted to Governments and replies received</w:t>
      </w:r>
      <w:r w:rsidRPr="001265AE">
        <w:rPr>
          <w:rStyle w:val="normaltextrun"/>
          <w:rFonts w:cs="Open Sans"/>
          <w:color w:val="000000"/>
          <w:sz w:val="17"/>
          <w:szCs w:val="17"/>
          <w:shd w:val="clear" w:color="auto" w:fill="FFFFFF"/>
        </w:rPr>
        <w:t>, United Nations Human Rights Council, 28</w:t>
      </w:r>
      <w:r w:rsidRPr="001265AE">
        <w:rPr>
          <w:rStyle w:val="normaltextrun"/>
          <w:rFonts w:cs="Open Sans"/>
          <w:color w:val="000000"/>
          <w:sz w:val="17"/>
          <w:szCs w:val="17"/>
          <w:shd w:val="clear" w:color="auto" w:fill="FFFFFF"/>
          <w:vertAlign w:val="superscript"/>
        </w:rPr>
        <w:t>th</w:t>
      </w:r>
      <w:r w:rsidRPr="001265AE">
        <w:rPr>
          <w:rStyle w:val="normaltextrun"/>
          <w:rFonts w:cs="Open Sans"/>
          <w:color w:val="000000"/>
          <w:sz w:val="17"/>
          <w:szCs w:val="17"/>
          <w:shd w:val="clear" w:color="auto" w:fill="FFFFFF"/>
        </w:rPr>
        <w:t xml:space="preserve"> </w:t>
      </w:r>
      <w:r w:rsidRPr="001265AE">
        <w:rPr>
          <w:rStyle w:val="spellingerror"/>
          <w:rFonts w:cs="Open Sans"/>
          <w:color w:val="000000"/>
          <w:sz w:val="17"/>
          <w:szCs w:val="17"/>
          <w:shd w:val="clear" w:color="auto" w:fill="FFFFFF"/>
        </w:rPr>
        <w:t>sess</w:t>
      </w:r>
      <w:r w:rsidRPr="001265AE">
        <w:rPr>
          <w:rStyle w:val="normaltextrun"/>
          <w:rFonts w:cs="Open Sans"/>
          <w:color w:val="000000"/>
          <w:sz w:val="17"/>
          <w:szCs w:val="17"/>
          <w:shd w:val="clear" w:color="auto" w:fill="FFFFFF"/>
        </w:rPr>
        <w:t>, Agenda Item 3, UN Doc A/HRC/28/68/Add.1 (5 March 2015) &lt;</w:t>
      </w:r>
      <w:hyperlink r:id="rId69" w:history="1">
        <w:r w:rsidRPr="001265AE">
          <w:rPr>
            <w:rStyle w:val="Hyperlink"/>
            <w:rFonts w:cs="Open Sans"/>
            <w:sz w:val="17"/>
            <w:szCs w:val="17"/>
          </w:rPr>
          <w:t>http://www.ohchr.org/EN/HRBodies/HRC/RegularSessions/Session28/Documents/A_HRC_28_68_Add.1_en.doc</w:t>
        </w:r>
      </w:hyperlink>
      <w:r w:rsidRPr="001265AE">
        <w:rPr>
          <w:rStyle w:val="Hyperlink"/>
          <w:rFonts w:cs="Open Sans"/>
          <w:sz w:val="17"/>
          <w:szCs w:val="17"/>
        </w:rPr>
        <w:t>&gt;</w:t>
      </w:r>
      <w:r w:rsidRPr="001265AE">
        <w:rPr>
          <w:rStyle w:val="normaltextrun"/>
          <w:rFonts w:cs="Open Sans"/>
          <w:color w:val="000000"/>
          <w:sz w:val="17"/>
          <w:szCs w:val="17"/>
          <w:shd w:val="clear" w:color="auto" w:fill="FFFFFF"/>
        </w:rPr>
        <w:t>; Select Committee on the recent allegations relating to conditions and circumstances at the Regional Processing Centre in Nauru, Parliament of Australia, </w:t>
      </w:r>
      <w:r w:rsidRPr="001265AE">
        <w:rPr>
          <w:rStyle w:val="normaltextrun"/>
          <w:rFonts w:cs="Open Sans"/>
          <w:i/>
          <w:iCs/>
          <w:color w:val="000000"/>
          <w:sz w:val="17"/>
          <w:szCs w:val="17"/>
          <w:shd w:val="clear" w:color="auto" w:fill="FFFFFF"/>
        </w:rPr>
        <w:t>Taking responsibility: Conditions and circumstances at Australia's Regional Processing Centre in Nauru </w:t>
      </w:r>
      <w:r w:rsidRPr="001265AE">
        <w:rPr>
          <w:rStyle w:val="normaltextrun"/>
          <w:rFonts w:cs="Open Sans"/>
          <w:color w:val="000000"/>
          <w:sz w:val="17"/>
          <w:szCs w:val="17"/>
          <w:shd w:val="clear" w:color="auto" w:fill="FFFFFF"/>
        </w:rPr>
        <w:t>(August 2015) 59–86 &lt;</w:t>
      </w:r>
      <w:hyperlink r:id="rId70" w:history="1">
        <w:r w:rsidRPr="001265AE">
          <w:rPr>
            <w:rStyle w:val="Hyperlink"/>
            <w:rFonts w:cs="Open Sans"/>
            <w:sz w:val="17"/>
            <w:szCs w:val="17"/>
          </w:rPr>
          <w:t>http://www.aph.gov.au/Parliamentary_Business/Committees/Senate/Regional_processing_Nauru/Regional_processing_Nauru/~/media/Committees/nauru_ctte/Final_Report/report.pdf</w:t>
        </w:r>
      </w:hyperlink>
      <w:r w:rsidRPr="001265AE">
        <w:rPr>
          <w:rStyle w:val="Hyperlink"/>
          <w:rFonts w:cs="Open Sans"/>
          <w:sz w:val="17"/>
          <w:szCs w:val="17"/>
        </w:rPr>
        <w:t>&gt;</w:t>
      </w:r>
      <w:r w:rsidRPr="001265AE">
        <w:rPr>
          <w:rStyle w:val="normaltextrun"/>
          <w:rFonts w:cs="Open Sans"/>
          <w:color w:val="000000"/>
          <w:sz w:val="17"/>
          <w:szCs w:val="17"/>
          <w:shd w:val="clear" w:color="auto" w:fill="FFFFFF"/>
        </w:rPr>
        <w:t>.</w:t>
      </w:r>
    </w:p>
  </w:endnote>
  <w:endnote w:id="86">
    <w:p w14:paraId="6D90889D" w14:textId="77777777" w:rsidR="008F2AFF" w:rsidRPr="001265AE" w:rsidRDefault="008F2AFF" w:rsidP="008D07D5">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w:t>
      </w:r>
      <w:r w:rsidRPr="001265AE">
        <w:rPr>
          <w:rFonts w:cs="Open Sans"/>
          <w:i/>
          <w:iCs/>
          <w:sz w:val="17"/>
          <w:szCs w:val="17"/>
        </w:rPr>
        <w:t>Home Affairs Legislation Amendment (Miscellaneous Measures) Act 2019</w:t>
      </w:r>
      <w:r w:rsidRPr="001265AE">
        <w:rPr>
          <w:rFonts w:cs="Open Sans"/>
          <w:sz w:val="17"/>
          <w:szCs w:val="17"/>
        </w:rPr>
        <w:t xml:space="preserve"> (Cth).</w:t>
      </w:r>
    </w:p>
  </w:endnote>
  <w:endnote w:id="87">
    <w:p w14:paraId="5CD5CE45" w14:textId="0249928F" w:rsidR="008F2AFF" w:rsidRPr="001265AE" w:rsidRDefault="008F2AFF" w:rsidP="008D07D5">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Australian Human Rights Commission, ‘Human Rights Commissioner on the ‘Medevac law’’ (Media Release, 22 August 2019). &lt;</w:t>
      </w:r>
      <w:hyperlink r:id="rId71" w:history="1">
        <w:r w:rsidRPr="001265AE">
          <w:rPr>
            <w:rStyle w:val="Hyperlink"/>
            <w:rFonts w:cs="Open Sans"/>
            <w:sz w:val="17"/>
            <w:szCs w:val="17"/>
          </w:rPr>
          <w:t>https://www.humanrights.gov.au/about/news/human-rights-commissioner-medevac-law</w:t>
        </w:r>
      </w:hyperlink>
      <w:r w:rsidRPr="001265AE">
        <w:rPr>
          <w:rFonts w:cs="Open Sans"/>
          <w:sz w:val="17"/>
          <w:szCs w:val="17"/>
        </w:rPr>
        <w:t xml:space="preserve">&gt;. Australian Human Rights Commission, </w:t>
      </w:r>
      <w:r w:rsidRPr="001265AE">
        <w:rPr>
          <w:rFonts w:cs="Open Sans"/>
          <w:i/>
          <w:sz w:val="17"/>
          <w:szCs w:val="17"/>
        </w:rPr>
        <w:t xml:space="preserve">Submission to the Senate Legal Constitutional Affairs Committee Inquiry into the Migration Amendment (Repairing Medical Transfers) Bill 2019 </w:t>
      </w:r>
      <w:r w:rsidRPr="001265AE">
        <w:rPr>
          <w:rFonts w:cs="Open Sans"/>
          <w:sz w:val="17"/>
          <w:szCs w:val="17"/>
        </w:rPr>
        <w:t>(21 August 2019) &lt;</w:t>
      </w:r>
      <w:hyperlink r:id="rId72" w:history="1">
        <w:r w:rsidRPr="001265AE">
          <w:rPr>
            <w:rStyle w:val="Hyperlink"/>
            <w:rFonts w:cs="Open Sans"/>
            <w:sz w:val="17"/>
            <w:szCs w:val="17"/>
          </w:rPr>
          <w:t>https://www.humanrights.gov.au/our-work/legal/submission/migration-amendment-repairing-medical-transfers-bill-2019</w:t>
        </w:r>
      </w:hyperlink>
      <w:r w:rsidRPr="001265AE">
        <w:rPr>
          <w:rFonts w:cs="Open Sans"/>
          <w:sz w:val="17"/>
          <w:szCs w:val="17"/>
        </w:rPr>
        <w:t>&gt;.</w:t>
      </w:r>
    </w:p>
  </w:endnote>
  <w:endnote w:id="88">
    <w:p w14:paraId="5BDFC9C1" w14:textId="77777777" w:rsidR="008F2AFF" w:rsidRPr="001265AE" w:rsidRDefault="008F2AFF" w:rsidP="00C17E8E">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w:t>
      </w:r>
      <w:r w:rsidRPr="001265AE">
        <w:rPr>
          <w:rStyle w:val="normaltextrun"/>
          <w:rFonts w:cs="Open Sans"/>
          <w:color w:val="000000"/>
          <w:sz w:val="17"/>
          <w:szCs w:val="17"/>
          <w:bdr w:val="none" w:sz="0" w:space="0" w:color="auto" w:frame="1"/>
        </w:rPr>
        <w:t>The “Legacy Caseload” is the group of approximately 30,000 asylum seekers who arrived in Australia by boat prior to 1 January 2014.</w:t>
      </w:r>
    </w:p>
  </w:endnote>
  <w:endnote w:id="89">
    <w:p w14:paraId="02926C52" w14:textId="59883904" w:rsidR="008F2AFF" w:rsidRPr="001265AE" w:rsidRDefault="008F2AFF" w:rsidP="00C17E8E">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Australian Human Rights Commission, </w:t>
      </w:r>
      <w:r w:rsidRPr="001265AE">
        <w:rPr>
          <w:rFonts w:cs="Open Sans"/>
          <w:i/>
          <w:iCs/>
          <w:sz w:val="17"/>
          <w:szCs w:val="17"/>
        </w:rPr>
        <w:t>Lives on hold: Refugees and asylum seekers in the 'Legacy caseload'</w:t>
      </w:r>
      <w:r w:rsidRPr="001265AE">
        <w:rPr>
          <w:rFonts w:cs="Open Sans"/>
          <w:sz w:val="17"/>
          <w:szCs w:val="17"/>
        </w:rPr>
        <w:t xml:space="preserve"> (2019) 56-57. &lt;</w:t>
      </w:r>
      <w:r w:rsidRPr="001265AE">
        <w:rPr>
          <w:rStyle w:val="Hyperlink"/>
          <w:rFonts w:cs="Open Sans"/>
          <w:sz w:val="17"/>
          <w:szCs w:val="17"/>
        </w:rPr>
        <w:t>https://www.humanrights.gov.au/our-work/asylum-seekers-and-refugees/publications/lives-hold-refugees-and-asylum-seekers-legacy&gt;</w:t>
      </w:r>
      <w:r w:rsidRPr="001265AE">
        <w:rPr>
          <w:rFonts w:cs="Open Sans"/>
          <w:sz w:val="17"/>
          <w:szCs w:val="17"/>
        </w:rPr>
        <w:t>.</w:t>
      </w:r>
    </w:p>
  </w:endnote>
  <w:endnote w:id="90">
    <w:p w14:paraId="4652251C" w14:textId="611AE2EE" w:rsidR="008F2AFF" w:rsidRPr="001265AE" w:rsidRDefault="008F2AFF" w:rsidP="00301DA8">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w:t>
      </w:r>
      <w:r w:rsidRPr="001265AE">
        <w:rPr>
          <w:rStyle w:val="normaltextrun"/>
          <w:rFonts w:cs="Open Sans"/>
          <w:color w:val="000000"/>
          <w:sz w:val="17"/>
          <w:szCs w:val="17"/>
          <w:shd w:val="clear" w:color="auto" w:fill="FFFFFF"/>
        </w:rPr>
        <w:t xml:space="preserve">Australian Human Rights Commission, </w:t>
      </w:r>
      <w:r w:rsidRPr="001265AE">
        <w:rPr>
          <w:rStyle w:val="normaltextrun"/>
          <w:rFonts w:cs="Open Sans"/>
          <w:i/>
          <w:iCs/>
          <w:color w:val="000000"/>
          <w:sz w:val="17"/>
          <w:szCs w:val="17"/>
          <w:shd w:val="clear" w:color="auto" w:fill="FFFFFF"/>
        </w:rPr>
        <w:t>Lives on hold: Refugees and asylum seekers in the 'Legacy caseload'</w:t>
      </w:r>
      <w:r w:rsidRPr="001265AE">
        <w:rPr>
          <w:rStyle w:val="normaltextrun"/>
          <w:rFonts w:cs="Open Sans"/>
          <w:color w:val="000000"/>
          <w:sz w:val="17"/>
          <w:szCs w:val="17"/>
          <w:shd w:val="clear" w:color="auto" w:fill="FFFFFF"/>
        </w:rPr>
        <w:t xml:space="preserve"> (2019) 92 &lt;</w:t>
      </w:r>
      <w:hyperlink r:id="rId73" w:history="1">
        <w:r w:rsidRPr="001265AE">
          <w:rPr>
            <w:rStyle w:val="Hyperlink"/>
            <w:rFonts w:cs="Open Sans"/>
            <w:sz w:val="17"/>
            <w:szCs w:val="17"/>
          </w:rPr>
          <w:t>https://www.humanrights.gov.au/our-work/asylum-seekers-and-refugees/publications/lives-hold-refugees-and-asylum-seekers-legacy</w:t>
        </w:r>
      </w:hyperlink>
      <w:r w:rsidRPr="001265AE">
        <w:rPr>
          <w:rStyle w:val="Hyperlink"/>
          <w:rFonts w:cs="Open Sans"/>
          <w:sz w:val="17"/>
          <w:szCs w:val="17"/>
        </w:rPr>
        <w:t>&gt;</w:t>
      </w:r>
      <w:r w:rsidRPr="001265AE">
        <w:rPr>
          <w:rStyle w:val="normaltextrun"/>
          <w:rFonts w:cs="Open Sans"/>
          <w:color w:val="000000"/>
          <w:sz w:val="17"/>
          <w:szCs w:val="17"/>
          <w:shd w:val="clear" w:color="auto" w:fill="FFFFFF"/>
        </w:rPr>
        <w:t>.</w:t>
      </w:r>
      <w:r w:rsidR="007C1F35">
        <w:rPr>
          <w:rStyle w:val="normaltextrun"/>
          <w:rFonts w:cs="Open Sans"/>
          <w:color w:val="000000"/>
          <w:sz w:val="17"/>
          <w:szCs w:val="17"/>
          <w:shd w:val="clear" w:color="auto" w:fill="FFFFFF"/>
        </w:rPr>
        <w:t xml:space="preserve"> Austr</w:t>
      </w:r>
      <w:r w:rsidR="00C5153E">
        <w:rPr>
          <w:rStyle w:val="normaltextrun"/>
          <w:rFonts w:cs="Open Sans"/>
          <w:color w:val="000000"/>
          <w:sz w:val="17"/>
          <w:szCs w:val="17"/>
          <w:shd w:val="clear" w:color="auto" w:fill="FFFFFF"/>
        </w:rPr>
        <w:t>a</w:t>
      </w:r>
      <w:r w:rsidR="007C1F35">
        <w:rPr>
          <w:rStyle w:val="normaltextrun"/>
          <w:rFonts w:cs="Open Sans"/>
          <w:color w:val="000000"/>
          <w:sz w:val="17"/>
          <w:szCs w:val="17"/>
          <w:shd w:val="clear" w:color="auto" w:fill="FFFFFF"/>
        </w:rPr>
        <w:t xml:space="preserve">lian Human Rights Commission, </w:t>
      </w:r>
      <w:r w:rsidR="00301DA8" w:rsidRPr="00253F7A">
        <w:rPr>
          <w:rStyle w:val="normaltextrun"/>
          <w:rFonts w:cs="Open Sans"/>
          <w:i/>
          <w:iCs/>
          <w:color w:val="000000"/>
          <w:sz w:val="17"/>
          <w:szCs w:val="17"/>
          <w:shd w:val="clear" w:color="auto" w:fill="FFFFFF"/>
        </w:rPr>
        <w:t>Inquiry into the efficacy, fairness, timeliness and costs of visas for</w:t>
      </w:r>
      <w:r w:rsidR="00C5153E" w:rsidRPr="00253F7A">
        <w:rPr>
          <w:rStyle w:val="normaltextrun"/>
          <w:rFonts w:cs="Open Sans"/>
          <w:i/>
          <w:iCs/>
          <w:color w:val="000000"/>
          <w:sz w:val="17"/>
          <w:szCs w:val="17"/>
          <w:shd w:val="clear" w:color="auto" w:fill="FFFFFF"/>
        </w:rPr>
        <w:t xml:space="preserve"> </w:t>
      </w:r>
      <w:r w:rsidR="00301DA8" w:rsidRPr="00253F7A">
        <w:rPr>
          <w:rStyle w:val="normaltextrun"/>
          <w:rFonts w:cs="Open Sans"/>
          <w:i/>
          <w:iCs/>
          <w:color w:val="000000"/>
          <w:sz w:val="17"/>
          <w:szCs w:val="17"/>
          <w:shd w:val="clear" w:color="auto" w:fill="FFFFFF"/>
        </w:rPr>
        <w:t>family reunion</w:t>
      </w:r>
      <w:r w:rsidR="00C5153E">
        <w:rPr>
          <w:rStyle w:val="normaltextrun"/>
          <w:rFonts w:cs="Open Sans"/>
          <w:color w:val="000000"/>
          <w:sz w:val="17"/>
          <w:szCs w:val="17"/>
          <w:shd w:val="clear" w:color="auto" w:fill="FFFFFF"/>
        </w:rPr>
        <w:t xml:space="preserve">, submission to the Senate Legal and Constitutional Affairs References Committee </w:t>
      </w:r>
      <w:r w:rsidR="00253F7A">
        <w:rPr>
          <w:rStyle w:val="normaltextrun"/>
          <w:rFonts w:cs="Open Sans"/>
          <w:color w:val="000000"/>
          <w:sz w:val="17"/>
          <w:szCs w:val="17"/>
          <w:shd w:val="clear" w:color="auto" w:fill="FFFFFF"/>
        </w:rPr>
        <w:t>(</w:t>
      </w:r>
      <w:r w:rsidR="00C5153E">
        <w:rPr>
          <w:rStyle w:val="normaltextrun"/>
          <w:rFonts w:cs="Open Sans"/>
          <w:color w:val="000000"/>
          <w:sz w:val="17"/>
          <w:szCs w:val="17"/>
          <w:shd w:val="clear" w:color="auto" w:fill="FFFFFF"/>
        </w:rPr>
        <w:t>30 April 2021</w:t>
      </w:r>
      <w:r w:rsidR="00253F7A">
        <w:rPr>
          <w:rStyle w:val="normaltextrun"/>
          <w:rFonts w:cs="Open Sans"/>
          <w:color w:val="000000"/>
          <w:sz w:val="17"/>
          <w:szCs w:val="17"/>
          <w:shd w:val="clear" w:color="auto" w:fill="FFFFFF"/>
        </w:rPr>
        <w:t>)</w:t>
      </w:r>
      <w:r w:rsidR="00D53AE6">
        <w:rPr>
          <w:rStyle w:val="normaltextrun"/>
          <w:rFonts w:cs="Open Sans"/>
          <w:color w:val="000000"/>
          <w:sz w:val="17"/>
          <w:szCs w:val="17"/>
          <w:shd w:val="clear" w:color="auto" w:fill="FFFFFF"/>
        </w:rPr>
        <w:t xml:space="preserve"> </w:t>
      </w:r>
      <w:r w:rsidR="00411C54">
        <w:rPr>
          <w:rStyle w:val="normaltextrun"/>
          <w:rFonts w:cs="Open Sans"/>
          <w:color w:val="000000"/>
          <w:sz w:val="17"/>
          <w:szCs w:val="17"/>
          <w:shd w:val="clear" w:color="auto" w:fill="FFFFFF"/>
        </w:rPr>
        <w:t>&lt;</w:t>
      </w:r>
      <w:hyperlink r:id="rId74" w:history="1">
        <w:r w:rsidR="00664312" w:rsidRPr="008D0FB2">
          <w:rPr>
            <w:rStyle w:val="Hyperlink"/>
            <w:rFonts w:cs="Open Sans"/>
            <w:sz w:val="17"/>
            <w:szCs w:val="17"/>
            <w:shd w:val="clear" w:color="auto" w:fill="FFFFFF"/>
          </w:rPr>
          <w:t>https://www.aph.gov.au/DocumentStore.ashx?id=00960d0c-3a8e-43cc-9a29-cbeebc106579&amp;subId=706791</w:t>
        </w:r>
      </w:hyperlink>
      <w:r w:rsidR="00664312">
        <w:rPr>
          <w:rStyle w:val="normaltextrun"/>
          <w:rFonts w:cs="Open Sans"/>
          <w:color w:val="000000"/>
          <w:sz w:val="17"/>
          <w:szCs w:val="17"/>
          <w:shd w:val="clear" w:color="auto" w:fill="FFFFFF"/>
        </w:rPr>
        <w:t>&gt;</w:t>
      </w:r>
      <w:r w:rsidR="00DD05D6">
        <w:rPr>
          <w:rStyle w:val="normaltextrun"/>
          <w:rFonts w:cs="Open Sans"/>
          <w:color w:val="000000"/>
          <w:sz w:val="17"/>
          <w:szCs w:val="17"/>
          <w:shd w:val="clear" w:color="auto" w:fill="FFFFFF"/>
        </w:rPr>
        <w:t>.</w:t>
      </w:r>
      <w:r w:rsidR="00664312">
        <w:rPr>
          <w:rStyle w:val="normaltextrun"/>
          <w:rFonts w:cs="Open Sans"/>
          <w:color w:val="000000"/>
          <w:sz w:val="17"/>
          <w:szCs w:val="17"/>
          <w:shd w:val="clear" w:color="auto" w:fill="FFFFFF"/>
        </w:rPr>
        <w:t xml:space="preserve"> </w:t>
      </w:r>
    </w:p>
  </w:endnote>
  <w:endnote w:id="91">
    <w:p w14:paraId="73C3E7F8" w14:textId="23A2DC67" w:rsidR="008F2AFF" w:rsidRPr="001265AE" w:rsidRDefault="008F2AFF" w:rsidP="006C7079">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w:t>
      </w:r>
      <w:r w:rsidRPr="001265AE">
        <w:rPr>
          <w:rFonts w:cs="Open Sans"/>
          <w:color w:val="000000"/>
          <w:sz w:val="17"/>
          <w:szCs w:val="17"/>
          <w:shd w:val="clear" w:color="auto" w:fill="FFFFFF"/>
        </w:rPr>
        <w:t xml:space="preserve">Australian Human Rights Commission, </w:t>
      </w:r>
      <w:r w:rsidRPr="001265AE">
        <w:rPr>
          <w:rFonts w:cs="Open Sans"/>
          <w:i/>
          <w:iCs/>
          <w:color w:val="000000"/>
          <w:sz w:val="17"/>
          <w:szCs w:val="17"/>
          <w:shd w:val="clear" w:color="auto" w:fill="FFFFFF"/>
        </w:rPr>
        <w:t>Lives on hold: Refugees and asylum seekers in the 'Legacy caseload'</w:t>
      </w:r>
      <w:r w:rsidRPr="001265AE">
        <w:rPr>
          <w:rFonts w:cs="Open Sans"/>
          <w:color w:val="000000"/>
          <w:sz w:val="17"/>
          <w:szCs w:val="17"/>
          <w:shd w:val="clear" w:color="auto" w:fill="FFFFFF"/>
        </w:rPr>
        <w:t xml:space="preserve"> (2019) 68-70 &lt;</w:t>
      </w:r>
      <w:hyperlink r:id="rId75" w:history="1">
        <w:r w:rsidRPr="001265AE">
          <w:rPr>
            <w:rStyle w:val="Hyperlink"/>
            <w:rFonts w:cs="Open Sans"/>
            <w:sz w:val="17"/>
            <w:szCs w:val="17"/>
          </w:rPr>
          <w:t>https://www.humanrights.gov.au/our-work/asylum-seekers-and-refugees/publications/lives-hold-refugees-and-asylum-seekers-legacy</w:t>
        </w:r>
      </w:hyperlink>
      <w:r w:rsidRPr="001265AE">
        <w:rPr>
          <w:rStyle w:val="Hyperlink"/>
          <w:rFonts w:cs="Open Sans"/>
          <w:sz w:val="17"/>
          <w:szCs w:val="17"/>
        </w:rPr>
        <w:t>&gt;</w:t>
      </w:r>
      <w:r w:rsidRPr="001265AE">
        <w:rPr>
          <w:rFonts w:cs="Open Sans"/>
          <w:color w:val="000000"/>
          <w:sz w:val="17"/>
          <w:szCs w:val="17"/>
          <w:shd w:val="clear" w:color="auto" w:fill="FFFFFF"/>
        </w:rPr>
        <w:t>.</w:t>
      </w:r>
    </w:p>
  </w:endnote>
  <w:endnote w:id="92">
    <w:p w14:paraId="42C17FA3" w14:textId="0A6BE4BF" w:rsidR="008F2AFF" w:rsidRPr="001265AE" w:rsidRDefault="008F2AFF" w:rsidP="0013551A">
      <w:pPr>
        <w:pStyle w:val="EndnoteText"/>
        <w:rPr>
          <w:rFonts w:cs="Open Sans"/>
          <w:b/>
          <w:bCs/>
          <w:sz w:val="17"/>
          <w:szCs w:val="17"/>
        </w:rPr>
      </w:pPr>
      <w:r w:rsidRPr="001265AE">
        <w:rPr>
          <w:rStyle w:val="EndnoteReference"/>
          <w:rFonts w:cs="Open Sans"/>
          <w:sz w:val="17"/>
          <w:szCs w:val="17"/>
        </w:rPr>
        <w:endnoteRef/>
      </w:r>
      <w:r w:rsidRPr="001265AE">
        <w:rPr>
          <w:rFonts w:cs="Open Sans"/>
          <w:sz w:val="17"/>
          <w:szCs w:val="17"/>
        </w:rPr>
        <w:t xml:space="preserve"> Parliament of Australia, </w:t>
      </w:r>
      <w:r w:rsidRPr="001265AE">
        <w:rPr>
          <w:rFonts w:cs="Open Sans"/>
          <w:i/>
          <w:iCs/>
          <w:sz w:val="17"/>
          <w:szCs w:val="17"/>
        </w:rPr>
        <w:t xml:space="preserve">Temporary visa holders and social security: a quick guide </w:t>
      </w:r>
      <w:r w:rsidRPr="001265AE">
        <w:rPr>
          <w:rFonts w:cs="Open Sans"/>
          <w:sz w:val="17"/>
          <w:szCs w:val="17"/>
        </w:rPr>
        <w:t xml:space="preserve">(May 2020) </w:t>
      </w:r>
    </w:p>
    <w:p w14:paraId="051B7E9B" w14:textId="425EE1F0" w:rsidR="008F2AFF" w:rsidRPr="001265AE" w:rsidRDefault="008F2AFF" w:rsidP="008D1678">
      <w:pPr>
        <w:pStyle w:val="EndnoteText"/>
        <w:rPr>
          <w:rFonts w:cs="Open Sans"/>
          <w:sz w:val="17"/>
          <w:szCs w:val="17"/>
        </w:rPr>
      </w:pPr>
      <w:r w:rsidRPr="001265AE">
        <w:rPr>
          <w:rFonts w:cs="Open Sans"/>
          <w:sz w:val="17"/>
          <w:szCs w:val="17"/>
        </w:rPr>
        <w:t>&lt;</w:t>
      </w:r>
      <w:hyperlink r:id="rId76" w:history="1">
        <w:r w:rsidRPr="001265AE">
          <w:rPr>
            <w:rStyle w:val="Hyperlink"/>
            <w:rFonts w:cs="Open Sans"/>
            <w:sz w:val="17"/>
            <w:szCs w:val="17"/>
          </w:rPr>
          <w:t>https://www.aph.gov.au/About_Parliament/Parliamentary_Departments/Parliamentary_Library/pubs/rp/rp1920/Quick_Guides/TemporaryVisaHoldersSocialSecurity</w:t>
        </w:r>
      </w:hyperlink>
      <w:r w:rsidRPr="001265AE">
        <w:rPr>
          <w:rFonts w:cs="Open Sans"/>
          <w:sz w:val="17"/>
          <w:szCs w:val="17"/>
        </w:rPr>
        <w:t xml:space="preserve">&gt;. </w:t>
      </w:r>
    </w:p>
  </w:endnote>
  <w:endnote w:id="93">
    <w:p w14:paraId="0AD4B104" w14:textId="11E28804" w:rsidR="008F2AFF" w:rsidRPr="001265AE" w:rsidRDefault="008F2AFF" w:rsidP="008D1678">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Migrant Workers Centre, </w:t>
      </w:r>
      <w:r w:rsidRPr="001265AE">
        <w:rPr>
          <w:rFonts w:cs="Open Sans"/>
          <w:i/>
          <w:iCs/>
          <w:sz w:val="17"/>
          <w:szCs w:val="17"/>
        </w:rPr>
        <w:t xml:space="preserve">Lives in Limbo: The Experiences of Migrant Workers Navigating Australia’s Unsettling Migration System </w:t>
      </w:r>
      <w:r w:rsidRPr="001265AE">
        <w:rPr>
          <w:rFonts w:cs="Open Sans"/>
          <w:sz w:val="17"/>
          <w:szCs w:val="17"/>
        </w:rPr>
        <w:t>(December 2021) &lt;https://www.migrantworkers.org.au/livesinlimbo&gt;.</w:t>
      </w:r>
    </w:p>
  </w:endnote>
  <w:endnote w:id="94">
    <w:p w14:paraId="1C979C7B" w14:textId="12DB117E" w:rsidR="008F2AFF" w:rsidRPr="001265AE" w:rsidRDefault="008F2AFF" w:rsidP="008D1678">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For example, family visa applications lodged by permanent visa holders who arrived in Australia by boat receive the lowest processing priority. See ‘</w:t>
      </w:r>
      <w:r w:rsidRPr="001265AE">
        <w:rPr>
          <w:rFonts w:cs="Open Sans"/>
          <w:iCs/>
          <w:sz w:val="17"/>
          <w:szCs w:val="17"/>
        </w:rPr>
        <w:t xml:space="preserve">Visa processing times’ </w:t>
      </w:r>
      <w:r w:rsidRPr="001265AE">
        <w:rPr>
          <w:rFonts w:cs="Open Sans"/>
          <w:i/>
          <w:iCs/>
          <w:sz w:val="17"/>
          <w:szCs w:val="17"/>
        </w:rPr>
        <w:t>Department of Home Affairs</w:t>
      </w:r>
      <w:r w:rsidRPr="001265AE">
        <w:rPr>
          <w:rFonts w:cs="Open Sans"/>
          <w:iCs/>
          <w:sz w:val="17"/>
          <w:szCs w:val="17"/>
        </w:rPr>
        <w:t xml:space="preserve"> </w:t>
      </w:r>
      <w:r w:rsidRPr="001265AE">
        <w:rPr>
          <w:rFonts w:cs="Open Sans"/>
          <w:sz w:val="17"/>
          <w:szCs w:val="17"/>
        </w:rPr>
        <w:t>(Web Page) &lt;https://immi.homeaffairs.gov.au/visas/getting-a-visa/visa-processing-times/family-visa-processing-priorities&gt;.</w:t>
      </w:r>
      <w:r w:rsidR="004E3286">
        <w:rPr>
          <w:rFonts w:cs="Open Sans"/>
          <w:sz w:val="17"/>
          <w:szCs w:val="17"/>
        </w:rPr>
        <w:t xml:space="preserve"> </w:t>
      </w:r>
      <w:r w:rsidR="004E3286">
        <w:rPr>
          <w:rStyle w:val="normaltextrun"/>
          <w:rFonts w:cs="Open Sans"/>
          <w:color w:val="000000"/>
          <w:sz w:val="17"/>
          <w:szCs w:val="17"/>
          <w:shd w:val="clear" w:color="auto" w:fill="FFFFFF"/>
        </w:rPr>
        <w:t xml:space="preserve">Australian Human Rights Commission, </w:t>
      </w:r>
      <w:r w:rsidR="004E3286" w:rsidRPr="00253F7A">
        <w:rPr>
          <w:rStyle w:val="normaltextrun"/>
          <w:rFonts w:cs="Open Sans"/>
          <w:i/>
          <w:iCs/>
          <w:color w:val="000000"/>
          <w:sz w:val="17"/>
          <w:szCs w:val="17"/>
          <w:shd w:val="clear" w:color="auto" w:fill="FFFFFF"/>
        </w:rPr>
        <w:t>Inquiry into the efficacy, fairness, timeliness and costs of visas for family reunion</w:t>
      </w:r>
      <w:r w:rsidR="004E3286">
        <w:rPr>
          <w:rStyle w:val="normaltextrun"/>
          <w:rFonts w:cs="Open Sans"/>
          <w:color w:val="000000"/>
          <w:sz w:val="17"/>
          <w:szCs w:val="17"/>
          <w:shd w:val="clear" w:color="auto" w:fill="FFFFFF"/>
        </w:rPr>
        <w:t>, submission to the Senate Legal and Constitutional Affairs References Committee (30 April 2021) &lt;</w:t>
      </w:r>
      <w:hyperlink r:id="rId77" w:history="1">
        <w:r w:rsidR="004E3286" w:rsidRPr="008D0FB2">
          <w:rPr>
            <w:rStyle w:val="Hyperlink"/>
            <w:rFonts w:cs="Open Sans"/>
            <w:sz w:val="17"/>
            <w:szCs w:val="17"/>
            <w:shd w:val="clear" w:color="auto" w:fill="FFFFFF"/>
          </w:rPr>
          <w:t>https://www.aph.gov.au/DocumentStore.ashx?id=00960d0c-3a8e-43cc-9a29-cbeebc106579&amp;subId=706791</w:t>
        </w:r>
      </w:hyperlink>
      <w:r w:rsidR="004E3286">
        <w:rPr>
          <w:rStyle w:val="normaltextrun"/>
          <w:rFonts w:cs="Open Sans"/>
          <w:color w:val="000000"/>
          <w:sz w:val="17"/>
          <w:szCs w:val="17"/>
          <w:shd w:val="clear" w:color="auto" w:fill="FFFFFF"/>
        </w:rPr>
        <w:t>&gt;.</w:t>
      </w:r>
    </w:p>
  </w:endnote>
  <w:endnote w:id="95">
    <w:p w14:paraId="770F6B73" w14:textId="64121FF4" w:rsidR="008F2AFF" w:rsidRPr="001265AE" w:rsidRDefault="008F2AFF" w:rsidP="00DF239B">
      <w:pPr>
        <w:pStyle w:val="EndnoteText"/>
        <w:rPr>
          <w:rFonts w:cs="Open Sans"/>
          <w:sz w:val="17"/>
          <w:szCs w:val="17"/>
          <w:lang w:val="en-US"/>
        </w:rPr>
      </w:pPr>
      <w:r w:rsidRPr="001265AE">
        <w:rPr>
          <w:rStyle w:val="EndnoteReference"/>
          <w:rFonts w:cs="Open Sans"/>
          <w:sz w:val="17"/>
          <w:szCs w:val="17"/>
        </w:rPr>
        <w:endnoteRef/>
      </w:r>
      <w:r w:rsidRPr="001265AE">
        <w:rPr>
          <w:rFonts w:cs="Open Sans"/>
          <w:sz w:val="17"/>
          <w:szCs w:val="17"/>
        </w:rPr>
        <w:t xml:space="preserve"> Australian Human Rights Commission, </w:t>
      </w:r>
      <w:r w:rsidRPr="001265AE">
        <w:rPr>
          <w:rFonts w:cs="Open Sans"/>
          <w:i/>
          <w:iCs/>
          <w:sz w:val="17"/>
          <w:szCs w:val="17"/>
        </w:rPr>
        <w:t>Submission No. 11 to the Joint Standing Committee on Migration</w:t>
      </w:r>
      <w:r w:rsidRPr="001265AE">
        <w:rPr>
          <w:rFonts w:cs="Open Sans"/>
          <w:sz w:val="17"/>
          <w:szCs w:val="17"/>
        </w:rPr>
        <w:t xml:space="preserve"> </w:t>
      </w:r>
      <w:r w:rsidRPr="001265AE">
        <w:rPr>
          <w:rFonts w:cs="Open Sans"/>
          <w:i/>
          <w:sz w:val="17"/>
          <w:szCs w:val="17"/>
        </w:rPr>
        <w:t xml:space="preserve">Review processes associated with visa cancellations made on criminal grounds </w:t>
      </w:r>
      <w:r w:rsidRPr="001265AE">
        <w:rPr>
          <w:rFonts w:cs="Open Sans"/>
          <w:sz w:val="17"/>
          <w:szCs w:val="17"/>
        </w:rPr>
        <w:t xml:space="preserve">(27 April 2018); </w:t>
      </w:r>
      <w:r w:rsidRPr="001265AE">
        <w:rPr>
          <w:rStyle w:val="normaltextrun"/>
          <w:rFonts w:cs="Open Sans"/>
          <w:color w:val="000000"/>
          <w:sz w:val="17"/>
          <w:szCs w:val="17"/>
          <w:shd w:val="clear" w:color="auto" w:fill="FFFFFF"/>
        </w:rPr>
        <w:t xml:space="preserve">Australian Human Rights Commission, </w:t>
      </w:r>
      <w:r w:rsidRPr="001265AE">
        <w:rPr>
          <w:rStyle w:val="normaltextrun"/>
          <w:rFonts w:cs="Open Sans"/>
          <w:i/>
          <w:iCs/>
          <w:color w:val="000000"/>
          <w:sz w:val="17"/>
          <w:szCs w:val="17"/>
          <w:shd w:val="clear" w:color="auto" w:fill="FFFFFF"/>
        </w:rPr>
        <w:t>Lives on hold: Refugees and asylum seekers in the 'Legacy caseload'</w:t>
      </w:r>
      <w:r w:rsidRPr="001265AE">
        <w:rPr>
          <w:rStyle w:val="normaltextrun"/>
          <w:rFonts w:cs="Open Sans"/>
          <w:color w:val="000000"/>
          <w:sz w:val="17"/>
          <w:szCs w:val="17"/>
          <w:shd w:val="clear" w:color="auto" w:fill="FFFFFF"/>
        </w:rPr>
        <w:t> (2019) &lt;</w:t>
      </w:r>
      <w:hyperlink r:id="rId78" w:history="1">
        <w:r w:rsidRPr="001265AE">
          <w:rPr>
            <w:rStyle w:val="Hyperlink"/>
            <w:rFonts w:cs="Open Sans"/>
            <w:sz w:val="17"/>
            <w:szCs w:val="17"/>
          </w:rPr>
          <w:t>https://humanrights.gov.au/our-work/asylum-seekers-and-refugees/publications/lives-hold-refugees-and-asylum-seekers-legacy</w:t>
        </w:r>
      </w:hyperlink>
      <w:r w:rsidRPr="001265AE">
        <w:rPr>
          <w:rFonts w:cs="Open Sans"/>
          <w:sz w:val="17"/>
          <w:szCs w:val="17"/>
        </w:rPr>
        <w:t>&gt;</w:t>
      </w:r>
      <w:r w:rsidRPr="001265AE">
        <w:rPr>
          <w:rStyle w:val="normaltextrun"/>
          <w:rFonts w:cs="Open Sans"/>
          <w:color w:val="000000"/>
          <w:sz w:val="17"/>
          <w:szCs w:val="17"/>
          <w:shd w:val="clear" w:color="auto" w:fill="FFFFFF"/>
        </w:rPr>
        <w:t>.</w:t>
      </w:r>
    </w:p>
  </w:endnote>
  <w:endnote w:id="96">
    <w:p w14:paraId="69E5FD54" w14:textId="33FFB6F1" w:rsidR="008F2AFF" w:rsidRPr="001265AE" w:rsidRDefault="008F2AFF" w:rsidP="00626550">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The Scanlon Foundation, </w:t>
      </w:r>
      <w:r w:rsidRPr="001265AE">
        <w:rPr>
          <w:rFonts w:cs="Open Sans"/>
          <w:i/>
          <w:iCs/>
          <w:sz w:val="17"/>
          <w:szCs w:val="17"/>
        </w:rPr>
        <w:t xml:space="preserve">Mapping Social Cohesion </w:t>
      </w:r>
      <w:r w:rsidRPr="001265AE">
        <w:rPr>
          <w:rFonts w:cs="Open Sans"/>
          <w:sz w:val="17"/>
          <w:szCs w:val="17"/>
        </w:rPr>
        <w:t>(2019) &lt;</w:t>
      </w:r>
      <w:hyperlink r:id="rId79" w:history="1">
        <w:r w:rsidRPr="001265AE">
          <w:rPr>
            <w:rStyle w:val="Hyperlink"/>
            <w:rFonts w:cs="Open Sans"/>
            <w:sz w:val="17"/>
            <w:szCs w:val="17"/>
          </w:rPr>
          <w:t>https://scanloninstitute.org.au/sites/default/files/2019-11/Mapping%20Social%20Cohesion%202019.pdf</w:t>
        </w:r>
      </w:hyperlink>
      <w:r w:rsidRPr="001265AE">
        <w:rPr>
          <w:rFonts w:cs="Open Sans"/>
          <w:sz w:val="17"/>
          <w:szCs w:val="17"/>
        </w:rPr>
        <w:t xml:space="preserve">&gt;; and Kathleen Blair et al, </w:t>
      </w:r>
      <w:r w:rsidRPr="001265AE">
        <w:rPr>
          <w:rFonts w:cs="Open Sans"/>
          <w:i/>
          <w:iCs/>
          <w:sz w:val="17"/>
          <w:szCs w:val="17"/>
        </w:rPr>
        <w:t>Challenging Racism Project 2015-16 National Survey Report</w:t>
      </w:r>
      <w:r w:rsidRPr="001265AE">
        <w:rPr>
          <w:rFonts w:cs="Open Sans"/>
          <w:i/>
          <w:sz w:val="17"/>
          <w:szCs w:val="17"/>
        </w:rPr>
        <w:t xml:space="preserve"> </w:t>
      </w:r>
      <w:r w:rsidRPr="001265AE">
        <w:rPr>
          <w:rFonts w:cs="Open Sans"/>
          <w:sz w:val="17"/>
          <w:szCs w:val="17"/>
        </w:rPr>
        <w:t>(2017) 10 &lt;</w:t>
      </w:r>
      <w:hyperlink r:id="rId80" w:history="1">
        <w:r w:rsidRPr="001265AE">
          <w:rPr>
            <w:rStyle w:val="Hyperlink"/>
            <w:rFonts w:cs="Open Sans"/>
            <w:sz w:val="17"/>
            <w:szCs w:val="17"/>
          </w:rPr>
          <w:t>https://researchdirect.westernsydney.edu.au/islandora/object/uws%3A39004/datastream/PDF/view</w:t>
        </w:r>
      </w:hyperlink>
      <w:r w:rsidRPr="001265AE">
        <w:rPr>
          <w:rStyle w:val="Hyperlink"/>
          <w:rFonts w:cs="Open Sans"/>
          <w:sz w:val="17"/>
          <w:szCs w:val="17"/>
        </w:rPr>
        <w:t>&gt;</w:t>
      </w:r>
      <w:r w:rsidRPr="001265AE">
        <w:rPr>
          <w:rFonts w:cs="Open Sans"/>
          <w:sz w:val="17"/>
          <w:szCs w:val="17"/>
        </w:rPr>
        <w:t>.</w:t>
      </w:r>
    </w:p>
  </w:endnote>
  <w:endnote w:id="97">
    <w:p w14:paraId="373471EF" w14:textId="4E35C8D7" w:rsidR="008F2AFF" w:rsidRPr="001265AE" w:rsidRDefault="008F2AFF" w:rsidP="00626550">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Australian Human Rights Commission, ‘New Report Shows Increase in Severe Islamophobic Attacks’ (Media Release, 19 November 2019) &lt;</w:t>
      </w:r>
      <w:hyperlink r:id="rId81" w:history="1">
        <w:r w:rsidRPr="001265AE">
          <w:rPr>
            <w:rStyle w:val="Hyperlink"/>
            <w:rFonts w:cs="Open Sans"/>
            <w:sz w:val="17"/>
            <w:szCs w:val="17"/>
          </w:rPr>
          <w:t>https://www.humanrights.gov.au/about/news/new-report-shows-increase-severe-islamophobic-attacks</w:t>
        </w:r>
      </w:hyperlink>
      <w:r w:rsidRPr="001265AE">
        <w:rPr>
          <w:rFonts w:cs="Open Sans"/>
          <w:sz w:val="17"/>
          <w:szCs w:val="17"/>
        </w:rPr>
        <w:t>&gt;.</w:t>
      </w:r>
    </w:p>
  </w:endnote>
  <w:endnote w:id="98">
    <w:p w14:paraId="72039F4F" w14:textId="326162E9" w:rsidR="008F2AFF" w:rsidRPr="001265AE" w:rsidRDefault="008F2AFF" w:rsidP="00626550">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See: ASIO Director General, Mike Burgess, ‘Annual Threat Assessment’ (Statement, 17 March 2021), &lt;</w:t>
      </w:r>
      <w:hyperlink r:id="rId82" w:history="1">
        <w:r w:rsidRPr="001265AE">
          <w:rPr>
            <w:rStyle w:val="Hyperlink"/>
            <w:rFonts w:cs="Open Sans"/>
            <w:sz w:val="17"/>
            <w:szCs w:val="17"/>
          </w:rPr>
          <w:t>https://www.asio.gov.au/director-generals-annual-threat-assessment.html</w:t>
        </w:r>
      </w:hyperlink>
      <w:r w:rsidRPr="001265AE">
        <w:rPr>
          <w:rFonts w:cs="Open Sans"/>
          <w:sz w:val="17"/>
          <w:szCs w:val="17"/>
        </w:rPr>
        <w:t xml:space="preserve">&gt;. </w:t>
      </w:r>
    </w:p>
  </w:endnote>
  <w:endnote w:id="99">
    <w:p w14:paraId="64137DD4" w14:textId="465CDD33" w:rsidR="008F2AFF" w:rsidRPr="001265AE" w:rsidRDefault="008F2AFF">
      <w:pPr>
        <w:pStyle w:val="EndnoteText"/>
        <w:rPr>
          <w:rFonts w:cs="Open Sans"/>
          <w:b/>
          <w:bCs/>
          <w:sz w:val="17"/>
          <w:szCs w:val="17"/>
          <w:lang w:val="en-US"/>
        </w:rPr>
      </w:pPr>
      <w:r w:rsidRPr="001265AE">
        <w:rPr>
          <w:rStyle w:val="EndnoteReference"/>
          <w:rFonts w:cs="Open Sans"/>
          <w:sz w:val="17"/>
          <w:szCs w:val="17"/>
        </w:rPr>
        <w:endnoteRef/>
      </w:r>
      <w:r w:rsidRPr="001265AE">
        <w:rPr>
          <w:rFonts w:cs="Open Sans"/>
          <w:sz w:val="17"/>
          <w:szCs w:val="17"/>
        </w:rPr>
        <w:t xml:space="preserve"> Australian Human Rights Commission, ‘Racism undermines COVID-19 Response’ (News Story, 8 April 2020) &lt;https://www.asio.gov.au/publications/speeches-and-statements/director-generals-annual-threat-assessment-2021.html&gt;</w:t>
      </w:r>
    </w:p>
  </w:endnote>
  <w:endnote w:id="100">
    <w:p w14:paraId="10039077" w14:textId="69E65EA8" w:rsidR="008F2AFF" w:rsidRPr="001265AE" w:rsidRDefault="008F2AFF" w:rsidP="00626550">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‘National Anti-Racism Framework’ </w:t>
      </w:r>
      <w:r w:rsidRPr="001265AE">
        <w:rPr>
          <w:rFonts w:cs="Open Sans"/>
          <w:i/>
          <w:iCs/>
          <w:sz w:val="17"/>
          <w:szCs w:val="17"/>
        </w:rPr>
        <w:t xml:space="preserve">Australian Human Rights Commission </w:t>
      </w:r>
      <w:r w:rsidRPr="001265AE">
        <w:rPr>
          <w:rFonts w:cs="Open Sans"/>
          <w:sz w:val="17"/>
          <w:szCs w:val="17"/>
        </w:rPr>
        <w:t>(Web Page) &lt;https://humanrights.gov.au/our-work/race-discrimination/projects/national-anti-racism-framework&gt;.</w:t>
      </w:r>
    </w:p>
  </w:endnote>
  <w:endnote w:id="101">
    <w:p w14:paraId="4FD3C0A6" w14:textId="68F56EC5" w:rsidR="008F2AFF" w:rsidRPr="001265AE" w:rsidRDefault="008F2AFF" w:rsidP="003002C6">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Australian Human Rights Commission, </w:t>
      </w:r>
      <w:r w:rsidRPr="001265AE">
        <w:rPr>
          <w:rFonts w:cs="Open Sans"/>
          <w:i/>
          <w:iCs/>
          <w:sz w:val="17"/>
          <w:szCs w:val="17"/>
        </w:rPr>
        <w:t xml:space="preserve">Leading for Change: A blueprint for cultural diversity and inclusive leadership </w:t>
      </w:r>
      <w:r w:rsidRPr="001265AE">
        <w:rPr>
          <w:rFonts w:cs="Open Sans"/>
          <w:sz w:val="17"/>
          <w:szCs w:val="17"/>
        </w:rPr>
        <w:t>(2016). &lt;</w:t>
      </w:r>
      <w:hyperlink r:id="rId83" w:history="1">
        <w:r w:rsidRPr="001265AE">
          <w:rPr>
            <w:rStyle w:val="Hyperlink"/>
            <w:rFonts w:cs="Open Sans"/>
            <w:sz w:val="17"/>
            <w:szCs w:val="17"/>
          </w:rPr>
          <w:t>https://www.humanrights.gov.au/our-work/race-discrimination/publications/leading-change-blueprint-cultural-diversity-and-inclusive</w:t>
        </w:r>
      </w:hyperlink>
      <w:r w:rsidRPr="001265AE">
        <w:rPr>
          <w:rStyle w:val="Hyperlink"/>
          <w:rFonts w:cs="Open Sans"/>
          <w:sz w:val="17"/>
          <w:szCs w:val="17"/>
        </w:rPr>
        <w:t>&gt;</w:t>
      </w:r>
      <w:r w:rsidRPr="001265AE">
        <w:rPr>
          <w:rFonts w:cs="Open Sans"/>
          <w:sz w:val="17"/>
          <w:szCs w:val="17"/>
        </w:rPr>
        <w:t xml:space="preserve">; Australian Human Rights Commission, </w:t>
      </w:r>
      <w:r w:rsidRPr="001265AE">
        <w:rPr>
          <w:rFonts w:cs="Open Sans"/>
          <w:i/>
          <w:iCs/>
          <w:sz w:val="17"/>
          <w:szCs w:val="17"/>
        </w:rPr>
        <w:t>Anti-Racism in 2018 and Beyond</w:t>
      </w:r>
      <w:r w:rsidRPr="001265AE">
        <w:rPr>
          <w:rFonts w:cs="Open Sans"/>
          <w:sz w:val="17"/>
          <w:szCs w:val="17"/>
        </w:rPr>
        <w:t xml:space="preserve"> (2018) &lt;</w:t>
      </w:r>
      <w:hyperlink r:id="rId84" w:history="1">
        <w:r w:rsidRPr="001265AE">
          <w:rPr>
            <w:rStyle w:val="Hyperlink"/>
            <w:rFonts w:cs="Open Sans"/>
            <w:sz w:val="17"/>
            <w:szCs w:val="17"/>
          </w:rPr>
          <w:t>https://www.humanrights.gov.au/our-work/race-discrimination/publications/anti-racism-2018-and-beyond-2018</w:t>
        </w:r>
      </w:hyperlink>
      <w:r w:rsidRPr="001265AE">
        <w:rPr>
          <w:rStyle w:val="Hyperlink"/>
          <w:rFonts w:cs="Open Sans"/>
          <w:sz w:val="17"/>
          <w:szCs w:val="17"/>
        </w:rPr>
        <w:t>&gt;</w:t>
      </w:r>
      <w:r w:rsidRPr="001265AE">
        <w:rPr>
          <w:rFonts w:cs="Open Sans"/>
          <w:sz w:val="17"/>
          <w:szCs w:val="17"/>
        </w:rPr>
        <w:t xml:space="preserve">; and Australian Human Rights Commission, </w:t>
      </w:r>
      <w:r w:rsidRPr="001265AE">
        <w:rPr>
          <w:rFonts w:cs="Open Sans"/>
          <w:i/>
          <w:iCs/>
          <w:sz w:val="17"/>
          <w:szCs w:val="17"/>
        </w:rPr>
        <w:t>Leading for Change: A Blueprint for Cultural Diversity and Inclusive Leadership</w:t>
      </w:r>
      <w:r w:rsidRPr="001265AE">
        <w:rPr>
          <w:rFonts w:cs="Open Sans"/>
          <w:sz w:val="17"/>
          <w:szCs w:val="17"/>
        </w:rPr>
        <w:t xml:space="preserve"> </w:t>
      </w:r>
      <w:r w:rsidRPr="001265AE">
        <w:rPr>
          <w:rFonts w:cs="Open Sans"/>
          <w:i/>
          <w:iCs/>
          <w:sz w:val="17"/>
          <w:szCs w:val="17"/>
        </w:rPr>
        <w:t>Revisited</w:t>
      </w:r>
      <w:r w:rsidRPr="001265AE">
        <w:rPr>
          <w:rFonts w:cs="Open Sans"/>
          <w:sz w:val="17"/>
          <w:szCs w:val="17"/>
        </w:rPr>
        <w:t xml:space="preserve"> (2018) &lt;</w:t>
      </w:r>
      <w:hyperlink r:id="rId85" w:history="1">
        <w:r w:rsidRPr="001265AE">
          <w:rPr>
            <w:rStyle w:val="Hyperlink"/>
            <w:rFonts w:cs="Open Sans"/>
            <w:sz w:val="17"/>
            <w:szCs w:val="17"/>
          </w:rPr>
          <w:t>https://www.humanrights.gov.au/our-work/race-discrimination/publications/leading-change-blueprint-cultural-diversity-and-0</w:t>
        </w:r>
      </w:hyperlink>
      <w:r w:rsidRPr="001265AE">
        <w:rPr>
          <w:rFonts w:cs="Open Sans"/>
          <w:sz w:val="17"/>
          <w:szCs w:val="17"/>
        </w:rPr>
        <w:t>&gt;.</w:t>
      </w:r>
    </w:p>
  </w:endnote>
  <w:endnote w:id="102">
    <w:p w14:paraId="2CC28669" w14:textId="5A9B79F5" w:rsidR="008F2AFF" w:rsidRPr="001265AE" w:rsidRDefault="008F2AFF" w:rsidP="002C6025">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Services Australia, </w:t>
      </w:r>
      <w:r w:rsidRPr="001265AE">
        <w:rPr>
          <w:rFonts w:cs="Open Sans"/>
          <w:i/>
          <w:iCs/>
          <w:sz w:val="17"/>
          <w:szCs w:val="17"/>
        </w:rPr>
        <w:t xml:space="preserve">JobSeeker Payment </w:t>
      </w:r>
      <w:r w:rsidRPr="001265AE">
        <w:rPr>
          <w:rFonts w:cs="Open Sans"/>
          <w:sz w:val="17"/>
          <w:szCs w:val="17"/>
        </w:rPr>
        <w:t>(11 June 2020) &lt;</w:t>
      </w:r>
      <w:hyperlink r:id="rId86" w:history="1">
        <w:r w:rsidRPr="001265AE">
          <w:rPr>
            <w:rStyle w:val="Hyperlink"/>
            <w:rFonts w:cs="Open Sans"/>
            <w:sz w:val="17"/>
            <w:szCs w:val="17"/>
          </w:rPr>
          <w:t>https://www.servicesaustralia.gov.au/individuals/services/centrelink/jobseeker-payment</w:t>
        </w:r>
      </w:hyperlink>
      <w:r w:rsidRPr="001265AE">
        <w:rPr>
          <w:rStyle w:val="Hyperlink"/>
          <w:rFonts w:cs="Open Sans"/>
          <w:sz w:val="17"/>
          <w:szCs w:val="17"/>
        </w:rPr>
        <w:t>&gt;</w:t>
      </w:r>
      <w:r w:rsidRPr="001265AE">
        <w:rPr>
          <w:rFonts w:cs="Open Sans"/>
          <w:sz w:val="17"/>
          <w:szCs w:val="17"/>
        </w:rPr>
        <w:t>.</w:t>
      </w:r>
    </w:p>
  </w:endnote>
  <w:endnote w:id="103">
    <w:p w14:paraId="3DAB3526" w14:textId="471566EF" w:rsidR="008F2AFF" w:rsidRPr="001265AE" w:rsidRDefault="008F2AFF" w:rsidP="002C6025">
      <w:pPr>
        <w:pStyle w:val="EndnoteText"/>
        <w:rPr>
          <w:rFonts w:cs="Open Sans"/>
          <w:i/>
          <w:iCs/>
          <w:sz w:val="17"/>
          <w:szCs w:val="17"/>
        </w:rPr>
      </w:pPr>
      <w:r w:rsidRPr="001265AE">
        <w:rPr>
          <w:rStyle w:val="EndnoteReference"/>
          <w:rFonts w:cs="Open Sans"/>
          <w:sz w:val="17"/>
          <w:szCs w:val="17"/>
        </w:rPr>
        <w:endnoteRef/>
      </w:r>
      <w:r w:rsidRPr="001265AE">
        <w:rPr>
          <w:rFonts w:cs="Open Sans"/>
          <w:sz w:val="17"/>
          <w:szCs w:val="17"/>
        </w:rPr>
        <w:t xml:space="preserve"> Australian Human Rights Commission, </w:t>
      </w:r>
      <w:r w:rsidRPr="001265AE">
        <w:rPr>
          <w:rFonts w:cs="Open Sans"/>
          <w:i/>
          <w:iCs/>
          <w:sz w:val="17"/>
          <w:szCs w:val="17"/>
        </w:rPr>
        <w:t xml:space="preserve">Submission to the Senate Community Affairs References Committee, Adequacy of Newstart and related payments and alternative mechanisms to determine the level of income support payments in Australia </w:t>
      </w:r>
      <w:r w:rsidRPr="001265AE">
        <w:rPr>
          <w:rFonts w:cs="Open Sans"/>
          <w:sz w:val="17"/>
          <w:szCs w:val="17"/>
        </w:rPr>
        <w:t>(25 September 2019) &lt;</w:t>
      </w:r>
      <w:hyperlink r:id="rId87" w:history="1">
        <w:r w:rsidRPr="001265AE">
          <w:rPr>
            <w:rStyle w:val="Hyperlink"/>
            <w:rFonts w:cs="Open Sans"/>
            <w:sz w:val="17"/>
            <w:szCs w:val="17"/>
          </w:rPr>
          <w:t>https://www.aph.gov.au/Parliamentary_Business/Committees/Senate/Community_Affairs/Newstartrelatedpayments/Submissions</w:t>
        </w:r>
      </w:hyperlink>
      <w:r w:rsidRPr="001265AE">
        <w:rPr>
          <w:rFonts w:cs="Open Sans"/>
          <w:sz w:val="17"/>
          <w:szCs w:val="17"/>
        </w:rPr>
        <w:t>&gt;.</w:t>
      </w:r>
    </w:p>
  </w:endnote>
  <w:endnote w:id="104">
    <w:p w14:paraId="6C22C5D3" w14:textId="69F4B165" w:rsidR="008F2AFF" w:rsidRPr="001265AE" w:rsidRDefault="008F2AFF" w:rsidP="002C6025">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Services Australia, </w:t>
      </w:r>
      <w:r w:rsidRPr="001265AE">
        <w:rPr>
          <w:rFonts w:cs="Open Sans"/>
          <w:i/>
          <w:iCs/>
          <w:sz w:val="17"/>
          <w:szCs w:val="17"/>
        </w:rPr>
        <w:t xml:space="preserve">Coronavirus Supplement </w:t>
      </w:r>
      <w:r w:rsidRPr="001265AE">
        <w:rPr>
          <w:rFonts w:cs="Open Sans"/>
          <w:sz w:val="17"/>
          <w:szCs w:val="17"/>
        </w:rPr>
        <w:t>(28 April 2020) &lt;</w:t>
      </w:r>
      <w:hyperlink r:id="rId88" w:history="1">
        <w:r w:rsidRPr="001265AE">
          <w:rPr>
            <w:rStyle w:val="Hyperlink"/>
            <w:rFonts w:cs="Open Sans"/>
            <w:sz w:val="17"/>
            <w:szCs w:val="17"/>
          </w:rPr>
          <w:t>https://www.servicesaustralia.gov.au/individuals/services/centrelink/coronavirus-supplement</w:t>
        </w:r>
      </w:hyperlink>
      <w:r w:rsidRPr="001265AE">
        <w:rPr>
          <w:rFonts w:cs="Open Sans"/>
          <w:sz w:val="17"/>
          <w:szCs w:val="17"/>
        </w:rPr>
        <w:t xml:space="preserve">&gt; </w:t>
      </w:r>
    </w:p>
  </w:endnote>
  <w:endnote w:id="105">
    <w:p w14:paraId="16185522" w14:textId="3583A726" w:rsidR="008F2AFF" w:rsidRPr="001265AE" w:rsidRDefault="008F2AFF">
      <w:pPr>
        <w:pStyle w:val="EndnoteText"/>
        <w:rPr>
          <w:sz w:val="17"/>
          <w:szCs w:val="17"/>
        </w:rPr>
      </w:pPr>
      <w:r w:rsidRPr="001265AE">
        <w:rPr>
          <w:rStyle w:val="EndnoteReference"/>
          <w:sz w:val="17"/>
          <w:szCs w:val="17"/>
        </w:rPr>
        <w:endnoteRef/>
      </w:r>
      <w:r w:rsidRPr="001265AE">
        <w:rPr>
          <w:sz w:val="17"/>
          <w:szCs w:val="17"/>
        </w:rPr>
        <w:t xml:space="preserve"> ‘JobKeeper’ supports ended on 28 March 2021, and COVID-19 ‘disaster payments’ for those adversely affected by state and territory health orders cease two weeks after 80% of the state or territory is vaccinated: ‘JobKeeper is ending’ Australian Taxation Office (Web Page, April 2021) &lt;https://www.ato.gov.au/Newsroom/smallbusiness/Employers/JobKeeper-is-ending/&gt;; ‘Disaster payment’ </w:t>
      </w:r>
      <w:r w:rsidRPr="001265AE">
        <w:rPr>
          <w:i/>
          <w:iCs/>
          <w:sz w:val="17"/>
          <w:szCs w:val="17"/>
        </w:rPr>
        <w:t xml:space="preserve">Services Australia </w:t>
      </w:r>
      <w:r w:rsidRPr="001265AE">
        <w:rPr>
          <w:sz w:val="17"/>
          <w:szCs w:val="17"/>
        </w:rPr>
        <w:t>(Web Page) &lt;https://www.servicesaustralia.gov.au/covid-19-disaster-payment&gt;.</w:t>
      </w:r>
    </w:p>
  </w:endnote>
  <w:endnote w:id="106">
    <w:p w14:paraId="0D0C1363" w14:textId="57EF9AD7" w:rsidR="008F2AFF" w:rsidRPr="001265AE" w:rsidRDefault="008F2AFF" w:rsidP="002C6025">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Services Australia, </w:t>
      </w:r>
      <w:r w:rsidRPr="001265AE">
        <w:rPr>
          <w:rFonts w:cs="Open Sans"/>
          <w:i/>
          <w:iCs/>
          <w:sz w:val="17"/>
          <w:szCs w:val="17"/>
        </w:rPr>
        <w:t xml:space="preserve">ParentsNext </w:t>
      </w:r>
      <w:r w:rsidRPr="001265AE">
        <w:rPr>
          <w:rFonts w:cs="Open Sans"/>
          <w:sz w:val="17"/>
          <w:szCs w:val="17"/>
        </w:rPr>
        <w:t>(2 April 2020) &lt;</w:t>
      </w:r>
      <w:hyperlink r:id="rId89" w:history="1">
        <w:r w:rsidRPr="001265AE">
          <w:rPr>
            <w:rStyle w:val="Hyperlink"/>
            <w:rFonts w:cs="Open Sans"/>
            <w:sz w:val="17"/>
            <w:szCs w:val="17"/>
          </w:rPr>
          <w:t>https://www.humanservices.gov.au/individuals/services/centrelink/parentsnext</w:t>
        </w:r>
      </w:hyperlink>
      <w:r w:rsidRPr="001265AE">
        <w:rPr>
          <w:rFonts w:cs="Open Sans"/>
          <w:sz w:val="17"/>
          <w:szCs w:val="17"/>
        </w:rPr>
        <w:t xml:space="preserve">&gt;. </w:t>
      </w:r>
    </w:p>
  </w:endnote>
  <w:endnote w:id="107">
    <w:p w14:paraId="23506774" w14:textId="576AE00C" w:rsidR="008F2AFF" w:rsidRPr="001265AE" w:rsidRDefault="008F2AFF" w:rsidP="002C6025">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Australian Human Rights Commission, </w:t>
      </w:r>
      <w:r w:rsidRPr="001265AE">
        <w:rPr>
          <w:rFonts w:cs="Open Sans"/>
          <w:i/>
          <w:iCs/>
          <w:sz w:val="17"/>
          <w:szCs w:val="17"/>
        </w:rPr>
        <w:t xml:space="preserve">Submission to the Senate Community Affairs References Committee Inquiry into ParentsNext, including its trial and subsequent broader rollout </w:t>
      </w:r>
      <w:r w:rsidRPr="001265AE">
        <w:rPr>
          <w:rFonts w:cs="Open Sans"/>
          <w:sz w:val="17"/>
          <w:szCs w:val="17"/>
        </w:rPr>
        <w:t>(1 February 2020). &lt;</w:t>
      </w:r>
      <w:hyperlink r:id="rId90" w:history="1">
        <w:r w:rsidRPr="001265AE">
          <w:rPr>
            <w:rStyle w:val="Hyperlink"/>
            <w:rFonts w:cs="Open Sans"/>
            <w:sz w:val="17"/>
            <w:szCs w:val="17"/>
          </w:rPr>
          <w:t>https://www.aph.gov.au/DocumentStore.ashx?id=66ebd68e-6c3b-42fa-94f1-a7b910f84d94&amp;subId=666217</w:t>
        </w:r>
      </w:hyperlink>
      <w:r w:rsidRPr="001265AE">
        <w:rPr>
          <w:rFonts w:cs="Open Sans"/>
          <w:sz w:val="17"/>
          <w:szCs w:val="17"/>
        </w:rPr>
        <w:t>&gt;.</w:t>
      </w:r>
    </w:p>
  </w:endnote>
  <w:endnote w:id="108">
    <w:p w14:paraId="5E9D803D" w14:textId="0FB8E390" w:rsidR="008F2AFF" w:rsidRPr="001265AE" w:rsidRDefault="008F2AFF" w:rsidP="002C6025">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See: Australian Human Rights Commission, </w:t>
      </w:r>
      <w:r w:rsidRPr="001265AE">
        <w:rPr>
          <w:rFonts w:cs="Open Sans"/>
          <w:i/>
          <w:iCs/>
          <w:sz w:val="17"/>
          <w:szCs w:val="17"/>
        </w:rPr>
        <w:t xml:space="preserve">Submission to the Senate Community Affairs Legislation Committee Inquiry into the Social Security (Administration) Amendment (Income Management to Cashless Debit Card Transition) Bill 2019 </w:t>
      </w:r>
      <w:r w:rsidRPr="001265AE">
        <w:rPr>
          <w:rFonts w:cs="Open Sans"/>
          <w:sz w:val="17"/>
          <w:szCs w:val="17"/>
        </w:rPr>
        <w:t>(2 October 2019) &lt;</w:t>
      </w:r>
      <w:hyperlink r:id="rId91" w:history="1">
        <w:r w:rsidRPr="001265AE">
          <w:rPr>
            <w:rStyle w:val="Hyperlink"/>
            <w:rFonts w:cs="Open Sans"/>
            <w:sz w:val="17"/>
            <w:szCs w:val="17"/>
          </w:rPr>
          <w:t>https://www.humanrights.gov.au/our-work/legal/submission/senate-inquiry-social-security-administration-amendment-income-management</w:t>
        </w:r>
      </w:hyperlink>
      <w:r w:rsidRPr="001265AE">
        <w:rPr>
          <w:rStyle w:val="Hyperlink"/>
          <w:rFonts w:cs="Open Sans"/>
          <w:sz w:val="17"/>
          <w:szCs w:val="17"/>
        </w:rPr>
        <w:t>&gt;</w:t>
      </w:r>
      <w:r w:rsidRPr="001265AE">
        <w:rPr>
          <w:rFonts w:cs="Open Sans"/>
          <w:sz w:val="17"/>
          <w:szCs w:val="17"/>
        </w:rPr>
        <w:t xml:space="preserve">; Australian Human Rights Commission, </w:t>
      </w:r>
      <w:r w:rsidRPr="001265AE">
        <w:rPr>
          <w:rFonts w:cs="Open Sans"/>
          <w:i/>
          <w:iCs/>
          <w:sz w:val="17"/>
          <w:szCs w:val="17"/>
        </w:rPr>
        <w:t xml:space="preserve">Submission to the Senate Community Affairs Legislation Committee, Inquiry into Social Services Legislation Amendment (Cashless Debit Card Trial Expansion) Bill 2018 </w:t>
      </w:r>
      <w:r w:rsidRPr="001265AE">
        <w:rPr>
          <w:rFonts w:cs="Open Sans"/>
          <w:sz w:val="17"/>
          <w:szCs w:val="17"/>
        </w:rPr>
        <w:t>(28 July 2018) &lt;</w:t>
      </w:r>
      <w:hyperlink r:id="rId92" w:history="1">
        <w:r w:rsidRPr="001265AE">
          <w:rPr>
            <w:rStyle w:val="Hyperlink"/>
            <w:rFonts w:cs="Open Sans"/>
            <w:sz w:val="17"/>
            <w:szCs w:val="17"/>
          </w:rPr>
          <w:t>https://www.aph.gov.au/DocumentStore.ashx?id=eaee013e-2e82-40ab-a581-72dc5336166b&amp;subId=657916</w:t>
        </w:r>
      </w:hyperlink>
      <w:r w:rsidRPr="001265AE">
        <w:rPr>
          <w:rStyle w:val="Hyperlink"/>
          <w:rFonts w:cs="Open Sans"/>
          <w:sz w:val="17"/>
          <w:szCs w:val="17"/>
        </w:rPr>
        <w:t>&gt;</w:t>
      </w:r>
      <w:r w:rsidRPr="001265AE">
        <w:rPr>
          <w:rFonts w:cs="Open Sans"/>
          <w:sz w:val="17"/>
          <w:szCs w:val="17"/>
        </w:rPr>
        <w:t xml:space="preserve">; Australian Human Rights Commission, </w:t>
      </w:r>
      <w:r w:rsidRPr="001265AE">
        <w:rPr>
          <w:rFonts w:cs="Open Sans"/>
          <w:i/>
          <w:iCs/>
          <w:sz w:val="17"/>
          <w:szCs w:val="17"/>
        </w:rPr>
        <w:t xml:space="preserve">Submission to the Senate Community Affairs Legislation Committee, Inquiry into the Social Services Legislation Amendment (Cashless Debit Card) Bill 2017 </w:t>
      </w:r>
      <w:r w:rsidRPr="001265AE">
        <w:rPr>
          <w:rFonts w:cs="Open Sans"/>
          <w:sz w:val="17"/>
          <w:szCs w:val="17"/>
        </w:rPr>
        <w:t>(29 September 2017) &lt;</w:t>
      </w:r>
      <w:hyperlink r:id="rId93" w:history="1">
        <w:r w:rsidRPr="001265AE">
          <w:rPr>
            <w:rStyle w:val="Hyperlink"/>
            <w:rFonts w:cs="Open Sans"/>
            <w:sz w:val="17"/>
            <w:szCs w:val="17"/>
          </w:rPr>
          <w:t>https://www.aph.gov.au/DocumentStore.ashx?id=1fcbc7ab-effb-4092-bb42-9c743dadf7a5&amp;subId=560832</w:t>
        </w:r>
      </w:hyperlink>
      <w:r w:rsidRPr="001265AE">
        <w:rPr>
          <w:rFonts w:cs="Open Sans"/>
          <w:sz w:val="17"/>
          <w:szCs w:val="17"/>
        </w:rPr>
        <w:t>&gt;; and</w:t>
      </w:r>
      <w:r w:rsidRPr="001265AE">
        <w:rPr>
          <w:rFonts w:cs="Open Sans"/>
          <w:i/>
          <w:iCs/>
          <w:sz w:val="17"/>
          <w:szCs w:val="17"/>
        </w:rPr>
        <w:t xml:space="preserve"> </w:t>
      </w:r>
      <w:r w:rsidRPr="001265AE">
        <w:rPr>
          <w:rFonts w:cs="Open Sans"/>
          <w:sz w:val="17"/>
          <w:szCs w:val="17"/>
        </w:rPr>
        <w:t xml:space="preserve">Australian Human Rights Commission, </w:t>
      </w:r>
      <w:r w:rsidRPr="001265AE">
        <w:rPr>
          <w:rFonts w:cs="Open Sans"/>
          <w:i/>
          <w:iCs/>
          <w:sz w:val="17"/>
          <w:szCs w:val="17"/>
        </w:rPr>
        <w:t>Social Justice and Native Title Report 2015</w:t>
      </w:r>
      <w:r w:rsidRPr="001265AE">
        <w:rPr>
          <w:rFonts w:cs="Open Sans"/>
          <w:sz w:val="17"/>
          <w:szCs w:val="17"/>
        </w:rPr>
        <w:t xml:space="preserve"> (2015) 48-61 &lt;</w:t>
      </w:r>
      <w:hyperlink r:id="rId94" w:history="1">
        <w:r w:rsidRPr="001265AE">
          <w:rPr>
            <w:rStyle w:val="Hyperlink"/>
            <w:rFonts w:cs="Open Sans"/>
            <w:sz w:val="17"/>
            <w:szCs w:val="17"/>
          </w:rPr>
          <w:t>https://www.humanrights.gov.au/sites/default/files/document/publication/SJRNTR2015.pdf</w:t>
        </w:r>
      </w:hyperlink>
      <w:r w:rsidRPr="001265AE">
        <w:rPr>
          <w:rStyle w:val="Hyperlink"/>
          <w:rFonts w:cs="Open Sans"/>
          <w:sz w:val="17"/>
          <w:szCs w:val="17"/>
        </w:rPr>
        <w:t>&gt;</w:t>
      </w:r>
      <w:r w:rsidRPr="001265AE">
        <w:rPr>
          <w:rFonts w:cs="Open Sans"/>
          <w:sz w:val="17"/>
          <w:szCs w:val="17"/>
        </w:rPr>
        <w:t>.</w:t>
      </w:r>
    </w:p>
  </w:endnote>
  <w:endnote w:id="109">
    <w:p w14:paraId="20E20974" w14:textId="77777777" w:rsidR="008F2AFF" w:rsidRPr="001265AE" w:rsidRDefault="008F2AFF" w:rsidP="003C2268">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Luke Henriques-Gomes, ‘Robodebt: court approves $1.8bn settlement for victims of government’s ‘shameful’ failure’, </w:t>
      </w:r>
      <w:r w:rsidRPr="001265AE">
        <w:rPr>
          <w:rFonts w:cs="Open Sans"/>
          <w:i/>
          <w:iCs/>
          <w:sz w:val="17"/>
          <w:szCs w:val="17"/>
        </w:rPr>
        <w:t xml:space="preserve">The Guardian </w:t>
      </w:r>
      <w:r w:rsidRPr="001265AE">
        <w:rPr>
          <w:rFonts w:cs="Open Sans"/>
          <w:sz w:val="17"/>
          <w:szCs w:val="17"/>
        </w:rPr>
        <w:t>(Online, 11 June 2021) &lt;https://www.theguardian.com/australia-news/2021/jun/11/robodebt-court-approves-18bn-settlement-for-victims-of-governments-shameful-failure&gt;.</w:t>
      </w:r>
    </w:p>
  </w:endnote>
  <w:endnote w:id="110">
    <w:p w14:paraId="75EA7FD8" w14:textId="4D377D44" w:rsidR="008F2AFF" w:rsidRPr="001265AE" w:rsidRDefault="008F2AFF">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University of New South Wales and Australian Council of Social Services, </w:t>
      </w:r>
      <w:r w:rsidRPr="001265AE">
        <w:rPr>
          <w:rFonts w:cs="Open Sans"/>
          <w:i/>
          <w:iCs/>
          <w:sz w:val="17"/>
          <w:szCs w:val="17"/>
        </w:rPr>
        <w:t xml:space="preserve">Covid-19: Rental Housing and Homelessness Impacts – an initial analysis </w:t>
      </w:r>
      <w:r w:rsidRPr="001265AE">
        <w:rPr>
          <w:rFonts w:cs="Open Sans"/>
          <w:sz w:val="17"/>
          <w:szCs w:val="17"/>
        </w:rPr>
        <w:t>(February 2021) &lt; https://povertyandinequality.acoss.org.au/wp-content/uploads/2021/02/COVID19_Rental-housing-and-homelessness-impacts_report-1.pdf&gt;.</w:t>
      </w:r>
    </w:p>
  </w:endnote>
  <w:endnote w:id="111">
    <w:p w14:paraId="49E507B0" w14:textId="463F5358" w:rsidR="008F2AFF" w:rsidRPr="001265AE" w:rsidRDefault="008F2AFF">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Australian Institute of Health and Welfare, </w:t>
      </w:r>
      <w:r w:rsidRPr="001265AE">
        <w:rPr>
          <w:rFonts w:cs="Open Sans"/>
          <w:i/>
          <w:iCs/>
          <w:sz w:val="17"/>
          <w:szCs w:val="17"/>
        </w:rPr>
        <w:t xml:space="preserve">Housing Affordability: Snapshot </w:t>
      </w:r>
      <w:r w:rsidRPr="001265AE">
        <w:rPr>
          <w:rFonts w:cs="Open Sans"/>
          <w:sz w:val="17"/>
          <w:szCs w:val="17"/>
        </w:rPr>
        <w:t>(30 June 2021) &lt;https://www.aihw.gov.au/reports/australias-welfare/housing-affordability&gt;.</w:t>
      </w:r>
    </w:p>
  </w:endnote>
  <w:endnote w:id="112">
    <w:p w14:paraId="15C31DE0" w14:textId="2C7AA6D2" w:rsidR="008F2AFF" w:rsidRPr="001265AE" w:rsidRDefault="008F2AFF" w:rsidP="005A03D4">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Australian Bureau of Statistics, </w:t>
      </w:r>
      <w:r w:rsidRPr="001265AE">
        <w:rPr>
          <w:rFonts w:cs="Open Sans"/>
          <w:i/>
          <w:iCs/>
          <w:sz w:val="17"/>
          <w:szCs w:val="17"/>
        </w:rPr>
        <w:t>2049.0 Census of Population and Housing: Estimating homelessness, 2016: Key Findings</w:t>
      </w:r>
      <w:r w:rsidRPr="001265AE">
        <w:rPr>
          <w:rFonts w:cs="Open Sans"/>
          <w:sz w:val="17"/>
          <w:szCs w:val="17"/>
        </w:rPr>
        <w:t xml:space="preserve"> (2018) &lt;</w:t>
      </w:r>
      <w:hyperlink r:id="rId95" w:history="1">
        <w:r w:rsidRPr="001265AE">
          <w:rPr>
            <w:rStyle w:val="Hyperlink"/>
            <w:rFonts w:cs="Open Sans"/>
            <w:sz w:val="17"/>
            <w:szCs w:val="17"/>
          </w:rPr>
          <w:t>http://www.abs.gov.au/ausstats/abs@.nsf/mf/2049.0</w:t>
        </w:r>
      </w:hyperlink>
      <w:r w:rsidRPr="001265AE">
        <w:rPr>
          <w:rFonts w:cs="Open Sans"/>
          <w:sz w:val="17"/>
          <w:szCs w:val="17"/>
        </w:rPr>
        <w:t xml:space="preserve">&gt;; Australian Institute of Health and Welfare, </w:t>
      </w:r>
      <w:r w:rsidRPr="001265AE">
        <w:rPr>
          <w:rFonts w:cs="Open Sans"/>
          <w:i/>
          <w:iCs/>
          <w:sz w:val="17"/>
          <w:szCs w:val="17"/>
        </w:rPr>
        <w:t xml:space="preserve">Homelessness and homelessness services: snapshot </w:t>
      </w:r>
      <w:r w:rsidRPr="001265AE">
        <w:rPr>
          <w:rFonts w:cs="Open Sans"/>
          <w:sz w:val="17"/>
          <w:szCs w:val="17"/>
        </w:rPr>
        <w:t>(7 December 2021)</w:t>
      </w:r>
    </w:p>
    <w:p w14:paraId="4CDDE25F" w14:textId="3A88BA32" w:rsidR="008F2AFF" w:rsidRPr="001265AE" w:rsidRDefault="00031459">
      <w:pPr>
        <w:pStyle w:val="EndnoteText"/>
        <w:rPr>
          <w:rFonts w:cs="Open Sans"/>
          <w:sz w:val="17"/>
          <w:szCs w:val="17"/>
        </w:rPr>
      </w:pPr>
      <w:hyperlink r:id="rId96" w:history="1">
        <w:r w:rsidR="008F2AFF" w:rsidRPr="001265AE">
          <w:rPr>
            <w:rStyle w:val="Hyperlink"/>
            <w:rFonts w:cs="Open Sans"/>
            <w:sz w:val="17"/>
            <w:szCs w:val="17"/>
          </w:rPr>
          <w:t>https://www.aihw.gov.au/reports/australias-welfare/housing-affordability</w:t>
        </w:r>
      </w:hyperlink>
      <w:r w:rsidR="008F2AFF" w:rsidRPr="001265AE">
        <w:rPr>
          <w:rFonts w:cs="Open Sans"/>
          <w:sz w:val="17"/>
          <w:szCs w:val="17"/>
        </w:rPr>
        <w:t xml:space="preserve">; Debbie Faulkner and Laurence Lester, ‘400,000 women over 45 are at risk of homelessness in Australia’ </w:t>
      </w:r>
      <w:r w:rsidR="008F2AFF" w:rsidRPr="001265AE">
        <w:rPr>
          <w:rFonts w:cs="Open Sans"/>
          <w:i/>
          <w:iCs/>
          <w:sz w:val="17"/>
          <w:szCs w:val="17"/>
        </w:rPr>
        <w:t xml:space="preserve">The Conversation </w:t>
      </w:r>
      <w:r w:rsidR="008F2AFF" w:rsidRPr="001265AE">
        <w:rPr>
          <w:rFonts w:cs="Open Sans"/>
          <w:sz w:val="17"/>
          <w:szCs w:val="17"/>
        </w:rPr>
        <w:t>(August 2020) &lt;</w:t>
      </w:r>
      <w:hyperlink r:id="rId97" w:history="1">
        <w:r w:rsidR="008F2AFF" w:rsidRPr="001265AE">
          <w:rPr>
            <w:rStyle w:val="Hyperlink"/>
            <w:rFonts w:cs="Open Sans"/>
            <w:sz w:val="17"/>
            <w:szCs w:val="17"/>
          </w:rPr>
          <w:t>https://theconversation.com/400-000-women-over-45-are-at-risk-of-homelessness-in-australia-142906</w:t>
        </w:r>
      </w:hyperlink>
      <w:r w:rsidR="008F2AFF" w:rsidRPr="001265AE">
        <w:rPr>
          <w:rFonts w:cs="Open Sans"/>
          <w:sz w:val="17"/>
          <w:szCs w:val="17"/>
        </w:rPr>
        <w:t>&gt;.</w:t>
      </w:r>
    </w:p>
  </w:endnote>
  <w:endnote w:id="113">
    <w:p w14:paraId="7FD69992" w14:textId="2E4375AC" w:rsidR="008F2AFF" w:rsidRPr="001265AE" w:rsidRDefault="008F2AFF" w:rsidP="00F73B82">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Australian Human Rights Commission, </w:t>
      </w:r>
      <w:r w:rsidRPr="001265AE">
        <w:rPr>
          <w:rFonts w:cs="Open Sans"/>
          <w:i/>
          <w:iCs/>
          <w:sz w:val="17"/>
          <w:szCs w:val="17"/>
        </w:rPr>
        <w:t>Older Women’s Risk of Homelessness: Background Paper</w:t>
      </w:r>
      <w:r w:rsidRPr="001265AE">
        <w:rPr>
          <w:rFonts w:cs="Open Sans"/>
          <w:sz w:val="17"/>
          <w:szCs w:val="17"/>
        </w:rPr>
        <w:t xml:space="preserve"> (2019) &lt;</w:t>
      </w:r>
      <w:hyperlink r:id="rId98" w:history="1">
        <w:r w:rsidRPr="001265AE">
          <w:rPr>
            <w:rStyle w:val="Hyperlink"/>
            <w:rFonts w:cs="Open Sans"/>
            <w:sz w:val="17"/>
            <w:szCs w:val="17"/>
          </w:rPr>
          <w:t>https://www.humanrights.gov.au/our-work/age-discrimination/publications/older-womens-risk-homelessness-background-paper-2019</w:t>
        </w:r>
      </w:hyperlink>
      <w:r w:rsidRPr="001265AE">
        <w:rPr>
          <w:rFonts w:cs="Open Sans"/>
          <w:sz w:val="17"/>
          <w:szCs w:val="17"/>
        </w:rPr>
        <w:t>&gt;.</w:t>
      </w:r>
    </w:p>
  </w:endnote>
  <w:endnote w:id="114">
    <w:p w14:paraId="20939CCE" w14:textId="3024659A" w:rsidR="008F2AFF" w:rsidRPr="001265AE" w:rsidRDefault="008F2AFF">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United Nations Committee on Economic, Social and Cultural Rights</w:t>
      </w:r>
      <w:r w:rsidRPr="001265AE">
        <w:rPr>
          <w:rFonts w:cs="Open Sans"/>
          <w:i/>
          <w:iCs/>
          <w:sz w:val="17"/>
          <w:szCs w:val="17"/>
        </w:rPr>
        <w:t>, Concluding observations on fifth periodic report on Australia</w:t>
      </w:r>
      <w:r w:rsidRPr="001265AE">
        <w:rPr>
          <w:rFonts w:cs="Open Sans"/>
          <w:sz w:val="17"/>
          <w:szCs w:val="17"/>
        </w:rPr>
        <w:t>, 61</w:t>
      </w:r>
      <w:r w:rsidRPr="001265AE">
        <w:rPr>
          <w:rFonts w:cs="Open Sans"/>
          <w:sz w:val="17"/>
          <w:szCs w:val="17"/>
          <w:vertAlign w:val="superscript"/>
        </w:rPr>
        <w:t>st</w:t>
      </w:r>
      <w:r w:rsidRPr="001265AE">
        <w:rPr>
          <w:rFonts w:cs="Open Sans"/>
          <w:sz w:val="17"/>
          <w:szCs w:val="17"/>
        </w:rPr>
        <w:t xml:space="preserve"> sess, UN Doc E/C.12/Aus/CO/5 (11 July 2017) [41].</w:t>
      </w:r>
    </w:p>
  </w:endnote>
  <w:endnote w:id="115">
    <w:p w14:paraId="36ABD7C9" w14:textId="415E9082" w:rsidR="008F2AFF" w:rsidRPr="001265AE" w:rsidRDefault="008F2AFF">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Australian Institute of Health and Welfare, </w:t>
      </w:r>
      <w:r w:rsidRPr="001265AE">
        <w:rPr>
          <w:rFonts w:cs="Open Sans"/>
          <w:i/>
          <w:iCs/>
          <w:sz w:val="17"/>
          <w:szCs w:val="17"/>
        </w:rPr>
        <w:t xml:space="preserve">Housing Assistance: Snapshot </w:t>
      </w:r>
      <w:r w:rsidRPr="001265AE">
        <w:rPr>
          <w:rFonts w:cs="Open Sans"/>
          <w:sz w:val="17"/>
          <w:szCs w:val="17"/>
        </w:rPr>
        <w:t>(16 September 2021) &lt;</w:t>
      </w:r>
      <w:hyperlink r:id="rId99" w:history="1">
        <w:r w:rsidRPr="001265AE">
          <w:rPr>
            <w:rStyle w:val="Hyperlink"/>
            <w:rFonts w:cs="Open Sans"/>
            <w:sz w:val="17"/>
            <w:szCs w:val="17"/>
          </w:rPr>
          <w:t>https://www.aihw.gov.au/reports/australias-welfare/housing-assistance</w:t>
        </w:r>
      </w:hyperlink>
      <w:r w:rsidRPr="001265AE">
        <w:rPr>
          <w:rFonts w:cs="Open Sans"/>
          <w:sz w:val="17"/>
          <w:szCs w:val="17"/>
        </w:rPr>
        <w:t xml:space="preserve">&gt;; Australian Institute of Health and Welfare, </w:t>
      </w:r>
      <w:r w:rsidRPr="001265AE">
        <w:rPr>
          <w:rFonts w:cs="Open Sans"/>
          <w:i/>
          <w:iCs/>
          <w:sz w:val="17"/>
          <w:szCs w:val="17"/>
        </w:rPr>
        <w:t xml:space="preserve">Housing Affordability: Snapshot </w:t>
      </w:r>
      <w:r w:rsidRPr="001265AE">
        <w:rPr>
          <w:rFonts w:cs="Open Sans"/>
          <w:sz w:val="17"/>
          <w:szCs w:val="17"/>
        </w:rPr>
        <w:t>(30 June 2021) &lt;</w:t>
      </w:r>
      <w:hyperlink r:id="rId100" w:history="1">
        <w:r w:rsidRPr="001265AE">
          <w:rPr>
            <w:rStyle w:val="Hyperlink"/>
            <w:rFonts w:cs="Open Sans"/>
            <w:sz w:val="17"/>
            <w:szCs w:val="17"/>
          </w:rPr>
          <w:t>https://www.aihw.gov.au/reports/australias-welfare/housing-affordability</w:t>
        </w:r>
      </w:hyperlink>
      <w:r w:rsidRPr="001265AE">
        <w:rPr>
          <w:rFonts w:cs="Open Sans"/>
          <w:sz w:val="17"/>
          <w:szCs w:val="17"/>
        </w:rPr>
        <w:t xml:space="preserve">&gt;; Australian Institute of Health and Welfare, </w:t>
      </w:r>
      <w:r w:rsidRPr="001265AE">
        <w:rPr>
          <w:rFonts w:cs="Open Sans"/>
          <w:i/>
          <w:iCs/>
          <w:sz w:val="17"/>
          <w:szCs w:val="17"/>
        </w:rPr>
        <w:t xml:space="preserve">Indigenous Housing: Snapshot </w:t>
      </w:r>
      <w:r w:rsidRPr="001265AE">
        <w:rPr>
          <w:rFonts w:cs="Open Sans"/>
          <w:sz w:val="17"/>
          <w:szCs w:val="17"/>
        </w:rPr>
        <w:t>(16 September 2021) &lt;</w:t>
      </w:r>
      <w:hyperlink r:id="rId101" w:history="1">
        <w:r w:rsidRPr="001265AE">
          <w:rPr>
            <w:rStyle w:val="Hyperlink"/>
            <w:rFonts w:cs="Open Sans"/>
            <w:sz w:val="17"/>
            <w:szCs w:val="17"/>
          </w:rPr>
          <w:t>https://www.aihw.gov.au/reports/australias-welfare/indigenous-housing</w:t>
        </w:r>
      </w:hyperlink>
      <w:r w:rsidRPr="001265AE">
        <w:rPr>
          <w:rFonts w:cs="Open Sans"/>
          <w:sz w:val="17"/>
          <w:szCs w:val="17"/>
        </w:rPr>
        <w:t>&gt;.</w:t>
      </w:r>
    </w:p>
  </w:endnote>
  <w:endnote w:id="116">
    <w:p w14:paraId="2E7DEE0B" w14:textId="38D36A64" w:rsidR="008F2AFF" w:rsidRPr="001265AE" w:rsidRDefault="008F2AFF" w:rsidP="005938A6">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‘About’, </w:t>
      </w:r>
      <w:r w:rsidRPr="001265AE">
        <w:rPr>
          <w:rFonts w:cs="Open Sans"/>
          <w:i/>
          <w:iCs/>
          <w:sz w:val="17"/>
          <w:szCs w:val="17"/>
        </w:rPr>
        <w:t>Australian National Contact Point</w:t>
      </w:r>
      <w:r w:rsidRPr="001265AE">
        <w:rPr>
          <w:rFonts w:cs="Open Sans"/>
          <w:sz w:val="17"/>
          <w:szCs w:val="17"/>
        </w:rPr>
        <w:t xml:space="preserve"> (Web Page) &lt;</w:t>
      </w:r>
      <w:hyperlink r:id="rId102" w:history="1">
        <w:r w:rsidRPr="001265AE">
          <w:rPr>
            <w:rStyle w:val="Hyperlink"/>
            <w:rFonts w:cs="Open Sans"/>
            <w:sz w:val="17"/>
            <w:szCs w:val="17"/>
          </w:rPr>
          <w:t>https://ausncp.gov.au/about</w:t>
        </w:r>
      </w:hyperlink>
      <w:r w:rsidRPr="001265AE">
        <w:rPr>
          <w:rStyle w:val="Hyperlink"/>
          <w:rFonts w:cs="Open Sans"/>
          <w:sz w:val="17"/>
          <w:szCs w:val="17"/>
        </w:rPr>
        <w:t>&gt;</w:t>
      </w:r>
      <w:r w:rsidRPr="001265AE">
        <w:rPr>
          <w:rFonts w:cs="Open Sans"/>
          <w:sz w:val="17"/>
          <w:szCs w:val="17"/>
        </w:rPr>
        <w:t>.</w:t>
      </w:r>
    </w:p>
  </w:endnote>
  <w:endnote w:id="117">
    <w:p w14:paraId="226F4428" w14:textId="0449E038" w:rsidR="008F2AFF" w:rsidRPr="001265AE" w:rsidRDefault="008F2AFF">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United Nations Committee on Economic, Social and Cultural Rights</w:t>
      </w:r>
      <w:r w:rsidRPr="001265AE">
        <w:rPr>
          <w:rFonts w:cs="Open Sans"/>
          <w:i/>
          <w:iCs/>
          <w:sz w:val="17"/>
          <w:szCs w:val="17"/>
        </w:rPr>
        <w:t>, Concluding observations on fifth periodic report on Australia</w:t>
      </w:r>
      <w:r w:rsidRPr="001265AE">
        <w:rPr>
          <w:rFonts w:cs="Open Sans"/>
          <w:sz w:val="17"/>
          <w:szCs w:val="17"/>
        </w:rPr>
        <w:t>, 61</w:t>
      </w:r>
      <w:r w:rsidRPr="001265AE">
        <w:rPr>
          <w:rFonts w:cs="Open Sans"/>
          <w:sz w:val="17"/>
          <w:szCs w:val="17"/>
          <w:vertAlign w:val="superscript"/>
        </w:rPr>
        <w:t>st</w:t>
      </w:r>
      <w:r w:rsidRPr="001265AE">
        <w:rPr>
          <w:rFonts w:cs="Open Sans"/>
          <w:sz w:val="17"/>
          <w:szCs w:val="17"/>
        </w:rPr>
        <w:t xml:space="preserve"> sess, UN Doc E/C.12/Aus/CO/5 (11 July 2017) [14].</w:t>
      </w:r>
    </w:p>
  </w:endnote>
  <w:endnote w:id="118">
    <w:p w14:paraId="4BD233EE" w14:textId="25A2274B" w:rsidR="000E2741" w:rsidRPr="006307E0" w:rsidRDefault="000E2741">
      <w:pPr>
        <w:pStyle w:val="EndnoteText"/>
        <w:rPr>
          <w:sz w:val="17"/>
          <w:szCs w:val="17"/>
        </w:rPr>
      </w:pPr>
      <w:r w:rsidRPr="006307E0">
        <w:rPr>
          <w:rStyle w:val="EndnoteReference"/>
          <w:sz w:val="17"/>
          <w:szCs w:val="17"/>
        </w:rPr>
        <w:endnoteRef/>
      </w:r>
      <w:r w:rsidRPr="006307E0">
        <w:rPr>
          <w:sz w:val="17"/>
          <w:szCs w:val="17"/>
        </w:rPr>
        <w:t xml:space="preserve"> </w:t>
      </w:r>
      <w:r w:rsidR="003D2D7A" w:rsidRPr="006307E0">
        <w:rPr>
          <w:sz w:val="17"/>
          <w:szCs w:val="17"/>
        </w:rPr>
        <w:t>A</w:t>
      </w:r>
      <w:r w:rsidR="00A1159E" w:rsidRPr="006307E0">
        <w:rPr>
          <w:sz w:val="17"/>
          <w:szCs w:val="17"/>
        </w:rPr>
        <w:t xml:space="preserve">ustralian Human Rights Commission and </w:t>
      </w:r>
      <w:r w:rsidR="00270C97" w:rsidRPr="006307E0">
        <w:rPr>
          <w:sz w:val="17"/>
          <w:szCs w:val="17"/>
        </w:rPr>
        <w:t xml:space="preserve">University of New South Wales, </w:t>
      </w:r>
      <w:r w:rsidR="00270C97" w:rsidRPr="006307E0">
        <w:rPr>
          <w:i/>
          <w:iCs/>
          <w:sz w:val="17"/>
          <w:szCs w:val="17"/>
        </w:rPr>
        <w:t xml:space="preserve">At the Crossroads: 10 years of implementing the UN Guiding Principles on Business and Human Rights in Australia </w:t>
      </w:r>
      <w:r w:rsidR="00270C97" w:rsidRPr="006307E0">
        <w:rPr>
          <w:sz w:val="17"/>
          <w:szCs w:val="17"/>
        </w:rPr>
        <w:t>(September 2021) &lt;</w:t>
      </w:r>
      <w:r w:rsidR="00A70A8B" w:rsidRPr="006307E0">
        <w:rPr>
          <w:sz w:val="17"/>
          <w:szCs w:val="17"/>
        </w:rPr>
        <w:t>https://humanrights.gov.au/our-work/business-and-human-rights/publications/crossroads-10-years-implementing-un-guiding&gt;.</w:t>
      </w:r>
    </w:p>
  </w:endnote>
  <w:endnote w:id="119">
    <w:p w14:paraId="6CFD822E" w14:textId="7C097670" w:rsidR="00E82BB1" w:rsidRPr="006307E0" w:rsidRDefault="00E82BB1">
      <w:pPr>
        <w:pStyle w:val="EndnoteText"/>
        <w:rPr>
          <w:sz w:val="17"/>
          <w:szCs w:val="17"/>
        </w:rPr>
      </w:pPr>
      <w:r w:rsidRPr="006307E0">
        <w:rPr>
          <w:rStyle w:val="EndnoteReference"/>
          <w:sz w:val="17"/>
          <w:szCs w:val="17"/>
        </w:rPr>
        <w:endnoteRef/>
      </w:r>
      <w:r w:rsidRPr="006307E0">
        <w:rPr>
          <w:sz w:val="17"/>
          <w:szCs w:val="17"/>
        </w:rPr>
        <w:t xml:space="preserve"> </w:t>
      </w:r>
      <w:bookmarkStart w:id="16" w:name="_Hlk92273018"/>
      <w:r w:rsidR="002F648E">
        <w:rPr>
          <w:sz w:val="17"/>
          <w:szCs w:val="17"/>
        </w:rPr>
        <w:t xml:space="preserve">Australian Human Rights Commission, </w:t>
      </w:r>
      <w:r w:rsidR="002F648E">
        <w:rPr>
          <w:i/>
          <w:iCs/>
          <w:sz w:val="17"/>
          <w:szCs w:val="17"/>
        </w:rPr>
        <w:t>Independent Review of Gymnastics in Australia</w:t>
      </w:r>
      <w:r w:rsidR="00815C14">
        <w:rPr>
          <w:i/>
          <w:iCs/>
          <w:sz w:val="17"/>
          <w:szCs w:val="17"/>
        </w:rPr>
        <w:t xml:space="preserve"> </w:t>
      </w:r>
      <w:r w:rsidR="00815C14">
        <w:rPr>
          <w:sz w:val="17"/>
          <w:szCs w:val="17"/>
        </w:rPr>
        <w:t>(May 2021) &lt;</w:t>
      </w:r>
      <w:hyperlink r:id="rId103" w:history="1">
        <w:r w:rsidR="00D179A8" w:rsidRPr="00D179A8">
          <w:rPr>
            <w:rStyle w:val="Hyperlink"/>
            <w:sz w:val="17"/>
            <w:szCs w:val="17"/>
          </w:rPr>
          <w:t>https://humanrights.gov.au/gymnastics</w:t>
        </w:r>
      </w:hyperlink>
      <w:r w:rsidR="00815C14">
        <w:rPr>
          <w:sz w:val="17"/>
          <w:szCs w:val="17"/>
        </w:rPr>
        <w:t>&gt;</w:t>
      </w:r>
      <w:r w:rsidR="00424566">
        <w:rPr>
          <w:sz w:val="17"/>
          <w:szCs w:val="17"/>
        </w:rPr>
        <w:t xml:space="preserve">; </w:t>
      </w:r>
      <w:bookmarkEnd w:id="16"/>
      <w:r w:rsidRPr="00E82BB1">
        <w:rPr>
          <w:sz w:val="17"/>
          <w:szCs w:val="17"/>
        </w:rPr>
        <w:t xml:space="preserve">Australian Human Rights Commission, </w:t>
      </w:r>
      <w:r w:rsidRPr="00E82BB1">
        <w:rPr>
          <w:i/>
          <w:iCs/>
          <w:sz w:val="17"/>
          <w:szCs w:val="17"/>
        </w:rPr>
        <w:t xml:space="preserve">FIFA 2023: Women’s World Cup Human Rights Risk Assessment </w:t>
      </w:r>
      <w:r w:rsidRPr="00E82BB1">
        <w:rPr>
          <w:sz w:val="17"/>
          <w:szCs w:val="17"/>
        </w:rPr>
        <w:t>(December 2021) &lt;https://humanrights.gov.au/our-work/business-and-human-rights/publications/fifa-2023-womens-world-cup-human-rights-risk&gt;</w:t>
      </w:r>
      <w:r w:rsidR="00D179A8">
        <w:rPr>
          <w:sz w:val="17"/>
          <w:szCs w:val="17"/>
        </w:rPr>
        <w:t xml:space="preserve">; </w:t>
      </w:r>
      <w:r w:rsidR="00D179A8" w:rsidRPr="00D179A8">
        <w:rPr>
          <w:sz w:val="17"/>
          <w:szCs w:val="17"/>
        </w:rPr>
        <w:t xml:space="preserve">Australian Human rights Commission, </w:t>
      </w:r>
      <w:r w:rsidR="00D179A8" w:rsidRPr="00D179A8">
        <w:rPr>
          <w:i/>
          <w:iCs/>
          <w:sz w:val="17"/>
          <w:szCs w:val="17"/>
        </w:rPr>
        <w:t xml:space="preserve">Racial Equality Review of Basketball Australia </w:t>
      </w:r>
      <w:r w:rsidR="00D179A8" w:rsidRPr="00D179A8">
        <w:rPr>
          <w:sz w:val="17"/>
          <w:szCs w:val="17"/>
        </w:rPr>
        <w:t>(October 2021) &lt;https://humanrights.gov.au/basketball&gt;</w:t>
      </w:r>
      <w:r w:rsidR="00553F35">
        <w:rPr>
          <w:sz w:val="17"/>
          <w:szCs w:val="17"/>
        </w:rPr>
        <w:t xml:space="preserve">; Australian Human Rights Commission, </w:t>
      </w:r>
      <w:r w:rsidR="009F374F" w:rsidRPr="006307E0">
        <w:rPr>
          <w:i/>
          <w:iCs/>
          <w:sz w:val="17"/>
          <w:szCs w:val="17"/>
        </w:rPr>
        <w:t>Guidelines: Equal opportunity for women and girls in golf</w:t>
      </w:r>
      <w:r w:rsidR="009F374F">
        <w:rPr>
          <w:sz w:val="17"/>
          <w:szCs w:val="17"/>
        </w:rPr>
        <w:t xml:space="preserve"> (March 2019) &lt;</w:t>
      </w:r>
      <w:r w:rsidR="009F374F" w:rsidRPr="009F374F">
        <w:rPr>
          <w:sz w:val="17"/>
          <w:szCs w:val="17"/>
        </w:rPr>
        <w:t>https://humanrights.gov.au/our-work/sex-discrimination/publications/guidelines-equal-opportunity-women-and-girls-golf-2019</w:t>
      </w:r>
      <w:r w:rsidR="009F374F">
        <w:rPr>
          <w:sz w:val="17"/>
          <w:szCs w:val="17"/>
        </w:rPr>
        <w:t>&gt;</w:t>
      </w:r>
      <w:r w:rsidR="0085702B">
        <w:rPr>
          <w:sz w:val="17"/>
          <w:szCs w:val="17"/>
        </w:rPr>
        <w:t>;</w:t>
      </w:r>
      <w:r w:rsidR="0030482B">
        <w:rPr>
          <w:sz w:val="17"/>
          <w:szCs w:val="17"/>
        </w:rPr>
        <w:t xml:space="preserve"> Australian Human Rights Commission, </w:t>
      </w:r>
      <w:r w:rsidR="0030482B" w:rsidRPr="006307E0">
        <w:rPr>
          <w:i/>
          <w:iCs/>
          <w:sz w:val="17"/>
          <w:szCs w:val="17"/>
        </w:rPr>
        <w:t>Guidelines for the inclusion of transgender and gender diverse people in sport</w:t>
      </w:r>
      <w:r w:rsidR="0030482B">
        <w:rPr>
          <w:i/>
          <w:iCs/>
          <w:sz w:val="17"/>
          <w:szCs w:val="17"/>
        </w:rPr>
        <w:t xml:space="preserve"> </w:t>
      </w:r>
      <w:r w:rsidR="0030482B">
        <w:rPr>
          <w:sz w:val="17"/>
          <w:szCs w:val="17"/>
        </w:rPr>
        <w:t>(June 2019) &lt;</w:t>
      </w:r>
      <w:r w:rsidR="00213072" w:rsidRPr="00213072">
        <w:rPr>
          <w:sz w:val="17"/>
          <w:szCs w:val="17"/>
        </w:rPr>
        <w:t>https://humanrights.gov.au/our-work/lgbti/publications/guidelines-inclusion-transgender-and-gender-diverse-people-sport-2019</w:t>
      </w:r>
      <w:r w:rsidR="00213072">
        <w:rPr>
          <w:sz w:val="17"/>
          <w:szCs w:val="17"/>
        </w:rPr>
        <w:t>&gt;.</w:t>
      </w:r>
    </w:p>
  </w:endnote>
  <w:endnote w:id="120">
    <w:p w14:paraId="257F1660" w14:textId="482EFFAD" w:rsidR="007E06F1" w:rsidRPr="006307E0" w:rsidRDefault="007E06F1">
      <w:pPr>
        <w:pStyle w:val="EndnoteText"/>
        <w:rPr>
          <w:sz w:val="17"/>
          <w:szCs w:val="17"/>
        </w:rPr>
      </w:pPr>
      <w:r w:rsidRPr="006307E0">
        <w:rPr>
          <w:rStyle w:val="EndnoteReference"/>
          <w:sz w:val="17"/>
          <w:szCs w:val="17"/>
        </w:rPr>
        <w:endnoteRef/>
      </w:r>
      <w:r w:rsidRPr="006307E0">
        <w:rPr>
          <w:sz w:val="17"/>
          <w:szCs w:val="17"/>
        </w:rPr>
        <w:t xml:space="preserve"> </w:t>
      </w:r>
      <w:r w:rsidR="004F3EE0" w:rsidRPr="006307E0">
        <w:rPr>
          <w:sz w:val="17"/>
          <w:szCs w:val="17"/>
        </w:rPr>
        <w:t xml:space="preserve">See </w:t>
      </w:r>
      <w:bookmarkStart w:id="17" w:name="_Hlk92272912"/>
      <w:r w:rsidR="007E1AA6" w:rsidRPr="006307E0">
        <w:rPr>
          <w:sz w:val="17"/>
          <w:szCs w:val="17"/>
        </w:rPr>
        <w:t xml:space="preserve">Australian Human Rights Commission, </w:t>
      </w:r>
      <w:r w:rsidR="007E1AA6" w:rsidRPr="006307E0">
        <w:rPr>
          <w:i/>
          <w:iCs/>
          <w:sz w:val="17"/>
          <w:szCs w:val="17"/>
        </w:rPr>
        <w:t xml:space="preserve">FIFA 2023: Women’s World Cup Human Rights Risk Assessment </w:t>
      </w:r>
      <w:r w:rsidR="007E1AA6" w:rsidRPr="006307E0">
        <w:rPr>
          <w:sz w:val="17"/>
          <w:szCs w:val="17"/>
        </w:rPr>
        <w:t xml:space="preserve">(December 2021) </w:t>
      </w:r>
      <w:r w:rsidR="0084241A" w:rsidRPr="006307E0">
        <w:rPr>
          <w:sz w:val="17"/>
          <w:szCs w:val="17"/>
        </w:rPr>
        <w:t>&lt;https://humanrights.gov.au/our-work/business-and-human-rights/publications/fifa-2023-womens-world-cup-human-rights-risk&gt;.</w:t>
      </w:r>
      <w:bookmarkEnd w:id="17"/>
    </w:p>
  </w:endnote>
  <w:endnote w:id="121">
    <w:p w14:paraId="4F91C34D" w14:textId="3917084C" w:rsidR="005E37D6" w:rsidRPr="00D179A8" w:rsidRDefault="005E37D6">
      <w:pPr>
        <w:pStyle w:val="EndnoteText"/>
      </w:pPr>
      <w:r w:rsidRPr="006307E0">
        <w:rPr>
          <w:rStyle w:val="EndnoteReference"/>
          <w:sz w:val="17"/>
          <w:szCs w:val="17"/>
        </w:rPr>
        <w:endnoteRef/>
      </w:r>
      <w:r w:rsidRPr="006307E0">
        <w:rPr>
          <w:sz w:val="17"/>
          <w:szCs w:val="17"/>
        </w:rPr>
        <w:t xml:space="preserve"> </w:t>
      </w:r>
      <w:r w:rsidR="00E82BB1" w:rsidRPr="006307E0">
        <w:rPr>
          <w:sz w:val="17"/>
          <w:szCs w:val="17"/>
        </w:rPr>
        <w:t>See e.g.,</w:t>
      </w:r>
      <w:r w:rsidR="00424566" w:rsidRPr="00424566">
        <w:rPr>
          <w:sz w:val="17"/>
          <w:szCs w:val="17"/>
        </w:rPr>
        <w:t xml:space="preserve"> Australian Human Rights Commission, </w:t>
      </w:r>
      <w:r w:rsidR="00424566" w:rsidRPr="00424566">
        <w:rPr>
          <w:i/>
          <w:iCs/>
          <w:sz w:val="17"/>
          <w:szCs w:val="17"/>
        </w:rPr>
        <w:t xml:space="preserve">Independent Review of Gymnastics in Australia </w:t>
      </w:r>
      <w:r w:rsidR="00424566" w:rsidRPr="00424566">
        <w:rPr>
          <w:sz w:val="17"/>
          <w:szCs w:val="17"/>
        </w:rPr>
        <w:t>(May 2021) &lt;</w:t>
      </w:r>
      <w:hyperlink r:id="rId104" w:history="1">
        <w:r w:rsidR="00D179A8" w:rsidRPr="00D179A8">
          <w:rPr>
            <w:rStyle w:val="Hyperlink"/>
            <w:sz w:val="17"/>
            <w:szCs w:val="17"/>
          </w:rPr>
          <w:t>https://humanrights.gov.au/gymnastics</w:t>
        </w:r>
      </w:hyperlink>
      <w:r w:rsidR="00424566" w:rsidRPr="00424566">
        <w:rPr>
          <w:sz w:val="17"/>
          <w:szCs w:val="17"/>
        </w:rPr>
        <w:t>&gt;;</w:t>
      </w:r>
      <w:r w:rsidR="00B63C5A">
        <w:rPr>
          <w:sz w:val="17"/>
          <w:szCs w:val="17"/>
        </w:rPr>
        <w:t xml:space="preserve"> </w:t>
      </w:r>
      <w:bookmarkStart w:id="18" w:name="_Hlk92273137"/>
      <w:r w:rsidR="00B63C5A">
        <w:rPr>
          <w:sz w:val="17"/>
          <w:szCs w:val="17"/>
        </w:rPr>
        <w:t xml:space="preserve">Australian Human rights Commission, </w:t>
      </w:r>
      <w:r w:rsidR="00D179A8" w:rsidRPr="006307E0">
        <w:rPr>
          <w:i/>
          <w:iCs/>
          <w:sz w:val="17"/>
          <w:szCs w:val="17"/>
        </w:rPr>
        <w:t>Racial Equality Review of Basketball Australia</w:t>
      </w:r>
      <w:r w:rsidR="00D179A8">
        <w:rPr>
          <w:i/>
          <w:iCs/>
          <w:sz w:val="17"/>
          <w:szCs w:val="17"/>
        </w:rPr>
        <w:t xml:space="preserve"> </w:t>
      </w:r>
      <w:r w:rsidR="00D179A8">
        <w:rPr>
          <w:sz w:val="17"/>
          <w:szCs w:val="17"/>
        </w:rPr>
        <w:t>(October 2021) &lt;</w:t>
      </w:r>
      <w:r w:rsidR="00D179A8" w:rsidRPr="00D179A8">
        <w:rPr>
          <w:sz w:val="17"/>
          <w:szCs w:val="17"/>
        </w:rPr>
        <w:t>https://humanrights.gov.au/basketball</w:t>
      </w:r>
      <w:r w:rsidR="00D179A8">
        <w:rPr>
          <w:sz w:val="17"/>
          <w:szCs w:val="17"/>
        </w:rPr>
        <w:t>&gt;.</w:t>
      </w:r>
    </w:p>
    <w:bookmarkEnd w:id="18"/>
  </w:endnote>
  <w:endnote w:id="122">
    <w:p w14:paraId="644A942B" w14:textId="665B65F8" w:rsidR="008F2AFF" w:rsidRPr="001265AE" w:rsidRDefault="008F2AFF">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Australian Human Rights Commission, </w:t>
      </w:r>
      <w:r w:rsidRPr="001265AE">
        <w:rPr>
          <w:rFonts w:cs="Open Sans"/>
          <w:i/>
          <w:iCs/>
          <w:sz w:val="17"/>
          <w:szCs w:val="17"/>
        </w:rPr>
        <w:t xml:space="preserve">Human Rights and Technology: Final Report </w:t>
      </w:r>
      <w:r w:rsidRPr="001265AE">
        <w:rPr>
          <w:rFonts w:cs="Open Sans"/>
          <w:sz w:val="17"/>
          <w:szCs w:val="17"/>
        </w:rPr>
        <w:t>(May 2021) &lt;https://humanrights.gov.au/our-work/rights-and-freedoms/projects/human-rights-and-technology&gt;.</w:t>
      </w:r>
    </w:p>
  </w:endnote>
  <w:endnote w:id="123">
    <w:p w14:paraId="1654AB38" w14:textId="2D32443A" w:rsidR="00133C5B" w:rsidRDefault="00133C5B">
      <w:pPr>
        <w:pStyle w:val="EndnoteText"/>
      </w:pPr>
      <w:r>
        <w:rPr>
          <w:rStyle w:val="EndnoteReference"/>
        </w:rPr>
        <w:endnoteRef/>
      </w:r>
      <w:r>
        <w:t xml:space="preserve"> </w:t>
      </w:r>
      <w:r>
        <w:rPr>
          <w:sz w:val="17"/>
          <w:szCs w:val="17"/>
        </w:rPr>
        <w:t xml:space="preserve">Per </w:t>
      </w:r>
      <w:r w:rsidRPr="006153B6">
        <w:rPr>
          <w:i/>
          <w:iCs/>
          <w:sz w:val="17"/>
          <w:szCs w:val="17"/>
        </w:rPr>
        <w:t xml:space="preserve">Modern Slavery Act 2018 </w:t>
      </w:r>
      <w:r w:rsidRPr="006153B6">
        <w:rPr>
          <w:sz w:val="17"/>
          <w:szCs w:val="17"/>
        </w:rPr>
        <w:t>(Cth) s 24.</w:t>
      </w:r>
    </w:p>
  </w:endnote>
  <w:endnote w:id="124">
    <w:p w14:paraId="539F5B44" w14:textId="725E01CA" w:rsidR="00E82BB1" w:rsidRPr="0085702B" w:rsidRDefault="008F2AFF" w:rsidP="00C3029C">
      <w:pPr>
        <w:pStyle w:val="EndnoteText"/>
        <w:rPr>
          <w:rFonts w:cs="Open Sans"/>
          <w:sz w:val="17"/>
          <w:szCs w:val="17"/>
        </w:rPr>
      </w:pPr>
      <w:r w:rsidRPr="001265AE">
        <w:rPr>
          <w:rStyle w:val="EndnoteReference"/>
          <w:rFonts w:cs="Open Sans"/>
          <w:sz w:val="17"/>
          <w:szCs w:val="17"/>
        </w:rPr>
        <w:endnoteRef/>
      </w:r>
      <w:r w:rsidRPr="001265AE">
        <w:rPr>
          <w:rFonts w:cs="Open Sans"/>
          <w:sz w:val="17"/>
          <w:szCs w:val="17"/>
        </w:rPr>
        <w:t xml:space="preserve"> Department of Home Affairs, </w:t>
      </w:r>
      <w:r w:rsidRPr="001265AE">
        <w:rPr>
          <w:rFonts w:cs="Open Sans"/>
          <w:i/>
          <w:iCs/>
          <w:sz w:val="17"/>
          <w:szCs w:val="17"/>
        </w:rPr>
        <w:t xml:space="preserve">National Action Plan to Combat Modern Slavery 2020-25 </w:t>
      </w:r>
      <w:r w:rsidRPr="001265AE">
        <w:rPr>
          <w:rFonts w:cs="Open Sans"/>
          <w:sz w:val="17"/>
          <w:szCs w:val="17"/>
        </w:rPr>
        <w:t>(December 2020) &lt;https://www.homeaffairs.gov.au/criminal-justice/files/nap-combat-modern-slavery-2020-25.pdf&gt;.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Arial"/>
    <w:charset w:val="00"/>
    <w:family w:val="swiss"/>
    <w:pitch w:val="variable"/>
    <w:sig w:usb0="00000001" w:usb1="4000205B" w:usb2="00000028"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MT">
    <w:altName w:val="MS Gothic"/>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NeueLT Pro 55 Roman">
    <w:charset w:val="4D"/>
    <w:family w:val="swiss"/>
    <w:pitch w:val="variable"/>
    <w:sig w:usb0="800000AF" w:usb1="5000205B" w:usb2="00000000" w:usb3="00000000" w:csb0="0000009B" w:csb1="00000000"/>
  </w:font>
  <w:font w:name="Open Sans Light">
    <w:charset w:val="00"/>
    <w:family w:val="swiss"/>
    <w:pitch w:val="variable"/>
    <w:sig w:usb0="E00002EF" w:usb1="4000205B" w:usb2="00000028" w:usb3="00000000" w:csb0="0000019F" w:csb1="00000000"/>
  </w:font>
  <w:font w:name="Open Sans Condensed">
    <w:charset w:val="00"/>
    <w:family w:val="swiss"/>
    <w:pitch w:val="variable"/>
    <w:sig w:usb0="E00002EF" w:usb1="4000205B" w:usb2="00000028"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4444666"/>
      <w:docPartObj>
        <w:docPartGallery w:val="Page Numbers (Bottom of Page)"/>
        <w:docPartUnique/>
      </w:docPartObj>
    </w:sdtPr>
    <w:sdtEndPr>
      <w:rPr>
        <w:noProof/>
      </w:rPr>
    </w:sdtEndPr>
    <w:sdtContent>
      <w:p w14:paraId="25A501E3" w14:textId="2EBB509A" w:rsidR="00112244" w:rsidRDefault="00112244">
        <w:pPr>
          <w:pStyle w:val="Footer"/>
        </w:pPr>
        <w:r>
          <w:fldChar w:fldCharType="begin"/>
        </w:r>
        <w:r>
          <w:instrText xml:space="preserve"> PAGE   \* MERGEFORMAT </w:instrText>
        </w:r>
        <w:r>
          <w:fldChar w:fldCharType="separate"/>
        </w:r>
        <w:r w:rsidR="00031459">
          <w:rPr>
            <w:noProof/>
          </w:rPr>
          <w:t>1</w:t>
        </w:r>
        <w:r>
          <w:rPr>
            <w:noProof/>
          </w:rPr>
          <w:fldChar w:fldCharType="end"/>
        </w:r>
      </w:p>
    </w:sdtContent>
  </w:sdt>
  <w:p w14:paraId="73BFDF20" w14:textId="77777777" w:rsidR="00112244" w:rsidRDefault="001122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D56B5B" w14:textId="77777777" w:rsidR="00291951" w:rsidRDefault="00291951" w:rsidP="003002C6">
      <w:pPr>
        <w:spacing w:before="0" w:after="0"/>
      </w:pPr>
      <w:r>
        <w:separator/>
      </w:r>
    </w:p>
  </w:footnote>
  <w:footnote w:type="continuationSeparator" w:id="0">
    <w:p w14:paraId="08EB3405" w14:textId="77777777" w:rsidR="00291951" w:rsidRDefault="00291951" w:rsidP="003002C6">
      <w:pPr>
        <w:spacing w:before="0" w:after="0"/>
      </w:pPr>
      <w:r>
        <w:continuationSeparator/>
      </w:r>
    </w:p>
  </w:footnote>
  <w:footnote w:type="continuationNotice" w:id="1">
    <w:p w14:paraId="5F986FDE" w14:textId="77777777" w:rsidR="00291951" w:rsidRDefault="00291951">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E30129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F36045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558AC8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91EC8FA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3104E1E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2C21C3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656989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F9C86F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3FEF41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D00DF8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66418E"/>
    <w:multiLevelType w:val="hybridMultilevel"/>
    <w:tmpl w:val="2D56C2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B2411F"/>
    <w:multiLevelType w:val="hybridMultilevel"/>
    <w:tmpl w:val="2DD22D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2EF010B"/>
    <w:multiLevelType w:val="hybridMultilevel"/>
    <w:tmpl w:val="84342E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55E5A0E"/>
    <w:multiLevelType w:val="hybridMultilevel"/>
    <w:tmpl w:val="49B2B972"/>
    <w:lvl w:ilvl="0" w:tplc="FFFFFFFF">
      <w:start w:val="1"/>
      <w:numFmt w:val="decimal"/>
      <w:lvlText w:val="%1."/>
      <w:lvlJc w:val="left"/>
      <w:pPr>
        <w:tabs>
          <w:tab w:val="num" w:pos="360"/>
        </w:tabs>
        <w:ind w:left="360" w:hanging="360"/>
      </w:pPr>
      <w:rPr>
        <w:rFonts w:hint="default"/>
        <w:b w:val="0"/>
        <w:bCs w:val="0"/>
        <w:i w:val="0"/>
        <w:iCs/>
        <w:strike w:val="0"/>
        <w:color w:val="auto"/>
      </w:rPr>
    </w:lvl>
    <w:lvl w:ilvl="1" w:tplc="0C090001">
      <w:start w:val="1"/>
      <w:numFmt w:val="bullet"/>
      <w:lvlText w:val=""/>
      <w:lvlJc w:val="left"/>
      <w:pPr>
        <w:tabs>
          <w:tab w:val="num" w:pos="163"/>
        </w:tabs>
        <w:ind w:left="163" w:hanging="360"/>
      </w:pPr>
      <w:rPr>
        <w:rFonts w:ascii="Symbol" w:hAnsi="Symbol" w:hint="default"/>
      </w:rPr>
    </w:lvl>
    <w:lvl w:ilvl="2" w:tplc="FFFFFFFF">
      <w:start w:val="1"/>
      <w:numFmt w:val="lowerRoman"/>
      <w:lvlText w:val="%3."/>
      <w:lvlJc w:val="right"/>
      <w:pPr>
        <w:tabs>
          <w:tab w:val="num" w:pos="883"/>
        </w:tabs>
        <w:ind w:left="883" w:hanging="180"/>
      </w:pPr>
    </w:lvl>
    <w:lvl w:ilvl="3" w:tplc="FFFFFFFF" w:tentative="1">
      <w:start w:val="1"/>
      <w:numFmt w:val="decimal"/>
      <w:lvlText w:val="%4."/>
      <w:lvlJc w:val="left"/>
      <w:pPr>
        <w:tabs>
          <w:tab w:val="num" w:pos="1603"/>
        </w:tabs>
        <w:ind w:left="1603" w:hanging="360"/>
      </w:pPr>
    </w:lvl>
    <w:lvl w:ilvl="4" w:tplc="FFFFFFFF">
      <w:start w:val="1"/>
      <w:numFmt w:val="lowerLetter"/>
      <w:lvlText w:val="%5."/>
      <w:lvlJc w:val="left"/>
      <w:pPr>
        <w:tabs>
          <w:tab w:val="num" w:pos="2323"/>
        </w:tabs>
        <w:ind w:left="2323" w:hanging="360"/>
      </w:pPr>
    </w:lvl>
    <w:lvl w:ilvl="5" w:tplc="FFFFFFFF" w:tentative="1">
      <w:start w:val="1"/>
      <w:numFmt w:val="lowerRoman"/>
      <w:lvlText w:val="%6."/>
      <w:lvlJc w:val="right"/>
      <w:pPr>
        <w:tabs>
          <w:tab w:val="num" w:pos="3043"/>
        </w:tabs>
        <w:ind w:left="3043" w:hanging="180"/>
      </w:pPr>
    </w:lvl>
    <w:lvl w:ilvl="6" w:tplc="FFFFFFFF" w:tentative="1">
      <w:start w:val="1"/>
      <w:numFmt w:val="decimal"/>
      <w:lvlText w:val="%7."/>
      <w:lvlJc w:val="left"/>
      <w:pPr>
        <w:tabs>
          <w:tab w:val="num" w:pos="3763"/>
        </w:tabs>
        <w:ind w:left="3763" w:hanging="360"/>
      </w:pPr>
    </w:lvl>
    <w:lvl w:ilvl="7" w:tplc="FFFFFFFF" w:tentative="1">
      <w:start w:val="1"/>
      <w:numFmt w:val="lowerLetter"/>
      <w:lvlText w:val="%8."/>
      <w:lvlJc w:val="left"/>
      <w:pPr>
        <w:tabs>
          <w:tab w:val="num" w:pos="4483"/>
        </w:tabs>
        <w:ind w:left="4483" w:hanging="360"/>
      </w:pPr>
    </w:lvl>
    <w:lvl w:ilvl="8" w:tplc="FFFFFFFF" w:tentative="1">
      <w:start w:val="1"/>
      <w:numFmt w:val="lowerRoman"/>
      <w:lvlText w:val="%9."/>
      <w:lvlJc w:val="right"/>
      <w:pPr>
        <w:tabs>
          <w:tab w:val="num" w:pos="5203"/>
        </w:tabs>
        <w:ind w:left="5203" w:hanging="180"/>
      </w:pPr>
    </w:lvl>
  </w:abstractNum>
  <w:abstractNum w:abstractNumId="15" w15:restartNumberingAfterBreak="0">
    <w:nsid w:val="16CB1C94"/>
    <w:multiLevelType w:val="hybridMultilevel"/>
    <w:tmpl w:val="2230166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17706377"/>
    <w:multiLevelType w:val="hybridMultilevel"/>
    <w:tmpl w:val="1CEAA6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DCB237C"/>
    <w:multiLevelType w:val="hybridMultilevel"/>
    <w:tmpl w:val="1DA6D60A"/>
    <w:lvl w:ilvl="0" w:tplc="BFDE186E">
      <w:start w:val="1"/>
      <w:numFmt w:val="decimal"/>
      <w:pStyle w:val="SubmissionNormal"/>
      <w:lvlText w:val="%1."/>
      <w:lvlJc w:val="left"/>
      <w:pPr>
        <w:tabs>
          <w:tab w:val="num" w:pos="360"/>
        </w:tabs>
        <w:ind w:left="360" w:hanging="360"/>
      </w:pPr>
      <w:rPr>
        <w:rFonts w:ascii="Open Sans" w:hAnsi="Open Sans" w:cs="Open Sans" w:hint="default"/>
        <w:b w:val="0"/>
        <w:bCs w:val="0"/>
        <w:i w:val="0"/>
        <w:iCs/>
        <w:strike w:val="0"/>
        <w:color w:val="auto"/>
        <w:sz w:val="22"/>
        <w:szCs w:val="22"/>
      </w:rPr>
    </w:lvl>
    <w:lvl w:ilvl="1" w:tplc="0C090019">
      <w:start w:val="1"/>
      <w:numFmt w:val="lowerLetter"/>
      <w:lvlText w:val="%2."/>
      <w:lvlJc w:val="left"/>
      <w:pPr>
        <w:tabs>
          <w:tab w:val="num" w:pos="163"/>
        </w:tabs>
        <w:ind w:left="163" w:hanging="360"/>
      </w:pPr>
    </w:lvl>
    <w:lvl w:ilvl="2" w:tplc="0C09001B">
      <w:start w:val="1"/>
      <w:numFmt w:val="lowerRoman"/>
      <w:lvlText w:val="%3."/>
      <w:lvlJc w:val="right"/>
      <w:pPr>
        <w:tabs>
          <w:tab w:val="num" w:pos="883"/>
        </w:tabs>
        <w:ind w:left="883" w:hanging="180"/>
      </w:pPr>
    </w:lvl>
    <w:lvl w:ilvl="3" w:tplc="0C09000F" w:tentative="1">
      <w:start w:val="1"/>
      <w:numFmt w:val="decimal"/>
      <w:lvlText w:val="%4."/>
      <w:lvlJc w:val="left"/>
      <w:pPr>
        <w:tabs>
          <w:tab w:val="num" w:pos="1603"/>
        </w:tabs>
        <w:ind w:left="1603" w:hanging="360"/>
      </w:pPr>
    </w:lvl>
    <w:lvl w:ilvl="4" w:tplc="0C090019">
      <w:start w:val="1"/>
      <w:numFmt w:val="lowerLetter"/>
      <w:lvlText w:val="%5."/>
      <w:lvlJc w:val="left"/>
      <w:pPr>
        <w:tabs>
          <w:tab w:val="num" w:pos="2323"/>
        </w:tabs>
        <w:ind w:left="2323" w:hanging="360"/>
      </w:pPr>
    </w:lvl>
    <w:lvl w:ilvl="5" w:tplc="0C09001B" w:tentative="1">
      <w:start w:val="1"/>
      <w:numFmt w:val="lowerRoman"/>
      <w:lvlText w:val="%6."/>
      <w:lvlJc w:val="right"/>
      <w:pPr>
        <w:tabs>
          <w:tab w:val="num" w:pos="3043"/>
        </w:tabs>
        <w:ind w:left="3043" w:hanging="180"/>
      </w:pPr>
    </w:lvl>
    <w:lvl w:ilvl="6" w:tplc="0C09000F" w:tentative="1">
      <w:start w:val="1"/>
      <w:numFmt w:val="decimal"/>
      <w:lvlText w:val="%7."/>
      <w:lvlJc w:val="left"/>
      <w:pPr>
        <w:tabs>
          <w:tab w:val="num" w:pos="3763"/>
        </w:tabs>
        <w:ind w:left="3763" w:hanging="360"/>
      </w:pPr>
    </w:lvl>
    <w:lvl w:ilvl="7" w:tplc="0C090019" w:tentative="1">
      <w:start w:val="1"/>
      <w:numFmt w:val="lowerLetter"/>
      <w:lvlText w:val="%8."/>
      <w:lvlJc w:val="left"/>
      <w:pPr>
        <w:tabs>
          <w:tab w:val="num" w:pos="4483"/>
        </w:tabs>
        <w:ind w:left="4483" w:hanging="360"/>
      </w:pPr>
    </w:lvl>
    <w:lvl w:ilvl="8" w:tplc="0C09001B" w:tentative="1">
      <w:start w:val="1"/>
      <w:numFmt w:val="lowerRoman"/>
      <w:lvlText w:val="%9."/>
      <w:lvlJc w:val="right"/>
      <w:pPr>
        <w:tabs>
          <w:tab w:val="num" w:pos="5203"/>
        </w:tabs>
        <w:ind w:left="5203" w:hanging="180"/>
      </w:pPr>
    </w:lvl>
  </w:abstractNum>
  <w:abstractNum w:abstractNumId="18" w15:restartNumberingAfterBreak="0">
    <w:nsid w:val="21B71560"/>
    <w:multiLevelType w:val="multilevel"/>
    <w:tmpl w:val="0C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2BA47AF7"/>
    <w:multiLevelType w:val="hybridMultilevel"/>
    <w:tmpl w:val="6B32D5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EEB1BB4"/>
    <w:multiLevelType w:val="hybridMultilevel"/>
    <w:tmpl w:val="E5F6A65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3AB32295"/>
    <w:multiLevelType w:val="hybridMultilevel"/>
    <w:tmpl w:val="B8A2C1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C1C50AF"/>
    <w:multiLevelType w:val="hybridMultilevel"/>
    <w:tmpl w:val="9C90EC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EC42FE8"/>
    <w:multiLevelType w:val="multilevel"/>
    <w:tmpl w:val="0C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2172E06"/>
    <w:multiLevelType w:val="hybridMultilevel"/>
    <w:tmpl w:val="A9AA5EFC"/>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42F31B5A"/>
    <w:multiLevelType w:val="hybridMultilevel"/>
    <w:tmpl w:val="27E4DB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97977A5"/>
    <w:multiLevelType w:val="hybridMultilevel"/>
    <w:tmpl w:val="80E8D3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9FF7A73"/>
    <w:multiLevelType w:val="multilevel"/>
    <w:tmpl w:val="8F7C2D86"/>
    <w:numStyleLink w:val="Style1"/>
  </w:abstractNum>
  <w:abstractNum w:abstractNumId="28" w15:restartNumberingAfterBreak="0">
    <w:nsid w:val="4E4322A8"/>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9" w15:restartNumberingAfterBreak="0">
    <w:nsid w:val="4EEE37BC"/>
    <w:multiLevelType w:val="multilevel"/>
    <w:tmpl w:val="5A6EB8FC"/>
    <w:lvl w:ilvl="0">
      <w:start w:val="1"/>
      <w:numFmt w:val="decimal"/>
      <w:pStyle w:val="Heading1"/>
      <w:lvlText w:val="%1"/>
      <w:lvlJc w:val="left"/>
      <w:pPr>
        <w:ind w:left="720" w:hanging="720"/>
      </w:pPr>
      <w:rPr>
        <w:rFonts w:hint="default"/>
      </w:rPr>
    </w:lvl>
    <w:lvl w:ilvl="1">
      <w:start w:val="1"/>
      <w:numFmt w:val="decimal"/>
      <w:pStyle w:val="Heading2"/>
      <w:lvlText w:val="%1.%2"/>
      <w:lvlJc w:val="left"/>
      <w:pPr>
        <w:ind w:left="720" w:hanging="720"/>
      </w:pPr>
      <w:rPr>
        <w:rFonts w:hint="default"/>
      </w:rPr>
    </w:lvl>
    <w:lvl w:ilvl="2">
      <w:start w:val="1"/>
      <w:numFmt w:val="lowerLetter"/>
      <w:pStyle w:val="Heading3"/>
      <w:lvlText w:val="(%3)"/>
      <w:lvlJc w:val="left"/>
      <w:pPr>
        <w:ind w:left="720" w:hanging="720"/>
      </w:pPr>
      <w:rPr>
        <w:rFonts w:hint="default"/>
      </w:rPr>
    </w:lvl>
    <w:lvl w:ilvl="3">
      <w:start w:val="1"/>
      <w:numFmt w:val="decimal"/>
      <w:pStyle w:val="Heading4"/>
      <w:lvlText w:val="%1.%2.%3.%4"/>
      <w:lvlJc w:val="left"/>
      <w:pPr>
        <w:ind w:left="2016" w:hanging="864"/>
      </w:pPr>
      <w:rPr>
        <w:rFonts w:hint="default"/>
      </w:rPr>
    </w:lvl>
    <w:lvl w:ilvl="4">
      <w:start w:val="1"/>
      <w:numFmt w:val="decimal"/>
      <w:pStyle w:val="Heading5"/>
      <w:lvlText w:val="%1.%2.%3.%4.%5"/>
      <w:lvlJc w:val="left"/>
      <w:pPr>
        <w:ind w:left="2160" w:hanging="1008"/>
      </w:pPr>
      <w:rPr>
        <w:rFonts w:hint="default"/>
      </w:rPr>
    </w:lvl>
    <w:lvl w:ilvl="5">
      <w:start w:val="1"/>
      <w:numFmt w:val="decimal"/>
      <w:pStyle w:val="Heading6"/>
      <w:lvlText w:val="%1.%2.%3.%4.%5.%6"/>
      <w:lvlJc w:val="left"/>
      <w:pPr>
        <w:ind w:left="2304" w:hanging="1152"/>
      </w:pPr>
      <w:rPr>
        <w:rFonts w:hint="default"/>
      </w:rPr>
    </w:lvl>
    <w:lvl w:ilvl="6">
      <w:start w:val="1"/>
      <w:numFmt w:val="decimal"/>
      <w:pStyle w:val="Heading7"/>
      <w:lvlText w:val="%1.%2.%3.%4.%5.%6.%7"/>
      <w:lvlJc w:val="left"/>
      <w:pPr>
        <w:ind w:left="2448" w:hanging="1296"/>
      </w:pPr>
      <w:rPr>
        <w:rFonts w:hint="default"/>
      </w:rPr>
    </w:lvl>
    <w:lvl w:ilvl="7">
      <w:start w:val="1"/>
      <w:numFmt w:val="decimal"/>
      <w:pStyle w:val="Heading8"/>
      <w:lvlText w:val="%1.%2.%3.%4.%5.%6.%7.%8"/>
      <w:lvlJc w:val="left"/>
      <w:pPr>
        <w:ind w:left="2592" w:hanging="1440"/>
      </w:pPr>
      <w:rPr>
        <w:rFonts w:hint="default"/>
      </w:rPr>
    </w:lvl>
    <w:lvl w:ilvl="8">
      <w:start w:val="1"/>
      <w:numFmt w:val="decimal"/>
      <w:pStyle w:val="Heading9"/>
      <w:lvlText w:val="%1.%2.%3.%4.%5.%6.%7.%8.%9"/>
      <w:lvlJc w:val="left"/>
      <w:pPr>
        <w:ind w:left="2736" w:hanging="1584"/>
      </w:pPr>
      <w:rPr>
        <w:rFonts w:hint="default"/>
      </w:rPr>
    </w:lvl>
  </w:abstractNum>
  <w:abstractNum w:abstractNumId="30" w15:restartNumberingAfterBreak="0">
    <w:nsid w:val="60A856AF"/>
    <w:multiLevelType w:val="multilevel"/>
    <w:tmpl w:val="4CE07B3A"/>
    <w:lvl w:ilvl="0">
      <w:start w:val="3"/>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lowerLetter"/>
      <w:lvlText w:val="(%3)"/>
      <w:lvlJc w:val="left"/>
      <w:pPr>
        <w:tabs>
          <w:tab w:val="num" w:pos="851"/>
        </w:tabs>
        <w:ind w:left="851" w:hanging="851"/>
      </w:pPr>
      <w:rPr>
        <w:rFonts w:hint="default"/>
        <w:i/>
        <w:iCs/>
      </w:rPr>
    </w:lvl>
    <w:lvl w:ilvl="3">
      <w:start w:val="1"/>
      <w:numFmt w:val="lowerRoman"/>
      <w:lvlText w:val="(%4)"/>
      <w:lvlJc w:val="left"/>
      <w:pPr>
        <w:tabs>
          <w:tab w:val="num" w:pos="851"/>
        </w:tabs>
        <w:ind w:left="851" w:hanging="851"/>
      </w:pPr>
      <w:rPr>
        <w:rFonts w:hint="default"/>
      </w:rPr>
    </w:lvl>
    <w:lvl w:ilvl="4">
      <w:start w:val="1"/>
      <w:numFmt w:val="decimal"/>
      <w:lvlText w:val="%1.%2.%3.%4.%5"/>
      <w:lvlJc w:val="left"/>
      <w:pPr>
        <w:tabs>
          <w:tab w:val="num" w:pos="0"/>
        </w:tabs>
        <w:ind w:left="1008" w:hanging="1008"/>
      </w:pPr>
      <w:rPr>
        <w:rFonts w:hint="default"/>
      </w:rPr>
    </w:lvl>
    <w:lvl w:ilvl="5">
      <w:start w:val="1"/>
      <w:numFmt w:val="decimal"/>
      <w:lvlText w:val="%1.%2.%3.%4.%5.%6"/>
      <w:lvlJc w:val="left"/>
      <w:pPr>
        <w:tabs>
          <w:tab w:val="num" w:pos="0"/>
        </w:tabs>
        <w:ind w:left="1152" w:hanging="1152"/>
      </w:pPr>
      <w:rPr>
        <w:rFonts w:hint="default"/>
      </w:rPr>
    </w:lvl>
    <w:lvl w:ilvl="6">
      <w:start w:val="1"/>
      <w:numFmt w:val="decimal"/>
      <w:lvlText w:val="%1.%2.%3.%4.%5.%6.%7"/>
      <w:lvlJc w:val="left"/>
      <w:pPr>
        <w:tabs>
          <w:tab w:val="num" w:pos="0"/>
        </w:tabs>
        <w:ind w:left="1296" w:hanging="1296"/>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584" w:hanging="1584"/>
      </w:pPr>
      <w:rPr>
        <w:rFonts w:hint="default"/>
      </w:rPr>
    </w:lvl>
  </w:abstractNum>
  <w:abstractNum w:abstractNumId="3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EF2171"/>
    <w:multiLevelType w:val="hybridMultilevel"/>
    <w:tmpl w:val="3DB49FDE"/>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3" w15:restartNumberingAfterBreak="0">
    <w:nsid w:val="6CA40B6A"/>
    <w:multiLevelType w:val="hybridMultilevel"/>
    <w:tmpl w:val="8C143D4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A6A75F8"/>
    <w:multiLevelType w:val="hybridMultilevel"/>
    <w:tmpl w:val="D660B5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AC708B9"/>
    <w:multiLevelType w:val="hybridMultilevel"/>
    <w:tmpl w:val="C3E0FC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AE450D4"/>
    <w:multiLevelType w:val="hybridMultilevel"/>
    <w:tmpl w:val="47F4ADDE"/>
    <w:lvl w:ilvl="0" w:tplc="0C090001">
      <w:start w:val="1"/>
      <w:numFmt w:val="bullet"/>
      <w:lvlText w:val=""/>
      <w:lvlJc w:val="left"/>
      <w:pPr>
        <w:tabs>
          <w:tab w:val="num" w:pos="720"/>
        </w:tabs>
        <w:ind w:left="720" w:hanging="360"/>
      </w:pPr>
      <w:rPr>
        <w:rFonts w:ascii="Symbol" w:hAnsi="Symbol" w:hint="default"/>
        <w:b w:val="0"/>
        <w:bCs w:val="0"/>
        <w:i w:val="0"/>
        <w:iCs/>
        <w:strike w:val="0"/>
        <w:color w:val="auto"/>
      </w:rPr>
    </w:lvl>
    <w:lvl w:ilvl="1" w:tplc="FFFFFFFF">
      <w:start w:val="1"/>
      <w:numFmt w:val="bullet"/>
      <w:lvlText w:val=""/>
      <w:lvlJc w:val="left"/>
      <w:pPr>
        <w:tabs>
          <w:tab w:val="num" w:pos="523"/>
        </w:tabs>
        <w:ind w:left="523" w:hanging="360"/>
      </w:pPr>
      <w:rPr>
        <w:rFonts w:ascii="Symbol" w:hAnsi="Symbol" w:hint="default"/>
      </w:rPr>
    </w:lvl>
    <w:lvl w:ilvl="2" w:tplc="FFFFFFFF">
      <w:start w:val="1"/>
      <w:numFmt w:val="lowerRoman"/>
      <w:lvlText w:val="%3."/>
      <w:lvlJc w:val="right"/>
      <w:pPr>
        <w:tabs>
          <w:tab w:val="num" w:pos="1243"/>
        </w:tabs>
        <w:ind w:left="1243" w:hanging="180"/>
      </w:pPr>
    </w:lvl>
    <w:lvl w:ilvl="3" w:tplc="FFFFFFFF" w:tentative="1">
      <w:start w:val="1"/>
      <w:numFmt w:val="decimal"/>
      <w:lvlText w:val="%4."/>
      <w:lvlJc w:val="left"/>
      <w:pPr>
        <w:tabs>
          <w:tab w:val="num" w:pos="1963"/>
        </w:tabs>
        <w:ind w:left="1963" w:hanging="360"/>
      </w:pPr>
    </w:lvl>
    <w:lvl w:ilvl="4" w:tplc="FFFFFFFF">
      <w:start w:val="1"/>
      <w:numFmt w:val="lowerLetter"/>
      <w:lvlText w:val="%5."/>
      <w:lvlJc w:val="left"/>
      <w:pPr>
        <w:tabs>
          <w:tab w:val="num" w:pos="2683"/>
        </w:tabs>
        <w:ind w:left="2683" w:hanging="360"/>
      </w:pPr>
    </w:lvl>
    <w:lvl w:ilvl="5" w:tplc="FFFFFFFF" w:tentative="1">
      <w:start w:val="1"/>
      <w:numFmt w:val="lowerRoman"/>
      <w:lvlText w:val="%6."/>
      <w:lvlJc w:val="right"/>
      <w:pPr>
        <w:tabs>
          <w:tab w:val="num" w:pos="3403"/>
        </w:tabs>
        <w:ind w:left="3403" w:hanging="180"/>
      </w:pPr>
    </w:lvl>
    <w:lvl w:ilvl="6" w:tplc="FFFFFFFF" w:tentative="1">
      <w:start w:val="1"/>
      <w:numFmt w:val="decimal"/>
      <w:lvlText w:val="%7."/>
      <w:lvlJc w:val="left"/>
      <w:pPr>
        <w:tabs>
          <w:tab w:val="num" w:pos="4123"/>
        </w:tabs>
        <w:ind w:left="4123" w:hanging="360"/>
      </w:pPr>
    </w:lvl>
    <w:lvl w:ilvl="7" w:tplc="FFFFFFFF" w:tentative="1">
      <w:start w:val="1"/>
      <w:numFmt w:val="lowerLetter"/>
      <w:lvlText w:val="%8."/>
      <w:lvlJc w:val="left"/>
      <w:pPr>
        <w:tabs>
          <w:tab w:val="num" w:pos="4843"/>
        </w:tabs>
        <w:ind w:left="4843" w:hanging="360"/>
      </w:pPr>
    </w:lvl>
    <w:lvl w:ilvl="8" w:tplc="FFFFFFFF" w:tentative="1">
      <w:start w:val="1"/>
      <w:numFmt w:val="lowerRoman"/>
      <w:lvlText w:val="%9."/>
      <w:lvlJc w:val="right"/>
      <w:pPr>
        <w:tabs>
          <w:tab w:val="num" w:pos="5563"/>
        </w:tabs>
        <w:ind w:left="5563" w:hanging="180"/>
      </w:pPr>
    </w:lvl>
  </w:abstractNum>
  <w:abstractNum w:abstractNumId="37" w15:restartNumberingAfterBreak="0">
    <w:nsid w:val="7E5F5A7B"/>
    <w:multiLevelType w:val="hybridMultilevel"/>
    <w:tmpl w:val="D7E029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FE53E87"/>
    <w:multiLevelType w:val="multilevel"/>
    <w:tmpl w:val="8F7C2D86"/>
    <w:styleLink w:val="Style1"/>
    <w:lvl w:ilvl="0">
      <w:start w:val="2"/>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lowerLetter"/>
      <w:lvlText w:val="(%3)"/>
      <w:lvlJc w:val="left"/>
      <w:pPr>
        <w:tabs>
          <w:tab w:val="num" w:pos="851"/>
        </w:tabs>
        <w:ind w:left="851" w:hanging="851"/>
      </w:pPr>
      <w:rPr>
        <w:rFonts w:hint="default"/>
      </w:rPr>
    </w:lvl>
    <w:lvl w:ilvl="3">
      <w:start w:val="1"/>
      <w:numFmt w:val="lowerRoman"/>
      <w:lvlText w:val="(%4)"/>
      <w:lvlJc w:val="left"/>
      <w:pPr>
        <w:tabs>
          <w:tab w:val="num" w:pos="851"/>
        </w:tabs>
        <w:ind w:left="851" w:hanging="851"/>
      </w:pPr>
      <w:rPr>
        <w:rFonts w:hint="default"/>
      </w:rPr>
    </w:lvl>
    <w:lvl w:ilvl="4">
      <w:start w:val="1"/>
      <w:numFmt w:val="decimal"/>
      <w:lvlText w:val="%1.%2.%3.%4.%5"/>
      <w:lvlJc w:val="left"/>
      <w:pPr>
        <w:tabs>
          <w:tab w:val="num" w:pos="0"/>
        </w:tabs>
        <w:ind w:left="1008" w:hanging="1008"/>
      </w:pPr>
      <w:rPr>
        <w:rFonts w:hint="default"/>
      </w:rPr>
    </w:lvl>
    <w:lvl w:ilvl="5">
      <w:start w:val="1"/>
      <w:numFmt w:val="decimal"/>
      <w:lvlText w:val="%1.%2.%3.%4.%5.%6"/>
      <w:lvlJc w:val="left"/>
      <w:pPr>
        <w:tabs>
          <w:tab w:val="num" w:pos="0"/>
        </w:tabs>
        <w:ind w:left="1152" w:hanging="1152"/>
      </w:pPr>
      <w:rPr>
        <w:rFonts w:hint="default"/>
      </w:rPr>
    </w:lvl>
    <w:lvl w:ilvl="6">
      <w:start w:val="1"/>
      <w:numFmt w:val="decimal"/>
      <w:lvlText w:val="%1.%2.%3.%4.%5.%6.%7"/>
      <w:lvlJc w:val="left"/>
      <w:pPr>
        <w:tabs>
          <w:tab w:val="num" w:pos="0"/>
        </w:tabs>
        <w:ind w:left="1296" w:hanging="1296"/>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584" w:hanging="1584"/>
      </w:pPr>
      <w:rPr>
        <w:rFonts w:hint="default"/>
      </w:rPr>
    </w:lvl>
  </w:abstractNum>
  <w:num w:numId="1">
    <w:abstractNumId w:val="27"/>
  </w:num>
  <w:num w:numId="2">
    <w:abstractNumId w:val="9"/>
  </w:num>
  <w:num w:numId="3">
    <w:abstractNumId w:val="7"/>
  </w:num>
  <w:num w:numId="4">
    <w:abstractNumId w:val="6"/>
  </w:num>
  <w:num w:numId="5">
    <w:abstractNumId w:val="5"/>
  </w:num>
  <w:num w:numId="6">
    <w:abstractNumId w:val="4"/>
  </w:num>
  <w:num w:numId="7">
    <w:abstractNumId w:val="8"/>
  </w:num>
  <w:num w:numId="8">
    <w:abstractNumId w:val="1"/>
  </w:num>
  <w:num w:numId="9">
    <w:abstractNumId w:val="0"/>
  </w:num>
  <w:num w:numId="10">
    <w:abstractNumId w:val="3"/>
  </w:num>
  <w:num w:numId="11">
    <w:abstractNumId w:val="2"/>
  </w:num>
  <w:num w:numId="12">
    <w:abstractNumId w:val="28"/>
  </w:num>
  <w:num w:numId="13">
    <w:abstractNumId w:val="23"/>
  </w:num>
  <w:num w:numId="14">
    <w:abstractNumId w:val="18"/>
  </w:num>
  <w:num w:numId="15">
    <w:abstractNumId w:val="17"/>
  </w:num>
  <w:num w:numId="16">
    <w:abstractNumId w:val="38"/>
  </w:num>
  <w:num w:numId="17">
    <w:abstractNumId w:val="29"/>
  </w:num>
  <w:num w:numId="18">
    <w:abstractNumId w:val="32"/>
  </w:num>
  <w:num w:numId="19">
    <w:abstractNumId w:val="30"/>
  </w:num>
  <w:num w:numId="20">
    <w:abstractNumId w:val="17"/>
    <w:lvlOverride w:ilvl="0">
      <w:startOverride w:val="1"/>
    </w:lvlOverride>
  </w:num>
  <w:num w:numId="21">
    <w:abstractNumId w:val="11"/>
  </w:num>
  <w:num w:numId="22">
    <w:abstractNumId w:val="31"/>
  </w:num>
  <w:num w:numId="23">
    <w:abstractNumId w:val="17"/>
    <w:lvlOverride w:ilvl="0">
      <w:startOverride w:val="1"/>
    </w:lvlOverride>
  </w:num>
  <w:num w:numId="24">
    <w:abstractNumId w:val="25"/>
  </w:num>
  <w:num w:numId="25">
    <w:abstractNumId w:val="17"/>
    <w:lvlOverride w:ilvl="0">
      <w:startOverride w:val="1"/>
    </w:lvlOverride>
  </w:num>
  <w:num w:numId="26">
    <w:abstractNumId w:val="35"/>
  </w:num>
  <w:num w:numId="27">
    <w:abstractNumId w:val="14"/>
  </w:num>
  <w:num w:numId="28">
    <w:abstractNumId w:val="21"/>
  </w:num>
  <w:num w:numId="29">
    <w:abstractNumId w:val="24"/>
  </w:num>
  <w:num w:numId="30">
    <w:abstractNumId w:val="33"/>
  </w:num>
  <w:num w:numId="31">
    <w:abstractNumId w:val="34"/>
  </w:num>
  <w:num w:numId="32">
    <w:abstractNumId w:val="10"/>
  </w:num>
  <w:num w:numId="33">
    <w:abstractNumId w:val="26"/>
  </w:num>
  <w:num w:numId="34">
    <w:abstractNumId w:val="37"/>
  </w:num>
  <w:num w:numId="35">
    <w:abstractNumId w:val="16"/>
  </w:num>
  <w:num w:numId="36">
    <w:abstractNumId w:val="36"/>
  </w:num>
  <w:num w:numId="37">
    <w:abstractNumId w:val="17"/>
    <w:lvlOverride w:ilvl="0">
      <w:startOverride w:val="1"/>
    </w:lvlOverride>
  </w:num>
  <w:num w:numId="38">
    <w:abstractNumId w:val="17"/>
    <w:lvlOverride w:ilvl="0">
      <w:startOverride w:val="1"/>
    </w:lvlOverride>
  </w:num>
  <w:num w:numId="39">
    <w:abstractNumId w:val="19"/>
  </w:num>
  <w:num w:numId="40">
    <w:abstractNumId w:val="13"/>
  </w:num>
  <w:num w:numId="41">
    <w:abstractNumId w:val="17"/>
    <w:lvlOverride w:ilvl="0">
      <w:startOverride w:val="1"/>
    </w:lvlOverride>
  </w:num>
  <w:num w:numId="42">
    <w:abstractNumId w:val="22"/>
  </w:num>
  <w:num w:numId="43">
    <w:abstractNumId w:val="12"/>
  </w:num>
  <w:num w:numId="44">
    <w:abstractNumId w:val="20"/>
  </w:num>
  <w:num w:numId="45">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revisionView w:inkAnnotations="0"/>
  <w:defaultTabStop w:val="720"/>
  <w:hyphenationZone w:val="283"/>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2C6"/>
    <w:rsid w:val="000003CA"/>
    <w:rsid w:val="0000062B"/>
    <w:rsid w:val="0000072E"/>
    <w:rsid w:val="000011D2"/>
    <w:rsid w:val="000018F4"/>
    <w:rsid w:val="00001FEC"/>
    <w:rsid w:val="00003FF1"/>
    <w:rsid w:val="000046D7"/>
    <w:rsid w:val="00004DBA"/>
    <w:rsid w:val="00005F50"/>
    <w:rsid w:val="000075F0"/>
    <w:rsid w:val="00007B04"/>
    <w:rsid w:val="00010219"/>
    <w:rsid w:val="0001116E"/>
    <w:rsid w:val="000111DB"/>
    <w:rsid w:val="000120A5"/>
    <w:rsid w:val="00012265"/>
    <w:rsid w:val="00012459"/>
    <w:rsid w:val="00012915"/>
    <w:rsid w:val="00012DB1"/>
    <w:rsid w:val="00013046"/>
    <w:rsid w:val="000132D7"/>
    <w:rsid w:val="00013B7E"/>
    <w:rsid w:val="0001426E"/>
    <w:rsid w:val="000146A9"/>
    <w:rsid w:val="00014704"/>
    <w:rsid w:val="000148AD"/>
    <w:rsid w:val="00015505"/>
    <w:rsid w:val="00015620"/>
    <w:rsid w:val="00015E86"/>
    <w:rsid w:val="00016094"/>
    <w:rsid w:val="00016CA3"/>
    <w:rsid w:val="00016D63"/>
    <w:rsid w:val="00017A58"/>
    <w:rsid w:val="00020414"/>
    <w:rsid w:val="00020E50"/>
    <w:rsid w:val="00020E6F"/>
    <w:rsid w:val="000216B1"/>
    <w:rsid w:val="00021A62"/>
    <w:rsid w:val="00021F8B"/>
    <w:rsid w:val="0002203E"/>
    <w:rsid w:val="000228A5"/>
    <w:rsid w:val="00022C21"/>
    <w:rsid w:val="000231C6"/>
    <w:rsid w:val="0002320F"/>
    <w:rsid w:val="00023317"/>
    <w:rsid w:val="000233AD"/>
    <w:rsid w:val="0002369C"/>
    <w:rsid w:val="00023E53"/>
    <w:rsid w:val="0002411D"/>
    <w:rsid w:val="0002461C"/>
    <w:rsid w:val="00024E56"/>
    <w:rsid w:val="00024E9C"/>
    <w:rsid w:val="00025CCC"/>
    <w:rsid w:val="00026342"/>
    <w:rsid w:val="0002642F"/>
    <w:rsid w:val="00026608"/>
    <w:rsid w:val="0002680D"/>
    <w:rsid w:val="0002682B"/>
    <w:rsid w:val="00026B44"/>
    <w:rsid w:val="00027164"/>
    <w:rsid w:val="000276BA"/>
    <w:rsid w:val="00027F14"/>
    <w:rsid w:val="00031459"/>
    <w:rsid w:val="00031703"/>
    <w:rsid w:val="000317E3"/>
    <w:rsid w:val="000326A4"/>
    <w:rsid w:val="00032B38"/>
    <w:rsid w:val="00032C24"/>
    <w:rsid w:val="00032CD9"/>
    <w:rsid w:val="00034430"/>
    <w:rsid w:val="0003464D"/>
    <w:rsid w:val="000352FC"/>
    <w:rsid w:val="00036524"/>
    <w:rsid w:val="00036945"/>
    <w:rsid w:val="000369EF"/>
    <w:rsid w:val="00036BB6"/>
    <w:rsid w:val="00040DFC"/>
    <w:rsid w:val="00041207"/>
    <w:rsid w:val="00041B11"/>
    <w:rsid w:val="00041EF0"/>
    <w:rsid w:val="000426C2"/>
    <w:rsid w:val="000432CC"/>
    <w:rsid w:val="00043465"/>
    <w:rsid w:val="000435C3"/>
    <w:rsid w:val="0004377B"/>
    <w:rsid w:val="00045062"/>
    <w:rsid w:val="00045624"/>
    <w:rsid w:val="00045E0C"/>
    <w:rsid w:val="00046647"/>
    <w:rsid w:val="000469FC"/>
    <w:rsid w:val="00046B23"/>
    <w:rsid w:val="00046F91"/>
    <w:rsid w:val="000470D5"/>
    <w:rsid w:val="000505C2"/>
    <w:rsid w:val="00050A2C"/>
    <w:rsid w:val="00050CB8"/>
    <w:rsid w:val="00050E8F"/>
    <w:rsid w:val="0005148E"/>
    <w:rsid w:val="00051ECB"/>
    <w:rsid w:val="000521D1"/>
    <w:rsid w:val="000523E8"/>
    <w:rsid w:val="00052435"/>
    <w:rsid w:val="00052D24"/>
    <w:rsid w:val="000545BB"/>
    <w:rsid w:val="00054C6E"/>
    <w:rsid w:val="00054E4E"/>
    <w:rsid w:val="00054E9D"/>
    <w:rsid w:val="00055F5C"/>
    <w:rsid w:val="0005659E"/>
    <w:rsid w:val="00056827"/>
    <w:rsid w:val="00056DE6"/>
    <w:rsid w:val="00057401"/>
    <w:rsid w:val="00057997"/>
    <w:rsid w:val="000601E8"/>
    <w:rsid w:val="00061041"/>
    <w:rsid w:val="00061F7F"/>
    <w:rsid w:val="0006406E"/>
    <w:rsid w:val="000645AE"/>
    <w:rsid w:val="00064887"/>
    <w:rsid w:val="00064DCF"/>
    <w:rsid w:val="00065F8D"/>
    <w:rsid w:val="00066001"/>
    <w:rsid w:val="00066363"/>
    <w:rsid w:val="000666A2"/>
    <w:rsid w:val="00066CDB"/>
    <w:rsid w:val="00066F4C"/>
    <w:rsid w:val="00067378"/>
    <w:rsid w:val="00067730"/>
    <w:rsid w:val="000680B3"/>
    <w:rsid w:val="0007010E"/>
    <w:rsid w:val="0007013C"/>
    <w:rsid w:val="00070D02"/>
    <w:rsid w:val="000722E5"/>
    <w:rsid w:val="00072AA3"/>
    <w:rsid w:val="00073710"/>
    <w:rsid w:val="00073A0D"/>
    <w:rsid w:val="00074E4B"/>
    <w:rsid w:val="00075CA1"/>
    <w:rsid w:val="00075FC6"/>
    <w:rsid w:val="0007637A"/>
    <w:rsid w:val="000768ED"/>
    <w:rsid w:val="00080733"/>
    <w:rsid w:val="0008224F"/>
    <w:rsid w:val="00082420"/>
    <w:rsid w:val="000826EE"/>
    <w:rsid w:val="000835FC"/>
    <w:rsid w:val="000836F7"/>
    <w:rsid w:val="00083C6A"/>
    <w:rsid w:val="00083E63"/>
    <w:rsid w:val="000846AF"/>
    <w:rsid w:val="00085D9C"/>
    <w:rsid w:val="00086179"/>
    <w:rsid w:val="0008642B"/>
    <w:rsid w:val="00086448"/>
    <w:rsid w:val="0008682A"/>
    <w:rsid w:val="00086CCF"/>
    <w:rsid w:val="00086E9E"/>
    <w:rsid w:val="00087114"/>
    <w:rsid w:val="0008767B"/>
    <w:rsid w:val="00090123"/>
    <w:rsid w:val="00090CBF"/>
    <w:rsid w:val="00090E33"/>
    <w:rsid w:val="00091BCF"/>
    <w:rsid w:val="000921C4"/>
    <w:rsid w:val="00092BF0"/>
    <w:rsid w:val="00094A35"/>
    <w:rsid w:val="000950D8"/>
    <w:rsid w:val="00095144"/>
    <w:rsid w:val="0009525C"/>
    <w:rsid w:val="0009563C"/>
    <w:rsid w:val="0009581E"/>
    <w:rsid w:val="00096759"/>
    <w:rsid w:val="00096D27"/>
    <w:rsid w:val="00097696"/>
    <w:rsid w:val="00097A48"/>
    <w:rsid w:val="000A0520"/>
    <w:rsid w:val="000A0955"/>
    <w:rsid w:val="000A0BC6"/>
    <w:rsid w:val="000A0F36"/>
    <w:rsid w:val="000A1C5C"/>
    <w:rsid w:val="000A1EA1"/>
    <w:rsid w:val="000A25EF"/>
    <w:rsid w:val="000A2B3E"/>
    <w:rsid w:val="000A2F15"/>
    <w:rsid w:val="000A3F83"/>
    <w:rsid w:val="000A4ACC"/>
    <w:rsid w:val="000A4BFA"/>
    <w:rsid w:val="000A5D7E"/>
    <w:rsid w:val="000A6338"/>
    <w:rsid w:val="000A64C3"/>
    <w:rsid w:val="000A654D"/>
    <w:rsid w:val="000A66A1"/>
    <w:rsid w:val="000A6B12"/>
    <w:rsid w:val="000A6DE8"/>
    <w:rsid w:val="000A6F72"/>
    <w:rsid w:val="000A72FB"/>
    <w:rsid w:val="000A754E"/>
    <w:rsid w:val="000A7A6E"/>
    <w:rsid w:val="000A7F0E"/>
    <w:rsid w:val="000B1BF4"/>
    <w:rsid w:val="000B1D30"/>
    <w:rsid w:val="000B21ED"/>
    <w:rsid w:val="000B230C"/>
    <w:rsid w:val="000B2FBA"/>
    <w:rsid w:val="000B3187"/>
    <w:rsid w:val="000B3AB7"/>
    <w:rsid w:val="000B3F38"/>
    <w:rsid w:val="000B644B"/>
    <w:rsid w:val="000B6581"/>
    <w:rsid w:val="000B6877"/>
    <w:rsid w:val="000B736D"/>
    <w:rsid w:val="000B789A"/>
    <w:rsid w:val="000B7BA9"/>
    <w:rsid w:val="000C03DD"/>
    <w:rsid w:val="000C0464"/>
    <w:rsid w:val="000C0F0B"/>
    <w:rsid w:val="000C1B73"/>
    <w:rsid w:val="000C22F6"/>
    <w:rsid w:val="000C3958"/>
    <w:rsid w:val="000C48B9"/>
    <w:rsid w:val="000C5457"/>
    <w:rsid w:val="000C54DE"/>
    <w:rsid w:val="000C5B4C"/>
    <w:rsid w:val="000C5D19"/>
    <w:rsid w:val="000C67FD"/>
    <w:rsid w:val="000C7320"/>
    <w:rsid w:val="000C7447"/>
    <w:rsid w:val="000C7EE8"/>
    <w:rsid w:val="000C7F87"/>
    <w:rsid w:val="000D0592"/>
    <w:rsid w:val="000D1037"/>
    <w:rsid w:val="000D10B0"/>
    <w:rsid w:val="000D17F6"/>
    <w:rsid w:val="000D182B"/>
    <w:rsid w:val="000D1CC5"/>
    <w:rsid w:val="000D2394"/>
    <w:rsid w:val="000D245E"/>
    <w:rsid w:val="000D308E"/>
    <w:rsid w:val="000D3CBD"/>
    <w:rsid w:val="000D4E59"/>
    <w:rsid w:val="000D55A2"/>
    <w:rsid w:val="000D59DB"/>
    <w:rsid w:val="000D5E92"/>
    <w:rsid w:val="000D647A"/>
    <w:rsid w:val="000D711F"/>
    <w:rsid w:val="000D7179"/>
    <w:rsid w:val="000D7B09"/>
    <w:rsid w:val="000D7BD4"/>
    <w:rsid w:val="000D7FBC"/>
    <w:rsid w:val="000E00DE"/>
    <w:rsid w:val="000E0205"/>
    <w:rsid w:val="000E02DE"/>
    <w:rsid w:val="000E0BD9"/>
    <w:rsid w:val="000E0EDB"/>
    <w:rsid w:val="000E1BBD"/>
    <w:rsid w:val="000E2638"/>
    <w:rsid w:val="000E2741"/>
    <w:rsid w:val="000E2892"/>
    <w:rsid w:val="000E2F9E"/>
    <w:rsid w:val="000E325E"/>
    <w:rsid w:val="000E358F"/>
    <w:rsid w:val="000E3633"/>
    <w:rsid w:val="000E383A"/>
    <w:rsid w:val="000E4440"/>
    <w:rsid w:val="000E5526"/>
    <w:rsid w:val="000E66E7"/>
    <w:rsid w:val="000E705F"/>
    <w:rsid w:val="000E74CE"/>
    <w:rsid w:val="000E750D"/>
    <w:rsid w:val="000F0B9C"/>
    <w:rsid w:val="000F11AF"/>
    <w:rsid w:val="000F1D42"/>
    <w:rsid w:val="000F33A3"/>
    <w:rsid w:val="000F3CD2"/>
    <w:rsid w:val="000F3FE5"/>
    <w:rsid w:val="000F4168"/>
    <w:rsid w:val="000F427E"/>
    <w:rsid w:val="000F4636"/>
    <w:rsid w:val="000F544F"/>
    <w:rsid w:val="000F5D48"/>
    <w:rsid w:val="000F5E0A"/>
    <w:rsid w:val="000F672B"/>
    <w:rsid w:val="000F67CB"/>
    <w:rsid w:val="000F7063"/>
    <w:rsid w:val="001003D3"/>
    <w:rsid w:val="00100802"/>
    <w:rsid w:val="00100A35"/>
    <w:rsid w:val="00101798"/>
    <w:rsid w:val="001022DB"/>
    <w:rsid w:val="00102358"/>
    <w:rsid w:val="0010324D"/>
    <w:rsid w:val="001035AF"/>
    <w:rsid w:val="00103712"/>
    <w:rsid w:val="00103A13"/>
    <w:rsid w:val="00103F62"/>
    <w:rsid w:val="00104A08"/>
    <w:rsid w:val="00104A94"/>
    <w:rsid w:val="001052CE"/>
    <w:rsid w:val="00105EC2"/>
    <w:rsid w:val="0010639D"/>
    <w:rsid w:val="00106A10"/>
    <w:rsid w:val="00106BC3"/>
    <w:rsid w:val="00106E19"/>
    <w:rsid w:val="00106E2C"/>
    <w:rsid w:val="00107311"/>
    <w:rsid w:val="00107643"/>
    <w:rsid w:val="00107C2E"/>
    <w:rsid w:val="0011016C"/>
    <w:rsid w:val="00110634"/>
    <w:rsid w:val="00110B9D"/>
    <w:rsid w:val="00110CDD"/>
    <w:rsid w:val="00110DCC"/>
    <w:rsid w:val="00110F2E"/>
    <w:rsid w:val="00112244"/>
    <w:rsid w:val="00112C55"/>
    <w:rsid w:val="001130B2"/>
    <w:rsid w:val="00113A5B"/>
    <w:rsid w:val="00113C1E"/>
    <w:rsid w:val="00113E9A"/>
    <w:rsid w:val="00115C90"/>
    <w:rsid w:val="00115CC5"/>
    <w:rsid w:val="00120275"/>
    <w:rsid w:val="0012148E"/>
    <w:rsid w:val="001224C0"/>
    <w:rsid w:val="00122929"/>
    <w:rsid w:val="001230E9"/>
    <w:rsid w:val="00123844"/>
    <w:rsid w:val="001241B0"/>
    <w:rsid w:val="001249A1"/>
    <w:rsid w:val="00124BBD"/>
    <w:rsid w:val="001254B0"/>
    <w:rsid w:val="00126500"/>
    <w:rsid w:val="0012650C"/>
    <w:rsid w:val="001265AE"/>
    <w:rsid w:val="00126E8A"/>
    <w:rsid w:val="001278BD"/>
    <w:rsid w:val="00127965"/>
    <w:rsid w:val="00127DCC"/>
    <w:rsid w:val="00127EDD"/>
    <w:rsid w:val="0013020B"/>
    <w:rsid w:val="00130333"/>
    <w:rsid w:val="00130380"/>
    <w:rsid w:val="001308B3"/>
    <w:rsid w:val="00130A2F"/>
    <w:rsid w:val="00131854"/>
    <w:rsid w:val="00131EB2"/>
    <w:rsid w:val="00131FAB"/>
    <w:rsid w:val="00132653"/>
    <w:rsid w:val="00133C5B"/>
    <w:rsid w:val="00133E39"/>
    <w:rsid w:val="001343B7"/>
    <w:rsid w:val="001345FC"/>
    <w:rsid w:val="00134854"/>
    <w:rsid w:val="00135500"/>
    <w:rsid w:val="0013551A"/>
    <w:rsid w:val="0013664C"/>
    <w:rsid w:val="001401EF"/>
    <w:rsid w:val="00140A2A"/>
    <w:rsid w:val="00141018"/>
    <w:rsid w:val="00141088"/>
    <w:rsid w:val="00141228"/>
    <w:rsid w:val="00141494"/>
    <w:rsid w:val="001418C8"/>
    <w:rsid w:val="00141D44"/>
    <w:rsid w:val="00142581"/>
    <w:rsid w:val="001426C2"/>
    <w:rsid w:val="00142A76"/>
    <w:rsid w:val="0014421B"/>
    <w:rsid w:val="00144BDB"/>
    <w:rsid w:val="00144D20"/>
    <w:rsid w:val="00145670"/>
    <w:rsid w:val="001456AD"/>
    <w:rsid w:val="0014582D"/>
    <w:rsid w:val="00145D03"/>
    <w:rsid w:val="001464F9"/>
    <w:rsid w:val="00147739"/>
    <w:rsid w:val="0014779F"/>
    <w:rsid w:val="00151B03"/>
    <w:rsid w:val="00151C05"/>
    <w:rsid w:val="0015258D"/>
    <w:rsid w:val="00152E07"/>
    <w:rsid w:val="001531A3"/>
    <w:rsid w:val="00153D82"/>
    <w:rsid w:val="00153F38"/>
    <w:rsid w:val="00154E22"/>
    <w:rsid w:val="00154F3A"/>
    <w:rsid w:val="00155976"/>
    <w:rsid w:val="00155B8E"/>
    <w:rsid w:val="00155CA3"/>
    <w:rsid w:val="00156862"/>
    <w:rsid w:val="00156D4C"/>
    <w:rsid w:val="00157C4F"/>
    <w:rsid w:val="00157C9C"/>
    <w:rsid w:val="001603B4"/>
    <w:rsid w:val="00160E5E"/>
    <w:rsid w:val="00162054"/>
    <w:rsid w:val="0016239A"/>
    <w:rsid w:val="00162E82"/>
    <w:rsid w:val="00163398"/>
    <w:rsid w:val="00163447"/>
    <w:rsid w:val="0016362E"/>
    <w:rsid w:val="001637DE"/>
    <w:rsid w:val="00163CB7"/>
    <w:rsid w:val="00163E6A"/>
    <w:rsid w:val="00164574"/>
    <w:rsid w:val="00164A5B"/>
    <w:rsid w:val="00164FF8"/>
    <w:rsid w:val="00165002"/>
    <w:rsid w:val="0016513C"/>
    <w:rsid w:val="00166D09"/>
    <w:rsid w:val="00166D3E"/>
    <w:rsid w:val="00166EAE"/>
    <w:rsid w:val="00166FF1"/>
    <w:rsid w:val="001676C8"/>
    <w:rsid w:val="00167748"/>
    <w:rsid w:val="00170666"/>
    <w:rsid w:val="001707F4"/>
    <w:rsid w:val="00170E79"/>
    <w:rsid w:val="00171D6E"/>
    <w:rsid w:val="00172147"/>
    <w:rsid w:val="00172936"/>
    <w:rsid w:val="00172DFA"/>
    <w:rsid w:val="001736F6"/>
    <w:rsid w:val="0017505B"/>
    <w:rsid w:val="001758C4"/>
    <w:rsid w:val="00176025"/>
    <w:rsid w:val="00176C21"/>
    <w:rsid w:val="00176D30"/>
    <w:rsid w:val="001800DB"/>
    <w:rsid w:val="00180BBC"/>
    <w:rsid w:val="00180F3B"/>
    <w:rsid w:val="00181474"/>
    <w:rsid w:val="001816F9"/>
    <w:rsid w:val="00181A0E"/>
    <w:rsid w:val="00181DEF"/>
    <w:rsid w:val="00182652"/>
    <w:rsid w:val="00182796"/>
    <w:rsid w:val="00182B48"/>
    <w:rsid w:val="001838EA"/>
    <w:rsid w:val="00183B66"/>
    <w:rsid w:val="001842AD"/>
    <w:rsid w:val="00184558"/>
    <w:rsid w:val="001849DA"/>
    <w:rsid w:val="00184B88"/>
    <w:rsid w:val="00185954"/>
    <w:rsid w:val="00185EF8"/>
    <w:rsid w:val="00186BE3"/>
    <w:rsid w:val="00186EF1"/>
    <w:rsid w:val="0019079C"/>
    <w:rsid w:val="0019096A"/>
    <w:rsid w:val="00192F95"/>
    <w:rsid w:val="001934FE"/>
    <w:rsid w:val="00193AA7"/>
    <w:rsid w:val="0019427B"/>
    <w:rsid w:val="00194A35"/>
    <w:rsid w:val="00194B27"/>
    <w:rsid w:val="00194BC7"/>
    <w:rsid w:val="00194C45"/>
    <w:rsid w:val="00195473"/>
    <w:rsid w:val="001955E2"/>
    <w:rsid w:val="00195A55"/>
    <w:rsid w:val="00196465"/>
    <w:rsid w:val="001978E0"/>
    <w:rsid w:val="0019794B"/>
    <w:rsid w:val="001A02B4"/>
    <w:rsid w:val="001A0875"/>
    <w:rsid w:val="001A0E6A"/>
    <w:rsid w:val="001A157B"/>
    <w:rsid w:val="001A2381"/>
    <w:rsid w:val="001A2A77"/>
    <w:rsid w:val="001A3ABA"/>
    <w:rsid w:val="001A466B"/>
    <w:rsid w:val="001A4CB6"/>
    <w:rsid w:val="001A4EE4"/>
    <w:rsid w:val="001A5209"/>
    <w:rsid w:val="001A709A"/>
    <w:rsid w:val="001A7139"/>
    <w:rsid w:val="001B0362"/>
    <w:rsid w:val="001B0E9A"/>
    <w:rsid w:val="001B155C"/>
    <w:rsid w:val="001B19EE"/>
    <w:rsid w:val="001B2089"/>
    <w:rsid w:val="001B212F"/>
    <w:rsid w:val="001B2291"/>
    <w:rsid w:val="001B262D"/>
    <w:rsid w:val="001B2E77"/>
    <w:rsid w:val="001B2E8C"/>
    <w:rsid w:val="001B35C4"/>
    <w:rsid w:val="001B41B5"/>
    <w:rsid w:val="001B5DFC"/>
    <w:rsid w:val="001B628D"/>
    <w:rsid w:val="001B6335"/>
    <w:rsid w:val="001B7345"/>
    <w:rsid w:val="001B7C94"/>
    <w:rsid w:val="001C0243"/>
    <w:rsid w:val="001C0954"/>
    <w:rsid w:val="001C0CA7"/>
    <w:rsid w:val="001C1041"/>
    <w:rsid w:val="001C10FC"/>
    <w:rsid w:val="001C20AE"/>
    <w:rsid w:val="001C2CDB"/>
    <w:rsid w:val="001C30E6"/>
    <w:rsid w:val="001C5609"/>
    <w:rsid w:val="001C6884"/>
    <w:rsid w:val="001C710D"/>
    <w:rsid w:val="001C7F78"/>
    <w:rsid w:val="001D1498"/>
    <w:rsid w:val="001D182F"/>
    <w:rsid w:val="001D316C"/>
    <w:rsid w:val="001D3347"/>
    <w:rsid w:val="001D3552"/>
    <w:rsid w:val="001D4D9D"/>
    <w:rsid w:val="001D5BC7"/>
    <w:rsid w:val="001D5DD1"/>
    <w:rsid w:val="001D5E04"/>
    <w:rsid w:val="001D5FEB"/>
    <w:rsid w:val="001D6AB2"/>
    <w:rsid w:val="001D7D87"/>
    <w:rsid w:val="001E04F7"/>
    <w:rsid w:val="001E0DAF"/>
    <w:rsid w:val="001E0EFE"/>
    <w:rsid w:val="001E1496"/>
    <w:rsid w:val="001E16D0"/>
    <w:rsid w:val="001E1B39"/>
    <w:rsid w:val="001E1C60"/>
    <w:rsid w:val="001E21E7"/>
    <w:rsid w:val="001E2598"/>
    <w:rsid w:val="001E2B4C"/>
    <w:rsid w:val="001E3067"/>
    <w:rsid w:val="001E33ED"/>
    <w:rsid w:val="001E441A"/>
    <w:rsid w:val="001E4756"/>
    <w:rsid w:val="001E51C5"/>
    <w:rsid w:val="001E541B"/>
    <w:rsid w:val="001E5482"/>
    <w:rsid w:val="001E5B95"/>
    <w:rsid w:val="001E5F76"/>
    <w:rsid w:val="001E6634"/>
    <w:rsid w:val="001E732E"/>
    <w:rsid w:val="001E747C"/>
    <w:rsid w:val="001E76DD"/>
    <w:rsid w:val="001E7B54"/>
    <w:rsid w:val="001F07F2"/>
    <w:rsid w:val="001F09AA"/>
    <w:rsid w:val="001F0A0E"/>
    <w:rsid w:val="001F0E74"/>
    <w:rsid w:val="001F1150"/>
    <w:rsid w:val="001F1464"/>
    <w:rsid w:val="001F166C"/>
    <w:rsid w:val="001F1806"/>
    <w:rsid w:val="001F1B15"/>
    <w:rsid w:val="001F266D"/>
    <w:rsid w:val="001F2923"/>
    <w:rsid w:val="001F2B8F"/>
    <w:rsid w:val="001F31FF"/>
    <w:rsid w:val="001F32DF"/>
    <w:rsid w:val="001F4199"/>
    <w:rsid w:val="001F5423"/>
    <w:rsid w:val="001F59A7"/>
    <w:rsid w:val="001F5FB9"/>
    <w:rsid w:val="001F6598"/>
    <w:rsid w:val="001F6EBA"/>
    <w:rsid w:val="001F73F8"/>
    <w:rsid w:val="001F759F"/>
    <w:rsid w:val="001F7614"/>
    <w:rsid w:val="002003BA"/>
    <w:rsid w:val="00200630"/>
    <w:rsid w:val="00200702"/>
    <w:rsid w:val="002015D2"/>
    <w:rsid w:val="002018C0"/>
    <w:rsid w:val="00201A00"/>
    <w:rsid w:val="00201ED5"/>
    <w:rsid w:val="00202164"/>
    <w:rsid w:val="002022D7"/>
    <w:rsid w:val="0020234B"/>
    <w:rsid w:val="00202532"/>
    <w:rsid w:val="002025C8"/>
    <w:rsid w:val="00202F14"/>
    <w:rsid w:val="0020397E"/>
    <w:rsid w:val="00203ADE"/>
    <w:rsid w:val="00204271"/>
    <w:rsid w:val="00204A6E"/>
    <w:rsid w:val="00204E9D"/>
    <w:rsid w:val="00204F9D"/>
    <w:rsid w:val="0020513B"/>
    <w:rsid w:val="002053C3"/>
    <w:rsid w:val="00205438"/>
    <w:rsid w:val="0020552C"/>
    <w:rsid w:val="00205732"/>
    <w:rsid w:val="002059B6"/>
    <w:rsid w:val="00206C9D"/>
    <w:rsid w:val="00206CD7"/>
    <w:rsid w:val="00206E96"/>
    <w:rsid w:val="002074EB"/>
    <w:rsid w:val="0020786E"/>
    <w:rsid w:val="00207BDC"/>
    <w:rsid w:val="002102AF"/>
    <w:rsid w:val="0021120A"/>
    <w:rsid w:val="002121A7"/>
    <w:rsid w:val="002121AB"/>
    <w:rsid w:val="00212395"/>
    <w:rsid w:val="002126B9"/>
    <w:rsid w:val="002127B3"/>
    <w:rsid w:val="00212EC5"/>
    <w:rsid w:val="00213062"/>
    <w:rsid w:val="00213072"/>
    <w:rsid w:val="002135E8"/>
    <w:rsid w:val="00213E15"/>
    <w:rsid w:val="00213FB5"/>
    <w:rsid w:val="002145AB"/>
    <w:rsid w:val="00214947"/>
    <w:rsid w:val="00215395"/>
    <w:rsid w:val="002157C0"/>
    <w:rsid w:val="002158B1"/>
    <w:rsid w:val="00216885"/>
    <w:rsid w:val="002175F6"/>
    <w:rsid w:val="00217B5A"/>
    <w:rsid w:val="00217BB5"/>
    <w:rsid w:val="00217D17"/>
    <w:rsid w:val="002202EC"/>
    <w:rsid w:val="002204BA"/>
    <w:rsid w:val="002204F9"/>
    <w:rsid w:val="00220C33"/>
    <w:rsid w:val="00220EBA"/>
    <w:rsid w:val="00220F11"/>
    <w:rsid w:val="00221377"/>
    <w:rsid w:val="00221CBA"/>
    <w:rsid w:val="00221F08"/>
    <w:rsid w:val="002229D7"/>
    <w:rsid w:val="00222A24"/>
    <w:rsid w:val="00223B9A"/>
    <w:rsid w:val="00224A3E"/>
    <w:rsid w:val="00224D53"/>
    <w:rsid w:val="00226C12"/>
    <w:rsid w:val="00227396"/>
    <w:rsid w:val="00230090"/>
    <w:rsid w:val="00230CDA"/>
    <w:rsid w:val="00231B71"/>
    <w:rsid w:val="00231C3B"/>
    <w:rsid w:val="00232A99"/>
    <w:rsid w:val="00232C0E"/>
    <w:rsid w:val="00232C5F"/>
    <w:rsid w:val="002334C0"/>
    <w:rsid w:val="00234573"/>
    <w:rsid w:val="00234605"/>
    <w:rsid w:val="0023470D"/>
    <w:rsid w:val="002347CB"/>
    <w:rsid w:val="00234BFB"/>
    <w:rsid w:val="002354D2"/>
    <w:rsid w:val="00235BD0"/>
    <w:rsid w:val="0023655E"/>
    <w:rsid w:val="00237671"/>
    <w:rsid w:val="002378AA"/>
    <w:rsid w:val="00237A1E"/>
    <w:rsid w:val="002404D2"/>
    <w:rsid w:val="00240735"/>
    <w:rsid w:val="00240C17"/>
    <w:rsid w:val="00240C8D"/>
    <w:rsid w:val="00240CEF"/>
    <w:rsid w:val="00240E41"/>
    <w:rsid w:val="00242238"/>
    <w:rsid w:val="00242480"/>
    <w:rsid w:val="002426E9"/>
    <w:rsid w:val="00243017"/>
    <w:rsid w:val="00244150"/>
    <w:rsid w:val="002448AE"/>
    <w:rsid w:val="002449B5"/>
    <w:rsid w:val="0024524C"/>
    <w:rsid w:val="00245B1D"/>
    <w:rsid w:val="00245C89"/>
    <w:rsid w:val="00246037"/>
    <w:rsid w:val="0024721C"/>
    <w:rsid w:val="00250506"/>
    <w:rsid w:val="0025064A"/>
    <w:rsid w:val="00252168"/>
    <w:rsid w:val="002526B6"/>
    <w:rsid w:val="00252BED"/>
    <w:rsid w:val="00253F7A"/>
    <w:rsid w:val="00255944"/>
    <w:rsid w:val="002559D7"/>
    <w:rsid w:val="00255C73"/>
    <w:rsid w:val="00255FDA"/>
    <w:rsid w:val="002573D6"/>
    <w:rsid w:val="002576DF"/>
    <w:rsid w:val="00257828"/>
    <w:rsid w:val="00257AED"/>
    <w:rsid w:val="00260515"/>
    <w:rsid w:val="00260A3B"/>
    <w:rsid w:val="00260FDF"/>
    <w:rsid w:val="002613EB"/>
    <w:rsid w:val="00261963"/>
    <w:rsid w:val="00262001"/>
    <w:rsid w:val="00262F27"/>
    <w:rsid w:val="00263167"/>
    <w:rsid w:val="002656B7"/>
    <w:rsid w:val="002657CF"/>
    <w:rsid w:val="00267403"/>
    <w:rsid w:val="002704F6"/>
    <w:rsid w:val="0027057A"/>
    <w:rsid w:val="00270916"/>
    <w:rsid w:val="00270C97"/>
    <w:rsid w:val="0027182C"/>
    <w:rsid w:val="002722E8"/>
    <w:rsid w:val="00272D35"/>
    <w:rsid w:val="002740FC"/>
    <w:rsid w:val="0027455C"/>
    <w:rsid w:val="0027478B"/>
    <w:rsid w:val="002760E8"/>
    <w:rsid w:val="0027639F"/>
    <w:rsid w:val="002766E7"/>
    <w:rsid w:val="0027684D"/>
    <w:rsid w:val="00276A5C"/>
    <w:rsid w:val="0027748D"/>
    <w:rsid w:val="00277905"/>
    <w:rsid w:val="002779B7"/>
    <w:rsid w:val="00277C78"/>
    <w:rsid w:val="00280229"/>
    <w:rsid w:val="002804D8"/>
    <w:rsid w:val="002805E3"/>
    <w:rsid w:val="00280D16"/>
    <w:rsid w:val="00281154"/>
    <w:rsid w:val="00281C6D"/>
    <w:rsid w:val="00284961"/>
    <w:rsid w:val="00285B0F"/>
    <w:rsid w:val="00286B64"/>
    <w:rsid w:val="0028788B"/>
    <w:rsid w:val="00290397"/>
    <w:rsid w:val="00290563"/>
    <w:rsid w:val="002909A1"/>
    <w:rsid w:val="002909D4"/>
    <w:rsid w:val="002913F8"/>
    <w:rsid w:val="00291951"/>
    <w:rsid w:val="00291957"/>
    <w:rsid w:val="00291BFB"/>
    <w:rsid w:val="0029236C"/>
    <w:rsid w:val="002923A0"/>
    <w:rsid w:val="00292557"/>
    <w:rsid w:val="0029279F"/>
    <w:rsid w:val="002929F7"/>
    <w:rsid w:val="00293502"/>
    <w:rsid w:val="0029380E"/>
    <w:rsid w:val="00293821"/>
    <w:rsid w:val="00293A82"/>
    <w:rsid w:val="00293C36"/>
    <w:rsid w:val="00297184"/>
    <w:rsid w:val="0029759C"/>
    <w:rsid w:val="00297B18"/>
    <w:rsid w:val="00297F0E"/>
    <w:rsid w:val="002A07D3"/>
    <w:rsid w:val="002A0AED"/>
    <w:rsid w:val="002A0B85"/>
    <w:rsid w:val="002A1258"/>
    <w:rsid w:val="002A2397"/>
    <w:rsid w:val="002A2CEA"/>
    <w:rsid w:val="002A378C"/>
    <w:rsid w:val="002A3B0A"/>
    <w:rsid w:val="002A3C2E"/>
    <w:rsid w:val="002A3C69"/>
    <w:rsid w:val="002A3DB6"/>
    <w:rsid w:val="002A3F00"/>
    <w:rsid w:val="002A4561"/>
    <w:rsid w:val="002A45F6"/>
    <w:rsid w:val="002A5E0B"/>
    <w:rsid w:val="002A656A"/>
    <w:rsid w:val="002A6859"/>
    <w:rsid w:val="002A6F33"/>
    <w:rsid w:val="002A76C2"/>
    <w:rsid w:val="002A78BE"/>
    <w:rsid w:val="002A7FBC"/>
    <w:rsid w:val="002B04EF"/>
    <w:rsid w:val="002B0777"/>
    <w:rsid w:val="002B1DC4"/>
    <w:rsid w:val="002B217D"/>
    <w:rsid w:val="002B2241"/>
    <w:rsid w:val="002B2956"/>
    <w:rsid w:val="002B3ED9"/>
    <w:rsid w:val="002B3F4A"/>
    <w:rsid w:val="002B3F6A"/>
    <w:rsid w:val="002B4004"/>
    <w:rsid w:val="002B44B8"/>
    <w:rsid w:val="002B524B"/>
    <w:rsid w:val="002B59BC"/>
    <w:rsid w:val="002B5B21"/>
    <w:rsid w:val="002B5F53"/>
    <w:rsid w:val="002B74D1"/>
    <w:rsid w:val="002B7DC5"/>
    <w:rsid w:val="002C050E"/>
    <w:rsid w:val="002C1441"/>
    <w:rsid w:val="002C14E4"/>
    <w:rsid w:val="002C1B56"/>
    <w:rsid w:val="002C1BF5"/>
    <w:rsid w:val="002C1EF3"/>
    <w:rsid w:val="002C295A"/>
    <w:rsid w:val="002C3E88"/>
    <w:rsid w:val="002C3F7E"/>
    <w:rsid w:val="002C3F9A"/>
    <w:rsid w:val="002C427D"/>
    <w:rsid w:val="002C4866"/>
    <w:rsid w:val="002C48A4"/>
    <w:rsid w:val="002C57DF"/>
    <w:rsid w:val="002C5BA1"/>
    <w:rsid w:val="002C6025"/>
    <w:rsid w:val="002C6252"/>
    <w:rsid w:val="002C63E2"/>
    <w:rsid w:val="002C684D"/>
    <w:rsid w:val="002C722A"/>
    <w:rsid w:val="002C75A3"/>
    <w:rsid w:val="002D0431"/>
    <w:rsid w:val="002D0D78"/>
    <w:rsid w:val="002D0D8C"/>
    <w:rsid w:val="002D1A2C"/>
    <w:rsid w:val="002D282B"/>
    <w:rsid w:val="002D2EBB"/>
    <w:rsid w:val="002D3C63"/>
    <w:rsid w:val="002D46C0"/>
    <w:rsid w:val="002D4B22"/>
    <w:rsid w:val="002D4EB0"/>
    <w:rsid w:val="002D67C8"/>
    <w:rsid w:val="002D6DDD"/>
    <w:rsid w:val="002D700A"/>
    <w:rsid w:val="002D7875"/>
    <w:rsid w:val="002E0630"/>
    <w:rsid w:val="002E0A5B"/>
    <w:rsid w:val="002E1C37"/>
    <w:rsid w:val="002E2240"/>
    <w:rsid w:val="002E4568"/>
    <w:rsid w:val="002E4BAD"/>
    <w:rsid w:val="002E5CC6"/>
    <w:rsid w:val="002E5D90"/>
    <w:rsid w:val="002E6809"/>
    <w:rsid w:val="002E7540"/>
    <w:rsid w:val="002F066E"/>
    <w:rsid w:val="002F0C88"/>
    <w:rsid w:val="002F0F14"/>
    <w:rsid w:val="002F1472"/>
    <w:rsid w:val="002F1692"/>
    <w:rsid w:val="002F23AD"/>
    <w:rsid w:val="002F293C"/>
    <w:rsid w:val="002F44B3"/>
    <w:rsid w:val="002F4A0C"/>
    <w:rsid w:val="002F4C56"/>
    <w:rsid w:val="002F540B"/>
    <w:rsid w:val="002F648E"/>
    <w:rsid w:val="002F7073"/>
    <w:rsid w:val="002F71D6"/>
    <w:rsid w:val="0030019C"/>
    <w:rsid w:val="0030020C"/>
    <w:rsid w:val="003002C6"/>
    <w:rsid w:val="0030049D"/>
    <w:rsid w:val="00300559"/>
    <w:rsid w:val="00300DA9"/>
    <w:rsid w:val="003010FA"/>
    <w:rsid w:val="00301289"/>
    <w:rsid w:val="00301C96"/>
    <w:rsid w:val="00301DA8"/>
    <w:rsid w:val="00301E86"/>
    <w:rsid w:val="003022E7"/>
    <w:rsid w:val="00302536"/>
    <w:rsid w:val="00303283"/>
    <w:rsid w:val="0030482B"/>
    <w:rsid w:val="00305014"/>
    <w:rsid w:val="0030539E"/>
    <w:rsid w:val="00305F4C"/>
    <w:rsid w:val="003061EB"/>
    <w:rsid w:val="0030632C"/>
    <w:rsid w:val="00306448"/>
    <w:rsid w:val="00307B60"/>
    <w:rsid w:val="00307FE3"/>
    <w:rsid w:val="00310E54"/>
    <w:rsid w:val="0031108F"/>
    <w:rsid w:val="003114DD"/>
    <w:rsid w:val="003117BB"/>
    <w:rsid w:val="003117C0"/>
    <w:rsid w:val="00314032"/>
    <w:rsid w:val="003141A2"/>
    <w:rsid w:val="00314C3E"/>
    <w:rsid w:val="00315C66"/>
    <w:rsid w:val="00315DF1"/>
    <w:rsid w:val="003161D8"/>
    <w:rsid w:val="0031629E"/>
    <w:rsid w:val="00317015"/>
    <w:rsid w:val="00317C56"/>
    <w:rsid w:val="00317F45"/>
    <w:rsid w:val="00320A2B"/>
    <w:rsid w:val="00320B68"/>
    <w:rsid w:val="00320B70"/>
    <w:rsid w:val="00320FD4"/>
    <w:rsid w:val="0032139A"/>
    <w:rsid w:val="00322516"/>
    <w:rsid w:val="00322CB3"/>
    <w:rsid w:val="00323101"/>
    <w:rsid w:val="00323586"/>
    <w:rsid w:val="0032369B"/>
    <w:rsid w:val="003236F0"/>
    <w:rsid w:val="00324EA7"/>
    <w:rsid w:val="00325020"/>
    <w:rsid w:val="00326189"/>
    <w:rsid w:val="00326726"/>
    <w:rsid w:val="003278EF"/>
    <w:rsid w:val="003302B9"/>
    <w:rsid w:val="0033049F"/>
    <w:rsid w:val="0033051F"/>
    <w:rsid w:val="0033075E"/>
    <w:rsid w:val="0033094C"/>
    <w:rsid w:val="003318E8"/>
    <w:rsid w:val="003329C3"/>
    <w:rsid w:val="00332A70"/>
    <w:rsid w:val="00332ED1"/>
    <w:rsid w:val="0033314A"/>
    <w:rsid w:val="00333C97"/>
    <w:rsid w:val="00334272"/>
    <w:rsid w:val="003347C5"/>
    <w:rsid w:val="00334EA0"/>
    <w:rsid w:val="00335250"/>
    <w:rsid w:val="0033563F"/>
    <w:rsid w:val="00335ADD"/>
    <w:rsid w:val="003374CA"/>
    <w:rsid w:val="00337E4C"/>
    <w:rsid w:val="003401C4"/>
    <w:rsid w:val="0034059F"/>
    <w:rsid w:val="003407A1"/>
    <w:rsid w:val="00341656"/>
    <w:rsid w:val="003423AB"/>
    <w:rsid w:val="003423FA"/>
    <w:rsid w:val="00342575"/>
    <w:rsid w:val="0034385A"/>
    <w:rsid w:val="00345795"/>
    <w:rsid w:val="00345838"/>
    <w:rsid w:val="00345B28"/>
    <w:rsid w:val="00346E3E"/>
    <w:rsid w:val="00347507"/>
    <w:rsid w:val="00347B4F"/>
    <w:rsid w:val="00350475"/>
    <w:rsid w:val="003505F9"/>
    <w:rsid w:val="003513E7"/>
    <w:rsid w:val="00351B73"/>
    <w:rsid w:val="00351E44"/>
    <w:rsid w:val="00352388"/>
    <w:rsid w:val="00352A47"/>
    <w:rsid w:val="00352DE1"/>
    <w:rsid w:val="00355E00"/>
    <w:rsid w:val="00356062"/>
    <w:rsid w:val="003567FD"/>
    <w:rsid w:val="003568B7"/>
    <w:rsid w:val="003577C4"/>
    <w:rsid w:val="0036040C"/>
    <w:rsid w:val="0036067E"/>
    <w:rsid w:val="00360891"/>
    <w:rsid w:val="003611AE"/>
    <w:rsid w:val="0036124E"/>
    <w:rsid w:val="00361267"/>
    <w:rsid w:val="00361B64"/>
    <w:rsid w:val="00361BA7"/>
    <w:rsid w:val="00362639"/>
    <w:rsid w:val="00362B0A"/>
    <w:rsid w:val="00362CC9"/>
    <w:rsid w:val="00362DE7"/>
    <w:rsid w:val="00363AD9"/>
    <w:rsid w:val="00363BB3"/>
    <w:rsid w:val="00363E76"/>
    <w:rsid w:val="00363F49"/>
    <w:rsid w:val="00365284"/>
    <w:rsid w:val="003654FF"/>
    <w:rsid w:val="0036566D"/>
    <w:rsid w:val="0036576A"/>
    <w:rsid w:val="00365A1A"/>
    <w:rsid w:val="0036673C"/>
    <w:rsid w:val="00367023"/>
    <w:rsid w:val="003675E9"/>
    <w:rsid w:val="00367A6F"/>
    <w:rsid w:val="003702FB"/>
    <w:rsid w:val="0037089E"/>
    <w:rsid w:val="003720DE"/>
    <w:rsid w:val="00372C89"/>
    <w:rsid w:val="00373147"/>
    <w:rsid w:val="00373A96"/>
    <w:rsid w:val="00373B8E"/>
    <w:rsid w:val="00374248"/>
    <w:rsid w:val="003749B3"/>
    <w:rsid w:val="0037501E"/>
    <w:rsid w:val="003755C6"/>
    <w:rsid w:val="00376E24"/>
    <w:rsid w:val="00377153"/>
    <w:rsid w:val="00377964"/>
    <w:rsid w:val="00377D51"/>
    <w:rsid w:val="00381150"/>
    <w:rsid w:val="00381167"/>
    <w:rsid w:val="00381D6A"/>
    <w:rsid w:val="003824EA"/>
    <w:rsid w:val="0038329E"/>
    <w:rsid w:val="00383381"/>
    <w:rsid w:val="00383382"/>
    <w:rsid w:val="00383D13"/>
    <w:rsid w:val="00383F9F"/>
    <w:rsid w:val="003841DE"/>
    <w:rsid w:val="00384860"/>
    <w:rsid w:val="00384A43"/>
    <w:rsid w:val="0038529D"/>
    <w:rsid w:val="003856C2"/>
    <w:rsid w:val="0038590A"/>
    <w:rsid w:val="00386C47"/>
    <w:rsid w:val="00387D69"/>
    <w:rsid w:val="00387DEE"/>
    <w:rsid w:val="0039195A"/>
    <w:rsid w:val="00391C63"/>
    <w:rsid w:val="00391FE0"/>
    <w:rsid w:val="003924EB"/>
    <w:rsid w:val="00392AB2"/>
    <w:rsid w:val="00393211"/>
    <w:rsid w:val="003934CF"/>
    <w:rsid w:val="003937BD"/>
    <w:rsid w:val="00393A6F"/>
    <w:rsid w:val="003951EA"/>
    <w:rsid w:val="00395C68"/>
    <w:rsid w:val="0039620E"/>
    <w:rsid w:val="0039652A"/>
    <w:rsid w:val="003965E2"/>
    <w:rsid w:val="00396BD4"/>
    <w:rsid w:val="0039781B"/>
    <w:rsid w:val="00397BA1"/>
    <w:rsid w:val="00397E45"/>
    <w:rsid w:val="003A044F"/>
    <w:rsid w:val="003A05F8"/>
    <w:rsid w:val="003A09A6"/>
    <w:rsid w:val="003A1356"/>
    <w:rsid w:val="003A19E3"/>
    <w:rsid w:val="003A1B9E"/>
    <w:rsid w:val="003A1C41"/>
    <w:rsid w:val="003A20F3"/>
    <w:rsid w:val="003A2A0E"/>
    <w:rsid w:val="003A2F21"/>
    <w:rsid w:val="003A342D"/>
    <w:rsid w:val="003A3473"/>
    <w:rsid w:val="003A3AD4"/>
    <w:rsid w:val="003A44DE"/>
    <w:rsid w:val="003A4DCF"/>
    <w:rsid w:val="003A6065"/>
    <w:rsid w:val="003A62F9"/>
    <w:rsid w:val="003A657F"/>
    <w:rsid w:val="003A65D6"/>
    <w:rsid w:val="003A6629"/>
    <w:rsid w:val="003A67E4"/>
    <w:rsid w:val="003A6A89"/>
    <w:rsid w:val="003A701A"/>
    <w:rsid w:val="003A7266"/>
    <w:rsid w:val="003A7C42"/>
    <w:rsid w:val="003B03CF"/>
    <w:rsid w:val="003B060F"/>
    <w:rsid w:val="003B091F"/>
    <w:rsid w:val="003B1F6D"/>
    <w:rsid w:val="003B2808"/>
    <w:rsid w:val="003B2871"/>
    <w:rsid w:val="003B2DBF"/>
    <w:rsid w:val="003B2FBD"/>
    <w:rsid w:val="003B39D3"/>
    <w:rsid w:val="003B3E3A"/>
    <w:rsid w:val="003B40D1"/>
    <w:rsid w:val="003B5284"/>
    <w:rsid w:val="003B5516"/>
    <w:rsid w:val="003B5E40"/>
    <w:rsid w:val="003B5E52"/>
    <w:rsid w:val="003B62B4"/>
    <w:rsid w:val="003B65C3"/>
    <w:rsid w:val="003B6A47"/>
    <w:rsid w:val="003B7206"/>
    <w:rsid w:val="003B7769"/>
    <w:rsid w:val="003B7E31"/>
    <w:rsid w:val="003B7E97"/>
    <w:rsid w:val="003C0522"/>
    <w:rsid w:val="003C08E6"/>
    <w:rsid w:val="003C1324"/>
    <w:rsid w:val="003C161A"/>
    <w:rsid w:val="003C1C1A"/>
    <w:rsid w:val="003C1DCB"/>
    <w:rsid w:val="003C2268"/>
    <w:rsid w:val="003C28C4"/>
    <w:rsid w:val="003C4883"/>
    <w:rsid w:val="003C4BD5"/>
    <w:rsid w:val="003C5D84"/>
    <w:rsid w:val="003C6F0B"/>
    <w:rsid w:val="003C7A95"/>
    <w:rsid w:val="003D143D"/>
    <w:rsid w:val="003D1F5B"/>
    <w:rsid w:val="003D2D7A"/>
    <w:rsid w:val="003D335C"/>
    <w:rsid w:val="003D3434"/>
    <w:rsid w:val="003D3E0B"/>
    <w:rsid w:val="003D4341"/>
    <w:rsid w:val="003D46BD"/>
    <w:rsid w:val="003D4917"/>
    <w:rsid w:val="003D4CA5"/>
    <w:rsid w:val="003D592C"/>
    <w:rsid w:val="003D64D5"/>
    <w:rsid w:val="003D7669"/>
    <w:rsid w:val="003D7929"/>
    <w:rsid w:val="003E0763"/>
    <w:rsid w:val="003E0FC3"/>
    <w:rsid w:val="003E16B2"/>
    <w:rsid w:val="003E2D92"/>
    <w:rsid w:val="003E3631"/>
    <w:rsid w:val="003E39A6"/>
    <w:rsid w:val="003E51FD"/>
    <w:rsid w:val="003E5920"/>
    <w:rsid w:val="003E5C86"/>
    <w:rsid w:val="003E6765"/>
    <w:rsid w:val="003E76AA"/>
    <w:rsid w:val="003E7971"/>
    <w:rsid w:val="003E7B7C"/>
    <w:rsid w:val="003F0B48"/>
    <w:rsid w:val="003F0F49"/>
    <w:rsid w:val="003F18EA"/>
    <w:rsid w:val="003F1EC2"/>
    <w:rsid w:val="003F1F08"/>
    <w:rsid w:val="003F2574"/>
    <w:rsid w:val="003F2ED4"/>
    <w:rsid w:val="003F30CD"/>
    <w:rsid w:val="003F3309"/>
    <w:rsid w:val="003F34B4"/>
    <w:rsid w:val="003F398D"/>
    <w:rsid w:val="003F3C5A"/>
    <w:rsid w:val="003F4CC9"/>
    <w:rsid w:val="003F4F6A"/>
    <w:rsid w:val="003F5A25"/>
    <w:rsid w:val="003F6C10"/>
    <w:rsid w:val="003F6CB0"/>
    <w:rsid w:val="003F72FC"/>
    <w:rsid w:val="003F759C"/>
    <w:rsid w:val="00400129"/>
    <w:rsid w:val="004002C9"/>
    <w:rsid w:val="00400355"/>
    <w:rsid w:val="00400829"/>
    <w:rsid w:val="00400DC2"/>
    <w:rsid w:val="00401845"/>
    <w:rsid w:val="0040187E"/>
    <w:rsid w:val="004018B9"/>
    <w:rsid w:val="00401B1A"/>
    <w:rsid w:val="00402002"/>
    <w:rsid w:val="004020E8"/>
    <w:rsid w:val="00402716"/>
    <w:rsid w:val="00403C1D"/>
    <w:rsid w:val="0040438B"/>
    <w:rsid w:val="00405153"/>
    <w:rsid w:val="00405509"/>
    <w:rsid w:val="00405A16"/>
    <w:rsid w:val="00406AFC"/>
    <w:rsid w:val="00410030"/>
    <w:rsid w:val="00410530"/>
    <w:rsid w:val="00410EAA"/>
    <w:rsid w:val="004119BA"/>
    <w:rsid w:val="00411C54"/>
    <w:rsid w:val="004129A1"/>
    <w:rsid w:val="00412AC5"/>
    <w:rsid w:val="004140E9"/>
    <w:rsid w:val="00414AA5"/>
    <w:rsid w:val="00414DF8"/>
    <w:rsid w:val="004150D8"/>
    <w:rsid w:val="00415150"/>
    <w:rsid w:val="0041546D"/>
    <w:rsid w:val="004155FD"/>
    <w:rsid w:val="00415633"/>
    <w:rsid w:val="00415F7E"/>
    <w:rsid w:val="00415FCE"/>
    <w:rsid w:val="00416277"/>
    <w:rsid w:val="00417405"/>
    <w:rsid w:val="00417C3C"/>
    <w:rsid w:val="00417D8E"/>
    <w:rsid w:val="00417FF9"/>
    <w:rsid w:val="00420450"/>
    <w:rsid w:val="00420A46"/>
    <w:rsid w:val="00420BCB"/>
    <w:rsid w:val="00421555"/>
    <w:rsid w:val="00421D6E"/>
    <w:rsid w:val="00421DFE"/>
    <w:rsid w:val="00423582"/>
    <w:rsid w:val="00423A09"/>
    <w:rsid w:val="00424566"/>
    <w:rsid w:val="0042476B"/>
    <w:rsid w:val="004249D6"/>
    <w:rsid w:val="00424C75"/>
    <w:rsid w:val="00424D28"/>
    <w:rsid w:val="0042500C"/>
    <w:rsid w:val="004262E8"/>
    <w:rsid w:val="0042685A"/>
    <w:rsid w:val="00426D1C"/>
    <w:rsid w:val="00426DAB"/>
    <w:rsid w:val="0043139E"/>
    <w:rsid w:val="00432127"/>
    <w:rsid w:val="00432466"/>
    <w:rsid w:val="004327AE"/>
    <w:rsid w:val="00432F0A"/>
    <w:rsid w:val="00433245"/>
    <w:rsid w:val="00433B9B"/>
    <w:rsid w:val="00433EFC"/>
    <w:rsid w:val="004341A0"/>
    <w:rsid w:val="0043441A"/>
    <w:rsid w:val="004349EF"/>
    <w:rsid w:val="004349F1"/>
    <w:rsid w:val="00436112"/>
    <w:rsid w:val="004365B0"/>
    <w:rsid w:val="00436646"/>
    <w:rsid w:val="00436B4A"/>
    <w:rsid w:val="004377E7"/>
    <w:rsid w:val="004379D9"/>
    <w:rsid w:val="004400BD"/>
    <w:rsid w:val="00440905"/>
    <w:rsid w:val="00440F2E"/>
    <w:rsid w:val="004419B4"/>
    <w:rsid w:val="00441E7F"/>
    <w:rsid w:val="00441F26"/>
    <w:rsid w:val="0044262C"/>
    <w:rsid w:val="00442BC6"/>
    <w:rsid w:val="00442D56"/>
    <w:rsid w:val="00443861"/>
    <w:rsid w:val="00444AB4"/>
    <w:rsid w:val="00444C26"/>
    <w:rsid w:val="0044506B"/>
    <w:rsid w:val="00445328"/>
    <w:rsid w:val="00445551"/>
    <w:rsid w:val="0044557B"/>
    <w:rsid w:val="004457C2"/>
    <w:rsid w:val="004461A7"/>
    <w:rsid w:val="0044694C"/>
    <w:rsid w:val="00446AD0"/>
    <w:rsid w:val="00446D5C"/>
    <w:rsid w:val="00447F5E"/>
    <w:rsid w:val="004507C9"/>
    <w:rsid w:val="00450C1B"/>
    <w:rsid w:val="00450DDE"/>
    <w:rsid w:val="004510AE"/>
    <w:rsid w:val="00451C97"/>
    <w:rsid w:val="00451D7D"/>
    <w:rsid w:val="00452219"/>
    <w:rsid w:val="0045253C"/>
    <w:rsid w:val="004527E1"/>
    <w:rsid w:val="0045280B"/>
    <w:rsid w:val="00452A97"/>
    <w:rsid w:val="00452C15"/>
    <w:rsid w:val="00452F39"/>
    <w:rsid w:val="00452FDF"/>
    <w:rsid w:val="004551E3"/>
    <w:rsid w:val="00455413"/>
    <w:rsid w:val="00455502"/>
    <w:rsid w:val="00456412"/>
    <w:rsid w:val="004564AB"/>
    <w:rsid w:val="0045694F"/>
    <w:rsid w:val="00456CF9"/>
    <w:rsid w:val="00460212"/>
    <w:rsid w:val="004612CC"/>
    <w:rsid w:val="00461706"/>
    <w:rsid w:val="00461B66"/>
    <w:rsid w:val="00462D9C"/>
    <w:rsid w:val="00462DD3"/>
    <w:rsid w:val="00462E06"/>
    <w:rsid w:val="00463084"/>
    <w:rsid w:val="0046369F"/>
    <w:rsid w:val="00463883"/>
    <w:rsid w:val="00463E50"/>
    <w:rsid w:val="00464363"/>
    <w:rsid w:val="00464800"/>
    <w:rsid w:val="00464E8B"/>
    <w:rsid w:val="0046507D"/>
    <w:rsid w:val="0046519D"/>
    <w:rsid w:val="004652C9"/>
    <w:rsid w:val="00465B0E"/>
    <w:rsid w:val="00465C5C"/>
    <w:rsid w:val="00466060"/>
    <w:rsid w:val="0046675C"/>
    <w:rsid w:val="00470257"/>
    <w:rsid w:val="00471224"/>
    <w:rsid w:val="0047131C"/>
    <w:rsid w:val="0047174B"/>
    <w:rsid w:val="00471A6E"/>
    <w:rsid w:val="004721FB"/>
    <w:rsid w:val="004730D0"/>
    <w:rsid w:val="00473780"/>
    <w:rsid w:val="00474516"/>
    <w:rsid w:val="00474A1D"/>
    <w:rsid w:val="00474BEC"/>
    <w:rsid w:val="00474C7A"/>
    <w:rsid w:val="004753B7"/>
    <w:rsid w:val="0047713C"/>
    <w:rsid w:val="00477C17"/>
    <w:rsid w:val="00477E52"/>
    <w:rsid w:val="00480462"/>
    <w:rsid w:val="0048069B"/>
    <w:rsid w:val="004808A1"/>
    <w:rsid w:val="00481180"/>
    <w:rsid w:val="004816C3"/>
    <w:rsid w:val="00481B65"/>
    <w:rsid w:val="00481DFF"/>
    <w:rsid w:val="004821CC"/>
    <w:rsid w:val="00483942"/>
    <w:rsid w:val="004843C4"/>
    <w:rsid w:val="004846BE"/>
    <w:rsid w:val="00485000"/>
    <w:rsid w:val="00486494"/>
    <w:rsid w:val="00486769"/>
    <w:rsid w:val="00486B63"/>
    <w:rsid w:val="00487508"/>
    <w:rsid w:val="00487AD2"/>
    <w:rsid w:val="00490400"/>
    <w:rsid w:val="00490A04"/>
    <w:rsid w:val="00490CEC"/>
    <w:rsid w:val="00490DEA"/>
    <w:rsid w:val="00490F5A"/>
    <w:rsid w:val="004910EE"/>
    <w:rsid w:val="00491222"/>
    <w:rsid w:val="00492D43"/>
    <w:rsid w:val="0049357E"/>
    <w:rsid w:val="0049442A"/>
    <w:rsid w:val="00494EAD"/>
    <w:rsid w:val="00495753"/>
    <w:rsid w:val="00495797"/>
    <w:rsid w:val="00495B9B"/>
    <w:rsid w:val="00496871"/>
    <w:rsid w:val="00496AB8"/>
    <w:rsid w:val="004971CF"/>
    <w:rsid w:val="00497494"/>
    <w:rsid w:val="004975CC"/>
    <w:rsid w:val="00497859"/>
    <w:rsid w:val="004A007F"/>
    <w:rsid w:val="004A0353"/>
    <w:rsid w:val="004A0C43"/>
    <w:rsid w:val="004A251E"/>
    <w:rsid w:val="004A3ED6"/>
    <w:rsid w:val="004A4CBE"/>
    <w:rsid w:val="004A4DCF"/>
    <w:rsid w:val="004A52EC"/>
    <w:rsid w:val="004A5B3D"/>
    <w:rsid w:val="004A6FAA"/>
    <w:rsid w:val="004A7018"/>
    <w:rsid w:val="004A71F1"/>
    <w:rsid w:val="004A71F8"/>
    <w:rsid w:val="004A73E2"/>
    <w:rsid w:val="004A784D"/>
    <w:rsid w:val="004A7902"/>
    <w:rsid w:val="004B0241"/>
    <w:rsid w:val="004B0449"/>
    <w:rsid w:val="004B0B56"/>
    <w:rsid w:val="004B116D"/>
    <w:rsid w:val="004B2B5A"/>
    <w:rsid w:val="004B2E77"/>
    <w:rsid w:val="004B31D4"/>
    <w:rsid w:val="004B3765"/>
    <w:rsid w:val="004B3A08"/>
    <w:rsid w:val="004B4661"/>
    <w:rsid w:val="004B4864"/>
    <w:rsid w:val="004B569D"/>
    <w:rsid w:val="004B6244"/>
    <w:rsid w:val="004B6300"/>
    <w:rsid w:val="004B6807"/>
    <w:rsid w:val="004B6F17"/>
    <w:rsid w:val="004B73AA"/>
    <w:rsid w:val="004B74C6"/>
    <w:rsid w:val="004B795D"/>
    <w:rsid w:val="004C0498"/>
    <w:rsid w:val="004C076D"/>
    <w:rsid w:val="004C0FD4"/>
    <w:rsid w:val="004C133C"/>
    <w:rsid w:val="004C189E"/>
    <w:rsid w:val="004C250A"/>
    <w:rsid w:val="004C2AA8"/>
    <w:rsid w:val="004C3293"/>
    <w:rsid w:val="004C3525"/>
    <w:rsid w:val="004C4033"/>
    <w:rsid w:val="004C49A8"/>
    <w:rsid w:val="004C4B48"/>
    <w:rsid w:val="004C4F86"/>
    <w:rsid w:val="004C5650"/>
    <w:rsid w:val="004C5D19"/>
    <w:rsid w:val="004C61D8"/>
    <w:rsid w:val="004C6231"/>
    <w:rsid w:val="004C654E"/>
    <w:rsid w:val="004C6E3D"/>
    <w:rsid w:val="004C6F17"/>
    <w:rsid w:val="004C7775"/>
    <w:rsid w:val="004C7A7D"/>
    <w:rsid w:val="004C7B86"/>
    <w:rsid w:val="004C7C04"/>
    <w:rsid w:val="004C7D33"/>
    <w:rsid w:val="004D063F"/>
    <w:rsid w:val="004D0723"/>
    <w:rsid w:val="004D1803"/>
    <w:rsid w:val="004D1DB5"/>
    <w:rsid w:val="004D2E60"/>
    <w:rsid w:val="004D38F8"/>
    <w:rsid w:val="004D46D8"/>
    <w:rsid w:val="004D4744"/>
    <w:rsid w:val="004D4CCE"/>
    <w:rsid w:val="004D4E58"/>
    <w:rsid w:val="004D7307"/>
    <w:rsid w:val="004D793E"/>
    <w:rsid w:val="004E0024"/>
    <w:rsid w:val="004E05C1"/>
    <w:rsid w:val="004E0684"/>
    <w:rsid w:val="004E2350"/>
    <w:rsid w:val="004E24C3"/>
    <w:rsid w:val="004E2BB5"/>
    <w:rsid w:val="004E2C71"/>
    <w:rsid w:val="004E3286"/>
    <w:rsid w:val="004E3C2F"/>
    <w:rsid w:val="004E4AE3"/>
    <w:rsid w:val="004E5947"/>
    <w:rsid w:val="004E5D4E"/>
    <w:rsid w:val="004E5D5C"/>
    <w:rsid w:val="004E5E71"/>
    <w:rsid w:val="004E6481"/>
    <w:rsid w:val="004E6D75"/>
    <w:rsid w:val="004E7147"/>
    <w:rsid w:val="004E767D"/>
    <w:rsid w:val="004E772F"/>
    <w:rsid w:val="004E7AB1"/>
    <w:rsid w:val="004E7DCA"/>
    <w:rsid w:val="004F0D68"/>
    <w:rsid w:val="004F0ED0"/>
    <w:rsid w:val="004F1517"/>
    <w:rsid w:val="004F18BD"/>
    <w:rsid w:val="004F2A86"/>
    <w:rsid w:val="004F2BFE"/>
    <w:rsid w:val="004F324A"/>
    <w:rsid w:val="004F3EE0"/>
    <w:rsid w:val="004F4733"/>
    <w:rsid w:val="004F4748"/>
    <w:rsid w:val="004F4FD1"/>
    <w:rsid w:val="004F54E6"/>
    <w:rsid w:val="004F5669"/>
    <w:rsid w:val="004F6A00"/>
    <w:rsid w:val="004F6D88"/>
    <w:rsid w:val="004F7A16"/>
    <w:rsid w:val="004F7BD6"/>
    <w:rsid w:val="004F7C59"/>
    <w:rsid w:val="005004BB"/>
    <w:rsid w:val="005009E0"/>
    <w:rsid w:val="00500D71"/>
    <w:rsid w:val="00500DFE"/>
    <w:rsid w:val="005010F2"/>
    <w:rsid w:val="00501334"/>
    <w:rsid w:val="00501418"/>
    <w:rsid w:val="0050144A"/>
    <w:rsid w:val="0050166E"/>
    <w:rsid w:val="0050267D"/>
    <w:rsid w:val="00503373"/>
    <w:rsid w:val="00503D0E"/>
    <w:rsid w:val="00505F7B"/>
    <w:rsid w:val="00507BA0"/>
    <w:rsid w:val="00510899"/>
    <w:rsid w:val="00510C06"/>
    <w:rsid w:val="00510E1B"/>
    <w:rsid w:val="00510F71"/>
    <w:rsid w:val="0051179D"/>
    <w:rsid w:val="00511CF8"/>
    <w:rsid w:val="00511EA0"/>
    <w:rsid w:val="00512063"/>
    <w:rsid w:val="005125D2"/>
    <w:rsid w:val="00512832"/>
    <w:rsid w:val="005129DC"/>
    <w:rsid w:val="0051313F"/>
    <w:rsid w:val="005131D1"/>
    <w:rsid w:val="0051400C"/>
    <w:rsid w:val="00514C79"/>
    <w:rsid w:val="00514E74"/>
    <w:rsid w:val="00515343"/>
    <w:rsid w:val="005154AE"/>
    <w:rsid w:val="00515618"/>
    <w:rsid w:val="005158F5"/>
    <w:rsid w:val="005162A7"/>
    <w:rsid w:val="0051695E"/>
    <w:rsid w:val="00517850"/>
    <w:rsid w:val="00520093"/>
    <w:rsid w:val="00520B76"/>
    <w:rsid w:val="00521396"/>
    <w:rsid w:val="00521BE7"/>
    <w:rsid w:val="00521EF6"/>
    <w:rsid w:val="005223E0"/>
    <w:rsid w:val="00523183"/>
    <w:rsid w:val="0052354D"/>
    <w:rsid w:val="005238B3"/>
    <w:rsid w:val="005245B0"/>
    <w:rsid w:val="00524673"/>
    <w:rsid w:val="00524784"/>
    <w:rsid w:val="0052654D"/>
    <w:rsid w:val="0052655A"/>
    <w:rsid w:val="005274F2"/>
    <w:rsid w:val="00527DE0"/>
    <w:rsid w:val="00530065"/>
    <w:rsid w:val="005303E4"/>
    <w:rsid w:val="00530784"/>
    <w:rsid w:val="00530DA1"/>
    <w:rsid w:val="005318EB"/>
    <w:rsid w:val="00531A75"/>
    <w:rsid w:val="00531CC1"/>
    <w:rsid w:val="005327D0"/>
    <w:rsid w:val="00533096"/>
    <w:rsid w:val="005337BC"/>
    <w:rsid w:val="00534082"/>
    <w:rsid w:val="005348CC"/>
    <w:rsid w:val="00535426"/>
    <w:rsid w:val="00535906"/>
    <w:rsid w:val="00535A3F"/>
    <w:rsid w:val="00535A7D"/>
    <w:rsid w:val="00536049"/>
    <w:rsid w:val="005361A7"/>
    <w:rsid w:val="00537E1D"/>
    <w:rsid w:val="00540524"/>
    <w:rsid w:val="00540D21"/>
    <w:rsid w:val="005411F0"/>
    <w:rsid w:val="0054149E"/>
    <w:rsid w:val="00541B05"/>
    <w:rsid w:val="00541DF0"/>
    <w:rsid w:val="00542C37"/>
    <w:rsid w:val="0054359F"/>
    <w:rsid w:val="00543BB7"/>
    <w:rsid w:val="00544425"/>
    <w:rsid w:val="005459A5"/>
    <w:rsid w:val="00545F94"/>
    <w:rsid w:val="0054664F"/>
    <w:rsid w:val="00546FF3"/>
    <w:rsid w:val="00547015"/>
    <w:rsid w:val="00550BDA"/>
    <w:rsid w:val="00551120"/>
    <w:rsid w:val="00551996"/>
    <w:rsid w:val="00552710"/>
    <w:rsid w:val="00552F6B"/>
    <w:rsid w:val="00553589"/>
    <w:rsid w:val="0055395B"/>
    <w:rsid w:val="00553F18"/>
    <w:rsid w:val="00553F35"/>
    <w:rsid w:val="00554070"/>
    <w:rsid w:val="005549DC"/>
    <w:rsid w:val="00554D37"/>
    <w:rsid w:val="005550E1"/>
    <w:rsid w:val="0055597E"/>
    <w:rsid w:val="005561BB"/>
    <w:rsid w:val="005563DB"/>
    <w:rsid w:val="00556407"/>
    <w:rsid w:val="00556763"/>
    <w:rsid w:val="00556C4D"/>
    <w:rsid w:val="0055701F"/>
    <w:rsid w:val="005571B7"/>
    <w:rsid w:val="00557EE1"/>
    <w:rsid w:val="00557F02"/>
    <w:rsid w:val="005604F7"/>
    <w:rsid w:val="00560D33"/>
    <w:rsid w:val="00561365"/>
    <w:rsid w:val="0056378F"/>
    <w:rsid w:val="00563C68"/>
    <w:rsid w:val="00564067"/>
    <w:rsid w:val="00564554"/>
    <w:rsid w:val="00564CFF"/>
    <w:rsid w:val="00564EEC"/>
    <w:rsid w:val="00565522"/>
    <w:rsid w:val="00566A0F"/>
    <w:rsid w:val="005677ED"/>
    <w:rsid w:val="00567CEC"/>
    <w:rsid w:val="0057006A"/>
    <w:rsid w:val="005704B2"/>
    <w:rsid w:val="00571FDA"/>
    <w:rsid w:val="005727F7"/>
    <w:rsid w:val="0057283E"/>
    <w:rsid w:val="0057318C"/>
    <w:rsid w:val="00573801"/>
    <w:rsid w:val="005739C0"/>
    <w:rsid w:val="00573CFC"/>
    <w:rsid w:val="00573FE9"/>
    <w:rsid w:val="00574B73"/>
    <w:rsid w:val="00574C1F"/>
    <w:rsid w:val="00575621"/>
    <w:rsid w:val="00576594"/>
    <w:rsid w:val="00576ADF"/>
    <w:rsid w:val="0057702A"/>
    <w:rsid w:val="005778CF"/>
    <w:rsid w:val="005778E5"/>
    <w:rsid w:val="00577C6A"/>
    <w:rsid w:val="00577E06"/>
    <w:rsid w:val="00577F50"/>
    <w:rsid w:val="005802A5"/>
    <w:rsid w:val="00580817"/>
    <w:rsid w:val="0058093F"/>
    <w:rsid w:val="0058116E"/>
    <w:rsid w:val="0058130A"/>
    <w:rsid w:val="00581379"/>
    <w:rsid w:val="00581535"/>
    <w:rsid w:val="00581542"/>
    <w:rsid w:val="00581BB1"/>
    <w:rsid w:val="00581E1F"/>
    <w:rsid w:val="00581EC0"/>
    <w:rsid w:val="0058249B"/>
    <w:rsid w:val="005826DB"/>
    <w:rsid w:val="00582D18"/>
    <w:rsid w:val="00583F9F"/>
    <w:rsid w:val="005847CE"/>
    <w:rsid w:val="00584969"/>
    <w:rsid w:val="00584C9A"/>
    <w:rsid w:val="00585772"/>
    <w:rsid w:val="0058592B"/>
    <w:rsid w:val="00586490"/>
    <w:rsid w:val="00590223"/>
    <w:rsid w:val="00590EFC"/>
    <w:rsid w:val="0059151A"/>
    <w:rsid w:val="00591800"/>
    <w:rsid w:val="00592317"/>
    <w:rsid w:val="00592897"/>
    <w:rsid w:val="00593269"/>
    <w:rsid w:val="005938A6"/>
    <w:rsid w:val="00594E27"/>
    <w:rsid w:val="0059534E"/>
    <w:rsid w:val="005956E7"/>
    <w:rsid w:val="0059595D"/>
    <w:rsid w:val="00596208"/>
    <w:rsid w:val="0059694D"/>
    <w:rsid w:val="005969D3"/>
    <w:rsid w:val="00597192"/>
    <w:rsid w:val="00597789"/>
    <w:rsid w:val="005977D0"/>
    <w:rsid w:val="00597870"/>
    <w:rsid w:val="005A0103"/>
    <w:rsid w:val="005A01AA"/>
    <w:rsid w:val="005A03D4"/>
    <w:rsid w:val="005A133D"/>
    <w:rsid w:val="005A1A0D"/>
    <w:rsid w:val="005A1B02"/>
    <w:rsid w:val="005A1B26"/>
    <w:rsid w:val="005A1D41"/>
    <w:rsid w:val="005A2731"/>
    <w:rsid w:val="005A28EB"/>
    <w:rsid w:val="005A3700"/>
    <w:rsid w:val="005A4ACE"/>
    <w:rsid w:val="005A511F"/>
    <w:rsid w:val="005A5A6B"/>
    <w:rsid w:val="005A6434"/>
    <w:rsid w:val="005A6440"/>
    <w:rsid w:val="005A67EC"/>
    <w:rsid w:val="005A70F9"/>
    <w:rsid w:val="005A7506"/>
    <w:rsid w:val="005A7FEA"/>
    <w:rsid w:val="005B0C00"/>
    <w:rsid w:val="005B189E"/>
    <w:rsid w:val="005B2001"/>
    <w:rsid w:val="005B21F3"/>
    <w:rsid w:val="005B2C1B"/>
    <w:rsid w:val="005B3F32"/>
    <w:rsid w:val="005B48D0"/>
    <w:rsid w:val="005B54EB"/>
    <w:rsid w:val="005B55ED"/>
    <w:rsid w:val="005B72A5"/>
    <w:rsid w:val="005C0343"/>
    <w:rsid w:val="005C0A82"/>
    <w:rsid w:val="005C0AD7"/>
    <w:rsid w:val="005C15AF"/>
    <w:rsid w:val="005C1A27"/>
    <w:rsid w:val="005C2701"/>
    <w:rsid w:val="005C284C"/>
    <w:rsid w:val="005C2F01"/>
    <w:rsid w:val="005C3034"/>
    <w:rsid w:val="005C3351"/>
    <w:rsid w:val="005C3BA4"/>
    <w:rsid w:val="005C3E92"/>
    <w:rsid w:val="005C4137"/>
    <w:rsid w:val="005C53D6"/>
    <w:rsid w:val="005C569F"/>
    <w:rsid w:val="005C6714"/>
    <w:rsid w:val="005C6D6A"/>
    <w:rsid w:val="005D090A"/>
    <w:rsid w:val="005D0F0F"/>
    <w:rsid w:val="005D1A42"/>
    <w:rsid w:val="005D1D35"/>
    <w:rsid w:val="005D27FE"/>
    <w:rsid w:val="005D326E"/>
    <w:rsid w:val="005D42D5"/>
    <w:rsid w:val="005D526A"/>
    <w:rsid w:val="005D5CE6"/>
    <w:rsid w:val="005D607B"/>
    <w:rsid w:val="005D6A6E"/>
    <w:rsid w:val="005D6BD4"/>
    <w:rsid w:val="005D6DD3"/>
    <w:rsid w:val="005D6FFF"/>
    <w:rsid w:val="005D714C"/>
    <w:rsid w:val="005E07D0"/>
    <w:rsid w:val="005E11F5"/>
    <w:rsid w:val="005E1225"/>
    <w:rsid w:val="005E1B6C"/>
    <w:rsid w:val="005E211F"/>
    <w:rsid w:val="005E240F"/>
    <w:rsid w:val="005E24DC"/>
    <w:rsid w:val="005E2C59"/>
    <w:rsid w:val="005E2E11"/>
    <w:rsid w:val="005E37D6"/>
    <w:rsid w:val="005E4111"/>
    <w:rsid w:val="005E41F3"/>
    <w:rsid w:val="005E43A3"/>
    <w:rsid w:val="005E4C53"/>
    <w:rsid w:val="005E4F9B"/>
    <w:rsid w:val="005E52F3"/>
    <w:rsid w:val="005E541A"/>
    <w:rsid w:val="005E5E64"/>
    <w:rsid w:val="005E673A"/>
    <w:rsid w:val="005E6746"/>
    <w:rsid w:val="005E6A01"/>
    <w:rsid w:val="005E6DA3"/>
    <w:rsid w:val="005E714A"/>
    <w:rsid w:val="005E75CE"/>
    <w:rsid w:val="005E7720"/>
    <w:rsid w:val="005E79D7"/>
    <w:rsid w:val="005E7BA0"/>
    <w:rsid w:val="005F035B"/>
    <w:rsid w:val="005F039A"/>
    <w:rsid w:val="005F0B11"/>
    <w:rsid w:val="005F1BA3"/>
    <w:rsid w:val="005F253E"/>
    <w:rsid w:val="005F2DAD"/>
    <w:rsid w:val="005F3652"/>
    <w:rsid w:val="005F4CE0"/>
    <w:rsid w:val="005F5293"/>
    <w:rsid w:val="005F53D5"/>
    <w:rsid w:val="005F5C62"/>
    <w:rsid w:val="005F61F7"/>
    <w:rsid w:val="005F6BE1"/>
    <w:rsid w:val="005F70B0"/>
    <w:rsid w:val="005F70B3"/>
    <w:rsid w:val="005F7EB0"/>
    <w:rsid w:val="005F7FC2"/>
    <w:rsid w:val="006005DF"/>
    <w:rsid w:val="0060076D"/>
    <w:rsid w:val="00600B32"/>
    <w:rsid w:val="00600E9C"/>
    <w:rsid w:val="00601EEE"/>
    <w:rsid w:val="00602389"/>
    <w:rsid w:val="006028BB"/>
    <w:rsid w:val="00602F6D"/>
    <w:rsid w:val="00604438"/>
    <w:rsid w:val="00604846"/>
    <w:rsid w:val="00605EC1"/>
    <w:rsid w:val="00606313"/>
    <w:rsid w:val="00606539"/>
    <w:rsid w:val="006073A8"/>
    <w:rsid w:val="006075E9"/>
    <w:rsid w:val="00607A66"/>
    <w:rsid w:val="00607D79"/>
    <w:rsid w:val="006111E1"/>
    <w:rsid w:val="00611274"/>
    <w:rsid w:val="00611D9A"/>
    <w:rsid w:val="006123F1"/>
    <w:rsid w:val="00612EC2"/>
    <w:rsid w:val="00613A9A"/>
    <w:rsid w:val="006151A0"/>
    <w:rsid w:val="0061532D"/>
    <w:rsid w:val="006156AB"/>
    <w:rsid w:val="00615F86"/>
    <w:rsid w:val="00617920"/>
    <w:rsid w:val="00617972"/>
    <w:rsid w:val="00617E51"/>
    <w:rsid w:val="00620D41"/>
    <w:rsid w:val="006211AB"/>
    <w:rsid w:val="006212E2"/>
    <w:rsid w:val="00622443"/>
    <w:rsid w:val="00622CA7"/>
    <w:rsid w:val="0062323A"/>
    <w:rsid w:val="00623829"/>
    <w:rsid w:val="0062408D"/>
    <w:rsid w:val="0062595B"/>
    <w:rsid w:val="00626550"/>
    <w:rsid w:val="006307E0"/>
    <w:rsid w:val="00631979"/>
    <w:rsid w:val="0063202C"/>
    <w:rsid w:val="00632324"/>
    <w:rsid w:val="00633224"/>
    <w:rsid w:val="006338B9"/>
    <w:rsid w:val="00633B35"/>
    <w:rsid w:val="00633DB3"/>
    <w:rsid w:val="006344E9"/>
    <w:rsid w:val="006349C5"/>
    <w:rsid w:val="006356BE"/>
    <w:rsid w:val="0063586C"/>
    <w:rsid w:val="006359DA"/>
    <w:rsid w:val="00635CE5"/>
    <w:rsid w:val="006373AA"/>
    <w:rsid w:val="00637AF1"/>
    <w:rsid w:val="00637D67"/>
    <w:rsid w:val="00640EE8"/>
    <w:rsid w:val="006417D0"/>
    <w:rsid w:val="006421CD"/>
    <w:rsid w:val="00642660"/>
    <w:rsid w:val="00642C19"/>
    <w:rsid w:val="00642FB1"/>
    <w:rsid w:val="006433E2"/>
    <w:rsid w:val="0064343C"/>
    <w:rsid w:val="006439FB"/>
    <w:rsid w:val="00643B1E"/>
    <w:rsid w:val="00643B44"/>
    <w:rsid w:val="00644063"/>
    <w:rsid w:val="00646239"/>
    <w:rsid w:val="00646351"/>
    <w:rsid w:val="00646818"/>
    <w:rsid w:val="00646C2B"/>
    <w:rsid w:val="00647977"/>
    <w:rsid w:val="006504B1"/>
    <w:rsid w:val="006504E9"/>
    <w:rsid w:val="00650670"/>
    <w:rsid w:val="006515D2"/>
    <w:rsid w:val="00651A56"/>
    <w:rsid w:val="00651DAE"/>
    <w:rsid w:val="006523A6"/>
    <w:rsid w:val="00652C6A"/>
    <w:rsid w:val="00652ED0"/>
    <w:rsid w:val="00652F8B"/>
    <w:rsid w:val="0065338D"/>
    <w:rsid w:val="006534BA"/>
    <w:rsid w:val="00653D23"/>
    <w:rsid w:val="0065439D"/>
    <w:rsid w:val="00654F26"/>
    <w:rsid w:val="0065514D"/>
    <w:rsid w:val="0065575B"/>
    <w:rsid w:val="00655A86"/>
    <w:rsid w:val="006563F9"/>
    <w:rsid w:val="00661BF3"/>
    <w:rsid w:val="00662BC4"/>
    <w:rsid w:val="00662C96"/>
    <w:rsid w:val="006637F1"/>
    <w:rsid w:val="00663CC8"/>
    <w:rsid w:val="00664267"/>
    <w:rsid w:val="00664312"/>
    <w:rsid w:val="00664415"/>
    <w:rsid w:val="006648A4"/>
    <w:rsid w:val="00664B49"/>
    <w:rsid w:val="00665883"/>
    <w:rsid w:val="00665FEF"/>
    <w:rsid w:val="006677AF"/>
    <w:rsid w:val="00667AB3"/>
    <w:rsid w:val="0067095A"/>
    <w:rsid w:val="006709B9"/>
    <w:rsid w:val="00670F4A"/>
    <w:rsid w:val="00671DE5"/>
    <w:rsid w:val="00674808"/>
    <w:rsid w:val="00675C40"/>
    <w:rsid w:val="00676785"/>
    <w:rsid w:val="00676DF3"/>
    <w:rsid w:val="0067773E"/>
    <w:rsid w:val="006800C7"/>
    <w:rsid w:val="00680469"/>
    <w:rsid w:val="00680F39"/>
    <w:rsid w:val="0068124F"/>
    <w:rsid w:val="006814BC"/>
    <w:rsid w:val="00681E64"/>
    <w:rsid w:val="00682BC5"/>
    <w:rsid w:val="00682CFD"/>
    <w:rsid w:val="0068304D"/>
    <w:rsid w:val="00683B54"/>
    <w:rsid w:val="00684381"/>
    <w:rsid w:val="0068598F"/>
    <w:rsid w:val="00686033"/>
    <w:rsid w:val="00686FB2"/>
    <w:rsid w:val="00687635"/>
    <w:rsid w:val="006879E0"/>
    <w:rsid w:val="00687C45"/>
    <w:rsid w:val="00687FB9"/>
    <w:rsid w:val="006915B2"/>
    <w:rsid w:val="00692118"/>
    <w:rsid w:val="00692428"/>
    <w:rsid w:val="00692EB0"/>
    <w:rsid w:val="00693A61"/>
    <w:rsid w:val="006943D7"/>
    <w:rsid w:val="0069471C"/>
    <w:rsid w:val="00694AE8"/>
    <w:rsid w:val="006952D3"/>
    <w:rsid w:val="0069550E"/>
    <w:rsid w:val="006955E0"/>
    <w:rsid w:val="006964F5"/>
    <w:rsid w:val="00696515"/>
    <w:rsid w:val="006973ED"/>
    <w:rsid w:val="0069753F"/>
    <w:rsid w:val="00697AE8"/>
    <w:rsid w:val="00697FA9"/>
    <w:rsid w:val="006A056A"/>
    <w:rsid w:val="006A09F2"/>
    <w:rsid w:val="006A20C8"/>
    <w:rsid w:val="006A26F7"/>
    <w:rsid w:val="006A2800"/>
    <w:rsid w:val="006A328A"/>
    <w:rsid w:val="006A336D"/>
    <w:rsid w:val="006A447C"/>
    <w:rsid w:val="006A4BE7"/>
    <w:rsid w:val="006A4EE2"/>
    <w:rsid w:val="006A538E"/>
    <w:rsid w:val="006A5822"/>
    <w:rsid w:val="006A5E01"/>
    <w:rsid w:val="006A678F"/>
    <w:rsid w:val="006A6B0E"/>
    <w:rsid w:val="006A749F"/>
    <w:rsid w:val="006A7574"/>
    <w:rsid w:val="006A79B4"/>
    <w:rsid w:val="006A79F5"/>
    <w:rsid w:val="006A7F28"/>
    <w:rsid w:val="006B001D"/>
    <w:rsid w:val="006B062A"/>
    <w:rsid w:val="006B132A"/>
    <w:rsid w:val="006B15FB"/>
    <w:rsid w:val="006B1792"/>
    <w:rsid w:val="006B2007"/>
    <w:rsid w:val="006B210D"/>
    <w:rsid w:val="006B23DE"/>
    <w:rsid w:val="006B34A5"/>
    <w:rsid w:val="006B37B5"/>
    <w:rsid w:val="006B5BDD"/>
    <w:rsid w:val="006B667A"/>
    <w:rsid w:val="006B6925"/>
    <w:rsid w:val="006B6EFB"/>
    <w:rsid w:val="006B7135"/>
    <w:rsid w:val="006B7162"/>
    <w:rsid w:val="006B7B06"/>
    <w:rsid w:val="006B7D4E"/>
    <w:rsid w:val="006C0179"/>
    <w:rsid w:val="006C06D2"/>
    <w:rsid w:val="006C0BB4"/>
    <w:rsid w:val="006C0E2B"/>
    <w:rsid w:val="006C1608"/>
    <w:rsid w:val="006C1A49"/>
    <w:rsid w:val="006C1A8A"/>
    <w:rsid w:val="006C2943"/>
    <w:rsid w:val="006C296D"/>
    <w:rsid w:val="006C29DC"/>
    <w:rsid w:val="006C2A1E"/>
    <w:rsid w:val="006C35A5"/>
    <w:rsid w:val="006C3F2C"/>
    <w:rsid w:val="006C4A89"/>
    <w:rsid w:val="006C4E2F"/>
    <w:rsid w:val="006C6456"/>
    <w:rsid w:val="006C69D1"/>
    <w:rsid w:val="006C6F3C"/>
    <w:rsid w:val="006C6F8C"/>
    <w:rsid w:val="006C6FC9"/>
    <w:rsid w:val="006C7079"/>
    <w:rsid w:val="006C78AA"/>
    <w:rsid w:val="006CAB8E"/>
    <w:rsid w:val="006D01B9"/>
    <w:rsid w:val="006D0249"/>
    <w:rsid w:val="006D0AF7"/>
    <w:rsid w:val="006D1680"/>
    <w:rsid w:val="006D244E"/>
    <w:rsid w:val="006D2627"/>
    <w:rsid w:val="006D2E8D"/>
    <w:rsid w:val="006D321C"/>
    <w:rsid w:val="006D35A4"/>
    <w:rsid w:val="006D374A"/>
    <w:rsid w:val="006D3750"/>
    <w:rsid w:val="006D4269"/>
    <w:rsid w:val="006D436E"/>
    <w:rsid w:val="006D462B"/>
    <w:rsid w:val="006D51BF"/>
    <w:rsid w:val="006D584F"/>
    <w:rsid w:val="006D5B39"/>
    <w:rsid w:val="006D5DE2"/>
    <w:rsid w:val="006D615E"/>
    <w:rsid w:val="006D622C"/>
    <w:rsid w:val="006D63E7"/>
    <w:rsid w:val="006D7D31"/>
    <w:rsid w:val="006E0F24"/>
    <w:rsid w:val="006E25DD"/>
    <w:rsid w:val="006E45FB"/>
    <w:rsid w:val="006E464C"/>
    <w:rsid w:val="006E48B0"/>
    <w:rsid w:val="006E4D3D"/>
    <w:rsid w:val="006E504D"/>
    <w:rsid w:val="006E59A6"/>
    <w:rsid w:val="006E5B53"/>
    <w:rsid w:val="006E6955"/>
    <w:rsid w:val="006E6F9D"/>
    <w:rsid w:val="006E70D1"/>
    <w:rsid w:val="006E77D2"/>
    <w:rsid w:val="006F08B8"/>
    <w:rsid w:val="006F0FBA"/>
    <w:rsid w:val="006F1444"/>
    <w:rsid w:val="006F16A3"/>
    <w:rsid w:val="006F26B0"/>
    <w:rsid w:val="006F3249"/>
    <w:rsid w:val="006F5C9C"/>
    <w:rsid w:val="006F6449"/>
    <w:rsid w:val="006F6670"/>
    <w:rsid w:val="006F6A58"/>
    <w:rsid w:val="006F6B01"/>
    <w:rsid w:val="006F7AEA"/>
    <w:rsid w:val="006F7C7B"/>
    <w:rsid w:val="006F7EC5"/>
    <w:rsid w:val="007005F4"/>
    <w:rsid w:val="00700836"/>
    <w:rsid w:val="00700C09"/>
    <w:rsid w:val="00702562"/>
    <w:rsid w:val="00702949"/>
    <w:rsid w:val="00703596"/>
    <w:rsid w:val="00703681"/>
    <w:rsid w:val="00703A49"/>
    <w:rsid w:val="00703CF2"/>
    <w:rsid w:val="00703FF0"/>
    <w:rsid w:val="007040CD"/>
    <w:rsid w:val="0070496B"/>
    <w:rsid w:val="00704DEF"/>
    <w:rsid w:val="00705E3C"/>
    <w:rsid w:val="007060D2"/>
    <w:rsid w:val="007066AC"/>
    <w:rsid w:val="00706832"/>
    <w:rsid w:val="00706A24"/>
    <w:rsid w:val="00706D7D"/>
    <w:rsid w:val="00707144"/>
    <w:rsid w:val="00707253"/>
    <w:rsid w:val="0070790F"/>
    <w:rsid w:val="00707E05"/>
    <w:rsid w:val="00710BDF"/>
    <w:rsid w:val="00710E8A"/>
    <w:rsid w:val="007115D8"/>
    <w:rsid w:val="00711A18"/>
    <w:rsid w:val="00711D2C"/>
    <w:rsid w:val="0071223D"/>
    <w:rsid w:val="00712B0C"/>
    <w:rsid w:val="00712CD8"/>
    <w:rsid w:val="00712F91"/>
    <w:rsid w:val="0071441A"/>
    <w:rsid w:val="00714BA3"/>
    <w:rsid w:val="007160AE"/>
    <w:rsid w:val="00717388"/>
    <w:rsid w:val="00717406"/>
    <w:rsid w:val="007174E9"/>
    <w:rsid w:val="0072085B"/>
    <w:rsid w:val="00720908"/>
    <w:rsid w:val="00720C57"/>
    <w:rsid w:val="007210BC"/>
    <w:rsid w:val="007214E8"/>
    <w:rsid w:val="007217E5"/>
    <w:rsid w:val="00722A8B"/>
    <w:rsid w:val="0072322B"/>
    <w:rsid w:val="007237C0"/>
    <w:rsid w:val="00723E01"/>
    <w:rsid w:val="00724879"/>
    <w:rsid w:val="00725064"/>
    <w:rsid w:val="00725336"/>
    <w:rsid w:val="0072582A"/>
    <w:rsid w:val="00726907"/>
    <w:rsid w:val="00726DE5"/>
    <w:rsid w:val="00726EC6"/>
    <w:rsid w:val="00727166"/>
    <w:rsid w:val="00727ED3"/>
    <w:rsid w:val="00730777"/>
    <w:rsid w:val="00730DF4"/>
    <w:rsid w:val="00731E3F"/>
    <w:rsid w:val="00732022"/>
    <w:rsid w:val="00732271"/>
    <w:rsid w:val="00732486"/>
    <w:rsid w:val="00735B65"/>
    <w:rsid w:val="0073732D"/>
    <w:rsid w:val="0073769D"/>
    <w:rsid w:val="00737764"/>
    <w:rsid w:val="00737FB7"/>
    <w:rsid w:val="0074063D"/>
    <w:rsid w:val="007414F5"/>
    <w:rsid w:val="00741861"/>
    <w:rsid w:val="00742E5D"/>
    <w:rsid w:val="007430B3"/>
    <w:rsid w:val="00743576"/>
    <w:rsid w:val="00743A66"/>
    <w:rsid w:val="0074480E"/>
    <w:rsid w:val="00744A62"/>
    <w:rsid w:val="00745256"/>
    <w:rsid w:val="00745389"/>
    <w:rsid w:val="00745499"/>
    <w:rsid w:val="00745A80"/>
    <w:rsid w:val="00745B7E"/>
    <w:rsid w:val="00746098"/>
    <w:rsid w:val="00746434"/>
    <w:rsid w:val="00746D11"/>
    <w:rsid w:val="00746D8C"/>
    <w:rsid w:val="007470F4"/>
    <w:rsid w:val="0074757C"/>
    <w:rsid w:val="00750259"/>
    <w:rsid w:val="00751679"/>
    <w:rsid w:val="00752404"/>
    <w:rsid w:val="0075267E"/>
    <w:rsid w:val="00752DF3"/>
    <w:rsid w:val="00752F82"/>
    <w:rsid w:val="0075318C"/>
    <w:rsid w:val="00753D31"/>
    <w:rsid w:val="00753E53"/>
    <w:rsid w:val="007545F6"/>
    <w:rsid w:val="007548B7"/>
    <w:rsid w:val="00754AB4"/>
    <w:rsid w:val="00755192"/>
    <w:rsid w:val="0075529B"/>
    <w:rsid w:val="0075558A"/>
    <w:rsid w:val="00755C48"/>
    <w:rsid w:val="007567EE"/>
    <w:rsid w:val="0075703B"/>
    <w:rsid w:val="007570EB"/>
    <w:rsid w:val="007574DB"/>
    <w:rsid w:val="00757709"/>
    <w:rsid w:val="00757BDE"/>
    <w:rsid w:val="00757D10"/>
    <w:rsid w:val="007609D9"/>
    <w:rsid w:val="00760B9B"/>
    <w:rsid w:val="0076160D"/>
    <w:rsid w:val="00763726"/>
    <w:rsid w:val="00763C61"/>
    <w:rsid w:val="007640DC"/>
    <w:rsid w:val="00764BEE"/>
    <w:rsid w:val="00764BFD"/>
    <w:rsid w:val="00765362"/>
    <w:rsid w:val="00765786"/>
    <w:rsid w:val="00765D2B"/>
    <w:rsid w:val="00766C91"/>
    <w:rsid w:val="00766DE3"/>
    <w:rsid w:val="00767A98"/>
    <w:rsid w:val="00767EC9"/>
    <w:rsid w:val="0077001F"/>
    <w:rsid w:val="007702DF"/>
    <w:rsid w:val="007716D0"/>
    <w:rsid w:val="0077203C"/>
    <w:rsid w:val="00773992"/>
    <w:rsid w:val="00774761"/>
    <w:rsid w:val="00774BC2"/>
    <w:rsid w:val="00775128"/>
    <w:rsid w:val="007755DD"/>
    <w:rsid w:val="00775968"/>
    <w:rsid w:val="00775CA4"/>
    <w:rsid w:val="00776683"/>
    <w:rsid w:val="00776915"/>
    <w:rsid w:val="00777230"/>
    <w:rsid w:val="00777346"/>
    <w:rsid w:val="007773C2"/>
    <w:rsid w:val="00780A4A"/>
    <w:rsid w:val="00780E82"/>
    <w:rsid w:val="00780F43"/>
    <w:rsid w:val="007810ED"/>
    <w:rsid w:val="00781312"/>
    <w:rsid w:val="0078147F"/>
    <w:rsid w:val="007814F6"/>
    <w:rsid w:val="00781BD2"/>
    <w:rsid w:val="0078222A"/>
    <w:rsid w:val="007823A5"/>
    <w:rsid w:val="007829EE"/>
    <w:rsid w:val="00782A8E"/>
    <w:rsid w:val="007833BE"/>
    <w:rsid w:val="007835B4"/>
    <w:rsid w:val="00783887"/>
    <w:rsid w:val="00783A7F"/>
    <w:rsid w:val="00783E85"/>
    <w:rsid w:val="00784FB6"/>
    <w:rsid w:val="00785B8F"/>
    <w:rsid w:val="0078652C"/>
    <w:rsid w:val="00786975"/>
    <w:rsid w:val="00787015"/>
    <w:rsid w:val="00787E36"/>
    <w:rsid w:val="00790144"/>
    <w:rsid w:val="007901F3"/>
    <w:rsid w:val="00790761"/>
    <w:rsid w:val="007910F5"/>
    <w:rsid w:val="0079118B"/>
    <w:rsid w:val="007914A1"/>
    <w:rsid w:val="0079156A"/>
    <w:rsid w:val="00791A81"/>
    <w:rsid w:val="00791D5A"/>
    <w:rsid w:val="007931C9"/>
    <w:rsid w:val="0079367D"/>
    <w:rsid w:val="007936E6"/>
    <w:rsid w:val="0079463D"/>
    <w:rsid w:val="00794A22"/>
    <w:rsid w:val="00795696"/>
    <w:rsid w:val="00795788"/>
    <w:rsid w:val="0079590E"/>
    <w:rsid w:val="0079673B"/>
    <w:rsid w:val="00796F68"/>
    <w:rsid w:val="007A010C"/>
    <w:rsid w:val="007A012E"/>
    <w:rsid w:val="007A02A1"/>
    <w:rsid w:val="007A0D2D"/>
    <w:rsid w:val="007A134B"/>
    <w:rsid w:val="007A210D"/>
    <w:rsid w:val="007A229F"/>
    <w:rsid w:val="007A2CF8"/>
    <w:rsid w:val="007A2E3B"/>
    <w:rsid w:val="007A2FC7"/>
    <w:rsid w:val="007A45FD"/>
    <w:rsid w:val="007A4637"/>
    <w:rsid w:val="007A4C17"/>
    <w:rsid w:val="007A5315"/>
    <w:rsid w:val="007A5A5B"/>
    <w:rsid w:val="007A6D05"/>
    <w:rsid w:val="007A72F9"/>
    <w:rsid w:val="007A7BFD"/>
    <w:rsid w:val="007B02B4"/>
    <w:rsid w:val="007B124D"/>
    <w:rsid w:val="007B1C6A"/>
    <w:rsid w:val="007B1EF6"/>
    <w:rsid w:val="007B27D2"/>
    <w:rsid w:val="007B2D67"/>
    <w:rsid w:val="007B3445"/>
    <w:rsid w:val="007B35E4"/>
    <w:rsid w:val="007B36A6"/>
    <w:rsid w:val="007B42D4"/>
    <w:rsid w:val="007B4AE2"/>
    <w:rsid w:val="007B4F2D"/>
    <w:rsid w:val="007B53BB"/>
    <w:rsid w:val="007B5FA8"/>
    <w:rsid w:val="007B608B"/>
    <w:rsid w:val="007B66E6"/>
    <w:rsid w:val="007B6952"/>
    <w:rsid w:val="007B6BEF"/>
    <w:rsid w:val="007B744C"/>
    <w:rsid w:val="007B7A36"/>
    <w:rsid w:val="007B7B94"/>
    <w:rsid w:val="007C063F"/>
    <w:rsid w:val="007C0DDC"/>
    <w:rsid w:val="007C13D9"/>
    <w:rsid w:val="007C197E"/>
    <w:rsid w:val="007C1CBF"/>
    <w:rsid w:val="007C1F35"/>
    <w:rsid w:val="007C2534"/>
    <w:rsid w:val="007C25F8"/>
    <w:rsid w:val="007C2C54"/>
    <w:rsid w:val="007C338B"/>
    <w:rsid w:val="007C3C47"/>
    <w:rsid w:val="007C4431"/>
    <w:rsid w:val="007C4977"/>
    <w:rsid w:val="007C4BCE"/>
    <w:rsid w:val="007C4E64"/>
    <w:rsid w:val="007C5278"/>
    <w:rsid w:val="007C586F"/>
    <w:rsid w:val="007C59E3"/>
    <w:rsid w:val="007C5AC8"/>
    <w:rsid w:val="007C5C9B"/>
    <w:rsid w:val="007C6694"/>
    <w:rsid w:val="007C6BF4"/>
    <w:rsid w:val="007C6E28"/>
    <w:rsid w:val="007C6ED1"/>
    <w:rsid w:val="007C71B1"/>
    <w:rsid w:val="007C7E2D"/>
    <w:rsid w:val="007D0555"/>
    <w:rsid w:val="007D063C"/>
    <w:rsid w:val="007D1800"/>
    <w:rsid w:val="007D2A0D"/>
    <w:rsid w:val="007D40E9"/>
    <w:rsid w:val="007D49A6"/>
    <w:rsid w:val="007D4BED"/>
    <w:rsid w:val="007D50B7"/>
    <w:rsid w:val="007D5D01"/>
    <w:rsid w:val="007D5EB5"/>
    <w:rsid w:val="007D5F86"/>
    <w:rsid w:val="007D658E"/>
    <w:rsid w:val="007D7A4C"/>
    <w:rsid w:val="007E06F1"/>
    <w:rsid w:val="007E0A54"/>
    <w:rsid w:val="007E0D01"/>
    <w:rsid w:val="007E0E60"/>
    <w:rsid w:val="007E11DC"/>
    <w:rsid w:val="007E1674"/>
    <w:rsid w:val="007E1AA6"/>
    <w:rsid w:val="007E2C81"/>
    <w:rsid w:val="007E3062"/>
    <w:rsid w:val="007E3130"/>
    <w:rsid w:val="007E3EE9"/>
    <w:rsid w:val="007E4A50"/>
    <w:rsid w:val="007E5300"/>
    <w:rsid w:val="007E56CF"/>
    <w:rsid w:val="007E6781"/>
    <w:rsid w:val="007E7DEA"/>
    <w:rsid w:val="007F030A"/>
    <w:rsid w:val="007F1AE0"/>
    <w:rsid w:val="007F1E4F"/>
    <w:rsid w:val="007F298C"/>
    <w:rsid w:val="007F29EB"/>
    <w:rsid w:val="007F2D38"/>
    <w:rsid w:val="007F2EA5"/>
    <w:rsid w:val="007F3070"/>
    <w:rsid w:val="007F3DCD"/>
    <w:rsid w:val="007F4DC0"/>
    <w:rsid w:val="007F522C"/>
    <w:rsid w:val="007F54AA"/>
    <w:rsid w:val="007F5D89"/>
    <w:rsid w:val="007F61BC"/>
    <w:rsid w:val="007F629C"/>
    <w:rsid w:val="007F6E21"/>
    <w:rsid w:val="00800042"/>
    <w:rsid w:val="0080018A"/>
    <w:rsid w:val="008007A4"/>
    <w:rsid w:val="0080135F"/>
    <w:rsid w:val="008021C2"/>
    <w:rsid w:val="00802412"/>
    <w:rsid w:val="00803071"/>
    <w:rsid w:val="008034F0"/>
    <w:rsid w:val="00804394"/>
    <w:rsid w:val="00804411"/>
    <w:rsid w:val="00804470"/>
    <w:rsid w:val="0080575F"/>
    <w:rsid w:val="008070D0"/>
    <w:rsid w:val="00807430"/>
    <w:rsid w:val="00807B08"/>
    <w:rsid w:val="00807F2F"/>
    <w:rsid w:val="00810143"/>
    <w:rsid w:val="00810563"/>
    <w:rsid w:val="008109E8"/>
    <w:rsid w:val="00810E45"/>
    <w:rsid w:val="008117D6"/>
    <w:rsid w:val="0081184C"/>
    <w:rsid w:val="00811C30"/>
    <w:rsid w:val="0081253F"/>
    <w:rsid w:val="00812683"/>
    <w:rsid w:val="0081288D"/>
    <w:rsid w:val="00813A73"/>
    <w:rsid w:val="00813F0A"/>
    <w:rsid w:val="00814036"/>
    <w:rsid w:val="00814081"/>
    <w:rsid w:val="00814AA6"/>
    <w:rsid w:val="00814EF5"/>
    <w:rsid w:val="00815116"/>
    <w:rsid w:val="00815159"/>
    <w:rsid w:val="008152CB"/>
    <w:rsid w:val="008152E4"/>
    <w:rsid w:val="00815C14"/>
    <w:rsid w:val="00815C45"/>
    <w:rsid w:val="008166D2"/>
    <w:rsid w:val="00817079"/>
    <w:rsid w:val="00817330"/>
    <w:rsid w:val="008174D9"/>
    <w:rsid w:val="0081754F"/>
    <w:rsid w:val="008176A8"/>
    <w:rsid w:val="008176AD"/>
    <w:rsid w:val="00817A95"/>
    <w:rsid w:val="00817C6F"/>
    <w:rsid w:val="008208A6"/>
    <w:rsid w:val="00820C68"/>
    <w:rsid w:val="00820DCB"/>
    <w:rsid w:val="008213EA"/>
    <w:rsid w:val="008219BC"/>
    <w:rsid w:val="00821D79"/>
    <w:rsid w:val="008229DE"/>
    <w:rsid w:val="0082427F"/>
    <w:rsid w:val="008244F0"/>
    <w:rsid w:val="0082457B"/>
    <w:rsid w:val="008248D3"/>
    <w:rsid w:val="0082526C"/>
    <w:rsid w:val="00825369"/>
    <w:rsid w:val="008255E1"/>
    <w:rsid w:val="00825DBA"/>
    <w:rsid w:val="00825E9A"/>
    <w:rsid w:val="00826035"/>
    <w:rsid w:val="0082625B"/>
    <w:rsid w:val="008262B4"/>
    <w:rsid w:val="008269C5"/>
    <w:rsid w:val="008278DD"/>
    <w:rsid w:val="00827DCB"/>
    <w:rsid w:val="00830B47"/>
    <w:rsid w:val="00831092"/>
    <w:rsid w:val="00831399"/>
    <w:rsid w:val="00831606"/>
    <w:rsid w:val="00831D5B"/>
    <w:rsid w:val="008323D0"/>
    <w:rsid w:val="0083280D"/>
    <w:rsid w:val="00832902"/>
    <w:rsid w:val="00833960"/>
    <w:rsid w:val="00834330"/>
    <w:rsid w:val="00834F58"/>
    <w:rsid w:val="0083562A"/>
    <w:rsid w:val="00835C50"/>
    <w:rsid w:val="008362A9"/>
    <w:rsid w:val="008364F1"/>
    <w:rsid w:val="008368CC"/>
    <w:rsid w:val="00837C69"/>
    <w:rsid w:val="00837F11"/>
    <w:rsid w:val="00837FDD"/>
    <w:rsid w:val="0084043B"/>
    <w:rsid w:val="00840F42"/>
    <w:rsid w:val="00841BBF"/>
    <w:rsid w:val="00841BDF"/>
    <w:rsid w:val="0084241A"/>
    <w:rsid w:val="00842A2D"/>
    <w:rsid w:val="00842B4A"/>
    <w:rsid w:val="008449CB"/>
    <w:rsid w:val="0084565D"/>
    <w:rsid w:val="0084567C"/>
    <w:rsid w:val="008460DF"/>
    <w:rsid w:val="008469ED"/>
    <w:rsid w:val="00846A52"/>
    <w:rsid w:val="00846B32"/>
    <w:rsid w:val="00846BC2"/>
    <w:rsid w:val="00850686"/>
    <w:rsid w:val="00851256"/>
    <w:rsid w:val="008512CB"/>
    <w:rsid w:val="008513B8"/>
    <w:rsid w:val="00851487"/>
    <w:rsid w:val="00851531"/>
    <w:rsid w:val="00851781"/>
    <w:rsid w:val="00851885"/>
    <w:rsid w:val="00852A50"/>
    <w:rsid w:val="0085438B"/>
    <w:rsid w:val="008545C3"/>
    <w:rsid w:val="00854BAC"/>
    <w:rsid w:val="0085567C"/>
    <w:rsid w:val="00855868"/>
    <w:rsid w:val="008558AA"/>
    <w:rsid w:val="00855C55"/>
    <w:rsid w:val="00855D5B"/>
    <w:rsid w:val="00856760"/>
    <w:rsid w:val="0085702B"/>
    <w:rsid w:val="0085728D"/>
    <w:rsid w:val="00860325"/>
    <w:rsid w:val="00860582"/>
    <w:rsid w:val="0086114E"/>
    <w:rsid w:val="00861DC9"/>
    <w:rsid w:val="0086232D"/>
    <w:rsid w:val="0086311C"/>
    <w:rsid w:val="00863FB5"/>
    <w:rsid w:val="00864191"/>
    <w:rsid w:val="00864239"/>
    <w:rsid w:val="008644CF"/>
    <w:rsid w:val="00865408"/>
    <w:rsid w:val="0086600B"/>
    <w:rsid w:val="00866C16"/>
    <w:rsid w:val="00866F90"/>
    <w:rsid w:val="00866FFA"/>
    <w:rsid w:val="00867681"/>
    <w:rsid w:val="008707C2"/>
    <w:rsid w:val="00870940"/>
    <w:rsid w:val="0087098A"/>
    <w:rsid w:val="00871148"/>
    <w:rsid w:val="00871772"/>
    <w:rsid w:val="008718BF"/>
    <w:rsid w:val="00871C81"/>
    <w:rsid w:val="008724F0"/>
    <w:rsid w:val="00872BEA"/>
    <w:rsid w:val="00872EAA"/>
    <w:rsid w:val="008742F1"/>
    <w:rsid w:val="00875A3E"/>
    <w:rsid w:val="00876195"/>
    <w:rsid w:val="00876CAC"/>
    <w:rsid w:val="00877514"/>
    <w:rsid w:val="00877855"/>
    <w:rsid w:val="008779D0"/>
    <w:rsid w:val="00877FAA"/>
    <w:rsid w:val="00880237"/>
    <w:rsid w:val="00880B1C"/>
    <w:rsid w:val="00880C4A"/>
    <w:rsid w:val="008831CB"/>
    <w:rsid w:val="00883A48"/>
    <w:rsid w:val="00883C4F"/>
    <w:rsid w:val="00883DA6"/>
    <w:rsid w:val="00884097"/>
    <w:rsid w:val="00884564"/>
    <w:rsid w:val="00885BF3"/>
    <w:rsid w:val="0088678B"/>
    <w:rsid w:val="00886EC7"/>
    <w:rsid w:val="00887447"/>
    <w:rsid w:val="0088781B"/>
    <w:rsid w:val="00887E66"/>
    <w:rsid w:val="00890150"/>
    <w:rsid w:val="008903FE"/>
    <w:rsid w:val="0089041A"/>
    <w:rsid w:val="00890983"/>
    <w:rsid w:val="00890B9A"/>
    <w:rsid w:val="00890E4D"/>
    <w:rsid w:val="0089171B"/>
    <w:rsid w:val="00891F04"/>
    <w:rsid w:val="00892703"/>
    <w:rsid w:val="00892F96"/>
    <w:rsid w:val="008938AB"/>
    <w:rsid w:val="00893AAE"/>
    <w:rsid w:val="008941CE"/>
    <w:rsid w:val="00894677"/>
    <w:rsid w:val="008949CC"/>
    <w:rsid w:val="0089515D"/>
    <w:rsid w:val="0089566F"/>
    <w:rsid w:val="00896BCD"/>
    <w:rsid w:val="00896BEF"/>
    <w:rsid w:val="00896F56"/>
    <w:rsid w:val="00897178"/>
    <w:rsid w:val="008978D2"/>
    <w:rsid w:val="008A0A8A"/>
    <w:rsid w:val="008A1818"/>
    <w:rsid w:val="008A1F55"/>
    <w:rsid w:val="008A26CE"/>
    <w:rsid w:val="008A2A2F"/>
    <w:rsid w:val="008A33FD"/>
    <w:rsid w:val="008A3977"/>
    <w:rsid w:val="008A3E9F"/>
    <w:rsid w:val="008A43DC"/>
    <w:rsid w:val="008A47F7"/>
    <w:rsid w:val="008A680A"/>
    <w:rsid w:val="008A7523"/>
    <w:rsid w:val="008A75C3"/>
    <w:rsid w:val="008A7831"/>
    <w:rsid w:val="008A78F2"/>
    <w:rsid w:val="008B01EA"/>
    <w:rsid w:val="008B0615"/>
    <w:rsid w:val="008B098D"/>
    <w:rsid w:val="008B0A5A"/>
    <w:rsid w:val="008B1089"/>
    <w:rsid w:val="008B21CA"/>
    <w:rsid w:val="008B2340"/>
    <w:rsid w:val="008B2431"/>
    <w:rsid w:val="008B2F4A"/>
    <w:rsid w:val="008B38CC"/>
    <w:rsid w:val="008B39A9"/>
    <w:rsid w:val="008B41AC"/>
    <w:rsid w:val="008B54E7"/>
    <w:rsid w:val="008B5CC3"/>
    <w:rsid w:val="008B60F6"/>
    <w:rsid w:val="008B651D"/>
    <w:rsid w:val="008B6713"/>
    <w:rsid w:val="008B6A8E"/>
    <w:rsid w:val="008C154D"/>
    <w:rsid w:val="008C2ACB"/>
    <w:rsid w:val="008C2C1B"/>
    <w:rsid w:val="008C2FFC"/>
    <w:rsid w:val="008C47CB"/>
    <w:rsid w:val="008C5398"/>
    <w:rsid w:val="008C61BE"/>
    <w:rsid w:val="008C6265"/>
    <w:rsid w:val="008C6A4C"/>
    <w:rsid w:val="008C796A"/>
    <w:rsid w:val="008C79D5"/>
    <w:rsid w:val="008C7D1C"/>
    <w:rsid w:val="008C7D2D"/>
    <w:rsid w:val="008D07D5"/>
    <w:rsid w:val="008D1678"/>
    <w:rsid w:val="008D19C1"/>
    <w:rsid w:val="008D3086"/>
    <w:rsid w:val="008D3599"/>
    <w:rsid w:val="008D3A68"/>
    <w:rsid w:val="008D3E2A"/>
    <w:rsid w:val="008D4106"/>
    <w:rsid w:val="008D610F"/>
    <w:rsid w:val="008D639D"/>
    <w:rsid w:val="008D7C67"/>
    <w:rsid w:val="008E010E"/>
    <w:rsid w:val="008E06F0"/>
    <w:rsid w:val="008E0A42"/>
    <w:rsid w:val="008E0A9B"/>
    <w:rsid w:val="008E0D2E"/>
    <w:rsid w:val="008E1B7E"/>
    <w:rsid w:val="008E1CF9"/>
    <w:rsid w:val="008E2331"/>
    <w:rsid w:val="008E26BE"/>
    <w:rsid w:val="008E286B"/>
    <w:rsid w:val="008E42A1"/>
    <w:rsid w:val="008E492A"/>
    <w:rsid w:val="008E4DAE"/>
    <w:rsid w:val="008E5643"/>
    <w:rsid w:val="008E6253"/>
    <w:rsid w:val="008E65A8"/>
    <w:rsid w:val="008E6D8D"/>
    <w:rsid w:val="008E724F"/>
    <w:rsid w:val="008E791A"/>
    <w:rsid w:val="008E7974"/>
    <w:rsid w:val="008F0D6F"/>
    <w:rsid w:val="008F2058"/>
    <w:rsid w:val="008F23C3"/>
    <w:rsid w:val="008F26C8"/>
    <w:rsid w:val="008F2AFF"/>
    <w:rsid w:val="008F2D94"/>
    <w:rsid w:val="008F30CD"/>
    <w:rsid w:val="008F32EB"/>
    <w:rsid w:val="008F427A"/>
    <w:rsid w:val="008F46A8"/>
    <w:rsid w:val="008F4D9B"/>
    <w:rsid w:val="008F563C"/>
    <w:rsid w:val="008F619F"/>
    <w:rsid w:val="008F7110"/>
    <w:rsid w:val="008F7814"/>
    <w:rsid w:val="008F7C5D"/>
    <w:rsid w:val="008F7E52"/>
    <w:rsid w:val="0090112E"/>
    <w:rsid w:val="0090151E"/>
    <w:rsid w:val="00901F73"/>
    <w:rsid w:val="009027AD"/>
    <w:rsid w:val="00902851"/>
    <w:rsid w:val="00904098"/>
    <w:rsid w:val="00904296"/>
    <w:rsid w:val="009044A0"/>
    <w:rsid w:val="009046FA"/>
    <w:rsid w:val="00904C59"/>
    <w:rsid w:val="00904EB8"/>
    <w:rsid w:val="00904EEA"/>
    <w:rsid w:val="0090623C"/>
    <w:rsid w:val="0090635A"/>
    <w:rsid w:val="009069EE"/>
    <w:rsid w:val="00911A65"/>
    <w:rsid w:val="00911AA7"/>
    <w:rsid w:val="00912E51"/>
    <w:rsid w:val="009136E0"/>
    <w:rsid w:val="0091448F"/>
    <w:rsid w:val="00914701"/>
    <w:rsid w:val="00914710"/>
    <w:rsid w:val="0091499D"/>
    <w:rsid w:val="00914A4B"/>
    <w:rsid w:val="00914B8B"/>
    <w:rsid w:val="00915D6D"/>
    <w:rsid w:val="00915F81"/>
    <w:rsid w:val="00916077"/>
    <w:rsid w:val="00916DFD"/>
    <w:rsid w:val="0091728C"/>
    <w:rsid w:val="00920FDE"/>
    <w:rsid w:val="00921B2C"/>
    <w:rsid w:val="009221FF"/>
    <w:rsid w:val="00923A26"/>
    <w:rsid w:val="00923AAE"/>
    <w:rsid w:val="00923B51"/>
    <w:rsid w:val="00923CCC"/>
    <w:rsid w:val="00925DF5"/>
    <w:rsid w:val="009263C8"/>
    <w:rsid w:val="009268C7"/>
    <w:rsid w:val="00926DB3"/>
    <w:rsid w:val="0092757A"/>
    <w:rsid w:val="00927B5A"/>
    <w:rsid w:val="00927EB3"/>
    <w:rsid w:val="009300D4"/>
    <w:rsid w:val="00931528"/>
    <w:rsid w:val="00931AFF"/>
    <w:rsid w:val="00932411"/>
    <w:rsid w:val="00932717"/>
    <w:rsid w:val="00932D68"/>
    <w:rsid w:val="00932E44"/>
    <w:rsid w:val="009338FD"/>
    <w:rsid w:val="00933941"/>
    <w:rsid w:val="00934083"/>
    <w:rsid w:val="0093495C"/>
    <w:rsid w:val="00934C4A"/>
    <w:rsid w:val="009354D1"/>
    <w:rsid w:val="0093595F"/>
    <w:rsid w:val="009359C3"/>
    <w:rsid w:val="00935C52"/>
    <w:rsid w:val="00935D10"/>
    <w:rsid w:val="0093693C"/>
    <w:rsid w:val="0093773F"/>
    <w:rsid w:val="00937CF0"/>
    <w:rsid w:val="009401E2"/>
    <w:rsid w:val="00940CB7"/>
    <w:rsid w:val="00941211"/>
    <w:rsid w:val="0094162D"/>
    <w:rsid w:val="00941EA2"/>
    <w:rsid w:val="00942298"/>
    <w:rsid w:val="00942CBC"/>
    <w:rsid w:val="00942F88"/>
    <w:rsid w:val="009443D9"/>
    <w:rsid w:val="0094551F"/>
    <w:rsid w:val="00945C28"/>
    <w:rsid w:val="00946860"/>
    <w:rsid w:val="0094729C"/>
    <w:rsid w:val="00947C95"/>
    <w:rsid w:val="00947D53"/>
    <w:rsid w:val="00947F55"/>
    <w:rsid w:val="00950D5E"/>
    <w:rsid w:val="0095143D"/>
    <w:rsid w:val="00952B94"/>
    <w:rsid w:val="009532CE"/>
    <w:rsid w:val="00953BEF"/>
    <w:rsid w:val="00955023"/>
    <w:rsid w:val="00955199"/>
    <w:rsid w:val="00956006"/>
    <w:rsid w:val="00956D2A"/>
    <w:rsid w:val="0095716C"/>
    <w:rsid w:val="009579CE"/>
    <w:rsid w:val="00957AC3"/>
    <w:rsid w:val="0095FE37"/>
    <w:rsid w:val="00960125"/>
    <w:rsid w:val="00960DAE"/>
    <w:rsid w:val="0096101B"/>
    <w:rsid w:val="0096134E"/>
    <w:rsid w:val="009619ED"/>
    <w:rsid w:val="00962195"/>
    <w:rsid w:val="00962402"/>
    <w:rsid w:val="0096258E"/>
    <w:rsid w:val="00962742"/>
    <w:rsid w:val="00963108"/>
    <w:rsid w:val="00963A2A"/>
    <w:rsid w:val="0096478D"/>
    <w:rsid w:val="00964F19"/>
    <w:rsid w:val="00965C71"/>
    <w:rsid w:val="00965F53"/>
    <w:rsid w:val="00966247"/>
    <w:rsid w:val="00966962"/>
    <w:rsid w:val="009706B2"/>
    <w:rsid w:val="00970B7F"/>
    <w:rsid w:val="00970BC3"/>
    <w:rsid w:val="00971337"/>
    <w:rsid w:val="00971CD5"/>
    <w:rsid w:val="009727E2"/>
    <w:rsid w:val="009731A7"/>
    <w:rsid w:val="0097361A"/>
    <w:rsid w:val="0097374C"/>
    <w:rsid w:val="00974548"/>
    <w:rsid w:val="00975973"/>
    <w:rsid w:val="00975C2F"/>
    <w:rsid w:val="00975EE9"/>
    <w:rsid w:val="009767A6"/>
    <w:rsid w:val="00976A75"/>
    <w:rsid w:val="00977816"/>
    <w:rsid w:val="009804A4"/>
    <w:rsid w:val="009827D6"/>
    <w:rsid w:val="00982F21"/>
    <w:rsid w:val="00982FF6"/>
    <w:rsid w:val="00983767"/>
    <w:rsid w:val="00983E77"/>
    <w:rsid w:val="00983F04"/>
    <w:rsid w:val="009849A4"/>
    <w:rsid w:val="00984CC3"/>
    <w:rsid w:val="00984D98"/>
    <w:rsid w:val="009856D2"/>
    <w:rsid w:val="0098588C"/>
    <w:rsid w:val="00986076"/>
    <w:rsid w:val="00987220"/>
    <w:rsid w:val="00987AA9"/>
    <w:rsid w:val="00990388"/>
    <w:rsid w:val="00991443"/>
    <w:rsid w:val="0099211C"/>
    <w:rsid w:val="009923D8"/>
    <w:rsid w:val="00992434"/>
    <w:rsid w:val="0099266A"/>
    <w:rsid w:val="009928B9"/>
    <w:rsid w:val="009930AF"/>
    <w:rsid w:val="00993792"/>
    <w:rsid w:val="00993C79"/>
    <w:rsid w:val="00993D78"/>
    <w:rsid w:val="00994635"/>
    <w:rsid w:val="009946B1"/>
    <w:rsid w:val="00994EDD"/>
    <w:rsid w:val="00995211"/>
    <w:rsid w:val="0099581F"/>
    <w:rsid w:val="00995D02"/>
    <w:rsid w:val="00996659"/>
    <w:rsid w:val="009967EE"/>
    <w:rsid w:val="009970D8"/>
    <w:rsid w:val="009979DE"/>
    <w:rsid w:val="00997AF0"/>
    <w:rsid w:val="00997F63"/>
    <w:rsid w:val="009A014F"/>
    <w:rsid w:val="009A093D"/>
    <w:rsid w:val="009A0D37"/>
    <w:rsid w:val="009A0FAD"/>
    <w:rsid w:val="009A11D1"/>
    <w:rsid w:val="009A1CF2"/>
    <w:rsid w:val="009A22E7"/>
    <w:rsid w:val="009A27F5"/>
    <w:rsid w:val="009A2903"/>
    <w:rsid w:val="009A2DFC"/>
    <w:rsid w:val="009A2EA1"/>
    <w:rsid w:val="009A343A"/>
    <w:rsid w:val="009A3952"/>
    <w:rsid w:val="009A3B29"/>
    <w:rsid w:val="009A49E1"/>
    <w:rsid w:val="009A4AA0"/>
    <w:rsid w:val="009A5087"/>
    <w:rsid w:val="009A53AF"/>
    <w:rsid w:val="009A5D7E"/>
    <w:rsid w:val="009A6780"/>
    <w:rsid w:val="009A6B85"/>
    <w:rsid w:val="009A767A"/>
    <w:rsid w:val="009B0888"/>
    <w:rsid w:val="009B08B3"/>
    <w:rsid w:val="009B1238"/>
    <w:rsid w:val="009B1605"/>
    <w:rsid w:val="009B18E7"/>
    <w:rsid w:val="009B1FCD"/>
    <w:rsid w:val="009B27E7"/>
    <w:rsid w:val="009B448C"/>
    <w:rsid w:val="009B4E35"/>
    <w:rsid w:val="009B6423"/>
    <w:rsid w:val="009B659C"/>
    <w:rsid w:val="009B6A66"/>
    <w:rsid w:val="009B6B94"/>
    <w:rsid w:val="009C06AF"/>
    <w:rsid w:val="009C09FC"/>
    <w:rsid w:val="009C0C18"/>
    <w:rsid w:val="009C0D86"/>
    <w:rsid w:val="009C1197"/>
    <w:rsid w:val="009C1962"/>
    <w:rsid w:val="009C20BB"/>
    <w:rsid w:val="009C26F6"/>
    <w:rsid w:val="009C31D6"/>
    <w:rsid w:val="009C3E4E"/>
    <w:rsid w:val="009C426E"/>
    <w:rsid w:val="009C44E1"/>
    <w:rsid w:val="009C4C4F"/>
    <w:rsid w:val="009C504F"/>
    <w:rsid w:val="009C590A"/>
    <w:rsid w:val="009C5BB6"/>
    <w:rsid w:val="009C5FA0"/>
    <w:rsid w:val="009C5FFA"/>
    <w:rsid w:val="009C62EB"/>
    <w:rsid w:val="009C6DC4"/>
    <w:rsid w:val="009C6FCA"/>
    <w:rsid w:val="009C7471"/>
    <w:rsid w:val="009C74EE"/>
    <w:rsid w:val="009C7871"/>
    <w:rsid w:val="009D0088"/>
    <w:rsid w:val="009D012C"/>
    <w:rsid w:val="009D03F5"/>
    <w:rsid w:val="009D058B"/>
    <w:rsid w:val="009D082B"/>
    <w:rsid w:val="009D1E0C"/>
    <w:rsid w:val="009D2299"/>
    <w:rsid w:val="009D26B3"/>
    <w:rsid w:val="009D27CD"/>
    <w:rsid w:val="009D2A8F"/>
    <w:rsid w:val="009D2C12"/>
    <w:rsid w:val="009D3699"/>
    <w:rsid w:val="009D3A65"/>
    <w:rsid w:val="009D3F72"/>
    <w:rsid w:val="009D4365"/>
    <w:rsid w:val="009D44CD"/>
    <w:rsid w:val="009D4ED3"/>
    <w:rsid w:val="009D4FCE"/>
    <w:rsid w:val="009D50EF"/>
    <w:rsid w:val="009D5176"/>
    <w:rsid w:val="009D535B"/>
    <w:rsid w:val="009D550F"/>
    <w:rsid w:val="009D6CB6"/>
    <w:rsid w:val="009E04F2"/>
    <w:rsid w:val="009E0B7E"/>
    <w:rsid w:val="009E27A2"/>
    <w:rsid w:val="009E3277"/>
    <w:rsid w:val="009E3ADC"/>
    <w:rsid w:val="009E49BF"/>
    <w:rsid w:val="009E64EE"/>
    <w:rsid w:val="009E69F4"/>
    <w:rsid w:val="009E6F06"/>
    <w:rsid w:val="009E7094"/>
    <w:rsid w:val="009E712D"/>
    <w:rsid w:val="009E72A5"/>
    <w:rsid w:val="009E7306"/>
    <w:rsid w:val="009E7468"/>
    <w:rsid w:val="009E769C"/>
    <w:rsid w:val="009F014F"/>
    <w:rsid w:val="009F05B3"/>
    <w:rsid w:val="009F34AB"/>
    <w:rsid w:val="009F34D7"/>
    <w:rsid w:val="009F351C"/>
    <w:rsid w:val="009F373B"/>
    <w:rsid w:val="009F374F"/>
    <w:rsid w:val="009F388D"/>
    <w:rsid w:val="009F517F"/>
    <w:rsid w:val="009F5510"/>
    <w:rsid w:val="009F5BEA"/>
    <w:rsid w:val="009F630A"/>
    <w:rsid w:val="009F694E"/>
    <w:rsid w:val="009F6F4C"/>
    <w:rsid w:val="009F6F67"/>
    <w:rsid w:val="009F7A3E"/>
    <w:rsid w:val="00A0020E"/>
    <w:rsid w:val="00A008CA"/>
    <w:rsid w:val="00A016CE"/>
    <w:rsid w:val="00A01DBB"/>
    <w:rsid w:val="00A03911"/>
    <w:rsid w:val="00A03C1C"/>
    <w:rsid w:val="00A03E1E"/>
    <w:rsid w:val="00A04372"/>
    <w:rsid w:val="00A044F4"/>
    <w:rsid w:val="00A0475A"/>
    <w:rsid w:val="00A04C96"/>
    <w:rsid w:val="00A05C66"/>
    <w:rsid w:val="00A05F84"/>
    <w:rsid w:val="00A0674D"/>
    <w:rsid w:val="00A06857"/>
    <w:rsid w:val="00A06929"/>
    <w:rsid w:val="00A06A26"/>
    <w:rsid w:val="00A07E2E"/>
    <w:rsid w:val="00A103CE"/>
    <w:rsid w:val="00A108E6"/>
    <w:rsid w:val="00A10ACA"/>
    <w:rsid w:val="00A1159E"/>
    <w:rsid w:val="00A11B47"/>
    <w:rsid w:val="00A1244E"/>
    <w:rsid w:val="00A12F37"/>
    <w:rsid w:val="00A133BC"/>
    <w:rsid w:val="00A1355F"/>
    <w:rsid w:val="00A13FF9"/>
    <w:rsid w:val="00A143F6"/>
    <w:rsid w:val="00A14AC9"/>
    <w:rsid w:val="00A155D7"/>
    <w:rsid w:val="00A15CD1"/>
    <w:rsid w:val="00A16BF2"/>
    <w:rsid w:val="00A17503"/>
    <w:rsid w:val="00A177D8"/>
    <w:rsid w:val="00A17A80"/>
    <w:rsid w:val="00A17D7F"/>
    <w:rsid w:val="00A17F6A"/>
    <w:rsid w:val="00A20480"/>
    <w:rsid w:val="00A211CE"/>
    <w:rsid w:val="00A21D1F"/>
    <w:rsid w:val="00A2265E"/>
    <w:rsid w:val="00A2338C"/>
    <w:rsid w:val="00A23CE6"/>
    <w:rsid w:val="00A23CF9"/>
    <w:rsid w:val="00A25C78"/>
    <w:rsid w:val="00A265FC"/>
    <w:rsid w:val="00A30176"/>
    <w:rsid w:val="00A30B15"/>
    <w:rsid w:val="00A31096"/>
    <w:rsid w:val="00A3199C"/>
    <w:rsid w:val="00A3203C"/>
    <w:rsid w:val="00A32EF6"/>
    <w:rsid w:val="00A33009"/>
    <w:rsid w:val="00A331EF"/>
    <w:rsid w:val="00A339E5"/>
    <w:rsid w:val="00A347F9"/>
    <w:rsid w:val="00A35B1B"/>
    <w:rsid w:val="00A36D9F"/>
    <w:rsid w:val="00A37ECD"/>
    <w:rsid w:val="00A40710"/>
    <w:rsid w:val="00A40979"/>
    <w:rsid w:val="00A40C97"/>
    <w:rsid w:val="00A40F19"/>
    <w:rsid w:val="00A4128A"/>
    <w:rsid w:val="00A413CF"/>
    <w:rsid w:val="00A41B4D"/>
    <w:rsid w:val="00A42013"/>
    <w:rsid w:val="00A42806"/>
    <w:rsid w:val="00A43150"/>
    <w:rsid w:val="00A43A26"/>
    <w:rsid w:val="00A4474F"/>
    <w:rsid w:val="00A44792"/>
    <w:rsid w:val="00A44964"/>
    <w:rsid w:val="00A451EA"/>
    <w:rsid w:val="00A45536"/>
    <w:rsid w:val="00A45A02"/>
    <w:rsid w:val="00A46BE6"/>
    <w:rsid w:val="00A47B04"/>
    <w:rsid w:val="00A50542"/>
    <w:rsid w:val="00A5057B"/>
    <w:rsid w:val="00A50F11"/>
    <w:rsid w:val="00A51B82"/>
    <w:rsid w:val="00A51D9E"/>
    <w:rsid w:val="00A52828"/>
    <w:rsid w:val="00A52F5F"/>
    <w:rsid w:val="00A53F10"/>
    <w:rsid w:val="00A546C0"/>
    <w:rsid w:val="00A54C9B"/>
    <w:rsid w:val="00A561A5"/>
    <w:rsid w:val="00A566A5"/>
    <w:rsid w:val="00A5688C"/>
    <w:rsid w:val="00A57844"/>
    <w:rsid w:val="00A57FD9"/>
    <w:rsid w:val="00A60ACF"/>
    <w:rsid w:val="00A61C21"/>
    <w:rsid w:val="00A622E9"/>
    <w:rsid w:val="00A62E0F"/>
    <w:rsid w:val="00A63031"/>
    <w:rsid w:val="00A63B9B"/>
    <w:rsid w:val="00A64BDA"/>
    <w:rsid w:val="00A655DA"/>
    <w:rsid w:val="00A659F9"/>
    <w:rsid w:val="00A65AEF"/>
    <w:rsid w:val="00A6619C"/>
    <w:rsid w:val="00A67541"/>
    <w:rsid w:val="00A6770C"/>
    <w:rsid w:val="00A67861"/>
    <w:rsid w:val="00A67E82"/>
    <w:rsid w:val="00A70A8B"/>
    <w:rsid w:val="00A70F78"/>
    <w:rsid w:val="00A71B79"/>
    <w:rsid w:val="00A71E4C"/>
    <w:rsid w:val="00A722FA"/>
    <w:rsid w:val="00A72A61"/>
    <w:rsid w:val="00A72BD7"/>
    <w:rsid w:val="00A7344B"/>
    <w:rsid w:val="00A752D0"/>
    <w:rsid w:val="00A75D87"/>
    <w:rsid w:val="00A76093"/>
    <w:rsid w:val="00A77301"/>
    <w:rsid w:val="00A77502"/>
    <w:rsid w:val="00A77C01"/>
    <w:rsid w:val="00A77D55"/>
    <w:rsid w:val="00A77EE6"/>
    <w:rsid w:val="00A80785"/>
    <w:rsid w:val="00A80924"/>
    <w:rsid w:val="00A809E1"/>
    <w:rsid w:val="00A80CC6"/>
    <w:rsid w:val="00A81975"/>
    <w:rsid w:val="00A82C93"/>
    <w:rsid w:val="00A834EF"/>
    <w:rsid w:val="00A835BD"/>
    <w:rsid w:val="00A835E4"/>
    <w:rsid w:val="00A835FC"/>
    <w:rsid w:val="00A83663"/>
    <w:rsid w:val="00A83CE9"/>
    <w:rsid w:val="00A83F63"/>
    <w:rsid w:val="00A8442B"/>
    <w:rsid w:val="00A849BB"/>
    <w:rsid w:val="00A84E41"/>
    <w:rsid w:val="00A85154"/>
    <w:rsid w:val="00A86030"/>
    <w:rsid w:val="00A86299"/>
    <w:rsid w:val="00A86F03"/>
    <w:rsid w:val="00A8789C"/>
    <w:rsid w:val="00A90405"/>
    <w:rsid w:val="00A9096A"/>
    <w:rsid w:val="00A91943"/>
    <w:rsid w:val="00A91A4C"/>
    <w:rsid w:val="00A9257A"/>
    <w:rsid w:val="00A94038"/>
    <w:rsid w:val="00A942F7"/>
    <w:rsid w:val="00A95AA5"/>
    <w:rsid w:val="00A95B56"/>
    <w:rsid w:val="00A96103"/>
    <w:rsid w:val="00A9674C"/>
    <w:rsid w:val="00A973FB"/>
    <w:rsid w:val="00A97433"/>
    <w:rsid w:val="00A9755E"/>
    <w:rsid w:val="00A977CE"/>
    <w:rsid w:val="00A979FC"/>
    <w:rsid w:val="00AA0228"/>
    <w:rsid w:val="00AA03AE"/>
    <w:rsid w:val="00AA0C12"/>
    <w:rsid w:val="00AA1551"/>
    <w:rsid w:val="00AA15D6"/>
    <w:rsid w:val="00AA195C"/>
    <w:rsid w:val="00AA1A59"/>
    <w:rsid w:val="00AA1EB9"/>
    <w:rsid w:val="00AA20D7"/>
    <w:rsid w:val="00AA29EE"/>
    <w:rsid w:val="00AA34AB"/>
    <w:rsid w:val="00AA352E"/>
    <w:rsid w:val="00AA4289"/>
    <w:rsid w:val="00AA5281"/>
    <w:rsid w:val="00AA53B6"/>
    <w:rsid w:val="00AA5CF0"/>
    <w:rsid w:val="00AA5DC1"/>
    <w:rsid w:val="00AA62AB"/>
    <w:rsid w:val="00AA634B"/>
    <w:rsid w:val="00AA65ED"/>
    <w:rsid w:val="00AA7864"/>
    <w:rsid w:val="00AB0180"/>
    <w:rsid w:val="00AB065E"/>
    <w:rsid w:val="00AB07AC"/>
    <w:rsid w:val="00AB1330"/>
    <w:rsid w:val="00AB157B"/>
    <w:rsid w:val="00AB160C"/>
    <w:rsid w:val="00AB2313"/>
    <w:rsid w:val="00AB2406"/>
    <w:rsid w:val="00AB2B02"/>
    <w:rsid w:val="00AB3280"/>
    <w:rsid w:val="00AB3549"/>
    <w:rsid w:val="00AB3BE9"/>
    <w:rsid w:val="00AB4521"/>
    <w:rsid w:val="00AB54CF"/>
    <w:rsid w:val="00AC0ED4"/>
    <w:rsid w:val="00AC1E0C"/>
    <w:rsid w:val="00AC1FEE"/>
    <w:rsid w:val="00AC21C9"/>
    <w:rsid w:val="00AC4C13"/>
    <w:rsid w:val="00AC5145"/>
    <w:rsid w:val="00AC6AF8"/>
    <w:rsid w:val="00AC6D90"/>
    <w:rsid w:val="00AC7BCD"/>
    <w:rsid w:val="00AC7F64"/>
    <w:rsid w:val="00AD1902"/>
    <w:rsid w:val="00AD1C22"/>
    <w:rsid w:val="00AD2B0A"/>
    <w:rsid w:val="00AD2E8D"/>
    <w:rsid w:val="00AD2F23"/>
    <w:rsid w:val="00AD38A5"/>
    <w:rsid w:val="00AD3C08"/>
    <w:rsid w:val="00AD5D4C"/>
    <w:rsid w:val="00AD5EBB"/>
    <w:rsid w:val="00AD615A"/>
    <w:rsid w:val="00AD6BDE"/>
    <w:rsid w:val="00AD6EB7"/>
    <w:rsid w:val="00AD708D"/>
    <w:rsid w:val="00AD744A"/>
    <w:rsid w:val="00AD7784"/>
    <w:rsid w:val="00AD7FD8"/>
    <w:rsid w:val="00AE092C"/>
    <w:rsid w:val="00AE0EBD"/>
    <w:rsid w:val="00AE11E2"/>
    <w:rsid w:val="00AE24A6"/>
    <w:rsid w:val="00AE2A21"/>
    <w:rsid w:val="00AE366B"/>
    <w:rsid w:val="00AE37C0"/>
    <w:rsid w:val="00AE3DCC"/>
    <w:rsid w:val="00AE4568"/>
    <w:rsid w:val="00AE4AF3"/>
    <w:rsid w:val="00AE5BC9"/>
    <w:rsid w:val="00AE60B2"/>
    <w:rsid w:val="00AE616C"/>
    <w:rsid w:val="00AE76DE"/>
    <w:rsid w:val="00AE7B1A"/>
    <w:rsid w:val="00AE7F21"/>
    <w:rsid w:val="00AF0247"/>
    <w:rsid w:val="00AF0532"/>
    <w:rsid w:val="00AF0975"/>
    <w:rsid w:val="00AF0A5B"/>
    <w:rsid w:val="00AF1F53"/>
    <w:rsid w:val="00AF20CD"/>
    <w:rsid w:val="00AF216F"/>
    <w:rsid w:val="00AF2189"/>
    <w:rsid w:val="00AF25F1"/>
    <w:rsid w:val="00AF2964"/>
    <w:rsid w:val="00AF4732"/>
    <w:rsid w:val="00AF4B3F"/>
    <w:rsid w:val="00AF5FB2"/>
    <w:rsid w:val="00AF656F"/>
    <w:rsid w:val="00AF6765"/>
    <w:rsid w:val="00AF6869"/>
    <w:rsid w:val="00AF6D23"/>
    <w:rsid w:val="00AF724F"/>
    <w:rsid w:val="00AF7331"/>
    <w:rsid w:val="00AF77D8"/>
    <w:rsid w:val="00AF79E1"/>
    <w:rsid w:val="00AF7BA1"/>
    <w:rsid w:val="00B00242"/>
    <w:rsid w:val="00B00612"/>
    <w:rsid w:val="00B00B25"/>
    <w:rsid w:val="00B00C8F"/>
    <w:rsid w:val="00B015F8"/>
    <w:rsid w:val="00B01625"/>
    <w:rsid w:val="00B018CB"/>
    <w:rsid w:val="00B01CDF"/>
    <w:rsid w:val="00B021C1"/>
    <w:rsid w:val="00B02DB4"/>
    <w:rsid w:val="00B02E58"/>
    <w:rsid w:val="00B041F5"/>
    <w:rsid w:val="00B04694"/>
    <w:rsid w:val="00B05056"/>
    <w:rsid w:val="00B0619F"/>
    <w:rsid w:val="00B06781"/>
    <w:rsid w:val="00B06C9A"/>
    <w:rsid w:val="00B06CA8"/>
    <w:rsid w:val="00B0784B"/>
    <w:rsid w:val="00B100CB"/>
    <w:rsid w:val="00B10DF3"/>
    <w:rsid w:val="00B10ED7"/>
    <w:rsid w:val="00B1168C"/>
    <w:rsid w:val="00B11ACB"/>
    <w:rsid w:val="00B122CE"/>
    <w:rsid w:val="00B12966"/>
    <w:rsid w:val="00B12BCF"/>
    <w:rsid w:val="00B12D22"/>
    <w:rsid w:val="00B13E31"/>
    <w:rsid w:val="00B14660"/>
    <w:rsid w:val="00B14753"/>
    <w:rsid w:val="00B14768"/>
    <w:rsid w:val="00B15621"/>
    <w:rsid w:val="00B15B8D"/>
    <w:rsid w:val="00B20795"/>
    <w:rsid w:val="00B20B0E"/>
    <w:rsid w:val="00B21A59"/>
    <w:rsid w:val="00B22CC7"/>
    <w:rsid w:val="00B23584"/>
    <w:rsid w:val="00B236B9"/>
    <w:rsid w:val="00B246E5"/>
    <w:rsid w:val="00B2562D"/>
    <w:rsid w:val="00B257D7"/>
    <w:rsid w:val="00B259C1"/>
    <w:rsid w:val="00B2713B"/>
    <w:rsid w:val="00B27910"/>
    <w:rsid w:val="00B27B9E"/>
    <w:rsid w:val="00B27CBB"/>
    <w:rsid w:val="00B3013E"/>
    <w:rsid w:val="00B30CC1"/>
    <w:rsid w:val="00B31498"/>
    <w:rsid w:val="00B3177D"/>
    <w:rsid w:val="00B31AEE"/>
    <w:rsid w:val="00B327EF"/>
    <w:rsid w:val="00B339BB"/>
    <w:rsid w:val="00B33A54"/>
    <w:rsid w:val="00B34825"/>
    <w:rsid w:val="00B349B5"/>
    <w:rsid w:val="00B34AE5"/>
    <w:rsid w:val="00B35887"/>
    <w:rsid w:val="00B35EF5"/>
    <w:rsid w:val="00B36C5F"/>
    <w:rsid w:val="00B36D13"/>
    <w:rsid w:val="00B37812"/>
    <w:rsid w:val="00B37C27"/>
    <w:rsid w:val="00B40219"/>
    <w:rsid w:val="00B409F8"/>
    <w:rsid w:val="00B40F22"/>
    <w:rsid w:val="00B41AB9"/>
    <w:rsid w:val="00B4274C"/>
    <w:rsid w:val="00B427F2"/>
    <w:rsid w:val="00B4295D"/>
    <w:rsid w:val="00B42ED5"/>
    <w:rsid w:val="00B42F9D"/>
    <w:rsid w:val="00B42FAE"/>
    <w:rsid w:val="00B43003"/>
    <w:rsid w:val="00B432DA"/>
    <w:rsid w:val="00B434CC"/>
    <w:rsid w:val="00B4394E"/>
    <w:rsid w:val="00B446F3"/>
    <w:rsid w:val="00B451EC"/>
    <w:rsid w:val="00B45CDF"/>
    <w:rsid w:val="00B4624C"/>
    <w:rsid w:val="00B4679C"/>
    <w:rsid w:val="00B46A4C"/>
    <w:rsid w:val="00B46B38"/>
    <w:rsid w:val="00B471AE"/>
    <w:rsid w:val="00B47EAF"/>
    <w:rsid w:val="00B51BD6"/>
    <w:rsid w:val="00B51C19"/>
    <w:rsid w:val="00B51DB8"/>
    <w:rsid w:val="00B527F7"/>
    <w:rsid w:val="00B52859"/>
    <w:rsid w:val="00B5307C"/>
    <w:rsid w:val="00B53290"/>
    <w:rsid w:val="00B53472"/>
    <w:rsid w:val="00B553EB"/>
    <w:rsid w:val="00B555DB"/>
    <w:rsid w:val="00B55649"/>
    <w:rsid w:val="00B556AC"/>
    <w:rsid w:val="00B55BAB"/>
    <w:rsid w:val="00B56351"/>
    <w:rsid w:val="00B5665B"/>
    <w:rsid w:val="00B56736"/>
    <w:rsid w:val="00B5690D"/>
    <w:rsid w:val="00B56C3E"/>
    <w:rsid w:val="00B571C1"/>
    <w:rsid w:val="00B5774B"/>
    <w:rsid w:val="00B600A0"/>
    <w:rsid w:val="00B6021A"/>
    <w:rsid w:val="00B603DF"/>
    <w:rsid w:val="00B6158D"/>
    <w:rsid w:val="00B61B6D"/>
    <w:rsid w:val="00B6236C"/>
    <w:rsid w:val="00B624AC"/>
    <w:rsid w:val="00B62E08"/>
    <w:rsid w:val="00B63C38"/>
    <w:rsid w:val="00B63C5A"/>
    <w:rsid w:val="00B64534"/>
    <w:rsid w:val="00B6459C"/>
    <w:rsid w:val="00B65451"/>
    <w:rsid w:val="00B65A3F"/>
    <w:rsid w:val="00B65E37"/>
    <w:rsid w:val="00B65F19"/>
    <w:rsid w:val="00B661E0"/>
    <w:rsid w:val="00B67379"/>
    <w:rsid w:val="00B67AE8"/>
    <w:rsid w:val="00B70173"/>
    <w:rsid w:val="00B70297"/>
    <w:rsid w:val="00B70377"/>
    <w:rsid w:val="00B70E8E"/>
    <w:rsid w:val="00B7123C"/>
    <w:rsid w:val="00B71471"/>
    <w:rsid w:val="00B718CD"/>
    <w:rsid w:val="00B71FA7"/>
    <w:rsid w:val="00B7220A"/>
    <w:rsid w:val="00B736DB"/>
    <w:rsid w:val="00B74203"/>
    <w:rsid w:val="00B7470A"/>
    <w:rsid w:val="00B74B9E"/>
    <w:rsid w:val="00B75383"/>
    <w:rsid w:val="00B758A9"/>
    <w:rsid w:val="00B758E9"/>
    <w:rsid w:val="00B76592"/>
    <w:rsid w:val="00B768F6"/>
    <w:rsid w:val="00B76AE4"/>
    <w:rsid w:val="00B774EB"/>
    <w:rsid w:val="00B77C40"/>
    <w:rsid w:val="00B80014"/>
    <w:rsid w:val="00B80D8B"/>
    <w:rsid w:val="00B81641"/>
    <w:rsid w:val="00B81BF4"/>
    <w:rsid w:val="00B82E58"/>
    <w:rsid w:val="00B82FED"/>
    <w:rsid w:val="00B83571"/>
    <w:rsid w:val="00B83EB5"/>
    <w:rsid w:val="00B848A1"/>
    <w:rsid w:val="00B84A9C"/>
    <w:rsid w:val="00B8515B"/>
    <w:rsid w:val="00B858CD"/>
    <w:rsid w:val="00B85A99"/>
    <w:rsid w:val="00B85C39"/>
    <w:rsid w:val="00B86644"/>
    <w:rsid w:val="00B86BFE"/>
    <w:rsid w:val="00B8742B"/>
    <w:rsid w:val="00B87921"/>
    <w:rsid w:val="00B87D2A"/>
    <w:rsid w:val="00B87DCD"/>
    <w:rsid w:val="00B9137B"/>
    <w:rsid w:val="00B91974"/>
    <w:rsid w:val="00B91C9B"/>
    <w:rsid w:val="00B92D31"/>
    <w:rsid w:val="00B932D6"/>
    <w:rsid w:val="00B940CA"/>
    <w:rsid w:val="00B94BAE"/>
    <w:rsid w:val="00B94E4F"/>
    <w:rsid w:val="00B95BA0"/>
    <w:rsid w:val="00B965DA"/>
    <w:rsid w:val="00B9691B"/>
    <w:rsid w:val="00B969C9"/>
    <w:rsid w:val="00B97F82"/>
    <w:rsid w:val="00BA07FD"/>
    <w:rsid w:val="00BA092F"/>
    <w:rsid w:val="00BA1ABE"/>
    <w:rsid w:val="00BA32E0"/>
    <w:rsid w:val="00BA421F"/>
    <w:rsid w:val="00BA4B61"/>
    <w:rsid w:val="00BA4BFE"/>
    <w:rsid w:val="00BA4E57"/>
    <w:rsid w:val="00BA57F5"/>
    <w:rsid w:val="00BA5D52"/>
    <w:rsid w:val="00BA68C7"/>
    <w:rsid w:val="00BA7214"/>
    <w:rsid w:val="00BB1A03"/>
    <w:rsid w:val="00BB1F20"/>
    <w:rsid w:val="00BB228D"/>
    <w:rsid w:val="00BB2D8E"/>
    <w:rsid w:val="00BB31BD"/>
    <w:rsid w:val="00BB323C"/>
    <w:rsid w:val="00BB3482"/>
    <w:rsid w:val="00BB39A3"/>
    <w:rsid w:val="00BB3F40"/>
    <w:rsid w:val="00BB4F28"/>
    <w:rsid w:val="00BB51F4"/>
    <w:rsid w:val="00BB5807"/>
    <w:rsid w:val="00BB62B8"/>
    <w:rsid w:val="00BB6C82"/>
    <w:rsid w:val="00BB6C9E"/>
    <w:rsid w:val="00BB75D2"/>
    <w:rsid w:val="00BC0588"/>
    <w:rsid w:val="00BC1660"/>
    <w:rsid w:val="00BC2578"/>
    <w:rsid w:val="00BC29A3"/>
    <w:rsid w:val="00BC50C7"/>
    <w:rsid w:val="00BC5484"/>
    <w:rsid w:val="00BC5981"/>
    <w:rsid w:val="00BC5D89"/>
    <w:rsid w:val="00BC6088"/>
    <w:rsid w:val="00BC6A30"/>
    <w:rsid w:val="00BC7217"/>
    <w:rsid w:val="00BC79B5"/>
    <w:rsid w:val="00BD04D5"/>
    <w:rsid w:val="00BD09B1"/>
    <w:rsid w:val="00BD0D8F"/>
    <w:rsid w:val="00BD0E73"/>
    <w:rsid w:val="00BD2564"/>
    <w:rsid w:val="00BD2FAD"/>
    <w:rsid w:val="00BD3FEF"/>
    <w:rsid w:val="00BD4A48"/>
    <w:rsid w:val="00BD5419"/>
    <w:rsid w:val="00BD5B4D"/>
    <w:rsid w:val="00BD5E1C"/>
    <w:rsid w:val="00BD5E48"/>
    <w:rsid w:val="00BD6747"/>
    <w:rsid w:val="00BD6A19"/>
    <w:rsid w:val="00BD6FBB"/>
    <w:rsid w:val="00BD7150"/>
    <w:rsid w:val="00BD72E8"/>
    <w:rsid w:val="00BD73D6"/>
    <w:rsid w:val="00BD78D1"/>
    <w:rsid w:val="00BD7C67"/>
    <w:rsid w:val="00BE02A2"/>
    <w:rsid w:val="00BE0323"/>
    <w:rsid w:val="00BE060C"/>
    <w:rsid w:val="00BE1836"/>
    <w:rsid w:val="00BE1DA5"/>
    <w:rsid w:val="00BE29A2"/>
    <w:rsid w:val="00BE39BA"/>
    <w:rsid w:val="00BE3B12"/>
    <w:rsid w:val="00BE416D"/>
    <w:rsid w:val="00BE538F"/>
    <w:rsid w:val="00BE5520"/>
    <w:rsid w:val="00BE561D"/>
    <w:rsid w:val="00BE627C"/>
    <w:rsid w:val="00BE63C2"/>
    <w:rsid w:val="00BE6454"/>
    <w:rsid w:val="00BE716F"/>
    <w:rsid w:val="00BE72EF"/>
    <w:rsid w:val="00BE7329"/>
    <w:rsid w:val="00BE76C4"/>
    <w:rsid w:val="00BE7E49"/>
    <w:rsid w:val="00BF001A"/>
    <w:rsid w:val="00BF011C"/>
    <w:rsid w:val="00BF0A2E"/>
    <w:rsid w:val="00BF0C44"/>
    <w:rsid w:val="00BF1C90"/>
    <w:rsid w:val="00BF253D"/>
    <w:rsid w:val="00BF3072"/>
    <w:rsid w:val="00BF324E"/>
    <w:rsid w:val="00BF3E70"/>
    <w:rsid w:val="00BF4068"/>
    <w:rsid w:val="00BF4A4D"/>
    <w:rsid w:val="00BF5E20"/>
    <w:rsid w:val="00BF648A"/>
    <w:rsid w:val="00BF7061"/>
    <w:rsid w:val="00BF75DB"/>
    <w:rsid w:val="00BF767A"/>
    <w:rsid w:val="00BF784A"/>
    <w:rsid w:val="00BF7E59"/>
    <w:rsid w:val="00C00900"/>
    <w:rsid w:val="00C00DE1"/>
    <w:rsid w:val="00C00DF4"/>
    <w:rsid w:val="00C01110"/>
    <w:rsid w:val="00C01363"/>
    <w:rsid w:val="00C01459"/>
    <w:rsid w:val="00C01499"/>
    <w:rsid w:val="00C018C9"/>
    <w:rsid w:val="00C02395"/>
    <w:rsid w:val="00C02443"/>
    <w:rsid w:val="00C02E5D"/>
    <w:rsid w:val="00C03E14"/>
    <w:rsid w:val="00C0411D"/>
    <w:rsid w:val="00C04387"/>
    <w:rsid w:val="00C04B53"/>
    <w:rsid w:val="00C057FC"/>
    <w:rsid w:val="00C07328"/>
    <w:rsid w:val="00C073F2"/>
    <w:rsid w:val="00C101BF"/>
    <w:rsid w:val="00C103F9"/>
    <w:rsid w:val="00C10910"/>
    <w:rsid w:val="00C10C6C"/>
    <w:rsid w:val="00C10DB5"/>
    <w:rsid w:val="00C11B07"/>
    <w:rsid w:val="00C11BA0"/>
    <w:rsid w:val="00C11E78"/>
    <w:rsid w:val="00C11EA3"/>
    <w:rsid w:val="00C123A6"/>
    <w:rsid w:val="00C12E7E"/>
    <w:rsid w:val="00C12F3F"/>
    <w:rsid w:val="00C13151"/>
    <w:rsid w:val="00C13A26"/>
    <w:rsid w:val="00C13B1D"/>
    <w:rsid w:val="00C142BE"/>
    <w:rsid w:val="00C144C0"/>
    <w:rsid w:val="00C149A5"/>
    <w:rsid w:val="00C14AEE"/>
    <w:rsid w:val="00C159DE"/>
    <w:rsid w:val="00C15A7B"/>
    <w:rsid w:val="00C16F7F"/>
    <w:rsid w:val="00C17E8E"/>
    <w:rsid w:val="00C20648"/>
    <w:rsid w:val="00C2092D"/>
    <w:rsid w:val="00C210FF"/>
    <w:rsid w:val="00C21208"/>
    <w:rsid w:val="00C21236"/>
    <w:rsid w:val="00C217AB"/>
    <w:rsid w:val="00C219E1"/>
    <w:rsid w:val="00C21CCA"/>
    <w:rsid w:val="00C221C0"/>
    <w:rsid w:val="00C22310"/>
    <w:rsid w:val="00C22415"/>
    <w:rsid w:val="00C22CCD"/>
    <w:rsid w:val="00C22FFC"/>
    <w:rsid w:val="00C23804"/>
    <w:rsid w:val="00C23E12"/>
    <w:rsid w:val="00C24B22"/>
    <w:rsid w:val="00C26A96"/>
    <w:rsid w:val="00C27DA3"/>
    <w:rsid w:val="00C27DAA"/>
    <w:rsid w:val="00C3027A"/>
    <w:rsid w:val="00C3029C"/>
    <w:rsid w:val="00C302CD"/>
    <w:rsid w:val="00C30A83"/>
    <w:rsid w:val="00C3138B"/>
    <w:rsid w:val="00C32395"/>
    <w:rsid w:val="00C32675"/>
    <w:rsid w:val="00C32831"/>
    <w:rsid w:val="00C32A57"/>
    <w:rsid w:val="00C32E60"/>
    <w:rsid w:val="00C33593"/>
    <w:rsid w:val="00C338A0"/>
    <w:rsid w:val="00C33986"/>
    <w:rsid w:val="00C33A6B"/>
    <w:rsid w:val="00C3419B"/>
    <w:rsid w:val="00C34706"/>
    <w:rsid w:val="00C354EA"/>
    <w:rsid w:val="00C3558D"/>
    <w:rsid w:val="00C358F6"/>
    <w:rsid w:val="00C36578"/>
    <w:rsid w:val="00C365A6"/>
    <w:rsid w:val="00C3669C"/>
    <w:rsid w:val="00C36F28"/>
    <w:rsid w:val="00C37027"/>
    <w:rsid w:val="00C401BE"/>
    <w:rsid w:val="00C4121A"/>
    <w:rsid w:val="00C41B22"/>
    <w:rsid w:val="00C41C3E"/>
    <w:rsid w:val="00C41C41"/>
    <w:rsid w:val="00C41FC1"/>
    <w:rsid w:val="00C422F3"/>
    <w:rsid w:val="00C432C3"/>
    <w:rsid w:val="00C4352C"/>
    <w:rsid w:val="00C43B13"/>
    <w:rsid w:val="00C4407E"/>
    <w:rsid w:val="00C440BC"/>
    <w:rsid w:val="00C44122"/>
    <w:rsid w:val="00C4460C"/>
    <w:rsid w:val="00C44CF5"/>
    <w:rsid w:val="00C45AB4"/>
    <w:rsid w:val="00C46383"/>
    <w:rsid w:val="00C46AC3"/>
    <w:rsid w:val="00C46E35"/>
    <w:rsid w:val="00C47690"/>
    <w:rsid w:val="00C476C5"/>
    <w:rsid w:val="00C50013"/>
    <w:rsid w:val="00C50149"/>
    <w:rsid w:val="00C50316"/>
    <w:rsid w:val="00C508F6"/>
    <w:rsid w:val="00C51314"/>
    <w:rsid w:val="00C5153E"/>
    <w:rsid w:val="00C51A36"/>
    <w:rsid w:val="00C51D4D"/>
    <w:rsid w:val="00C527D0"/>
    <w:rsid w:val="00C53A22"/>
    <w:rsid w:val="00C53A79"/>
    <w:rsid w:val="00C541E4"/>
    <w:rsid w:val="00C542FA"/>
    <w:rsid w:val="00C5443F"/>
    <w:rsid w:val="00C5450C"/>
    <w:rsid w:val="00C5573B"/>
    <w:rsid w:val="00C55D23"/>
    <w:rsid w:val="00C62B6D"/>
    <w:rsid w:val="00C63E0F"/>
    <w:rsid w:val="00C642FB"/>
    <w:rsid w:val="00C646AF"/>
    <w:rsid w:val="00C64BF6"/>
    <w:rsid w:val="00C65264"/>
    <w:rsid w:val="00C65956"/>
    <w:rsid w:val="00C65A4D"/>
    <w:rsid w:val="00C65B94"/>
    <w:rsid w:val="00C65FB0"/>
    <w:rsid w:val="00C675F4"/>
    <w:rsid w:val="00C67B93"/>
    <w:rsid w:val="00C67FD4"/>
    <w:rsid w:val="00C706F8"/>
    <w:rsid w:val="00C70754"/>
    <w:rsid w:val="00C712AE"/>
    <w:rsid w:val="00C7173B"/>
    <w:rsid w:val="00C71773"/>
    <w:rsid w:val="00C71BC7"/>
    <w:rsid w:val="00C71C05"/>
    <w:rsid w:val="00C7223E"/>
    <w:rsid w:val="00C72E73"/>
    <w:rsid w:val="00C731AD"/>
    <w:rsid w:val="00C736E4"/>
    <w:rsid w:val="00C737F4"/>
    <w:rsid w:val="00C749F7"/>
    <w:rsid w:val="00C75049"/>
    <w:rsid w:val="00C75739"/>
    <w:rsid w:val="00C75B1A"/>
    <w:rsid w:val="00C75DF7"/>
    <w:rsid w:val="00C76254"/>
    <w:rsid w:val="00C76504"/>
    <w:rsid w:val="00C76645"/>
    <w:rsid w:val="00C767E6"/>
    <w:rsid w:val="00C76C15"/>
    <w:rsid w:val="00C77045"/>
    <w:rsid w:val="00C801FE"/>
    <w:rsid w:val="00C80FE3"/>
    <w:rsid w:val="00C81631"/>
    <w:rsid w:val="00C81C58"/>
    <w:rsid w:val="00C81FB7"/>
    <w:rsid w:val="00C825E8"/>
    <w:rsid w:val="00C8303F"/>
    <w:rsid w:val="00C831DF"/>
    <w:rsid w:val="00C83429"/>
    <w:rsid w:val="00C839EA"/>
    <w:rsid w:val="00C83D5A"/>
    <w:rsid w:val="00C84CC8"/>
    <w:rsid w:val="00C84F7C"/>
    <w:rsid w:val="00C85551"/>
    <w:rsid w:val="00C858C8"/>
    <w:rsid w:val="00C85DA3"/>
    <w:rsid w:val="00C85E1A"/>
    <w:rsid w:val="00C864B7"/>
    <w:rsid w:val="00C86A7E"/>
    <w:rsid w:val="00C86D12"/>
    <w:rsid w:val="00C86DC6"/>
    <w:rsid w:val="00C8714E"/>
    <w:rsid w:val="00C87349"/>
    <w:rsid w:val="00C8775C"/>
    <w:rsid w:val="00C87BE7"/>
    <w:rsid w:val="00C87F3E"/>
    <w:rsid w:val="00C90227"/>
    <w:rsid w:val="00C91350"/>
    <w:rsid w:val="00C91F53"/>
    <w:rsid w:val="00C9212B"/>
    <w:rsid w:val="00C92974"/>
    <w:rsid w:val="00C92C95"/>
    <w:rsid w:val="00C932FE"/>
    <w:rsid w:val="00C936B5"/>
    <w:rsid w:val="00C94C55"/>
    <w:rsid w:val="00C97C62"/>
    <w:rsid w:val="00CA0C17"/>
    <w:rsid w:val="00CA11F6"/>
    <w:rsid w:val="00CA1DD7"/>
    <w:rsid w:val="00CA1EA1"/>
    <w:rsid w:val="00CA2CB6"/>
    <w:rsid w:val="00CA30DA"/>
    <w:rsid w:val="00CA34BE"/>
    <w:rsid w:val="00CA374D"/>
    <w:rsid w:val="00CA446D"/>
    <w:rsid w:val="00CA4A1C"/>
    <w:rsid w:val="00CA4F4F"/>
    <w:rsid w:val="00CA570B"/>
    <w:rsid w:val="00CA57CB"/>
    <w:rsid w:val="00CA5999"/>
    <w:rsid w:val="00CA65E3"/>
    <w:rsid w:val="00CA73FC"/>
    <w:rsid w:val="00CA7EBC"/>
    <w:rsid w:val="00CB0BCC"/>
    <w:rsid w:val="00CB0BEE"/>
    <w:rsid w:val="00CB1E04"/>
    <w:rsid w:val="00CB2037"/>
    <w:rsid w:val="00CB3392"/>
    <w:rsid w:val="00CB39DA"/>
    <w:rsid w:val="00CB40F4"/>
    <w:rsid w:val="00CB45F4"/>
    <w:rsid w:val="00CB5823"/>
    <w:rsid w:val="00CB67C6"/>
    <w:rsid w:val="00CC04C2"/>
    <w:rsid w:val="00CC109C"/>
    <w:rsid w:val="00CC1177"/>
    <w:rsid w:val="00CC22AB"/>
    <w:rsid w:val="00CC256D"/>
    <w:rsid w:val="00CC29FE"/>
    <w:rsid w:val="00CC39DD"/>
    <w:rsid w:val="00CC458F"/>
    <w:rsid w:val="00CC565D"/>
    <w:rsid w:val="00CC5B1D"/>
    <w:rsid w:val="00CC5EA8"/>
    <w:rsid w:val="00CD1690"/>
    <w:rsid w:val="00CD3AFA"/>
    <w:rsid w:val="00CD3B46"/>
    <w:rsid w:val="00CD3E6F"/>
    <w:rsid w:val="00CD40C5"/>
    <w:rsid w:val="00CD41FD"/>
    <w:rsid w:val="00CD4460"/>
    <w:rsid w:val="00CD452D"/>
    <w:rsid w:val="00CD483D"/>
    <w:rsid w:val="00CD4919"/>
    <w:rsid w:val="00CD5504"/>
    <w:rsid w:val="00CD5613"/>
    <w:rsid w:val="00CD686E"/>
    <w:rsid w:val="00CD6CBA"/>
    <w:rsid w:val="00CD6CCA"/>
    <w:rsid w:val="00CD727F"/>
    <w:rsid w:val="00CD75B4"/>
    <w:rsid w:val="00CD7934"/>
    <w:rsid w:val="00CE03C1"/>
    <w:rsid w:val="00CE0492"/>
    <w:rsid w:val="00CE0622"/>
    <w:rsid w:val="00CE0C26"/>
    <w:rsid w:val="00CE157D"/>
    <w:rsid w:val="00CE16C2"/>
    <w:rsid w:val="00CE188C"/>
    <w:rsid w:val="00CE2491"/>
    <w:rsid w:val="00CE264B"/>
    <w:rsid w:val="00CE33BF"/>
    <w:rsid w:val="00CE3626"/>
    <w:rsid w:val="00CE39D7"/>
    <w:rsid w:val="00CE3F31"/>
    <w:rsid w:val="00CE4E2C"/>
    <w:rsid w:val="00CE50EA"/>
    <w:rsid w:val="00CE5107"/>
    <w:rsid w:val="00CE59EC"/>
    <w:rsid w:val="00CE5DD8"/>
    <w:rsid w:val="00CE6C5A"/>
    <w:rsid w:val="00CE6F90"/>
    <w:rsid w:val="00CE727F"/>
    <w:rsid w:val="00CE7859"/>
    <w:rsid w:val="00CF08A3"/>
    <w:rsid w:val="00CF0E0E"/>
    <w:rsid w:val="00CF0EFD"/>
    <w:rsid w:val="00CF10BC"/>
    <w:rsid w:val="00CF10D7"/>
    <w:rsid w:val="00CF141E"/>
    <w:rsid w:val="00CF1688"/>
    <w:rsid w:val="00CF20B3"/>
    <w:rsid w:val="00CF33B9"/>
    <w:rsid w:val="00CF3824"/>
    <w:rsid w:val="00CF3968"/>
    <w:rsid w:val="00CF3AEF"/>
    <w:rsid w:val="00CF48A0"/>
    <w:rsid w:val="00CF493F"/>
    <w:rsid w:val="00CF4AA4"/>
    <w:rsid w:val="00CF5809"/>
    <w:rsid w:val="00CF5DE6"/>
    <w:rsid w:val="00CF60C1"/>
    <w:rsid w:val="00CF66D6"/>
    <w:rsid w:val="00CF77D5"/>
    <w:rsid w:val="00D00D0E"/>
    <w:rsid w:val="00D00D73"/>
    <w:rsid w:val="00D0131A"/>
    <w:rsid w:val="00D0198B"/>
    <w:rsid w:val="00D01DC4"/>
    <w:rsid w:val="00D02BF7"/>
    <w:rsid w:val="00D03908"/>
    <w:rsid w:val="00D0532F"/>
    <w:rsid w:val="00D05523"/>
    <w:rsid w:val="00D05B4D"/>
    <w:rsid w:val="00D05FC9"/>
    <w:rsid w:val="00D06281"/>
    <w:rsid w:val="00D065CC"/>
    <w:rsid w:val="00D06EF8"/>
    <w:rsid w:val="00D076AB"/>
    <w:rsid w:val="00D104DF"/>
    <w:rsid w:val="00D10FB4"/>
    <w:rsid w:val="00D1121F"/>
    <w:rsid w:val="00D124B3"/>
    <w:rsid w:val="00D14383"/>
    <w:rsid w:val="00D14B9D"/>
    <w:rsid w:val="00D151BD"/>
    <w:rsid w:val="00D17239"/>
    <w:rsid w:val="00D1725F"/>
    <w:rsid w:val="00D17718"/>
    <w:rsid w:val="00D177C1"/>
    <w:rsid w:val="00D179A8"/>
    <w:rsid w:val="00D2008B"/>
    <w:rsid w:val="00D20713"/>
    <w:rsid w:val="00D21501"/>
    <w:rsid w:val="00D21F42"/>
    <w:rsid w:val="00D23561"/>
    <w:rsid w:val="00D23F69"/>
    <w:rsid w:val="00D242A4"/>
    <w:rsid w:val="00D247FB"/>
    <w:rsid w:val="00D25325"/>
    <w:rsid w:val="00D25A9E"/>
    <w:rsid w:val="00D268B6"/>
    <w:rsid w:val="00D26B2A"/>
    <w:rsid w:val="00D26B64"/>
    <w:rsid w:val="00D278EE"/>
    <w:rsid w:val="00D3021A"/>
    <w:rsid w:val="00D304CB"/>
    <w:rsid w:val="00D31A50"/>
    <w:rsid w:val="00D326BE"/>
    <w:rsid w:val="00D3273A"/>
    <w:rsid w:val="00D3368F"/>
    <w:rsid w:val="00D33FA3"/>
    <w:rsid w:val="00D344FA"/>
    <w:rsid w:val="00D34785"/>
    <w:rsid w:val="00D34B51"/>
    <w:rsid w:val="00D34F3F"/>
    <w:rsid w:val="00D369C2"/>
    <w:rsid w:val="00D36CA2"/>
    <w:rsid w:val="00D37030"/>
    <w:rsid w:val="00D371C9"/>
    <w:rsid w:val="00D37BC8"/>
    <w:rsid w:val="00D37E69"/>
    <w:rsid w:val="00D37EE9"/>
    <w:rsid w:val="00D406B8"/>
    <w:rsid w:val="00D40B48"/>
    <w:rsid w:val="00D40FB4"/>
    <w:rsid w:val="00D41143"/>
    <w:rsid w:val="00D4130A"/>
    <w:rsid w:val="00D417D8"/>
    <w:rsid w:val="00D41ED4"/>
    <w:rsid w:val="00D41ED8"/>
    <w:rsid w:val="00D42683"/>
    <w:rsid w:val="00D42F1F"/>
    <w:rsid w:val="00D4506D"/>
    <w:rsid w:val="00D45A99"/>
    <w:rsid w:val="00D460E1"/>
    <w:rsid w:val="00D505BC"/>
    <w:rsid w:val="00D50F92"/>
    <w:rsid w:val="00D51692"/>
    <w:rsid w:val="00D51709"/>
    <w:rsid w:val="00D53417"/>
    <w:rsid w:val="00D5368D"/>
    <w:rsid w:val="00D537BB"/>
    <w:rsid w:val="00D53AE6"/>
    <w:rsid w:val="00D54175"/>
    <w:rsid w:val="00D543BE"/>
    <w:rsid w:val="00D54644"/>
    <w:rsid w:val="00D5488A"/>
    <w:rsid w:val="00D5511E"/>
    <w:rsid w:val="00D55CB6"/>
    <w:rsid w:val="00D55DE9"/>
    <w:rsid w:val="00D562BF"/>
    <w:rsid w:val="00D5642D"/>
    <w:rsid w:val="00D5656E"/>
    <w:rsid w:val="00D56BD6"/>
    <w:rsid w:val="00D57E4E"/>
    <w:rsid w:val="00D60942"/>
    <w:rsid w:val="00D61608"/>
    <w:rsid w:val="00D61CFE"/>
    <w:rsid w:val="00D623AE"/>
    <w:rsid w:val="00D623BC"/>
    <w:rsid w:val="00D62853"/>
    <w:rsid w:val="00D62978"/>
    <w:rsid w:val="00D62C53"/>
    <w:rsid w:val="00D641E9"/>
    <w:rsid w:val="00D647CD"/>
    <w:rsid w:val="00D64A23"/>
    <w:rsid w:val="00D652A1"/>
    <w:rsid w:val="00D65360"/>
    <w:rsid w:val="00D65446"/>
    <w:rsid w:val="00D655F0"/>
    <w:rsid w:val="00D66401"/>
    <w:rsid w:val="00D669D5"/>
    <w:rsid w:val="00D66C6F"/>
    <w:rsid w:val="00D67571"/>
    <w:rsid w:val="00D70997"/>
    <w:rsid w:val="00D723EB"/>
    <w:rsid w:val="00D7293A"/>
    <w:rsid w:val="00D7298E"/>
    <w:rsid w:val="00D729B9"/>
    <w:rsid w:val="00D729FD"/>
    <w:rsid w:val="00D72B9F"/>
    <w:rsid w:val="00D7350D"/>
    <w:rsid w:val="00D736FD"/>
    <w:rsid w:val="00D7379B"/>
    <w:rsid w:val="00D73E2C"/>
    <w:rsid w:val="00D73EF3"/>
    <w:rsid w:val="00D75693"/>
    <w:rsid w:val="00D757DE"/>
    <w:rsid w:val="00D758E1"/>
    <w:rsid w:val="00D80514"/>
    <w:rsid w:val="00D814C0"/>
    <w:rsid w:val="00D81F18"/>
    <w:rsid w:val="00D82144"/>
    <w:rsid w:val="00D836C4"/>
    <w:rsid w:val="00D83DDF"/>
    <w:rsid w:val="00D84137"/>
    <w:rsid w:val="00D85B14"/>
    <w:rsid w:val="00D863BA"/>
    <w:rsid w:val="00D86852"/>
    <w:rsid w:val="00D86CC8"/>
    <w:rsid w:val="00D9094B"/>
    <w:rsid w:val="00D90E13"/>
    <w:rsid w:val="00D926F3"/>
    <w:rsid w:val="00D92E13"/>
    <w:rsid w:val="00D933B0"/>
    <w:rsid w:val="00D93912"/>
    <w:rsid w:val="00D9426B"/>
    <w:rsid w:val="00D9519E"/>
    <w:rsid w:val="00D95252"/>
    <w:rsid w:val="00D9543D"/>
    <w:rsid w:val="00D9574A"/>
    <w:rsid w:val="00D961EA"/>
    <w:rsid w:val="00D96314"/>
    <w:rsid w:val="00D9654F"/>
    <w:rsid w:val="00D971E6"/>
    <w:rsid w:val="00D97370"/>
    <w:rsid w:val="00D97685"/>
    <w:rsid w:val="00DA0312"/>
    <w:rsid w:val="00DA06AC"/>
    <w:rsid w:val="00DA1217"/>
    <w:rsid w:val="00DA12FE"/>
    <w:rsid w:val="00DA1343"/>
    <w:rsid w:val="00DA1672"/>
    <w:rsid w:val="00DA28A8"/>
    <w:rsid w:val="00DA32D8"/>
    <w:rsid w:val="00DA35B8"/>
    <w:rsid w:val="00DA3C7A"/>
    <w:rsid w:val="00DA3F57"/>
    <w:rsid w:val="00DA463B"/>
    <w:rsid w:val="00DA4B0E"/>
    <w:rsid w:val="00DA509B"/>
    <w:rsid w:val="00DA551B"/>
    <w:rsid w:val="00DA68FF"/>
    <w:rsid w:val="00DB08AD"/>
    <w:rsid w:val="00DB0C84"/>
    <w:rsid w:val="00DB0EAA"/>
    <w:rsid w:val="00DB11E0"/>
    <w:rsid w:val="00DB123C"/>
    <w:rsid w:val="00DB1763"/>
    <w:rsid w:val="00DB1932"/>
    <w:rsid w:val="00DB1CCD"/>
    <w:rsid w:val="00DB1E6D"/>
    <w:rsid w:val="00DB1FDF"/>
    <w:rsid w:val="00DB2256"/>
    <w:rsid w:val="00DB2FC4"/>
    <w:rsid w:val="00DB2FFA"/>
    <w:rsid w:val="00DB3134"/>
    <w:rsid w:val="00DB3310"/>
    <w:rsid w:val="00DB3DDE"/>
    <w:rsid w:val="00DB5111"/>
    <w:rsid w:val="00DB646B"/>
    <w:rsid w:val="00DB6F15"/>
    <w:rsid w:val="00DB7ABC"/>
    <w:rsid w:val="00DC0085"/>
    <w:rsid w:val="00DC0E76"/>
    <w:rsid w:val="00DC1AA5"/>
    <w:rsid w:val="00DC2976"/>
    <w:rsid w:val="00DC4902"/>
    <w:rsid w:val="00DC50E4"/>
    <w:rsid w:val="00DC558C"/>
    <w:rsid w:val="00DC594C"/>
    <w:rsid w:val="00DC5EB2"/>
    <w:rsid w:val="00DC5F50"/>
    <w:rsid w:val="00DC6C5E"/>
    <w:rsid w:val="00DC74B7"/>
    <w:rsid w:val="00DC7801"/>
    <w:rsid w:val="00DC7F81"/>
    <w:rsid w:val="00DD0085"/>
    <w:rsid w:val="00DD052B"/>
    <w:rsid w:val="00DD05D6"/>
    <w:rsid w:val="00DD1088"/>
    <w:rsid w:val="00DD134C"/>
    <w:rsid w:val="00DD166B"/>
    <w:rsid w:val="00DD1747"/>
    <w:rsid w:val="00DD1950"/>
    <w:rsid w:val="00DD1A50"/>
    <w:rsid w:val="00DD2C18"/>
    <w:rsid w:val="00DD2D2D"/>
    <w:rsid w:val="00DD3B28"/>
    <w:rsid w:val="00DD3E4A"/>
    <w:rsid w:val="00DD4096"/>
    <w:rsid w:val="00DD4FC4"/>
    <w:rsid w:val="00DD52B0"/>
    <w:rsid w:val="00DD5B62"/>
    <w:rsid w:val="00DD5D73"/>
    <w:rsid w:val="00DD5EC5"/>
    <w:rsid w:val="00DD61EF"/>
    <w:rsid w:val="00DD6CC2"/>
    <w:rsid w:val="00DD73E1"/>
    <w:rsid w:val="00DD740E"/>
    <w:rsid w:val="00DD77A4"/>
    <w:rsid w:val="00DD79AE"/>
    <w:rsid w:val="00DE0936"/>
    <w:rsid w:val="00DE0D64"/>
    <w:rsid w:val="00DE1586"/>
    <w:rsid w:val="00DE176A"/>
    <w:rsid w:val="00DE1D1C"/>
    <w:rsid w:val="00DE2242"/>
    <w:rsid w:val="00DE2EF8"/>
    <w:rsid w:val="00DE2F98"/>
    <w:rsid w:val="00DE311E"/>
    <w:rsid w:val="00DE4047"/>
    <w:rsid w:val="00DE44C7"/>
    <w:rsid w:val="00DE64E2"/>
    <w:rsid w:val="00DE6531"/>
    <w:rsid w:val="00DE6557"/>
    <w:rsid w:val="00DE6DEF"/>
    <w:rsid w:val="00DE7328"/>
    <w:rsid w:val="00DE73BE"/>
    <w:rsid w:val="00DF1448"/>
    <w:rsid w:val="00DF17F2"/>
    <w:rsid w:val="00DF1E0D"/>
    <w:rsid w:val="00DF239B"/>
    <w:rsid w:val="00DF3406"/>
    <w:rsid w:val="00DF3A86"/>
    <w:rsid w:val="00DF3C54"/>
    <w:rsid w:val="00DF479D"/>
    <w:rsid w:val="00DF6151"/>
    <w:rsid w:val="00DF6289"/>
    <w:rsid w:val="00DF63B6"/>
    <w:rsid w:val="00DF6631"/>
    <w:rsid w:val="00DF6679"/>
    <w:rsid w:val="00DF66E9"/>
    <w:rsid w:val="00DF6992"/>
    <w:rsid w:val="00DF6B3C"/>
    <w:rsid w:val="00DF742E"/>
    <w:rsid w:val="00DF7E13"/>
    <w:rsid w:val="00E00262"/>
    <w:rsid w:val="00E00B1B"/>
    <w:rsid w:val="00E00FA3"/>
    <w:rsid w:val="00E020F3"/>
    <w:rsid w:val="00E0240C"/>
    <w:rsid w:val="00E02607"/>
    <w:rsid w:val="00E030FA"/>
    <w:rsid w:val="00E03451"/>
    <w:rsid w:val="00E046CA"/>
    <w:rsid w:val="00E054D7"/>
    <w:rsid w:val="00E05A08"/>
    <w:rsid w:val="00E05A27"/>
    <w:rsid w:val="00E05D45"/>
    <w:rsid w:val="00E05F0D"/>
    <w:rsid w:val="00E06238"/>
    <w:rsid w:val="00E06948"/>
    <w:rsid w:val="00E07709"/>
    <w:rsid w:val="00E10E77"/>
    <w:rsid w:val="00E110F4"/>
    <w:rsid w:val="00E11BDD"/>
    <w:rsid w:val="00E11D8A"/>
    <w:rsid w:val="00E120D4"/>
    <w:rsid w:val="00E129C0"/>
    <w:rsid w:val="00E13404"/>
    <w:rsid w:val="00E139D5"/>
    <w:rsid w:val="00E13E59"/>
    <w:rsid w:val="00E14E5B"/>
    <w:rsid w:val="00E15196"/>
    <w:rsid w:val="00E15818"/>
    <w:rsid w:val="00E15B70"/>
    <w:rsid w:val="00E16308"/>
    <w:rsid w:val="00E16A49"/>
    <w:rsid w:val="00E16FA5"/>
    <w:rsid w:val="00E171D5"/>
    <w:rsid w:val="00E200AD"/>
    <w:rsid w:val="00E2179A"/>
    <w:rsid w:val="00E224DA"/>
    <w:rsid w:val="00E235F5"/>
    <w:rsid w:val="00E23A05"/>
    <w:rsid w:val="00E241AA"/>
    <w:rsid w:val="00E24206"/>
    <w:rsid w:val="00E2489F"/>
    <w:rsid w:val="00E24EBA"/>
    <w:rsid w:val="00E24F8B"/>
    <w:rsid w:val="00E250C3"/>
    <w:rsid w:val="00E25BC9"/>
    <w:rsid w:val="00E25F72"/>
    <w:rsid w:val="00E26B79"/>
    <w:rsid w:val="00E27236"/>
    <w:rsid w:val="00E2764E"/>
    <w:rsid w:val="00E27B76"/>
    <w:rsid w:val="00E27CCB"/>
    <w:rsid w:val="00E30371"/>
    <w:rsid w:val="00E308FF"/>
    <w:rsid w:val="00E30D27"/>
    <w:rsid w:val="00E310A3"/>
    <w:rsid w:val="00E310C8"/>
    <w:rsid w:val="00E314BE"/>
    <w:rsid w:val="00E32760"/>
    <w:rsid w:val="00E327E6"/>
    <w:rsid w:val="00E32B81"/>
    <w:rsid w:val="00E32C31"/>
    <w:rsid w:val="00E338B2"/>
    <w:rsid w:val="00E345C3"/>
    <w:rsid w:val="00E34D3A"/>
    <w:rsid w:val="00E34ED5"/>
    <w:rsid w:val="00E36BBC"/>
    <w:rsid w:val="00E36BD7"/>
    <w:rsid w:val="00E370FA"/>
    <w:rsid w:val="00E37164"/>
    <w:rsid w:val="00E373ED"/>
    <w:rsid w:val="00E37BF7"/>
    <w:rsid w:val="00E40151"/>
    <w:rsid w:val="00E405BF"/>
    <w:rsid w:val="00E4089C"/>
    <w:rsid w:val="00E41B04"/>
    <w:rsid w:val="00E434E2"/>
    <w:rsid w:val="00E43EE1"/>
    <w:rsid w:val="00E4437E"/>
    <w:rsid w:val="00E450BD"/>
    <w:rsid w:val="00E45337"/>
    <w:rsid w:val="00E45455"/>
    <w:rsid w:val="00E45650"/>
    <w:rsid w:val="00E45CAD"/>
    <w:rsid w:val="00E4709B"/>
    <w:rsid w:val="00E47328"/>
    <w:rsid w:val="00E47C57"/>
    <w:rsid w:val="00E503F7"/>
    <w:rsid w:val="00E506C1"/>
    <w:rsid w:val="00E50917"/>
    <w:rsid w:val="00E5171A"/>
    <w:rsid w:val="00E51E70"/>
    <w:rsid w:val="00E52347"/>
    <w:rsid w:val="00E525A8"/>
    <w:rsid w:val="00E53D3B"/>
    <w:rsid w:val="00E53E05"/>
    <w:rsid w:val="00E54DF2"/>
    <w:rsid w:val="00E55500"/>
    <w:rsid w:val="00E55757"/>
    <w:rsid w:val="00E5665A"/>
    <w:rsid w:val="00E56F29"/>
    <w:rsid w:val="00E57062"/>
    <w:rsid w:val="00E57F05"/>
    <w:rsid w:val="00E57F65"/>
    <w:rsid w:val="00E609BE"/>
    <w:rsid w:val="00E60FE1"/>
    <w:rsid w:val="00E61004"/>
    <w:rsid w:val="00E61065"/>
    <w:rsid w:val="00E610E6"/>
    <w:rsid w:val="00E6136C"/>
    <w:rsid w:val="00E620AE"/>
    <w:rsid w:val="00E62178"/>
    <w:rsid w:val="00E628DF"/>
    <w:rsid w:val="00E6318B"/>
    <w:rsid w:val="00E63CE2"/>
    <w:rsid w:val="00E641D1"/>
    <w:rsid w:val="00E643A6"/>
    <w:rsid w:val="00E646A7"/>
    <w:rsid w:val="00E651CA"/>
    <w:rsid w:val="00E66DA3"/>
    <w:rsid w:val="00E67AC0"/>
    <w:rsid w:val="00E710AC"/>
    <w:rsid w:val="00E7233A"/>
    <w:rsid w:val="00E738D2"/>
    <w:rsid w:val="00E73E5E"/>
    <w:rsid w:val="00E74177"/>
    <w:rsid w:val="00E744F1"/>
    <w:rsid w:val="00E74637"/>
    <w:rsid w:val="00E75A3F"/>
    <w:rsid w:val="00E75EF1"/>
    <w:rsid w:val="00E77084"/>
    <w:rsid w:val="00E77367"/>
    <w:rsid w:val="00E80247"/>
    <w:rsid w:val="00E804BB"/>
    <w:rsid w:val="00E8061A"/>
    <w:rsid w:val="00E80DF7"/>
    <w:rsid w:val="00E8117B"/>
    <w:rsid w:val="00E8244C"/>
    <w:rsid w:val="00E825E5"/>
    <w:rsid w:val="00E827AA"/>
    <w:rsid w:val="00E82BB1"/>
    <w:rsid w:val="00E82F50"/>
    <w:rsid w:val="00E83FA6"/>
    <w:rsid w:val="00E84B97"/>
    <w:rsid w:val="00E84EB0"/>
    <w:rsid w:val="00E8532F"/>
    <w:rsid w:val="00E85654"/>
    <w:rsid w:val="00E8568D"/>
    <w:rsid w:val="00E85833"/>
    <w:rsid w:val="00E861E4"/>
    <w:rsid w:val="00E867AA"/>
    <w:rsid w:val="00E86B0D"/>
    <w:rsid w:val="00E871AA"/>
    <w:rsid w:val="00E87519"/>
    <w:rsid w:val="00E905F0"/>
    <w:rsid w:val="00E90625"/>
    <w:rsid w:val="00E91083"/>
    <w:rsid w:val="00E918B4"/>
    <w:rsid w:val="00E91B1A"/>
    <w:rsid w:val="00E926D8"/>
    <w:rsid w:val="00E92816"/>
    <w:rsid w:val="00E937A2"/>
    <w:rsid w:val="00E93CD0"/>
    <w:rsid w:val="00E94DE3"/>
    <w:rsid w:val="00E9541B"/>
    <w:rsid w:val="00E95C14"/>
    <w:rsid w:val="00E96252"/>
    <w:rsid w:val="00E96A88"/>
    <w:rsid w:val="00E9740E"/>
    <w:rsid w:val="00E97928"/>
    <w:rsid w:val="00EA0F61"/>
    <w:rsid w:val="00EA240E"/>
    <w:rsid w:val="00EA36E6"/>
    <w:rsid w:val="00EA380F"/>
    <w:rsid w:val="00EA4860"/>
    <w:rsid w:val="00EA58F7"/>
    <w:rsid w:val="00EA5EE7"/>
    <w:rsid w:val="00EA654A"/>
    <w:rsid w:val="00EA6691"/>
    <w:rsid w:val="00EA6B92"/>
    <w:rsid w:val="00EA7454"/>
    <w:rsid w:val="00EA7707"/>
    <w:rsid w:val="00EA7713"/>
    <w:rsid w:val="00EA7E70"/>
    <w:rsid w:val="00EB0AFF"/>
    <w:rsid w:val="00EB0CAC"/>
    <w:rsid w:val="00EB1976"/>
    <w:rsid w:val="00EB1B82"/>
    <w:rsid w:val="00EB1C2A"/>
    <w:rsid w:val="00EB26C6"/>
    <w:rsid w:val="00EB273E"/>
    <w:rsid w:val="00EB2971"/>
    <w:rsid w:val="00EB2CB3"/>
    <w:rsid w:val="00EB359E"/>
    <w:rsid w:val="00EB3641"/>
    <w:rsid w:val="00EB3AD6"/>
    <w:rsid w:val="00EB3AFB"/>
    <w:rsid w:val="00EB4BB7"/>
    <w:rsid w:val="00EB4CAE"/>
    <w:rsid w:val="00EB571F"/>
    <w:rsid w:val="00EB586B"/>
    <w:rsid w:val="00EB5C37"/>
    <w:rsid w:val="00EB5CAA"/>
    <w:rsid w:val="00EB6460"/>
    <w:rsid w:val="00EB65A5"/>
    <w:rsid w:val="00EB6836"/>
    <w:rsid w:val="00EB754B"/>
    <w:rsid w:val="00EB76D3"/>
    <w:rsid w:val="00EB78F6"/>
    <w:rsid w:val="00EB7CB2"/>
    <w:rsid w:val="00EB7E8A"/>
    <w:rsid w:val="00EC086D"/>
    <w:rsid w:val="00EC0941"/>
    <w:rsid w:val="00EC15F0"/>
    <w:rsid w:val="00EC18E5"/>
    <w:rsid w:val="00EC1A89"/>
    <w:rsid w:val="00EC1DE9"/>
    <w:rsid w:val="00EC2F98"/>
    <w:rsid w:val="00EC3553"/>
    <w:rsid w:val="00EC520C"/>
    <w:rsid w:val="00EC56EE"/>
    <w:rsid w:val="00EC570B"/>
    <w:rsid w:val="00EC5738"/>
    <w:rsid w:val="00EC5B5B"/>
    <w:rsid w:val="00EC5E25"/>
    <w:rsid w:val="00EC692B"/>
    <w:rsid w:val="00EC6E57"/>
    <w:rsid w:val="00EC7208"/>
    <w:rsid w:val="00ED0792"/>
    <w:rsid w:val="00ED07E5"/>
    <w:rsid w:val="00ED247E"/>
    <w:rsid w:val="00ED258F"/>
    <w:rsid w:val="00ED2B48"/>
    <w:rsid w:val="00ED32B3"/>
    <w:rsid w:val="00ED4243"/>
    <w:rsid w:val="00ED43CF"/>
    <w:rsid w:val="00ED4523"/>
    <w:rsid w:val="00ED45C5"/>
    <w:rsid w:val="00ED4609"/>
    <w:rsid w:val="00ED48E9"/>
    <w:rsid w:val="00ED4DFF"/>
    <w:rsid w:val="00ED55ED"/>
    <w:rsid w:val="00ED576A"/>
    <w:rsid w:val="00ED5782"/>
    <w:rsid w:val="00ED6831"/>
    <w:rsid w:val="00ED6841"/>
    <w:rsid w:val="00ED7AFA"/>
    <w:rsid w:val="00EE0B6D"/>
    <w:rsid w:val="00EE0E7E"/>
    <w:rsid w:val="00EE1B26"/>
    <w:rsid w:val="00EE33EF"/>
    <w:rsid w:val="00EE355B"/>
    <w:rsid w:val="00EE35E2"/>
    <w:rsid w:val="00EE3C71"/>
    <w:rsid w:val="00EE4345"/>
    <w:rsid w:val="00EE4992"/>
    <w:rsid w:val="00EE49FF"/>
    <w:rsid w:val="00EE4BBA"/>
    <w:rsid w:val="00EE5200"/>
    <w:rsid w:val="00EE5466"/>
    <w:rsid w:val="00EE5F83"/>
    <w:rsid w:val="00EE6122"/>
    <w:rsid w:val="00EE6BC1"/>
    <w:rsid w:val="00EE6DD3"/>
    <w:rsid w:val="00EE717D"/>
    <w:rsid w:val="00EE765D"/>
    <w:rsid w:val="00EE7DDD"/>
    <w:rsid w:val="00EE7E83"/>
    <w:rsid w:val="00EF11D4"/>
    <w:rsid w:val="00EF13CC"/>
    <w:rsid w:val="00EF2E62"/>
    <w:rsid w:val="00EF3C1D"/>
    <w:rsid w:val="00EF3E24"/>
    <w:rsid w:val="00EF55E9"/>
    <w:rsid w:val="00EF5C08"/>
    <w:rsid w:val="00EF5E09"/>
    <w:rsid w:val="00EF6076"/>
    <w:rsid w:val="00EF611F"/>
    <w:rsid w:val="00EF76AD"/>
    <w:rsid w:val="00EF7E06"/>
    <w:rsid w:val="00F00A61"/>
    <w:rsid w:val="00F00B59"/>
    <w:rsid w:val="00F0242F"/>
    <w:rsid w:val="00F02560"/>
    <w:rsid w:val="00F0339E"/>
    <w:rsid w:val="00F03B90"/>
    <w:rsid w:val="00F03E8D"/>
    <w:rsid w:val="00F04DB2"/>
    <w:rsid w:val="00F057F8"/>
    <w:rsid w:val="00F05A8D"/>
    <w:rsid w:val="00F05E56"/>
    <w:rsid w:val="00F0779F"/>
    <w:rsid w:val="00F101A9"/>
    <w:rsid w:val="00F103A9"/>
    <w:rsid w:val="00F108FB"/>
    <w:rsid w:val="00F1174E"/>
    <w:rsid w:val="00F117FB"/>
    <w:rsid w:val="00F11D38"/>
    <w:rsid w:val="00F128A6"/>
    <w:rsid w:val="00F12E5F"/>
    <w:rsid w:val="00F137E9"/>
    <w:rsid w:val="00F14654"/>
    <w:rsid w:val="00F14822"/>
    <w:rsid w:val="00F14F30"/>
    <w:rsid w:val="00F151C6"/>
    <w:rsid w:val="00F15B20"/>
    <w:rsid w:val="00F17595"/>
    <w:rsid w:val="00F17C7A"/>
    <w:rsid w:val="00F17D09"/>
    <w:rsid w:val="00F205B1"/>
    <w:rsid w:val="00F2101C"/>
    <w:rsid w:val="00F211B7"/>
    <w:rsid w:val="00F21822"/>
    <w:rsid w:val="00F236B7"/>
    <w:rsid w:val="00F23B5C"/>
    <w:rsid w:val="00F23FA8"/>
    <w:rsid w:val="00F25159"/>
    <w:rsid w:val="00F252F8"/>
    <w:rsid w:val="00F25322"/>
    <w:rsid w:val="00F25E9D"/>
    <w:rsid w:val="00F26230"/>
    <w:rsid w:val="00F2750B"/>
    <w:rsid w:val="00F304D4"/>
    <w:rsid w:val="00F3055C"/>
    <w:rsid w:val="00F3069F"/>
    <w:rsid w:val="00F30782"/>
    <w:rsid w:val="00F31635"/>
    <w:rsid w:val="00F3238B"/>
    <w:rsid w:val="00F3268B"/>
    <w:rsid w:val="00F3281B"/>
    <w:rsid w:val="00F338D5"/>
    <w:rsid w:val="00F3502B"/>
    <w:rsid w:val="00F3515B"/>
    <w:rsid w:val="00F3548D"/>
    <w:rsid w:val="00F359D1"/>
    <w:rsid w:val="00F359F6"/>
    <w:rsid w:val="00F370C3"/>
    <w:rsid w:val="00F3791F"/>
    <w:rsid w:val="00F37A39"/>
    <w:rsid w:val="00F402BF"/>
    <w:rsid w:val="00F4046D"/>
    <w:rsid w:val="00F41EB2"/>
    <w:rsid w:val="00F42931"/>
    <w:rsid w:val="00F42C76"/>
    <w:rsid w:val="00F43D94"/>
    <w:rsid w:val="00F44461"/>
    <w:rsid w:val="00F44721"/>
    <w:rsid w:val="00F44B27"/>
    <w:rsid w:val="00F44EA3"/>
    <w:rsid w:val="00F45602"/>
    <w:rsid w:val="00F45880"/>
    <w:rsid w:val="00F45D67"/>
    <w:rsid w:val="00F46C61"/>
    <w:rsid w:val="00F46E45"/>
    <w:rsid w:val="00F503C7"/>
    <w:rsid w:val="00F50CF8"/>
    <w:rsid w:val="00F50E13"/>
    <w:rsid w:val="00F51343"/>
    <w:rsid w:val="00F516B0"/>
    <w:rsid w:val="00F51FCF"/>
    <w:rsid w:val="00F525E1"/>
    <w:rsid w:val="00F52CB5"/>
    <w:rsid w:val="00F53539"/>
    <w:rsid w:val="00F539C6"/>
    <w:rsid w:val="00F53E01"/>
    <w:rsid w:val="00F53E89"/>
    <w:rsid w:val="00F540BB"/>
    <w:rsid w:val="00F54935"/>
    <w:rsid w:val="00F54A85"/>
    <w:rsid w:val="00F54B4D"/>
    <w:rsid w:val="00F553A9"/>
    <w:rsid w:val="00F563E6"/>
    <w:rsid w:val="00F57002"/>
    <w:rsid w:val="00F579FA"/>
    <w:rsid w:val="00F57B2E"/>
    <w:rsid w:val="00F6144F"/>
    <w:rsid w:val="00F61595"/>
    <w:rsid w:val="00F61A92"/>
    <w:rsid w:val="00F62320"/>
    <w:rsid w:val="00F623B1"/>
    <w:rsid w:val="00F62436"/>
    <w:rsid w:val="00F62A3F"/>
    <w:rsid w:val="00F62E50"/>
    <w:rsid w:val="00F63934"/>
    <w:rsid w:val="00F63C26"/>
    <w:rsid w:val="00F640DF"/>
    <w:rsid w:val="00F649AA"/>
    <w:rsid w:val="00F64A5E"/>
    <w:rsid w:val="00F64B30"/>
    <w:rsid w:val="00F65456"/>
    <w:rsid w:val="00F65489"/>
    <w:rsid w:val="00F65B6E"/>
    <w:rsid w:val="00F65C20"/>
    <w:rsid w:val="00F65E1F"/>
    <w:rsid w:val="00F661E9"/>
    <w:rsid w:val="00F665A5"/>
    <w:rsid w:val="00F6661F"/>
    <w:rsid w:val="00F6785D"/>
    <w:rsid w:val="00F67F8D"/>
    <w:rsid w:val="00F7010D"/>
    <w:rsid w:val="00F70DE4"/>
    <w:rsid w:val="00F72A2C"/>
    <w:rsid w:val="00F72BCE"/>
    <w:rsid w:val="00F72F7D"/>
    <w:rsid w:val="00F731A0"/>
    <w:rsid w:val="00F73305"/>
    <w:rsid w:val="00F733AC"/>
    <w:rsid w:val="00F73A18"/>
    <w:rsid w:val="00F73B82"/>
    <w:rsid w:val="00F73DA1"/>
    <w:rsid w:val="00F74398"/>
    <w:rsid w:val="00F74A00"/>
    <w:rsid w:val="00F74C80"/>
    <w:rsid w:val="00F75333"/>
    <w:rsid w:val="00F7594D"/>
    <w:rsid w:val="00F75D3B"/>
    <w:rsid w:val="00F767A0"/>
    <w:rsid w:val="00F7695C"/>
    <w:rsid w:val="00F77B9C"/>
    <w:rsid w:val="00F80A9B"/>
    <w:rsid w:val="00F81323"/>
    <w:rsid w:val="00F81AFD"/>
    <w:rsid w:val="00F81FEA"/>
    <w:rsid w:val="00F8249F"/>
    <w:rsid w:val="00F83469"/>
    <w:rsid w:val="00F83868"/>
    <w:rsid w:val="00F83F9C"/>
    <w:rsid w:val="00F84223"/>
    <w:rsid w:val="00F84269"/>
    <w:rsid w:val="00F8478B"/>
    <w:rsid w:val="00F850E1"/>
    <w:rsid w:val="00F85566"/>
    <w:rsid w:val="00F85A3D"/>
    <w:rsid w:val="00F85D11"/>
    <w:rsid w:val="00F86152"/>
    <w:rsid w:val="00F86E4B"/>
    <w:rsid w:val="00F87593"/>
    <w:rsid w:val="00F87620"/>
    <w:rsid w:val="00F90A8C"/>
    <w:rsid w:val="00F90AE1"/>
    <w:rsid w:val="00F90FF2"/>
    <w:rsid w:val="00F91063"/>
    <w:rsid w:val="00F91353"/>
    <w:rsid w:val="00F91879"/>
    <w:rsid w:val="00F91982"/>
    <w:rsid w:val="00F91A9F"/>
    <w:rsid w:val="00F91D44"/>
    <w:rsid w:val="00F9225E"/>
    <w:rsid w:val="00F9293D"/>
    <w:rsid w:val="00F9301C"/>
    <w:rsid w:val="00F93848"/>
    <w:rsid w:val="00F93E23"/>
    <w:rsid w:val="00F94191"/>
    <w:rsid w:val="00F94F2F"/>
    <w:rsid w:val="00F9521B"/>
    <w:rsid w:val="00F96651"/>
    <w:rsid w:val="00F9736A"/>
    <w:rsid w:val="00F97C30"/>
    <w:rsid w:val="00F97EA7"/>
    <w:rsid w:val="00FA0743"/>
    <w:rsid w:val="00FA1893"/>
    <w:rsid w:val="00FA2102"/>
    <w:rsid w:val="00FA2C75"/>
    <w:rsid w:val="00FA2E40"/>
    <w:rsid w:val="00FA3FB4"/>
    <w:rsid w:val="00FA664F"/>
    <w:rsid w:val="00FA66E4"/>
    <w:rsid w:val="00FA681F"/>
    <w:rsid w:val="00FA6B34"/>
    <w:rsid w:val="00FA6F1B"/>
    <w:rsid w:val="00FA712A"/>
    <w:rsid w:val="00FB0A78"/>
    <w:rsid w:val="00FB471D"/>
    <w:rsid w:val="00FB4F96"/>
    <w:rsid w:val="00FB4F9D"/>
    <w:rsid w:val="00FB500E"/>
    <w:rsid w:val="00FB5E2E"/>
    <w:rsid w:val="00FB6081"/>
    <w:rsid w:val="00FB73E8"/>
    <w:rsid w:val="00FC0309"/>
    <w:rsid w:val="00FC0AD9"/>
    <w:rsid w:val="00FC100C"/>
    <w:rsid w:val="00FC21E5"/>
    <w:rsid w:val="00FC23D6"/>
    <w:rsid w:val="00FC2475"/>
    <w:rsid w:val="00FC29F9"/>
    <w:rsid w:val="00FC2D06"/>
    <w:rsid w:val="00FC5CCF"/>
    <w:rsid w:val="00FC6654"/>
    <w:rsid w:val="00FC7531"/>
    <w:rsid w:val="00FC7926"/>
    <w:rsid w:val="00FD1003"/>
    <w:rsid w:val="00FD107C"/>
    <w:rsid w:val="00FD166D"/>
    <w:rsid w:val="00FD1777"/>
    <w:rsid w:val="00FD1D01"/>
    <w:rsid w:val="00FD1D28"/>
    <w:rsid w:val="00FD2E43"/>
    <w:rsid w:val="00FD313B"/>
    <w:rsid w:val="00FD3B02"/>
    <w:rsid w:val="00FD3B9F"/>
    <w:rsid w:val="00FD4265"/>
    <w:rsid w:val="00FD4793"/>
    <w:rsid w:val="00FD4BC0"/>
    <w:rsid w:val="00FD4D1C"/>
    <w:rsid w:val="00FD50D0"/>
    <w:rsid w:val="00FD6A71"/>
    <w:rsid w:val="00FD70AE"/>
    <w:rsid w:val="00FD75E1"/>
    <w:rsid w:val="00FD7876"/>
    <w:rsid w:val="00FD7C5F"/>
    <w:rsid w:val="00FD7D85"/>
    <w:rsid w:val="00FD7F03"/>
    <w:rsid w:val="00FE033F"/>
    <w:rsid w:val="00FE0A99"/>
    <w:rsid w:val="00FE2A75"/>
    <w:rsid w:val="00FE3344"/>
    <w:rsid w:val="00FE3992"/>
    <w:rsid w:val="00FE3C18"/>
    <w:rsid w:val="00FE3C51"/>
    <w:rsid w:val="00FE3E62"/>
    <w:rsid w:val="00FE5F4C"/>
    <w:rsid w:val="00FE6BD5"/>
    <w:rsid w:val="00FE75F5"/>
    <w:rsid w:val="00FE7AB4"/>
    <w:rsid w:val="00FE7DE1"/>
    <w:rsid w:val="00FF0830"/>
    <w:rsid w:val="00FF088C"/>
    <w:rsid w:val="00FF0A94"/>
    <w:rsid w:val="00FF1815"/>
    <w:rsid w:val="00FF1BDB"/>
    <w:rsid w:val="00FF2115"/>
    <w:rsid w:val="00FF26FA"/>
    <w:rsid w:val="00FF34D5"/>
    <w:rsid w:val="00FF37E2"/>
    <w:rsid w:val="00FF3AAF"/>
    <w:rsid w:val="00FF40B1"/>
    <w:rsid w:val="00FF48A4"/>
    <w:rsid w:val="00FF4AC9"/>
    <w:rsid w:val="00FF4F3A"/>
    <w:rsid w:val="00FF5684"/>
    <w:rsid w:val="00FF5F93"/>
    <w:rsid w:val="00FF6A46"/>
    <w:rsid w:val="00FF6DA3"/>
    <w:rsid w:val="011076AB"/>
    <w:rsid w:val="016D6707"/>
    <w:rsid w:val="017D3D95"/>
    <w:rsid w:val="01816EFD"/>
    <w:rsid w:val="01B32744"/>
    <w:rsid w:val="022FA22D"/>
    <w:rsid w:val="026CDFC3"/>
    <w:rsid w:val="028E8FD3"/>
    <w:rsid w:val="029BCDF3"/>
    <w:rsid w:val="02A46886"/>
    <w:rsid w:val="03091034"/>
    <w:rsid w:val="032B6261"/>
    <w:rsid w:val="035B45E1"/>
    <w:rsid w:val="0369F0BF"/>
    <w:rsid w:val="03884363"/>
    <w:rsid w:val="03CEFFBF"/>
    <w:rsid w:val="03D6ED02"/>
    <w:rsid w:val="040BD4CA"/>
    <w:rsid w:val="044BC246"/>
    <w:rsid w:val="04862251"/>
    <w:rsid w:val="0492C475"/>
    <w:rsid w:val="05295B08"/>
    <w:rsid w:val="055435EC"/>
    <w:rsid w:val="05888881"/>
    <w:rsid w:val="058E476B"/>
    <w:rsid w:val="06331B0D"/>
    <w:rsid w:val="0637BC6C"/>
    <w:rsid w:val="0661888D"/>
    <w:rsid w:val="0710B916"/>
    <w:rsid w:val="0764403E"/>
    <w:rsid w:val="077BAF00"/>
    <w:rsid w:val="0789560C"/>
    <w:rsid w:val="07A28564"/>
    <w:rsid w:val="07CC6990"/>
    <w:rsid w:val="08067E59"/>
    <w:rsid w:val="087A9ADC"/>
    <w:rsid w:val="08B1E64C"/>
    <w:rsid w:val="095C519A"/>
    <w:rsid w:val="09704536"/>
    <w:rsid w:val="09BCE4CD"/>
    <w:rsid w:val="09BE2B0E"/>
    <w:rsid w:val="09C110CA"/>
    <w:rsid w:val="09FDDDDB"/>
    <w:rsid w:val="0A0B91FF"/>
    <w:rsid w:val="0A42A1F9"/>
    <w:rsid w:val="0A8650E0"/>
    <w:rsid w:val="0AAE7004"/>
    <w:rsid w:val="0AB3A83A"/>
    <w:rsid w:val="0AC38BFF"/>
    <w:rsid w:val="0B2041F1"/>
    <w:rsid w:val="0B3CD24C"/>
    <w:rsid w:val="0B662F83"/>
    <w:rsid w:val="0BC1B34D"/>
    <w:rsid w:val="0BF17399"/>
    <w:rsid w:val="0BF2A6A6"/>
    <w:rsid w:val="0C031419"/>
    <w:rsid w:val="0C49765F"/>
    <w:rsid w:val="0C6E6379"/>
    <w:rsid w:val="0C781A1E"/>
    <w:rsid w:val="0C9CCC36"/>
    <w:rsid w:val="0D35561F"/>
    <w:rsid w:val="0D744E2B"/>
    <w:rsid w:val="0D7CD36C"/>
    <w:rsid w:val="0D9B8A31"/>
    <w:rsid w:val="0DDAFCFB"/>
    <w:rsid w:val="0DDE5654"/>
    <w:rsid w:val="0DE9767B"/>
    <w:rsid w:val="0DFF0695"/>
    <w:rsid w:val="0E059624"/>
    <w:rsid w:val="0E751824"/>
    <w:rsid w:val="0E8EB228"/>
    <w:rsid w:val="0EC9C71A"/>
    <w:rsid w:val="0EE385F4"/>
    <w:rsid w:val="0EF405BC"/>
    <w:rsid w:val="0EF49208"/>
    <w:rsid w:val="0F1EC5F0"/>
    <w:rsid w:val="0F456E3B"/>
    <w:rsid w:val="0F547E46"/>
    <w:rsid w:val="0F883A5E"/>
    <w:rsid w:val="0FC8A593"/>
    <w:rsid w:val="0FCCFE7C"/>
    <w:rsid w:val="0FEC04D6"/>
    <w:rsid w:val="103B5C80"/>
    <w:rsid w:val="10441354"/>
    <w:rsid w:val="10609F4D"/>
    <w:rsid w:val="10AE895C"/>
    <w:rsid w:val="10CCDC97"/>
    <w:rsid w:val="10D09B80"/>
    <w:rsid w:val="10D13539"/>
    <w:rsid w:val="10F118F0"/>
    <w:rsid w:val="112852C2"/>
    <w:rsid w:val="113751DD"/>
    <w:rsid w:val="114AE123"/>
    <w:rsid w:val="114C0FD0"/>
    <w:rsid w:val="115107FE"/>
    <w:rsid w:val="116D49B1"/>
    <w:rsid w:val="11A63DA5"/>
    <w:rsid w:val="11A6D560"/>
    <w:rsid w:val="11D3D2E2"/>
    <w:rsid w:val="1243B662"/>
    <w:rsid w:val="128D3FAC"/>
    <w:rsid w:val="12993BFA"/>
    <w:rsid w:val="12EC998F"/>
    <w:rsid w:val="12F8B0AD"/>
    <w:rsid w:val="13085B5C"/>
    <w:rsid w:val="1315D78D"/>
    <w:rsid w:val="1399CDA9"/>
    <w:rsid w:val="13C79B71"/>
    <w:rsid w:val="13CFDBC1"/>
    <w:rsid w:val="1402DF6D"/>
    <w:rsid w:val="1414EE70"/>
    <w:rsid w:val="143E222B"/>
    <w:rsid w:val="143F1F88"/>
    <w:rsid w:val="143FC5EA"/>
    <w:rsid w:val="1479EE1F"/>
    <w:rsid w:val="14B05DDF"/>
    <w:rsid w:val="14FD4EFE"/>
    <w:rsid w:val="15142089"/>
    <w:rsid w:val="15578DD0"/>
    <w:rsid w:val="158EA064"/>
    <w:rsid w:val="15A4D369"/>
    <w:rsid w:val="15C2FCA8"/>
    <w:rsid w:val="15DC4294"/>
    <w:rsid w:val="162A20E3"/>
    <w:rsid w:val="16417E70"/>
    <w:rsid w:val="16DE5699"/>
    <w:rsid w:val="16F7A634"/>
    <w:rsid w:val="170369D5"/>
    <w:rsid w:val="171B6342"/>
    <w:rsid w:val="178B2CE7"/>
    <w:rsid w:val="17C2B1FA"/>
    <w:rsid w:val="17EA1581"/>
    <w:rsid w:val="183E4F09"/>
    <w:rsid w:val="186391D6"/>
    <w:rsid w:val="187B063A"/>
    <w:rsid w:val="18C01D52"/>
    <w:rsid w:val="18E546DF"/>
    <w:rsid w:val="18F53A26"/>
    <w:rsid w:val="19122881"/>
    <w:rsid w:val="192E9F35"/>
    <w:rsid w:val="19461377"/>
    <w:rsid w:val="1949A33F"/>
    <w:rsid w:val="195288E6"/>
    <w:rsid w:val="19780A12"/>
    <w:rsid w:val="1991CBB8"/>
    <w:rsid w:val="19A39E43"/>
    <w:rsid w:val="19BC0366"/>
    <w:rsid w:val="19C47B34"/>
    <w:rsid w:val="19CD76DC"/>
    <w:rsid w:val="19D8BDA9"/>
    <w:rsid w:val="19E40DD5"/>
    <w:rsid w:val="19F57C30"/>
    <w:rsid w:val="1A09FD7C"/>
    <w:rsid w:val="1A29BAD2"/>
    <w:rsid w:val="1B0C85A1"/>
    <w:rsid w:val="1B0D67AF"/>
    <w:rsid w:val="1B22103F"/>
    <w:rsid w:val="1B725FFD"/>
    <w:rsid w:val="1BC67142"/>
    <w:rsid w:val="1BDD6700"/>
    <w:rsid w:val="1C179BC7"/>
    <w:rsid w:val="1C3D2B77"/>
    <w:rsid w:val="1C68A7A1"/>
    <w:rsid w:val="1C6F0F93"/>
    <w:rsid w:val="1CB7BF8D"/>
    <w:rsid w:val="1CD9167E"/>
    <w:rsid w:val="1CEAB6B4"/>
    <w:rsid w:val="1CF9D114"/>
    <w:rsid w:val="1D073B58"/>
    <w:rsid w:val="1D2E7B73"/>
    <w:rsid w:val="1D853A19"/>
    <w:rsid w:val="1E8DF52D"/>
    <w:rsid w:val="1E99601B"/>
    <w:rsid w:val="1E9BF014"/>
    <w:rsid w:val="1ED5DA71"/>
    <w:rsid w:val="1F2980DB"/>
    <w:rsid w:val="1F5AC577"/>
    <w:rsid w:val="1FABC315"/>
    <w:rsid w:val="1FADFEED"/>
    <w:rsid w:val="1FC94507"/>
    <w:rsid w:val="1FD8D4CD"/>
    <w:rsid w:val="2005E9D0"/>
    <w:rsid w:val="200E8BEE"/>
    <w:rsid w:val="201F9532"/>
    <w:rsid w:val="20333683"/>
    <w:rsid w:val="2066845F"/>
    <w:rsid w:val="2091FAE9"/>
    <w:rsid w:val="209586BE"/>
    <w:rsid w:val="20B04068"/>
    <w:rsid w:val="20D5F190"/>
    <w:rsid w:val="2175B774"/>
    <w:rsid w:val="21829C2B"/>
    <w:rsid w:val="2196B943"/>
    <w:rsid w:val="222D59C1"/>
    <w:rsid w:val="22C38EA8"/>
    <w:rsid w:val="23009638"/>
    <w:rsid w:val="233B70C1"/>
    <w:rsid w:val="2347C556"/>
    <w:rsid w:val="234A513B"/>
    <w:rsid w:val="23709027"/>
    <w:rsid w:val="23784A99"/>
    <w:rsid w:val="23ACD042"/>
    <w:rsid w:val="23BEC195"/>
    <w:rsid w:val="23C45386"/>
    <w:rsid w:val="23E8143E"/>
    <w:rsid w:val="244EDB48"/>
    <w:rsid w:val="246AF613"/>
    <w:rsid w:val="249D9762"/>
    <w:rsid w:val="25008286"/>
    <w:rsid w:val="255839C8"/>
    <w:rsid w:val="25A9F1B5"/>
    <w:rsid w:val="25E88C2D"/>
    <w:rsid w:val="264CD3C0"/>
    <w:rsid w:val="26575E93"/>
    <w:rsid w:val="26815008"/>
    <w:rsid w:val="26BC06C6"/>
    <w:rsid w:val="2711BCBB"/>
    <w:rsid w:val="27290309"/>
    <w:rsid w:val="27381314"/>
    <w:rsid w:val="27B94A1E"/>
    <w:rsid w:val="27D53824"/>
    <w:rsid w:val="27DB7FDB"/>
    <w:rsid w:val="28028910"/>
    <w:rsid w:val="280D83A6"/>
    <w:rsid w:val="287FD93B"/>
    <w:rsid w:val="28DA9E88"/>
    <w:rsid w:val="29121946"/>
    <w:rsid w:val="291AC487"/>
    <w:rsid w:val="2A08B008"/>
    <w:rsid w:val="2A2D9B21"/>
    <w:rsid w:val="2A330ED1"/>
    <w:rsid w:val="2A422931"/>
    <w:rsid w:val="2A4280FB"/>
    <w:rsid w:val="2A5DE187"/>
    <w:rsid w:val="2A62CF1D"/>
    <w:rsid w:val="2A77695B"/>
    <w:rsid w:val="2AE2964B"/>
    <w:rsid w:val="2B47D227"/>
    <w:rsid w:val="2B7B3D65"/>
    <w:rsid w:val="2B8F3C85"/>
    <w:rsid w:val="2BF8059E"/>
    <w:rsid w:val="2C030034"/>
    <w:rsid w:val="2C787DF2"/>
    <w:rsid w:val="2CBA503B"/>
    <w:rsid w:val="2D01641E"/>
    <w:rsid w:val="2D15C4A0"/>
    <w:rsid w:val="2D3D6C40"/>
    <w:rsid w:val="2D6190D8"/>
    <w:rsid w:val="2D738423"/>
    <w:rsid w:val="2E00860B"/>
    <w:rsid w:val="2E6927D9"/>
    <w:rsid w:val="2EB6A0EA"/>
    <w:rsid w:val="2EF5128F"/>
    <w:rsid w:val="2F18071F"/>
    <w:rsid w:val="2F2F0EE8"/>
    <w:rsid w:val="2F4389A0"/>
    <w:rsid w:val="2F53095F"/>
    <w:rsid w:val="2F548486"/>
    <w:rsid w:val="2F569577"/>
    <w:rsid w:val="2F7239BD"/>
    <w:rsid w:val="2F7B2315"/>
    <w:rsid w:val="2F7EB72B"/>
    <w:rsid w:val="2FA5112E"/>
    <w:rsid w:val="2FAF873C"/>
    <w:rsid w:val="2FC01D72"/>
    <w:rsid w:val="2FCDAA4F"/>
    <w:rsid w:val="2FF7CF72"/>
    <w:rsid w:val="302D0228"/>
    <w:rsid w:val="30520CA4"/>
    <w:rsid w:val="30898A5A"/>
    <w:rsid w:val="30EDA038"/>
    <w:rsid w:val="311D79BA"/>
    <w:rsid w:val="31313BD1"/>
    <w:rsid w:val="3144ED64"/>
    <w:rsid w:val="31702A30"/>
    <w:rsid w:val="318D5CB7"/>
    <w:rsid w:val="31AAE4CF"/>
    <w:rsid w:val="31D598DD"/>
    <w:rsid w:val="31E1305A"/>
    <w:rsid w:val="32007C95"/>
    <w:rsid w:val="3206D90C"/>
    <w:rsid w:val="32BE980F"/>
    <w:rsid w:val="32DA5065"/>
    <w:rsid w:val="331F1483"/>
    <w:rsid w:val="336A4775"/>
    <w:rsid w:val="341C9C1B"/>
    <w:rsid w:val="343B24D6"/>
    <w:rsid w:val="345C8D47"/>
    <w:rsid w:val="347F1733"/>
    <w:rsid w:val="347F6F12"/>
    <w:rsid w:val="34F853AC"/>
    <w:rsid w:val="351F8C72"/>
    <w:rsid w:val="3530A34B"/>
    <w:rsid w:val="357FECB7"/>
    <w:rsid w:val="35B1CF05"/>
    <w:rsid w:val="35D18327"/>
    <w:rsid w:val="35D1A6E2"/>
    <w:rsid w:val="35D5E3F8"/>
    <w:rsid w:val="35DAC358"/>
    <w:rsid w:val="35F49AE5"/>
    <w:rsid w:val="3676CE0E"/>
    <w:rsid w:val="367CF4E9"/>
    <w:rsid w:val="36876EE5"/>
    <w:rsid w:val="368D00D0"/>
    <w:rsid w:val="369EADB3"/>
    <w:rsid w:val="36BCF3AA"/>
    <w:rsid w:val="36E9BE9E"/>
    <w:rsid w:val="36EBE725"/>
    <w:rsid w:val="3744B6BC"/>
    <w:rsid w:val="3754F574"/>
    <w:rsid w:val="3771816D"/>
    <w:rsid w:val="37DD4C38"/>
    <w:rsid w:val="37E3D849"/>
    <w:rsid w:val="38032A00"/>
    <w:rsid w:val="3822B5A6"/>
    <w:rsid w:val="3893D536"/>
    <w:rsid w:val="38D52133"/>
    <w:rsid w:val="38DECAD8"/>
    <w:rsid w:val="391DC7D4"/>
    <w:rsid w:val="392424DF"/>
    <w:rsid w:val="392CB3D8"/>
    <w:rsid w:val="39477B46"/>
    <w:rsid w:val="39939477"/>
    <w:rsid w:val="39A67EC2"/>
    <w:rsid w:val="39C1DF4E"/>
    <w:rsid w:val="39E9904D"/>
    <w:rsid w:val="39F1D228"/>
    <w:rsid w:val="3A10EE8F"/>
    <w:rsid w:val="3A2D7A88"/>
    <w:rsid w:val="3A300A81"/>
    <w:rsid w:val="3A4FEDF1"/>
    <w:rsid w:val="3A9D3995"/>
    <w:rsid w:val="3AE163B3"/>
    <w:rsid w:val="3AEEDFE4"/>
    <w:rsid w:val="3AF53C5B"/>
    <w:rsid w:val="3B5C5605"/>
    <w:rsid w:val="3B61F7B2"/>
    <w:rsid w:val="3B8055A6"/>
    <w:rsid w:val="3BA44ADC"/>
    <w:rsid w:val="3C0FA08D"/>
    <w:rsid w:val="3C30127D"/>
    <w:rsid w:val="3C3D6AAC"/>
    <w:rsid w:val="3C4C485B"/>
    <w:rsid w:val="3C6D51D0"/>
    <w:rsid w:val="3C9BB946"/>
    <w:rsid w:val="3CA1CDF3"/>
    <w:rsid w:val="3CD51A61"/>
    <w:rsid w:val="3D0300EA"/>
    <w:rsid w:val="3D1F8CE3"/>
    <w:rsid w:val="3D2AD3B0"/>
    <w:rsid w:val="3D3BCE96"/>
    <w:rsid w:val="3D446BA6"/>
    <w:rsid w:val="3D479237"/>
    <w:rsid w:val="3D7C5D71"/>
    <w:rsid w:val="3D83F383"/>
    <w:rsid w:val="3DB2967F"/>
    <w:rsid w:val="3DC63C9C"/>
    <w:rsid w:val="3DD7E95B"/>
    <w:rsid w:val="3DFA41DA"/>
    <w:rsid w:val="3E00B965"/>
    <w:rsid w:val="3E174190"/>
    <w:rsid w:val="3E408156"/>
    <w:rsid w:val="3E48D19E"/>
    <w:rsid w:val="3E497008"/>
    <w:rsid w:val="3F4DBDC5"/>
    <w:rsid w:val="3F90AC74"/>
    <w:rsid w:val="3FA28F0B"/>
    <w:rsid w:val="3FB1B030"/>
    <w:rsid w:val="3FC84554"/>
    <w:rsid w:val="3FDA3F38"/>
    <w:rsid w:val="3FE86E00"/>
    <w:rsid w:val="3FEDF04B"/>
    <w:rsid w:val="4009F548"/>
    <w:rsid w:val="403CCCBB"/>
    <w:rsid w:val="404D2FBB"/>
    <w:rsid w:val="40B89E7D"/>
    <w:rsid w:val="40C6880B"/>
    <w:rsid w:val="411A29D8"/>
    <w:rsid w:val="41283D81"/>
    <w:rsid w:val="414E1B31"/>
    <w:rsid w:val="41FEAA32"/>
    <w:rsid w:val="42085F56"/>
    <w:rsid w:val="420DBA3D"/>
    <w:rsid w:val="428BB166"/>
    <w:rsid w:val="42B23CDA"/>
    <w:rsid w:val="42B8258B"/>
    <w:rsid w:val="42C34399"/>
    <w:rsid w:val="42C376AD"/>
    <w:rsid w:val="42E002A6"/>
    <w:rsid w:val="42EDD461"/>
    <w:rsid w:val="43705DE4"/>
    <w:rsid w:val="4371AB39"/>
    <w:rsid w:val="438B6A13"/>
    <w:rsid w:val="43AB74C1"/>
    <w:rsid w:val="43FB6646"/>
    <w:rsid w:val="440A43F5"/>
    <w:rsid w:val="4415E14E"/>
    <w:rsid w:val="441EC541"/>
    <w:rsid w:val="44343F42"/>
    <w:rsid w:val="448AD513"/>
    <w:rsid w:val="44AB722C"/>
    <w:rsid w:val="44C2905E"/>
    <w:rsid w:val="451D873E"/>
    <w:rsid w:val="45227F6C"/>
    <w:rsid w:val="453700B8"/>
    <w:rsid w:val="455908A3"/>
    <w:rsid w:val="45608632"/>
    <w:rsid w:val="456FE9F1"/>
    <w:rsid w:val="457F6FC8"/>
    <w:rsid w:val="45A052AF"/>
    <w:rsid w:val="45BE6F2A"/>
    <w:rsid w:val="45D43D82"/>
    <w:rsid w:val="45DBFA82"/>
    <w:rsid w:val="4609256F"/>
    <w:rsid w:val="460BBACE"/>
    <w:rsid w:val="46166957"/>
    <w:rsid w:val="462AB6DF"/>
    <w:rsid w:val="4632C17B"/>
    <w:rsid w:val="464AEDAD"/>
    <w:rsid w:val="4663BD94"/>
    <w:rsid w:val="4683493A"/>
    <w:rsid w:val="46B49E00"/>
    <w:rsid w:val="46E7D208"/>
    <w:rsid w:val="46EE3558"/>
    <w:rsid w:val="47271E6E"/>
    <w:rsid w:val="473A2A45"/>
    <w:rsid w:val="4744DD62"/>
    <w:rsid w:val="474C940C"/>
    <w:rsid w:val="4770DABA"/>
    <w:rsid w:val="478098D6"/>
    <w:rsid w:val="478A599B"/>
    <w:rsid w:val="47A234A5"/>
    <w:rsid w:val="47A7A805"/>
    <w:rsid w:val="47B20C88"/>
    <w:rsid w:val="482169A3"/>
    <w:rsid w:val="4823E8B6"/>
    <w:rsid w:val="4827C5D7"/>
    <w:rsid w:val="4827F33B"/>
    <w:rsid w:val="4851645F"/>
    <w:rsid w:val="48AA4FCF"/>
    <w:rsid w:val="48B01C71"/>
    <w:rsid w:val="48FF7FC4"/>
    <w:rsid w:val="491DB41C"/>
    <w:rsid w:val="491F798B"/>
    <w:rsid w:val="4931A814"/>
    <w:rsid w:val="4953BEFE"/>
    <w:rsid w:val="4955CFEF"/>
    <w:rsid w:val="4994A078"/>
    <w:rsid w:val="4A2C6F71"/>
    <w:rsid w:val="4A4BB226"/>
    <w:rsid w:val="4A4CECE1"/>
    <w:rsid w:val="4A7B1910"/>
    <w:rsid w:val="4AACDBEF"/>
    <w:rsid w:val="4AFEAABA"/>
    <w:rsid w:val="4B2FA6D3"/>
    <w:rsid w:val="4B3FE58B"/>
    <w:rsid w:val="4B44AAE8"/>
    <w:rsid w:val="4B5647DE"/>
    <w:rsid w:val="4B5A7493"/>
    <w:rsid w:val="4B5F99AD"/>
    <w:rsid w:val="4B999606"/>
    <w:rsid w:val="4BB961E0"/>
    <w:rsid w:val="4C29F777"/>
    <w:rsid w:val="4C5F76CD"/>
    <w:rsid w:val="4C6F56A9"/>
    <w:rsid w:val="4C8604F3"/>
    <w:rsid w:val="4C91F9A0"/>
    <w:rsid w:val="4D2963AF"/>
    <w:rsid w:val="4D5D8DBE"/>
    <w:rsid w:val="4D5E907B"/>
    <w:rsid w:val="4D5EB35E"/>
    <w:rsid w:val="4D6167CA"/>
    <w:rsid w:val="4D943F38"/>
    <w:rsid w:val="4D99F61C"/>
    <w:rsid w:val="4DB4E524"/>
    <w:rsid w:val="4DB7012F"/>
    <w:rsid w:val="4E51AC08"/>
    <w:rsid w:val="4EDEDF1D"/>
    <w:rsid w:val="4EF147A1"/>
    <w:rsid w:val="4F3915B5"/>
    <w:rsid w:val="4F74DC88"/>
    <w:rsid w:val="4F7B5527"/>
    <w:rsid w:val="4FB30D0B"/>
    <w:rsid w:val="4FDAE5DF"/>
    <w:rsid w:val="50007DA8"/>
    <w:rsid w:val="50427422"/>
    <w:rsid w:val="5062571C"/>
    <w:rsid w:val="5073B7D2"/>
    <w:rsid w:val="508D05D4"/>
    <w:rsid w:val="50B8B601"/>
    <w:rsid w:val="512AC60A"/>
    <w:rsid w:val="51A5741C"/>
    <w:rsid w:val="51AAEA7D"/>
    <w:rsid w:val="51D17251"/>
    <w:rsid w:val="51E3D59F"/>
    <w:rsid w:val="51FBB186"/>
    <w:rsid w:val="52312767"/>
    <w:rsid w:val="52560645"/>
    <w:rsid w:val="528E89D0"/>
    <w:rsid w:val="52F29003"/>
    <w:rsid w:val="5363EA74"/>
    <w:rsid w:val="537166A5"/>
    <w:rsid w:val="540579F5"/>
    <w:rsid w:val="540CD0DC"/>
    <w:rsid w:val="5412B900"/>
    <w:rsid w:val="541F3BCF"/>
    <w:rsid w:val="543FB63F"/>
    <w:rsid w:val="5493550F"/>
    <w:rsid w:val="54B28896"/>
    <w:rsid w:val="54D310B5"/>
    <w:rsid w:val="54FCFAD6"/>
    <w:rsid w:val="550321B1"/>
    <w:rsid w:val="550E687E"/>
    <w:rsid w:val="552AF477"/>
    <w:rsid w:val="55585758"/>
    <w:rsid w:val="5579CFDE"/>
    <w:rsid w:val="558AC0DE"/>
    <w:rsid w:val="55CBA3F3"/>
    <w:rsid w:val="55D06D28"/>
    <w:rsid w:val="55EBED8F"/>
    <w:rsid w:val="55F2A7EC"/>
    <w:rsid w:val="56368CAA"/>
    <w:rsid w:val="56712A8A"/>
    <w:rsid w:val="5751D4A2"/>
    <w:rsid w:val="575B4DFB"/>
    <w:rsid w:val="575C9B50"/>
    <w:rsid w:val="577E47B0"/>
    <w:rsid w:val="57E6892E"/>
    <w:rsid w:val="58007AD9"/>
    <w:rsid w:val="5871F056"/>
    <w:rsid w:val="5877FEF0"/>
    <w:rsid w:val="5882B952"/>
    <w:rsid w:val="588D0305"/>
    <w:rsid w:val="58A603C2"/>
    <w:rsid w:val="58A91D37"/>
    <w:rsid w:val="58CBAB12"/>
    <w:rsid w:val="58DBACA4"/>
    <w:rsid w:val="58F3D8E2"/>
    <w:rsid w:val="58FB4342"/>
    <w:rsid w:val="59228BCA"/>
    <w:rsid w:val="5923992E"/>
    <w:rsid w:val="59245314"/>
    <w:rsid w:val="5946B0EC"/>
    <w:rsid w:val="59C02D41"/>
    <w:rsid w:val="59D21900"/>
    <w:rsid w:val="59D984EC"/>
    <w:rsid w:val="5A9E54AA"/>
    <w:rsid w:val="5AB58388"/>
    <w:rsid w:val="5AC39774"/>
    <w:rsid w:val="5AF28D34"/>
    <w:rsid w:val="5B036E8C"/>
    <w:rsid w:val="5B32D35C"/>
    <w:rsid w:val="5B3C29CE"/>
    <w:rsid w:val="5BE49917"/>
    <w:rsid w:val="5BF52A96"/>
    <w:rsid w:val="5C1265F6"/>
    <w:rsid w:val="5C321A28"/>
    <w:rsid w:val="5C7C53AE"/>
    <w:rsid w:val="5C86435A"/>
    <w:rsid w:val="5CB23F9C"/>
    <w:rsid w:val="5CB46AAB"/>
    <w:rsid w:val="5CCC6418"/>
    <w:rsid w:val="5CD693D6"/>
    <w:rsid w:val="5CDF62CE"/>
    <w:rsid w:val="5CF894C9"/>
    <w:rsid w:val="5D1AFEB9"/>
    <w:rsid w:val="5D2D1A68"/>
    <w:rsid w:val="5D441B00"/>
    <w:rsid w:val="5D88DF1E"/>
    <w:rsid w:val="5DAAAF39"/>
    <w:rsid w:val="5DBF8F50"/>
    <w:rsid w:val="5DEF4F9C"/>
    <w:rsid w:val="5E13A09F"/>
    <w:rsid w:val="5E151BC6"/>
    <w:rsid w:val="5E300743"/>
    <w:rsid w:val="5E30AC09"/>
    <w:rsid w:val="5E3379BA"/>
    <w:rsid w:val="5E61113C"/>
    <w:rsid w:val="5E6D91B2"/>
    <w:rsid w:val="5E723EF3"/>
    <w:rsid w:val="5E8E418F"/>
    <w:rsid w:val="5EAA9F1A"/>
    <w:rsid w:val="5EB1594D"/>
    <w:rsid w:val="5EB40DB9"/>
    <w:rsid w:val="5ED26BAD"/>
    <w:rsid w:val="5F6F8815"/>
    <w:rsid w:val="5FCB3A1C"/>
    <w:rsid w:val="5FD5D8F4"/>
    <w:rsid w:val="5FFDF854"/>
    <w:rsid w:val="60092FD9"/>
    <w:rsid w:val="6017DAB7"/>
    <w:rsid w:val="60259259"/>
    <w:rsid w:val="602ED875"/>
    <w:rsid w:val="607CE9B7"/>
    <w:rsid w:val="6084D6FA"/>
    <w:rsid w:val="608DE49D"/>
    <w:rsid w:val="60CCE73F"/>
    <w:rsid w:val="60CE70EE"/>
    <w:rsid w:val="61268BB7"/>
    <w:rsid w:val="61491667"/>
    <w:rsid w:val="615E5D01"/>
    <w:rsid w:val="61695797"/>
    <w:rsid w:val="618D4BCD"/>
    <w:rsid w:val="61AB09AF"/>
    <w:rsid w:val="61B193BD"/>
    <w:rsid w:val="61C31FCA"/>
    <w:rsid w:val="62A8A96D"/>
    <w:rsid w:val="62C60570"/>
    <w:rsid w:val="62E63E1F"/>
    <w:rsid w:val="63400652"/>
    <w:rsid w:val="638BED6A"/>
    <w:rsid w:val="639E54EC"/>
    <w:rsid w:val="63BEA30E"/>
    <w:rsid w:val="63D1AEE5"/>
    <w:rsid w:val="63D81098"/>
    <w:rsid w:val="643F929F"/>
    <w:rsid w:val="646AB6E0"/>
    <w:rsid w:val="64A3A618"/>
    <w:rsid w:val="64ABE2E3"/>
    <w:rsid w:val="64E89D07"/>
    <w:rsid w:val="653786BF"/>
    <w:rsid w:val="6548D2F6"/>
    <w:rsid w:val="655FD044"/>
    <w:rsid w:val="657D8AEA"/>
    <w:rsid w:val="65ADA1C2"/>
    <w:rsid w:val="65B05304"/>
    <w:rsid w:val="65B89C58"/>
    <w:rsid w:val="660A3B92"/>
    <w:rsid w:val="663218AD"/>
    <w:rsid w:val="6646B66E"/>
    <w:rsid w:val="668984B3"/>
    <w:rsid w:val="66BF0B06"/>
    <w:rsid w:val="66C3C140"/>
    <w:rsid w:val="66D8C905"/>
    <w:rsid w:val="66E6E71E"/>
    <w:rsid w:val="66F7F628"/>
    <w:rsid w:val="675C59FC"/>
    <w:rsid w:val="676C3312"/>
    <w:rsid w:val="67CA5B38"/>
    <w:rsid w:val="67EED45A"/>
    <w:rsid w:val="68248B7E"/>
    <w:rsid w:val="683AE551"/>
    <w:rsid w:val="686F9D45"/>
    <w:rsid w:val="68BA94D6"/>
    <w:rsid w:val="68D185CF"/>
    <w:rsid w:val="68E9AECD"/>
    <w:rsid w:val="68F7D82A"/>
    <w:rsid w:val="691055E3"/>
    <w:rsid w:val="6923FF00"/>
    <w:rsid w:val="69275331"/>
    <w:rsid w:val="69297E40"/>
    <w:rsid w:val="69486F90"/>
    <w:rsid w:val="695DD0D5"/>
    <w:rsid w:val="69694251"/>
    <w:rsid w:val="69BCF05D"/>
    <w:rsid w:val="6A33C022"/>
    <w:rsid w:val="6A497429"/>
    <w:rsid w:val="6A8C404C"/>
    <w:rsid w:val="6B3517C0"/>
    <w:rsid w:val="6B3E423A"/>
    <w:rsid w:val="6B59EF42"/>
    <w:rsid w:val="6B916FEC"/>
    <w:rsid w:val="6BB87699"/>
    <w:rsid w:val="6BC3982A"/>
    <w:rsid w:val="6BD8D902"/>
    <w:rsid w:val="6BFC65D6"/>
    <w:rsid w:val="6C3C2D0F"/>
    <w:rsid w:val="6C7AE874"/>
    <w:rsid w:val="6CD02C07"/>
    <w:rsid w:val="6CE45267"/>
    <w:rsid w:val="6CEAD32B"/>
    <w:rsid w:val="6CF4911F"/>
    <w:rsid w:val="6D1CCFBF"/>
    <w:rsid w:val="6D228AC0"/>
    <w:rsid w:val="6D658AC4"/>
    <w:rsid w:val="6DC541D4"/>
    <w:rsid w:val="6DCF5E77"/>
    <w:rsid w:val="6DD63CBA"/>
    <w:rsid w:val="6DDC3F22"/>
    <w:rsid w:val="6DE2005B"/>
    <w:rsid w:val="6DF9F9C8"/>
    <w:rsid w:val="6DFF25FA"/>
    <w:rsid w:val="6E27BB5B"/>
    <w:rsid w:val="6E5FBF44"/>
    <w:rsid w:val="6E6DE432"/>
    <w:rsid w:val="6E98226D"/>
    <w:rsid w:val="6EACA96B"/>
    <w:rsid w:val="6EB5AA85"/>
    <w:rsid w:val="6EE46EB2"/>
    <w:rsid w:val="6EF567A7"/>
    <w:rsid w:val="6F018857"/>
    <w:rsid w:val="6F254137"/>
    <w:rsid w:val="6F2D7AD3"/>
    <w:rsid w:val="6F301DBC"/>
    <w:rsid w:val="6F42B188"/>
    <w:rsid w:val="6F871F4B"/>
    <w:rsid w:val="6FBADA56"/>
    <w:rsid w:val="6FC9EB2B"/>
    <w:rsid w:val="6FD4C477"/>
    <w:rsid w:val="6FD8C8DA"/>
    <w:rsid w:val="6FDCED8A"/>
    <w:rsid w:val="70295D22"/>
    <w:rsid w:val="704AC563"/>
    <w:rsid w:val="70543DB0"/>
    <w:rsid w:val="70553747"/>
    <w:rsid w:val="7063836A"/>
    <w:rsid w:val="70A08AAD"/>
    <w:rsid w:val="70CE517D"/>
    <w:rsid w:val="70EC0C23"/>
    <w:rsid w:val="7118B9AD"/>
    <w:rsid w:val="711DFA9D"/>
    <w:rsid w:val="71662114"/>
    <w:rsid w:val="71EAB644"/>
    <w:rsid w:val="71EF7656"/>
    <w:rsid w:val="720577C8"/>
    <w:rsid w:val="723E7D58"/>
    <w:rsid w:val="7254C5C5"/>
    <w:rsid w:val="7268F776"/>
    <w:rsid w:val="72752877"/>
    <w:rsid w:val="72CADB35"/>
    <w:rsid w:val="72CD6B2E"/>
    <w:rsid w:val="72D62202"/>
    <w:rsid w:val="72DF5C81"/>
    <w:rsid w:val="72F8B97F"/>
    <w:rsid w:val="735FF244"/>
    <w:rsid w:val="73D793F7"/>
    <w:rsid w:val="73DF1BDB"/>
    <w:rsid w:val="73F09546"/>
    <w:rsid w:val="740ACC08"/>
    <w:rsid w:val="743D37A4"/>
    <w:rsid w:val="749A0801"/>
    <w:rsid w:val="74C1B484"/>
    <w:rsid w:val="74CC6AFF"/>
    <w:rsid w:val="74E22BBC"/>
    <w:rsid w:val="74EC3901"/>
    <w:rsid w:val="75331461"/>
    <w:rsid w:val="75673AD2"/>
    <w:rsid w:val="75694F5A"/>
    <w:rsid w:val="7578D054"/>
    <w:rsid w:val="75993E9D"/>
    <w:rsid w:val="75A3241E"/>
    <w:rsid w:val="7632CB5F"/>
    <w:rsid w:val="7644A60A"/>
    <w:rsid w:val="765299D4"/>
    <w:rsid w:val="76720C50"/>
    <w:rsid w:val="768363B3"/>
    <w:rsid w:val="76A36628"/>
    <w:rsid w:val="76E6324B"/>
    <w:rsid w:val="776C162D"/>
    <w:rsid w:val="7780B3BA"/>
    <w:rsid w:val="7786015D"/>
    <w:rsid w:val="7787E6C5"/>
    <w:rsid w:val="7797D6AC"/>
    <w:rsid w:val="77ACA5B3"/>
    <w:rsid w:val="77BB51A7"/>
    <w:rsid w:val="77DBB823"/>
    <w:rsid w:val="77DE4B5C"/>
    <w:rsid w:val="77F951DC"/>
    <w:rsid w:val="78607E85"/>
    <w:rsid w:val="787D0A7E"/>
    <w:rsid w:val="7948D72E"/>
    <w:rsid w:val="7949C43C"/>
    <w:rsid w:val="7950E736"/>
    <w:rsid w:val="795A420C"/>
    <w:rsid w:val="79870076"/>
    <w:rsid w:val="79C34091"/>
    <w:rsid w:val="79F0A6D5"/>
    <w:rsid w:val="7A007CCB"/>
    <w:rsid w:val="7A093DCE"/>
    <w:rsid w:val="7A4704C9"/>
    <w:rsid w:val="7A565762"/>
    <w:rsid w:val="7A56E162"/>
    <w:rsid w:val="7AD22563"/>
    <w:rsid w:val="7B474A13"/>
    <w:rsid w:val="7B9A720D"/>
    <w:rsid w:val="7B9D4A46"/>
    <w:rsid w:val="7BCDC6E4"/>
    <w:rsid w:val="7BD4CF59"/>
    <w:rsid w:val="7BD79AA8"/>
    <w:rsid w:val="7C0F0BE6"/>
    <w:rsid w:val="7C26D834"/>
    <w:rsid w:val="7C2DC2AB"/>
    <w:rsid w:val="7C5979C8"/>
    <w:rsid w:val="7C61F2FE"/>
    <w:rsid w:val="7C62BDD0"/>
    <w:rsid w:val="7C75D2F0"/>
    <w:rsid w:val="7C8256EB"/>
    <w:rsid w:val="7C8AB307"/>
    <w:rsid w:val="7CC0F025"/>
    <w:rsid w:val="7D0300AF"/>
    <w:rsid w:val="7D2B9AF3"/>
    <w:rsid w:val="7D3AED1E"/>
    <w:rsid w:val="7DE8E2CA"/>
    <w:rsid w:val="7E0207A4"/>
    <w:rsid w:val="7E3D84AE"/>
    <w:rsid w:val="7E4C907E"/>
    <w:rsid w:val="7E5F10C4"/>
    <w:rsid w:val="7E73A44B"/>
    <w:rsid w:val="7E9E15E2"/>
    <w:rsid w:val="7EA84EAA"/>
    <w:rsid w:val="7EAA30C2"/>
    <w:rsid w:val="7EBC2752"/>
    <w:rsid w:val="7EBC5A23"/>
    <w:rsid w:val="7EDC6C71"/>
    <w:rsid w:val="7EDF279E"/>
    <w:rsid w:val="7EE713E3"/>
    <w:rsid w:val="7EFD6255"/>
    <w:rsid w:val="7F47409D"/>
    <w:rsid w:val="7F9370E6"/>
    <w:rsid w:val="7FCE5112"/>
    <w:rsid w:val="7FE13DE5"/>
    <w:rsid w:val="7FE95AB9"/>
    <w:rsid w:val="7FF83B33"/>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B9E10D"/>
  <w15:chartTrackingRefBased/>
  <w15:docId w15:val="{A39530E1-2C4A-44AE-8C83-691D7CDB6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FE5"/>
    <w:pPr>
      <w:keepLines/>
      <w:spacing w:before="120" w:after="120" w:line="240" w:lineRule="auto"/>
    </w:pPr>
    <w:rPr>
      <w:rFonts w:ascii="Open Sans" w:eastAsia="MS Mincho" w:hAnsi="Open Sans" w:cs="Times New Roman"/>
      <w:sz w:val="24"/>
      <w:szCs w:val="24"/>
      <w:lang w:eastAsia="en-AU"/>
    </w:rPr>
  </w:style>
  <w:style w:type="paragraph" w:styleId="Heading1">
    <w:name w:val="heading 1"/>
    <w:basedOn w:val="Normal"/>
    <w:next w:val="Normal"/>
    <w:link w:val="Heading1Char"/>
    <w:qFormat/>
    <w:rsid w:val="00EE6BC1"/>
    <w:pPr>
      <w:keepNext/>
      <w:numPr>
        <w:numId w:val="17"/>
      </w:numPr>
      <w:spacing w:before="360"/>
      <w:outlineLvl w:val="0"/>
    </w:pPr>
    <w:rPr>
      <w:b/>
      <w:bCs/>
      <w:sz w:val="36"/>
      <w:szCs w:val="28"/>
    </w:rPr>
  </w:style>
  <w:style w:type="paragraph" w:styleId="Heading2">
    <w:name w:val="heading 2"/>
    <w:basedOn w:val="Heading1"/>
    <w:next w:val="Normal"/>
    <w:link w:val="Heading2Char"/>
    <w:qFormat/>
    <w:rsid w:val="00EE6BC1"/>
    <w:pPr>
      <w:numPr>
        <w:ilvl w:val="1"/>
      </w:numPr>
      <w:outlineLvl w:val="1"/>
    </w:pPr>
    <w:rPr>
      <w:bCs w:val="0"/>
      <w:i/>
      <w:color w:val="000000"/>
      <w:sz w:val="28"/>
      <w:szCs w:val="26"/>
    </w:rPr>
  </w:style>
  <w:style w:type="paragraph" w:styleId="Heading3">
    <w:name w:val="heading 3"/>
    <w:basedOn w:val="Heading2"/>
    <w:next w:val="Normal"/>
    <w:link w:val="Heading3Char"/>
    <w:qFormat/>
    <w:rsid w:val="003002C6"/>
    <w:pPr>
      <w:numPr>
        <w:ilvl w:val="2"/>
      </w:numPr>
      <w:outlineLvl w:val="2"/>
    </w:pPr>
    <w:rPr>
      <w:b w:val="0"/>
      <w:bCs/>
      <w:color w:val="auto"/>
      <w:sz w:val="24"/>
    </w:rPr>
  </w:style>
  <w:style w:type="paragraph" w:styleId="Heading4">
    <w:name w:val="heading 4"/>
    <w:basedOn w:val="Heading3"/>
    <w:next w:val="Normal"/>
    <w:link w:val="Heading4Char"/>
    <w:qFormat/>
    <w:rsid w:val="003002C6"/>
    <w:pPr>
      <w:numPr>
        <w:ilvl w:val="3"/>
      </w:numPr>
      <w:outlineLvl w:val="3"/>
    </w:pPr>
    <w:rPr>
      <w:bCs w:val="0"/>
      <w:i w:val="0"/>
      <w:iCs/>
    </w:rPr>
  </w:style>
  <w:style w:type="paragraph" w:styleId="Heading5">
    <w:name w:val="heading 5"/>
    <w:basedOn w:val="Normal"/>
    <w:next w:val="Normal"/>
    <w:link w:val="Heading5Char"/>
    <w:qFormat/>
    <w:rsid w:val="00EE6BC1"/>
    <w:pPr>
      <w:keepNext/>
      <w:numPr>
        <w:ilvl w:val="4"/>
        <w:numId w:val="17"/>
      </w:numPr>
      <w:spacing w:before="200"/>
      <w:outlineLvl w:val="4"/>
    </w:pPr>
    <w:rPr>
      <w:rFonts w:ascii="Cambria" w:hAnsi="Cambria"/>
      <w:color w:val="243F60"/>
    </w:rPr>
  </w:style>
  <w:style w:type="paragraph" w:styleId="Heading6">
    <w:name w:val="heading 6"/>
    <w:basedOn w:val="Normal"/>
    <w:next w:val="Normal"/>
    <w:link w:val="Heading6Char"/>
    <w:qFormat/>
    <w:rsid w:val="00EE6BC1"/>
    <w:pPr>
      <w:keepNext/>
      <w:numPr>
        <w:ilvl w:val="5"/>
        <w:numId w:val="17"/>
      </w:numPr>
      <w:spacing w:before="200"/>
      <w:outlineLvl w:val="5"/>
    </w:pPr>
    <w:rPr>
      <w:rFonts w:ascii="Cambria" w:hAnsi="Cambria"/>
      <w:i/>
      <w:iCs/>
      <w:color w:val="243F60"/>
    </w:rPr>
  </w:style>
  <w:style w:type="paragraph" w:styleId="Heading7">
    <w:name w:val="heading 7"/>
    <w:basedOn w:val="Normal"/>
    <w:next w:val="Normal"/>
    <w:link w:val="Heading7Char"/>
    <w:qFormat/>
    <w:rsid w:val="00EE6BC1"/>
    <w:pPr>
      <w:keepNext/>
      <w:numPr>
        <w:ilvl w:val="6"/>
        <w:numId w:val="17"/>
      </w:numPr>
      <w:spacing w:before="200"/>
      <w:outlineLvl w:val="6"/>
    </w:pPr>
    <w:rPr>
      <w:rFonts w:ascii="Cambria" w:hAnsi="Cambria"/>
      <w:i/>
      <w:iCs/>
      <w:color w:val="404040"/>
    </w:rPr>
  </w:style>
  <w:style w:type="paragraph" w:styleId="Heading8">
    <w:name w:val="heading 8"/>
    <w:basedOn w:val="Normal"/>
    <w:next w:val="Normal"/>
    <w:link w:val="Heading8Char"/>
    <w:qFormat/>
    <w:rsid w:val="00EE6BC1"/>
    <w:pPr>
      <w:keepNext/>
      <w:numPr>
        <w:ilvl w:val="7"/>
        <w:numId w:val="17"/>
      </w:numPr>
      <w:spacing w:before="200"/>
      <w:outlineLvl w:val="7"/>
    </w:pPr>
    <w:rPr>
      <w:rFonts w:ascii="Cambria" w:hAnsi="Cambria"/>
      <w:color w:val="404040"/>
      <w:sz w:val="20"/>
      <w:szCs w:val="20"/>
    </w:rPr>
  </w:style>
  <w:style w:type="paragraph" w:styleId="Heading9">
    <w:name w:val="heading 9"/>
    <w:basedOn w:val="Normal"/>
    <w:next w:val="Normal"/>
    <w:link w:val="Heading9Char"/>
    <w:qFormat/>
    <w:rsid w:val="00EE6BC1"/>
    <w:pPr>
      <w:keepNext/>
      <w:numPr>
        <w:ilvl w:val="8"/>
        <w:numId w:val="17"/>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724F"/>
    <w:rPr>
      <w:rFonts w:ascii="Open Sans" w:eastAsia="MS Mincho" w:hAnsi="Open Sans" w:cs="Times New Roman"/>
      <w:b/>
      <w:bCs/>
      <w:sz w:val="36"/>
      <w:szCs w:val="28"/>
      <w:lang w:eastAsia="en-AU"/>
    </w:rPr>
  </w:style>
  <w:style w:type="character" w:customStyle="1" w:styleId="Heading2Char">
    <w:name w:val="Heading 2 Char"/>
    <w:basedOn w:val="DefaultParagraphFont"/>
    <w:link w:val="Heading2"/>
    <w:rsid w:val="00AF724F"/>
    <w:rPr>
      <w:rFonts w:ascii="Open Sans" w:eastAsia="MS Mincho" w:hAnsi="Open Sans" w:cs="Times New Roman"/>
      <w:b/>
      <w:i/>
      <w:color w:val="000000"/>
      <w:sz w:val="28"/>
      <w:szCs w:val="26"/>
      <w:lang w:eastAsia="en-AU"/>
    </w:rPr>
  </w:style>
  <w:style w:type="character" w:customStyle="1" w:styleId="Heading3Char">
    <w:name w:val="Heading 3 Char"/>
    <w:basedOn w:val="DefaultParagraphFont"/>
    <w:link w:val="Heading3"/>
    <w:rsid w:val="003002C6"/>
    <w:rPr>
      <w:rFonts w:ascii="Open Sans" w:eastAsia="MS Mincho" w:hAnsi="Open Sans" w:cs="Times New Roman"/>
      <w:bCs/>
      <w:i/>
      <w:sz w:val="24"/>
      <w:szCs w:val="26"/>
      <w:lang w:eastAsia="en-AU"/>
    </w:rPr>
  </w:style>
  <w:style w:type="character" w:customStyle="1" w:styleId="Heading4Char">
    <w:name w:val="Heading 4 Char"/>
    <w:basedOn w:val="DefaultParagraphFont"/>
    <w:link w:val="Heading4"/>
    <w:rsid w:val="003002C6"/>
    <w:rPr>
      <w:rFonts w:ascii="Open Sans" w:eastAsia="MS Mincho" w:hAnsi="Open Sans" w:cs="Times New Roman"/>
      <w:iCs/>
      <w:sz w:val="24"/>
      <w:szCs w:val="26"/>
      <w:lang w:eastAsia="en-AU"/>
    </w:rPr>
  </w:style>
  <w:style w:type="character" w:customStyle="1" w:styleId="Heading5Char">
    <w:name w:val="Heading 5 Char"/>
    <w:basedOn w:val="DefaultParagraphFont"/>
    <w:link w:val="Heading5"/>
    <w:rsid w:val="003002C6"/>
    <w:rPr>
      <w:rFonts w:ascii="Cambria" w:eastAsia="MS Mincho" w:hAnsi="Cambria" w:cs="Times New Roman"/>
      <w:color w:val="243F60"/>
      <w:sz w:val="24"/>
      <w:szCs w:val="24"/>
      <w:lang w:eastAsia="en-AU"/>
    </w:rPr>
  </w:style>
  <w:style w:type="character" w:customStyle="1" w:styleId="Heading6Char">
    <w:name w:val="Heading 6 Char"/>
    <w:basedOn w:val="DefaultParagraphFont"/>
    <w:link w:val="Heading6"/>
    <w:rsid w:val="003002C6"/>
    <w:rPr>
      <w:rFonts w:ascii="Cambria" w:eastAsia="MS Mincho" w:hAnsi="Cambria" w:cs="Times New Roman"/>
      <w:i/>
      <w:iCs/>
      <w:color w:val="243F60"/>
      <w:sz w:val="24"/>
      <w:szCs w:val="24"/>
      <w:lang w:eastAsia="en-AU"/>
    </w:rPr>
  </w:style>
  <w:style w:type="character" w:customStyle="1" w:styleId="Heading7Char">
    <w:name w:val="Heading 7 Char"/>
    <w:basedOn w:val="DefaultParagraphFont"/>
    <w:link w:val="Heading7"/>
    <w:rsid w:val="003002C6"/>
    <w:rPr>
      <w:rFonts w:ascii="Cambria" w:eastAsia="MS Mincho" w:hAnsi="Cambria" w:cs="Times New Roman"/>
      <w:i/>
      <w:iCs/>
      <w:color w:val="404040"/>
      <w:sz w:val="24"/>
      <w:szCs w:val="24"/>
      <w:lang w:eastAsia="en-AU"/>
    </w:rPr>
  </w:style>
  <w:style w:type="character" w:customStyle="1" w:styleId="Heading8Char">
    <w:name w:val="Heading 8 Char"/>
    <w:basedOn w:val="DefaultParagraphFont"/>
    <w:link w:val="Heading8"/>
    <w:rsid w:val="003002C6"/>
    <w:rPr>
      <w:rFonts w:ascii="Cambria" w:eastAsia="MS Mincho" w:hAnsi="Cambria" w:cs="Times New Roman"/>
      <w:color w:val="404040"/>
      <w:sz w:val="20"/>
      <w:szCs w:val="20"/>
      <w:lang w:eastAsia="en-AU"/>
    </w:rPr>
  </w:style>
  <w:style w:type="character" w:customStyle="1" w:styleId="Heading9Char">
    <w:name w:val="Heading 9 Char"/>
    <w:basedOn w:val="DefaultParagraphFont"/>
    <w:link w:val="Heading9"/>
    <w:rsid w:val="003002C6"/>
    <w:rPr>
      <w:rFonts w:ascii="Cambria" w:eastAsia="MS Mincho" w:hAnsi="Cambria" w:cs="Times New Roman"/>
      <w:i/>
      <w:iCs/>
      <w:color w:val="404040"/>
      <w:sz w:val="20"/>
      <w:szCs w:val="20"/>
      <w:lang w:eastAsia="en-AU"/>
    </w:rPr>
  </w:style>
  <w:style w:type="character" w:styleId="Strong">
    <w:name w:val="Strong"/>
    <w:uiPriority w:val="22"/>
    <w:qFormat/>
    <w:rsid w:val="003002C6"/>
    <w:rPr>
      <w:b/>
      <w:bCs/>
    </w:rPr>
  </w:style>
  <w:style w:type="paragraph" w:styleId="Header">
    <w:name w:val="header"/>
    <w:aliases w:val="6_G"/>
    <w:basedOn w:val="Normal"/>
    <w:link w:val="HeaderChar"/>
    <w:uiPriority w:val="99"/>
    <w:rsid w:val="003002C6"/>
    <w:pPr>
      <w:tabs>
        <w:tab w:val="center" w:pos="4513"/>
        <w:tab w:val="right" w:pos="9026"/>
      </w:tabs>
      <w:spacing w:after="0"/>
    </w:pPr>
    <w:rPr>
      <w:sz w:val="22"/>
    </w:rPr>
  </w:style>
  <w:style w:type="character" w:customStyle="1" w:styleId="HeaderChar">
    <w:name w:val="Header Char"/>
    <w:aliases w:val="6_G Char1"/>
    <w:basedOn w:val="DefaultParagraphFont"/>
    <w:link w:val="Header"/>
    <w:uiPriority w:val="99"/>
    <w:rsid w:val="003002C6"/>
    <w:rPr>
      <w:rFonts w:ascii="Arial" w:eastAsia="MS Mincho" w:hAnsi="Arial" w:cs="Times New Roman"/>
      <w:szCs w:val="24"/>
      <w:lang w:eastAsia="en-AU"/>
    </w:rPr>
  </w:style>
  <w:style w:type="paragraph" w:styleId="Footer">
    <w:name w:val="footer"/>
    <w:aliases w:val="3_G"/>
    <w:basedOn w:val="Normal"/>
    <w:link w:val="FooterChar"/>
    <w:uiPriority w:val="99"/>
    <w:rsid w:val="003002C6"/>
    <w:pPr>
      <w:tabs>
        <w:tab w:val="right" w:pos="2835"/>
        <w:tab w:val="right" w:pos="5670"/>
      </w:tabs>
      <w:spacing w:before="0" w:after="60"/>
    </w:pPr>
    <w:rPr>
      <w:color w:val="404040"/>
      <w:sz w:val="18"/>
    </w:rPr>
  </w:style>
  <w:style w:type="character" w:customStyle="1" w:styleId="FooterChar">
    <w:name w:val="Footer Char"/>
    <w:aliases w:val="3_G Char1"/>
    <w:basedOn w:val="DefaultParagraphFont"/>
    <w:link w:val="Footer"/>
    <w:uiPriority w:val="99"/>
    <w:rsid w:val="003002C6"/>
    <w:rPr>
      <w:rFonts w:ascii="Arial" w:eastAsia="MS Mincho" w:hAnsi="Arial" w:cs="Times New Roman"/>
      <w:color w:val="404040"/>
      <w:sz w:val="18"/>
      <w:szCs w:val="24"/>
      <w:lang w:eastAsia="en-AU"/>
    </w:rPr>
  </w:style>
  <w:style w:type="paragraph" w:styleId="TOC3">
    <w:name w:val="toc 3"/>
    <w:basedOn w:val="Normal"/>
    <w:next w:val="Normal"/>
    <w:autoRedefine/>
    <w:uiPriority w:val="39"/>
    <w:qFormat/>
    <w:rsid w:val="00982F21"/>
    <w:pPr>
      <w:tabs>
        <w:tab w:val="left" w:pos="1202"/>
        <w:tab w:val="right" w:leader="dot" w:pos="9060"/>
      </w:tabs>
      <w:spacing w:before="0" w:after="0"/>
      <w:ind w:left="2160" w:hanging="720"/>
    </w:pPr>
    <w:rPr>
      <w:rFonts w:cs="Arial"/>
      <w:i/>
      <w:noProof/>
      <w:sz w:val="22"/>
    </w:rPr>
  </w:style>
  <w:style w:type="character" w:styleId="PlaceholderText">
    <w:name w:val="Placeholder Text"/>
    <w:uiPriority w:val="99"/>
    <w:semiHidden/>
    <w:rsid w:val="003002C6"/>
    <w:rPr>
      <w:color w:val="808080"/>
    </w:rPr>
  </w:style>
  <w:style w:type="paragraph" w:styleId="ListContinue4">
    <w:name w:val="List Continue 4"/>
    <w:basedOn w:val="Normal"/>
    <w:semiHidden/>
    <w:rsid w:val="003002C6"/>
    <w:pPr>
      <w:ind w:left="1132"/>
    </w:pPr>
  </w:style>
  <w:style w:type="numbering" w:styleId="111111">
    <w:name w:val="Outline List 2"/>
    <w:basedOn w:val="NoList"/>
    <w:semiHidden/>
    <w:rsid w:val="003002C6"/>
    <w:pPr>
      <w:numPr>
        <w:numId w:val="12"/>
      </w:numPr>
    </w:pPr>
  </w:style>
  <w:style w:type="paragraph" w:styleId="TOC1">
    <w:name w:val="toc 1"/>
    <w:basedOn w:val="Normal"/>
    <w:next w:val="Normal"/>
    <w:autoRedefine/>
    <w:uiPriority w:val="39"/>
    <w:qFormat/>
    <w:rsid w:val="004155FD"/>
    <w:pPr>
      <w:tabs>
        <w:tab w:val="right" w:leader="dot" w:pos="9060"/>
      </w:tabs>
      <w:spacing w:after="0"/>
      <w:ind w:left="720" w:hanging="720"/>
    </w:pPr>
    <w:rPr>
      <w:b/>
      <w:noProof/>
      <w:sz w:val="22"/>
    </w:rPr>
  </w:style>
  <w:style w:type="paragraph" w:styleId="TOC2">
    <w:name w:val="toc 2"/>
    <w:basedOn w:val="Normal"/>
    <w:next w:val="Normal"/>
    <w:autoRedefine/>
    <w:uiPriority w:val="39"/>
    <w:qFormat/>
    <w:rsid w:val="00982F21"/>
    <w:pPr>
      <w:tabs>
        <w:tab w:val="right" w:leader="dot" w:pos="9060"/>
      </w:tabs>
      <w:spacing w:before="0" w:after="0"/>
      <w:ind w:left="1440" w:hanging="720"/>
    </w:pPr>
    <w:rPr>
      <w:b/>
      <w:i/>
      <w:noProof/>
      <w:sz w:val="22"/>
    </w:rPr>
  </w:style>
  <w:style w:type="paragraph" w:styleId="TOC4">
    <w:name w:val="toc 4"/>
    <w:basedOn w:val="Normal"/>
    <w:next w:val="Normal"/>
    <w:autoRedefine/>
    <w:uiPriority w:val="39"/>
    <w:semiHidden/>
    <w:rsid w:val="003002C6"/>
    <w:pPr>
      <w:tabs>
        <w:tab w:val="left" w:pos="1440"/>
        <w:tab w:val="right" w:leader="dot" w:pos="9060"/>
      </w:tabs>
      <w:spacing w:before="0" w:after="0"/>
      <w:ind w:left="1440" w:hanging="720"/>
    </w:pPr>
    <w:rPr>
      <w:noProof/>
    </w:rPr>
  </w:style>
  <w:style w:type="character" w:styleId="Hyperlink">
    <w:name w:val="Hyperlink"/>
    <w:uiPriority w:val="99"/>
    <w:unhideWhenUsed/>
    <w:rsid w:val="00AB3BE9"/>
    <w:rPr>
      <w:rFonts w:ascii="Open Sans" w:hAnsi="Open Sans"/>
      <w:color w:val="C03628"/>
      <w:u w:val="none"/>
    </w:rPr>
  </w:style>
  <w:style w:type="paragraph" w:styleId="TOCHeading">
    <w:name w:val="TOC Heading"/>
    <w:basedOn w:val="Normal"/>
    <w:next w:val="Normal"/>
    <w:uiPriority w:val="39"/>
    <w:qFormat/>
    <w:rsid w:val="004155FD"/>
    <w:pPr>
      <w:spacing w:before="0" w:after="480"/>
    </w:pPr>
    <w:rPr>
      <w:b/>
      <w:color w:val="000000"/>
      <w:sz w:val="36"/>
      <w:lang w:val="en-US" w:eastAsia="en-US"/>
    </w:rPr>
  </w:style>
  <w:style w:type="paragraph" w:styleId="EndnoteText">
    <w:name w:val="endnote text"/>
    <w:aliases w:val="2_G"/>
    <w:basedOn w:val="Normal"/>
    <w:link w:val="EndnoteTextChar2"/>
    <w:qFormat/>
    <w:rsid w:val="006A056A"/>
    <w:pPr>
      <w:spacing w:before="0" w:after="0"/>
    </w:pPr>
    <w:rPr>
      <w:sz w:val="20"/>
      <w:szCs w:val="20"/>
    </w:rPr>
  </w:style>
  <w:style w:type="character" w:customStyle="1" w:styleId="EndnoteTextChar">
    <w:name w:val="Endnote Text Char"/>
    <w:basedOn w:val="DefaultParagraphFont"/>
    <w:rsid w:val="003002C6"/>
    <w:rPr>
      <w:rFonts w:ascii="Arial" w:eastAsia="MS Mincho" w:hAnsi="Arial" w:cs="Times New Roman"/>
      <w:sz w:val="20"/>
      <w:szCs w:val="20"/>
      <w:lang w:eastAsia="en-AU"/>
    </w:rPr>
  </w:style>
  <w:style w:type="character" w:customStyle="1" w:styleId="EndnoteTextChar2">
    <w:name w:val="Endnote Text Char2"/>
    <w:aliases w:val="2_G Char"/>
    <w:link w:val="EndnoteText"/>
    <w:rsid w:val="006A056A"/>
    <w:rPr>
      <w:rFonts w:ascii="Open Sans" w:eastAsia="MS Mincho" w:hAnsi="Open Sans" w:cs="Times New Roman"/>
      <w:sz w:val="20"/>
      <w:szCs w:val="20"/>
      <w:lang w:eastAsia="en-AU"/>
    </w:rPr>
  </w:style>
  <w:style w:type="character" w:styleId="EndnoteReference">
    <w:name w:val="endnote reference"/>
    <w:aliases w:val="1_G,QUOTE"/>
    <w:qFormat/>
    <w:rsid w:val="002B3F4A"/>
    <w:rPr>
      <w:rFonts w:ascii="Open Sans" w:hAnsi="Open Sans"/>
      <w:sz w:val="20"/>
      <w:vertAlign w:val="superscript"/>
    </w:rPr>
  </w:style>
  <w:style w:type="numbering" w:styleId="1ai">
    <w:name w:val="Outline List 1"/>
    <w:basedOn w:val="NoList"/>
    <w:semiHidden/>
    <w:rsid w:val="003002C6"/>
    <w:pPr>
      <w:numPr>
        <w:numId w:val="13"/>
      </w:numPr>
    </w:pPr>
  </w:style>
  <w:style w:type="numbering" w:styleId="ArticleSection">
    <w:name w:val="Outline List 3"/>
    <w:basedOn w:val="NoList"/>
    <w:semiHidden/>
    <w:rsid w:val="003002C6"/>
    <w:pPr>
      <w:numPr>
        <w:numId w:val="14"/>
      </w:numPr>
    </w:pPr>
  </w:style>
  <w:style w:type="paragraph" w:styleId="BlockText">
    <w:name w:val="Block Text"/>
    <w:basedOn w:val="Normal"/>
    <w:semiHidden/>
    <w:rsid w:val="003002C6"/>
    <w:pPr>
      <w:ind w:left="1440" w:right="1440"/>
    </w:pPr>
  </w:style>
  <w:style w:type="paragraph" w:styleId="BodyText">
    <w:name w:val="Body Text"/>
    <w:basedOn w:val="Normal"/>
    <w:link w:val="BodyTextChar"/>
    <w:semiHidden/>
    <w:qFormat/>
    <w:rsid w:val="003002C6"/>
  </w:style>
  <w:style w:type="character" w:customStyle="1" w:styleId="BodyTextChar">
    <w:name w:val="Body Text Char"/>
    <w:basedOn w:val="DefaultParagraphFont"/>
    <w:link w:val="BodyText"/>
    <w:semiHidden/>
    <w:rsid w:val="003002C6"/>
    <w:rPr>
      <w:rFonts w:ascii="Arial" w:eastAsia="MS Mincho" w:hAnsi="Arial" w:cs="Times New Roman"/>
      <w:sz w:val="24"/>
      <w:szCs w:val="24"/>
      <w:lang w:eastAsia="en-AU"/>
    </w:rPr>
  </w:style>
  <w:style w:type="paragraph" w:styleId="BodyText2">
    <w:name w:val="Body Text 2"/>
    <w:basedOn w:val="Normal"/>
    <w:link w:val="BodyText2Char"/>
    <w:semiHidden/>
    <w:rsid w:val="003002C6"/>
    <w:pPr>
      <w:spacing w:line="480" w:lineRule="auto"/>
    </w:pPr>
  </w:style>
  <w:style w:type="character" w:customStyle="1" w:styleId="BodyText2Char">
    <w:name w:val="Body Text 2 Char"/>
    <w:basedOn w:val="DefaultParagraphFont"/>
    <w:link w:val="BodyText2"/>
    <w:semiHidden/>
    <w:rsid w:val="003002C6"/>
    <w:rPr>
      <w:rFonts w:ascii="Arial" w:eastAsia="MS Mincho" w:hAnsi="Arial" w:cs="Times New Roman"/>
      <w:sz w:val="24"/>
      <w:szCs w:val="24"/>
      <w:lang w:eastAsia="en-AU"/>
    </w:rPr>
  </w:style>
  <w:style w:type="paragraph" w:styleId="BodyText3">
    <w:name w:val="Body Text 3"/>
    <w:basedOn w:val="Normal"/>
    <w:link w:val="BodyText3Char"/>
    <w:semiHidden/>
    <w:rsid w:val="003002C6"/>
    <w:rPr>
      <w:sz w:val="16"/>
      <w:szCs w:val="16"/>
    </w:rPr>
  </w:style>
  <w:style w:type="character" w:customStyle="1" w:styleId="BodyText3Char">
    <w:name w:val="Body Text 3 Char"/>
    <w:basedOn w:val="DefaultParagraphFont"/>
    <w:link w:val="BodyText3"/>
    <w:semiHidden/>
    <w:rsid w:val="003002C6"/>
    <w:rPr>
      <w:rFonts w:ascii="Arial" w:eastAsia="MS Mincho" w:hAnsi="Arial" w:cs="Times New Roman"/>
      <w:sz w:val="16"/>
      <w:szCs w:val="16"/>
      <w:lang w:eastAsia="en-AU"/>
    </w:rPr>
  </w:style>
  <w:style w:type="paragraph" w:styleId="BodyTextFirstIndent">
    <w:name w:val="Body Text First Indent"/>
    <w:basedOn w:val="BodyText"/>
    <w:link w:val="BodyTextFirstIndentChar"/>
    <w:semiHidden/>
    <w:rsid w:val="003002C6"/>
    <w:pPr>
      <w:ind w:firstLine="210"/>
    </w:pPr>
  </w:style>
  <w:style w:type="character" w:customStyle="1" w:styleId="BodyTextFirstIndentChar">
    <w:name w:val="Body Text First Indent Char"/>
    <w:basedOn w:val="BodyTextChar"/>
    <w:link w:val="BodyTextFirstIndent"/>
    <w:semiHidden/>
    <w:rsid w:val="003002C6"/>
    <w:rPr>
      <w:rFonts w:ascii="Arial" w:eastAsia="MS Mincho" w:hAnsi="Arial" w:cs="Times New Roman"/>
      <w:sz w:val="24"/>
      <w:szCs w:val="24"/>
      <w:lang w:eastAsia="en-AU"/>
    </w:rPr>
  </w:style>
  <w:style w:type="paragraph" w:styleId="BodyTextIndent">
    <w:name w:val="Body Text Indent"/>
    <w:basedOn w:val="Normal"/>
    <w:link w:val="BodyTextIndentChar"/>
    <w:semiHidden/>
    <w:rsid w:val="003002C6"/>
    <w:pPr>
      <w:ind w:left="283"/>
    </w:pPr>
  </w:style>
  <w:style w:type="character" w:customStyle="1" w:styleId="BodyTextIndentChar">
    <w:name w:val="Body Text Indent Char"/>
    <w:basedOn w:val="DefaultParagraphFont"/>
    <w:link w:val="BodyTextIndent"/>
    <w:semiHidden/>
    <w:rsid w:val="003002C6"/>
    <w:rPr>
      <w:rFonts w:ascii="Arial" w:eastAsia="MS Mincho" w:hAnsi="Arial" w:cs="Times New Roman"/>
      <w:sz w:val="24"/>
      <w:szCs w:val="24"/>
      <w:lang w:eastAsia="en-AU"/>
    </w:rPr>
  </w:style>
  <w:style w:type="paragraph" w:styleId="BodyTextFirstIndent2">
    <w:name w:val="Body Text First Indent 2"/>
    <w:basedOn w:val="BodyTextIndent"/>
    <w:link w:val="BodyTextFirstIndent2Char"/>
    <w:semiHidden/>
    <w:rsid w:val="003002C6"/>
    <w:pPr>
      <w:ind w:firstLine="210"/>
    </w:pPr>
  </w:style>
  <w:style w:type="character" w:customStyle="1" w:styleId="BodyTextFirstIndent2Char">
    <w:name w:val="Body Text First Indent 2 Char"/>
    <w:basedOn w:val="BodyTextIndentChar"/>
    <w:link w:val="BodyTextFirstIndent2"/>
    <w:semiHidden/>
    <w:rsid w:val="003002C6"/>
    <w:rPr>
      <w:rFonts w:ascii="Arial" w:eastAsia="MS Mincho" w:hAnsi="Arial" w:cs="Times New Roman"/>
      <w:sz w:val="24"/>
      <w:szCs w:val="24"/>
      <w:lang w:eastAsia="en-AU"/>
    </w:rPr>
  </w:style>
  <w:style w:type="paragraph" w:styleId="BodyTextIndent2">
    <w:name w:val="Body Text Indent 2"/>
    <w:basedOn w:val="Normal"/>
    <w:link w:val="BodyTextIndent2Char"/>
    <w:semiHidden/>
    <w:rsid w:val="003002C6"/>
    <w:pPr>
      <w:spacing w:line="480" w:lineRule="auto"/>
      <w:ind w:left="283"/>
    </w:pPr>
  </w:style>
  <w:style w:type="character" w:customStyle="1" w:styleId="BodyTextIndent2Char">
    <w:name w:val="Body Text Indent 2 Char"/>
    <w:basedOn w:val="DefaultParagraphFont"/>
    <w:link w:val="BodyTextIndent2"/>
    <w:semiHidden/>
    <w:rsid w:val="003002C6"/>
    <w:rPr>
      <w:rFonts w:ascii="Arial" w:eastAsia="MS Mincho" w:hAnsi="Arial" w:cs="Times New Roman"/>
      <w:sz w:val="24"/>
      <w:szCs w:val="24"/>
      <w:lang w:eastAsia="en-AU"/>
    </w:rPr>
  </w:style>
  <w:style w:type="paragraph" w:styleId="BodyTextIndent3">
    <w:name w:val="Body Text Indent 3"/>
    <w:basedOn w:val="Normal"/>
    <w:link w:val="BodyTextIndent3Char"/>
    <w:semiHidden/>
    <w:rsid w:val="003002C6"/>
    <w:pPr>
      <w:ind w:left="283"/>
    </w:pPr>
    <w:rPr>
      <w:sz w:val="16"/>
      <w:szCs w:val="16"/>
    </w:rPr>
  </w:style>
  <w:style w:type="character" w:customStyle="1" w:styleId="BodyTextIndent3Char">
    <w:name w:val="Body Text Indent 3 Char"/>
    <w:basedOn w:val="DefaultParagraphFont"/>
    <w:link w:val="BodyTextIndent3"/>
    <w:semiHidden/>
    <w:rsid w:val="003002C6"/>
    <w:rPr>
      <w:rFonts w:ascii="Arial" w:eastAsia="MS Mincho" w:hAnsi="Arial" w:cs="Times New Roman"/>
      <w:sz w:val="16"/>
      <w:szCs w:val="16"/>
      <w:lang w:eastAsia="en-AU"/>
    </w:rPr>
  </w:style>
  <w:style w:type="paragraph" w:styleId="Closing">
    <w:name w:val="Closing"/>
    <w:basedOn w:val="Normal"/>
    <w:link w:val="ClosingChar"/>
    <w:semiHidden/>
    <w:rsid w:val="003002C6"/>
    <w:pPr>
      <w:ind w:left="4252"/>
    </w:pPr>
  </w:style>
  <w:style w:type="character" w:customStyle="1" w:styleId="ClosingChar">
    <w:name w:val="Closing Char"/>
    <w:basedOn w:val="DefaultParagraphFont"/>
    <w:link w:val="Closing"/>
    <w:semiHidden/>
    <w:rsid w:val="003002C6"/>
    <w:rPr>
      <w:rFonts w:ascii="Arial" w:eastAsia="MS Mincho" w:hAnsi="Arial" w:cs="Times New Roman"/>
      <w:sz w:val="24"/>
      <w:szCs w:val="24"/>
      <w:lang w:eastAsia="en-AU"/>
    </w:rPr>
  </w:style>
  <w:style w:type="paragraph" w:styleId="Date">
    <w:name w:val="Date"/>
    <w:basedOn w:val="Normal"/>
    <w:next w:val="Normal"/>
    <w:link w:val="DateChar"/>
    <w:semiHidden/>
    <w:rsid w:val="003002C6"/>
    <w:pPr>
      <w:jc w:val="right"/>
    </w:pPr>
    <w:rPr>
      <w:color w:val="595959"/>
      <w:sz w:val="26"/>
    </w:rPr>
  </w:style>
  <w:style w:type="character" w:customStyle="1" w:styleId="DateChar">
    <w:name w:val="Date Char"/>
    <w:basedOn w:val="DefaultParagraphFont"/>
    <w:link w:val="Date"/>
    <w:semiHidden/>
    <w:rsid w:val="003002C6"/>
    <w:rPr>
      <w:rFonts w:ascii="Arial" w:eastAsia="MS Mincho" w:hAnsi="Arial" w:cs="Times New Roman"/>
      <w:color w:val="595959"/>
      <w:sz w:val="26"/>
      <w:szCs w:val="24"/>
      <w:lang w:eastAsia="en-AU"/>
    </w:rPr>
  </w:style>
  <w:style w:type="paragraph" w:styleId="E-mailSignature">
    <w:name w:val="E-mail Signature"/>
    <w:basedOn w:val="Normal"/>
    <w:link w:val="E-mailSignatureChar"/>
    <w:semiHidden/>
    <w:rsid w:val="003002C6"/>
  </w:style>
  <w:style w:type="character" w:customStyle="1" w:styleId="E-mailSignatureChar">
    <w:name w:val="E-mail Signature Char"/>
    <w:basedOn w:val="DefaultParagraphFont"/>
    <w:link w:val="E-mailSignature"/>
    <w:semiHidden/>
    <w:rsid w:val="003002C6"/>
    <w:rPr>
      <w:rFonts w:ascii="Arial" w:eastAsia="MS Mincho" w:hAnsi="Arial" w:cs="Times New Roman"/>
      <w:sz w:val="24"/>
      <w:szCs w:val="24"/>
      <w:lang w:eastAsia="en-AU"/>
    </w:rPr>
  </w:style>
  <w:style w:type="character" w:styleId="Emphasis">
    <w:name w:val="Emphasis"/>
    <w:qFormat/>
    <w:rsid w:val="003002C6"/>
    <w:rPr>
      <w:i/>
      <w:iCs/>
    </w:rPr>
  </w:style>
  <w:style w:type="paragraph" w:styleId="EnvelopeAddress">
    <w:name w:val="envelope address"/>
    <w:basedOn w:val="Normal"/>
    <w:semiHidden/>
    <w:rsid w:val="003002C6"/>
    <w:pPr>
      <w:framePr w:w="7920" w:h="1980" w:hRule="exact" w:hSpace="180" w:wrap="auto" w:hAnchor="page" w:xAlign="center" w:yAlign="bottom"/>
      <w:spacing w:before="0" w:after="0"/>
      <w:ind w:left="2880"/>
    </w:pPr>
    <w:rPr>
      <w:rFonts w:cs="Arial"/>
    </w:rPr>
  </w:style>
  <w:style w:type="paragraph" w:styleId="EnvelopeReturn">
    <w:name w:val="envelope return"/>
    <w:basedOn w:val="Normal"/>
    <w:semiHidden/>
    <w:rsid w:val="003002C6"/>
    <w:rPr>
      <w:rFonts w:cs="Arial"/>
      <w:sz w:val="20"/>
      <w:szCs w:val="20"/>
    </w:rPr>
  </w:style>
  <w:style w:type="character" w:styleId="FootnoteReference">
    <w:name w:val="footnote reference"/>
    <w:aliases w:val="4_G"/>
    <w:uiPriority w:val="99"/>
    <w:rsid w:val="003002C6"/>
    <w:rPr>
      <w:rFonts w:ascii="Arial" w:hAnsi="Arial"/>
      <w:sz w:val="20"/>
      <w:vertAlign w:val="superscript"/>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C,5_G"/>
    <w:basedOn w:val="Normal"/>
    <w:link w:val="FootnoteTextChar"/>
    <w:uiPriority w:val="99"/>
    <w:qFormat/>
    <w:rsid w:val="003002C6"/>
    <w:pPr>
      <w:spacing w:before="0" w:after="0"/>
    </w:pPr>
    <w:rPr>
      <w:sz w:val="20"/>
      <w:szCs w:val="20"/>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C Char"/>
    <w:basedOn w:val="DefaultParagraphFont"/>
    <w:link w:val="FootnoteText"/>
    <w:uiPriority w:val="99"/>
    <w:rsid w:val="003002C6"/>
    <w:rPr>
      <w:rFonts w:ascii="Arial" w:eastAsia="MS Mincho" w:hAnsi="Arial" w:cs="Times New Roman"/>
      <w:sz w:val="20"/>
      <w:szCs w:val="20"/>
      <w:lang w:eastAsia="en-AU"/>
    </w:rPr>
  </w:style>
  <w:style w:type="character" w:styleId="HTMLAcronym">
    <w:name w:val="HTML Acronym"/>
    <w:basedOn w:val="DefaultParagraphFont"/>
    <w:semiHidden/>
    <w:rsid w:val="003002C6"/>
  </w:style>
  <w:style w:type="paragraph" w:styleId="HTMLAddress">
    <w:name w:val="HTML Address"/>
    <w:basedOn w:val="Normal"/>
    <w:link w:val="HTMLAddressChar"/>
    <w:semiHidden/>
    <w:rsid w:val="003002C6"/>
    <w:rPr>
      <w:i/>
      <w:iCs/>
    </w:rPr>
  </w:style>
  <w:style w:type="character" w:customStyle="1" w:styleId="HTMLAddressChar">
    <w:name w:val="HTML Address Char"/>
    <w:basedOn w:val="DefaultParagraphFont"/>
    <w:link w:val="HTMLAddress"/>
    <w:semiHidden/>
    <w:rsid w:val="003002C6"/>
    <w:rPr>
      <w:rFonts w:ascii="Arial" w:eastAsia="MS Mincho" w:hAnsi="Arial" w:cs="Times New Roman"/>
      <w:i/>
      <w:iCs/>
      <w:sz w:val="24"/>
      <w:szCs w:val="24"/>
      <w:lang w:eastAsia="en-AU"/>
    </w:rPr>
  </w:style>
  <w:style w:type="character" w:styleId="HTMLCite">
    <w:name w:val="HTML Cite"/>
    <w:semiHidden/>
    <w:rsid w:val="003002C6"/>
    <w:rPr>
      <w:i/>
      <w:iCs/>
    </w:rPr>
  </w:style>
  <w:style w:type="character" w:styleId="HTMLCode">
    <w:name w:val="HTML Code"/>
    <w:semiHidden/>
    <w:rsid w:val="003002C6"/>
    <w:rPr>
      <w:rFonts w:ascii="Courier New" w:hAnsi="Courier New" w:cs="Courier New"/>
      <w:sz w:val="20"/>
      <w:szCs w:val="20"/>
    </w:rPr>
  </w:style>
  <w:style w:type="character" w:styleId="HTMLDefinition">
    <w:name w:val="HTML Definition"/>
    <w:semiHidden/>
    <w:rsid w:val="003002C6"/>
    <w:rPr>
      <w:i/>
      <w:iCs/>
    </w:rPr>
  </w:style>
  <w:style w:type="character" w:styleId="HTMLKeyboard">
    <w:name w:val="HTML Keyboard"/>
    <w:semiHidden/>
    <w:rsid w:val="003002C6"/>
    <w:rPr>
      <w:rFonts w:ascii="Courier New" w:hAnsi="Courier New" w:cs="Courier New"/>
      <w:sz w:val="20"/>
      <w:szCs w:val="20"/>
    </w:rPr>
  </w:style>
  <w:style w:type="paragraph" w:styleId="HTMLPreformatted">
    <w:name w:val="HTML Preformatted"/>
    <w:basedOn w:val="Normal"/>
    <w:link w:val="HTMLPreformattedChar"/>
    <w:semiHidden/>
    <w:rsid w:val="003002C6"/>
    <w:rPr>
      <w:rFonts w:ascii="Courier New" w:hAnsi="Courier New" w:cs="Courier New"/>
      <w:sz w:val="20"/>
      <w:szCs w:val="20"/>
    </w:rPr>
  </w:style>
  <w:style w:type="character" w:customStyle="1" w:styleId="HTMLPreformattedChar">
    <w:name w:val="HTML Preformatted Char"/>
    <w:basedOn w:val="DefaultParagraphFont"/>
    <w:link w:val="HTMLPreformatted"/>
    <w:semiHidden/>
    <w:rsid w:val="003002C6"/>
    <w:rPr>
      <w:rFonts w:ascii="Courier New" w:eastAsia="MS Mincho" w:hAnsi="Courier New" w:cs="Courier New"/>
      <w:sz w:val="20"/>
      <w:szCs w:val="20"/>
      <w:lang w:eastAsia="en-AU"/>
    </w:rPr>
  </w:style>
  <w:style w:type="character" w:styleId="HTMLSample">
    <w:name w:val="HTML Sample"/>
    <w:semiHidden/>
    <w:rsid w:val="003002C6"/>
    <w:rPr>
      <w:rFonts w:ascii="Courier New" w:hAnsi="Courier New" w:cs="Courier New"/>
    </w:rPr>
  </w:style>
  <w:style w:type="character" w:styleId="HTMLTypewriter">
    <w:name w:val="HTML Typewriter"/>
    <w:semiHidden/>
    <w:rsid w:val="003002C6"/>
    <w:rPr>
      <w:rFonts w:ascii="Courier New" w:hAnsi="Courier New" w:cs="Courier New"/>
      <w:sz w:val="20"/>
      <w:szCs w:val="20"/>
    </w:rPr>
  </w:style>
  <w:style w:type="character" w:styleId="HTMLVariable">
    <w:name w:val="HTML Variable"/>
    <w:semiHidden/>
    <w:rsid w:val="003002C6"/>
    <w:rPr>
      <w:i/>
      <w:iCs/>
    </w:rPr>
  </w:style>
  <w:style w:type="character" w:styleId="LineNumber">
    <w:name w:val="line number"/>
    <w:basedOn w:val="DefaultParagraphFont"/>
    <w:semiHidden/>
    <w:rsid w:val="003002C6"/>
  </w:style>
  <w:style w:type="paragraph" w:styleId="List">
    <w:name w:val="List"/>
    <w:basedOn w:val="Normal"/>
    <w:semiHidden/>
    <w:rsid w:val="003002C6"/>
    <w:pPr>
      <w:ind w:left="283" w:hanging="283"/>
    </w:pPr>
  </w:style>
  <w:style w:type="paragraph" w:styleId="List2">
    <w:name w:val="List 2"/>
    <w:basedOn w:val="Normal"/>
    <w:semiHidden/>
    <w:rsid w:val="003002C6"/>
    <w:pPr>
      <w:ind w:left="566" w:hanging="283"/>
    </w:pPr>
  </w:style>
  <w:style w:type="paragraph" w:styleId="List3">
    <w:name w:val="List 3"/>
    <w:basedOn w:val="Normal"/>
    <w:semiHidden/>
    <w:rsid w:val="003002C6"/>
    <w:pPr>
      <w:ind w:left="849" w:hanging="283"/>
    </w:pPr>
  </w:style>
  <w:style w:type="paragraph" w:styleId="List4">
    <w:name w:val="List 4"/>
    <w:basedOn w:val="Normal"/>
    <w:semiHidden/>
    <w:rsid w:val="003002C6"/>
    <w:pPr>
      <w:ind w:left="1132" w:hanging="283"/>
    </w:pPr>
  </w:style>
  <w:style w:type="paragraph" w:styleId="List5">
    <w:name w:val="List 5"/>
    <w:basedOn w:val="Normal"/>
    <w:semiHidden/>
    <w:rsid w:val="003002C6"/>
    <w:pPr>
      <w:ind w:left="1415" w:hanging="283"/>
    </w:pPr>
  </w:style>
  <w:style w:type="paragraph" w:styleId="ListBullet">
    <w:name w:val="List Bullet"/>
    <w:basedOn w:val="Normal"/>
    <w:semiHidden/>
    <w:rsid w:val="003002C6"/>
    <w:pPr>
      <w:numPr>
        <w:numId w:val="2"/>
      </w:numPr>
    </w:pPr>
  </w:style>
  <w:style w:type="paragraph" w:styleId="ListBullet2">
    <w:name w:val="List Bullet 2"/>
    <w:basedOn w:val="Normal"/>
    <w:semiHidden/>
    <w:rsid w:val="003002C6"/>
    <w:pPr>
      <w:numPr>
        <w:numId w:val="3"/>
      </w:numPr>
    </w:pPr>
  </w:style>
  <w:style w:type="paragraph" w:styleId="ListBullet3">
    <w:name w:val="List Bullet 3"/>
    <w:basedOn w:val="Normal"/>
    <w:semiHidden/>
    <w:rsid w:val="003002C6"/>
    <w:pPr>
      <w:numPr>
        <w:numId w:val="4"/>
      </w:numPr>
    </w:pPr>
  </w:style>
  <w:style w:type="paragraph" w:styleId="ListBullet4">
    <w:name w:val="List Bullet 4"/>
    <w:basedOn w:val="Normal"/>
    <w:semiHidden/>
    <w:rsid w:val="003002C6"/>
    <w:pPr>
      <w:numPr>
        <w:numId w:val="5"/>
      </w:numPr>
    </w:pPr>
  </w:style>
  <w:style w:type="paragraph" w:styleId="ListBullet5">
    <w:name w:val="List Bullet 5"/>
    <w:basedOn w:val="Normal"/>
    <w:semiHidden/>
    <w:rsid w:val="003002C6"/>
    <w:pPr>
      <w:numPr>
        <w:numId w:val="6"/>
      </w:numPr>
    </w:pPr>
  </w:style>
  <w:style w:type="paragraph" w:styleId="ListContinue">
    <w:name w:val="List Continue"/>
    <w:basedOn w:val="Normal"/>
    <w:semiHidden/>
    <w:rsid w:val="003002C6"/>
    <w:pPr>
      <w:ind w:left="283"/>
    </w:pPr>
  </w:style>
  <w:style w:type="paragraph" w:styleId="ListContinue2">
    <w:name w:val="List Continue 2"/>
    <w:basedOn w:val="Normal"/>
    <w:semiHidden/>
    <w:rsid w:val="003002C6"/>
    <w:pPr>
      <w:ind w:left="566"/>
    </w:pPr>
  </w:style>
  <w:style w:type="paragraph" w:styleId="ListContinue3">
    <w:name w:val="List Continue 3"/>
    <w:basedOn w:val="Normal"/>
    <w:semiHidden/>
    <w:rsid w:val="003002C6"/>
    <w:pPr>
      <w:ind w:left="849"/>
    </w:pPr>
  </w:style>
  <w:style w:type="paragraph" w:styleId="ListContinue5">
    <w:name w:val="List Continue 5"/>
    <w:basedOn w:val="Normal"/>
    <w:semiHidden/>
    <w:rsid w:val="003002C6"/>
    <w:pPr>
      <w:ind w:left="1415"/>
    </w:pPr>
  </w:style>
  <w:style w:type="paragraph" w:styleId="ListNumber">
    <w:name w:val="List Number"/>
    <w:basedOn w:val="Normal"/>
    <w:semiHidden/>
    <w:rsid w:val="003002C6"/>
    <w:pPr>
      <w:numPr>
        <w:numId w:val="7"/>
      </w:numPr>
    </w:pPr>
  </w:style>
  <w:style w:type="paragraph" w:styleId="ListNumber2">
    <w:name w:val="List Number 2"/>
    <w:basedOn w:val="Normal"/>
    <w:semiHidden/>
    <w:rsid w:val="003002C6"/>
    <w:pPr>
      <w:numPr>
        <w:numId w:val="10"/>
      </w:numPr>
    </w:pPr>
  </w:style>
  <w:style w:type="paragraph" w:styleId="ListNumber3">
    <w:name w:val="List Number 3"/>
    <w:basedOn w:val="Normal"/>
    <w:semiHidden/>
    <w:rsid w:val="003002C6"/>
    <w:pPr>
      <w:numPr>
        <w:numId w:val="11"/>
      </w:numPr>
    </w:pPr>
  </w:style>
  <w:style w:type="paragraph" w:styleId="ListNumber4">
    <w:name w:val="List Number 4"/>
    <w:basedOn w:val="Normal"/>
    <w:semiHidden/>
    <w:rsid w:val="003002C6"/>
    <w:pPr>
      <w:numPr>
        <w:numId w:val="8"/>
      </w:numPr>
    </w:pPr>
  </w:style>
  <w:style w:type="paragraph" w:styleId="ListNumber5">
    <w:name w:val="List Number 5"/>
    <w:basedOn w:val="Normal"/>
    <w:semiHidden/>
    <w:rsid w:val="003002C6"/>
    <w:pPr>
      <w:numPr>
        <w:numId w:val="9"/>
      </w:numPr>
    </w:pPr>
  </w:style>
  <w:style w:type="paragraph" w:styleId="MessageHeader">
    <w:name w:val="Message Header"/>
    <w:basedOn w:val="Normal"/>
    <w:link w:val="MessageHeaderChar"/>
    <w:semiHidden/>
    <w:rsid w:val="003002C6"/>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character" w:customStyle="1" w:styleId="MessageHeaderChar">
    <w:name w:val="Message Header Char"/>
    <w:basedOn w:val="DefaultParagraphFont"/>
    <w:link w:val="MessageHeader"/>
    <w:semiHidden/>
    <w:rsid w:val="003002C6"/>
    <w:rPr>
      <w:rFonts w:ascii="Arial" w:eastAsia="MS Mincho" w:hAnsi="Arial" w:cs="Arial"/>
      <w:sz w:val="24"/>
      <w:szCs w:val="24"/>
      <w:shd w:val="pct20" w:color="auto" w:fill="auto"/>
      <w:lang w:eastAsia="en-AU"/>
    </w:rPr>
  </w:style>
  <w:style w:type="paragraph" w:styleId="NormalWeb">
    <w:name w:val="Normal (Web)"/>
    <w:basedOn w:val="Normal"/>
    <w:uiPriority w:val="99"/>
    <w:semiHidden/>
    <w:rsid w:val="003002C6"/>
    <w:rPr>
      <w:rFonts w:ascii="Times New Roman" w:hAnsi="Times New Roman"/>
    </w:rPr>
  </w:style>
  <w:style w:type="paragraph" w:styleId="NormalIndent">
    <w:name w:val="Normal Indent"/>
    <w:basedOn w:val="Normal"/>
    <w:semiHidden/>
    <w:rsid w:val="003002C6"/>
    <w:pPr>
      <w:ind w:left="720"/>
    </w:pPr>
  </w:style>
  <w:style w:type="paragraph" w:styleId="NoteHeading">
    <w:name w:val="Note Heading"/>
    <w:basedOn w:val="Normal"/>
    <w:next w:val="Normal"/>
    <w:link w:val="NoteHeadingChar"/>
    <w:semiHidden/>
    <w:rsid w:val="003002C6"/>
  </w:style>
  <w:style w:type="character" w:customStyle="1" w:styleId="NoteHeadingChar">
    <w:name w:val="Note Heading Char"/>
    <w:basedOn w:val="DefaultParagraphFont"/>
    <w:link w:val="NoteHeading"/>
    <w:semiHidden/>
    <w:rsid w:val="003002C6"/>
    <w:rPr>
      <w:rFonts w:ascii="Arial" w:eastAsia="MS Mincho" w:hAnsi="Arial" w:cs="Times New Roman"/>
      <w:sz w:val="24"/>
      <w:szCs w:val="24"/>
      <w:lang w:eastAsia="en-AU"/>
    </w:rPr>
  </w:style>
  <w:style w:type="character" w:styleId="PageNumber">
    <w:name w:val="page number"/>
    <w:aliases w:val="7_G"/>
    <w:basedOn w:val="DefaultParagraphFont"/>
    <w:semiHidden/>
    <w:rsid w:val="003002C6"/>
  </w:style>
  <w:style w:type="paragraph" w:styleId="PlainText">
    <w:name w:val="Plain Text"/>
    <w:basedOn w:val="Normal"/>
    <w:link w:val="PlainTextChar"/>
    <w:semiHidden/>
    <w:rsid w:val="003002C6"/>
    <w:rPr>
      <w:rFonts w:ascii="Courier New" w:hAnsi="Courier New" w:cs="Courier New"/>
      <w:sz w:val="20"/>
      <w:szCs w:val="20"/>
    </w:rPr>
  </w:style>
  <w:style w:type="character" w:customStyle="1" w:styleId="PlainTextChar">
    <w:name w:val="Plain Text Char"/>
    <w:basedOn w:val="DefaultParagraphFont"/>
    <w:link w:val="PlainText"/>
    <w:semiHidden/>
    <w:rsid w:val="003002C6"/>
    <w:rPr>
      <w:rFonts w:ascii="Courier New" w:eastAsia="MS Mincho" w:hAnsi="Courier New" w:cs="Courier New"/>
      <w:sz w:val="20"/>
      <w:szCs w:val="20"/>
      <w:lang w:eastAsia="en-AU"/>
    </w:rPr>
  </w:style>
  <w:style w:type="paragraph" w:styleId="Salutation">
    <w:name w:val="Salutation"/>
    <w:basedOn w:val="Normal"/>
    <w:next w:val="Normal"/>
    <w:link w:val="SalutationChar"/>
    <w:semiHidden/>
    <w:rsid w:val="003002C6"/>
  </w:style>
  <w:style w:type="character" w:customStyle="1" w:styleId="SalutationChar">
    <w:name w:val="Salutation Char"/>
    <w:basedOn w:val="DefaultParagraphFont"/>
    <w:link w:val="Salutation"/>
    <w:semiHidden/>
    <w:rsid w:val="003002C6"/>
    <w:rPr>
      <w:rFonts w:ascii="Arial" w:eastAsia="MS Mincho" w:hAnsi="Arial" w:cs="Times New Roman"/>
      <w:sz w:val="24"/>
      <w:szCs w:val="24"/>
      <w:lang w:eastAsia="en-AU"/>
    </w:rPr>
  </w:style>
  <w:style w:type="paragraph" w:styleId="Signature">
    <w:name w:val="Signature"/>
    <w:basedOn w:val="Normal"/>
    <w:link w:val="SignatureChar"/>
    <w:semiHidden/>
    <w:rsid w:val="003002C6"/>
    <w:pPr>
      <w:ind w:left="4252"/>
    </w:pPr>
  </w:style>
  <w:style w:type="character" w:customStyle="1" w:styleId="SignatureChar">
    <w:name w:val="Signature Char"/>
    <w:basedOn w:val="DefaultParagraphFont"/>
    <w:link w:val="Signature"/>
    <w:semiHidden/>
    <w:rsid w:val="003002C6"/>
    <w:rPr>
      <w:rFonts w:ascii="Arial" w:eastAsia="MS Mincho" w:hAnsi="Arial" w:cs="Times New Roman"/>
      <w:sz w:val="24"/>
      <w:szCs w:val="24"/>
      <w:lang w:eastAsia="en-AU"/>
    </w:rPr>
  </w:style>
  <w:style w:type="paragraph" w:styleId="Subtitle">
    <w:name w:val="Subtitle"/>
    <w:basedOn w:val="Normal"/>
    <w:link w:val="SubtitleChar"/>
    <w:uiPriority w:val="11"/>
    <w:qFormat/>
    <w:rsid w:val="003002C6"/>
    <w:pPr>
      <w:spacing w:before="40" w:after="0"/>
      <w:jc w:val="right"/>
      <w:outlineLvl w:val="1"/>
    </w:pPr>
    <w:rPr>
      <w:rFonts w:cs="Arial"/>
      <w:b/>
      <w:caps/>
      <w:sz w:val="26"/>
    </w:rPr>
  </w:style>
  <w:style w:type="character" w:customStyle="1" w:styleId="SubtitleChar">
    <w:name w:val="Subtitle Char"/>
    <w:basedOn w:val="DefaultParagraphFont"/>
    <w:link w:val="Subtitle"/>
    <w:uiPriority w:val="11"/>
    <w:rsid w:val="003002C6"/>
    <w:rPr>
      <w:rFonts w:ascii="Arial" w:eastAsia="MS Mincho" w:hAnsi="Arial" w:cs="Arial"/>
      <w:b/>
      <w:caps/>
      <w:sz w:val="26"/>
      <w:szCs w:val="24"/>
      <w:lang w:eastAsia="en-AU"/>
    </w:rPr>
  </w:style>
  <w:style w:type="table" w:styleId="Table3Deffects1">
    <w:name w:val="Table 3D effects 1"/>
    <w:basedOn w:val="TableNormal"/>
    <w:semiHidden/>
    <w:rsid w:val="003002C6"/>
    <w:pPr>
      <w:spacing w:after="240" w:line="240" w:lineRule="auto"/>
    </w:pPr>
    <w:rPr>
      <w:rFonts w:ascii="Times New Roman" w:eastAsia="Times New Roman" w:hAnsi="Times New Roman" w:cs="Times New Roman"/>
      <w:sz w:val="20"/>
      <w:szCs w:val="20"/>
      <w:lang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002C6"/>
    <w:pPr>
      <w:spacing w:after="240" w:line="240" w:lineRule="auto"/>
    </w:pPr>
    <w:rPr>
      <w:rFonts w:ascii="Times New Roman" w:eastAsia="Times New Roman" w:hAnsi="Times New Roman" w:cs="Times New Roman"/>
      <w:sz w:val="20"/>
      <w:szCs w:val="20"/>
      <w:lang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002C6"/>
    <w:pPr>
      <w:spacing w:after="240" w:line="240" w:lineRule="auto"/>
    </w:pPr>
    <w:rPr>
      <w:rFonts w:ascii="Times New Roman" w:eastAsia="Times New Roman" w:hAnsi="Times New Roman" w:cs="Times New Roman"/>
      <w:sz w:val="20"/>
      <w:szCs w:val="20"/>
      <w:lang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002C6"/>
    <w:pPr>
      <w:spacing w:after="240" w:line="240" w:lineRule="auto"/>
    </w:pPr>
    <w:rPr>
      <w:rFonts w:ascii="Times New Roman" w:eastAsia="Times New Roman" w:hAnsi="Times New Roman" w:cs="Times New Roman"/>
      <w:sz w:val="20"/>
      <w:szCs w:val="20"/>
      <w:lang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002C6"/>
    <w:pPr>
      <w:spacing w:after="240" w:line="240" w:lineRule="auto"/>
    </w:pPr>
    <w:rPr>
      <w:rFonts w:ascii="Times New Roman" w:eastAsia="Times New Roman" w:hAnsi="Times New Roman" w:cs="Times New Roman"/>
      <w:sz w:val="20"/>
      <w:szCs w:val="20"/>
      <w:lang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002C6"/>
    <w:pPr>
      <w:spacing w:after="240" w:line="240" w:lineRule="auto"/>
    </w:pPr>
    <w:rPr>
      <w:rFonts w:ascii="Times New Roman" w:eastAsia="Times New Roman" w:hAnsi="Times New Roman" w:cs="Times New Roman"/>
      <w:color w:val="000080"/>
      <w:sz w:val="20"/>
      <w:szCs w:val="20"/>
      <w:lang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002C6"/>
    <w:pPr>
      <w:spacing w:after="240" w:line="240" w:lineRule="auto"/>
    </w:pPr>
    <w:rPr>
      <w:rFonts w:ascii="Times New Roman" w:eastAsia="Times New Roman" w:hAnsi="Times New Roman" w:cs="Times New Roman"/>
      <w:sz w:val="20"/>
      <w:szCs w:val="20"/>
      <w:lang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002C6"/>
    <w:pPr>
      <w:spacing w:after="240" w:line="240" w:lineRule="auto"/>
    </w:pPr>
    <w:rPr>
      <w:rFonts w:ascii="Times New Roman" w:eastAsia="Times New Roman" w:hAnsi="Times New Roman" w:cs="Times New Roman"/>
      <w:color w:val="FFFFFF"/>
      <w:sz w:val="20"/>
      <w:szCs w:val="20"/>
      <w:lang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002C6"/>
    <w:pPr>
      <w:spacing w:after="240" w:line="240" w:lineRule="auto"/>
    </w:pPr>
    <w:rPr>
      <w:rFonts w:ascii="Times New Roman" w:eastAsia="Times New Roman" w:hAnsi="Times New Roman" w:cs="Times New Roman"/>
      <w:sz w:val="20"/>
      <w:szCs w:val="20"/>
      <w:lang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002C6"/>
    <w:pPr>
      <w:spacing w:after="240" w:line="240" w:lineRule="auto"/>
    </w:pPr>
    <w:rPr>
      <w:rFonts w:ascii="Times New Roman" w:eastAsia="Times New Roman" w:hAnsi="Times New Roman" w:cs="Times New Roman"/>
      <w:sz w:val="20"/>
      <w:szCs w:val="20"/>
      <w:lang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002C6"/>
    <w:pPr>
      <w:spacing w:after="240" w:line="240" w:lineRule="auto"/>
    </w:pPr>
    <w:rPr>
      <w:rFonts w:ascii="Times New Roman" w:eastAsia="Times New Roman" w:hAnsi="Times New Roman" w:cs="Times New Roman"/>
      <w:b/>
      <w:bCs/>
      <w:sz w:val="20"/>
      <w:szCs w:val="20"/>
      <w:lang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002C6"/>
    <w:pPr>
      <w:spacing w:after="240" w:line="240" w:lineRule="auto"/>
    </w:pPr>
    <w:rPr>
      <w:rFonts w:ascii="Times New Roman" w:eastAsia="Times New Roman" w:hAnsi="Times New Roman" w:cs="Times New Roman"/>
      <w:b/>
      <w:bCs/>
      <w:sz w:val="20"/>
      <w:szCs w:val="20"/>
      <w:lang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002C6"/>
    <w:pPr>
      <w:spacing w:after="240" w:line="240" w:lineRule="auto"/>
    </w:pPr>
    <w:rPr>
      <w:rFonts w:ascii="Times New Roman" w:eastAsia="Times New Roman" w:hAnsi="Times New Roman" w:cs="Times New Roman"/>
      <w:b/>
      <w:bCs/>
      <w:sz w:val="20"/>
      <w:szCs w:val="20"/>
      <w:lang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002C6"/>
    <w:pPr>
      <w:spacing w:after="240" w:line="240" w:lineRule="auto"/>
    </w:pPr>
    <w:rPr>
      <w:rFonts w:ascii="Times New Roman" w:eastAsia="Times New Roman" w:hAnsi="Times New Roman" w:cs="Times New Roman"/>
      <w:sz w:val="20"/>
      <w:szCs w:val="20"/>
      <w:lang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002C6"/>
    <w:pPr>
      <w:spacing w:after="240" w:line="240" w:lineRule="auto"/>
    </w:pPr>
    <w:rPr>
      <w:rFonts w:ascii="Times New Roman" w:eastAsia="Times New Roman" w:hAnsi="Times New Roman" w:cs="Times New Roman"/>
      <w:sz w:val="20"/>
      <w:szCs w:val="20"/>
      <w:lang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002C6"/>
    <w:pPr>
      <w:spacing w:after="240" w:line="240" w:lineRule="auto"/>
    </w:pPr>
    <w:rPr>
      <w:rFonts w:ascii="Times New Roman" w:eastAsia="Times New Roman" w:hAnsi="Times New Roman" w:cs="Times New Roman"/>
      <w:sz w:val="20"/>
      <w:szCs w:val="20"/>
      <w:lang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002C6"/>
    <w:pPr>
      <w:spacing w:after="240" w:line="240" w:lineRule="auto"/>
    </w:pPr>
    <w:rPr>
      <w:rFonts w:ascii="Times New Roman" w:eastAsia="Times New Roman" w:hAnsi="Times New Roman" w:cs="Times New Roman"/>
      <w:sz w:val="20"/>
      <w:szCs w:val="20"/>
      <w:lang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3002C6"/>
    <w:pPr>
      <w:spacing w:after="24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3002C6"/>
    <w:pPr>
      <w:spacing w:after="240" w:line="240" w:lineRule="auto"/>
    </w:pPr>
    <w:rPr>
      <w:rFonts w:ascii="Times New Roman" w:eastAsia="Times New Roman" w:hAnsi="Times New Roman" w:cs="Times New Roman"/>
      <w:sz w:val="20"/>
      <w:szCs w:val="20"/>
      <w:lang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002C6"/>
    <w:pPr>
      <w:spacing w:after="240" w:line="240" w:lineRule="auto"/>
    </w:pPr>
    <w:rPr>
      <w:rFonts w:ascii="Times New Roman" w:eastAsia="Times New Roman" w:hAnsi="Times New Roman" w:cs="Times New Roman"/>
      <w:sz w:val="20"/>
      <w:szCs w:val="20"/>
      <w:lang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002C6"/>
    <w:pPr>
      <w:spacing w:after="240" w:line="240" w:lineRule="auto"/>
    </w:pPr>
    <w:rPr>
      <w:rFonts w:ascii="Times New Roman" w:eastAsia="Times New Roman" w:hAnsi="Times New Roman" w:cs="Times New Roman"/>
      <w:sz w:val="20"/>
      <w:szCs w:val="20"/>
      <w:lang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002C6"/>
    <w:pPr>
      <w:spacing w:after="240" w:line="240" w:lineRule="auto"/>
    </w:pPr>
    <w:rPr>
      <w:rFonts w:ascii="Times New Roman" w:eastAsia="Times New Roman" w:hAnsi="Times New Roman" w:cs="Times New Roman"/>
      <w:sz w:val="20"/>
      <w:szCs w:val="20"/>
      <w:lang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002C6"/>
    <w:pPr>
      <w:spacing w:after="240" w:line="240" w:lineRule="auto"/>
    </w:pPr>
    <w:rPr>
      <w:rFonts w:ascii="Times New Roman" w:eastAsia="Times New Roman" w:hAnsi="Times New Roman" w:cs="Times New Roman"/>
      <w:sz w:val="20"/>
      <w:szCs w:val="20"/>
      <w:lang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002C6"/>
    <w:pPr>
      <w:spacing w:after="240" w:line="240" w:lineRule="auto"/>
    </w:pPr>
    <w:rPr>
      <w:rFonts w:ascii="Times New Roman" w:eastAsia="Times New Roman" w:hAnsi="Times New Roman" w:cs="Times New Roman"/>
      <w:sz w:val="20"/>
      <w:szCs w:val="20"/>
      <w:lang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002C6"/>
    <w:pPr>
      <w:spacing w:after="240" w:line="240" w:lineRule="auto"/>
    </w:pPr>
    <w:rPr>
      <w:rFonts w:ascii="Times New Roman" w:eastAsia="Times New Roman" w:hAnsi="Times New Roman" w:cs="Times New Roman"/>
      <w:b/>
      <w:bCs/>
      <w:sz w:val="20"/>
      <w:szCs w:val="20"/>
      <w:lang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002C6"/>
    <w:pPr>
      <w:spacing w:after="240" w:line="240" w:lineRule="auto"/>
    </w:pPr>
    <w:rPr>
      <w:rFonts w:ascii="Times New Roman" w:eastAsia="Times New Roman" w:hAnsi="Times New Roman" w:cs="Times New Roman"/>
      <w:sz w:val="20"/>
      <w:szCs w:val="20"/>
      <w:lang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002C6"/>
    <w:pPr>
      <w:spacing w:after="240" w:line="240" w:lineRule="auto"/>
    </w:pPr>
    <w:rPr>
      <w:rFonts w:ascii="Times New Roman" w:eastAsia="Times New Roman" w:hAnsi="Times New Roman" w:cs="Times New Roman"/>
      <w:sz w:val="20"/>
      <w:szCs w:val="20"/>
      <w:lang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002C6"/>
    <w:pPr>
      <w:spacing w:after="240" w:line="240" w:lineRule="auto"/>
    </w:pPr>
    <w:rPr>
      <w:rFonts w:ascii="Times New Roman" w:eastAsia="Times New Roman" w:hAnsi="Times New Roman" w:cs="Times New Roman"/>
      <w:sz w:val="20"/>
      <w:szCs w:val="20"/>
      <w:lang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002C6"/>
    <w:pPr>
      <w:spacing w:after="240" w:line="240" w:lineRule="auto"/>
    </w:pPr>
    <w:rPr>
      <w:rFonts w:ascii="Times New Roman" w:eastAsia="Times New Roman" w:hAnsi="Times New Roman" w:cs="Times New Roman"/>
      <w:sz w:val="20"/>
      <w:szCs w:val="20"/>
      <w:lang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002C6"/>
    <w:pPr>
      <w:spacing w:after="240" w:line="240" w:lineRule="auto"/>
    </w:pPr>
    <w:rPr>
      <w:rFonts w:ascii="Times New Roman" w:eastAsia="Times New Roman" w:hAnsi="Times New Roman" w:cs="Times New Roman"/>
      <w:sz w:val="20"/>
      <w:szCs w:val="20"/>
      <w:lang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002C6"/>
    <w:pPr>
      <w:spacing w:after="240" w:line="240" w:lineRule="auto"/>
    </w:pPr>
    <w:rPr>
      <w:rFonts w:ascii="Times New Roman" w:eastAsia="Times New Roman" w:hAnsi="Times New Roman" w:cs="Times New Roman"/>
      <w:sz w:val="20"/>
      <w:szCs w:val="20"/>
      <w:lang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002C6"/>
    <w:pPr>
      <w:spacing w:after="240" w:line="240" w:lineRule="auto"/>
    </w:pPr>
    <w:rPr>
      <w:rFonts w:ascii="Times New Roman" w:eastAsia="Times New Roman" w:hAnsi="Times New Roman" w:cs="Times New Roman"/>
      <w:sz w:val="20"/>
      <w:szCs w:val="20"/>
      <w:lang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002C6"/>
    <w:pPr>
      <w:spacing w:after="240" w:line="240" w:lineRule="auto"/>
    </w:pPr>
    <w:rPr>
      <w:rFonts w:ascii="Times New Roman" w:eastAsia="Times New Roman" w:hAnsi="Times New Roman" w:cs="Times New Roman"/>
      <w:sz w:val="20"/>
      <w:szCs w:val="20"/>
      <w:lang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002C6"/>
    <w:pPr>
      <w:spacing w:after="240" w:line="240" w:lineRule="auto"/>
    </w:pPr>
    <w:rPr>
      <w:rFonts w:ascii="Times New Roman" w:eastAsia="Times New Roman" w:hAnsi="Times New Roman" w:cs="Times New Roman"/>
      <w:sz w:val="20"/>
      <w:szCs w:val="20"/>
      <w:lang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002C6"/>
    <w:pPr>
      <w:spacing w:after="240" w:line="240" w:lineRule="auto"/>
    </w:pPr>
    <w:rPr>
      <w:rFonts w:ascii="Times New Roman" w:eastAsia="Times New Roman" w:hAnsi="Times New Roman" w:cs="Times New Roman"/>
      <w:sz w:val="20"/>
      <w:szCs w:val="20"/>
      <w:lang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002C6"/>
    <w:pPr>
      <w:spacing w:after="240" w:line="240" w:lineRule="auto"/>
    </w:pPr>
    <w:rPr>
      <w:rFonts w:ascii="Times New Roman" w:eastAsia="Times New Roman" w:hAnsi="Times New Roman" w:cs="Times New Roman"/>
      <w:sz w:val="20"/>
      <w:szCs w:val="20"/>
      <w:lang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002C6"/>
    <w:pPr>
      <w:spacing w:after="240" w:line="240" w:lineRule="auto"/>
    </w:pPr>
    <w:rPr>
      <w:rFonts w:ascii="Times New Roman" w:eastAsia="Times New Roman" w:hAnsi="Times New Roman" w:cs="Times New Roman"/>
      <w:sz w:val="20"/>
      <w:szCs w:val="20"/>
      <w:lang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002C6"/>
    <w:pPr>
      <w:spacing w:after="240" w:line="240" w:lineRule="auto"/>
    </w:pPr>
    <w:rPr>
      <w:rFonts w:ascii="Times New Roman" w:eastAsia="Times New Roman" w:hAnsi="Times New Roman" w:cs="Times New Roman"/>
      <w:sz w:val="20"/>
      <w:szCs w:val="20"/>
      <w:lang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002C6"/>
    <w:pPr>
      <w:spacing w:after="240" w:line="240" w:lineRule="auto"/>
    </w:pPr>
    <w:rPr>
      <w:rFonts w:ascii="Times New Roman" w:eastAsia="Times New Roman" w:hAnsi="Times New Roman" w:cs="Times New Roman"/>
      <w:sz w:val="20"/>
      <w:szCs w:val="20"/>
      <w:lang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002C6"/>
    <w:pPr>
      <w:spacing w:after="240" w:line="240" w:lineRule="auto"/>
    </w:pPr>
    <w:rPr>
      <w:rFonts w:ascii="Times New Roman" w:eastAsia="Times New Roman" w:hAnsi="Times New Roman" w:cs="Times New Roman"/>
      <w:sz w:val="20"/>
      <w:szCs w:val="20"/>
      <w:lang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002C6"/>
    <w:pPr>
      <w:spacing w:after="24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3002C6"/>
    <w:pPr>
      <w:spacing w:after="240" w:line="240" w:lineRule="auto"/>
    </w:pPr>
    <w:rPr>
      <w:rFonts w:ascii="Times New Roman" w:eastAsia="Times New Roman" w:hAnsi="Times New Roman" w:cs="Times New Roman"/>
      <w:sz w:val="20"/>
      <w:szCs w:val="20"/>
      <w:lang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002C6"/>
    <w:pPr>
      <w:spacing w:after="240" w:line="240" w:lineRule="auto"/>
    </w:pPr>
    <w:rPr>
      <w:rFonts w:ascii="Times New Roman" w:eastAsia="Times New Roman" w:hAnsi="Times New Roman" w:cs="Times New Roman"/>
      <w:sz w:val="20"/>
      <w:szCs w:val="20"/>
      <w:lang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002C6"/>
    <w:pPr>
      <w:spacing w:after="240" w:line="240" w:lineRule="auto"/>
    </w:pPr>
    <w:rPr>
      <w:rFonts w:ascii="Times New Roman" w:eastAsia="Times New Roman" w:hAnsi="Times New Roman" w:cs="Times New Roman"/>
      <w:sz w:val="20"/>
      <w:szCs w:val="20"/>
      <w:lang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3002C6"/>
    <w:pPr>
      <w:spacing w:after="60"/>
      <w:jc w:val="center"/>
      <w:outlineLvl w:val="0"/>
    </w:pPr>
    <w:rPr>
      <w:rFonts w:cs="Arial"/>
      <w:b/>
      <w:bCs/>
      <w:kern w:val="28"/>
      <w:sz w:val="32"/>
      <w:szCs w:val="32"/>
    </w:rPr>
  </w:style>
  <w:style w:type="character" w:customStyle="1" w:styleId="TitleChar">
    <w:name w:val="Title Char"/>
    <w:basedOn w:val="DefaultParagraphFont"/>
    <w:link w:val="Title"/>
    <w:rsid w:val="003002C6"/>
    <w:rPr>
      <w:rFonts w:ascii="Arial" w:eastAsia="MS Mincho" w:hAnsi="Arial" w:cs="Arial"/>
      <w:b/>
      <w:bCs/>
      <w:kern w:val="28"/>
      <w:sz w:val="32"/>
      <w:szCs w:val="32"/>
      <w:lang w:eastAsia="en-AU"/>
    </w:rPr>
  </w:style>
  <w:style w:type="character" w:styleId="FollowedHyperlink">
    <w:name w:val="FollowedHyperlink"/>
    <w:uiPriority w:val="99"/>
    <w:semiHidden/>
    <w:rsid w:val="003002C6"/>
    <w:rPr>
      <w:color w:val="800080"/>
      <w:u w:val="single"/>
    </w:rPr>
  </w:style>
  <w:style w:type="paragraph" w:customStyle="1" w:styleId="MainTitle">
    <w:name w:val="Main Title"/>
    <w:semiHidden/>
    <w:qFormat/>
    <w:rsid w:val="003002C6"/>
    <w:pPr>
      <w:spacing w:after="0" w:line="740" w:lineRule="exact"/>
      <w:contextualSpacing/>
      <w:jc w:val="right"/>
    </w:pPr>
    <w:rPr>
      <w:rFonts w:ascii="Arial" w:eastAsia="Times New Roman" w:hAnsi="Arial" w:cs="Times New Roman"/>
      <w:bCs/>
      <w:color w:val="237BBC"/>
      <w:kern w:val="32"/>
      <w:sz w:val="56"/>
      <w:szCs w:val="32"/>
      <w:lang w:eastAsia="en-AU"/>
    </w:rPr>
  </w:style>
  <w:style w:type="paragraph" w:customStyle="1" w:styleId="HeaderFooter">
    <w:name w:val="Header &amp; Footer"/>
    <w:basedOn w:val="Normal"/>
    <w:semiHidden/>
    <w:rsid w:val="003002C6"/>
    <w:pPr>
      <w:spacing w:line="200" w:lineRule="exact"/>
      <w:jc w:val="both"/>
    </w:pPr>
    <w:rPr>
      <w:rFonts w:eastAsia="Times New Roman" w:cs="ArialMT"/>
      <w:color w:val="000000"/>
      <w:sz w:val="16"/>
      <w:lang w:eastAsia="en-US"/>
    </w:rPr>
  </w:style>
  <w:style w:type="paragraph" w:customStyle="1" w:styleId="LogoType">
    <w:name w:val="Logo Type"/>
    <w:basedOn w:val="Header"/>
    <w:semiHidden/>
    <w:rsid w:val="003002C6"/>
    <w:pPr>
      <w:pBdr>
        <w:bottom w:val="single" w:sz="4" w:space="4" w:color="auto"/>
      </w:pBdr>
      <w:tabs>
        <w:tab w:val="clear" w:pos="4513"/>
        <w:tab w:val="clear" w:pos="9026"/>
        <w:tab w:val="left" w:pos="4686"/>
        <w:tab w:val="left" w:pos="7088"/>
        <w:tab w:val="left" w:pos="7242"/>
      </w:tabs>
      <w:spacing w:before="0" w:line="320" w:lineRule="exact"/>
    </w:pPr>
    <w:rPr>
      <w:rFonts w:cs="ArialMT"/>
      <w:b/>
      <w:color w:val="808080"/>
      <w:spacing w:val="-20"/>
      <w:sz w:val="32"/>
      <w:lang w:eastAsia="en-US"/>
    </w:rPr>
  </w:style>
  <w:style w:type="paragraph" w:styleId="BalloonText">
    <w:name w:val="Balloon Text"/>
    <w:basedOn w:val="Normal"/>
    <w:link w:val="BalloonTextChar"/>
    <w:semiHidden/>
    <w:rsid w:val="003002C6"/>
    <w:pPr>
      <w:spacing w:before="0" w:after="0"/>
    </w:pPr>
    <w:rPr>
      <w:rFonts w:ascii="Tahoma" w:hAnsi="Tahoma" w:cs="Tahoma"/>
      <w:sz w:val="16"/>
      <w:szCs w:val="16"/>
    </w:rPr>
  </w:style>
  <w:style w:type="character" w:customStyle="1" w:styleId="BalloonTextChar">
    <w:name w:val="Balloon Text Char"/>
    <w:basedOn w:val="DefaultParagraphFont"/>
    <w:link w:val="BalloonText"/>
    <w:semiHidden/>
    <w:rsid w:val="003002C6"/>
    <w:rPr>
      <w:rFonts w:ascii="Tahoma" w:eastAsia="MS Mincho" w:hAnsi="Tahoma" w:cs="Tahoma"/>
      <w:sz w:val="16"/>
      <w:szCs w:val="16"/>
      <w:lang w:eastAsia="en-AU"/>
    </w:rPr>
  </w:style>
  <w:style w:type="character" w:customStyle="1" w:styleId="CharChar">
    <w:name w:val="Char Char"/>
    <w:semiHidden/>
    <w:locked/>
    <w:rsid w:val="003002C6"/>
    <w:rPr>
      <w:rFonts w:ascii="Arial" w:hAnsi="Arial" w:cs="Arial"/>
      <w:lang w:val="en-AU" w:eastAsia="en-AU" w:bidi="ar-SA"/>
    </w:rPr>
  </w:style>
  <w:style w:type="paragraph" w:customStyle="1" w:styleId="SubmissionNormal">
    <w:name w:val="Submission Normal"/>
    <w:aliases w:val="No Spacing1,No Spacing11,No Spacing111"/>
    <w:basedOn w:val="Normal"/>
    <w:link w:val="SubmissionNormalChar"/>
    <w:qFormat/>
    <w:rsid w:val="00AF724F"/>
    <w:pPr>
      <w:numPr>
        <w:numId w:val="20"/>
      </w:numPr>
    </w:pPr>
    <w:rPr>
      <w:rFonts w:eastAsia="Times New Roman"/>
    </w:rPr>
  </w:style>
  <w:style w:type="character" w:customStyle="1" w:styleId="SubmissionNormalChar">
    <w:name w:val="Submission Normal Char"/>
    <w:aliases w:val="No Spacing Char,No Spacing1 Char,No Spacing11 Char"/>
    <w:link w:val="SubmissionNormal"/>
    <w:rsid w:val="00AF724F"/>
    <w:rPr>
      <w:rFonts w:ascii="Open Sans" w:eastAsia="Times New Roman" w:hAnsi="Open Sans" w:cs="Times New Roman"/>
      <w:sz w:val="24"/>
      <w:szCs w:val="24"/>
      <w:lang w:eastAsia="en-AU"/>
    </w:rPr>
  </w:style>
  <w:style w:type="paragraph" w:customStyle="1" w:styleId="coveraddresses">
    <w:name w:val="cover addresses"/>
    <w:basedOn w:val="Footer"/>
    <w:qFormat/>
    <w:rsid w:val="003002C6"/>
    <w:pPr>
      <w:spacing w:after="40"/>
    </w:pPr>
    <w:rPr>
      <w:sz w:val="16"/>
      <w:szCs w:val="16"/>
    </w:rPr>
  </w:style>
  <w:style w:type="numbering" w:customStyle="1" w:styleId="Style1">
    <w:name w:val="Style1"/>
    <w:uiPriority w:val="99"/>
    <w:rsid w:val="003002C6"/>
    <w:pPr>
      <w:numPr>
        <w:numId w:val="16"/>
      </w:numPr>
    </w:pPr>
  </w:style>
  <w:style w:type="paragraph" w:styleId="ListParagraph">
    <w:name w:val="List Paragraph"/>
    <w:aliases w:val="List Paragraph1,Recommendation,List Paragraph11,Bullet point,Bullets,NAST Quote,L,CV text,Table text,F5 List Paragraph,Dot pt,List Paragraph111,Medium Grid 1 - Accent 21,Numbered Paragraph,List Paragraph2,NFP GP Bulleted List,FooterText"/>
    <w:basedOn w:val="Normal"/>
    <w:link w:val="ListParagraphChar"/>
    <w:uiPriority w:val="34"/>
    <w:qFormat/>
    <w:rsid w:val="003002C6"/>
    <w:pPr>
      <w:ind w:left="720"/>
      <w:contextualSpacing/>
    </w:pPr>
  </w:style>
  <w:style w:type="character" w:styleId="CommentReference">
    <w:name w:val="annotation reference"/>
    <w:rsid w:val="003002C6"/>
    <w:rPr>
      <w:sz w:val="16"/>
      <w:szCs w:val="16"/>
    </w:rPr>
  </w:style>
  <w:style w:type="paragraph" w:styleId="CommentText">
    <w:name w:val="annotation text"/>
    <w:basedOn w:val="Normal"/>
    <w:link w:val="CommentTextChar"/>
    <w:rsid w:val="003002C6"/>
    <w:rPr>
      <w:sz w:val="20"/>
      <w:szCs w:val="20"/>
    </w:rPr>
  </w:style>
  <w:style w:type="character" w:customStyle="1" w:styleId="CommentTextChar">
    <w:name w:val="Comment Text Char"/>
    <w:basedOn w:val="DefaultParagraphFont"/>
    <w:link w:val="CommentText"/>
    <w:rsid w:val="003002C6"/>
    <w:rPr>
      <w:rFonts w:ascii="Arial" w:eastAsia="MS Mincho" w:hAnsi="Arial" w:cs="Times New Roman"/>
      <w:sz w:val="20"/>
      <w:szCs w:val="20"/>
      <w:lang w:eastAsia="en-AU"/>
    </w:rPr>
  </w:style>
  <w:style w:type="paragraph" w:styleId="CommentSubject">
    <w:name w:val="annotation subject"/>
    <w:basedOn w:val="CommentText"/>
    <w:next w:val="CommentText"/>
    <w:link w:val="CommentSubjectChar"/>
    <w:uiPriority w:val="99"/>
    <w:rsid w:val="003002C6"/>
    <w:rPr>
      <w:b/>
      <w:bCs/>
    </w:rPr>
  </w:style>
  <w:style w:type="character" w:customStyle="1" w:styleId="CommentSubjectChar">
    <w:name w:val="Comment Subject Char"/>
    <w:basedOn w:val="CommentTextChar"/>
    <w:link w:val="CommentSubject"/>
    <w:uiPriority w:val="99"/>
    <w:rsid w:val="003002C6"/>
    <w:rPr>
      <w:rFonts w:ascii="Arial" w:eastAsia="MS Mincho" w:hAnsi="Arial" w:cs="Times New Roman"/>
      <w:b/>
      <w:bCs/>
      <w:sz w:val="20"/>
      <w:szCs w:val="20"/>
      <w:lang w:eastAsia="en-AU"/>
    </w:rPr>
  </w:style>
  <w:style w:type="paragraph" w:styleId="Revision">
    <w:name w:val="Revision"/>
    <w:hidden/>
    <w:uiPriority w:val="99"/>
    <w:semiHidden/>
    <w:rsid w:val="003002C6"/>
    <w:pPr>
      <w:spacing w:after="0" w:line="240" w:lineRule="auto"/>
    </w:pPr>
    <w:rPr>
      <w:rFonts w:ascii="Arial" w:eastAsia="MS Mincho" w:hAnsi="Arial" w:cs="Times New Roman"/>
      <w:sz w:val="24"/>
      <w:szCs w:val="24"/>
      <w:lang w:eastAsia="en-AU"/>
    </w:rPr>
  </w:style>
  <w:style w:type="character" w:customStyle="1" w:styleId="UnresolvedMention">
    <w:name w:val="Unresolved Mention"/>
    <w:basedOn w:val="DefaultParagraphFont"/>
    <w:uiPriority w:val="99"/>
    <w:unhideWhenUsed/>
    <w:rsid w:val="003002C6"/>
    <w:rPr>
      <w:color w:val="605E5C"/>
      <w:shd w:val="clear" w:color="auto" w:fill="E1DFDD"/>
    </w:rPr>
  </w:style>
  <w:style w:type="paragraph" w:customStyle="1" w:styleId="Default">
    <w:name w:val="Default"/>
    <w:rsid w:val="003002C6"/>
    <w:pPr>
      <w:autoSpaceDE w:val="0"/>
      <w:autoSpaceDN w:val="0"/>
      <w:adjustRightInd w:val="0"/>
      <w:spacing w:after="0" w:line="240" w:lineRule="auto"/>
    </w:pPr>
    <w:rPr>
      <w:rFonts w:ascii="HelveticaNeueLT Pro 55 Roman" w:eastAsia="Times New Roman" w:hAnsi="HelveticaNeueLT Pro 55 Roman" w:cs="HelveticaNeueLT Pro 55 Roman"/>
      <w:color w:val="000000"/>
      <w:sz w:val="24"/>
      <w:szCs w:val="24"/>
      <w:lang w:eastAsia="en-AU"/>
    </w:rPr>
  </w:style>
  <w:style w:type="paragraph" w:customStyle="1" w:styleId="Pa20">
    <w:name w:val="Pa20"/>
    <w:basedOn w:val="Default"/>
    <w:next w:val="Default"/>
    <w:uiPriority w:val="99"/>
    <w:rsid w:val="003002C6"/>
    <w:pPr>
      <w:spacing w:line="181" w:lineRule="atLeast"/>
    </w:pPr>
    <w:rPr>
      <w:rFonts w:cs="Times New Roman"/>
      <w:color w:val="auto"/>
    </w:rPr>
  </w:style>
  <w:style w:type="paragraph" w:customStyle="1" w:styleId="Pa23">
    <w:name w:val="Pa23"/>
    <w:basedOn w:val="Default"/>
    <w:next w:val="Default"/>
    <w:uiPriority w:val="99"/>
    <w:rsid w:val="003002C6"/>
    <w:pPr>
      <w:spacing w:line="201" w:lineRule="atLeast"/>
    </w:pPr>
    <w:rPr>
      <w:rFonts w:ascii="Open Sans" w:hAnsi="Open Sans" w:cs="Times New Roman"/>
      <w:color w:val="auto"/>
    </w:rPr>
  </w:style>
  <w:style w:type="character" w:customStyle="1" w:styleId="A17">
    <w:name w:val="A17"/>
    <w:uiPriority w:val="99"/>
    <w:rsid w:val="003002C6"/>
    <w:rPr>
      <w:rFonts w:cs="Open Sans"/>
      <w:color w:val="000000"/>
      <w:sz w:val="11"/>
      <w:szCs w:val="11"/>
    </w:rPr>
  </w:style>
  <w:style w:type="paragraph" w:styleId="TOC7">
    <w:name w:val="toc 7"/>
    <w:basedOn w:val="Normal"/>
    <w:next w:val="Normal"/>
    <w:autoRedefine/>
    <w:semiHidden/>
    <w:unhideWhenUsed/>
    <w:rsid w:val="003002C6"/>
    <w:pPr>
      <w:spacing w:after="100"/>
      <w:ind w:left="1440"/>
    </w:pPr>
  </w:style>
  <w:style w:type="paragraph" w:customStyle="1" w:styleId="definition">
    <w:name w:val="definition"/>
    <w:basedOn w:val="Normal"/>
    <w:rsid w:val="003002C6"/>
    <w:pPr>
      <w:spacing w:before="100" w:beforeAutospacing="1" w:after="100" w:afterAutospacing="1"/>
    </w:pPr>
    <w:rPr>
      <w:rFonts w:ascii="Times New Roman" w:eastAsia="Times New Roman" w:hAnsi="Times New Roman"/>
    </w:rPr>
  </w:style>
  <w:style w:type="paragraph" w:customStyle="1" w:styleId="paragraph">
    <w:name w:val="paragraph"/>
    <w:basedOn w:val="Normal"/>
    <w:rsid w:val="003002C6"/>
    <w:pPr>
      <w:spacing w:before="100" w:beforeAutospacing="1" w:after="100" w:afterAutospacing="1"/>
    </w:pPr>
    <w:rPr>
      <w:rFonts w:ascii="Times New Roman" w:eastAsia="Times New Roman" w:hAnsi="Times New Roman"/>
    </w:rPr>
  </w:style>
  <w:style w:type="character" w:customStyle="1" w:styleId="textrun">
    <w:name w:val="textrun"/>
    <w:basedOn w:val="DefaultParagraphFont"/>
    <w:rsid w:val="00651A56"/>
  </w:style>
  <w:style w:type="character" w:customStyle="1" w:styleId="normaltextrun">
    <w:name w:val="normaltextrun"/>
    <w:basedOn w:val="DefaultParagraphFont"/>
    <w:rsid w:val="00651A56"/>
  </w:style>
  <w:style w:type="character" w:customStyle="1" w:styleId="contextualspellingandgrammarerror">
    <w:name w:val="contextualspellingandgrammarerror"/>
    <w:basedOn w:val="DefaultParagraphFont"/>
    <w:rsid w:val="00651A56"/>
  </w:style>
  <w:style w:type="character" w:customStyle="1" w:styleId="spellingerror">
    <w:name w:val="spellingerror"/>
    <w:basedOn w:val="DefaultParagraphFont"/>
    <w:rsid w:val="00651A56"/>
  </w:style>
  <w:style w:type="character" w:customStyle="1" w:styleId="eop">
    <w:name w:val="eop"/>
    <w:basedOn w:val="DefaultParagraphFont"/>
    <w:rsid w:val="00651A56"/>
  </w:style>
  <w:style w:type="character" w:customStyle="1" w:styleId="advancedproofingissue">
    <w:name w:val="advancedproofingissue"/>
    <w:basedOn w:val="DefaultParagraphFont"/>
    <w:rsid w:val="00E36BD7"/>
  </w:style>
  <w:style w:type="paragraph" w:customStyle="1" w:styleId="CopyrightText">
    <w:name w:val="Copyright Text"/>
    <w:basedOn w:val="Normal"/>
    <w:uiPriority w:val="99"/>
    <w:rsid w:val="008C47CB"/>
    <w:pPr>
      <w:tabs>
        <w:tab w:val="left" w:pos="567"/>
      </w:tabs>
      <w:suppressAutoHyphens/>
      <w:autoSpaceDE w:val="0"/>
      <w:autoSpaceDN w:val="0"/>
      <w:adjustRightInd w:val="0"/>
      <w:spacing w:before="0" w:after="57" w:line="288" w:lineRule="auto"/>
      <w:textAlignment w:val="center"/>
    </w:pPr>
    <w:rPr>
      <w:rFonts w:eastAsiaTheme="minorHAnsi" w:cs="Open Sans"/>
      <w:color w:val="000000"/>
      <w:sz w:val="16"/>
      <w:szCs w:val="16"/>
      <w:u w:color="000000"/>
      <w:lang w:eastAsia="en-US"/>
    </w:rPr>
  </w:style>
  <w:style w:type="character" w:customStyle="1" w:styleId="Bold">
    <w:name w:val="Bold"/>
    <w:uiPriority w:val="99"/>
    <w:rsid w:val="008C47CB"/>
    <w:rPr>
      <w:rFonts w:ascii="Open Sans" w:hAnsi="Open Sans" w:cs="Open Sans"/>
      <w:b/>
      <w:bCs/>
    </w:rPr>
  </w:style>
  <w:style w:type="paragraph" w:customStyle="1" w:styleId="HeadingInternalTitlePage">
    <w:name w:val="Heading Internal Title Page"/>
    <w:basedOn w:val="Normal"/>
    <w:uiPriority w:val="99"/>
    <w:rsid w:val="00B446F3"/>
    <w:pPr>
      <w:suppressAutoHyphens/>
      <w:autoSpaceDE w:val="0"/>
      <w:autoSpaceDN w:val="0"/>
      <w:adjustRightInd w:val="0"/>
      <w:spacing w:before="0" w:after="567" w:line="288" w:lineRule="auto"/>
      <w:jc w:val="center"/>
      <w:textAlignment w:val="center"/>
    </w:pPr>
    <w:rPr>
      <w:rFonts w:eastAsiaTheme="minorHAnsi" w:cs="Open Sans"/>
      <w:color w:val="4C4C4C"/>
      <w:sz w:val="52"/>
      <w:szCs w:val="52"/>
      <w:lang w:val="en-US" w:eastAsia="en-US"/>
    </w:rPr>
  </w:style>
  <w:style w:type="paragraph" w:customStyle="1" w:styleId="Paragrafobase">
    <w:name w:val="[Paragrafo base]"/>
    <w:basedOn w:val="Normal"/>
    <w:uiPriority w:val="99"/>
    <w:rsid w:val="00B446F3"/>
    <w:pPr>
      <w:suppressAutoHyphens/>
      <w:autoSpaceDE w:val="0"/>
      <w:autoSpaceDN w:val="0"/>
      <w:adjustRightInd w:val="0"/>
      <w:spacing w:before="0" w:after="170" w:line="288" w:lineRule="auto"/>
      <w:textAlignment w:val="center"/>
    </w:pPr>
    <w:rPr>
      <w:rFonts w:eastAsiaTheme="minorHAnsi" w:cs="Open Sans"/>
      <w:color w:val="000000"/>
      <w:sz w:val="20"/>
      <w:szCs w:val="20"/>
      <w:lang w:val="en-US" w:eastAsia="en-US"/>
    </w:rPr>
  </w:style>
  <w:style w:type="paragraph" w:customStyle="1" w:styleId="Heading1Appendix">
    <w:name w:val="Heading 1: Appendix"/>
    <w:basedOn w:val="Heading1"/>
    <w:uiPriority w:val="99"/>
    <w:rsid w:val="002C5BA1"/>
    <w:pPr>
      <w:numPr>
        <w:numId w:val="0"/>
      </w:numPr>
      <w:suppressAutoHyphens/>
      <w:autoSpaceDE w:val="0"/>
      <w:autoSpaceDN w:val="0"/>
      <w:adjustRightInd w:val="0"/>
      <w:spacing w:before="227" w:after="539" w:line="640" w:lineRule="atLeast"/>
      <w:textAlignment w:val="center"/>
      <w:outlineLvl w:val="9"/>
    </w:pPr>
    <w:rPr>
      <w:rFonts w:ascii="Open Sans Light" w:eastAsiaTheme="minorHAnsi" w:hAnsi="Open Sans Light" w:cs="Open Sans Light"/>
      <w:b w:val="0"/>
      <w:bCs w:val="0"/>
      <w:color w:val="000069"/>
      <w:sz w:val="60"/>
      <w:szCs w:val="60"/>
      <w:lang w:val="en-US" w:eastAsia="en-US"/>
    </w:rPr>
  </w:style>
  <w:style w:type="paragraph" w:customStyle="1" w:styleId="Heading2Appendix">
    <w:name w:val="Heading 2: Appendix"/>
    <w:basedOn w:val="Paragrafobase"/>
    <w:uiPriority w:val="99"/>
    <w:rsid w:val="002C5BA1"/>
    <w:pPr>
      <w:spacing w:before="170"/>
    </w:pPr>
    <w:rPr>
      <w:color w:val="000069"/>
      <w:sz w:val="30"/>
      <w:szCs w:val="30"/>
    </w:rPr>
  </w:style>
  <w:style w:type="paragraph" w:customStyle="1" w:styleId="Nessunostileparagrafo">
    <w:name w:val="[Nessuno stile paragrafo]"/>
    <w:rsid w:val="00477C17"/>
    <w:pPr>
      <w:autoSpaceDE w:val="0"/>
      <w:autoSpaceDN w:val="0"/>
      <w:adjustRightInd w:val="0"/>
      <w:spacing w:after="0" w:line="288" w:lineRule="auto"/>
      <w:textAlignment w:val="center"/>
    </w:pPr>
    <w:rPr>
      <w:rFonts w:ascii="Open Sans Condensed" w:hAnsi="Open Sans Condensed" w:cs="Times New Roman"/>
      <w:color w:val="000000"/>
      <w:sz w:val="24"/>
      <w:szCs w:val="24"/>
      <w:lang w:val="en-US"/>
    </w:rPr>
  </w:style>
  <w:style w:type="paragraph" w:customStyle="1" w:styleId="TableHeading">
    <w:name w:val="Table Heading"/>
    <w:basedOn w:val="Nessunostileparagrafo"/>
    <w:next w:val="Paragrafobase"/>
    <w:uiPriority w:val="99"/>
    <w:rsid w:val="00477C17"/>
    <w:pPr>
      <w:suppressAutoHyphens/>
      <w:spacing w:after="283"/>
    </w:pPr>
    <w:rPr>
      <w:rFonts w:cs="Open Sans Condensed"/>
      <w:b/>
      <w:bCs/>
      <w:sz w:val="20"/>
      <w:szCs w:val="20"/>
      <w:lang w:val="en-AU"/>
    </w:rPr>
  </w:style>
  <w:style w:type="paragraph" w:customStyle="1" w:styleId="TableText">
    <w:name w:val="Table Text"/>
    <w:basedOn w:val="Paragrafobase"/>
    <w:uiPriority w:val="99"/>
    <w:rsid w:val="00477C17"/>
    <w:pPr>
      <w:spacing w:after="113"/>
    </w:pPr>
    <w:rPr>
      <w:sz w:val="16"/>
      <w:szCs w:val="16"/>
    </w:rPr>
  </w:style>
  <w:style w:type="paragraph" w:customStyle="1" w:styleId="msonormal0">
    <w:name w:val="msonormal"/>
    <w:basedOn w:val="Normal"/>
    <w:rsid w:val="00DB1763"/>
    <w:pPr>
      <w:keepLines w:val="0"/>
      <w:spacing w:before="100" w:beforeAutospacing="1" w:after="100" w:afterAutospacing="1"/>
    </w:pPr>
    <w:rPr>
      <w:rFonts w:ascii="Times New Roman" w:eastAsia="Times New Roman" w:hAnsi="Times New Roman"/>
      <w:lang w:val="en-GB" w:eastAsia="en-GB"/>
    </w:rPr>
  </w:style>
  <w:style w:type="character" w:customStyle="1" w:styleId="FootnoteTextChar1">
    <w:name w:val="Footnote Text Char1"/>
    <w:aliases w:val="5_G Char"/>
    <w:basedOn w:val="DefaultParagraphFont"/>
    <w:semiHidden/>
    <w:rsid w:val="00DB1763"/>
    <w:rPr>
      <w:rFonts w:ascii="Times New Roman" w:eastAsia="Times New Roman" w:hAnsi="Times New Roman" w:cs="Times New Roman"/>
      <w:sz w:val="20"/>
      <w:szCs w:val="20"/>
      <w:lang w:val="en-GB"/>
    </w:rPr>
  </w:style>
  <w:style w:type="character" w:customStyle="1" w:styleId="HeaderChar1">
    <w:name w:val="Header Char1"/>
    <w:aliases w:val="6_G Char"/>
    <w:basedOn w:val="DefaultParagraphFont"/>
    <w:semiHidden/>
    <w:rsid w:val="00DB1763"/>
    <w:rPr>
      <w:rFonts w:ascii="Times New Roman" w:eastAsia="Times New Roman" w:hAnsi="Times New Roman" w:cs="Times New Roman"/>
      <w:sz w:val="20"/>
      <w:szCs w:val="20"/>
      <w:lang w:val="en-GB"/>
    </w:rPr>
  </w:style>
  <w:style w:type="character" w:customStyle="1" w:styleId="FooterChar1">
    <w:name w:val="Footer Char1"/>
    <w:aliases w:val="3_G Char"/>
    <w:basedOn w:val="DefaultParagraphFont"/>
    <w:semiHidden/>
    <w:rsid w:val="00DB1763"/>
    <w:rPr>
      <w:rFonts w:ascii="Times New Roman" w:eastAsia="Times New Roman" w:hAnsi="Times New Roman" w:cs="Times New Roman"/>
      <w:sz w:val="20"/>
      <w:szCs w:val="20"/>
      <w:lang w:val="en-GB"/>
    </w:rPr>
  </w:style>
  <w:style w:type="character" w:customStyle="1" w:styleId="EndnoteTextChar1">
    <w:name w:val="Endnote Text Char1"/>
    <w:aliases w:val="2_G Char1"/>
    <w:basedOn w:val="DefaultParagraphFont"/>
    <w:rsid w:val="00DB1763"/>
    <w:rPr>
      <w:rFonts w:ascii="Times New Roman" w:eastAsia="Times New Roman" w:hAnsi="Times New Roman" w:cs="Times New Roman"/>
      <w:sz w:val="20"/>
      <w:szCs w:val="20"/>
      <w:lang w:val="en-GB"/>
    </w:rPr>
  </w:style>
  <w:style w:type="paragraph" w:customStyle="1" w:styleId="SingleTxtG">
    <w:name w:val="_ Single Txt_G"/>
    <w:basedOn w:val="Normal"/>
    <w:link w:val="SingleTxtGChar"/>
    <w:rsid w:val="00DB1763"/>
    <w:pPr>
      <w:keepLines w:val="0"/>
      <w:suppressAutoHyphens/>
      <w:spacing w:before="0" w:line="240" w:lineRule="atLeast"/>
      <w:ind w:left="1134" w:right="1134"/>
      <w:jc w:val="both"/>
    </w:pPr>
    <w:rPr>
      <w:rFonts w:ascii="Times New Roman" w:eastAsia="Times New Roman" w:hAnsi="Times New Roman"/>
      <w:sz w:val="20"/>
      <w:szCs w:val="20"/>
      <w:lang w:val="en-GB" w:eastAsia="en-US"/>
    </w:rPr>
  </w:style>
  <w:style w:type="paragraph" w:customStyle="1" w:styleId="HMG">
    <w:name w:val="_ H __M_G"/>
    <w:basedOn w:val="Normal"/>
    <w:next w:val="Normal"/>
    <w:rsid w:val="00DB1763"/>
    <w:pPr>
      <w:keepNext/>
      <w:tabs>
        <w:tab w:val="right" w:pos="851"/>
      </w:tabs>
      <w:suppressAutoHyphens/>
      <w:spacing w:before="240" w:after="240" w:line="360" w:lineRule="exact"/>
      <w:ind w:left="1134" w:right="1134" w:hanging="1134"/>
    </w:pPr>
    <w:rPr>
      <w:rFonts w:ascii="Times New Roman" w:eastAsia="Times New Roman" w:hAnsi="Times New Roman"/>
      <w:b/>
      <w:sz w:val="34"/>
      <w:szCs w:val="20"/>
      <w:lang w:val="en-GB" w:eastAsia="en-US"/>
    </w:rPr>
  </w:style>
  <w:style w:type="paragraph" w:customStyle="1" w:styleId="HChG">
    <w:name w:val="_ H _Ch_G"/>
    <w:basedOn w:val="Normal"/>
    <w:next w:val="Normal"/>
    <w:rsid w:val="00DB1763"/>
    <w:pPr>
      <w:keepNext/>
      <w:tabs>
        <w:tab w:val="right" w:pos="851"/>
      </w:tabs>
      <w:suppressAutoHyphens/>
      <w:spacing w:before="360" w:after="240" w:line="300" w:lineRule="exact"/>
      <w:ind w:left="1134" w:right="1134" w:hanging="1134"/>
    </w:pPr>
    <w:rPr>
      <w:rFonts w:ascii="Times New Roman" w:eastAsia="Times New Roman" w:hAnsi="Times New Roman"/>
      <w:b/>
      <w:sz w:val="28"/>
      <w:szCs w:val="20"/>
      <w:lang w:val="en-GB" w:eastAsia="en-US"/>
    </w:rPr>
  </w:style>
  <w:style w:type="paragraph" w:customStyle="1" w:styleId="SMG">
    <w:name w:val="__S_M_G"/>
    <w:basedOn w:val="Normal"/>
    <w:next w:val="Normal"/>
    <w:rsid w:val="00DB1763"/>
    <w:pPr>
      <w:keepNext/>
      <w:suppressAutoHyphens/>
      <w:spacing w:before="240" w:after="240" w:line="420" w:lineRule="exact"/>
      <w:ind w:left="1134" w:right="1134"/>
    </w:pPr>
    <w:rPr>
      <w:rFonts w:ascii="Times New Roman" w:eastAsia="Times New Roman" w:hAnsi="Times New Roman"/>
      <w:b/>
      <w:sz w:val="40"/>
      <w:szCs w:val="20"/>
      <w:lang w:val="en-GB" w:eastAsia="en-US"/>
    </w:rPr>
  </w:style>
  <w:style w:type="paragraph" w:customStyle="1" w:styleId="SLG">
    <w:name w:val="__S_L_G"/>
    <w:basedOn w:val="Normal"/>
    <w:next w:val="Normal"/>
    <w:rsid w:val="00DB1763"/>
    <w:pPr>
      <w:keepNext/>
      <w:suppressAutoHyphens/>
      <w:spacing w:before="240" w:after="240" w:line="580" w:lineRule="exact"/>
      <w:ind w:left="1134" w:right="1134"/>
    </w:pPr>
    <w:rPr>
      <w:rFonts w:ascii="Times New Roman" w:eastAsia="Times New Roman" w:hAnsi="Times New Roman"/>
      <w:b/>
      <w:sz w:val="56"/>
      <w:szCs w:val="20"/>
      <w:lang w:val="en-GB" w:eastAsia="en-US"/>
    </w:rPr>
  </w:style>
  <w:style w:type="paragraph" w:customStyle="1" w:styleId="SSG">
    <w:name w:val="__S_S_G"/>
    <w:basedOn w:val="Normal"/>
    <w:next w:val="Normal"/>
    <w:rsid w:val="00DB1763"/>
    <w:pPr>
      <w:keepNext/>
      <w:suppressAutoHyphens/>
      <w:spacing w:before="240" w:after="240" w:line="300" w:lineRule="exact"/>
      <w:ind w:left="1134" w:right="1134"/>
    </w:pPr>
    <w:rPr>
      <w:rFonts w:ascii="Times New Roman" w:eastAsia="Times New Roman" w:hAnsi="Times New Roman"/>
      <w:b/>
      <w:sz w:val="28"/>
      <w:szCs w:val="20"/>
      <w:lang w:val="en-GB" w:eastAsia="en-US"/>
    </w:rPr>
  </w:style>
  <w:style w:type="paragraph" w:customStyle="1" w:styleId="XLargeG">
    <w:name w:val="__XLarge_G"/>
    <w:basedOn w:val="Normal"/>
    <w:next w:val="Normal"/>
    <w:rsid w:val="00DB1763"/>
    <w:pPr>
      <w:keepNext/>
      <w:suppressAutoHyphens/>
      <w:spacing w:before="240" w:after="240" w:line="420" w:lineRule="exact"/>
      <w:ind w:left="1134" w:right="1134"/>
    </w:pPr>
    <w:rPr>
      <w:rFonts w:ascii="Times New Roman" w:eastAsia="Times New Roman" w:hAnsi="Times New Roman"/>
      <w:b/>
      <w:sz w:val="40"/>
      <w:szCs w:val="20"/>
      <w:lang w:val="en-GB" w:eastAsia="en-US"/>
    </w:rPr>
  </w:style>
  <w:style w:type="paragraph" w:customStyle="1" w:styleId="H56G">
    <w:name w:val="_ H_5/6_G"/>
    <w:basedOn w:val="Normal"/>
    <w:next w:val="Normal"/>
    <w:rsid w:val="00DB1763"/>
    <w:pPr>
      <w:keepNext/>
      <w:tabs>
        <w:tab w:val="right" w:pos="851"/>
      </w:tabs>
      <w:suppressAutoHyphens/>
      <w:spacing w:before="240" w:line="240" w:lineRule="exact"/>
      <w:ind w:left="1134" w:right="1134" w:hanging="1134"/>
    </w:pPr>
    <w:rPr>
      <w:rFonts w:ascii="Times New Roman" w:eastAsia="Times New Roman" w:hAnsi="Times New Roman"/>
      <w:sz w:val="20"/>
      <w:szCs w:val="20"/>
      <w:lang w:val="en-GB" w:eastAsia="en-US"/>
    </w:rPr>
  </w:style>
  <w:style w:type="paragraph" w:customStyle="1" w:styleId="H1G">
    <w:name w:val="_ H_1_G"/>
    <w:basedOn w:val="Normal"/>
    <w:next w:val="Normal"/>
    <w:rsid w:val="00DB1763"/>
    <w:pPr>
      <w:keepNext/>
      <w:tabs>
        <w:tab w:val="right" w:pos="851"/>
      </w:tabs>
      <w:suppressAutoHyphens/>
      <w:spacing w:before="360" w:after="240" w:line="270" w:lineRule="exact"/>
      <w:ind w:left="1134" w:right="1134" w:hanging="1134"/>
    </w:pPr>
    <w:rPr>
      <w:rFonts w:ascii="Times New Roman" w:eastAsia="Times New Roman" w:hAnsi="Times New Roman"/>
      <w:b/>
      <w:szCs w:val="20"/>
      <w:lang w:val="en-GB" w:eastAsia="en-US"/>
    </w:rPr>
  </w:style>
  <w:style w:type="paragraph" w:customStyle="1" w:styleId="H23G">
    <w:name w:val="_ H_2/3_G"/>
    <w:basedOn w:val="Normal"/>
    <w:next w:val="Normal"/>
    <w:rsid w:val="00DB1763"/>
    <w:pPr>
      <w:keepNext/>
      <w:tabs>
        <w:tab w:val="right" w:pos="851"/>
      </w:tabs>
      <w:suppressAutoHyphens/>
      <w:spacing w:before="240" w:line="240" w:lineRule="exact"/>
      <w:ind w:left="1134" w:right="1134" w:hanging="1134"/>
    </w:pPr>
    <w:rPr>
      <w:rFonts w:ascii="Times New Roman" w:eastAsia="Times New Roman" w:hAnsi="Times New Roman"/>
      <w:b/>
      <w:sz w:val="20"/>
      <w:szCs w:val="20"/>
      <w:lang w:val="en-GB" w:eastAsia="en-US"/>
    </w:rPr>
  </w:style>
  <w:style w:type="paragraph" w:customStyle="1" w:styleId="H4G">
    <w:name w:val="_ H_4_G"/>
    <w:basedOn w:val="Normal"/>
    <w:next w:val="Normal"/>
    <w:rsid w:val="00DB1763"/>
    <w:pPr>
      <w:keepNext/>
      <w:tabs>
        <w:tab w:val="right" w:pos="851"/>
      </w:tabs>
      <w:suppressAutoHyphens/>
      <w:spacing w:before="240" w:line="240" w:lineRule="exact"/>
      <w:ind w:left="1134" w:right="1134" w:hanging="1134"/>
    </w:pPr>
    <w:rPr>
      <w:rFonts w:ascii="Times New Roman" w:eastAsia="Times New Roman" w:hAnsi="Times New Roman"/>
      <w:i/>
      <w:sz w:val="20"/>
      <w:szCs w:val="20"/>
      <w:lang w:val="en-GB" w:eastAsia="en-US"/>
    </w:rPr>
  </w:style>
  <w:style w:type="paragraph" w:customStyle="1" w:styleId="Bullet1G">
    <w:name w:val="_Bullet 1_G"/>
    <w:basedOn w:val="Normal"/>
    <w:rsid w:val="00DB1763"/>
    <w:pPr>
      <w:keepLines w:val="0"/>
      <w:numPr>
        <w:numId w:val="21"/>
      </w:numPr>
      <w:suppressAutoHyphens/>
      <w:spacing w:before="0" w:line="240" w:lineRule="atLeast"/>
      <w:ind w:right="1134"/>
      <w:jc w:val="both"/>
    </w:pPr>
    <w:rPr>
      <w:rFonts w:ascii="Times New Roman" w:eastAsia="Times New Roman" w:hAnsi="Times New Roman"/>
      <w:sz w:val="20"/>
      <w:szCs w:val="20"/>
      <w:lang w:val="en-GB" w:eastAsia="en-US"/>
    </w:rPr>
  </w:style>
  <w:style w:type="paragraph" w:customStyle="1" w:styleId="Bullet2G">
    <w:name w:val="_Bullet 2_G"/>
    <w:basedOn w:val="Normal"/>
    <w:rsid w:val="00DB1763"/>
    <w:pPr>
      <w:keepLines w:val="0"/>
      <w:numPr>
        <w:numId w:val="22"/>
      </w:numPr>
      <w:suppressAutoHyphens/>
      <w:spacing w:before="0" w:line="240" w:lineRule="atLeast"/>
      <w:ind w:right="1134"/>
      <w:jc w:val="both"/>
    </w:pPr>
    <w:rPr>
      <w:rFonts w:ascii="Times New Roman" w:eastAsia="Times New Roman" w:hAnsi="Times New Roman"/>
      <w:sz w:val="20"/>
      <w:szCs w:val="20"/>
      <w:lang w:val="en-GB" w:eastAsia="en-US"/>
    </w:rPr>
  </w:style>
  <w:style w:type="paragraph" w:customStyle="1" w:styleId="xl68">
    <w:name w:val="xl68"/>
    <w:basedOn w:val="Normal"/>
    <w:rsid w:val="00DB1763"/>
    <w:pPr>
      <w:keepLines w:val="0"/>
      <w:spacing w:before="100" w:beforeAutospacing="1" w:after="100" w:afterAutospacing="1"/>
    </w:pPr>
    <w:rPr>
      <w:rFonts w:ascii="Times New Roman" w:eastAsia="Times New Roman" w:hAnsi="Times New Roman"/>
      <w:lang w:val="en-GB" w:eastAsia="en-GB"/>
    </w:rPr>
  </w:style>
  <w:style w:type="paragraph" w:customStyle="1" w:styleId="xl69">
    <w:name w:val="xl69"/>
    <w:basedOn w:val="Normal"/>
    <w:rsid w:val="00DB1763"/>
    <w:pPr>
      <w:keepLines w:val="0"/>
      <w:spacing w:before="100" w:beforeAutospacing="1" w:after="100" w:afterAutospacing="1"/>
    </w:pPr>
    <w:rPr>
      <w:rFonts w:ascii="Times New Roman" w:eastAsia="Times New Roman" w:hAnsi="Times New Roman"/>
      <w:lang w:val="en-GB" w:eastAsia="en-GB"/>
    </w:rPr>
  </w:style>
  <w:style w:type="paragraph" w:customStyle="1" w:styleId="xl70">
    <w:name w:val="xl70"/>
    <w:basedOn w:val="Normal"/>
    <w:rsid w:val="00DB1763"/>
    <w:pPr>
      <w:keepLines w:val="0"/>
      <w:spacing w:before="100" w:beforeAutospacing="1" w:after="100" w:afterAutospacing="1"/>
    </w:pPr>
    <w:rPr>
      <w:rFonts w:ascii="Times New Roman" w:eastAsia="Times New Roman" w:hAnsi="Times New Roman"/>
      <w:lang w:val="en-GB" w:eastAsia="en-GB"/>
    </w:rPr>
  </w:style>
  <w:style w:type="paragraph" w:customStyle="1" w:styleId="xl71">
    <w:name w:val="xl71"/>
    <w:basedOn w:val="Normal"/>
    <w:rsid w:val="00DB1763"/>
    <w:pPr>
      <w:keepLines w:val="0"/>
      <w:spacing w:before="100" w:beforeAutospacing="1" w:after="100" w:afterAutospacing="1"/>
    </w:pPr>
    <w:rPr>
      <w:rFonts w:ascii="Times New Roman" w:eastAsia="Times New Roman" w:hAnsi="Times New Roman"/>
      <w:lang w:val="en-GB" w:eastAsia="en-GB"/>
    </w:rPr>
  </w:style>
  <w:style w:type="character" w:customStyle="1" w:styleId="A15">
    <w:name w:val="A15"/>
    <w:uiPriority w:val="99"/>
    <w:rsid w:val="00DB1763"/>
    <w:rPr>
      <w:rFonts w:ascii="Open Sans" w:hAnsi="Open Sans" w:cs="Open Sans" w:hint="default"/>
      <w:b/>
      <w:bCs/>
      <w:color w:val="000000"/>
      <w:sz w:val="20"/>
      <w:szCs w:val="20"/>
    </w:rPr>
  </w:style>
  <w:style w:type="character" w:customStyle="1" w:styleId="UnresolvedMention1">
    <w:name w:val="Unresolved Mention1"/>
    <w:basedOn w:val="DefaultParagraphFont"/>
    <w:uiPriority w:val="99"/>
    <w:semiHidden/>
    <w:unhideWhenUsed/>
    <w:rsid w:val="00DB1763"/>
    <w:rPr>
      <w:color w:val="605E5C"/>
      <w:shd w:val="clear" w:color="auto" w:fill="E1DFDD"/>
    </w:rPr>
  </w:style>
  <w:style w:type="character" w:customStyle="1" w:styleId="UnresolvedMention2">
    <w:name w:val="Unresolved Mention2"/>
    <w:basedOn w:val="DefaultParagraphFont"/>
    <w:uiPriority w:val="99"/>
    <w:rsid w:val="00DB1763"/>
    <w:rPr>
      <w:color w:val="605E5C"/>
      <w:shd w:val="clear" w:color="auto" w:fill="E1DFDD"/>
    </w:rPr>
  </w:style>
  <w:style w:type="character" w:customStyle="1" w:styleId="ListParagraphChar">
    <w:name w:val="List Paragraph Char"/>
    <w:aliases w:val="List Paragraph1 Char,Recommendation Char,List Paragraph11 Char,Bullet point Char,Bullets Char,NAST Quote Char,L Char,CV text Char,Table text Char,F5 List Paragraph Char,Dot pt Char,List Paragraph111 Char,Numbered Paragraph Char"/>
    <w:link w:val="ListParagraph"/>
    <w:uiPriority w:val="34"/>
    <w:qFormat/>
    <w:locked/>
    <w:rsid w:val="00DB1763"/>
    <w:rPr>
      <w:rFonts w:ascii="Open Sans" w:eastAsia="MS Mincho" w:hAnsi="Open Sans" w:cs="Times New Roman"/>
      <w:sz w:val="24"/>
      <w:szCs w:val="24"/>
      <w:lang w:eastAsia="en-AU"/>
    </w:rPr>
  </w:style>
  <w:style w:type="character" w:customStyle="1" w:styleId="SingleTxtGChar">
    <w:name w:val="_ Single Txt_G Char"/>
    <w:basedOn w:val="DefaultParagraphFont"/>
    <w:link w:val="SingleTxtG"/>
    <w:rsid w:val="00240CEF"/>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80893">
      <w:bodyDiv w:val="1"/>
      <w:marLeft w:val="0"/>
      <w:marRight w:val="0"/>
      <w:marTop w:val="0"/>
      <w:marBottom w:val="0"/>
      <w:divBdr>
        <w:top w:val="none" w:sz="0" w:space="0" w:color="auto"/>
        <w:left w:val="none" w:sz="0" w:space="0" w:color="auto"/>
        <w:bottom w:val="none" w:sz="0" w:space="0" w:color="auto"/>
        <w:right w:val="none" w:sz="0" w:space="0" w:color="auto"/>
      </w:divBdr>
      <w:divsChild>
        <w:div w:id="1790662145">
          <w:marLeft w:val="0"/>
          <w:marRight w:val="0"/>
          <w:marTop w:val="0"/>
          <w:marBottom w:val="0"/>
          <w:divBdr>
            <w:top w:val="none" w:sz="0" w:space="0" w:color="auto"/>
            <w:left w:val="none" w:sz="0" w:space="0" w:color="auto"/>
            <w:bottom w:val="none" w:sz="0" w:space="0" w:color="auto"/>
            <w:right w:val="none" w:sz="0" w:space="0" w:color="auto"/>
          </w:divBdr>
        </w:div>
      </w:divsChild>
    </w:div>
    <w:div w:id="94062814">
      <w:bodyDiv w:val="1"/>
      <w:marLeft w:val="0"/>
      <w:marRight w:val="0"/>
      <w:marTop w:val="0"/>
      <w:marBottom w:val="0"/>
      <w:divBdr>
        <w:top w:val="none" w:sz="0" w:space="0" w:color="auto"/>
        <w:left w:val="none" w:sz="0" w:space="0" w:color="auto"/>
        <w:bottom w:val="none" w:sz="0" w:space="0" w:color="auto"/>
        <w:right w:val="none" w:sz="0" w:space="0" w:color="auto"/>
      </w:divBdr>
    </w:div>
    <w:div w:id="115872386">
      <w:bodyDiv w:val="1"/>
      <w:marLeft w:val="0"/>
      <w:marRight w:val="0"/>
      <w:marTop w:val="0"/>
      <w:marBottom w:val="0"/>
      <w:divBdr>
        <w:top w:val="none" w:sz="0" w:space="0" w:color="auto"/>
        <w:left w:val="none" w:sz="0" w:space="0" w:color="auto"/>
        <w:bottom w:val="none" w:sz="0" w:space="0" w:color="auto"/>
        <w:right w:val="none" w:sz="0" w:space="0" w:color="auto"/>
      </w:divBdr>
    </w:div>
    <w:div w:id="175728735">
      <w:bodyDiv w:val="1"/>
      <w:marLeft w:val="0"/>
      <w:marRight w:val="0"/>
      <w:marTop w:val="0"/>
      <w:marBottom w:val="0"/>
      <w:divBdr>
        <w:top w:val="none" w:sz="0" w:space="0" w:color="auto"/>
        <w:left w:val="none" w:sz="0" w:space="0" w:color="auto"/>
        <w:bottom w:val="none" w:sz="0" w:space="0" w:color="auto"/>
        <w:right w:val="none" w:sz="0" w:space="0" w:color="auto"/>
      </w:divBdr>
    </w:div>
    <w:div w:id="227573156">
      <w:bodyDiv w:val="1"/>
      <w:marLeft w:val="0"/>
      <w:marRight w:val="0"/>
      <w:marTop w:val="0"/>
      <w:marBottom w:val="0"/>
      <w:divBdr>
        <w:top w:val="none" w:sz="0" w:space="0" w:color="auto"/>
        <w:left w:val="none" w:sz="0" w:space="0" w:color="auto"/>
        <w:bottom w:val="none" w:sz="0" w:space="0" w:color="auto"/>
        <w:right w:val="none" w:sz="0" w:space="0" w:color="auto"/>
      </w:divBdr>
    </w:div>
    <w:div w:id="277109888">
      <w:bodyDiv w:val="1"/>
      <w:marLeft w:val="0"/>
      <w:marRight w:val="0"/>
      <w:marTop w:val="0"/>
      <w:marBottom w:val="0"/>
      <w:divBdr>
        <w:top w:val="none" w:sz="0" w:space="0" w:color="auto"/>
        <w:left w:val="none" w:sz="0" w:space="0" w:color="auto"/>
        <w:bottom w:val="none" w:sz="0" w:space="0" w:color="auto"/>
        <w:right w:val="none" w:sz="0" w:space="0" w:color="auto"/>
      </w:divBdr>
    </w:div>
    <w:div w:id="315573731">
      <w:bodyDiv w:val="1"/>
      <w:marLeft w:val="0"/>
      <w:marRight w:val="0"/>
      <w:marTop w:val="0"/>
      <w:marBottom w:val="0"/>
      <w:divBdr>
        <w:top w:val="none" w:sz="0" w:space="0" w:color="auto"/>
        <w:left w:val="none" w:sz="0" w:space="0" w:color="auto"/>
        <w:bottom w:val="none" w:sz="0" w:space="0" w:color="auto"/>
        <w:right w:val="none" w:sz="0" w:space="0" w:color="auto"/>
      </w:divBdr>
    </w:div>
    <w:div w:id="329868537">
      <w:bodyDiv w:val="1"/>
      <w:marLeft w:val="0"/>
      <w:marRight w:val="0"/>
      <w:marTop w:val="0"/>
      <w:marBottom w:val="0"/>
      <w:divBdr>
        <w:top w:val="none" w:sz="0" w:space="0" w:color="auto"/>
        <w:left w:val="none" w:sz="0" w:space="0" w:color="auto"/>
        <w:bottom w:val="none" w:sz="0" w:space="0" w:color="auto"/>
        <w:right w:val="none" w:sz="0" w:space="0" w:color="auto"/>
      </w:divBdr>
    </w:div>
    <w:div w:id="606156301">
      <w:bodyDiv w:val="1"/>
      <w:marLeft w:val="0"/>
      <w:marRight w:val="0"/>
      <w:marTop w:val="0"/>
      <w:marBottom w:val="0"/>
      <w:divBdr>
        <w:top w:val="none" w:sz="0" w:space="0" w:color="auto"/>
        <w:left w:val="none" w:sz="0" w:space="0" w:color="auto"/>
        <w:bottom w:val="none" w:sz="0" w:space="0" w:color="auto"/>
        <w:right w:val="none" w:sz="0" w:space="0" w:color="auto"/>
      </w:divBdr>
    </w:div>
    <w:div w:id="609552121">
      <w:bodyDiv w:val="1"/>
      <w:marLeft w:val="0"/>
      <w:marRight w:val="0"/>
      <w:marTop w:val="0"/>
      <w:marBottom w:val="0"/>
      <w:divBdr>
        <w:top w:val="none" w:sz="0" w:space="0" w:color="auto"/>
        <w:left w:val="none" w:sz="0" w:space="0" w:color="auto"/>
        <w:bottom w:val="none" w:sz="0" w:space="0" w:color="auto"/>
        <w:right w:val="none" w:sz="0" w:space="0" w:color="auto"/>
      </w:divBdr>
    </w:div>
    <w:div w:id="627125768">
      <w:bodyDiv w:val="1"/>
      <w:marLeft w:val="0"/>
      <w:marRight w:val="0"/>
      <w:marTop w:val="0"/>
      <w:marBottom w:val="0"/>
      <w:divBdr>
        <w:top w:val="none" w:sz="0" w:space="0" w:color="auto"/>
        <w:left w:val="none" w:sz="0" w:space="0" w:color="auto"/>
        <w:bottom w:val="none" w:sz="0" w:space="0" w:color="auto"/>
        <w:right w:val="none" w:sz="0" w:space="0" w:color="auto"/>
      </w:divBdr>
    </w:div>
    <w:div w:id="643781220">
      <w:bodyDiv w:val="1"/>
      <w:marLeft w:val="0"/>
      <w:marRight w:val="0"/>
      <w:marTop w:val="0"/>
      <w:marBottom w:val="0"/>
      <w:divBdr>
        <w:top w:val="none" w:sz="0" w:space="0" w:color="auto"/>
        <w:left w:val="none" w:sz="0" w:space="0" w:color="auto"/>
        <w:bottom w:val="none" w:sz="0" w:space="0" w:color="auto"/>
        <w:right w:val="none" w:sz="0" w:space="0" w:color="auto"/>
      </w:divBdr>
    </w:div>
    <w:div w:id="652872176">
      <w:bodyDiv w:val="1"/>
      <w:marLeft w:val="0"/>
      <w:marRight w:val="0"/>
      <w:marTop w:val="0"/>
      <w:marBottom w:val="0"/>
      <w:divBdr>
        <w:top w:val="none" w:sz="0" w:space="0" w:color="auto"/>
        <w:left w:val="none" w:sz="0" w:space="0" w:color="auto"/>
        <w:bottom w:val="none" w:sz="0" w:space="0" w:color="auto"/>
        <w:right w:val="none" w:sz="0" w:space="0" w:color="auto"/>
      </w:divBdr>
    </w:div>
    <w:div w:id="687489929">
      <w:bodyDiv w:val="1"/>
      <w:marLeft w:val="0"/>
      <w:marRight w:val="0"/>
      <w:marTop w:val="0"/>
      <w:marBottom w:val="0"/>
      <w:divBdr>
        <w:top w:val="none" w:sz="0" w:space="0" w:color="auto"/>
        <w:left w:val="none" w:sz="0" w:space="0" w:color="auto"/>
        <w:bottom w:val="none" w:sz="0" w:space="0" w:color="auto"/>
        <w:right w:val="none" w:sz="0" w:space="0" w:color="auto"/>
      </w:divBdr>
    </w:div>
    <w:div w:id="751702215">
      <w:bodyDiv w:val="1"/>
      <w:marLeft w:val="0"/>
      <w:marRight w:val="0"/>
      <w:marTop w:val="0"/>
      <w:marBottom w:val="0"/>
      <w:divBdr>
        <w:top w:val="none" w:sz="0" w:space="0" w:color="auto"/>
        <w:left w:val="none" w:sz="0" w:space="0" w:color="auto"/>
        <w:bottom w:val="none" w:sz="0" w:space="0" w:color="auto"/>
        <w:right w:val="none" w:sz="0" w:space="0" w:color="auto"/>
      </w:divBdr>
    </w:div>
    <w:div w:id="829715284">
      <w:bodyDiv w:val="1"/>
      <w:marLeft w:val="0"/>
      <w:marRight w:val="0"/>
      <w:marTop w:val="0"/>
      <w:marBottom w:val="0"/>
      <w:divBdr>
        <w:top w:val="none" w:sz="0" w:space="0" w:color="auto"/>
        <w:left w:val="none" w:sz="0" w:space="0" w:color="auto"/>
        <w:bottom w:val="none" w:sz="0" w:space="0" w:color="auto"/>
        <w:right w:val="none" w:sz="0" w:space="0" w:color="auto"/>
      </w:divBdr>
    </w:div>
    <w:div w:id="1087576420">
      <w:bodyDiv w:val="1"/>
      <w:marLeft w:val="0"/>
      <w:marRight w:val="0"/>
      <w:marTop w:val="0"/>
      <w:marBottom w:val="0"/>
      <w:divBdr>
        <w:top w:val="none" w:sz="0" w:space="0" w:color="auto"/>
        <w:left w:val="none" w:sz="0" w:space="0" w:color="auto"/>
        <w:bottom w:val="none" w:sz="0" w:space="0" w:color="auto"/>
        <w:right w:val="none" w:sz="0" w:space="0" w:color="auto"/>
      </w:divBdr>
    </w:div>
    <w:div w:id="1120879729">
      <w:bodyDiv w:val="1"/>
      <w:marLeft w:val="0"/>
      <w:marRight w:val="0"/>
      <w:marTop w:val="0"/>
      <w:marBottom w:val="0"/>
      <w:divBdr>
        <w:top w:val="none" w:sz="0" w:space="0" w:color="auto"/>
        <w:left w:val="none" w:sz="0" w:space="0" w:color="auto"/>
        <w:bottom w:val="none" w:sz="0" w:space="0" w:color="auto"/>
        <w:right w:val="none" w:sz="0" w:space="0" w:color="auto"/>
      </w:divBdr>
    </w:div>
    <w:div w:id="1140996642">
      <w:bodyDiv w:val="1"/>
      <w:marLeft w:val="0"/>
      <w:marRight w:val="0"/>
      <w:marTop w:val="0"/>
      <w:marBottom w:val="0"/>
      <w:divBdr>
        <w:top w:val="none" w:sz="0" w:space="0" w:color="auto"/>
        <w:left w:val="none" w:sz="0" w:space="0" w:color="auto"/>
        <w:bottom w:val="none" w:sz="0" w:space="0" w:color="auto"/>
        <w:right w:val="none" w:sz="0" w:space="0" w:color="auto"/>
      </w:divBdr>
    </w:div>
    <w:div w:id="1206259605">
      <w:bodyDiv w:val="1"/>
      <w:marLeft w:val="0"/>
      <w:marRight w:val="0"/>
      <w:marTop w:val="0"/>
      <w:marBottom w:val="0"/>
      <w:divBdr>
        <w:top w:val="none" w:sz="0" w:space="0" w:color="auto"/>
        <w:left w:val="none" w:sz="0" w:space="0" w:color="auto"/>
        <w:bottom w:val="none" w:sz="0" w:space="0" w:color="auto"/>
        <w:right w:val="none" w:sz="0" w:space="0" w:color="auto"/>
      </w:divBdr>
    </w:div>
    <w:div w:id="1272981181">
      <w:bodyDiv w:val="1"/>
      <w:marLeft w:val="0"/>
      <w:marRight w:val="0"/>
      <w:marTop w:val="0"/>
      <w:marBottom w:val="0"/>
      <w:divBdr>
        <w:top w:val="none" w:sz="0" w:space="0" w:color="auto"/>
        <w:left w:val="none" w:sz="0" w:space="0" w:color="auto"/>
        <w:bottom w:val="none" w:sz="0" w:space="0" w:color="auto"/>
        <w:right w:val="none" w:sz="0" w:space="0" w:color="auto"/>
      </w:divBdr>
    </w:div>
    <w:div w:id="1391617226">
      <w:bodyDiv w:val="1"/>
      <w:marLeft w:val="0"/>
      <w:marRight w:val="0"/>
      <w:marTop w:val="0"/>
      <w:marBottom w:val="0"/>
      <w:divBdr>
        <w:top w:val="none" w:sz="0" w:space="0" w:color="auto"/>
        <w:left w:val="none" w:sz="0" w:space="0" w:color="auto"/>
        <w:bottom w:val="none" w:sz="0" w:space="0" w:color="auto"/>
        <w:right w:val="none" w:sz="0" w:space="0" w:color="auto"/>
      </w:divBdr>
    </w:div>
    <w:div w:id="1472285827">
      <w:bodyDiv w:val="1"/>
      <w:marLeft w:val="0"/>
      <w:marRight w:val="0"/>
      <w:marTop w:val="0"/>
      <w:marBottom w:val="0"/>
      <w:divBdr>
        <w:top w:val="none" w:sz="0" w:space="0" w:color="auto"/>
        <w:left w:val="none" w:sz="0" w:space="0" w:color="auto"/>
        <w:bottom w:val="none" w:sz="0" w:space="0" w:color="auto"/>
        <w:right w:val="none" w:sz="0" w:space="0" w:color="auto"/>
      </w:divBdr>
    </w:div>
    <w:div w:id="1499731948">
      <w:bodyDiv w:val="1"/>
      <w:marLeft w:val="0"/>
      <w:marRight w:val="0"/>
      <w:marTop w:val="0"/>
      <w:marBottom w:val="0"/>
      <w:divBdr>
        <w:top w:val="none" w:sz="0" w:space="0" w:color="auto"/>
        <w:left w:val="none" w:sz="0" w:space="0" w:color="auto"/>
        <w:bottom w:val="none" w:sz="0" w:space="0" w:color="auto"/>
        <w:right w:val="none" w:sz="0" w:space="0" w:color="auto"/>
      </w:divBdr>
    </w:div>
    <w:div w:id="1515265603">
      <w:bodyDiv w:val="1"/>
      <w:marLeft w:val="0"/>
      <w:marRight w:val="0"/>
      <w:marTop w:val="0"/>
      <w:marBottom w:val="0"/>
      <w:divBdr>
        <w:top w:val="none" w:sz="0" w:space="0" w:color="auto"/>
        <w:left w:val="none" w:sz="0" w:space="0" w:color="auto"/>
        <w:bottom w:val="none" w:sz="0" w:space="0" w:color="auto"/>
        <w:right w:val="none" w:sz="0" w:space="0" w:color="auto"/>
      </w:divBdr>
    </w:div>
    <w:div w:id="1572736569">
      <w:bodyDiv w:val="1"/>
      <w:marLeft w:val="0"/>
      <w:marRight w:val="0"/>
      <w:marTop w:val="0"/>
      <w:marBottom w:val="0"/>
      <w:divBdr>
        <w:top w:val="none" w:sz="0" w:space="0" w:color="auto"/>
        <w:left w:val="none" w:sz="0" w:space="0" w:color="auto"/>
        <w:bottom w:val="none" w:sz="0" w:space="0" w:color="auto"/>
        <w:right w:val="none" w:sz="0" w:space="0" w:color="auto"/>
      </w:divBdr>
    </w:div>
    <w:div w:id="1587880955">
      <w:bodyDiv w:val="1"/>
      <w:marLeft w:val="0"/>
      <w:marRight w:val="0"/>
      <w:marTop w:val="0"/>
      <w:marBottom w:val="0"/>
      <w:divBdr>
        <w:top w:val="none" w:sz="0" w:space="0" w:color="auto"/>
        <w:left w:val="none" w:sz="0" w:space="0" w:color="auto"/>
        <w:bottom w:val="none" w:sz="0" w:space="0" w:color="auto"/>
        <w:right w:val="none" w:sz="0" w:space="0" w:color="auto"/>
      </w:divBdr>
    </w:div>
    <w:div w:id="1713461721">
      <w:bodyDiv w:val="1"/>
      <w:marLeft w:val="0"/>
      <w:marRight w:val="0"/>
      <w:marTop w:val="0"/>
      <w:marBottom w:val="0"/>
      <w:divBdr>
        <w:top w:val="none" w:sz="0" w:space="0" w:color="auto"/>
        <w:left w:val="none" w:sz="0" w:space="0" w:color="auto"/>
        <w:bottom w:val="none" w:sz="0" w:space="0" w:color="auto"/>
        <w:right w:val="none" w:sz="0" w:space="0" w:color="auto"/>
      </w:divBdr>
    </w:div>
    <w:div w:id="1870071352">
      <w:bodyDiv w:val="1"/>
      <w:marLeft w:val="0"/>
      <w:marRight w:val="0"/>
      <w:marTop w:val="0"/>
      <w:marBottom w:val="0"/>
      <w:divBdr>
        <w:top w:val="none" w:sz="0" w:space="0" w:color="auto"/>
        <w:left w:val="none" w:sz="0" w:space="0" w:color="auto"/>
        <w:bottom w:val="none" w:sz="0" w:space="0" w:color="auto"/>
        <w:right w:val="none" w:sz="0" w:space="0" w:color="auto"/>
      </w:divBdr>
    </w:div>
    <w:div w:id="1924601248">
      <w:bodyDiv w:val="1"/>
      <w:marLeft w:val="0"/>
      <w:marRight w:val="0"/>
      <w:marTop w:val="0"/>
      <w:marBottom w:val="0"/>
      <w:divBdr>
        <w:top w:val="none" w:sz="0" w:space="0" w:color="auto"/>
        <w:left w:val="none" w:sz="0" w:space="0" w:color="auto"/>
        <w:bottom w:val="none" w:sz="0" w:space="0" w:color="auto"/>
        <w:right w:val="none" w:sz="0" w:space="0" w:color="auto"/>
      </w:divBdr>
    </w:div>
    <w:div w:id="2046366632">
      <w:bodyDiv w:val="1"/>
      <w:marLeft w:val="0"/>
      <w:marRight w:val="0"/>
      <w:marTop w:val="0"/>
      <w:marBottom w:val="0"/>
      <w:divBdr>
        <w:top w:val="none" w:sz="0" w:space="0" w:color="auto"/>
        <w:left w:val="none" w:sz="0" w:space="0" w:color="auto"/>
        <w:bottom w:val="none" w:sz="0" w:space="0" w:color="auto"/>
        <w:right w:val="none" w:sz="0" w:space="0" w:color="auto"/>
      </w:divBdr>
    </w:div>
    <w:div w:id="2055932012">
      <w:bodyDiv w:val="1"/>
      <w:marLeft w:val="0"/>
      <w:marRight w:val="0"/>
      <w:marTop w:val="0"/>
      <w:marBottom w:val="0"/>
      <w:divBdr>
        <w:top w:val="none" w:sz="0" w:space="0" w:color="auto"/>
        <w:left w:val="none" w:sz="0" w:space="0" w:color="auto"/>
        <w:bottom w:val="none" w:sz="0" w:space="0" w:color="auto"/>
        <w:right w:val="none" w:sz="0" w:space="0" w:color="auto"/>
      </w:divBdr>
    </w:div>
    <w:div w:id="2067876768">
      <w:bodyDiv w:val="1"/>
      <w:marLeft w:val="0"/>
      <w:marRight w:val="0"/>
      <w:marTop w:val="0"/>
      <w:marBottom w:val="0"/>
      <w:divBdr>
        <w:top w:val="none" w:sz="0" w:space="0" w:color="auto"/>
        <w:left w:val="none" w:sz="0" w:space="0" w:color="auto"/>
        <w:bottom w:val="none" w:sz="0" w:space="0" w:color="auto"/>
        <w:right w:val="none" w:sz="0" w:space="0" w:color="auto"/>
      </w:divBdr>
    </w:div>
    <w:div w:id="2142116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1" Type="http://schemas.openxmlformats.org/officeDocument/2006/relationships/webSettings" Target="webSettings.xml"/><Relationship Id="rId6" Type="http://schemas.openxmlformats.org/officeDocument/2006/relationships/customXml" Target="../customXml/item6.xml"/><Relationship Id="rId15" Type="http://schemas.openxmlformats.org/officeDocument/2006/relationships/footer" Target="footer1.xml"/><Relationship Id="rId10" Type="http://schemas.openxmlformats.org/officeDocument/2006/relationships/settings" Target="settings.xml"/><Relationship Id="rId14" Type="http://schemas.openxmlformats.org/officeDocument/2006/relationships/image" Target="media/image1.emf"/><Relationship Id="rId9" Type="http://schemas.openxmlformats.org/officeDocument/2006/relationships/styles" Target="styles.xml"/></Relationships>
</file>

<file path=word/_rels/endnotes.xml.rels><?xml version="1.0" encoding="UTF-8" standalone="yes"?>
<Relationships xmlns="http://schemas.openxmlformats.org/package/2006/relationships"><Relationship Id="rId26" Type="http://schemas.openxmlformats.org/officeDocument/2006/relationships/hyperlink" Target="https://www.humanrights" TargetMode="External"/><Relationship Id="rId21" Type="http://schemas.openxmlformats.org/officeDocument/2006/relationships/hyperlink" Target="https://www.nationalfvpls.org/images/files/SNAICC-NATSILS-NFVPLS_Strong_Families_Safe_Kids-Sep_2017.pdf" TargetMode="External"/><Relationship Id="rId42" Type="http://schemas.openxmlformats.org/officeDocument/2006/relationships/hyperlink" Target="https://cew.org.au/topics/cew-senior-executive-census/" TargetMode="External"/><Relationship Id="rId47" Type="http://schemas.openxmlformats.org/officeDocument/2006/relationships/hyperlink" Target="https://www.humanrights.gov.au/our-work/sex-discrimination/publications/conversation-gender-equality-2017" TargetMode="External"/><Relationship Id="rId63" Type="http://schemas.openxmlformats.org/officeDocument/2006/relationships/hyperlink" Target="http://www.refworld.org/docid/5139ab872.html" TargetMode="External"/><Relationship Id="rId68" Type="http://schemas.openxmlformats.org/officeDocument/2006/relationships/hyperlink" Target="https://www.homeaffairs.gov.au/reports-and-pubs/files/review-conditions-circumstances-nauru.pdf" TargetMode="External"/><Relationship Id="rId84" Type="http://schemas.openxmlformats.org/officeDocument/2006/relationships/hyperlink" Target="https://www.humanrights.gov.au/our-work/race-discrimination/publications/anti-racism-2018-and-beyond-2018" TargetMode="External"/><Relationship Id="rId89" Type="http://schemas.openxmlformats.org/officeDocument/2006/relationships/hyperlink" Target="https://www.humanservices.gov.au/individuals/services/centrelink/parentsnext" TargetMode="External"/><Relationship Id="rId7" Type="http://schemas.openxmlformats.org/officeDocument/2006/relationships/hyperlink" Target="https://www.hrw.org/news/2021/09/01/australia-prisoners-denied-vaccine-access" TargetMode="External"/><Relationship Id="rId71" Type="http://schemas.openxmlformats.org/officeDocument/2006/relationships/hyperlink" Target="https://www.humanrights.gov.au/about/news/human-rights-commissioner-medevac-law" TargetMode="External"/><Relationship Id="rId92" Type="http://schemas.openxmlformats.org/officeDocument/2006/relationships/hyperlink" Target="https://www.aph.gov.au/DocumentStore.ashx?id=eaee013e-2e82-40ab-a581-72dc5336166b&amp;subId=657916" TargetMode="External"/><Relationship Id="rId2" Type="http://schemas.openxmlformats.org/officeDocument/2006/relationships/hyperlink" Target="https://humanrights.gov.au/our-work/childrens-rights/publications/childrens-rights-report-2019" TargetMode="External"/><Relationship Id="rId16" Type="http://schemas.openxmlformats.org/officeDocument/2006/relationships/hyperlink" Target="https://ctgreport.niaa.gov.au/" TargetMode="External"/><Relationship Id="rId29" Type="http://schemas.openxmlformats.org/officeDocument/2006/relationships/hyperlink" Target="https://tbinternet.ohchr.org/Treaties/CEDAW/Shared%20Documents/AUS/INT_CEDAW_IFN_AUS_31439_E.pdf" TargetMode="External"/><Relationship Id="rId11" Type="http://schemas.openxmlformats.org/officeDocument/2006/relationships/hyperlink" Target="https://www.un.org/en/ga/search/view_doc.asp?symbol=A/69/L.1" TargetMode="External"/><Relationship Id="rId24" Type="http://schemas.openxmlformats.org/officeDocument/2006/relationships/hyperlink" Target="https://www.alrc.gov.au/publication/connection-to-country-review-of-the-native-title-act-1993-cth-alrc-report-126/" TargetMode="External"/><Relationship Id="rId32" Type="http://schemas.openxmlformats.org/officeDocument/2006/relationships/hyperlink" Target="https://www.humanrights.gov.au/our-work/disability-rights/publications/future-without-violence-2018" TargetMode="External"/><Relationship Id="rId37" Type="http://schemas.openxmlformats.org/officeDocument/2006/relationships/hyperlink" Target="https://www.humanrights.gov.au/our-work/legal/submission/information-concerning-australias-compliance-convention-rights-persons" TargetMode="External"/><Relationship Id="rId40" Type="http://schemas.openxmlformats.org/officeDocument/2006/relationships/hyperlink" Target="https://www.humanrights.gov.au/our-work/legal/submission/gender-segregation-workplace-and-its-impact-womens-economic-equality" TargetMode="External"/><Relationship Id="rId45" Type="http://schemas.openxmlformats.org/officeDocument/2006/relationships/hyperlink" Target="https://engage.dss.gov.au/developing-the-next-national-plan-to-reduce-violence-against-women-and-their-children/" TargetMode="External"/><Relationship Id="rId53" Type="http://schemas.openxmlformats.org/officeDocument/2006/relationships/hyperlink" Target="https://www.aihw.gov.au/reports/australias-welfare/child-protection" TargetMode="External"/><Relationship Id="rId58" Type="http://schemas.openxmlformats.org/officeDocument/2006/relationships/hyperlink" Target="https://www.humanrights.gov.au/our-work/childrens-rights/publications/childrens-rights-report-2019" TargetMode="External"/><Relationship Id="rId66" Type="http://schemas.openxmlformats.org/officeDocument/2006/relationships/hyperlink" Target="https://www.homeaffairs.gov.au/reports-and-pubs/files/review-robert-cornall.pdf" TargetMode="External"/><Relationship Id="rId74" Type="http://schemas.openxmlformats.org/officeDocument/2006/relationships/hyperlink" Target="https://www.aph.gov.au/DocumentStore.ashx?id=00960d0c-3a8e-43cc-9a29-cbeebc106579&amp;subId=706791" TargetMode="External"/><Relationship Id="rId79" Type="http://schemas.openxmlformats.org/officeDocument/2006/relationships/hyperlink" Target="https://scanloninstitute.org.au/sites/default/files/2019-11/Mapping%20Social%20Cohesion%202019.pdf" TargetMode="External"/><Relationship Id="rId87" Type="http://schemas.openxmlformats.org/officeDocument/2006/relationships/hyperlink" Target="https://www.aph.gov.au/Parliamentary_Business/Committees/Senate/Community_Affairs/Newstartrelatedpayments/Submissions" TargetMode="External"/><Relationship Id="rId102" Type="http://schemas.openxmlformats.org/officeDocument/2006/relationships/hyperlink" Target="https://ausncp.gov.au/about" TargetMode="External"/><Relationship Id="rId5" Type="http://schemas.openxmlformats.org/officeDocument/2006/relationships/hyperlink" Target="https://www.hrw.org/news/2021/08/19/australia-protect-risk-communities-covid-19" TargetMode="External"/><Relationship Id="rId61" Type="http://schemas.openxmlformats.org/officeDocument/2006/relationships/hyperlink" Target="https://tbinternet.ohchr.org/_layouts/15/treatybodyexternal/Download.aspx?symbolno=E/C.12/AUS/CO/5&amp;Lang=En" TargetMode="External"/><Relationship Id="rId82" Type="http://schemas.openxmlformats.org/officeDocument/2006/relationships/hyperlink" Target="https://www.asio.gov.au/director-generals-annual-threat-assessment.html" TargetMode="External"/><Relationship Id="rId90" Type="http://schemas.openxmlformats.org/officeDocument/2006/relationships/hyperlink" Target="https://www.aph.gov.au/DocumentStore.ashx?id=66ebd68e-6c3b-42fa-94f1-a7b910f84d94&amp;subId=666217" TargetMode="External"/><Relationship Id="rId95" Type="http://schemas.openxmlformats.org/officeDocument/2006/relationships/hyperlink" Target="http://www.abs.gov.au/ausstats/abs@.nsf/mf/2049.0" TargetMode="External"/><Relationship Id="rId19" Type="http://schemas.openxmlformats.org/officeDocument/2006/relationships/hyperlink" Target="https://humanrights.gov.au/our-work/aboriginal-and-torres-strait-islander-social-justice/publications/close-gap-2021" TargetMode="External"/><Relationship Id="rId14" Type="http://schemas.openxmlformats.org/officeDocument/2006/relationships/hyperlink" Target="https://www.ohchr.org/Documents/Issues/IPeoples/EMRIP/StudyRRR/Australia_NHRI1.pdf" TargetMode="External"/><Relationship Id="rId22" Type="http://schemas.openxmlformats.org/officeDocument/2006/relationships/hyperlink" Target="https://www.alrc.gov.au/publication/pathways-to-justice-inquiry-into-the-incarceration-rate-of-aboriginal-and-torres-strait-islander-peoples-alrc-report-133/" TargetMode="External"/><Relationship Id="rId27" Type="http://schemas.openxmlformats.org/officeDocument/2006/relationships/hyperlink" Target="https://www.abs.gov.au/ausstats/abs@.nsf/mf/4430.0" TargetMode="External"/><Relationship Id="rId30" Type="http://schemas.openxmlformats.org/officeDocument/2006/relationships/hyperlink" Target="https://www.humanrights.gov.au/our-work/childrens-rights/publications/report-un-committee-rights-child-2018" TargetMode="External"/><Relationship Id="rId35" Type="http://schemas.openxmlformats.org/officeDocument/2006/relationships/hyperlink" Target="https://undocs.org/A/HRC/31/14" TargetMode="External"/><Relationship Id="rId43" Type="http://schemas.openxmlformats.org/officeDocument/2006/relationships/hyperlink" Target="https://www.unwomen.org/-/media/headquarters/attachments/sections/library/publications/2020/policy-brief-the-impact-of-covid-19-on-women-en.pdf?la=en&amp;vs=1406" TargetMode="External"/><Relationship Id="rId48" Type="http://schemas.openxmlformats.org/officeDocument/2006/relationships/hyperlink" Target="https://www.humanrights.gov.au/about/news/commission-welcomes-national-plan-elder-abuse" TargetMode="External"/><Relationship Id="rId56" Type="http://schemas.openxmlformats.org/officeDocument/2006/relationships/hyperlink" Target="https://www.humanrights.gov.au/our-work/childrens-rights/projects/reporting-united-nations-childrens-rights" TargetMode="External"/><Relationship Id="rId64" Type="http://schemas.openxmlformats.org/officeDocument/2006/relationships/hyperlink" Target="http://www.aph.gov.au/Parliamentary_Business/Committees/Joint/Human_Rights/Committee_Inquiries/migration/index" TargetMode="External"/><Relationship Id="rId69" Type="http://schemas.openxmlformats.org/officeDocument/2006/relationships/hyperlink" Target="http://www.ohchr.org/EN/HRBodies/HRC/RegularSessions/Session28/Documents/A_HRC_28_68_Add.1_en.doc" TargetMode="External"/><Relationship Id="rId77" Type="http://schemas.openxmlformats.org/officeDocument/2006/relationships/hyperlink" Target="https://www.aph.gov.au/DocumentStore.ashx?id=00960d0c-3a8e-43cc-9a29-cbeebc106579&amp;subId=706791" TargetMode="External"/><Relationship Id="rId100" Type="http://schemas.openxmlformats.org/officeDocument/2006/relationships/hyperlink" Target="https://www.aihw.gov.au/reports/australias-welfare/housing-affordability" TargetMode="External"/><Relationship Id="rId8" Type="http://schemas.openxmlformats.org/officeDocument/2006/relationships/hyperlink" Target="https://www.thesaturdaypaper.com.au/news/politics/2021/06/12/delays-vaccinating-prisoners/162342000011860" TargetMode="External"/><Relationship Id="rId51" Type="http://schemas.openxmlformats.org/officeDocument/2006/relationships/hyperlink" Target="https://www.humanrights.gov.au/our-work/sexual-orientation-sex-gender-identity/publications/resilient-individuals-sexual" TargetMode="External"/><Relationship Id="rId72" Type="http://schemas.openxmlformats.org/officeDocument/2006/relationships/hyperlink" Target="https://www.humanrights.gov.au/our-work/legal/submission/migration-amendment-repairing-medical-transfers-bill-2019" TargetMode="External"/><Relationship Id="rId80" Type="http://schemas.openxmlformats.org/officeDocument/2006/relationships/hyperlink" Target="https://researchdirect.westernsydney.edu.au/islandora/object/uws%3A39004/datastream/PDF/view" TargetMode="External"/><Relationship Id="rId85" Type="http://schemas.openxmlformats.org/officeDocument/2006/relationships/hyperlink" Target="https://www.humanrights.gov.au/our-work/race-discrimination/publications/leading-change-blueprint-cultural-diversity-and-0" TargetMode="External"/><Relationship Id="rId93" Type="http://schemas.openxmlformats.org/officeDocument/2006/relationships/hyperlink" Target="https://www.aph.gov.au/DocumentStore.ashx?id=1fcbc7ab-effb-4092-bb42-9c743dadf7a5&amp;subId=560832" TargetMode="External"/><Relationship Id="rId98" Type="http://schemas.openxmlformats.org/officeDocument/2006/relationships/hyperlink" Target="https://www.humanrights.gov.au/our-work/age-discrimination/publications/older-womens-risk-homelessness-background-paper-2019" TargetMode="External"/><Relationship Id="rId3" Type="http://schemas.openxmlformats.org/officeDocument/2006/relationships/hyperlink" Target="https://www.theguardian.com/business/2021/sep/21/more-than-45000-australians-stranded-overseas-registered-for-government-help" TargetMode="External"/><Relationship Id="rId12" Type="http://schemas.openxmlformats.org/officeDocument/2006/relationships/hyperlink" Target="https://undocs.org/A/HRC/31/14" TargetMode="External"/><Relationship Id="rId17" Type="http://schemas.openxmlformats.org/officeDocument/2006/relationships/hyperlink" Target="https://ctgreport.niaa.gov.au/" TargetMode="External"/><Relationship Id="rId25" Type="http://schemas.openxmlformats.org/officeDocument/2006/relationships/hyperlink" Target="https://www.dss.gov.au/disability-and-carers/a-new-national-disability-strategy" TargetMode="External"/><Relationship Id="rId33" Type="http://schemas.openxmlformats.org/officeDocument/2006/relationships/hyperlink" Target="https://www.aihw.gov.au/reports/domestic-violence/family-domestic-sexual-violence-australia-2019/report-editions" TargetMode="External"/><Relationship Id="rId38" Type="http://schemas.openxmlformats.org/officeDocument/2006/relationships/hyperlink" Target="https://www.wgea.gov.au/publications/australias-gender-pay-gap-statistics" TargetMode="External"/><Relationship Id="rId46" Type="http://schemas.openxmlformats.org/officeDocument/2006/relationships/hyperlink" Target="https://www.ourwatch.org.au/getmedia/a415a239-5de6-4dbd-806d-4e92a53e532e/Change-the-story-framework-foundations-2.pdf.aspx" TargetMode="External"/><Relationship Id="rId59" Type="http://schemas.openxmlformats.org/officeDocument/2006/relationships/hyperlink" Target="https://www.humanrights.gov.au/our-work/asylum-seekers-and-refugees/publications/risk-management-immigration-detention-2019" TargetMode="External"/><Relationship Id="rId67" Type="http://schemas.openxmlformats.org/officeDocument/2006/relationships/hyperlink" Target="https://tbinternet.ohchr.org/_layouts/15/treatybodyexternal/Download.aspx?symbolno=CAT/C/AUS/CO/4-5&amp;Lang=En" TargetMode="External"/><Relationship Id="rId103" Type="http://schemas.openxmlformats.org/officeDocument/2006/relationships/hyperlink" Target="https://humanrights.gov.au/gymnastics" TargetMode="External"/><Relationship Id="rId20" Type="http://schemas.openxmlformats.org/officeDocument/2006/relationships/hyperlink" Target="https://www.naccho.org.au/wp-content/uploads/FINAL-discussion-booklet-a-new-way-of-working-09.09.pdf" TargetMode="External"/><Relationship Id="rId41" Type="http://schemas.openxmlformats.org/officeDocument/2006/relationships/hyperlink" Target="https://www.superannuation.asn.au/ArticleDocuments/359/1710_Superannuation_account_balances_by_age_and_gender.pdf.aspx" TargetMode="External"/><Relationship Id="rId54" Type="http://schemas.openxmlformats.org/officeDocument/2006/relationships/hyperlink" Target="https://www.aihw.gov.au/getmedia/e551a2bc-9149-4625-83c0-7bf1523c3793/aihw-cws-65.pdf.aspx?inline=true" TargetMode="External"/><Relationship Id="rId62" Type="http://schemas.openxmlformats.org/officeDocument/2006/relationships/hyperlink" Target="https://www.humanrights.gov.au/sites/default/files/document/publication/forgotten_children_2014.pdf" TargetMode="External"/><Relationship Id="rId70" Type="http://schemas.openxmlformats.org/officeDocument/2006/relationships/hyperlink" Target="http://www.aph.gov.au/Parliamentary_Business/Committees/Senate/Regional_processing_Nauru/Regional_processing_Nauru/~/media/Committees/nauru_ctte/Final_Report/report.pdf" TargetMode="External"/><Relationship Id="rId75" Type="http://schemas.openxmlformats.org/officeDocument/2006/relationships/hyperlink" Target="https://www.humanrights.gov.au/our-work/asylum-seekers-and-refugees/publications/lives-hold-refugees-and-asylum-seekers-legacy" TargetMode="External"/><Relationship Id="rId83" Type="http://schemas.openxmlformats.org/officeDocument/2006/relationships/hyperlink" Target="https://www.humanrights.gov.au/our-work/race-discrimination/publications/leading-change-blueprint-cultural-diversity-and-inclusive" TargetMode="External"/><Relationship Id="rId88" Type="http://schemas.openxmlformats.org/officeDocument/2006/relationships/hyperlink" Target="https://www.servicesaustralia.gov.au/individuals/services/centrelink/coronavirus-supplement" TargetMode="External"/><Relationship Id="rId91" Type="http://schemas.openxmlformats.org/officeDocument/2006/relationships/hyperlink" Target="https://www.humanrights.gov.au/our-work/legal/submission/senate-inquiry-social-security-administration-amendment-income-management" TargetMode="External"/><Relationship Id="rId96" Type="http://schemas.openxmlformats.org/officeDocument/2006/relationships/hyperlink" Target="https://www.aihw.gov.au/reports/australias-welfare/housing-affordability" TargetMode="External"/><Relationship Id="rId1" Type="http://schemas.openxmlformats.org/officeDocument/2006/relationships/hyperlink" Target="http://www.aph.gov.au/Parliamentary_Business/Committees/Joint/Human_Rights" TargetMode="External"/><Relationship Id="rId6" Type="http://schemas.openxmlformats.org/officeDocument/2006/relationships/hyperlink" Target="https://www.hrw.org/news/2021/08/19/australia-protect-risk-communities-covid-19" TargetMode="External"/><Relationship Id="rId15" Type="http://schemas.openxmlformats.org/officeDocument/2006/relationships/hyperlink" Target="https://www.aph.gov.au/DocumentStore.ashx?id=81afbee8-381f-40a4-a758-b1384881e633&amp;subId=658933" TargetMode="External"/><Relationship Id="rId23" Type="http://schemas.openxmlformats.org/officeDocument/2006/relationships/hyperlink" Target="https://www.pc.gov.au/research/ongoing/overcoming-indigenous-disadvantage/2016/report-documents/oid-2016-overcoming-indigenous-disadvantage-key-indicators-2016-report.pdf" TargetMode="External"/><Relationship Id="rId28" Type="http://schemas.openxmlformats.org/officeDocument/2006/relationships/hyperlink" Target="https://humanrights.gov.au/our-work/disability-rights/projects/includeability" TargetMode="External"/><Relationship Id="rId36" Type="http://schemas.openxmlformats.org/officeDocument/2006/relationships/hyperlink" Target="https://www.ohchr.org/EN/HRBodies/UPR/Pages/AUIndex.aspx" TargetMode="External"/><Relationship Id="rId49" Type="http://schemas.openxmlformats.org/officeDocument/2006/relationships/hyperlink" Target="https://www.alrc.gov.au/publication/elder-abuse-a-national-legal-response-alrc-report-131/" TargetMode="External"/><Relationship Id="rId57" Type="http://schemas.openxmlformats.org/officeDocument/2006/relationships/hyperlink" Target="https://www.snaicc.org.au/wp-content/uploads/2017/07/Understanding_applying_ATSICCP.pdf" TargetMode="External"/><Relationship Id="rId10" Type="http://schemas.openxmlformats.org/officeDocument/2006/relationships/hyperlink" Target="https://www.abf.gov.au/newsroom-subsite/Pages/covid-detention-network-melbourne-29-11-21.aspx" TargetMode="External"/><Relationship Id="rId31" Type="http://schemas.openxmlformats.org/officeDocument/2006/relationships/hyperlink" Target="https://tbinternet.ohchr.org/Treaties/CCPR/Shared%20Documents/AUS/INT_CCPR_NHS_AUS_28980_E.pdf" TargetMode="External"/><Relationship Id="rId44" Type="http://schemas.openxmlformats.org/officeDocument/2006/relationships/hyperlink" Target="https://www.humanrights.gov.au/our-work/sex-discrimination/publications/respectwork-sexual-harassment-national-inquiry-report-2020?mc_cid=1065707e3c&amp;mc_eid=%5bUNIQID%5d" TargetMode="External"/><Relationship Id="rId52" Type="http://schemas.openxmlformats.org/officeDocument/2006/relationships/hyperlink" Target="https://www.unicef.org.au/about-us/media/october-2021/call-for-national-plan-as-children-tell-of-lockdow" TargetMode="External"/><Relationship Id="rId60" Type="http://schemas.openxmlformats.org/officeDocument/2006/relationships/hyperlink" Target="https://www.ombudsman.gov.au/__data/assets/pdf_file/0013/111235/1-July-2020-Statement-by-the-Commonwealth-Ombudsman-Michael-Manthorpe-on-the-management-of-COVID-19-risks-in-immigration-detention-facilities.pdf" TargetMode="External"/><Relationship Id="rId65" Type="http://schemas.openxmlformats.org/officeDocument/2006/relationships/hyperlink" Target="http://www.unhcr.org/en-au/publications/legal/58117b931/unhcr-monitoring-visit-to-the-republic-of-nauru-7-to-9-october-2013.html" TargetMode="External"/><Relationship Id="rId73" Type="http://schemas.openxmlformats.org/officeDocument/2006/relationships/hyperlink" Target="https://www.humanrights.gov.au/our-work/asylum-seekers-and-refugees/publications/lives-hold-refugees-and-asylum-seekers-legacy" TargetMode="External"/><Relationship Id="rId78" Type="http://schemas.openxmlformats.org/officeDocument/2006/relationships/hyperlink" Target="https://humanrights.gov.au/our-work/asylum-seekers-and-refugees/publications/lives-hold-refugees-and-asylum-seekers-legacy" TargetMode="External"/><Relationship Id="rId81" Type="http://schemas.openxmlformats.org/officeDocument/2006/relationships/hyperlink" Target="https://www.humanrights.gov.au/about/news/new-report-shows-increase-severe-islamophobic-attacks" TargetMode="External"/><Relationship Id="rId86" Type="http://schemas.openxmlformats.org/officeDocument/2006/relationships/hyperlink" Target="https://www.servicesaustralia.gov.au/individuals/services/centrelink/jobseeker-payment" TargetMode="External"/><Relationship Id="rId94" Type="http://schemas.openxmlformats.org/officeDocument/2006/relationships/hyperlink" Target="https://www.humanrights.gov.au/sites/default/files/document/publication/SJRNTR2015.pdf" TargetMode="External"/><Relationship Id="rId99" Type="http://schemas.openxmlformats.org/officeDocument/2006/relationships/hyperlink" Target="https://www.aihw.gov.au/reports/australias-welfare/housing-assistance" TargetMode="External"/><Relationship Id="rId101" Type="http://schemas.openxmlformats.org/officeDocument/2006/relationships/hyperlink" Target="https://www.aihw.gov.au/reports/australias-welfare/indigenous-housing" TargetMode="External"/><Relationship Id="rId4" Type="http://schemas.openxmlformats.org/officeDocument/2006/relationships/hyperlink" Target="https://apo.org.au/node/311761" TargetMode="External"/><Relationship Id="rId9" Type="http://schemas.openxmlformats.org/officeDocument/2006/relationships/hyperlink" Target="https://theconversation.com/how-many-people-in-immigration-detention-have-been-vaccinated-home-affairs-wont-tell-us-166101" TargetMode="External"/><Relationship Id="rId13" Type="http://schemas.openxmlformats.org/officeDocument/2006/relationships/hyperlink" Target="https://www.indigenous.gov.au/topics/indigenous-voice" TargetMode="External"/><Relationship Id="rId18" Type="http://schemas.openxmlformats.org/officeDocument/2006/relationships/hyperlink" Target="https://www.humanrights.gov.au/our-work/aboriginal-and-torres-strait-islander-social-justice/publications/close-gap-report-our" TargetMode="External"/><Relationship Id="rId39" Type="http://schemas.openxmlformats.org/officeDocument/2006/relationships/hyperlink" Target="https://www.wgea.gov.au/data/wgea-research/shes-pricedless-the-economics-of-the-gender-pay-gap" TargetMode="External"/><Relationship Id="rId34" Type="http://schemas.openxmlformats.org/officeDocument/2006/relationships/hyperlink" Target="https://www.dss.gov.au/our-responsibilities/disability-and-carers/publications-articles/policy-research/national-framework-for-reducing-and-eliminating-the-use-of-restrictive-practices-in-the-disability-service-sector" TargetMode="External"/><Relationship Id="rId50" Type="http://schemas.openxmlformats.org/officeDocument/2006/relationships/hyperlink" Target="https://www.humanrights.gov.au/our-work/age-discrimination/projects/willing-work-national-inquiry-employment-discrimination" TargetMode="External"/><Relationship Id="rId55" Type="http://schemas.openxmlformats.org/officeDocument/2006/relationships/hyperlink" Target="https://www.aihw.gov.au/reports/australias-welfare/child-protection" TargetMode="External"/><Relationship Id="rId76" Type="http://schemas.openxmlformats.org/officeDocument/2006/relationships/hyperlink" Target="https://www.aph.gov.au/About_Parliament/Parliamentary_Departments/Parliamentary_Library/pubs/rp/rp1920/Quick_Guides/TemporaryVisaHoldersSocialSecurity" TargetMode="External"/><Relationship Id="rId97" Type="http://schemas.openxmlformats.org/officeDocument/2006/relationships/hyperlink" Target="https://theconversation.com/400-000-women-over-45-are-at-risk-of-homelessness-in-australia-142906" TargetMode="External"/><Relationship Id="rId104" Type="http://schemas.openxmlformats.org/officeDocument/2006/relationships/hyperlink" Target="https://humanrights.gov.au/gymna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FEB2622FC73241B62C7C624CEE521F" ma:contentTypeVersion="73" ma:contentTypeDescription="Create a new document." ma:contentTypeScope="" ma:versionID="781eff0e87ee895b87fa0eecfb4c6cf9">
  <xsd:schema xmlns:xsd="http://www.w3.org/2001/XMLSchema" xmlns:xs="http://www.w3.org/2001/XMLSchema" xmlns:p="http://schemas.microsoft.com/office/2006/metadata/properties" xmlns:ns2="57f1fb52-79b9-4278-9d54-1e5db41bfcda" xmlns:ns3="6500fe01-343b-4fb9-a1b0-68ac19d62e01" xmlns:ns4="a6ffb128-e94a-4924-af16-68c2b3b917e8" xmlns:ns5="0d9443a9-c476-4e36-beff-9197fb30fe37" targetNamespace="http://schemas.microsoft.com/office/2006/metadata/properties" ma:root="true" ma:fieldsID="0628d30b1a7b01296f8bb66edecc813d" ns2:_="" ns3:_="" ns4:_="" ns5:_="">
    <xsd:import namespace="57f1fb52-79b9-4278-9d54-1e5db41bfcda"/>
    <xsd:import namespace="6500fe01-343b-4fb9-a1b0-68ac19d62e01"/>
    <xsd:import namespace="a6ffb128-e94a-4924-af16-68c2b3b917e8"/>
    <xsd:import namespace="0d9443a9-c476-4e36-beff-9197fb30fe37"/>
    <xsd:element name="properties">
      <xsd:complexType>
        <xsd:sequence>
          <xsd:element name="documentManagement">
            <xsd:complexType>
              <xsd:all>
                <xsd:element ref="ns3:Divider" minOccurs="0"/>
                <xsd:element ref="ns2:Subdivider" minOccurs="0"/>
                <xsd:element ref="ns4:_Flow_SignoffStatus" minOccurs="0"/>
                <xsd:element ref="ns3:TaxKeywordTaxHTField" minOccurs="0"/>
                <xsd:element ref="ns3:TaxCatchAll" minOccurs="0"/>
                <xsd:element ref="ns3:TaxCatchAllLabel" minOccurs="0"/>
                <xsd:element ref="ns3:_dlc_DocId" minOccurs="0"/>
                <xsd:element ref="ns3:_dlc_DocIdUrl" minOccurs="0"/>
                <xsd:element ref="ns3:_dlc_DocIdPersistId" minOccurs="0"/>
                <xsd:element ref="ns2:Open_x0020_in_x0020_Outlook" minOccurs="0"/>
                <xsd:element ref="ns3:Approver" minOccurs="0"/>
                <xsd:element ref="ns3:Document_x0020_Status" minOccurs="0"/>
                <xsd:element ref="ns2:c0b54d0a77474fabbf35302adb9710d7" minOccurs="0"/>
                <xsd:element ref="ns2:From1" minOccurs="0"/>
                <xsd:element ref="ns2:Has_x0020_Attachments" minOccurs="0"/>
                <xsd:element ref="ns2:Received_x002f_Sent" minOccurs="0"/>
                <xsd:element ref="ns2:To" minOccurs="0"/>
                <xsd:element ref="ns4:MediaServiceMetadata" minOccurs="0"/>
                <xsd:element ref="ns4:MediaServiceFastMetadata" minOccurs="0"/>
                <xsd:element ref="ns5:MediaServiceAutoTags" minOccurs="0"/>
                <xsd:element ref="ns5:MediaServiceOCR" minOccurs="0"/>
                <xsd:element ref="ns2:Year_x0020_Ending" minOccurs="0"/>
                <xsd:element ref="ns5:MediaServiceDateTaken" minOccurs="0"/>
                <xsd:element ref="ns5:MediaServiceAutoKeyPoints" minOccurs="0"/>
                <xsd:element ref="ns5:MediaServiceKeyPoint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f1fb52-79b9-4278-9d54-1e5db41bfcda" elementFormDefault="qualified">
    <xsd:import namespace="http://schemas.microsoft.com/office/2006/documentManagement/types"/>
    <xsd:import namespace="http://schemas.microsoft.com/office/infopath/2007/PartnerControls"/>
    <xsd:element name="Subdivider" ma:index="3" nillable="true" ma:displayName="Subdivider" ma:indexed="true" ma:internalName="Subdivider">
      <xsd:simpleType>
        <xsd:restriction base="dms:Text">
          <xsd:maxLength value="255"/>
        </xsd:restriction>
      </xsd:simpleType>
    </xsd:element>
    <xsd:element name="Open_x0020_in_x0020_Outlook" ma:index="19" nillable="true" ma:displayName="Open in Outlook" ma:description="Click to download item, used for opening emails directly in Outlook (when set to automatically open in Chrome)." ma:hidden="true" ma:indexed="true" ma:internalName="Open_x0020_in_x0020_Outlook" ma:readOnly="false">
      <xsd:simpleType>
        <xsd:restriction base="dms:Text">
          <xsd:maxLength value="255"/>
        </xsd:restriction>
      </xsd:simpleType>
    </xsd:element>
    <xsd:element name="c0b54d0a77474fabbf35302adb9710d7" ma:index="22" nillable="true" ma:taxonomy="true" ma:internalName="c0b54d0a77474fabbf35302adb9710d7" ma:taxonomyFieldName="Document_x0020_Type" ma:displayName="Document Type" ma:default="" ma:fieldId="{c0b54d0a-7747-4fab-bf35-302adb9710d7}" ma:sspId="975c5ac6-a0cc-43ed-b850-4a2ae59237b6" ma:termSetId="06f72989-bf1e-40b3-b4de-fd0ca0e5cdad" ma:anchorId="00000000-0000-0000-0000-000000000000" ma:open="false" ma:isKeyword="false">
      <xsd:complexType>
        <xsd:sequence>
          <xsd:element ref="pc:Terms" minOccurs="0" maxOccurs="1"/>
        </xsd:sequence>
      </xsd:complexType>
    </xsd:element>
    <xsd:element name="From1" ma:index="23" nillable="true" ma:displayName="From" ma:hidden="true" ma:indexed="true" ma:internalName="From1" ma:readOnly="false">
      <xsd:simpleType>
        <xsd:restriction base="dms:Text">
          <xsd:maxLength value="255"/>
        </xsd:restriction>
      </xsd:simpleType>
    </xsd:element>
    <xsd:element name="Has_x0020_Attachments" ma:index="24" nillable="true" ma:displayName="Has Attachments" ma:hidden="true" ma:indexed="true" ma:internalName="Has_x0020_Attachments" ma:readOnly="false">
      <xsd:simpleType>
        <xsd:restriction base="dms:Text">
          <xsd:maxLength value="255"/>
        </xsd:restriction>
      </xsd:simpleType>
    </xsd:element>
    <xsd:element name="Received_x002f_Sent" ma:index="25" nillable="true" ma:displayName="Received/Sent" ma:format="DateOnly" ma:hidden="true" ma:indexed="true" ma:internalName="Received_x002F_Sent" ma:readOnly="false">
      <xsd:simpleType>
        <xsd:restriction base="dms:DateTime"/>
      </xsd:simpleType>
    </xsd:element>
    <xsd:element name="To" ma:index="26" nillable="true" ma:displayName="To" ma:hidden="true" ma:indexed="true" ma:internalName="To" ma:readOnly="false">
      <xsd:simpleType>
        <xsd:restriction base="dms:Text">
          <xsd:maxLength value="255"/>
        </xsd:restriction>
      </xsd:simpleType>
    </xsd:element>
    <xsd:element name="Year_x0020_Ending" ma:index="32" nillable="true" ma:displayName="Year Ending" ma:description="End of financial year in which submission due." ma:format="DateOnly" ma:internalName="Year_x0020_Ending">
      <xsd:simpleType>
        <xsd:restriction base="dms:DateTime"/>
      </xsd:simpleType>
    </xsd:element>
    <xsd:element name="SharedWithUsers" ma:index="3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500fe01-343b-4fb9-a1b0-68ac19d62e01" elementFormDefault="qualified">
    <xsd:import namespace="http://schemas.microsoft.com/office/2006/documentManagement/types"/>
    <xsd:import namespace="http://schemas.microsoft.com/office/infopath/2007/PartnerControls"/>
    <xsd:element name="Divider" ma:index="2" nillable="true" ma:displayName="Divider" ma:indexed="true" ma:internalName="Divider">
      <xsd:simpleType>
        <xsd:restriction base="dms:Text">
          <xsd:maxLength value="255"/>
        </xsd:restriction>
      </xsd:simpleType>
    </xsd:element>
    <xsd:element name="TaxKeywordTaxHTField" ma:index="8" nillable="true" ma:taxonomy="true" ma:internalName="TaxKeywordTaxHTField" ma:taxonomyFieldName="TaxKeyword" ma:displayName="Enterprise Keywords" ma:fieldId="{23f27201-bee3-471e-b2e7-b64fd8b7ca38}" ma:taxonomyMulti="true" ma:sspId="975c5ac6-a0cc-43ed-b850-4a2ae59237b6" ma:termSetId="00000000-0000-0000-0000-000000000000" ma:anchorId="00000000-0000-0000-0000-000000000000" ma:open="true" ma:isKeyword="true">
      <xsd:complexType>
        <xsd:sequence>
          <xsd:element ref="pc:Terms" minOccurs="0" maxOccurs="1"/>
        </xsd:sequence>
      </xsd:complexType>
    </xsd:element>
    <xsd:element name="TaxCatchAll" ma:index="9" nillable="true" ma:displayName="Taxonomy Catch All Column" ma:hidden="true" ma:list="{9674aa2f-9701-447f-b61a-873be09f9281}" ma:internalName="TaxCatchAll" ma:showField="CatchAllData" ma:web="57f1fb52-79b9-4278-9d54-1e5db41bfcda">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9674aa2f-9701-447f-b61a-873be09f9281}" ma:internalName="TaxCatchAllLabel" ma:readOnly="true" ma:showField="CatchAllDataLabel" ma:web="57f1fb52-79b9-4278-9d54-1e5db41bfcda">
      <xsd:complexType>
        <xsd:complexContent>
          <xsd:extension base="dms:MultiChoiceLookup">
            <xsd:sequence>
              <xsd:element name="Value" type="dms:Lookup" maxOccurs="unbounded" minOccurs="0" nillable="true"/>
            </xsd:sequence>
          </xsd:extension>
        </xsd:complexContent>
      </xsd:complexType>
    </xsd:element>
    <xsd:element name="_dlc_DocId" ma:index="13" nillable="true" ma:displayName="Document ID Value" ma:description="The value of the document ID assigned to this item." ma:internalName="_dlc_DocId" ma:readOnly="true">
      <xsd:simpleType>
        <xsd:restriction base="dms:Text"/>
      </xsd:simpleType>
    </xsd:element>
    <xsd:element name="_dlc_DocIdUrl" ma:index="1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Persist ID" ma:description="Keep ID on add." ma:hidden="true" ma:internalName="_dlc_DocIdPersistId" ma:readOnly="true">
      <xsd:simpleType>
        <xsd:restriction base="dms:Boolean"/>
      </xsd:simpleType>
    </xsd:element>
    <xsd:element name="Approver" ma:index="20" nillable="true" ma:displayName="Approver" ma:hidden="true" ma:list="UserInfo" ma:SharePointGroup="20" ma:internalName="Approve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cument_x0020_Status" ma:index="21" nillable="true" ma:displayName="Document Status" ma:default="Draft" ma:format="Dropdown" ma:hidden="true" ma:internalName="Document_x0020_Status" ma:readOnly="false">
      <xsd:simpleType>
        <xsd:restriction base="dms:Choice">
          <xsd:enumeration value="Draft"/>
          <xsd:enumeration value="Pending"/>
          <xsd:enumeration value="Approved"/>
          <xsd:enumeration value="Change Request"/>
          <xsd:enumeration value="Rejected"/>
        </xsd:restriction>
      </xsd:simpleType>
    </xsd:element>
  </xsd:schema>
  <xsd:schema xmlns:xsd="http://www.w3.org/2001/XMLSchema" xmlns:xs="http://www.w3.org/2001/XMLSchema" xmlns:dms="http://schemas.microsoft.com/office/2006/documentManagement/types" xmlns:pc="http://schemas.microsoft.com/office/infopath/2007/PartnerControls" targetNamespace="a6ffb128-e94a-4924-af16-68c2b3b917e8" elementFormDefault="qualified">
    <xsd:import namespace="http://schemas.microsoft.com/office/2006/documentManagement/types"/>
    <xsd:import namespace="http://schemas.microsoft.com/office/infopath/2007/PartnerControls"/>
    <xsd:element name="_Flow_SignoffStatus" ma:index="5" nillable="true" ma:displayName="Sign-off status" ma:hidden="true" ma:internalName="Sign_x002d_off_x0020_status" ma:readOnly="false">
      <xsd:simpleType>
        <xsd:restriction base="dms:Text"/>
      </xsd:simpleType>
    </xsd:element>
    <xsd:element name="MediaServiceMetadata" ma:index="27" nillable="true" ma:displayName="MediaServiceMetadata" ma:hidden="true" ma:internalName="MediaServiceMetadata" ma:readOnly="true">
      <xsd:simpleType>
        <xsd:restriction base="dms:Note"/>
      </xsd:simpleType>
    </xsd:element>
    <xsd:element name="MediaServiceFastMetadata" ma:index="28"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9443a9-c476-4e36-beff-9197fb30fe37" elementFormDefault="qualified">
    <xsd:import namespace="http://schemas.microsoft.com/office/2006/documentManagement/types"/>
    <xsd:import namespace="http://schemas.microsoft.com/office/infopath/2007/PartnerControls"/>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displayName="Title"/>
        <xsd:element ref="dc:subject" minOccurs="0" maxOccurs="1" ma:index="3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customXsn xmlns="http://schemas.microsoft.com/office/2006/metadata/customXsn">
  <xsnLocation/>
  <cached>True</cached>
  <openByDefault>True</openByDefault>
  <xsnScope/>
</customXsn>
</file>

<file path=customXml/item5.xml><?xml version="1.0" encoding="utf-8"?>
<?mso-contentType ?>
<SharedContentType xmlns="Microsoft.SharePoint.Taxonomy.ContentTypeSync" SourceId="975c5ac6-a0cc-43ed-b850-4a2ae59237b6" ContentTypeId="0x0101" PreviousValue="false"/>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A60A1-ACCC-4239-8949-840ED21E16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f1fb52-79b9-4278-9d54-1e5db41bfcda"/>
    <ds:schemaRef ds:uri="6500fe01-343b-4fb9-a1b0-68ac19d62e01"/>
    <ds:schemaRef ds:uri="a6ffb128-e94a-4924-af16-68c2b3b917e8"/>
    <ds:schemaRef ds:uri="0d9443a9-c476-4e36-beff-9197fb30fe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7A518E-C5BA-408E-B83F-9105D0E7B481}"/>
</file>

<file path=customXml/itemProps3.xml><?xml version="1.0" encoding="utf-8"?>
<ds:datastoreItem xmlns:ds="http://schemas.openxmlformats.org/officeDocument/2006/customXml" ds:itemID="{04426FAE-0E64-40F5-983C-8959575268B1}">
  <ds:schemaRefs>
    <ds:schemaRef ds:uri="http://schemas.microsoft.com/sharepoint/v3/contenttype/forms"/>
  </ds:schemaRefs>
</ds:datastoreItem>
</file>

<file path=customXml/itemProps4.xml><?xml version="1.0" encoding="utf-8"?>
<ds:datastoreItem xmlns:ds="http://schemas.openxmlformats.org/officeDocument/2006/customXml" ds:itemID="{764994B0-5A1C-41EB-B793-6E9478B66005}">
  <ds:schemaRefs>
    <ds:schemaRef ds:uri="http://schemas.microsoft.com/office/2006/metadata/customXsn"/>
  </ds:schemaRefs>
</ds:datastoreItem>
</file>

<file path=customXml/itemProps5.xml><?xml version="1.0" encoding="utf-8"?>
<ds:datastoreItem xmlns:ds="http://schemas.openxmlformats.org/officeDocument/2006/customXml" ds:itemID="{9646237B-E19E-454F-8755-D6B143840E00}">
  <ds:schemaRefs>
    <ds:schemaRef ds:uri="Microsoft.SharePoint.Taxonomy.ContentTypeSync"/>
  </ds:schemaRefs>
</ds:datastoreItem>
</file>

<file path=customXml/itemProps6.xml><?xml version="1.0" encoding="utf-8"?>
<ds:datastoreItem xmlns:ds="http://schemas.openxmlformats.org/officeDocument/2006/customXml" ds:itemID="{6DF8E1A8-FC6C-412B-9F13-611F0CBA8B8C}">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57f1fb52-79b9-4278-9d54-1e5db41bfcda"/>
    <ds:schemaRef ds:uri="http://schemas.openxmlformats.org/package/2006/metadata/core-properties"/>
    <ds:schemaRef ds:uri="http://purl.org/dc/terms/"/>
    <ds:schemaRef ds:uri="0d9443a9-c476-4e36-beff-9197fb30fe37"/>
    <ds:schemaRef ds:uri="6500fe01-343b-4fb9-a1b0-68ac19d62e01"/>
    <ds:schemaRef ds:uri="a6ffb128-e94a-4924-af16-68c2b3b917e8"/>
    <ds:schemaRef ds:uri="http://www.w3.org/XML/1998/namespace"/>
    <ds:schemaRef ds:uri="http://purl.org/dc/dcmitype/"/>
  </ds:schemaRefs>
</ds:datastoreItem>
</file>

<file path=customXml/itemProps7.xml><?xml version="1.0" encoding="utf-8"?>
<ds:datastoreItem xmlns:ds="http://schemas.openxmlformats.org/officeDocument/2006/customXml" ds:itemID="{6CB7FBB1-3762-4525-B8E2-118A46BB8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4490</Words>
  <Characters>26846</Characters>
  <Application>Microsoft Office Word</Application>
  <DocSecurity>4</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31274</CharactersWithSpaces>
  <SharedDoc>false</SharedDoc>
  <HLinks>
    <vt:vector size="642" baseType="variant">
      <vt:variant>
        <vt:i4>7274545</vt:i4>
      </vt:variant>
      <vt:variant>
        <vt:i4>6</vt:i4>
      </vt:variant>
      <vt:variant>
        <vt:i4>0</vt:i4>
      </vt:variant>
      <vt:variant>
        <vt:i4>5</vt:i4>
      </vt:variant>
      <vt:variant>
        <vt:lpwstr>https://humanrights.gov.au/sites/default/files/2020-10/modern_slavery_-_australias_third_upr_2021.pdf</vt:lpwstr>
      </vt:variant>
      <vt:variant>
        <vt:lpwstr/>
      </vt:variant>
      <vt:variant>
        <vt:i4>2621545</vt:i4>
      </vt:variant>
      <vt:variant>
        <vt:i4>3</vt:i4>
      </vt:variant>
      <vt:variant>
        <vt:i4>0</vt:i4>
      </vt:variant>
      <vt:variant>
        <vt:i4>5</vt:i4>
      </vt:variant>
      <vt:variant>
        <vt:lpwstr>https://theconversation.com/how-many-people-in-immigration-detention-have-been-vaccinated-home-affairs-wont-tell-us-166101</vt:lpwstr>
      </vt:variant>
      <vt:variant>
        <vt:lpwstr/>
      </vt:variant>
      <vt:variant>
        <vt:i4>2424959</vt:i4>
      </vt:variant>
      <vt:variant>
        <vt:i4>0</vt:i4>
      </vt:variant>
      <vt:variant>
        <vt:i4>0</vt:i4>
      </vt:variant>
      <vt:variant>
        <vt:i4>5</vt:i4>
      </vt:variant>
      <vt:variant>
        <vt:lpwstr>https://www.sbs.com.au/news/australia-s-immigration-centre-vaccination-rates-appalling/ffc1aec9-1cd3-44ac-9d31-3912a8698f8e</vt:lpwstr>
      </vt:variant>
      <vt:variant>
        <vt:lpwstr/>
      </vt:variant>
      <vt:variant>
        <vt:i4>131083</vt:i4>
      </vt:variant>
      <vt:variant>
        <vt:i4>309</vt:i4>
      </vt:variant>
      <vt:variant>
        <vt:i4>0</vt:i4>
      </vt:variant>
      <vt:variant>
        <vt:i4>5</vt:i4>
      </vt:variant>
      <vt:variant>
        <vt:lpwstr>https://humanrights.gov.au/gymnastics</vt:lpwstr>
      </vt:variant>
      <vt:variant>
        <vt:lpwstr/>
      </vt:variant>
      <vt:variant>
        <vt:i4>131083</vt:i4>
      </vt:variant>
      <vt:variant>
        <vt:i4>306</vt:i4>
      </vt:variant>
      <vt:variant>
        <vt:i4>0</vt:i4>
      </vt:variant>
      <vt:variant>
        <vt:i4>5</vt:i4>
      </vt:variant>
      <vt:variant>
        <vt:lpwstr>https://humanrights.gov.au/gymnastics</vt:lpwstr>
      </vt:variant>
      <vt:variant>
        <vt:lpwstr/>
      </vt:variant>
      <vt:variant>
        <vt:i4>3276837</vt:i4>
      </vt:variant>
      <vt:variant>
        <vt:i4>303</vt:i4>
      </vt:variant>
      <vt:variant>
        <vt:i4>0</vt:i4>
      </vt:variant>
      <vt:variant>
        <vt:i4>5</vt:i4>
      </vt:variant>
      <vt:variant>
        <vt:lpwstr>https://ausncp.gov.au/about</vt:lpwstr>
      </vt:variant>
      <vt:variant>
        <vt:lpwstr/>
      </vt:variant>
      <vt:variant>
        <vt:i4>1245252</vt:i4>
      </vt:variant>
      <vt:variant>
        <vt:i4>300</vt:i4>
      </vt:variant>
      <vt:variant>
        <vt:i4>0</vt:i4>
      </vt:variant>
      <vt:variant>
        <vt:i4>5</vt:i4>
      </vt:variant>
      <vt:variant>
        <vt:lpwstr>https://www.aihw.gov.au/reports/australias-welfare/indigenous-housing</vt:lpwstr>
      </vt:variant>
      <vt:variant>
        <vt:lpwstr/>
      </vt:variant>
      <vt:variant>
        <vt:i4>4390918</vt:i4>
      </vt:variant>
      <vt:variant>
        <vt:i4>297</vt:i4>
      </vt:variant>
      <vt:variant>
        <vt:i4>0</vt:i4>
      </vt:variant>
      <vt:variant>
        <vt:i4>5</vt:i4>
      </vt:variant>
      <vt:variant>
        <vt:lpwstr>https://www.aihw.gov.au/reports/australias-welfare/housing-affordability</vt:lpwstr>
      </vt:variant>
      <vt:variant>
        <vt:lpwstr/>
      </vt:variant>
      <vt:variant>
        <vt:i4>5046289</vt:i4>
      </vt:variant>
      <vt:variant>
        <vt:i4>294</vt:i4>
      </vt:variant>
      <vt:variant>
        <vt:i4>0</vt:i4>
      </vt:variant>
      <vt:variant>
        <vt:i4>5</vt:i4>
      </vt:variant>
      <vt:variant>
        <vt:lpwstr>https://www.aihw.gov.au/reports/australias-welfare/housing-assistance</vt:lpwstr>
      </vt:variant>
      <vt:variant>
        <vt:lpwstr/>
      </vt:variant>
      <vt:variant>
        <vt:i4>1376270</vt:i4>
      </vt:variant>
      <vt:variant>
        <vt:i4>291</vt:i4>
      </vt:variant>
      <vt:variant>
        <vt:i4>0</vt:i4>
      </vt:variant>
      <vt:variant>
        <vt:i4>5</vt:i4>
      </vt:variant>
      <vt:variant>
        <vt:lpwstr>https://www.humanrights.gov.au/our-work/age-discrimination/publications/older-womens-risk-homelessness-background-paper-2019</vt:lpwstr>
      </vt:variant>
      <vt:variant>
        <vt:lpwstr/>
      </vt:variant>
      <vt:variant>
        <vt:i4>5636191</vt:i4>
      </vt:variant>
      <vt:variant>
        <vt:i4>288</vt:i4>
      </vt:variant>
      <vt:variant>
        <vt:i4>0</vt:i4>
      </vt:variant>
      <vt:variant>
        <vt:i4>5</vt:i4>
      </vt:variant>
      <vt:variant>
        <vt:lpwstr>https://theconversation.com/400-000-women-over-45-are-at-risk-of-homelessness-in-australia-142906</vt:lpwstr>
      </vt:variant>
      <vt:variant>
        <vt:lpwstr/>
      </vt:variant>
      <vt:variant>
        <vt:i4>4390918</vt:i4>
      </vt:variant>
      <vt:variant>
        <vt:i4>285</vt:i4>
      </vt:variant>
      <vt:variant>
        <vt:i4>0</vt:i4>
      </vt:variant>
      <vt:variant>
        <vt:i4>5</vt:i4>
      </vt:variant>
      <vt:variant>
        <vt:lpwstr>https://www.aihw.gov.au/reports/australias-welfare/housing-affordability</vt:lpwstr>
      </vt:variant>
      <vt:variant>
        <vt:lpwstr/>
      </vt:variant>
      <vt:variant>
        <vt:i4>6029428</vt:i4>
      </vt:variant>
      <vt:variant>
        <vt:i4>282</vt:i4>
      </vt:variant>
      <vt:variant>
        <vt:i4>0</vt:i4>
      </vt:variant>
      <vt:variant>
        <vt:i4>5</vt:i4>
      </vt:variant>
      <vt:variant>
        <vt:lpwstr>http://www.abs.gov.au/ausstats/abs@.nsf/mf/2049.0</vt:lpwstr>
      </vt:variant>
      <vt:variant>
        <vt:lpwstr/>
      </vt:variant>
      <vt:variant>
        <vt:i4>2687083</vt:i4>
      </vt:variant>
      <vt:variant>
        <vt:i4>279</vt:i4>
      </vt:variant>
      <vt:variant>
        <vt:i4>0</vt:i4>
      </vt:variant>
      <vt:variant>
        <vt:i4>5</vt:i4>
      </vt:variant>
      <vt:variant>
        <vt:lpwstr>https://www.humanrights.gov.au/sites/default/files/document/publication/SJRNTR2015.pdf</vt:lpwstr>
      </vt:variant>
      <vt:variant>
        <vt:lpwstr/>
      </vt:variant>
      <vt:variant>
        <vt:i4>6553722</vt:i4>
      </vt:variant>
      <vt:variant>
        <vt:i4>276</vt:i4>
      </vt:variant>
      <vt:variant>
        <vt:i4>0</vt:i4>
      </vt:variant>
      <vt:variant>
        <vt:i4>5</vt:i4>
      </vt:variant>
      <vt:variant>
        <vt:lpwstr>https://www.aph.gov.au/DocumentStore.ashx?id=1fcbc7ab-effb-4092-bb42-9c743dadf7a5&amp;subId=560832</vt:lpwstr>
      </vt:variant>
      <vt:variant>
        <vt:lpwstr/>
      </vt:variant>
      <vt:variant>
        <vt:i4>6750334</vt:i4>
      </vt:variant>
      <vt:variant>
        <vt:i4>273</vt:i4>
      </vt:variant>
      <vt:variant>
        <vt:i4>0</vt:i4>
      </vt:variant>
      <vt:variant>
        <vt:i4>5</vt:i4>
      </vt:variant>
      <vt:variant>
        <vt:lpwstr>https://www.aph.gov.au/DocumentStore.ashx?id=eaee013e-2e82-40ab-a581-72dc5336166b&amp;subId=657916</vt:lpwstr>
      </vt:variant>
      <vt:variant>
        <vt:lpwstr/>
      </vt:variant>
      <vt:variant>
        <vt:i4>4128824</vt:i4>
      </vt:variant>
      <vt:variant>
        <vt:i4>270</vt:i4>
      </vt:variant>
      <vt:variant>
        <vt:i4>0</vt:i4>
      </vt:variant>
      <vt:variant>
        <vt:i4>5</vt:i4>
      </vt:variant>
      <vt:variant>
        <vt:lpwstr>https://www.humanrights.gov.au/our-work/legal/submission/senate-inquiry-social-security-administration-amendment-income-management</vt:lpwstr>
      </vt:variant>
      <vt:variant>
        <vt:lpwstr/>
      </vt:variant>
      <vt:variant>
        <vt:i4>3735670</vt:i4>
      </vt:variant>
      <vt:variant>
        <vt:i4>267</vt:i4>
      </vt:variant>
      <vt:variant>
        <vt:i4>0</vt:i4>
      </vt:variant>
      <vt:variant>
        <vt:i4>5</vt:i4>
      </vt:variant>
      <vt:variant>
        <vt:lpwstr>https://www.aph.gov.au/DocumentStore.ashx?id=66ebd68e-6c3b-42fa-94f1-a7b910f84d94&amp;subId=666217</vt:lpwstr>
      </vt:variant>
      <vt:variant>
        <vt:lpwstr/>
      </vt:variant>
      <vt:variant>
        <vt:i4>1835032</vt:i4>
      </vt:variant>
      <vt:variant>
        <vt:i4>264</vt:i4>
      </vt:variant>
      <vt:variant>
        <vt:i4>0</vt:i4>
      </vt:variant>
      <vt:variant>
        <vt:i4>5</vt:i4>
      </vt:variant>
      <vt:variant>
        <vt:lpwstr>https://www.humanservices.gov.au/individuals/services/centrelink/parentsnext</vt:lpwstr>
      </vt:variant>
      <vt:variant>
        <vt:lpwstr/>
      </vt:variant>
      <vt:variant>
        <vt:i4>6619171</vt:i4>
      </vt:variant>
      <vt:variant>
        <vt:i4>261</vt:i4>
      </vt:variant>
      <vt:variant>
        <vt:i4>0</vt:i4>
      </vt:variant>
      <vt:variant>
        <vt:i4>5</vt:i4>
      </vt:variant>
      <vt:variant>
        <vt:lpwstr>https://www.servicesaustralia.gov.au/individuals/services/centrelink/coronavirus-supplement</vt:lpwstr>
      </vt:variant>
      <vt:variant>
        <vt:lpwstr/>
      </vt:variant>
      <vt:variant>
        <vt:i4>7536742</vt:i4>
      </vt:variant>
      <vt:variant>
        <vt:i4>258</vt:i4>
      </vt:variant>
      <vt:variant>
        <vt:i4>0</vt:i4>
      </vt:variant>
      <vt:variant>
        <vt:i4>5</vt:i4>
      </vt:variant>
      <vt:variant>
        <vt:lpwstr>https://www.aph.gov.au/Parliamentary_Business/Committees/Senate/Community_Affairs/Newstartrelatedpayments/Submissions</vt:lpwstr>
      </vt:variant>
      <vt:variant>
        <vt:lpwstr/>
      </vt:variant>
      <vt:variant>
        <vt:i4>7143461</vt:i4>
      </vt:variant>
      <vt:variant>
        <vt:i4>255</vt:i4>
      </vt:variant>
      <vt:variant>
        <vt:i4>0</vt:i4>
      </vt:variant>
      <vt:variant>
        <vt:i4>5</vt:i4>
      </vt:variant>
      <vt:variant>
        <vt:lpwstr>https://www.servicesaustralia.gov.au/individuals/services/centrelink/jobseeker-payment</vt:lpwstr>
      </vt:variant>
      <vt:variant>
        <vt:lpwstr/>
      </vt:variant>
      <vt:variant>
        <vt:i4>8192048</vt:i4>
      </vt:variant>
      <vt:variant>
        <vt:i4>252</vt:i4>
      </vt:variant>
      <vt:variant>
        <vt:i4>0</vt:i4>
      </vt:variant>
      <vt:variant>
        <vt:i4>5</vt:i4>
      </vt:variant>
      <vt:variant>
        <vt:lpwstr>https://www.humanrights.gov.au/our-work/race-discrimination/publications/leading-change-blueprint-cultural-diversity-and-0</vt:lpwstr>
      </vt:variant>
      <vt:variant>
        <vt:lpwstr/>
      </vt:variant>
      <vt:variant>
        <vt:i4>589845</vt:i4>
      </vt:variant>
      <vt:variant>
        <vt:i4>249</vt:i4>
      </vt:variant>
      <vt:variant>
        <vt:i4>0</vt:i4>
      </vt:variant>
      <vt:variant>
        <vt:i4>5</vt:i4>
      </vt:variant>
      <vt:variant>
        <vt:lpwstr>https://www.humanrights.gov.au/our-work/race-discrimination/publications/anti-racism-2018-and-beyond-2018</vt:lpwstr>
      </vt:variant>
      <vt:variant>
        <vt:lpwstr/>
      </vt:variant>
      <vt:variant>
        <vt:i4>4063287</vt:i4>
      </vt:variant>
      <vt:variant>
        <vt:i4>246</vt:i4>
      </vt:variant>
      <vt:variant>
        <vt:i4>0</vt:i4>
      </vt:variant>
      <vt:variant>
        <vt:i4>5</vt:i4>
      </vt:variant>
      <vt:variant>
        <vt:lpwstr>https://www.humanrights.gov.au/our-work/race-discrimination/publications/leading-change-blueprint-cultural-diversity-and-inclusive</vt:lpwstr>
      </vt:variant>
      <vt:variant>
        <vt:lpwstr/>
      </vt:variant>
      <vt:variant>
        <vt:i4>7798901</vt:i4>
      </vt:variant>
      <vt:variant>
        <vt:i4>243</vt:i4>
      </vt:variant>
      <vt:variant>
        <vt:i4>0</vt:i4>
      </vt:variant>
      <vt:variant>
        <vt:i4>5</vt:i4>
      </vt:variant>
      <vt:variant>
        <vt:lpwstr>https://www.asio.gov.au/director-generals-annual-threat-assessment.html</vt:lpwstr>
      </vt:variant>
      <vt:variant>
        <vt:lpwstr/>
      </vt:variant>
      <vt:variant>
        <vt:i4>2818174</vt:i4>
      </vt:variant>
      <vt:variant>
        <vt:i4>240</vt:i4>
      </vt:variant>
      <vt:variant>
        <vt:i4>0</vt:i4>
      </vt:variant>
      <vt:variant>
        <vt:i4>5</vt:i4>
      </vt:variant>
      <vt:variant>
        <vt:lpwstr>https://www.humanrights.gov.au/about/news/new-report-shows-increase-severe-islamophobic-attacks</vt:lpwstr>
      </vt:variant>
      <vt:variant>
        <vt:lpwstr/>
      </vt:variant>
      <vt:variant>
        <vt:i4>1835096</vt:i4>
      </vt:variant>
      <vt:variant>
        <vt:i4>237</vt:i4>
      </vt:variant>
      <vt:variant>
        <vt:i4>0</vt:i4>
      </vt:variant>
      <vt:variant>
        <vt:i4>5</vt:i4>
      </vt:variant>
      <vt:variant>
        <vt:lpwstr>https://researchdirect.westernsydney.edu.au/islandora/object/uws%3A39004/datastream/PDF/view</vt:lpwstr>
      </vt:variant>
      <vt:variant>
        <vt:lpwstr/>
      </vt:variant>
      <vt:variant>
        <vt:i4>1769562</vt:i4>
      </vt:variant>
      <vt:variant>
        <vt:i4>234</vt:i4>
      </vt:variant>
      <vt:variant>
        <vt:i4>0</vt:i4>
      </vt:variant>
      <vt:variant>
        <vt:i4>5</vt:i4>
      </vt:variant>
      <vt:variant>
        <vt:lpwstr>https://scanloninstitute.org.au/sites/default/files/2019-11/Mapping Social Cohesion 2019.pdf</vt:lpwstr>
      </vt:variant>
      <vt:variant>
        <vt:lpwstr/>
      </vt:variant>
      <vt:variant>
        <vt:i4>3801204</vt:i4>
      </vt:variant>
      <vt:variant>
        <vt:i4>231</vt:i4>
      </vt:variant>
      <vt:variant>
        <vt:i4>0</vt:i4>
      </vt:variant>
      <vt:variant>
        <vt:i4>5</vt:i4>
      </vt:variant>
      <vt:variant>
        <vt:lpwstr>https://humanrights.gov.au/our-work/asylum-seekers-and-refugees/publications/lives-hold-refugees-and-asylum-seekers-legacy</vt:lpwstr>
      </vt:variant>
      <vt:variant>
        <vt:lpwstr/>
      </vt:variant>
      <vt:variant>
        <vt:i4>6946862</vt:i4>
      </vt:variant>
      <vt:variant>
        <vt:i4>228</vt:i4>
      </vt:variant>
      <vt:variant>
        <vt:i4>0</vt:i4>
      </vt:variant>
      <vt:variant>
        <vt:i4>5</vt:i4>
      </vt:variant>
      <vt:variant>
        <vt:lpwstr>https://www.aph.gov.au/DocumentStore.ashx?id=00960d0c-3a8e-43cc-9a29-cbeebc106579&amp;subId=706791</vt:lpwstr>
      </vt:variant>
      <vt:variant>
        <vt:lpwstr/>
      </vt:variant>
      <vt:variant>
        <vt:i4>6946915</vt:i4>
      </vt:variant>
      <vt:variant>
        <vt:i4>225</vt:i4>
      </vt:variant>
      <vt:variant>
        <vt:i4>0</vt:i4>
      </vt:variant>
      <vt:variant>
        <vt:i4>5</vt:i4>
      </vt:variant>
      <vt:variant>
        <vt:lpwstr>https://www.aph.gov.au/About_Parliament/Parliamentary_Departments/Parliamentary_Library/pubs/rp/rp1920/Quick_Guides/TemporaryVisaHoldersSocialSecurity</vt:lpwstr>
      </vt:variant>
      <vt:variant>
        <vt:lpwstr/>
      </vt:variant>
      <vt:variant>
        <vt:i4>6488180</vt:i4>
      </vt:variant>
      <vt:variant>
        <vt:i4>222</vt:i4>
      </vt:variant>
      <vt:variant>
        <vt:i4>0</vt:i4>
      </vt:variant>
      <vt:variant>
        <vt:i4>5</vt:i4>
      </vt:variant>
      <vt:variant>
        <vt:lpwstr>https://www.humanrights.gov.au/our-work/asylum-seekers-and-refugees/publications/lives-hold-refugees-and-asylum-seekers-legacy</vt:lpwstr>
      </vt:variant>
      <vt:variant>
        <vt:lpwstr/>
      </vt:variant>
      <vt:variant>
        <vt:i4>6946862</vt:i4>
      </vt:variant>
      <vt:variant>
        <vt:i4>219</vt:i4>
      </vt:variant>
      <vt:variant>
        <vt:i4>0</vt:i4>
      </vt:variant>
      <vt:variant>
        <vt:i4>5</vt:i4>
      </vt:variant>
      <vt:variant>
        <vt:lpwstr>https://www.aph.gov.au/DocumentStore.ashx?id=00960d0c-3a8e-43cc-9a29-cbeebc106579&amp;subId=706791</vt:lpwstr>
      </vt:variant>
      <vt:variant>
        <vt:lpwstr/>
      </vt:variant>
      <vt:variant>
        <vt:i4>6488180</vt:i4>
      </vt:variant>
      <vt:variant>
        <vt:i4>216</vt:i4>
      </vt:variant>
      <vt:variant>
        <vt:i4>0</vt:i4>
      </vt:variant>
      <vt:variant>
        <vt:i4>5</vt:i4>
      </vt:variant>
      <vt:variant>
        <vt:lpwstr>https://www.humanrights.gov.au/our-work/asylum-seekers-and-refugees/publications/lives-hold-refugees-and-asylum-seekers-legacy</vt:lpwstr>
      </vt:variant>
      <vt:variant>
        <vt:lpwstr/>
      </vt:variant>
      <vt:variant>
        <vt:i4>7536672</vt:i4>
      </vt:variant>
      <vt:variant>
        <vt:i4>213</vt:i4>
      </vt:variant>
      <vt:variant>
        <vt:i4>0</vt:i4>
      </vt:variant>
      <vt:variant>
        <vt:i4>5</vt:i4>
      </vt:variant>
      <vt:variant>
        <vt:lpwstr>https://www.humanrights.gov.au/our-work/legal/submission/migration-amendment-repairing-medical-transfers-bill-2019</vt:lpwstr>
      </vt:variant>
      <vt:variant>
        <vt:lpwstr/>
      </vt:variant>
      <vt:variant>
        <vt:i4>4063355</vt:i4>
      </vt:variant>
      <vt:variant>
        <vt:i4>210</vt:i4>
      </vt:variant>
      <vt:variant>
        <vt:i4>0</vt:i4>
      </vt:variant>
      <vt:variant>
        <vt:i4>5</vt:i4>
      </vt:variant>
      <vt:variant>
        <vt:lpwstr>https://www.humanrights.gov.au/about/news/human-rights-commissioner-medevac-law</vt:lpwstr>
      </vt:variant>
      <vt:variant>
        <vt:lpwstr/>
      </vt:variant>
      <vt:variant>
        <vt:i4>6160486</vt:i4>
      </vt:variant>
      <vt:variant>
        <vt:i4>207</vt:i4>
      </vt:variant>
      <vt:variant>
        <vt:i4>0</vt:i4>
      </vt:variant>
      <vt:variant>
        <vt:i4>5</vt:i4>
      </vt:variant>
      <vt:variant>
        <vt:lpwstr>http://www.aph.gov.au/Parliamentary_Business/Committees/Senate/Regional_processing_Nauru/Regional_processing_Nauru/~/media/Committees/nauru_ctte/Final_Report/report.pdf</vt:lpwstr>
      </vt:variant>
      <vt:variant>
        <vt:lpwstr/>
      </vt:variant>
      <vt:variant>
        <vt:i4>8192017</vt:i4>
      </vt:variant>
      <vt:variant>
        <vt:i4>204</vt:i4>
      </vt:variant>
      <vt:variant>
        <vt:i4>0</vt:i4>
      </vt:variant>
      <vt:variant>
        <vt:i4>5</vt:i4>
      </vt:variant>
      <vt:variant>
        <vt:lpwstr>http://www.ohchr.org/EN/HRBodies/HRC/RegularSessions/Session28/Documents/A_HRC_28_68_Add.1_en.doc</vt:lpwstr>
      </vt:variant>
      <vt:variant>
        <vt:lpwstr/>
      </vt:variant>
      <vt:variant>
        <vt:i4>7077951</vt:i4>
      </vt:variant>
      <vt:variant>
        <vt:i4>201</vt:i4>
      </vt:variant>
      <vt:variant>
        <vt:i4>0</vt:i4>
      </vt:variant>
      <vt:variant>
        <vt:i4>5</vt:i4>
      </vt:variant>
      <vt:variant>
        <vt:lpwstr>https://www.homeaffairs.gov.au/reports-and-pubs/files/review-conditions-circumstances-nauru.pdf</vt:lpwstr>
      </vt:variant>
      <vt:variant>
        <vt:lpwstr/>
      </vt:variant>
      <vt:variant>
        <vt:i4>1769598</vt:i4>
      </vt:variant>
      <vt:variant>
        <vt:i4>198</vt:i4>
      </vt:variant>
      <vt:variant>
        <vt:i4>0</vt:i4>
      </vt:variant>
      <vt:variant>
        <vt:i4>5</vt:i4>
      </vt:variant>
      <vt:variant>
        <vt:lpwstr>https://tbinternet.ohchr.org/_layouts/15/treatybodyexternal/Download.aspx?symbolno=CAT/C/AUS/CO/4-5&amp;Lang=En</vt:lpwstr>
      </vt:variant>
      <vt:variant>
        <vt:lpwstr/>
      </vt:variant>
      <vt:variant>
        <vt:i4>2490422</vt:i4>
      </vt:variant>
      <vt:variant>
        <vt:i4>195</vt:i4>
      </vt:variant>
      <vt:variant>
        <vt:i4>0</vt:i4>
      </vt:variant>
      <vt:variant>
        <vt:i4>5</vt:i4>
      </vt:variant>
      <vt:variant>
        <vt:lpwstr>https://www.homeaffairs.gov.au/reports-and-pubs/files/review-robert-cornall.pdf</vt:lpwstr>
      </vt:variant>
      <vt:variant>
        <vt:lpwstr/>
      </vt:variant>
      <vt:variant>
        <vt:i4>1245207</vt:i4>
      </vt:variant>
      <vt:variant>
        <vt:i4>192</vt:i4>
      </vt:variant>
      <vt:variant>
        <vt:i4>0</vt:i4>
      </vt:variant>
      <vt:variant>
        <vt:i4>5</vt:i4>
      </vt:variant>
      <vt:variant>
        <vt:lpwstr>http://www.unhcr.org/en-au/publications/legal/58117b931/unhcr-monitoring-visit-to-the-republic-of-nauru-7-to-9-october-2013.html</vt:lpwstr>
      </vt:variant>
      <vt:variant>
        <vt:lpwstr/>
      </vt:variant>
      <vt:variant>
        <vt:i4>7143440</vt:i4>
      </vt:variant>
      <vt:variant>
        <vt:i4>189</vt:i4>
      </vt:variant>
      <vt:variant>
        <vt:i4>0</vt:i4>
      </vt:variant>
      <vt:variant>
        <vt:i4>5</vt:i4>
      </vt:variant>
      <vt:variant>
        <vt:lpwstr>http://www.aph.gov.au/Parliamentary_Business/Committees/Joint/Human_Rights/Committee_Inquiries/migration/index</vt:lpwstr>
      </vt:variant>
      <vt:variant>
        <vt:lpwstr/>
      </vt:variant>
      <vt:variant>
        <vt:i4>852055</vt:i4>
      </vt:variant>
      <vt:variant>
        <vt:i4>186</vt:i4>
      </vt:variant>
      <vt:variant>
        <vt:i4>0</vt:i4>
      </vt:variant>
      <vt:variant>
        <vt:i4>5</vt:i4>
      </vt:variant>
      <vt:variant>
        <vt:lpwstr>http://www.refworld.org/docid/5139ab872.html</vt:lpwstr>
      </vt:variant>
      <vt:variant>
        <vt:lpwstr/>
      </vt:variant>
      <vt:variant>
        <vt:i4>5963798</vt:i4>
      </vt:variant>
      <vt:variant>
        <vt:i4>183</vt:i4>
      </vt:variant>
      <vt:variant>
        <vt:i4>0</vt:i4>
      </vt:variant>
      <vt:variant>
        <vt:i4>5</vt:i4>
      </vt:variant>
      <vt:variant>
        <vt:lpwstr>https://www.humanrights.gov.au/sites/default/files/document/publication/forgotten_children_2014.pdf</vt:lpwstr>
      </vt:variant>
      <vt:variant>
        <vt:lpwstr/>
      </vt:variant>
      <vt:variant>
        <vt:i4>1048636</vt:i4>
      </vt:variant>
      <vt:variant>
        <vt:i4>180</vt:i4>
      </vt:variant>
      <vt:variant>
        <vt:i4>0</vt:i4>
      </vt:variant>
      <vt:variant>
        <vt:i4>5</vt:i4>
      </vt:variant>
      <vt:variant>
        <vt:lpwstr>https://tbinternet.ohchr.org/_layouts/15/treatybodyexternal/Download.aspx?symbolno=E/C.12/AUS/CO/5&amp;Lang=En</vt:lpwstr>
      </vt:variant>
      <vt:variant>
        <vt:lpwstr/>
      </vt:variant>
      <vt:variant>
        <vt:i4>7143498</vt:i4>
      </vt:variant>
      <vt:variant>
        <vt:i4>177</vt:i4>
      </vt:variant>
      <vt:variant>
        <vt:i4>0</vt:i4>
      </vt:variant>
      <vt:variant>
        <vt:i4>5</vt:i4>
      </vt:variant>
      <vt:variant>
        <vt:lpwstr>https://www.ombudsman.gov.au/__data/assets/pdf_file/0013/111235/1-July-2020-Statement-by-the-Commonwealth-Ombudsman-Michael-Manthorpe-on-the-management-of-COVID-19-risks-in-immigration-detention-facilities.pdf</vt:lpwstr>
      </vt:variant>
      <vt:variant>
        <vt:lpwstr/>
      </vt:variant>
      <vt:variant>
        <vt:i4>7012402</vt:i4>
      </vt:variant>
      <vt:variant>
        <vt:i4>174</vt:i4>
      </vt:variant>
      <vt:variant>
        <vt:i4>0</vt:i4>
      </vt:variant>
      <vt:variant>
        <vt:i4>5</vt:i4>
      </vt:variant>
      <vt:variant>
        <vt:lpwstr>https://www.humanrights.gov.au/our-work/asylum-seekers-and-refugees/publications/risk-management-immigration-detention-2019</vt:lpwstr>
      </vt:variant>
      <vt:variant>
        <vt:lpwstr/>
      </vt:variant>
      <vt:variant>
        <vt:i4>7733303</vt:i4>
      </vt:variant>
      <vt:variant>
        <vt:i4>171</vt:i4>
      </vt:variant>
      <vt:variant>
        <vt:i4>0</vt:i4>
      </vt:variant>
      <vt:variant>
        <vt:i4>5</vt:i4>
      </vt:variant>
      <vt:variant>
        <vt:lpwstr>https://www.humanrights.gov.au/our-work/childrens-rights/publications/childrens-rights-report-2019</vt:lpwstr>
      </vt:variant>
      <vt:variant>
        <vt:lpwstr/>
      </vt:variant>
      <vt:variant>
        <vt:i4>786517</vt:i4>
      </vt:variant>
      <vt:variant>
        <vt:i4>168</vt:i4>
      </vt:variant>
      <vt:variant>
        <vt:i4>0</vt:i4>
      </vt:variant>
      <vt:variant>
        <vt:i4>5</vt:i4>
      </vt:variant>
      <vt:variant>
        <vt:lpwstr>https://www.snaicc.org.au/wp-content/uploads/2017/07/Understanding_applying_ATSICCP.pdf</vt:lpwstr>
      </vt:variant>
      <vt:variant>
        <vt:lpwstr/>
      </vt:variant>
      <vt:variant>
        <vt:i4>2752561</vt:i4>
      </vt:variant>
      <vt:variant>
        <vt:i4>165</vt:i4>
      </vt:variant>
      <vt:variant>
        <vt:i4>0</vt:i4>
      </vt:variant>
      <vt:variant>
        <vt:i4>5</vt:i4>
      </vt:variant>
      <vt:variant>
        <vt:lpwstr>https://www.humanrights.gov.au/our-work/childrens-rights/projects/reporting-united-nations-childrens-rights</vt:lpwstr>
      </vt:variant>
      <vt:variant>
        <vt:lpwstr/>
      </vt:variant>
      <vt:variant>
        <vt:i4>3276907</vt:i4>
      </vt:variant>
      <vt:variant>
        <vt:i4>162</vt:i4>
      </vt:variant>
      <vt:variant>
        <vt:i4>0</vt:i4>
      </vt:variant>
      <vt:variant>
        <vt:i4>5</vt:i4>
      </vt:variant>
      <vt:variant>
        <vt:lpwstr>https://www.aihw.gov.au/reports/australias-welfare/child-protection</vt:lpwstr>
      </vt:variant>
      <vt:variant>
        <vt:lpwstr/>
      </vt:variant>
      <vt:variant>
        <vt:i4>4063349</vt:i4>
      </vt:variant>
      <vt:variant>
        <vt:i4>159</vt:i4>
      </vt:variant>
      <vt:variant>
        <vt:i4>0</vt:i4>
      </vt:variant>
      <vt:variant>
        <vt:i4>5</vt:i4>
      </vt:variant>
      <vt:variant>
        <vt:lpwstr>https://www.aihw.gov.au/getmedia/e551a2bc-9149-4625-83c0-7bf1523c3793/aihw-cws-65.pdf.aspx?inline=true</vt:lpwstr>
      </vt:variant>
      <vt:variant>
        <vt:lpwstr/>
      </vt:variant>
      <vt:variant>
        <vt:i4>3276907</vt:i4>
      </vt:variant>
      <vt:variant>
        <vt:i4>156</vt:i4>
      </vt:variant>
      <vt:variant>
        <vt:i4>0</vt:i4>
      </vt:variant>
      <vt:variant>
        <vt:i4>5</vt:i4>
      </vt:variant>
      <vt:variant>
        <vt:lpwstr>https://www.aihw.gov.au/reports/australias-welfare/child-protection</vt:lpwstr>
      </vt:variant>
      <vt:variant>
        <vt:lpwstr/>
      </vt:variant>
      <vt:variant>
        <vt:i4>5832795</vt:i4>
      </vt:variant>
      <vt:variant>
        <vt:i4>153</vt:i4>
      </vt:variant>
      <vt:variant>
        <vt:i4>0</vt:i4>
      </vt:variant>
      <vt:variant>
        <vt:i4>5</vt:i4>
      </vt:variant>
      <vt:variant>
        <vt:lpwstr>https://www.unicef.org.au/about-us/media/october-2021/call-for-national-plan-as-children-tell-of-lockdow</vt:lpwstr>
      </vt:variant>
      <vt:variant>
        <vt:lpwstr/>
      </vt:variant>
      <vt:variant>
        <vt:i4>89</vt:i4>
      </vt:variant>
      <vt:variant>
        <vt:i4>150</vt:i4>
      </vt:variant>
      <vt:variant>
        <vt:i4>0</vt:i4>
      </vt:variant>
      <vt:variant>
        <vt:i4>5</vt:i4>
      </vt:variant>
      <vt:variant>
        <vt:lpwstr>https://www.humanrights.gov.au/our-work/sexual-orientation-sex-gender-identity/publications/resilient-individuals-sexual</vt:lpwstr>
      </vt:variant>
      <vt:variant>
        <vt:lpwstr/>
      </vt:variant>
      <vt:variant>
        <vt:i4>3932269</vt:i4>
      </vt:variant>
      <vt:variant>
        <vt:i4>147</vt:i4>
      </vt:variant>
      <vt:variant>
        <vt:i4>0</vt:i4>
      </vt:variant>
      <vt:variant>
        <vt:i4>5</vt:i4>
      </vt:variant>
      <vt:variant>
        <vt:lpwstr>https://www.humanrights.gov.au/our-work/age-discrimination/projects/willing-work-national-inquiry-employment-discrimination</vt:lpwstr>
      </vt:variant>
      <vt:variant>
        <vt:lpwstr/>
      </vt:variant>
      <vt:variant>
        <vt:i4>7340153</vt:i4>
      </vt:variant>
      <vt:variant>
        <vt:i4>144</vt:i4>
      </vt:variant>
      <vt:variant>
        <vt:i4>0</vt:i4>
      </vt:variant>
      <vt:variant>
        <vt:i4>5</vt:i4>
      </vt:variant>
      <vt:variant>
        <vt:lpwstr>https://www.alrc.gov.au/publication/elder-abuse-a-national-legal-response-alrc-report-131/</vt:lpwstr>
      </vt:variant>
      <vt:variant>
        <vt:lpwstr/>
      </vt:variant>
      <vt:variant>
        <vt:i4>2228282</vt:i4>
      </vt:variant>
      <vt:variant>
        <vt:i4>141</vt:i4>
      </vt:variant>
      <vt:variant>
        <vt:i4>0</vt:i4>
      </vt:variant>
      <vt:variant>
        <vt:i4>5</vt:i4>
      </vt:variant>
      <vt:variant>
        <vt:lpwstr>https://www.humanrights.gov.au/about/news/commission-welcomes-national-plan-elder-abuse</vt:lpwstr>
      </vt:variant>
      <vt:variant>
        <vt:lpwstr/>
      </vt:variant>
      <vt:variant>
        <vt:i4>4784218</vt:i4>
      </vt:variant>
      <vt:variant>
        <vt:i4>138</vt:i4>
      </vt:variant>
      <vt:variant>
        <vt:i4>0</vt:i4>
      </vt:variant>
      <vt:variant>
        <vt:i4>5</vt:i4>
      </vt:variant>
      <vt:variant>
        <vt:lpwstr>https://www.humanrights.gov.au/our-work/sex-discrimination/publications/conversation-gender-equality-2017</vt:lpwstr>
      </vt:variant>
      <vt:variant>
        <vt:lpwstr/>
      </vt:variant>
      <vt:variant>
        <vt:i4>6488097</vt:i4>
      </vt:variant>
      <vt:variant>
        <vt:i4>135</vt:i4>
      </vt:variant>
      <vt:variant>
        <vt:i4>0</vt:i4>
      </vt:variant>
      <vt:variant>
        <vt:i4>5</vt:i4>
      </vt:variant>
      <vt:variant>
        <vt:lpwstr>https://www.ourwatch.org.au/getmedia/a415a239-5de6-4dbd-806d-4e92a53e532e/Change-the-story-framework-foundations-2.pdf.aspx</vt:lpwstr>
      </vt:variant>
      <vt:variant>
        <vt:lpwstr/>
      </vt:variant>
      <vt:variant>
        <vt:i4>5963870</vt:i4>
      </vt:variant>
      <vt:variant>
        <vt:i4>132</vt:i4>
      </vt:variant>
      <vt:variant>
        <vt:i4>0</vt:i4>
      </vt:variant>
      <vt:variant>
        <vt:i4>5</vt:i4>
      </vt:variant>
      <vt:variant>
        <vt:lpwstr>https://engage.dss.gov.au/developing-the-next-national-plan-to-reduce-violence-against-women-and-their-children/</vt:lpwstr>
      </vt:variant>
      <vt:variant>
        <vt:lpwstr/>
      </vt:variant>
      <vt:variant>
        <vt:i4>917505</vt:i4>
      </vt:variant>
      <vt:variant>
        <vt:i4>129</vt:i4>
      </vt:variant>
      <vt:variant>
        <vt:i4>0</vt:i4>
      </vt:variant>
      <vt:variant>
        <vt:i4>5</vt:i4>
      </vt:variant>
      <vt:variant>
        <vt:lpwstr>https://www.humanrights.gov.au/our-work/sex-discrimination/publications/respectwork-sexual-harassment-national-inquiry-report-2020?mc_cid=1065707e3c&amp;mc_eid=%5bUNIQID%5d</vt:lpwstr>
      </vt:variant>
      <vt:variant>
        <vt:lpwstr/>
      </vt:variant>
      <vt:variant>
        <vt:i4>196622</vt:i4>
      </vt:variant>
      <vt:variant>
        <vt:i4>126</vt:i4>
      </vt:variant>
      <vt:variant>
        <vt:i4>0</vt:i4>
      </vt:variant>
      <vt:variant>
        <vt:i4>5</vt:i4>
      </vt:variant>
      <vt:variant>
        <vt:lpwstr>https://www.unwomen.org/-/media/headquarters/attachments/sections/library/publications/2020/policy-brief-the-impact-of-covid-19-on-women-en.pdf?la=en&amp;vs=1406</vt:lpwstr>
      </vt:variant>
      <vt:variant>
        <vt:lpwstr/>
      </vt:variant>
      <vt:variant>
        <vt:i4>2293885</vt:i4>
      </vt:variant>
      <vt:variant>
        <vt:i4>123</vt:i4>
      </vt:variant>
      <vt:variant>
        <vt:i4>0</vt:i4>
      </vt:variant>
      <vt:variant>
        <vt:i4>5</vt:i4>
      </vt:variant>
      <vt:variant>
        <vt:lpwstr>https://cew.org.au/topics/cew-senior-executive-census/</vt:lpwstr>
      </vt:variant>
      <vt:variant>
        <vt:lpwstr/>
      </vt:variant>
      <vt:variant>
        <vt:i4>8257630</vt:i4>
      </vt:variant>
      <vt:variant>
        <vt:i4>120</vt:i4>
      </vt:variant>
      <vt:variant>
        <vt:i4>0</vt:i4>
      </vt:variant>
      <vt:variant>
        <vt:i4>5</vt:i4>
      </vt:variant>
      <vt:variant>
        <vt:lpwstr>https://www.superannuation.asn.au/ArticleDocuments/359/1710_Superannuation_account_balances_by_age_and_gender.pdf.aspx</vt:lpwstr>
      </vt:variant>
      <vt:variant>
        <vt:lpwstr/>
      </vt:variant>
      <vt:variant>
        <vt:i4>4587530</vt:i4>
      </vt:variant>
      <vt:variant>
        <vt:i4>117</vt:i4>
      </vt:variant>
      <vt:variant>
        <vt:i4>0</vt:i4>
      </vt:variant>
      <vt:variant>
        <vt:i4>5</vt:i4>
      </vt:variant>
      <vt:variant>
        <vt:lpwstr>https://www.humanrights.gov.au/our-work/legal/submission/gender-segregation-workplace-and-its-impact-womens-economic-equality</vt:lpwstr>
      </vt:variant>
      <vt:variant>
        <vt:lpwstr/>
      </vt:variant>
      <vt:variant>
        <vt:i4>6815864</vt:i4>
      </vt:variant>
      <vt:variant>
        <vt:i4>114</vt:i4>
      </vt:variant>
      <vt:variant>
        <vt:i4>0</vt:i4>
      </vt:variant>
      <vt:variant>
        <vt:i4>5</vt:i4>
      </vt:variant>
      <vt:variant>
        <vt:lpwstr>https://www.wgea.gov.au/data/wgea-research/shes-pricedless-the-economics-of-the-gender-pay-gap</vt:lpwstr>
      </vt:variant>
      <vt:variant>
        <vt:lpwstr/>
      </vt:variant>
      <vt:variant>
        <vt:i4>4325467</vt:i4>
      </vt:variant>
      <vt:variant>
        <vt:i4>111</vt:i4>
      </vt:variant>
      <vt:variant>
        <vt:i4>0</vt:i4>
      </vt:variant>
      <vt:variant>
        <vt:i4>5</vt:i4>
      </vt:variant>
      <vt:variant>
        <vt:lpwstr>https://www.wgea.gov.au/publications/australias-gender-pay-gap-statistics</vt:lpwstr>
      </vt:variant>
      <vt:variant>
        <vt:lpwstr/>
      </vt:variant>
      <vt:variant>
        <vt:i4>7995424</vt:i4>
      </vt:variant>
      <vt:variant>
        <vt:i4>108</vt:i4>
      </vt:variant>
      <vt:variant>
        <vt:i4>0</vt:i4>
      </vt:variant>
      <vt:variant>
        <vt:i4>5</vt:i4>
      </vt:variant>
      <vt:variant>
        <vt:lpwstr>https://www.humanrights.gov.au/our-work/legal/submission/information-concerning-australias-compliance-convention-rights-persons</vt:lpwstr>
      </vt:variant>
      <vt:variant>
        <vt:lpwstr/>
      </vt:variant>
      <vt:variant>
        <vt:i4>6160413</vt:i4>
      </vt:variant>
      <vt:variant>
        <vt:i4>105</vt:i4>
      </vt:variant>
      <vt:variant>
        <vt:i4>0</vt:i4>
      </vt:variant>
      <vt:variant>
        <vt:i4>5</vt:i4>
      </vt:variant>
      <vt:variant>
        <vt:lpwstr>https://www.ohchr.org/EN/HRBodies/UPR/Pages/AUIndex.aspx</vt:lpwstr>
      </vt:variant>
      <vt:variant>
        <vt:lpwstr/>
      </vt:variant>
      <vt:variant>
        <vt:i4>2687027</vt:i4>
      </vt:variant>
      <vt:variant>
        <vt:i4>102</vt:i4>
      </vt:variant>
      <vt:variant>
        <vt:i4>0</vt:i4>
      </vt:variant>
      <vt:variant>
        <vt:i4>5</vt:i4>
      </vt:variant>
      <vt:variant>
        <vt:lpwstr>https://undocs.org/A/HRC/31/14</vt:lpwstr>
      </vt:variant>
      <vt:variant>
        <vt:lpwstr/>
      </vt:variant>
      <vt:variant>
        <vt:i4>1507418</vt:i4>
      </vt:variant>
      <vt:variant>
        <vt:i4>99</vt:i4>
      </vt:variant>
      <vt:variant>
        <vt:i4>0</vt:i4>
      </vt:variant>
      <vt:variant>
        <vt:i4>5</vt:i4>
      </vt:variant>
      <vt:variant>
        <vt:lpwstr>https://www.dss.gov.au/our-responsibilities/disability-and-carers/publications-articles/policy-research/national-framework-for-reducing-and-eliminating-the-use-of-restrictive-practices-in-the-disability-service-sector</vt:lpwstr>
      </vt:variant>
      <vt:variant>
        <vt:lpwstr/>
      </vt:variant>
      <vt:variant>
        <vt:i4>524362</vt:i4>
      </vt:variant>
      <vt:variant>
        <vt:i4>96</vt:i4>
      </vt:variant>
      <vt:variant>
        <vt:i4>0</vt:i4>
      </vt:variant>
      <vt:variant>
        <vt:i4>5</vt:i4>
      </vt:variant>
      <vt:variant>
        <vt:lpwstr>https://www.aihw.gov.au/reports/domestic-violence/family-domestic-sexual-violence-australia-2019/report-editions</vt:lpwstr>
      </vt:variant>
      <vt:variant>
        <vt:lpwstr/>
      </vt:variant>
      <vt:variant>
        <vt:i4>2359333</vt:i4>
      </vt:variant>
      <vt:variant>
        <vt:i4>93</vt:i4>
      </vt:variant>
      <vt:variant>
        <vt:i4>0</vt:i4>
      </vt:variant>
      <vt:variant>
        <vt:i4>5</vt:i4>
      </vt:variant>
      <vt:variant>
        <vt:lpwstr>https://www.humanrights.gov.au/our-work/disability-rights/publications/future-without-violence-2018</vt:lpwstr>
      </vt:variant>
      <vt:variant>
        <vt:lpwstr/>
      </vt:variant>
      <vt:variant>
        <vt:i4>6553620</vt:i4>
      </vt:variant>
      <vt:variant>
        <vt:i4>90</vt:i4>
      </vt:variant>
      <vt:variant>
        <vt:i4>0</vt:i4>
      </vt:variant>
      <vt:variant>
        <vt:i4>5</vt:i4>
      </vt:variant>
      <vt:variant>
        <vt:lpwstr>https://tbinternet.ohchr.org/Treaties/CCPR/Shared Documents/AUS/INT_CCPR_NHS_AUS_28980_E.pdf</vt:lpwstr>
      </vt:variant>
      <vt:variant>
        <vt:lpwstr/>
      </vt:variant>
      <vt:variant>
        <vt:i4>6422638</vt:i4>
      </vt:variant>
      <vt:variant>
        <vt:i4>87</vt:i4>
      </vt:variant>
      <vt:variant>
        <vt:i4>0</vt:i4>
      </vt:variant>
      <vt:variant>
        <vt:i4>5</vt:i4>
      </vt:variant>
      <vt:variant>
        <vt:lpwstr>https://www.humanrights.gov.au/our-work/childrens-rights/publications/report-un-committee-rights-child-2018</vt:lpwstr>
      </vt:variant>
      <vt:variant>
        <vt:lpwstr/>
      </vt:variant>
      <vt:variant>
        <vt:i4>4063325</vt:i4>
      </vt:variant>
      <vt:variant>
        <vt:i4>84</vt:i4>
      </vt:variant>
      <vt:variant>
        <vt:i4>0</vt:i4>
      </vt:variant>
      <vt:variant>
        <vt:i4>5</vt:i4>
      </vt:variant>
      <vt:variant>
        <vt:lpwstr>https://tbinternet.ohchr.org/Treaties/CEDAW/Shared Documents/AUS/INT_CEDAW_IFN_AUS_31439_E.pdf</vt:lpwstr>
      </vt:variant>
      <vt:variant>
        <vt:lpwstr/>
      </vt:variant>
      <vt:variant>
        <vt:i4>1966158</vt:i4>
      </vt:variant>
      <vt:variant>
        <vt:i4>81</vt:i4>
      </vt:variant>
      <vt:variant>
        <vt:i4>0</vt:i4>
      </vt:variant>
      <vt:variant>
        <vt:i4>5</vt:i4>
      </vt:variant>
      <vt:variant>
        <vt:lpwstr>https://humanrights.gov.au/our-work/disability-rights/projects/includeability</vt:lpwstr>
      </vt:variant>
      <vt:variant>
        <vt:lpwstr/>
      </vt:variant>
      <vt:variant>
        <vt:i4>5308470</vt:i4>
      </vt:variant>
      <vt:variant>
        <vt:i4>78</vt:i4>
      </vt:variant>
      <vt:variant>
        <vt:i4>0</vt:i4>
      </vt:variant>
      <vt:variant>
        <vt:i4>5</vt:i4>
      </vt:variant>
      <vt:variant>
        <vt:lpwstr>https://www.abs.gov.au/ausstats/abs@.nsf/mf/4430.0</vt:lpwstr>
      </vt:variant>
      <vt:variant>
        <vt:lpwstr/>
      </vt:variant>
      <vt:variant>
        <vt:i4>1179737</vt:i4>
      </vt:variant>
      <vt:variant>
        <vt:i4>75</vt:i4>
      </vt:variant>
      <vt:variant>
        <vt:i4>0</vt:i4>
      </vt:variant>
      <vt:variant>
        <vt:i4>5</vt:i4>
      </vt:variant>
      <vt:variant>
        <vt:lpwstr>https://www.humanrights/</vt:lpwstr>
      </vt:variant>
      <vt:variant>
        <vt:lpwstr/>
      </vt:variant>
      <vt:variant>
        <vt:i4>7798895</vt:i4>
      </vt:variant>
      <vt:variant>
        <vt:i4>72</vt:i4>
      </vt:variant>
      <vt:variant>
        <vt:i4>0</vt:i4>
      </vt:variant>
      <vt:variant>
        <vt:i4>5</vt:i4>
      </vt:variant>
      <vt:variant>
        <vt:lpwstr>https://www.dss.gov.au/disability-and-carers/a-new-national-disability-strategy</vt:lpwstr>
      </vt:variant>
      <vt:variant>
        <vt:lpwstr/>
      </vt:variant>
      <vt:variant>
        <vt:i4>6684708</vt:i4>
      </vt:variant>
      <vt:variant>
        <vt:i4>69</vt:i4>
      </vt:variant>
      <vt:variant>
        <vt:i4>0</vt:i4>
      </vt:variant>
      <vt:variant>
        <vt:i4>5</vt:i4>
      </vt:variant>
      <vt:variant>
        <vt:lpwstr>https://www.alrc.gov.au/publication/connection-to-country-review-of-the-native-title-act-1993-cth-alrc-report-126/</vt:lpwstr>
      </vt:variant>
      <vt:variant>
        <vt:lpwstr/>
      </vt:variant>
      <vt:variant>
        <vt:i4>2293805</vt:i4>
      </vt:variant>
      <vt:variant>
        <vt:i4>66</vt:i4>
      </vt:variant>
      <vt:variant>
        <vt:i4>0</vt:i4>
      </vt:variant>
      <vt:variant>
        <vt:i4>5</vt:i4>
      </vt:variant>
      <vt:variant>
        <vt:lpwstr>https://www.pc.gov.au/research/ongoing/overcoming-indigenous-disadvantage/2016/report-documents/oid-2016-overcoming-indigenous-disadvantage-key-indicators-2016-report.pdf</vt:lpwstr>
      </vt:variant>
      <vt:variant>
        <vt:lpwstr/>
      </vt:variant>
      <vt:variant>
        <vt:i4>5570650</vt:i4>
      </vt:variant>
      <vt:variant>
        <vt:i4>63</vt:i4>
      </vt:variant>
      <vt:variant>
        <vt:i4>0</vt:i4>
      </vt:variant>
      <vt:variant>
        <vt:i4>5</vt:i4>
      </vt:variant>
      <vt:variant>
        <vt:lpwstr>https://www.alrc.gov.au/publication/pathways-to-justice-inquiry-into-the-incarceration-rate-of-aboriginal-and-torres-strait-islander-peoples-alrc-report-133/</vt:lpwstr>
      </vt:variant>
      <vt:variant>
        <vt:lpwstr/>
      </vt:variant>
      <vt:variant>
        <vt:i4>7929949</vt:i4>
      </vt:variant>
      <vt:variant>
        <vt:i4>60</vt:i4>
      </vt:variant>
      <vt:variant>
        <vt:i4>0</vt:i4>
      </vt:variant>
      <vt:variant>
        <vt:i4>5</vt:i4>
      </vt:variant>
      <vt:variant>
        <vt:lpwstr>https://www.nationalfvpls.org/images/files/SNAICC-NATSILS-NFVPLS_Strong_Families_Safe_Kids-Sep_2017.pdf</vt:lpwstr>
      </vt:variant>
      <vt:variant>
        <vt:lpwstr/>
      </vt:variant>
      <vt:variant>
        <vt:i4>655368</vt:i4>
      </vt:variant>
      <vt:variant>
        <vt:i4>57</vt:i4>
      </vt:variant>
      <vt:variant>
        <vt:i4>0</vt:i4>
      </vt:variant>
      <vt:variant>
        <vt:i4>5</vt:i4>
      </vt:variant>
      <vt:variant>
        <vt:lpwstr>https://www.naccho.org.au/wp-content/uploads/FINAL-discussion-booklet-a-new-way-of-working-09.09.pdf</vt:lpwstr>
      </vt:variant>
      <vt:variant>
        <vt:lpwstr/>
      </vt:variant>
      <vt:variant>
        <vt:i4>458761</vt:i4>
      </vt:variant>
      <vt:variant>
        <vt:i4>54</vt:i4>
      </vt:variant>
      <vt:variant>
        <vt:i4>0</vt:i4>
      </vt:variant>
      <vt:variant>
        <vt:i4>5</vt:i4>
      </vt:variant>
      <vt:variant>
        <vt:lpwstr>https://humanrights.gov.au/our-work/aboriginal-and-torres-strait-islander-social-justice/publications/close-gap-2021</vt:lpwstr>
      </vt:variant>
      <vt:variant>
        <vt:lpwstr/>
      </vt:variant>
      <vt:variant>
        <vt:i4>3932193</vt:i4>
      </vt:variant>
      <vt:variant>
        <vt:i4>51</vt:i4>
      </vt:variant>
      <vt:variant>
        <vt:i4>0</vt:i4>
      </vt:variant>
      <vt:variant>
        <vt:i4>5</vt:i4>
      </vt:variant>
      <vt:variant>
        <vt:lpwstr>https://www.humanrights.gov.au/our-work/aboriginal-and-torres-strait-islander-social-justice/publications/close-gap-report-our</vt:lpwstr>
      </vt:variant>
      <vt:variant>
        <vt:lpwstr/>
      </vt:variant>
      <vt:variant>
        <vt:i4>7077935</vt:i4>
      </vt:variant>
      <vt:variant>
        <vt:i4>48</vt:i4>
      </vt:variant>
      <vt:variant>
        <vt:i4>0</vt:i4>
      </vt:variant>
      <vt:variant>
        <vt:i4>5</vt:i4>
      </vt:variant>
      <vt:variant>
        <vt:lpwstr>https://ctgreport.niaa.gov.au/</vt:lpwstr>
      </vt:variant>
      <vt:variant>
        <vt:lpwstr/>
      </vt:variant>
      <vt:variant>
        <vt:i4>7077935</vt:i4>
      </vt:variant>
      <vt:variant>
        <vt:i4>45</vt:i4>
      </vt:variant>
      <vt:variant>
        <vt:i4>0</vt:i4>
      </vt:variant>
      <vt:variant>
        <vt:i4>5</vt:i4>
      </vt:variant>
      <vt:variant>
        <vt:lpwstr>https://ctgreport.niaa.gov.au/</vt:lpwstr>
      </vt:variant>
      <vt:variant>
        <vt:lpwstr/>
      </vt:variant>
      <vt:variant>
        <vt:i4>6553727</vt:i4>
      </vt:variant>
      <vt:variant>
        <vt:i4>42</vt:i4>
      </vt:variant>
      <vt:variant>
        <vt:i4>0</vt:i4>
      </vt:variant>
      <vt:variant>
        <vt:i4>5</vt:i4>
      </vt:variant>
      <vt:variant>
        <vt:lpwstr>https://www.aph.gov.au/DocumentStore.ashx?id=81afbee8-381f-40a4-a758-b1384881e633&amp;subId=658933</vt:lpwstr>
      </vt:variant>
      <vt:variant>
        <vt:lpwstr/>
      </vt:variant>
      <vt:variant>
        <vt:i4>3211337</vt:i4>
      </vt:variant>
      <vt:variant>
        <vt:i4>39</vt:i4>
      </vt:variant>
      <vt:variant>
        <vt:i4>0</vt:i4>
      </vt:variant>
      <vt:variant>
        <vt:i4>5</vt:i4>
      </vt:variant>
      <vt:variant>
        <vt:lpwstr>https://www.ohchr.org/Documents/Issues/IPeoples/EMRIP/StudyRRR/Australia_NHRI1.pdf</vt:lpwstr>
      </vt:variant>
      <vt:variant>
        <vt:lpwstr/>
      </vt:variant>
      <vt:variant>
        <vt:i4>4980738</vt:i4>
      </vt:variant>
      <vt:variant>
        <vt:i4>36</vt:i4>
      </vt:variant>
      <vt:variant>
        <vt:i4>0</vt:i4>
      </vt:variant>
      <vt:variant>
        <vt:i4>5</vt:i4>
      </vt:variant>
      <vt:variant>
        <vt:lpwstr>https://www.indigenous.gov.au/topics/indigenous-voice</vt:lpwstr>
      </vt:variant>
      <vt:variant>
        <vt:lpwstr/>
      </vt:variant>
      <vt:variant>
        <vt:i4>2687027</vt:i4>
      </vt:variant>
      <vt:variant>
        <vt:i4>33</vt:i4>
      </vt:variant>
      <vt:variant>
        <vt:i4>0</vt:i4>
      </vt:variant>
      <vt:variant>
        <vt:i4>5</vt:i4>
      </vt:variant>
      <vt:variant>
        <vt:lpwstr>https://undocs.org/A/HRC/31/14</vt:lpwstr>
      </vt:variant>
      <vt:variant>
        <vt:lpwstr/>
      </vt:variant>
      <vt:variant>
        <vt:i4>5505151</vt:i4>
      </vt:variant>
      <vt:variant>
        <vt:i4>30</vt:i4>
      </vt:variant>
      <vt:variant>
        <vt:i4>0</vt:i4>
      </vt:variant>
      <vt:variant>
        <vt:i4>5</vt:i4>
      </vt:variant>
      <vt:variant>
        <vt:lpwstr>https://www.un.org/en/ga/search/view_doc.asp?symbol=A/69/L.1</vt:lpwstr>
      </vt:variant>
      <vt:variant>
        <vt:lpwstr/>
      </vt:variant>
      <vt:variant>
        <vt:i4>720987</vt:i4>
      </vt:variant>
      <vt:variant>
        <vt:i4>27</vt:i4>
      </vt:variant>
      <vt:variant>
        <vt:i4>0</vt:i4>
      </vt:variant>
      <vt:variant>
        <vt:i4>5</vt:i4>
      </vt:variant>
      <vt:variant>
        <vt:lpwstr>https://www.abf.gov.au/newsroom-subsite/Pages/covid-detention-network-melbourne-29-11-21.aspx</vt:lpwstr>
      </vt:variant>
      <vt:variant>
        <vt:lpwstr/>
      </vt:variant>
      <vt:variant>
        <vt:i4>2621545</vt:i4>
      </vt:variant>
      <vt:variant>
        <vt:i4>24</vt:i4>
      </vt:variant>
      <vt:variant>
        <vt:i4>0</vt:i4>
      </vt:variant>
      <vt:variant>
        <vt:i4>5</vt:i4>
      </vt:variant>
      <vt:variant>
        <vt:lpwstr>https://theconversation.com/how-many-people-in-immigration-detention-have-been-vaccinated-home-affairs-wont-tell-us-166101</vt:lpwstr>
      </vt:variant>
      <vt:variant>
        <vt:lpwstr/>
      </vt:variant>
      <vt:variant>
        <vt:i4>1900625</vt:i4>
      </vt:variant>
      <vt:variant>
        <vt:i4>21</vt:i4>
      </vt:variant>
      <vt:variant>
        <vt:i4>0</vt:i4>
      </vt:variant>
      <vt:variant>
        <vt:i4>5</vt:i4>
      </vt:variant>
      <vt:variant>
        <vt:lpwstr>https://www.thesaturdaypaper.com.au/news/politics/2021/06/12/delays-vaccinating-prisoners/162342000011860</vt:lpwstr>
      </vt:variant>
      <vt:variant>
        <vt:lpwstr/>
      </vt:variant>
      <vt:variant>
        <vt:i4>4325446</vt:i4>
      </vt:variant>
      <vt:variant>
        <vt:i4>18</vt:i4>
      </vt:variant>
      <vt:variant>
        <vt:i4>0</vt:i4>
      </vt:variant>
      <vt:variant>
        <vt:i4>5</vt:i4>
      </vt:variant>
      <vt:variant>
        <vt:lpwstr>https://www.hrw.org/news/2021/09/01/australia-prisoners-denied-vaccine-access</vt:lpwstr>
      </vt:variant>
      <vt:variant>
        <vt:lpwstr/>
      </vt:variant>
      <vt:variant>
        <vt:i4>7340146</vt:i4>
      </vt:variant>
      <vt:variant>
        <vt:i4>15</vt:i4>
      </vt:variant>
      <vt:variant>
        <vt:i4>0</vt:i4>
      </vt:variant>
      <vt:variant>
        <vt:i4>5</vt:i4>
      </vt:variant>
      <vt:variant>
        <vt:lpwstr>https://www.hrw.org/news/2021/08/19/australia-protect-risk-communities-covid-19</vt:lpwstr>
      </vt:variant>
      <vt:variant>
        <vt:lpwstr/>
      </vt:variant>
      <vt:variant>
        <vt:i4>7340146</vt:i4>
      </vt:variant>
      <vt:variant>
        <vt:i4>12</vt:i4>
      </vt:variant>
      <vt:variant>
        <vt:i4>0</vt:i4>
      </vt:variant>
      <vt:variant>
        <vt:i4>5</vt:i4>
      </vt:variant>
      <vt:variant>
        <vt:lpwstr>https://www.hrw.org/news/2021/08/19/australia-protect-risk-communities-covid-19</vt:lpwstr>
      </vt:variant>
      <vt:variant>
        <vt:lpwstr/>
      </vt:variant>
      <vt:variant>
        <vt:i4>7602230</vt:i4>
      </vt:variant>
      <vt:variant>
        <vt:i4>9</vt:i4>
      </vt:variant>
      <vt:variant>
        <vt:i4>0</vt:i4>
      </vt:variant>
      <vt:variant>
        <vt:i4>5</vt:i4>
      </vt:variant>
      <vt:variant>
        <vt:lpwstr>https://apo.org.au/node/311761</vt:lpwstr>
      </vt:variant>
      <vt:variant>
        <vt:lpwstr/>
      </vt:variant>
      <vt:variant>
        <vt:i4>4194369</vt:i4>
      </vt:variant>
      <vt:variant>
        <vt:i4>6</vt:i4>
      </vt:variant>
      <vt:variant>
        <vt:i4>0</vt:i4>
      </vt:variant>
      <vt:variant>
        <vt:i4>5</vt:i4>
      </vt:variant>
      <vt:variant>
        <vt:lpwstr>https://www.theguardian.com/business/2021/sep/21/more-than-45000-australians-stranded-overseas-registered-for-government-help</vt:lpwstr>
      </vt:variant>
      <vt:variant>
        <vt:lpwstr/>
      </vt:variant>
      <vt:variant>
        <vt:i4>3080247</vt:i4>
      </vt:variant>
      <vt:variant>
        <vt:i4>3</vt:i4>
      </vt:variant>
      <vt:variant>
        <vt:i4>0</vt:i4>
      </vt:variant>
      <vt:variant>
        <vt:i4>5</vt:i4>
      </vt:variant>
      <vt:variant>
        <vt:lpwstr>https://humanrights.gov.au/our-work/childrens-rights/publications/childrens-rights-report-2019</vt:lpwstr>
      </vt:variant>
      <vt:variant>
        <vt:lpwstr/>
      </vt:variant>
      <vt:variant>
        <vt:i4>6881396</vt:i4>
      </vt:variant>
      <vt:variant>
        <vt:i4>0</vt:i4>
      </vt:variant>
      <vt:variant>
        <vt:i4>0</vt:i4>
      </vt:variant>
      <vt:variant>
        <vt:i4>5</vt:i4>
      </vt:variant>
      <vt:variant>
        <vt:lpwstr>http://www.aph.gov.au/Parliamentary_Business/Committees/Joint/Human_Rights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Aitken</dc:creator>
  <cp:keywords/>
  <dc:description/>
  <cp:lastModifiedBy>REYNAUD Céline</cp:lastModifiedBy>
  <cp:revision>2</cp:revision>
  <cp:lastPrinted>2020-03-02T17:01:00Z</cp:lastPrinted>
  <dcterms:created xsi:type="dcterms:W3CDTF">2022-01-10T10:48:00Z</dcterms:created>
  <dcterms:modified xsi:type="dcterms:W3CDTF">2022-01-10T10:48:00Z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TaxKeyword">
    <vt:lpwstr/>
  </property>
  <property fmtid="{D5CDD505-2E9C-101B-9397-08002B2CF9AE}" pid="4" name="Document Type">
    <vt:lpwstr/>
  </property>
  <property fmtid="{D5CDD505-2E9C-101B-9397-08002B2CF9AE}" pid="5" name="_dlc_DocIdItemGuid">
    <vt:lpwstr>5071dc64-ed71-497b-bd10-7577db6efe31</vt:lpwstr>
  </property>
</Properties>
</file>