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744" w:rsidRDefault="00401744" w:rsidP="00307BAD">
      <w:pPr>
        <w:jc w:val="right"/>
        <w:rPr>
          <w:b/>
          <w:color w:val="000000" w:themeColor="text1"/>
          <w:sz w:val="28"/>
          <w:szCs w:val="28"/>
        </w:rPr>
      </w:pPr>
      <w:r w:rsidRPr="001C7F91">
        <w:rPr>
          <w:b/>
          <w:color w:val="000000" w:themeColor="text1"/>
          <w:sz w:val="28"/>
          <w:szCs w:val="28"/>
        </w:rPr>
        <w:t>A</w:t>
      </w:r>
      <w:r w:rsidRPr="001C7F91">
        <w:rPr>
          <w:b/>
          <w:color w:val="000000" w:themeColor="text1"/>
          <w:sz w:val="28"/>
          <w:szCs w:val="28"/>
          <w:lang w:eastAsia="zh-HK"/>
        </w:rPr>
        <w:t xml:space="preserve">nnex </w:t>
      </w:r>
      <w:r w:rsidR="00444781" w:rsidRPr="001C7F91">
        <w:rPr>
          <w:b/>
          <w:color w:val="000000" w:themeColor="text1"/>
          <w:sz w:val="28"/>
          <w:szCs w:val="28"/>
          <w:lang w:eastAsia="zh-HK"/>
        </w:rPr>
        <w:t>1</w:t>
      </w:r>
      <w:r w:rsidR="00444781" w:rsidRPr="001C7F91">
        <w:rPr>
          <w:b/>
          <w:color w:val="000000" w:themeColor="text1"/>
          <w:sz w:val="28"/>
          <w:szCs w:val="28"/>
        </w:rPr>
        <w:t>1</w:t>
      </w:r>
    </w:p>
    <w:p w:rsidR="00307BAD" w:rsidRPr="001C7F91" w:rsidRDefault="00307BAD" w:rsidP="00307BAD">
      <w:pPr>
        <w:jc w:val="right"/>
        <w:rPr>
          <w:b/>
          <w:color w:val="000000" w:themeColor="text1"/>
          <w:sz w:val="28"/>
          <w:szCs w:val="28"/>
          <w:lang w:eastAsia="zh-HK"/>
        </w:rPr>
      </w:pPr>
    </w:p>
    <w:p w:rsidR="00E70D26" w:rsidRDefault="00E70D26" w:rsidP="00401744">
      <w:pPr>
        <w:tabs>
          <w:tab w:val="left" w:pos="1680"/>
        </w:tabs>
        <w:snapToGrid w:val="0"/>
        <w:spacing w:line="360" w:lineRule="atLeast"/>
        <w:jc w:val="center"/>
        <w:rPr>
          <w:b/>
          <w:snapToGrid w:val="0"/>
          <w:color w:val="000000" w:themeColor="text1"/>
          <w:sz w:val="28"/>
          <w:szCs w:val="28"/>
        </w:rPr>
      </w:pPr>
      <w:r w:rsidRPr="001C7F91">
        <w:rPr>
          <w:b/>
          <w:snapToGrid w:val="0"/>
          <w:color w:val="000000" w:themeColor="text1"/>
          <w:sz w:val="28"/>
          <w:szCs w:val="28"/>
        </w:rPr>
        <w:t>Law Reform Commission of Hong Kong (LRC)</w:t>
      </w:r>
    </w:p>
    <w:p w:rsidR="000925D1" w:rsidRDefault="00E70D26" w:rsidP="00401744">
      <w:pPr>
        <w:tabs>
          <w:tab w:val="left" w:pos="1680"/>
        </w:tabs>
        <w:snapToGrid w:val="0"/>
        <w:spacing w:line="360" w:lineRule="atLeast"/>
        <w:jc w:val="center"/>
        <w:rPr>
          <w:b/>
          <w:snapToGrid w:val="0"/>
          <w:color w:val="000000" w:themeColor="text1"/>
          <w:sz w:val="28"/>
          <w:szCs w:val="28"/>
        </w:rPr>
      </w:pPr>
      <w:r>
        <w:rPr>
          <w:rFonts w:hint="eastAsia"/>
          <w:b/>
          <w:snapToGrid w:val="0"/>
          <w:color w:val="000000" w:themeColor="text1"/>
          <w:sz w:val="28"/>
          <w:szCs w:val="28"/>
        </w:rPr>
        <w:t>R</w:t>
      </w:r>
      <w:r w:rsidR="00042136" w:rsidRPr="001C7F91">
        <w:rPr>
          <w:b/>
          <w:snapToGrid w:val="0"/>
          <w:color w:val="000000" w:themeColor="text1"/>
          <w:sz w:val="28"/>
          <w:szCs w:val="28"/>
        </w:rPr>
        <w:t xml:space="preserve">eview of laws relating to child guardianship and custody </w:t>
      </w:r>
    </w:p>
    <w:p w:rsidR="00401744" w:rsidRPr="001C7F91" w:rsidRDefault="00401744" w:rsidP="00401744">
      <w:pPr>
        <w:tabs>
          <w:tab w:val="left" w:pos="1680"/>
        </w:tabs>
        <w:snapToGrid w:val="0"/>
        <w:spacing w:line="360" w:lineRule="atLeast"/>
        <w:jc w:val="both"/>
        <w:rPr>
          <w:bCs/>
          <w:snapToGrid w:val="0"/>
          <w:color w:val="000000" w:themeColor="text1"/>
          <w:kern w:val="0"/>
          <w:sz w:val="28"/>
          <w:szCs w:val="28"/>
          <w:u w:val="single"/>
        </w:rPr>
      </w:pPr>
    </w:p>
    <w:p w:rsidR="00BF7B6B" w:rsidRPr="001C7F91"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1</w:t>
      </w:r>
      <w:r w:rsidR="00BF7B6B" w:rsidRPr="001C7F91">
        <w:rPr>
          <w:bCs/>
          <w:snapToGrid w:val="0"/>
          <w:color w:val="000000" w:themeColor="text1"/>
          <w:kern w:val="0"/>
          <w:sz w:val="28"/>
          <w:szCs w:val="28"/>
          <w:lang w:val="en-US"/>
        </w:rPr>
        <w:t>.</w:t>
      </w:r>
      <w:r w:rsidR="00BF7B6B" w:rsidRPr="001C7F91">
        <w:rPr>
          <w:bCs/>
          <w:snapToGrid w:val="0"/>
          <w:color w:val="000000" w:themeColor="text1"/>
          <w:kern w:val="0"/>
          <w:sz w:val="28"/>
          <w:szCs w:val="28"/>
          <w:lang w:val="en-US"/>
        </w:rPr>
        <w:tab/>
        <w:t xml:space="preserve">Paragraph 238 of the </w:t>
      </w:r>
      <w:r w:rsidR="00E70D26">
        <w:rPr>
          <w:bCs/>
          <w:snapToGrid w:val="0"/>
          <w:color w:val="000000" w:themeColor="text1"/>
          <w:kern w:val="0"/>
          <w:sz w:val="28"/>
          <w:szCs w:val="28"/>
          <w:lang w:val="en-US"/>
        </w:rPr>
        <w:t>previous</w:t>
      </w:r>
      <w:r w:rsidR="00E70D26" w:rsidRPr="001C7F91">
        <w:rPr>
          <w:bCs/>
          <w:snapToGrid w:val="0"/>
          <w:color w:val="000000" w:themeColor="text1"/>
          <w:kern w:val="0"/>
          <w:sz w:val="28"/>
          <w:szCs w:val="28"/>
          <w:lang w:val="en-US"/>
        </w:rPr>
        <w:t xml:space="preserve"> </w:t>
      </w:r>
      <w:r w:rsidR="00BF7B6B" w:rsidRPr="001C7F91">
        <w:rPr>
          <w:bCs/>
          <w:snapToGrid w:val="0"/>
          <w:color w:val="000000" w:themeColor="text1"/>
          <w:kern w:val="0"/>
          <w:sz w:val="28"/>
          <w:szCs w:val="28"/>
          <w:lang w:val="en-US"/>
        </w:rPr>
        <w:t xml:space="preserve">report mentioned that LRC issued four reports to recommend law reforms relating to the guardianship and custody of children.  The first report in this series on Guardianship of Children, published in January 2002, concerned the law governing the appointment of guardians for children in the event of the death of one or both parents.  We agree with LRC that the legal procedures for parents to appoint guardians for their children should be simplified and that the relevant provisions can be improved to address the shortcomings of the existing regime, so as to encourage more parents to take the positive step of making guardianship arrangements for their children.  The recommendations were implemented by the Guardianship of Minors (Amendment) Ordinance in 2012.  </w:t>
      </w:r>
    </w:p>
    <w:p w:rsidR="00BF7B6B" w:rsidRPr="001C7F91"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2</w:t>
      </w:r>
      <w:r w:rsidR="00BF7B6B" w:rsidRPr="001C7F91">
        <w:rPr>
          <w:rFonts w:hint="eastAsia"/>
          <w:bCs/>
          <w:snapToGrid w:val="0"/>
          <w:color w:val="000000" w:themeColor="text1"/>
          <w:kern w:val="0"/>
          <w:sz w:val="28"/>
          <w:szCs w:val="28"/>
          <w:lang w:val="en-US"/>
        </w:rPr>
        <w:t>.</w:t>
      </w:r>
      <w:r w:rsidR="00BF7B6B" w:rsidRPr="001C7F91">
        <w:rPr>
          <w:bCs/>
          <w:snapToGrid w:val="0"/>
          <w:color w:val="000000" w:themeColor="text1"/>
          <w:kern w:val="0"/>
          <w:sz w:val="28"/>
          <w:szCs w:val="28"/>
          <w:lang w:val="en-US"/>
        </w:rPr>
        <w:tab/>
        <w:t>The second report on International Parental Child Abduction, published in April 2002, examined the law relating to the abduction of children by parents in contested custody disputes.  In considering the recommendations of the report, the Government’s primary concern is the well-being of the child who is the subject of international parental child abduction.  We generally agree with the principles advocated by LRC, and the recommendations were implemented by the Child Abduction Legislation (Miscellaneous Amendments) Ordinance in 2014.</w:t>
      </w:r>
    </w:p>
    <w:p w:rsidR="00BF7B6B"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3</w:t>
      </w:r>
      <w:r w:rsidR="00BF7B6B" w:rsidRPr="001C7F91">
        <w:rPr>
          <w:rFonts w:hint="eastAsia"/>
          <w:bCs/>
          <w:snapToGrid w:val="0"/>
          <w:color w:val="000000" w:themeColor="text1"/>
          <w:kern w:val="0"/>
          <w:sz w:val="28"/>
          <w:szCs w:val="28"/>
          <w:lang w:val="en-US"/>
        </w:rPr>
        <w:t>.</w:t>
      </w:r>
      <w:r w:rsidR="00BF7B6B" w:rsidRPr="001C7F91">
        <w:rPr>
          <w:bCs/>
          <w:snapToGrid w:val="0"/>
          <w:color w:val="000000" w:themeColor="text1"/>
          <w:kern w:val="0"/>
          <w:sz w:val="28"/>
          <w:szCs w:val="28"/>
          <w:lang w:val="en-US"/>
        </w:rPr>
        <w:tab/>
        <w:t xml:space="preserve">The fourth report on Child Custody and Access </w:t>
      </w:r>
      <w:r w:rsidR="00BF7B6B" w:rsidRPr="001C7F91">
        <w:rPr>
          <w:rFonts w:hint="eastAsia"/>
          <w:bCs/>
          <w:snapToGrid w:val="0"/>
          <w:color w:val="000000" w:themeColor="text1"/>
          <w:kern w:val="0"/>
          <w:sz w:val="28"/>
          <w:szCs w:val="28"/>
          <w:lang w:val="en-US"/>
        </w:rPr>
        <w:t>was</w:t>
      </w:r>
      <w:r w:rsidR="00BF7B6B" w:rsidRPr="001C7F91">
        <w:rPr>
          <w:bCs/>
          <w:snapToGrid w:val="0"/>
          <w:color w:val="000000" w:themeColor="text1"/>
          <w:kern w:val="0"/>
          <w:sz w:val="28"/>
          <w:szCs w:val="28"/>
          <w:lang w:val="en-US"/>
        </w:rPr>
        <w:t xml:space="preserve"> published in March 2005.  The main thrust of recommendations relates to the introduction into Hong Kong’s family law of a new “parental responsibility model”, </w:t>
      </w:r>
      <w:proofErr w:type="spellStart"/>
      <w:r w:rsidR="00BF7B6B" w:rsidRPr="001C7F91">
        <w:rPr>
          <w:bCs/>
          <w:snapToGrid w:val="0"/>
          <w:color w:val="000000" w:themeColor="text1"/>
          <w:kern w:val="0"/>
          <w:sz w:val="28"/>
          <w:szCs w:val="28"/>
          <w:lang w:val="en-US"/>
        </w:rPr>
        <w:t>emphasising</w:t>
      </w:r>
      <w:proofErr w:type="spellEnd"/>
      <w:r w:rsidR="00BF7B6B" w:rsidRPr="001C7F91">
        <w:rPr>
          <w:bCs/>
          <w:snapToGrid w:val="0"/>
          <w:color w:val="000000" w:themeColor="text1"/>
          <w:kern w:val="0"/>
          <w:sz w:val="28"/>
          <w:szCs w:val="28"/>
          <w:lang w:val="en-US"/>
        </w:rPr>
        <w:t xml:space="preserve"> the continuing responsibilities of both parents towards their children rather than their individual parental rights even after divorce.  Underlying the new approach is the principle that the “best interests” of children (best </w:t>
      </w:r>
      <w:proofErr w:type="gramStart"/>
      <w:r w:rsidR="00BF7B6B" w:rsidRPr="001C7F91">
        <w:rPr>
          <w:bCs/>
          <w:snapToGrid w:val="0"/>
          <w:color w:val="000000" w:themeColor="text1"/>
          <w:kern w:val="0"/>
          <w:sz w:val="28"/>
          <w:szCs w:val="28"/>
          <w:lang w:val="en-US"/>
        </w:rPr>
        <w:t>interests</w:t>
      </w:r>
      <w:proofErr w:type="gramEnd"/>
      <w:r w:rsidR="00BF7B6B" w:rsidRPr="001C7F91">
        <w:rPr>
          <w:bCs/>
          <w:snapToGrid w:val="0"/>
          <w:color w:val="000000" w:themeColor="text1"/>
          <w:kern w:val="0"/>
          <w:sz w:val="28"/>
          <w:szCs w:val="28"/>
          <w:lang w:val="en-US"/>
        </w:rPr>
        <w:t xml:space="preserve"> principle) should guide all proceedings concerning children.  In this connection, the Government has prepared the draft Children Proceedings (Parental Responsibility) Bill (the proposed legislation) to follow up the majority of the LRC recommendations.</w:t>
      </w:r>
    </w:p>
    <w:p w:rsidR="00AE11B3" w:rsidRPr="001C7F91" w:rsidRDefault="00AE11B3" w:rsidP="00D43AD3">
      <w:pPr>
        <w:tabs>
          <w:tab w:val="left" w:pos="1440"/>
        </w:tabs>
        <w:spacing w:after="240" w:line="360" w:lineRule="atLeast"/>
        <w:jc w:val="both"/>
        <w:rPr>
          <w:bCs/>
          <w:snapToGrid w:val="0"/>
          <w:color w:val="000000" w:themeColor="text1"/>
          <w:kern w:val="0"/>
          <w:sz w:val="28"/>
          <w:szCs w:val="28"/>
          <w:lang w:val="en-US"/>
        </w:rPr>
      </w:pPr>
    </w:p>
    <w:p w:rsidR="00BF7B6B" w:rsidRPr="001C7F91" w:rsidRDefault="00042136" w:rsidP="00D16ABF">
      <w:pPr>
        <w:tabs>
          <w:tab w:val="left" w:pos="1440"/>
        </w:tabs>
        <w:overflowPunct w:val="0"/>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lastRenderedPageBreak/>
        <w:t>4</w:t>
      </w:r>
      <w:r w:rsidR="00BF7B6B" w:rsidRPr="001C7F91">
        <w:rPr>
          <w:bCs/>
          <w:snapToGrid w:val="0"/>
          <w:color w:val="000000" w:themeColor="text1"/>
          <w:kern w:val="0"/>
          <w:sz w:val="28"/>
          <w:szCs w:val="28"/>
          <w:lang w:val="en-US"/>
        </w:rPr>
        <w:t>.</w:t>
      </w:r>
      <w:r w:rsidR="00BF7B6B" w:rsidRPr="001C7F91">
        <w:rPr>
          <w:bCs/>
          <w:snapToGrid w:val="0"/>
          <w:color w:val="000000" w:themeColor="text1"/>
          <w:kern w:val="0"/>
          <w:sz w:val="28"/>
          <w:szCs w:val="28"/>
          <w:lang w:val="en-US"/>
        </w:rPr>
        <w:tab/>
        <w:t>During the period between November 2015 and March 2016, the Government launched a public consultation exercise on the proposed legislation.  The percentage of views in support of the implementation of the proposed legislation at that time was about the same as that opposing it.  Those who supported the proposed legislation considered that it follows the international practices to promote the child’s best interests and should hence be supported.  Those who objected the proposed legislation considered that it could not solve all conflicts between divorced parents, particularly those high-risk families with history of domestic violence, thus causing distress to and adversely affecting the well-being of the child.  The consensus at that time was that the Government should provide enhance</w:t>
      </w:r>
      <w:r w:rsidR="00C258A8">
        <w:rPr>
          <w:bCs/>
          <w:snapToGrid w:val="0"/>
          <w:color w:val="000000" w:themeColor="text1"/>
          <w:kern w:val="0"/>
          <w:sz w:val="28"/>
          <w:szCs w:val="28"/>
          <w:lang w:val="en-US"/>
        </w:rPr>
        <w:t>d</w:t>
      </w:r>
      <w:r w:rsidR="00BF7B6B" w:rsidRPr="001C7F91">
        <w:rPr>
          <w:bCs/>
          <w:snapToGrid w:val="0"/>
          <w:color w:val="000000" w:themeColor="text1"/>
          <w:kern w:val="0"/>
          <w:sz w:val="28"/>
          <w:szCs w:val="28"/>
          <w:lang w:val="en-US"/>
        </w:rPr>
        <w:t xml:space="preserve"> support services for the separated/ divorced families.  Therefore, we decided </w:t>
      </w:r>
      <w:r w:rsidR="00C258A8">
        <w:rPr>
          <w:bCs/>
          <w:snapToGrid w:val="0"/>
          <w:color w:val="000000" w:themeColor="text1"/>
          <w:kern w:val="0"/>
          <w:sz w:val="28"/>
          <w:szCs w:val="28"/>
          <w:lang w:val="en-US"/>
        </w:rPr>
        <w:t xml:space="preserve">in 2018 </w:t>
      </w:r>
      <w:r w:rsidR="00BF7B6B" w:rsidRPr="001C7F91">
        <w:rPr>
          <w:bCs/>
          <w:snapToGrid w:val="0"/>
          <w:color w:val="000000" w:themeColor="text1"/>
          <w:kern w:val="0"/>
          <w:sz w:val="28"/>
          <w:szCs w:val="28"/>
          <w:lang w:val="en-US"/>
        </w:rPr>
        <w:t>not to introduce the proposed legislation, but would strengthen measures to support divorced/separated families.</w:t>
      </w:r>
    </w:p>
    <w:p w:rsidR="00BF7B6B" w:rsidRPr="001C7F91"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5</w:t>
      </w:r>
      <w:r w:rsidR="00BF7B6B" w:rsidRPr="001C7F91">
        <w:rPr>
          <w:bCs/>
          <w:snapToGrid w:val="0"/>
          <w:color w:val="000000" w:themeColor="text1"/>
          <w:kern w:val="0"/>
          <w:sz w:val="28"/>
          <w:szCs w:val="28"/>
          <w:lang w:val="en-US"/>
        </w:rPr>
        <w:t>.</w:t>
      </w:r>
      <w:r w:rsidR="00BF7B6B" w:rsidRPr="001C7F91">
        <w:rPr>
          <w:bCs/>
          <w:snapToGrid w:val="0"/>
          <w:color w:val="000000" w:themeColor="text1"/>
          <w:kern w:val="0"/>
          <w:sz w:val="28"/>
          <w:szCs w:val="28"/>
          <w:lang w:val="en-US"/>
        </w:rPr>
        <w:tab/>
        <w:t>S</w:t>
      </w:r>
      <w:r w:rsidR="00E02901" w:rsidRPr="001C7F91">
        <w:rPr>
          <w:bCs/>
          <w:snapToGrid w:val="0"/>
          <w:color w:val="000000" w:themeColor="text1"/>
          <w:kern w:val="0"/>
          <w:sz w:val="28"/>
          <w:szCs w:val="28"/>
          <w:lang w:val="en-US"/>
        </w:rPr>
        <w:t xml:space="preserve">ocial </w:t>
      </w:r>
      <w:r w:rsidR="00BF7B6B" w:rsidRPr="001C7F91">
        <w:rPr>
          <w:bCs/>
          <w:snapToGrid w:val="0"/>
          <w:color w:val="000000" w:themeColor="text1"/>
          <w:kern w:val="0"/>
          <w:sz w:val="28"/>
          <w:szCs w:val="28"/>
          <w:lang w:val="en-US"/>
        </w:rPr>
        <w:t>W</w:t>
      </w:r>
      <w:r w:rsidR="00E02901" w:rsidRPr="001C7F91">
        <w:rPr>
          <w:bCs/>
          <w:snapToGrid w:val="0"/>
          <w:color w:val="000000" w:themeColor="text1"/>
          <w:kern w:val="0"/>
          <w:sz w:val="28"/>
          <w:szCs w:val="28"/>
          <w:lang w:val="en-US"/>
        </w:rPr>
        <w:t xml:space="preserve">elfare </w:t>
      </w:r>
      <w:r w:rsidR="00BF7B6B" w:rsidRPr="001C7F91">
        <w:rPr>
          <w:bCs/>
          <w:snapToGrid w:val="0"/>
          <w:color w:val="000000" w:themeColor="text1"/>
          <w:kern w:val="0"/>
          <w:sz w:val="28"/>
          <w:szCs w:val="28"/>
          <w:lang w:val="en-US"/>
        </w:rPr>
        <w:t>D</w:t>
      </w:r>
      <w:r w:rsidR="00E02901" w:rsidRPr="001C7F91">
        <w:rPr>
          <w:bCs/>
          <w:snapToGrid w:val="0"/>
          <w:color w:val="000000" w:themeColor="text1"/>
          <w:kern w:val="0"/>
          <w:sz w:val="28"/>
          <w:szCs w:val="28"/>
          <w:lang w:val="en-US"/>
        </w:rPr>
        <w:t>epartment (SWD)</w:t>
      </w:r>
      <w:r w:rsidR="00BF7B6B" w:rsidRPr="001C7F91">
        <w:rPr>
          <w:bCs/>
          <w:snapToGrid w:val="0"/>
          <w:color w:val="000000" w:themeColor="text1"/>
          <w:kern w:val="0"/>
          <w:sz w:val="28"/>
          <w:szCs w:val="28"/>
          <w:lang w:val="en-US"/>
        </w:rPr>
        <w:t xml:space="preserve"> provides additional manpower resources and supervisory support in 2018-19 for 11 </w:t>
      </w:r>
      <w:r w:rsidR="00A057B0" w:rsidRPr="001C7F91">
        <w:rPr>
          <w:bCs/>
          <w:snapToGrid w:val="0"/>
          <w:color w:val="000000" w:themeColor="text1"/>
          <w:kern w:val="0"/>
          <w:sz w:val="28"/>
          <w:szCs w:val="28"/>
          <w:lang w:val="en-US"/>
        </w:rPr>
        <w:t>Family and Child Protective Services Units</w:t>
      </w:r>
      <w:r w:rsidR="00BF7B6B" w:rsidRPr="001C7F91">
        <w:rPr>
          <w:bCs/>
          <w:snapToGrid w:val="0"/>
          <w:color w:val="000000" w:themeColor="text1"/>
          <w:kern w:val="0"/>
          <w:sz w:val="28"/>
          <w:szCs w:val="28"/>
          <w:lang w:val="en-US"/>
        </w:rPr>
        <w:t xml:space="preserve">, as well as the IFSCs operated by SWD, to enhance the support for divorced/separated parents and their children.  In October 2019, SWD had set up five </w:t>
      </w:r>
      <w:proofErr w:type="spellStart"/>
      <w:r w:rsidR="00BF7B6B" w:rsidRPr="001C7F91">
        <w:rPr>
          <w:bCs/>
          <w:snapToGrid w:val="0"/>
          <w:color w:val="000000" w:themeColor="text1"/>
          <w:kern w:val="0"/>
          <w:sz w:val="28"/>
          <w:szCs w:val="28"/>
          <w:lang w:val="en-US"/>
        </w:rPr>
        <w:t>Specialised</w:t>
      </w:r>
      <w:proofErr w:type="spellEnd"/>
      <w:r w:rsidR="00BF7B6B" w:rsidRPr="001C7F91">
        <w:rPr>
          <w:bCs/>
          <w:snapToGrid w:val="0"/>
          <w:color w:val="000000" w:themeColor="text1"/>
          <w:kern w:val="0"/>
          <w:sz w:val="28"/>
          <w:szCs w:val="28"/>
          <w:lang w:val="en-US"/>
        </w:rPr>
        <w:t xml:space="preserve"> Co-parenting Support </w:t>
      </w:r>
      <w:proofErr w:type="spellStart"/>
      <w:r w:rsidR="00BF7B6B" w:rsidRPr="001C7F91">
        <w:rPr>
          <w:bCs/>
          <w:snapToGrid w:val="0"/>
          <w:color w:val="000000" w:themeColor="text1"/>
          <w:kern w:val="0"/>
          <w:sz w:val="28"/>
          <w:szCs w:val="28"/>
          <w:lang w:val="en-US"/>
        </w:rPr>
        <w:t>Centres</w:t>
      </w:r>
      <w:proofErr w:type="spellEnd"/>
      <w:r w:rsidR="00BF7B6B" w:rsidRPr="001C7F91">
        <w:rPr>
          <w:bCs/>
          <w:snapToGrid w:val="0"/>
          <w:color w:val="000000" w:themeColor="text1"/>
          <w:kern w:val="0"/>
          <w:sz w:val="28"/>
          <w:szCs w:val="28"/>
          <w:lang w:val="en-US"/>
        </w:rPr>
        <w:t xml:space="preserve">, operated by </w:t>
      </w:r>
      <w:r w:rsidR="00A057B0" w:rsidRPr="001C7F91">
        <w:rPr>
          <w:bCs/>
          <w:snapToGrid w:val="0"/>
          <w:color w:val="000000" w:themeColor="text1"/>
          <w:kern w:val="0"/>
          <w:sz w:val="28"/>
          <w:szCs w:val="28"/>
          <w:lang w:val="en-US"/>
        </w:rPr>
        <w:t xml:space="preserve">non-governmental </w:t>
      </w:r>
      <w:proofErr w:type="spellStart"/>
      <w:r w:rsidR="00A057B0" w:rsidRPr="001C7F91">
        <w:rPr>
          <w:bCs/>
          <w:snapToGrid w:val="0"/>
          <w:color w:val="000000" w:themeColor="text1"/>
          <w:kern w:val="0"/>
          <w:sz w:val="28"/>
          <w:szCs w:val="28"/>
          <w:lang w:val="en-US"/>
        </w:rPr>
        <w:t>organisations</w:t>
      </w:r>
      <w:proofErr w:type="spellEnd"/>
      <w:r w:rsidR="00BF7B6B" w:rsidRPr="001C7F91">
        <w:rPr>
          <w:bCs/>
          <w:snapToGrid w:val="0"/>
          <w:color w:val="000000" w:themeColor="text1"/>
          <w:kern w:val="0"/>
          <w:sz w:val="28"/>
          <w:szCs w:val="28"/>
          <w:lang w:val="en-US"/>
        </w:rPr>
        <w:t xml:space="preserve"> to provide divorced parents and their children with one-stop co-parenting support services, including co-parenting counselling and parenting co-ordination service, structured parenting groups or </w:t>
      </w:r>
      <w:proofErr w:type="spellStart"/>
      <w:r w:rsidR="00BF7B6B" w:rsidRPr="001C7F91">
        <w:rPr>
          <w:bCs/>
          <w:snapToGrid w:val="0"/>
          <w:color w:val="000000" w:themeColor="text1"/>
          <w:kern w:val="0"/>
          <w:sz w:val="28"/>
          <w:szCs w:val="28"/>
          <w:lang w:val="en-US"/>
        </w:rPr>
        <w:t>programmes</w:t>
      </w:r>
      <w:proofErr w:type="spellEnd"/>
      <w:r w:rsidR="00BF7B6B" w:rsidRPr="001C7F91">
        <w:rPr>
          <w:bCs/>
          <w:snapToGrid w:val="0"/>
          <w:color w:val="000000" w:themeColor="text1"/>
          <w:kern w:val="0"/>
          <w:sz w:val="28"/>
          <w:szCs w:val="28"/>
          <w:lang w:val="en-US"/>
        </w:rPr>
        <w:t xml:space="preserve">, child-focused counselling, groups or </w:t>
      </w:r>
      <w:proofErr w:type="spellStart"/>
      <w:r w:rsidR="00BF7B6B" w:rsidRPr="001C7F91">
        <w:rPr>
          <w:bCs/>
          <w:snapToGrid w:val="0"/>
          <w:color w:val="000000" w:themeColor="text1"/>
          <w:kern w:val="0"/>
          <w:sz w:val="28"/>
          <w:szCs w:val="28"/>
          <w:lang w:val="en-US"/>
        </w:rPr>
        <w:t>programmes</w:t>
      </w:r>
      <w:proofErr w:type="spellEnd"/>
      <w:r w:rsidR="00BF7B6B" w:rsidRPr="001C7F91">
        <w:rPr>
          <w:bCs/>
          <w:snapToGrid w:val="0"/>
          <w:color w:val="000000" w:themeColor="text1"/>
          <w:kern w:val="0"/>
          <w:sz w:val="28"/>
          <w:szCs w:val="28"/>
          <w:lang w:val="en-US"/>
        </w:rPr>
        <w:t>, as well as children contact service.</w:t>
      </w:r>
    </w:p>
    <w:p w:rsidR="00BF7B6B" w:rsidRPr="001C7F91"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6</w:t>
      </w:r>
      <w:r w:rsidR="00BF7B6B" w:rsidRPr="001C7F91">
        <w:rPr>
          <w:bCs/>
          <w:snapToGrid w:val="0"/>
          <w:color w:val="000000" w:themeColor="text1"/>
          <w:kern w:val="0"/>
          <w:sz w:val="28"/>
          <w:szCs w:val="28"/>
          <w:lang w:val="en-US"/>
        </w:rPr>
        <w:t>.</w:t>
      </w:r>
      <w:r w:rsidR="00BF7B6B" w:rsidRPr="001C7F91">
        <w:rPr>
          <w:bCs/>
          <w:snapToGrid w:val="0"/>
          <w:color w:val="000000" w:themeColor="text1"/>
          <w:kern w:val="0"/>
          <w:sz w:val="28"/>
          <w:szCs w:val="28"/>
          <w:lang w:val="en-US"/>
        </w:rPr>
        <w:tab/>
        <w:t xml:space="preserve">We will continue to keep in view stakeholders’ receptiveness to the legislative proposal, especially whether we could refute any worries of those who objected the proposal, and then consider the appropriate timing to embark on the legislation. </w:t>
      </w:r>
    </w:p>
    <w:p w:rsidR="00D77E97"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7</w:t>
      </w:r>
      <w:r w:rsidR="00D77E97" w:rsidRPr="001C7F91">
        <w:rPr>
          <w:rFonts w:hint="eastAsia"/>
          <w:bCs/>
          <w:snapToGrid w:val="0"/>
          <w:color w:val="000000" w:themeColor="text1"/>
          <w:kern w:val="0"/>
          <w:sz w:val="28"/>
          <w:szCs w:val="28"/>
          <w:lang w:val="en-US"/>
        </w:rPr>
        <w:t>.</w:t>
      </w:r>
      <w:r w:rsidR="00D77E97" w:rsidRPr="001C7F91">
        <w:rPr>
          <w:bCs/>
          <w:snapToGrid w:val="0"/>
          <w:color w:val="000000" w:themeColor="text1"/>
          <w:kern w:val="0"/>
          <w:sz w:val="28"/>
          <w:szCs w:val="28"/>
          <w:lang w:val="en-US"/>
        </w:rPr>
        <w:tab/>
      </w:r>
      <w:bookmarkStart w:id="0" w:name="_GoBack"/>
      <w:bookmarkEnd w:id="0"/>
      <w:r w:rsidR="00D77E97" w:rsidRPr="001C7F91">
        <w:rPr>
          <w:bCs/>
          <w:snapToGrid w:val="0"/>
          <w:color w:val="000000" w:themeColor="text1"/>
          <w:kern w:val="0"/>
          <w:sz w:val="28"/>
          <w:szCs w:val="28"/>
          <w:lang w:val="en-US"/>
        </w:rPr>
        <w:t xml:space="preserve">With regard to the LRC Report on Family Dispute Resolution, the Government welcomes the recommendations in the report and has implemented a series of measures </w:t>
      </w:r>
      <w:r w:rsidR="00D77E97" w:rsidRPr="001C7F91">
        <w:rPr>
          <w:rFonts w:hint="eastAsia"/>
          <w:bCs/>
          <w:snapToGrid w:val="0"/>
          <w:color w:val="000000" w:themeColor="text1"/>
          <w:kern w:val="0"/>
          <w:sz w:val="28"/>
          <w:szCs w:val="28"/>
          <w:lang w:val="en-US"/>
        </w:rPr>
        <w:t>in response</w:t>
      </w:r>
      <w:r w:rsidR="00D77E97" w:rsidRPr="001C7F91">
        <w:rPr>
          <w:bCs/>
          <w:snapToGrid w:val="0"/>
          <w:color w:val="000000" w:themeColor="text1"/>
          <w:kern w:val="0"/>
          <w:sz w:val="28"/>
          <w:szCs w:val="28"/>
          <w:lang w:val="en-US"/>
        </w:rPr>
        <w:t xml:space="preserve"> to the report.</w:t>
      </w:r>
    </w:p>
    <w:p w:rsidR="00D77E97" w:rsidRPr="001C7F91"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8</w:t>
      </w:r>
      <w:r w:rsidR="00D77E97" w:rsidRPr="001C7F91">
        <w:rPr>
          <w:bCs/>
          <w:snapToGrid w:val="0"/>
          <w:color w:val="000000" w:themeColor="text1"/>
          <w:kern w:val="0"/>
          <w:sz w:val="28"/>
          <w:szCs w:val="28"/>
          <w:lang w:val="en-US"/>
        </w:rPr>
        <w:t>.</w:t>
      </w:r>
      <w:r w:rsidR="00D77E97" w:rsidRPr="001C7F91">
        <w:rPr>
          <w:bCs/>
          <w:snapToGrid w:val="0"/>
          <w:color w:val="000000" w:themeColor="text1"/>
          <w:kern w:val="0"/>
          <w:sz w:val="28"/>
          <w:szCs w:val="28"/>
          <w:lang w:val="en-US"/>
        </w:rPr>
        <w:tab/>
      </w:r>
      <w:r w:rsidR="00D77E97" w:rsidRPr="001C7F91">
        <w:rPr>
          <w:rFonts w:hint="eastAsia"/>
          <w:bCs/>
          <w:snapToGrid w:val="0"/>
          <w:color w:val="000000" w:themeColor="text1"/>
          <w:kern w:val="0"/>
          <w:sz w:val="28"/>
          <w:szCs w:val="28"/>
          <w:lang w:val="en-US"/>
        </w:rPr>
        <w:t>Since</w:t>
      </w:r>
      <w:r w:rsidR="00D77E97" w:rsidRPr="001C7F91">
        <w:rPr>
          <w:bCs/>
          <w:snapToGrid w:val="0"/>
          <w:color w:val="000000" w:themeColor="text1"/>
          <w:kern w:val="0"/>
          <w:sz w:val="28"/>
          <w:szCs w:val="28"/>
          <w:lang w:val="en-US"/>
        </w:rPr>
        <w:t xml:space="preserve"> the Civil Justice Reform, legal aid has been extended to cover mediation in civil proceedings.  </w:t>
      </w:r>
      <w:r w:rsidR="00D77E97" w:rsidRPr="001C7F91">
        <w:rPr>
          <w:rFonts w:hint="eastAsia"/>
          <w:bCs/>
          <w:snapToGrid w:val="0"/>
          <w:color w:val="000000" w:themeColor="text1"/>
          <w:kern w:val="0"/>
          <w:sz w:val="28"/>
          <w:szCs w:val="28"/>
          <w:lang w:val="en-US"/>
        </w:rPr>
        <w:t xml:space="preserve">From </w:t>
      </w:r>
      <w:r w:rsidR="00D77E97" w:rsidRPr="001C7F91">
        <w:rPr>
          <w:bCs/>
          <w:snapToGrid w:val="0"/>
          <w:color w:val="000000" w:themeColor="text1"/>
          <w:kern w:val="0"/>
          <w:sz w:val="28"/>
          <w:szCs w:val="28"/>
          <w:lang w:val="en-US"/>
        </w:rPr>
        <w:t>2009</w:t>
      </w:r>
      <w:r w:rsidR="00D77E97" w:rsidRPr="001C7F91">
        <w:rPr>
          <w:rFonts w:hint="eastAsia"/>
          <w:bCs/>
          <w:snapToGrid w:val="0"/>
          <w:color w:val="000000" w:themeColor="text1"/>
          <w:kern w:val="0"/>
          <w:sz w:val="28"/>
          <w:szCs w:val="28"/>
          <w:lang w:val="en-US"/>
        </w:rPr>
        <w:t xml:space="preserve"> to</w:t>
      </w:r>
      <w:r w:rsidR="00D77E97" w:rsidRPr="001C7F91">
        <w:rPr>
          <w:bCs/>
          <w:snapToGrid w:val="0"/>
          <w:color w:val="000000" w:themeColor="text1"/>
          <w:kern w:val="0"/>
          <w:sz w:val="28"/>
          <w:szCs w:val="28"/>
          <w:lang w:val="en-US"/>
        </w:rPr>
        <w:t xml:space="preserve"> 2020, appointment of mediators </w:t>
      </w:r>
      <w:r w:rsidR="00D77E97" w:rsidRPr="001C7F91">
        <w:rPr>
          <w:rFonts w:hint="eastAsia"/>
          <w:bCs/>
          <w:snapToGrid w:val="0"/>
          <w:color w:val="000000" w:themeColor="text1"/>
          <w:kern w:val="0"/>
          <w:sz w:val="28"/>
          <w:szCs w:val="28"/>
          <w:lang w:val="en-US"/>
        </w:rPr>
        <w:t xml:space="preserve">has been approved </w:t>
      </w:r>
      <w:r w:rsidR="00D77E97" w:rsidRPr="001C7F91">
        <w:rPr>
          <w:bCs/>
          <w:snapToGrid w:val="0"/>
          <w:color w:val="000000" w:themeColor="text1"/>
          <w:kern w:val="0"/>
          <w:sz w:val="28"/>
          <w:szCs w:val="28"/>
          <w:lang w:val="en-US"/>
        </w:rPr>
        <w:t>in 1</w:t>
      </w:r>
      <w:r w:rsidR="009B0C40" w:rsidRPr="001C7F91">
        <w:rPr>
          <w:bCs/>
          <w:snapToGrid w:val="0"/>
          <w:color w:val="000000" w:themeColor="text1"/>
          <w:kern w:val="0"/>
          <w:sz w:val="28"/>
          <w:szCs w:val="28"/>
          <w:lang w:val="en-US"/>
        </w:rPr>
        <w:t> </w:t>
      </w:r>
      <w:r w:rsidR="00D77E97" w:rsidRPr="001C7F91">
        <w:rPr>
          <w:bCs/>
          <w:snapToGrid w:val="0"/>
          <w:color w:val="000000" w:themeColor="text1"/>
          <w:kern w:val="0"/>
          <w:sz w:val="28"/>
          <w:szCs w:val="28"/>
          <w:lang w:val="en-US"/>
        </w:rPr>
        <w:t xml:space="preserve">571 matrimonial </w:t>
      </w:r>
      <w:r w:rsidR="00D77E97" w:rsidRPr="001C7F91">
        <w:rPr>
          <w:rFonts w:hint="eastAsia"/>
          <w:bCs/>
          <w:snapToGrid w:val="0"/>
          <w:color w:val="000000" w:themeColor="text1"/>
          <w:kern w:val="0"/>
          <w:sz w:val="28"/>
          <w:szCs w:val="28"/>
          <w:lang w:val="en-US"/>
        </w:rPr>
        <w:t xml:space="preserve">legal aid </w:t>
      </w:r>
      <w:r w:rsidR="00D77E97" w:rsidRPr="001C7F91">
        <w:rPr>
          <w:bCs/>
          <w:snapToGrid w:val="0"/>
          <w:color w:val="000000" w:themeColor="text1"/>
          <w:kern w:val="0"/>
          <w:sz w:val="28"/>
          <w:szCs w:val="28"/>
          <w:lang w:val="en-US"/>
        </w:rPr>
        <w:t>cases.</w:t>
      </w:r>
    </w:p>
    <w:p w:rsidR="00401744" w:rsidRPr="001C7F91" w:rsidRDefault="00401744" w:rsidP="00401744">
      <w:pPr>
        <w:tabs>
          <w:tab w:val="left" w:pos="1440"/>
        </w:tabs>
        <w:snapToGrid w:val="0"/>
        <w:spacing w:line="360" w:lineRule="atLeast"/>
        <w:jc w:val="both"/>
        <w:rPr>
          <w:bCs/>
          <w:snapToGrid w:val="0"/>
          <w:color w:val="000000" w:themeColor="text1"/>
          <w:kern w:val="0"/>
          <w:sz w:val="28"/>
          <w:szCs w:val="28"/>
          <w:lang w:val="en-US"/>
        </w:rPr>
      </w:pPr>
    </w:p>
    <w:p w:rsidR="00D77E97" w:rsidRPr="001C7F91" w:rsidRDefault="00042136" w:rsidP="00D43AD3">
      <w:pPr>
        <w:tabs>
          <w:tab w:val="left" w:pos="1440"/>
        </w:tabs>
        <w:spacing w:after="240" w:line="360" w:lineRule="atLeast"/>
        <w:jc w:val="both"/>
        <w:rPr>
          <w:bCs/>
          <w:snapToGrid w:val="0"/>
          <w:color w:val="000000" w:themeColor="text1"/>
          <w:kern w:val="0"/>
          <w:sz w:val="28"/>
          <w:szCs w:val="28"/>
          <w:lang w:val="en-US"/>
        </w:rPr>
      </w:pPr>
      <w:r w:rsidRPr="001C7F91">
        <w:rPr>
          <w:bCs/>
          <w:snapToGrid w:val="0"/>
          <w:color w:val="000000" w:themeColor="text1"/>
          <w:kern w:val="0"/>
          <w:sz w:val="28"/>
          <w:szCs w:val="28"/>
          <w:lang w:val="en-US"/>
        </w:rPr>
        <w:t>9</w:t>
      </w:r>
      <w:r w:rsidR="00D77E97" w:rsidRPr="001C7F91">
        <w:rPr>
          <w:rFonts w:hint="eastAsia"/>
          <w:bCs/>
          <w:snapToGrid w:val="0"/>
          <w:color w:val="000000" w:themeColor="text1"/>
          <w:kern w:val="0"/>
          <w:sz w:val="28"/>
          <w:szCs w:val="28"/>
          <w:lang w:val="en-US"/>
        </w:rPr>
        <w:t>.</w:t>
      </w:r>
      <w:r w:rsidR="00D77E97" w:rsidRPr="001C7F91">
        <w:rPr>
          <w:rFonts w:hint="eastAsia"/>
          <w:bCs/>
          <w:snapToGrid w:val="0"/>
          <w:color w:val="000000" w:themeColor="text1"/>
          <w:kern w:val="0"/>
          <w:sz w:val="28"/>
          <w:szCs w:val="28"/>
          <w:lang w:val="en-US"/>
        </w:rPr>
        <w:tab/>
      </w:r>
      <w:r w:rsidR="00D77E97" w:rsidRPr="001C7F91">
        <w:rPr>
          <w:bCs/>
          <w:snapToGrid w:val="0"/>
          <w:color w:val="000000" w:themeColor="text1"/>
          <w:kern w:val="0"/>
          <w:sz w:val="28"/>
          <w:szCs w:val="28"/>
          <w:lang w:val="en-US"/>
        </w:rPr>
        <w:t xml:space="preserve">In May 2012, the Judiciary issued a Practice Direction on Family Mediation </w:t>
      </w:r>
      <w:r w:rsidR="00D77E97" w:rsidRPr="001C7F91">
        <w:rPr>
          <w:rFonts w:hint="eastAsia"/>
          <w:bCs/>
          <w:snapToGrid w:val="0"/>
          <w:color w:val="000000" w:themeColor="text1"/>
          <w:kern w:val="0"/>
          <w:sz w:val="28"/>
          <w:szCs w:val="28"/>
          <w:lang w:val="en-US"/>
        </w:rPr>
        <w:t>to encourage</w:t>
      </w:r>
      <w:r w:rsidR="00D77E97" w:rsidRPr="001C7F91">
        <w:rPr>
          <w:bCs/>
          <w:snapToGrid w:val="0"/>
          <w:color w:val="000000" w:themeColor="text1"/>
          <w:kern w:val="0"/>
          <w:sz w:val="28"/>
          <w:szCs w:val="28"/>
          <w:lang w:val="en-US"/>
        </w:rPr>
        <w:t xml:space="preserve"> the parties to use mediation as an alternative dispute resolution procedure.  Further, a Practice Direction on Children’s Dispute Resolution Pilot Scheme</w:t>
      </w:r>
      <w:r w:rsidR="00D77E97" w:rsidRPr="001C7F91">
        <w:rPr>
          <w:rFonts w:hint="eastAsia"/>
          <w:bCs/>
          <w:snapToGrid w:val="0"/>
          <w:color w:val="000000" w:themeColor="text1"/>
          <w:kern w:val="0"/>
          <w:sz w:val="28"/>
          <w:szCs w:val="28"/>
          <w:lang w:val="en-US"/>
        </w:rPr>
        <w:t>,</w:t>
      </w:r>
      <w:r w:rsidR="00D77E97" w:rsidRPr="001C7F91">
        <w:rPr>
          <w:bCs/>
          <w:snapToGrid w:val="0"/>
          <w:color w:val="000000" w:themeColor="text1"/>
          <w:kern w:val="0"/>
          <w:sz w:val="28"/>
          <w:szCs w:val="28"/>
          <w:lang w:val="en-US"/>
        </w:rPr>
        <w:t xml:space="preserve"> </w:t>
      </w:r>
      <w:r w:rsidR="00D77E97" w:rsidRPr="001C7F91">
        <w:rPr>
          <w:rFonts w:hint="eastAsia"/>
          <w:bCs/>
          <w:snapToGrid w:val="0"/>
          <w:color w:val="000000" w:themeColor="text1"/>
          <w:kern w:val="0"/>
          <w:sz w:val="28"/>
          <w:szCs w:val="28"/>
          <w:lang w:val="en-US"/>
        </w:rPr>
        <w:t>introduced in</w:t>
      </w:r>
      <w:r w:rsidR="00D77E97" w:rsidRPr="001C7F91">
        <w:rPr>
          <w:bCs/>
          <w:snapToGrid w:val="0"/>
          <w:color w:val="000000" w:themeColor="text1"/>
          <w:kern w:val="0"/>
          <w:sz w:val="28"/>
          <w:szCs w:val="28"/>
          <w:lang w:val="en-US"/>
        </w:rPr>
        <w:t xml:space="preserve"> October 2012</w:t>
      </w:r>
      <w:r w:rsidR="00D77E97" w:rsidRPr="001C7F91">
        <w:rPr>
          <w:rFonts w:hint="eastAsia"/>
          <w:bCs/>
          <w:snapToGrid w:val="0"/>
          <w:color w:val="000000" w:themeColor="text1"/>
          <w:kern w:val="0"/>
          <w:sz w:val="28"/>
          <w:szCs w:val="28"/>
          <w:lang w:val="en-US"/>
        </w:rPr>
        <w:t>,</w:t>
      </w:r>
      <w:r w:rsidR="00D77E97" w:rsidRPr="001C7F91">
        <w:rPr>
          <w:bCs/>
          <w:snapToGrid w:val="0"/>
          <w:color w:val="000000" w:themeColor="text1"/>
          <w:kern w:val="0"/>
          <w:sz w:val="28"/>
          <w:szCs w:val="28"/>
          <w:lang w:val="en-US"/>
        </w:rPr>
        <w:t xml:space="preserve"> has been </w:t>
      </w:r>
      <w:proofErr w:type="spellStart"/>
      <w:r w:rsidR="00D77E97" w:rsidRPr="001C7F91">
        <w:rPr>
          <w:bCs/>
          <w:snapToGrid w:val="0"/>
          <w:color w:val="000000" w:themeColor="text1"/>
          <w:kern w:val="0"/>
          <w:sz w:val="28"/>
          <w:szCs w:val="28"/>
          <w:lang w:val="en-US"/>
        </w:rPr>
        <w:t>formalised</w:t>
      </w:r>
      <w:proofErr w:type="spellEnd"/>
      <w:r w:rsidR="00D77E97" w:rsidRPr="001C7F91">
        <w:rPr>
          <w:bCs/>
          <w:snapToGrid w:val="0"/>
          <w:color w:val="000000" w:themeColor="text1"/>
          <w:kern w:val="0"/>
          <w:sz w:val="28"/>
          <w:szCs w:val="28"/>
          <w:lang w:val="en-US"/>
        </w:rPr>
        <w:t xml:space="preserve"> as standard practice since April 2016.  Parents seek</w:t>
      </w:r>
      <w:r w:rsidR="00D77E97" w:rsidRPr="001C7F91">
        <w:rPr>
          <w:rFonts w:hint="eastAsia"/>
          <w:bCs/>
          <w:snapToGrid w:val="0"/>
          <w:color w:val="000000" w:themeColor="text1"/>
          <w:kern w:val="0"/>
          <w:sz w:val="28"/>
          <w:szCs w:val="28"/>
          <w:lang w:val="en-US"/>
        </w:rPr>
        <w:t>ing</w:t>
      </w:r>
      <w:r w:rsidR="00D77E97" w:rsidRPr="001C7F91">
        <w:rPr>
          <w:bCs/>
          <w:snapToGrid w:val="0"/>
          <w:color w:val="000000" w:themeColor="text1"/>
          <w:kern w:val="0"/>
          <w:sz w:val="28"/>
          <w:szCs w:val="28"/>
          <w:lang w:val="en-US"/>
        </w:rPr>
        <w:t xml:space="preserve"> mediation may approach the Integrated Mediation Office for assistance.  A Practice Direction on a pilot scheme for private adjudication of financial disputes in matrimonial and family proceedings</w:t>
      </w:r>
      <w:r w:rsidR="00D77E97" w:rsidRPr="001C7F91">
        <w:rPr>
          <w:rFonts w:hint="eastAsia"/>
          <w:bCs/>
          <w:snapToGrid w:val="0"/>
          <w:color w:val="000000" w:themeColor="text1"/>
          <w:kern w:val="0"/>
          <w:sz w:val="28"/>
          <w:szCs w:val="28"/>
          <w:lang w:val="en-US"/>
        </w:rPr>
        <w:t>,</w:t>
      </w:r>
      <w:r w:rsidR="00D77E97" w:rsidRPr="001C7F91">
        <w:rPr>
          <w:bCs/>
          <w:snapToGrid w:val="0"/>
          <w:color w:val="000000" w:themeColor="text1"/>
          <w:kern w:val="0"/>
          <w:sz w:val="28"/>
          <w:szCs w:val="28"/>
          <w:lang w:val="en-US"/>
        </w:rPr>
        <w:t xml:space="preserve"> </w:t>
      </w:r>
      <w:r w:rsidR="00D77E97" w:rsidRPr="001C7F91">
        <w:rPr>
          <w:rFonts w:hint="eastAsia"/>
          <w:bCs/>
          <w:snapToGrid w:val="0"/>
          <w:color w:val="000000" w:themeColor="text1"/>
          <w:kern w:val="0"/>
          <w:sz w:val="28"/>
          <w:szCs w:val="28"/>
          <w:lang w:val="en-US"/>
        </w:rPr>
        <w:t>a new mode of alternative dispute resolution introduced in</w:t>
      </w:r>
      <w:r w:rsidR="00D77E97" w:rsidRPr="001C7F91">
        <w:rPr>
          <w:bCs/>
          <w:snapToGrid w:val="0"/>
          <w:color w:val="000000" w:themeColor="text1"/>
          <w:kern w:val="0"/>
          <w:sz w:val="28"/>
          <w:szCs w:val="28"/>
          <w:lang w:val="en-US"/>
        </w:rPr>
        <w:t xml:space="preserve"> 2015 </w:t>
      </w:r>
      <w:r w:rsidR="00D77E97" w:rsidRPr="001C7F91">
        <w:rPr>
          <w:rFonts w:hint="eastAsia"/>
          <w:bCs/>
          <w:snapToGrid w:val="0"/>
          <w:color w:val="000000" w:themeColor="text1"/>
          <w:kern w:val="0"/>
          <w:sz w:val="28"/>
          <w:szCs w:val="28"/>
          <w:lang w:val="en-US"/>
        </w:rPr>
        <w:t>has been</w:t>
      </w:r>
      <w:r w:rsidR="00D77E97" w:rsidRPr="001C7F91">
        <w:rPr>
          <w:bCs/>
          <w:snapToGrid w:val="0"/>
          <w:color w:val="000000" w:themeColor="text1"/>
          <w:kern w:val="0"/>
          <w:sz w:val="28"/>
          <w:szCs w:val="28"/>
          <w:lang w:val="en-US"/>
        </w:rPr>
        <w:t xml:space="preserve"> extended for another three years in 2021. </w:t>
      </w:r>
    </w:p>
    <w:p w:rsidR="001C7405" w:rsidRPr="001C7F91" w:rsidRDefault="001C7405" w:rsidP="00401744">
      <w:pPr>
        <w:tabs>
          <w:tab w:val="left" w:pos="1440"/>
        </w:tabs>
        <w:snapToGrid w:val="0"/>
        <w:spacing w:line="360" w:lineRule="atLeast"/>
        <w:jc w:val="both"/>
        <w:rPr>
          <w:bCs/>
          <w:snapToGrid w:val="0"/>
          <w:color w:val="000000" w:themeColor="text1"/>
          <w:kern w:val="0"/>
          <w:sz w:val="28"/>
          <w:szCs w:val="28"/>
          <w:lang w:val="en-US"/>
        </w:rPr>
      </w:pPr>
    </w:p>
    <w:sectPr w:rsidR="001C7405" w:rsidRPr="001C7F91">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CD1" w:rsidRDefault="002D1CD1" w:rsidP="00D77E97">
      <w:r>
        <w:separator/>
      </w:r>
    </w:p>
  </w:endnote>
  <w:endnote w:type="continuationSeparator" w:id="0">
    <w:p w:rsidR="002D1CD1" w:rsidRDefault="002D1CD1" w:rsidP="00D7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908429"/>
      <w:docPartObj>
        <w:docPartGallery w:val="Page Numbers (Bottom of Page)"/>
        <w:docPartUnique/>
      </w:docPartObj>
    </w:sdtPr>
    <w:sdtEndPr>
      <w:rPr>
        <w:sz w:val="24"/>
      </w:rPr>
    </w:sdtEndPr>
    <w:sdtContent>
      <w:p w:rsidR="0061615F" w:rsidRDefault="0061615F">
        <w:pPr>
          <w:pStyle w:val="a5"/>
          <w:jc w:val="center"/>
        </w:pPr>
        <w:r w:rsidRPr="0061615F">
          <w:rPr>
            <w:sz w:val="24"/>
          </w:rPr>
          <w:fldChar w:fldCharType="begin"/>
        </w:r>
        <w:r w:rsidRPr="0061615F">
          <w:rPr>
            <w:sz w:val="24"/>
          </w:rPr>
          <w:instrText>PAGE   \* MERGEFORMAT</w:instrText>
        </w:r>
        <w:r w:rsidRPr="0061615F">
          <w:rPr>
            <w:sz w:val="24"/>
          </w:rPr>
          <w:fldChar w:fldCharType="separate"/>
        </w:r>
        <w:r w:rsidR="002F45CD" w:rsidRPr="002F45CD">
          <w:rPr>
            <w:noProof/>
            <w:sz w:val="24"/>
            <w:lang w:val="zh-TW"/>
          </w:rPr>
          <w:t>2</w:t>
        </w:r>
        <w:r w:rsidRPr="0061615F">
          <w:rPr>
            <w:sz w:val="24"/>
          </w:rPr>
          <w:fldChar w:fldCharType="end"/>
        </w:r>
      </w:p>
    </w:sdtContent>
  </w:sdt>
  <w:p w:rsidR="0061615F" w:rsidRDefault="0061615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CD1" w:rsidRDefault="002D1CD1" w:rsidP="00D77E97">
      <w:r>
        <w:separator/>
      </w:r>
    </w:p>
  </w:footnote>
  <w:footnote w:type="continuationSeparator" w:id="0">
    <w:p w:rsidR="002D1CD1" w:rsidRDefault="002D1CD1" w:rsidP="00D77E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B6B"/>
    <w:rsid w:val="00042136"/>
    <w:rsid w:val="000925D1"/>
    <w:rsid w:val="00115C73"/>
    <w:rsid w:val="001A6929"/>
    <w:rsid w:val="001C7405"/>
    <w:rsid w:val="001C7F91"/>
    <w:rsid w:val="002D1CD1"/>
    <w:rsid w:val="002F45CD"/>
    <w:rsid w:val="00307BAD"/>
    <w:rsid w:val="003E07CF"/>
    <w:rsid w:val="00401744"/>
    <w:rsid w:val="00444781"/>
    <w:rsid w:val="0046669F"/>
    <w:rsid w:val="005C4246"/>
    <w:rsid w:val="005F7449"/>
    <w:rsid w:val="0061615F"/>
    <w:rsid w:val="008350E6"/>
    <w:rsid w:val="0084522A"/>
    <w:rsid w:val="009B0C40"/>
    <w:rsid w:val="00A057B0"/>
    <w:rsid w:val="00A912C3"/>
    <w:rsid w:val="00AE11B3"/>
    <w:rsid w:val="00B538DF"/>
    <w:rsid w:val="00BF7B6B"/>
    <w:rsid w:val="00C258A8"/>
    <w:rsid w:val="00C627F5"/>
    <w:rsid w:val="00D1272B"/>
    <w:rsid w:val="00D16ABF"/>
    <w:rsid w:val="00D237E4"/>
    <w:rsid w:val="00D43AD3"/>
    <w:rsid w:val="00D77AC3"/>
    <w:rsid w:val="00D77E97"/>
    <w:rsid w:val="00D9222D"/>
    <w:rsid w:val="00E02901"/>
    <w:rsid w:val="00E70D26"/>
    <w:rsid w:val="00F848BE"/>
    <w:rsid w:val="00FE6F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764D7E"/>
  <w15:chartTrackingRefBased/>
  <w15:docId w15:val="{9CBAFB2B-D513-434B-888B-B2EE228A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B6B"/>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BF7B6B"/>
    <w:pPr>
      <w:widowControl/>
      <w:suppressAutoHyphens/>
      <w:spacing w:after="120" w:line="240" w:lineRule="atLeast"/>
      <w:ind w:left="1134" w:right="1134"/>
      <w:jc w:val="both"/>
    </w:pPr>
    <w:rPr>
      <w:kern w:val="0"/>
      <w:sz w:val="20"/>
      <w:szCs w:val="20"/>
      <w:lang w:eastAsia="en-US"/>
    </w:rPr>
  </w:style>
  <w:style w:type="paragraph" w:customStyle="1" w:styleId="HChG">
    <w:name w:val="_ H _Ch_G"/>
    <w:basedOn w:val="a"/>
    <w:next w:val="a"/>
    <w:qFormat/>
    <w:rsid w:val="00BF7B6B"/>
    <w:pPr>
      <w:keepNext/>
      <w:keepLines/>
      <w:widowControl/>
      <w:tabs>
        <w:tab w:val="right" w:pos="851"/>
      </w:tabs>
      <w:suppressAutoHyphens/>
      <w:spacing w:before="360" w:after="240" w:line="300" w:lineRule="exact"/>
      <w:ind w:left="1134" w:right="1134" w:hanging="1134"/>
    </w:pPr>
    <w:rPr>
      <w:rFonts w:eastAsia="SimSun"/>
      <w:b/>
      <w:kern w:val="0"/>
      <w:sz w:val="28"/>
      <w:szCs w:val="20"/>
      <w:lang w:eastAsia="en-US"/>
    </w:rPr>
  </w:style>
  <w:style w:type="paragraph" w:styleId="a3">
    <w:name w:val="header"/>
    <w:basedOn w:val="a"/>
    <w:link w:val="a4"/>
    <w:uiPriority w:val="99"/>
    <w:unhideWhenUsed/>
    <w:rsid w:val="00D77E97"/>
    <w:pPr>
      <w:tabs>
        <w:tab w:val="center" w:pos="4153"/>
        <w:tab w:val="right" w:pos="8306"/>
      </w:tabs>
      <w:snapToGrid w:val="0"/>
    </w:pPr>
    <w:rPr>
      <w:sz w:val="20"/>
      <w:szCs w:val="20"/>
    </w:rPr>
  </w:style>
  <w:style w:type="character" w:customStyle="1" w:styleId="a4">
    <w:name w:val="頁首 字元"/>
    <w:basedOn w:val="a0"/>
    <w:link w:val="a3"/>
    <w:uiPriority w:val="99"/>
    <w:rsid w:val="00D77E97"/>
    <w:rPr>
      <w:rFonts w:ascii="Times New Roman" w:eastAsia="新細明體" w:hAnsi="Times New Roman" w:cs="Times New Roman"/>
      <w:sz w:val="20"/>
      <w:szCs w:val="20"/>
      <w:lang w:val="en-GB"/>
    </w:rPr>
  </w:style>
  <w:style w:type="paragraph" w:styleId="a5">
    <w:name w:val="footer"/>
    <w:basedOn w:val="a"/>
    <w:link w:val="a6"/>
    <w:uiPriority w:val="99"/>
    <w:unhideWhenUsed/>
    <w:rsid w:val="00D77E97"/>
    <w:pPr>
      <w:tabs>
        <w:tab w:val="center" w:pos="4153"/>
        <w:tab w:val="right" w:pos="8306"/>
      </w:tabs>
      <w:snapToGrid w:val="0"/>
    </w:pPr>
    <w:rPr>
      <w:sz w:val="20"/>
      <w:szCs w:val="20"/>
    </w:rPr>
  </w:style>
  <w:style w:type="character" w:customStyle="1" w:styleId="a6">
    <w:name w:val="頁尾 字元"/>
    <w:basedOn w:val="a0"/>
    <w:link w:val="a5"/>
    <w:uiPriority w:val="99"/>
    <w:rsid w:val="00D77E97"/>
    <w:rPr>
      <w:rFonts w:ascii="Times New Roman" w:eastAsia="新細明體" w:hAnsi="Times New Roman" w:cs="Times New Roman"/>
      <w:sz w:val="20"/>
      <w:szCs w:val="20"/>
      <w:lang w:val="en-GB"/>
    </w:rPr>
  </w:style>
  <w:style w:type="paragraph" w:styleId="a7">
    <w:name w:val="Balloon Text"/>
    <w:basedOn w:val="a"/>
    <w:link w:val="a8"/>
    <w:uiPriority w:val="99"/>
    <w:semiHidden/>
    <w:unhideWhenUsed/>
    <w:rsid w:val="0040174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1744"/>
    <w:rPr>
      <w:rFonts w:asciiTheme="majorHAnsi" w:eastAsiaTheme="majorEastAsia" w:hAnsiTheme="majorHAnsi" w:cstheme="majorBidi"/>
      <w:sz w:val="18"/>
      <w:szCs w:val="18"/>
      <w:lang w:val="en-GB"/>
    </w:rPr>
  </w:style>
  <w:style w:type="paragraph" w:styleId="a9">
    <w:name w:val="List Paragraph"/>
    <w:basedOn w:val="a"/>
    <w:uiPriority w:val="34"/>
    <w:qFormat/>
    <w:rsid w:val="005F744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770</Words>
  <Characters>4392</Characters>
  <Application>Microsoft Office Word</Application>
  <DocSecurity>0</DocSecurity>
  <Lines>36</Lines>
  <Paragraphs>10</Paragraphs>
  <ScaleCrop>false</ScaleCrop>
  <Company>HK Govt</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15</cp:revision>
  <cp:lastPrinted>2021-08-25T02:25:00Z</cp:lastPrinted>
  <dcterms:created xsi:type="dcterms:W3CDTF">2021-09-08T15:05:00Z</dcterms:created>
  <dcterms:modified xsi:type="dcterms:W3CDTF">2021-09-30T10:25:00Z</dcterms:modified>
</cp:coreProperties>
</file>