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D22CF" w14:paraId="5C4FC231" w14:textId="77777777">
        <w:trPr>
          <w:cantSplit/>
          <w:trHeight w:hRule="exact" w:val="851"/>
        </w:trPr>
        <w:tc>
          <w:tcPr>
            <w:tcW w:w="1276" w:type="dxa"/>
            <w:tcBorders>
              <w:bottom w:val="single" w:sz="4" w:space="0" w:color="auto"/>
            </w:tcBorders>
            <w:vAlign w:val="bottom"/>
          </w:tcPr>
          <w:p w14:paraId="3B4D038D" w14:textId="77777777" w:rsidR="00402B4E" w:rsidRDefault="00402B4E">
            <w:pPr>
              <w:spacing w:after="80"/>
            </w:pPr>
          </w:p>
        </w:tc>
        <w:tc>
          <w:tcPr>
            <w:tcW w:w="2268" w:type="dxa"/>
            <w:tcBorders>
              <w:bottom w:val="single" w:sz="4" w:space="0" w:color="auto"/>
            </w:tcBorders>
            <w:vAlign w:val="bottom"/>
          </w:tcPr>
          <w:p w14:paraId="148DFE5C" w14:textId="5F15AAF2" w:rsidR="00402B4E" w:rsidRDefault="00402B4E">
            <w:pPr>
              <w:spacing w:after="80" w:line="300" w:lineRule="exact"/>
              <w:rPr>
                <w:b/>
                <w:sz w:val="24"/>
                <w:szCs w:val="24"/>
              </w:rPr>
            </w:pPr>
          </w:p>
        </w:tc>
        <w:tc>
          <w:tcPr>
            <w:tcW w:w="6095" w:type="dxa"/>
            <w:gridSpan w:val="2"/>
            <w:tcBorders>
              <w:bottom w:val="single" w:sz="4" w:space="0" w:color="auto"/>
            </w:tcBorders>
            <w:vAlign w:val="bottom"/>
          </w:tcPr>
          <w:p w14:paraId="2663C380" w14:textId="77777777" w:rsidR="00402B4E" w:rsidRDefault="001607E1">
            <w:pPr>
              <w:suppressAutoHyphens w:val="0"/>
              <w:spacing w:after="20"/>
              <w:jc w:val="right"/>
            </w:pPr>
            <w:r>
              <w:rPr>
                <w:sz w:val="40"/>
              </w:rPr>
              <w:t>CEDAW</w:t>
            </w:r>
            <w:r>
              <w:t>/C/TGO/RQ/8-10</w:t>
            </w:r>
          </w:p>
        </w:tc>
      </w:tr>
      <w:tr w:rsidR="004D22CF" w14:paraId="09CD72CA" w14:textId="77777777">
        <w:trPr>
          <w:cantSplit/>
          <w:trHeight w:hRule="exact" w:val="2835"/>
        </w:trPr>
        <w:tc>
          <w:tcPr>
            <w:tcW w:w="1276" w:type="dxa"/>
            <w:tcBorders>
              <w:top w:val="single" w:sz="4" w:space="0" w:color="auto"/>
              <w:bottom w:val="single" w:sz="12" w:space="0" w:color="auto"/>
            </w:tcBorders>
          </w:tcPr>
          <w:p w14:paraId="7AD9B095" w14:textId="5D4BEA04" w:rsidR="00402B4E" w:rsidRDefault="00402B4E">
            <w:pPr>
              <w:spacing w:before="120"/>
              <w:jc w:val="center"/>
            </w:pPr>
          </w:p>
        </w:tc>
        <w:tc>
          <w:tcPr>
            <w:tcW w:w="5528" w:type="dxa"/>
            <w:gridSpan w:val="2"/>
            <w:tcBorders>
              <w:top w:val="single" w:sz="4" w:space="0" w:color="auto"/>
              <w:bottom w:val="single" w:sz="12" w:space="0" w:color="auto"/>
            </w:tcBorders>
          </w:tcPr>
          <w:p w14:paraId="0C583BB8" w14:textId="60B09B0B" w:rsidR="00402B4E" w:rsidRDefault="00C253D4">
            <w:pPr>
              <w:spacing w:before="120" w:line="380" w:lineRule="exact"/>
            </w:pPr>
            <w:r w:rsidRPr="00C253D4">
              <w:rPr>
                <w:b/>
                <w:sz w:val="34"/>
                <w:szCs w:val="34"/>
              </w:rPr>
              <w:t>Version avancée non editée</w:t>
            </w:r>
          </w:p>
        </w:tc>
        <w:tc>
          <w:tcPr>
            <w:tcW w:w="2835" w:type="dxa"/>
            <w:tcBorders>
              <w:top w:val="single" w:sz="4" w:space="0" w:color="auto"/>
              <w:bottom w:val="single" w:sz="12" w:space="0" w:color="auto"/>
            </w:tcBorders>
          </w:tcPr>
          <w:p w14:paraId="2FF7B16D" w14:textId="77777777" w:rsidR="00402B4E" w:rsidRDefault="001607E1">
            <w:pPr>
              <w:suppressAutoHyphens w:val="0"/>
              <w:spacing w:before="240" w:line="240" w:lineRule="exact"/>
            </w:pPr>
            <w:r>
              <w:t>Distr. générale</w:t>
            </w:r>
          </w:p>
          <w:p w14:paraId="4C5E632F" w14:textId="38525B6C" w:rsidR="00402B4E" w:rsidRDefault="00C75C01">
            <w:pPr>
              <w:suppressAutoHyphens w:val="0"/>
            </w:pPr>
            <w:r>
              <w:t>28</w:t>
            </w:r>
            <w:r w:rsidR="00A7113D">
              <w:t xml:space="preserve"> juillet 2026</w:t>
            </w:r>
          </w:p>
          <w:p w14:paraId="5C0FF1F1" w14:textId="77777777" w:rsidR="00402B4E" w:rsidRDefault="00402B4E">
            <w:pPr>
              <w:suppressAutoHyphens w:val="0"/>
            </w:pPr>
          </w:p>
          <w:p w14:paraId="6AC18BA8" w14:textId="77777777" w:rsidR="00402B4E" w:rsidRDefault="001607E1">
            <w:pPr>
              <w:suppressAutoHyphens w:val="0"/>
            </w:pPr>
            <w:r>
              <w:t>Original </w:t>
            </w:r>
            <w:r w:rsidR="009D24E9">
              <w:t>:</w:t>
            </w:r>
            <w:r w:rsidR="00A7113D">
              <w:t xml:space="preserve"> français</w:t>
            </w:r>
          </w:p>
          <w:p w14:paraId="1E179575" w14:textId="77777777" w:rsidR="00402B4E" w:rsidRDefault="00A7113D">
            <w:pPr>
              <w:suppressAutoHyphens w:val="0"/>
            </w:pPr>
            <w:r>
              <w:t>Anglais, espagnol et français seulement</w:t>
            </w:r>
          </w:p>
        </w:tc>
      </w:tr>
    </w:tbl>
    <w:p w14:paraId="29B95539" w14:textId="77777777" w:rsidR="00402B4E" w:rsidRDefault="001607E1">
      <w:pPr>
        <w:spacing w:before="120"/>
        <w:rPr>
          <w:b/>
          <w:sz w:val="24"/>
          <w:szCs w:val="24"/>
        </w:rPr>
      </w:pPr>
      <w:r>
        <w:rPr>
          <w:b/>
          <w:sz w:val="24"/>
          <w:szCs w:val="24"/>
        </w:rPr>
        <w:t xml:space="preserve">Comité pour l’élimination de la discrimination </w:t>
      </w:r>
      <w:r>
        <w:rPr>
          <w:b/>
          <w:sz w:val="24"/>
          <w:szCs w:val="24"/>
        </w:rPr>
        <w:br/>
        <w:t>à l’égard des femmes</w:t>
      </w:r>
    </w:p>
    <w:p w14:paraId="46073B22" w14:textId="77777777" w:rsidR="00402B4E" w:rsidRDefault="001607E1">
      <w:pPr>
        <w:rPr>
          <w:b/>
        </w:rPr>
      </w:pPr>
      <w:r>
        <w:rPr>
          <w:b/>
        </w:rPr>
        <w:t>Quatre-vingt-treizième session</w:t>
      </w:r>
    </w:p>
    <w:p w14:paraId="1E744F83" w14:textId="766411C1" w:rsidR="00402B4E" w:rsidRDefault="005E00AA">
      <w:r>
        <w:t xml:space="preserve">Genève, </w:t>
      </w:r>
      <w:r w:rsidR="00A7113D">
        <w:t>5-30 octobre 2026</w:t>
      </w:r>
    </w:p>
    <w:p w14:paraId="4F78C7B9" w14:textId="377CBE89" w:rsidR="00D12C0D" w:rsidRDefault="001607E1" w:rsidP="00D12C0D">
      <w:pPr>
        <w:rPr>
          <w:b/>
          <w:sz w:val="24"/>
          <w:szCs w:val="24"/>
          <w:lang w:val="fr-FR"/>
        </w:rPr>
      </w:pPr>
      <w:r>
        <w:rPr>
          <w:b/>
        </w:rPr>
        <w:t xml:space="preserve">Examen des rapports soumis par les États parties en application </w:t>
      </w:r>
      <w:r w:rsidR="005E00AA">
        <w:rPr>
          <w:b/>
        </w:rPr>
        <w:br/>
      </w:r>
      <w:r>
        <w:rPr>
          <w:b/>
        </w:rPr>
        <w:t xml:space="preserve">de l’article 18 de la Convention sur l’élimination de toutes les formes </w:t>
      </w:r>
      <w:r w:rsidR="005E00AA">
        <w:rPr>
          <w:b/>
        </w:rPr>
        <w:br/>
      </w:r>
      <w:r>
        <w:rPr>
          <w:b/>
        </w:rPr>
        <w:t>de discrimination à l’égard des femmes</w:t>
      </w:r>
    </w:p>
    <w:p w14:paraId="376A79C8" w14:textId="76A2D22B" w:rsidR="00402B4E" w:rsidRDefault="001607E1" w:rsidP="00561ADA">
      <w:pPr>
        <w:pStyle w:val="HMG"/>
      </w:pPr>
      <w:r>
        <w:tab/>
      </w:r>
      <w:r>
        <w:tab/>
      </w:r>
      <w:r w:rsidR="005A1BB6">
        <w:rPr>
          <w:lang w:val="fr-FR"/>
        </w:rPr>
        <w:t xml:space="preserve">Réponse </w:t>
      </w:r>
      <w:r w:rsidR="005A1BB6">
        <w:t xml:space="preserve">du Togo à la liste </w:t>
      </w:r>
      <w:r>
        <w:t xml:space="preserve">de points </w:t>
      </w:r>
      <w:r w:rsidR="005A1BB6" w:rsidRPr="001B5FBB">
        <w:t xml:space="preserve">et de questions concernant son </w:t>
      </w:r>
      <w:r w:rsidR="008719D8">
        <w:t>rapport valant huitième à dixième rapports périodiques</w:t>
      </w:r>
      <w:r>
        <w:rPr>
          <w:rStyle w:val="FootnoteReference"/>
          <w:b w:val="0"/>
          <w:bCs/>
          <w:sz w:val="20"/>
          <w:vertAlign w:val="baseline"/>
        </w:rPr>
        <w:footnoteReference w:customMarkFollows="1" w:id="2"/>
        <w:t>*</w:t>
      </w:r>
    </w:p>
    <w:p w14:paraId="0ACEB391" w14:textId="04FD0ADF" w:rsidR="00402B4E" w:rsidRPr="00C75C01" w:rsidRDefault="001607E1">
      <w:pPr>
        <w:pStyle w:val="SingleTxtG"/>
        <w:jc w:val="right"/>
      </w:pPr>
      <w:r>
        <w:t>[</w:t>
      </w:r>
      <w:r w:rsidRPr="00C75C01">
        <w:t>Date de réception</w:t>
      </w:r>
      <w:r w:rsidR="005A1BB6" w:rsidRPr="00C75C01">
        <w:t> </w:t>
      </w:r>
      <w:r w:rsidRPr="00C75C01">
        <w:t xml:space="preserve">: </w:t>
      </w:r>
      <w:r w:rsidR="00C75C01" w:rsidRPr="00C75C01">
        <w:t>27 juillet 2026</w:t>
      </w:r>
      <w:r w:rsidRPr="00C75C01">
        <w:t>]</w:t>
      </w:r>
    </w:p>
    <w:p w14:paraId="390EEBAC" w14:textId="083706EE" w:rsidR="00850E2C" w:rsidRDefault="00850E2C">
      <w:pPr>
        <w:suppressAutoHyphens w:val="0"/>
        <w:kinsoku/>
        <w:overflowPunct/>
        <w:autoSpaceDE/>
        <w:autoSpaceDN/>
        <w:adjustRightInd/>
        <w:snapToGrid/>
        <w:spacing w:after="200" w:line="276" w:lineRule="auto"/>
        <w:rPr>
          <w:color w:val="0000FF"/>
        </w:rPr>
      </w:pPr>
      <w:r>
        <w:rPr>
          <w:color w:val="0000FF"/>
        </w:rPr>
        <w:br w:type="page"/>
      </w:r>
    </w:p>
    <w:p w14:paraId="7660C8D5" w14:textId="3054769C" w:rsidR="00BA0D77" w:rsidRDefault="00BA0D77" w:rsidP="00BA0D77">
      <w:pPr>
        <w:pStyle w:val="H1G"/>
      </w:pPr>
      <w:r>
        <w:lastRenderedPageBreak/>
        <w:tab/>
      </w:r>
      <w:r w:rsidR="00F637AF">
        <w:t>I.</w:t>
      </w:r>
      <w:r w:rsidR="00F637AF">
        <w:tab/>
      </w:r>
      <w:r w:rsidRPr="00BA0D77">
        <w:t>Droits des femmes et égalité de genre dans le contexte de la pandémie et des mesures de relèvement</w:t>
      </w:r>
    </w:p>
    <w:p w14:paraId="36F2DF32" w14:textId="694E27FB" w:rsidR="00850E2C" w:rsidRPr="001128F5" w:rsidRDefault="00850E2C" w:rsidP="00F97BC3">
      <w:pPr>
        <w:pStyle w:val="SingleTxtG"/>
        <w:numPr>
          <w:ilvl w:val="0"/>
          <w:numId w:val="4"/>
        </w:numPr>
        <w:ind w:left="1134" w:firstLine="0"/>
      </w:pPr>
      <w:r w:rsidRPr="001128F5">
        <w:t>Parlant des mesures prises et les mécanismes mis en place pour faire face à la pandémie de maladie à coronavirus (COVID-19) et la manière dont elles s’inscrivent dans une logique de gestion des crises futures, en intégrant l’égalité de genre, il faut noter entre autres :</w:t>
      </w:r>
    </w:p>
    <w:p w14:paraId="1E6952FD" w14:textId="61F1389C" w:rsidR="00850E2C" w:rsidRPr="00850E2C" w:rsidRDefault="004A46C7" w:rsidP="004A46C7">
      <w:pPr>
        <w:pStyle w:val="Bullet1G"/>
        <w:rPr>
          <w:lang w:val="fr-FR"/>
        </w:rPr>
      </w:pPr>
      <w:r w:rsidRPr="00850E2C">
        <w:rPr>
          <w:lang w:val="fr-FR"/>
        </w:rPr>
        <w:t>La</w:t>
      </w:r>
      <w:r w:rsidR="00850E2C" w:rsidRPr="00850E2C">
        <w:rPr>
          <w:lang w:val="fr-FR"/>
        </w:rPr>
        <w:t xml:space="preserve"> mise en place d’un chatbot whatsapp (Akofa) dédié à la dénonciation et à la lutte contre les violences basées sur le genre : 758 personnes ont sollicité l’assistance juridique parmi lesquelles on dénombre 118 cas de violences multiformes, 338 demandes d’information, 15 demandes d’appui financiers et 231 tests de la plateforme ;</w:t>
      </w:r>
    </w:p>
    <w:p w14:paraId="520D7B5B" w14:textId="1C7D1EF2" w:rsidR="00850E2C" w:rsidRPr="00850E2C" w:rsidRDefault="004A46C7" w:rsidP="004A46C7">
      <w:pPr>
        <w:pStyle w:val="Bullet1G"/>
        <w:rPr>
          <w:lang w:val="fr-FR"/>
        </w:rPr>
      </w:pPr>
      <w:r w:rsidRPr="00850E2C">
        <w:rPr>
          <w:lang w:val="fr-FR"/>
        </w:rPr>
        <w:t>L’accompagnement</w:t>
      </w:r>
      <w:r w:rsidR="00850E2C" w:rsidRPr="00850E2C">
        <w:rPr>
          <w:lang w:val="fr-FR"/>
        </w:rPr>
        <w:t xml:space="preserve"> socioéconomique des victimes de violences basées sur le genre. 650 femmes victimes de VBG ont bénéficié d’un appui technique et financier de 2020 à 2024. Entre 2019 et 2025 ,196 femmes guéries de fistules obstétricales ont été appuyé pour leur réinsertion socioéconomique ;</w:t>
      </w:r>
    </w:p>
    <w:p w14:paraId="0B5AFD09" w14:textId="622B3D64" w:rsidR="00850E2C" w:rsidRPr="00850E2C" w:rsidRDefault="004A46C7" w:rsidP="004A46C7">
      <w:pPr>
        <w:pStyle w:val="Bullet1G"/>
        <w:rPr>
          <w:lang w:val="fr-FR"/>
        </w:rPr>
      </w:pPr>
      <w:r w:rsidRPr="00850E2C">
        <w:rPr>
          <w:lang w:val="fr-FR"/>
        </w:rPr>
        <w:t>Formation</w:t>
      </w:r>
      <w:r w:rsidR="00850E2C" w:rsidRPr="00850E2C">
        <w:rPr>
          <w:lang w:val="fr-FR"/>
        </w:rPr>
        <w:t xml:space="preserve"> de 200 femmes et jeunes en politique dans le cadre de la mise en œuvre du projet « promouvoir la participation significative des femmes à la vie politique » entre 2018 et 2022 ;</w:t>
      </w:r>
    </w:p>
    <w:p w14:paraId="5FE66AD1" w14:textId="1D11B6B4" w:rsidR="00850E2C" w:rsidRPr="00850E2C" w:rsidRDefault="004A46C7" w:rsidP="004A46C7">
      <w:pPr>
        <w:pStyle w:val="Bullet1G"/>
        <w:rPr>
          <w:lang w:val="fr-FR"/>
        </w:rPr>
      </w:pPr>
      <w:r w:rsidRPr="00850E2C">
        <w:rPr>
          <w:lang w:val="fr-FR"/>
        </w:rPr>
        <w:t>Formation</w:t>
      </w:r>
      <w:r w:rsidR="00850E2C" w:rsidRPr="00850E2C">
        <w:rPr>
          <w:lang w:val="fr-FR"/>
        </w:rPr>
        <w:t xml:space="preserve"> de 423 femmes candidates aux élections municipales de 2019 et 2025 ; </w:t>
      </w:r>
    </w:p>
    <w:p w14:paraId="069ACBB0" w14:textId="77777777" w:rsidR="00850E2C" w:rsidRPr="00850E2C" w:rsidRDefault="00850E2C" w:rsidP="004A46C7">
      <w:pPr>
        <w:pStyle w:val="Bullet1G"/>
        <w:rPr>
          <w:lang w:val="fr-FR"/>
        </w:rPr>
      </w:pPr>
      <w:r w:rsidRPr="00850E2C">
        <w:rPr>
          <w:lang w:val="fr-FR"/>
        </w:rPr>
        <w:t>formation de 778 femmes en leadership féminin paix et développement entre 2016 et 2024 et mise en place de 226 clubs de paires éducatrices dans les communautés ;</w:t>
      </w:r>
    </w:p>
    <w:p w14:paraId="345D5D97" w14:textId="77777777" w:rsidR="00850E2C" w:rsidRPr="00850E2C" w:rsidRDefault="00850E2C" w:rsidP="004A46C7">
      <w:pPr>
        <w:pStyle w:val="Bullet1G"/>
        <w:rPr>
          <w:lang w:val="fr-FR"/>
        </w:rPr>
      </w:pPr>
      <w:r w:rsidRPr="00850E2C">
        <w:rPr>
          <w:lang w:val="fr-FR"/>
        </w:rPr>
        <w:t>formation de 2070 filles sur l’approche « femme rôle modèle » et les résolutions 1325 et suivante du CSNU entre 2018 et 2022 ;</w:t>
      </w:r>
    </w:p>
    <w:p w14:paraId="28AADA83" w14:textId="0F061A10" w:rsidR="00850E2C" w:rsidRPr="00850E2C" w:rsidRDefault="004A46C7" w:rsidP="004A46C7">
      <w:pPr>
        <w:pStyle w:val="Bullet1G"/>
        <w:rPr>
          <w:lang w:val="fr-FR"/>
        </w:rPr>
      </w:pPr>
      <w:r w:rsidRPr="00850E2C">
        <w:rPr>
          <w:lang w:val="fr-FR"/>
        </w:rPr>
        <w:t>En</w:t>
      </w:r>
      <w:r w:rsidR="00850E2C" w:rsidRPr="00850E2C">
        <w:rPr>
          <w:lang w:val="fr-FR"/>
        </w:rPr>
        <w:t xml:space="preserve"> 2022, les femmes représentaient 7,31% de l’effectif total des forces armées. L’armée comptait des femmes Lieutenant-Colonel et la police, des femmes commissaires divisionnaires. Ces femmes sont représentées au niveau du cabinet des ministères de la sécurité et de la protection civile, des armées, commissariats et autres institutions rattachées ;</w:t>
      </w:r>
    </w:p>
    <w:p w14:paraId="7B2CD5B4" w14:textId="5F6BF162" w:rsidR="00850E2C" w:rsidRPr="00850E2C" w:rsidRDefault="004A46C7" w:rsidP="004A46C7">
      <w:pPr>
        <w:pStyle w:val="Bullet1G"/>
        <w:rPr>
          <w:lang w:val="fr-FR"/>
        </w:rPr>
      </w:pPr>
      <w:r w:rsidRPr="00850E2C">
        <w:rPr>
          <w:lang w:val="fr-FR"/>
        </w:rPr>
        <w:t>Le</w:t>
      </w:r>
      <w:r w:rsidR="00850E2C" w:rsidRPr="00850E2C">
        <w:rPr>
          <w:lang w:val="fr-FR"/>
        </w:rPr>
        <w:t xml:space="preserve"> pourcentage des femmes est passé de 10 à 34,8% dans les opérations de maintien de paix (OMP) des Nations Unies en 2023 grâce aux projets PIGAF et ELSIE ;</w:t>
      </w:r>
    </w:p>
    <w:p w14:paraId="22978505" w14:textId="7707B460" w:rsidR="00850E2C" w:rsidRPr="00850E2C" w:rsidRDefault="004A46C7" w:rsidP="004A46C7">
      <w:pPr>
        <w:pStyle w:val="Bullet1G"/>
        <w:rPr>
          <w:lang w:val="fr-FR"/>
        </w:rPr>
      </w:pPr>
      <w:r w:rsidRPr="00850E2C">
        <w:rPr>
          <w:lang w:val="fr-FR"/>
        </w:rPr>
        <w:t>Renforcement</w:t>
      </w:r>
      <w:r w:rsidR="00850E2C" w:rsidRPr="00850E2C">
        <w:rPr>
          <w:lang w:val="fr-FR"/>
        </w:rPr>
        <w:t xml:space="preserve"> de capacités productives de 665 femmes commerçantes en leadership et gestion des microentreprises entre 2019 et 2025. 107 groupements féminins et mixtes ont été appuyés en matériel de production, de transformation et de commercialisation entre 2020-2024 ; </w:t>
      </w:r>
    </w:p>
    <w:p w14:paraId="3085AACB" w14:textId="722A041A" w:rsidR="00850E2C" w:rsidRPr="00850E2C" w:rsidRDefault="004A46C7" w:rsidP="004A46C7">
      <w:pPr>
        <w:pStyle w:val="Bullet1G"/>
        <w:rPr>
          <w:lang w:val="fr-FR"/>
        </w:rPr>
      </w:pPr>
      <w:r w:rsidRPr="00850E2C">
        <w:rPr>
          <w:lang w:val="fr-FR"/>
        </w:rPr>
        <w:t>L’amélioration</w:t>
      </w:r>
      <w:r w:rsidR="00850E2C" w:rsidRPr="00850E2C">
        <w:rPr>
          <w:lang w:val="fr-FR"/>
        </w:rPr>
        <w:t xml:space="preserve"> du cadre institutionnel à travers la mise en œuvre de la politique nationale de l’équité et de l’égalité de genre (PNEEG) ;</w:t>
      </w:r>
    </w:p>
    <w:p w14:paraId="7EDC4D38" w14:textId="132FE9F9" w:rsidR="00850E2C" w:rsidRPr="00850E2C" w:rsidRDefault="004A46C7" w:rsidP="004A46C7">
      <w:pPr>
        <w:pStyle w:val="Bullet1G"/>
        <w:rPr>
          <w:lang w:val="fr-FR"/>
        </w:rPr>
      </w:pPr>
      <w:r w:rsidRPr="00850E2C">
        <w:rPr>
          <w:lang w:val="fr-FR"/>
        </w:rPr>
        <w:t>La</w:t>
      </w:r>
      <w:r w:rsidR="00850E2C" w:rsidRPr="00850E2C">
        <w:rPr>
          <w:lang w:val="fr-FR"/>
        </w:rPr>
        <w:t xml:space="preserve"> réalisation d’une enquête sur les violences basées sur le genre (VBG) ; (Confère les résultats de l’enquête rapide Afrobaromètre du 9-22 mars 2022) ;</w:t>
      </w:r>
    </w:p>
    <w:p w14:paraId="50EF9CD9" w14:textId="30707EFD" w:rsidR="00850E2C" w:rsidRPr="00850E2C" w:rsidRDefault="004A46C7" w:rsidP="004A46C7">
      <w:pPr>
        <w:pStyle w:val="Bullet1G"/>
        <w:rPr>
          <w:lang w:val="fr-FR"/>
        </w:rPr>
      </w:pPr>
      <w:r w:rsidRPr="00850E2C">
        <w:rPr>
          <w:lang w:val="fr-FR"/>
        </w:rPr>
        <w:t>Le</w:t>
      </w:r>
      <w:r w:rsidR="00850E2C" w:rsidRPr="00850E2C">
        <w:rPr>
          <w:lang w:val="fr-FR"/>
        </w:rPr>
        <w:t xml:space="preserve"> renforcement de la prise en compte du genre dans la planification, la programmation et la budgétisation à travers l’élaboration des documents de budgétisation sensible au genre par les ministères et institutions de la République ;</w:t>
      </w:r>
    </w:p>
    <w:p w14:paraId="0DF44DE0" w14:textId="199B2251" w:rsidR="00850E2C" w:rsidRPr="00850E2C" w:rsidRDefault="004A46C7" w:rsidP="004A46C7">
      <w:pPr>
        <w:pStyle w:val="Bullet1G"/>
        <w:rPr>
          <w:lang w:val="fr-FR"/>
        </w:rPr>
      </w:pPr>
      <w:r w:rsidRPr="00850E2C">
        <w:rPr>
          <w:lang w:val="fr-FR"/>
        </w:rPr>
        <w:t>Mise</w:t>
      </w:r>
      <w:r w:rsidR="00850E2C" w:rsidRPr="00850E2C">
        <w:rPr>
          <w:lang w:val="fr-FR"/>
        </w:rPr>
        <w:t xml:space="preserve"> en place de restaurants communautaires et distribution de vivres/non vivres à 8750 personnes vulnérables (veuves, personnes handicapées, âgées, malades chroniques) dans 149 quartiers pour renforcer la résilience des communautés pauvres face aux chocs sanitaires et socio économiques liés à la COVID 19 ;</w:t>
      </w:r>
    </w:p>
    <w:p w14:paraId="1C7E943A" w14:textId="268A20F1" w:rsidR="00850E2C" w:rsidRPr="00850E2C" w:rsidRDefault="004A46C7" w:rsidP="004A46C7">
      <w:pPr>
        <w:pStyle w:val="Bullet1G"/>
        <w:rPr>
          <w:lang w:val="fr-FR"/>
        </w:rPr>
      </w:pPr>
      <w:r w:rsidRPr="00850E2C">
        <w:rPr>
          <w:lang w:val="fr-FR"/>
        </w:rPr>
        <w:t>Filets</w:t>
      </w:r>
      <w:r w:rsidR="00850E2C" w:rsidRPr="00850E2C">
        <w:rPr>
          <w:lang w:val="fr-FR"/>
        </w:rPr>
        <w:t xml:space="preserve"> sociaux et transferts monétaires : entre 2014 et 2023, 344 531 ménages vulnérables ont bénéficié de transferts monétaires pour faire face aux effets de la pandémie. Ces mesures ont ciblé particulièrement les femmes et les familles pauvres, garantissant leur survie et leur inclusion économique ;</w:t>
      </w:r>
    </w:p>
    <w:p w14:paraId="5CE6DA38" w14:textId="59F0C809" w:rsidR="00850E2C" w:rsidRPr="00850E2C" w:rsidRDefault="004A46C7" w:rsidP="004A46C7">
      <w:pPr>
        <w:pStyle w:val="Bullet1G"/>
        <w:rPr>
          <w:lang w:val="fr-FR"/>
        </w:rPr>
      </w:pPr>
      <w:r w:rsidRPr="00850E2C">
        <w:rPr>
          <w:lang w:val="fr-FR"/>
        </w:rPr>
        <w:lastRenderedPageBreak/>
        <w:t>Adoption</w:t>
      </w:r>
      <w:r w:rsidR="00850E2C" w:rsidRPr="00850E2C">
        <w:rPr>
          <w:lang w:val="fr-FR"/>
        </w:rPr>
        <w:t xml:space="preserve"> d’une loi sur l’alimentation scolaire (juin 2020) garantissant à chaque élève une alimentation suffisante et équilibrée, tout en favorisant la production locale, la fréquentation scolaire et protection contre les effets de la crise ;</w:t>
      </w:r>
    </w:p>
    <w:p w14:paraId="234E9D6A" w14:textId="28ED1FE4" w:rsidR="00850E2C" w:rsidRPr="00850E2C" w:rsidRDefault="004A46C7" w:rsidP="004A46C7">
      <w:pPr>
        <w:pStyle w:val="Bullet1G"/>
        <w:rPr>
          <w:lang w:val="fr-FR"/>
        </w:rPr>
      </w:pPr>
      <w:r w:rsidRPr="00850E2C">
        <w:rPr>
          <w:lang w:val="fr-FR"/>
        </w:rPr>
        <w:t>Adoption</w:t>
      </w:r>
      <w:r w:rsidR="00850E2C" w:rsidRPr="00850E2C">
        <w:rPr>
          <w:lang w:val="fr-FR"/>
        </w:rPr>
        <w:t xml:space="preserve"> du télétravail dans l’administration publique togolaise a été une réponse directe à la crise de la COVID-19 ;</w:t>
      </w:r>
    </w:p>
    <w:p w14:paraId="1C31CEBC" w14:textId="46F4D309" w:rsidR="00850E2C" w:rsidRPr="00850E2C" w:rsidRDefault="004A46C7" w:rsidP="004A46C7">
      <w:pPr>
        <w:pStyle w:val="Bullet1G"/>
        <w:rPr>
          <w:lang w:val="fr-FR"/>
        </w:rPr>
      </w:pPr>
      <w:r w:rsidRPr="00850E2C">
        <w:rPr>
          <w:lang w:val="fr-FR"/>
        </w:rPr>
        <w:t>Réactivité</w:t>
      </w:r>
      <w:r w:rsidR="00850E2C" w:rsidRPr="00850E2C">
        <w:rPr>
          <w:lang w:val="fr-FR"/>
        </w:rPr>
        <w:t xml:space="preserve"> des mécanismes de protection sociale en situation de crises est prise en compte par la politique nationale de protection sociale adoptée par le gouvernement pour la période 2025-2035 afin d’assurer la protection des populations vulnérables contre les chocs covariants (crises sécuritaires, sanitaires, économiques, catastrophes naturelles…). Cette orientation de la politique nationale de protection sociale va s’arrimer aux dispositifs en matière de protection civile et de protection sociale déjà existants (plan national de contingence, plan d’organisation de la réponse et sécurité civile, système d’alerte précoce, critères de vulnérabilité) ou en cours de mise en place (registre social des personnes et des ménages) ;  </w:t>
      </w:r>
    </w:p>
    <w:p w14:paraId="2481FC47" w14:textId="77777777" w:rsidR="00850E2C" w:rsidRPr="00850E2C" w:rsidRDefault="00850E2C" w:rsidP="004A46C7">
      <w:pPr>
        <w:pStyle w:val="Bullet1G"/>
        <w:rPr>
          <w:lang w:val="fr-FR"/>
        </w:rPr>
      </w:pPr>
      <w:r w:rsidRPr="00850E2C">
        <w:rPr>
          <w:lang w:val="fr-FR"/>
        </w:rPr>
        <w:t>2020-2021 : mise en œuvre du programme de transferts monétaires Novissi, destiné à soutenir les travailleurs du secteur informel dont les revenus ont été affectés par les mesures de restriction en accordant une priorité aux femmes ;</w:t>
      </w:r>
    </w:p>
    <w:p w14:paraId="0EE71C1F" w14:textId="77777777" w:rsidR="00850E2C" w:rsidRPr="00850E2C" w:rsidRDefault="00850E2C" w:rsidP="004A46C7">
      <w:pPr>
        <w:pStyle w:val="Bullet1G"/>
        <w:rPr>
          <w:lang w:val="fr-FR"/>
        </w:rPr>
      </w:pPr>
      <w:r w:rsidRPr="00850E2C">
        <w:rPr>
          <w:lang w:val="fr-FR"/>
        </w:rPr>
        <w:t>Depuis 2021, le programme national d’accompagnement de la femme enceinte et du nouveau-né (PNAFE) dénommé « WEZOU » contribue à la réduction des risques financiers liés aux soins de santé maternels et infantiles ;</w:t>
      </w:r>
    </w:p>
    <w:p w14:paraId="3A8A59A0" w14:textId="70785710" w:rsidR="00850E2C" w:rsidRPr="00850E2C" w:rsidRDefault="004A46C7" w:rsidP="004A46C7">
      <w:pPr>
        <w:pStyle w:val="Bullet1G"/>
        <w:rPr>
          <w:lang w:val="fr-FR"/>
        </w:rPr>
      </w:pPr>
      <w:r>
        <w:rPr>
          <w:lang w:val="fr-FR"/>
        </w:rPr>
        <w:t>E</w:t>
      </w:r>
      <w:r w:rsidR="00850E2C" w:rsidRPr="00850E2C">
        <w:rPr>
          <w:lang w:val="fr-FR"/>
        </w:rPr>
        <w:t>xonération de l’écolage au préscolaire, primaire et secondaire public de même que l’exonération des frais d’examen et distribution de manuels scolaires et kits pédagogiques.</w:t>
      </w:r>
    </w:p>
    <w:p w14:paraId="689D2B5C" w14:textId="77777777" w:rsidR="00850E2C" w:rsidRPr="00850E2C" w:rsidRDefault="00850E2C" w:rsidP="00F637AF">
      <w:pPr>
        <w:pStyle w:val="SingleTxtG"/>
        <w:numPr>
          <w:ilvl w:val="0"/>
          <w:numId w:val="4"/>
        </w:numPr>
        <w:ind w:left="1134" w:firstLine="0"/>
        <w:rPr>
          <w:lang w:val="fr-FR"/>
        </w:rPr>
      </w:pPr>
      <w:r w:rsidRPr="00850E2C">
        <w:rPr>
          <w:lang w:val="fr-FR"/>
        </w:rPr>
        <w:t>Ces différents mécanismes mis en place sont conçus pour être réplicables en cas de conflits armés, insécurité alimentaire et hydrique ou crise énergétique avec une stratégie qui repose sur la participation communautaire, l’inclusion des femmes et la responsabilisation locale, en garantissant que les acquis en matière de droits des femmes ne soient pas remis en cause.</w:t>
      </w:r>
    </w:p>
    <w:p w14:paraId="70955943" w14:textId="5FCBCE5A" w:rsidR="00850E2C" w:rsidRPr="00850E2C" w:rsidRDefault="001128F5" w:rsidP="001128F5">
      <w:pPr>
        <w:pStyle w:val="H1G"/>
        <w:rPr>
          <w:lang w:val="fr-FR"/>
        </w:rPr>
      </w:pPr>
      <w:r>
        <w:rPr>
          <w:lang w:val="fr-FR"/>
        </w:rPr>
        <w:tab/>
      </w:r>
      <w:r w:rsidR="00F637AF">
        <w:rPr>
          <w:lang w:val="fr-FR"/>
        </w:rPr>
        <w:t>II.</w:t>
      </w:r>
      <w:r w:rsidR="00F637AF">
        <w:rPr>
          <w:lang w:val="fr-FR"/>
        </w:rPr>
        <w:tab/>
      </w:r>
      <w:r w:rsidR="00850E2C" w:rsidRPr="00850E2C">
        <w:rPr>
          <w:lang w:val="fr-FR"/>
        </w:rPr>
        <w:t>Visibilité de la Convention</w:t>
      </w:r>
    </w:p>
    <w:p w14:paraId="788AACB4" w14:textId="662F6FBF" w:rsidR="004A46C7" w:rsidRDefault="001128F5" w:rsidP="004760FA">
      <w:pPr>
        <w:pStyle w:val="H23G"/>
        <w:rPr>
          <w:lang w:val="fr-FR"/>
        </w:rPr>
      </w:pPr>
      <w:r>
        <w:rPr>
          <w:lang w:val="fr-FR"/>
        </w:rPr>
        <w:tab/>
      </w:r>
      <w:r>
        <w:rPr>
          <w:lang w:val="fr-FR"/>
        </w:rPr>
        <w:tab/>
      </w:r>
      <w:r w:rsidR="004760FA">
        <w:rPr>
          <w:lang w:val="fr-FR"/>
        </w:rPr>
        <w:t xml:space="preserve">Paragraphe </w:t>
      </w:r>
      <w:r w:rsidR="004A46C7">
        <w:rPr>
          <w:lang w:val="fr-FR"/>
        </w:rPr>
        <w:t>2</w:t>
      </w:r>
      <w:r w:rsidR="00850E2C" w:rsidRPr="00850E2C">
        <w:rPr>
          <w:lang w:val="fr-FR"/>
        </w:rPr>
        <w:t>a)</w:t>
      </w:r>
    </w:p>
    <w:p w14:paraId="2C8E4E4F" w14:textId="5F41C0B4" w:rsidR="00850E2C" w:rsidRPr="00850E2C" w:rsidRDefault="00850E2C" w:rsidP="00F97BC3">
      <w:pPr>
        <w:pStyle w:val="SingleTxtG"/>
        <w:numPr>
          <w:ilvl w:val="0"/>
          <w:numId w:val="4"/>
        </w:numPr>
        <w:ind w:left="1134" w:firstLine="0"/>
        <w:rPr>
          <w:lang w:val="fr-FR"/>
        </w:rPr>
      </w:pPr>
      <w:r w:rsidRPr="00850E2C">
        <w:rPr>
          <w:lang w:val="fr-FR"/>
        </w:rPr>
        <w:t xml:space="preserve">Parmi les mesures prises pour faire connaître aux femmes et aux filles les droits consacrés par la </w:t>
      </w:r>
      <w:r w:rsidRPr="004A46C7">
        <w:t>Convention</w:t>
      </w:r>
      <w:r w:rsidRPr="00850E2C">
        <w:rPr>
          <w:lang w:val="fr-FR"/>
        </w:rPr>
        <w:t xml:space="preserve"> et les recommandations générales du Comité, </w:t>
      </w:r>
      <w:r w:rsidRPr="001128F5">
        <w:t>notons</w:t>
      </w:r>
      <w:r w:rsidRPr="00850E2C">
        <w:rPr>
          <w:lang w:val="fr-FR"/>
        </w:rPr>
        <w:t xml:space="preserve"> :</w:t>
      </w:r>
    </w:p>
    <w:p w14:paraId="6A5F06FC" w14:textId="21D1B8EE" w:rsidR="00850E2C" w:rsidRPr="00850E2C" w:rsidRDefault="001128F5" w:rsidP="001128F5">
      <w:pPr>
        <w:pStyle w:val="Bullet1G"/>
        <w:rPr>
          <w:lang w:val="fr-FR"/>
        </w:rPr>
      </w:pPr>
      <w:r w:rsidRPr="00850E2C">
        <w:rPr>
          <w:lang w:val="fr-FR"/>
        </w:rPr>
        <w:t>L’organisation</w:t>
      </w:r>
      <w:r w:rsidR="00850E2C" w:rsidRPr="00850E2C">
        <w:rPr>
          <w:lang w:val="fr-FR"/>
        </w:rPr>
        <w:t xml:space="preserve"> de campagnes nationales de sensibilisation sur les droits des femmes, incluant des sessions d’information sur la Convention, à travers les médias (radio, télévision, presse écrite) et les plateformes numériques ;</w:t>
      </w:r>
    </w:p>
    <w:p w14:paraId="2AE10C92" w14:textId="542628F4" w:rsidR="00850E2C" w:rsidRPr="00850E2C" w:rsidRDefault="001128F5" w:rsidP="001128F5">
      <w:pPr>
        <w:pStyle w:val="Bullet1G"/>
        <w:rPr>
          <w:lang w:val="fr-FR"/>
        </w:rPr>
      </w:pPr>
      <w:r w:rsidRPr="00850E2C">
        <w:rPr>
          <w:lang w:val="fr-FR"/>
        </w:rPr>
        <w:t>La</w:t>
      </w:r>
      <w:r w:rsidR="00850E2C" w:rsidRPr="00850E2C">
        <w:rPr>
          <w:lang w:val="fr-FR"/>
        </w:rPr>
        <w:t xml:space="preserve"> réalisation de causeries éducatives et communautaires dans les zones urbaines et rurales, ciblant spécifiquement les femmes, les jeunes filles et les leaders communautaires ;</w:t>
      </w:r>
    </w:p>
    <w:p w14:paraId="618F3793" w14:textId="68A7FAB4" w:rsidR="00850E2C" w:rsidRPr="00850E2C" w:rsidRDefault="001128F5" w:rsidP="001128F5">
      <w:pPr>
        <w:pStyle w:val="Bullet1G"/>
        <w:rPr>
          <w:lang w:val="fr-FR"/>
        </w:rPr>
      </w:pPr>
      <w:r w:rsidRPr="00850E2C">
        <w:rPr>
          <w:lang w:val="fr-FR"/>
        </w:rPr>
        <w:t>L’implication</w:t>
      </w:r>
      <w:r w:rsidR="00850E2C" w:rsidRPr="00850E2C">
        <w:rPr>
          <w:lang w:val="fr-FR"/>
        </w:rPr>
        <w:t xml:space="preserve"> des organisations de la société civile et des associations féminines dans la diffusion des droits consacrés par la Convention ;</w:t>
      </w:r>
    </w:p>
    <w:p w14:paraId="04994CA7" w14:textId="1D05F88A" w:rsidR="00850E2C" w:rsidRPr="00850E2C" w:rsidRDefault="001128F5" w:rsidP="001128F5">
      <w:pPr>
        <w:pStyle w:val="Bullet1G"/>
        <w:rPr>
          <w:lang w:val="fr-FR"/>
        </w:rPr>
      </w:pPr>
      <w:r w:rsidRPr="00850E2C">
        <w:rPr>
          <w:lang w:val="fr-FR"/>
        </w:rPr>
        <w:t>La</w:t>
      </w:r>
      <w:r w:rsidR="00850E2C" w:rsidRPr="00850E2C">
        <w:rPr>
          <w:lang w:val="fr-FR"/>
        </w:rPr>
        <w:t xml:space="preserve"> traduction de la Convention et de certains extraits pertinents dans les langues nationales afin de faciliter leur compréhension par les populations ;</w:t>
      </w:r>
    </w:p>
    <w:p w14:paraId="0F79B401" w14:textId="2777648F" w:rsidR="00850E2C" w:rsidRPr="00850E2C" w:rsidRDefault="001128F5" w:rsidP="001128F5">
      <w:pPr>
        <w:pStyle w:val="Bullet1G"/>
        <w:rPr>
          <w:lang w:val="fr-FR"/>
        </w:rPr>
      </w:pPr>
      <w:r w:rsidRPr="00850E2C">
        <w:rPr>
          <w:lang w:val="fr-FR"/>
        </w:rPr>
        <w:t>L’organisation</w:t>
      </w:r>
      <w:r w:rsidR="00850E2C" w:rsidRPr="00850E2C">
        <w:rPr>
          <w:lang w:val="fr-FR"/>
        </w:rPr>
        <w:t xml:space="preserve"> de formations à l’intention des acteurs clés (leaders religieux et traditionnels, les leaders d’opinion et les groupements de femmes) sur les dispositions de la Convention et les recommandations générales.</w:t>
      </w:r>
    </w:p>
    <w:p w14:paraId="4AFB40E9" w14:textId="77777777" w:rsidR="00850E2C" w:rsidRPr="00850E2C" w:rsidRDefault="00850E2C" w:rsidP="00F97BC3">
      <w:pPr>
        <w:pStyle w:val="SingleTxtG"/>
        <w:numPr>
          <w:ilvl w:val="0"/>
          <w:numId w:val="4"/>
        </w:numPr>
        <w:ind w:left="1134" w:firstLine="0"/>
        <w:rPr>
          <w:lang w:val="fr-FR"/>
        </w:rPr>
      </w:pPr>
      <w:r w:rsidRPr="00850E2C">
        <w:rPr>
          <w:lang w:val="fr-FR"/>
        </w:rPr>
        <w:t xml:space="preserve">Par ailleurs, la CNDH a, en partenariat avec le CACIT et l’Association VEGON et avec l’appui financier de l’Union européenne, réalisé un film dénommé “Mikoko” dont le lancement a été fait à </w:t>
      </w:r>
      <w:r w:rsidRPr="004A46C7">
        <w:t>l’Université</w:t>
      </w:r>
      <w:r w:rsidRPr="00850E2C">
        <w:rPr>
          <w:lang w:val="fr-FR"/>
        </w:rPr>
        <w:t xml:space="preserve"> de Lomé, le 08 mars 2025 et sa diffusion à Kara, le 23 juillet 2025. Ce film vise à contribuer entre autres, à l’égalité de genre, à l’autonomisation de </w:t>
      </w:r>
      <w:r w:rsidRPr="00850E2C">
        <w:rPr>
          <w:lang w:val="fr-FR"/>
        </w:rPr>
        <w:lastRenderedPageBreak/>
        <w:t xml:space="preserve">la femme, à la </w:t>
      </w:r>
      <w:r w:rsidRPr="001128F5">
        <w:t>participation</w:t>
      </w:r>
      <w:r w:rsidRPr="00850E2C">
        <w:rPr>
          <w:lang w:val="fr-FR"/>
        </w:rPr>
        <w:t xml:space="preserve"> de la femme à la vie publique et politique et à l’éducation de la jeune fille. </w:t>
      </w:r>
    </w:p>
    <w:p w14:paraId="6CC52D28" w14:textId="5264CC88" w:rsidR="004A46C7" w:rsidRDefault="001128F5" w:rsidP="004760FA">
      <w:pPr>
        <w:pStyle w:val="H23G"/>
        <w:rPr>
          <w:lang w:val="fr-FR"/>
        </w:rPr>
      </w:pPr>
      <w:r>
        <w:rPr>
          <w:lang w:val="fr-FR"/>
        </w:rPr>
        <w:tab/>
      </w:r>
      <w:r>
        <w:rPr>
          <w:lang w:val="fr-FR"/>
        </w:rPr>
        <w:tab/>
      </w:r>
      <w:r w:rsidR="004760FA">
        <w:rPr>
          <w:lang w:val="fr-FR"/>
        </w:rPr>
        <w:t xml:space="preserve">Paragraphe </w:t>
      </w:r>
      <w:r w:rsidR="004A46C7">
        <w:rPr>
          <w:lang w:val="fr-FR"/>
        </w:rPr>
        <w:t>2</w:t>
      </w:r>
      <w:r w:rsidR="00850E2C" w:rsidRPr="00850E2C">
        <w:rPr>
          <w:lang w:val="fr-FR"/>
        </w:rPr>
        <w:t xml:space="preserve">b) </w:t>
      </w:r>
    </w:p>
    <w:p w14:paraId="316FCB33" w14:textId="1B1AC35B" w:rsidR="00850E2C" w:rsidRPr="00850E2C" w:rsidRDefault="00850E2C" w:rsidP="00F97BC3">
      <w:pPr>
        <w:pStyle w:val="SingleTxtG"/>
        <w:numPr>
          <w:ilvl w:val="0"/>
          <w:numId w:val="4"/>
        </w:numPr>
        <w:ind w:left="1134" w:firstLine="0"/>
        <w:rPr>
          <w:lang w:val="fr-FR"/>
        </w:rPr>
      </w:pPr>
      <w:r w:rsidRPr="00850E2C">
        <w:rPr>
          <w:lang w:val="fr-FR"/>
        </w:rPr>
        <w:t xml:space="preserve">Pour ce qui est de l’invocabilité de la Convention par les juges, il faut relever que pour rendre leurs décisions, les juges appliquent les lois qui sont les résultats de l’internalisation des instruments internationaux relatifs aux droits de l’homme y compris, en matière de droit de la famille, de droit pénal, de droit civil et de droit du travail. </w:t>
      </w:r>
    </w:p>
    <w:p w14:paraId="4E65175E" w14:textId="1A86DE4E" w:rsidR="004A46C7" w:rsidRDefault="001128F5" w:rsidP="004760FA">
      <w:pPr>
        <w:pStyle w:val="H23G"/>
        <w:rPr>
          <w:lang w:val="fr-FR"/>
        </w:rPr>
      </w:pPr>
      <w:r>
        <w:rPr>
          <w:lang w:val="fr-FR"/>
        </w:rPr>
        <w:tab/>
      </w:r>
      <w:r>
        <w:rPr>
          <w:lang w:val="fr-FR"/>
        </w:rPr>
        <w:tab/>
      </w:r>
      <w:r w:rsidR="004760FA">
        <w:rPr>
          <w:lang w:val="fr-FR"/>
        </w:rPr>
        <w:t xml:space="preserve">Paragraphe </w:t>
      </w:r>
      <w:r w:rsidR="004A46C7">
        <w:rPr>
          <w:lang w:val="fr-FR"/>
        </w:rPr>
        <w:t>2</w:t>
      </w:r>
      <w:r w:rsidR="00850E2C" w:rsidRPr="00850E2C">
        <w:rPr>
          <w:lang w:val="fr-FR"/>
        </w:rPr>
        <w:t xml:space="preserve">c) </w:t>
      </w:r>
    </w:p>
    <w:p w14:paraId="4B75CA5B" w14:textId="197C3E0C" w:rsidR="00850E2C" w:rsidRPr="00850E2C" w:rsidRDefault="00850E2C" w:rsidP="00F97BC3">
      <w:pPr>
        <w:pStyle w:val="SingleTxtG"/>
        <w:numPr>
          <w:ilvl w:val="0"/>
          <w:numId w:val="4"/>
        </w:numPr>
        <w:ind w:left="1134" w:firstLine="0"/>
        <w:rPr>
          <w:lang w:val="fr-FR"/>
        </w:rPr>
      </w:pPr>
      <w:r w:rsidRPr="00850E2C">
        <w:rPr>
          <w:lang w:val="fr-FR"/>
        </w:rPr>
        <w:t>Afin d’intégrer la Convention dans la formation des responsables de l’application des lois, le ministère chargé de la promotion de la femme, en collaboration avec les institutions compétentes, a entrepris plusieurs actions visant à assurer une meilleure appropriation de la Convention et des recommandations générales du Comité par les acteurs du système judiciaire et sécuritaire. Les droits humains, y compris les dispositions de la Convention (la non-discrimination, les violences basées sur le genre, la protection des droits des femmes conformément aux normes internationales et de l’égalité de genre) sont introduits dans les curricula des écoles de formation des magistrats, des greffiers et des forces de sécurité.</w:t>
      </w:r>
    </w:p>
    <w:p w14:paraId="4BA08893" w14:textId="164755D1" w:rsidR="00850E2C" w:rsidRPr="00850E2C" w:rsidRDefault="00F637AF" w:rsidP="001128F5">
      <w:pPr>
        <w:pStyle w:val="H1G"/>
        <w:rPr>
          <w:lang w:val="fr-FR"/>
        </w:rPr>
      </w:pPr>
      <w:r>
        <w:rPr>
          <w:lang w:val="fr-FR"/>
        </w:rPr>
        <w:tab/>
        <w:t>III.</w:t>
      </w:r>
      <w:r>
        <w:rPr>
          <w:lang w:val="fr-FR"/>
        </w:rPr>
        <w:tab/>
      </w:r>
      <w:r w:rsidR="00850E2C" w:rsidRPr="00850E2C">
        <w:rPr>
          <w:lang w:val="fr-FR"/>
        </w:rPr>
        <w:t>Cadre législatif</w:t>
      </w:r>
    </w:p>
    <w:p w14:paraId="68A44AE4" w14:textId="50337266" w:rsidR="00850E2C" w:rsidRPr="00850E2C" w:rsidRDefault="00850E2C" w:rsidP="00F97BC3">
      <w:pPr>
        <w:pStyle w:val="SingleTxtG"/>
        <w:numPr>
          <w:ilvl w:val="0"/>
          <w:numId w:val="4"/>
        </w:numPr>
        <w:ind w:left="1134" w:firstLine="0"/>
        <w:rPr>
          <w:lang w:val="fr-FR"/>
        </w:rPr>
      </w:pPr>
      <w:r w:rsidRPr="00850E2C">
        <w:rPr>
          <w:lang w:val="fr-FR"/>
        </w:rPr>
        <w:t xml:space="preserve">En ce qui concerne l’abrogation des dispositions législatives qui seraient discriminatoires, il faut se référer aux informations fournies au </w:t>
      </w:r>
      <w:r w:rsidRPr="006314E2">
        <w:rPr>
          <w:lang w:val="fr-FR"/>
        </w:rPr>
        <w:t xml:space="preserve">point </w:t>
      </w:r>
      <w:r w:rsidR="00FE40A9" w:rsidRPr="006314E2">
        <w:rPr>
          <w:lang w:val="fr-FR"/>
        </w:rPr>
        <w:t>XXI</w:t>
      </w:r>
      <w:r w:rsidRPr="006314E2">
        <w:rPr>
          <w:lang w:val="fr-FR"/>
        </w:rPr>
        <w:t>.</w:t>
      </w:r>
      <w:r w:rsidRPr="00850E2C">
        <w:rPr>
          <w:lang w:val="fr-FR"/>
        </w:rPr>
        <w:t xml:space="preserve"> Concernant la polygamie, notons qu’elle est maintenue mais très encadrée de sorte à protéger les droits de la femme. C’est ainsi que le législateur durcit les modalités de la polygamie. L’article 59 dispose en effet que « (…) lorsque les époux ont opté pour un régime polygamique, l’officier de l’état civil leur indique que seul le régime de droit commun de la séparation des biens   leur est applicable et qu’ils ne peuvent, en aucun cas, changer de régime matrimonial, sans avoir renoncé à l’option polygamique ».</w:t>
      </w:r>
    </w:p>
    <w:p w14:paraId="01D9E9D1" w14:textId="77777777" w:rsidR="00850E2C" w:rsidRPr="00850E2C" w:rsidRDefault="00850E2C" w:rsidP="00F97BC3">
      <w:pPr>
        <w:pStyle w:val="SingleTxtG"/>
        <w:numPr>
          <w:ilvl w:val="0"/>
          <w:numId w:val="4"/>
        </w:numPr>
        <w:ind w:left="1134" w:firstLine="0"/>
        <w:rPr>
          <w:lang w:val="fr-FR"/>
        </w:rPr>
      </w:pPr>
      <w:r w:rsidRPr="00850E2C">
        <w:rPr>
          <w:lang w:val="fr-FR"/>
        </w:rPr>
        <w:t>En effet, les conjoints ayant fait le choix de l’option polygamique, sont obligatoirement placés sous le régime de la séparation des biens alors que ceux qui ont opté pour la communauté des biens, peuvent choisir différentes modalités d’administration de leur patrimoine.</w:t>
      </w:r>
    </w:p>
    <w:p w14:paraId="3159478C" w14:textId="419A2920" w:rsidR="00850E2C" w:rsidRDefault="001128F5" w:rsidP="00F637AF">
      <w:pPr>
        <w:pStyle w:val="H1G"/>
        <w:rPr>
          <w:lang w:val="fr-FR"/>
        </w:rPr>
      </w:pPr>
      <w:r>
        <w:rPr>
          <w:lang w:val="fr-FR"/>
        </w:rPr>
        <w:tab/>
      </w:r>
      <w:r w:rsidR="00F637AF">
        <w:rPr>
          <w:lang w:val="fr-FR"/>
        </w:rPr>
        <w:t>IV.</w:t>
      </w:r>
      <w:r w:rsidR="00F637AF">
        <w:rPr>
          <w:lang w:val="fr-FR"/>
        </w:rPr>
        <w:tab/>
      </w:r>
      <w:r w:rsidR="00850E2C" w:rsidRPr="00850E2C">
        <w:rPr>
          <w:lang w:val="fr-FR"/>
        </w:rPr>
        <w:t>Accès à la justice</w:t>
      </w:r>
    </w:p>
    <w:p w14:paraId="1BBE3B1A" w14:textId="4CDEF720" w:rsidR="00850E2C" w:rsidRPr="00850E2C" w:rsidRDefault="00850E2C" w:rsidP="00F97BC3">
      <w:pPr>
        <w:pStyle w:val="SingleTxtG"/>
        <w:numPr>
          <w:ilvl w:val="0"/>
          <w:numId w:val="4"/>
        </w:numPr>
        <w:ind w:left="1134" w:firstLine="0"/>
        <w:rPr>
          <w:lang w:val="fr-FR"/>
        </w:rPr>
      </w:pPr>
      <w:r w:rsidRPr="00850E2C">
        <w:rPr>
          <w:lang w:val="fr-FR"/>
        </w:rPr>
        <w:t xml:space="preserve">Parlant du nombre de femmes ayant bénéficié de l’aide juridictionnelle en matière d’accès à la justice, il est à signaler que l’aide juridictionnelle n’est pas encore opérationnelle. Toutefois, des initiatives ont été prises telles que l’extension des « Maisons de justice » dans le but de promouvoir une justice de proximité qui soit à la fois efficace, gratuite et surtout en langues locales. Elles ont pour mission de régler, par le biais de la médiation et de la conciliation, les petites affaires de dettes et de querelles entre citoyens qui encombrent inutilement les juridictions. A ce jour, le Togo compte 24 Maisons de Justice comme modes alternatifs de règlement des litiges. </w:t>
      </w:r>
    </w:p>
    <w:p w14:paraId="6BEE0BD1" w14:textId="77777777" w:rsidR="00850E2C" w:rsidRPr="00850E2C" w:rsidRDefault="00850E2C" w:rsidP="00F97BC3">
      <w:pPr>
        <w:pStyle w:val="SingleTxtG"/>
        <w:numPr>
          <w:ilvl w:val="0"/>
          <w:numId w:val="4"/>
        </w:numPr>
        <w:ind w:left="1134" w:firstLine="0"/>
        <w:rPr>
          <w:lang w:val="fr-FR"/>
        </w:rPr>
      </w:pPr>
      <w:r w:rsidRPr="00850E2C">
        <w:rPr>
          <w:lang w:val="fr-FR"/>
        </w:rPr>
        <w:t>L’on note également la mise en place des guichets uniques de prise en charge des violences basées sur le genre, dénommés les « One Stop Center » qui offrent aux victimes un paquet de services, dont l’accompagnement juridique.</w:t>
      </w:r>
    </w:p>
    <w:p w14:paraId="264833AF" w14:textId="77777777" w:rsidR="00850E2C" w:rsidRPr="00850E2C" w:rsidRDefault="00850E2C" w:rsidP="00F97BC3">
      <w:pPr>
        <w:pStyle w:val="SingleTxtG"/>
        <w:numPr>
          <w:ilvl w:val="0"/>
          <w:numId w:val="4"/>
        </w:numPr>
        <w:ind w:left="1134" w:firstLine="0"/>
        <w:rPr>
          <w:lang w:val="fr-FR"/>
        </w:rPr>
      </w:pPr>
      <w:r w:rsidRPr="00850E2C">
        <w:rPr>
          <w:lang w:val="fr-FR"/>
        </w:rPr>
        <w:t>Par ailleurs, les personnes à besoins spécifiques en contact avec la justice, bénéficient toujours des services d’interprète en langage de signe.</w:t>
      </w:r>
    </w:p>
    <w:p w14:paraId="3AF383A3" w14:textId="77777777" w:rsidR="00850E2C" w:rsidRPr="00850E2C" w:rsidRDefault="00850E2C" w:rsidP="00F97BC3">
      <w:pPr>
        <w:pStyle w:val="SingleTxtG"/>
        <w:numPr>
          <w:ilvl w:val="0"/>
          <w:numId w:val="4"/>
        </w:numPr>
        <w:ind w:left="1134" w:firstLine="0"/>
        <w:rPr>
          <w:lang w:val="fr-FR"/>
        </w:rPr>
      </w:pPr>
      <w:r w:rsidRPr="00850E2C">
        <w:rPr>
          <w:lang w:val="fr-FR"/>
        </w:rPr>
        <w:t>S’agissant du renforcement de capacités de la police judiciaire en matière de droits humains des femmes et de méthodes d’enquête, en 2025, 145 acteurs de la police judiciaire et les magistrats sont formés sur le traitement des cas de VBG, l'écoute active des victimes et la coordination interinstitutionnelle.</w:t>
      </w:r>
    </w:p>
    <w:p w14:paraId="4B914D57" w14:textId="2FC9C6CE" w:rsidR="00850E2C" w:rsidRPr="00850E2C" w:rsidRDefault="004760FA" w:rsidP="004760FA">
      <w:pPr>
        <w:pStyle w:val="H1G"/>
        <w:rPr>
          <w:lang w:val="fr-FR"/>
        </w:rPr>
      </w:pPr>
      <w:r>
        <w:rPr>
          <w:lang w:val="fr-FR"/>
        </w:rPr>
        <w:lastRenderedPageBreak/>
        <w:tab/>
      </w:r>
      <w:r w:rsidR="00F637AF">
        <w:rPr>
          <w:lang w:val="fr-FR"/>
        </w:rPr>
        <w:t>V.</w:t>
      </w:r>
      <w:r w:rsidR="00F637AF">
        <w:rPr>
          <w:lang w:val="fr-FR"/>
        </w:rPr>
        <w:tab/>
      </w:r>
      <w:r w:rsidR="00850E2C" w:rsidRPr="00850E2C">
        <w:rPr>
          <w:lang w:val="fr-FR"/>
        </w:rPr>
        <w:t>Les femmes et la paix et la sécurité</w:t>
      </w:r>
    </w:p>
    <w:p w14:paraId="57964510" w14:textId="77777777" w:rsidR="00850E2C" w:rsidRPr="00850E2C" w:rsidRDefault="00850E2C" w:rsidP="00F97BC3">
      <w:pPr>
        <w:pStyle w:val="SingleTxtG"/>
        <w:numPr>
          <w:ilvl w:val="0"/>
          <w:numId w:val="4"/>
        </w:numPr>
        <w:ind w:left="1134" w:firstLine="0"/>
        <w:rPr>
          <w:lang w:val="fr-FR"/>
        </w:rPr>
      </w:pPr>
      <w:r w:rsidRPr="00850E2C">
        <w:rPr>
          <w:lang w:val="fr-FR"/>
        </w:rPr>
        <w:t xml:space="preserve">En ce qui concerne la mise en œuvre de la résolution 1325 et les effets de la crise du Sahel sur les femmes et les filles, notons qu’en 2025, le Togo a procédé à l’élaboration de son 3ème plan de mis en œuvre des résolutions 1325 et suivantes. Le processus d’élaboration a connu la participation de l’ensemble des acteurs y compris les femmes, les filles et les organisations de femmes. </w:t>
      </w:r>
    </w:p>
    <w:p w14:paraId="3AE44D95" w14:textId="77777777" w:rsidR="00850E2C" w:rsidRPr="00850E2C" w:rsidRDefault="00850E2C" w:rsidP="00F97BC3">
      <w:pPr>
        <w:pStyle w:val="SingleTxtG"/>
        <w:numPr>
          <w:ilvl w:val="0"/>
          <w:numId w:val="4"/>
        </w:numPr>
        <w:ind w:left="1134" w:firstLine="0"/>
        <w:rPr>
          <w:lang w:val="fr-FR"/>
        </w:rPr>
      </w:pPr>
      <w:r w:rsidRPr="00850E2C">
        <w:rPr>
          <w:lang w:val="fr-FR"/>
        </w:rPr>
        <w:t xml:space="preserve">La promotion et la mise en œuvre de cette résolution et des résolutions subséquentes du Conseil de sécurité sur les femmes, la paix et la sécurité se traduisent au sein du ministère de la sécurité, par l’intégration de la dimension genre dans les politiques et mécanismes institutionnels, notamment à travers la mise en place d’une politique genre et la création de cellules genre au sein des services et unités. Des efforts soutenus sont également déployés pour renforcer la participation des femmes à tous les niveaux, depuis le recrutement jusqu’à leur accession à des postes de responsabilité et de commandement. Cette approche vise à assurer une représentation plus équilibrée des femmes dans les processus de prévention, de gestion des crises et de consolidation de la paix. </w:t>
      </w:r>
    </w:p>
    <w:p w14:paraId="63810DA4" w14:textId="77777777" w:rsidR="00850E2C" w:rsidRPr="00850E2C" w:rsidRDefault="00850E2C" w:rsidP="00F97BC3">
      <w:pPr>
        <w:pStyle w:val="SingleTxtG"/>
        <w:numPr>
          <w:ilvl w:val="0"/>
          <w:numId w:val="4"/>
        </w:numPr>
        <w:ind w:left="1134" w:firstLine="0"/>
        <w:rPr>
          <w:lang w:val="fr-FR"/>
        </w:rPr>
      </w:pPr>
      <w:r w:rsidRPr="00850E2C">
        <w:rPr>
          <w:lang w:val="fr-FR"/>
        </w:rPr>
        <w:t>Par ailleurs, une étude a été initiée sur l’évaluation des obstacles liés à l’intégration des femmes au sein des forces de défense et de sécurité ainsi qu’à leur déploiement dans les missions de paix. Cette démarche permettra de mieux orienter les actions futures, y compris dans le contexte des effets de la crise du Sahel sur les femmes et les filles, en tenant compte des considérations de genre dans l’analyse des impacts et dans les réponses à apporter.</w:t>
      </w:r>
    </w:p>
    <w:p w14:paraId="22116E8D" w14:textId="395DBF5E" w:rsidR="00850E2C" w:rsidRPr="00850E2C" w:rsidRDefault="004760FA" w:rsidP="004760FA">
      <w:pPr>
        <w:pStyle w:val="H1G"/>
        <w:rPr>
          <w:lang w:val="fr-FR"/>
        </w:rPr>
      </w:pPr>
      <w:r>
        <w:rPr>
          <w:lang w:val="fr-FR"/>
        </w:rPr>
        <w:tab/>
      </w:r>
      <w:r w:rsidR="00F637AF">
        <w:rPr>
          <w:lang w:val="fr-FR"/>
        </w:rPr>
        <w:t>VI.</w:t>
      </w:r>
      <w:r w:rsidR="00F637AF">
        <w:rPr>
          <w:lang w:val="fr-FR"/>
        </w:rPr>
        <w:tab/>
      </w:r>
      <w:r w:rsidR="00850E2C" w:rsidRPr="00850E2C">
        <w:rPr>
          <w:lang w:val="fr-FR"/>
        </w:rPr>
        <w:t>Mécanisme national de promotion des femmes</w:t>
      </w:r>
    </w:p>
    <w:p w14:paraId="3182AA81" w14:textId="206CB91E" w:rsidR="004A46C7" w:rsidRDefault="004760FA" w:rsidP="004760FA">
      <w:pPr>
        <w:pStyle w:val="H23G"/>
        <w:rPr>
          <w:lang w:val="fr-FR"/>
        </w:rPr>
      </w:pPr>
      <w:r>
        <w:rPr>
          <w:lang w:val="fr-FR"/>
        </w:rPr>
        <w:tab/>
      </w:r>
      <w:r>
        <w:rPr>
          <w:lang w:val="fr-FR"/>
        </w:rPr>
        <w:tab/>
        <w:t xml:space="preserve">Paragraphe </w:t>
      </w:r>
      <w:r w:rsidR="004A46C7">
        <w:rPr>
          <w:lang w:val="fr-FR"/>
        </w:rPr>
        <w:t>6</w:t>
      </w:r>
      <w:r w:rsidR="00850E2C" w:rsidRPr="00850E2C">
        <w:rPr>
          <w:lang w:val="fr-FR"/>
        </w:rPr>
        <w:t xml:space="preserve">a) </w:t>
      </w:r>
    </w:p>
    <w:p w14:paraId="2E168C73" w14:textId="2933564E" w:rsidR="00850E2C" w:rsidRPr="00850E2C" w:rsidRDefault="00850E2C" w:rsidP="00F97BC3">
      <w:pPr>
        <w:pStyle w:val="SingleTxtG"/>
        <w:numPr>
          <w:ilvl w:val="0"/>
          <w:numId w:val="4"/>
        </w:numPr>
        <w:ind w:left="1134" w:firstLine="0"/>
        <w:rPr>
          <w:lang w:val="fr-FR"/>
        </w:rPr>
      </w:pPr>
      <w:r w:rsidRPr="00850E2C">
        <w:rPr>
          <w:lang w:val="fr-FR"/>
        </w:rPr>
        <w:t>Il existe une direction générale du genre et de la promotion de la femme. En 2025, elle est renforcée en ressources humaines additionnelles suite au dernier recrutement des agents de la fonction publique. Pour son bon fonctionnement, elle bénéficie d’une allocation annuelle moyenne de 766 247 800 franc cfa.</w:t>
      </w:r>
    </w:p>
    <w:p w14:paraId="3216D239" w14:textId="77777777" w:rsidR="00850E2C" w:rsidRPr="00850E2C" w:rsidRDefault="00850E2C" w:rsidP="00F97BC3">
      <w:pPr>
        <w:pStyle w:val="SingleTxtG"/>
        <w:numPr>
          <w:ilvl w:val="0"/>
          <w:numId w:val="4"/>
        </w:numPr>
        <w:ind w:left="1134" w:firstLine="0"/>
        <w:rPr>
          <w:lang w:val="fr-FR"/>
        </w:rPr>
      </w:pPr>
      <w:r w:rsidRPr="00850E2C">
        <w:rPr>
          <w:lang w:val="fr-FR"/>
        </w:rPr>
        <w:t>Il faut également noter :</w:t>
      </w:r>
    </w:p>
    <w:p w14:paraId="308BA242" w14:textId="3D9AF1E3" w:rsidR="00850E2C" w:rsidRPr="00850E2C" w:rsidRDefault="004A46C7" w:rsidP="004A46C7">
      <w:pPr>
        <w:pStyle w:val="Bullet1G"/>
        <w:rPr>
          <w:lang w:val="fr-FR"/>
        </w:rPr>
      </w:pPr>
      <w:r>
        <w:rPr>
          <w:lang w:val="fr-FR"/>
        </w:rPr>
        <w:t>M</w:t>
      </w:r>
      <w:r w:rsidR="00850E2C" w:rsidRPr="00850E2C">
        <w:rPr>
          <w:lang w:val="fr-FR"/>
        </w:rPr>
        <w:t>ise en place des cadres de concertation et collaboration avec tous les acteurs du genre y compris les organisations de la société civile avec lesquelles la direction générale travaille ;</w:t>
      </w:r>
    </w:p>
    <w:p w14:paraId="64B61EBA" w14:textId="1AEEF6F6" w:rsidR="00850E2C" w:rsidRPr="00850E2C" w:rsidRDefault="004A46C7" w:rsidP="004A46C7">
      <w:pPr>
        <w:pStyle w:val="Bullet1G"/>
        <w:rPr>
          <w:lang w:val="fr-FR"/>
        </w:rPr>
      </w:pPr>
      <w:r>
        <w:rPr>
          <w:lang w:val="fr-FR"/>
        </w:rPr>
        <w:t>M</w:t>
      </w:r>
      <w:r w:rsidR="00850E2C" w:rsidRPr="00850E2C">
        <w:rPr>
          <w:lang w:val="fr-FR"/>
        </w:rPr>
        <w:t>ise en place de l’application numérique de reportage des VBG qui permet aux organisations de la société civile et le ministère de fédérer leur synergie d’action en matière de lutte contre les VBG ;</w:t>
      </w:r>
    </w:p>
    <w:p w14:paraId="6E110A59" w14:textId="1C7A4263" w:rsidR="00850E2C" w:rsidRPr="00850E2C" w:rsidRDefault="004A46C7" w:rsidP="004A46C7">
      <w:pPr>
        <w:pStyle w:val="Bullet1G"/>
        <w:rPr>
          <w:lang w:val="fr-FR"/>
        </w:rPr>
      </w:pPr>
      <w:r>
        <w:rPr>
          <w:lang w:val="fr-FR"/>
        </w:rPr>
        <w:t>P</w:t>
      </w:r>
      <w:r w:rsidR="00850E2C" w:rsidRPr="00850E2C">
        <w:rPr>
          <w:lang w:val="fr-FR"/>
        </w:rPr>
        <w:t>articipation des organisations de la société civile et des partenaires techniques et financiers aux sessions de planification des activités et aux revues annuelles.</w:t>
      </w:r>
    </w:p>
    <w:p w14:paraId="1EC6E9DA" w14:textId="77777777" w:rsidR="00850E2C" w:rsidRPr="00850E2C" w:rsidRDefault="00850E2C" w:rsidP="00F97BC3">
      <w:pPr>
        <w:pStyle w:val="SingleTxtG"/>
        <w:numPr>
          <w:ilvl w:val="0"/>
          <w:numId w:val="4"/>
        </w:numPr>
        <w:ind w:left="1134" w:firstLine="0"/>
        <w:rPr>
          <w:lang w:val="fr-FR"/>
        </w:rPr>
      </w:pPr>
      <w:r w:rsidRPr="00850E2C">
        <w:rPr>
          <w:lang w:val="fr-FR"/>
        </w:rPr>
        <w:t xml:space="preserve">Par ailleurs, la Commission nationale des droits de l’homme (CNDH) dispose d’une division Femmes, enfants et groupes vulnérables qui intervient dans la thématique des droits de la femme. La Commission collabore avec les acteurs de la société civile à travers l’organisation d’activités conjointes ou organisées par l’un des acteurs. </w:t>
      </w:r>
    </w:p>
    <w:p w14:paraId="50060ADD" w14:textId="77777777" w:rsidR="00850E2C" w:rsidRPr="00850E2C" w:rsidRDefault="00850E2C" w:rsidP="00F97BC3">
      <w:pPr>
        <w:pStyle w:val="SingleTxtG"/>
        <w:numPr>
          <w:ilvl w:val="0"/>
          <w:numId w:val="4"/>
        </w:numPr>
        <w:ind w:left="1134" w:firstLine="0"/>
        <w:rPr>
          <w:lang w:val="fr-FR"/>
        </w:rPr>
      </w:pPr>
      <w:r w:rsidRPr="00850E2C">
        <w:rPr>
          <w:lang w:val="fr-FR"/>
        </w:rPr>
        <w:t>Le ministère chargé des droits de l’homme coordonne les actions du gouvernement en matière des droits humains dont ceux des femmes.</w:t>
      </w:r>
    </w:p>
    <w:p w14:paraId="3AE13D07" w14:textId="29D0F01F" w:rsidR="004A46C7" w:rsidRDefault="004760FA" w:rsidP="004760FA">
      <w:pPr>
        <w:pStyle w:val="H23G"/>
        <w:rPr>
          <w:lang w:val="fr-FR"/>
        </w:rPr>
      </w:pPr>
      <w:r>
        <w:rPr>
          <w:lang w:val="fr-FR"/>
        </w:rPr>
        <w:tab/>
      </w:r>
      <w:r>
        <w:rPr>
          <w:lang w:val="fr-FR"/>
        </w:rPr>
        <w:tab/>
        <w:t xml:space="preserve">Paragraphe </w:t>
      </w:r>
      <w:r w:rsidR="004A46C7">
        <w:rPr>
          <w:lang w:val="fr-FR"/>
        </w:rPr>
        <w:t>6</w:t>
      </w:r>
      <w:r w:rsidR="00850E2C" w:rsidRPr="00850E2C">
        <w:rPr>
          <w:lang w:val="fr-FR"/>
        </w:rPr>
        <w:t>b)</w:t>
      </w:r>
    </w:p>
    <w:p w14:paraId="0EFF206D" w14:textId="21F47961" w:rsidR="00850E2C" w:rsidRPr="00850E2C" w:rsidRDefault="00850E2C" w:rsidP="00F97BC3">
      <w:pPr>
        <w:pStyle w:val="SingleTxtG"/>
        <w:numPr>
          <w:ilvl w:val="0"/>
          <w:numId w:val="4"/>
        </w:numPr>
        <w:ind w:left="1134" w:firstLine="0"/>
        <w:rPr>
          <w:lang w:val="fr-FR"/>
        </w:rPr>
      </w:pPr>
      <w:r w:rsidRPr="00850E2C">
        <w:rPr>
          <w:lang w:val="fr-FR"/>
        </w:rPr>
        <w:t>Au cours des cinq dernières années (2022 à 2026), le montant alloué à la direction générale de la promotion de la femme se chiffre à trois milliards huit cent trente un million deux cent trente-neuf milles (3 831 239 000) franc cfa.</w:t>
      </w:r>
    </w:p>
    <w:p w14:paraId="6C8BC16C" w14:textId="77777777" w:rsidR="00850E2C" w:rsidRPr="00850E2C" w:rsidRDefault="00850E2C" w:rsidP="00F97BC3">
      <w:pPr>
        <w:pStyle w:val="SingleTxtG"/>
        <w:numPr>
          <w:ilvl w:val="0"/>
          <w:numId w:val="4"/>
        </w:numPr>
        <w:ind w:left="1134" w:firstLine="0"/>
        <w:rPr>
          <w:lang w:val="fr-FR"/>
        </w:rPr>
      </w:pPr>
      <w:r w:rsidRPr="00850E2C">
        <w:rPr>
          <w:lang w:val="fr-FR"/>
        </w:rPr>
        <w:t xml:space="preserve">Le suivi et l’évaluation de la politique se font à travers, notamment : </w:t>
      </w:r>
    </w:p>
    <w:p w14:paraId="4888458B" w14:textId="70353384" w:rsidR="00850E2C" w:rsidRPr="00850E2C" w:rsidRDefault="004760FA" w:rsidP="004760FA">
      <w:pPr>
        <w:pStyle w:val="Bullet1G"/>
        <w:rPr>
          <w:lang w:val="fr-FR"/>
        </w:rPr>
      </w:pPr>
      <w:r w:rsidRPr="00850E2C">
        <w:rPr>
          <w:lang w:val="fr-FR"/>
        </w:rPr>
        <w:t>Les</w:t>
      </w:r>
      <w:r w:rsidR="00850E2C" w:rsidRPr="00850E2C">
        <w:rPr>
          <w:lang w:val="fr-FR"/>
        </w:rPr>
        <w:t xml:space="preserve"> institutions et mécanismes organisationnels prévus pour orienter, suivre et évaluer les résultats de la PNEEG ; </w:t>
      </w:r>
    </w:p>
    <w:p w14:paraId="7F8C12BD" w14:textId="3D0CB1D6" w:rsidR="00850E2C" w:rsidRPr="00850E2C" w:rsidRDefault="004760FA" w:rsidP="004760FA">
      <w:pPr>
        <w:pStyle w:val="Bullet1G"/>
        <w:rPr>
          <w:lang w:val="fr-FR"/>
        </w:rPr>
      </w:pPr>
      <w:r w:rsidRPr="00850E2C">
        <w:rPr>
          <w:lang w:val="fr-FR"/>
        </w:rPr>
        <w:lastRenderedPageBreak/>
        <w:t>Un</w:t>
      </w:r>
      <w:r w:rsidR="00850E2C" w:rsidRPr="00850E2C">
        <w:rPr>
          <w:lang w:val="fr-FR"/>
        </w:rPr>
        <w:t xml:space="preserve"> système d’information et de suivi performant (données désagrégées par sexe et indicateurs) ; </w:t>
      </w:r>
    </w:p>
    <w:p w14:paraId="15DAB078" w14:textId="0111A848" w:rsidR="00850E2C" w:rsidRPr="00850E2C" w:rsidRDefault="004760FA" w:rsidP="004760FA">
      <w:pPr>
        <w:pStyle w:val="Bullet1G"/>
        <w:rPr>
          <w:lang w:val="fr-FR"/>
        </w:rPr>
      </w:pPr>
      <w:r w:rsidRPr="00850E2C">
        <w:rPr>
          <w:lang w:val="fr-FR"/>
        </w:rPr>
        <w:t>Un</w:t>
      </w:r>
      <w:r w:rsidR="00850E2C" w:rsidRPr="00850E2C">
        <w:rPr>
          <w:lang w:val="fr-FR"/>
        </w:rPr>
        <w:t xml:space="preserve"> système de planification et de rapportage basé sur l’obligation de résultats et l’imputabilité du gouvernement et des partenaires envers la PNEEG ; </w:t>
      </w:r>
    </w:p>
    <w:p w14:paraId="70A51DC4" w14:textId="25575E17" w:rsidR="00850E2C" w:rsidRPr="00850E2C" w:rsidRDefault="004760FA" w:rsidP="004760FA">
      <w:pPr>
        <w:pStyle w:val="Bullet1G"/>
        <w:rPr>
          <w:lang w:val="fr-FR"/>
        </w:rPr>
      </w:pPr>
      <w:r w:rsidRPr="00850E2C">
        <w:rPr>
          <w:lang w:val="fr-FR"/>
        </w:rPr>
        <w:t>Des</w:t>
      </w:r>
      <w:r w:rsidR="00850E2C" w:rsidRPr="00850E2C">
        <w:rPr>
          <w:lang w:val="fr-FR"/>
        </w:rPr>
        <w:t xml:space="preserve"> évaluations externes sur la progression et la mesure des résultats de la PNEEG.</w:t>
      </w:r>
    </w:p>
    <w:p w14:paraId="34ADAA26" w14:textId="01B11C89" w:rsidR="004A46C7" w:rsidRDefault="004760FA" w:rsidP="004760FA">
      <w:pPr>
        <w:pStyle w:val="H23G"/>
        <w:rPr>
          <w:lang w:val="fr-FR"/>
        </w:rPr>
      </w:pPr>
      <w:r>
        <w:rPr>
          <w:lang w:val="fr-FR"/>
        </w:rPr>
        <w:tab/>
      </w:r>
      <w:r>
        <w:rPr>
          <w:lang w:val="fr-FR"/>
        </w:rPr>
        <w:tab/>
        <w:t xml:space="preserve">Paragraphe </w:t>
      </w:r>
      <w:r w:rsidR="004A46C7">
        <w:rPr>
          <w:lang w:val="fr-FR"/>
        </w:rPr>
        <w:t>6</w:t>
      </w:r>
      <w:r w:rsidR="00850E2C" w:rsidRPr="00850E2C">
        <w:rPr>
          <w:lang w:val="fr-FR"/>
        </w:rPr>
        <w:t>c)</w:t>
      </w:r>
      <w:r w:rsidR="00850E2C" w:rsidRPr="00850E2C">
        <w:rPr>
          <w:lang w:val="fr-FR"/>
        </w:rPr>
        <w:tab/>
      </w:r>
    </w:p>
    <w:p w14:paraId="3F7F5CD5" w14:textId="416AAE4D" w:rsidR="00850E2C" w:rsidRPr="00850E2C" w:rsidRDefault="00850E2C" w:rsidP="00F97BC3">
      <w:pPr>
        <w:pStyle w:val="SingleTxtG"/>
        <w:numPr>
          <w:ilvl w:val="0"/>
          <w:numId w:val="4"/>
        </w:numPr>
        <w:ind w:left="1134" w:firstLine="0"/>
        <w:rPr>
          <w:b/>
          <w:bCs/>
          <w:lang w:val="fr-FR"/>
        </w:rPr>
      </w:pPr>
      <w:r w:rsidRPr="00850E2C">
        <w:rPr>
          <w:lang w:val="fr-FR"/>
        </w:rPr>
        <w:t>Afin d’intégrer la question de l’égalité des genres dans les politiques et programmes nationaux et régionaux</w:t>
      </w:r>
      <w:r w:rsidRPr="00850E2C">
        <w:rPr>
          <w:b/>
          <w:bCs/>
          <w:lang w:val="fr-FR"/>
        </w:rPr>
        <w:t>,</w:t>
      </w:r>
      <w:r w:rsidRPr="00850E2C">
        <w:rPr>
          <w:lang w:val="fr-FR"/>
        </w:rPr>
        <w:t xml:space="preserve"> le Togo a institué l’élaboration du document budgétaire sensible au genre qui est annexé à la loi de finances. L’élaboration de ce document par les différents ministères et institutions permet d’avoir une vision sur la prise en compte du genre dans les programmes et projets. Il est également créé au sein de chaque ministère et de la CNDH, une cellule focale genre.</w:t>
      </w:r>
    </w:p>
    <w:p w14:paraId="14192C80" w14:textId="4A259082" w:rsidR="00850E2C" w:rsidRPr="00850E2C" w:rsidRDefault="00850E2C" w:rsidP="00F97BC3">
      <w:pPr>
        <w:pStyle w:val="SingleTxtG"/>
        <w:numPr>
          <w:ilvl w:val="0"/>
          <w:numId w:val="4"/>
        </w:numPr>
        <w:ind w:left="1134" w:firstLine="0"/>
        <w:rPr>
          <w:lang w:val="fr-FR"/>
        </w:rPr>
      </w:pPr>
      <w:r w:rsidRPr="00850E2C">
        <w:rPr>
          <w:lang w:val="fr-FR"/>
        </w:rPr>
        <w:t xml:space="preserve">La prise en compte du genre se fait également par l’autonomisation des femmes (voir les informations fournies aux </w:t>
      </w:r>
      <w:r w:rsidRPr="004A46C7">
        <w:rPr>
          <w:lang w:val="fr-FR"/>
        </w:rPr>
        <w:t>points</w:t>
      </w:r>
      <w:r w:rsidRPr="00850E2C">
        <w:rPr>
          <w:b/>
          <w:bCs/>
          <w:lang w:val="fr-FR"/>
        </w:rPr>
        <w:t xml:space="preserve"> </w:t>
      </w:r>
      <w:r w:rsidR="00356A22" w:rsidRPr="006314E2">
        <w:rPr>
          <w:lang w:val="fr-FR"/>
        </w:rPr>
        <w:t>I</w:t>
      </w:r>
      <w:r w:rsidRPr="006314E2">
        <w:rPr>
          <w:lang w:val="fr-FR"/>
        </w:rPr>
        <w:t xml:space="preserve"> et </w:t>
      </w:r>
      <w:r w:rsidR="00356A22" w:rsidRPr="006314E2">
        <w:rPr>
          <w:lang w:val="fr-FR"/>
        </w:rPr>
        <w:t>XVIII</w:t>
      </w:r>
      <w:r w:rsidRPr="006314E2">
        <w:rPr>
          <w:lang w:val="fr-FR"/>
        </w:rPr>
        <w:t xml:space="preserve"> de ce document</w:t>
      </w:r>
      <w:r w:rsidRPr="00850E2C">
        <w:rPr>
          <w:lang w:val="fr-FR"/>
        </w:rPr>
        <w:t xml:space="preserve">). </w:t>
      </w:r>
    </w:p>
    <w:p w14:paraId="24CCEB2A" w14:textId="5FBC3C02" w:rsidR="00850E2C" w:rsidRPr="00850E2C" w:rsidRDefault="004760FA" w:rsidP="004760FA">
      <w:pPr>
        <w:pStyle w:val="H1G"/>
        <w:rPr>
          <w:lang w:val="fr-FR"/>
        </w:rPr>
      </w:pPr>
      <w:r>
        <w:rPr>
          <w:lang w:val="fr-FR"/>
        </w:rPr>
        <w:tab/>
      </w:r>
      <w:r w:rsidR="00F637AF">
        <w:rPr>
          <w:lang w:val="fr-FR"/>
        </w:rPr>
        <w:t>VII.</w:t>
      </w:r>
      <w:r w:rsidR="00F637AF">
        <w:rPr>
          <w:lang w:val="fr-FR"/>
        </w:rPr>
        <w:tab/>
      </w:r>
      <w:r w:rsidR="00850E2C" w:rsidRPr="00850E2C">
        <w:rPr>
          <w:lang w:val="fr-FR"/>
        </w:rPr>
        <w:t>Institution nationale des droits de l’homme</w:t>
      </w:r>
    </w:p>
    <w:p w14:paraId="64667ABB" w14:textId="77777777" w:rsidR="00850E2C" w:rsidRPr="00850E2C" w:rsidRDefault="00850E2C" w:rsidP="00F97BC3">
      <w:pPr>
        <w:pStyle w:val="SingleTxtG"/>
        <w:numPr>
          <w:ilvl w:val="0"/>
          <w:numId w:val="4"/>
        </w:numPr>
        <w:ind w:left="1134" w:firstLine="0"/>
        <w:rPr>
          <w:lang w:val="fr-FR"/>
        </w:rPr>
      </w:pPr>
      <w:r w:rsidRPr="00850E2C">
        <w:rPr>
          <w:lang w:val="fr-FR"/>
        </w:rPr>
        <w:t xml:space="preserve">Pour ce qui est des informations sur le renforcement de la CNDH, il est à noter qu’elle est dotée de ressources humaines, financières et matérielles pour son bon fonctionnement. </w:t>
      </w:r>
    </w:p>
    <w:p w14:paraId="4A7F34EB" w14:textId="77777777" w:rsidR="00850E2C" w:rsidRPr="00850E2C" w:rsidRDefault="00850E2C" w:rsidP="00F97BC3">
      <w:pPr>
        <w:pStyle w:val="SingleTxtG"/>
        <w:numPr>
          <w:ilvl w:val="0"/>
          <w:numId w:val="4"/>
        </w:numPr>
        <w:ind w:left="1134" w:firstLine="0"/>
        <w:rPr>
          <w:lang w:val="fr-FR"/>
        </w:rPr>
      </w:pPr>
      <w:r w:rsidRPr="00850E2C">
        <w:rPr>
          <w:lang w:val="fr-FR"/>
        </w:rPr>
        <w:t>En effet, la CNDH bénéficie chaque année d’une subvention qui est prise en compte dans la loi des Finances. Elle jouit d’une autonomie de gestion administrative et financière (art. 46) et présente ses comptes au contrôle de la Cour des Comptes (art.47 al. 2). Un comptable public est mis à sa disposition à cet effet.</w:t>
      </w:r>
    </w:p>
    <w:p w14:paraId="0D1E052C" w14:textId="77777777" w:rsidR="00850E2C" w:rsidRPr="00850E2C" w:rsidRDefault="00850E2C" w:rsidP="00F97BC3">
      <w:pPr>
        <w:pStyle w:val="SingleTxtG"/>
        <w:numPr>
          <w:ilvl w:val="0"/>
          <w:numId w:val="4"/>
        </w:numPr>
        <w:ind w:left="1134" w:firstLine="0"/>
        <w:rPr>
          <w:lang w:val="fr-FR"/>
        </w:rPr>
      </w:pPr>
      <w:r w:rsidRPr="00850E2C">
        <w:rPr>
          <w:lang w:val="fr-FR"/>
        </w:rPr>
        <w:t>La loi prévoit que la Commission peut bénéficier de dons, legs et appuis divers qui ne sont pas de nature à porter atteinte à sa crédibilité et à son indépendance (art.48 al.2).</w:t>
      </w:r>
    </w:p>
    <w:p w14:paraId="53B92EBE" w14:textId="77777777" w:rsidR="00850E2C" w:rsidRPr="00850E2C" w:rsidRDefault="00850E2C" w:rsidP="00F97BC3">
      <w:pPr>
        <w:pStyle w:val="SingleTxtG"/>
        <w:numPr>
          <w:ilvl w:val="0"/>
          <w:numId w:val="4"/>
        </w:numPr>
        <w:ind w:left="1134" w:firstLine="0"/>
        <w:rPr>
          <w:lang w:val="fr-FR"/>
        </w:rPr>
      </w:pPr>
      <w:r w:rsidRPr="00850E2C">
        <w:rPr>
          <w:lang w:val="fr-FR"/>
        </w:rPr>
        <w:t>Depuis 2025, l’Etat a augmenté la dotation allouée à la CNDH de plus de cent millions (100 000 000) de francs CFA, portant pour le compte de l’exercice 2025, la dotation de l’Etat à cinq cent quarante-trois millions six cent quatre-vingt mille (543 680 000) FCFA.</w:t>
      </w:r>
    </w:p>
    <w:p w14:paraId="02430CFD" w14:textId="77777777" w:rsidR="00850E2C" w:rsidRPr="00850E2C" w:rsidRDefault="00850E2C" w:rsidP="00F97BC3">
      <w:pPr>
        <w:pStyle w:val="SingleTxtG"/>
        <w:numPr>
          <w:ilvl w:val="0"/>
          <w:numId w:val="4"/>
        </w:numPr>
        <w:ind w:left="1134" w:firstLine="0"/>
        <w:rPr>
          <w:lang w:val="fr-FR"/>
        </w:rPr>
      </w:pPr>
      <w:r w:rsidRPr="00850E2C">
        <w:rPr>
          <w:lang w:val="fr-FR"/>
        </w:rPr>
        <w:t>Il a également mis à la disposition de l’institution sept (07) fonctionnaires en 2025. La CNDH s’appuie actuellement sur un capital humain de soixante-dix-sept (77) personnes composées de salariés sous contrat, de fonctionnaires mis à disposition par l’Etat et de volontaires, dont 55 au siège et 22 dans les antennes régionales.</w:t>
      </w:r>
    </w:p>
    <w:p w14:paraId="6155F0D8" w14:textId="77777777" w:rsidR="00850E2C" w:rsidRPr="00850E2C" w:rsidRDefault="00850E2C" w:rsidP="00F97BC3">
      <w:pPr>
        <w:pStyle w:val="SingleTxtG"/>
        <w:numPr>
          <w:ilvl w:val="0"/>
          <w:numId w:val="4"/>
        </w:numPr>
        <w:ind w:left="1134" w:firstLine="0"/>
        <w:rPr>
          <w:lang w:val="fr-FR"/>
        </w:rPr>
      </w:pPr>
      <w:r w:rsidRPr="00850E2C">
        <w:rPr>
          <w:lang w:val="fr-FR"/>
        </w:rPr>
        <w:t xml:space="preserve">En ce qui concerne les droits des femmes, la CNDH dispose d’une division Femmes, enfants et autres groups spécifiques qui enregistre et traite les plaints relatives aux droits des femmes. Au cours des cinq dernières années, plus d’une soixantaine de requêtes relatives aux droits de la femme ont été examinées par la CNDH. </w:t>
      </w:r>
    </w:p>
    <w:p w14:paraId="39056B62" w14:textId="77777777" w:rsidR="00850E2C" w:rsidRPr="00850E2C" w:rsidRDefault="00850E2C" w:rsidP="00F97BC3">
      <w:pPr>
        <w:pStyle w:val="SingleTxtG"/>
        <w:numPr>
          <w:ilvl w:val="0"/>
          <w:numId w:val="4"/>
        </w:numPr>
        <w:ind w:left="1134" w:firstLine="0"/>
        <w:rPr>
          <w:lang w:val="fr-FR"/>
        </w:rPr>
      </w:pPr>
      <w:r w:rsidRPr="00850E2C">
        <w:rPr>
          <w:lang w:val="fr-FR"/>
        </w:rPr>
        <w:t xml:space="preserve">Tous ces efforts ont contribué à la réacréditation de la CNDH au Statut A après son examen le 18 mars 2025 devant le Sous-comité d’accréditation des Nations Unies. Ce statut, le plus élevé suivant les Principes de Paris, obtenu de façon continue depuis l’an 2000, atteste de la conformité de la CNDH aux standards internationaux en matière d’indépendance, d’impartialité et d’efficacité dans la protection des droits fondamentaux au Togo. </w:t>
      </w:r>
    </w:p>
    <w:p w14:paraId="23C033B8" w14:textId="055C12E0" w:rsidR="00850E2C" w:rsidRPr="00850E2C" w:rsidRDefault="004760FA" w:rsidP="004760FA">
      <w:pPr>
        <w:pStyle w:val="H1G"/>
        <w:rPr>
          <w:lang w:val="fr-FR"/>
        </w:rPr>
      </w:pPr>
      <w:r>
        <w:rPr>
          <w:lang w:val="fr-FR"/>
        </w:rPr>
        <w:tab/>
      </w:r>
      <w:r w:rsidR="00F637AF">
        <w:rPr>
          <w:lang w:val="fr-FR"/>
        </w:rPr>
        <w:t>VIII.</w:t>
      </w:r>
      <w:r w:rsidR="00F637AF">
        <w:rPr>
          <w:lang w:val="fr-FR"/>
        </w:rPr>
        <w:tab/>
      </w:r>
      <w:r w:rsidR="00850E2C" w:rsidRPr="00850E2C">
        <w:rPr>
          <w:lang w:val="fr-FR"/>
        </w:rPr>
        <w:t>Mesures temporaires spéciales</w:t>
      </w:r>
    </w:p>
    <w:p w14:paraId="785CEC92" w14:textId="3BA64A9B" w:rsidR="00850E2C" w:rsidRPr="00850E2C" w:rsidRDefault="00850E2C" w:rsidP="00F97BC3">
      <w:pPr>
        <w:pStyle w:val="SingleTxtG"/>
        <w:numPr>
          <w:ilvl w:val="0"/>
          <w:numId w:val="4"/>
        </w:numPr>
        <w:ind w:left="1134" w:firstLine="0"/>
        <w:rPr>
          <w:lang w:val="fr-FR"/>
        </w:rPr>
      </w:pPr>
      <w:r w:rsidRPr="00850E2C">
        <w:rPr>
          <w:lang w:val="fr-FR"/>
        </w:rPr>
        <w:t xml:space="preserve">Voir les informations fournies </w:t>
      </w:r>
      <w:r w:rsidRPr="006314E2">
        <w:rPr>
          <w:lang w:val="fr-FR"/>
        </w:rPr>
        <w:t xml:space="preserve">aux points </w:t>
      </w:r>
      <w:r w:rsidR="00F637AF" w:rsidRPr="006314E2">
        <w:rPr>
          <w:lang w:val="fr-FR"/>
        </w:rPr>
        <w:t>I</w:t>
      </w:r>
      <w:r w:rsidRPr="006314E2">
        <w:rPr>
          <w:lang w:val="fr-FR"/>
        </w:rPr>
        <w:t xml:space="preserve"> et </w:t>
      </w:r>
      <w:r w:rsidR="00F637AF" w:rsidRPr="006314E2">
        <w:rPr>
          <w:lang w:val="fr-FR"/>
        </w:rPr>
        <w:t>XVIII</w:t>
      </w:r>
      <w:r w:rsidR="00F637AF">
        <w:rPr>
          <w:b/>
          <w:bCs/>
          <w:lang w:val="fr-FR"/>
        </w:rPr>
        <w:t xml:space="preserve"> </w:t>
      </w:r>
      <w:r w:rsidRPr="00850E2C">
        <w:rPr>
          <w:lang w:val="fr-FR"/>
        </w:rPr>
        <w:t xml:space="preserve">de ce document. </w:t>
      </w:r>
    </w:p>
    <w:p w14:paraId="501A6AB8" w14:textId="7AF097FD" w:rsidR="00850E2C" w:rsidRDefault="004760FA" w:rsidP="004760FA">
      <w:pPr>
        <w:pStyle w:val="H1G"/>
        <w:rPr>
          <w:lang w:val="fr-FR"/>
        </w:rPr>
      </w:pPr>
      <w:r>
        <w:rPr>
          <w:lang w:val="fr-FR"/>
        </w:rPr>
        <w:tab/>
      </w:r>
      <w:r w:rsidR="0009090E">
        <w:rPr>
          <w:lang w:val="fr-FR"/>
        </w:rPr>
        <w:t>IX.</w:t>
      </w:r>
      <w:r w:rsidR="0009090E">
        <w:rPr>
          <w:lang w:val="fr-FR"/>
        </w:rPr>
        <w:tab/>
      </w:r>
      <w:r w:rsidR="00850E2C" w:rsidRPr="00850E2C">
        <w:rPr>
          <w:lang w:val="fr-FR"/>
        </w:rPr>
        <w:t>Stéréotypes fondés sur le genre et pratiques préjudiciables</w:t>
      </w:r>
    </w:p>
    <w:p w14:paraId="762506FD" w14:textId="2592791E" w:rsidR="00850E2C" w:rsidRPr="00850E2C" w:rsidRDefault="00850E2C" w:rsidP="00F97BC3">
      <w:pPr>
        <w:pStyle w:val="SingleTxtG"/>
        <w:numPr>
          <w:ilvl w:val="0"/>
          <w:numId w:val="4"/>
        </w:numPr>
        <w:ind w:left="1134" w:firstLine="0"/>
        <w:rPr>
          <w:lang w:val="fr-FR"/>
        </w:rPr>
      </w:pPr>
      <w:r w:rsidRPr="00850E2C">
        <w:rPr>
          <w:lang w:val="fr-FR"/>
        </w:rPr>
        <w:t>Pour lutter contre le lévirat, le sororat, le mariage d’enfants et le mariage forcé et les mutilations génitales féminines, diverses initiatives ont été prises :</w:t>
      </w:r>
    </w:p>
    <w:p w14:paraId="058A1F16" w14:textId="684AF02F" w:rsidR="00850E2C" w:rsidRPr="00850E2C" w:rsidRDefault="004760FA" w:rsidP="004760FA">
      <w:pPr>
        <w:pStyle w:val="Bullet1G"/>
        <w:rPr>
          <w:lang w:val="fr-FR"/>
        </w:rPr>
      </w:pPr>
      <w:r w:rsidRPr="00850E2C">
        <w:rPr>
          <w:lang w:val="fr-FR"/>
        </w:rPr>
        <w:lastRenderedPageBreak/>
        <w:t>Révision</w:t>
      </w:r>
      <w:r w:rsidR="00850E2C" w:rsidRPr="00850E2C">
        <w:rPr>
          <w:lang w:val="fr-FR"/>
        </w:rPr>
        <w:t xml:space="preserve"> et modification du code des personnes et de la famille qui ont abouti à l’interdiction du lévirat, du sororat, du mariage d’enfant et le mariage forcé ;</w:t>
      </w:r>
    </w:p>
    <w:p w14:paraId="41465C7A" w14:textId="30332E09" w:rsidR="00850E2C" w:rsidRPr="00850E2C" w:rsidRDefault="004760FA" w:rsidP="004760FA">
      <w:pPr>
        <w:pStyle w:val="Bullet1G"/>
        <w:rPr>
          <w:lang w:val="fr-FR"/>
        </w:rPr>
      </w:pPr>
      <w:r w:rsidRPr="00850E2C">
        <w:rPr>
          <w:lang w:val="fr-FR"/>
        </w:rPr>
        <w:t>Révision</w:t>
      </w:r>
      <w:r w:rsidR="00850E2C" w:rsidRPr="00850E2C">
        <w:rPr>
          <w:lang w:val="fr-FR"/>
        </w:rPr>
        <w:t xml:space="preserve"> du code pénal prenant en compte l’interdiction des mutilations génitales féminines ;</w:t>
      </w:r>
    </w:p>
    <w:p w14:paraId="6853E6B0" w14:textId="2D36A2BC" w:rsidR="00850E2C" w:rsidRPr="00850E2C" w:rsidRDefault="004760FA" w:rsidP="004760FA">
      <w:pPr>
        <w:pStyle w:val="Bullet1G"/>
        <w:rPr>
          <w:lang w:val="fr-FR"/>
        </w:rPr>
      </w:pPr>
      <w:r w:rsidRPr="00850E2C">
        <w:rPr>
          <w:lang w:val="fr-FR"/>
        </w:rPr>
        <w:t>Élaboration</w:t>
      </w:r>
      <w:r w:rsidR="00850E2C" w:rsidRPr="00850E2C">
        <w:rPr>
          <w:lang w:val="fr-FR"/>
        </w:rPr>
        <w:t xml:space="preserve"> du programme national de lutte contre les grossesses et les mariages chez les adolescentes qui a pour objectif de réduire significativement les mariages et grossesse des adolescentes ;</w:t>
      </w:r>
    </w:p>
    <w:p w14:paraId="4381C171" w14:textId="41EF60D0" w:rsidR="00850E2C" w:rsidRPr="00850E2C" w:rsidRDefault="004760FA" w:rsidP="004760FA">
      <w:pPr>
        <w:pStyle w:val="Bullet1G"/>
        <w:rPr>
          <w:lang w:val="fr-FR"/>
        </w:rPr>
      </w:pPr>
      <w:r w:rsidRPr="00850E2C">
        <w:rPr>
          <w:lang w:val="fr-FR"/>
        </w:rPr>
        <w:t>Organisation</w:t>
      </w:r>
      <w:r w:rsidR="00850E2C" w:rsidRPr="00850E2C">
        <w:rPr>
          <w:lang w:val="fr-FR"/>
        </w:rPr>
        <w:t xml:space="preserve"> de dialogue communautaire et de campagne de sensibilisation sur les questions de violence basée sur le genre dans le cadre de la célébration des journées en l’honneur de la femme.</w:t>
      </w:r>
    </w:p>
    <w:p w14:paraId="403E7F33" w14:textId="26D58C36" w:rsidR="004A46C7" w:rsidRDefault="004760FA" w:rsidP="004760FA">
      <w:pPr>
        <w:pStyle w:val="H23G"/>
        <w:rPr>
          <w:lang w:val="fr-FR"/>
        </w:rPr>
      </w:pPr>
      <w:r>
        <w:rPr>
          <w:lang w:val="fr-FR"/>
        </w:rPr>
        <w:tab/>
      </w:r>
      <w:r>
        <w:rPr>
          <w:lang w:val="fr-FR"/>
        </w:rPr>
        <w:tab/>
        <w:t xml:space="preserve">Paragraphe </w:t>
      </w:r>
      <w:r w:rsidR="004A46C7">
        <w:rPr>
          <w:lang w:val="fr-FR"/>
        </w:rPr>
        <w:t>9</w:t>
      </w:r>
      <w:r w:rsidR="00850E2C" w:rsidRPr="00850E2C">
        <w:rPr>
          <w:lang w:val="fr-FR"/>
        </w:rPr>
        <w:t>a)</w:t>
      </w:r>
      <w:r w:rsidR="00850E2C" w:rsidRPr="00850E2C">
        <w:rPr>
          <w:lang w:val="fr-FR"/>
        </w:rPr>
        <w:tab/>
      </w:r>
    </w:p>
    <w:p w14:paraId="2D16A19A" w14:textId="7C6816C5" w:rsidR="00850E2C" w:rsidRPr="00850E2C" w:rsidRDefault="00850E2C" w:rsidP="00F97BC3">
      <w:pPr>
        <w:pStyle w:val="SingleTxtG"/>
        <w:numPr>
          <w:ilvl w:val="0"/>
          <w:numId w:val="4"/>
        </w:numPr>
        <w:ind w:left="1134" w:firstLine="0"/>
        <w:rPr>
          <w:lang w:val="fr-FR"/>
        </w:rPr>
      </w:pPr>
      <w:r w:rsidRPr="00850E2C">
        <w:rPr>
          <w:lang w:val="fr-FR"/>
        </w:rPr>
        <w:t>S’agissant des informations sur les mesures récentes prises pour éliminer les stéréotypes de genre et les pratiques néfastes, il faut relever entre autres :</w:t>
      </w:r>
    </w:p>
    <w:p w14:paraId="58426ED4" w14:textId="227C0AAD" w:rsidR="00850E2C" w:rsidRPr="00850E2C" w:rsidRDefault="004760FA" w:rsidP="004760FA">
      <w:pPr>
        <w:pStyle w:val="Bullet1G"/>
        <w:rPr>
          <w:lang w:val="fr-FR"/>
        </w:rPr>
      </w:pPr>
      <w:r w:rsidRPr="00850E2C">
        <w:rPr>
          <w:lang w:val="fr-FR"/>
        </w:rPr>
        <w:t>L’organisation</w:t>
      </w:r>
      <w:r w:rsidR="00850E2C" w:rsidRPr="00850E2C">
        <w:rPr>
          <w:lang w:val="fr-FR"/>
        </w:rPr>
        <w:t xml:space="preserve"> de séances de vulgarisation du code des personnes et de la famille à l’endroit des chefs traditionnels et religieux avec un accent sur les dispositions proscrivant les pratiques culturelles préjudiciables aux femmes et aux filles ; </w:t>
      </w:r>
    </w:p>
    <w:p w14:paraId="07A2ABB6" w14:textId="53114005" w:rsidR="00850E2C" w:rsidRPr="00850E2C" w:rsidRDefault="004760FA" w:rsidP="004760FA">
      <w:pPr>
        <w:pStyle w:val="Bullet1G"/>
        <w:rPr>
          <w:lang w:val="fr-FR"/>
        </w:rPr>
      </w:pPr>
      <w:r w:rsidRPr="00850E2C">
        <w:rPr>
          <w:lang w:val="fr-FR"/>
        </w:rPr>
        <w:t>Formation</w:t>
      </w:r>
      <w:r w:rsidR="00850E2C" w:rsidRPr="00850E2C">
        <w:rPr>
          <w:lang w:val="fr-FR"/>
        </w:rPr>
        <w:t xml:space="preserve"> de 162 agents de changement et sensibilisation de 17356 personnes sur l’approche masculinité positive qui a pour objectif d’encourager les hommes et les garçons à adopter les comportements, attitudes et les valeurs fondés sur le respect, l’égalité, la responsabilité et la bienveillance tout en mettant fin aux normes traditionnelles de violences sur les femmes entre 2025 et 2026 ;</w:t>
      </w:r>
    </w:p>
    <w:p w14:paraId="14AA447A" w14:textId="27F9BAD1" w:rsidR="00850E2C" w:rsidRPr="00850E2C" w:rsidRDefault="004760FA" w:rsidP="004760FA">
      <w:pPr>
        <w:pStyle w:val="Bullet1G"/>
        <w:rPr>
          <w:lang w:val="fr-FR"/>
        </w:rPr>
      </w:pPr>
      <w:r w:rsidRPr="00850E2C">
        <w:rPr>
          <w:lang w:val="fr-FR"/>
        </w:rPr>
        <w:t>Mise</w:t>
      </w:r>
      <w:r w:rsidR="00850E2C" w:rsidRPr="00850E2C">
        <w:rPr>
          <w:lang w:val="fr-FR"/>
        </w:rPr>
        <w:t xml:space="preserve"> en place de 226 clubs des paires éducatrices sur le leadership féminin, la paix et le développement entre 2016 et 2024, dans 18 préfectures suivie de formation de 940 femmes, entre 2016 à 2024 ;</w:t>
      </w:r>
    </w:p>
    <w:p w14:paraId="3C748A09" w14:textId="0F6480BC" w:rsidR="00850E2C" w:rsidRPr="00850E2C" w:rsidRDefault="004760FA" w:rsidP="004760FA">
      <w:pPr>
        <w:pStyle w:val="Bullet1G"/>
        <w:rPr>
          <w:lang w:val="fr-FR"/>
        </w:rPr>
      </w:pPr>
      <w:r w:rsidRPr="00850E2C">
        <w:rPr>
          <w:lang w:val="fr-FR"/>
        </w:rPr>
        <w:t>Élaboration</w:t>
      </w:r>
      <w:r w:rsidR="00850E2C" w:rsidRPr="00850E2C">
        <w:rPr>
          <w:lang w:val="fr-FR"/>
        </w:rPr>
        <w:t xml:space="preserve"> de 90 plans d’action communautaires de lutte contre les grossesses et les mariages chez les adolescentes ainsi que les violences basées sur le genre et formation de 366 membres dont 131 femmes sur la thématique de 2022 à 2025.</w:t>
      </w:r>
    </w:p>
    <w:p w14:paraId="5DE04E37" w14:textId="77777777" w:rsidR="00850E2C" w:rsidRPr="00850E2C" w:rsidRDefault="00850E2C" w:rsidP="00F97BC3">
      <w:pPr>
        <w:pStyle w:val="SingleTxtG"/>
        <w:numPr>
          <w:ilvl w:val="0"/>
          <w:numId w:val="4"/>
        </w:numPr>
        <w:ind w:left="1134" w:firstLine="0"/>
        <w:rPr>
          <w:lang w:val="fr-FR"/>
        </w:rPr>
      </w:pPr>
      <w:r w:rsidRPr="00850E2C">
        <w:rPr>
          <w:lang w:val="fr-FR"/>
        </w:rPr>
        <w:t xml:space="preserve">Par ailleurs, la CNDH organise régulièrement des rencontres directes avec des groupes de femmes (Union Musulmane du Togo, églises, femmes des marchés) pour échanger sur les violences basées sur le genre. Il en est de même sur la lutte contre les pratiques néfastes comme les mariages précoces, et les discriminations liées à la succession et à la terre. La CNDH a organisé en octobre 2025, une rencontre avec les chefs traditionnels venus de toutes les préfectures du Togo, pour les sensibiliser à l’adoption d’une approche fondée sur les droits de l’homme dans les pratiques et jugements traditionnels. </w:t>
      </w:r>
    </w:p>
    <w:p w14:paraId="218DA683" w14:textId="1AA3B34E" w:rsidR="004A46C7" w:rsidRDefault="00E41A6E" w:rsidP="00E41A6E">
      <w:pPr>
        <w:pStyle w:val="H23G"/>
        <w:rPr>
          <w:lang w:val="fr-FR"/>
        </w:rPr>
      </w:pPr>
      <w:r>
        <w:rPr>
          <w:lang w:val="fr-FR"/>
        </w:rPr>
        <w:tab/>
      </w:r>
      <w:r>
        <w:rPr>
          <w:lang w:val="fr-FR"/>
        </w:rPr>
        <w:tab/>
        <w:t xml:space="preserve">Paragraphe </w:t>
      </w:r>
      <w:r w:rsidR="004A46C7">
        <w:rPr>
          <w:lang w:val="fr-FR"/>
        </w:rPr>
        <w:t>9</w:t>
      </w:r>
      <w:r w:rsidR="00850E2C" w:rsidRPr="00850E2C">
        <w:rPr>
          <w:lang w:val="fr-FR"/>
        </w:rPr>
        <w:t>b)</w:t>
      </w:r>
      <w:r w:rsidR="00850E2C" w:rsidRPr="00850E2C">
        <w:rPr>
          <w:lang w:val="fr-FR"/>
        </w:rPr>
        <w:tab/>
      </w:r>
    </w:p>
    <w:p w14:paraId="012570BF" w14:textId="73D7315D" w:rsidR="00850E2C" w:rsidRPr="00850E2C" w:rsidRDefault="00850E2C" w:rsidP="00F97BC3">
      <w:pPr>
        <w:pStyle w:val="SingleTxtG"/>
        <w:numPr>
          <w:ilvl w:val="0"/>
          <w:numId w:val="4"/>
        </w:numPr>
        <w:ind w:left="1134" w:firstLine="0"/>
        <w:rPr>
          <w:lang w:val="fr-FR"/>
        </w:rPr>
      </w:pPr>
      <w:r w:rsidRPr="00850E2C">
        <w:rPr>
          <w:lang w:val="fr-FR"/>
        </w:rPr>
        <w:t>Sur la question de la révision des programmes et des manuels scolaires, ainsi que des initiatives de formation du personnel enseignant, visant à éliminer les stéréotypes de genre, Il faut noter :</w:t>
      </w:r>
    </w:p>
    <w:p w14:paraId="1462FDEC" w14:textId="6473FEB7" w:rsidR="00850E2C" w:rsidRPr="00850E2C" w:rsidRDefault="00E41A6E" w:rsidP="00E41A6E">
      <w:pPr>
        <w:pStyle w:val="Bullet1G"/>
        <w:rPr>
          <w:lang w:val="fr-FR"/>
        </w:rPr>
      </w:pPr>
      <w:r w:rsidRPr="00850E2C">
        <w:rPr>
          <w:lang w:val="fr-FR"/>
        </w:rPr>
        <w:t>Élaboration</w:t>
      </w:r>
      <w:r w:rsidR="00850E2C" w:rsidRPr="00850E2C">
        <w:rPr>
          <w:lang w:val="fr-FR"/>
        </w:rPr>
        <w:t xml:space="preserve"> de nouveaux manuels en langue et communication et mathématiques au préscolaire et au primaire selon l’APC qui prend en compte le genre et élimine toute forme de stéréotype sexiste ;</w:t>
      </w:r>
    </w:p>
    <w:p w14:paraId="766AB41C" w14:textId="79ED1278" w:rsidR="00850E2C" w:rsidRPr="00850E2C" w:rsidRDefault="00E41A6E" w:rsidP="00E41A6E">
      <w:pPr>
        <w:pStyle w:val="Bullet1G"/>
        <w:rPr>
          <w:lang w:val="fr-FR"/>
        </w:rPr>
      </w:pPr>
      <w:r w:rsidRPr="00850E2C">
        <w:rPr>
          <w:lang w:val="fr-FR"/>
        </w:rPr>
        <w:t>Intégration</w:t>
      </w:r>
      <w:r w:rsidR="00850E2C" w:rsidRPr="00850E2C">
        <w:rPr>
          <w:lang w:val="fr-FR"/>
        </w:rPr>
        <w:t xml:space="preserve"> de l’approche genre dans le recrutement du personnel enseignant ;</w:t>
      </w:r>
    </w:p>
    <w:p w14:paraId="07318807" w14:textId="3FA2A345" w:rsidR="00850E2C" w:rsidRPr="00850E2C" w:rsidRDefault="00E41A6E" w:rsidP="00E41A6E">
      <w:pPr>
        <w:pStyle w:val="Bullet1G"/>
        <w:rPr>
          <w:lang w:val="fr-FR"/>
        </w:rPr>
      </w:pPr>
      <w:r w:rsidRPr="00850E2C">
        <w:rPr>
          <w:lang w:val="fr-FR"/>
        </w:rPr>
        <w:t>Intégration</w:t>
      </w:r>
      <w:r w:rsidR="00850E2C" w:rsidRPr="00850E2C">
        <w:rPr>
          <w:lang w:val="fr-FR"/>
        </w:rPr>
        <w:t xml:space="preserve"> de l’approche genre dans les formations continues. </w:t>
      </w:r>
    </w:p>
    <w:p w14:paraId="39CCE523" w14:textId="574D98B9" w:rsidR="00CC4C15" w:rsidRDefault="00E41A6E" w:rsidP="00E41A6E">
      <w:pPr>
        <w:pStyle w:val="H23G"/>
        <w:rPr>
          <w:lang w:val="fr-FR"/>
        </w:rPr>
      </w:pPr>
      <w:r>
        <w:rPr>
          <w:lang w:val="fr-FR"/>
        </w:rPr>
        <w:tab/>
      </w:r>
      <w:r>
        <w:rPr>
          <w:lang w:val="fr-FR"/>
        </w:rPr>
        <w:tab/>
        <w:t xml:space="preserve">Paragraphe </w:t>
      </w:r>
      <w:r w:rsidR="00CC4C15">
        <w:rPr>
          <w:lang w:val="fr-FR"/>
        </w:rPr>
        <w:t>9</w:t>
      </w:r>
      <w:r w:rsidR="00850E2C" w:rsidRPr="00850E2C">
        <w:rPr>
          <w:lang w:val="fr-FR"/>
        </w:rPr>
        <w:t>c)</w:t>
      </w:r>
      <w:r w:rsidR="00850E2C" w:rsidRPr="00850E2C">
        <w:rPr>
          <w:lang w:val="fr-FR"/>
        </w:rPr>
        <w:tab/>
      </w:r>
    </w:p>
    <w:p w14:paraId="29E08D98" w14:textId="0886E35C" w:rsidR="00850E2C" w:rsidRPr="00850E2C" w:rsidRDefault="00850E2C" w:rsidP="00F97BC3">
      <w:pPr>
        <w:pStyle w:val="SingleTxtG"/>
        <w:numPr>
          <w:ilvl w:val="0"/>
          <w:numId w:val="4"/>
        </w:numPr>
        <w:ind w:left="1134" w:firstLine="0"/>
        <w:rPr>
          <w:lang w:val="fr-FR"/>
        </w:rPr>
      </w:pPr>
      <w:r w:rsidRPr="00850E2C">
        <w:rPr>
          <w:lang w:val="fr-FR"/>
        </w:rPr>
        <w:t>Le taux de prévalence du mariage d’enfants est de 41% pour la tranche d’âge 15-19 en 2024.</w:t>
      </w:r>
    </w:p>
    <w:p w14:paraId="26A4B7BE" w14:textId="7ACEEDA8" w:rsidR="00850E2C" w:rsidRPr="00850E2C" w:rsidRDefault="0009090E" w:rsidP="00E41A6E">
      <w:pPr>
        <w:pStyle w:val="H1G"/>
        <w:rPr>
          <w:lang w:val="fr-FR"/>
        </w:rPr>
      </w:pPr>
      <w:r>
        <w:rPr>
          <w:lang w:val="fr-FR"/>
        </w:rPr>
        <w:lastRenderedPageBreak/>
        <w:tab/>
        <w:t>X.</w:t>
      </w:r>
      <w:r>
        <w:rPr>
          <w:lang w:val="fr-FR"/>
        </w:rPr>
        <w:tab/>
      </w:r>
      <w:r w:rsidR="00850E2C" w:rsidRPr="00850E2C">
        <w:rPr>
          <w:lang w:val="fr-FR"/>
        </w:rPr>
        <w:t>Violence fondée sur le genre à l’égard des femmes et des filles</w:t>
      </w:r>
    </w:p>
    <w:p w14:paraId="6ED31C92" w14:textId="49396248" w:rsidR="00CC4C15" w:rsidRDefault="00E41A6E" w:rsidP="00E41A6E">
      <w:pPr>
        <w:pStyle w:val="H23G"/>
        <w:rPr>
          <w:lang w:val="fr-FR"/>
        </w:rPr>
      </w:pPr>
      <w:r>
        <w:rPr>
          <w:lang w:val="fr-FR"/>
        </w:rPr>
        <w:tab/>
      </w:r>
      <w:r>
        <w:rPr>
          <w:lang w:val="fr-FR"/>
        </w:rPr>
        <w:tab/>
        <w:t xml:space="preserve">Paragraphe </w:t>
      </w:r>
      <w:r w:rsidR="00CC4C15">
        <w:rPr>
          <w:lang w:val="fr-FR"/>
        </w:rPr>
        <w:t>10</w:t>
      </w:r>
      <w:r w:rsidR="00850E2C" w:rsidRPr="00850E2C">
        <w:rPr>
          <w:lang w:val="fr-FR"/>
        </w:rPr>
        <w:t>a</w:t>
      </w:r>
      <w:r w:rsidR="00CC4C15">
        <w:rPr>
          <w:lang w:val="fr-FR"/>
        </w:rPr>
        <w:t>)</w:t>
      </w:r>
    </w:p>
    <w:p w14:paraId="147863BB" w14:textId="71088494" w:rsidR="00850E2C" w:rsidRPr="00850E2C" w:rsidRDefault="00850E2C" w:rsidP="00F97BC3">
      <w:pPr>
        <w:pStyle w:val="SingleTxtG"/>
        <w:numPr>
          <w:ilvl w:val="0"/>
          <w:numId w:val="4"/>
        </w:numPr>
        <w:ind w:left="1134" w:firstLine="0"/>
        <w:rPr>
          <w:lang w:val="fr-FR"/>
        </w:rPr>
      </w:pPr>
      <w:r w:rsidRPr="00850E2C">
        <w:rPr>
          <w:lang w:val="fr-FR"/>
        </w:rPr>
        <w:t>Les formes de violence à l’égard des femmes fondée sur le genre incriminées dans le nouveau code pénal (NCP) sont définies sous les articles 232 à 237 du paragraphe intitulé « des violences faites aux femmes ». Ces articles définissent les violences faites aux femmes et déclinent les types de violences réprimées, notamment les violences à l’égard des femmes en situation de conflits armés ou de troubles internes ; les violences sur une femme enceinte ; les violences liées au mariage forcé ; les rites inhumains et dégradants de veuvage ; les violences économiques.</w:t>
      </w:r>
    </w:p>
    <w:p w14:paraId="6996B906" w14:textId="77777777" w:rsidR="00850E2C" w:rsidRPr="00850E2C" w:rsidRDefault="00850E2C" w:rsidP="00F97BC3">
      <w:pPr>
        <w:pStyle w:val="SingleTxtG"/>
        <w:numPr>
          <w:ilvl w:val="0"/>
          <w:numId w:val="4"/>
        </w:numPr>
        <w:ind w:left="1134" w:firstLine="0"/>
        <w:rPr>
          <w:lang w:val="fr-FR"/>
        </w:rPr>
      </w:pPr>
      <w:r w:rsidRPr="00850E2C">
        <w:rPr>
          <w:lang w:val="fr-FR"/>
        </w:rPr>
        <w:t xml:space="preserve"> Aussi, l’une des avancées du nouveau code pénal en matière de VBG est la pénalisation du viol conjugal (art. 212 al. 2 NCP).</w:t>
      </w:r>
    </w:p>
    <w:p w14:paraId="56450EF1" w14:textId="77777777" w:rsidR="00850E2C" w:rsidRPr="00850E2C" w:rsidRDefault="00850E2C" w:rsidP="00F97BC3">
      <w:pPr>
        <w:pStyle w:val="SingleTxtG"/>
        <w:numPr>
          <w:ilvl w:val="0"/>
          <w:numId w:val="4"/>
        </w:numPr>
        <w:ind w:left="1134" w:firstLine="0"/>
        <w:rPr>
          <w:lang w:val="fr-FR"/>
        </w:rPr>
      </w:pPr>
      <w:r w:rsidRPr="00850E2C">
        <w:rPr>
          <w:lang w:val="fr-FR"/>
        </w:rPr>
        <w:t>Il faut également noter les infractions à caractère sexuel, notamment le viol et les mutilations génitales féminines (art. 211 à 222 NCP).</w:t>
      </w:r>
    </w:p>
    <w:p w14:paraId="325B25BE" w14:textId="77777777" w:rsidR="00850E2C" w:rsidRPr="00850E2C" w:rsidRDefault="00850E2C" w:rsidP="00F97BC3">
      <w:pPr>
        <w:pStyle w:val="SingleTxtG"/>
        <w:numPr>
          <w:ilvl w:val="0"/>
          <w:numId w:val="4"/>
        </w:numPr>
        <w:ind w:left="1134" w:firstLine="0"/>
        <w:rPr>
          <w:lang w:val="fr-FR"/>
        </w:rPr>
      </w:pPr>
      <w:r w:rsidRPr="00850E2C">
        <w:rPr>
          <w:lang w:val="fr-FR"/>
        </w:rPr>
        <w:t xml:space="preserve">Concernant les données ventilées sur toutes les formes de violence fondée sur le genre, plus de 16500 cas de violences basées sur genre ont été enregistrées entre 2020 et 2025 par le Centre d’écoute et de prise en charge des VBG. </w:t>
      </w:r>
    </w:p>
    <w:p w14:paraId="6DC3BCF7" w14:textId="77777777" w:rsidR="00850E2C" w:rsidRPr="00850E2C" w:rsidRDefault="00850E2C" w:rsidP="00E41A6E">
      <w:pPr>
        <w:pStyle w:val="Heading1"/>
        <w:jc w:val="center"/>
        <w:rPr>
          <w:lang w:val="fr-FR"/>
        </w:rPr>
      </w:pPr>
      <w:r w:rsidRPr="00850E2C">
        <w:rPr>
          <w:lang w:val="fr-FR"/>
        </w:rPr>
        <w:t>Tableau récapitulatif des cas reçus par types de violences de 2020 à 2023</w:t>
      </w:r>
    </w:p>
    <w:tbl>
      <w:tblPr>
        <w:tblStyle w:val="TableGrid"/>
        <w:tblW w:w="7370" w:type="dxa"/>
        <w:tblInd w:w="1134" w:type="dxa"/>
        <w:tblLayout w:type="fixed"/>
        <w:tblLook w:val="04A0" w:firstRow="1" w:lastRow="0" w:firstColumn="1" w:lastColumn="0" w:noHBand="0" w:noVBand="1"/>
      </w:tblPr>
      <w:tblGrid>
        <w:gridCol w:w="1425"/>
        <w:gridCol w:w="479"/>
        <w:gridCol w:w="574"/>
        <w:gridCol w:w="480"/>
        <w:gridCol w:w="574"/>
        <w:gridCol w:w="480"/>
        <w:gridCol w:w="480"/>
        <w:gridCol w:w="480"/>
        <w:gridCol w:w="479"/>
        <w:gridCol w:w="480"/>
        <w:gridCol w:w="480"/>
        <w:gridCol w:w="480"/>
        <w:gridCol w:w="479"/>
      </w:tblGrid>
      <w:tr w:rsidR="00850E2C" w:rsidRPr="00D647AB" w14:paraId="330A3531" w14:textId="77777777" w:rsidTr="00D647AB">
        <w:trPr>
          <w:tblHeader/>
        </w:trPr>
        <w:tc>
          <w:tcPr>
            <w:tcW w:w="2127" w:type="dxa"/>
            <w:vMerge w:val="restart"/>
            <w:tcBorders>
              <w:top w:val="single" w:sz="4" w:space="0" w:color="auto"/>
              <w:left w:val="nil"/>
              <w:bottom w:val="single" w:sz="12" w:space="0" w:color="auto"/>
              <w:right w:val="nil"/>
              <w:tr2bl w:val="single" w:sz="4" w:space="0" w:color="auto"/>
            </w:tcBorders>
            <w:vAlign w:val="bottom"/>
          </w:tcPr>
          <w:p w14:paraId="093552DC" w14:textId="77777777" w:rsidR="00850E2C" w:rsidRPr="00D647AB" w:rsidRDefault="00850E2C" w:rsidP="00D647AB">
            <w:pPr>
              <w:suppressAutoHyphens w:val="0"/>
              <w:spacing w:before="80" w:after="80" w:line="200" w:lineRule="exact"/>
              <w:rPr>
                <w:bCs/>
                <w:i/>
                <w:sz w:val="16"/>
                <w:lang w:val="fr-FR"/>
              </w:rPr>
            </w:pPr>
            <w:r w:rsidRPr="00D647AB">
              <w:rPr>
                <w:bCs/>
                <w:i/>
                <w:sz w:val="16"/>
                <w:lang w:val="fr-FR"/>
              </w:rPr>
              <w:t>Années</w:t>
            </w:r>
          </w:p>
          <w:p w14:paraId="5DB8709A" w14:textId="77777777" w:rsidR="00850E2C" w:rsidRPr="00D647AB" w:rsidRDefault="00850E2C" w:rsidP="00D647AB">
            <w:pPr>
              <w:suppressAutoHyphens w:val="0"/>
              <w:spacing w:before="80" w:after="80" w:line="200" w:lineRule="exact"/>
              <w:rPr>
                <w:i/>
                <w:sz w:val="16"/>
                <w:lang w:val="fr-FR"/>
              </w:rPr>
            </w:pPr>
          </w:p>
          <w:p w14:paraId="07C4A402" w14:textId="77777777" w:rsidR="00850E2C" w:rsidRPr="00D647AB" w:rsidRDefault="00850E2C" w:rsidP="00D647AB">
            <w:pPr>
              <w:suppressAutoHyphens w:val="0"/>
              <w:spacing w:before="80" w:after="80" w:line="200" w:lineRule="exact"/>
              <w:rPr>
                <w:bCs/>
                <w:i/>
                <w:sz w:val="16"/>
                <w:lang w:val="fr-FR"/>
              </w:rPr>
            </w:pPr>
            <w:r w:rsidRPr="00D647AB">
              <w:rPr>
                <w:i/>
                <w:sz w:val="16"/>
                <w:lang w:val="fr-FR"/>
              </w:rPr>
              <w:t xml:space="preserve">                    </w:t>
            </w:r>
            <w:r w:rsidRPr="00D647AB">
              <w:rPr>
                <w:bCs/>
                <w:i/>
                <w:sz w:val="16"/>
                <w:lang w:val="fr-FR"/>
              </w:rPr>
              <w:t xml:space="preserve">Types de violences   </w:t>
            </w:r>
          </w:p>
        </w:tc>
        <w:tc>
          <w:tcPr>
            <w:tcW w:w="2268" w:type="dxa"/>
            <w:gridSpan w:val="3"/>
            <w:tcBorders>
              <w:top w:val="single" w:sz="4" w:space="0" w:color="auto"/>
              <w:left w:val="nil"/>
              <w:bottom w:val="single" w:sz="12" w:space="0" w:color="auto"/>
              <w:right w:val="nil"/>
            </w:tcBorders>
            <w:vAlign w:val="bottom"/>
          </w:tcPr>
          <w:p w14:paraId="1DD48EF6" w14:textId="77777777" w:rsidR="00850E2C" w:rsidRPr="00D647AB" w:rsidRDefault="00850E2C" w:rsidP="00D647AB">
            <w:pPr>
              <w:suppressAutoHyphens w:val="0"/>
              <w:spacing w:before="80" w:after="80" w:line="200" w:lineRule="exact"/>
              <w:jc w:val="right"/>
              <w:rPr>
                <w:i/>
                <w:sz w:val="16"/>
                <w:lang w:val="en-US"/>
              </w:rPr>
            </w:pPr>
            <w:r w:rsidRPr="00D647AB">
              <w:rPr>
                <w:i/>
                <w:sz w:val="16"/>
                <w:lang w:val="en-US"/>
              </w:rPr>
              <w:t>2020</w:t>
            </w:r>
          </w:p>
        </w:tc>
        <w:tc>
          <w:tcPr>
            <w:tcW w:w="2268" w:type="dxa"/>
            <w:gridSpan w:val="3"/>
            <w:tcBorders>
              <w:top w:val="single" w:sz="4" w:space="0" w:color="auto"/>
              <w:left w:val="nil"/>
              <w:bottom w:val="single" w:sz="12" w:space="0" w:color="auto"/>
              <w:right w:val="nil"/>
            </w:tcBorders>
            <w:vAlign w:val="bottom"/>
          </w:tcPr>
          <w:p w14:paraId="7E7D299D" w14:textId="77777777" w:rsidR="00850E2C" w:rsidRPr="00D647AB" w:rsidRDefault="00850E2C" w:rsidP="00D647AB">
            <w:pPr>
              <w:suppressAutoHyphens w:val="0"/>
              <w:spacing w:before="80" w:after="80" w:line="200" w:lineRule="exact"/>
              <w:jc w:val="right"/>
              <w:rPr>
                <w:i/>
                <w:sz w:val="16"/>
                <w:lang w:val="en-US"/>
              </w:rPr>
            </w:pPr>
            <w:r w:rsidRPr="00D647AB">
              <w:rPr>
                <w:i/>
                <w:sz w:val="16"/>
                <w:lang w:val="en-US"/>
              </w:rPr>
              <w:t>2021</w:t>
            </w:r>
          </w:p>
        </w:tc>
        <w:tc>
          <w:tcPr>
            <w:tcW w:w="2126" w:type="dxa"/>
            <w:gridSpan w:val="3"/>
            <w:tcBorders>
              <w:top w:val="single" w:sz="4" w:space="0" w:color="auto"/>
              <w:left w:val="nil"/>
              <w:bottom w:val="single" w:sz="12" w:space="0" w:color="auto"/>
              <w:right w:val="nil"/>
            </w:tcBorders>
            <w:vAlign w:val="bottom"/>
          </w:tcPr>
          <w:p w14:paraId="22B2595C" w14:textId="77777777" w:rsidR="00850E2C" w:rsidRPr="00D647AB" w:rsidRDefault="00850E2C" w:rsidP="00D647AB">
            <w:pPr>
              <w:suppressAutoHyphens w:val="0"/>
              <w:spacing w:before="80" w:after="80" w:line="200" w:lineRule="exact"/>
              <w:jc w:val="right"/>
              <w:rPr>
                <w:i/>
                <w:sz w:val="16"/>
                <w:lang w:val="en-US"/>
              </w:rPr>
            </w:pPr>
            <w:r w:rsidRPr="00D647AB">
              <w:rPr>
                <w:i/>
                <w:sz w:val="16"/>
                <w:lang w:val="en-US"/>
              </w:rPr>
              <w:t xml:space="preserve">        2022</w:t>
            </w:r>
          </w:p>
        </w:tc>
        <w:tc>
          <w:tcPr>
            <w:tcW w:w="2126" w:type="dxa"/>
            <w:gridSpan w:val="3"/>
            <w:tcBorders>
              <w:top w:val="single" w:sz="4" w:space="0" w:color="auto"/>
              <w:left w:val="nil"/>
              <w:bottom w:val="single" w:sz="12" w:space="0" w:color="auto"/>
              <w:right w:val="nil"/>
            </w:tcBorders>
            <w:vAlign w:val="bottom"/>
          </w:tcPr>
          <w:p w14:paraId="2F1AD280" w14:textId="77777777" w:rsidR="00850E2C" w:rsidRPr="00D647AB" w:rsidRDefault="00850E2C" w:rsidP="00D647AB">
            <w:pPr>
              <w:suppressAutoHyphens w:val="0"/>
              <w:spacing w:before="80" w:after="80" w:line="200" w:lineRule="exact"/>
              <w:jc w:val="right"/>
              <w:rPr>
                <w:i/>
                <w:sz w:val="16"/>
                <w:lang w:val="en-US"/>
              </w:rPr>
            </w:pPr>
            <w:r w:rsidRPr="00D647AB">
              <w:rPr>
                <w:i/>
                <w:sz w:val="16"/>
                <w:lang w:val="en-US"/>
              </w:rPr>
              <w:t>2023</w:t>
            </w:r>
          </w:p>
        </w:tc>
      </w:tr>
      <w:tr w:rsidR="00850E2C" w:rsidRPr="00D647AB" w14:paraId="5BC5CAC7" w14:textId="77777777" w:rsidTr="00D647AB">
        <w:trPr>
          <w:tblHeader/>
        </w:trPr>
        <w:tc>
          <w:tcPr>
            <w:tcW w:w="2127" w:type="dxa"/>
            <w:vMerge/>
            <w:tcBorders>
              <w:top w:val="single" w:sz="12" w:space="0" w:color="auto"/>
              <w:left w:val="nil"/>
              <w:bottom w:val="nil"/>
              <w:right w:val="nil"/>
              <w:tr2bl w:val="single" w:sz="4" w:space="0" w:color="auto"/>
            </w:tcBorders>
            <w:vAlign w:val="bottom"/>
          </w:tcPr>
          <w:p w14:paraId="29A77796" w14:textId="77777777" w:rsidR="00850E2C" w:rsidRPr="00D647AB" w:rsidRDefault="00850E2C" w:rsidP="00D647AB">
            <w:pPr>
              <w:suppressAutoHyphens w:val="0"/>
              <w:spacing w:before="40" w:after="40" w:line="220" w:lineRule="exact"/>
              <w:rPr>
                <w:sz w:val="18"/>
                <w:lang w:val="fr-FR"/>
              </w:rPr>
            </w:pPr>
          </w:p>
        </w:tc>
        <w:tc>
          <w:tcPr>
            <w:tcW w:w="709" w:type="dxa"/>
            <w:tcBorders>
              <w:top w:val="single" w:sz="12" w:space="0" w:color="auto"/>
              <w:left w:val="nil"/>
              <w:bottom w:val="nil"/>
              <w:right w:val="nil"/>
            </w:tcBorders>
            <w:vAlign w:val="bottom"/>
          </w:tcPr>
          <w:p w14:paraId="18A386B8"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 xml:space="preserve">     H</w:t>
            </w:r>
          </w:p>
        </w:tc>
        <w:tc>
          <w:tcPr>
            <w:tcW w:w="850" w:type="dxa"/>
            <w:tcBorders>
              <w:top w:val="single" w:sz="12" w:space="0" w:color="auto"/>
              <w:left w:val="nil"/>
              <w:bottom w:val="nil"/>
              <w:right w:val="nil"/>
            </w:tcBorders>
            <w:vAlign w:val="bottom"/>
          </w:tcPr>
          <w:p w14:paraId="5473F06C"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 xml:space="preserve">     F</w:t>
            </w:r>
          </w:p>
        </w:tc>
        <w:tc>
          <w:tcPr>
            <w:tcW w:w="709" w:type="dxa"/>
            <w:tcBorders>
              <w:top w:val="single" w:sz="12" w:space="0" w:color="auto"/>
              <w:left w:val="nil"/>
              <w:bottom w:val="nil"/>
              <w:right w:val="nil"/>
            </w:tcBorders>
            <w:vAlign w:val="bottom"/>
          </w:tcPr>
          <w:p w14:paraId="7EDB462F"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 xml:space="preserve">     T</w:t>
            </w:r>
          </w:p>
        </w:tc>
        <w:tc>
          <w:tcPr>
            <w:tcW w:w="850" w:type="dxa"/>
            <w:tcBorders>
              <w:top w:val="single" w:sz="12" w:space="0" w:color="auto"/>
              <w:left w:val="nil"/>
              <w:bottom w:val="nil"/>
              <w:right w:val="nil"/>
            </w:tcBorders>
            <w:vAlign w:val="bottom"/>
          </w:tcPr>
          <w:p w14:paraId="3D2068F1"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 xml:space="preserve">   H</w:t>
            </w:r>
          </w:p>
        </w:tc>
        <w:tc>
          <w:tcPr>
            <w:tcW w:w="709" w:type="dxa"/>
            <w:tcBorders>
              <w:top w:val="single" w:sz="12" w:space="0" w:color="auto"/>
              <w:left w:val="nil"/>
              <w:bottom w:val="nil"/>
              <w:right w:val="nil"/>
            </w:tcBorders>
            <w:vAlign w:val="bottom"/>
          </w:tcPr>
          <w:p w14:paraId="1F66C6BC"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 xml:space="preserve">     F</w:t>
            </w:r>
          </w:p>
        </w:tc>
        <w:tc>
          <w:tcPr>
            <w:tcW w:w="709" w:type="dxa"/>
            <w:tcBorders>
              <w:top w:val="single" w:sz="12" w:space="0" w:color="auto"/>
              <w:left w:val="nil"/>
              <w:bottom w:val="nil"/>
              <w:right w:val="nil"/>
            </w:tcBorders>
            <w:vAlign w:val="bottom"/>
          </w:tcPr>
          <w:p w14:paraId="44E2E453"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 xml:space="preserve">     T</w:t>
            </w:r>
          </w:p>
        </w:tc>
        <w:tc>
          <w:tcPr>
            <w:tcW w:w="709" w:type="dxa"/>
            <w:tcBorders>
              <w:top w:val="single" w:sz="12" w:space="0" w:color="auto"/>
              <w:left w:val="nil"/>
              <w:bottom w:val="nil"/>
              <w:right w:val="nil"/>
            </w:tcBorders>
            <w:vAlign w:val="bottom"/>
          </w:tcPr>
          <w:p w14:paraId="4F5E2FAD"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H</w:t>
            </w:r>
          </w:p>
        </w:tc>
        <w:tc>
          <w:tcPr>
            <w:tcW w:w="708" w:type="dxa"/>
            <w:tcBorders>
              <w:top w:val="single" w:sz="12" w:space="0" w:color="auto"/>
              <w:left w:val="nil"/>
              <w:bottom w:val="nil"/>
              <w:right w:val="nil"/>
            </w:tcBorders>
            <w:vAlign w:val="bottom"/>
          </w:tcPr>
          <w:p w14:paraId="6B57CC6C"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F</w:t>
            </w:r>
          </w:p>
        </w:tc>
        <w:tc>
          <w:tcPr>
            <w:tcW w:w="709" w:type="dxa"/>
            <w:tcBorders>
              <w:top w:val="single" w:sz="12" w:space="0" w:color="auto"/>
              <w:left w:val="nil"/>
              <w:bottom w:val="nil"/>
              <w:right w:val="nil"/>
            </w:tcBorders>
            <w:vAlign w:val="bottom"/>
          </w:tcPr>
          <w:p w14:paraId="224A3D81"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T</w:t>
            </w:r>
          </w:p>
        </w:tc>
        <w:tc>
          <w:tcPr>
            <w:tcW w:w="709" w:type="dxa"/>
            <w:tcBorders>
              <w:top w:val="single" w:sz="12" w:space="0" w:color="auto"/>
              <w:left w:val="nil"/>
              <w:bottom w:val="nil"/>
              <w:right w:val="nil"/>
            </w:tcBorders>
            <w:vAlign w:val="bottom"/>
          </w:tcPr>
          <w:p w14:paraId="1526317E"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H</w:t>
            </w:r>
          </w:p>
        </w:tc>
        <w:tc>
          <w:tcPr>
            <w:tcW w:w="709" w:type="dxa"/>
            <w:tcBorders>
              <w:top w:val="single" w:sz="12" w:space="0" w:color="auto"/>
              <w:left w:val="nil"/>
              <w:bottom w:val="nil"/>
              <w:right w:val="nil"/>
            </w:tcBorders>
            <w:vAlign w:val="bottom"/>
          </w:tcPr>
          <w:p w14:paraId="75456804"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F</w:t>
            </w:r>
          </w:p>
        </w:tc>
        <w:tc>
          <w:tcPr>
            <w:tcW w:w="708" w:type="dxa"/>
            <w:tcBorders>
              <w:top w:val="single" w:sz="12" w:space="0" w:color="auto"/>
              <w:left w:val="nil"/>
              <w:bottom w:val="nil"/>
              <w:right w:val="nil"/>
            </w:tcBorders>
            <w:vAlign w:val="bottom"/>
          </w:tcPr>
          <w:p w14:paraId="02B458F8"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T</w:t>
            </w:r>
          </w:p>
        </w:tc>
      </w:tr>
      <w:tr w:rsidR="00850E2C" w:rsidRPr="00D647AB" w14:paraId="1E893501" w14:textId="77777777" w:rsidTr="00D647AB">
        <w:tc>
          <w:tcPr>
            <w:tcW w:w="2127" w:type="dxa"/>
            <w:tcBorders>
              <w:top w:val="nil"/>
              <w:left w:val="nil"/>
              <w:bottom w:val="nil"/>
              <w:right w:val="nil"/>
            </w:tcBorders>
          </w:tcPr>
          <w:p w14:paraId="4E012656" w14:textId="77777777" w:rsidR="00850E2C" w:rsidRPr="00D647AB" w:rsidRDefault="00850E2C" w:rsidP="00D647AB">
            <w:pPr>
              <w:suppressAutoHyphens w:val="0"/>
              <w:spacing w:before="40" w:after="40" w:line="220" w:lineRule="exact"/>
              <w:rPr>
                <w:sz w:val="18"/>
                <w:lang w:val="fr-FR"/>
              </w:rPr>
            </w:pPr>
            <w:r w:rsidRPr="00D647AB">
              <w:rPr>
                <w:sz w:val="18"/>
                <w:lang w:val="fr-FR"/>
              </w:rPr>
              <w:t>Physiques</w:t>
            </w:r>
          </w:p>
        </w:tc>
        <w:tc>
          <w:tcPr>
            <w:tcW w:w="709" w:type="dxa"/>
            <w:tcBorders>
              <w:top w:val="nil"/>
              <w:left w:val="nil"/>
              <w:bottom w:val="nil"/>
              <w:right w:val="nil"/>
            </w:tcBorders>
            <w:vAlign w:val="bottom"/>
          </w:tcPr>
          <w:p w14:paraId="1D288D4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49</w:t>
            </w:r>
          </w:p>
        </w:tc>
        <w:tc>
          <w:tcPr>
            <w:tcW w:w="850" w:type="dxa"/>
            <w:tcBorders>
              <w:top w:val="nil"/>
              <w:left w:val="nil"/>
              <w:bottom w:val="nil"/>
              <w:right w:val="nil"/>
            </w:tcBorders>
            <w:vAlign w:val="bottom"/>
          </w:tcPr>
          <w:p w14:paraId="37BFD28D"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404</w:t>
            </w:r>
          </w:p>
        </w:tc>
        <w:tc>
          <w:tcPr>
            <w:tcW w:w="709" w:type="dxa"/>
            <w:tcBorders>
              <w:top w:val="nil"/>
              <w:left w:val="nil"/>
              <w:bottom w:val="nil"/>
              <w:right w:val="nil"/>
            </w:tcBorders>
            <w:vAlign w:val="bottom"/>
          </w:tcPr>
          <w:p w14:paraId="54FD4031"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520</w:t>
            </w:r>
          </w:p>
        </w:tc>
        <w:tc>
          <w:tcPr>
            <w:tcW w:w="850" w:type="dxa"/>
            <w:tcBorders>
              <w:top w:val="nil"/>
              <w:left w:val="nil"/>
              <w:bottom w:val="nil"/>
              <w:right w:val="nil"/>
            </w:tcBorders>
            <w:vAlign w:val="bottom"/>
          </w:tcPr>
          <w:p w14:paraId="129470E5"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44</w:t>
            </w:r>
          </w:p>
        </w:tc>
        <w:tc>
          <w:tcPr>
            <w:tcW w:w="709" w:type="dxa"/>
            <w:tcBorders>
              <w:top w:val="nil"/>
              <w:left w:val="nil"/>
              <w:bottom w:val="nil"/>
              <w:right w:val="nil"/>
            </w:tcBorders>
            <w:vAlign w:val="bottom"/>
          </w:tcPr>
          <w:p w14:paraId="63BBB38B"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443</w:t>
            </w:r>
          </w:p>
        </w:tc>
        <w:tc>
          <w:tcPr>
            <w:tcW w:w="709" w:type="dxa"/>
            <w:tcBorders>
              <w:top w:val="nil"/>
              <w:left w:val="nil"/>
              <w:bottom w:val="nil"/>
              <w:right w:val="nil"/>
            </w:tcBorders>
            <w:vAlign w:val="bottom"/>
          </w:tcPr>
          <w:p w14:paraId="32E3B7B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487</w:t>
            </w:r>
          </w:p>
        </w:tc>
        <w:tc>
          <w:tcPr>
            <w:tcW w:w="709" w:type="dxa"/>
            <w:tcBorders>
              <w:top w:val="nil"/>
              <w:left w:val="nil"/>
              <w:bottom w:val="nil"/>
              <w:right w:val="nil"/>
            </w:tcBorders>
            <w:vAlign w:val="bottom"/>
          </w:tcPr>
          <w:p w14:paraId="650C71C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44</w:t>
            </w:r>
          </w:p>
        </w:tc>
        <w:tc>
          <w:tcPr>
            <w:tcW w:w="708" w:type="dxa"/>
            <w:tcBorders>
              <w:top w:val="nil"/>
              <w:left w:val="nil"/>
              <w:bottom w:val="nil"/>
              <w:right w:val="nil"/>
            </w:tcBorders>
            <w:vAlign w:val="bottom"/>
          </w:tcPr>
          <w:p w14:paraId="2975A7E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321</w:t>
            </w:r>
          </w:p>
        </w:tc>
        <w:tc>
          <w:tcPr>
            <w:tcW w:w="709" w:type="dxa"/>
            <w:tcBorders>
              <w:top w:val="nil"/>
              <w:left w:val="nil"/>
              <w:bottom w:val="nil"/>
              <w:right w:val="nil"/>
            </w:tcBorders>
            <w:vAlign w:val="bottom"/>
          </w:tcPr>
          <w:p w14:paraId="21B6FCC5"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365</w:t>
            </w:r>
          </w:p>
        </w:tc>
        <w:tc>
          <w:tcPr>
            <w:tcW w:w="709" w:type="dxa"/>
            <w:tcBorders>
              <w:top w:val="nil"/>
              <w:left w:val="nil"/>
              <w:bottom w:val="nil"/>
              <w:right w:val="nil"/>
            </w:tcBorders>
            <w:vAlign w:val="bottom"/>
          </w:tcPr>
          <w:p w14:paraId="040BDFB8"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32</w:t>
            </w:r>
          </w:p>
        </w:tc>
        <w:tc>
          <w:tcPr>
            <w:tcW w:w="709" w:type="dxa"/>
            <w:tcBorders>
              <w:top w:val="nil"/>
              <w:left w:val="nil"/>
              <w:bottom w:val="nil"/>
              <w:right w:val="nil"/>
            </w:tcBorders>
            <w:vAlign w:val="bottom"/>
          </w:tcPr>
          <w:p w14:paraId="56925AA0"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527</w:t>
            </w:r>
          </w:p>
        </w:tc>
        <w:tc>
          <w:tcPr>
            <w:tcW w:w="708" w:type="dxa"/>
            <w:tcBorders>
              <w:top w:val="nil"/>
              <w:left w:val="nil"/>
              <w:bottom w:val="nil"/>
              <w:right w:val="nil"/>
            </w:tcBorders>
            <w:vAlign w:val="bottom"/>
          </w:tcPr>
          <w:p w14:paraId="47ABA296"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559</w:t>
            </w:r>
          </w:p>
        </w:tc>
      </w:tr>
      <w:tr w:rsidR="00850E2C" w:rsidRPr="00D647AB" w14:paraId="4885BB8C" w14:textId="77777777" w:rsidTr="00D647AB">
        <w:tc>
          <w:tcPr>
            <w:tcW w:w="2127" w:type="dxa"/>
            <w:tcBorders>
              <w:top w:val="nil"/>
              <w:left w:val="nil"/>
              <w:bottom w:val="nil"/>
              <w:right w:val="nil"/>
            </w:tcBorders>
          </w:tcPr>
          <w:p w14:paraId="10C3190B" w14:textId="77777777" w:rsidR="00850E2C" w:rsidRPr="00D647AB" w:rsidRDefault="00850E2C" w:rsidP="00D647AB">
            <w:pPr>
              <w:suppressAutoHyphens w:val="0"/>
              <w:spacing w:before="40" w:after="40" w:line="220" w:lineRule="exact"/>
              <w:rPr>
                <w:sz w:val="18"/>
                <w:lang w:val="fr-FR"/>
              </w:rPr>
            </w:pPr>
            <w:r w:rsidRPr="00D647AB">
              <w:rPr>
                <w:sz w:val="18"/>
                <w:lang w:val="fr-FR"/>
              </w:rPr>
              <w:t>Psychologiques</w:t>
            </w:r>
          </w:p>
        </w:tc>
        <w:tc>
          <w:tcPr>
            <w:tcW w:w="709" w:type="dxa"/>
            <w:tcBorders>
              <w:top w:val="nil"/>
              <w:left w:val="nil"/>
              <w:bottom w:val="nil"/>
              <w:right w:val="nil"/>
            </w:tcBorders>
            <w:vAlign w:val="bottom"/>
          </w:tcPr>
          <w:p w14:paraId="27A47EE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201</w:t>
            </w:r>
          </w:p>
        </w:tc>
        <w:tc>
          <w:tcPr>
            <w:tcW w:w="850" w:type="dxa"/>
            <w:tcBorders>
              <w:top w:val="nil"/>
              <w:left w:val="nil"/>
              <w:bottom w:val="nil"/>
              <w:right w:val="nil"/>
            </w:tcBorders>
            <w:vAlign w:val="bottom"/>
          </w:tcPr>
          <w:p w14:paraId="6CA46D4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969</w:t>
            </w:r>
          </w:p>
        </w:tc>
        <w:tc>
          <w:tcPr>
            <w:tcW w:w="709" w:type="dxa"/>
            <w:tcBorders>
              <w:top w:val="nil"/>
              <w:left w:val="nil"/>
              <w:bottom w:val="nil"/>
              <w:right w:val="nil"/>
            </w:tcBorders>
            <w:vAlign w:val="bottom"/>
          </w:tcPr>
          <w:p w14:paraId="7B0234E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1170</w:t>
            </w:r>
          </w:p>
        </w:tc>
        <w:tc>
          <w:tcPr>
            <w:tcW w:w="850" w:type="dxa"/>
            <w:tcBorders>
              <w:top w:val="nil"/>
              <w:left w:val="nil"/>
              <w:bottom w:val="nil"/>
              <w:right w:val="nil"/>
            </w:tcBorders>
            <w:vAlign w:val="bottom"/>
          </w:tcPr>
          <w:p w14:paraId="1EB5885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150</w:t>
            </w:r>
          </w:p>
        </w:tc>
        <w:tc>
          <w:tcPr>
            <w:tcW w:w="709" w:type="dxa"/>
            <w:tcBorders>
              <w:top w:val="nil"/>
              <w:left w:val="nil"/>
              <w:bottom w:val="nil"/>
              <w:right w:val="nil"/>
            </w:tcBorders>
            <w:vAlign w:val="bottom"/>
          </w:tcPr>
          <w:p w14:paraId="353D6C5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841</w:t>
            </w:r>
          </w:p>
        </w:tc>
        <w:tc>
          <w:tcPr>
            <w:tcW w:w="709" w:type="dxa"/>
            <w:tcBorders>
              <w:top w:val="nil"/>
              <w:left w:val="nil"/>
              <w:bottom w:val="nil"/>
              <w:right w:val="nil"/>
            </w:tcBorders>
            <w:vAlign w:val="bottom"/>
          </w:tcPr>
          <w:p w14:paraId="10733369"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991</w:t>
            </w:r>
          </w:p>
        </w:tc>
        <w:tc>
          <w:tcPr>
            <w:tcW w:w="709" w:type="dxa"/>
            <w:tcBorders>
              <w:top w:val="nil"/>
              <w:left w:val="nil"/>
              <w:bottom w:val="nil"/>
              <w:right w:val="nil"/>
            </w:tcBorders>
            <w:vAlign w:val="bottom"/>
          </w:tcPr>
          <w:p w14:paraId="2E87EDC8"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170</w:t>
            </w:r>
          </w:p>
        </w:tc>
        <w:tc>
          <w:tcPr>
            <w:tcW w:w="708" w:type="dxa"/>
            <w:tcBorders>
              <w:top w:val="nil"/>
              <w:left w:val="nil"/>
              <w:bottom w:val="nil"/>
              <w:right w:val="nil"/>
            </w:tcBorders>
            <w:vAlign w:val="bottom"/>
          </w:tcPr>
          <w:p w14:paraId="2FB9D2B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730</w:t>
            </w:r>
          </w:p>
        </w:tc>
        <w:tc>
          <w:tcPr>
            <w:tcW w:w="709" w:type="dxa"/>
            <w:tcBorders>
              <w:top w:val="nil"/>
              <w:left w:val="nil"/>
              <w:bottom w:val="nil"/>
              <w:right w:val="nil"/>
            </w:tcBorders>
            <w:vAlign w:val="bottom"/>
          </w:tcPr>
          <w:p w14:paraId="06D4C39F"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900</w:t>
            </w:r>
          </w:p>
        </w:tc>
        <w:tc>
          <w:tcPr>
            <w:tcW w:w="709" w:type="dxa"/>
            <w:tcBorders>
              <w:top w:val="nil"/>
              <w:left w:val="nil"/>
              <w:bottom w:val="nil"/>
              <w:right w:val="nil"/>
            </w:tcBorders>
            <w:vAlign w:val="bottom"/>
          </w:tcPr>
          <w:p w14:paraId="2B614CC8"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140</w:t>
            </w:r>
          </w:p>
        </w:tc>
        <w:tc>
          <w:tcPr>
            <w:tcW w:w="709" w:type="dxa"/>
            <w:tcBorders>
              <w:top w:val="nil"/>
              <w:left w:val="nil"/>
              <w:bottom w:val="nil"/>
              <w:right w:val="nil"/>
            </w:tcBorders>
            <w:vAlign w:val="bottom"/>
          </w:tcPr>
          <w:p w14:paraId="4ECB59F7"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792</w:t>
            </w:r>
          </w:p>
        </w:tc>
        <w:tc>
          <w:tcPr>
            <w:tcW w:w="708" w:type="dxa"/>
            <w:tcBorders>
              <w:top w:val="nil"/>
              <w:left w:val="nil"/>
              <w:bottom w:val="nil"/>
              <w:right w:val="nil"/>
            </w:tcBorders>
            <w:vAlign w:val="bottom"/>
          </w:tcPr>
          <w:p w14:paraId="6A47333E"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932</w:t>
            </w:r>
          </w:p>
        </w:tc>
      </w:tr>
      <w:tr w:rsidR="00850E2C" w:rsidRPr="00D647AB" w14:paraId="11CB6C44" w14:textId="77777777" w:rsidTr="00D647AB">
        <w:tc>
          <w:tcPr>
            <w:tcW w:w="2127" w:type="dxa"/>
            <w:tcBorders>
              <w:top w:val="nil"/>
              <w:left w:val="nil"/>
              <w:bottom w:val="nil"/>
              <w:right w:val="nil"/>
            </w:tcBorders>
          </w:tcPr>
          <w:p w14:paraId="4D78C486" w14:textId="77777777" w:rsidR="00850E2C" w:rsidRPr="00D647AB" w:rsidRDefault="00850E2C" w:rsidP="00D647AB">
            <w:pPr>
              <w:suppressAutoHyphens w:val="0"/>
              <w:spacing w:before="40" w:after="40" w:line="220" w:lineRule="exact"/>
              <w:rPr>
                <w:sz w:val="18"/>
                <w:lang w:val="fr-FR"/>
              </w:rPr>
            </w:pPr>
            <w:r w:rsidRPr="00D647AB">
              <w:rPr>
                <w:sz w:val="18"/>
                <w:lang w:val="fr-FR"/>
              </w:rPr>
              <w:t>Economiques</w:t>
            </w:r>
          </w:p>
        </w:tc>
        <w:tc>
          <w:tcPr>
            <w:tcW w:w="709" w:type="dxa"/>
            <w:tcBorders>
              <w:top w:val="nil"/>
              <w:left w:val="nil"/>
              <w:bottom w:val="nil"/>
              <w:right w:val="nil"/>
            </w:tcBorders>
            <w:vAlign w:val="bottom"/>
          </w:tcPr>
          <w:p w14:paraId="2D181A47"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27</w:t>
            </w:r>
          </w:p>
        </w:tc>
        <w:tc>
          <w:tcPr>
            <w:tcW w:w="850" w:type="dxa"/>
            <w:tcBorders>
              <w:top w:val="nil"/>
              <w:left w:val="nil"/>
              <w:bottom w:val="nil"/>
              <w:right w:val="nil"/>
            </w:tcBorders>
            <w:vAlign w:val="bottom"/>
          </w:tcPr>
          <w:p w14:paraId="10B4E838"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605</w:t>
            </w:r>
          </w:p>
        </w:tc>
        <w:tc>
          <w:tcPr>
            <w:tcW w:w="709" w:type="dxa"/>
            <w:tcBorders>
              <w:top w:val="nil"/>
              <w:left w:val="nil"/>
              <w:bottom w:val="nil"/>
              <w:right w:val="nil"/>
            </w:tcBorders>
            <w:vAlign w:val="bottom"/>
          </w:tcPr>
          <w:p w14:paraId="073D5855"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632</w:t>
            </w:r>
          </w:p>
        </w:tc>
        <w:tc>
          <w:tcPr>
            <w:tcW w:w="850" w:type="dxa"/>
            <w:tcBorders>
              <w:top w:val="nil"/>
              <w:left w:val="nil"/>
              <w:bottom w:val="nil"/>
              <w:right w:val="nil"/>
            </w:tcBorders>
            <w:vAlign w:val="bottom"/>
          </w:tcPr>
          <w:p w14:paraId="577259E4"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34</w:t>
            </w:r>
          </w:p>
        </w:tc>
        <w:tc>
          <w:tcPr>
            <w:tcW w:w="709" w:type="dxa"/>
            <w:tcBorders>
              <w:top w:val="nil"/>
              <w:left w:val="nil"/>
              <w:bottom w:val="nil"/>
              <w:right w:val="nil"/>
            </w:tcBorders>
            <w:vAlign w:val="bottom"/>
          </w:tcPr>
          <w:p w14:paraId="58EF75B0"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570</w:t>
            </w:r>
          </w:p>
        </w:tc>
        <w:tc>
          <w:tcPr>
            <w:tcW w:w="709" w:type="dxa"/>
            <w:tcBorders>
              <w:top w:val="nil"/>
              <w:left w:val="nil"/>
              <w:bottom w:val="nil"/>
              <w:right w:val="nil"/>
            </w:tcBorders>
            <w:vAlign w:val="bottom"/>
          </w:tcPr>
          <w:p w14:paraId="7582D66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604</w:t>
            </w:r>
          </w:p>
        </w:tc>
        <w:tc>
          <w:tcPr>
            <w:tcW w:w="709" w:type="dxa"/>
            <w:tcBorders>
              <w:top w:val="nil"/>
              <w:left w:val="nil"/>
              <w:bottom w:val="nil"/>
              <w:right w:val="nil"/>
            </w:tcBorders>
            <w:vAlign w:val="bottom"/>
          </w:tcPr>
          <w:p w14:paraId="3768E63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24</w:t>
            </w:r>
          </w:p>
        </w:tc>
        <w:tc>
          <w:tcPr>
            <w:tcW w:w="708" w:type="dxa"/>
            <w:tcBorders>
              <w:top w:val="nil"/>
              <w:left w:val="nil"/>
              <w:bottom w:val="nil"/>
              <w:right w:val="nil"/>
            </w:tcBorders>
            <w:vAlign w:val="bottom"/>
          </w:tcPr>
          <w:p w14:paraId="4E55BFD9"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487</w:t>
            </w:r>
          </w:p>
        </w:tc>
        <w:tc>
          <w:tcPr>
            <w:tcW w:w="709" w:type="dxa"/>
            <w:tcBorders>
              <w:top w:val="nil"/>
              <w:left w:val="nil"/>
              <w:bottom w:val="nil"/>
              <w:right w:val="nil"/>
            </w:tcBorders>
            <w:vAlign w:val="bottom"/>
          </w:tcPr>
          <w:p w14:paraId="4AADD42E"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511</w:t>
            </w:r>
          </w:p>
        </w:tc>
        <w:tc>
          <w:tcPr>
            <w:tcW w:w="709" w:type="dxa"/>
            <w:tcBorders>
              <w:top w:val="nil"/>
              <w:left w:val="nil"/>
              <w:bottom w:val="nil"/>
              <w:right w:val="nil"/>
            </w:tcBorders>
            <w:vAlign w:val="bottom"/>
          </w:tcPr>
          <w:p w14:paraId="09B1B537"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25</w:t>
            </w:r>
          </w:p>
        </w:tc>
        <w:tc>
          <w:tcPr>
            <w:tcW w:w="709" w:type="dxa"/>
            <w:tcBorders>
              <w:top w:val="nil"/>
              <w:left w:val="nil"/>
              <w:bottom w:val="nil"/>
              <w:right w:val="nil"/>
            </w:tcBorders>
            <w:vAlign w:val="bottom"/>
          </w:tcPr>
          <w:p w14:paraId="0181C3EB"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489</w:t>
            </w:r>
          </w:p>
        </w:tc>
        <w:tc>
          <w:tcPr>
            <w:tcW w:w="708" w:type="dxa"/>
            <w:tcBorders>
              <w:top w:val="nil"/>
              <w:left w:val="nil"/>
              <w:bottom w:val="nil"/>
              <w:right w:val="nil"/>
            </w:tcBorders>
            <w:vAlign w:val="bottom"/>
          </w:tcPr>
          <w:p w14:paraId="6A45C60A"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514</w:t>
            </w:r>
          </w:p>
        </w:tc>
      </w:tr>
      <w:tr w:rsidR="00850E2C" w:rsidRPr="00D647AB" w14:paraId="5308EC88" w14:textId="77777777" w:rsidTr="00D647AB">
        <w:tc>
          <w:tcPr>
            <w:tcW w:w="2127" w:type="dxa"/>
            <w:tcBorders>
              <w:top w:val="nil"/>
              <w:left w:val="nil"/>
              <w:bottom w:val="nil"/>
              <w:right w:val="nil"/>
            </w:tcBorders>
          </w:tcPr>
          <w:p w14:paraId="44052A98" w14:textId="77777777" w:rsidR="00850E2C" w:rsidRPr="00D647AB" w:rsidRDefault="00850E2C" w:rsidP="00D647AB">
            <w:pPr>
              <w:suppressAutoHyphens w:val="0"/>
              <w:spacing w:before="40" w:after="40" w:line="220" w:lineRule="exact"/>
              <w:rPr>
                <w:sz w:val="18"/>
                <w:lang w:val="fr-FR"/>
              </w:rPr>
            </w:pPr>
            <w:r w:rsidRPr="00D647AB">
              <w:rPr>
                <w:sz w:val="18"/>
                <w:lang w:val="fr-FR"/>
              </w:rPr>
              <w:t>Sexuelles</w:t>
            </w:r>
          </w:p>
        </w:tc>
        <w:tc>
          <w:tcPr>
            <w:tcW w:w="709" w:type="dxa"/>
            <w:tcBorders>
              <w:top w:val="nil"/>
              <w:left w:val="nil"/>
              <w:bottom w:val="nil"/>
              <w:right w:val="nil"/>
            </w:tcBorders>
            <w:vAlign w:val="bottom"/>
          </w:tcPr>
          <w:p w14:paraId="153FE469"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07</w:t>
            </w:r>
          </w:p>
        </w:tc>
        <w:tc>
          <w:tcPr>
            <w:tcW w:w="850" w:type="dxa"/>
            <w:tcBorders>
              <w:top w:val="nil"/>
              <w:left w:val="nil"/>
              <w:bottom w:val="nil"/>
              <w:right w:val="nil"/>
            </w:tcBorders>
            <w:vAlign w:val="bottom"/>
          </w:tcPr>
          <w:p w14:paraId="4F2A45CB"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223</w:t>
            </w:r>
          </w:p>
        </w:tc>
        <w:tc>
          <w:tcPr>
            <w:tcW w:w="709" w:type="dxa"/>
            <w:tcBorders>
              <w:top w:val="nil"/>
              <w:left w:val="nil"/>
              <w:bottom w:val="nil"/>
              <w:right w:val="nil"/>
            </w:tcBorders>
            <w:vAlign w:val="bottom"/>
          </w:tcPr>
          <w:p w14:paraId="23C458A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230</w:t>
            </w:r>
          </w:p>
        </w:tc>
        <w:tc>
          <w:tcPr>
            <w:tcW w:w="850" w:type="dxa"/>
            <w:tcBorders>
              <w:top w:val="nil"/>
              <w:left w:val="nil"/>
              <w:bottom w:val="nil"/>
              <w:right w:val="nil"/>
            </w:tcBorders>
            <w:vAlign w:val="bottom"/>
          </w:tcPr>
          <w:p w14:paraId="3E8B068B"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31</w:t>
            </w:r>
          </w:p>
        </w:tc>
        <w:tc>
          <w:tcPr>
            <w:tcW w:w="709" w:type="dxa"/>
            <w:tcBorders>
              <w:top w:val="nil"/>
              <w:left w:val="nil"/>
              <w:bottom w:val="nil"/>
              <w:right w:val="nil"/>
            </w:tcBorders>
            <w:vAlign w:val="bottom"/>
          </w:tcPr>
          <w:p w14:paraId="7686DB95"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302</w:t>
            </w:r>
          </w:p>
        </w:tc>
        <w:tc>
          <w:tcPr>
            <w:tcW w:w="709" w:type="dxa"/>
            <w:tcBorders>
              <w:top w:val="nil"/>
              <w:left w:val="nil"/>
              <w:bottom w:val="nil"/>
              <w:right w:val="nil"/>
            </w:tcBorders>
            <w:vAlign w:val="bottom"/>
          </w:tcPr>
          <w:p w14:paraId="2EA2E235"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333</w:t>
            </w:r>
          </w:p>
        </w:tc>
        <w:tc>
          <w:tcPr>
            <w:tcW w:w="709" w:type="dxa"/>
            <w:tcBorders>
              <w:top w:val="nil"/>
              <w:left w:val="nil"/>
              <w:bottom w:val="nil"/>
              <w:right w:val="nil"/>
            </w:tcBorders>
            <w:vAlign w:val="bottom"/>
          </w:tcPr>
          <w:p w14:paraId="39CCE77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26</w:t>
            </w:r>
          </w:p>
        </w:tc>
        <w:tc>
          <w:tcPr>
            <w:tcW w:w="708" w:type="dxa"/>
            <w:tcBorders>
              <w:top w:val="nil"/>
              <w:left w:val="nil"/>
              <w:bottom w:val="nil"/>
              <w:right w:val="nil"/>
            </w:tcBorders>
            <w:vAlign w:val="bottom"/>
          </w:tcPr>
          <w:p w14:paraId="04D9974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198</w:t>
            </w:r>
          </w:p>
        </w:tc>
        <w:tc>
          <w:tcPr>
            <w:tcW w:w="709" w:type="dxa"/>
            <w:tcBorders>
              <w:top w:val="nil"/>
              <w:left w:val="nil"/>
              <w:bottom w:val="nil"/>
              <w:right w:val="nil"/>
            </w:tcBorders>
            <w:vAlign w:val="bottom"/>
          </w:tcPr>
          <w:p w14:paraId="2A8C6138"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224</w:t>
            </w:r>
          </w:p>
        </w:tc>
        <w:tc>
          <w:tcPr>
            <w:tcW w:w="709" w:type="dxa"/>
            <w:tcBorders>
              <w:top w:val="nil"/>
              <w:left w:val="nil"/>
              <w:bottom w:val="nil"/>
              <w:right w:val="nil"/>
            </w:tcBorders>
            <w:vAlign w:val="bottom"/>
          </w:tcPr>
          <w:p w14:paraId="667A7B8E"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29</w:t>
            </w:r>
          </w:p>
        </w:tc>
        <w:tc>
          <w:tcPr>
            <w:tcW w:w="709" w:type="dxa"/>
            <w:tcBorders>
              <w:top w:val="nil"/>
              <w:left w:val="nil"/>
              <w:bottom w:val="nil"/>
              <w:right w:val="nil"/>
            </w:tcBorders>
            <w:vAlign w:val="bottom"/>
          </w:tcPr>
          <w:p w14:paraId="03E2EB1A"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365</w:t>
            </w:r>
          </w:p>
        </w:tc>
        <w:tc>
          <w:tcPr>
            <w:tcW w:w="708" w:type="dxa"/>
            <w:tcBorders>
              <w:top w:val="nil"/>
              <w:left w:val="nil"/>
              <w:bottom w:val="nil"/>
              <w:right w:val="nil"/>
            </w:tcBorders>
            <w:vAlign w:val="bottom"/>
          </w:tcPr>
          <w:p w14:paraId="3362093B"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394</w:t>
            </w:r>
          </w:p>
        </w:tc>
      </w:tr>
      <w:tr w:rsidR="00850E2C" w:rsidRPr="00D647AB" w14:paraId="32047434" w14:textId="77777777" w:rsidTr="00D647AB">
        <w:tc>
          <w:tcPr>
            <w:tcW w:w="2127" w:type="dxa"/>
            <w:tcBorders>
              <w:top w:val="nil"/>
              <w:left w:val="nil"/>
              <w:bottom w:val="nil"/>
              <w:right w:val="nil"/>
            </w:tcBorders>
          </w:tcPr>
          <w:p w14:paraId="1866FDEB" w14:textId="77777777" w:rsidR="00850E2C" w:rsidRPr="00D647AB" w:rsidRDefault="00850E2C" w:rsidP="00D647AB">
            <w:pPr>
              <w:suppressAutoHyphens w:val="0"/>
              <w:spacing w:before="40" w:after="40" w:line="220" w:lineRule="exact"/>
              <w:rPr>
                <w:sz w:val="18"/>
                <w:lang w:val="fr-FR"/>
              </w:rPr>
            </w:pPr>
            <w:r w:rsidRPr="00D647AB">
              <w:rPr>
                <w:sz w:val="18"/>
                <w:lang w:val="fr-FR"/>
              </w:rPr>
              <w:t>Institutionnalisées</w:t>
            </w:r>
          </w:p>
        </w:tc>
        <w:tc>
          <w:tcPr>
            <w:tcW w:w="709" w:type="dxa"/>
            <w:tcBorders>
              <w:top w:val="nil"/>
              <w:left w:val="nil"/>
              <w:bottom w:val="nil"/>
              <w:right w:val="nil"/>
            </w:tcBorders>
            <w:vAlign w:val="bottom"/>
          </w:tcPr>
          <w:p w14:paraId="4227D20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07</w:t>
            </w:r>
          </w:p>
        </w:tc>
        <w:tc>
          <w:tcPr>
            <w:tcW w:w="850" w:type="dxa"/>
            <w:tcBorders>
              <w:top w:val="nil"/>
              <w:left w:val="nil"/>
              <w:bottom w:val="nil"/>
              <w:right w:val="nil"/>
            </w:tcBorders>
            <w:vAlign w:val="bottom"/>
          </w:tcPr>
          <w:p w14:paraId="0CB2009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65</w:t>
            </w:r>
          </w:p>
        </w:tc>
        <w:tc>
          <w:tcPr>
            <w:tcW w:w="709" w:type="dxa"/>
            <w:tcBorders>
              <w:top w:val="nil"/>
              <w:left w:val="nil"/>
              <w:bottom w:val="nil"/>
              <w:right w:val="nil"/>
            </w:tcBorders>
            <w:vAlign w:val="bottom"/>
          </w:tcPr>
          <w:p w14:paraId="23CE29E1"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72</w:t>
            </w:r>
          </w:p>
        </w:tc>
        <w:tc>
          <w:tcPr>
            <w:tcW w:w="850" w:type="dxa"/>
            <w:tcBorders>
              <w:top w:val="nil"/>
              <w:left w:val="nil"/>
              <w:bottom w:val="nil"/>
              <w:right w:val="nil"/>
            </w:tcBorders>
            <w:vAlign w:val="bottom"/>
          </w:tcPr>
          <w:p w14:paraId="372961F9"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30</w:t>
            </w:r>
          </w:p>
        </w:tc>
        <w:tc>
          <w:tcPr>
            <w:tcW w:w="709" w:type="dxa"/>
            <w:tcBorders>
              <w:top w:val="nil"/>
              <w:left w:val="nil"/>
              <w:bottom w:val="nil"/>
              <w:right w:val="nil"/>
            </w:tcBorders>
            <w:vAlign w:val="bottom"/>
          </w:tcPr>
          <w:p w14:paraId="49A06100"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174</w:t>
            </w:r>
          </w:p>
        </w:tc>
        <w:tc>
          <w:tcPr>
            <w:tcW w:w="709" w:type="dxa"/>
            <w:tcBorders>
              <w:top w:val="nil"/>
              <w:left w:val="nil"/>
              <w:bottom w:val="nil"/>
              <w:right w:val="nil"/>
            </w:tcBorders>
            <w:vAlign w:val="bottom"/>
          </w:tcPr>
          <w:p w14:paraId="28B62B25"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204</w:t>
            </w:r>
          </w:p>
        </w:tc>
        <w:tc>
          <w:tcPr>
            <w:tcW w:w="709" w:type="dxa"/>
            <w:tcBorders>
              <w:top w:val="nil"/>
              <w:left w:val="nil"/>
              <w:bottom w:val="nil"/>
              <w:right w:val="nil"/>
            </w:tcBorders>
            <w:vAlign w:val="bottom"/>
          </w:tcPr>
          <w:p w14:paraId="6FA204BA"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23</w:t>
            </w:r>
          </w:p>
        </w:tc>
        <w:tc>
          <w:tcPr>
            <w:tcW w:w="708" w:type="dxa"/>
            <w:tcBorders>
              <w:top w:val="nil"/>
              <w:left w:val="nil"/>
              <w:bottom w:val="nil"/>
              <w:right w:val="nil"/>
            </w:tcBorders>
            <w:vAlign w:val="bottom"/>
          </w:tcPr>
          <w:p w14:paraId="359C4F0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117</w:t>
            </w:r>
          </w:p>
        </w:tc>
        <w:tc>
          <w:tcPr>
            <w:tcW w:w="709" w:type="dxa"/>
            <w:tcBorders>
              <w:top w:val="nil"/>
              <w:left w:val="nil"/>
              <w:bottom w:val="nil"/>
              <w:right w:val="nil"/>
            </w:tcBorders>
            <w:vAlign w:val="bottom"/>
          </w:tcPr>
          <w:p w14:paraId="48918CC0"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140</w:t>
            </w:r>
          </w:p>
        </w:tc>
        <w:tc>
          <w:tcPr>
            <w:tcW w:w="709" w:type="dxa"/>
            <w:tcBorders>
              <w:top w:val="nil"/>
              <w:left w:val="nil"/>
              <w:bottom w:val="nil"/>
              <w:right w:val="nil"/>
            </w:tcBorders>
            <w:vAlign w:val="bottom"/>
          </w:tcPr>
          <w:p w14:paraId="12D1723A"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8</w:t>
            </w:r>
          </w:p>
        </w:tc>
        <w:tc>
          <w:tcPr>
            <w:tcW w:w="709" w:type="dxa"/>
            <w:tcBorders>
              <w:top w:val="nil"/>
              <w:left w:val="nil"/>
              <w:bottom w:val="nil"/>
              <w:right w:val="nil"/>
            </w:tcBorders>
            <w:vAlign w:val="bottom"/>
          </w:tcPr>
          <w:p w14:paraId="0817D1B2"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117</w:t>
            </w:r>
          </w:p>
        </w:tc>
        <w:tc>
          <w:tcPr>
            <w:tcW w:w="708" w:type="dxa"/>
            <w:tcBorders>
              <w:top w:val="nil"/>
              <w:left w:val="nil"/>
              <w:bottom w:val="nil"/>
              <w:right w:val="nil"/>
            </w:tcBorders>
            <w:vAlign w:val="bottom"/>
          </w:tcPr>
          <w:p w14:paraId="14D45D1A"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125</w:t>
            </w:r>
          </w:p>
        </w:tc>
      </w:tr>
      <w:tr w:rsidR="00850E2C" w:rsidRPr="00D647AB" w14:paraId="5C6BC2DE" w14:textId="77777777" w:rsidTr="00D647AB">
        <w:tc>
          <w:tcPr>
            <w:tcW w:w="2127" w:type="dxa"/>
            <w:tcBorders>
              <w:top w:val="nil"/>
              <w:left w:val="nil"/>
              <w:bottom w:val="nil"/>
              <w:right w:val="nil"/>
            </w:tcBorders>
          </w:tcPr>
          <w:p w14:paraId="6FEACCD9" w14:textId="77777777" w:rsidR="00850E2C" w:rsidRPr="00D647AB" w:rsidRDefault="00850E2C" w:rsidP="00D647AB">
            <w:pPr>
              <w:suppressAutoHyphens w:val="0"/>
              <w:spacing w:before="40" w:after="40" w:line="220" w:lineRule="exact"/>
              <w:rPr>
                <w:sz w:val="18"/>
                <w:lang w:val="fr-FR"/>
              </w:rPr>
            </w:pPr>
            <w:r w:rsidRPr="00D647AB">
              <w:rPr>
                <w:sz w:val="18"/>
                <w:lang w:val="fr-FR"/>
              </w:rPr>
              <w:t>Viol</w:t>
            </w:r>
          </w:p>
        </w:tc>
        <w:tc>
          <w:tcPr>
            <w:tcW w:w="709" w:type="dxa"/>
            <w:tcBorders>
              <w:top w:val="nil"/>
              <w:left w:val="nil"/>
              <w:bottom w:val="nil"/>
              <w:right w:val="nil"/>
            </w:tcBorders>
            <w:vAlign w:val="bottom"/>
          </w:tcPr>
          <w:p w14:paraId="1DC1987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2703F6C3"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18</w:t>
            </w:r>
          </w:p>
        </w:tc>
        <w:tc>
          <w:tcPr>
            <w:tcW w:w="709" w:type="dxa"/>
            <w:tcBorders>
              <w:top w:val="nil"/>
              <w:left w:val="nil"/>
              <w:bottom w:val="nil"/>
              <w:right w:val="nil"/>
            </w:tcBorders>
            <w:vAlign w:val="bottom"/>
          </w:tcPr>
          <w:p w14:paraId="5E1E5A4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18</w:t>
            </w:r>
          </w:p>
        </w:tc>
        <w:tc>
          <w:tcPr>
            <w:tcW w:w="850" w:type="dxa"/>
            <w:tcBorders>
              <w:top w:val="nil"/>
              <w:left w:val="nil"/>
              <w:bottom w:val="nil"/>
              <w:right w:val="nil"/>
            </w:tcBorders>
            <w:vAlign w:val="bottom"/>
          </w:tcPr>
          <w:p w14:paraId="4D7A1B8D"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607FCE2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58</w:t>
            </w:r>
          </w:p>
        </w:tc>
        <w:tc>
          <w:tcPr>
            <w:tcW w:w="709" w:type="dxa"/>
            <w:tcBorders>
              <w:top w:val="nil"/>
              <w:left w:val="nil"/>
              <w:bottom w:val="nil"/>
              <w:right w:val="nil"/>
            </w:tcBorders>
            <w:vAlign w:val="bottom"/>
          </w:tcPr>
          <w:p w14:paraId="2215B260"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58</w:t>
            </w:r>
          </w:p>
        </w:tc>
        <w:tc>
          <w:tcPr>
            <w:tcW w:w="709" w:type="dxa"/>
            <w:tcBorders>
              <w:top w:val="nil"/>
              <w:left w:val="nil"/>
              <w:bottom w:val="nil"/>
              <w:right w:val="nil"/>
            </w:tcBorders>
            <w:vAlign w:val="bottom"/>
          </w:tcPr>
          <w:p w14:paraId="3568C36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8" w:type="dxa"/>
            <w:tcBorders>
              <w:top w:val="nil"/>
              <w:left w:val="nil"/>
              <w:bottom w:val="nil"/>
              <w:right w:val="nil"/>
            </w:tcBorders>
            <w:vAlign w:val="bottom"/>
          </w:tcPr>
          <w:p w14:paraId="0F1DE911"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56</w:t>
            </w:r>
          </w:p>
        </w:tc>
        <w:tc>
          <w:tcPr>
            <w:tcW w:w="709" w:type="dxa"/>
            <w:tcBorders>
              <w:top w:val="nil"/>
              <w:left w:val="nil"/>
              <w:bottom w:val="nil"/>
              <w:right w:val="nil"/>
            </w:tcBorders>
            <w:vAlign w:val="bottom"/>
          </w:tcPr>
          <w:p w14:paraId="0982FB0F"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56</w:t>
            </w:r>
          </w:p>
        </w:tc>
        <w:tc>
          <w:tcPr>
            <w:tcW w:w="709" w:type="dxa"/>
            <w:tcBorders>
              <w:top w:val="nil"/>
              <w:left w:val="nil"/>
              <w:bottom w:val="nil"/>
              <w:right w:val="nil"/>
            </w:tcBorders>
            <w:vAlign w:val="bottom"/>
          </w:tcPr>
          <w:p w14:paraId="00E625AD"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00</w:t>
            </w:r>
          </w:p>
        </w:tc>
        <w:tc>
          <w:tcPr>
            <w:tcW w:w="709" w:type="dxa"/>
            <w:tcBorders>
              <w:top w:val="nil"/>
              <w:left w:val="nil"/>
              <w:bottom w:val="nil"/>
              <w:right w:val="nil"/>
            </w:tcBorders>
            <w:vAlign w:val="bottom"/>
          </w:tcPr>
          <w:p w14:paraId="18400C4E"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41</w:t>
            </w:r>
          </w:p>
        </w:tc>
        <w:tc>
          <w:tcPr>
            <w:tcW w:w="708" w:type="dxa"/>
            <w:tcBorders>
              <w:top w:val="nil"/>
              <w:left w:val="nil"/>
              <w:bottom w:val="nil"/>
              <w:right w:val="nil"/>
            </w:tcBorders>
            <w:vAlign w:val="bottom"/>
          </w:tcPr>
          <w:p w14:paraId="6C24D77D"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41</w:t>
            </w:r>
          </w:p>
        </w:tc>
      </w:tr>
      <w:tr w:rsidR="00850E2C" w:rsidRPr="00D647AB" w14:paraId="344C5EA3" w14:textId="77777777" w:rsidTr="00D647AB">
        <w:tc>
          <w:tcPr>
            <w:tcW w:w="2127" w:type="dxa"/>
            <w:tcBorders>
              <w:top w:val="nil"/>
              <w:left w:val="nil"/>
              <w:bottom w:val="nil"/>
              <w:right w:val="nil"/>
            </w:tcBorders>
          </w:tcPr>
          <w:p w14:paraId="2D1FA8D3" w14:textId="77777777" w:rsidR="00850E2C" w:rsidRPr="00D647AB" w:rsidRDefault="00850E2C" w:rsidP="00D647AB">
            <w:pPr>
              <w:suppressAutoHyphens w:val="0"/>
              <w:spacing w:before="40" w:after="40" w:line="220" w:lineRule="exact"/>
              <w:rPr>
                <w:sz w:val="18"/>
                <w:lang w:val="fr-FR"/>
              </w:rPr>
            </w:pPr>
            <w:r w:rsidRPr="00D647AB">
              <w:rPr>
                <w:sz w:val="18"/>
                <w:lang w:val="fr-FR"/>
              </w:rPr>
              <w:t>Pédophilie</w:t>
            </w:r>
          </w:p>
        </w:tc>
        <w:tc>
          <w:tcPr>
            <w:tcW w:w="709" w:type="dxa"/>
            <w:tcBorders>
              <w:top w:val="nil"/>
              <w:left w:val="nil"/>
              <w:bottom w:val="nil"/>
              <w:right w:val="nil"/>
            </w:tcBorders>
            <w:vAlign w:val="bottom"/>
          </w:tcPr>
          <w:p w14:paraId="329C68E4"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3570BC2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40F02A3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58917E30"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60A2E654"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12</w:t>
            </w:r>
          </w:p>
        </w:tc>
        <w:tc>
          <w:tcPr>
            <w:tcW w:w="709" w:type="dxa"/>
            <w:tcBorders>
              <w:top w:val="nil"/>
              <w:left w:val="nil"/>
              <w:bottom w:val="nil"/>
              <w:right w:val="nil"/>
            </w:tcBorders>
            <w:vAlign w:val="bottom"/>
          </w:tcPr>
          <w:p w14:paraId="646B1E1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12</w:t>
            </w:r>
          </w:p>
        </w:tc>
        <w:tc>
          <w:tcPr>
            <w:tcW w:w="709" w:type="dxa"/>
            <w:tcBorders>
              <w:top w:val="nil"/>
              <w:left w:val="nil"/>
              <w:bottom w:val="nil"/>
              <w:right w:val="nil"/>
            </w:tcBorders>
            <w:vAlign w:val="bottom"/>
          </w:tcPr>
          <w:p w14:paraId="7C6F83E5"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8" w:type="dxa"/>
            <w:tcBorders>
              <w:top w:val="nil"/>
              <w:left w:val="nil"/>
              <w:bottom w:val="nil"/>
              <w:right w:val="nil"/>
            </w:tcBorders>
            <w:vAlign w:val="bottom"/>
          </w:tcPr>
          <w:p w14:paraId="5D23D2F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07</w:t>
            </w:r>
          </w:p>
        </w:tc>
        <w:tc>
          <w:tcPr>
            <w:tcW w:w="709" w:type="dxa"/>
            <w:tcBorders>
              <w:top w:val="nil"/>
              <w:left w:val="nil"/>
              <w:bottom w:val="nil"/>
              <w:right w:val="nil"/>
            </w:tcBorders>
            <w:vAlign w:val="bottom"/>
          </w:tcPr>
          <w:p w14:paraId="4261216D"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07</w:t>
            </w:r>
          </w:p>
        </w:tc>
        <w:tc>
          <w:tcPr>
            <w:tcW w:w="709" w:type="dxa"/>
            <w:tcBorders>
              <w:top w:val="nil"/>
              <w:left w:val="nil"/>
              <w:bottom w:val="nil"/>
              <w:right w:val="nil"/>
            </w:tcBorders>
            <w:vAlign w:val="bottom"/>
          </w:tcPr>
          <w:p w14:paraId="234C2851"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00</w:t>
            </w:r>
          </w:p>
        </w:tc>
        <w:tc>
          <w:tcPr>
            <w:tcW w:w="709" w:type="dxa"/>
            <w:tcBorders>
              <w:top w:val="nil"/>
              <w:left w:val="nil"/>
              <w:bottom w:val="nil"/>
              <w:right w:val="nil"/>
            </w:tcBorders>
            <w:vAlign w:val="bottom"/>
          </w:tcPr>
          <w:p w14:paraId="3BB37D79"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26</w:t>
            </w:r>
          </w:p>
        </w:tc>
        <w:tc>
          <w:tcPr>
            <w:tcW w:w="708" w:type="dxa"/>
            <w:tcBorders>
              <w:top w:val="nil"/>
              <w:left w:val="nil"/>
              <w:bottom w:val="nil"/>
              <w:right w:val="nil"/>
            </w:tcBorders>
            <w:vAlign w:val="bottom"/>
          </w:tcPr>
          <w:p w14:paraId="6FE160D2"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26</w:t>
            </w:r>
          </w:p>
        </w:tc>
      </w:tr>
      <w:tr w:rsidR="00850E2C" w:rsidRPr="00D647AB" w14:paraId="0D648DDA" w14:textId="77777777" w:rsidTr="00D647AB">
        <w:tc>
          <w:tcPr>
            <w:tcW w:w="2127" w:type="dxa"/>
            <w:tcBorders>
              <w:top w:val="nil"/>
              <w:left w:val="nil"/>
              <w:bottom w:val="nil"/>
              <w:right w:val="nil"/>
            </w:tcBorders>
          </w:tcPr>
          <w:p w14:paraId="70D760EA" w14:textId="77777777" w:rsidR="00850E2C" w:rsidRPr="00D647AB" w:rsidRDefault="00850E2C" w:rsidP="00D647AB">
            <w:pPr>
              <w:suppressAutoHyphens w:val="0"/>
              <w:spacing w:before="40" w:after="40" w:line="220" w:lineRule="exact"/>
              <w:rPr>
                <w:sz w:val="18"/>
                <w:lang w:val="fr-FR"/>
              </w:rPr>
            </w:pPr>
            <w:r w:rsidRPr="00D647AB">
              <w:rPr>
                <w:sz w:val="18"/>
                <w:lang w:val="fr-FR"/>
              </w:rPr>
              <w:t>Inceste</w:t>
            </w:r>
          </w:p>
        </w:tc>
        <w:tc>
          <w:tcPr>
            <w:tcW w:w="709" w:type="dxa"/>
            <w:tcBorders>
              <w:top w:val="nil"/>
              <w:left w:val="nil"/>
              <w:bottom w:val="nil"/>
              <w:right w:val="nil"/>
            </w:tcBorders>
            <w:vAlign w:val="bottom"/>
          </w:tcPr>
          <w:p w14:paraId="11ADD8B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555F8094"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4BD48C0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340CAF5A"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65AFDC1F"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09</w:t>
            </w:r>
          </w:p>
        </w:tc>
        <w:tc>
          <w:tcPr>
            <w:tcW w:w="709" w:type="dxa"/>
            <w:tcBorders>
              <w:top w:val="nil"/>
              <w:left w:val="nil"/>
              <w:bottom w:val="nil"/>
              <w:right w:val="nil"/>
            </w:tcBorders>
            <w:vAlign w:val="bottom"/>
          </w:tcPr>
          <w:p w14:paraId="269C7598"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09</w:t>
            </w:r>
          </w:p>
        </w:tc>
        <w:tc>
          <w:tcPr>
            <w:tcW w:w="709" w:type="dxa"/>
            <w:tcBorders>
              <w:top w:val="nil"/>
              <w:left w:val="nil"/>
              <w:bottom w:val="nil"/>
              <w:right w:val="nil"/>
            </w:tcBorders>
            <w:vAlign w:val="bottom"/>
          </w:tcPr>
          <w:p w14:paraId="5B580403"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8" w:type="dxa"/>
            <w:tcBorders>
              <w:top w:val="nil"/>
              <w:left w:val="nil"/>
              <w:bottom w:val="nil"/>
              <w:right w:val="nil"/>
            </w:tcBorders>
            <w:vAlign w:val="bottom"/>
          </w:tcPr>
          <w:p w14:paraId="5A9EBEFB"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08</w:t>
            </w:r>
          </w:p>
        </w:tc>
        <w:tc>
          <w:tcPr>
            <w:tcW w:w="709" w:type="dxa"/>
            <w:tcBorders>
              <w:top w:val="nil"/>
              <w:left w:val="nil"/>
              <w:bottom w:val="nil"/>
              <w:right w:val="nil"/>
            </w:tcBorders>
            <w:vAlign w:val="bottom"/>
          </w:tcPr>
          <w:p w14:paraId="17117F80"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08</w:t>
            </w:r>
          </w:p>
        </w:tc>
        <w:tc>
          <w:tcPr>
            <w:tcW w:w="709" w:type="dxa"/>
            <w:tcBorders>
              <w:top w:val="nil"/>
              <w:left w:val="nil"/>
              <w:bottom w:val="nil"/>
              <w:right w:val="nil"/>
            </w:tcBorders>
            <w:vAlign w:val="bottom"/>
          </w:tcPr>
          <w:p w14:paraId="1554FC96"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00</w:t>
            </w:r>
          </w:p>
        </w:tc>
        <w:tc>
          <w:tcPr>
            <w:tcW w:w="709" w:type="dxa"/>
            <w:tcBorders>
              <w:top w:val="nil"/>
              <w:left w:val="nil"/>
              <w:bottom w:val="nil"/>
              <w:right w:val="nil"/>
            </w:tcBorders>
            <w:vAlign w:val="bottom"/>
          </w:tcPr>
          <w:p w14:paraId="786ACAF9"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15</w:t>
            </w:r>
          </w:p>
        </w:tc>
        <w:tc>
          <w:tcPr>
            <w:tcW w:w="708" w:type="dxa"/>
            <w:tcBorders>
              <w:top w:val="nil"/>
              <w:left w:val="nil"/>
              <w:bottom w:val="nil"/>
              <w:right w:val="nil"/>
            </w:tcBorders>
            <w:vAlign w:val="bottom"/>
          </w:tcPr>
          <w:p w14:paraId="33F9B369"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15</w:t>
            </w:r>
          </w:p>
        </w:tc>
      </w:tr>
      <w:tr w:rsidR="00850E2C" w:rsidRPr="00D647AB" w14:paraId="0575F792" w14:textId="77777777" w:rsidTr="00D647AB">
        <w:tc>
          <w:tcPr>
            <w:tcW w:w="2127" w:type="dxa"/>
            <w:tcBorders>
              <w:top w:val="nil"/>
              <w:left w:val="nil"/>
              <w:bottom w:val="nil"/>
              <w:right w:val="nil"/>
            </w:tcBorders>
          </w:tcPr>
          <w:p w14:paraId="65A29B57" w14:textId="77777777" w:rsidR="00850E2C" w:rsidRPr="00D647AB" w:rsidRDefault="00850E2C" w:rsidP="00D647AB">
            <w:pPr>
              <w:suppressAutoHyphens w:val="0"/>
              <w:spacing w:before="40" w:after="40" w:line="220" w:lineRule="exact"/>
              <w:rPr>
                <w:sz w:val="18"/>
                <w:lang w:val="fr-FR"/>
              </w:rPr>
            </w:pPr>
            <w:r w:rsidRPr="00D647AB">
              <w:rPr>
                <w:sz w:val="18"/>
                <w:lang w:val="fr-FR"/>
              </w:rPr>
              <w:t>Grossesses précoces</w:t>
            </w:r>
          </w:p>
        </w:tc>
        <w:tc>
          <w:tcPr>
            <w:tcW w:w="709" w:type="dxa"/>
            <w:tcBorders>
              <w:top w:val="nil"/>
              <w:left w:val="nil"/>
              <w:bottom w:val="nil"/>
              <w:right w:val="nil"/>
            </w:tcBorders>
            <w:vAlign w:val="bottom"/>
          </w:tcPr>
          <w:p w14:paraId="2A2E4CD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4D45E390"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62</w:t>
            </w:r>
          </w:p>
        </w:tc>
        <w:tc>
          <w:tcPr>
            <w:tcW w:w="709" w:type="dxa"/>
            <w:tcBorders>
              <w:top w:val="nil"/>
              <w:left w:val="nil"/>
              <w:bottom w:val="nil"/>
              <w:right w:val="nil"/>
            </w:tcBorders>
            <w:vAlign w:val="bottom"/>
          </w:tcPr>
          <w:p w14:paraId="0D37EBE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62</w:t>
            </w:r>
          </w:p>
        </w:tc>
        <w:tc>
          <w:tcPr>
            <w:tcW w:w="850" w:type="dxa"/>
            <w:tcBorders>
              <w:top w:val="nil"/>
              <w:left w:val="nil"/>
              <w:bottom w:val="nil"/>
              <w:right w:val="nil"/>
            </w:tcBorders>
            <w:vAlign w:val="bottom"/>
          </w:tcPr>
          <w:p w14:paraId="35618F34"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7ABF7DA7"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19</w:t>
            </w:r>
          </w:p>
        </w:tc>
        <w:tc>
          <w:tcPr>
            <w:tcW w:w="709" w:type="dxa"/>
            <w:tcBorders>
              <w:top w:val="nil"/>
              <w:left w:val="nil"/>
              <w:bottom w:val="nil"/>
              <w:right w:val="nil"/>
            </w:tcBorders>
            <w:vAlign w:val="bottom"/>
          </w:tcPr>
          <w:p w14:paraId="1F445F9D"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19</w:t>
            </w:r>
          </w:p>
        </w:tc>
        <w:tc>
          <w:tcPr>
            <w:tcW w:w="709" w:type="dxa"/>
            <w:tcBorders>
              <w:top w:val="nil"/>
              <w:left w:val="nil"/>
              <w:bottom w:val="nil"/>
              <w:right w:val="nil"/>
            </w:tcBorders>
            <w:vAlign w:val="bottom"/>
          </w:tcPr>
          <w:p w14:paraId="1D14CBE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8" w:type="dxa"/>
            <w:tcBorders>
              <w:top w:val="nil"/>
              <w:left w:val="nil"/>
              <w:bottom w:val="nil"/>
              <w:right w:val="nil"/>
            </w:tcBorders>
            <w:vAlign w:val="bottom"/>
          </w:tcPr>
          <w:p w14:paraId="41DF036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23</w:t>
            </w:r>
          </w:p>
        </w:tc>
        <w:tc>
          <w:tcPr>
            <w:tcW w:w="709" w:type="dxa"/>
            <w:tcBorders>
              <w:top w:val="nil"/>
              <w:left w:val="nil"/>
              <w:bottom w:val="nil"/>
              <w:right w:val="nil"/>
            </w:tcBorders>
            <w:vAlign w:val="bottom"/>
          </w:tcPr>
          <w:p w14:paraId="23937ABD"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23</w:t>
            </w:r>
          </w:p>
        </w:tc>
        <w:tc>
          <w:tcPr>
            <w:tcW w:w="709" w:type="dxa"/>
            <w:tcBorders>
              <w:top w:val="nil"/>
              <w:left w:val="nil"/>
              <w:bottom w:val="nil"/>
              <w:right w:val="nil"/>
            </w:tcBorders>
            <w:vAlign w:val="bottom"/>
          </w:tcPr>
          <w:p w14:paraId="6BD86E16"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00</w:t>
            </w:r>
          </w:p>
        </w:tc>
        <w:tc>
          <w:tcPr>
            <w:tcW w:w="709" w:type="dxa"/>
            <w:tcBorders>
              <w:top w:val="nil"/>
              <w:left w:val="nil"/>
              <w:bottom w:val="nil"/>
              <w:right w:val="nil"/>
            </w:tcBorders>
            <w:vAlign w:val="bottom"/>
          </w:tcPr>
          <w:p w14:paraId="6904427E"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33</w:t>
            </w:r>
          </w:p>
        </w:tc>
        <w:tc>
          <w:tcPr>
            <w:tcW w:w="708" w:type="dxa"/>
            <w:tcBorders>
              <w:top w:val="nil"/>
              <w:left w:val="nil"/>
              <w:bottom w:val="nil"/>
              <w:right w:val="nil"/>
            </w:tcBorders>
            <w:vAlign w:val="bottom"/>
          </w:tcPr>
          <w:p w14:paraId="6377C964"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33</w:t>
            </w:r>
          </w:p>
        </w:tc>
      </w:tr>
      <w:tr w:rsidR="00850E2C" w:rsidRPr="00D647AB" w14:paraId="37AFB038" w14:textId="77777777" w:rsidTr="00D647AB">
        <w:tc>
          <w:tcPr>
            <w:tcW w:w="2127" w:type="dxa"/>
            <w:tcBorders>
              <w:top w:val="nil"/>
              <w:left w:val="nil"/>
              <w:bottom w:val="nil"/>
              <w:right w:val="nil"/>
            </w:tcBorders>
          </w:tcPr>
          <w:p w14:paraId="19A74148" w14:textId="77777777" w:rsidR="00850E2C" w:rsidRPr="00D647AB" w:rsidRDefault="00850E2C" w:rsidP="00D647AB">
            <w:pPr>
              <w:suppressAutoHyphens w:val="0"/>
              <w:spacing w:before="40" w:after="40" w:line="220" w:lineRule="exact"/>
              <w:rPr>
                <w:sz w:val="18"/>
                <w:lang w:val="fr-FR"/>
              </w:rPr>
            </w:pPr>
            <w:r w:rsidRPr="00D647AB">
              <w:rPr>
                <w:sz w:val="18"/>
                <w:lang w:val="fr-FR"/>
              </w:rPr>
              <w:t>Mariages forcés/précoces</w:t>
            </w:r>
          </w:p>
        </w:tc>
        <w:tc>
          <w:tcPr>
            <w:tcW w:w="709" w:type="dxa"/>
            <w:tcBorders>
              <w:top w:val="nil"/>
              <w:left w:val="nil"/>
              <w:bottom w:val="nil"/>
              <w:right w:val="nil"/>
            </w:tcBorders>
            <w:vAlign w:val="bottom"/>
          </w:tcPr>
          <w:p w14:paraId="4080253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850" w:type="dxa"/>
            <w:tcBorders>
              <w:top w:val="nil"/>
              <w:left w:val="nil"/>
              <w:bottom w:val="nil"/>
              <w:right w:val="nil"/>
            </w:tcBorders>
            <w:vAlign w:val="bottom"/>
          </w:tcPr>
          <w:p w14:paraId="0F1FD84B"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30</w:t>
            </w:r>
          </w:p>
        </w:tc>
        <w:tc>
          <w:tcPr>
            <w:tcW w:w="709" w:type="dxa"/>
            <w:tcBorders>
              <w:top w:val="nil"/>
              <w:left w:val="nil"/>
              <w:bottom w:val="nil"/>
              <w:right w:val="nil"/>
            </w:tcBorders>
            <w:vAlign w:val="bottom"/>
          </w:tcPr>
          <w:p w14:paraId="53B962A7"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30</w:t>
            </w:r>
          </w:p>
        </w:tc>
        <w:tc>
          <w:tcPr>
            <w:tcW w:w="850" w:type="dxa"/>
            <w:tcBorders>
              <w:top w:val="nil"/>
              <w:left w:val="nil"/>
              <w:bottom w:val="nil"/>
              <w:right w:val="nil"/>
            </w:tcBorders>
            <w:vAlign w:val="bottom"/>
          </w:tcPr>
          <w:p w14:paraId="0A0A7D5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4F77D9FC"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82</w:t>
            </w:r>
          </w:p>
        </w:tc>
        <w:tc>
          <w:tcPr>
            <w:tcW w:w="709" w:type="dxa"/>
            <w:tcBorders>
              <w:top w:val="nil"/>
              <w:left w:val="nil"/>
              <w:bottom w:val="nil"/>
              <w:right w:val="nil"/>
            </w:tcBorders>
            <w:vAlign w:val="bottom"/>
          </w:tcPr>
          <w:p w14:paraId="43F26ECA"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82</w:t>
            </w:r>
          </w:p>
        </w:tc>
        <w:tc>
          <w:tcPr>
            <w:tcW w:w="709" w:type="dxa"/>
            <w:tcBorders>
              <w:top w:val="nil"/>
              <w:left w:val="nil"/>
              <w:bottom w:val="nil"/>
              <w:right w:val="nil"/>
            </w:tcBorders>
            <w:vAlign w:val="bottom"/>
          </w:tcPr>
          <w:p w14:paraId="469117D8"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8" w:type="dxa"/>
            <w:tcBorders>
              <w:top w:val="nil"/>
              <w:left w:val="nil"/>
              <w:bottom w:val="nil"/>
              <w:right w:val="nil"/>
            </w:tcBorders>
            <w:vAlign w:val="bottom"/>
          </w:tcPr>
          <w:p w14:paraId="474C98DA"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49</w:t>
            </w:r>
          </w:p>
        </w:tc>
        <w:tc>
          <w:tcPr>
            <w:tcW w:w="709" w:type="dxa"/>
            <w:tcBorders>
              <w:top w:val="nil"/>
              <w:left w:val="nil"/>
              <w:bottom w:val="nil"/>
              <w:right w:val="nil"/>
            </w:tcBorders>
            <w:vAlign w:val="bottom"/>
          </w:tcPr>
          <w:p w14:paraId="6090C5CD"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49</w:t>
            </w:r>
          </w:p>
        </w:tc>
        <w:tc>
          <w:tcPr>
            <w:tcW w:w="709" w:type="dxa"/>
            <w:tcBorders>
              <w:top w:val="nil"/>
              <w:left w:val="nil"/>
              <w:bottom w:val="nil"/>
              <w:right w:val="nil"/>
            </w:tcBorders>
            <w:vAlign w:val="bottom"/>
          </w:tcPr>
          <w:p w14:paraId="2D0124D0"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00</w:t>
            </w:r>
          </w:p>
        </w:tc>
        <w:tc>
          <w:tcPr>
            <w:tcW w:w="709" w:type="dxa"/>
            <w:tcBorders>
              <w:top w:val="nil"/>
              <w:left w:val="nil"/>
              <w:bottom w:val="nil"/>
              <w:right w:val="nil"/>
            </w:tcBorders>
            <w:vAlign w:val="bottom"/>
          </w:tcPr>
          <w:p w14:paraId="1FEE0326"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41</w:t>
            </w:r>
          </w:p>
        </w:tc>
        <w:tc>
          <w:tcPr>
            <w:tcW w:w="708" w:type="dxa"/>
            <w:tcBorders>
              <w:top w:val="nil"/>
              <w:left w:val="nil"/>
              <w:bottom w:val="nil"/>
              <w:right w:val="nil"/>
            </w:tcBorders>
            <w:vAlign w:val="bottom"/>
          </w:tcPr>
          <w:p w14:paraId="08FB9C81"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41</w:t>
            </w:r>
          </w:p>
        </w:tc>
      </w:tr>
      <w:tr w:rsidR="00850E2C" w:rsidRPr="00D647AB" w14:paraId="7B9E7AAA" w14:textId="77777777" w:rsidTr="00D647AB">
        <w:tc>
          <w:tcPr>
            <w:tcW w:w="2127" w:type="dxa"/>
            <w:tcBorders>
              <w:top w:val="nil"/>
              <w:left w:val="nil"/>
              <w:bottom w:val="nil"/>
              <w:right w:val="nil"/>
            </w:tcBorders>
          </w:tcPr>
          <w:p w14:paraId="6A082663" w14:textId="77777777" w:rsidR="00850E2C" w:rsidRPr="00D647AB" w:rsidRDefault="00850E2C" w:rsidP="00D647AB">
            <w:pPr>
              <w:suppressAutoHyphens w:val="0"/>
              <w:spacing w:before="40" w:after="40" w:line="220" w:lineRule="exact"/>
              <w:rPr>
                <w:sz w:val="18"/>
                <w:lang w:val="fr-FR"/>
              </w:rPr>
            </w:pPr>
            <w:r w:rsidRPr="00D647AB">
              <w:rPr>
                <w:sz w:val="18"/>
                <w:lang w:val="fr-FR"/>
              </w:rPr>
              <w:t>Autres violences</w:t>
            </w:r>
          </w:p>
        </w:tc>
        <w:tc>
          <w:tcPr>
            <w:tcW w:w="709" w:type="dxa"/>
            <w:tcBorders>
              <w:top w:val="nil"/>
              <w:left w:val="nil"/>
              <w:bottom w:val="nil"/>
              <w:right w:val="nil"/>
            </w:tcBorders>
            <w:vAlign w:val="bottom"/>
          </w:tcPr>
          <w:p w14:paraId="55B5A03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69</w:t>
            </w:r>
          </w:p>
        </w:tc>
        <w:tc>
          <w:tcPr>
            <w:tcW w:w="850" w:type="dxa"/>
            <w:tcBorders>
              <w:top w:val="nil"/>
              <w:left w:val="nil"/>
              <w:bottom w:val="nil"/>
              <w:right w:val="nil"/>
            </w:tcBorders>
            <w:vAlign w:val="bottom"/>
          </w:tcPr>
          <w:p w14:paraId="33CF7E2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266</w:t>
            </w:r>
          </w:p>
        </w:tc>
        <w:tc>
          <w:tcPr>
            <w:tcW w:w="709" w:type="dxa"/>
            <w:tcBorders>
              <w:top w:val="nil"/>
              <w:left w:val="nil"/>
              <w:bottom w:val="nil"/>
              <w:right w:val="nil"/>
            </w:tcBorders>
            <w:vAlign w:val="bottom"/>
          </w:tcPr>
          <w:p w14:paraId="3A27456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335</w:t>
            </w:r>
          </w:p>
        </w:tc>
        <w:tc>
          <w:tcPr>
            <w:tcW w:w="850" w:type="dxa"/>
            <w:tcBorders>
              <w:top w:val="nil"/>
              <w:left w:val="nil"/>
              <w:bottom w:val="nil"/>
              <w:right w:val="nil"/>
            </w:tcBorders>
            <w:vAlign w:val="bottom"/>
          </w:tcPr>
          <w:p w14:paraId="0F9F6DB2"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72400C3E"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1E22AAC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00</w:t>
            </w:r>
          </w:p>
        </w:tc>
        <w:tc>
          <w:tcPr>
            <w:tcW w:w="709" w:type="dxa"/>
            <w:tcBorders>
              <w:top w:val="nil"/>
              <w:left w:val="nil"/>
              <w:bottom w:val="nil"/>
              <w:right w:val="nil"/>
            </w:tcBorders>
            <w:vAlign w:val="bottom"/>
          </w:tcPr>
          <w:p w14:paraId="32FE3856"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123</w:t>
            </w:r>
          </w:p>
        </w:tc>
        <w:tc>
          <w:tcPr>
            <w:tcW w:w="708" w:type="dxa"/>
            <w:tcBorders>
              <w:top w:val="nil"/>
              <w:left w:val="nil"/>
              <w:bottom w:val="nil"/>
              <w:right w:val="nil"/>
            </w:tcBorders>
            <w:vAlign w:val="bottom"/>
          </w:tcPr>
          <w:p w14:paraId="5DC3FCE1" w14:textId="77777777" w:rsidR="00850E2C" w:rsidRPr="00D647AB" w:rsidRDefault="00850E2C" w:rsidP="00D647AB">
            <w:pPr>
              <w:suppressAutoHyphens w:val="0"/>
              <w:spacing w:before="40" w:after="40" w:line="220" w:lineRule="exact"/>
              <w:jc w:val="right"/>
              <w:rPr>
                <w:sz w:val="18"/>
                <w:lang w:val="en-US"/>
              </w:rPr>
            </w:pPr>
            <w:r w:rsidRPr="00D647AB">
              <w:rPr>
                <w:sz w:val="18"/>
                <w:lang w:val="en-US"/>
              </w:rPr>
              <w:t>412</w:t>
            </w:r>
          </w:p>
        </w:tc>
        <w:tc>
          <w:tcPr>
            <w:tcW w:w="709" w:type="dxa"/>
            <w:tcBorders>
              <w:top w:val="nil"/>
              <w:left w:val="nil"/>
              <w:bottom w:val="nil"/>
              <w:right w:val="nil"/>
            </w:tcBorders>
            <w:vAlign w:val="bottom"/>
          </w:tcPr>
          <w:p w14:paraId="42C92213"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535</w:t>
            </w:r>
          </w:p>
        </w:tc>
        <w:tc>
          <w:tcPr>
            <w:tcW w:w="709" w:type="dxa"/>
            <w:tcBorders>
              <w:top w:val="nil"/>
              <w:left w:val="nil"/>
              <w:bottom w:val="nil"/>
              <w:right w:val="nil"/>
            </w:tcBorders>
            <w:vAlign w:val="bottom"/>
          </w:tcPr>
          <w:p w14:paraId="392D00AE"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90</w:t>
            </w:r>
          </w:p>
        </w:tc>
        <w:tc>
          <w:tcPr>
            <w:tcW w:w="709" w:type="dxa"/>
            <w:tcBorders>
              <w:top w:val="nil"/>
              <w:left w:val="nil"/>
              <w:bottom w:val="nil"/>
              <w:right w:val="nil"/>
            </w:tcBorders>
            <w:vAlign w:val="bottom"/>
          </w:tcPr>
          <w:p w14:paraId="0E7FDB85"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123</w:t>
            </w:r>
          </w:p>
        </w:tc>
        <w:tc>
          <w:tcPr>
            <w:tcW w:w="708" w:type="dxa"/>
            <w:tcBorders>
              <w:top w:val="nil"/>
              <w:left w:val="nil"/>
              <w:bottom w:val="nil"/>
              <w:right w:val="nil"/>
            </w:tcBorders>
            <w:vAlign w:val="bottom"/>
          </w:tcPr>
          <w:p w14:paraId="5A153BA8" w14:textId="77777777" w:rsidR="00850E2C" w:rsidRPr="00D647AB" w:rsidRDefault="00850E2C" w:rsidP="00D647AB">
            <w:pPr>
              <w:suppressAutoHyphens w:val="0"/>
              <w:spacing w:before="40" w:after="40" w:line="220" w:lineRule="exact"/>
              <w:jc w:val="right"/>
              <w:rPr>
                <w:bCs/>
                <w:sz w:val="18"/>
                <w:lang w:val="en-US"/>
              </w:rPr>
            </w:pPr>
            <w:r w:rsidRPr="00D647AB">
              <w:rPr>
                <w:bCs/>
                <w:sz w:val="18"/>
                <w:lang w:val="en-US"/>
              </w:rPr>
              <w:t>213</w:t>
            </w:r>
          </w:p>
        </w:tc>
      </w:tr>
      <w:tr w:rsidR="00850E2C" w:rsidRPr="00D647AB" w14:paraId="6976996F" w14:textId="77777777" w:rsidTr="00D647AB">
        <w:tc>
          <w:tcPr>
            <w:tcW w:w="2127" w:type="dxa"/>
            <w:tcBorders>
              <w:top w:val="nil"/>
              <w:left w:val="nil"/>
              <w:bottom w:val="single" w:sz="12" w:space="0" w:color="auto"/>
              <w:right w:val="nil"/>
            </w:tcBorders>
          </w:tcPr>
          <w:p w14:paraId="09D4B569" w14:textId="77777777" w:rsidR="00850E2C" w:rsidRPr="00D647AB" w:rsidRDefault="00850E2C" w:rsidP="00D647AB">
            <w:pPr>
              <w:suppressAutoHyphens w:val="0"/>
              <w:spacing w:before="40" w:after="40" w:line="220" w:lineRule="exact"/>
              <w:rPr>
                <w:b/>
                <w:sz w:val="18"/>
                <w:lang w:val="en-US"/>
              </w:rPr>
            </w:pPr>
            <w:r w:rsidRPr="00D647AB">
              <w:rPr>
                <w:b/>
                <w:sz w:val="18"/>
                <w:lang w:val="en-US"/>
              </w:rPr>
              <w:t>TOTAL</w:t>
            </w:r>
          </w:p>
        </w:tc>
        <w:tc>
          <w:tcPr>
            <w:tcW w:w="709" w:type="dxa"/>
            <w:tcBorders>
              <w:top w:val="nil"/>
              <w:left w:val="nil"/>
              <w:bottom w:val="single" w:sz="12" w:space="0" w:color="auto"/>
              <w:right w:val="nil"/>
            </w:tcBorders>
            <w:vAlign w:val="bottom"/>
          </w:tcPr>
          <w:p w14:paraId="4040351E"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360</w:t>
            </w:r>
          </w:p>
        </w:tc>
        <w:tc>
          <w:tcPr>
            <w:tcW w:w="850" w:type="dxa"/>
            <w:tcBorders>
              <w:top w:val="nil"/>
              <w:left w:val="nil"/>
              <w:bottom w:val="single" w:sz="12" w:space="0" w:color="auto"/>
              <w:right w:val="nil"/>
            </w:tcBorders>
            <w:vAlign w:val="bottom"/>
          </w:tcPr>
          <w:p w14:paraId="7A428DAC"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2642</w:t>
            </w:r>
          </w:p>
        </w:tc>
        <w:tc>
          <w:tcPr>
            <w:tcW w:w="709" w:type="dxa"/>
            <w:tcBorders>
              <w:top w:val="nil"/>
              <w:left w:val="nil"/>
              <w:bottom w:val="single" w:sz="12" w:space="0" w:color="auto"/>
              <w:right w:val="nil"/>
            </w:tcBorders>
            <w:vAlign w:val="bottom"/>
          </w:tcPr>
          <w:p w14:paraId="6641EE27"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3002</w:t>
            </w:r>
          </w:p>
        </w:tc>
        <w:tc>
          <w:tcPr>
            <w:tcW w:w="850" w:type="dxa"/>
            <w:tcBorders>
              <w:top w:val="nil"/>
              <w:left w:val="nil"/>
              <w:bottom w:val="single" w:sz="12" w:space="0" w:color="auto"/>
              <w:right w:val="nil"/>
            </w:tcBorders>
            <w:vAlign w:val="bottom"/>
          </w:tcPr>
          <w:p w14:paraId="0A5A32F3"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289</w:t>
            </w:r>
          </w:p>
        </w:tc>
        <w:tc>
          <w:tcPr>
            <w:tcW w:w="709" w:type="dxa"/>
            <w:tcBorders>
              <w:top w:val="nil"/>
              <w:left w:val="nil"/>
              <w:bottom w:val="single" w:sz="12" w:space="0" w:color="auto"/>
              <w:right w:val="nil"/>
            </w:tcBorders>
            <w:vAlign w:val="bottom"/>
          </w:tcPr>
          <w:p w14:paraId="41615384"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2510</w:t>
            </w:r>
          </w:p>
        </w:tc>
        <w:tc>
          <w:tcPr>
            <w:tcW w:w="709" w:type="dxa"/>
            <w:tcBorders>
              <w:top w:val="nil"/>
              <w:left w:val="nil"/>
              <w:bottom w:val="single" w:sz="12" w:space="0" w:color="auto"/>
              <w:right w:val="nil"/>
            </w:tcBorders>
            <w:vAlign w:val="bottom"/>
          </w:tcPr>
          <w:p w14:paraId="4DCDD47B"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2799</w:t>
            </w:r>
          </w:p>
        </w:tc>
        <w:tc>
          <w:tcPr>
            <w:tcW w:w="709" w:type="dxa"/>
            <w:tcBorders>
              <w:top w:val="nil"/>
              <w:left w:val="nil"/>
              <w:bottom w:val="single" w:sz="12" w:space="0" w:color="auto"/>
              <w:right w:val="nil"/>
            </w:tcBorders>
            <w:vAlign w:val="bottom"/>
          </w:tcPr>
          <w:p w14:paraId="6C5D513E"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410</w:t>
            </w:r>
          </w:p>
        </w:tc>
        <w:tc>
          <w:tcPr>
            <w:tcW w:w="708" w:type="dxa"/>
            <w:tcBorders>
              <w:top w:val="nil"/>
              <w:left w:val="nil"/>
              <w:bottom w:val="single" w:sz="12" w:space="0" w:color="auto"/>
              <w:right w:val="nil"/>
            </w:tcBorders>
            <w:vAlign w:val="bottom"/>
          </w:tcPr>
          <w:p w14:paraId="53029A34"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2408</w:t>
            </w:r>
          </w:p>
        </w:tc>
        <w:tc>
          <w:tcPr>
            <w:tcW w:w="709" w:type="dxa"/>
            <w:tcBorders>
              <w:top w:val="nil"/>
              <w:left w:val="nil"/>
              <w:bottom w:val="single" w:sz="12" w:space="0" w:color="auto"/>
              <w:right w:val="nil"/>
            </w:tcBorders>
            <w:vAlign w:val="bottom"/>
          </w:tcPr>
          <w:p w14:paraId="25E29F46"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2818</w:t>
            </w:r>
          </w:p>
        </w:tc>
        <w:tc>
          <w:tcPr>
            <w:tcW w:w="709" w:type="dxa"/>
            <w:tcBorders>
              <w:top w:val="nil"/>
              <w:left w:val="nil"/>
              <w:bottom w:val="single" w:sz="12" w:space="0" w:color="auto"/>
              <w:right w:val="nil"/>
            </w:tcBorders>
            <w:vAlign w:val="bottom"/>
          </w:tcPr>
          <w:p w14:paraId="020506DE"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324</w:t>
            </w:r>
          </w:p>
        </w:tc>
        <w:tc>
          <w:tcPr>
            <w:tcW w:w="709" w:type="dxa"/>
            <w:tcBorders>
              <w:top w:val="nil"/>
              <w:left w:val="nil"/>
              <w:bottom w:val="single" w:sz="12" w:space="0" w:color="auto"/>
              <w:right w:val="nil"/>
            </w:tcBorders>
            <w:vAlign w:val="bottom"/>
          </w:tcPr>
          <w:p w14:paraId="15E51C3D"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2569</w:t>
            </w:r>
          </w:p>
        </w:tc>
        <w:tc>
          <w:tcPr>
            <w:tcW w:w="708" w:type="dxa"/>
            <w:tcBorders>
              <w:top w:val="nil"/>
              <w:left w:val="nil"/>
              <w:bottom w:val="single" w:sz="12" w:space="0" w:color="auto"/>
              <w:right w:val="nil"/>
            </w:tcBorders>
            <w:vAlign w:val="bottom"/>
          </w:tcPr>
          <w:p w14:paraId="1178FC60" w14:textId="77777777" w:rsidR="00850E2C" w:rsidRPr="00D647AB" w:rsidRDefault="00850E2C" w:rsidP="00D647AB">
            <w:pPr>
              <w:suppressAutoHyphens w:val="0"/>
              <w:spacing w:before="40" w:after="40" w:line="220" w:lineRule="exact"/>
              <w:jc w:val="right"/>
              <w:rPr>
                <w:b/>
                <w:bCs/>
                <w:sz w:val="18"/>
                <w:lang w:val="en-US"/>
              </w:rPr>
            </w:pPr>
            <w:r w:rsidRPr="00D647AB">
              <w:rPr>
                <w:b/>
                <w:bCs/>
                <w:sz w:val="18"/>
                <w:lang w:val="en-US"/>
              </w:rPr>
              <w:t>2893</w:t>
            </w:r>
          </w:p>
        </w:tc>
      </w:tr>
    </w:tbl>
    <w:p w14:paraId="14096F3B" w14:textId="3E836CF7" w:rsidR="00850E2C" w:rsidRPr="00850E2C" w:rsidRDefault="00850E2C" w:rsidP="00E41A6E">
      <w:pPr>
        <w:pStyle w:val="Heading1"/>
        <w:jc w:val="center"/>
        <w:rPr>
          <w:lang w:val="fr-FR"/>
        </w:rPr>
      </w:pPr>
      <w:r w:rsidRPr="00850E2C">
        <w:rPr>
          <w:lang w:val="fr-FR"/>
        </w:rPr>
        <w:t>Tableau récapitulatif des cas reçus par types de violences de 2024 à 2025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8"/>
        <w:gridCol w:w="1051"/>
        <w:gridCol w:w="1036"/>
        <w:gridCol w:w="959"/>
        <w:gridCol w:w="1051"/>
        <w:gridCol w:w="1036"/>
        <w:gridCol w:w="959"/>
      </w:tblGrid>
      <w:tr w:rsidR="00850E2C" w:rsidRPr="00AF1725" w14:paraId="5EBDFD15" w14:textId="77777777" w:rsidTr="003F6FBA">
        <w:trPr>
          <w:tblHeader/>
        </w:trPr>
        <w:tc>
          <w:tcPr>
            <w:tcW w:w="1278" w:type="dxa"/>
            <w:vMerge w:val="restart"/>
            <w:tcBorders>
              <w:top w:val="single" w:sz="4" w:space="0" w:color="auto"/>
              <w:bottom w:val="single" w:sz="12" w:space="0" w:color="auto"/>
            </w:tcBorders>
            <w:vAlign w:val="bottom"/>
          </w:tcPr>
          <w:p w14:paraId="48FCF344" w14:textId="77777777" w:rsidR="00850E2C" w:rsidRPr="00AF1725" w:rsidRDefault="00850E2C" w:rsidP="00AF1725">
            <w:pPr>
              <w:suppressAutoHyphens w:val="0"/>
              <w:spacing w:before="80" w:after="80" w:line="200" w:lineRule="exact"/>
              <w:rPr>
                <w:i/>
                <w:sz w:val="16"/>
                <w:lang w:val="fr-FR"/>
              </w:rPr>
            </w:pPr>
          </w:p>
          <w:p w14:paraId="2B0D4076" w14:textId="77777777" w:rsidR="00850E2C" w:rsidRPr="00AF1725" w:rsidRDefault="00850E2C" w:rsidP="00AF1725">
            <w:pPr>
              <w:suppressAutoHyphens w:val="0"/>
              <w:spacing w:before="80" w:after="80" w:line="200" w:lineRule="exact"/>
              <w:rPr>
                <w:i/>
                <w:sz w:val="16"/>
                <w:lang w:val="fr-FR"/>
              </w:rPr>
            </w:pPr>
            <w:r w:rsidRPr="00AF1725">
              <w:rPr>
                <w:i/>
                <w:sz w:val="16"/>
                <w:lang w:val="fr-FR"/>
              </w:rPr>
              <w:t>Types de violences</w:t>
            </w:r>
          </w:p>
        </w:tc>
        <w:tc>
          <w:tcPr>
            <w:tcW w:w="3046" w:type="dxa"/>
            <w:gridSpan w:val="3"/>
            <w:tcBorders>
              <w:top w:val="single" w:sz="4" w:space="0" w:color="auto"/>
              <w:bottom w:val="single" w:sz="12" w:space="0" w:color="auto"/>
            </w:tcBorders>
            <w:vAlign w:val="bottom"/>
          </w:tcPr>
          <w:p w14:paraId="366EB0A8" w14:textId="77777777" w:rsidR="00850E2C" w:rsidRPr="00AF1725" w:rsidRDefault="00850E2C" w:rsidP="00AF1725">
            <w:pPr>
              <w:suppressAutoHyphens w:val="0"/>
              <w:spacing w:before="80" w:after="80" w:line="200" w:lineRule="exact"/>
              <w:jc w:val="right"/>
              <w:rPr>
                <w:i/>
                <w:sz w:val="16"/>
                <w:lang w:val="en-US"/>
              </w:rPr>
            </w:pPr>
            <w:r w:rsidRPr="00AF1725">
              <w:rPr>
                <w:i/>
                <w:sz w:val="16"/>
                <w:lang w:val="en-US"/>
              </w:rPr>
              <w:t>2024</w:t>
            </w:r>
          </w:p>
        </w:tc>
        <w:tc>
          <w:tcPr>
            <w:tcW w:w="3046" w:type="dxa"/>
            <w:gridSpan w:val="3"/>
            <w:tcBorders>
              <w:top w:val="single" w:sz="4" w:space="0" w:color="auto"/>
              <w:bottom w:val="single" w:sz="12" w:space="0" w:color="auto"/>
            </w:tcBorders>
            <w:vAlign w:val="bottom"/>
          </w:tcPr>
          <w:p w14:paraId="4F7BE2F0" w14:textId="77777777" w:rsidR="00850E2C" w:rsidRPr="00AF1725" w:rsidRDefault="00850E2C" w:rsidP="00AF1725">
            <w:pPr>
              <w:suppressAutoHyphens w:val="0"/>
              <w:spacing w:before="80" w:after="80" w:line="200" w:lineRule="exact"/>
              <w:jc w:val="right"/>
              <w:rPr>
                <w:i/>
                <w:sz w:val="16"/>
                <w:lang w:val="en-US"/>
              </w:rPr>
            </w:pPr>
            <w:r w:rsidRPr="00AF1725">
              <w:rPr>
                <w:i/>
                <w:sz w:val="16"/>
                <w:lang w:val="en-US"/>
              </w:rPr>
              <w:t>2025</w:t>
            </w:r>
          </w:p>
        </w:tc>
      </w:tr>
      <w:tr w:rsidR="00850E2C" w:rsidRPr="00AF1725" w14:paraId="3FACD11B" w14:textId="77777777" w:rsidTr="003F6FBA">
        <w:trPr>
          <w:tblHeader/>
        </w:trPr>
        <w:tc>
          <w:tcPr>
            <w:tcW w:w="1278" w:type="dxa"/>
            <w:vMerge/>
            <w:tcBorders>
              <w:top w:val="single" w:sz="12" w:space="0" w:color="auto"/>
            </w:tcBorders>
            <w:vAlign w:val="bottom"/>
          </w:tcPr>
          <w:p w14:paraId="39A2FE0C" w14:textId="77777777" w:rsidR="00850E2C" w:rsidRPr="00AF1725" w:rsidRDefault="00850E2C" w:rsidP="00AF1725">
            <w:pPr>
              <w:suppressAutoHyphens w:val="0"/>
              <w:spacing w:before="40" w:after="40" w:line="220" w:lineRule="exact"/>
              <w:rPr>
                <w:sz w:val="18"/>
                <w:lang w:val="fr-FR"/>
              </w:rPr>
            </w:pPr>
          </w:p>
        </w:tc>
        <w:tc>
          <w:tcPr>
            <w:tcW w:w="1051" w:type="dxa"/>
            <w:tcBorders>
              <w:top w:val="single" w:sz="12" w:space="0" w:color="auto"/>
            </w:tcBorders>
            <w:vAlign w:val="bottom"/>
          </w:tcPr>
          <w:p w14:paraId="3CF8F005"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Hommes</w:t>
            </w:r>
          </w:p>
        </w:tc>
        <w:tc>
          <w:tcPr>
            <w:tcW w:w="1036" w:type="dxa"/>
            <w:tcBorders>
              <w:top w:val="single" w:sz="12" w:space="0" w:color="auto"/>
            </w:tcBorders>
            <w:vAlign w:val="bottom"/>
          </w:tcPr>
          <w:p w14:paraId="351CCB9B"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Femmes</w:t>
            </w:r>
          </w:p>
        </w:tc>
        <w:tc>
          <w:tcPr>
            <w:tcW w:w="959" w:type="dxa"/>
            <w:tcBorders>
              <w:top w:val="single" w:sz="12" w:space="0" w:color="auto"/>
            </w:tcBorders>
            <w:vAlign w:val="bottom"/>
          </w:tcPr>
          <w:p w14:paraId="2CBBC058"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en-US"/>
              </w:rPr>
              <w:t>Total</w:t>
            </w:r>
          </w:p>
        </w:tc>
        <w:tc>
          <w:tcPr>
            <w:tcW w:w="1051" w:type="dxa"/>
            <w:tcBorders>
              <w:top w:val="single" w:sz="12" w:space="0" w:color="auto"/>
            </w:tcBorders>
            <w:vAlign w:val="bottom"/>
          </w:tcPr>
          <w:p w14:paraId="39CEAAF0"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Hommes</w:t>
            </w:r>
          </w:p>
        </w:tc>
        <w:tc>
          <w:tcPr>
            <w:tcW w:w="1036" w:type="dxa"/>
            <w:tcBorders>
              <w:top w:val="single" w:sz="12" w:space="0" w:color="auto"/>
            </w:tcBorders>
            <w:vAlign w:val="bottom"/>
          </w:tcPr>
          <w:p w14:paraId="48809127"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Femmes</w:t>
            </w:r>
          </w:p>
        </w:tc>
        <w:tc>
          <w:tcPr>
            <w:tcW w:w="959" w:type="dxa"/>
            <w:tcBorders>
              <w:top w:val="single" w:sz="12" w:space="0" w:color="auto"/>
            </w:tcBorders>
            <w:vAlign w:val="bottom"/>
          </w:tcPr>
          <w:p w14:paraId="074D6874"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Total</w:t>
            </w:r>
          </w:p>
        </w:tc>
      </w:tr>
      <w:tr w:rsidR="00850E2C" w:rsidRPr="00AF1725" w14:paraId="24B463ED" w14:textId="77777777" w:rsidTr="003F6FBA">
        <w:tc>
          <w:tcPr>
            <w:tcW w:w="1278" w:type="dxa"/>
          </w:tcPr>
          <w:p w14:paraId="63DEBDAA" w14:textId="77777777" w:rsidR="00850E2C" w:rsidRPr="00AF1725" w:rsidRDefault="00850E2C" w:rsidP="00AF1725">
            <w:pPr>
              <w:suppressAutoHyphens w:val="0"/>
              <w:spacing w:before="40" w:after="40" w:line="220" w:lineRule="exact"/>
              <w:rPr>
                <w:sz w:val="18"/>
                <w:lang w:val="fr-FR"/>
              </w:rPr>
            </w:pPr>
            <w:r w:rsidRPr="00AF1725">
              <w:rPr>
                <w:sz w:val="18"/>
                <w:lang w:val="fr-FR"/>
              </w:rPr>
              <w:t>Physique</w:t>
            </w:r>
          </w:p>
        </w:tc>
        <w:tc>
          <w:tcPr>
            <w:tcW w:w="1051" w:type="dxa"/>
            <w:vAlign w:val="bottom"/>
          </w:tcPr>
          <w:p w14:paraId="731F202F"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38</w:t>
            </w:r>
          </w:p>
        </w:tc>
        <w:tc>
          <w:tcPr>
            <w:tcW w:w="1036" w:type="dxa"/>
            <w:vAlign w:val="bottom"/>
          </w:tcPr>
          <w:p w14:paraId="0C22ADD4"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498</w:t>
            </w:r>
          </w:p>
        </w:tc>
        <w:tc>
          <w:tcPr>
            <w:tcW w:w="959" w:type="dxa"/>
            <w:vAlign w:val="bottom"/>
          </w:tcPr>
          <w:p w14:paraId="29735025"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fr-FR"/>
              </w:rPr>
              <w:t>536</w:t>
            </w:r>
          </w:p>
        </w:tc>
        <w:tc>
          <w:tcPr>
            <w:tcW w:w="1051" w:type="dxa"/>
            <w:vAlign w:val="bottom"/>
          </w:tcPr>
          <w:p w14:paraId="47D662C6"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68</w:t>
            </w:r>
          </w:p>
        </w:tc>
        <w:tc>
          <w:tcPr>
            <w:tcW w:w="1036" w:type="dxa"/>
            <w:vAlign w:val="bottom"/>
          </w:tcPr>
          <w:p w14:paraId="06981CC7"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683</w:t>
            </w:r>
          </w:p>
        </w:tc>
        <w:tc>
          <w:tcPr>
            <w:tcW w:w="959" w:type="dxa"/>
            <w:vAlign w:val="bottom"/>
          </w:tcPr>
          <w:p w14:paraId="14949F6A"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751</w:t>
            </w:r>
          </w:p>
        </w:tc>
      </w:tr>
      <w:tr w:rsidR="00850E2C" w:rsidRPr="00AF1725" w14:paraId="0656F8D3" w14:textId="77777777" w:rsidTr="003F6FBA">
        <w:tc>
          <w:tcPr>
            <w:tcW w:w="1278" w:type="dxa"/>
          </w:tcPr>
          <w:p w14:paraId="376A3A57" w14:textId="77777777" w:rsidR="00850E2C" w:rsidRPr="00AF1725" w:rsidRDefault="00850E2C" w:rsidP="00AF1725">
            <w:pPr>
              <w:suppressAutoHyphens w:val="0"/>
              <w:spacing w:before="40" w:after="40" w:line="220" w:lineRule="exact"/>
              <w:rPr>
                <w:sz w:val="18"/>
                <w:lang w:val="fr-FR"/>
              </w:rPr>
            </w:pPr>
            <w:r w:rsidRPr="00AF1725">
              <w:rPr>
                <w:sz w:val="18"/>
                <w:lang w:val="fr-FR"/>
              </w:rPr>
              <w:t xml:space="preserve">Economique </w:t>
            </w:r>
          </w:p>
        </w:tc>
        <w:tc>
          <w:tcPr>
            <w:tcW w:w="1051" w:type="dxa"/>
            <w:vAlign w:val="bottom"/>
          </w:tcPr>
          <w:p w14:paraId="014CDAC6"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23</w:t>
            </w:r>
          </w:p>
        </w:tc>
        <w:tc>
          <w:tcPr>
            <w:tcW w:w="1036" w:type="dxa"/>
            <w:vAlign w:val="bottom"/>
          </w:tcPr>
          <w:p w14:paraId="7C71961F"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387</w:t>
            </w:r>
          </w:p>
        </w:tc>
        <w:tc>
          <w:tcPr>
            <w:tcW w:w="959" w:type="dxa"/>
            <w:vAlign w:val="bottom"/>
          </w:tcPr>
          <w:p w14:paraId="2C992C4F"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fr-FR"/>
              </w:rPr>
              <w:t>410</w:t>
            </w:r>
          </w:p>
        </w:tc>
        <w:tc>
          <w:tcPr>
            <w:tcW w:w="1051" w:type="dxa"/>
            <w:vAlign w:val="bottom"/>
          </w:tcPr>
          <w:p w14:paraId="0B459A42"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27</w:t>
            </w:r>
          </w:p>
        </w:tc>
        <w:tc>
          <w:tcPr>
            <w:tcW w:w="1036" w:type="dxa"/>
            <w:vAlign w:val="bottom"/>
          </w:tcPr>
          <w:p w14:paraId="083B9B5D"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398</w:t>
            </w:r>
          </w:p>
        </w:tc>
        <w:tc>
          <w:tcPr>
            <w:tcW w:w="959" w:type="dxa"/>
            <w:vAlign w:val="bottom"/>
          </w:tcPr>
          <w:p w14:paraId="71C3F9E7"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425</w:t>
            </w:r>
          </w:p>
        </w:tc>
      </w:tr>
      <w:tr w:rsidR="00850E2C" w:rsidRPr="00AF1725" w14:paraId="6257DFF5" w14:textId="77777777" w:rsidTr="003F6FBA">
        <w:tc>
          <w:tcPr>
            <w:tcW w:w="1278" w:type="dxa"/>
          </w:tcPr>
          <w:p w14:paraId="51946B54" w14:textId="77777777" w:rsidR="00850E2C" w:rsidRPr="00AF1725" w:rsidRDefault="00850E2C" w:rsidP="00AF1725">
            <w:pPr>
              <w:suppressAutoHyphens w:val="0"/>
              <w:spacing w:before="40" w:after="40" w:line="220" w:lineRule="exact"/>
              <w:rPr>
                <w:sz w:val="18"/>
                <w:lang w:val="fr-FR"/>
              </w:rPr>
            </w:pPr>
            <w:r w:rsidRPr="00AF1725">
              <w:rPr>
                <w:sz w:val="18"/>
                <w:lang w:val="fr-FR"/>
              </w:rPr>
              <w:t xml:space="preserve">Sexuelle </w:t>
            </w:r>
          </w:p>
        </w:tc>
        <w:tc>
          <w:tcPr>
            <w:tcW w:w="1051" w:type="dxa"/>
            <w:vAlign w:val="bottom"/>
          </w:tcPr>
          <w:p w14:paraId="45E64397"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12</w:t>
            </w:r>
          </w:p>
        </w:tc>
        <w:tc>
          <w:tcPr>
            <w:tcW w:w="1036" w:type="dxa"/>
            <w:vAlign w:val="bottom"/>
          </w:tcPr>
          <w:p w14:paraId="2DBBDC09"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341</w:t>
            </w:r>
          </w:p>
        </w:tc>
        <w:tc>
          <w:tcPr>
            <w:tcW w:w="959" w:type="dxa"/>
            <w:vAlign w:val="bottom"/>
          </w:tcPr>
          <w:p w14:paraId="1AF5197E"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fr-FR"/>
              </w:rPr>
              <w:t>353</w:t>
            </w:r>
          </w:p>
        </w:tc>
        <w:tc>
          <w:tcPr>
            <w:tcW w:w="1051" w:type="dxa"/>
            <w:vAlign w:val="bottom"/>
          </w:tcPr>
          <w:p w14:paraId="47DFB08B"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24</w:t>
            </w:r>
          </w:p>
        </w:tc>
        <w:tc>
          <w:tcPr>
            <w:tcW w:w="1036" w:type="dxa"/>
            <w:vAlign w:val="bottom"/>
          </w:tcPr>
          <w:p w14:paraId="6B84A00E"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534</w:t>
            </w:r>
          </w:p>
        </w:tc>
        <w:tc>
          <w:tcPr>
            <w:tcW w:w="959" w:type="dxa"/>
            <w:vAlign w:val="bottom"/>
          </w:tcPr>
          <w:p w14:paraId="59FD37F0"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558</w:t>
            </w:r>
          </w:p>
        </w:tc>
      </w:tr>
      <w:tr w:rsidR="00850E2C" w:rsidRPr="00AF1725" w14:paraId="735DC30C" w14:textId="77777777" w:rsidTr="003F6FBA">
        <w:tc>
          <w:tcPr>
            <w:tcW w:w="1278" w:type="dxa"/>
          </w:tcPr>
          <w:p w14:paraId="603797D0" w14:textId="77777777" w:rsidR="00850E2C" w:rsidRPr="00AF1725" w:rsidRDefault="00850E2C" w:rsidP="00AF1725">
            <w:pPr>
              <w:suppressAutoHyphens w:val="0"/>
              <w:spacing w:before="40" w:after="40" w:line="220" w:lineRule="exact"/>
              <w:rPr>
                <w:sz w:val="18"/>
                <w:lang w:val="fr-FR"/>
              </w:rPr>
            </w:pPr>
            <w:r w:rsidRPr="00AF1725">
              <w:rPr>
                <w:sz w:val="18"/>
                <w:lang w:val="fr-FR"/>
              </w:rPr>
              <w:t xml:space="preserve">Psychologique </w:t>
            </w:r>
          </w:p>
        </w:tc>
        <w:tc>
          <w:tcPr>
            <w:tcW w:w="1051" w:type="dxa"/>
            <w:vAlign w:val="bottom"/>
          </w:tcPr>
          <w:p w14:paraId="4FC7F049"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73</w:t>
            </w:r>
          </w:p>
        </w:tc>
        <w:tc>
          <w:tcPr>
            <w:tcW w:w="1036" w:type="dxa"/>
            <w:vAlign w:val="bottom"/>
          </w:tcPr>
          <w:p w14:paraId="445A05AC"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787</w:t>
            </w:r>
          </w:p>
        </w:tc>
        <w:tc>
          <w:tcPr>
            <w:tcW w:w="959" w:type="dxa"/>
            <w:vAlign w:val="bottom"/>
          </w:tcPr>
          <w:p w14:paraId="4C987991"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fr-FR"/>
              </w:rPr>
              <w:t>860</w:t>
            </w:r>
          </w:p>
        </w:tc>
        <w:tc>
          <w:tcPr>
            <w:tcW w:w="1051" w:type="dxa"/>
            <w:vAlign w:val="bottom"/>
          </w:tcPr>
          <w:p w14:paraId="107C809A"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150</w:t>
            </w:r>
          </w:p>
        </w:tc>
        <w:tc>
          <w:tcPr>
            <w:tcW w:w="1036" w:type="dxa"/>
            <w:vAlign w:val="bottom"/>
          </w:tcPr>
          <w:p w14:paraId="135E4E05"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937</w:t>
            </w:r>
          </w:p>
        </w:tc>
        <w:tc>
          <w:tcPr>
            <w:tcW w:w="959" w:type="dxa"/>
            <w:vAlign w:val="bottom"/>
          </w:tcPr>
          <w:p w14:paraId="23E3C087"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1087</w:t>
            </w:r>
          </w:p>
        </w:tc>
      </w:tr>
      <w:tr w:rsidR="00850E2C" w:rsidRPr="00AF1725" w14:paraId="2A46F5A8" w14:textId="77777777" w:rsidTr="003F6FBA">
        <w:tc>
          <w:tcPr>
            <w:tcW w:w="1278" w:type="dxa"/>
          </w:tcPr>
          <w:p w14:paraId="6F10928D" w14:textId="77777777" w:rsidR="00850E2C" w:rsidRPr="00AF1725" w:rsidRDefault="00850E2C" w:rsidP="00AF1725">
            <w:pPr>
              <w:suppressAutoHyphens w:val="0"/>
              <w:spacing w:before="40" w:after="40" w:line="220" w:lineRule="exact"/>
              <w:rPr>
                <w:sz w:val="18"/>
                <w:lang w:val="fr-FR"/>
              </w:rPr>
            </w:pPr>
            <w:r w:rsidRPr="00AF1725">
              <w:rPr>
                <w:sz w:val="18"/>
                <w:lang w:val="fr-FR"/>
              </w:rPr>
              <w:t>Institutionnalisée</w:t>
            </w:r>
          </w:p>
        </w:tc>
        <w:tc>
          <w:tcPr>
            <w:tcW w:w="1051" w:type="dxa"/>
            <w:vAlign w:val="bottom"/>
          </w:tcPr>
          <w:p w14:paraId="69D31A57"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14</w:t>
            </w:r>
          </w:p>
        </w:tc>
        <w:tc>
          <w:tcPr>
            <w:tcW w:w="1036" w:type="dxa"/>
            <w:vAlign w:val="bottom"/>
          </w:tcPr>
          <w:p w14:paraId="62A663D4" w14:textId="77777777" w:rsidR="00850E2C" w:rsidRPr="00AF1725" w:rsidRDefault="00850E2C" w:rsidP="00AF1725">
            <w:pPr>
              <w:suppressAutoHyphens w:val="0"/>
              <w:spacing w:before="40" w:after="40" w:line="220" w:lineRule="exact"/>
              <w:jc w:val="right"/>
              <w:rPr>
                <w:bCs/>
                <w:sz w:val="18"/>
                <w:lang w:val="en-US"/>
              </w:rPr>
            </w:pPr>
            <w:r w:rsidRPr="00AF1725">
              <w:rPr>
                <w:bCs/>
                <w:sz w:val="18"/>
                <w:lang w:val="fr-FR"/>
              </w:rPr>
              <w:t>106</w:t>
            </w:r>
          </w:p>
        </w:tc>
        <w:tc>
          <w:tcPr>
            <w:tcW w:w="959" w:type="dxa"/>
            <w:vAlign w:val="bottom"/>
          </w:tcPr>
          <w:p w14:paraId="2450AF42"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fr-FR"/>
              </w:rPr>
              <w:t>120</w:t>
            </w:r>
          </w:p>
        </w:tc>
        <w:tc>
          <w:tcPr>
            <w:tcW w:w="1051" w:type="dxa"/>
            <w:vAlign w:val="bottom"/>
          </w:tcPr>
          <w:p w14:paraId="46603864"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09</w:t>
            </w:r>
          </w:p>
        </w:tc>
        <w:tc>
          <w:tcPr>
            <w:tcW w:w="1036" w:type="dxa"/>
            <w:vAlign w:val="bottom"/>
          </w:tcPr>
          <w:p w14:paraId="74601DC1" w14:textId="77777777" w:rsidR="00850E2C" w:rsidRPr="00AF1725" w:rsidRDefault="00850E2C" w:rsidP="00AF1725">
            <w:pPr>
              <w:suppressAutoHyphens w:val="0"/>
              <w:spacing w:before="40" w:after="40" w:line="220" w:lineRule="exact"/>
              <w:jc w:val="right"/>
              <w:rPr>
                <w:sz w:val="18"/>
                <w:lang w:val="en-US"/>
              </w:rPr>
            </w:pPr>
            <w:r w:rsidRPr="00AF1725">
              <w:rPr>
                <w:sz w:val="18"/>
                <w:lang w:val="en-US"/>
              </w:rPr>
              <w:t>104</w:t>
            </w:r>
          </w:p>
        </w:tc>
        <w:tc>
          <w:tcPr>
            <w:tcW w:w="959" w:type="dxa"/>
            <w:vAlign w:val="bottom"/>
          </w:tcPr>
          <w:p w14:paraId="2662759E"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113</w:t>
            </w:r>
          </w:p>
        </w:tc>
      </w:tr>
      <w:tr w:rsidR="00850E2C" w:rsidRPr="00AF1725" w14:paraId="68E7E733" w14:textId="77777777" w:rsidTr="003F6FBA">
        <w:tc>
          <w:tcPr>
            <w:tcW w:w="1278" w:type="dxa"/>
            <w:tcBorders>
              <w:bottom w:val="single" w:sz="12" w:space="0" w:color="auto"/>
            </w:tcBorders>
          </w:tcPr>
          <w:p w14:paraId="7F4AFDE7" w14:textId="77777777" w:rsidR="00850E2C" w:rsidRPr="00AF1725" w:rsidRDefault="00850E2C" w:rsidP="00AF1725">
            <w:pPr>
              <w:suppressAutoHyphens w:val="0"/>
              <w:spacing w:before="40" w:after="40" w:line="220" w:lineRule="exact"/>
              <w:rPr>
                <w:b/>
                <w:sz w:val="18"/>
                <w:lang w:val="en-US"/>
              </w:rPr>
            </w:pPr>
            <w:r w:rsidRPr="00AF1725">
              <w:rPr>
                <w:b/>
                <w:sz w:val="18"/>
                <w:lang w:val="en-US"/>
              </w:rPr>
              <w:t xml:space="preserve">Total </w:t>
            </w:r>
          </w:p>
        </w:tc>
        <w:tc>
          <w:tcPr>
            <w:tcW w:w="1051" w:type="dxa"/>
            <w:tcBorders>
              <w:bottom w:val="single" w:sz="12" w:space="0" w:color="auto"/>
            </w:tcBorders>
            <w:vAlign w:val="bottom"/>
          </w:tcPr>
          <w:p w14:paraId="7AFB78E1"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en-US"/>
              </w:rPr>
              <w:t>160</w:t>
            </w:r>
          </w:p>
        </w:tc>
        <w:tc>
          <w:tcPr>
            <w:tcW w:w="1036" w:type="dxa"/>
            <w:tcBorders>
              <w:bottom w:val="single" w:sz="12" w:space="0" w:color="auto"/>
            </w:tcBorders>
            <w:vAlign w:val="bottom"/>
          </w:tcPr>
          <w:p w14:paraId="1C595A95"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en-US"/>
              </w:rPr>
              <w:t>2119</w:t>
            </w:r>
          </w:p>
        </w:tc>
        <w:tc>
          <w:tcPr>
            <w:tcW w:w="959" w:type="dxa"/>
            <w:tcBorders>
              <w:bottom w:val="single" w:sz="12" w:space="0" w:color="auto"/>
            </w:tcBorders>
            <w:vAlign w:val="bottom"/>
          </w:tcPr>
          <w:p w14:paraId="2AF4CFEF" w14:textId="77777777" w:rsidR="00850E2C" w:rsidRPr="00AF1725" w:rsidRDefault="00850E2C" w:rsidP="00AF1725">
            <w:pPr>
              <w:suppressAutoHyphens w:val="0"/>
              <w:spacing w:before="40" w:after="40" w:line="220" w:lineRule="exact"/>
              <w:jc w:val="right"/>
              <w:rPr>
                <w:b/>
                <w:bCs/>
                <w:sz w:val="18"/>
                <w:lang w:val="en-US"/>
              </w:rPr>
            </w:pPr>
            <w:r w:rsidRPr="00AF1725">
              <w:rPr>
                <w:b/>
                <w:bCs/>
                <w:sz w:val="18"/>
                <w:lang w:val="en-US"/>
              </w:rPr>
              <w:t>2279</w:t>
            </w:r>
          </w:p>
        </w:tc>
        <w:tc>
          <w:tcPr>
            <w:tcW w:w="1051" w:type="dxa"/>
            <w:tcBorders>
              <w:bottom w:val="single" w:sz="12" w:space="0" w:color="auto"/>
            </w:tcBorders>
            <w:vAlign w:val="bottom"/>
          </w:tcPr>
          <w:p w14:paraId="0CD9DA72"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278</w:t>
            </w:r>
          </w:p>
        </w:tc>
        <w:tc>
          <w:tcPr>
            <w:tcW w:w="1036" w:type="dxa"/>
            <w:tcBorders>
              <w:bottom w:val="single" w:sz="12" w:space="0" w:color="auto"/>
            </w:tcBorders>
            <w:vAlign w:val="bottom"/>
          </w:tcPr>
          <w:p w14:paraId="1C9DF9FE"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2656</w:t>
            </w:r>
          </w:p>
        </w:tc>
        <w:tc>
          <w:tcPr>
            <w:tcW w:w="959" w:type="dxa"/>
            <w:tcBorders>
              <w:bottom w:val="single" w:sz="12" w:space="0" w:color="auto"/>
            </w:tcBorders>
            <w:vAlign w:val="bottom"/>
          </w:tcPr>
          <w:p w14:paraId="738C500D" w14:textId="77777777" w:rsidR="00850E2C" w:rsidRPr="00AF1725" w:rsidRDefault="00850E2C" w:rsidP="00AF1725">
            <w:pPr>
              <w:suppressAutoHyphens w:val="0"/>
              <w:spacing w:before="40" w:after="40" w:line="220" w:lineRule="exact"/>
              <w:jc w:val="right"/>
              <w:rPr>
                <w:b/>
                <w:sz w:val="18"/>
                <w:lang w:val="en-US"/>
              </w:rPr>
            </w:pPr>
            <w:r w:rsidRPr="00AF1725">
              <w:rPr>
                <w:b/>
                <w:sz w:val="18"/>
                <w:lang w:val="en-US"/>
              </w:rPr>
              <w:t>2934</w:t>
            </w:r>
          </w:p>
        </w:tc>
      </w:tr>
    </w:tbl>
    <w:p w14:paraId="784840DD" w14:textId="2C96E9D7" w:rsidR="00CC4C15" w:rsidRDefault="003F6FBA" w:rsidP="003F6FBA">
      <w:pPr>
        <w:pStyle w:val="H23G"/>
        <w:rPr>
          <w:lang w:val="fr-FR"/>
        </w:rPr>
      </w:pPr>
      <w:r>
        <w:rPr>
          <w:lang w:val="fr-FR"/>
        </w:rPr>
        <w:tab/>
      </w:r>
      <w:r>
        <w:rPr>
          <w:lang w:val="fr-FR"/>
        </w:rPr>
        <w:tab/>
        <w:t xml:space="preserve">Paragraphe </w:t>
      </w:r>
      <w:r w:rsidR="00CC4C15">
        <w:rPr>
          <w:lang w:val="fr-FR"/>
        </w:rPr>
        <w:t>10</w:t>
      </w:r>
      <w:r w:rsidR="00850E2C" w:rsidRPr="00850E2C">
        <w:rPr>
          <w:lang w:val="fr-FR"/>
        </w:rPr>
        <w:t xml:space="preserve">b) </w:t>
      </w:r>
    </w:p>
    <w:p w14:paraId="544FF118" w14:textId="1053C20E" w:rsidR="00850E2C" w:rsidRPr="00850E2C" w:rsidRDefault="00850E2C" w:rsidP="00F97BC3">
      <w:pPr>
        <w:pStyle w:val="SingleTxtG"/>
        <w:numPr>
          <w:ilvl w:val="0"/>
          <w:numId w:val="4"/>
        </w:numPr>
        <w:ind w:left="1134" w:firstLine="0"/>
        <w:rPr>
          <w:bCs/>
          <w:lang w:val="fr-FR"/>
        </w:rPr>
      </w:pPr>
      <w:r w:rsidRPr="00850E2C">
        <w:rPr>
          <w:bCs/>
          <w:lang w:val="fr-FR"/>
        </w:rPr>
        <w:t xml:space="preserve">En matière d’aide aux </w:t>
      </w:r>
      <w:r w:rsidRPr="00CC4C15">
        <w:rPr>
          <w:lang w:val="fr-FR"/>
        </w:rPr>
        <w:t>victimes</w:t>
      </w:r>
      <w:r w:rsidRPr="00850E2C">
        <w:rPr>
          <w:bCs/>
          <w:lang w:val="fr-FR"/>
        </w:rPr>
        <w:t xml:space="preserve"> de VBG </w:t>
      </w:r>
      <w:r w:rsidRPr="00097BAE">
        <w:rPr>
          <w:lang w:val="fr-FR"/>
        </w:rPr>
        <w:t>plusieurs</w:t>
      </w:r>
      <w:r w:rsidRPr="00850E2C">
        <w:rPr>
          <w:bCs/>
          <w:lang w:val="fr-FR"/>
        </w:rPr>
        <w:t xml:space="preserve"> actions ont été menées :</w:t>
      </w:r>
    </w:p>
    <w:p w14:paraId="19E116F0" w14:textId="77777777" w:rsidR="00850E2C" w:rsidRPr="00850E2C" w:rsidRDefault="00850E2C" w:rsidP="00E41A6E">
      <w:pPr>
        <w:pStyle w:val="Bullet1G"/>
        <w:rPr>
          <w:lang w:val="fr-FR"/>
        </w:rPr>
      </w:pPr>
      <w:r w:rsidRPr="00850E2C">
        <w:rPr>
          <w:lang w:val="fr-FR"/>
        </w:rPr>
        <w:lastRenderedPageBreak/>
        <w:t>24 centres d’écoute y compris les one stop centers à travers le pays entre 2018 et 2025 ont été créés ;</w:t>
      </w:r>
    </w:p>
    <w:p w14:paraId="20ABD50A" w14:textId="77777777" w:rsidR="00850E2C" w:rsidRPr="00850E2C" w:rsidRDefault="00850E2C" w:rsidP="00E41A6E">
      <w:pPr>
        <w:pStyle w:val="Bullet1G"/>
        <w:rPr>
          <w:lang w:val="fr-FR"/>
        </w:rPr>
      </w:pPr>
      <w:r w:rsidRPr="00850E2C">
        <w:rPr>
          <w:lang w:val="fr-FR"/>
        </w:rPr>
        <w:t>79 magistrats et officiers de police, 140 agents de centre d’écoute intervenant dans la chaine de prise en charge des victimes ont été formés entre 2015 et 2019;</w:t>
      </w:r>
    </w:p>
    <w:p w14:paraId="7D40D670" w14:textId="4A71079D" w:rsidR="00850E2C" w:rsidRPr="00850E2C" w:rsidRDefault="00E41A6E" w:rsidP="00E41A6E">
      <w:pPr>
        <w:pStyle w:val="Bullet1G"/>
        <w:rPr>
          <w:lang w:val="fr-FR"/>
        </w:rPr>
      </w:pPr>
      <w:r w:rsidRPr="00850E2C">
        <w:rPr>
          <w:lang w:val="fr-FR"/>
        </w:rPr>
        <w:t>L’élaboration</w:t>
      </w:r>
      <w:r w:rsidR="00850E2C" w:rsidRPr="00850E2C">
        <w:rPr>
          <w:lang w:val="fr-FR"/>
        </w:rPr>
        <w:t xml:space="preserve"> du protocole de prise en charge holistique des victimes de VBG qui facilitera désormais le travail aux différents acteurs, et surtout, permettra aux victimes de bénéficier d’un paquet de services intégrés et complémentaires de qualité ;</w:t>
      </w:r>
    </w:p>
    <w:p w14:paraId="4051ADAE" w14:textId="7CFEB17D" w:rsidR="00850E2C" w:rsidRPr="00850E2C" w:rsidRDefault="00E41A6E" w:rsidP="00E41A6E">
      <w:pPr>
        <w:pStyle w:val="Bullet1G"/>
        <w:rPr>
          <w:lang w:val="fr-FR"/>
        </w:rPr>
      </w:pPr>
      <w:r w:rsidRPr="00850E2C">
        <w:rPr>
          <w:lang w:val="fr-FR"/>
        </w:rPr>
        <w:t>La</w:t>
      </w:r>
      <w:r w:rsidR="00850E2C" w:rsidRPr="00850E2C">
        <w:rPr>
          <w:lang w:val="fr-FR"/>
        </w:rPr>
        <w:t xml:space="preserve"> gratuité de la prise en charge psychosociale des victimes ;</w:t>
      </w:r>
    </w:p>
    <w:p w14:paraId="1DC7E314" w14:textId="6877B0BE" w:rsidR="00850E2C" w:rsidRPr="00850E2C" w:rsidRDefault="00E41A6E" w:rsidP="00E41A6E">
      <w:pPr>
        <w:pStyle w:val="Bullet1G"/>
        <w:rPr>
          <w:lang w:val="fr-FR"/>
        </w:rPr>
      </w:pPr>
      <w:r w:rsidRPr="00850E2C">
        <w:rPr>
          <w:lang w:val="fr-FR"/>
        </w:rPr>
        <w:t>Le</w:t>
      </w:r>
      <w:r w:rsidR="00850E2C" w:rsidRPr="00850E2C">
        <w:rPr>
          <w:lang w:val="fr-FR"/>
        </w:rPr>
        <w:t xml:space="preserve"> plaidoyer en cours pour la gratuité de la prise en charge médicale et judiciaire des victimes de VBG ; </w:t>
      </w:r>
    </w:p>
    <w:p w14:paraId="185F4A30" w14:textId="77777777" w:rsidR="00850E2C" w:rsidRPr="00850E2C" w:rsidRDefault="00850E2C" w:rsidP="00F97BC3">
      <w:pPr>
        <w:pStyle w:val="SingleTxtG"/>
        <w:numPr>
          <w:ilvl w:val="0"/>
          <w:numId w:val="4"/>
        </w:numPr>
        <w:ind w:left="1134" w:firstLine="0"/>
        <w:rPr>
          <w:bCs/>
          <w:lang w:val="fr-FR"/>
        </w:rPr>
      </w:pPr>
      <w:r w:rsidRPr="00850E2C">
        <w:rPr>
          <w:bCs/>
          <w:lang w:val="fr-FR"/>
        </w:rPr>
        <w:t xml:space="preserve">En ce qui concerne les maisons de refuge ou les maisons de transit pour héberger temporairement </w:t>
      </w:r>
      <w:r w:rsidRPr="00CC4C15">
        <w:rPr>
          <w:lang w:val="fr-FR"/>
        </w:rPr>
        <w:t>des</w:t>
      </w:r>
      <w:r w:rsidRPr="00850E2C">
        <w:rPr>
          <w:bCs/>
          <w:lang w:val="fr-FR"/>
        </w:rPr>
        <w:t xml:space="preserve"> victimes, elles ne sont pas encore construites. </w:t>
      </w:r>
    </w:p>
    <w:p w14:paraId="485BE40E" w14:textId="787EF9DC" w:rsidR="00CC4C15" w:rsidRDefault="003F6FBA" w:rsidP="003F6FBA">
      <w:pPr>
        <w:pStyle w:val="H23G"/>
        <w:rPr>
          <w:lang w:val="fr-FR"/>
        </w:rPr>
      </w:pPr>
      <w:r>
        <w:rPr>
          <w:lang w:val="fr-FR"/>
        </w:rPr>
        <w:tab/>
      </w:r>
      <w:r>
        <w:rPr>
          <w:lang w:val="fr-FR"/>
        </w:rPr>
        <w:tab/>
        <w:t xml:space="preserve">Paragraphe </w:t>
      </w:r>
      <w:r w:rsidR="00CC4C15">
        <w:rPr>
          <w:lang w:val="fr-FR"/>
        </w:rPr>
        <w:t>10</w:t>
      </w:r>
      <w:r w:rsidR="00850E2C" w:rsidRPr="00850E2C">
        <w:rPr>
          <w:lang w:val="fr-FR"/>
        </w:rPr>
        <w:t xml:space="preserve">c) </w:t>
      </w:r>
    </w:p>
    <w:p w14:paraId="1A38B3B7" w14:textId="14E8F717" w:rsidR="00850E2C" w:rsidRPr="00850E2C" w:rsidRDefault="00850E2C" w:rsidP="00F97BC3">
      <w:pPr>
        <w:pStyle w:val="SingleTxtG"/>
        <w:numPr>
          <w:ilvl w:val="0"/>
          <w:numId w:val="4"/>
        </w:numPr>
        <w:ind w:left="1134" w:firstLine="0"/>
        <w:rPr>
          <w:bCs/>
          <w:lang w:val="fr-FR"/>
        </w:rPr>
      </w:pPr>
      <w:r w:rsidRPr="00850E2C">
        <w:rPr>
          <w:bCs/>
          <w:lang w:val="fr-FR"/>
        </w:rPr>
        <w:t>Concernant la dénonciation en toute confidentialité des violences basées sur le genre et la prise en charge des victimes, notons :</w:t>
      </w:r>
    </w:p>
    <w:p w14:paraId="0C53241D" w14:textId="585FFAAF" w:rsidR="00850E2C" w:rsidRPr="00850E2C" w:rsidRDefault="003F6FBA" w:rsidP="003F6FBA">
      <w:pPr>
        <w:pStyle w:val="Bullet1G"/>
        <w:rPr>
          <w:lang w:val="fr-FR"/>
        </w:rPr>
      </w:pPr>
      <w:r w:rsidRPr="00850E2C">
        <w:rPr>
          <w:lang w:val="fr-FR"/>
        </w:rPr>
        <w:t>La</w:t>
      </w:r>
      <w:r w:rsidR="00850E2C" w:rsidRPr="00850E2C">
        <w:rPr>
          <w:lang w:val="fr-FR"/>
        </w:rPr>
        <w:t xml:space="preserve"> mise en place des lignes vertes (8284, 1011, 8255) pour permettre aux témoins ou à toutes personnes ayant connaissance d’un cas de violences de pouvoir dénoncer dans l’anonymat ;</w:t>
      </w:r>
    </w:p>
    <w:p w14:paraId="62384C64" w14:textId="09478E1B" w:rsidR="00850E2C" w:rsidRPr="00850E2C" w:rsidRDefault="00850E2C" w:rsidP="003F6FBA">
      <w:pPr>
        <w:pStyle w:val="Bullet1G"/>
        <w:rPr>
          <w:lang w:val="fr-FR"/>
        </w:rPr>
      </w:pPr>
      <w:r w:rsidRPr="00850E2C">
        <w:rPr>
          <w:lang w:val="fr-FR"/>
        </w:rPr>
        <w:t xml:space="preserve"> </w:t>
      </w:r>
      <w:r w:rsidR="003F6FBA" w:rsidRPr="00850E2C">
        <w:rPr>
          <w:lang w:val="fr-FR"/>
        </w:rPr>
        <w:t>L’organisation</w:t>
      </w:r>
      <w:r w:rsidRPr="00850E2C">
        <w:rPr>
          <w:lang w:val="fr-FR"/>
        </w:rPr>
        <w:t xml:space="preserve"> des sensibilisations pour déconstruire des préjugés liés au fonctionnement du système judiciaire et aussi des démarches pour faciliter l’accès des magistrats aux victimes ;</w:t>
      </w:r>
    </w:p>
    <w:p w14:paraId="7A269790" w14:textId="7DDBC88C" w:rsidR="00850E2C" w:rsidRPr="00850E2C" w:rsidRDefault="003F6FBA" w:rsidP="003F6FBA">
      <w:pPr>
        <w:pStyle w:val="Bullet1G"/>
        <w:rPr>
          <w:lang w:val="fr-FR"/>
        </w:rPr>
      </w:pPr>
      <w:r w:rsidRPr="00850E2C">
        <w:rPr>
          <w:lang w:val="fr-FR"/>
        </w:rPr>
        <w:t>L’organisation</w:t>
      </w:r>
      <w:r w:rsidR="00850E2C" w:rsidRPr="00850E2C">
        <w:rPr>
          <w:lang w:val="fr-FR"/>
        </w:rPr>
        <w:t xml:space="preserve"> des formations à l’endroit des magistrats et des agents de police et de gendarmerie pour mieux gérer en toute confidentialité les cas de VBG ;</w:t>
      </w:r>
    </w:p>
    <w:p w14:paraId="2719B095" w14:textId="4D1277DF" w:rsidR="00850E2C" w:rsidRPr="00850E2C" w:rsidRDefault="003F6FBA" w:rsidP="003F6FBA">
      <w:pPr>
        <w:pStyle w:val="Bullet1G"/>
        <w:rPr>
          <w:lang w:val="fr-FR"/>
        </w:rPr>
      </w:pPr>
      <w:r w:rsidRPr="00850E2C">
        <w:rPr>
          <w:lang w:val="fr-FR"/>
        </w:rPr>
        <w:t>L’aménagement</w:t>
      </w:r>
      <w:r w:rsidR="00850E2C" w:rsidRPr="00850E2C">
        <w:rPr>
          <w:lang w:val="fr-FR"/>
        </w:rPr>
        <w:t xml:space="preserve"> dans certains postes de police et de gendarmerie, et des cadres appropriés pour l’écoute des victimes de VBG en toute discrétion.</w:t>
      </w:r>
    </w:p>
    <w:p w14:paraId="1FD5AF89" w14:textId="0B1CE826" w:rsidR="00CC4C15" w:rsidRDefault="00850E2C" w:rsidP="00F97BC3">
      <w:pPr>
        <w:pStyle w:val="SingleTxtG"/>
        <w:numPr>
          <w:ilvl w:val="0"/>
          <w:numId w:val="4"/>
        </w:numPr>
        <w:ind w:left="1134" w:firstLine="0"/>
        <w:rPr>
          <w:lang w:val="fr-FR"/>
        </w:rPr>
      </w:pPr>
      <w:r w:rsidRPr="003F6FBA">
        <w:rPr>
          <w:bCs/>
          <w:lang w:val="fr-FR"/>
        </w:rPr>
        <w:t>Voir</w:t>
      </w:r>
      <w:r w:rsidRPr="00850E2C">
        <w:rPr>
          <w:lang w:val="fr-FR"/>
        </w:rPr>
        <w:t xml:space="preserve"> aussi les informations fournies au </w:t>
      </w:r>
      <w:r w:rsidRPr="006314E2">
        <w:rPr>
          <w:lang w:val="fr-FR"/>
        </w:rPr>
        <w:t xml:space="preserve">point </w:t>
      </w:r>
      <w:r w:rsidR="00FE40A9" w:rsidRPr="006314E2">
        <w:rPr>
          <w:lang w:val="fr-FR"/>
        </w:rPr>
        <w:t>VII</w:t>
      </w:r>
      <w:r w:rsidRPr="006314E2">
        <w:rPr>
          <w:lang w:val="fr-FR"/>
        </w:rPr>
        <w:t xml:space="preserve"> du</w:t>
      </w:r>
      <w:r w:rsidRPr="00850E2C">
        <w:rPr>
          <w:lang w:val="fr-FR"/>
        </w:rPr>
        <w:t xml:space="preserve"> document concernant le mécanisme de plaintes de la </w:t>
      </w:r>
      <w:r w:rsidRPr="00CC4C15">
        <w:rPr>
          <w:bCs/>
          <w:lang w:val="fr-FR"/>
        </w:rPr>
        <w:t>CNDH</w:t>
      </w:r>
      <w:r w:rsidRPr="00850E2C">
        <w:rPr>
          <w:lang w:val="fr-FR"/>
        </w:rPr>
        <w:t>.</w:t>
      </w:r>
    </w:p>
    <w:p w14:paraId="2BFEA6B6" w14:textId="683AD1CC" w:rsidR="00CC4C15" w:rsidRPr="00CC4C15" w:rsidRDefault="003F6FBA" w:rsidP="003F6FBA">
      <w:pPr>
        <w:pStyle w:val="H23G"/>
        <w:rPr>
          <w:lang w:val="fr-FR"/>
        </w:rPr>
      </w:pPr>
      <w:r>
        <w:rPr>
          <w:lang w:val="fr-FR"/>
        </w:rPr>
        <w:tab/>
      </w:r>
      <w:r>
        <w:rPr>
          <w:lang w:val="fr-FR"/>
        </w:rPr>
        <w:tab/>
        <w:t>Paragraphe</w:t>
      </w:r>
      <w:r w:rsidRPr="00CC4C15">
        <w:rPr>
          <w:lang w:val="fr-FR"/>
        </w:rPr>
        <w:t xml:space="preserve"> </w:t>
      </w:r>
      <w:r w:rsidR="00CC4C15" w:rsidRPr="00CC4C15">
        <w:rPr>
          <w:lang w:val="fr-FR"/>
        </w:rPr>
        <w:t>10</w:t>
      </w:r>
      <w:r w:rsidR="00850E2C" w:rsidRPr="00CC4C15">
        <w:rPr>
          <w:lang w:val="fr-FR"/>
        </w:rPr>
        <w:t>d)</w:t>
      </w:r>
    </w:p>
    <w:p w14:paraId="1D422263" w14:textId="0DA91E5E" w:rsidR="00850E2C" w:rsidRPr="00CC4C15" w:rsidRDefault="00850E2C" w:rsidP="00F97BC3">
      <w:pPr>
        <w:pStyle w:val="SingleTxtG"/>
        <w:numPr>
          <w:ilvl w:val="0"/>
          <w:numId w:val="4"/>
        </w:numPr>
        <w:ind w:left="1134" w:firstLine="0"/>
        <w:rPr>
          <w:lang w:val="fr-FR"/>
        </w:rPr>
      </w:pPr>
      <w:r w:rsidRPr="00CC4C15">
        <w:rPr>
          <w:lang w:val="fr-FR"/>
        </w:rPr>
        <w:t xml:space="preserve">S’agissant des mesures prises pour incriminer la violence domestique, le nouveau code pénal dispose en son article 237 bis que « Constituent des violences domestiques à l'égard de la femme, toutes violences exercées dans le cadre familial lorsque les deux parties sont mariées, vivent en </w:t>
      </w:r>
      <w:r w:rsidRPr="00097BAE">
        <w:rPr>
          <w:bCs/>
          <w:lang w:val="fr-FR"/>
        </w:rPr>
        <w:t>concubinage</w:t>
      </w:r>
      <w:r w:rsidRPr="00CC4C15">
        <w:rPr>
          <w:lang w:val="fr-FR"/>
        </w:rPr>
        <w:t>, ou sont des frère et sœur, ou encore lorsqu'elles vivent tout simplement sous le même toit.</w:t>
      </w:r>
    </w:p>
    <w:p w14:paraId="0D2DEA6A" w14:textId="77777777" w:rsidR="00850E2C" w:rsidRPr="00850E2C" w:rsidRDefault="00850E2C" w:rsidP="00F97BC3">
      <w:pPr>
        <w:pStyle w:val="SingleTxtG"/>
        <w:numPr>
          <w:ilvl w:val="0"/>
          <w:numId w:val="4"/>
        </w:numPr>
        <w:ind w:left="1134" w:firstLine="0"/>
        <w:rPr>
          <w:lang w:val="fr-FR"/>
        </w:rPr>
      </w:pPr>
      <w:r w:rsidRPr="00850E2C">
        <w:rPr>
          <w:lang w:val="fr-FR"/>
        </w:rPr>
        <w:t xml:space="preserve">Sont également assimilées aux violences domestiques, indépendamment du fait qu'ils partagent ou non le même </w:t>
      </w:r>
      <w:r w:rsidRPr="00097BAE">
        <w:rPr>
          <w:bCs/>
          <w:lang w:val="fr-FR"/>
        </w:rPr>
        <w:t>domicile</w:t>
      </w:r>
      <w:r w:rsidRPr="00850E2C">
        <w:rPr>
          <w:lang w:val="fr-FR"/>
        </w:rPr>
        <w:t>, toutes violences exercées entre des partenaires liés par des relations familiales actuelles ou dissoutes, entre des anciens conjoints, anciens concubins.</w:t>
      </w:r>
    </w:p>
    <w:p w14:paraId="35868BB2" w14:textId="77777777" w:rsidR="00850E2C" w:rsidRPr="00850E2C" w:rsidRDefault="00850E2C" w:rsidP="00F97BC3">
      <w:pPr>
        <w:pStyle w:val="SingleTxtG"/>
        <w:numPr>
          <w:ilvl w:val="0"/>
          <w:numId w:val="4"/>
        </w:numPr>
        <w:ind w:left="1134" w:firstLine="0"/>
        <w:rPr>
          <w:lang w:val="fr-FR"/>
        </w:rPr>
      </w:pPr>
      <w:r w:rsidRPr="00850E2C">
        <w:rPr>
          <w:lang w:val="fr-FR"/>
        </w:rPr>
        <w:t>Toute personne victime de violences domestiques peut demander une protection de la police judiciaire ou de l'autorité judiciaire, lorsqu'elle estime qu'elle est exposée à une menace, à un danger ou à un risque pour sa sécurité. L'officier de police, le procureur de la République ou le juge d'instruction saisi, décide des mesures de protection adéquates, notamment les mesures d'éloignement de l'auteur des violences ou de la victime et l'interdiction de contact et de visite.</w:t>
      </w:r>
    </w:p>
    <w:p w14:paraId="05AA056F" w14:textId="77777777" w:rsidR="00850E2C" w:rsidRPr="00850E2C" w:rsidRDefault="00850E2C" w:rsidP="00F97BC3">
      <w:pPr>
        <w:pStyle w:val="SingleTxtG"/>
        <w:numPr>
          <w:ilvl w:val="0"/>
          <w:numId w:val="4"/>
        </w:numPr>
        <w:ind w:left="1134" w:firstLine="0"/>
        <w:rPr>
          <w:lang w:val="fr-FR"/>
        </w:rPr>
      </w:pPr>
      <w:r w:rsidRPr="00850E2C">
        <w:rPr>
          <w:lang w:val="fr-FR"/>
        </w:rPr>
        <w:t xml:space="preserve">Une plainte pour </w:t>
      </w:r>
      <w:r w:rsidRPr="00097BAE">
        <w:rPr>
          <w:bCs/>
          <w:lang w:val="fr-FR"/>
        </w:rPr>
        <w:t>violences</w:t>
      </w:r>
      <w:r w:rsidRPr="00850E2C">
        <w:rPr>
          <w:lang w:val="fr-FR"/>
        </w:rPr>
        <w:t xml:space="preserve"> domestiques ne peut faire l'objet de transaction.</w:t>
      </w:r>
    </w:p>
    <w:p w14:paraId="669F17AA" w14:textId="77777777" w:rsidR="00850E2C" w:rsidRPr="00850E2C" w:rsidRDefault="00850E2C" w:rsidP="00F97BC3">
      <w:pPr>
        <w:pStyle w:val="SingleTxtG"/>
        <w:numPr>
          <w:ilvl w:val="0"/>
          <w:numId w:val="4"/>
        </w:numPr>
        <w:ind w:left="1134" w:firstLine="0"/>
        <w:rPr>
          <w:lang w:val="fr-FR"/>
        </w:rPr>
      </w:pPr>
      <w:r w:rsidRPr="00850E2C">
        <w:rPr>
          <w:lang w:val="fr-FR"/>
        </w:rPr>
        <w:t xml:space="preserve">L'Etat met en place un protocole d'accueil de toutes les victimes. Des actes réglementaires </w:t>
      </w:r>
      <w:r w:rsidRPr="00097BAE">
        <w:rPr>
          <w:bCs/>
          <w:lang w:val="fr-FR"/>
        </w:rPr>
        <w:t>déterminent</w:t>
      </w:r>
      <w:r w:rsidRPr="00850E2C">
        <w:rPr>
          <w:lang w:val="fr-FR"/>
        </w:rPr>
        <w:t xml:space="preserve"> les mécanismes d'écoute et d'assistance aux victimes. </w:t>
      </w:r>
    </w:p>
    <w:p w14:paraId="005BB246" w14:textId="77777777" w:rsidR="00850E2C" w:rsidRPr="00850E2C" w:rsidRDefault="00850E2C" w:rsidP="00F97BC3">
      <w:pPr>
        <w:pStyle w:val="SingleTxtG"/>
        <w:numPr>
          <w:ilvl w:val="0"/>
          <w:numId w:val="4"/>
        </w:numPr>
        <w:ind w:left="1134" w:firstLine="0"/>
        <w:rPr>
          <w:lang w:val="fr-FR"/>
        </w:rPr>
      </w:pPr>
      <w:r w:rsidRPr="00850E2C">
        <w:rPr>
          <w:lang w:val="fr-FR"/>
        </w:rPr>
        <w:t xml:space="preserve">Toute personne coupable de violences domestiques est punie d'une peine d'emprisonnement d'un (01) </w:t>
      </w:r>
      <w:r w:rsidRPr="00097BAE">
        <w:rPr>
          <w:bCs/>
          <w:lang w:val="fr-FR"/>
        </w:rPr>
        <w:t>an</w:t>
      </w:r>
      <w:r w:rsidRPr="00850E2C">
        <w:rPr>
          <w:lang w:val="fr-FR"/>
        </w:rPr>
        <w:t xml:space="preserve"> à cinq (05) ans et d'une amende d'un million (1.000.000) à cinq millions (5.000.000) de francs CFA ou de l'une de ces deux (2) peines ».</w:t>
      </w:r>
    </w:p>
    <w:p w14:paraId="58D2CEEA" w14:textId="47514757" w:rsidR="00850E2C" w:rsidRPr="00850E2C" w:rsidRDefault="003F6FBA" w:rsidP="003F6FBA">
      <w:pPr>
        <w:pStyle w:val="H1G"/>
        <w:rPr>
          <w:lang w:val="fr-FR"/>
        </w:rPr>
      </w:pPr>
      <w:r>
        <w:rPr>
          <w:lang w:val="fr-FR"/>
        </w:rPr>
        <w:lastRenderedPageBreak/>
        <w:tab/>
      </w:r>
      <w:r w:rsidR="0009090E">
        <w:rPr>
          <w:lang w:val="fr-FR"/>
        </w:rPr>
        <w:t>XI.</w:t>
      </w:r>
      <w:r w:rsidR="0009090E">
        <w:rPr>
          <w:lang w:val="fr-FR"/>
        </w:rPr>
        <w:tab/>
      </w:r>
      <w:r w:rsidR="00850E2C" w:rsidRPr="00850E2C">
        <w:rPr>
          <w:lang w:val="fr-FR"/>
        </w:rPr>
        <w:t>Traite des femmes et des filles et exploitation de la prostitution</w:t>
      </w:r>
    </w:p>
    <w:p w14:paraId="635F00BD" w14:textId="45BB3B32" w:rsidR="00E43AC9" w:rsidRDefault="003F6FBA" w:rsidP="003F6FBA">
      <w:pPr>
        <w:pStyle w:val="H23G"/>
        <w:rPr>
          <w:lang w:val="fr-FR"/>
        </w:rPr>
      </w:pPr>
      <w:r>
        <w:rPr>
          <w:lang w:val="fr-FR"/>
        </w:rPr>
        <w:tab/>
      </w:r>
      <w:r>
        <w:rPr>
          <w:lang w:val="fr-FR"/>
        </w:rPr>
        <w:tab/>
        <w:t xml:space="preserve">Paragraphe </w:t>
      </w:r>
      <w:r w:rsidR="00E43AC9">
        <w:rPr>
          <w:lang w:val="fr-FR"/>
        </w:rPr>
        <w:t>11</w:t>
      </w:r>
      <w:r w:rsidR="00850E2C" w:rsidRPr="00850E2C">
        <w:rPr>
          <w:lang w:val="fr-FR"/>
        </w:rPr>
        <w:t>a)</w:t>
      </w:r>
      <w:r w:rsidR="00850E2C" w:rsidRPr="00850E2C">
        <w:rPr>
          <w:lang w:val="fr-FR"/>
        </w:rPr>
        <w:tab/>
      </w:r>
    </w:p>
    <w:p w14:paraId="2A58DCA6" w14:textId="0FBD11C2" w:rsidR="00850E2C" w:rsidRPr="00850E2C" w:rsidRDefault="00850E2C" w:rsidP="00F97BC3">
      <w:pPr>
        <w:pStyle w:val="SingleTxtG"/>
        <w:numPr>
          <w:ilvl w:val="0"/>
          <w:numId w:val="4"/>
        </w:numPr>
        <w:ind w:left="1134" w:firstLine="0"/>
        <w:rPr>
          <w:lang w:val="fr-FR"/>
        </w:rPr>
      </w:pPr>
      <w:r w:rsidRPr="00850E2C">
        <w:rPr>
          <w:lang w:val="fr-FR"/>
        </w:rPr>
        <w:t xml:space="preserve">S’agissant des informations sur les ressources humaines de la Commission nationale de lutte contre la traite des </w:t>
      </w:r>
      <w:r w:rsidRPr="00097BAE">
        <w:rPr>
          <w:bCs/>
          <w:lang w:val="fr-FR"/>
        </w:rPr>
        <w:t>personnes</w:t>
      </w:r>
      <w:r w:rsidRPr="00850E2C">
        <w:rPr>
          <w:lang w:val="fr-FR"/>
        </w:rPr>
        <w:t xml:space="preserve">, les membres de la Commission ont été officiellement installés. </w:t>
      </w:r>
    </w:p>
    <w:p w14:paraId="2E1594E9" w14:textId="77777777" w:rsidR="00850E2C" w:rsidRPr="00850E2C" w:rsidRDefault="00850E2C" w:rsidP="00F97BC3">
      <w:pPr>
        <w:pStyle w:val="SingleTxtG"/>
        <w:numPr>
          <w:ilvl w:val="0"/>
          <w:numId w:val="4"/>
        </w:numPr>
        <w:ind w:left="1134" w:firstLine="0"/>
        <w:rPr>
          <w:lang w:val="fr-FR"/>
        </w:rPr>
      </w:pPr>
      <w:r w:rsidRPr="00850E2C">
        <w:rPr>
          <w:lang w:val="fr-FR"/>
        </w:rPr>
        <w:t xml:space="preserve">En ce qui concerne les ressources matérielles et financières, une ligne budgétaire est mise en place pour la prise en charge des enfants victimes de traite. Cette ligne budgétaire est en partie utilisée par la </w:t>
      </w:r>
      <w:r w:rsidRPr="00097BAE">
        <w:rPr>
          <w:bCs/>
          <w:lang w:val="fr-FR"/>
        </w:rPr>
        <w:t>Commission</w:t>
      </w:r>
      <w:r w:rsidRPr="00850E2C">
        <w:rPr>
          <w:lang w:val="fr-FR"/>
        </w:rPr>
        <w:t xml:space="preserve"> pour la réalisation des activités prévues dans son plan d’actions national.</w:t>
      </w:r>
    </w:p>
    <w:p w14:paraId="0CFE88DD" w14:textId="77777777" w:rsidR="00850E2C" w:rsidRPr="00850E2C" w:rsidRDefault="00850E2C" w:rsidP="00F97BC3">
      <w:pPr>
        <w:pStyle w:val="SingleTxtG"/>
        <w:numPr>
          <w:ilvl w:val="0"/>
          <w:numId w:val="4"/>
        </w:numPr>
        <w:ind w:left="1134" w:firstLine="0"/>
        <w:rPr>
          <w:lang w:val="fr-FR"/>
        </w:rPr>
      </w:pPr>
      <w:r w:rsidRPr="00850E2C">
        <w:rPr>
          <w:lang w:val="fr-FR"/>
        </w:rPr>
        <w:t xml:space="preserve">S’agissant du nombre de plaintes reçues, d’enquêtes ouvertes, de procédures engagées et de déclarations de </w:t>
      </w:r>
      <w:r w:rsidRPr="00097BAE">
        <w:rPr>
          <w:bCs/>
          <w:lang w:val="fr-FR"/>
        </w:rPr>
        <w:t>culpabilité</w:t>
      </w:r>
      <w:r w:rsidRPr="00850E2C">
        <w:rPr>
          <w:lang w:val="fr-FR"/>
        </w:rPr>
        <w:t xml:space="preserve"> prononcées, il faut préciser que la collecte des données a commencé en 2023 avec l’installation des membres de la Commission.</w:t>
      </w:r>
    </w:p>
    <w:p w14:paraId="14859729" w14:textId="59E4E5A4" w:rsidR="00850E2C" w:rsidRDefault="00850E2C" w:rsidP="003F6FBA">
      <w:pPr>
        <w:pStyle w:val="Heading1"/>
        <w:jc w:val="center"/>
      </w:pPr>
      <w:r w:rsidRPr="00850E2C">
        <w:t>Le tableau ci-après donne les différentes statistiques</w:t>
      </w:r>
    </w:p>
    <w:tbl>
      <w:tblPr>
        <w:tblW w:w="7370" w:type="dxa"/>
        <w:tblInd w:w="1134" w:type="dxa"/>
        <w:tblLayout w:type="fixed"/>
        <w:tblCellMar>
          <w:left w:w="0" w:type="dxa"/>
          <w:right w:w="0" w:type="dxa"/>
        </w:tblCellMar>
        <w:tblLook w:val="04A0" w:firstRow="1" w:lastRow="0" w:firstColumn="1" w:lastColumn="0" w:noHBand="0" w:noVBand="1"/>
      </w:tblPr>
      <w:tblGrid>
        <w:gridCol w:w="873"/>
        <w:gridCol w:w="1169"/>
        <w:gridCol w:w="1169"/>
        <w:gridCol w:w="654"/>
        <w:gridCol w:w="552"/>
        <w:gridCol w:w="985"/>
        <w:gridCol w:w="510"/>
        <w:gridCol w:w="469"/>
        <w:gridCol w:w="989"/>
      </w:tblGrid>
      <w:tr w:rsidR="003F6FBA" w:rsidRPr="003F6FBA" w14:paraId="2F043BBF" w14:textId="77777777" w:rsidTr="003F6FBA">
        <w:trPr>
          <w:tblHeader/>
        </w:trPr>
        <w:tc>
          <w:tcPr>
            <w:tcW w:w="873" w:type="dxa"/>
            <w:vMerge w:val="restart"/>
            <w:tcBorders>
              <w:top w:val="single" w:sz="4" w:space="0" w:color="auto"/>
              <w:bottom w:val="single" w:sz="12" w:space="0" w:color="auto"/>
            </w:tcBorders>
            <w:noWrap/>
            <w:vAlign w:val="bottom"/>
            <w:hideMark/>
          </w:tcPr>
          <w:p w14:paraId="41F28DAE" w14:textId="77777777" w:rsidR="003F6FBA" w:rsidRPr="003F6FBA" w:rsidRDefault="003F6FBA" w:rsidP="003F6FBA">
            <w:pPr>
              <w:suppressAutoHyphens w:val="0"/>
              <w:kinsoku/>
              <w:overflowPunct/>
              <w:autoSpaceDE/>
              <w:autoSpaceDN/>
              <w:adjustRightInd/>
              <w:snapToGrid/>
              <w:spacing w:before="80" w:after="80" w:line="200" w:lineRule="exact"/>
              <w:rPr>
                <w:rFonts w:eastAsia="Calibri"/>
                <w:bCs/>
                <w:i/>
                <w:sz w:val="16"/>
                <w:szCs w:val="22"/>
                <w:lang w:val="fr-FR"/>
                <w14:ligatures w14:val="standardContextual"/>
              </w:rPr>
            </w:pPr>
            <w:r w:rsidRPr="003F6FBA">
              <w:rPr>
                <w:rFonts w:eastAsia="Calibri"/>
                <w:bCs/>
                <w:i/>
                <w:sz w:val="16"/>
                <w:szCs w:val="22"/>
                <w:lang w:val="fr-FR"/>
                <w14:ligatures w14:val="standardContextual"/>
              </w:rPr>
              <w:t>ANNEES</w:t>
            </w:r>
          </w:p>
        </w:tc>
        <w:tc>
          <w:tcPr>
            <w:tcW w:w="1169" w:type="dxa"/>
            <w:vMerge w:val="restart"/>
            <w:tcBorders>
              <w:top w:val="single" w:sz="4" w:space="0" w:color="auto"/>
              <w:bottom w:val="single" w:sz="12" w:space="0" w:color="auto"/>
            </w:tcBorders>
            <w:vAlign w:val="bottom"/>
            <w:hideMark/>
          </w:tcPr>
          <w:p w14:paraId="11321C76" w14:textId="77777777" w:rsidR="003F6FBA" w:rsidRPr="003F6FBA" w:rsidRDefault="003F6FBA" w:rsidP="003F6FBA">
            <w:pPr>
              <w:suppressAutoHyphens w:val="0"/>
              <w:kinsoku/>
              <w:overflowPunct/>
              <w:autoSpaceDE/>
              <w:autoSpaceDN/>
              <w:adjustRightInd/>
              <w:snapToGrid/>
              <w:spacing w:before="80" w:after="80" w:line="200" w:lineRule="exact"/>
              <w:jc w:val="right"/>
              <w:rPr>
                <w:rFonts w:eastAsia="Calibri"/>
                <w:bCs/>
                <w:i/>
                <w:sz w:val="16"/>
                <w:szCs w:val="22"/>
                <w:lang w:val="fr-FR"/>
                <w14:ligatures w14:val="standardContextual"/>
              </w:rPr>
            </w:pPr>
            <w:r w:rsidRPr="003F6FBA">
              <w:rPr>
                <w:rFonts w:eastAsia="Calibri"/>
                <w:bCs/>
                <w:i/>
                <w:sz w:val="16"/>
                <w:szCs w:val="22"/>
                <w:lang w:val="fr-FR"/>
                <w14:ligatures w14:val="standardContextual"/>
              </w:rPr>
              <w:t xml:space="preserve">Cas signalés à la police ou à la gendarmerie </w:t>
            </w:r>
          </w:p>
        </w:tc>
        <w:tc>
          <w:tcPr>
            <w:tcW w:w="1169" w:type="dxa"/>
            <w:vMerge w:val="restart"/>
            <w:tcBorders>
              <w:top w:val="single" w:sz="4" w:space="0" w:color="auto"/>
              <w:bottom w:val="single" w:sz="12" w:space="0" w:color="auto"/>
            </w:tcBorders>
            <w:vAlign w:val="bottom"/>
            <w:hideMark/>
          </w:tcPr>
          <w:p w14:paraId="4A7AA2F3" w14:textId="77777777" w:rsidR="003F6FBA" w:rsidRPr="003F6FBA" w:rsidRDefault="003F6FBA" w:rsidP="003F6FBA">
            <w:pPr>
              <w:suppressAutoHyphens w:val="0"/>
              <w:kinsoku/>
              <w:overflowPunct/>
              <w:autoSpaceDE/>
              <w:autoSpaceDN/>
              <w:adjustRightInd/>
              <w:snapToGrid/>
              <w:spacing w:before="80" w:after="80" w:line="200" w:lineRule="exact"/>
              <w:jc w:val="right"/>
              <w:rPr>
                <w:rFonts w:eastAsia="Calibri"/>
                <w:bCs/>
                <w:i/>
                <w:sz w:val="16"/>
                <w:szCs w:val="22"/>
                <w:lang w:val="fr-FR"/>
                <w14:ligatures w14:val="standardContextual"/>
              </w:rPr>
            </w:pPr>
            <w:r w:rsidRPr="003F6FBA">
              <w:rPr>
                <w:rFonts w:eastAsia="Calibri"/>
                <w:bCs/>
                <w:i/>
                <w:sz w:val="16"/>
                <w:szCs w:val="22"/>
                <w:lang w:val="fr-FR"/>
                <w14:ligatures w14:val="standardContextual"/>
              </w:rPr>
              <w:t>Cas ayant fait l’objet d’enquête par la police ou la gendarmerie</w:t>
            </w:r>
          </w:p>
        </w:tc>
        <w:tc>
          <w:tcPr>
            <w:tcW w:w="1206" w:type="dxa"/>
            <w:gridSpan w:val="2"/>
            <w:tcBorders>
              <w:top w:val="single" w:sz="4" w:space="0" w:color="auto"/>
              <w:bottom w:val="single" w:sz="12" w:space="0" w:color="auto"/>
            </w:tcBorders>
            <w:vAlign w:val="bottom"/>
            <w:hideMark/>
          </w:tcPr>
          <w:p w14:paraId="5DCA1413" w14:textId="77777777" w:rsidR="003F6FBA" w:rsidRPr="003F6FBA" w:rsidRDefault="003F6FBA" w:rsidP="003F6FBA">
            <w:pPr>
              <w:suppressAutoHyphens w:val="0"/>
              <w:kinsoku/>
              <w:overflowPunct/>
              <w:autoSpaceDE/>
              <w:autoSpaceDN/>
              <w:adjustRightInd/>
              <w:snapToGrid/>
              <w:spacing w:before="80" w:after="80" w:line="200" w:lineRule="exact"/>
              <w:jc w:val="right"/>
              <w:rPr>
                <w:rFonts w:eastAsia="Calibri"/>
                <w:bCs/>
                <w:i/>
                <w:sz w:val="16"/>
                <w:szCs w:val="22"/>
                <w:lang w:val="fr-FR"/>
                <w14:ligatures w14:val="standardContextual"/>
              </w:rPr>
            </w:pPr>
            <w:r w:rsidRPr="003F6FBA">
              <w:rPr>
                <w:rFonts w:eastAsia="Calibri"/>
                <w:bCs/>
                <w:i/>
                <w:sz w:val="16"/>
                <w:szCs w:val="22"/>
                <w:lang w:val="fr-FR"/>
                <w14:ligatures w14:val="standardContextual"/>
              </w:rPr>
              <w:t>Nombre de personnes soupçonnées</w:t>
            </w:r>
          </w:p>
        </w:tc>
        <w:tc>
          <w:tcPr>
            <w:tcW w:w="985" w:type="dxa"/>
            <w:vMerge w:val="restart"/>
            <w:tcBorders>
              <w:top w:val="single" w:sz="4" w:space="0" w:color="auto"/>
              <w:bottom w:val="single" w:sz="12" w:space="0" w:color="auto"/>
            </w:tcBorders>
            <w:vAlign w:val="bottom"/>
            <w:hideMark/>
          </w:tcPr>
          <w:p w14:paraId="2C7107E7" w14:textId="77777777" w:rsidR="003F6FBA" w:rsidRPr="003F6FBA" w:rsidRDefault="003F6FBA" w:rsidP="003F6FBA">
            <w:pPr>
              <w:suppressAutoHyphens w:val="0"/>
              <w:kinsoku/>
              <w:overflowPunct/>
              <w:autoSpaceDE/>
              <w:autoSpaceDN/>
              <w:adjustRightInd/>
              <w:snapToGrid/>
              <w:spacing w:before="80" w:after="80" w:line="200" w:lineRule="exact"/>
              <w:jc w:val="right"/>
              <w:rPr>
                <w:rFonts w:eastAsia="Calibri"/>
                <w:bCs/>
                <w:i/>
                <w:sz w:val="16"/>
                <w:szCs w:val="22"/>
                <w:lang w:val="fr-FR"/>
                <w14:ligatures w14:val="standardContextual"/>
              </w:rPr>
            </w:pPr>
            <w:r w:rsidRPr="003F6FBA">
              <w:rPr>
                <w:rFonts w:eastAsia="Calibri"/>
                <w:bCs/>
                <w:i/>
                <w:sz w:val="16"/>
                <w:szCs w:val="22"/>
                <w:lang w:val="fr-FR"/>
                <w14:ligatures w14:val="standardContextual"/>
              </w:rPr>
              <w:t xml:space="preserve">Cas de ayant fait l’objet de poursuites judiciaires </w:t>
            </w:r>
          </w:p>
        </w:tc>
        <w:tc>
          <w:tcPr>
            <w:tcW w:w="979" w:type="dxa"/>
            <w:gridSpan w:val="2"/>
            <w:tcBorders>
              <w:top w:val="single" w:sz="4" w:space="0" w:color="auto"/>
              <w:bottom w:val="single" w:sz="12" w:space="0" w:color="auto"/>
            </w:tcBorders>
            <w:vAlign w:val="bottom"/>
            <w:hideMark/>
          </w:tcPr>
          <w:p w14:paraId="0748EB15" w14:textId="77777777" w:rsidR="003F6FBA" w:rsidRPr="003F6FBA" w:rsidRDefault="003F6FBA" w:rsidP="003F6FBA">
            <w:pPr>
              <w:suppressAutoHyphens w:val="0"/>
              <w:kinsoku/>
              <w:overflowPunct/>
              <w:autoSpaceDE/>
              <w:autoSpaceDN/>
              <w:adjustRightInd/>
              <w:snapToGrid/>
              <w:spacing w:before="80" w:after="80" w:line="200" w:lineRule="exact"/>
              <w:jc w:val="right"/>
              <w:rPr>
                <w:rFonts w:eastAsia="Calibri"/>
                <w:bCs/>
                <w:i/>
                <w:sz w:val="16"/>
                <w:szCs w:val="22"/>
                <w:lang w:val="fr-FR"/>
                <w14:ligatures w14:val="standardContextual"/>
              </w:rPr>
            </w:pPr>
            <w:r w:rsidRPr="003F6FBA">
              <w:rPr>
                <w:rFonts w:eastAsia="Calibri"/>
                <w:bCs/>
                <w:i/>
                <w:sz w:val="16"/>
                <w:szCs w:val="22"/>
                <w:lang w:val="fr-FR"/>
                <w14:ligatures w14:val="standardContextual"/>
              </w:rPr>
              <w:t xml:space="preserve">Nombre de personnes inculpées </w:t>
            </w:r>
          </w:p>
        </w:tc>
        <w:tc>
          <w:tcPr>
            <w:tcW w:w="989" w:type="dxa"/>
            <w:vMerge w:val="restart"/>
            <w:tcBorders>
              <w:top w:val="single" w:sz="4" w:space="0" w:color="auto"/>
              <w:bottom w:val="single" w:sz="12" w:space="0" w:color="auto"/>
            </w:tcBorders>
            <w:vAlign w:val="bottom"/>
            <w:hideMark/>
          </w:tcPr>
          <w:p w14:paraId="136F4705" w14:textId="77777777" w:rsidR="003F6FBA" w:rsidRPr="003F6FBA" w:rsidRDefault="003F6FBA" w:rsidP="003F6FBA">
            <w:pPr>
              <w:suppressAutoHyphens w:val="0"/>
              <w:kinsoku/>
              <w:overflowPunct/>
              <w:autoSpaceDE/>
              <w:autoSpaceDN/>
              <w:adjustRightInd/>
              <w:snapToGrid/>
              <w:spacing w:before="80" w:after="80" w:line="200" w:lineRule="exact"/>
              <w:jc w:val="right"/>
              <w:rPr>
                <w:rFonts w:eastAsia="Calibri"/>
                <w:bCs/>
                <w:i/>
                <w:sz w:val="16"/>
                <w:szCs w:val="22"/>
                <w:lang w:val="fr-FR"/>
                <w14:ligatures w14:val="standardContextual"/>
              </w:rPr>
            </w:pPr>
            <w:r w:rsidRPr="003F6FBA">
              <w:rPr>
                <w:rFonts w:eastAsia="Calibri"/>
                <w:bCs/>
                <w:i/>
                <w:sz w:val="16"/>
                <w:szCs w:val="22"/>
                <w:lang w:val="fr-FR"/>
                <w14:ligatures w14:val="standardContextual"/>
              </w:rPr>
              <w:t>Nombre de personnes inculpées ayant fait l’objet de liberté provisoire </w:t>
            </w:r>
          </w:p>
        </w:tc>
      </w:tr>
      <w:tr w:rsidR="003F6FBA" w:rsidRPr="003F6FBA" w14:paraId="47E4E330" w14:textId="77777777" w:rsidTr="003F6FBA">
        <w:trPr>
          <w:tblHeader/>
        </w:trPr>
        <w:tc>
          <w:tcPr>
            <w:tcW w:w="873" w:type="dxa"/>
            <w:vMerge/>
            <w:tcBorders>
              <w:top w:val="single" w:sz="12" w:space="0" w:color="auto"/>
            </w:tcBorders>
            <w:vAlign w:val="bottom"/>
            <w:hideMark/>
          </w:tcPr>
          <w:p w14:paraId="5074D950" w14:textId="77777777" w:rsidR="003F6FBA" w:rsidRPr="003F6FBA" w:rsidRDefault="003F6FBA" w:rsidP="003F6FBA">
            <w:pPr>
              <w:suppressAutoHyphens w:val="0"/>
              <w:kinsoku/>
              <w:overflowPunct/>
              <w:autoSpaceDE/>
              <w:autoSpaceDN/>
              <w:adjustRightInd/>
              <w:snapToGrid/>
              <w:spacing w:before="40" w:after="40" w:line="220" w:lineRule="exact"/>
              <w:rPr>
                <w:rFonts w:eastAsia="Calibri"/>
                <w:b/>
                <w:bCs/>
                <w:sz w:val="18"/>
                <w:szCs w:val="22"/>
                <w:lang w:val="fr-FR"/>
                <w14:ligatures w14:val="standardContextual"/>
              </w:rPr>
            </w:pPr>
          </w:p>
        </w:tc>
        <w:tc>
          <w:tcPr>
            <w:tcW w:w="1169" w:type="dxa"/>
            <w:vMerge/>
            <w:tcBorders>
              <w:top w:val="single" w:sz="12" w:space="0" w:color="auto"/>
            </w:tcBorders>
            <w:vAlign w:val="bottom"/>
            <w:hideMark/>
          </w:tcPr>
          <w:p w14:paraId="2DC1C47B"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p>
        </w:tc>
        <w:tc>
          <w:tcPr>
            <w:tcW w:w="1169" w:type="dxa"/>
            <w:vMerge/>
            <w:tcBorders>
              <w:top w:val="single" w:sz="12" w:space="0" w:color="auto"/>
            </w:tcBorders>
            <w:vAlign w:val="bottom"/>
            <w:hideMark/>
          </w:tcPr>
          <w:p w14:paraId="7D9B642B"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p>
        </w:tc>
        <w:tc>
          <w:tcPr>
            <w:tcW w:w="654" w:type="dxa"/>
            <w:tcBorders>
              <w:top w:val="single" w:sz="12" w:space="0" w:color="auto"/>
            </w:tcBorders>
            <w:vAlign w:val="bottom"/>
            <w:hideMark/>
          </w:tcPr>
          <w:p w14:paraId="4D5EBC62"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M</w:t>
            </w:r>
          </w:p>
        </w:tc>
        <w:tc>
          <w:tcPr>
            <w:tcW w:w="552" w:type="dxa"/>
            <w:tcBorders>
              <w:top w:val="single" w:sz="12" w:space="0" w:color="auto"/>
            </w:tcBorders>
            <w:vAlign w:val="bottom"/>
            <w:hideMark/>
          </w:tcPr>
          <w:p w14:paraId="466DD1B2"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F</w:t>
            </w:r>
          </w:p>
        </w:tc>
        <w:tc>
          <w:tcPr>
            <w:tcW w:w="985" w:type="dxa"/>
            <w:vMerge/>
            <w:tcBorders>
              <w:top w:val="single" w:sz="12" w:space="0" w:color="auto"/>
            </w:tcBorders>
            <w:vAlign w:val="bottom"/>
            <w:hideMark/>
          </w:tcPr>
          <w:p w14:paraId="7E12682F"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p>
        </w:tc>
        <w:tc>
          <w:tcPr>
            <w:tcW w:w="510" w:type="dxa"/>
            <w:tcBorders>
              <w:top w:val="single" w:sz="12" w:space="0" w:color="auto"/>
            </w:tcBorders>
            <w:vAlign w:val="bottom"/>
            <w:hideMark/>
          </w:tcPr>
          <w:p w14:paraId="2333E111"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M</w:t>
            </w:r>
          </w:p>
        </w:tc>
        <w:tc>
          <w:tcPr>
            <w:tcW w:w="469" w:type="dxa"/>
            <w:tcBorders>
              <w:top w:val="single" w:sz="12" w:space="0" w:color="auto"/>
            </w:tcBorders>
            <w:vAlign w:val="bottom"/>
            <w:hideMark/>
          </w:tcPr>
          <w:p w14:paraId="184E04BF"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F</w:t>
            </w:r>
          </w:p>
        </w:tc>
        <w:tc>
          <w:tcPr>
            <w:tcW w:w="989" w:type="dxa"/>
            <w:vMerge/>
            <w:tcBorders>
              <w:top w:val="single" w:sz="12" w:space="0" w:color="auto"/>
            </w:tcBorders>
            <w:vAlign w:val="bottom"/>
            <w:hideMark/>
          </w:tcPr>
          <w:p w14:paraId="0418D660"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p>
        </w:tc>
      </w:tr>
      <w:tr w:rsidR="003F6FBA" w:rsidRPr="003F6FBA" w14:paraId="4943FCFF" w14:textId="77777777" w:rsidTr="003F6FBA">
        <w:tc>
          <w:tcPr>
            <w:tcW w:w="873" w:type="dxa"/>
            <w:noWrap/>
            <w:hideMark/>
          </w:tcPr>
          <w:p w14:paraId="32EC78C3" w14:textId="77777777" w:rsidR="003F6FBA" w:rsidRPr="003F6FBA" w:rsidRDefault="003F6FBA" w:rsidP="003F6FBA">
            <w:pPr>
              <w:suppressAutoHyphens w:val="0"/>
              <w:kinsoku/>
              <w:overflowPunct/>
              <w:autoSpaceDE/>
              <w:autoSpaceDN/>
              <w:adjustRightInd/>
              <w:snapToGrid/>
              <w:spacing w:before="40" w:after="40" w:line="220" w:lineRule="exact"/>
              <w:rPr>
                <w:rFonts w:eastAsia="Calibri"/>
                <w:b/>
                <w:bCs/>
                <w:sz w:val="18"/>
                <w:szCs w:val="22"/>
                <w:lang w:val="fr-FR"/>
                <w14:ligatures w14:val="standardContextual"/>
              </w:rPr>
            </w:pPr>
            <w:r w:rsidRPr="003F6FBA">
              <w:rPr>
                <w:rFonts w:eastAsia="Calibri"/>
                <w:b/>
                <w:bCs/>
                <w:sz w:val="18"/>
                <w:szCs w:val="22"/>
                <w:lang w:val="fr-FR"/>
                <w14:ligatures w14:val="standardContextual"/>
              </w:rPr>
              <w:t>2023</w:t>
            </w:r>
          </w:p>
        </w:tc>
        <w:tc>
          <w:tcPr>
            <w:tcW w:w="1169" w:type="dxa"/>
            <w:noWrap/>
            <w:vAlign w:val="bottom"/>
            <w:hideMark/>
          </w:tcPr>
          <w:p w14:paraId="34E19FE4"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46</w:t>
            </w:r>
          </w:p>
        </w:tc>
        <w:tc>
          <w:tcPr>
            <w:tcW w:w="1169" w:type="dxa"/>
            <w:noWrap/>
            <w:vAlign w:val="bottom"/>
            <w:hideMark/>
          </w:tcPr>
          <w:p w14:paraId="4EBFB981"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46</w:t>
            </w:r>
          </w:p>
        </w:tc>
        <w:tc>
          <w:tcPr>
            <w:tcW w:w="1206" w:type="dxa"/>
            <w:gridSpan w:val="2"/>
            <w:noWrap/>
            <w:vAlign w:val="bottom"/>
            <w:hideMark/>
          </w:tcPr>
          <w:p w14:paraId="2C3C753D"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66</w:t>
            </w:r>
          </w:p>
        </w:tc>
        <w:tc>
          <w:tcPr>
            <w:tcW w:w="985" w:type="dxa"/>
            <w:noWrap/>
            <w:vAlign w:val="bottom"/>
            <w:hideMark/>
          </w:tcPr>
          <w:p w14:paraId="266A63CD"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46</w:t>
            </w:r>
          </w:p>
        </w:tc>
        <w:tc>
          <w:tcPr>
            <w:tcW w:w="979" w:type="dxa"/>
            <w:gridSpan w:val="2"/>
            <w:noWrap/>
            <w:vAlign w:val="bottom"/>
            <w:hideMark/>
          </w:tcPr>
          <w:p w14:paraId="5A83839E"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68</w:t>
            </w:r>
          </w:p>
        </w:tc>
        <w:tc>
          <w:tcPr>
            <w:tcW w:w="989" w:type="dxa"/>
            <w:noWrap/>
            <w:vAlign w:val="bottom"/>
            <w:hideMark/>
          </w:tcPr>
          <w:p w14:paraId="025D1D91"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38</w:t>
            </w:r>
          </w:p>
        </w:tc>
      </w:tr>
      <w:tr w:rsidR="003F6FBA" w:rsidRPr="003F6FBA" w14:paraId="74C35DAD" w14:textId="77777777" w:rsidTr="003F6FBA">
        <w:tc>
          <w:tcPr>
            <w:tcW w:w="873" w:type="dxa"/>
            <w:noWrap/>
            <w:hideMark/>
          </w:tcPr>
          <w:p w14:paraId="504D9AC1" w14:textId="77777777" w:rsidR="003F6FBA" w:rsidRPr="003F6FBA" w:rsidRDefault="003F6FBA" w:rsidP="003F6FBA">
            <w:pPr>
              <w:suppressAutoHyphens w:val="0"/>
              <w:kinsoku/>
              <w:overflowPunct/>
              <w:autoSpaceDE/>
              <w:autoSpaceDN/>
              <w:adjustRightInd/>
              <w:snapToGrid/>
              <w:spacing w:before="40" w:after="40" w:line="220" w:lineRule="exact"/>
              <w:rPr>
                <w:rFonts w:eastAsia="Calibri"/>
                <w:b/>
                <w:bCs/>
                <w:sz w:val="18"/>
                <w:szCs w:val="22"/>
                <w:lang w:val="fr-FR"/>
                <w14:ligatures w14:val="standardContextual"/>
              </w:rPr>
            </w:pPr>
            <w:r w:rsidRPr="003F6FBA">
              <w:rPr>
                <w:rFonts w:eastAsia="Calibri"/>
                <w:b/>
                <w:bCs/>
                <w:sz w:val="18"/>
                <w:szCs w:val="22"/>
                <w:lang w:val="fr-FR"/>
                <w14:ligatures w14:val="standardContextual"/>
              </w:rPr>
              <w:t>2024</w:t>
            </w:r>
          </w:p>
        </w:tc>
        <w:tc>
          <w:tcPr>
            <w:tcW w:w="1169" w:type="dxa"/>
            <w:noWrap/>
            <w:vAlign w:val="bottom"/>
            <w:hideMark/>
          </w:tcPr>
          <w:p w14:paraId="4C36BFF8"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41</w:t>
            </w:r>
          </w:p>
        </w:tc>
        <w:tc>
          <w:tcPr>
            <w:tcW w:w="1169" w:type="dxa"/>
            <w:noWrap/>
            <w:vAlign w:val="bottom"/>
            <w:hideMark/>
          </w:tcPr>
          <w:p w14:paraId="6B6F6F79"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41</w:t>
            </w:r>
          </w:p>
        </w:tc>
        <w:tc>
          <w:tcPr>
            <w:tcW w:w="654" w:type="dxa"/>
            <w:noWrap/>
            <w:vAlign w:val="bottom"/>
            <w:hideMark/>
          </w:tcPr>
          <w:p w14:paraId="2D1461C1"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50</w:t>
            </w:r>
          </w:p>
        </w:tc>
        <w:tc>
          <w:tcPr>
            <w:tcW w:w="552" w:type="dxa"/>
            <w:noWrap/>
            <w:vAlign w:val="bottom"/>
            <w:hideMark/>
          </w:tcPr>
          <w:p w14:paraId="01F6F911"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18</w:t>
            </w:r>
          </w:p>
        </w:tc>
        <w:tc>
          <w:tcPr>
            <w:tcW w:w="985" w:type="dxa"/>
            <w:noWrap/>
            <w:vAlign w:val="bottom"/>
            <w:hideMark/>
          </w:tcPr>
          <w:p w14:paraId="7ABDAD61"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31</w:t>
            </w:r>
          </w:p>
        </w:tc>
        <w:tc>
          <w:tcPr>
            <w:tcW w:w="510" w:type="dxa"/>
            <w:noWrap/>
            <w:vAlign w:val="bottom"/>
            <w:hideMark/>
          </w:tcPr>
          <w:p w14:paraId="59B168E3"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34</w:t>
            </w:r>
          </w:p>
        </w:tc>
        <w:tc>
          <w:tcPr>
            <w:tcW w:w="469" w:type="dxa"/>
            <w:noWrap/>
            <w:vAlign w:val="bottom"/>
            <w:hideMark/>
          </w:tcPr>
          <w:p w14:paraId="0611A69C"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15</w:t>
            </w:r>
          </w:p>
        </w:tc>
        <w:tc>
          <w:tcPr>
            <w:tcW w:w="989" w:type="dxa"/>
            <w:noWrap/>
            <w:vAlign w:val="bottom"/>
            <w:hideMark/>
          </w:tcPr>
          <w:p w14:paraId="6E314F7D"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sz w:val="18"/>
                <w:szCs w:val="22"/>
                <w:lang w:val="fr-FR"/>
                <w14:ligatures w14:val="standardContextual"/>
              </w:rPr>
            </w:pPr>
            <w:r w:rsidRPr="003F6FBA">
              <w:rPr>
                <w:rFonts w:eastAsia="Calibri"/>
                <w:sz w:val="18"/>
                <w:szCs w:val="22"/>
                <w:lang w:val="fr-FR"/>
                <w14:ligatures w14:val="standardContextual"/>
              </w:rPr>
              <w:t>33</w:t>
            </w:r>
          </w:p>
        </w:tc>
      </w:tr>
      <w:tr w:rsidR="003F6FBA" w:rsidRPr="003F6FBA" w14:paraId="7DFE5BED" w14:textId="77777777" w:rsidTr="003F6FBA">
        <w:tc>
          <w:tcPr>
            <w:tcW w:w="873" w:type="dxa"/>
            <w:tcBorders>
              <w:bottom w:val="single" w:sz="12" w:space="0" w:color="auto"/>
            </w:tcBorders>
            <w:noWrap/>
            <w:hideMark/>
          </w:tcPr>
          <w:p w14:paraId="05EDAC03" w14:textId="77777777" w:rsidR="003F6FBA" w:rsidRPr="003F6FBA" w:rsidRDefault="003F6FBA" w:rsidP="003F6FBA">
            <w:pPr>
              <w:suppressAutoHyphens w:val="0"/>
              <w:kinsoku/>
              <w:overflowPunct/>
              <w:autoSpaceDE/>
              <w:autoSpaceDN/>
              <w:adjustRightInd/>
              <w:snapToGrid/>
              <w:spacing w:before="40" w:after="40" w:line="220" w:lineRule="exact"/>
              <w:rPr>
                <w:rFonts w:eastAsia="Calibri"/>
                <w:b/>
                <w:bCs/>
                <w:sz w:val="18"/>
                <w:szCs w:val="22"/>
                <w:lang w:val="fr-FR"/>
                <w14:ligatures w14:val="standardContextual"/>
              </w:rPr>
            </w:pPr>
            <w:r w:rsidRPr="003F6FBA">
              <w:rPr>
                <w:rFonts w:eastAsia="Calibri"/>
                <w:b/>
                <w:bCs/>
                <w:sz w:val="18"/>
                <w:szCs w:val="22"/>
                <w:lang w:val="fr-FR"/>
                <w14:ligatures w14:val="standardContextual"/>
              </w:rPr>
              <w:t>TOTAL</w:t>
            </w:r>
          </w:p>
        </w:tc>
        <w:tc>
          <w:tcPr>
            <w:tcW w:w="1169" w:type="dxa"/>
            <w:tcBorders>
              <w:bottom w:val="single" w:sz="12" w:space="0" w:color="auto"/>
            </w:tcBorders>
            <w:noWrap/>
            <w:vAlign w:val="bottom"/>
            <w:hideMark/>
          </w:tcPr>
          <w:p w14:paraId="09ECB3CD"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87</w:t>
            </w:r>
          </w:p>
        </w:tc>
        <w:tc>
          <w:tcPr>
            <w:tcW w:w="1169" w:type="dxa"/>
            <w:tcBorders>
              <w:bottom w:val="single" w:sz="12" w:space="0" w:color="auto"/>
            </w:tcBorders>
            <w:noWrap/>
            <w:vAlign w:val="bottom"/>
            <w:hideMark/>
          </w:tcPr>
          <w:p w14:paraId="58BA889A"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87</w:t>
            </w:r>
          </w:p>
        </w:tc>
        <w:tc>
          <w:tcPr>
            <w:tcW w:w="1206" w:type="dxa"/>
            <w:gridSpan w:val="2"/>
            <w:tcBorders>
              <w:bottom w:val="single" w:sz="12" w:space="0" w:color="auto"/>
            </w:tcBorders>
            <w:noWrap/>
            <w:vAlign w:val="bottom"/>
            <w:hideMark/>
          </w:tcPr>
          <w:p w14:paraId="07176094"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134</w:t>
            </w:r>
          </w:p>
        </w:tc>
        <w:tc>
          <w:tcPr>
            <w:tcW w:w="985" w:type="dxa"/>
            <w:tcBorders>
              <w:bottom w:val="single" w:sz="12" w:space="0" w:color="auto"/>
            </w:tcBorders>
            <w:noWrap/>
            <w:vAlign w:val="bottom"/>
            <w:hideMark/>
          </w:tcPr>
          <w:p w14:paraId="26E0BF12"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77</w:t>
            </w:r>
          </w:p>
        </w:tc>
        <w:tc>
          <w:tcPr>
            <w:tcW w:w="979" w:type="dxa"/>
            <w:gridSpan w:val="2"/>
            <w:tcBorders>
              <w:bottom w:val="single" w:sz="12" w:space="0" w:color="auto"/>
            </w:tcBorders>
            <w:noWrap/>
            <w:vAlign w:val="bottom"/>
            <w:hideMark/>
          </w:tcPr>
          <w:p w14:paraId="170EDCF3"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117</w:t>
            </w:r>
          </w:p>
        </w:tc>
        <w:tc>
          <w:tcPr>
            <w:tcW w:w="989" w:type="dxa"/>
            <w:tcBorders>
              <w:bottom w:val="single" w:sz="12" w:space="0" w:color="auto"/>
            </w:tcBorders>
            <w:noWrap/>
            <w:vAlign w:val="bottom"/>
            <w:hideMark/>
          </w:tcPr>
          <w:p w14:paraId="303F0DBA" w14:textId="77777777" w:rsidR="003F6FBA" w:rsidRPr="003F6FBA" w:rsidRDefault="003F6FBA" w:rsidP="003F6FBA">
            <w:pPr>
              <w:suppressAutoHyphens w:val="0"/>
              <w:kinsoku/>
              <w:overflowPunct/>
              <w:autoSpaceDE/>
              <w:autoSpaceDN/>
              <w:adjustRightInd/>
              <w:snapToGrid/>
              <w:spacing w:before="40" w:after="40" w:line="220" w:lineRule="exact"/>
              <w:jc w:val="right"/>
              <w:rPr>
                <w:rFonts w:eastAsia="Calibri"/>
                <w:b/>
                <w:bCs/>
                <w:sz w:val="18"/>
                <w:szCs w:val="22"/>
                <w:lang w:val="fr-FR"/>
                <w14:ligatures w14:val="standardContextual"/>
              </w:rPr>
            </w:pPr>
            <w:r w:rsidRPr="003F6FBA">
              <w:rPr>
                <w:rFonts w:eastAsia="Calibri"/>
                <w:b/>
                <w:bCs/>
                <w:sz w:val="18"/>
                <w:szCs w:val="22"/>
                <w:lang w:val="fr-FR"/>
                <w14:ligatures w14:val="standardContextual"/>
              </w:rPr>
              <w:t>71</w:t>
            </w:r>
          </w:p>
        </w:tc>
      </w:tr>
    </w:tbl>
    <w:p w14:paraId="4946C067" w14:textId="428512FB" w:rsidR="003F6FBA" w:rsidRPr="00850E2C" w:rsidRDefault="003F6FBA" w:rsidP="00F97BC3">
      <w:pPr>
        <w:pStyle w:val="SingleTxtG"/>
        <w:numPr>
          <w:ilvl w:val="0"/>
          <w:numId w:val="4"/>
        </w:numPr>
        <w:ind w:left="1134" w:firstLine="0"/>
      </w:pPr>
      <w:r w:rsidRPr="00850E2C">
        <w:t xml:space="preserve">Les </w:t>
      </w:r>
      <w:r w:rsidRPr="00E43AC9">
        <w:rPr>
          <w:lang w:val="fr-FR"/>
        </w:rPr>
        <w:t>principales</w:t>
      </w:r>
      <w:r w:rsidRPr="00850E2C">
        <w:t xml:space="preserve"> infractions sont les </w:t>
      </w:r>
      <w:r w:rsidRPr="003F6FBA">
        <w:t>suivantes</w:t>
      </w:r>
      <w:r w:rsidRPr="00850E2C">
        <w:t> :</w:t>
      </w:r>
    </w:p>
    <w:p w14:paraId="6404ACDA" w14:textId="506CB35F" w:rsidR="00850E2C" w:rsidRPr="00850E2C" w:rsidRDefault="003F6FBA" w:rsidP="003F6FBA">
      <w:pPr>
        <w:pStyle w:val="Bullet1G"/>
        <w:rPr>
          <w:lang w:val="fr-FR"/>
        </w:rPr>
      </w:pPr>
      <w:r w:rsidRPr="00850E2C">
        <w:rPr>
          <w:lang w:val="fr-FR"/>
        </w:rPr>
        <w:t>Traite</w:t>
      </w:r>
      <w:r w:rsidR="00850E2C" w:rsidRPr="00850E2C">
        <w:rPr>
          <w:lang w:val="fr-FR"/>
        </w:rPr>
        <w:t xml:space="preserve"> des personnes et trafic illicite de migrants (tentative de mariages forcés et enlèvement) ;</w:t>
      </w:r>
    </w:p>
    <w:p w14:paraId="0AE588FB" w14:textId="6BDA35AF" w:rsidR="00850E2C" w:rsidRPr="00850E2C" w:rsidRDefault="003F6FBA" w:rsidP="003F6FBA">
      <w:pPr>
        <w:pStyle w:val="Bullet1G"/>
        <w:rPr>
          <w:lang w:val="fr-FR"/>
        </w:rPr>
      </w:pPr>
      <w:r w:rsidRPr="00850E2C">
        <w:rPr>
          <w:lang w:val="fr-FR"/>
        </w:rPr>
        <w:t>Exploitation</w:t>
      </w:r>
      <w:r w:rsidR="00850E2C" w:rsidRPr="00850E2C">
        <w:rPr>
          <w:lang w:val="fr-FR"/>
        </w:rPr>
        <w:t xml:space="preserve"> par le travail et la réalisation d’activités illicites ; </w:t>
      </w:r>
    </w:p>
    <w:p w14:paraId="6F0CC727" w14:textId="1AFF10F1" w:rsidR="00850E2C" w:rsidRPr="00850E2C" w:rsidRDefault="003F6FBA" w:rsidP="003F6FBA">
      <w:pPr>
        <w:pStyle w:val="Bullet1G"/>
        <w:rPr>
          <w:lang w:val="fr-FR"/>
        </w:rPr>
      </w:pPr>
      <w:r w:rsidRPr="00850E2C">
        <w:rPr>
          <w:lang w:val="fr-FR"/>
        </w:rPr>
        <w:t>Traite</w:t>
      </w:r>
      <w:r w:rsidR="00850E2C" w:rsidRPr="00850E2C">
        <w:rPr>
          <w:lang w:val="fr-FR"/>
        </w:rPr>
        <w:t xml:space="preserve"> de personnes, proxénétisme, prostitution infantile et viol.</w:t>
      </w:r>
    </w:p>
    <w:p w14:paraId="58410B18" w14:textId="77777777" w:rsidR="00850E2C" w:rsidRPr="00850E2C" w:rsidRDefault="00850E2C" w:rsidP="00F97BC3">
      <w:pPr>
        <w:pStyle w:val="SingleTxtG"/>
        <w:numPr>
          <w:ilvl w:val="0"/>
          <w:numId w:val="4"/>
        </w:numPr>
        <w:ind w:left="1134" w:firstLine="0"/>
      </w:pPr>
      <w:r w:rsidRPr="00850E2C">
        <w:t>Pour ce qui est des réparations accordées aux victimes de la traite, notamment sur le nombre de personnes ayant bénéficié de mesures de protection et de soutien</w:t>
      </w:r>
      <w:bookmarkStart w:id="0" w:name="_Hlk213403562"/>
      <w:r w:rsidRPr="00850E2C">
        <w:t>, il faut noter qu’entre 2019 et le 30 juin 2025 :</w:t>
      </w:r>
    </w:p>
    <w:p w14:paraId="52536F29" w14:textId="77777777" w:rsidR="00850E2C" w:rsidRPr="00850E2C" w:rsidRDefault="00850E2C" w:rsidP="003F6FBA">
      <w:pPr>
        <w:pStyle w:val="Bullet1G"/>
        <w:rPr>
          <w:lang w:val="fr-FR"/>
        </w:rPr>
      </w:pPr>
      <w:r w:rsidRPr="00850E2C">
        <w:rPr>
          <w:bCs/>
          <w:lang w:val="fr-FR"/>
        </w:rPr>
        <w:t xml:space="preserve">665 personnes victimes de traite dont 624 enfants </w:t>
      </w:r>
      <w:r w:rsidRPr="00850E2C">
        <w:rPr>
          <w:lang w:val="fr-FR"/>
        </w:rPr>
        <w:t>ont été accueillies, prises en charge, réintégrées dans leurs familles biologiques ou rapatriées dans leurs pays respectifs (</w:t>
      </w:r>
      <w:r w:rsidRPr="00850E2C">
        <w:rPr>
          <w:bCs/>
          <w:lang w:val="fr-FR"/>
        </w:rPr>
        <w:t>année 2019</w:t>
      </w:r>
      <w:r w:rsidRPr="00850E2C">
        <w:rPr>
          <w:lang w:val="fr-FR"/>
        </w:rPr>
        <w:t xml:space="preserve"> : 147 victimes ; </w:t>
      </w:r>
      <w:r w:rsidRPr="00850E2C">
        <w:rPr>
          <w:bCs/>
          <w:lang w:val="fr-FR"/>
        </w:rPr>
        <w:t>année 2020</w:t>
      </w:r>
      <w:r w:rsidRPr="00850E2C">
        <w:rPr>
          <w:lang w:val="fr-FR"/>
        </w:rPr>
        <w:t xml:space="preserve"> : 34 victimes ; </w:t>
      </w:r>
      <w:r w:rsidRPr="00850E2C">
        <w:rPr>
          <w:bCs/>
          <w:lang w:val="fr-FR"/>
        </w:rPr>
        <w:t>année 2021</w:t>
      </w:r>
      <w:r w:rsidRPr="00850E2C">
        <w:rPr>
          <w:lang w:val="fr-FR"/>
        </w:rPr>
        <w:t xml:space="preserve"> : 110 victimes ; </w:t>
      </w:r>
      <w:r w:rsidRPr="00850E2C">
        <w:rPr>
          <w:bCs/>
          <w:lang w:val="fr-FR"/>
        </w:rPr>
        <w:t>année 2022</w:t>
      </w:r>
      <w:r w:rsidRPr="00850E2C">
        <w:rPr>
          <w:lang w:val="fr-FR"/>
        </w:rPr>
        <w:t xml:space="preserve"> : 41 victimes ; </w:t>
      </w:r>
      <w:r w:rsidRPr="00850E2C">
        <w:rPr>
          <w:bCs/>
          <w:lang w:val="fr-FR"/>
        </w:rPr>
        <w:t>année 2023</w:t>
      </w:r>
      <w:r w:rsidRPr="00850E2C">
        <w:rPr>
          <w:lang w:val="fr-FR"/>
        </w:rPr>
        <w:t xml:space="preserve"> : 259 victimes ; </w:t>
      </w:r>
      <w:r w:rsidRPr="00850E2C">
        <w:rPr>
          <w:bCs/>
          <w:lang w:val="fr-FR"/>
        </w:rPr>
        <w:t>année 2024</w:t>
      </w:r>
      <w:r w:rsidRPr="00850E2C">
        <w:rPr>
          <w:lang w:val="fr-FR"/>
        </w:rPr>
        <w:t> : 68 victimes ; 1</w:t>
      </w:r>
      <w:r w:rsidRPr="00850E2C">
        <w:rPr>
          <w:vertAlign w:val="superscript"/>
          <w:lang w:val="fr-FR"/>
        </w:rPr>
        <w:t>er</w:t>
      </w:r>
      <w:r w:rsidRPr="00850E2C">
        <w:rPr>
          <w:lang w:val="fr-FR"/>
        </w:rPr>
        <w:t xml:space="preserve"> semestre 2025 : 06 victimes) ;</w:t>
      </w:r>
    </w:p>
    <w:p w14:paraId="65DC50C2" w14:textId="77777777" w:rsidR="00850E2C" w:rsidRPr="00850E2C" w:rsidRDefault="00850E2C" w:rsidP="003F6FBA">
      <w:pPr>
        <w:pStyle w:val="Bullet1G"/>
        <w:rPr>
          <w:lang w:val="fr-FR"/>
        </w:rPr>
      </w:pPr>
      <w:r w:rsidRPr="00850E2C">
        <w:rPr>
          <w:bCs/>
          <w:lang w:val="fr-FR"/>
        </w:rPr>
        <w:t xml:space="preserve">239 victimes de traite et de trafic illicite des êtres humains dont 65 femmes </w:t>
      </w:r>
      <w:r w:rsidRPr="00850E2C">
        <w:rPr>
          <w:lang w:val="fr-FR"/>
        </w:rPr>
        <w:t xml:space="preserve">ont été prises en charge grâce à l’appui de la CEDEAO à travers le </w:t>
      </w:r>
      <w:r w:rsidRPr="00850E2C">
        <w:rPr>
          <w:bCs/>
          <w:lang w:val="fr-FR"/>
        </w:rPr>
        <w:t xml:space="preserve">« Projet d’appui aux États-membres de la CEDEAO pour la protection des victimes de la traite des personnes ». </w:t>
      </w:r>
      <w:bookmarkEnd w:id="0"/>
    </w:p>
    <w:p w14:paraId="2667ACB7" w14:textId="7498E8F5" w:rsidR="00E43AC9" w:rsidRDefault="003F6FBA" w:rsidP="003F6FBA">
      <w:pPr>
        <w:pStyle w:val="H23G"/>
        <w:rPr>
          <w:lang w:val="fr-FR"/>
        </w:rPr>
      </w:pPr>
      <w:r>
        <w:rPr>
          <w:lang w:val="fr-FR"/>
        </w:rPr>
        <w:tab/>
      </w:r>
      <w:r>
        <w:rPr>
          <w:lang w:val="fr-FR"/>
        </w:rPr>
        <w:tab/>
        <w:t xml:space="preserve">Paragraphe </w:t>
      </w:r>
      <w:r w:rsidR="00E43AC9">
        <w:rPr>
          <w:lang w:val="fr-FR"/>
        </w:rPr>
        <w:t>11</w:t>
      </w:r>
      <w:r w:rsidR="00850E2C" w:rsidRPr="00850E2C">
        <w:rPr>
          <w:lang w:val="fr-FR"/>
        </w:rPr>
        <w:t xml:space="preserve">b) </w:t>
      </w:r>
    </w:p>
    <w:p w14:paraId="50130CA6" w14:textId="07997D46" w:rsidR="00850E2C" w:rsidRPr="00850E2C" w:rsidRDefault="00850E2C" w:rsidP="00F97BC3">
      <w:pPr>
        <w:pStyle w:val="SingleTxtG"/>
        <w:numPr>
          <w:ilvl w:val="0"/>
          <w:numId w:val="4"/>
        </w:numPr>
        <w:ind w:left="1134" w:firstLine="0"/>
        <w:rPr>
          <w:lang w:val="fr-FR"/>
        </w:rPr>
      </w:pPr>
      <w:r w:rsidRPr="00850E2C">
        <w:rPr>
          <w:lang w:val="fr-FR"/>
        </w:rPr>
        <w:t xml:space="preserve">Pour les données sur les victimes de la traite, </w:t>
      </w:r>
      <w:r w:rsidRPr="00850E2C">
        <w:t xml:space="preserve">il faut dire que depuis 2019, </w:t>
      </w:r>
      <w:r w:rsidRPr="00850E2C">
        <w:rPr>
          <w:bCs/>
          <w:lang w:val="fr-FR"/>
        </w:rPr>
        <w:t>805 personnes victimes de traite dont 751 enfants (443 filles, 305 garçons et 3 bébés)</w:t>
      </w:r>
      <w:r w:rsidRPr="00850E2C">
        <w:rPr>
          <w:b/>
          <w:bCs/>
          <w:lang w:val="fr-FR"/>
        </w:rPr>
        <w:t xml:space="preserve"> </w:t>
      </w:r>
      <w:r w:rsidRPr="00850E2C">
        <w:rPr>
          <w:lang w:val="fr-FR"/>
        </w:rPr>
        <w:t xml:space="preserve">ont été accueillies, prises en charge, réintégrées dans leurs familles biologiques ou rapatriées dans leurs pays respectifs. </w:t>
      </w:r>
    </w:p>
    <w:p w14:paraId="7669A1A2" w14:textId="77777777" w:rsidR="00850E2C" w:rsidRPr="00850E2C" w:rsidRDefault="00850E2C" w:rsidP="0009090E">
      <w:pPr>
        <w:pStyle w:val="Heading1"/>
        <w:jc w:val="center"/>
        <w:rPr>
          <w:lang w:val="fr-FR"/>
        </w:rPr>
      </w:pPr>
      <w:r w:rsidRPr="00850E2C">
        <w:rPr>
          <w:lang w:val="fr-FR"/>
        </w:rPr>
        <w:t>Le tableau ci-dessous présente les différentes statistiques.</w:t>
      </w:r>
    </w:p>
    <w:tbl>
      <w:tblPr>
        <w:tblW w:w="7370" w:type="dxa"/>
        <w:tblInd w:w="1134" w:type="dxa"/>
        <w:tblLayout w:type="fixed"/>
        <w:tblCellMar>
          <w:left w:w="0" w:type="dxa"/>
          <w:right w:w="0" w:type="dxa"/>
        </w:tblCellMar>
        <w:tblLook w:val="04A0" w:firstRow="1" w:lastRow="0" w:firstColumn="1" w:lastColumn="0" w:noHBand="0" w:noVBand="1"/>
      </w:tblPr>
      <w:tblGrid>
        <w:gridCol w:w="880"/>
        <w:gridCol w:w="930"/>
        <w:gridCol w:w="964"/>
        <w:gridCol w:w="902"/>
        <w:gridCol w:w="961"/>
        <w:gridCol w:w="902"/>
        <w:gridCol w:w="929"/>
        <w:gridCol w:w="902"/>
      </w:tblGrid>
      <w:tr w:rsidR="00850E2C" w:rsidRPr="007F769C" w14:paraId="446745AE" w14:textId="77777777" w:rsidTr="007F769C">
        <w:trPr>
          <w:tblHeader/>
        </w:trPr>
        <w:tc>
          <w:tcPr>
            <w:tcW w:w="597" w:type="pct"/>
            <w:vMerge w:val="restart"/>
            <w:tcBorders>
              <w:top w:val="single" w:sz="4" w:space="0" w:color="auto"/>
              <w:bottom w:val="single" w:sz="12" w:space="0" w:color="auto"/>
            </w:tcBorders>
            <w:noWrap/>
            <w:vAlign w:val="bottom"/>
            <w:hideMark/>
          </w:tcPr>
          <w:p w14:paraId="4D6ABD63" w14:textId="77777777" w:rsidR="00850E2C" w:rsidRPr="007F769C" w:rsidRDefault="00850E2C" w:rsidP="007F769C">
            <w:pPr>
              <w:suppressAutoHyphens w:val="0"/>
              <w:spacing w:before="80" w:after="80" w:line="200" w:lineRule="exact"/>
              <w:rPr>
                <w:bCs/>
                <w:i/>
                <w:sz w:val="16"/>
                <w:lang w:val="fr-FR"/>
              </w:rPr>
            </w:pPr>
            <w:r w:rsidRPr="007F769C">
              <w:rPr>
                <w:bCs/>
                <w:i/>
                <w:sz w:val="16"/>
                <w:lang w:val="fr-FR"/>
              </w:rPr>
              <w:t xml:space="preserve">ANNEES </w:t>
            </w:r>
          </w:p>
        </w:tc>
        <w:tc>
          <w:tcPr>
            <w:tcW w:w="631" w:type="pct"/>
            <w:vMerge w:val="restart"/>
            <w:tcBorders>
              <w:top w:val="single" w:sz="4" w:space="0" w:color="auto"/>
              <w:bottom w:val="single" w:sz="12" w:space="0" w:color="auto"/>
            </w:tcBorders>
            <w:vAlign w:val="bottom"/>
            <w:hideMark/>
          </w:tcPr>
          <w:p w14:paraId="12F04A6C" w14:textId="77777777" w:rsidR="00850E2C" w:rsidRPr="007F769C" w:rsidRDefault="00850E2C" w:rsidP="007F769C">
            <w:pPr>
              <w:suppressAutoHyphens w:val="0"/>
              <w:spacing w:before="80" w:after="80" w:line="200" w:lineRule="exact"/>
              <w:jc w:val="right"/>
              <w:rPr>
                <w:bCs/>
                <w:i/>
                <w:sz w:val="16"/>
                <w:lang w:val="fr-FR"/>
              </w:rPr>
            </w:pPr>
            <w:r w:rsidRPr="007F769C">
              <w:rPr>
                <w:bCs/>
                <w:i/>
                <w:sz w:val="16"/>
                <w:lang w:val="fr-FR"/>
              </w:rPr>
              <w:t>NOMBRE DE VICTIMES</w:t>
            </w:r>
          </w:p>
        </w:tc>
        <w:tc>
          <w:tcPr>
            <w:tcW w:w="654" w:type="pct"/>
            <w:vMerge w:val="restart"/>
            <w:tcBorders>
              <w:top w:val="single" w:sz="4" w:space="0" w:color="auto"/>
              <w:bottom w:val="single" w:sz="12" w:space="0" w:color="auto"/>
            </w:tcBorders>
            <w:vAlign w:val="bottom"/>
            <w:hideMark/>
          </w:tcPr>
          <w:p w14:paraId="2763C157" w14:textId="77777777" w:rsidR="00850E2C" w:rsidRPr="007F769C" w:rsidRDefault="00850E2C" w:rsidP="007F769C">
            <w:pPr>
              <w:suppressAutoHyphens w:val="0"/>
              <w:spacing w:before="80" w:after="80" w:line="200" w:lineRule="exact"/>
              <w:jc w:val="right"/>
              <w:rPr>
                <w:bCs/>
                <w:i/>
                <w:sz w:val="16"/>
                <w:lang w:val="fr-FR"/>
              </w:rPr>
            </w:pPr>
            <w:r w:rsidRPr="007F769C">
              <w:rPr>
                <w:bCs/>
                <w:i/>
                <w:sz w:val="16"/>
                <w:lang w:val="fr-FR"/>
              </w:rPr>
              <w:t>NOMBRE D'ADULTES</w:t>
            </w:r>
          </w:p>
        </w:tc>
        <w:tc>
          <w:tcPr>
            <w:tcW w:w="612" w:type="pct"/>
            <w:vMerge w:val="restart"/>
            <w:tcBorders>
              <w:top w:val="single" w:sz="4" w:space="0" w:color="auto"/>
              <w:bottom w:val="single" w:sz="12" w:space="0" w:color="auto"/>
            </w:tcBorders>
            <w:vAlign w:val="bottom"/>
            <w:hideMark/>
          </w:tcPr>
          <w:p w14:paraId="38FCF19C" w14:textId="77777777" w:rsidR="00850E2C" w:rsidRPr="007F769C" w:rsidRDefault="00850E2C" w:rsidP="007F769C">
            <w:pPr>
              <w:suppressAutoHyphens w:val="0"/>
              <w:spacing w:before="80" w:after="80" w:line="200" w:lineRule="exact"/>
              <w:jc w:val="right"/>
              <w:rPr>
                <w:bCs/>
                <w:i/>
                <w:sz w:val="16"/>
                <w:lang w:val="fr-FR"/>
              </w:rPr>
            </w:pPr>
            <w:r w:rsidRPr="007F769C">
              <w:rPr>
                <w:bCs/>
                <w:i/>
                <w:sz w:val="16"/>
                <w:lang w:val="fr-FR"/>
              </w:rPr>
              <w:t>NOMBRE DE FEMMES</w:t>
            </w:r>
          </w:p>
        </w:tc>
        <w:tc>
          <w:tcPr>
            <w:tcW w:w="652" w:type="pct"/>
            <w:vMerge w:val="restart"/>
            <w:tcBorders>
              <w:top w:val="single" w:sz="4" w:space="0" w:color="auto"/>
              <w:bottom w:val="single" w:sz="12" w:space="0" w:color="auto"/>
            </w:tcBorders>
            <w:vAlign w:val="bottom"/>
            <w:hideMark/>
          </w:tcPr>
          <w:p w14:paraId="5ACDC0B1" w14:textId="77777777" w:rsidR="00850E2C" w:rsidRPr="007F769C" w:rsidRDefault="00850E2C" w:rsidP="007F769C">
            <w:pPr>
              <w:suppressAutoHyphens w:val="0"/>
              <w:spacing w:before="80" w:after="80" w:line="200" w:lineRule="exact"/>
              <w:jc w:val="right"/>
              <w:rPr>
                <w:bCs/>
                <w:i/>
                <w:sz w:val="16"/>
                <w:lang w:val="fr-FR"/>
              </w:rPr>
            </w:pPr>
            <w:r w:rsidRPr="007F769C">
              <w:rPr>
                <w:bCs/>
                <w:i/>
                <w:sz w:val="16"/>
                <w:lang w:val="fr-FR"/>
              </w:rPr>
              <w:t>NOMBRE D'HOMMES</w:t>
            </w:r>
          </w:p>
        </w:tc>
        <w:tc>
          <w:tcPr>
            <w:tcW w:w="1854" w:type="pct"/>
            <w:gridSpan w:val="3"/>
            <w:tcBorders>
              <w:top w:val="single" w:sz="4" w:space="0" w:color="auto"/>
              <w:bottom w:val="single" w:sz="12" w:space="0" w:color="auto"/>
            </w:tcBorders>
            <w:vAlign w:val="bottom"/>
            <w:hideMark/>
          </w:tcPr>
          <w:p w14:paraId="22662A08" w14:textId="77777777" w:rsidR="00850E2C" w:rsidRPr="007F769C" w:rsidRDefault="00850E2C" w:rsidP="007F769C">
            <w:pPr>
              <w:suppressAutoHyphens w:val="0"/>
              <w:spacing w:before="80" w:after="80" w:line="200" w:lineRule="exact"/>
              <w:jc w:val="right"/>
              <w:rPr>
                <w:bCs/>
                <w:i/>
                <w:sz w:val="16"/>
                <w:lang w:val="fr-FR"/>
              </w:rPr>
            </w:pPr>
            <w:r w:rsidRPr="007F769C">
              <w:rPr>
                <w:bCs/>
                <w:i/>
                <w:sz w:val="16"/>
                <w:lang w:val="fr-FR"/>
              </w:rPr>
              <w:t>NOMBRE D'ENFANTS</w:t>
            </w:r>
          </w:p>
        </w:tc>
      </w:tr>
      <w:tr w:rsidR="00850E2C" w:rsidRPr="007F769C" w14:paraId="70E28A69" w14:textId="77777777" w:rsidTr="007F769C">
        <w:trPr>
          <w:tblHeader/>
        </w:trPr>
        <w:tc>
          <w:tcPr>
            <w:tcW w:w="597" w:type="pct"/>
            <w:vMerge/>
            <w:tcBorders>
              <w:top w:val="single" w:sz="12" w:space="0" w:color="auto"/>
            </w:tcBorders>
            <w:vAlign w:val="bottom"/>
            <w:hideMark/>
          </w:tcPr>
          <w:p w14:paraId="48E8F6B5" w14:textId="77777777" w:rsidR="00850E2C" w:rsidRPr="007F769C" w:rsidRDefault="00850E2C" w:rsidP="007F769C">
            <w:pPr>
              <w:suppressAutoHyphens w:val="0"/>
              <w:spacing w:before="40" w:after="40" w:line="220" w:lineRule="exact"/>
              <w:rPr>
                <w:b/>
                <w:bCs/>
                <w:sz w:val="18"/>
                <w:lang w:val="fr-FR"/>
              </w:rPr>
            </w:pPr>
          </w:p>
        </w:tc>
        <w:tc>
          <w:tcPr>
            <w:tcW w:w="631" w:type="pct"/>
            <w:vMerge/>
            <w:tcBorders>
              <w:top w:val="single" w:sz="12" w:space="0" w:color="auto"/>
            </w:tcBorders>
            <w:vAlign w:val="bottom"/>
            <w:hideMark/>
          </w:tcPr>
          <w:p w14:paraId="2C4D5712" w14:textId="77777777" w:rsidR="00850E2C" w:rsidRPr="007F769C" w:rsidRDefault="00850E2C" w:rsidP="007F769C">
            <w:pPr>
              <w:suppressAutoHyphens w:val="0"/>
              <w:spacing w:before="40" w:after="40" w:line="220" w:lineRule="exact"/>
              <w:jc w:val="right"/>
              <w:rPr>
                <w:b/>
                <w:bCs/>
                <w:sz w:val="18"/>
                <w:lang w:val="fr-FR"/>
              </w:rPr>
            </w:pPr>
          </w:p>
        </w:tc>
        <w:tc>
          <w:tcPr>
            <w:tcW w:w="654" w:type="pct"/>
            <w:vMerge/>
            <w:tcBorders>
              <w:top w:val="single" w:sz="12" w:space="0" w:color="auto"/>
            </w:tcBorders>
            <w:vAlign w:val="bottom"/>
            <w:hideMark/>
          </w:tcPr>
          <w:p w14:paraId="2E1214CC" w14:textId="77777777" w:rsidR="00850E2C" w:rsidRPr="007F769C" w:rsidRDefault="00850E2C" w:rsidP="007F769C">
            <w:pPr>
              <w:suppressAutoHyphens w:val="0"/>
              <w:spacing w:before="40" w:after="40" w:line="220" w:lineRule="exact"/>
              <w:jc w:val="right"/>
              <w:rPr>
                <w:b/>
                <w:bCs/>
                <w:sz w:val="18"/>
                <w:lang w:val="fr-FR"/>
              </w:rPr>
            </w:pPr>
          </w:p>
        </w:tc>
        <w:tc>
          <w:tcPr>
            <w:tcW w:w="612" w:type="pct"/>
            <w:vMerge/>
            <w:tcBorders>
              <w:top w:val="single" w:sz="12" w:space="0" w:color="auto"/>
            </w:tcBorders>
            <w:vAlign w:val="bottom"/>
            <w:hideMark/>
          </w:tcPr>
          <w:p w14:paraId="06B4A5FD" w14:textId="77777777" w:rsidR="00850E2C" w:rsidRPr="007F769C" w:rsidRDefault="00850E2C" w:rsidP="007F769C">
            <w:pPr>
              <w:suppressAutoHyphens w:val="0"/>
              <w:spacing w:before="40" w:after="40" w:line="220" w:lineRule="exact"/>
              <w:jc w:val="right"/>
              <w:rPr>
                <w:b/>
                <w:bCs/>
                <w:sz w:val="18"/>
                <w:lang w:val="fr-FR"/>
              </w:rPr>
            </w:pPr>
          </w:p>
        </w:tc>
        <w:tc>
          <w:tcPr>
            <w:tcW w:w="652" w:type="pct"/>
            <w:vMerge/>
            <w:tcBorders>
              <w:top w:val="single" w:sz="12" w:space="0" w:color="auto"/>
            </w:tcBorders>
            <w:vAlign w:val="bottom"/>
            <w:hideMark/>
          </w:tcPr>
          <w:p w14:paraId="5B508026" w14:textId="77777777" w:rsidR="00850E2C" w:rsidRPr="007F769C" w:rsidRDefault="00850E2C" w:rsidP="007F769C">
            <w:pPr>
              <w:suppressAutoHyphens w:val="0"/>
              <w:spacing w:before="40" w:after="40" w:line="220" w:lineRule="exact"/>
              <w:jc w:val="right"/>
              <w:rPr>
                <w:b/>
                <w:bCs/>
                <w:sz w:val="18"/>
                <w:lang w:val="fr-FR"/>
              </w:rPr>
            </w:pPr>
          </w:p>
        </w:tc>
        <w:tc>
          <w:tcPr>
            <w:tcW w:w="612" w:type="pct"/>
            <w:tcBorders>
              <w:top w:val="single" w:sz="12" w:space="0" w:color="auto"/>
            </w:tcBorders>
            <w:vAlign w:val="bottom"/>
            <w:hideMark/>
          </w:tcPr>
          <w:p w14:paraId="3A511636"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NOMBRE DE FILLES</w:t>
            </w:r>
          </w:p>
        </w:tc>
        <w:tc>
          <w:tcPr>
            <w:tcW w:w="630" w:type="pct"/>
            <w:tcBorders>
              <w:top w:val="single" w:sz="12" w:space="0" w:color="auto"/>
            </w:tcBorders>
            <w:vAlign w:val="bottom"/>
            <w:hideMark/>
          </w:tcPr>
          <w:p w14:paraId="53CDD861"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NOMBRE DE GARCONS</w:t>
            </w:r>
          </w:p>
        </w:tc>
        <w:tc>
          <w:tcPr>
            <w:tcW w:w="612" w:type="pct"/>
            <w:tcBorders>
              <w:top w:val="single" w:sz="12" w:space="0" w:color="auto"/>
            </w:tcBorders>
            <w:vAlign w:val="bottom"/>
            <w:hideMark/>
          </w:tcPr>
          <w:p w14:paraId="1AF2D503"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NOMBRE DE BEBES</w:t>
            </w:r>
          </w:p>
        </w:tc>
      </w:tr>
      <w:tr w:rsidR="00850E2C" w:rsidRPr="007F769C" w14:paraId="571D424D" w14:textId="77777777" w:rsidTr="007F769C">
        <w:tc>
          <w:tcPr>
            <w:tcW w:w="597" w:type="pct"/>
            <w:noWrap/>
            <w:hideMark/>
          </w:tcPr>
          <w:p w14:paraId="3DE4D26F" w14:textId="77777777" w:rsidR="00850E2C" w:rsidRPr="007F769C" w:rsidRDefault="00850E2C" w:rsidP="007F769C">
            <w:pPr>
              <w:suppressAutoHyphens w:val="0"/>
              <w:spacing w:before="40" w:after="40" w:line="220" w:lineRule="exact"/>
              <w:rPr>
                <w:sz w:val="18"/>
                <w:lang w:val="fr-FR"/>
              </w:rPr>
            </w:pPr>
            <w:r w:rsidRPr="007F769C">
              <w:rPr>
                <w:sz w:val="18"/>
                <w:lang w:val="fr-FR"/>
              </w:rPr>
              <w:t>2019</w:t>
            </w:r>
          </w:p>
        </w:tc>
        <w:tc>
          <w:tcPr>
            <w:tcW w:w="631" w:type="pct"/>
            <w:noWrap/>
            <w:vAlign w:val="bottom"/>
            <w:hideMark/>
          </w:tcPr>
          <w:p w14:paraId="0E69C292"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147</w:t>
            </w:r>
          </w:p>
        </w:tc>
        <w:tc>
          <w:tcPr>
            <w:tcW w:w="654" w:type="pct"/>
            <w:noWrap/>
            <w:vAlign w:val="bottom"/>
            <w:hideMark/>
          </w:tcPr>
          <w:p w14:paraId="0A5A1124"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3C504B19"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52" w:type="pct"/>
            <w:noWrap/>
            <w:vAlign w:val="bottom"/>
            <w:hideMark/>
          </w:tcPr>
          <w:p w14:paraId="6F5DE0AF"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7F819B46"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139</w:t>
            </w:r>
          </w:p>
        </w:tc>
        <w:tc>
          <w:tcPr>
            <w:tcW w:w="630" w:type="pct"/>
            <w:noWrap/>
            <w:vAlign w:val="bottom"/>
            <w:hideMark/>
          </w:tcPr>
          <w:p w14:paraId="2A2EB674"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8</w:t>
            </w:r>
          </w:p>
        </w:tc>
        <w:tc>
          <w:tcPr>
            <w:tcW w:w="612" w:type="pct"/>
            <w:noWrap/>
            <w:vAlign w:val="bottom"/>
            <w:hideMark/>
          </w:tcPr>
          <w:p w14:paraId="5D1A5AE1"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r>
      <w:tr w:rsidR="00850E2C" w:rsidRPr="007F769C" w14:paraId="404B9FDC" w14:textId="77777777" w:rsidTr="007F769C">
        <w:tc>
          <w:tcPr>
            <w:tcW w:w="597" w:type="pct"/>
            <w:noWrap/>
            <w:hideMark/>
          </w:tcPr>
          <w:p w14:paraId="188578A4" w14:textId="77777777" w:rsidR="00850E2C" w:rsidRPr="007F769C" w:rsidRDefault="00850E2C" w:rsidP="007F769C">
            <w:pPr>
              <w:suppressAutoHyphens w:val="0"/>
              <w:spacing w:before="40" w:after="40" w:line="220" w:lineRule="exact"/>
              <w:rPr>
                <w:sz w:val="18"/>
                <w:lang w:val="fr-FR"/>
              </w:rPr>
            </w:pPr>
            <w:r w:rsidRPr="007F769C">
              <w:rPr>
                <w:sz w:val="18"/>
                <w:lang w:val="fr-FR"/>
              </w:rPr>
              <w:lastRenderedPageBreak/>
              <w:t>2020</w:t>
            </w:r>
          </w:p>
        </w:tc>
        <w:tc>
          <w:tcPr>
            <w:tcW w:w="631" w:type="pct"/>
            <w:noWrap/>
            <w:vAlign w:val="bottom"/>
            <w:hideMark/>
          </w:tcPr>
          <w:p w14:paraId="5371D7EF"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34</w:t>
            </w:r>
          </w:p>
        </w:tc>
        <w:tc>
          <w:tcPr>
            <w:tcW w:w="654" w:type="pct"/>
            <w:noWrap/>
            <w:vAlign w:val="bottom"/>
            <w:hideMark/>
          </w:tcPr>
          <w:p w14:paraId="5175DA0B"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313AB941"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52" w:type="pct"/>
            <w:noWrap/>
            <w:vAlign w:val="bottom"/>
            <w:hideMark/>
          </w:tcPr>
          <w:p w14:paraId="34E1C39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541A1F12"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22</w:t>
            </w:r>
          </w:p>
        </w:tc>
        <w:tc>
          <w:tcPr>
            <w:tcW w:w="630" w:type="pct"/>
            <w:noWrap/>
            <w:vAlign w:val="bottom"/>
            <w:hideMark/>
          </w:tcPr>
          <w:p w14:paraId="0926E8DB"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12</w:t>
            </w:r>
          </w:p>
        </w:tc>
        <w:tc>
          <w:tcPr>
            <w:tcW w:w="612" w:type="pct"/>
            <w:noWrap/>
            <w:vAlign w:val="bottom"/>
            <w:hideMark/>
          </w:tcPr>
          <w:p w14:paraId="34BFE1F1"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r>
      <w:tr w:rsidR="00850E2C" w:rsidRPr="007F769C" w14:paraId="62825921" w14:textId="77777777" w:rsidTr="007F769C">
        <w:tc>
          <w:tcPr>
            <w:tcW w:w="597" w:type="pct"/>
            <w:noWrap/>
            <w:hideMark/>
          </w:tcPr>
          <w:p w14:paraId="30409570" w14:textId="77777777" w:rsidR="00850E2C" w:rsidRPr="007F769C" w:rsidRDefault="00850E2C" w:rsidP="007F769C">
            <w:pPr>
              <w:suppressAutoHyphens w:val="0"/>
              <w:spacing w:before="40" w:after="40" w:line="220" w:lineRule="exact"/>
              <w:rPr>
                <w:sz w:val="18"/>
                <w:lang w:val="fr-FR"/>
              </w:rPr>
            </w:pPr>
            <w:r w:rsidRPr="007F769C">
              <w:rPr>
                <w:sz w:val="18"/>
                <w:lang w:val="fr-FR"/>
              </w:rPr>
              <w:t>2021</w:t>
            </w:r>
          </w:p>
        </w:tc>
        <w:tc>
          <w:tcPr>
            <w:tcW w:w="631" w:type="pct"/>
            <w:noWrap/>
            <w:vAlign w:val="bottom"/>
            <w:hideMark/>
          </w:tcPr>
          <w:p w14:paraId="38B1AD59"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110</w:t>
            </w:r>
          </w:p>
        </w:tc>
        <w:tc>
          <w:tcPr>
            <w:tcW w:w="654" w:type="pct"/>
            <w:noWrap/>
            <w:vAlign w:val="bottom"/>
            <w:hideMark/>
          </w:tcPr>
          <w:p w14:paraId="13540A00"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15</w:t>
            </w:r>
          </w:p>
        </w:tc>
        <w:tc>
          <w:tcPr>
            <w:tcW w:w="612" w:type="pct"/>
            <w:noWrap/>
            <w:vAlign w:val="bottom"/>
            <w:hideMark/>
          </w:tcPr>
          <w:p w14:paraId="1A104D3C"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15</w:t>
            </w:r>
          </w:p>
        </w:tc>
        <w:tc>
          <w:tcPr>
            <w:tcW w:w="652" w:type="pct"/>
            <w:noWrap/>
            <w:vAlign w:val="bottom"/>
            <w:hideMark/>
          </w:tcPr>
          <w:p w14:paraId="7E6FC937"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21873BB1"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83</w:t>
            </w:r>
          </w:p>
        </w:tc>
        <w:tc>
          <w:tcPr>
            <w:tcW w:w="630" w:type="pct"/>
            <w:noWrap/>
            <w:vAlign w:val="bottom"/>
            <w:hideMark/>
          </w:tcPr>
          <w:p w14:paraId="5C09C0C1"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12</w:t>
            </w:r>
          </w:p>
        </w:tc>
        <w:tc>
          <w:tcPr>
            <w:tcW w:w="612" w:type="pct"/>
            <w:noWrap/>
            <w:vAlign w:val="bottom"/>
            <w:hideMark/>
          </w:tcPr>
          <w:p w14:paraId="7D348294"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r>
      <w:tr w:rsidR="00850E2C" w:rsidRPr="007F769C" w14:paraId="3B8DF84F" w14:textId="77777777" w:rsidTr="007F769C">
        <w:tc>
          <w:tcPr>
            <w:tcW w:w="597" w:type="pct"/>
            <w:noWrap/>
            <w:hideMark/>
          </w:tcPr>
          <w:p w14:paraId="3DA24073" w14:textId="77777777" w:rsidR="00850E2C" w:rsidRPr="007F769C" w:rsidRDefault="00850E2C" w:rsidP="007F769C">
            <w:pPr>
              <w:suppressAutoHyphens w:val="0"/>
              <w:spacing w:before="40" w:after="40" w:line="220" w:lineRule="exact"/>
              <w:rPr>
                <w:sz w:val="18"/>
                <w:lang w:val="fr-FR"/>
              </w:rPr>
            </w:pPr>
            <w:r w:rsidRPr="007F769C">
              <w:rPr>
                <w:sz w:val="18"/>
                <w:lang w:val="fr-FR"/>
              </w:rPr>
              <w:t>2022</w:t>
            </w:r>
          </w:p>
        </w:tc>
        <w:tc>
          <w:tcPr>
            <w:tcW w:w="631" w:type="pct"/>
            <w:noWrap/>
            <w:vAlign w:val="bottom"/>
            <w:hideMark/>
          </w:tcPr>
          <w:p w14:paraId="148F401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41</w:t>
            </w:r>
          </w:p>
        </w:tc>
        <w:tc>
          <w:tcPr>
            <w:tcW w:w="654" w:type="pct"/>
            <w:noWrap/>
            <w:vAlign w:val="bottom"/>
            <w:hideMark/>
          </w:tcPr>
          <w:p w14:paraId="569B6530"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2285B54F"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52" w:type="pct"/>
            <w:noWrap/>
            <w:vAlign w:val="bottom"/>
            <w:hideMark/>
          </w:tcPr>
          <w:p w14:paraId="7E896D7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793A53C9"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16</w:t>
            </w:r>
          </w:p>
        </w:tc>
        <w:tc>
          <w:tcPr>
            <w:tcW w:w="630" w:type="pct"/>
            <w:noWrap/>
            <w:vAlign w:val="bottom"/>
            <w:hideMark/>
          </w:tcPr>
          <w:p w14:paraId="4DAD3E21"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25</w:t>
            </w:r>
          </w:p>
        </w:tc>
        <w:tc>
          <w:tcPr>
            <w:tcW w:w="612" w:type="pct"/>
            <w:noWrap/>
            <w:vAlign w:val="bottom"/>
            <w:hideMark/>
          </w:tcPr>
          <w:p w14:paraId="0A35586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r>
      <w:tr w:rsidR="00850E2C" w:rsidRPr="007F769C" w14:paraId="44B4AF55" w14:textId="77777777" w:rsidTr="007F769C">
        <w:tc>
          <w:tcPr>
            <w:tcW w:w="597" w:type="pct"/>
            <w:noWrap/>
            <w:hideMark/>
          </w:tcPr>
          <w:p w14:paraId="507BB6B4" w14:textId="77777777" w:rsidR="00850E2C" w:rsidRPr="007F769C" w:rsidRDefault="00850E2C" w:rsidP="007F769C">
            <w:pPr>
              <w:suppressAutoHyphens w:val="0"/>
              <w:spacing w:before="40" w:after="40" w:line="220" w:lineRule="exact"/>
              <w:rPr>
                <w:sz w:val="18"/>
                <w:lang w:val="fr-FR"/>
              </w:rPr>
            </w:pPr>
            <w:r w:rsidRPr="007F769C">
              <w:rPr>
                <w:sz w:val="18"/>
                <w:lang w:val="fr-FR"/>
              </w:rPr>
              <w:t>2023</w:t>
            </w:r>
          </w:p>
        </w:tc>
        <w:tc>
          <w:tcPr>
            <w:tcW w:w="631" w:type="pct"/>
            <w:noWrap/>
            <w:vAlign w:val="bottom"/>
            <w:hideMark/>
          </w:tcPr>
          <w:p w14:paraId="351D0696"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399</w:t>
            </w:r>
          </w:p>
        </w:tc>
        <w:tc>
          <w:tcPr>
            <w:tcW w:w="654" w:type="pct"/>
            <w:noWrap/>
            <w:vAlign w:val="bottom"/>
            <w:hideMark/>
          </w:tcPr>
          <w:p w14:paraId="35927140"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15</w:t>
            </w:r>
          </w:p>
        </w:tc>
        <w:tc>
          <w:tcPr>
            <w:tcW w:w="612" w:type="pct"/>
            <w:noWrap/>
            <w:vAlign w:val="bottom"/>
            <w:hideMark/>
          </w:tcPr>
          <w:p w14:paraId="4E0F6609"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11</w:t>
            </w:r>
          </w:p>
        </w:tc>
        <w:tc>
          <w:tcPr>
            <w:tcW w:w="652" w:type="pct"/>
            <w:noWrap/>
            <w:vAlign w:val="bottom"/>
            <w:hideMark/>
          </w:tcPr>
          <w:p w14:paraId="3FCA538B"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4</w:t>
            </w:r>
          </w:p>
        </w:tc>
        <w:tc>
          <w:tcPr>
            <w:tcW w:w="612" w:type="pct"/>
            <w:noWrap/>
            <w:vAlign w:val="bottom"/>
            <w:hideMark/>
          </w:tcPr>
          <w:p w14:paraId="4FF3C107"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155</w:t>
            </w:r>
          </w:p>
        </w:tc>
        <w:tc>
          <w:tcPr>
            <w:tcW w:w="630" w:type="pct"/>
            <w:noWrap/>
            <w:vAlign w:val="bottom"/>
            <w:hideMark/>
          </w:tcPr>
          <w:p w14:paraId="554118F6"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229</w:t>
            </w:r>
          </w:p>
        </w:tc>
        <w:tc>
          <w:tcPr>
            <w:tcW w:w="612" w:type="pct"/>
            <w:noWrap/>
            <w:vAlign w:val="bottom"/>
            <w:hideMark/>
          </w:tcPr>
          <w:p w14:paraId="3D677307"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r>
      <w:tr w:rsidR="00850E2C" w:rsidRPr="007F769C" w14:paraId="7451F1E3" w14:textId="77777777" w:rsidTr="007F769C">
        <w:tc>
          <w:tcPr>
            <w:tcW w:w="597" w:type="pct"/>
            <w:noWrap/>
            <w:hideMark/>
          </w:tcPr>
          <w:p w14:paraId="62B716E9" w14:textId="77777777" w:rsidR="00850E2C" w:rsidRPr="007F769C" w:rsidRDefault="00850E2C" w:rsidP="007F769C">
            <w:pPr>
              <w:suppressAutoHyphens w:val="0"/>
              <w:spacing w:before="40" w:after="40" w:line="220" w:lineRule="exact"/>
              <w:rPr>
                <w:sz w:val="18"/>
                <w:lang w:val="fr-FR"/>
              </w:rPr>
            </w:pPr>
            <w:r w:rsidRPr="007F769C">
              <w:rPr>
                <w:sz w:val="18"/>
                <w:lang w:val="fr-FR"/>
              </w:rPr>
              <w:t>2024</w:t>
            </w:r>
          </w:p>
        </w:tc>
        <w:tc>
          <w:tcPr>
            <w:tcW w:w="631" w:type="pct"/>
            <w:noWrap/>
            <w:vAlign w:val="bottom"/>
            <w:hideMark/>
          </w:tcPr>
          <w:p w14:paraId="24F6C9FA"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68</w:t>
            </w:r>
          </w:p>
        </w:tc>
        <w:tc>
          <w:tcPr>
            <w:tcW w:w="654" w:type="pct"/>
            <w:noWrap/>
            <w:vAlign w:val="bottom"/>
            <w:hideMark/>
          </w:tcPr>
          <w:p w14:paraId="2AAF53CA"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24</w:t>
            </w:r>
          </w:p>
        </w:tc>
        <w:tc>
          <w:tcPr>
            <w:tcW w:w="612" w:type="pct"/>
            <w:noWrap/>
            <w:vAlign w:val="bottom"/>
            <w:hideMark/>
          </w:tcPr>
          <w:p w14:paraId="232E294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15</w:t>
            </w:r>
          </w:p>
        </w:tc>
        <w:tc>
          <w:tcPr>
            <w:tcW w:w="652" w:type="pct"/>
            <w:noWrap/>
            <w:vAlign w:val="bottom"/>
            <w:hideMark/>
          </w:tcPr>
          <w:p w14:paraId="3CF33C4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9</w:t>
            </w:r>
          </w:p>
        </w:tc>
        <w:tc>
          <w:tcPr>
            <w:tcW w:w="612" w:type="pct"/>
            <w:noWrap/>
            <w:vAlign w:val="bottom"/>
            <w:hideMark/>
          </w:tcPr>
          <w:p w14:paraId="5A5D1AD5"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22</w:t>
            </w:r>
          </w:p>
        </w:tc>
        <w:tc>
          <w:tcPr>
            <w:tcW w:w="630" w:type="pct"/>
            <w:noWrap/>
            <w:vAlign w:val="bottom"/>
            <w:hideMark/>
          </w:tcPr>
          <w:p w14:paraId="40DB3472"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19</w:t>
            </w:r>
          </w:p>
        </w:tc>
        <w:tc>
          <w:tcPr>
            <w:tcW w:w="612" w:type="pct"/>
            <w:noWrap/>
            <w:vAlign w:val="bottom"/>
            <w:hideMark/>
          </w:tcPr>
          <w:p w14:paraId="3477D5C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3</w:t>
            </w:r>
          </w:p>
        </w:tc>
      </w:tr>
      <w:tr w:rsidR="00850E2C" w:rsidRPr="007F769C" w14:paraId="04C922A2" w14:textId="77777777" w:rsidTr="007F769C">
        <w:tc>
          <w:tcPr>
            <w:tcW w:w="597" w:type="pct"/>
            <w:hideMark/>
          </w:tcPr>
          <w:p w14:paraId="06B97832" w14:textId="77777777" w:rsidR="00850E2C" w:rsidRPr="007F769C" w:rsidRDefault="00850E2C" w:rsidP="007F769C">
            <w:pPr>
              <w:suppressAutoHyphens w:val="0"/>
              <w:spacing w:before="40" w:after="40" w:line="220" w:lineRule="exact"/>
              <w:rPr>
                <w:sz w:val="18"/>
                <w:lang w:val="fr-FR"/>
              </w:rPr>
            </w:pPr>
            <w:r w:rsidRPr="007F769C">
              <w:rPr>
                <w:sz w:val="18"/>
                <w:lang w:val="fr-FR"/>
              </w:rPr>
              <w:t>JANV-JUIN 2025</w:t>
            </w:r>
          </w:p>
        </w:tc>
        <w:tc>
          <w:tcPr>
            <w:tcW w:w="631" w:type="pct"/>
            <w:noWrap/>
            <w:vAlign w:val="bottom"/>
            <w:hideMark/>
          </w:tcPr>
          <w:p w14:paraId="1444CAD7"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6</w:t>
            </w:r>
          </w:p>
        </w:tc>
        <w:tc>
          <w:tcPr>
            <w:tcW w:w="654" w:type="pct"/>
            <w:noWrap/>
            <w:vAlign w:val="bottom"/>
            <w:hideMark/>
          </w:tcPr>
          <w:p w14:paraId="2E26682F"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127790E5"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52" w:type="pct"/>
            <w:noWrap/>
            <w:vAlign w:val="bottom"/>
            <w:hideMark/>
          </w:tcPr>
          <w:p w14:paraId="0FFE4F0D"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2A2B5F7E"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6</w:t>
            </w:r>
          </w:p>
        </w:tc>
        <w:tc>
          <w:tcPr>
            <w:tcW w:w="630" w:type="pct"/>
            <w:noWrap/>
            <w:vAlign w:val="bottom"/>
            <w:hideMark/>
          </w:tcPr>
          <w:p w14:paraId="5CFB4056"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c>
          <w:tcPr>
            <w:tcW w:w="612" w:type="pct"/>
            <w:noWrap/>
            <w:vAlign w:val="bottom"/>
            <w:hideMark/>
          </w:tcPr>
          <w:p w14:paraId="2DDFFBBC" w14:textId="77777777" w:rsidR="00850E2C" w:rsidRPr="007F769C" w:rsidRDefault="00850E2C" w:rsidP="007F769C">
            <w:pPr>
              <w:suppressAutoHyphens w:val="0"/>
              <w:spacing w:before="40" w:after="40" w:line="220" w:lineRule="exact"/>
              <w:jc w:val="right"/>
              <w:rPr>
                <w:sz w:val="18"/>
                <w:lang w:val="fr-FR"/>
              </w:rPr>
            </w:pPr>
            <w:r w:rsidRPr="007F769C">
              <w:rPr>
                <w:sz w:val="18"/>
                <w:lang w:val="fr-FR"/>
              </w:rPr>
              <w:t>0</w:t>
            </w:r>
          </w:p>
        </w:tc>
      </w:tr>
      <w:tr w:rsidR="00850E2C" w:rsidRPr="007F769C" w14:paraId="5098C557" w14:textId="77777777" w:rsidTr="007F769C">
        <w:tc>
          <w:tcPr>
            <w:tcW w:w="597" w:type="pct"/>
            <w:tcBorders>
              <w:bottom w:val="single" w:sz="12" w:space="0" w:color="auto"/>
            </w:tcBorders>
            <w:noWrap/>
            <w:hideMark/>
          </w:tcPr>
          <w:p w14:paraId="33425155" w14:textId="77777777" w:rsidR="00850E2C" w:rsidRPr="007F769C" w:rsidRDefault="00850E2C" w:rsidP="007F769C">
            <w:pPr>
              <w:suppressAutoHyphens w:val="0"/>
              <w:spacing w:before="40" w:after="40" w:line="220" w:lineRule="exact"/>
              <w:rPr>
                <w:b/>
                <w:bCs/>
                <w:sz w:val="18"/>
                <w:lang w:val="fr-FR"/>
              </w:rPr>
            </w:pPr>
            <w:r w:rsidRPr="007F769C">
              <w:rPr>
                <w:b/>
                <w:bCs/>
                <w:sz w:val="18"/>
                <w:lang w:val="fr-FR"/>
              </w:rPr>
              <w:t>TOTAL</w:t>
            </w:r>
          </w:p>
        </w:tc>
        <w:tc>
          <w:tcPr>
            <w:tcW w:w="631" w:type="pct"/>
            <w:tcBorders>
              <w:bottom w:val="single" w:sz="12" w:space="0" w:color="auto"/>
            </w:tcBorders>
            <w:noWrap/>
            <w:vAlign w:val="bottom"/>
            <w:hideMark/>
          </w:tcPr>
          <w:p w14:paraId="1236F15D"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805</w:t>
            </w:r>
          </w:p>
        </w:tc>
        <w:tc>
          <w:tcPr>
            <w:tcW w:w="654" w:type="pct"/>
            <w:tcBorders>
              <w:bottom w:val="single" w:sz="12" w:space="0" w:color="auto"/>
            </w:tcBorders>
            <w:noWrap/>
            <w:vAlign w:val="bottom"/>
            <w:hideMark/>
          </w:tcPr>
          <w:p w14:paraId="60D63B33"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54</w:t>
            </w:r>
          </w:p>
        </w:tc>
        <w:tc>
          <w:tcPr>
            <w:tcW w:w="612" w:type="pct"/>
            <w:tcBorders>
              <w:bottom w:val="single" w:sz="12" w:space="0" w:color="auto"/>
            </w:tcBorders>
            <w:noWrap/>
            <w:vAlign w:val="bottom"/>
            <w:hideMark/>
          </w:tcPr>
          <w:p w14:paraId="15A9F922"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41</w:t>
            </w:r>
          </w:p>
        </w:tc>
        <w:tc>
          <w:tcPr>
            <w:tcW w:w="652" w:type="pct"/>
            <w:tcBorders>
              <w:bottom w:val="single" w:sz="12" w:space="0" w:color="auto"/>
            </w:tcBorders>
            <w:noWrap/>
            <w:vAlign w:val="bottom"/>
            <w:hideMark/>
          </w:tcPr>
          <w:p w14:paraId="34C74C84"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13</w:t>
            </w:r>
          </w:p>
        </w:tc>
        <w:tc>
          <w:tcPr>
            <w:tcW w:w="612" w:type="pct"/>
            <w:tcBorders>
              <w:bottom w:val="single" w:sz="12" w:space="0" w:color="auto"/>
            </w:tcBorders>
            <w:noWrap/>
            <w:vAlign w:val="bottom"/>
            <w:hideMark/>
          </w:tcPr>
          <w:p w14:paraId="5CCF4283"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443</w:t>
            </w:r>
          </w:p>
        </w:tc>
        <w:tc>
          <w:tcPr>
            <w:tcW w:w="630" w:type="pct"/>
            <w:tcBorders>
              <w:bottom w:val="single" w:sz="12" w:space="0" w:color="auto"/>
            </w:tcBorders>
            <w:noWrap/>
            <w:vAlign w:val="bottom"/>
            <w:hideMark/>
          </w:tcPr>
          <w:p w14:paraId="16377E46"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305</w:t>
            </w:r>
          </w:p>
        </w:tc>
        <w:tc>
          <w:tcPr>
            <w:tcW w:w="612" w:type="pct"/>
            <w:tcBorders>
              <w:bottom w:val="single" w:sz="12" w:space="0" w:color="auto"/>
            </w:tcBorders>
            <w:noWrap/>
            <w:vAlign w:val="bottom"/>
            <w:hideMark/>
          </w:tcPr>
          <w:p w14:paraId="69F3FF5F" w14:textId="77777777" w:rsidR="00850E2C" w:rsidRPr="007F769C" w:rsidRDefault="00850E2C" w:rsidP="007F769C">
            <w:pPr>
              <w:suppressAutoHyphens w:val="0"/>
              <w:spacing w:before="40" w:after="40" w:line="220" w:lineRule="exact"/>
              <w:jc w:val="right"/>
              <w:rPr>
                <w:b/>
                <w:bCs/>
                <w:sz w:val="18"/>
                <w:lang w:val="fr-FR"/>
              </w:rPr>
            </w:pPr>
            <w:r w:rsidRPr="007F769C">
              <w:rPr>
                <w:b/>
                <w:bCs/>
                <w:sz w:val="18"/>
                <w:lang w:val="fr-FR"/>
              </w:rPr>
              <w:t>3</w:t>
            </w:r>
          </w:p>
        </w:tc>
      </w:tr>
    </w:tbl>
    <w:p w14:paraId="6E84F66E" w14:textId="633CB20B" w:rsidR="00E43AC9" w:rsidRDefault="00CD5FEF" w:rsidP="00CD5FEF">
      <w:pPr>
        <w:pStyle w:val="H23G"/>
        <w:rPr>
          <w:lang w:val="fr-FR"/>
        </w:rPr>
      </w:pPr>
      <w:r>
        <w:rPr>
          <w:lang w:val="fr-FR"/>
        </w:rPr>
        <w:tab/>
      </w:r>
      <w:r>
        <w:rPr>
          <w:lang w:val="fr-FR"/>
        </w:rPr>
        <w:tab/>
        <w:t xml:space="preserve">Paragraphe </w:t>
      </w:r>
      <w:r w:rsidR="00E43AC9">
        <w:rPr>
          <w:lang w:val="fr-FR"/>
        </w:rPr>
        <w:t>11</w:t>
      </w:r>
      <w:r w:rsidR="00850E2C" w:rsidRPr="00850E2C">
        <w:rPr>
          <w:lang w:val="fr-FR"/>
        </w:rPr>
        <w:t xml:space="preserve">c) </w:t>
      </w:r>
    </w:p>
    <w:p w14:paraId="46D74ACD" w14:textId="65FE796B" w:rsidR="00850E2C" w:rsidRPr="00850E2C" w:rsidRDefault="00850E2C" w:rsidP="00F97BC3">
      <w:pPr>
        <w:pStyle w:val="SingleTxtG"/>
        <w:numPr>
          <w:ilvl w:val="0"/>
          <w:numId w:val="4"/>
        </w:numPr>
        <w:ind w:left="1134" w:firstLine="0"/>
        <w:rPr>
          <w:lang w:val="fr-FR"/>
        </w:rPr>
      </w:pPr>
      <w:r w:rsidRPr="00850E2C">
        <w:rPr>
          <w:lang w:val="fr-FR"/>
        </w:rPr>
        <w:t>Pour s’attaquer aux causes de la traite, les mesures suivantes ont été prises :</w:t>
      </w:r>
    </w:p>
    <w:p w14:paraId="4C5D7237" w14:textId="2666312B" w:rsidR="00850E2C" w:rsidRPr="00850E2C" w:rsidRDefault="00CD5FEF" w:rsidP="00CD5FEF">
      <w:pPr>
        <w:pStyle w:val="Bullet1G"/>
        <w:rPr>
          <w:lang w:val="fr-FR"/>
        </w:rPr>
      </w:pPr>
      <w:r w:rsidRPr="00850E2C">
        <w:rPr>
          <w:lang w:val="fr-FR"/>
        </w:rPr>
        <w:t>Signature</w:t>
      </w:r>
      <w:r w:rsidR="00850E2C" w:rsidRPr="00850E2C">
        <w:rPr>
          <w:lang w:val="fr-FR"/>
        </w:rPr>
        <w:t xml:space="preserve"> le 23 septembre 2019 de l’Accord tripartite de coopération en matière de protection des enfants en situation de mobilité transfrontalière entre le Togo, le Bénin et le Burkina Faso ;</w:t>
      </w:r>
    </w:p>
    <w:p w14:paraId="12105AC0" w14:textId="72FA5793" w:rsidR="00850E2C" w:rsidRPr="00850E2C" w:rsidRDefault="00CD5FEF" w:rsidP="00CD5FEF">
      <w:pPr>
        <w:pStyle w:val="Bullet1G"/>
        <w:rPr>
          <w:lang w:val="fr-FR"/>
        </w:rPr>
      </w:pPr>
      <w:r w:rsidRPr="00850E2C">
        <w:rPr>
          <w:lang w:val="fr-FR"/>
        </w:rPr>
        <w:t>Décret</w:t>
      </w:r>
      <w:r w:rsidR="00850E2C" w:rsidRPr="00850E2C">
        <w:rPr>
          <w:lang w:val="fr-FR"/>
        </w:rPr>
        <w:t xml:space="preserve"> N°2021-104 du 29 septembre 2021 portant création, attribution et fonctionnement de la commission nationale de lutte contre la traite des personnes au Togo (CNLTP) ;</w:t>
      </w:r>
    </w:p>
    <w:p w14:paraId="0AD4E5AF" w14:textId="2A5DB551" w:rsidR="00850E2C" w:rsidRPr="00850E2C" w:rsidRDefault="00CD5FEF" w:rsidP="00CD5FEF">
      <w:pPr>
        <w:pStyle w:val="Bullet1G"/>
        <w:rPr>
          <w:lang w:val="fr-FR"/>
        </w:rPr>
      </w:pPr>
      <w:r w:rsidRPr="00850E2C">
        <w:rPr>
          <w:lang w:val="fr-FR"/>
        </w:rPr>
        <w:t>Arrêté</w:t>
      </w:r>
      <w:r w:rsidR="00850E2C" w:rsidRPr="00850E2C">
        <w:rPr>
          <w:lang w:val="fr-FR"/>
        </w:rPr>
        <w:t xml:space="preserve"> interministériel n°004/MASPFA/MSPC/MJL du 19 janvier 2022 portant nomination des membres de la CNLTP et l’arrêté interministériel n°2023-005/MASPFA/MATDDT du 13 janvier 2023 portant nomination des membres des commissions préfectorales de lutte contre la traite des personnes ;</w:t>
      </w:r>
    </w:p>
    <w:p w14:paraId="46BF5FBC" w14:textId="2509F298" w:rsidR="00850E2C" w:rsidRPr="00850E2C" w:rsidRDefault="00CD5FEF" w:rsidP="00CD5FEF">
      <w:pPr>
        <w:pStyle w:val="Bullet1G"/>
        <w:rPr>
          <w:lang w:val="fr-FR"/>
        </w:rPr>
      </w:pPr>
      <w:r w:rsidRPr="00850E2C">
        <w:rPr>
          <w:lang w:val="fr-FR"/>
        </w:rPr>
        <w:t>Lancement</w:t>
      </w:r>
      <w:r w:rsidR="00850E2C" w:rsidRPr="00850E2C">
        <w:rPr>
          <w:lang w:val="fr-FR"/>
        </w:rPr>
        <w:t xml:space="preserve"> officiel le 22 janvier 2025, par le Togo et le Gabon du Programme conjoint de renforcement de la gestion de la migration mixte et de lutte contre la criminalité transnationale organisée. Cette initiative vise à intensifier la coopération bilatérale et multilatérale pour démanteler les réseaux criminels tout en renforçant la protection des populations vulnérables, notamment les femmes et les enfants ;</w:t>
      </w:r>
    </w:p>
    <w:p w14:paraId="449B4866" w14:textId="385A52E9" w:rsidR="00850E2C" w:rsidRPr="00850E2C" w:rsidRDefault="00CD5FEF" w:rsidP="00CD5FEF">
      <w:pPr>
        <w:pStyle w:val="Bullet1G"/>
        <w:rPr>
          <w:lang w:val="fr-FR"/>
        </w:rPr>
      </w:pPr>
      <w:r w:rsidRPr="00850E2C">
        <w:rPr>
          <w:lang w:val="fr-FR"/>
        </w:rPr>
        <w:t>Construction</w:t>
      </w:r>
      <w:r w:rsidR="00850E2C" w:rsidRPr="00850E2C">
        <w:rPr>
          <w:lang w:val="fr-FR"/>
        </w:rPr>
        <w:t xml:space="preserve"> des maisons de la femme, des centres d’écoute et des one stop center pour une prise en charge holistique des victimes de violence basées sur le genre ;</w:t>
      </w:r>
    </w:p>
    <w:p w14:paraId="5A42337A" w14:textId="2D5C645A" w:rsidR="00850E2C" w:rsidRPr="00850E2C" w:rsidRDefault="00CD5FEF" w:rsidP="00CD5FEF">
      <w:pPr>
        <w:pStyle w:val="Bullet1G"/>
        <w:rPr>
          <w:lang w:val="fr-FR"/>
        </w:rPr>
      </w:pPr>
      <w:r w:rsidRPr="00850E2C">
        <w:rPr>
          <w:lang w:val="fr-FR"/>
        </w:rPr>
        <w:t>Stratégie</w:t>
      </w:r>
      <w:r w:rsidR="00850E2C" w:rsidRPr="00850E2C">
        <w:rPr>
          <w:lang w:val="fr-FR"/>
        </w:rPr>
        <w:t xml:space="preserve"> nationale de la migration professionnelle (2018-2022) dont la mise en œuvre prend en compte les femmes migrantes. L’élaboration de cette stratégie est motivée par la nécessité de protéger les droits des migrants et plus particulièrement des travailleuses migrantes contre la traite et les violences de toute forme ;</w:t>
      </w:r>
    </w:p>
    <w:p w14:paraId="5FCA3329" w14:textId="77777777" w:rsidR="00850E2C" w:rsidRPr="00850E2C" w:rsidRDefault="00850E2C" w:rsidP="00CD5FEF">
      <w:pPr>
        <w:pStyle w:val="Bullet1G"/>
        <w:rPr>
          <w:lang w:val="fr-FR"/>
        </w:rPr>
      </w:pPr>
      <w:r w:rsidRPr="00850E2C">
        <w:rPr>
          <w:lang w:val="fr-FR"/>
        </w:rPr>
        <w:t>130 000 personnes ont été sensibilisées sur les questions de la traite des personnes, notamment la traite des enfants entre 2022 et 2023 ;    </w:t>
      </w:r>
    </w:p>
    <w:p w14:paraId="4D34EE95" w14:textId="77777777" w:rsidR="00850E2C" w:rsidRPr="00850E2C" w:rsidRDefault="00850E2C" w:rsidP="00CD5FEF">
      <w:pPr>
        <w:pStyle w:val="Bullet1G"/>
        <w:rPr>
          <w:lang w:val="fr-FR"/>
        </w:rPr>
      </w:pPr>
      <w:r w:rsidRPr="00850E2C">
        <w:rPr>
          <w:lang w:val="fr-FR"/>
        </w:rPr>
        <w:t>150 membres de 15 commissions préfectorales de lutte contre la traite des personnes, dont 24 femmes ont été formées sur la lutte contre le phénomène au cours de l’année 2024 ;</w:t>
      </w:r>
    </w:p>
    <w:p w14:paraId="720388C0" w14:textId="77777777" w:rsidR="00850E2C" w:rsidRPr="00850E2C" w:rsidRDefault="00850E2C" w:rsidP="00CD5FEF">
      <w:pPr>
        <w:pStyle w:val="Bullet1G"/>
        <w:rPr>
          <w:lang w:val="fr-FR"/>
        </w:rPr>
      </w:pPr>
      <w:r w:rsidRPr="00850E2C">
        <w:rPr>
          <w:lang w:val="fr-FR"/>
        </w:rPr>
        <w:t>230 enfants dont 168 filles victimes de traite sont accueillis et réintégrés dans leurs familles biologiques entre 2020 et 2023.</w:t>
      </w:r>
    </w:p>
    <w:p w14:paraId="25B97F34" w14:textId="598FD278" w:rsidR="00E43AC9" w:rsidRDefault="00CD5FEF" w:rsidP="00CD5FEF">
      <w:pPr>
        <w:pStyle w:val="H23G"/>
        <w:rPr>
          <w:lang w:val="fr-FR"/>
        </w:rPr>
      </w:pPr>
      <w:r>
        <w:rPr>
          <w:lang w:val="fr-FR"/>
        </w:rPr>
        <w:tab/>
      </w:r>
      <w:r>
        <w:rPr>
          <w:lang w:val="fr-FR"/>
        </w:rPr>
        <w:tab/>
        <w:t xml:space="preserve">Paragraphe </w:t>
      </w:r>
      <w:r w:rsidR="00E43AC9">
        <w:rPr>
          <w:lang w:val="fr-FR"/>
        </w:rPr>
        <w:t>11</w:t>
      </w:r>
      <w:r w:rsidR="00850E2C" w:rsidRPr="00850E2C">
        <w:rPr>
          <w:lang w:val="fr-FR"/>
        </w:rPr>
        <w:t xml:space="preserve">d) </w:t>
      </w:r>
    </w:p>
    <w:p w14:paraId="0CA21130" w14:textId="73E14FA6" w:rsidR="00850E2C" w:rsidRPr="00850E2C" w:rsidRDefault="00850E2C" w:rsidP="00F97BC3">
      <w:pPr>
        <w:pStyle w:val="SingleTxtG"/>
        <w:numPr>
          <w:ilvl w:val="0"/>
          <w:numId w:val="4"/>
        </w:numPr>
        <w:ind w:left="1134" w:firstLine="0"/>
        <w:rPr>
          <w:lang w:val="fr-FR"/>
        </w:rPr>
      </w:pPr>
      <w:r w:rsidRPr="00850E2C">
        <w:rPr>
          <w:lang w:val="fr-FR"/>
        </w:rPr>
        <w:t>Les mesures prises pour réduire la demande de prostitution au Togo sont entre autres :</w:t>
      </w:r>
    </w:p>
    <w:p w14:paraId="407A03FA" w14:textId="77777777" w:rsidR="00850E2C" w:rsidRPr="00850E2C" w:rsidRDefault="00850E2C" w:rsidP="00CD5FEF">
      <w:pPr>
        <w:pStyle w:val="Bullet1G"/>
        <w:rPr>
          <w:lang w:val="fr-FR"/>
        </w:rPr>
      </w:pPr>
      <w:r w:rsidRPr="00850E2C">
        <w:rPr>
          <w:lang w:val="fr-FR"/>
        </w:rPr>
        <w:t xml:space="preserve">3673 femmes </w:t>
      </w:r>
      <w:bookmarkStart w:id="1" w:name="_Hlk226730189"/>
      <w:r w:rsidRPr="00850E2C">
        <w:rPr>
          <w:lang w:val="fr-FR"/>
        </w:rPr>
        <w:t xml:space="preserve">professionnelles de sexe </w:t>
      </w:r>
      <w:bookmarkEnd w:id="1"/>
      <w:r w:rsidRPr="00850E2C">
        <w:rPr>
          <w:lang w:val="fr-FR"/>
        </w:rPr>
        <w:t>ont été sensibilisés sur les risques liés à la prostitution par RAS+Togo entre 2020 et 2025 ;</w:t>
      </w:r>
    </w:p>
    <w:p w14:paraId="65536FEF" w14:textId="083218BE" w:rsidR="00850E2C" w:rsidRPr="00850E2C" w:rsidRDefault="00CD5FEF" w:rsidP="00CD5FEF">
      <w:pPr>
        <w:pStyle w:val="Bullet1G"/>
        <w:rPr>
          <w:lang w:val="fr-FR"/>
        </w:rPr>
      </w:pPr>
      <w:r w:rsidRPr="00850E2C">
        <w:rPr>
          <w:lang w:val="fr-FR"/>
        </w:rPr>
        <w:t>Assistance</w:t>
      </w:r>
      <w:r w:rsidR="00850E2C" w:rsidRPr="00850E2C">
        <w:rPr>
          <w:lang w:val="fr-FR"/>
        </w:rPr>
        <w:t xml:space="preserve"> technique pour une prise en charge psychologique, juridique, médicale aux professionnelles de sexe victimes de violences ; </w:t>
      </w:r>
    </w:p>
    <w:p w14:paraId="32959A1B" w14:textId="6787813B" w:rsidR="00850E2C" w:rsidRPr="00850E2C" w:rsidRDefault="00CD5FEF" w:rsidP="00CD5FEF">
      <w:pPr>
        <w:pStyle w:val="Bullet1G"/>
        <w:rPr>
          <w:lang w:val="fr-FR"/>
        </w:rPr>
      </w:pPr>
      <w:r w:rsidRPr="00850E2C">
        <w:rPr>
          <w:lang w:val="fr-FR"/>
        </w:rPr>
        <w:lastRenderedPageBreak/>
        <w:t>Campagnes</w:t>
      </w:r>
      <w:r w:rsidR="00850E2C" w:rsidRPr="00850E2C">
        <w:rPr>
          <w:lang w:val="fr-FR"/>
        </w:rPr>
        <w:t xml:space="preserve"> de sensibilisation pour informer les populations sur les risques liés à la prostitution et les conséquences de l'exploitation sexuelle ;</w:t>
      </w:r>
    </w:p>
    <w:p w14:paraId="7FCB4B5D" w14:textId="41B10D9F" w:rsidR="00850E2C" w:rsidRPr="00850E2C" w:rsidRDefault="00CD5FEF" w:rsidP="00CD5FEF">
      <w:pPr>
        <w:pStyle w:val="Bullet1G"/>
        <w:rPr>
          <w:lang w:val="fr-FR"/>
        </w:rPr>
      </w:pPr>
      <w:r w:rsidRPr="00850E2C">
        <w:rPr>
          <w:lang w:val="fr-FR"/>
        </w:rPr>
        <w:t>Code</w:t>
      </w:r>
      <w:r w:rsidR="00850E2C" w:rsidRPr="00850E2C">
        <w:rPr>
          <w:lang w:val="fr-FR"/>
        </w:rPr>
        <w:t xml:space="preserve"> pénal togolais punit le proxénétisme et l'exploitation sexuelle, avec des peines allant de 5 à 10 ans de prison et des amendes de 5 à 20 millions de francs CFA ;</w:t>
      </w:r>
    </w:p>
    <w:p w14:paraId="56C88257" w14:textId="663419F4" w:rsidR="00850E2C" w:rsidRPr="00850E2C" w:rsidRDefault="00CD5FEF" w:rsidP="00CD5FEF">
      <w:pPr>
        <w:pStyle w:val="Bullet1G"/>
        <w:rPr>
          <w:lang w:val="fr-FR"/>
        </w:rPr>
      </w:pPr>
      <w:r w:rsidRPr="00850E2C">
        <w:rPr>
          <w:lang w:val="fr-FR"/>
        </w:rPr>
        <w:t>Organisations</w:t>
      </w:r>
      <w:r w:rsidR="00850E2C" w:rsidRPr="00850E2C">
        <w:rPr>
          <w:lang w:val="fr-FR"/>
        </w:rPr>
        <w:t xml:space="preserve"> non gouvernementales, travaillent pour soutenir les victimes de la prostitution et les aider à réintégrer la société ;</w:t>
      </w:r>
    </w:p>
    <w:p w14:paraId="77E3EA73" w14:textId="2F9E32AC" w:rsidR="00850E2C" w:rsidRPr="00850E2C" w:rsidRDefault="00CD5FEF" w:rsidP="00CD5FEF">
      <w:pPr>
        <w:pStyle w:val="Bullet1G"/>
        <w:rPr>
          <w:lang w:val="fr-FR"/>
        </w:rPr>
      </w:pPr>
      <w:r w:rsidRPr="00850E2C">
        <w:rPr>
          <w:lang w:val="fr-FR"/>
        </w:rPr>
        <w:t>Programmes</w:t>
      </w:r>
      <w:r w:rsidR="00850E2C" w:rsidRPr="00850E2C">
        <w:rPr>
          <w:lang w:val="fr-FR"/>
        </w:rPr>
        <w:t xml:space="preserve"> de formation professionnelle et d'éducation sont mis en place pour aider les jeunes filles et femmes à acquérir des compétences et à trouver un emploi décent.</w:t>
      </w:r>
    </w:p>
    <w:p w14:paraId="6C1509D4" w14:textId="79BBFB6C" w:rsidR="00850E2C" w:rsidRPr="00850E2C" w:rsidRDefault="00CD5FEF" w:rsidP="00CD5FEF">
      <w:pPr>
        <w:pStyle w:val="H1G"/>
        <w:rPr>
          <w:lang w:val="fr-FR"/>
        </w:rPr>
      </w:pPr>
      <w:r>
        <w:rPr>
          <w:lang w:val="fr-FR"/>
        </w:rPr>
        <w:tab/>
      </w:r>
      <w:r w:rsidR="0009090E">
        <w:rPr>
          <w:lang w:val="fr-FR"/>
        </w:rPr>
        <w:t>XII.</w:t>
      </w:r>
      <w:r w:rsidR="0009090E">
        <w:rPr>
          <w:lang w:val="fr-FR"/>
        </w:rPr>
        <w:tab/>
      </w:r>
      <w:r w:rsidR="00850E2C" w:rsidRPr="00850E2C">
        <w:rPr>
          <w:lang w:val="fr-FR"/>
        </w:rPr>
        <w:t>Participation à la vie politique et à la vie publique.</w:t>
      </w:r>
    </w:p>
    <w:p w14:paraId="5EB1B8EC" w14:textId="1FDE17F6" w:rsidR="007E0AF3" w:rsidRDefault="00CD5FEF" w:rsidP="00CD5FEF">
      <w:pPr>
        <w:pStyle w:val="H23G"/>
        <w:rPr>
          <w:lang w:val="fr-FR"/>
        </w:rPr>
      </w:pPr>
      <w:r>
        <w:rPr>
          <w:lang w:val="fr-FR"/>
        </w:rPr>
        <w:tab/>
      </w:r>
      <w:r>
        <w:rPr>
          <w:lang w:val="fr-FR"/>
        </w:rPr>
        <w:tab/>
        <w:t xml:space="preserve">Paragraphe </w:t>
      </w:r>
      <w:r w:rsidR="007E0AF3">
        <w:rPr>
          <w:lang w:val="fr-FR"/>
        </w:rPr>
        <w:t>12a)</w:t>
      </w:r>
    </w:p>
    <w:p w14:paraId="7E270738" w14:textId="620115E4" w:rsidR="00850E2C" w:rsidRPr="00850E2C" w:rsidRDefault="00850E2C" w:rsidP="00F97BC3">
      <w:pPr>
        <w:pStyle w:val="SingleTxtG"/>
        <w:numPr>
          <w:ilvl w:val="0"/>
          <w:numId w:val="4"/>
        </w:numPr>
        <w:ind w:left="1134" w:firstLine="0"/>
        <w:rPr>
          <w:b/>
          <w:bCs/>
          <w:lang w:val="fr-FR"/>
        </w:rPr>
      </w:pPr>
      <w:r w:rsidRPr="00850E2C">
        <w:rPr>
          <w:bCs/>
          <w:lang w:val="fr-FR"/>
        </w:rPr>
        <w:t>En ce qui concerne les ressources allouées au programme national pour le leadership politique et professionnel des femmes, il faut noter entre autres que</w:t>
      </w:r>
      <w:r w:rsidRPr="00850E2C">
        <w:rPr>
          <w:b/>
          <w:bCs/>
          <w:lang w:val="fr-FR"/>
        </w:rPr>
        <w:t xml:space="preserve"> </w:t>
      </w:r>
      <w:r w:rsidRPr="00850E2C">
        <w:rPr>
          <w:lang w:val="fr-FR"/>
        </w:rPr>
        <w:t>l</w:t>
      </w:r>
      <w:r w:rsidRPr="00850E2C">
        <w:rPr>
          <w:bCs/>
          <w:lang w:val="fr-FR"/>
        </w:rPr>
        <w:t>e ministère chargé du genre bénéficie annuellement de quatre cent million pour les activités du genre et de la promotion de la femme.</w:t>
      </w:r>
      <w:r w:rsidRPr="00850E2C">
        <w:rPr>
          <w:b/>
          <w:bCs/>
          <w:lang w:val="fr-FR"/>
        </w:rPr>
        <w:t xml:space="preserve"> </w:t>
      </w:r>
      <w:r w:rsidRPr="00097BAE">
        <w:rPr>
          <w:bCs/>
          <w:lang w:val="fr-FR"/>
        </w:rPr>
        <w:t>Il</w:t>
      </w:r>
      <w:r w:rsidRPr="00850E2C">
        <w:rPr>
          <w:bCs/>
          <w:lang w:val="fr-FR"/>
        </w:rPr>
        <w:t xml:space="preserve"> existe également un projet d’autonomisation des femmes rurales qui bénéficie annuellement de deux cent million</w:t>
      </w:r>
      <w:r w:rsidRPr="00850E2C">
        <w:rPr>
          <w:b/>
          <w:bCs/>
          <w:lang w:val="fr-FR"/>
        </w:rPr>
        <w:t xml:space="preserve">. </w:t>
      </w:r>
      <w:r w:rsidRPr="00850E2C">
        <w:rPr>
          <w:bCs/>
          <w:lang w:val="fr-FR"/>
        </w:rPr>
        <w:t>Par ailleurs, chaque cellule focale genre des ministères et institutions bénéficie annuellement de cinq millions pour leurs activités.</w:t>
      </w:r>
    </w:p>
    <w:p w14:paraId="3A4CDD44" w14:textId="77777777" w:rsidR="00850E2C" w:rsidRPr="00850E2C" w:rsidRDefault="00850E2C" w:rsidP="00F97BC3">
      <w:pPr>
        <w:pStyle w:val="SingleTxtG"/>
        <w:numPr>
          <w:ilvl w:val="0"/>
          <w:numId w:val="4"/>
        </w:numPr>
        <w:ind w:left="1134" w:firstLine="0"/>
        <w:rPr>
          <w:bCs/>
          <w:lang w:val="fr-FR"/>
        </w:rPr>
      </w:pPr>
      <w:r w:rsidRPr="00850E2C">
        <w:rPr>
          <w:bCs/>
          <w:lang w:val="fr-FR"/>
        </w:rPr>
        <w:t xml:space="preserve">En matière de ressources humaines, il faut citer le personnel, de profils diversifiés, de la direction générale du </w:t>
      </w:r>
      <w:r w:rsidRPr="00E43AC9">
        <w:rPr>
          <w:lang w:val="fr-FR"/>
        </w:rPr>
        <w:t>genre</w:t>
      </w:r>
      <w:r w:rsidRPr="00850E2C">
        <w:rPr>
          <w:bCs/>
          <w:lang w:val="fr-FR"/>
        </w:rPr>
        <w:t xml:space="preserve"> et de la promotion de la femme, le personnel des centres d’écoutes et des One stop centers, les membres des cellules focales genre des ministères et institutions et les points focaux genre des différents services à la base, tels que les communes qui œuvrent pour le leadership et l’autonomisation des femmes et des filles.</w:t>
      </w:r>
    </w:p>
    <w:p w14:paraId="31D13F2A" w14:textId="77777777" w:rsidR="00850E2C" w:rsidRPr="00850E2C" w:rsidRDefault="00850E2C" w:rsidP="00F97BC3">
      <w:pPr>
        <w:pStyle w:val="SingleTxtG"/>
        <w:numPr>
          <w:ilvl w:val="0"/>
          <w:numId w:val="4"/>
        </w:numPr>
        <w:ind w:left="1134" w:firstLine="0"/>
        <w:rPr>
          <w:bCs/>
          <w:lang w:val="fr-FR"/>
        </w:rPr>
      </w:pPr>
      <w:r w:rsidRPr="00850E2C">
        <w:rPr>
          <w:bCs/>
          <w:lang w:val="fr-FR"/>
        </w:rPr>
        <w:t>S’agissant de l’application la résolution 1325, au total 872 femmes leaders communautaires ont été formées et constituées en 251 Clubs de paires femmes, paix, sécurité et développement qui mènent des activités de sensibilisation sur la culture de la paix et sur la participation des femmes dans la gestion des conflits.</w:t>
      </w:r>
    </w:p>
    <w:p w14:paraId="1A276616" w14:textId="58636D83" w:rsidR="007E0AF3" w:rsidRDefault="00CD5FEF" w:rsidP="00CD5FEF">
      <w:pPr>
        <w:pStyle w:val="H23G"/>
        <w:rPr>
          <w:lang w:val="fr-FR"/>
        </w:rPr>
      </w:pPr>
      <w:r>
        <w:rPr>
          <w:lang w:val="fr-FR"/>
        </w:rPr>
        <w:tab/>
      </w:r>
      <w:r>
        <w:rPr>
          <w:lang w:val="fr-FR"/>
        </w:rPr>
        <w:tab/>
        <w:t xml:space="preserve">Paragraphe </w:t>
      </w:r>
      <w:r w:rsidR="007E0AF3">
        <w:rPr>
          <w:lang w:val="fr-FR"/>
        </w:rPr>
        <w:t>12</w:t>
      </w:r>
      <w:r w:rsidR="00850E2C" w:rsidRPr="00850E2C">
        <w:rPr>
          <w:lang w:val="fr-FR"/>
        </w:rPr>
        <w:t xml:space="preserve">b) </w:t>
      </w:r>
    </w:p>
    <w:p w14:paraId="4370F058" w14:textId="268A13D4" w:rsidR="00850E2C" w:rsidRPr="00850E2C" w:rsidRDefault="00850E2C" w:rsidP="00F97BC3">
      <w:pPr>
        <w:pStyle w:val="SingleTxtG"/>
        <w:numPr>
          <w:ilvl w:val="0"/>
          <w:numId w:val="4"/>
        </w:numPr>
        <w:ind w:left="1134" w:firstLine="0"/>
        <w:rPr>
          <w:bCs/>
          <w:lang w:val="fr-FR"/>
        </w:rPr>
      </w:pPr>
      <w:r w:rsidRPr="00850E2C">
        <w:rPr>
          <w:bCs/>
          <w:lang w:val="fr-FR"/>
        </w:rPr>
        <w:t>Les mesures prises pour accroitre la représentation et la participation des femmes aux postes de décision sont entre autres, la volonté politique illustrée par la nomination de la 1ère femme présidente d’une université publique (Kara), la désignation de présidence du parlement de la CDEAO. Bien d’autres femmes sont nommées à des poste de responsabilité comme ministre, préfet, Médiateur de la République, commissaire général de l’office togolais des recettes. Les femmes sont également nommées dans l’administration judiciaire, dans l’armée et même dans la chefferie coutumière (il y a des femmes cheffes de village et de canton au Togo).</w:t>
      </w:r>
    </w:p>
    <w:p w14:paraId="5EC141C0" w14:textId="0B1D54C5" w:rsidR="00850E2C" w:rsidRPr="00850E2C" w:rsidRDefault="00850E2C" w:rsidP="00F97BC3">
      <w:pPr>
        <w:pStyle w:val="SingleTxtG"/>
        <w:numPr>
          <w:ilvl w:val="0"/>
          <w:numId w:val="4"/>
        </w:numPr>
        <w:ind w:left="1134" w:firstLine="0"/>
        <w:rPr>
          <w:bCs/>
          <w:lang w:val="fr-FR"/>
        </w:rPr>
      </w:pPr>
      <w:r w:rsidRPr="00850E2C">
        <w:rPr>
          <w:bCs/>
          <w:lang w:val="fr-FR"/>
        </w:rPr>
        <w:t xml:space="preserve">Voir aussi les informations fournies aux </w:t>
      </w:r>
      <w:r w:rsidRPr="006314E2">
        <w:rPr>
          <w:bCs/>
          <w:lang w:val="fr-FR"/>
        </w:rPr>
        <w:t xml:space="preserve">points </w:t>
      </w:r>
      <w:r w:rsidR="00FE40A9" w:rsidRPr="006314E2">
        <w:rPr>
          <w:bCs/>
          <w:lang w:val="fr-FR"/>
        </w:rPr>
        <w:t>I</w:t>
      </w:r>
      <w:r w:rsidRPr="006314E2">
        <w:rPr>
          <w:bCs/>
          <w:lang w:val="fr-FR"/>
        </w:rPr>
        <w:t xml:space="preserve"> et </w:t>
      </w:r>
      <w:r w:rsidR="00FE40A9" w:rsidRPr="006314E2">
        <w:rPr>
          <w:bCs/>
          <w:lang w:val="fr-FR"/>
        </w:rPr>
        <w:t>XVIII</w:t>
      </w:r>
      <w:r w:rsidRPr="006314E2">
        <w:rPr>
          <w:bCs/>
          <w:lang w:val="fr-FR"/>
        </w:rPr>
        <w:t xml:space="preserve"> de</w:t>
      </w:r>
      <w:r w:rsidRPr="00850E2C">
        <w:rPr>
          <w:bCs/>
          <w:lang w:val="fr-FR"/>
        </w:rPr>
        <w:t xml:space="preserve"> ce document. </w:t>
      </w:r>
    </w:p>
    <w:p w14:paraId="38D19BD0" w14:textId="1E390FE8" w:rsidR="00850E2C" w:rsidRPr="00850E2C" w:rsidRDefault="00CD5FEF" w:rsidP="00CD5FEF">
      <w:pPr>
        <w:pStyle w:val="H1G"/>
        <w:rPr>
          <w:lang w:val="fr-FR"/>
        </w:rPr>
      </w:pPr>
      <w:r>
        <w:rPr>
          <w:lang w:val="fr-FR"/>
        </w:rPr>
        <w:tab/>
      </w:r>
      <w:r w:rsidR="0009090E">
        <w:rPr>
          <w:lang w:val="fr-FR"/>
        </w:rPr>
        <w:t>XIII.</w:t>
      </w:r>
      <w:r w:rsidR="0009090E">
        <w:rPr>
          <w:lang w:val="fr-FR"/>
        </w:rPr>
        <w:tab/>
      </w:r>
      <w:r w:rsidR="00850E2C" w:rsidRPr="00850E2C">
        <w:rPr>
          <w:lang w:val="fr-FR"/>
        </w:rPr>
        <w:t>Nationalité</w:t>
      </w:r>
    </w:p>
    <w:p w14:paraId="7FF454FA" w14:textId="7969AA65" w:rsidR="007E0AF3" w:rsidRDefault="00CD5FEF" w:rsidP="00CD5FEF">
      <w:pPr>
        <w:pStyle w:val="H23G"/>
        <w:rPr>
          <w:lang w:val="fr-FR"/>
        </w:rPr>
      </w:pPr>
      <w:r>
        <w:rPr>
          <w:lang w:val="fr-FR"/>
        </w:rPr>
        <w:tab/>
      </w:r>
      <w:r>
        <w:rPr>
          <w:lang w:val="fr-FR"/>
        </w:rPr>
        <w:tab/>
        <w:t xml:space="preserve">Paragraphe </w:t>
      </w:r>
      <w:r w:rsidR="007E0AF3">
        <w:rPr>
          <w:lang w:val="fr-FR"/>
        </w:rPr>
        <w:t>13</w:t>
      </w:r>
      <w:r w:rsidR="00850E2C" w:rsidRPr="00850E2C">
        <w:rPr>
          <w:lang w:val="fr-FR"/>
        </w:rPr>
        <w:t>a)</w:t>
      </w:r>
      <w:r w:rsidR="00850E2C" w:rsidRPr="00850E2C">
        <w:rPr>
          <w:lang w:val="fr-FR"/>
        </w:rPr>
        <w:tab/>
      </w:r>
    </w:p>
    <w:p w14:paraId="5C534A23" w14:textId="6997CF30" w:rsidR="00850E2C" w:rsidRPr="00850E2C" w:rsidRDefault="00850E2C" w:rsidP="00F97BC3">
      <w:pPr>
        <w:pStyle w:val="SingleTxtG"/>
        <w:numPr>
          <w:ilvl w:val="0"/>
          <w:numId w:val="4"/>
        </w:numPr>
        <w:ind w:left="1134" w:firstLine="0"/>
        <w:rPr>
          <w:bCs/>
          <w:lang w:val="fr-FR"/>
        </w:rPr>
      </w:pPr>
      <w:r w:rsidRPr="00850E2C">
        <w:rPr>
          <w:bCs/>
          <w:lang w:val="fr-FR"/>
        </w:rPr>
        <w:t xml:space="preserve">S’agissant de la transmission de la nationalité togolaise aux enfants et aux conjoints étrangers, il faut préciser que les femmes et les hommes ont les mêmes droits concernant la transmission de la nationalité togolaise à leurs enfants. </w:t>
      </w:r>
    </w:p>
    <w:p w14:paraId="024FF6D0" w14:textId="77777777" w:rsidR="00850E2C" w:rsidRPr="00850E2C" w:rsidRDefault="00850E2C" w:rsidP="00F97BC3">
      <w:pPr>
        <w:pStyle w:val="SingleTxtG"/>
        <w:numPr>
          <w:ilvl w:val="0"/>
          <w:numId w:val="4"/>
        </w:numPr>
        <w:ind w:left="1134" w:firstLine="0"/>
        <w:rPr>
          <w:bCs/>
          <w:lang w:val="fr-FR"/>
        </w:rPr>
      </w:pPr>
      <w:r w:rsidRPr="00850E2C">
        <w:rPr>
          <w:bCs/>
          <w:lang w:val="fr-FR"/>
        </w:rPr>
        <w:t>En ce qui concerne la transmission de la nationalité aux conjoints, la femme togolaise ne peut pas transmette la nationalité à son conjoint. Toutefois, le mariage assouplit au conjoint d’une femme togolaise, les conditions de l’acquisition de la nationalité par naturalisation (art.11 et 12 du Code de la nationalité).</w:t>
      </w:r>
    </w:p>
    <w:p w14:paraId="6839799D" w14:textId="199951EB" w:rsidR="007E0AF3" w:rsidRDefault="00CD5FEF" w:rsidP="00CD5FEF">
      <w:pPr>
        <w:pStyle w:val="H23G"/>
        <w:rPr>
          <w:lang w:val="fr-FR"/>
        </w:rPr>
      </w:pPr>
      <w:r>
        <w:rPr>
          <w:lang w:val="fr-FR"/>
        </w:rPr>
        <w:lastRenderedPageBreak/>
        <w:tab/>
      </w:r>
      <w:r>
        <w:rPr>
          <w:lang w:val="fr-FR"/>
        </w:rPr>
        <w:tab/>
        <w:t xml:space="preserve">Paragraphe </w:t>
      </w:r>
      <w:r w:rsidR="007E0AF3">
        <w:rPr>
          <w:lang w:val="fr-FR"/>
        </w:rPr>
        <w:t>13</w:t>
      </w:r>
      <w:r w:rsidR="00850E2C" w:rsidRPr="00850E2C">
        <w:rPr>
          <w:lang w:val="fr-FR"/>
        </w:rPr>
        <w:t xml:space="preserve">b) </w:t>
      </w:r>
    </w:p>
    <w:p w14:paraId="5ECC6DD5" w14:textId="1ADE9652" w:rsidR="00850E2C" w:rsidRPr="00850E2C" w:rsidRDefault="00850E2C" w:rsidP="00F97BC3">
      <w:pPr>
        <w:pStyle w:val="SingleTxtG"/>
        <w:numPr>
          <w:ilvl w:val="0"/>
          <w:numId w:val="4"/>
        </w:numPr>
        <w:ind w:left="1134" w:firstLine="0"/>
        <w:rPr>
          <w:bCs/>
          <w:lang w:val="fr-FR"/>
        </w:rPr>
      </w:pPr>
      <w:r w:rsidRPr="00850E2C">
        <w:rPr>
          <w:bCs/>
          <w:lang w:val="fr-FR"/>
        </w:rPr>
        <w:t xml:space="preserve">S’agissant des recours juridiques mis à la disposition des femmes dont la citoyenneté togolaise a été retirée après le divorce ou dont les enfants se sont vu refuser la citoyenneté, il faut dire que le droit positif togolais admet des recours en matière administrative et judiciaire. </w:t>
      </w:r>
    </w:p>
    <w:p w14:paraId="60532CAB" w14:textId="4CD5F81C" w:rsidR="007E0AF3" w:rsidRDefault="00CD5FEF" w:rsidP="00CD5FEF">
      <w:pPr>
        <w:pStyle w:val="H23G"/>
        <w:rPr>
          <w:lang w:val="fr-FR"/>
        </w:rPr>
      </w:pPr>
      <w:r>
        <w:rPr>
          <w:lang w:val="fr-FR"/>
        </w:rPr>
        <w:tab/>
      </w:r>
      <w:r>
        <w:rPr>
          <w:lang w:val="fr-FR"/>
        </w:rPr>
        <w:tab/>
        <w:t xml:space="preserve">Paragraphe </w:t>
      </w:r>
      <w:r w:rsidR="007E0AF3">
        <w:rPr>
          <w:lang w:val="fr-FR"/>
        </w:rPr>
        <w:t>13</w:t>
      </w:r>
      <w:r w:rsidR="00850E2C" w:rsidRPr="00850E2C">
        <w:rPr>
          <w:lang w:val="fr-FR"/>
        </w:rPr>
        <w:t xml:space="preserve">c) </w:t>
      </w:r>
    </w:p>
    <w:p w14:paraId="52376679" w14:textId="44E3557B" w:rsidR="00850E2C" w:rsidRPr="00850E2C" w:rsidRDefault="00850E2C" w:rsidP="00F97BC3">
      <w:pPr>
        <w:pStyle w:val="SingleTxtG"/>
        <w:numPr>
          <w:ilvl w:val="0"/>
          <w:numId w:val="4"/>
        </w:numPr>
        <w:ind w:left="1134" w:firstLine="0"/>
        <w:rPr>
          <w:bCs/>
          <w:lang w:val="fr-FR"/>
        </w:rPr>
      </w:pPr>
      <w:r w:rsidRPr="00850E2C">
        <w:rPr>
          <w:bCs/>
          <w:lang w:val="fr-FR"/>
        </w:rPr>
        <w:t>Relativement aux mesures prises pour améliorer l’accès à l’inscription au registre de l’état civil, il faut dire que le gouvernement a pris les mesures visant à assurer l’enregistrement universel et gratuit des naissances. Il s’agit du Décret N°2021-134/PR du 14 décembre 2021 instituant la gratuité de la délivrance des actes de naissance au Togo et de l'arrêté interministériel N°0025/MATDDT/MEF portant modalités d'application du décret susmentionné.</w:t>
      </w:r>
    </w:p>
    <w:p w14:paraId="32631D94" w14:textId="77777777" w:rsidR="00850E2C" w:rsidRPr="00850E2C" w:rsidRDefault="00850E2C" w:rsidP="00F97BC3">
      <w:pPr>
        <w:pStyle w:val="SingleTxtG"/>
        <w:numPr>
          <w:ilvl w:val="0"/>
          <w:numId w:val="4"/>
        </w:numPr>
        <w:ind w:left="1134" w:firstLine="0"/>
        <w:rPr>
          <w:bCs/>
          <w:lang w:val="fr-FR"/>
        </w:rPr>
      </w:pPr>
      <w:r w:rsidRPr="00850E2C">
        <w:rPr>
          <w:bCs/>
          <w:lang w:val="fr-FR"/>
        </w:rPr>
        <w:t>Par ailleurs, la majorité des centres d’état civil sont installés dans les cantons et villages ainsi que dans des centres de santé en vue de rapprocher les services de l’état civil des usagers.</w:t>
      </w:r>
    </w:p>
    <w:p w14:paraId="1F7286A4" w14:textId="77777777" w:rsidR="00850E2C" w:rsidRPr="00850E2C" w:rsidRDefault="00850E2C" w:rsidP="00F97BC3">
      <w:pPr>
        <w:pStyle w:val="SingleTxtG"/>
        <w:numPr>
          <w:ilvl w:val="0"/>
          <w:numId w:val="4"/>
        </w:numPr>
        <w:ind w:left="1134" w:firstLine="0"/>
        <w:rPr>
          <w:bCs/>
          <w:lang w:val="fr-FR"/>
        </w:rPr>
      </w:pPr>
      <w:r w:rsidRPr="00850E2C">
        <w:rPr>
          <w:bCs/>
          <w:lang w:val="fr-FR"/>
        </w:rPr>
        <w:t>L’inscription au registre d’état civil ne fait aucune distinction entre les personnes. Le délai d’enregistrement des naissances est fixé à 45 jours pour tous les enfants. En 2025, dans le but de doter les femmes n’ayant pas de pièces d’identité, le gouvernement avec l’appui des partenaires techniques et financiers a procédé à une opération d’établissement de jugements supplétifs à 5000 femmes sur l’ensemble du territoire.</w:t>
      </w:r>
    </w:p>
    <w:p w14:paraId="3B9A821E" w14:textId="76898A23" w:rsidR="00850E2C" w:rsidRPr="00850E2C" w:rsidRDefault="00CD5FEF" w:rsidP="00CD5FEF">
      <w:pPr>
        <w:pStyle w:val="H1G"/>
        <w:rPr>
          <w:lang w:val="fr-FR"/>
        </w:rPr>
      </w:pPr>
      <w:r>
        <w:rPr>
          <w:lang w:val="fr-FR"/>
        </w:rPr>
        <w:tab/>
      </w:r>
      <w:r w:rsidR="0009090E">
        <w:rPr>
          <w:lang w:val="fr-FR"/>
        </w:rPr>
        <w:t>XIV.</w:t>
      </w:r>
      <w:r w:rsidR="0009090E">
        <w:rPr>
          <w:lang w:val="fr-FR"/>
        </w:rPr>
        <w:tab/>
      </w:r>
      <w:r w:rsidR="00850E2C" w:rsidRPr="00850E2C">
        <w:rPr>
          <w:lang w:val="fr-FR"/>
        </w:rPr>
        <w:t>Éducation</w:t>
      </w:r>
    </w:p>
    <w:p w14:paraId="770215CA" w14:textId="38D50C13" w:rsidR="007E0AF3" w:rsidRDefault="00CD5FEF" w:rsidP="00CD5FEF">
      <w:pPr>
        <w:pStyle w:val="H23G"/>
        <w:rPr>
          <w:lang w:val="fr-FR"/>
        </w:rPr>
      </w:pPr>
      <w:r>
        <w:rPr>
          <w:lang w:val="fr-FR"/>
        </w:rPr>
        <w:tab/>
      </w:r>
      <w:r>
        <w:rPr>
          <w:lang w:val="fr-FR"/>
        </w:rPr>
        <w:tab/>
        <w:t xml:space="preserve">Paragraphe </w:t>
      </w:r>
      <w:r w:rsidR="007E0AF3">
        <w:rPr>
          <w:lang w:val="fr-FR"/>
        </w:rPr>
        <w:t>14a)</w:t>
      </w:r>
    </w:p>
    <w:p w14:paraId="5C5AD62A" w14:textId="583EA9B9" w:rsidR="00850E2C" w:rsidRPr="00850E2C" w:rsidRDefault="00850E2C" w:rsidP="00F97BC3">
      <w:pPr>
        <w:pStyle w:val="SingleTxtG"/>
        <w:numPr>
          <w:ilvl w:val="0"/>
          <w:numId w:val="4"/>
        </w:numPr>
        <w:ind w:left="1134" w:firstLine="0"/>
        <w:rPr>
          <w:bCs/>
          <w:lang w:val="fr-FR"/>
        </w:rPr>
      </w:pPr>
      <w:r w:rsidRPr="00850E2C">
        <w:rPr>
          <w:bCs/>
          <w:lang w:val="fr-FR"/>
        </w:rPr>
        <w:t>Pour augmenter les inscriptions et la rétention des filles à tous les niveaux d’enseignement, notamment dans les domaines des sciences, de la technologie, de l’ingénierie et des mathématiques en vue d’atteindre la parité, des projets ont été initiés et mis en œuvre :</w:t>
      </w:r>
    </w:p>
    <w:p w14:paraId="23D6E5F2" w14:textId="77777777" w:rsidR="00850E2C" w:rsidRPr="00850E2C" w:rsidRDefault="00850E2C" w:rsidP="00CD5FEF">
      <w:pPr>
        <w:pStyle w:val="Bullet1G"/>
        <w:rPr>
          <w:lang w:val="fr-FR"/>
        </w:rPr>
      </w:pPr>
      <w:r w:rsidRPr="00850E2C">
        <w:rPr>
          <w:lang w:val="fr-FR"/>
        </w:rPr>
        <w:t>761 filles ont été primées (280 au BACII, 181 au BEPC, 80 au CEPD) et 220 aux secondaires 1 et 2 de l’enseignement général et technique dans la mise en œuvre du programme de l’excellence académique, du leadership et de l’employabilité de la fille Togolaise entre 2020 et 2025 ;</w:t>
      </w:r>
    </w:p>
    <w:p w14:paraId="6A510858" w14:textId="77777777" w:rsidR="00850E2C" w:rsidRPr="00850E2C" w:rsidRDefault="00850E2C" w:rsidP="00CD5FEF">
      <w:pPr>
        <w:pStyle w:val="Bullet1G"/>
        <w:rPr>
          <w:lang w:val="fr-FR"/>
        </w:rPr>
      </w:pPr>
      <w:r w:rsidRPr="00850E2C">
        <w:rPr>
          <w:lang w:val="fr-FR"/>
        </w:rPr>
        <w:t>90 plans d’action communautaires de lutte contre les grossesses et les mariages chez les adolescentes ainsi que les violences basées sur le genre ont été élaborés, 366 membres formés en la thématique dont 131 femmes de 2022 à 2025 à travers la mise en œuvre du programme national de lutte contre les grossesses et les mariages chez les adolescentes ;</w:t>
      </w:r>
    </w:p>
    <w:p w14:paraId="1BA2BD22" w14:textId="3BF7716E" w:rsidR="00850E2C" w:rsidRPr="00850E2C" w:rsidRDefault="00CD5FEF" w:rsidP="00CD5FEF">
      <w:pPr>
        <w:pStyle w:val="Bullet1G"/>
        <w:rPr>
          <w:lang w:val="fr-FR"/>
        </w:rPr>
      </w:pPr>
      <w:r w:rsidRPr="00850E2C">
        <w:rPr>
          <w:lang w:val="fr-FR"/>
        </w:rPr>
        <w:t>Gratuité</w:t>
      </w:r>
      <w:r w:rsidR="00850E2C" w:rsidRPr="00850E2C">
        <w:rPr>
          <w:lang w:val="fr-FR"/>
        </w:rPr>
        <w:t xml:space="preserve"> de l’enseignement préscolaire, primaire, secondaire et de la formation technique et professionnelle dans tous les établissements publics ;</w:t>
      </w:r>
    </w:p>
    <w:p w14:paraId="71650B8E" w14:textId="5F51C4BC" w:rsidR="00850E2C" w:rsidRPr="00850E2C" w:rsidRDefault="00CD5FEF" w:rsidP="00CD5FEF">
      <w:pPr>
        <w:pStyle w:val="Bullet1G"/>
        <w:rPr>
          <w:lang w:val="fr-FR"/>
        </w:rPr>
      </w:pPr>
      <w:r w:rsidRPr="00850E2C">
        <w:rPr>
          <w:lang w:val="fr-FR"/>
        </w:rPr>
        <w:t>Suppression</w:t>
      </w:r>
      <w:r w:rsidR="00850E2C" w:rsidRPr="00850E2C">
        <w:rPr>
          <w:lang w:val="fr-FR"/>
        </w:rPr>
        <w:t xml:space="preserve"> des frais d’inscription aux différents examens ;</w:t>
      </w:r>
    </w:p>
    <w:p w14:paraId="6047CB9D" w14:textId="011A5E83" w:rsidR="00850E2C" w:rsidRPr="00850E2C" w:rsidRDefault="00CD5FEF" w:rsidP="00CD5FEF">
      <w:pPr>
        <w:pStyle w:val="Bullet1G"/>
        <w:rPr>
          <w:lang w:val="fr-FR"/>
        </w:rPr>
      </w:pPr>
      <w:r w:rsidRPr="00850E2C">
        <w:rPr>
          <w:lang w:val="fr-FR"/>
        </w:rPr>
        <w:t>Octroi</w:t>
      </w:r>
      <w:r w:rsidR="00850E2C" w:rsidRPr="00850E2C">
        <w:rPr>
          <w:lang w:val="fr-FR"/>
        </w:rPr>
        <w:t xml:space="preserve"> de kits scolaires aux enfants vulnérables ;</w:t>
      </w:r>
    </w:p>
    <w:p w14:paraId="6D5B351A" w14:textId="382D1C5E" w:rsidR="00850E2C" w:rsidRPr="00850E2C" w:rsidRDefault="00CD5FEF" w:rsidP="00CD5FEF">
      <w:pPr>
        <w:pStyle w:val="Bullet1G"/>
        <w:rPr>
          <w:lang w:val="fr-FR"/>
        </w:rPr>
      </w:pPr>
      <w:r w:rsidRPr="00850E2C">
        <w:rPr>
          <w:lang w:val="fr-FR"/>
        </w:rPr>
        <w:t>Octroi</w:t>
      </w:r>
      <w:r w:rsidR="00850E2C" w:rsidRPr="00850E2C">
        <w:rPr>
          <w:lang w:val="fr-FR"/>
        </w:rPr>
        <w:t xml:space="preserve"> des bourses et allocations de secours.</w:t>
      </w:r>
    </w:p>
    <w:p w14:paraId="5D02F237" w14:textId="2AB82A6F" w:rsidR="007E0AF3" w:rsidRDefault="00CD5FEF" w:rsidP="00CD5FEF">
      <w:pPr>
        <w:pStyle w:val="H23G"/>
        <w:rPr>
          <w:lang w:val="fr-FR"/>
        </w:rPr>
      </w:pPr>
      <w:r>
        <w:rPr>
          <w:lang w:val="fr-FR"/>
        </w:rPr>
        <w:tab/>
      </w:r>
      <w:r>
        <w:rPr>
          <w:lang w:val="fr-FR"/>
        </w:rPr>
        <w:tab/>
        <w:t xml:space="preserve">Paragraphe </w:t>
      </w:r>
      <w:r w:rsidR="007E0AF3">
        <w:rPr>
          <w:lang w:val="fr-FR"/>
        </w:rPr>
        <w:t>14</w:t>
      </w:r>
      <w:r w:rsidR="00850E2C" w:rsidRPr="00850E2C">
        <w:rPr>
          <w:lang w:val="fr-FR"/>
        </w:rPr>
        <w:t>b)</w:t>
      </w:r>
      <w:r w:rsidR="00850E2C" w:rsidRPr="00850E2C">
        <w:rPr>
          <w:lang w:val="fr-FR"/>
        </w:rPr>
        <w:tab/>
      </w:r>
    </w:p>
    <w:p w14:paraId="2F88E58A" w14:textId="37B605A2" w:rsidR="00850E2C" w:rsidRPr="00850E2C" w:rsidRDefault="00850E2C" w:rsidP="00F97BC3">
      <w:pPr>
        <w:pStyle w:val="SingleTxtG"/>
        <w:numPr>
          <w:ilvl w:val="0"/>
          <w:numId w:val="4"/>
        </w:numPr>
        <w:ind w:left="1134" w:firstLine="0"/>
        <w:rPr>
          <w:bCs/>
          <w:lang w:val="fr-FR"/>
        </w:rPr>
      </w:pPr>
      <w:r w:rsidRPr="00850E2C">
        <w:rPr>
          <w:bCs/>
          <w:lang w:val="fr-FR"/>
        </w:rPr>
        <w:t xml:space="preserve">Pour réduire les taux d’abandon scolaire chez les filles en raison de grossesses précoces, de mariages forcés ou de difficultés économiques, entre autres mesures ont été prises : </w:t>
      </w:r>
    </w:p>
    <w:p w14:paraId="31DAA9EA" w14:textId="7B34F3A6" w:rsidR="00850E2C" w:rsidRPr="00850E2C" w:rsidRDefault="00CD5FEF" w:rsidP="00CD5FEF">
      <w:pPr>
        <w:pStyle w:val="Bullet1G"/>
        <w:rPr>
          <w:lang w:val="fr-FR"/>
        </w:rPr>
      </w:pPr>
      <w:r w:rsidRPr="00850E2C">
        <w:rPr>
          <w:lang w:val="fr-FR"/>
        </w:rPr>
        <w:t>Programme</w:t>
      </w:r>
      <w:r w:rsidR="00850E2C" w:rsidRPr="00850E2C">
        <w:rPr>
          <w:lang w:val="fr-FR"/>
        </w:rPr>
        <w:t xml:space="preserve"> de l’excellence académique, du leadership et de l’employabilité de la fille togolaise qui a pour objectif de renforcer l’éclosion d’une élite féminine de qualité à travers l’octroi des prix d’excellence à la fin de chaque année scolaire aux meilleures filles aux différents examens (BACII, BEPC, CEPD) ;</w:t>
      </w:r>
    </w:p>
    <w:p w14:paraId="2CB53420" w14:textId="35A6F439" w:rsidR="00850E2C" w:rsidRPr="00850E2C" w:rsidRDefault="00CD5FEF" w:rsidP="00CD5FEF">
      <w:pPr>
        <w:pStyle w:val="Bullet1G"/>
        <w:rPr>
          <w:lang w:val="fr-FR"/>
        </w:rPr>
      </w:pPr>
      <w:r w:rsidRPr="00850E2C">
        <w:rPr>
          <w:lang w:val="fr-FR"/>
        </w:rPr>
        <w:lastRenderedPageBreak/>
        <w:t>Programme</w:t>
      </w:r>
      <w:r w:rsidR="00850E2C" w:rsidRPr="00850E2C">
        <w:rPr>
          <w:lang w:val="fr-FR"/>
        </w:rPr>
        <w:t xml:space="preserve"> national de lutte contre les grossesses et les mariages chez les adolescentes, ayant pour objectif de réduire significativement les grossesses et les mariages des adolescentes à travers l’installation des cellules de veille, suivi de l’élaboration des plans d’actions communautaires de lutte contre les grossesses et les mariages chez les adolescentes ainsi que les violences basées sur le genre ; </w:t>
      </w:r>
    </w:p>
    <w:p w14:paraId="3A4567B5" w14:textId="4FAAF2FB" w:rsidR="00850E2C" w:rsidRPr="00B058E2" w:rsidRDefault="00CD5FEF" w:rsidP="00CD5FEF">
      <w:pPr>
        <w:pStyle w:val="Bullet1G"/>
        <w:rPr>
          <w:lang w:val="fr-FR"/>
        </w:rPr>
      </w:pPr>
      <w:r w:rsidRPr="00B058E2">
        <w:rPr>
          <w:lang w:val="fr-FR"/>
        </w:rPr>
        <w:t>Sensibilisation</w:t>
      </w:r>
      <w:r w:rsidR="00850E2C" w:rsidRPr="00B058E2">
        <w:rPr>
          <w:lang w:val="fr-FR"/>
        </w:rPr>
        <w:t xml:space="preserve"> des filles ;</w:t>
      </w:r>
    </w:p>
    <w:p w14:paraId="3EA38754" w14:textId="47C8C3D8" w:rsidR="00850E2C" w:rsidRPr="00850E2C" w:rsidRDefault="00CD5FEF" w:rsidP="00CD5FEF">
      <w:pPr>
        <w:pStyle w:val="Bullet1G"/>
        <w:rPr>
          <w:lang w:val="fr-FR"/>
        </w:rPr>
      </w:pPr>
      <w:r w:rsidRPr="00850E2C">
        <w:rPr>
          <w:lang w:val="fr-FR"/>
        </w:rPr>
        <w:t>Possibilité</w:t>
      </w:r>
      <w:r w:rsidR="00850E2C" w:rsidRPr="00850E2C">
        <w:rPr>
          <w:lang w:val="fr-FR"/>
        </w:rPr>
        <w:t xml:space="preserve"> pour les filles en état de grossesse de poursuivre les études ;</w:t>
      </w:r>
    </w:p>
    <w:p w14:paraId="5E276B49" w14:textId="45427AC8" w:rsidR="00850E2C" w:rsidRPr="00850E2C" w:rsidRDefault="00CD5FEF" w:rsidP="00CD5FEF">
      <w:pPr>
        <w:pStyle w:val="Bullet1G"/>
        <w:rPr>
          <w:lang w:val="fr-FR"/>
        </w:rPr>
      </w:pPr>
      <w:r w:rsidRPr="00850E2C">
        <w:rPr>
          <w:lang w:val="fr-FR"/>
        </w:rPr>
        <w:t>Octroi</w:t>
      </w:r>
      <w:r w:rsidR="00850E2C" w:rsidRPr="00850E2C">
        <w:rPr>
          <w:lang w:val="fr-FR"/>
        </w:rPr>
        <w:t xml:space="preserve"> des kits scolaires.  </w:t>
      </w:r>
    </w:p>
    <w:p w14:paraId="54AD8636" w14:textId="1EE710E0" w:rsidR="007E0AF3" w:rsidRDefault="00CD5FEF" w:rsidP="00CD5FEF">
      <w:pPr>
        <w:pStyle w:val="H23G"/>
        <w:rPr>
          <w:lang w:val="fr-FR"/>
        </w:rPr>
      </w:pPr>
      <w:r>
        <w:rPr>
          <w:lang w:val="fr-FR"/>
        </w:rPr>
        <w:tab/>
      </w:r>
      <w:r>
        <w:rPr>
          <w:lang w:val="fr-FR"/>
        </w:rPr>
        <w:tab/>
        <w:t xml:space="preserve">Paragraphe </w:t>
      </w:r>
      <w:r w:rsidR="007E0AF3">
        <w:rPr>
          <w:lang w:val="fr-FR"/>
        </w:rPr>
        <w:t>14</w:t>
      </w:r>
      <w:r w:rsidR="00850E2C" w:rsidRPr="00850E2C">
        <w:rPr>
          <w:lang w:val="fr-FR"/>
        </w:rPr>
        <w:t>c)</w:t>
      </w:r>
      <w:r w:rsidR="00850E2C" w:rsidRPr="00850E2C">
        <w:rPr>
          <w:lang w:val="fr-FR"/>
        </w:rPr>
        <w:tab/>
      </w:r>
    </w:p>
    <w:p w14:paraId="5A9DF2B3" w14:textId="13FFBACA" w:rsidR="00850E2C" w:rsidRPr="00850E2C" w:rsidRDefault="00850E2C" w:rsidP="00F97BC3">
      <w:pPr>
        <w:pStyle w:val="SingleTxtG"/>
        <w:numPr>
          <w:ilvl w:val="0"/>
          <w:numId w:val="4"/>
        </w:numPr>
        <w:ind w:left="1134" w:firstLine="0"/>
        <w:rPr>
          <w:bCs/>
          <w:lang w:val="fr-FR"/>
        </w:rPr>
      </w:pPr>
      <w:r w:rsidRPr="00850E2C">
        <w:rPr>
          <w:bCs/>
          <w:lang w:val="fr-FR"/>
        </w:rPr>
        <w:t>Pour garantir l’accès des femmes et des filles handicapées à une éducation inclusive, le gouvernement a pris, entre autres mesures :</w:t>
      </w:r>
    </w:p>
    <w:p w14:paraId="7874A1BA" w14:textId="61628B26" w:rsidR="00850E2C" w:rsidRPr="00850E2C" w:rsidRDefault="00CD5FEF" w:rsidP="00CD5FEF">
      <w:pPr>
        <w:pStyle w:val="Bullet1G"/>
        <w:rPr>
          <w:lang w:val="fr-FR"/>
        </w:rPr>
      </w:pPr>
      <w:r w:rsidRPr="00850E2C">
        <w:rPr>
          <w:lang w:val="fr-FR"/>
        </w:rPr>
        <w:t>Mise</w:t>
      </w:r>
      <w:r w:rsidR="00850E2C" w:rsidRPr="00850E2C">
        <w:rPr>
          <w:lang w:val="fr-FR"/>
        </w:rPr>
        <w:t xml:space="preserve"> en œuvre du projet d’appui à l’insertion socioprofessionnelle des personnes handicapées au Togo qui a déjà inscrit 445 bénéficiaires dont 220 femmes en formation professionnelle ;</w:t>
      </w:r>
    </w:p>
    <w:p w14:paraId="5844E166" w14:textId="7821D124" w:rsidR="00850E2C" w:rsidRPr="00850E2C" w:rsidRDefault="00CD5FEF" w:rsidP="00CD5FEF">
      <w:pPr>
        <w:pStyle w:val="Bullet1G"/>
        <w:rPr>
          <w:lang w:val="fr-FR"/>
        </w:rPr>
      </w:pPr>
      <w:r w:rsidRPr="00850E2C">
        <w:rPr>
          <w:lang w:val="fr-FR"/>
        </w:rPr>
        <w:t>Subvention</w:t>
      </w:r>
      <w:r w:rsidR="00850E2C" w:rsidRPr="00850E2C">
        <w:rPr>
          <w:lang w:val="fr-FR"/>
        </w:rPr>
        <w:t xml:space="preserve"> aux instituts spécialisés de prise en charge des enfants handicapés ;</w:t>
      </w:r>
    </w:p>
    <w:p w14:paraId="2A573256" w14:textId="57BE622F" w:rsidR="00850E2C" w:rsidRPr="00850E2C" w:rsidRDefault="00CD5FEF" w:rsidP="00CD5FEF">
      <w:pPr>
        <w:pStyle w:val="Bullet1G"/>
        <w:rPr>
          <w:lang w:val="fr-FR"/>
        </w:rPr>
      </w:pPr>
      <w:r w:rsidRPr="00850E2C">
        <w:rPr>
          <w:lang w:val="fr-FR"/>
        </w:rPr>
        <w:t>Opérationnalisation</w:t>
      </w:r>
      <w:r w:rsidR="00850E2C" w:rsidRPr="00850E2C">
        <w:rPr>
          <w:lang w:val="fr-FR"/>
        </w:rPr>
        <w:t xml:space="preserve"> de l’assurance maladie universelle pour les personnes handicapées indigentes dans une approche non contributive ;</w:t>
      </w:r>
    </w:p>
    <w:p w14:paraId="3081D1B1" w14:textId="263DDEFD" w:rsidR="00850E2C" w:rsidRPr="00850E2C" w:rsidRDefault="00CD5FEF" w:rsidP="00CD5FEF">
      <w:pPr>
        <w:pStyle w:val="Bullet1G"/>
        <w:rPr>
          <w:lang w:val="fr-FR"/>
        </w:rPr>
      </w:pPr>
      <w:r w:rsidRPr="00850E2C">
        <w:rPr>
          <w:lang w:val="fr-FR"/>
        </w:rPr>
        <w:t>Mise</w:t>
      </w:r>
      <w:r w:rsidR="00850E2C" w:rsidRPr="00850E2C">
        <w:rPr>
          <w:lang w:val="fr-FR"/>
        </w:rPr>
        <w:t xml:space="preserve"> à disposition des femmes en situation de handicap du matériel d’aides techniques ;</w:t>
      </w:r>
    </w:p>
    <w:p w14:paraId="2B8CBEC1" w14:textId="45F40488" w:rsidR="00850E2C" w:rsidRPr="00850E2C" w:rsidRDefault="00CD5FEF" w:rsidP="00CD5FEF">
      <w:pPr>
        <w:pStyle w:val="Bullet1G"/>
        <w:rPr>
          <w:lang w:val="fr-FR"/>
        </w:rPr>
      </w:pPr>
      <w:r w:rsidRPr="00850E2C">
        <w:rPr>
          <w:lang w:val="fr-FR"/>
        </w:rPr>
        <w:t>Prise</w:t>
      </w:r>
      <w:r w:rsidR="00850E2C" w:rsidRPr="00850E2C">
        <w:rPr>
          <w:lang w:val="fr-FR"/>
        </w:rPr>
        <w:t xml:space="preserve"> en compte des femmes et filles handicapées dans la sélection des bénéficiaires des formations de courtes durées ;</w:t>
      </w:r>
    </w:p>
    <w:p w14:paraId="053E4587" w14:textId="6159E3BE" w:rsidR="00850E2C" w:rsidRPr="00850E2C" w:rsidRDefault="00CD5FEF" w:rsidP="00CD5FEF">
      <w:pPr>
        <w:pStyle w:val="Bullet1G"/>
        <w:rPr>
          <w:lang w:val="fr-FR"/>
        </w:rPr>
      </w:pPr>
      <w:r w:rsidRPr="00850E2C">
        <w:rPr>
          <w:lang w:val="fr-FR"/>
        </w:rPr>
        <w:t>Construction</w:t>
      </w:r>
      <w:r w:rsidR="00850E2C" w:rsidRPr="00850E2C">
        <w:rPr>
          <w:lang w:val="fr-FR"/>
        </w:rPr>
        <w:t xml:space="preserve"> des rampes d’accès aux infrastructures scolaires ;</w:t>
      </w:r>
    </w:p>
    <w:p w14:paraId="6BA21E97" w14:textId="20508B2D" w:rsidR="00850E2C" w:rsidRPr="00850E2C" w:rsidRDefault="00CD5FEF" w:rsidP="00CD5FEF">
      <w:pPr>
        <w:pStyle w:val="Bullet1G"/>
        <w:rPr>
          <w:lang w:val="fr-FR"/>
        </w:rPr>
      </w:pPr>
      <w:r w:rsidRPr="00850E2C">
        <w:rPr>
          <w:lang w:val="fr-FR"/>
        </w:rPr>
        <w:t>Formation</w:t>
      </w:r>
      <w:r w:rsidR="00850E2C" w:rsidRPr="00850E2C">
        <w:rPr>
          <w:lang w:val="fr-FR"/>
        </w:rPr>
        <w:t xml:space="preserve"> d’enseignants itinérants et spécialisés pour accompagner les élèves en situation de handicap dans les écoles ordinaires ; </w:t>
      </w:r>
    </w:p>
    <w:p w14:paraId="5184C82B" w14:textId="729426E2" w:rsidR="00850E2C" w:rsidRPr="00850E2C" w:rsidRDefault="00CD5FEF" w:rsidP="00CD5FEF">
      <w:pPr>
        <w:pStyle w:val="Bullet1G"/>
        <w:rPr>
          <w:lang w:val="fr-FR"/>
        </w:rPr>
      </w:pPr>
      <w:r w:rsidRPr="00850E2C">
        <w:rPr>
          <w:lang w:val="fr-FR"/>
        </w:rPr>
        <w:t>Institution</w:t>
      </w:r>
      <w:r w:rsidR="00850E2C" w:rsidRPr="00850E2C">
        <w:rPr>
          <w:lang w:val="fr-FR"/>
        </w:rPr>
        <w:t xml:space="preserve"> dans la loi de finances de 2026 d’un crédit d’impôts en faveur du recrutement de nos compatriotes à mobilité réduite</w:t>
      </w:r>
      <w:r>
        <w:rPr>
          <w:lang w:val="fr-FR"/>
        </w:rPr>
        <w:t>.</w:t>
      </w:r>
      <w:r w:rsidR="00850E2C" w:rsidRPr="00850E2C">
        <w:rPr>
          <w:lang w:val="fr-FR"/>
        </w:rPr>
        <w:tab/>
      </w:r>
    </w:p>
    <w:p w14:paraId="7A863C9E" w14:textId="5E447B88" w:rsidR="007E0AF3" w:rsidRDefault="00CD5FEF" w:rsidP="00CD5FEF">
      <w:pPr>
        <w:pStyle w:val="H23G"/>
        <w:rPr>
          <w:lang w:val="fr-FR"/>
        </w:rPr>
      </w:pPr>
      <w:r>
        <w:rPr>
          <w:lang w:val="fr-FR"/>
        </w:rPr>
        <w:tab/>
      </w:r>
      <w:r>
        <w:rPr>
          <w:lang w:val="fr-FR"/>
        </w:rPr>
        <w:tab/>
      </w:r>
      <w:r w:rsidR="000E78A5">
        <w:rPr>
          <w:lang w:val="fr-FR"/>
        </w:rPr>
        <w:t xml:space="preserve">Paragraphe </w:t>
      </w:r>
      <w:r w:rsidR="007E0AF3">
        <w:rPr>
          <w:lang w:val="fr-FR"/>
        </w:rPr>
        <w:t>14</w:t>
      </w:r>
      <w:r w:rsidR="00850E2C" w:rsidRPr="00850E2C">
        <w:rPr>
          <w:lang w:val="fr-FR"/>
        </w:rPr>
        <w:t>d)</w:t>
      </w:r>
      <w:r w:rsidR="00850E2C" w:rsidRPr="00850E2C">
        <w:rPr>
          <w:lang w:val="fr-FR"/>
        </w:rPr>
        <w:tab/>
      </w:r>
    </w:p>
    <w:p w14:paraId="6DFFE7B2" w14:textId="20551152" w:rsidR="00850E2C" w:rsidRPr="00850E2C" w:rsidRDefault="00850E2C" w:rsidP="00F97BC3">
      <w:pPr>
        <w:pStyle w:val="SingleTxtG"/>
        <w:numPr>
          <w:ilvl w:val="0"/>
          <w:numId w:val="4"/>
        </w:numPr>
        <w:ind w:left="1134" w:firstLine="0"/>
        <w:rPr>
          <w:bCs/>
          <w:lang w:val="fr-FR"/>
        </w:rPr>
      </w:pPr>
      <w:r w:rsidRPr="00850E2C">
        <w:rPr>
          <w:bCs/>
          <w:lang w:val="fr-FR"/>
        </w:rPr>
        <w:t xml:space="preserve">En ce qui concerne l’intégration d'une éducation sexuelle dans les programmes scolaires et la prévention des grossesses non désirées ainsi que les maladies sexuellement transmissibles, il faut noter la : </w:t>
      </w:r>
    </w:p>
    <w:p w14:paraId="0D687BD9" w14:textId="2FCC2E9B" w:rsidR="00850E2C" w:rsidRPr="00850E2C" w:rsidRDefault="00CD5FEF" w:rsidP="00CD5FEF">
      <w:pPr>
        <w:pStyle w:val="Bullet1G"/>
        <w:rPr>
          <w:lang w:val="fr-FR"/>
        </w:rPr>
      </w:pPr>
      <w:r w:rsidRPr="00850E2C">
        <w:rPr>
          <w:lang w:val="fr-FR"/>
        </w:rPr>
        <w:t>Formation</w:t>
      </w:r>
      <w:r w:rsidR="00850E2C" w:rsidRPr="00850E2C">
        <w:rPr>
          <w:lang w:val="fr-FR"/>
        </w:rPr>
        <w:t xml:space="preserve"> des enseignants sur ces thématique ;</w:t>
      </w:r>
    </w:p>
    <w:p w14:paraId="1ED8DCF2" w14:textId="672CFF57" w:rsidR="00850E2C" w:rsidRPr="00850E2C" w:rsidRDefault="00CD5FEF" w:rsidP="00CD5FEF">
      <w:pPr>
        <w:pStyle w:val="Bullet1G"/>
        <w:rPr>
          <w:lang w:val="fr-FR"/>
        </w:rPr>
      </w:pPr>
      <w:r w:rsidRPr="00850E2C">
        <w:rPr>
          <w:lang w:val="fr-FR"/>
        </w:rPr>
        <w:t>Intégration</w:t>
      </w:r>
      <w:r w:rsidR="00850E2C" w:rsidRPr="00850E2C">
        <w:rPr>
          <w:lang w:val="fr-FR"/>
        </w:rPr>
        <w:t xml:space="preserve"> de ces thématiques dans le cours de l’éducation civique et morale ;</w:t>
      </w:r>
    </w:p>
    <w:p w14:paraId="36E44924" w14:textId="498635CA" w:rsidR="00850E2C" w:rsidRPr="00850E2C" w:rsidRDefault="00CD5FEF" w:rsidP="00CD5FEF">
      <w:pPr>
        <w:pStyle w:val="Bullet1G"/>
        <w:rPr>
          <w:lang w:val="fr-FR"/>
        </w:rPr>
      </w:pPr>
      <w:r w:rsidRPr="00850E2C">
        <w:rPr>
          <w:lang w:val="fr-FR"/>
        </w:rPr>
        <w:t>Sensibilisation</w:t>
      </w:r>
      <w:r w:rsidR="00850E2C" w:rsidRPr="00850E2C">
        <w:rPr>
          <w:lang w:val="fr-FR"/>
        </w:rPr>
        <w:t xml:space="preserve"> régulière faite par la cellule genre des ministères et institutions.</w:t>
      </w:r>
    </w:p>
    <w:p w14:paraId="6ED6ADE3" w14:textId="77777777" w:rsidR="00850E2C" w:rsidRPr="00850E2C" w:rsidRDefault="00850E2C" w:rsidP="00F97BC3">
      <w:pPr>
        <w:pStyle w:val="SingleTxtG"/>
        <w:numPr>
          <w:ilvl w:val="0"/>
          <w:numId w:val="4"/>
        </w:numPr>
        <w:ind w:left="1134" w:firstLine="0"/>
        <w:rPr>
          <w:bCs/>
          <w:lang w:val="fr-FR"/>
        </w:rPr>
      </w:pPr>
      <w:r w:rsidRPr="00850E2C">
        <w:rPr>
          <w:bCs/>
          <w:lang w:val="fr-FR"/>
        </w:rPr>
        <w:t>Par ailleurs, la CNDH organise régulièrement des sensibilisations à l’intention des apprenants sur la lutte contre les maladies sexuellement transmissibles comme le VIH Sida dans les établissements scolaires et dans les centres de formation.</w:t>
      </w:r>
    </w:p>
    <w:p w14:paraId="0B480FD2" w14:textId="3C318BF2" w:rsidR="00850E2C" w:rsidRPr="00850E2C" w:rsidRDefault="0009090E" w:rsidP="000E78A5">
      <w:pPr>
        <w:pStyle w:val="H1G"/>
        <w:rPr>
          <w:lang w:val="fr-FR"/>
        </w:rPr>
      </w:pPr>
      <w:r>
        <w:rPr>
          <w:lang w:val="fr-FR"/>
        </w:rPr>
        <w:tab/>
        <w:t>XV.</w:t>
      </w:r>
      <w:r>
        <w:rPr>
          <w:lang w:val="fr-FR"/>
        </w:rPr>
        <w:tab/>
      </w:r>
      <w:r w:rsidR="00850E2C" w:rsidRPr="00850E2C">
        <w:rPr>
          <w:lang w:val="fr-FR"/>
        </w:rPr>
        <w:t>Emploi</w:t>
      </w:r>
    </w:p>
    <w:p w14:paraId="236A35AB" w14:textId="14DBE9DF" w:rsidR="007E0AF3" w:rsidRDefault="000E78A5" w:rsidP="000E78A5">
      <w:pPr>
        <w:pStyle w:val="H23G"/>
        <w:rPr>
          <w:lang w:val="fr-FR"/>
        </w:rPr>
      </w:pPr>
      <w:r>
        <w:rPr>
          <w:lang w:val="fr-FR"/>
        </w:rPr>
        <w:tab/>
      </w:r>
      <w:r>
        <w:rPr>
          <w:lang w:val="fr-FR"/>
        </w:rPr>
        <w:tab/>
        <w:t xml:space="preserve">Paragraphe </w:t>
      </w:r>
      <w:r w:rsidR="007E0AF3">
        <w:rPr>
          <w:lang w:val="fr-FR"/>
        </w:rPr>
        <w:t>15</w:t>
      </w:r>
      <w:r w:rsidR="00850E2C" w:rsidRPr="00850E2C">
        <w:rPr>
          <w:lang w:val="fr-FR"/>
        </w:rPr>
        <w:t>a)</w:t>
      </w:r>
      <w:r w:rsidR="00850E2C" w:rsidRPr="00850E2C">
        <w:rPr>
          <w:lang w:val="fr-FR"/>
        </w:rPr>
        <w:tab/>
      </w:r>
    </w:p>
    <w:p w14:paraId="6693B4B7" w14:textId="63B7F621" w:rsidR="00850E2C" w:rsidRPr="00850E2C" w:rsidRDefault="00850E2C" w:rsidP="00F97BC3">
      <w:pPr>
        <w:pStyle w:val="SingleTxtG"/>
        <w:numPr>
          <w:ilvl w:val="0"/>
          <w:numId w:val="4"/>
        </w:numPr>
        <w:ind w:left="1134" w:firstLine="0"/>
        <w:rPr>
          <w:bCs/>
          <w:lang w:val="fr-FR"/>
        </w:rPr>
      </w:pPr>
      <w:r w:rsidRPr="00850E2C">
        <w:rPr>
          <w:bCs/>
          <w:lang w:val="fr-FR"/>
        </w:rPr>
        <w:t>Au Togo, les femmes représentent environ 70 % de la main-d'œuvre du secteur informel.</w:t>
      </w:r>
    </w:p>
    <w:p w14:paraId="509764F7" w14:textId="4A10C8BF" w:rsidR="007E0AF3" w:rsidRDefault="000E78A5" w:rsidP="000E78A5">
      <w:pPr>
        <w:pStyle w:val="H23G"/>
        <w:rPr>
          <w:lang w:val="fr-FR"/>
        </w:rPr>
      </w:pPr>
      <w:r>
        <w:rPr>
          <w:lang w:val="fr-FR"/>
        </w:rPr>
        <w:tab/>
      </w:r>
      <w:r>
        <w:rPr>
          <w:lang w:val="fr-FR"/>
        </w:rPr>
        <w:tab/>
        <w:t xml:space="preserve">Paragraphe </w:t>
      </w:r>
      <w:r w:rsidR="007E0AF3">
        <w:rPr>
          <w:lang w:val="fr-FR"/>
        </w:rPr>
        <w:t>15</w:t>
      </w:r>
      <w:r w:rsidR="00850E2C" w:rsidRPr="00850E2C">
        <w:rPr>
          <w:lang w:val="fr-FR"/>
        </w:rPr>
        <w:t>b)</w:t>
      </w:r>
      <w:r w:rsidR="00850E2C" w:rsidRPr="00850E2C">
        <w:rPr>
          <w:lang w:val="fr-FR"/>
        </w:rPr>
        <w:tab/>
      </w:r>
    </w:p>
    <w:p w14:paraId="5AC61ABA" w14:textId="329D1E12" w:rsidR="00850E2C" w:rsidRPr="00850E2C" w:rsidRDefault="00850E2C" w:rsidP="00F97BC3">
      <w:pPr>
        <w:pStyle w:val="SingleTxtG"/>
        <w:numPr>
          <w:ilvl w:val="0"/>
          <w:numId w:val="4"/>
        </w:numPr>
        <w:ind w:left="1134" w:firstLine="0"/>
        <w:rPr>
          <w:bCs/>
          <w:lang w:val="fr-FR"/>
        </w:rPr>
      </w:pPr>
      <w:r w:rsidRPr="00850E2C">
        <w:rPr>
          <w:bCs/>
          <w:lang w:val="fr-FR"/>
        </w:rPr>
        <w:t xml:space="preserve">Pour lutter contre les travaux domestiques dangereux, des campagnes nationales sont menées pour sensibiliser aux pires formes de travail des enfants (filles), notamment dans le </w:t>
      </w:r>
      <w:r w:rsidRPr="00850E2C">
        <w:rPr>
          <w:bCs/>
          <w:lang w:val="fr-FR"/>
        </w:rPr>
        <w:lastRenderedPageBreak/>
        <w:t>secteur domestique, fortement exposé à la violence. Un arrêté du 22 mai 2020, détermine les travaux dangereux interdits aux enfants.</w:t>
      </w:r>
    </w:p>
    <w:p w14:paraId="7CFC40D6" w14:textId="77777777" w:rsidR="00850E2C" w:rsidRPr="00850E2C" w:rsidRDefault="00850E2C" w:rsidP="00F97BC3">
      <w:pPr>
        <w:pStyle w:val="SingleTxtG"/>
        <w:numPr>
          <w:ilvl w:val="0"/>
          <w:numId w:val="4"/>
        </w:numPr>
        <w:ind w:left="1134" w:firstLine="0"/>
        <w:rPr>
          <w:bCs/>
          <w:lang w:val="fr-FR"/>
        </w:rPr>
      </w:pPr>
      <w:r w:rsidRPr="00850E2C">
        <w:rPr>
          <w:bCs/>
          <w:lang w:val="fr-FR"/>
        </w:rPr>
        <w:t xml:space="preserve">La direction générale du travail fait des sorties de contrôle de l’application des règles sociales, y compris celles protégeant les travailleurs et travailleuses domestiques contre les abus. </w:t>
      </w:r>
    </w:p>
    <w:p w14:paraId="745047D4" w14:textId="77777777" w:rsidR="00850E2C" w:rsidRPr="00850E2C" w:rsidRDefault="00850E2C" w:rsidP="00F97BC3">
      <w:pPr>
        <w:pStyle w:val="SingleTxtG"/>
        <w:numPr>
          <w:ilvl w:val="0"/>
          <w:numId w:val="4"/>
        </w:numPr>
        <w:ind w:left="1134" w:firstLine="0"/>
        <w:rPr>
          <w:bCs/>
          <w:lang w:val="fr-FR"/>
        </w:rPr>
      </w:pPr>
      <w:r w:rsidRPr="00850E2C">
        <w:rPr>
          <w:bCs/>
          <w:lang w:val="fr-FR"/>
        </w:rPr>
        <w:t xml:space="preserve">Le code du travail modifié en 2021 (Art. 190) protège les femmes enceintes et prévoit un congé de maternité de 14 semaines avec maintien du salaire intégral. </w:t>
      </w:r>
    </w:p>
    <w:p w14:paraId="46E0740B" w14:textId="77777777" w:rsidR="00850E2C" w:rsidRPr="00850E2C" w:rsidRDefault="00850E2C" w:rsidP="00F97BC3">
      <w:pPr>
        <w:pStyle w:val="SingleTxtG"/>
        <w:numPr>
          <w:ilvl w:val="0"/>
          <w:numId w:val="4"/>
        </w:numPr>
        <w:ind w:left="1134" w:firstLine="0"/>
        <w:rPr>
          <w:bCs/>
          <w:lang w:val="fr-FR"/>
        </w:rPr>
      </w:pPr>
      <w:r w:rsidRPr="00850E2C">
        <w:rPr>
          <w:bCs/>
          <w:lang w:val="fr-FR"/>
        </w:rPr>
        <w:t>Concernant les conventions n° 156, 183, 189, 190 de l’OIT, elles ne sont pas encore ratifiées.</w:t>
      </w:r>
    </w:p>
    <w:p w14:paraId="5F959D5B" w14:textId="1130A408" w:rsidR="007E0AF3" w:rsidRDefault="000E78A5" w:rsidP="000E78A5">
      <w:pPr>
        <w:pStyle w:val="H23G"/>
        <w:rPr>
          <w:lang w:val="fr-FR"/>
        </w:rPr>
      </w:pPr>
      <w:r>
        <w:rPr>
          <w:lang w:val="fr-FR"/>
        </w:rPr>
        <w:tab/>
      </w:r>
      <w:r>
        <w:rPr>
          <w:lang w:val="fr-FR"/>
        </w:rPr>
        <w:tab/>
        <w:t xml:space="preserve">Paragraphe </w:t>
      </w:r>
      <w:r w:rsidR="007E0AF3">
        <w:rPr>
          <w:lang w:val="fr-FR"/>
        </w:rPr>
        <w:t>15</w:t>
      </w:r>
      <w:r w:rsidR="00850E2C" w:rsidRPr="00850E2C">
        <w:rPr>
          <w:lang w:val="fr-FR"/>
        </w:rPr>
        <w:t>c)</w:t>
      </w:r>
      <w:r w:rsidR="00850E2C" w:rsidRPr="00850E2C">
        <w:rPr>
          <w:lang w:val="fr-FR"/>
        </w:rPr>
        <w:tab/>
      </w:r>
    </w:p>
    <w:p w14:paraId="2BD0B6B8" w14:textId="70329546" w:rsidR="00850E2C" w:rsidRPr="00850E2C" w:rsidRDefault="00850E2C" w:rsidP="00F97BC3">
      <w:pPr>
        <w:pStyle w:val="SingleTxtG"/>
        <w:numPr>
          <w:ilvl w:val="0"/>
          <w:numId w:val="4"/>
        </w:numPr>
        <w:ind w:left="1134" w:firstLine="0"/>
        <w:rPr>
          <w:lang w:val="fr-FR"/>
        </w:rPr>
      </w:pPr>
      <w:r w:rsidRPr="00850E2C">
        <w:rPr>
          <w:bCs/>
          <w:lang w:val="fr-FR"/>
        </w:rPr>
        <w:t>S’agissant de la rémunération dans le secteur formel, la Constitution indique à l’article 18 de son annexe que : « L’Etat (..) garantit à chaque travailleur une rémunération juste et équitable ».</w:t>
      </w:r>
    </w:p>
    <w:p w14:paraId="00FE79D4" w14:textId="77777777" w:rsidR="00850E2C" w:rsidRPr="006314E2" w:rsidRDefault="00850E2C" w:rsidP="00F97BC3">
      <w:pPr>
        <w:pStyle w:val="SingleTxtG"/>
        <w:numPr>
          <w:ilvl w:val="0"/>
          <w:numId w:val="4"/>
        </w:numPr>
        <w:ind w:left="1134" w:firstLine="0"/>
        <w:rPr>
          <w:lang w:val="fr-FR"/>
        </w:rPr>
      </w:pPr>
      <w:r w:rsidRPr="00850E2C">
        <w:rPr>
          <w:lang w:val="fr-FR"/>
        </w:rPr>
        <w:t xml:space="preserve">Les fonctionnaires des deux sexes bénéficient des mêmes droits et avantages prévus au chapitre V du titre II du statut général de la fonction publique togolaise. De plus, l’article 3 de l’arrêté n°0316/MFPTDS </w:t>
      </w:r>
      <w:r w:rsidRPr="00097BAE">
        <w:rPr>
          <w:bCs/>
          <w:lang w:val="fr-FR"/>
        </w:rPr>
        <w:t>portant</w:t>
      </w:r>
      <w:r w:rsidRPr="00850E2C">
        <w:rPr>
          <w:lang w:val="fr-FR"/>
        </w:rPr>
        <w:t xml:space="preserve"> interdiction de la discrimination, du harcèlement sexuel et moral, de la violence ou de l’intimidation en milieu professionnel et sur les lieux de travail du 02 février 2024 dispose que « Tout fait constitutif de discrimination, de harcèlement sexuel ou moral, de la violence ou d’intimidation est prohibé dans les relations professionnelles notamment en matière d’apprentissage, d’embauche</w:t>
      </w:r>
      <w:r w:rsidRPr="006314E2">
        <w:rPr>
          <w:lang w:val="fr-FR"/>
        </w:rPr>
        <w:t>, de rémunération, de formation, d’affectation, de mutation, de résiliation ou de renouvellement de contrat ».</w:t>
      </w:r>
    </w:p>
    <w:p w14:paraId="01C091E2" w14:textId="1B797228" w:rsidR="00850E2C" w:rsidRPr="00850E2C" w:rsidRDefault="000E78A5" w:rsidP="000E78A5">
      <w:pPr>
        <w:pStyle w:val="H1G"/>
        <w:rPr>
          <w:lang w:val="fr-FR"/>
        </w:rPr>
      </w:pPr>
      <w:r>
        <w:rPr>
          <w:lang w:val="fr-FR"/>
        </w:rPr>
        <w:tab/>
      </w:r>
      <w:r w:rsidR="0009090E">
        <w:rPr>
          <w:lang w:val="fr-FR"/>
        </w:rPr>
        <w:t>XVI.</w:t>
      </w:r>
      <w:r w:rsidR="0009090E">
        <w:rPr>
          <w:lang w:val="fr-FR"/>
        </w:rPr>
        <w:tab/>
      </w:r>
      <w:r w:rsidR="00850E2C" w:rsidRPr="00850E2C">
        <w:rPr>
          <w:lang w:val="fr-FR"/>
        </w:rPr>
        <w:t>Harcèlement sexuel sur le lieu de travail</w:t>
      </w:r>
    </w:p>
    <w:p w14:paraId="1D1796FE" w14:textId="7544896C" w:rsidR="007E0AF3" w:rsidRDefault="000E78A5" w:rsidP="000E78A5">
      <w:pPr>
        <w:pStyle w:val="H23G"/>
        <w:rPr>
          <w:lang w:val="fr-FR"/>
        </w:rPr>
      </w:pPr>
      <w:r>
        <w:rPr>
          <w:lang w:val="fr-FR"/>
        </w:rPr>
        <w:tab/>
      </w:r>
      <w:r>
        <w:rPr>
          <w:lang w:val="fr-FR"/>
        </w:rPr>
        <w:tab/>
        <w:t xml:space="preserve">Paragraphe </w:t>
      </w:r>
      <w:r w:rsidR="007E0AF3">
        <w:rPr>
          <w:lang w:val="fr-FR"/>
        </w:rPr>
        <w:t>16</w:t>
      </w:r>
      <w:r w:rsidR="00850E2C" w:rsidRPr="00850E2C">
        <w:rPr>
          <w:lang w:val="fr-FR"/>
        </w:rPr>
        <w:t>a)</w:t>
      </w:r>
      <w:r w:rsidR="00850E2C" w:rsidRPr="00850E2C">
        <w:rPr>
          <w:lang w:val="fr-FR"/>
        </w:rPr>
        <w:tab/>
      </w:r>
    </w:p>
    <w:p w14:paraId="53A936DC" w14:textId="1DD8B154" w:rsidR="00850E2C" w:rsidRPr="00850E2C" w:rsidRDefault="00850E2C" w:rsidP="00F97BC3">
      <w:pPr>
        <w:pStyle w:val="SingleTxtG"/>
        <w:numPr>
          <w:ilvl w:val="0"/>
          <w:numId w:val="4"/>
        </w:numPr>
        <w:ind w:left="1134" w:firstLine="0"/>
        <w:rPr>
          <w:lang w:val="fr-FR"/>
        </w:rPr>
      </w:pPr>
      <w:r w:rsidRPr="00850E2C">
        <w:rPr>
          <w:lang w:val="fr-FR"/>
        </w:rPr>
        <w:t xml:space="preserve">Pour assurer l’application effective des dispositions relatives au harcèlement sexuel, il existe sur le plan institutionnel, entre autres, la CNDH et les juridictions nationales qui sont des mécanismes de recours contre le harcèlement ou autres formes de violences en milieu professionnel. </w:t>
      </w:r>
    </w:p>
    <w:p w14:paraId="2DB3DEB3" w14:textId="270BF3F7" w:rsidR="007E0AF3" w:rsidRDefault="000E78A5" w:rsidP="000E78A5">
      <w:pPr>
        <w:pStyle w:val="H23G"/>
        <w:rPr>
          <w:lang w:val="fr-FR"/>
        </w:rPr>
      </w:pPr>
      <w:r>
        <w:rPr>
          <w:lang w:val="fr-FR"/>
        </w:rPr>
        <w:tab/>
      </w:r>
      <w:r>
        <w:rPr>
          <w:lang w:val="fr-FR"/>
        </w:rPr>
        <w:tab/>
        <w:t xml:space="preserve">Paragraphe </w:t>
      </w:r>
      <w:r w:rsidR="007E0AF3">
        <w:rPr>
          <w:lang w:val="fr-FR"/>
        </w:rPr>
        <w:t>16</w:t>
      </w:r>
      <w:r w:rsidR="00850E2C" w:rsidRPr="00850E2C">
        <w:rPr>
          <w:lang w:val="fr-FR"/>
        </w:rPr>
        <w:t>b)</w:t>
      </w:r>
      <w:r w:rsidR="00850E2C" w:rsidRPr="00850E2C">
        <w:rPr>
          <w:lang w:val="fr-FR"/>
        </w:rPr>
        <w:tab/>
      </w:r>
    </w:p>
    <w:p w14:paraId="2F016F58" w14:textId="61950A2A" w:rsidR="00850E2C" w:rsidRPr="00850E2C" w:rsidRDefault="00850E2C" w:rsidP="00F97BC3">
      <w:pPr>
        <w:pStyle w:val="SingleTxtG"/>
        <w:numPr>
          <w:ilvl w:val="0"/>
          <w:numId w:val="4"/>
        </w:numPr>
        <w:ind w:left="1134" w:firstLine="0"/>
        <w:rPr>
          <w:lang w:val="fr-FR"/>
        </w:rPr>
      </w:pPr>
      <w:r w:rsidRPr="00850E2C">
        <w:rPr>
          <w:lang w:val="fr-FR"/>
        </w:rPr>
        <w:t xml:space="preserve">Il n’existe pas de statistiques relatives </w:t>
      </w:r>
      <w:r w:rsidRPr="00097BAE">
        <w:rPr>
          <w:bCs/>
          <w:lang w:val="fr-FR"/>
        </w:rPr>
        <w:t>aux</w:t>
      </w:r>
      <w:r w:rsidRPr="00850E2C">
        <w:rPr>
          <w:lang w:val="fr-FR"/>
        </w:rPr>
        <w:t xml:space="preserve"> plaintes pour harcèlement sexuel.</w:t>
      </w:r>
    </w:p>
    <w:p w14:paraId="312FACC7" w14:textId="0EB83F02" w:rsidR="007E0AF3" w:rsidRDefault="000E78A5" w:rsidP="000E78A5">
      <w:pPr>
        <w:pStyle w:val="H23G"/>
        <w:rPr>
          <w:lang w:val="fr-FR"/>
        </w:rPr>
      </w:pPr>
      <w:r>
        <w:rPr>
          <w:lang w:val="fr-FR"/>
        </w:rPr>
        <w:tab/>
      </w:r>
      <w:r>
        <w:rPr>
          <w:lang w:val="fr-FR"/>
        </w:rPr>
        <w:tab/>
        <w:t xml:space="preserve">Paragraphe </w:t>
      </w:r>
      <w:r w:rsidR="007E0AF3">
        <w:rPr>
          <w:lang w:val="fr-FR"/>
        </w:rPr>
        <w:t>16</w:t>
      </w:r>
      <w:r w:rsidR="00850E2C" w:rsidRPr="00850E2C">
        <w:rPr>
          <w:lang w:val="fr-FR"/>
        </w:rPr>
        <w:t>c)</w:t>
      </w:r>
      <w:r w:rsidR="00850E2C" w:rsidRPr="00850E2C">
        <w:rPr>
          <w:lang w:val="fr-FR"/>
        </w:rPr>
        <w:tab/>
      </w:r>
    </w:p>
    <w:p w14:paraId="651947E7" w14:textId="538BB1C5" w:rsidR="00850E2C" w:rsidRPr="00850E2C" w:rsidRDefault="00850E2C" w:rsidP="00F97BC3">
      <w:pPr>
        <w:pStyle w:val="SingleTxtG"/>
        <w:numPr>
          <w:ilvl w:val="0"/>
          <w:numId w:val="4"/>
        </w:numPr>
        <w:ind w:left="1134" w:firstLine="0"/>
        <w:rPr>
          <w:lang w:val="fr-FR"/>
        </w:rPr>
      </w:pPr>
      <w:r w:rsidRPr="00850E2C">
        <w:rPr>
          <w:lang w:val="fr-FR"/>
        </w:rPr>
        <w:t>S’agissant de programmes de renforcement de capacités pour la prévention, des initiatives sont mises en œuvre à l’intention des employeurs, des employés et des responsables chargés de l’application des lois. C’est ainsi que la CNDH a organisé en 2024 dans la préfecture de Tône, des séances de sensibilisation à l’intention des patrons et patronnes des ateliers de couture et de coiffure, ainsi des apprenti(e)s sur le harcèlement sexuel en milieu professionnel.</w:t>
      </w:r>
    </w:p>
    <w:p w14:paraId="15E846F5" w14:textId="77777777" w:rsidR="00850E2C" w:rsidRPr="00850E2C" w:rsidRDefault="00850E2C" w:rsidP="00F97BC3">
      <w:pPr>
        <w:pStyle w:val="SingleTxtG"/>
        <w:numPr>
          <w:ilvl w:val="0"/>
          <w:numId w:val="4"/>
        </w:numPr>
        <w:ind w:left="1134" w:firstLine="0"/>
        <w:rPr>
          <w:lang w:val="fr-FR"/>
        </w:rPr>
      </w:pPr>
      <w:r w:rsidRPr="00850E2C">
        <w:rPr>
          <w:lang w:val="fr-FR"/>
        </w:rPr>
        <w:t xml:space="preserve">Au sein des forces de sécurité, des sessions de formation et de sensibilisation sont régulièrement organisées afin de promouvoir un environnement professionnel respectueux et exempt de toute forme de violence ou de discrimination fondée sur le genre. Ces formations portent notamment sur le cadre juridique applicable, les mécanismes de prévention, les procédures disciplinaires et la prise </w:t>
      </w:r>
      <w:r w:rsidRPr="00097BAE">
        <w:rPr>
          <w:bCs/>
          <w:lang w:val="fr-FR"/>
        </w:rPr>
        <w:t>en</w:t>
      </w:r>
      <w:r w:rsidRPr="00850E2C">
        <w:rPr>
          <w:lang w:val="fr-FR"/>
        </w:rPr>
        <w:t xml:space="preserve"> charge des plaintes. Par ailleurs, les responsables hiérarchiques sont sensibilisés sur leur rôle dans la prévention et le traitement des cas de harcèlement. Dans plusieurs structures, ces formations sont intégrées aux programmes de formation professionnelle et de renforcement des capacités, ce qui contribue à en assurer la diffusion et l’effectivité au sein des institutions. </w:t>
      </w:r>
    </w:p>
    <w:p w14:paraId="0AF6D6E9" w14:textId="3AD1ED35" w:rsidR="00850E2C" w:rsidRPr="00850E2C" w:rsidRDefault="0009090E" w:rsidP="000E78A5">
      <w:pPr>
        <w:pStyle w:val="H1G"/>
        <w:rPr>
          <w:lang w:val="fr-FR"/>
        </w:rPr>
      </w:pPr>
      <w:r>
        <w:rPr>
          <w:lang w:val="fr-FR"/>
        </w:rPr>
        <w:lastRenderedPageBreak/>
        <w:tab/>
        <w:t>XVII.</w:t>
      </w:r>
      <w:r>
        <w:rPr>
          <w:lang w:val="fr-FR"/>
        </w:rPr>
        <w:tab/>
      </w:r>
      <w:r w:rsidR="00850E2C" w:rsidRPr="00850E2C">
        <w:rPr>
          <w:lang w:val="fr-FR"/>
        </w:rPr>
        <w:t>Santé</w:t>
      </w:r>
    </w:p>
    <w:p w14:paraId="4BF1924E" w14:textId="7370CB4E" w:rsidR="007E0AF3" w:rsidRDefault="000E78A5" w:rsidP="000E78A5">
      <w:pPr>
        <w:pStyle w:val="H23G"/>
        <w:rPr>
          <w:lang w:val="fr-FR"/>
        </w:rPr>
      </w:pPr>
      <w:r>
        <w:rPr>
          <w:lang w:val="fr-FR"/>
        </w:rPr>
        <w:tab/>
      </w:r>
      <w:r>
        <w:rPr>
          <w:lang w:val="fr-FR"/>
        </w:rPr>
        <w:tab/>
        <w:t xml:space="preserve">Paragraphe </w:t>
      </w:r>
      <w:r w:rsidR="007E0AF3">
        <w:rPr>
          <w:lang w:val="fr-FR"/>
        </w:rPr>
        <w:t>17a)</w:t>
      </w:r>
    </w:p>
    <w:p w14:paraId="0E75A4BF" w14:textId="24FE5437" w:rsidR="00850E2C" w:rsidRPr="00850E2C" w:rsidRDefault="00850E2C" w:rsidP="00F97BC3">
      <w:pPr>
        <w:pStyle w:val="SingleTxtG"/>
        <w:numPr>
          <w:ilvl w:val="0"/>
          <w:numId w:val="4"/>
        </w:numPr>
        <w:ind w:left="1134" w:firstLine="0"/>
        <w:rPr>
          <w:lang w:val="fr-FR"/>
        </w:rPr>
      </w:pPr>
      <w:r w:rsidRPr="00850E2C">
        <w:rPr>
          <w:lang w:val="fr-FR"/>
        </w:rPr>
        <w:t xml:space="preserve">Des données actualisées </w:t>
      </w:r>
      <w:r w:rsidRPr="00097BAE">
        <w:rPr>
          <w:bCs/>
          <w:lang w:val="fr-FR"/>
        </w:rPr>
        <w:t>sur</w:t>
      </w:r>
      <w:r w:rsidRPr="00850E2C">
        <w:rPr>
          <w:lang w:val="fr-FR"/>
        </w:rPr>
        <w:t xml:space="preserve"> les grossesses et les mariages d’enfants, ventilées par âge et par région en 2022 se résume comme suit :</w:t>
      </w:r>
    </w:p>
    <w:p w14:paraId="2EA2DD5E" w14:textId="4167BD0F" w:rsidR="00850E2C" w:rsidRPr="00850E2C" w:rsidRDefault="000E78A5" w:rsidP="000E78A5">
      <w:pPr>
        <w:pStyle w:val="Bullet1G"/>
        <w:rPr>
          <w:lang w:val="fr-FR"/>
        </w:rPr>
      </w:pPr>
      <w:r w:rsidRPr="00850E2C">
        <w:rPr>
          <w:lang w:val="fr-FR"/>
        </w:rPr>
        <w:t>Enfants</w:t>
      </w:r>
      <w:r w:rsidR="00850E2C" w:rsidRPr="00850E2C">
        <w:rPr>
          <w:lang w:val="fr-FR"/>
        </w:rPr>
        <w:t xml:space="preserve"> ayant tombé grosse avant l’âge de 18 ans est de 57% ; </w:t>
      </w:r>
    </w:p>
    <w:p w14:paraId="31055904" w14:textId="2182BFD7" w:rsidR="00850E2C" w:rsidRPr="00850E2C" w:rsidRDefault="000E78A5" w:rsidP="000E78A5">
      <w:pPr>
        <w:pStyle w:val="Bullet1G"/>
        <w:rPr>
          <w:lang w:val="fr-FR"/>
        </w:rPr>
      </w:pPr>
      <w:r w:rsidRPr="00850E2C">
        <w:rPr>
          <w:lang w:val="fr-FR"/>
        </w:rPr>
        <w:t>Filles</w:t>
      </w:r>
      <w:r w:rsidR="00850E2C" w:rsidRPr="00850E2C">
        <w:rPr>
          <w:lang w:val="fr-FR"/>
        </w:rPr>
        <w:t xml:space="preserve"> mariées avant l’âge de 18 ans ;</w:t>
      </w:r>
    </w:p>
    <w:p w14:paraId="4214D807" w14:textId="77777777" w:rsidR="00850E2C" w:rsidRPr="00850E2C" w:rsidRDefault="00850E2C" w:rsidP="000E78A5">
      <w:pPr>
        <w:pStyle w:val="Bullet1G"/>
        <w:rPr>
          <w:lang w:val="fr-FR"/>
        </w:rPr>
      </w:pPr>
      <w:r w:rsidRPr="00850E2C">
        <w:rPr>
          <w:lang w:val="fr-FR"/>
        </w:rPr>
        <w:t>0 à 4 ans de plus est de 30% ;</w:t>
      </w:r>
    </w:p>
    <w:p w14:paraId="6A308928" w14:textId="77777777" w:rsidR="00850E2C" w:rsidRPr="00850E2C" w:rsidRDefault="00850E2C" w:rsidP="000E78A5">
      <w:pPr>
        <w:pStyle w:val="Bullet1G"/>
        <w:rPr>
          <w:lang w:val="fr-FR"/>
        </w:rPr>
      </w:pPr>
      <w:r w:rsidRPr="00850E2C">
        <w:rPr>
          <w:lang w:val="fr-FR"/>
        </w:rPr>
        <w:t>5 à 9 ans de plus est de 34% ;</w:t>
      </w:r>
    </w:p>
    <w:p w14:paraId="2A078E64" w14:textId="01376B4F" w:rsidR="00850E2C" w:rsidRPr="00850E2C" w:rsidRDefault="000E78A5" w:rsidP="000E78A5">
      <w:pPr>
        <w:pStyle w:val="Bullet1G"/>
        <w:rPr>
          <w:lang w:val="fr-FR"/>
        </w:rPr>
      </w:pPr>
      <w:r w:rsidRPr="00850E2C">
        <w:rPr>
          <w:lang w:val="fr-FR"/>
        </w:rPr>
        <w:t>Plus</w:t>
      </w:r>
      <w:r w:rsidR="00850E2C" w:rsidRPr="00850E2C">
        <w:rPr>
          <w:lang w:val="fr-FR"/>
        </w:rPr>
        <w:t xml:space="preserve"> de 10 ans de plus est 33%.</w:t>
      </w:r>
    </w:p>
    <w:p w14:paraId="7EEE6006" w14:textId="77777777" w:rsidR="00850E2C" w:rsidRPr="00850E2C" w:rsidRDefault="00850E2C" w:rsidP="00F97BC3">
      <w:pPr>
        <w:pStyle w:val="SingleTxtG"/>
        <w:numPr>
          <w:ilvl w:val="0"/>
          <w:numId w:val="4"/>
        </w:numPr>
        <w:ind w:left="1134" w:firstLine="0"/>
        <w:rPr>
          <w:lang w:val="fr-FR"/>
        </w:rPr>
      </w:pPr>
      <w:r w:rsidRPr="00850E2C">
        <w:rPr>
          <w:lang w:val="fr-FR"/>
        </w:rPr>
        <w:t xml:space="preserve">Pourcentage de femmes âgées de 20 à 24 ans ayant été mariées ou en couple pour la première fois avant l’âge de 18 ans par </w:t>
      </w:r>
      <w:r w:rsidRPr="00097BAE">
        <w:rPr>
          <w:bCs/>
          <w:lang w:val="fr-FR"/>
        </w:rPr>
        <w:t>région</w:t>
      </w:r>
      <w:r w:rsidRPr="00850E2C">
        <w:rPr>
          <w:lang w:val="fr-FR"/>
        </w:rPr>
        <w:t xml:space="preserve"> est :</w:t>
      </w:r>
    </w:p>
    <w:p w14:paraId="19E6D43F" w14:textId="7F5335E9" w:rsidR="00850E2C" w:rsidRPr="00850E2C" w:rsidRDefault="000E78A5" w:rsidP="000E78A5">
      <w:pPr>
        <w:pStyle w:val="Bullet1G"/>
        <w:rPr>
          <w:lang w:val="fr-FR"/>
        </w:rPr>
      </w:pPr>
      <w:r w:rsidRPr="00850E2C">
        <w:rPr>
          <w:lang w:val="fr-FR"/>
        </w:rPr>
        <w:t>Région</w:t>
      </w:r>
      <w:r w:rsidR="00850E2C" w:rsidRPr="00850E2C">
        <w:rPr>
          <w:lang w:val="fr-FR"/>
        </w:rPr>
        <w:t xml:space="preserve"> des savanes et des plateaux est compris entre 31 et 40% ;</w:t>
      </w:r>
    </w:p>
    <w:p w14:paraId="47693759" w14:textId="0BC52EAA" w:rsidR="00850E2C" w:rsidRPr="00850E2C" w:rsidRDefault="000E78A5" w:rsidP="000E78A5">
      <w:pPr>
        <w:pStyle w:val="Bullet1G"/>
        <w:rPr>
          <w:lang w:val="fr-FR"/>
        </w:rPr>
      </w:pPr>
      <w:r w:rsidRPr="00850E2C">
        <w:rPr>
          <w:lang w:val="fr-FR"/>
        </w:rPr>
        <w:t>Région</w:t>
      </w:r>
      <w:r w:rsidR="00850E2C" w:rsidRPr="00850E2C">
        <w:rPr>
          <w:lang w:val="fr-FR"/>
        </w:rPr>
        <w:t xml:space="preserve"> de la Kara et de la centrale est compris entre 21 et 30 % ; </w:t>
      </w:r>
    </w:p>
    <w:p w14:paraId="2A7D2F98" w14:textId="4685D9AA" w:rsidR="00850E2C" w:rsidRPr="00850E2C" w:rsidRDefault="000E78A5" w:rsidP="000E78A5">
      <w:pPr>
        <w:pStyle w:val="Bullet1G"/>
        <w:rPr>
          <w:lang w:val="fr-FR"/>
        </w:rPr>
      </w:pPr>
      <w:r w:rsidRPr="00850E2C">
        <w:rPr>
          <w:lang w:val="fr-FR"/>
        </w:rPr>
        <w:t>Région</w:t>
      </w:r>
      <w:r w:rsidR="00850E2C" w:rsidRPr="00850E2C">
        <w:rPr>
          <w:lang w:val="fr-FR"/>
        </w:rPr>
        <w:t xml:space="preserve"> maritime et grand Lomé est compris entre 11 et 20 %.</w:t>
      </w:r>
    </w:p>
    <w:p w14:paraId="1F97A107" w14:textId="77777777" w:rsidR="00850E2C" w:rsidRPr="00850E2C" w:rsidRDefault="00850E2C" w:rsidP="00F97BC3">
      <w:pPr>
        <w:pStyle w:val="SingleTxtG"/>
        <w:numPr>
          <w:ilvl w:val="0"/>
          <w:numId w:val="4"/>
        </w:numPr>
        <w:ind w:left="1134" w:firstLine="0"/>
        <w:rPr>
          <w:lang w:val="fr-FR"/>
        </w:rPr>
      </w:pPr>
      <w:r w:rsidRPr="00850E2C">
        <w:rPr>
          <w:lang w:val="fr-FR"/>
        </w:rPr>
        <w:t xml:space="preserve">En matière de lutte contre le VIH, le Togo a adopté des politiques et normes régissant les offres de services de prévention et de soins en SSR/IST/VIH du VIH et de santé sexuelle chez les adolescents et jeunes au Togo. Dans le souci d’améliorer la couverture en ARV, les mesures </w:t>
      </w:r>
      <w:r w:rsidRPr="00097BAE">
        <w:rPr>
          <w:bCs/>
          <w:lang w:val="fr-FR"/>
        </w:rPr>
        <w:t>suivantes</w:t>
      </w:r>
      <w:r w:rsidRPr="00850E2C">
        <w:rPr>
          <w:lang w:val="fr-FR"/>
        </w:rPr>
        <w:t xml:space="preserve"> ont été prises :</w:t>
      </w:r>
    </w:p>
    <w:p w14:paraId="170955F9" w14:textId="159B9C04" w:rsidR="00850E2C" w:rsidRPr="00850E2C" w:rsidRDefault="000E78A5" w:rsidP="000E78A5">
      <w:pPr>
        <w:pStyle w:val="Bullet1G"/>
        <w:rPr>
          <w:lang w:val="fr-FR"/>
        </w:rPr>
      </w:pPr>
      <w:r w:rsidRPr="00850E2C">
        <w:rPr>
          <w:lang w:val="fr-FR"/>
        </w:rPr>
        <w:t>Poursuite</w:t>
      </w:r>
      <w:r w:rsidR="00850E2C" w:rsidRPr="00850E2C">
        <w:rPr>
          <w:lang w:val="fr-FR"/>
        </w:rPr>
        <w:t xml:space="preserve"> de la décentralisation et de l’extension des sites de dispensation des ARV avec la création de 21 nouveaux centres de SMNI en 2022, portant le nombre de sites offrant la PTME de 702 en 2015 à 840 sites PTME en 2022, soit une couverture géographique de 85,37% ;</w:t>
      </w:r>
    </w:p>
    <w:p w14:paraId="4F74E464" w14:textId="2960E933" w:rsidR="00850E2C" w:rsidRPr="00850E2C" w:rsidRDefault="000E78A5" w:rsidP="000E78A5">
      <w:pPr>
        <w:pStyle w:val="Bullet1G"/>
        <w:rPr>
          <w:lang w:val="fr-FR"/>
        </w:rPr>
      </w:pPr>
      <w:r w:rsidRPr="00850E2C">
        <w:rPr>
          <w:lang w:val="fr-FR"/>
        </w:rPr>
        <w:t>Formation</w:t>
      </w:r>
      <w:r w:rsidR="00850E2C" w:rsidRPr="00850E2C">
        <w:rPr>
          <w:lang w:val="fr-FR"/>
        </w:rPr>
        <w:t xml:space="preserve"> de 150 dispensateurs des ARV sur la gestion des stocks ;</w:t>
      </w:r>
    </w:p>
    <w:p w14:paraId="60C448A7" w14:textId="587A0B91" w:rsidR="00850E2C" w:rsidRPr="00850E2C" w:rsidRDefault="000E78A5" w:rsidP="000E78A5">
      <w:pPr>
        <w:pStyle w:val="Bullet1G"/>
        <w:rPr>
          <w:lang w:val="fr-FR"/>
        </w:rPr>
      </w:pPr>
      <w:r w:rsidRPr="00850E2C">
        <w:rPr>
          <w:lang w:val="fr-FR"/>
        </w:rPr>
        <w:t>Mise</w:t>
      </w:r>
      <w:r w:rsidR="00850E2C" w:rsidRPr="00850E2C">
        <w:rPr>
          <w:lang w:val="fr-FR"/>
        </w:rPr>
        <w:t xml:space="preserve"> en place de 60 cellules de gestion de nouvelles inclusions aux ARV au niveau de tous les districts, CHR, CHU et les structures à grosse file active. </w:t>
      </w:r>
    </w:p>
    <w:p w14:paraId="6524267A" w14:textId="77777777" w:rsidR="00850E2C" w:rsidRPr="00850E2C" w:rsidRDefault="00850E2C" w:rsidP="00F97BC3">
      <w:pPr>
        <w:pStyle w:val="SingleTxtG"/>
        <w:numPr>
          <w:ilvl w:val="0"/>
          <w:numId w:val="4"/>
        </w:numPr>
        <w:ind w:left="1134" w:firstLine="0"/>
        <w:rPr>
          <w:lang w:val="fr-FR"/>
        </w:rPr>
      </w:pPr>
      <w:r w:rsidRPr="00850E2C">
        <w:rPr>
          <w:lang w:val="fr-FR"/>
        </w:rPr>
        <w:t>Grâce à ces actions, la couverture en ARV au plan national a connu des progrès significatifs marqués par l’augmentation constante du nombre de personnes sous TAR qui est passé de 38 750 en 2015 à 76 230 en 2019 et à 86 876 en 2022. Sur les 86 876 PVVIH sous TAR en 2022, il est dénombré 4 380 enfants.  Ces PVVIH sous TAR sont repartis comme suit :</w:t>
      </w:r>
    </w:p>
    <w:p w14:paraId="0A6AA937" w14:textId="43F44F56" w:rsidR="00850E2C" w:rsidRPr="00850E2C" w:rsidRDefault="00850E2C" w:rsidP="004760FA">
      <w:pPr>
        <w:pStyle w:val="Heading1"/>
        <w:jc w:val="center"/>
        <w:rPr>
          <w:lang w:val="fr-FR"/>
        </w:rPr>
      </w:pPr>
      <w:r w:rsidRPr="00850E2C">
        <w:rPr>
          <w:lang w:val="fr-FR"/>
        </w:rPr>
        <w:t>Tableau XIII : Répartition des PVVIH sous ARV par région en 2022</w:t>
      </w:r>
    </w:p>
    <w:tbl>
      <w:tblPr>
        <w:tblStyle w:val="GridTable1Light"/>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18"/>
        <w:gridCol w:w="1476"/>
        <w:gridCol w:w="1474"/>
        <w:gridCol w:w="1474"/>
        <w:gridCol w:w="1328"/>
      </w:tblGrid>
      <w:tr w:rsidR="00850E2C" w:rsidRPr="00CD41C4" w14:paraId="353ADD51" w14:textId="77777777" w:rsidTr="00CD41C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79" w:type="dxa"/>
            <w:tcBorders>
              <w:top w:val="single" w:sz="4" w:space="0" w:color="auto"/>
              <w:bottom w:val="single" w:sz="12" w:space="0" w:color="auto"/>
            </w:tcBorders>
            <w:vAlign w:val="bottom"/>
          </w:tcPr>
          <w:p w14:paraId="38EA473F" w14:textId="77777777" w:rsidR="00850E2C" w:rsidRPr="00CD41C4" w:rsidRDefault="00850E2C" w:rsidP="00CD41C4">
            <w:pPr>
              <w:suppressAutoHyphens w:val="0"/>
              <w:spacing w:before="80" w:after="80" w:line="200" w:lineRule="exact"/>
              <w:rPr>
                <w:b w:val="0"/>
                <w:i/>
                <w:sz w:val="16"/>
                <w:lang w:val="en-US"/>
              </w:rPr>
            </w:pPr>
            <w:r w:rsidRPr="00CD41C4">
              <w:rPr>
                <w:b w:val="0"/>
                <w:i/>
                <w:sz w:val="16"/>
                <w:lang w:val="en-US"/>
              </w:rPr>
              <w:t>Régions</w:t>
            </w:r>
          </w:p>
        </w:tc>
        <w:tc>
          <w:tcPr>
            <w:tcW w:w="1986" w:type="dxa"/>
            <w:tcBorders>
              <w:top w:val="single" w:sz="4" w:space="0" w:color="auto"/>
              <w:bottom w:val="single" w:sz="12" w:space="0" w:color="auto"/>
            </w:tcBorders>
            <w:vAlign w:val="bottom"/>
          </w:tcPr>
          <w:p w14:paraId="0EBC126F" w14:textId="77777777" w:rsidR="00850E2C" w:rsidRPr="00CD41C4" w:rsidRDefault="00850E2C" w:rsidP="00CD41C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en-US"/>
              </w:rPr>
            </w:pPr>
            <w:r w:rsidRPr="00CD41C4">
              <w:rPr>
                <w:b w:val="0"/>
                <w:i/>
                <w:sz w:val="16"/>
                <w:lang w:val="en-US"/>
              </w:rPr>
              <w:t>Enfants</w:t>
            </w:r>
          </w:p>
        </w:tc>
        <w:tc>
          <w:tcPr>
            <w:tcW w:w="1983" w:type="dxa"/>
            <w:tcBorders>
              <w:top w:val="single" w:sz="4" w:space="0" w:color="auto"/>
              <w:bottom w:val="single" w:sz="12" w:space="0" w:color="auto"/>
            </w:tcBorders>
            <w:vAlign w:val="bottom"/>
          </w:tcPr>
          <w:p w14:paraId="601BD7EE" w14:textId="77777777" w:rsidR="00850E2C" w:rsidRPr="00CD41C4" w:rsidRDefault="00850E2C" w:rsidP="00CD41C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en-US"/>
              </w:rPr>
            </w:pPr>
            <w:r w:rsidRPr="00CD41C4">
              <w:rPr>
                <w:b w:val="0"/>
                <w:i/>
                <w:sz w:val="16"/>
                <w:lang w:val="en-US"/>
              </w:rPr>
              <w:t>Adultes</w:t>
            </w:r>
          </w:p>
        </w:tc>
        <w:tc>
          <w:tcPr>
            <w:tcW w:w="1983" w:type="dxa"/>
            <w:tcBorders>
              <w:top w:val="single" w:sz="4" w:space="0" w:color="auto"/>
              <w:bottom w:val="single" w:sz="12" w:space="0" w:color="auto"/>
            </w:tcBorders>
            <w:vAlign w:val="bottom"/>
          </w:tcPr>
          <w:p w14:paraId="2737BABA" w14:textId="77777777" w:rsidR="00850E2C" w:rsidRPr="00CD41C4" w:rsidRDefault="00850E2C" w:rsidP="00CD41C4">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sz w:val="16"/>
                <w:lang w:val="en-US"/>
              </w:rPr>
            </w:pPr>
            <w:r w:rsidRPr="00CD41C4">
              <w:rPr>
                <w:b w:val="0"/>
                <w:i/>
                <w:sz w:val="16"/>
                <w:lang w:val="en-US"/>
              </w:rPr>
              <w:t>Total</w:t>
            </w:r>
          </w:p>
        </w:tc>
        <w:tc>
          <w:tcPr>
            <w:cnfStyle w:val="000100000000" w:firstRow="0" w:lastRow="0" w:firstColumn="0" w:lastColumn="1" w:oddVBand="0" w:evenVBand="0" w:oddHBand="0" w:evenHBand="0" w:firstRowFirstColumn="0" w:firstRowLastColumn="0" w:lastRowFirstColumn="0" w:lastRowLastColumn="0"/>
            <w:tcW w:w="1787" w:type="dxa"/>
            <w:tcBorders>
              <w:top w:val="single" w:sz="4" w:space="0" w:color="auto"/>
              <w:bottom w:val="single" w:sz="12" w:space="0" w:color="auto"/>
            </w:tcBorders>
            <w:vAlign w:val="bottom"/>
          </w:tcPr>
          <w:p w14:paraId="20032F50" w14:textId="77777777" w:rsidR="00850E2C" w:rsidRPr="00CD41C4" w:rsidRDefault="00850E2C" w:rsidP="00CD41C4">
            <w:pPr>
              <w:suppressAutoHyphens w:val="0"/>
              <w:spacing w:before="80" w:after="80" w:line="200" w:lineRule="exact"/>
              <w:jc w:val="right"/>
              <w:rPr>
                <w:b w:val="0"/>
                <w:i/>
                <w:sz w:val="16"/>
                <w:lang w:val="en-US"/>
              </w:rPr>
            </w:pPr>
            <w:r w:rsidRPr="00CD41C4">
              <w:rPr>
                <w:b w:val="0"/>
                <w:i/>
                <w:sz w:val="16"/>
                <w:lang w:val="en-US"/>
              </w:rPr>
              <w:t>%</w:t>
            </w:r>
          </w:p>
        </w:tc>
      </w:tr>
      <w:tr w:rsidR="00850E2C" w:rsidRPr="00CD41C4" w14:paraId="100475DC" w14:textId="77777777" w:rsidTr="00CD41C4">
        <w:tc>
          <w:tcPr>
            <w:cnfStyle w:val="001000000000" w:firstRow="0" w:lastRow="0" w:firstColumn="1" w:lastColumn="0" w:oddVBand="0" w:evenVBand="0" w:oddHBand="0" w:evenHBand="0" w:firstRowFirstColumn="0" w:firstRowLastColumn="0" w:lastRowFirstColumn="0" w:lastRowLastColumn="0"/>
            <w:tcW w:w="2179" w:type="dxa"/>
            <w:tcBorders>
              <w:top w:val="single" w:sz="12" w:space="0" w:color="auto"/>
            </w:tcBorders>
          </w:tcPr>
          <w:p w14:paraId="2E492A51" w14:textId="77777777" w:rsidR="00850E2C" w:rsidRPr="00CD41C4" w:rsidRDefault="00850E2C" w:rsidP="00CD41C4">
            <w:pPr>
              <w:suppressAutoHyphens w:val="0"/>
              <w:spacing w:before="40" w:after="40" w:line="220" w:lineRule="exact"/>
              <w:rPr>
                <w:sz w:val="18"/>
                <w:lang w:val="en-US"/>
              </w:rPr>
            </w:pPr>
            <w:r w:rsidRPr="00CD41C4">
              <w:rPr>
                <w:sz w:val="18"/>
                <w:lang w:val="en-US"/>
              </w:rPr>
              <w:t>Grand Lomé</w:t>
            </w:r>
          </w:p>
        </w:tc>
        <w:tc>
          <w:tcPr>
            <w:tcW w:w="1986" w:type="dxa"/>
            <w:tcBorders>
              <w:top w:val="single" w:sz="12" w:space="0" w:color="auto"/>
            </w:tcBorders>
            <w:vAlign w:val="bottom"/>
          </w:tcPr>
          <w:p w14:paraId="47E9409D"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2 264</w:t>
            </w:r>
          </w:p>
        </w:tc>
        <w:tc>
          <w:tcPr>
            <w:tcW w:w="1983" w:type="dxa"/>
            <w:tcBorders>
              <w:top w:val="single" w:sz="12" w:space="0" w:color="auto"/>
            </w:tcBorders>
            <w:vAlign w:val="bottom"/>
          </w:tcPr>
          <w:p w14:paraId="5A60A30C"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46 658</w:t>
            </w:r>
          </w:p>
        </w:tc>
        <w:tc>
          <w:tcPr>
            <w:tcW w:w="1983" w:type="dxa"/>
            <w:tcBorders>
              <w:top w:val="single" w:sz="12" w:space="0" w:color="auto"/>
            </w:tcBorders>
            <w:vAlign w:val="bottom"/>
          </w:tcPr>
          <w:p w14:paraId="485BDF4C"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48 922</w:t>
            </w:r>
          </w:p>
        </w:tc>
        <w:tc>
          <w:tcPr>
            <w:cnfStyle w:val="000100000000" w:firstRow="0" w:lastRow="0" w:firstColumn="0" w:lastColumn="1" w:oddVBand="0" w:evenVBand="0" w:oddHBand="0" w:evenHBand="0" w:firstRowFirstColumn="0" w:firstRowLastColumn="0" w:lastRowFirstColumn="0" w:lastRowLastColumn="0"/>
            <w:tcW w:w="1787" w:type="dxa"/>
            <w:tcBorders>
              <w:top w:val="single" w:sz="12" w:space="0" w:color="auto"/>
            </w:tcBorders>
            <w:vAlign w:val="bottom"/>
          </w:tcPr>
          <w:p w14:paraId="07923B95"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56,3%</w:t>
            </w:r>
          </w:p>
        </w:tc>
      </w:tr>
      <w:tr w:rsidR="00850E2C" w:rsidRPr="00CD41C4" w14:paraId="0CE4DF9F" w14:textId="77777777" w:rsidTr="00CD41C4">
        <w:tc>
          <w:tcPr>
            <w:cnfStyle w:val="001000000000" w:firstRow="0" w:lastRow="0" w:firstColumn="1" w:lastColumn="0" w:oddVBand="0" w:evenVBand="0" w:oddHBand="0" w:evenHBand="0" w:firstRowFirstColumn="0" w:firstRowLastColumn="0" w:lastRowFirstColumn="0" w:lastRowLastColumn="0"/>
            <w:tcW w:w="2179" w:type="dxa"/>
          </w:tcPr>
          <w:p w14:paraId="162A2B47" w14:textId="77777777" w:rsidR="00850E2C" w:rsidRPr="00CD41C4" w:rsidRDefault="00850E2C" w:rsidP="00CD41C4">
            <w:pPr>
              <w:suppressAutoHyphens w:val="0"/>
              <w:spacing w:before="40" w:after="40" w:line="220" w:lineRule="exact"/>
              <w:rPr>
                <w:sz w:val="18"/>
                <w:lang w:val="en-US"/>
              </w:rPr>
            </w:pPr>
            <w:r w:rsidRPr="00CD41C4">
              <w:rPr>
                <w:sz w:val="18"/>
                <w:lang w:val="en-US"/>
              </w:rPr>
              <w:t>Maritime</w:t>
            </w:r>
          </w:p>
        </w:tc>
        <w:tc>
          <w:tcPr>
            <w:tcW w:w="1986" w:type="dxa"/>
            <w:vAlign w:val="bottom"/>
          </w:tcPr>
          <w:p w14:paraId="6ACAF8AA"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891</w:t>
            </w:r>
          </w:p>
        </w:tc>
        <w:tc>
          <w:tcPr>
            <w:tcW w:w="1983" w:type="dxa"/>
            <w:vAlign w:val="bottom"/>
          </w:tcPr>
          <w:p w14:paraId="07B2829B"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14 063</w:t>
            </w:r>
          </w:p>
        </w:tc>
        <w:tc>
          <w:tcPr>
            <w:tcW w:w="1983" w:type="dxa"/>
            <w:vAlign w:val="bottom"/>
          </w:tcPr>
          <w:p w14:paraId="664916B3"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14 954</w:t>
            </w:r>
          </w:p>
        </w:tc>
        <w:tc>
          <w:tcPr>
            <w:cnfStyle w:val="000100000000" w:firstRow="0" w:lastRow="0" w:firstColumn="0" w:lastColumn="1" w:oddVBand="0" w:evenVBand="0" w:oddHBand="0" w:evenHBand="0" w:firstRowFirstColumn="0" w:firstRowLastColumn="0" w:lastRowFirstColumn="0" w:lastRowLastColumn="0"/>
            <w:tcW w:w="1787" w:type="dxa"/>
            <w:vAlign w:val="bottom"/>
          </w:tcPr>
          <w:p w14:paraId="1CF8B92E"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17,2%</w:t>
            </w:r>
          </w:p>
        </w:tc>
      </w:tr>
      <w:tr w:rsidR="00850E2C" w:rsidRPr="00CD41C4" w14:paraId="74C2B7ED" w14:textId="77777777" w:rsidTr="00CD41C4">
        <w:tc>
          <w:tcPr>
            <w:cnfStyle w:val="001000000000" w:firstRow="0" w:lastRow="0" w:firstColumn="1" w:lastColumn="0" w:oddVBand="0" w:evenVBand="0" w:oddHBand="0" w:evenHBand="0" w:firstRowFirstColumn="0" w:firstRowLastColumn="0" w:lastRowFirstColumn="0" w:lastRowLastColumn="0"/>
            <w:tcW w:w="2179" w:type="dxa"/>
          </w:tcPr>
          <w:p w14:paraId="43639C4C" w14:textId="77777777" w:rsidR="00850E2C" w:rsidRPr="00CD41C4" w:rsidRDefault="00850E2C" w:rsidP="00CD41C4">
            <w:pPr>
              <w:suppressAutoHyphens w:val="0"/>
              <w:spacing w:before="40" w:after="40" w:line="220" w:lineRule="exact"/>
              <w:rPr>
                <w:sz w:val="18"/>
                <w:lang w:val="en-US"/>
              </w:rPr>
            </w:pPr>
            <w:r w:rsidRPr="00CD41C4">
              <w:rPr>
                <w:sz w:val="18"/>
                <w:lang w:val="en-US"/>
              </w:rPr>
              <w:t>Plateaux</w:t>
            </w:r>
          </w:p>
        </w:tc>
        <w:tc>
          <w:tcPr>
            <w:tcW w:w="1986" w:type="dxa"/>
            <w:vAlign w:val="bottom"/>
          </w:tcPr>
          <w:p w14:paraId="5F6FD8AA"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537</w:t>
            </w:r>
          </w:p>
        </w:tc>
        <w:tc>
          <w:tcPr>
            <w:tcW w:w="1983" w:type="dxa"/>
            <w:vAlign w:val="bottom"/>
          </w:tcPr>
          <w:p w14:paraId="60D7CF6B"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9 000</w:t>
            </w:r>
          </w:p>
        </w:tc>
        <w:tc>
          <w:tcPr>
            <w:tcW w:w="1983" w:type="dxa"/>
            <w:vAlign w:val="bottom"/>
          </w:tcPr>
          <w:p w14:paraId="523D17A8"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9 537</w:t>
            </w:r>
          </w:p>
        </w:tc>
        <w:tc>
          <w:tcPr>
            <w:cnfStyle w:val="000100000000" w:firstRow="0" w:lastRow="0" w:firstColumn="0" w:lastColumn="1" w:oddVBand="0" w:evenVBand="0" w:oddHBand="0" w:evenHBand="0" w:firstRowFirstColumn="0" w:firstRowLastColumn="0" w:lastRowFirstColumn="0" w:lastRowLastColumn="0"/>
            <w:tcW w:w="1787" w:type="dxa"/>
            <w:vAlign w:val="bottom"/>
          </w:tcPr>
          <w:p w14:paraId="0CC1756E"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11,0%</w:t>
            </w:r>
          </w:p>
        </w:tc>
      </w:tr>
      <w:tr w:rsidR="00850E2C" w:rsidRPr="00CD41C4" w14:paraId="510A5192" w14:textId="77777777" w:rsidTr="00CD41C4">
        <w:tc>
          <w:tcPr>
            <w:cnfStyle w:val="001000000000" w:firstRow="0" w:lastRow="0" w:firstColumn="1" w:lastColumn="0" w:oddVBand="0" w:evenVBand="0" w:oddHBand="0" w:evenHBand="0" w:firstRowFirstColumn="0" w:firstRowLastColumn="0" w:lastRowFirstColumn="0" w:lastRowLastColumn="0"/>
            <w:tcW w:w="2179" w:type="dxa"/>
          </w:tcPr>
          <w:p w14:paraId="6D16FD6D" w14:textId="77777777" w:rsidR="00850E2C" w:rsidRPr="00CD41C4" w:rsidRDefault="00850E2C" w:rsidP="00CD41C4">
            <w:pPr>
              <w:suppressAutoHyphens w:val="0"/>
              <w:spacing w:before="40" w:after="40" w:line="220" w:lineRule="exact"/>
              <w:rPr>
                <w:sz w:val="18"/>
                <w:lang w:val="en-US"/>
              </w:rPr>
            </w:pPr>
            <w:r w:rsidRPr="00CD41C4">
              <w:rPr>
                <w:sz w:val="18"/>
                <w:lang w:val="en-US"/>
              </w:rPr>
              <w:t>Kara</w:t>
            </w:r>
          </w:p>
        </w:tc>
        <w:tc>
          <w:tcPr>
            <w:tcW w:w="1986" w:type="dxa"/>
            <w:vAlign w:val="bottom"/>
          </w:tcPr>
          <w:p w14:paraId="26052208"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305</w:t>
            </w:r>
          </w:p>
        </w:tc>
        <w:tc>
          <w:tcPr>
            <w:tcW w:w="1983" w:type="dxa"/>
            <w:vAlign w:val="bottom"/>
          </w:tcPr>
          <w:p w14:paraId="2DF741E2"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6 103</w:t>
            </w:r>
          </w:p>
        </w:tc>
        <w:tc>
          <w:tcPr>
            <w:tcW w:w="1983" w:type="dxa"/>
            <w:vAlign w:val="bottom"/>
          </w:tcPr>
          <w:p w14:paraId="01A73EB1"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6 408</w:t>
            </w:r>
          </w:p>
        </w:tc>
        <w:tc>
          <w:tcPr>
            <w:cnfStyle w:val="000100000000" w:firstRow="0" w:lastRow="0" w:firstColumn="0" w:lastColumn="1" w:oddVBand="0" w:evenVBand="0" w:oddHBand="0" w:evenHBand="0" w:firstRowFirstColumn="0" w:firstRowLastColumn="0" w:lastRowFirstColumn="0" w:lastRowLastColumn="0"/>
            <w:tcW w:w="1787" w:type="dxa"/>
            <w:vAlign w:val="bottom"/>
          </w:tcPr>
          <w:p w14:paraId="081CB9A3"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7,4%</w:t>
            </w:r>
          </w:p>
        </w:tc>
      </w:tr>
      <w:tr w:rsidR="00850E2C" w:rsidRPr="00CD41C4" w14:paraId="079677DD" w14:textId="77777777" w:rsidTr="00CD41C4">
        <w:tc>
          <w:tcPr>
            <w:cnfStyle w:val="001000000000" w:firstRow="0" w:lastRow="0" w:firstColumn="1" w:lastColumn="0" w:oddVBand="0" w:evenVBand="0" w:oddHBand="0" w:evenHBand="0" w:firstRowFirstColumn="0" w:firstRowLastColumn="0" w:lastRowFirstColumn="0" w:lastRowLastColumn="0"/>
            <w:tcW w:w="2179" w:type="dxa"/>
          </w:tcPr>
          <w:p w14:paraId="13E82B97" w14:textId="77777777" w:rsidR="00850E2C" w:rsidRPr="00CD41C4" w:rsidRDefault="00850E2C" w:rsidP="00CD41C4">
            <w:pPr>
              <w:suppressAutoHyphens w:val="0"/>
              <w:spacing w:before="40" w:after="40" w:line="220" w:lineRule="exact"/>
              <w:rPr>
                <w:sz w:val="18"/>
                <w:lang w:val="en-US"/>
              </w:rPr>
            </w:pPr>
            <w:r w:rsidRPr="00CD41C4">
              <w:rPr>
                <w:sz w:val="18"/>
                <w:lang w:val="en-US"/>
              </w:rPr>
              <w:t>Centrale</w:t>
            </w:r>
          </w:p>
        </w:tc>
        <w:tc>
          <w:tcPr>
            <w:tcW w:w="1986" w:type="dxa"/>
            <w:vAlign w:val="bottom"/>
          </w:tcPr>
          <w:p w14:paraId="4CDCFE0C"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243</w:t>
            </w:r>
          </w:p>
        </w:tc>
        <w:tc>
          <w:tcPr>
            <w:tcW w:w="1983" w:type="dxa"/>
            <w:vAlign w:val="bottom"/>
          </w:tcPr>
          <w:p w14:paraId="550AE30E"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4 442</w:t>
            </w:r>
          </w:p>
        </w:tc>
        <w:tc>
          <w:tcPr>
            <w:tcW w:w="1983" w:type="dxa"/>
            <w:vAlign w:val="bottom"/>
          </w:tcPr>
          <w:p w14:paraId="1DB581FB"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4 685</w:t>
            </w:r>
          </w:p>
        </w:tc>
        <w:tc>
          <w:tcPr>
            <w:cnfStyle w:val="000100000000" w:firstRow="0" w:lastRow="0" w:firstColumn="0" w:lastColumn="1" w:oddVBand="0" w:evenVBand="0" w:oddHBand="0" w:evenHBand="0" w:firstRowFirstColumn="0" w:firstRowLastColumn="0" w:lastRowFirstColumn="0" w:lastRowLastColumn="0"/>
            <w:tcW w:w="1787" w:type="dxa"/>
            <w:vAlign w:val="bottom"/>
          </w:tcPr>
          <w:p w14:paraId="57483141"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5,4%</w:t>
            </w:r>
          </w:p>
        </w:tc>
      </w:tr>
      <w:tr w:rsidR="00850E2C" w:rsidRPr="00CD41C4" w14:paraId="41637F94" w14:textId="77777777" w:rsidTr="00CD41C4">
        <w:tc>
          <w:tcPr>
            <w:cnfStyle w:val="001000000000" w:firstRow="0" w:lastRow="0" w:firstColumn="1" w:lastColumn="0" w:oddVBand="0" w:evenVBand="0" w:oddHBand="0" w:evenHBand="0" w:firstRowFirstColumn="0" w:firstRowLastColumn="0" w:lastRowFirstColumn="0" w:lastRowLastColumn="0"/>
            <w:tcW w:w="2179" w:type="dxa"/>
          </w:tcPr>
          <w:p w14:paraId="32810651" w14:textId="77777777" w:rsidR="00850E2C" w:rsidRPr="00CD41C4" w:rsidRDefault="00850E2C" w:rsidP="00CD41C4">
            <w:pPr>
              <w:suppressAutoHyphens w:val="0"/>
              <w:spacing w:before="40" w:after="40" w:line="220" w:lineRule="exact"/>
              <w:rPr>
                <w:sz w:val="18"/>
                <w:lang w:val="en-US"/>
              </w:rPr>
            </w:pPr>
            <w:r w:rsidRPr="00CD41C4">
              <w:rPr>
                <w:sz w:val="18"/>
                <w:lang w:val="en-US"/>
              </w:rPr>
              <w:t>Savanes</w:t>
            </w:r>
          </w:p>
        </w:tc>
        <w:tc>
          <w:tcPr>
            <w:tcW w:w="1986" w:type="dxa"/>
            <w:vAlign w:val="bottom"/>
          </w:tcPr>
          <w:p w14:paraId="1ADC31A3"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140</w:t>
            </w:r>
          </w:p>
        </w:tc>
        <w:tc>
          <w:tcPr>
            <w:tcW w:w="1983" w:type="dxa"/>
            <w:vAlign w:val="bottom"/>
          </w:tcPr>
          <w:p w14:paraId="0C68F663"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2 230</w:t>
            </w:r>
          </w:p>
        </w:tc>
        <w:tc>
          <w:tcPr>
            <w:tcW w:w="1983" w:type="dxa"/>
            <w:vAlign w:val="bottom"/>
          </w:tcPr>
          <w:p w14:paraId="31C0E1F9" w14:textId="77777777" w:rsidR="00850E2C" w:rsidRPr="00CD41C4" w:rsidRDefault="00850E2C" w:rsidP="00CD41C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en-US"/>
              </w:rPr>
            </w:pPr>
            <w:r w:rsidRPr="00CD41C4">
              <w:rPr>
                <w:sz w:val="18"/>
                <w:lang w:val="en-US"/>
              </w:rPr>
              <w:t>2 370</w:t>
            </w:r>
          </w:p>
        </w:tc>
        <w:tc>
          <w:tcPr>
            <w:cnfStyle w:val="000100000000" w:firstRow="0" w:lastRow="0" w:firstColumn="0" w:lastColumn="1" w:oddVBand="0" w:evenVBand="0" w:oddHBand="0" w:evenHBand="0" w:firstRowFirstColumn="0" w:firstRowLastColumn="0" w:lastRowFirstColumn="0" w:lastRowLastColumn="0"/>
            <w:tcW w:w="1787" w:type="dxa"/>
            <w:vAlign w:val="bottom"/>
          </w:tcPr>
          <w:p w14:paraId="4FA9D52A"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2,7%</w:t>
            </w:r>
          </w:p>
        </w:tc>
      </w:tr>
      <w:tr w:rsidR="00850E2C" w:rsidRPr="00CD41C4" w14:paraId="2E6F2353" w14:textId="77777777" w:rsidTr="00CD41C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9" w:type="dxa"/>
            <w:tcBorders>
              <w:top w:val="none" w:sz="0" w:space="0" w:color="auto"/>
              <w:bottom w:val="single" w:sz="12" w:space="0" w:color="auto"/>
            </w:tcBorders>
          </w:tcPr>
          <w:p w14:paraId="21222A02" w14:textId="77777777" w:rsidR="00850E2C" w:rsidRPr="00CD41C4" w:rsidRDefault="00850E2C" w:rsidP="00CD41C4">
            <w:pPr>
              <w:suppressAutoHyphens w:val="0"/>
              <w:spacing w:before="40" w:after="40" w:line="220" w:lineRule="exact"/>
              <w:rPr>
                <w:sz w:val="18"/>
                <w:lang w:val="en-US"/>
              </w:rPr>
            </w:pPr>
            <w:r w:rsidRPr="00CD41C4">
              <w:rPr>
                <w:sz w:val="18"/>
                <w:lang w:val="en-US"/>
              </w:rPr>
              <w:t>Total</w:t>
            </w:r>
          </w:p>
        </w:tc>
        <w:tc>
          <w:tcPr>
            <w:tcW w:w="1986" w:type="dxa"/>
            <w:tcBorders>
              <w:top w:val="none" w:sz="0" w:space="0" w:color="auto"/>
              <w:bottom w:val="single" w:sz="12" w:space="0" w:color="auto"/>
            </w:tcBorders>
            <w:vAlign w:val="bottom"/>
          </w:tcPr>
          <w:p w14:paraId="36B24F04" w14:textId="77777777" w:rsidR="00850E2C" w:rsidRPr="00CD41C4" w:rsidRDefault="00850E2C" w:rsidP="00CD41C4">
            <w:pPr>
              <w:suppressAutoHyphens w:val="0"/>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lang w:val="en-US"/>
              </w:rPr>
            </w:pPr>
            <w:r w:rsidRPr="00CD41C4">
              <w:rPr>
                <w:sz w:val="18"/>
                <w:lang w:val="en-US"/>
              </w:rPr>
              <w:t>4 380</w:t>
            </w:r>
          </w:p>
        </w:tc>
        <w:tc>
          <w:tcPr>
            <w:tcW w:w="1983" w:type="dxa"/>
            <w:tcBorders>
              <w:top w:val="none" w:sz="0" w:space="0" w:color="auto"/>
              <w:bottom w:val="single" w:sz="12" w:space="0" w:color="auto"/>
            </w:tcBorders>
            <w:vAlign w:val="bottom"/>
          </w:tcPr>
          <w:p w14:paraId="718E2072" w14:textId="77777777" w:rsidR="00850E2C" w:rsidRPr="00CD41C4" w:rsidRDefault="00850E2C" w:rsidP="00CD41C4">
            <w:pPr>
              <w:suppressAutoHyphens w:val="0"/>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lang w:val="en-US"/>
              </w:rPr>
            </w:pPr>
            <w:r w:rsidRPr="00CD41C4">
              <w:rPr>
                <w:sz w:val="18"/>
                <w:lang w:val="en-US"/>
              </w:rPr>
              <w:t>82 496</w:t>
            </w:r>
          </w:p>
        </w:tc>
        <w:tc>
          <w:tcPr>
            <w:tcW w:w="1983" w:type="dxa"/>
            <w:tcBorders>
              <w:top w:val="none" w:sz="0" w:space="0" w:color="auto"/>
              <w:bottom w:val="single" w:sz="12" w:space="0" w:color="auto"/>
            </w:tcBorders>
            <w:vAlign w:val="bottom"/>
          </w:tcPr>
          <w:p w14:paraId="747FA701" w14:textId="77777777" w:rsidR="00850E2C" w:rsidRPr="00CD41C4" w:rsidRDefault="00850E2C" w:rsidP="00CD41C4">
            <w:pPr>
              <w:suppressAutoHyphens w:val="0"/>
              <w:spacing w:before="40" w:after="40" w:line="220" w:lineRule="exact"/>
              <w:jc w:val="right"/>
              <w:cnfStyle w:val="010000000000" w:firstRow="0" w:lastRow="1" w:firstColumn="0" w:lastColumn="0" w:oddVBand="0" w:evenVBand="0" w:oddHBand="0" w:evenHBand="0" w:firstRowFirstColumn="0" w:firstRowLastColumn="0" w:lastRowFirstColumn="0" w:lastRowLastColumn="0"/>
              <w:rPr>
                <w:sz w:val="18"/>
                <w:lang w:val="en-US"/>
              </w:rPr>
            </w:pPr>
            <w:r w:rsidRPr="00CD41C4">
              <w:rPr>
                <w:sz w:val="18"/>
                <w:lang w:val="en-US"/>
              </w:rPr>
              <w:t>86 876</w:t>
            </w:r>
          </w:p>
        </w:tc>
        <w:tc>
          <w:tcPr>
            <w:cnfStyle w:val="000100000000" w:firstRow="0" w:lastRow="0" w:firstColumn="0" w:lastColumn="1" w:oddVBand="0" w:evenVBand="0" w:oddHBand="0" w:evenHBand="0" w:firstRowFirstColumn="0" w:firstRowLastColumn="0" w:lastRowFirstColumn="0" w:lastRowLastColumn="0"/>
            <w:tcW w:w="1787" w:type="dxa"/>
            <w:tcBorders>
              <w:top w:val="none" w:sz="0" w:space="0" w:color="auto"/>
              <w:bottom w:val="single" w:sz="12" w:space="0" w:color="auto"/>
            </w:tcBorders>
            <w:vAlign w:val="bottom"/>
          </w:tcPr>
          <w:p w14:paraId="6036B94A" w14:textId="77777777" w:rsidR="00850E2C" w:rsidRPr="00CD41C4" w:rsidRDefault="00850E2C" w:rsidP="00CD41C4">
            <w:pPr>
              <w:suppressAutoHyphens w:val="0"/>
              <w:spacing w:before="40" w:after="40" w:line="220" w:lineRule="exact"/>
              <w:jc w:val="right"/>
              <w:rPr>
                <w:sz w:val="18"/>
                <w:lang w:val="en-US"/>
              </w:rPr>
            </w:pPr>
            <w:r w:rsidRPr="00CD41C4">
              <w:rPr>
                <w:sz w:val="18"/>
                <w:lang w:val="en-US"/>
              </w:rPr>
              <w:t>100,0%</w:t>
            </w:r>
          </w:p>
        </w:tc>
      </w:tr>
    </w:tbl>
    <w:p w14:paraId="6DC279CC" w14:textId="2BB3FC46" w:rsidR="00850E2C" w:rsidRPr="00850E2C" w:rsidRDefault="00850E2C" w:rsidP="00F97BC3">
      <w:pPr>
        <w:pStyle w:val="SingleTxtG"/>
        <w:numPr>
          <w:ilvl w:val="0"/>
          <w:numId w:val="4"/>
        </w:numPr>
        <w:ind w:left="1134" w:firstLine="0"/>
        <w:rPr>
          <w:lang w:val="fr-FR"/>
        </w:rPr>
      </w:pPr>
      <w:r w:rsidRPr="00850E2C">
        <w:rPr>
          <w:lang w:val="fr-FR"/>
        </w:rPr>
        <w:t xml:space="preserve">De 2021 à 2025, 77 cellules communautaire de veille et de lutte contre la stigmatisation et la discrimination des femmes et des filles affectées par le VIH/SIDA ont été mis en place et 325 membres formés dont 220 femmes afin de contribuer à réduire la transmission du VIH/SIDA. Ces cellules sont chargées de mener des sensibilisations dans leurs communautés. </w:t>
      </w:r>
    </w:p>
    <w:p w14:paraId="7831CA28" w14:textId="2E687B21" w:rsidR="00850E2C" w:rsidRPr="00AE4859" w:rsidRDefault="008E49F3" w:rsidP="008E49F3">
      <w:pPr>
        <w:pStyle w:val="H1G"/>
        <w:rPr>
          <w:lang w:val="fr-FR"/>
        </w:rPr>
      </w:pPr>
      <w:r>
        <w:rPr>
          <w:lang w:val="fr-FR"/>
        </w:rPr>
        <w:lastRenderedPageBreak/>
        <w:tab/>
      </w:r>
      <w:r w:rsidR="0009090E">
        <w:rPr>
          <w:lang w:val="fr-FR"/>
        </w:rPr>
        <w:t>XVIII.</w:t>
      </w:r>
      <w:r w:rsidR="0009090E">
        <w:rPr>
          <w:lang w:val="fr-FR"/>
        </w:rPr>
        <w:tab/>
      </w:r>
      <w:r w:rsidR="00850E2C" w:rsidRPr="00850E2C">
        <w:rPr>
          <w:lang w:val="fr-FR"/>
        </w:rPr>
        <w:t>Autonomisation économique</w:t>
      </w:r>
    </w:p>
    <w:p w14:paraId="3D33CC75" w14:textId="62B038F8" w:rsidR="007E0AF3" w:rsidRDefault="008E49F3" w:rsidP="008E49F3">
      <w:pPr>
        <w:pStyle w:val="H23G"/>
        <w:rPr>
          <w:lang w:val="fr-FR"/>
        </w:rPr>
      </w:pPr>
      <w:r>
        <w:rPr>
          <w:lang w:val="fr-FR"/>
        </w:rPr>
        <w:tab/>
      </w:r>
      <w:r>
        <w:rPr>
          <w:lang w:val="fr-FR"/>
        </w:rPr>
        <w:tab/>
        <w:t xml:space="preserve">Paragraphe </w:t>
      </w:r>
      <w:r w:rsidR="007E0AF3">
        <w:rPr>
          <w:lang w:val="fr-FR"/>
        </w:rPr>
        <w:t>18</w:t>
      </w:r>
      <w:r w:rsidR="00850E2C" w:rsidRPr="00850E2C">
        <w:rPr>
          <w:lang w:val="fr-FR"/>
        </w:rPr>
        <w:t>a)</w:t>
      </w:r>
      <w:r w:rsidR="00850E2C" w:rsidRPr="00850E2C">
        <w:rPr>
          <w:lang w:val="fr-FR"/>
        </w:rPr>
        <w:tab/>
      </w:r>
    </w:p>
    <w:p w14:paraId="29255293" w14:textId="3D2E8868" w:rsidR="00850E2C" w:rsidRPr="00850E2C" w:rsidRDefault="00850E2C" w:rsidP="00F97BC3">
      <w:pPr>
        <w:pStyle w:val="SingleTxtG"/>
        <w:numPr>
          <w:ilvl w:val="0"/>
          <w:numId w:val="4"/>
        </w:numPr>
        <w:ind w:left="1134" w:firstLine="0"/>
        <w:rPr>
          <w:lang w:val="fr-FR"/>
        </w:rPr>
      </w:pPr>
      <w:r w:rsidRPr="00850E2C">
        <w:rPr>
          <w:lang w:val="fr-FR"/>
        </w:rPr>
        <w:t>L’effectif total des bénéficiaires du régime d’assurance maladie obligatoire de base pour les agents publics et assimilés est de 437 060 en 2024. Ces données disponibles ne sont pas désagrégées par sexe.</w:t>
      </w:r>
    </w:p>
    <w:p w14:paraId="2AE5DEE4" w14:textId="52F02CA3" w:rsidR="00850E2C" w:rsidRPr="00850E2C" w:rsidRDefault="00850E2C" w:rsidP="00F97BC3">
      <w:pPr>
        <w:pStyle w:val="SingleTxtG"/>
        <w:numPr>
          <w:ilvl w:val="0"/>
          <w:numId w:val="4"/>
        </w:numPr>
        <w:ind w:left="1134" w:firstLine="0"/>
        <w:rPr>
          <w:lang w:val="fr-FR"/>
        </w:rPr>
      </w:pPr>
      <w:r w:rsidRPr="00850E2C">
        <w:rPr>
          <w:lang w:val="fr-FR"/>
        </w:rPr>
        <w:t xml:space="preserve">En ce qui concerne l’extension de l’assurance maladie universelle (AMU) aux travailleurs non-salariés (TNS), le processus d’enrôlement lancé en octobre 2025 par la Caisse nationale de sécurité </w:t>
      </w:r>
      <w:r w:rsidRPr="00097BAE">
        <w:rPr>
          <w:bCs/>
          <w:lang w:val="fr-FR"/>
        </w:rPr>
        <w:t>sociale</w:t>
      </w:r>
      <w:r w:rsidRPr="00850E2C">
        <w:rPr>
          <w:lang w:val="fr-FR"/>
        </w:rPr>
        <w:t xml:space="preserve"> permet aux artisans, commerçants, agriculteurs et autres acteurs du secteur informel, y compris les femmes, de s’inscrire pour bénéficier des prestations en soins de santé.</w:t>
      </w:r>
    </w:p>
    <w:p w14:paraId="24024576" w14:textId="48ED932B" w:rsidR="007E0AF3" w:rsidRDefault="008E49F3" w:rsidP="008E49F3">
      <w:pPr>
        <w:pStyle w:val="H23G"/>
        <w:rPr>
          <w:lang w:val="fr-FR"/>
        </w:rPr>
      </w:pPr>
      <w:r>
        <w:rPr>
          <w:lang w:val="fr-FR"/>
        </w:rPr>
        <w:tab/>
      </w:r>
      <w:r>
        <w:rPr>
          <w:lang w:val="fr-FR"/>
        </w:rPr>
        <w:tab/>
        <w:t xml:space="preserve">Paragraphe </w:t>
      </w:r>
      <w:r w:rsidR="007E0AF3">
        <w:rPr>
          <w:lang w:val="fr-FR"/>
        </w:rPr>
        <w:t>18</w:t>
      </w:r>
      <w:r w:rsidR="00850E2C" w:rsidRPr="00850E2C">
        <w:rPr>
          <w:lang w:val="fr-FR"/>
        </w:rPr>
        <w:t>b)</w:t>
      </w:r>
      <w:r w:rsidR="00850E2C" w:rsidRPr="00850E2C">
        <w:rPr>
          <w:lang w:val="fr-FR"/>
        </w:rPr>
        <w:tab/>
      </w:r>
    </w:p>
    <w:p w14:paraId="4FA49CBB" w14:textId="39699EEA" w:rsidR="00850E2C" w:rsidRPr="00850E2C" w:rsidRDefault="00850E2C" w:rsidP="00F97BC3">
      <w:pPr>
        <w:pStyle w:val="SingleTxtG"/>
        <w:numPr>
          <w:ilvl w:val="0"/>
          <w:numId w:val="4"/>
        </w:numPr>
        <w:ind w:left="1134" w:firstLine="0"/>
        <w:rPr>
          <w:lang w:val="fr-FR"/>
        </w:rPr>
      </w:pPr>
      <w:r w:rsidRPr="00850E2C">
        <w:rPr>
          <w:lang w:val="fr-FR"/>
        </w:rPr>
        <w:t xml:space="preserve">Pour la protection sociale des femmes, le code de sécurité sociale assujettit les travailleurs de l’économie </w:t>
      </w:r>
      <w:r w:rsidRPr="00097BAE">
        <w:rPr>
          <w:bCs/>
          <w:lang w:val="fr-FR"/>
        </w:rPr>
        <w:t>informelle</w:t>
      </w:r>
      <w:r w:rsidRPr="00850E2C">
        <w:rPr>
          <w:lang w:val="fr-FR"/>
        </w:rPr>
        <w:t>, y compris les femmes aux branches des pensions et des prestations familiales. En plus, ces travailleurs sont assujettis à l’assurance maladie universelle (AMU).</w:t>
      </w:r>
    </w:p>
    <w:p w14:paraId="7302237F" w14:textId="0E933BC4" w:rsidR="007E0AF3" w:rsidRDefault="008E49F3" w:rsidP="008E49F3">
      <w:pPr>
        <w:pStyle w:val="H23G"/>
        <w:rPr>
          <w:lang w:val="fr-FR"/>
        </w:rPr>
      </w:pPr>
      <w:r>
        <w:rPr>
          <w:lang w:val="fr-FR"/>
        </w:rPr>
        <w:tab/>
      </w:r>
      <w:r>
        <w:rPr>
          <w:lang w:val="fr-FR"/>
        </w:rPr>
        <w:tab/>
        <w:t xml:space="preserve">Paragraphe </w:t>
      </w:r>
      <w:r w:rsidR="007E0AF3">
        <w:rPr>
          <w:lang w:val="fr-FR"/>
        </w:rPr>
        <w:t>18</w:t>
      </w:r>
      <w:r w:rsidR="00850E2C" w:rsidRPr="00850E2C">
        <w:rPr>
          <w:lang w:val="fr-FR"/>
        </w:rPr>
        <w:t>c)</w:t>
      </w:r>
      <w:r w:rsidR="00850E2C" w:rsidRPr="00850E2C">
        <w:rPr>
          <w:lang w:val="fr-FR"/>
        </w:rPr>
        <w:tab/>
      </w:r>
    </w:p>
    <w:p w14:paraId="791D8BD8" w14:textId="214519F9" w:rsidR="00850E2C" w:rsidRPr="00850E2C" w:rsidRDefault="00850E2C" w:rsidP="00F97BC3">
      <w:pPr>
        <w:pStyle w:val="SingleTxtG"/>
        <w:numPr>
          <w:ilvl w:val="0"/>
          <w:numId w:val="4"/>
        </w:numPr>
        <w:ind w:left="1134" w:firstLine="0"/>
        <w:rPr>
          <w:lang w:val="fr-FR"/>
        </w:rPr>
      </w:pPr>
      <w:r w:rsidRPr="00850E2C">
        <w:rPr>
          <w:lang w:val="fr-FR"/>
        </w:rPr>
        <w:t>Pour soutenir l’entreprenariat féminin au Togo, diverses initiatives ont été entreprises, parmi lesquelles :</w:t>
      </w:r>
    </w:p>
    <w:p w14:paraId="5338E34D" w14:textId="0B2F5977" w:rsidR="00850E2C" w:rsidRPr="00AE4859" w:rsidRDefault="008E49F3" w:rsidP="008E49F3">
      <w:pPr>
        <w:pStyle w:val="Bullet1G"/>
        <w:rPr>
          <w:lang w:val="fr-FR"/>
        </w:rPr>
      </w:pPr>
      <w:r w:rsidRPr="00850E2C">
        <w:rPr>
          <w:lang w:val="fr-FR"/>
        </w:rPr>
        <w:t>Élaboration</w:t>
      </w:r>
      <w:r w:rsidR="00850E2C" w:rsidRPr="00850E2C">
        <w:rPr>
          <w:lang w:val="fr-FR"/>
        </w:rPr>
        <w:t xml:space="preserve"> de la stratégie nationale de l’entreprenariat féminin dont l’objectif est de promouvoir la création et le développement d’entreprises, en particulier les micros, petites et moyennes entreprises (TPME), afin de stimuler la croissance économique, la création d’emplois et l’innovation. Cette stratégie vise également à améliorer l’environnement des affaires, renforcer le cadre institutionnel et juridique, faciliter l’accès au financement, renforcer les compétences entrepreneuriales et favoriser une culture entrepreneuriale forte au sein des femmes ;</w:t>
      </w:r>
    </w:p>
    <w:p w14:paraId="455A367A" w14:textId="01ECA7E8" w:rsidR="00850E2C" w:rsidRPr="00AE4859" w:rsidRDefault="00850E2C" w:rsidP="008E49F3">
      <w:pPr>
        <w:pStyle w:val="Bullet1G"/>
        <w:rPr>
          <w:lang w:val="fr-FR"/>
        </w:rPr>
      </w:pPr>
      <w:r w:rsidRPr="00850E2C">
        <w:rPr>
          <w:lang w:val="fr-FR"/>
        </w:rPr>
        <w:t>79 groupements féminin ont été appuyés en matériel et équipement de production, de transformation et de commercialisation   à travers la mise en œuvre du projet d’autonomisation des femmes rurales au Togo (PAFeRT) entre 2021 et 2024, ;</w:t>
      </w:r>
    </w:p>
    <w:p w14:paraId="30E8C04F" w14:textId="77777777" w:rsidR="00850E2C" w:rsidRPr="00850E2C" w:rsidRDefault="00850E2C" w:rsidP="008E49F3">
      <w:pPr>
        <w:pStyle w:val="Bullet1G"/>
        <w:rPr>
          <w:lang w:val="fr-FR"/>
        </w:rPr>
      </w:pPr>
      <w:r w:rsidRPr="00850E2C">
        <w:rPr>
          <w:lang w:val="fr-FR"/>
        </w:rPr>
        <w:t>665 femmes commerçantes ont été formées en leadership et en gestion des micro-entreprises entre 2019 et 2025.</w:t>
      </w:r>
    </w:p>
    <w:p w14:paraId="1A9585D9" w14:textId="3E8AB353" w:rsidR="00850E2C" w:rsidRPr="00850E2C" w:rsidRDefault="00850E2C" w:rsidP="00F97BC3">
      <w:pPr>
        <w:pStyle w:val="SingleTxtG"/>
        <w:numPr>
          <w:ilvl w:val="0"/>
          <w:numId w:val="4"/>
        </w:numPr>
        <w:ind w:left="1134" w:firstLine="0"/>
        <w:rPr>
          <w:lang w:val="fr-FR"/>
        </w:rPr>
      </w:pPr>
      <w:r w:rsidRPr="00850E2C">
        <w:rPr>
          <w:lang w:val="fr-FR"/>
        </w:rPr>
        <w:t xml:space="preserve">Par ailleurs, le Fonds National de la Finance Inclusive (FNFI) a permis aux femmes, notamment rurales, </w:t>
      </w:r>
      <w:r w:rsidRPr="00097BAE">
        <w:rPr>
          <w:bCs/>
          <w:lang w:val="fr-FR"/>
        </w:rPr>
        <w:t>d’accéder</w:t>
      </w:r>
      <w:r w:rsidRPr="00850E2C">
        <w:rPr>
          <w:lang w:val="fr-FR"/>
        </w:rPr>
        <w:t xml:space="preserve"> à des microcrédits via des produits comme APSEF (Accès des Pauvres aux Services Financiers), AGRISEF (Agriculteurs) et AJISEF (Jeunes). </w:t>
      </w:r>
    </w:p>
    <w:p w14:paraId="09BC6C63" w14:textId="0254C7C3" w:rsidR="007E0AF3" w:rsidRDefault="008E49F3" w:rsidP="008E49F3">
      <w:pPr>
        <w:pStyle w:val="H23G"/>
        <w:rPr>
          <w:lang w:val="fr-FR"/>
        </w:rPr>
      </w:pPr>
      <w:r>
        <w:rPr>
          <w:lang w:val="fr-FR"/>
        </w:rPr>
        <w:tab/>
      </w:r>
      <w:r>
        <w:rPr>
          <w:lang w:val="fr-FR"/>
        </w:rPr>
        <w:tab/>
        <w:t xml:space="preserve">Paragraphe </w:t>
      </w:r>
      <w:r w:rsidR="007E0AF3">
        <w:rPr>
          <w:lang w:val="fr-FR"/>
        </w:rPr>
        <w:t>18</w:t>
      </w:r>
      <w:r w:rsidR="00850E2C" w:rsidRPr="00850E2C">
        <w:rPr>
          <w:lang w:val="fr-FR"/>
        </w:rPr>
        <w:t>d)</w:t>
      </w:r>
      <w:r w:rsidR="00850E2C" w:rsidRPr="00850E2C">
        <w:rPr>
          <w:lang w:val="fr-FR"/>
        </w:rPr>
        <w:tab/>
      </w:r>
    </w:p>
    <w:p w14:paraId="753CA4E1" w14:textId="4D567B13" w:rsidR="00850E2C" w:rsidRPr="00850E2C" w:rsidRDefault="00850E2C" w:rsidP="00F97BC3">
      <w:pPr>
        <w:pStyle w:val="SingleTxtG"/>
        <w:numPr>
          <w:ilvl w:val="0"/>
          <w:numId w:val="4"/>
        </w:numPr>
        <w:ind w:left="1134" w:firstLine="0"/>
        <w:rPr>
          <w:lang w:val="fr-FR"/>
        </w:rPr>
      </w:pPr>
      <w:r w:rsidRPr="00850E2C">
        <w:rPr>
          <w:lang w:val="fr-FR"/>
        </w:rPr>
        <w:t xml:space="preserve">Parmi les mesures prises </w:t>
      </w:r>
      <w:r w:rsidRPr="00097BAE">
        <w:rPr>
          <w:bCs/>
          <w:lang w:val="fr-FR"/>
        </w:rPr>
        <w:t>pour</w:t>
      </w:r>
      <w:r w:rsidRPr="00850E2C">
        <w:rPr>
          <w:lang w:val="fr-FR"/>
        </w:rPr>
        <w:t xml:space="preserve"> garantir aux femmes l’égalité de genre, il faut noter :</w:t>
      </w:r>
    </w:p>
    <w:p w14:paraId="15E4E6D1" w14:textId="705DD4A6" w:rsidR="00850E2C" w:rsidRPr="00AE4859" w:rsidRDefault="008E49F3" w:rsidP="008E49F3">
      <w:pPr>
        <w:pStyle w:val="Bullet1G"/>
        <w:rPr>
          <w:lang w:val="fr-FR"/>
        </w:rPr>
      </w:pPr>
      <w:r w:rsidRPr="00850E2C">
        <w:rPr>
          <w:lang w:val="fr-FR"/>
        </w:rPr>
        <w:t>Sessions</w:t>
      </w:r>
      <w:r w:rsidR="00850E2C" w:rsidRPr="00850E2C">
        <w:rPr>
          <w:lang w:val="fr-FR"/>
        </w:rPr>
        <w:t xml:space="preserve"> de formations périodiquement organisées à l’endroit des femmes et des appuis techniques en matériel de production, de transformation et de commercialisation apportés aux groupements féminins et mixtes ; </w:t>
      </w:r>
    </w:p>
    <w:p w14:paraId="4F219CC4" w14:textId="3FC2BE76" w:rsidR="00850E2C" w:rsidRPr="00AE4859" w:rsidRDefault="008E49F3" w:rsidP="008E49F3">
      <w:pPr>
        <w:pStyle w:val="Bullet1G"/>
        <w:rPr>
          <w:lang w:val="fr-FR"/>
        </w:rPr>
      </w:pPr>
      <w:r w:rsidRPr="00850E2C">
        <w:rPr>
          <w:lang w:val="fr-FR"/>
        </w:rPr>
        <w:t>Mise</w:t>
      </w:r>
      <w:r w:rsidR="00850E2C" w:rsidRPr="00850E2C">
        <w:rPr>
          <w:lang w:val="fr-FR"/>
        </w:rPr>
        <w:t xml:space="preserve"> en place des mécanismes financiers inclusifs, des projets agricoles et technologiques, ainsi que des formations pour garantir aux femmes un accès équitable aux ressources économiques et aux marchés, avec un impact notable sur leur autonomisation et leur résilience à travers divers projets ;</w:t>
      </w:r>
    </w:p>
    <w:p w14:paraId="136D888B" w14:textId="13AB3DCD" w:rsidR="00850E2C" w:rsidRPr="00AE4859" w:rsidRDefault="008E49F3" w:rsidP="008E49F3">
      <w:pPr>
        <w:pStyle w:val="Bullet1G"/>
        <w:rPr>
          <w:lang w:val="fr-FR"/>
        </w:rPr>
      </w:pPr>
      <w:r w:rsidRPr="00850E2C">
        <w:rPr>
          <w:lang w:val="fr-FR"/>
        </w:rPr>
        <w:t>Restructuration</w:t>
      </w:r>
      <w:r w:rsidR="00850E2C" w:rsidRPr="00850E2C">
        <w:rPr>
          <w:lang w:val="fr-FR"/>
        </w:rPr>
        <w:t xml:space="preserve"> et l’accompagnement de groupements d’intérêt économique (GIE) et de coopératives incluant de nombreuses femmes avec le développement de plateformes multifonctionnelles (PTFM) et de projets agricoles (PRT) pour faciliter la transformation et la commercialisation des produits locaux ;</w:t>
      </w:r>
    </w:p>
    <w:p w14:paraId="06229D06" w14:textId="4F9F3A0E" w:rsidR="00850E2C" w:rsidRPr="00AE4859" w:rsidRDefault="008E49F3" w:rsidP="008E49F3">
      <w:pPr>
        <w:pStyle w:val="Bullet1G"/>
        <w:rPr>
          <w:lang w:val="fr-FR"/>
        </w:rPr>
      </w:pPr>
      <w:r w:rsidRPr="00850E2C">
        <w:rPr>
          <w:lang w:val="fr-FR"/>
        </w:rPr>
        <w:lastRenderedPageBreak/>
        <w:t>Mise</w:t>
      </w:r>
      <w:r w:rsidR="00850E2C" w:rsidRPr="00850E2C">
        <w:rPr>
          <w:lang w:val="fr-FR"/>
        </w:rPr>
        <w:t xml:space="preserve"> en place de cantines scolaires et de la stratégie « Home grown school feeding » qui favorise l’achat direct auprès des producteurs locaux, incluant les femmes, pour stimuler l’économie communautaire. </w:t>
      </w:r>
    </w:p>
    <w:p w14:paraId="78EE911E" w14:textId="77777777" w:rsidR="00850E2C" w:rsidRPr="00850E2C" w:rsidRDefault="00850E2C" w:rsidP="00F97BC3">
      <w:pPr>
        <w:pStyle w:val="SingleTxtG"/>
        <w:numPr>
          <w:ilvl w:val="0"/>
          <w:numId w:val="4"/>
        </w:numPr>
        <w:ind w:left="1134" w:firstLine="0"/>
        <w:rPr>
          <w:lang w:val="fr-FR"/>
        </w:rPr>
      </w:pPr>
      <w:r w:rsidRPr="00850E2C">
        <w:rPr>
          <w:lang w:val="fr-FR"/>
        </w:rPr>
        <w:t>Sur la question d’équité genre, des programmes sont conçus pour inclure les femmes sur un pied d’égalité, en ciblant particulièrement les zones rurales et les groupes vulnérables. Ces principes de participation, inclusion et redevabilité garantissent que les femmes sont intégrées dans la prise de décision et bénéficient des mêmes opportunités que les hommes.</w:t>
      </w:r>
    </w:p>
    <w:p w14:paraId="4E43805D" w14:textId="01E79966" w:rsidR="00850E2C" w:rsidRPr="00850E2C" w:rsidRDefault="00850E2C" w:rsidP="00F97BC3">
      <w:pPr>
        <w:pStyle w:val="SingleTxtG"/>
        <w:numPr>
          <w:ilvl w:val="0"/>
          <w:numId w:val="4"/>
        </w:numPr>
        <w:ind w:left="1134" w:firstLine="0"/>
        <w:rPr>
          <w:lang w:val="fr-FR"/>
        </w:rPr>
      </w:pPr>
      <w:r w:rsidRPr="00850E2C">
        <w:rPr>
          <w:lang w:val="fr-FR"/>
        </w:rPr>
        <w:t>Afin de réduire les Flux financiers illicites et favoriser l’égalité des genres, l’accent est donc mis sur la finance inclusive et la lutte contre l’exclusion financière (système classique), ce qui contribue indirectement à réduire les inégalités.</w:t>
      </w:r>
    </w:p>
    <w:p w14:paraId="7224BE4D" w14:textId="59C66137" w:rsidR="007E0AF3" w:rsidRDefault="008E49F3" w:rsidP="008E49F3">
      <w:pPr>
        <w:pStyle w:val="H23G"/>
        <w:rPr>
          <w:lang w:val="fr-FR"/>
        </w:rPr>
      </w:pPr>
      <w:r>
        <w:rPr>
          <w:lang w:val="fr-FR"/>
        </w:rPr>
        <w:tab/>
      </w:r>
      <w:r>
        <w:rPr>
          <w:lang w:val="fr-FR"/>
        </w:rPr>
        <w:tab/>
        <w:t xml:space="preserve">Paragraphe </w:t>
      </w:r>
      <w:r w:rsidR="007E0AF3">
        <w:rPr>
          <w:lang w:val="fr-FR"/>
        </w:rPr>
        <w:t>18</w:t>
      </w:r>
      <w:r w:rsidR="00850E2C" w:rsidRPr="00850E2C">
        <w:rPr>
          <w:lang w:val="fr-FR"/>
        </w:rPr>
        <w:t>e)</w:t>
      </w:r>
      <w:r w:rsidR="00850E2C" w:rsidRPr="00850E2C">
        <w:rPr>
          <w:lang w:val="fr-FR"/>
        </w:rPr>
        <w:tab/>
      </w:r>
    </w:p>
    <w:p w14:paraId="0EA05983" w14:textId="268908D6" w:rsidR="00850E2C" w:rsidRPr="00850E2C" w:rsidRDefault="00850E2C" w:rsidP="00F97BC3">
      <w:pPr>
        <w:pStyle w:val="SingleTxtG"/>
        <w:numPr>
          <w:ilvl w:val="0"/>
          <w:numId w:val="4"/>
        </w:numPr>
        <w:ind w:left="1134" w:firstLine="0"/>
        <w:rPr>
          <w:lang w:val="fr-FR"/>
        </w:rPr>
      </w:pPr>
      <w:r w:rsidRPr="00850E2C">
        <w:rPr>
          <w:lang w:val="fr-FR"/>
        </w:rPr>
        <w:t>Des initiatives sont prise pour promouvoir la participation des femmes et des filles aux activités sportives et récréatives. C’est ainsi que les championnats scolaires qui sont organisés chaque année dans toute l’étendue du territoire tient compte aussi des disciplines féminines comme le football, les jeux de mains et l’athlétisme. Grâce à ces mesures, la féminisation du sport progresse. Entre 2021 et 2023, le nombre de licenciées a progressé de 8,9 %, contre 6,5 % pour les hommes. En 2024, 68 % des femmes déclaraient pratiquer un sport au moins occasionnellement contre 73 % des hommes, un chiffre en constante augmentation.</w:t>
      </w:r>
    </w:p>
    <w:p w14:paraId="3896B561" w14:textId="77777777" w:rsidR="00850E2C" w:rsidRPr="00850E2C" w:rsidRDefault="00850E2C" w:rsidP="00F97BC3">
      <w:pPr>
        <w:pStyle w:val="SingleTxtG"/>
        <w:numPr>
          <w:ilvl w:val="0"/>
          <w:numId w:val="4"/>
        </w:numPr>
        <w:ind w:left="1134" w:firstLine="0"/>
        <w:rPr>
          <w:lang w:val="fr-FR"/>
        </w:rPr>
      </w:pPr>
      <w:r w:rsidRPr="00850E2C">
        <w:rPr>
          <w:lang w:val="fr-FR"/>
        </w:rPr>
        <w:t>Par ailleurs, depuis 2010, l’ONG Plan international met en œuvre au Togo un programme de promotion des droits des filles à travers le football qui vise à améliorer leurs compétences, à renforcer leur détermination, à leur apprendre à évoluer en équipe, à leur donner confiance. Des centaines de filles ont ainsi été coachées et formées pour développer leurs aptitudes en football. Plus de 12 ans après une telle initiative, l’on peut voir plusieurs filles émerger et avoir une carrière footballeuse. Il faut également relever le travail abattu par des promoteurs des centres de formation pour relever le niveau du football féminin.</w:t>
      </w:r>
    </w:p>
    <w:p w14:paraId="52A3FEBA" w14:textId="39D87F46" w:rsidR="007E0AF3" w:rsidRDefault="008E49F3" w:rsidP="0009090E">
      <w:pPr>
        <w:pStyle w:val="H1G"/>
        <w:rPr>
          <w:lang w:val="fr-FR"/>
        </w:rPr>
      </w:pPr>
      <w:r>
        <w:rPr>
          <w:lang w:val="fr-FR"/>
        </w:rPr>
        <w:tab/>
      </w:r>
      <w:r w:rsidR="0009090E">
        <w:rPr>
          <w:lang w:val="fr-FR"/>
        </w:rPr>
        <w:t>XIX.</w:t>
      </w:r>
      <w:r w:rsidR="0009090E">
        <w:rPr>
          <w:lang w:val="fr-FR"/>
        </w:rPr>
        <w:tab/>
      </w:r>
      <w:r w:rsidR="00850E2C" w:rsidRPr="00850E2C">
        <w:rPr>
          <w:lang w:val="fr-FR"/>
        </w:rPr>
        <w:t>Changements climatiques</w:t>
      </w:r>
    </w:p>
    <w:p w14:paraId="42E616B6" w14:textId="0729335C" w:rsidR="00850E2C" w:rsidRPr="00850E2C" w:rsidRDefault="00850E2C" w:rsidP="00F97BC3">
      <w:pPr>
        <w:pStyle w:val="SingleTxtG"/>
        <w:numPr>
          <w:ilvl w:val="0"/>
          <w:numId w:val="4"/>
        </w:numPr>
        <w:ind w:left="1134" w:firstLine="0"/>
        <w:rPr>
          <w:lang w:val="fr-FR"/>
        </w:rPr>
      </w:pPr>
      <w:r w:rsidRPr="00850E2C">
        <w:rPr>
          <w:lang w:val="fr-FR"/>
        </w:rPr>
        <w:t>S’agissant des initiatives rurales sensibles au genre et adaptées aux changements climatiques il faut noter, entre autres :</w:t>
      </w:r>
    </w:p>
    <w:p w14:paraId="1002248E" w14:textId="666753B9" w:rsidR="00850E2C" w:rsidRPr="00850E2C" w:rsidRDefault="008E49F3" w:rsidP="008E49F3">
      <w:pPr>
        <w:pStyle w:val="Bullet1G"/>
        <w:rPr>
          <w:lang w:val="fr-FR"/>
        </w:rPr>
      </w:pPr>
      <w:r w:rsidRPr="00850E2C">
        <w:rPr>
          <w:lang w:val="fr-FR"/>
        </w:rPr>
        <w:t>Soutien</w:t>
      </w:r>
      <w:r w:rsidR="00850E2C" w:rsidRPr="00850E2C">
        <w:rPr>
          <w:lang w:val="fr-FR"/>
        </w:rPr>
        <w:t xml:space="preserve"> aux femmes rurales via le FNFI et les groupements économiques pour renforcer leur autonomie financière et résilience face aux crises climatiques ;</w:t>
      </w:r>
    </w:p>
    <w:p w14:paraId="029B599F" w14:textId="1BDFA634" w:rsidR="00850E2C" w:rsidRPr="00850E2C" w:rsidRDefault="008E49F3" w:rsidP="008E49F3">
      <w:pPr>
        <w:pStyle w:val="Bullet1G"/>
        <w:rPr>
          <w:lang w:val="fr-FR"/>
        </w:rPr>
      </w:pPr>
      <w:r w:rsidRPr="00850E2C">
        <w:rPr>
          <w:lang w:val="fr-FR"/>
        </w:rPr>
        <w:t>Installation</w:t>
      </w:r>
      <w:r w:rsidR="00850E2C" w:rsidRPr="00850E2C">
        <w:rPr>
          <w:lang w:val="fr-FR"/>
        </w:rPr>
        <w:t xml:space="preserve"> des plateformes multifonctionnelles et unités de transformation agricole pour faciliter l’accès des femmes à la technologie et aux marchés ;</w:t>
      </w:r>
    </w:p>
    <w:p w14:paraId="31FEB398" w14:textId="5B250D3E" w:rsidR="00850E2C" w:rsidRPr="00B91B6C" w:rsidRDefault="008E49F3" w:rsidP="008E49F3">
      <w:pPr>
        <w:pStyle w:val="Bullet1G"/>
        <w:rPr>
          <w:lang w:val="fr-FR"/>
        </w:rPr>
      </w:pPr>
      <w:r w:rsidRPr="00850E2C">
        <w:rPr>
          <w:lang w:val="fr-FR"/>
        </w:rPr>
        <w:t>Développement</w:t>
      </w:r>
      <w:r w:rsidR="00850E2C" w:rsidRPr="00850E2C">
        <w:rPr>
          <w:lang w:val="fr-FR"/>
        </w:rPr>
        <w:t xml:space="preserve"> des cantines scolaires et jardins communautaires qui valorisent la production locale des femmes, améliorent la nutrition et protègent les droits des filles en milieu rural ;</w:t>
      </w:r>
    </w:p>
    <w:p w14:paraId="133C8B10" w14:textId="5CF3DF01" w:rsidR="00850E2C" w:rsidRPr="00850E2C" w:rsidRDefault="008E49F3" w:rsidP="008E49F3">
      <w:pPr>
        <w:pStyle w:val="Bullet1G"/>
        <w:rPr>
          <w:lang w:val="fr-FR"/>
        </w:rPr>
      </w:pPr>
      <w:r w:rsidRPr="00850E2C">
        <w:rPr>
          <w:lang w:val="fr-FR"/>
        </w:rPr>
        <w:t>Mise</w:t>
      </w:r>
      <w:r w:rsidR="00850E2C" w:rsidRPr="00850E2C">
        <w:rPr>
          <w:lang w:val="fr-FR"/>
        </w:rPr>
        <w:t xml:space="preserve"> en place des filets sociaux ciblant particulièrement les femmes et les filles, pour améliorer leur accès à l’éducation, à une alimentions saine et équilibrée tout en créant la richesse autour des communautés.</w:t>
      </w:r>
    </w:p>
    <w:p w14:paraId="14AFAB2C" w14:textId="4346EB84" w:rsidR="00850E2C" w:rsidRPr="00850E2C" w:rsidRDefault="008E49F3" w:rsidP="008E49F3">
      <w:pPr>
        <w:pStyle w:val="H1G"/>
        <w:rPr>
          <w:lang w:val="fr-FR"/>
        </w:rPr>
      </w:pPr>
      <w:r>
        <w:rPr>
          <w:lang w:val="fr-FR"/>
        </w:rPr>
        <w:tab/>
      </w:r>
      <w:r w:rsidR="0009090E">
        <w:rPr>
          <w:lang w:val="fr-FR"/>
        </w:rPr>
        <w:t>XX.</w:t>
      </w:r>
      <w:r w:rsidR="0009090E">
        <w:rPr>
          <w:lang w:val="fr-FR"/>
        </w:rPr>
        <w:tab/>
      </w:r>
      <w:r w:rsidR="00850E2C" w:rsidRPr="00850E2C">
        <w:rPr>
          <w:lang w:val="fr-FR"/>
        </w:rPr>
        <w:t>Femmes et filles exposées à des formes de discrimination croisée</w:t>
      </w:r>
    </w:p>
    <w:p w14:paraId="32467FF7" w14:textId="29387FFD" w:rsidR="00850E2C" w:rsidRPr="00850E2C" w:rsidRDefault="00850E2C" w:rsidP="00F97BC3">
      <w:pPr>
        <w:pStyle w:val="SingleTxtG"/>
        <w:numPr>
          <w:ilvl w:val="0"/>
          <w:numId w:val="4"/>
        </w:numPr>
        <w:ind w:left="1134" w:firstLine="0"/>
        <w:rPr>
          <w:lang w:val="fr-FR"/>
        </w:rPr>
      </w:pPr>
      <w:r w:rsidRPr="00850E2C">
        <w:rPr>
          <w:lang w:val="fr-FR"/>
        </w:rPr>
        <w:t xml:space="preserve">En ce qui concerne la lutte contre les formes de discrimination croisée, ce principe est consacré par la Constitution, à travers l’article 3 de la déclaration solennelle des droits et devoirs fondamentaux des personnes et des citoyens. Cet article dispose : « Les individus sont égaux devant la loi ; ils ne peuvent faire l’objet d’aucune discrimination en raison de leur sexe, de leur origine, de leur race, de leur ethnie, de leur langue, de leur religion, de leurs opinions ou de n’importe quelle autre condition ou circonstance personnelle ou sociale ». Les articles 313 à 316 du nouveau code pénal (NCP) interdisent et punissent la discrimination dans le domaine de l’enseignement, emploi ou profession ou lorsque l’acte est fondé sur l’état </w:t>
      </w:r>
      <w:r w:rsidRPr="00850E2C">
        <w:rPr>
          <w:lang w:val="fr-FR"/>
        </w:rPr>
        <w:lastRenderedPageBreak/>
        <w:t>de santé ou le handicap. Il en est de même de la discrimination ou de stigmatisation commis à l’égard d'une personne infectée ou affectée par le VIH.</w:t>
      </w:r>
    </w:p>
    <w:p w14:paraId="55A7FD6C" w14:textId="313D7A1C" w:rsidR="00850E2C" w:rsidRPr="00850E2C" w:rsidRDefault="00850E2C" w:rsidP="00F97BC3">
      <w:pPr>
        <w:pStyle w:val="SingleTxtG"/>
        <w:numPr>
          <w:ilvl w:val="0"/>
          <w:numId w:val="4"/>
        </w:numPr>
        <w:ind w:left="1134" w:firstLine="0"/>
        <w:rPr>
          <w:lang w:val="fr-FR"/>
        </w:rPr>
      </w:pPr>
      <w:r w:rsidRPr="00850E2C">
        <w:rPr>
          <w:lang w:val="fr-FR"/>
        </w:rPr>
        <w:t xml:space="preserve">L’article 45 de la loi n° 2013-002 du 21 janvier 2013 portant statut général de la fonction publique togolaise dispose : « Il ne peut être fait aucune discrimination entre les candidats en raison de leur </w:t>
      </w:r>
      <w:r w:rsidRPr="00850E2C">
        <w:rPr>
          <w:b/>
          <w:bCs/>
          <w:lang w:val="fr-FR"/>
        </w:rPr>
        <w:t>sexe</w:t>
      </w:r>
      <w:r w:rsidRPr="00850E2C">
        <w:rPr>
          <w:lang w:val="fr-FR"/>
        </w:rPr>
        <w:t xml:space="preserve">, handicap physique, ethnie, opinions politiques, philosophiques ou religieuses » </w:t>
      </w:r>
    </w:p>
    <w:p w14:paraId="28B1F825" w14:textId="77777777" w:rsidR="00850E2C" w:rsidRPr="00850E2C" w:rsidRDefault="00850E2C" w:rsidP="00F97BC3">
      <w:pPr>
        <w:pStyle w:val="SingleTxtG"/>
        <w:numPr>
          <w:ilvl w:val="0"/>
          <w:numId w:val="4"/>
        </w:numPr>
        <w:ind w:left="1134" w:firstLine="0"/>
        <w:rPr>
          <w:lang w:val="fr-FR"/>
        </w:rPr>
      </w:pPr>
      <w:r w:rsidRPr="00850E2C">
        <w:rPr>
          <w:lang w:val="fr-FR"/>
        </w:rPr>
        <w:t>Les articles 305 et suivants du NCP répriment la discrimination. Aux termes de l’article 305 « Tout acte de discrimination est puni d’une peine d’emprisonnement de six (6) mois à deux (2) ans et d’une amende de cinq cent mille (500 000) à deux millions (2 000 000) de francs CFA ou de l’une de ces deux peines ».</w:t>
      </w:r>
    </w:p>
    <w:p w14:paraId="4E896A19" w14:textId="77777777" w:rsidR="00850E2C" w:rsidRPr="00850E2C" w:rsidRDefault="00850E2C" w:rsidP="00F97BC3">
      <w:pPr>
        <w:pStyle w:val="SingleTxtG"/>
        <w:numPr>
          <w:ilvl w:val="0"/>
          <w:numId w:val="4"/>
        </w:numPr>
        <w:ind w:left="1134" w:firstLine="0"/>
        <w:rPr>
          <w:lang w:val="fr-FR"/>
        </w:rPr>
      </w:pPr>
      <w:r w:rsidRPr="00850E2C">
        <w:rPr>
          <w:lang w:val="fr-FR"/>
        </w:rPr>
        <w:t xml:space="preserve">La loi n° 2022-018 du 15 novembre 2022 portant modification du NCP interdit et punit en son article 312 nouveau, tout acte de discrimination à l’égard des femmes si l’acte de discrimination consiste à : </w:t>
      </w:r>
    </w:p>
    <w:p w14:paraId="08B825F0" w14:textId="76D02E68" w:rsidR="00850E2C" w:rsidRPr="00850E2C" w:rsidRDefault="00460FEA" w:rsidP="00460FEA">
      <w:pPr>
        <w:pStyle w:val="Bullet1G"/>
        <w:rPr>
          <w:lang w:val="fr-FR"/>
        </w:rPr>
      </w:pPr>
      <w:r w:rsidRPr="00850E2C">
        <w:rPr>
          <w:lang w:val="fr-FR"/>
        </w:rPr>
        <w:t>Refuser</w:t>
      </w:r>
      <w:r w:rsidR="00850E2C" w:rsidRPr="00850E2C">
        <w:rPr>
          <w:lang w:val="fr-FR"/>
        </w:rPr>
        <w:t xml:space="preserve"> la fourniture d’un bien, d’un crédit ou d’un service ; </w:t>
      </w:r>
    </w:p>
    <w:p w14:paraId="1B942E66" w14:textId="01282832" w:rsidR="00850E2C" w:rsidRPr="00850E2C" w:rsidRDefault="00850E2C" w:rsidP="00460FEA">
      <w:pPr>
        <w:pStyle w:val="Bullet1G"/>
        <w:rPr>
          <w:lang w:val="fr-FR"/>
        </w:rPr>
      </w:pPr>
      <w:r w:rsidRPr="00850E2C">
        <w:rPr>
          <w:lang w:val="fr-FR"/>
        </w:rPr>
        <w:t xml:space="preserve"> </w:t>
      </w:r>
      <w:r w:rsidR="00460FEA" w:rsidRPr="00850E2C">
        <w:rPr>
          <w:lang w:val="fr-FR"/>
        </w:rPr>
        <w:t>Entraver</w:t>
      </w:r>
      <w:r w:rsidRPr="00850E2C">
        <w:rPr>
          <w:lang w:val="fr-FR"/>
        </w:rPr>
        <w:t xml:space="preserve"> l’exercice normal d’une activité économique quelconque ; </w:t>
      </w:r>
    </w:p>
    <w:p w14:paraId="1EC4BA1A" w14:textId="56CDBA61" w:rsidR="00850E2C" w:rsidRPr="00850E2C" w:rsidRDefault="00460FEA" w:rsidP="00460FEA">
      <w:pPr>
        <w:pStyle w:val="Bullet1G"/>
        <w:rPr>
          <w:lang w:val="fr-FR"/>
        </w:rPr>
      </w:pPr>
      <w:r w:rsidRPr="00850E2C">
        <w:rPr>
          <w:lang w:val="fr-FR"/>
        </w:rPr>
        <w:t>Subordonner</w:t>
      </w:r>
      <w:r w:rsidR="00850E2C" w:rsidRPr="00850E2C">
        <w:rPr>
          <w:lang w:val="fr-FR"/>
        </w:rPr>
        <w:t xml:space="preserve"> la fourniture d’un bien, d’un crédit ou d’un service à une condition fondée sur le genre. </w:t>
      </w:r>
    </w:p>
    <w:p w14:paraId="7C243003" w14:textId="77777777" w:rsidR="00850E2C" w:rsidRPr="00850E2C" w:rsidRDefault="00850E2C" w:rsidP="00F97BC3">
      <w:pPr>
        <w:pStyle w:val="SingleTxtG"/>
        <w:numPr>
          <w:ilvl w:val="0"/>
          <w:numId w:val="4"/>
        </w:numPr>
        <w:ind w:left="1134" w:firstLine="0"/>
        <w:rPr>
          <w:lang w:val="fr-FR"/>
        </w:rPr>
      </w:pPr>
      <w:r w:rsidRPr="00850E2C">
        <w:rPr>
          <w:lang w:val="fr-FR"/>
        </w:rPr>
        <w:t>Par ailleurs, le code foncier domanial assure l’égalité de droit homme/femme en matière foncière (articles 8 ; 13 ; 14 ; 483). Ce code oriente la politique foncière nationale, entre autres, sur les options fondamentales à savoir la non‐discrimination, l’équité et la justice, l’égalité des sexes, la consultation et la participation (article 14).</w:t>
      </w:r>
    </w:p>
    <w:p w14:paraId="1352E89D" w14:textId="276AC450" w:rsidR="00850E2C" w:rsidRPr="00850E2C" w:rsidRDefault="00850E2C" w:rsidP="00F97BC3">
      <w:pPr>
        <w:pStyle w:val="SingleTxtG"/>
        <w:numPr>
          <w:ilvl w:val="0"/>
          <w:numId w:val="4"/>
        </w:numPr>
        <w:ind w:left="1134" w:firstLine="0"/>
        <w:rPr>
          <w:lang w:val="fr-FR"/>
        </w:rPr>
      </w:pPr>
      <w:r w:rsidRPr="00850E2C">
        <w:rPr>
          <w:lang w:val="fr-FR"/>
        </w:rPr>
        <w:t xml:space="preserve">En ce qui concerne la lutte contre le VIH, il faut se référer aux informations fournies précédemment au </w:t>
      </w:r>
      <w:r w:rsidRPr="00850E2C">
        <w:rPr>
          <w:b/>
          <w:bCs/>
          <w:lang w:val="fr-FR"/>
        </w:rPr>
        <w:t xml:space="preserve">point </w:t>
      </w:r>
      <w:r w:rsidR="00FE40A9">
        <w:rPr>
          <w:b/>
          <w:bCs/>
          <w:lang w:val="fr-FR"/>
        </w:rPr>
        <w:t>XVII</w:t>
      </w:r>
      <w:r w:rsidRPr="00850E2C">
        <w:rPr>
          <w:lang w:val="fr-FR"/>
        </w:rPr>
        <w:t xml:space="preserve"> relative à la santé.</w:t>
      </w:r>
    </w:p>
    <w:p w14:paraId="6EB29CE2" w14:textId="0F668FD7" w:rsidR="00850E2C" w:rsidRPr="00850E2C" w:rsidRDefault="00460FEA" w:rsidP="00460FEA">
      <w:pPr>
        <w:pStyle w:val="H1G"/>
        <w:rPr>
          <w:lang w:val="fr-FR"/>
        </w:rPr>
      </w:pPr>
      <w:r>
        <w:rPr>
          <w:lang w:val="fr-FR"/>
        </w:rPr>
        <w:tab/>
      </w:r>
      <w:r w:rsidR="00FB5420">
        <w:rPr>
          <w:lang w:val="fr-FR"/>
        </w:rPr>
        <w:t>XXI.</w:t>
      </w:r>
      <w:r w:rsidR="00FB5420">
        <w:rPr>
          <w:lang w:val="fr-FR"/>
        </w:rPr>
        <w:tab/>
      </w:r>
      <w:r w:rsidR="00850E2C" w:rsidRPr="00850E2C">
        <w:rPr>
          <w:lang w:val="fr-FR"/>
        </w:rPr>
        <w:t>Mariage et vie familiale</w:t>
      </w:r>
    </w:p>
    <w:p w14:paraId="70B12A81" w14:textId="758317C8" w:rsidR="009526AE" w:rsidRDefault="00460FEA" w:rsidP="00460FEA">
      <w:pPr>
        <w:pStyle w:val="H23G"/>
        <w:rPr>
          <w:lang w:val="fr-FR"/>
        </w:rPr>
      </w:pPr>
      <w:r>
        <w:rPr>
          <w:lang w:val="fr-FR"/>
        </w:rPr>
        <w:tab/>
      </w:r>
      <w:r>
        <w:rPr>
          <w:lang w:val="fr-FR"/>
        </w:rPr>
        <w:tab/>
        <w:t xml:space="preserve">Paragraphe </w:t>
      </w:r>
      <w:r w:rsidR="009526AE">
        <w:rPr>
          <w:lang w:val="fr-FR"/>
        </w:rPr>
        <w:t>21</w:t>
      </w:r>
      <w:r w:rsidR="00850E2C" w:rsidRPr="00850E2C">
        <w:rPr>
          <w:lang w:val="fr-FR"/>
        </w:rPr>
        <w:t>a)</w:t>
      </w:r>
      <w:r w:rsidR="00850E2C" w:rsidRPr="00850E2C">
        <w:rPr>
          <w:lang w:val="fr-FR"/>
        </w:rPr>
        <w:tab/>
      </w:r>
    </w:p>
    <w:p w14:paraId="55397FBD" w14:textId="40C56B46" w:rsidR="00850E2C" w:rsidRPr="00850E2C" w:rsidRDefault="00850E2C" w:rsidP="00F97BC3">
      <w:pPr>
        <w:pStyle w:val="SingleTxtG"/>
        <w:numPr>
          <w:ilvl w:val="0"/>
          <w:numId w:val="4"/>
        </w:numPr>
        <w:ind w:left="1134" w:firstLine="0"/>
        <w:rPr>
          <w:lang w:val="fr-FR"/>
        </w:rPr>
      </w:pPr>
      <w:r w:rsidRPr="00850E2C">
        <w:rPr>
          <w:lang w:val="fr-FR"/>
        </w:rPr>
        <w:t xml:space="preserve">Afin d’abroger les dispositions discriminatoires du code des personnes et de la famille (CPF) le texte de 1980 a été révisé par la loi N° 2012-014 du 06 juillet 2012 puis modifié en ses articles 99, 100, 153,403, 404 et 420 par la loi N° 2014- 019 du 17 novembre 2014. Ces révisions successives ont pour objectif de supprimer toutes discriminations qui portent atteintes aux droits des femmes et enfants, et permettre au Togo d’être en phase avec les conventions auxquelles il est partie, afin d’établir une harmonie entre le droit coutumier et le droit moderne. </w:t>
      </w:r>
    </w:p>
    <w:p w14:paraId="5B55294A" w14:textId="268A6745" w:rsidR="009526AE" w:rsidRDefault="00460FEA" w:rsidP="00460FEA">
      <w:pPr>
        <w:pStyle w:val="H23G"/>
        <w:rPr>
          <w:lang w:val="fr-FR"/>
        </w:rPr>
      </w:pPr>
      <w:r>
        <w:rPr>
          <w:lang w:val="fr-FR"/>
        </w:rPr>
        <w:tab/>
      </w:r>
      <w:r>
        <w:rPr>
          <w:lang w:val="fr-FR"/>
        </w:rPr>
        <w:tab/>
        <w:t xml:space="preserve">Paragraphe </w:t>
      </w:r>
      <w:r w:rsidR="009526AE">
        <w:rPr>
          <w:lang w:val="fr-FR"/>
        </w:rPr>
        <w:t>21</w:t>
      </w:r>
      <w:r w:rsidR="00850E2C" w:rsidRPr="00850E2C">
        <w:rPr>
          <w:lang w:val="fr-FR"/>
        </w:rPr>
        <w:t>b)</w:t>
      </w:r>
      <w:r w:rsidR="00850E2C" w:rsidRPr="00850E2C">
        <w:rPr>
          <w:lang w:val="fr-FR"/>
        </w:rPr>
        <w:tab/>
      </w:r>
    </w:p>
    <w:p w14:paraId="19E65665" w14:textId="57B87B0B" w:rsidR="00850E2C" w:rsidRPr="00850E2C" w:rsidRDefault="00850E2C" w:rsidP="00F97BC3">
      <w:pPr>
        <w:pStyle w:val="SingleTxtG"/>
        <w:numPr>
          <w:ilvl w:val="0"/>
          <w:numId w:val="4"/>
        </w:numPr>
        <w:ind w:left="1134" w:firstLine="0"/>
        <w:rPr>
          <w:lang w:val="fr-FR"/>
        </w:rPr>
      </w:pPr>
      <w:r w:rsidRPr="00850E2C">
        <w:rPr>
          <w:lang w:val="fr-FR"/>
        </w:rPr>
        <w:t>Les aspects de la vie familiale qui ont été revus sont : les conditions de mariage, les régimes matrimoniaux, des rapports entre époux, l’autorité parentale, les effets du mariage et du divorce, le statut de chef de famille et la contribution aux charges du ménage, les successions, la protection du conjoint survivant contre les pratiques de veuvage dégradantes et humiliantes etc.</w:t>
      </w:r>
    </w:p>
    <w:p w14:paraId="25C88BF0" w14:textId="5DECE9B5" w:rsidR="009526AE" w:rsidRDefault="00460FEA" w:rsidP="00460FEA">
      <w:pPr>
        <w:pStyle w:val="H23G"/>
        <w:rPr>
          <w:lang w:val="fr-FR"/>
        </w:rPr>
      </w:pPr>
      <w:r>
        <w:rPr>
          <w:lang w:val="fr-FR"/>
        </w:rPr>
        <w:tab/>
      </w:r>
      <w:r>
        <w:rPr>
          <w:lang w:val="fr-FR"/>
        </w:rPr>
        <w:tab/>
        <w:t xml:space="preserve">Paragraphe </w:t>
      </w:r>
      <w:r w:rsidR="009526AE">
        <w:rPr>
          <w:lang w:val="fr-FR"/>
        </w:rPr>
        <w:t>21</w:t>
      </w:r>
      <w:r w:rsidR="00850E2C" w:rsidRPr="00850E2C">
        <w:rPr>
          <w:lang w:val="fr-FR"/>
        </w:rPr>
        <w:t>c)</w:t>
      </w:r>
      <w:r w:rsidR="00850E2C" w:rsidRPr="00850E2C">
        <w:rPr>
          <w:lang w:val="fr-FR"/>
        </w:rPr>
        <w:tab/>
      </w:r>
    </w:p>
    <w:p w14:paraId="348D2746" w14:textId="61FC43F9" w:rsidR="00850E2C" w:rsidRPr="00850E2C" w:rsidRDefault="00850E2C" w:rsidP="00F97BC3">
      <w:pPr>
        <w:pStyle w:val="SingleTxtG"/>
        <w:numPr>
          <w:ilvl w:val="0"/>
          <w:numId w:val="4"/>
        </w:numPr>
        <w:ind w:left="1134" w:firstLine="0"/>
        <w:rPr>
          <w:lang w:val="fr-FR"/>
        </w:rPr>
      </w:pPr>
      <w:r w:rsidRPr="00850E2C">
        <w:rPr>
          <w:lang w:val="fr-FR"/>
        </w:rPr>
        <w:t>Au Togo l’âge de mariage est fixé à 18 ans révolu, aussi bien pour les filles que pour les garçons.</w:t>
      </w:r>
    </w:p>
    <w:p w14:paraId="31632C88" w14:textId="698D6C41" w:rsidR="00097BAE" w:rsidRDefault="00460FEA" w:rsidP="00460FEA">
      <w:pPr>
        <w:pStyle w:val="H23G"/>
        <w:rPr>
          <w:lang w:val="fr-FR"/>
        </w:rPr>
      </w:pPr>
      <w:r>
        <w:rPr>
          <w:lang w:val="fr-FR"/>
        </w:rPr>
        <w:tab/>
      </w:r>
      <w:r>
        <w:rPr>
          <w:lang w:val="fr-FR"/>
        </w:rPr>
        <w:tab/>
        <w:t xml:space="preserve">Paragraphe </w:t>
      </w:r>
      <w:r w:rsidR="009526AE">
        <w:rPr>
          <w:lang w:val="fr-FR"/>
        </w:rPr>
        <w:t>21</w:t>
      </w:r>
      <w:r w:rsidR="00850E2C" w:rsidRPr="00850E2C">
        <w:rPr>
          <w:lang w:val="fr-FR"/>
        </w:rPr>
        <w:t>d)</w:t>
      </w:r>
      <w:r w:rsidR="00850E2C" w:rsidRPr="00850E2C">
        <w:rPr>
          <w:lang w:val="fr-FR"/>
        </w:rPr>
        <w:tab/>
      </w:r>
    </w:p>
    <w:p w14:paraId="26288651" w14:textId="184886AC" w:rsidR="00850E2C" w:rsidRPr="00850E2C" w:rsidRDefault="00850E2C" w:rsidP="00F97BC3">
      <w:pPr>
        <w:pStyle w:val="SingleTxtG"/>
        <w:numPr>
          <w:ilvl w:val="0"/>
          <w:numId w:val="4"/>
        </w:numPr>
        <w:ind w:left="1134" w:firstLine="0"/>
        <w:rPr>
          <w:lang w:val="fr-FR"/>
        </w:rPr>
      </w:pPr>
      <w:r w:rsidRPr="00850E2C">
        <w:rPr>
          <w:lang w:val="fr-FR"/>
        </w:rPr>
        <w:t>Selon MICS 2027, les taux de mariage se présentent comme suit :</w:t>
      </w:r>
    </w:p>
    <w:p w14:paraId="7BB59BC0" w14:textId="692B3CB4" w:rsidR="00850E2C" w:rsidRPr="00850E2C" w:rsidRDefault="00850E2C" w:rsidP="00FB5420">
      <w:pPr>
        <w:pStyle w:val="Bullet1G"/>
        <w:rPr>
          <w:lang w:val="fr-FR"/>
        </w:rPr>
      </w:pPr>
      <w:r w:rsidRPr="00850E2C">
        <w:rPr>
          <w:lang w:val="fr-FR"/>
        </w:rPr>
        <w:t>6% des femmes de 15 à 49 ans sont mariées avant l’âge de 15 ans</w:t>
      </w:r>
      <w:r w:rsidR="00FB5420">
        <w:rPr>
          <w:lang w:val="fr-FR"/>
        </w:rPr>
        <w:t> ;</w:t>
      </w:r>
    </w:p>
    <w:p w14:paraId="01251C26" w14:textId="77777777" w:rsidR="00850E2C" w:rsidRPr="00850E2C" w:rsidRDefault="00850E2C" w:rsidP="00FB5420">
      <w:pPr>
        <w:pStyle w:val="Bullet1G"/>
        <w:rPr>
          <w:lang w:val="fr-FR"/>
        </w:rPr>
      </w:pPr>
      <w:r w:rsidRPr="00850E2C">
        <w:rPr>
          <w:lang w:val="fr-FR"/>
        </w:rPr>
        <w:t>24,8% de femmes de 20 à 24 ans sont mariées avant l’âge de 20 ans ;</w:t>
      </w:r>
    </w:p>
    <w:p w14:paraId="07B599FA" w14:textId="3AC4C12C" w:rsidR="00850E2C" w:rsidRPr="00850E2C" w:rsidRDefault="00850E2C" w:rsidP="00FB5420">
      <w:pPr>
        <w:pStyle w:val="Bullet1G"/>
        <w:rPr>
          <w:lang w:val="fr-FR"/>
        </w:rPr>
      </w:pPr>
      <w:r w:rsidRPr="00850E2C">
        <w:rPr>
          <w:lang w:val="fr-FR"/>
        </w:rPr>
        <w:t>11,2% des femmes de 15 ans à 19 ans étaient en union au moment de l’enquête</w:t>
      </w:r>
      <w:r w:rsidR="00FB5420">
        <w:rPr>
          <w:lang w:val="fr-FR"/>
        </w:rPr>
        <w:t>.</w:t>
      </w:r>
    </w:p>
    <w:p w14:paraId="448C2E21" w14:textId="2EF7DBF6" w:rsidR="009526AE" w:rsidRDefault="00460FEA" w:rsidP="00460FEA">
      <w:pPr>
        <w:pStyle w:val="H23G"/>
        <w:rPr>
          <w:lang w:val="fr-FR"/>
        </w:rPr>
      </w:pPr>
      <w:r>
        <w:rPr>
          <w:lang w:val="fr-FR"/>
        </w:rPr>
        <w:lastRenderedPageBreak/>
        <w:tab/>
      </w:r>
      <w:r>
        <w:rPr>
          <w:lang w:val="fr-FR"/>
        </w:rPr>
        <w:tab/>
        <w:t xml:space="preserve">Paragraphe </w:t>
      </w:r>
      <w:r w:rsidR="009526AE">
        <w:rPr>
          <w:lang w:val="fr-FR"/>
        </w:rPr>
        <w:t>21</w:t>
      </w:r>
      <w:r w:rsidR="00850E2C" w:rsidRPr="00850E2C">
        <w:rPr>
          <w:lang w:val="fr-FR"/>
        </w:rPr>
        <w:t>e)</w:t>
      </w:r>
      <w:r w:rsidR="00850E2C" w:rsidRPr="00850E2C">
        <w:rPr>
          <w:lang w:val="fr-FR"/>
        </w:rPr>
        <w:tab/>
      </w:r>
    </w:p>
    <w:p w14:paraId="5CE0B9D3" w14:textId="723A6045" w:rsidR="00850E2C" w:rsidRPr="00850E2C" w:rsidRDefault="00850E2C" w:rsidP="00F97BC3">
      <w:pPr>
        <w:pStyle w:val="SingleTxtG"/>
        <w:numPr>
          <w:ilvl w:val="0"/>
          <w:numId w:val="4"/>
        </w:numPr>
        <w:ind w:left="1134" w:firstLine="0"/>
        <w:rPr>
          <w:lang w:val="fr-FR"/>
        </w:rPr>
      </w:pPr>
      <w:r w:rsidRPr="00850E2C">
        <w:rPr>
          <w:lang w:val="fr-FR"/>
        </w:rPr>
        <w:t xml:space="preserve">S’agissant de la reconnaissance juridique des unions de fait et de la protection économique des femmes dans ces unions, il faut dire que le droit togolais reconnaît principalement le mariage légal. </w:t>
      </w:r>
    </w:p>
    <w:p w14:paraId="3445CD39" w14:textId="77777777" w:rsidR="00850E2C" w:rsidRPr="00850E2C" w:rsidRDefault="00850E2C" w:rsidP="00F97BC3">
      <w:pPr>
        <w:pStyle w:val="SingleTxtG"/>
        <w:numPr>
          <w:ilvl w:val="0"/>
          <w:numId w:val="4"/>
        </w:numPr>
        <w:ind w:left="1134" w:firstLine="0"/>
        <w:rPr>
          <w:lang w:val="fr-FR"/>
        </w:rPr>
      </w:pPr>
      <w:r w:rsidRPr="00850E2C">
        <w:rPr>
          <w:lang w:val="fr-FR"/>
        </w:rPr>
        <w:t>Les unions de fait (concubinage) ne bénéficient pas d’un cadre juridique complet et autonome. Lorsque l’union a donné naissance à des enfants, la femme peut obtenir une pension alimentaire et faire valoir les droits liés à la filiation.</w:t>
      </w:r>
    </w:p>
    <w:p w14:paraId="5ECFDE37" w14:textId="0052CDE9" w:rsidR="009526AE" w:rsidRDefault="00FB5420" w:rsidP="00FB5420">
      <w:pPr>
        <w:pStyle w:val="H23G"/>
        <w:rPr>
          <w:bCs/>
          <w:lang w:val="fr-FR"/>
        </w:rPr>
      </w:pPr>
      <w:r>
        <w:rPr>
          <w:lang w:val="fr-FR"/>
        </w:rPr>
        <w:tab/>
      </w:r>
      <w:r>
        <w:rPr>
          <w:lang w:val="fr-FR"/>
        </w:rPr>
        <w:tab/>
      </w:r>
      <w:r>
        <w:rPr>
          <w:lang w:val="fr-FR"/>
        </w:rPr>
        <w:t xml:space="preserve">Paragraphe </w:t>
      </w:r>
      <w:r w:rsidR="009526AE">
        <w:rPr>
          <w:bCs/>
          <w:lang w:val="fr-FR"/>
        </w:rPr>
        <w:t>21</w:t>
      </w:r>
      <w:r w:rsidR="00850E2C" w:rsidRPr="00850E2C">
        <w:rPr>
          <w:bCs/>
          <w:lang w:val="fr-FR"/>
        </w:rPr>
        <w:t>f)</w:t>
      </w:r>
      <w:r w:rsidR="00850E2C" w:rsidRPr="00850E2C">
        <w:rPr>
          <w:bCs/>
          <w:lang w:val="fr-FR"/>
        </w:rPr>
        <w:tab/>
      </w:r>
    </w:p>
    <w:p w14:paraId="74DEE5B6" w14:textId="5DDF6919" w:rsidR="00850E2C" w:rsidRPr="00850E2C" w:rsidRDefault="00850E2C" w:rsidP="00F97BC3">
      <w:pPr>
        <w:pStyle w:val="SingleTxtG"/>
        <w:numPr>
          <w:ilvl w:val="0"/>
          <w:numId w:val="4"/>
        </w:numPr>
        <w:ind w:left="1134" w:firstLine="0"/>
        <w:rPr>
          <w:lang w:val="fr-FR"/>
        </w:rPr>
      </w:pPr>
      <w:r w:rsidRPr="00850E2C">
        <w:rPr>
          <w:lang w:val="fr-FR"/>
        </w:rPr>
        <w:t>Pour ce qui est des initiatives de sensibilisation et de renforcement des capacités à du personnel judiciaire, les magistrats ont participé à l'élaboration du protocole de prise en charge juridique et judiciaire des victimes de violences basées sur le genre. Il est aussi organisé périodiquement des séances de renforcement de capacités et des séances d’échanges à leur endroit en ce qui concerne leurs difficultés dans l'application des lois en matière de violences basées sur le genre.</w:t>
      </w:r>
    </w:p>
    <w:p w14:paraId="261F6770" w14:textId="77777777" w:rsidR="00850E2C" w:rsidRPr="00850E2C" w:rsidRDefault="00850E2C" w:rsidP="00F97BC3">
      <w:pPr>
        <w:pStyle w:val="SingleTxtG"/>
        <w:numPr>
          <w:ilvl w:val="0"/>
          <w:numId w:val="4"/>
        </w:numPr>
        <w:ind w:left="1134" w:firstLine="0"/>
        <w:rPr>
          <w:lang w:val="fr-FR"/>
        </w:rPr>
      </w:pPr>
      <w:r w:rsidRPr="00850E2C">
        <w:rPr>
          <w:lang w:val="fr-FR"/>
        </w:rPr>
        <w:t xml:space="preserve">Par ailleurs, la CNDH, à travers le mécanisme national de prévention de la torture, a organisé plusieurs ateliers de renforcement de capacités des acteurs de la chaine pénale sur la détention préventive, ainsi que des rencontres d’échanges avec les magistrats, officiers de police judiciaire (OPJ), surveillants de l’administration pénitentiaire (SAP) et les greffiers de Lomé et de Vogan sur les stratégies de réduction de la détention préventive. Au cours de ces rencontres, des échanges ont également porté sur la prise en compte du genre par ces acteurs.     </w:t>
      </w:r>
    </w:p>
    <w:p w14:paraId="1DCFF1F5" w14:textId="692B7CC2" w:rsidR="00850E2C" w:rsidRDefault="00460FEA" w:rsidP="00460FEA">
      <w:pPr>
        <w:pStyle w:val="H1G"/>
        <w:rPr>
          <w:lang w:val="fr-FR"/>
        </w:rPr>
      </w:pPr>
      <w:r>
        <w:rPr>
          <w:lang w:val="fr-FR"/>
        </w:rPr>
        <w:tab/>
      </w:r>
      <w:r w:rsidR="00FB5420">
        <w:rPr>
          <w:lang w:val="fr-FR"/>
        </w:rPr>
        <w:t>XXII.</w:t>
      </w:r>
      <w:r w:rsidR="00FB5420">
        <w:rPr>
          <w:lang w:val="fr-FR"/>
        </w:rPr>
        <w:tab/>
      </w:r>
      <w:r w:rsidR="00850E2C" w:rsidRPr="00850E2C">
        <w:rPr>
          <w:lang w:val="fr-FR"/>
        </w:rPr>
        <w:t>Ratification du Protocole facultatif à la Convention</w:t>
      </w:r>
    </w:p>
    <w:p w14:paraId="0DAC9F1C" w14:textId="77777777" w:rsidR="00850E2C" w:rsidRPr="00850E2C" w:rsidRDefault="00850E2C" w:rsidP="00F97BC3">
      <w:pPr>
        <w:pStyle w:val="SingleTxtG"/>
        <w:numPr>
          <w:ilvl w:val="0"/>
          <w:numId w:val="4"/>
        </w:numPr>
        <w:ind w:left="1134" w:firstLine="0"/>
        <w:rPr>
          <w:lang w:val="fr-FR"/>
        </w:rPr>
      </w:pPr>
      <w:r w:rsidRPr="00850E2C">
        <w:rPr>
          <w:lang w:val="fr-FR"/>
        </w:rPr>
        <w:t>Le Protocole à la Convention n’est pas encore ratifié.</w:t>
      </w:r>
    </w:p>
    <w:p w14:paraId="41CB131F" w14:textId="50009EAA" w:rsidR="00850E2C" w:rsidRDefault="00FB5420" w:rsidP="00460FEA">
      <w:pPr>
        <w:pStyle w:val="H1G"/>
        <w:rPr>
          <w:lang w:val="fr-FR"/>
        </w:rPr>
      </w:pPr>
      <w:r>
        <w:rPr>
          <w:lang w:val="fr-FR"/>
        </w:rPr>
        <w:tab/>
        <w:t>XXIII.</w:t>
      </w:r>
      <w:r>
        <w:rPr>
          <w:lang w:val="fr-FR"/>
        </w:rPr>
        <w:tab/>
      </w:r>
      <w:r w:rsidR="00850E2C" w:rsidRPr="00850E2C">
        <w:rPr>
          <w:lang w:val="fr-FR"/>
        </w:rPr>
        <w:t>Collecte et analyse de donnée</w:t>
      </w:r>
    </w:p>
    <w:p w14:paraId="26A9716B" w14:textId="77777777" w:rsidR="00850E2C" w:rsidRDefault="00850E2C" w:rsidP="00F97BC3">
      <w:pPr>
        <w:pStyle w:val="SingleTxtG"/>
        <w:numPr>
          <w:ilvl w:val="0"/>
          <w:numId w:val="4"/>
        </w:numPr>
        <w:ind w:left="1134" w:firstLine="0"/>
        <w:rPr>
          <w:lang w:val="fr-FR"/>
        </w:rPr>
      </w:pPr>
      <w:r w:rsidRPr="00850E2C">
        <w:rPr>
          <w:lang w:val="fr-FR"/>
        </w:rPr>
        <w:t>Pour renforcer la capacité de l’Etat à améliorer la collecte de données concernant la situation des femmes, l’institut national de la statistique et des études économiques et démographique (INSEED) est créé. Il a procédé en 2022, à la collette des informations numériques   ventilées par sexe, âge, handicap, origine ethnique, situation géographique et statut socioéconomique et mis en place un système statistique national (SSN) qui permet de coordonner des statistiques des ministères sectoriels, des institutions publiques et des partenaires techniques.</w:t>
      </w:r>
    </w:p>
    <w:p w14:paraId="0C64480D" w14:textId="7739270E" w:rsidR="00086DE9" w:rsidRPr="00086DE9" w:rsidRDefault="00086DE9" w:rsidP="00086DE9">
      <w:pPr>
        <w:spacing w:after="120"/>
        <w:ind w:left="1134" w:right="1134"/>
        <w:jc w:val="center"/>
        <w:rPr>
          <w:u w:val="single"/>
          <w:lang w:val="fr-FR"/>
        </w:rPr>
      </w:pPr>
      <w:r>
        <w:rPr>
          <w:u w:val="single"/>
          <w:lang w:val="fr-FR"/>
        </w:rPr>
        <w:tab/>
      </w:r>
      <w:r>
        <w:rPr>
          <w:u w:val="single"/>
          <w:lang w:val="fr-FR"/>
        </w:rPr>
        <w:tab/>
      </w:r>
      <w:r>
        <w:rPr>
          <w:u w:val="single"/>
          <w:lang w:val="fr-FR"/>
        </w:rPr>
        <w:tab/>
      </w:r>
      <w:r>
        <w:rPr>
          <w:u w:val="single"/>
          <w:lang w:val="fr-FR"/>
        </w:rPr>
        <w:tab/>
      </w:r>
    </w:p>
    <w:sectPr w:rsidR="00086DE9" w:rsidRPr="00086DE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ECA01" w14:textId="77777777" w:rsidR="003B6FD0" w:rsidRDefault="003B6FD0">
      <w:pPr>
        <w:spacing w:line="240" w:lineRule="auto"/>
      </w:pPr>
    </w:p>
  </w:endnote>
  <w:endnote w:type="continuationSeparator" w:id="0">
    <w:p w14:paraId="14653359" w14:textId="77777777" w:rsidR="003B6FD0" w:rsidRDefault="003B6FD0">
      <w:pPr>
        <w:pStyle w:val="Footer"/>
      </w:pPr>
    </w:p>
  </w:endnote>
  <w:endnote w:type="continuationNotice" w:id="1">
    <w:p w14:paraId="1AD08751" w14:textId="77777777" w:rsidR="003B6FD0" w:rsidRDefault="003B6F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ECDE4" w14:textId="7A970645" w:rsidR="00402B4E" w:rsidRDefault="001607E1">
    <w:pPr>
      <w:pStyle w:val="Footer"/>
      <w:tabs>
        <w:tab w:val="right" w:pos="963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3F0B5" w14:textId="77777777" w:rsidR="00402B4E" w:rsidRDefault="00A7113D">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D3F0" w14:textId="77777777" w:rsidR="00402B4E" w:rsidRDefault="001607E1">
    <w:pPr>
      <w:pStyle w:val="Footer"/>
      <w:spacing w:before="120"/>
      <w:rPr>
        <w:noProof/>
        <w:sz w:val="20"/>
        <w:lang w:eastAsia="fr-FR"/>
      </w:rPr>
    </w:pPr>
    <w:r>
      <w:rPr>
        <w:noProof/>
        <w:lang w:eastAsia="fr-CH"/>
      </w:rPr>
      <w:drawing>
        <wp:anchor distT="0" distB="0" distL="114300" distR="114300" simplePos="0" relativeHeight="251658240" behindDoc="0" locked="1" layoutInCell="1" allowOverlap="1" wp14:anchorId="12174CED" wp14:editId="22EEEDA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4D22CF" w14:paraId="55593334" w14:textId="77777777">
      <w:tc>
        <w:tcPr>
          <w:tcW w:w="1848" w:type="dxa"/>
          <w:vAlign w:val="bottom"/>
        </w:tcPr>
        <w:p w14:paraId="3BD646CD" w14:textId="77777777" w:rsidR="00402B4E" w:rsidRDefault="001607E1">
          <w:pPr>
            <w:spacing w:before="120" w:after="120" w:line="240" w:lineRule="auto"/>
            <w:jc w:val="right"/>
            <w:rPr>
              <w:sz w:val="16"/>
            </w:rPr>
          </w:pPr>
          <w:r>
            <w:rPr>
              <w:noProof/>
              <w:lang w:eastAsia="fr-CH"/>
            </w:rPr>
            <w:drawing>
              <wp:inline distT="0" distB="0" distL="0" distR="0" wp14:anchorId="431FD312" wp14:editId="36F1243E">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2666EB2F" w14:textId="77777777" w:rsidR="00402B4E" w:rsidRDefault="00402B4E">
          <w:pPr>
            <w:spacing w:line="240" w:lineRule="auto"/>
            <w:jc w:val="right"/>
            <w:rPr>
              <w:sz w:val="16"/>
            </w:rPr>
          </w:pPr>
        </w:p>
      </w:tc>
    </w:tr>
  </w:tbl>
  <w:p w14:paraId="5A0E3685" w14:textId="77777777" w:rsidR="00402B4E" w:rsidRDefault="00402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944D7" w14:textId="77777777" w:rsidR="003B6FD0" w:rsidRDefault="003B6FD0">
      <w:pPr>
        <w:pStyle w:val="Footer"/>
        <w:tabs>
          <w:tab w:val="right" w:pos="2155"/>
        </w:tabs>
        <w:spacing w:after="80" w:line="240" w:lineRule="atLeast"/>
        <w:ind w:left="680"/>
        <w:rPr>
          <w:u w:val="single"/>
        </w:rPr>
      </w:pPr>
      <w:r>
        <w:rPr>
          <w:u w:val="single"/>
        </w:rPr>
        <w:tab/>
      </w:r>
    </w:p>
  </w:footnote>
  <w:footnote w:type="continuationSeparator" w:id="0">
    <w:p w14:paraId="5DAEEF3C" w14:textId="77777777" w:rsidR="003B6FD0" w:rsidRDefault="003B6FD0">
      <w:pPr>
        <w:pStyle w:val="Footer"/>
        <w:tabs>
          <w:tab w:val="right" w:pos="2155"/>
        </w:tabs>
        <w:spacing w:after="80" w:line="240" w:lineRule="atLeast"/>
        <w:ind w:left="680"/>
        <w:rPr>
          <w:u w:val="single"/>
        </w:rPr>
      </w:pPr>
      <w:r>
        <w:rPr>
          <w:u w:val="single"/>
        </w:rPr>
        <w:tab/>
      </w:r>
    </w:p>
  </w:footnote>
  <w:footnote w:type="continuationNotice" w:id="1">
    <w:p w14:paraId="35DC401D" w14:textId="77777777" w:rsidR="003B6FD0" w:rsidRDefault="003B6FD0">
      <w:pPr>
        <w:spacing w:line="240" w:lineRule="auto"/>
        <w:rPr>
          <w:sz w:val="2"/>
          <w:szCs w:val="2"/>
        </w:rPr>
      </w:pPr>
    </w:p>
  </w:footnote>
  <w:footnote w:id="2">
    <w:p w14:paraId="2C8D74EA" w14:textId="77777777" w:rsidR="005A1BB6" w:rsidRPr="001B5FBB" w:rsidRDefault="001607E1" w:rsidP="005A1BB6">
      <w:pPr>
        <w:pStyle w:val="FootnoteText"/>
        <w:rPr>
          <w:szCs w:val="18"/>
        </w:rPr>
      </w:pPr>
      <w:r>
        <w:rPr>
          <w:rStyle w:val="FootnoteReference"/>
        </w:rPr>
        <w:tab/>
      </w:r>
      <w:r w:rsidRPr="001B5FBB">
        <w:rPr>
          <w:rStyle w:val="FootnoteReference"/>
          <w:sz w:val="20"/>
          <w:vertAlign w:val="baseline"/>
        </w:rPr>
        <w:t>*</w:t>
      </w:r>
      <w:r>
        <w:rPr>
          <w:rStyle w:val="FootnoteReference"/>
          <w:sz w:val="20"/>
          <w:vertAlign w:val="baseline"/>
        </w:rPr>
        <w:tab/>
      </w:r>
      <w:r w:rsidRPr="001B5FBB">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CFED6" w14:textId="77777777" w:rsidR="00402B4E" w:rsidRDefault="00A7113D">
    <w:pPr>
      <w:pStyle w:val="Header"/>
    </w:pPr>
    <w:r>
      <w:t>CEDAW/C/TGO/RQ/8-10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FB7A5" w14:textId="77777777" w:rsidR="00402B4E" w:rsidRDefault="00A7113D">
    <w:pPr>
      <w:pStyle w:val="Header"/>
      <w:jc w:val="right"/>
    </w:pPr>
    <w:r>
      <w:t>CEDAW/C/TGO/RQ/8-10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6E24C118"/>
    <w:lvl w:ilvl="0" w:tplc="270ECD2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B80827C" w:tentative="1">
      <w:start w:val="1"/>
      <w:numFmt w:val="lowerLetter"/>
      <w:lvlText w:val="%2."/>
      <w:lvlJc w:val="left"/>
      <w:pPr>
        <w:tabs>
          <w:tab w:val="num" w:pos="1440"/>
        </w:tabs>
        <w:ind w:left="1440" w:hanging="360"/>
      </w:pPr>
    </w:lvl>
    <w:lvl w:ilvl="2" w:tplc="451CB964" w:tentative="1">
      <w:start w:val="1"/>
      <w:numFmt w:val="lowerRoman"/>
      <w:lvlText w:val="%3."/>
      <w:lvlJc w:val="right"/>
      <w:pPr>
        <w:tabs>
          <w:tab w:val="num" w:pos="2160"/>
        </w:tabs>
        <w:ind w:left="2160" w:hanging="180"/>
      </w:pPr>
    </w:lvl>
    <w:lvl w:ilvl="3" w:tplc="D66A4980" w:tentative="1">
      <w:start w:val="1"/>
      <w:numFmt w:val="decimal"/>
      <w:lvlText w:val="%4."/>
      <w:lvlJc w:val="left"/>
      <w:pPr>
        <w:tabs>
          <w:tab w:val="num" w:pos="2880"/>
        </w:tabs>
        <w:ind w:left="2880" w:hanging="360"/>
      </w:pPr>
    </w:lvl>
    <w:lvl w:ilvl="4" w:tplc="FFC23878" w:tentative="1">
      <w:start w:val="1"/>
      <w:numFmt w:val="lowerLetter"/>
      <w:lvlText w:val="%5."/>
      <w:lvlJc w:val="left"/>
      <w:pPr>
        <w:tabs>
          <w:tab w:val="num" w:pos="3600"/>
        </w:tabs>
        <w:ind w:left="3600" w:hanging="360"/>
      </w:pPr>
    </w:lvl>
    <w:lvl w:ilvl="5" w:tplc="AD04DE18" w:tentative="1">
      <w:start w:val="1"/>
      <w:numFmt w:val="lowerRoman"/>
      <w:lvlText w:val="%6."/>
      <w:lvlJc w:val="right"/>
      <w:pPr>
        <w:tabs>
          <w:tab w:val="num" w:pos="4320"/>
        </w:tabs>
        <w:ind w:left="4320" w:hanging="180"/>
      </w:pPr>
    </w:lvl>
    <w:lvl w:ilvl="6" w:tplc="CF9E5F54" w:tentative="1">
      <w:start w:val="1"/>
      <w:numFmt w:val="decimal"/>
      <w:lvlText w:val="%7."/>
      <w:lvlJc w:val="left"/>
      <w:pPr>
        <w:tabs>
          <w:tab w:val="num" w:pos="5040"/>
        </w:tabs>
        <w:ind w:left="5040" w:hanging="360"/>
      </w:pPr>
    </w:lvl>
    <w:lvl w:ilvl="7" w:tplc="AC3AB3D0" w:tentative="1">
      <w:start w:val="1"/>
      <w:numFmt w:val="lowerLetter"/>
      <w:lvlText w:val="%8."/>
      <w:lvlJc w:val="left"/>
      <w:pPr>
        <w:tabs>
          <w:tab w:val="num" w:pos="5760"/>
        </w:tabs>
        <w:ind w:left="5760" w:hanging="360"/>
      </w:pPr>
    </w:lvl>
    <w:lvl w:ilvl="8" w:tplc="A04E3758"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AE82671E"/>
    <w:lvl w:ilvl="0" w:tplc="5FDC0924">
      <w:start w:val="1"/>
      <w:numFmt w:val="bullet"/>
      <w:pStyle w:val="Bullet2G"/>
      <w:lvlText w:val="•"/>
      <w:lvlJc w:val="left"/>
      <w:pPr>
        <w:tabs>
          <w:tab w:val="num" w:pos="2268"/>
        </w:tabs>
        <w:ind w:left="2268" w:hanging="170"/>
      </w:pPr>
      <w:rPr>
        <w:rFonts w:ascii="Times New Roman" w:hAnsi="Times New Roman" w:cs="Times New Roman" w:hint="default"/>
      </w:rPr>
    </w:lvl>
    <w:lvl w:ilvl="1" w:tplc="FE56CD4A" w:tentative="1">
      <w:start w:val="1"/>
      <w:numFmt w:val="bullet"/>
      <w:lvlText w:val="o"/>
      <w:lvlJc w:val="left"/>
      <w:pPr>
        <w:tabs>
          <w:tab w:val="num" w:pos="3708"/>
        </w:tabs>
        <w:ind w:left="3708" w:hanging="360"/>
      </w:pPr>
      <w:rPr>
        <w:rFonts w:ascii="Courier New" w:hAnsi="Courier New" w:hint="default"/>
      </w:rPr>
    </w:lvl>
    <w:lvl w:ilvl="2" w:tplc="331E86E0" w:tentative="1">
      <w:start w:val="1"/>
      <w:numFmt w:val="bullet"/>
      <w:lvlText w:val=""/>
      <w:lvlJc w:val="left"/>
      <w:pPr>
        <w:tabs>
          <w:tab w:val="num" w:pos="4428"/>
        </w:tabs>
        <w:ind w:left="4428" w:hanging="360"/>
      </w:pPr>
      <w:rPr>
        <w:rFonts w:ascii="Wingdings" w:hAnsi="Wingdings" w:hint="default"/>
      </w:rPr>
    </w:lvl>
    <w:lvl w:ilvl="3" w:tplc="AF00295A" w:tentative="1">
      <w:start w:val="1"/>
      <w:numFmt w:val="bullet"/>
      <w:lvlText w:val=""/>
      <w:lvlJc w:val="left"/>
      <w:pPr>
        <w:tabs>
          <w:tab w:val="num" w:pos="5148"/>
        </w:tabs>
        <w:ind w:left="5148" w:hanging="360"/>
      </w:pPr>
      <w:rPr>
        <w:rFonts w:ascii="Symbol" w:hAnsi="Symbol" w:hint="default"/>
      </w:rPr>
    </w:lvl>
    <w:lvl w:ilvl="4" w:tplc="E03861BA" w:tentative="1">
      <w:start w:val="1"/>
      <w:numFmt w:val="bullet"/>
      <w:lvlText w:val="o"/>
      <w:lvlJc w:val="left"/>
      <w:pPr>
        <w:tabs>
          <w:tab w:val="num" w:pos="5868"/>
        </w:tabs>
        <w:ind w:left="5868" w:hanging="360"/>
      </w:pPr>
      <w:rPr>
        <w:rFonts w:ascii="Courier New" w:hAnsi="Courier New" w:hint="default"/>
      </w:rPr>
    </w:lvl>
    <w:lvl w:ilvl="5" w:tplc="A43407BC" w:tentative="1">
      <w:start w:val="1"/>
      <w:numFmt w:val="bullet"/>
      <w:lvlText w:val=""/>
      <w:lvlJc w:val="left"/>
      <w:pPr>
        <w:tabs>
          <w:tab w:val="num" w:pos="6588"/>
        </w:tabs>
        <w:ind w:left="6588" w:hanging="360"/>
      </w:pPr>
      <w:rPr>
        <w:rFonts w:ascii="Wingdings" w:hAnsi="Wingdings" w:hint="default"/>
      </w:rPr>
    </w:lvl>
    <w:lvl w:ilvl="6" w:tplc="F0D0DBE8" w:tentative="1">
      <w:start w:val="1"/>
      <w:numFmt w:val="bullet"/>
      <w:lvlText w:val=""/>
      <w:lvlJc w:val="left"/>
      <w:pPr>
        <w:tabs>
          <w:tab w:val="num" w:pos="7308"/>
        </w:tabs>
        <w:ind w:left="7308" w:hanging="360"/>
      </w:pPr>
      <w:rPr>
        <w:rFonts w:ascii="Symbol" w:hAnsi="Symbol" w:hint="default"/>
      </w:rPr>
    </w:lvl>
    <w:lvl w:ilvl="7" w:tplc="D0EEF668" w:tentative="1">
      <w:start w:val="1"/>
      <w:numFmt w:val="bullet"/>
      <w:lvlText w:val="o"/>
      <w:lvlJc w:val="left"/>
      <w:pPr>
        <w:tabs>
          <w:tab w:val="num" w:pos="8028"/>
        </w:tabs>
        <w:ind w:left="8028" w:hanging="360"/>
      </w:pPr>
      <w:rPr>
        <w:rFonts w:ascii="Courier New" w:hAnsi="Courier New" w:hint="default"/>
      </w:rPr>
    </w:lvl>
    <w:lvl w:ilvl="8" w:tplc="BE7C1F4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36D6316E"/>
    <w:lvl w:ilvl="0" w:tplc="999695A4">
      <w:start w:val="1"/>
      <w:numFmt w:val="bullet"/>
      <w:pStyle w:val="Bullet1G"/>
      <w:lvlText w:val="•"/>
      <w:lvlJc w:val="left"/>
      <w:pPr>
        <w:tabs>
          <w:tab w:val="num" w:pos="1701"/>
        </w:tabs>
        <w:ind w:left="1701" w:hanging="170"/>
      </w:pPr>
      <w:rPr>
        <w:rFonts w:ascii="Times New Roman" w:hAnsi="Times New Roman" w:cs="Times New Roman" w:hint="default"/>
      </w:rPr>
    </w:lvl>
    <w:lvl w:ilvl="1" w:tplc="239EB048" w:tentative="1">
      <w:start w:val="1"/>
      <w:numFmt w:val="bullet"/>
      <w:lvlText w:val="o"/>
      <w:lvlJc w:val="left"/>
      <w:pPr>
        <w:tabs>
          <w:tab w:val="num" w:pos="3141"/>
        </w:tabs>
        <w:ind w:left="3141" w:hanging="360"/>
      </w:pPr>
      <w:rPr>
        <w:rFonts w:ascii="Courier New" w:hAnsi="Courier New" w:hint="default"/>
      </w:rPr>
    </w:lvl>
    <w:lvl w:ilvl="2" w:tplc="4BDA581A" w:tentative="1">
      <w:start w:val="1"/>
      <w:numFmt w:val="bullet"/>
      <w:lvlText w:val=""/>
      <w:lvlJc w:val="left"/>
      <w:pPr>
        <w:tabs>
          <w:tab w:val="num" w:pos="3861"/>
        </w:tabs>
        <w:ind w:left="3861" w:hanging="360"/>
      </w:pPr>
      <w:rPr>
        <w:rFonts w:ascii="Wingdings" w:hAnsi="Wingdings" w:hint="default"/>
      </w:rPr>
    </w:lvl>
    <w:lvl w:ilvl="3" w:tplc="4670A138" w:tentative="1">
      <w:start w:val="1"/>
      <w:numFmt w:val="bullet"/>
      <w:lvlText w:val=""/>
      <w:lvlJc w:val="left"/>
      <w:pPr>
        <w:tabs>
          <w:tab w:val="num" w:pos="4581"/>
        </w:tabs>
        <w:ind w:left="4581" w:hanging="360"/>
      </w:pPr>
      <w:rPr>
        <w:rFonts w:ascii="Symbol" w:hAnsi="Symbol" w:hint="default"/>
      </w:rPr>
    </w:lvl>
    <w:lvl w:ilvl="4" w:tplc="5E66D41C" w:tentative="1">
      <w:start w:val="1"/>
      <w:numFmt w:val="bullet"/>
      <w:lvlText w:val="o"/>
      <w:lvlJc w:val="left"/>
      <w:pPr>
        <w:tabs>
          <w:tab w:val="num" w:pos="5301"/>
        </w:tabs>
        <w:ind w:left="5301" w:hanging="360"/>
      </w:pPr>
      <w:rPr>
        <w:rFonts w:ascii="Courier New" w:hAnsi="Courier New" w:hint="default"/>
      </w:rPr>
    </w:lvl>
    <w:lvl w:ilvl="5" w:tplc="DAE64A78" w:tentative="1">
      <w:start w:val="1"/>
      <w:numFmt w:val="bullet"/>
      <w:lvlText w:val=""/>
      <w:lvlJc w:val="left"/>
      <w:pPr>
        <w:tabs>
          <w:tab w:val="num" w:pos="6021"/>
        </w:tabs>
        <w:ind w:left="6021" w:hanging="360"/>
      </w:pPr>
      <w:rPr>
        <w:rFonts w:ascii="Wingdings" w:hAnsi="Wingdings" w:hint="default"/>
      </w:rPr>
    </w:lvl>
    <w:lvl w:ilvl="6" w:tplc="72EC43E0" w:tentative="1">
      <w:start w:val="1"/>
      <w:numFmt w:val="bullet"/>
      <w:lvlText w:val=""/>
      <w:lvlJc w:val="left"/>
      <w:pPr>
        <w:tabs>
          <w:tab w:val="num" w:pos="6741"/>
        </w:tabs>
        <w:ind w:left="6741" w:hanging="360"/>
      </w:pPr>
      <w:rPr>
        <w:rFonts w:ascii="Symbol" w:hAnsi="Symbol" w:hint="default"/>
      </w:rPr>
    </w:lvl>
    <w:lvl w:ilvl="7" w:tplc="4ED6B8D6" w:tentative="1">
      <w:start w:val="1"/>
      <w:numFmt w:val="bullet"/>
      <w:lvlText w:val="o"/>
      <w:lvlJc w:val="left"/>
      <w:pPr>
        <w:tabs>
          <w:tab w:val="num" w:pos="7461"/>
        </w:tabs>
        <w:ind w:left="7461" w:hanging="360"/>
      </w:pPr>
      <w:rPr>
        <w:rFonts w:ascii="Courier New" w:hAnsi="Courier New" w:hint="default"/>
      </w:rPr>
    </w:lvl>
    <w:lvl w:ilvl="8" w:tplc="9A2CF3A6"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6ED53630"/>
    <w:multiLevelType w:val="hybridMultilevel"/>
    <w:tmpl w:val="3176C93E"/>
    <w:lvl w:ilvl="0" w:tplc="F8F67A58">
      <w:start w:val="1"/>
      <w:numFmt w:val="decimal"/>
      <w:lvlText w:val="%1."/>
      <w:lvlJc w:val="left"/>
      <w:pPr>
        <w:ind w:left="1854"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708799272">
    <w:abstractNumId w:val="2"/>
  </w:num>
  <w:num w:numId="2" w16cid:durableId="245261728">
    <w:abstractNumId w:val="1"/>
  </w:num>
  <w:num w:numId="3" w16cid:durableId="928730065">
    <w:abstractNumId w:val="0"/>
  </w:num>
  <w:num w:numId="4" w16cid:durableId="180689750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B4E"/>
    <w:rsid w:val="00043F8F"/>
    <w:rsid w:val="00086DE9"/>
    <w:rsid w:val="0009090E"/>
    <w:rsid w:val="00097BAE"/>
    <w:rsid w:val="000E78A5"/>
    <w:rsid w:val="001128F5"/>
    <w:rsid w:val="001607E1"/>
    <w:rsid w:val="001644D3"/>
    <w:rsid w:val="001A4E05"/>
    <w:rsid w:val="001B5FBB"/>
    <w:rsid w:val="00237053"/>
    <w:rsid w:val="00356A22"/>
    <w:rsid w:val="00392F7F"/>
    <w:rsid w:val="003960C9"/>
    <w:rsid w:val="003B6FD0"/>
    <w:rsid w:val="003C119A"/>
    <w:rsid w:val="003F6FBA"/>
    <w:rsid w:val="00402B4E"/>
    <w:rsid w:val="0044711B"/>
    <w:rsid w:val="00460FEA"/>
    <w:rsid w:val="004760FA"/>
    <w:rsid w:val="004A46C7"/>
    <w:rsid w:val="004D22CF"/>
    <w:rsid w:val="00544ACA"/>
    <w:rsid w:val="00550DF2"/>
    <w:rsid w:val="00561ADA"/>
    <w:rsid w:val="005A1BB6"/>
    <w:rsid w:val="005E00AA"/>
    <w:rsid w:val="006314E2"/>
    <w:rsid w:val="006D27C2"/>
    <w:rsid w:val="006E4116"/>
    <w:rsid w:val="007E0AF3"/>
    <w:rsid w:val="007F769C"/>
    <w:rsid w:val="00850E2C"/>
    <w:rsid w:val="008719D8"/>
    <w:rsid w:val="008E49F3"/>
    <w:rsid w:val="00937A84"/>
    <w:rsid w:val="009526AE"/>
    <w:rsid w:val="009D24E9"/>
    <w:rsid w:val="009E64FC"/>
    <w:rsid w:val="00A22B1A"/>
    <w:rsid w:val="00A26B97"/>
    <w:rsid w:val="00A7113D"/>
    <w:rsid w:val="00AE4859"/>
    <w:rsid w:val="00AF1725"/>
    <w:rsid w:val="00B058E2"/>
    <w:rsid w:val="00B31AC0"/>
    <w:rsid w:val="00B731B2"/>
    <w:rsid w:val="00B84CB9"/>
    <w:rsid w:val="00B91B6C"/>
    <w:rsid w:val="00BA0D77"/>
    <w:rsid w:val="00BA67C0"/>
    <w:rsid w:val="00BF0B23"/>
    <w:rsid w:val="00C253D4"/>
    <w:rsid w:val="00C75C01"/>
    <w:rsid w:val="00CC4C15"/>
    <w:rsid w:val="00CD0F0C"/>
    <w:rsid w:val="00CD41C4"/>
    <w:rsid w:val="00CD5FEF"/>
    <w:rsid w:val="00D12C0D"/>
    <w:rsid w:val="00D647AB"/>
    <w:rsid w:val="00E41A6E"/>
    <w:rsid w:val="00E43AC9"/>
    <w:rsid w:val="00E63D4F"/>
    <w:rsid w:val="00F637AF"/>
    <w:rsid w:val="00F97BC3"/>
    <w:rsid w:val="00FB5420"/>
    <w:rsid w:val="00FE40A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C03E1"/>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C0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pPr>
      <w:outlineLvl w:val="1"/>
    </w:pPr>
  </w:style>
  <w:style w:type="paragraph" w:styleId="Heading3">
    <w:name w:val="heading 3"/>
    <w:basedOn w:val="Normal"/>
    <w:next w:val="Normal"/>
    <w:link w:val="Heading3Char"/>
    <w:uiPriority w:val="9"/>
    <w:semiHidden/>
    <w:qFormat/>
    <w:pPr>
      <w:outlineLvl w:val="2"/>
    </w:pPr>
  </w:style>
  <w:style w:type="paragraph" w:styleId="Heading4">
    <w:name w:val="heading 4"/>
    <w:basedOn w:val="Normal"/>
    <w:next w:val="Normal"/>
    <w:link w:val="Heading4Char"/>
    <w:uiPriority w:val="9"/>
    <w:semiHidden/>
    <w:qFormat/>
    <w:pPr>
      <w:outlineLvl w:val="3"/>
    </w:pPr>
  </w:style>
  <w:style w:type="paragraph" w:styleId="Heading5">
    <w:name w:val="heading 5"/>
    <w:basedOn w:val="Normal"/>
    <w:next w:val="Normal"/>
    <w:link w:val="Heading5Char"/>
    <w:uiPriority w:val="9"/>
    <w:semiHidden/>
    <w:qFormat/>
    <w:pPr>
      <w:outlineLvl w:val="4"/>
    </w:pPr>
  </w:style>
  <w:style w:type="paragraph" w:styleId="Heading6">
    <w:name w:val="heading 6"/>
    <w:basedOn w:val="Normal"/>
    <w:next w:val="Normal"/>
    <w:link w:val="Heading6Char"/>
    <w:uiPriority w:val="9"/>
    <w:semiHidden/>
    <w:qFormat/>
    <w:pPr>
      <w:outlineLvl w:val="5"/>
    </w:pPr>
  </w:style>
  <w:style w:type="paragraph" w:styleId="Heading7">
    <w:name w:val="heading 7"/>
    <w:basedOn w:val="Normal"/>
    <w:next w:val="Normal"/>
    <w:link w:val="Heading7Char"/>
    <w:uiPriority w:val="9"/>
    <w:semiHidden/>
    <w:qFormat/>
    <w:pPr>
      <w:outlineLvl w:val="6"/>
    </w:pPr>
  </w:style>
  <w:style w:type="paragraph" w:styleId="Heading8">
    <w:name w:val="heading 8"/>
    <w:basedOn w:val="Normal"/>
    <w:next w:val="Normal"/>
    <w:link w:val="Heading8Char"/>
    <w:uiPriority w:val="9"/>
    <w:semiHidden/>
    <w:qFormat/>
    <w:pPr>
      <w:outlineLvl w:val="7"/>
    </w:pPr>
  </w:style>
  <w:style w:type="paragraph" w:styleId="Heading9">
    <w:name w:val="heading 9"/>
    <w:basedOn w:val="Normal"/>
    <w:next w:val="Normal"/>
    <w:link w:val="Heading9Char"/>
    <w:uiPriority w:val="9"/>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rsid w:val="003C119A"/>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3C119A"/>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3C119A"/>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3C119A"/>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3C119A"/>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3C119A"/>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544ACA"/>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
    <w:basedOn w:val="DefaultParagraphFont"/>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
    <w:basedOn w:val="Normal"/>
    <w:link w:val="FootnoteTextChar"/>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table" w:styleId="GridTable1Light">
    <w:name w:val="Grid Table 1 Light"/>
    <w:basedOn w:val="TableNormal"/>
    <w:uiPriority w:val="46"/>
    <w:rsid w:val="00850E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850E2C"/>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fr-FR"/>
      <w14:ligatures w14:val="standardContextual"/>
    </w:rPr>
  </w:style>
  <w:style w:type="character" w:customStyle="1" w:styleId="TitleChar">
    <w:name w:val="Title Char"/>
    <w:basedOn w:val="DefaultParagraphFont"/>
    <w:link w:val="Title"/>
    <w:uiPriority w:val="10"/>
    <w:rsid w:val="00850E2C"/>
    <w:rPr>
      <w:rFonts w:asciiTheme="majorHAnsi" w:eastAsiaTheme="majorEastAsia" w:hAnsiTheme="majorHAnsi" w:cstheme="majorBidi"/>
      <w:spacing w:val="-10"/>
      <w:kern w:val="28"/>
      <w:sz w:val="56"/>
      <w:szCs w:val="56"/>
      <w:lang w:val="fr-FR"/>
      <w14:ligatures w14:val="standardContextual"/>
    </w:rPr>
  </w:style>
  <w:style w:type="paragraph" w:styleId="Subtitle">
    <w:name w:val="Subtitle"/>
    <w:basedOn w:val="Normal"/>
    <w:next w:val="Normal"/>
    <w:link w:val="SubtitleChar"/>
    <w:uiPriority w:val="11"/>
    <w:qFormat/>
    <w:rsid w:val="00850E2C"/>
    <w:pPr>
      <w:numPr>
        <w:ilvl w:val="1"/>
      </w:numPr>
      <w:suppressAutoHyphens w:val="0"/>
      <w:kinsoku/>
      <w:overflowPunct/>
      <w:autoSpaceDE/>
      <w:autoSpaceDN/>
      <w:adjustRightInd/>
      <w:snapToGrid/>
      <w:spacing w:after="160" w:line="259" w:lineRule="auto"/>
    </w:pPr>
    <w:rPr>
      <w:rFonts w:asciiTheme="minorHAnsi" w:eastAsiaTheme="majorEastAsia" w:hAnsiTheme="minorHAnsi" w:cstheme="majorBidi"/>
      <w:color w:val="595959" w:themeColor="text1" w:themeTint="A6"/>
      <w:spacing w:val="15"/>
      <w:kern w:val="2"/>
      <w:sz w:val="28"/>
      <w:szCs w:val="28"/>
      <w:lang w:val="fr-FR"/>
      <w14:ligatures w14:val="standardContextual"/>
    </w:rPr>
  </w:style>
  <w:style w:type="character" w:customStyle="1" w:styleId="SubtitleChar">
    <w:name w:val="Subtitle Char"/>
    <w:basedOn w:val="DefaultParagraphFont"/>
    <w:link w:val="Subtitle"/>
    <w:uiPriority w:val="11"/>
    <w:rsid w:val="00850E2C"/>
    <w:rPr>
      <w:rFonts w:eastAsiaTheme="majorEastAsia" w:cstheme="majorBidi"/>
      <w:color w:val="595959" w:themeColor="text1" w:themeTint="A6"/>
      <w:spacing w:val="15"/>
      <w:kern w:val="2"/>
      <w:sz w:val="28"/>
      <w:szCs w:val="28"/>
      <w:lang w:val="fr-FR"/>
      <w14:ligatures w14:val="standardContextual"/>
    </w:rPr>
  </w:style>
  <w:style w:type="paragraph" w:styleId="Quote">
    <w:name w:val="Quote"/>
    <w:basedOn w:val="Normal"/>
    <w:next w:val="Normal"/>
    <w:link w:val="QuoteChar"/>
    <w:uiPriority w:val="29"/>
    <w:qFormat/>
    <w:rsid w:val="00850E2C"/>
    <w:pPr>
      <w:suppressAutoHyphens w:val="0"/>
      <w:kinsoku/>
      <w:overflowPunct/>
      <w:autoSpaceDE/>
      <w:autoSpaceDN/>
      <w:adjustRightInd/>
      <w:snapToGrid/>
      <w:spacing w:before="160" w:after="160" w:line="259" w:lineRule="auto"/>
      <w:jc w:val="center"/>
    </w:pPr>
    <w:rPr>
      <w:rFonts w:asciiTheme="minorHAnsi" w:hAnsiTheme="minorHAnsi" w:cstheme="minorBidi"/>
      <w:i/>
      <w:iCs/>
      <w:color w:val="404040" w:themeColor="text1" w:themeTint="BF"/>
      <w:kern w:val="2"/>
      <w:sz w:val="22"/>
      <w:szCs w:val="22"/>
      <w:lang w:val="fr-FR"/>
      <w14:ligatures w14:val="standardContextual"/>
    </w:rPr>
  </w:style>
  <w:style w:type="character" w:customStyle="1" w:styleId="QuoteChar">
    <w:name w:val="Quote Char"/>
    <w:basedOn w:val="DefaultParagraphFont"/>
    <w:link w:val="Quote"/>
    <w:uiPriority w:val="29"/>
    <w:rsid w:val="00850E2C"/>
    <w:rPr>
      <w:i/>
      <w:iCs/>
      <w:color w:val="404040" w:themeColor="text1" w:themeTint="BF"/>
      <w:kern w:val="2"/>
      <w:lang w:val="fr-FR"/>
      <w14:ligatures w14:val="standardContextual"/>
    </w:rPr>
  </w:style>
  <w:style w:type="paragraph" w:styleId="ListParagraph">
    <w:name w:val="List Paragraph"/>
    <w:basedOn w:val="Normal"/>
    <w:uiPriority w:val="34"/>
    <w:qFormat/>
    <w:rsid w:val="00850E2C"/>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fr-FR"/>
      <w14:ligatures w14:val="standardContextual"/>
    </w:rPr>
  </w:style>
  <w:style w:type="character" w:styleId="IntenseEmphasis">
    <w:name w:val="Intense Emphasis"/>
    <w:basedOn w:val="DefaultParagraphFont"/>
    <w:uiPriority w:val="21"/>
    <w:qFormat/>
    <w:rsid w:val="00850E2C"/>
    <w:rPr>
      <w:i/>
      <w:iCs/>
      <w:color w:val="365F91" w:themeColor="accent1" w:themeShade="BF"/>
    </w:rPr>
  </w:style>
  <w:style w:type="paragraph" w:styleId="IntenseQuote">
    <w:name w:val="Intense Quote"/>
    <w:basedOn w:val="Normal"/>
    <w:next w:val="Normal"/>
    <w:link w:val="IntenseQuoteChar"/>
    <w:uiPriority w:val="30"/>
    <w:qFormat/>
    <w:rsid w:val="00850E2C"/>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59" w:lineRule="auto"/>
      <w:ind w:left="864" w:right="864"/>
      <w:jc w:val="center"/>
    </w:pPr>
    <w:rPr>
      <w:rFonts w:asciiTheme="minorHAnsi" w:hAnsiTheme="minorHAnsi" w:cstheme="minorBidi"/>
      <w:i/>
      <w:iCs/>
      <w:color w:val="365F91" w:themeColor="accent1" w:themeShade="BF"/>
      <w:kern w:val="2"/>
      <w:sz w:val="22"/>
      <w:szCs w:val="22"/>
      <w:lang w:val="fr-FR"/>
      <w14:ligatures w14:val="standardContextual"/>
    </w:rPr>
  </w:style>
  <w:style w:type="character" w:customStyle="1" w:styleId="IntenseQuoteChar">
    <w:name w:val="Intense Quote Char"/>
    <w:basedOn w:val="DefaultParagraphFont"/>
    <w:link w:val="IntenseQuote"/>
    <w:uiPriority w:val="30"/>
    <w:rsid w:val="00850E2C"/>
    <w:rPr>
      <w:i/>
      <w:iCs/>
      <w:color w:val="365F91" w:themeColor="accent1" w:themeShade="BF"/>
      <w:kern w:val="2"/>
      <w:lang w:val="fr-FR"/>
      <w14:ligatures w14:val="standardContextual"/>
    </w:rPr>
  </w:style>
  <w:style w:type="character" w:styleId="IntenseReference">
    <w:name w:val="Intense Reference"/>
    <w:basedOn w:val="DefaultParagraphFont"/>
    <w:uiPriority w:val="32"/>
    <w:qFormat/>
    <w:rsid w:val="00850E2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2026-04-23T15:39:15+00:00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C0CCF2C-98C2-4F33-840F-FAB593BC3A30}">
  <ds:schemaRefs>
    <ds:schemaRef ds:uri="http://schemas.microsoft.com/sharepoint/v3/contenttype/forms"/>
  </ds:schemaRefs>
</ds:datastoreItem>
</file>

<file path=customXml/itemProps2.xml><?xml version="1.0" encoding="utf-8"?>
<ds:datastoreItem xmlns:ds="http://schemas.openxmlformats.org/officeDocument/2006/customXml" ds:itemID="{9092AB82-81EA-4378-A230-A2570D7DF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1CD2E-AA2D-4FBE-807E-171D518A4B9F}">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38</TotalTime>
  <Pages>20</Pages>
  <Words>8946</Words>
  <Characters>50998</Characters>
  <Application>Microsoft Office Word</Application>
  <DocSecurity>0</DocSecurity>
  <Lines>424</Lines>
  <Paragraphs>119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CEDAW/C/TGO/RQ/8-10</vt:lpstr>
      <vt:lpstr>a/hthhhh</vt:lpstr>
      <vt:lpstr>a/hthhhh</vt:lpstr>
    </vt:vector>
  </TitlesOfParts>
  <Company>DCM</Company>
  <LinksUpToDate>false</LinksUpToDate>
  <CharactersWithSpaces>59825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CEDAW/C/TGO/RQ/8-10</dc:title>
  <dc:creator>Gloria de la Rosa</dc:creator>
  <cp:lastModifiedBy>Jamila Devi Seerathun</cp:lastModifiedBy>
  <cp:revision>3</cp:revision>
  <cp:lastPrinted>2017-02-27T14:31:00Z</cp:lastPrinted>
  <dcterms:created xsi:type="dcterms:W3CDTF">2026-07-28T05:25:00Z</dcterms:created>
  <dcterms:modified xsi:type="dcterms:W3CDTF">2026-07-28T05:26:00Z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Examen des rapports soumis par les États parties en application de l’article 18 de la Convention sur l’élimination de toutes les formes de discrimination à l’égard des femmes</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du Togo</vt:lpwstr>
  </property>
  <property fmtid="{D5CDD505-2E9C-101B-9397-08002B2CF9AE}" pid="9" name="countw">
    <vt:lpwstr>Togo</vt:lpwstr>
  </property>
  <property fmtid="{D5CDD505-2E9C-101B-9397-08002B2CF9AE}" pid="10" name="countwd">
    <vt:lpwstr>le Togo</vt:lpwstr>
  </property>
  <property fmtid="{D5CDD505-2E9C-101B-9397-08002B2CF9AE}" pid="11" name="date">
    <vt:lpwstr>1ᵉʳ juillet 2026</vt:lpwstr>
  </property>
  <property fmtid="{D5CDD505-2E9C-101B-9397-08002B2CF9AE}" pid="12" name="Date-Generated">
    <vt:filetime>2026-04-23T15:36:21Z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 </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198600</vt:r8>
  </property>
  <property fmtid="{D5CDD505-2E9C-101B-9397-08002B2CF9AE}" pid="22" name="Org">
    <vt:lpwstr>OHCHR</vt:lpwstr>
  </property>
  <property fmtid="{D5CDD505-2E9C-101B-9397-08002B2CF9AE}" pid="23" name="prep">
    <vt:lpwstr>rapport du Togo valant huitième à dixième rapports périodiques</vt:lpwstr>
  </property>
  <property fmtid="{D5CDD505-2E9C-101B-9397-08002B2CF9AE}" pid="24" name="preps">
    <vt:lpwstr>rapport du Togo valant huitième à dixième rapports périodiques</vt:lpwstr>
  </property>
  <property fmtid="{D5CDD505-2E9C-101B-9397-08002B2CF9AE}" pid="25" name="prepw">
    <vt:lpwstr>rapport valant huitième à dixième rapports périodiques</vt:lpwstr>
  </property>
  <property fmtid="{D5CDD505-2E9C-101B-9397-08002B2CF9AE}" pid="26" name="prepwc">
    <vt:lpwstr>Rapport valant huitième à dixième rapports périodiques</vt:lpwstr>
  </property>
  <property fmtid="{D5CDD505-2E9C-101B-9397-08002B2CF9AE}" pid="27" name="prepws">
    <vt:lpwstr>rapport valant huitième à dixième rapports périodiques</vt:lpwstr>
  </property>
  <property fmtid="{D5CDD505-2E9C-101B-9397-08002B2CF9AE}" pid="28" name="sdate">
    <vt:lpwstr>5-30 octobre 2026</vt:lpwstr>
  </property>
  <property fmtid="{D5CDD505-2E9C-101B-9397-08002B2CF9AE}" pid="29" name="sloca">
    <vt:lpwstr>[Location]</vt:lpwstr>
  </property>
  <property fmtid="{D5CDD505-2E9C-101B-9397-08002B2CF9AE}" pid="30" name="snum">
    <vt:lpwstr>Quatre-vingt-treizième</vt:lpwstr>
  </property>
  <property fmtid="{D5CDD505-2E9C-101B-9397-08002B2CF9AE}" pid="31" name="stitle">
    <vt:lpwstr>[Title]</vt:lpwstr>
  </property>
  <property fmtid="{D5CDD505-2E9C-101B-9397-08002B2CF9AE}" pid="32" name="sym1">
    <vt:lpwstr>C/TGO/RQ/8-10</vt:lpwstr>
  </property>
  <property fmtid="{D5CDD505-2E9C-101B-9397-08002B2CF9AE}" pid="33" name="symh">
    <vt:lpwstr>CEDAW/C/TGO/RQ/8-10</vt:lpwstr>
  </property>
  <property fmtid="{D5CDD505-2E9C-101B-9397-08002B2CF9AE}" pid="34" name="Title">
    <vt:lpwstr>CEDAW/C/TGO/RQ/8-10</vt:lpwstr>
  </property>
  <property fmtid="{D5CDD505-2E9C-101B-9397-08002B2CF9AE}" pid="35" name="tlang">
    <vt:lpwstr/>
  </property>
  <property fmtid="{D5CDD505-2E9C-101B-9397-08002B2CF9AE}" pid="36" name="virs">
    <vt:lpwstr>Anglais, espagnol et français seulement</vt:lpwstr>
  </property>
</Properties>
</file>