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C88" w:rsidRPr="00C17C88" w:rsidRDefault="00C17C88" w:rsidP="00C17C88">
      <w:pPr>
        <w:widowControl w:val="0"/>
        <w:autoSpaceDE w:val="0"/>
        <w:autoSpaceDN w:val="0"/>
        <w:adjustRightInd w:val="0"/>
        <w:ind w:left="3200"/>
        <w:rPr>
          <w:rFonts w:ascii="Arial" w:hAnsi="Arial" w:cs="Arial"/>
          <w:b/>
          <w:sz w:val="28"/>
          <w:szCs w:val="28"/>
          <w:u w:val="single"/>
        </w:rPr>
      </w:pPr>
      <w:r w:rsidRPr="00C17C88">
        <w:rPr>
          <w:rFonts w:ascii="Arial" w:hAnsi="Arial" w:cs="Arial"/>
          <w:b/>
          <w:sz w:val="28"/>
          <w:szCs w:val="28"/>
          <w:u w:val="single"/>
        </w:rPr>
        <w:t>TABLE DES MATIERES</w:t>
      </w:r>
    </w:p>
    <w:p w:rsidR="00C17C88" w:rsidRDefault="00C17C88" w:rsidP="00C17C88">
      <w:pPr>
        <w:widowControl w:val="0"/>
        <w:autoSpaceDE w:val="0"/>
        <w:autoSpaceDN w:val="0"/>
        <w:adjustRightInd w:val="0"/>
        <w:rPr>
          <w:rFonts w:ascii="Arial" w:hAnsi="Arial" w:cs="Arial"/>
          <w:u w:val="single"/>
        </w:rPr>
      </w:pPr>
    </w:p>
    <w:p w:rsidR="00C17C88" w:rsidRDefault="00C17C88" w:rsidP="00C17C88">
      <w:pPr>
        <w:widowControl w:val="0"/>
        <w:autoSpaceDE w:val="0"/>
        <w:autoSpaceDN w:val="0"/>
        <w:adjustRightInd w:val="0"/>
        <w:rPr>
          <w:rFonts w:ascii="Arial" w:hAnsi="Arial" w:cs="Arial"/>
        </w:rPr>
      </w:pPr>
    </w:p>
    <w:p w:rsidR="00C17C88" w:rsidRPr="00E77E48" w:rsidRDefault="00C17C88" w:rsidP="00C17C88">
      <w:pPr>
        <w:widowControl w:val="0"/>
        <w:autoSpaceDE w:val="0"/>
        <w:autoSpaceDN w:val="0"/>
        <w:adjustRightInd w:val="0"/>
      </w:pPr>
      <w:r w:rsidRPr="008A3F46">
        <w:rPr>
          <w:rFonts w:ascii="Arial" w:hAnsi="Arial" w:cs="Arial"/>
        </w:rPr>
        <w:t>LISTE DES ACRONYMES</w:t>
      </w:r>
    </w:p>
    <w:p w:rsidR="00C17C88" w:rsidRPr="00B1147C" w:rsidRDefault="00C17C88" w:rsidP="00C17C88">
      <w:pPr>
        <w:widowControl w:val="0"/>
        <w:tabs>
          <w:tab w:val="left" w:pos="8920"/>
        </w:tabs>
        <w:autoSpaceDE w:val="0"/>
        <w:autoSpaceDN w:val="0"/>
        <w:adjustRightInd w:val="0"/>
        <w:spacing w:before="120"/>
        <w:rPr>
          <w:rFonts w:ascii="Arial" w:hAnsi="Arial" w:cs="Arial"/>
        </w:rPr>
      </w:pPr>
      <w:r w:rsidRPr="00B1147C">
        <w:rPr>
          <w:rFonts w:ascii="Arial" w:hAnsi="Arial" w:cs="Arial"/>
        </w:rPr>
        <w:t>INTRODUCTION</w:t>
      </w:r>
      <w:r w:rsidRPr="00B1147C">
        <w:rPr>
          <w:rFonts w:ascii="Arial" w:hAnsi="Arial" w:cs="Arial"/>
        </w:rPr>
        <w:tab/>
      </w:r>
    </w:p>
    <w:p w:rsidR="00C17C88" w:rsidRPr="008A3F46" w:rsidRDefault="00C17C88" w:rsidP="00C17C88">
      <w:pPr>
        <w:widowControl w:val="0"/>
        <w:autoSpaceDE w:val="0"/>
        <w:autoSpaceDN w:val="0"/>
        <w:adjustRightInd w:val="0"/>
        <w:spacing w:line="37" w:lineRule="exact"/>
        <w:rPr>
          <w:rFonts w:ascii="Arial" w:hAnsi="Arial" w:cs="Arial"/>
        </w:rPr>
      </w:pPr>
    </w:p>
    <w:p w:rsidR="00C17C88" w:rsidRPr="008A3F46" w:rsidRDefault="00C17C88" w:rsidP="00C17C88">
      <w:pPr>
        <w:widowControl w:val="0"/>
        <w:tabs>
          <w:tab w:val="left" w:pos="8920"/>
        </w:tabs>
        <w:autoSpaceDE w:val="0"/>
        <w:autoSpaceDN w:val="0"/>
        <w:adjustRightInd w:val="0"/>
        <w:spacing w:before="120"/>
        <w:rPr>
          <w:rFonts w:ascii="Arial" w:hAnsi="Arial" w:cs="Arial"/>
          <w:b/>
        </w:rPr>
      </w:pPr>
      <w:r w:rsidRPr="00E77E48">
        <w:rPr>
          <w:rFonts w:ascii="Arial" w:hAnsi="Arial" w:cs="Arial"/>
          <w:b/>
        </w:rPr>
        <w:t>PARTIE I : INFORMATIONS</w:t>
      </w:r>
      <w:r w:rsidRPr="008A3F46">
        <w:rPr>
          <w:rFonts w:ascii="Arial" w:hAnsi="Arial" w:cs="Arial"/>
          <w:b/>
        </w:rPr>
        <w:t xml:space="preserve"> GENERALES</w:t>
      </w:r>
    </w:p>
    <w:p w:rsidR="00C17C88" w:rsidRPr="008A3F46" w:rsidRDefault="00C17C88" w:rsidP="00C17C88">
      <w:pPr>
        <w:widowControl w:val="0"/>
        <w:autoSpaceDE w:val="0"/>
        <w:autoSpaceDN w:val="0"/>
        <w:adjustRightInd w:val="0"/>
        <w:spacing w:line="9" w:lineRule="exact"/>
        <w:rPr>
          <w:rFonts w:ascii="Arial" w:hAnsi="Arial" w:cs="Arial"/>
        </w:rPr>
      </w:pPr>
    </w:p>
    <w:p w:rsidR="00C17C88" w:rsidRPr="008A3F46" w:rsidRDefault="00C17C88" w:rsidP="00C17C88">
      <w:pPr>
        <w:widowControl w:val="0"/>
        <w:tabs>
          <w:tab w:val="left" w:pos="8920"/>
        </w:tabs>
        <w:autoSpaceDE w:val="0"/>
        <w:autoSpaceDN w:val="0"/>
        <w:adjustRightInd w:val="0"/>
        <w:ind w:left="240"/>
        <w:rPr>
          <w:rFonts w:ascii="Arial" w:hAnsi="Arial" w:cs="Arial"/>
        </w:rPr>
      </w:pPr>
      <w:r w:rsidRPr="008A3F46">
        <w:rPr>
          <w:rFonts w:ascii="Arial" w:hAnsi="Arial" w:cs="Arial"/>
          <w:sz w:val="22"/>
          <w:szCs w:val="22"/>
        </w:rPr>
        <w:t xml:space="preserve">A. </w:t>
      </w:r>
      <w:r>
        <w:rPr>
          <w:rFonts w:ascii="Arial" w:hAnsi="Arial" w:cs="Arial"/>
          <w:sz w:val="22"/>
          <w:szCs w:val="22"/>
        </w:rPr>
        <w:t>Définition de l’enfant selon le droit malagasy………………………………………………..7</w:t>
      </w:r>
    </w:p>
    <w:p w:rsidR="00C17C88" w:rsidRPr="008A3F46" w:rsidRDefault="00C17C88" w:rsidP="00C17C88">
      <w:pPr>
        <w:widowControl w:val="0"/>
        <w:autoSpaceDE w:val="0"/>
        <w:autoSpaceDN w:val="0"/>
        <w:adjustRightInd w:val="0"/>
        <w:spacing w:line="25" w:lineRule="exact"/>
        <w:rPr>
          <w:rFonts w:ascii="Arial" w:hAnsi="Arial" w:cs="Arial"/>
        </w:rPr>
      </w:pPr>
    </w:p>
    <w:p w:rsidR="00C17C88" w:rsidRPr="008A3F46" w:rsidRDefault="00C17C88" w:rsidP="00C17C88">
      <w:pPr>
        <w:widowControl w:val="0"/>
        <w:tabs>
          <w:tab w:val="left" w:pos="8920"/>
        </w:tabs>
        <w:autoSpaceDE w:val="0"/>
        <w:autoSpaceDN w:val="0"/>
        <w:adjustRightInd w:val="0"/>
        <w:ind w:left="240"/>
        <w:rPr>
          <w:rFonts w:ascii="Arial" w:hAnsi="Arial" w:cs="Arial"/>
        </w:rPr>
      </w:pPr>
      <w:r w:rsidRPr="008A3F46">
        <w:rPr>
          <w:rFonts w:ascii="Arial" w:hAnsi="Arial" w:cs="Arial"/>
          <w:sz w:val="22"/>
          <w:szCs w:val="22"/>
        </w:rPr>
        <w:t xml:space="preserve">B. </w:t>
      </w:r>
      <w:r>
        <w:rPr>
          <w:rFonts w:ascii="Arial" w:hAnsi="Arial" w:cs="Arial"/>
          <w:sz w:val="22"/>
          <w:szCs w:val="22"/>
        </w:rPr>
        <w:t>Place du Protocole dans l’ordonnancement juridique interne et son applicabilité devant les juridictions nationales………………………………………………………………………….7</w:t>
      </w:r>
    </w:p>
    <w:p w:rsidR="00C17C88" w:rsidRPr="008A3F46" w:rsidRDefault="00C17C88" w:rsidP="00C17C88">
      <w:pPr>
        <w:widowControl w:val="0"/>
        <w:autoSpaceDE w:val="0"/>
        <w:autoSpaceDN w:val="0"/>
        <w:adjustRightInd w:val="0"/>
        <w:spacing w:line="21" w:lineRule="exact"/>
        <w:rPr>
          <w:rFonts w:ascii="Arial" w:hAnsi="Arial" w:cs="Arial"/>
        </w:rPr>
      </w:pPr>
    </w:p>
    <w:p w:rsidR="00C17C88" w:rsidRPr="00B1147C" w:rsidRDefault="00C17C88" w:rsidP="00C17C88">
      <w:pPr>
        <w:widowControl w:val="0"/>
        <w:tabs>
          <w:tab w:val="left" w:pos="8920"/>
        </w:tabs>
        <w:autoSpaceDE w:val="0"/>
        <w:autoSpaceDN w:val="0"/>
        <w:adjustRightInd w:val="0"/>
        <w:ind w:left="240"/>
        <w:rPr>
          <w:rFonts w:ascii="Arial" w:hAnsi="Arial" w:cs="Arial"/>
          <w:sz w:val="22"/>
          <w:szCs w:val="22"/>
        </w:rPr>
      </w:pPr>
      <w:r w:rsidRPr="008A3F46">
        <w:rPr>
          <w:rFonts w:ascii="Arial" w:hAnsi="Arial" w:cs="Arial"/>
          <w:sz w:val="22"/>
          <w:szCs w:val="22"/>
        </w:rPr>
        <w:t>C.</w:t>
      </w:r>
      <w:r>
        <w:rPr>
          <w:rFonts w:ascii="Arial" w:hAnsi="Arial" w:cs="Arial"/>
        </w:rPr>
        <w:t xml:space="preserve"> </w:t>
      </w:r>
      <w:r w:rsidRPr="008A3F46">
        <w:rPr>
          <w:rFonts w:ascii="Arial" w:hAnsi="Arial" w:cs="Arial"/>
          <w:sz w:val="22"/>
          <w:szCs w:val="22"/>
        </w:rPr>
        <w:t>Mise en œuvre du Protocole………………………………………………</w:t>
      </w:r>
      <w:r>
        <w:rPr>
          <w:rFonts w:ascii="Arial" w:hAnsi="Arial" w:cs="Arial"/>
          <w:sz w:val="22"/>
          <w:szCs w:val="22"/>
        </w:rPr>
        <w:t>…</w:t>
      </w:r>
      <w:r>
        <w:rPr>
          <w:rFonts w:ascii="Arial" w:hAnsi="Arial" w:cs="Arial"/>
          <w:sz w:val="21"/>
          <w:szCs w:val="21"/>
        </w:rPr>
        <w:t>………………...</w:t>
      </w:r>
      <w:r w:rsidRPr="00B1147C">
        <w:rPr>
          <w:rFonts w:ascii="Arial" w:hAnsi="Arial" w:cs="Arial"/>
          <w:sz w:val="22"/>
          <w:szCs w:val="22"/>
        </w:rPr>
        <w:t>8</w:t>
      </w:r>
    </w:p>
    <w:p w:rsidR="00C17C88" w:rsidRPr="00B1147C" w:rsidRDefault="00C17C88" w:rsidP="00C17C88">
      <w:pPr>
        <w:widowControl w:val="0"/>
        <w:tabs>
          <w:tab w:val="left" w:pos="8920"/>
        </w:tabs>
        <w:autoSpaceDE w:val="0"/>
        <w:autoSpaceDN w:val="0"/>
        <w:adjustRightInd w:val="0"/>
        <w:spacing w:before="120"/>
        <w:rPr>
          <w:rFonts w:ascii="Arial" w:hAnsi="Arial" w:cs="Arial"/>
        </w:rPr>
      </w:pPr>
      <w:r w:rsidRPr="00E77E48">
        <w:rPr>
          <w:rFonts w:ascii="Arial" w:hAnsi="Arial" w:cs="Arial"/>
          <w:b/>
        </w:rPr>
        <w:t>PARTIE II : APPLICATION DU PROTOCOLE</w:t>
      </w:r>
      <w:r w:rsidRPr="00E77E48">
        <w:rPr>
          <w:rFonts w:ascii="Arial" w:hAnsi="Arial" w:cs="Arial"/>
        </w:rPr>
        <w:tab/>
      </w:r>
    </w:p>
    <w:p w:rsidR="00C17C88" w:rsidRPr="008A3F46" w:rsidRDefault="00C17C88" w:rsidP="00C17C88">
      <w:pPr>
        <w:widowControl w:val="0"/>
        <w:autoSpaceDE w:val="0"/>
        <w:autoSpaceDN w:val="0"/>
        <w:adjustRightInd w:val="0"/>
        <w:spacing w:line="14" w:lineRule="exact"/>
        <w:rPr>
          <w:rFonts w:ascii="Arial" w:hAnsi="Arial" w:cs="Arial"/>
        </w:rPr>
      </w:pPr>
    </w:p>
    <w:p w:rsidR="00C17C88" w:rsidRPr="008A3F46" w:rsidRDefault="00C17C88" w:rsidP="00C17C88">
      <w:pPr>
        <w:widowControl w:val="0"/>
        <w:tabs>
          <w:tab w:val="left" w:pos="8920"/>
        </w:tabs>
        <w:autoSpaceDE w:val="0"/>
        <w:autoSpaceDN w:val="0"/>
        <w:adjustRightInd w:val="0"/>
        <w:spacing w:before="120"/>
        <w:ind w:left="238"/>
        <w:rPr>
          <w:rFonts w:ascii="Arial" w:hAnsi="Arial" w:cs="Arial"/>
        </w:rPr>
      </w:pPr>
      <w:r w:rsidRPr="008A3F46">
        <w:rPr>
          <w:rFonts w:ascii="Arial" w:hAnsi="Arial" w:cs="Arial"/>
          <w:sz w:val="22"/>
          <w:szCs w:val="22"/>
        </w:rPr>
        <w:t xml:space="preserve">A. </w:t>
      </w:r>
      <w:r>
        <w:rPr>
          <w:rFonts w:ascii="Arial" w:hAnsi="Arial" w:cs="Arial"/>
          <w:sz w:val="22"/>
          <w:szCs w:val="22"/>
        </w:rPr>
        <w:t>Interdiction de la vente d’enfants, de la prostitution des enfants et de la pornographie mettant en scène des enfants (article 3 du Protocole)…………………………………………9</w:t>
      </w:r>
    </w:p>
    <w:p w:rsidR="00C17C88" w:rsidRPr="008A3F46" w:rsidRDefault="00C17C88" w:rsidP="00C17C88">
      <w:pPr>
        <w:widowControl w:val="0"/>
        <w:autoSpaceDE w:val="0"/>
        <w:autoSpaceDN w:val="0"/>
        <w:adjustRightInd w:val="0"/>
        <w:spacing w:line="21" w:lineRule="exact"/>
        <w:rPr>
          <w:rFonts w:ascii="Arial" w:hAnsi="Arial" w:cs="Arial"/>
        </w:rPr>
      </w:pPr>
    </w:p>
    <w:p w:rsidR="00C17C88" w:rsidRPr="008A3F46" w:rsidRDefault="00C17C88" w:rsidP="00C17C88">
      <w:pPr>
        <w:widowControl w:val="0"/>
        <w:tabs>
          <w:tab w:val="left" w:pos="8920"/>
        </w:tabs>
        <w:autoSpaceDE w:val="0"/>
        <w:autoSpaceDN w:val="0"/>
        <w:adjustRightInd w:val="0"/>
        <w:ind w:left="480"/>
        <w:rPr>
          <w:rFonts w:ascii="Arial" w:hAnsi="Arial" w:cs="Arial"/>
        </w:rPr>
      </w:pPr>
      <w:r w:rsidRPr="008A3F46">
        <w:rPr>
          <w:rFonts w:ascii="Arial" w:hAnsi="Arial" w:cs="Arial"/>
          <w:sz w:val="21"/>
          <w:szCs w:val="21"/>
        </w:rPr>
        <w:t xml:space="preserve">1. </w:t>
      </w:r>
      <w:r w:rsidRPr="00B1147C">
        <w:rPr>
          <w:rFonts w:ascii="Arial" w:hAnsi="Arial" w:cs="Arial"/>
          <w:sz w:val="22"/>
          <w:szCs w:val="22"/>
        </w:rPr>
        <w:t>Généralités</w:t>
      </w:r>
      <w:r>
        <w:rPr>
          <w:rFonts w:ascii="Arial" w:hAnsi="Arial" w:cs="Arial"/>
          <w:sz w:val="22"/>
          <w:szCs w:val="22"/>
        </w:rPr>
        <w:t>…………………………………………………………………………………….9</w:t>
      </w:r>
    </w:p>
    <w:p w:rsidR="00C17C88" w:rsidRPr="008A3F46" w:rsidRDefault="00C17C88" w:rsidP="00C17C88">
      <w:pPr>
        <w:widowControl w:val="0"/>
        <w:autoSpaceDE w:val="0"/>
        <w:autoSpaceDN w:val="0"/>
        <w:adjustRightInd w:val="0"/>
        <w:spacing w:line="37" w:lineRule="exact"/>
        <w:rPr>
          <w:rFonts w:ascii="Arial" w:hAnsi="Arial" w:cs="Arial"/>
        </w:rPr>
      </w:pPr>
    </w:p>
    <w:p w:rsidR="00C17C88" w:rsidRDefault="00C17C88" w:rsidP="00C17C88">
      <w:pPr>
        <w:widowControl w:val="0"/>
        <w:tabs>
          <w:tab w:val="left" w:pos="8920"/>
        </w:tabs>
        <w:autoSpaceDE w:val="0"/>
        <w:autoSpaceDN w:val="0"/>
        <w:adjustRightInd w:val="0"/>
        <w:ind w:left="480"/>
        <w:rPr>
          <w:rFonts w:ascii="Arial" w:hAnsi="Arial" w:cs="Arial"/>
          <w:sz w:val="22"/>
          <w:szCs w:val="22"/>
        </w:rPr>
      </w:pPr>
      <w:r>
        <w:rPr>
          <w:rFonts w:ascii="Arial" w:hAnsi="Arial" w:cs="Arial"/>
          <w:sz w:val="22"/>
          <w:szCs w:val="22"/>
        </w:rPr>
        <w:t>2. Incrimination et répression…………………………………………………………………10</w:t>
      </w:r>
    </w:p>
    <w:p w:rsidR="00C17C88" w:rsidRDefault="00C17C88" w:rsidP="00C17C88">
      <w:pPr>
        <w:widowControl w:val="0"/>
        <w:tabs>
          <w:tab w:val="left" w:pos="8920"/>
        </w:tabs>
        <w:autoSpaceDE w:val="0"/>
        <w:autoSpaceDN w:val="0"/>
        <w:adjustRightInd w:val="0"/>
        <w:ind w:left="709"/>
        <w:rPr>
          <w:rFonts w:ascii="Arial" w:hAnsi="Arial" w:cs="Arial"/>
          <w:sz w:val="22"/>
          <w:szCs w:val="22"/>
        </w:rPr>
      </w:pPr>
      <w:r>
        <w:rPr>
          <w:rFonts w:ascii="Arial" w:hAnsi="Arial" w:cs="Arial"/>
          <w:sz w:val="22"/>
          <w:szCs w:val="22"/>
        </w:rPr>
        <w:t>a) Incrimination et répression de la vente d’enfants………………………………….....10</w:t>
      </w:r>
    </w:p>
    <w:p w:rsidR="00C17C88" w:rsidRDefault="00C17C88" w:rsidP="00C17C88">
      <w:pPr>
        <w:widowControl w:val="0"/>
        <w:tabs>
          <w:tab w:val="left" w:pos="8920"/>
        </w:tabs>
        <w:autoSpaceDE w:val="0"/>
        <w:autoSpaceDN w:val="0"/>
        <w:adjustRightInd w:val="0"/>
        <w:ind w:left="709"/>
        <w:rPr>
          <w:rFonts w:ascii="Arial" w:hAnsi="Arial" w:cs="Arial"/>
          <w:sz w:val="22"/>
          <w:szCs w:val="22"/>
        </w:rPr>
      </w:pPr>
      <w:r>
        <w:rPr>
          <w:rFonts w:ascii="Arial" w:hAnsi="Arial" w:cs="Arial"/>
          <w:sz w:val="22"/>
          <w:szCs w:val="22"/>
        </w:rPr>
        <w:t>b) Incrimination et répression de l’adoption illégale (article 3 alinéa 1</w:t>
      </w:r>
      <w:r w:rsidRPr="008A3F46">
        <w:rPr>
          <w:rFonts w:ascii="Arial" w:hAnsi="Arial" w:cs="Arial"/>
          <w:sz w:val="22"/>
          <w:szCs w:val="22"/>
          <w:vertAlign w:val="superscript"/>
        </w:rPr>
        <w:t>er</w:t>
      </w:r>
      <w:r>
        <w:rPr>
          <w:rFonts w:ascii="Arial" w:hAnsi="Arial" w:cs="Arial"/>
          <w:sz w:val="22"/>
          <w:szCs w:val="22"/>
        </w:rPr>
        <w:t xml:space="preserve"> du Protocole)…………………………………………………………………………………….11</w:t>
      </w:r>
    </w:p>
    <w:p w:rsidR="00C17C88" w:rsidRDefault="00C17C88" w:rsidP="00C17C88">
      <w:pPr>
        <w:widowControl w:val="0"/>
        <w:tabs>
          <w:tab w:val="left" w:pos="8920"/>
        </w:tabs>
        <w:autoSpaceDE w:val="0"/>
        <w:autoSpaceDN w:val="0"/>
        <w:adjustRightInd w:val="0"/>
        <w:ind w:left="709"/>
        <w:rPr>
          <w:rFonts w:ascii="Arial" w:hAnsi="Arial" w:cs="Arial"/>
          <w:sz w:val="22"/>
          <w:szCs w:val="22"/>
        </w:rPr>
      </w:pPr>
      <w:r>
        <w:rPr>
          <w:rFonts w:ascii="Arial" w:hAnsi="Arial" w:cs="Arial"/>
          <w:sz w:val="22"/>
          <w:szCs w:val="22"/>
        </w:rPr>
        <w:t>c) Incrimination et répression de la prostitution d’enfants………………………………12</w:t>
      </w:r>
    </w:p>
    <w:p w:rsidR="00C17C88" w:rsidRPr="008A3F46" w:rsidRDefault="00C17C88" w:rsidP="00C17C88">
      <w:pPr>
        <w:widowControl w:val="0"/>
        <w:tabs>
          <w:tab w:val="left" w:pos="8920"/>
        </w:tabs>
        <w:autoSpaceDE w:val="0"/>
        <w:autoSpaceDN w:val="0"/>
        <w:adjustRightInd w:val="0"/>
        <w:ind w:left="709"/>
        <w:rPr>
          <w:rFonts w:ascii="Arial" w:hAnsi="Arial" w:cs="Arial"/>
        </w:rPr>
      </w:pPr>
      <w:r>
        <w:rPr>
          <w:rFonts w:ascii="Arial" w:hAnsi="Arial" w:cs="Arial"/>
          <w:sz w:val="22"/>
          <w:szCs w:val="22"/>
        </w:rPr>
        <w:t>d) Incrimination et répression de la pornographie mettant en scène des enfants………………………………………………………………………………………..13</w:t>
      </w:r>
    </w:p>
    <w:p w:rsidR="00C17C88" w:rsidRPr="008A3F46" w:rsidRDefault="00C17C88" w:rsidP="00C17C88">
      <w:pPr>
        <w:widowControl w:val="0"/>
        <w:autoSpaceDE w:val="0"/>
        <w:autoSpaceDN w:val="0"/>
        <w:adjustRightInd w:val="0"/>
        <w:spacing w:line="21" w:lineRule="exact"/>
        <w:rPr>
          <w:rFonts w:ascii="Arial" w:hAnsi="Arial" w:cs="Arial"/>
        </w:rPr>
      </w:pPr>
    </w:p>
    <w:p w:rsidR="00C17C88" w:rsidRPr="008A3F46" w:rsidRDefault="00C17C88" w:rsidP="00C17C88">
      <w:pPr>
        <w:widowControl w:val="0"/>
        <w:tabs>
          <w:tab w:val="left" w:pos="8920"/>
        </w:tabs>
        <w:autoSpaceDE w:val="0"/>
        <w:autoSpaceDN w:val="0"/>
        <w:adjustRightInd w:val="0"/>
        <w:ind w:left="480"/>
        <w:rPr>
          <w:rFonts w:ascii="Arial" w:hAnsi="Arial" w:cs="Arial"/>
        </w:rPr>
      </w:pPr>
      <w:r w:rsidRPr="008A3F46">
        <w:rPr>
          <w:rFonts w:ascii="Arial" w:hAnsi="Arial" w:cs="Arial"/>
          <w:sz w:val="22"/>
          <w:szCs w:val="22"/>
        </w:rPr>
        <w:t xml:space="preserve">3. </w:t>
      </w:r>
      <w:r>
        <w:rPr>
          <w:rFonts w:ascii="Arial" w:hAnsi="Arial" w:cs="Arial"/>
          <w:sz w:val="22"/>
          <w:szCs w:val="22"/>
        </w:rPr>
        <w:t>Responsabilité pénale des personnes morales………………………………………….14</w:t>
      </w:r>
    </w:p>
    <w:p w:rsidR="00C17C88" w:rsidRPr="008A3F46" w:rsidRDefault="00C17C88" w:rsidP="00C17C88">
      <w:pPr>
        <w:widowControl w:val="0"/>
        <w:autoSpaceDE w:val="0"/>
        <w:autoSpaceDN w:val="0"/>
        <w:adjustRightInd w:val="0"/>
        <w:spacing w:line="37" w:lineRule="exact"/>
        <w:rPr>
          <w:rFonts w:ascii="Arial" w:hAnsi="Arial" w:cs="Arial"/>
        </w:rPr>
      </w:pPr>
    </w:p>
    <w:p w:rsidR="00C17C88" w:rsidRDefault="00C17C88" w:rsidP="00C17C88">
      <w:pPr>
        <w:widowControl w:val="0"/>
        <w:tabs>
          <w:tab w:val="left" w:pos="8920"/>
        </w:tabs>
        <w:autoSpaceDE w:val="0"/>
        <w:autoSpaceDN w:val="0"/>
        <w:adjustRightInd w:val="0"/>
        <w:ind w:left="480"/>
        <w:rPr>
          <w:rFonts w:ascii="Arial" w:hAnsi="Arial" w:cs="Arial"/>
          <w:sz w:val="22"/>
          <w:szCs w:val="22"/>
        </w:rPr>
      </w:pPr>
      <w:r w:rsidRPr="008A3F46">
        <w:rPr>
          <w:rFonts w:ascii="Arial" w:hAnsi="Arial" w:cs="Arial"/>
          <w:sz w:val="22"/>
          <w:szCs w:val="22"/>
        </w:rPr>
        <w:t xml:space="preserve">4. </w:t>
      </w:r>
      <w:r>
        <w:rPr>
          <w:rFonts w:ascii="Arial" w:hAnsi="Arial" w:cs="Arial"/>
          <w:sz w:val="22"/>
          <w:szCs w:val="22"/>
        </w:rPr>
        <w:t>Tentative et complicité……………………………………………………………………...15</w:t>
      </w:r>
    </w:p>
    <w:p w:rsidR="00C17C88" w:rsidRPr="008A3F46" w:rsidRDefault="00C17C88" w:rsidP="00C17C88">
      <w:pPr>
        <w:widowControl w:val="0"/>
        <w:tabs>
          <w:tab w:val="left" w:pos="8920"/>
        </w:tabs>
        <w:autoSpaceDE w:val="0"/>
        <w:autoSpaceDN w:val="0"/>
        <w:adjustRightInd w:val="0"/>
        <w:ind w:left="480"/>
        <w:rPr>
          <w:rFonts w:ascii="Arial" w:hAnsi="Arial" w:cs="Arial"/>
        </w:rPr>
      </w:pPr>
      <w:r>
        <w:rPr>
          <w:rFonts w:ascii="Arial" w:hAnsi="Arial" w:cs="Arial"/>
          <w:sz w:val="22"/>
          <w:szCs w:val="22"/>
        </w:rPr>
        <w:t>5. Remarques concernant les exigences minimales à l’égard de la législation nationale………………………………………………………………………………………...16</w:t>
      </w:r>
    </w:p>
    <w:p w:rsidR="00C17C88" w:rsidRPr="008A3F46" w:rsidRDefault="00C17C88" w:rsidP="00C17C88">
      <w:pPr>
        <w:widowControl w:val="0"/>
        <w:autoSpaceDE w:val="0"/>
        <w:autoSpaceDN w:val="0"/>
        <w:adjustRightInd w:val="0"/>
        <w:spacing w:line="32" w:lineRule="exact"/>
        <w:rPr>
          <w:rFonts w:ascii="Arial" w:hAnsi="Arial" w:cs="Arial"/>
        </w:rPr>
      </w:pPr>
    </w:p>
    <w:p w:rsidR="00C17C88" w:rsidRPr="008A3F46" w:rsidRDefault="00C17C88" w:rsidP="00C17C88">
      <w:pPr>
        <w:widowControl w:val="0"/>
        <w:tabs>
          <w:tab w:val="left" w:pos="8920"/>
        </w:tabs>
        <w:autoSpaceDE w:val="0"/>
        <w:autoSpaceDN w:val="0"/>
        <w:adjustRightInd w:val="0"/>
        <w:spacing w:before="120"/>
        <w:ind w:left="238"/>
        <w:rPr>
          <w:rFonts w:ascii="Arial" w:hAnsi="Arial" w:cs="Arial"/>
        </w:rPr>
      </w:pPr>
      <w:r>
        <w:rPr>
          <w:rFonts w:ascii="Arial" w:hAnsi="Arial" w:cs="Arial"/>
          <w:sz w:val="22"/>
          <w:szCs w:val="22"/>
        </w:rPr>
        <w:t>B. Procédure pénale (Articles 4 à 7)……………………………………………………………16</w:t>
      </w:r>
    </w:p>
    <w:p w:rsidR="00C17C88" w:rsidRPr="008A3F46" w:rsidRDefault="00C17C88" w:rsidP="00C17C88">
      <w:pPr>
        <w:widowControl w:val="0"/>
        <w:autoSpaceDE w:val="0"/>
        <w:autoSpaceDN w:val="0"/>
        <w:adjustRightInd w:val="0"/>
        <w:spacing w:line="37" w:lineRule="exact"/>
        <w:rPr>
          <w:rFonts w:ascii="Arial" w:hAnsi="Arial" w:cs="Arial"/>
        </w:rPr>
      </w:pPr>
    </w:p>
    <w:p w:rsidR="00C17C88" w:rsidRPr="008A3F46" w:rsidRDefault="00C17C88" w:rsidP="00C17C88">
      <w:pPr>
        <w:widowControl w:val="0"/>
        <w:tabs>
          <w:tab w:val="left" w:pos="8920"/>
        </w:tabs>
        <w:autoSpaceDE w:val="0"/>
        <w:autoSpaceDN w:val="0"/>
        <w:adjustRightInd w:val="0"/>
        <w:ind w:left="480"/>
        <w:rPr>
          <w:rFonts w:ascii="Arial" w:hAnsi="Arial" w:cs="Arial"/>
        </w:rPr>
      </w:pPr>
      <w:r w:rsidRPr="008A3F46">
        <w:rPr>
          <w:rFonts w:ascii="Arial" w:hAnsi="Arial" w:cs="Arial"/>
          <w:sz w:val="22"/>
          <w:szCs w:val="22"/>
        </w:rPr>
        <w:t xml:space="preserve">1. </w:t>
      </w:r>
      <w:r>
        <w:rPr>
          <w:rFonts w:ascii="Arial" w:hAnsi="Arial" w:cs="Arial"/>
          <w:sz w:val="22"/>
          <w:szCs w:val="22"/>
        </w:rPr>
        <w:t>Compétence…………………………………………………………………………………</w:t>
      </w:r>
      <w:r w:rsidRPr="004C6DA2">
        <w:rPr>
          <w:rFonts w:ascii="Arial" w:hAnsi="Arial" w:cs="Arial"/>
          <w:sz w:val="22"/>
          <w:szCs w:val="22"/>
        </w:rPr>
        <w:t>1</w:t>
      </w:r>
      <w:r>
        <w:rPr>
          <w:rFonts w:ascii="Arial" w:hAnsi="Arial" w:cs="Arial"/>
          <w:sz w:val="22"/>
          <w:szCs w:val="22"/>
        </w:rPr>
        <w:t>6</w:t>
      </w:r>
    </w:p>
    <w:p w:rsidR="00C17C88" w:rsidRPr="008A3F46" w:rsidRDefault="00C17C88" w:rsidP="00C17C88">
      <w:pPr>
        <w:widowControl w:val="0"/>
        <w:autoSpaceDE w:val="0"/>
        <w:autoSpaceDN w:val="0"/>
        <w:adjustRightInd w:val="0"/>
        <w:spacing w:line="21" w:lineRule="exact"/>
        <w:rPr>
          <w:rFonts w:ascii="Arial" w:hAnsi="Arial" w:cs="Arial"/>
        </w:rPr>
      </w:pPr>
    </w:p>
    <w:p w:rsidR="00C17C88" w:rsidRPr="004C6DA2" w:rsidRDefault="00C17C88" w:rsidP="00C17C88">
      <w:pPr>
        <w:widowControl w:val="0"/>
        <w:tabs>
          <w:tab w:val="left" w:pos="8920"/>
        </w:tabs>
        <w:autoSpaceDE w:val="0"/>
        <w:autoSpaceDN w:val="0"/>
        <w:adjustRightInd w:val="0"/>
        <w:ind w:left="480"/>
        <w:rPr>
          <w:rFonts w:ascii="Arial" w:hAnsi="Arial" w:cs="Arial"/>
          <w:sz w:val="22"/>
          <w:szCs w:val="22"/>
        </w:rPr>
      </w:pPr>
      <w:r w:rsidRPr="004C6DA2">
        <w:rPr>
          <w:rFonts w:ascii="Arial" w:hAnsi="Arial" w:cs="Arial"/>
          <w:sz w:val="22"/>
          <w:szCs w:val="22"/>
        </w:rPr>
        <w:t xml:space="preserve">2. </w:t>
      </w:r>
      <w:r>
        <w:rPr>
          <w:rFonts w:ascii="Arial" w:hAnsi="Arial" w:cs="Arial"/>
          <w:sz w:val="22"/>
          <w:szCs w:val="22"/>
        </w:rPr>
        <w:t>Extradition et entraide judiciaire…………………………………………………………...17</w:t>
      </w:r>
    </w:p>
    <w:p w:rsidR="00C17C88" w:rsidRPr="004C6DA2" w:rsidRDefault="00C17C88" w:rsidP="00C17C88">
      <w:pPr>
        <w:widowControl w:val="0"/>
        <w:autoSpaceDE w:val="0"/>
        <w:autoSpaceDN w:val="0"/>
        <w:adjustRightInd w:val="0"/>
        <w:spacing w:line="37" w:lineRule="exact"/>
        <w:rPr>
          <w:rFonts w:ascii="Arial" w:hAnsi="Arial" w:cs="Arial"/>
          <w:sz w:val="22"/>
          <w:szCs w:val="22"/>
        </w:rPr>
      </w:pPr>
    </w:p>
    <w:p w:rsidR="00C17C88" w:rsidRPr="004C6DA2" w:rsidRDefault="00C17C88" w:rsidP="00C17C88">
      <w:pPr>
        <w:widowControl w:val="0"/>
        <w:tabs>
          <w:tab w:val="left" w:pos="8920"/>
        </w:tabs>
        <w:autoSpaceDE w:val="0"/>
        <w:autoSpaceDN w:val="0"/>
        <w:adjustRightInd w:val="0"/>
        <w:ind w:left="480"/>
        <w:rPr>
          <w:rFonts w:ascii="Arial" w:hAnsi="Arial" w:cs="Arial"/>
          <w:sz w:val="22"/>
          <w:szCs w:val="22"/>
        </w:rPr>
      </w:pPr>
      <w:r w:rsidRPr="004C6DA2">
        <w:rPr>
          <w:rFonts w:ascii="Arial" w:hAnsi="Arial" w:cs="Arial"/>
          <w:sz w:val="22"/>
          <w:szCs w:val="22"/>
        </w:rPr>
        <w:t xml:space="preserve">3. </w:t>
      </w:r>
      <w:r>
        <w:rPr>
          <w:rFonts w:ascii="Arial" w:hAnsi="Arial" w:cs="Arial"/>
          <w:sz w:val="22"/>
          <w:szCs w:val="22"/>
        </w:rPr>
        <w:t>Saisie, confiscation et fermeture de locaux………………………………………………17</w:t>
      </w:r>
    </w:p>
    <w:p w:rsidR="00C17C88" w:rsidRPr="004C6DA2" w:rsidRDefault="00C17C88" w:rsidP="00C17C88">
      <w:pPr>
        <w:widowControl w:val="0"/>
        <w:autoSpaceDE w:val="0"/>
        <w:autoSpaceDN w:val="0"/>
        <w:adjustRightInd w:val="0"/>
        <w:spacing w:line="32" w:lineRule="exact"/>
        <w:rPr>
          <w:rFonts w:ascii="Arial" w:hAnsi="Arial" w:cs="Arial"/>
          <w:sz w:val="22"/>
          <w:szCs w:val="22"/>
        </w:rPr>
      </w:pPr>
    </w:p>
    <w:p w:rsidR="00C17C88" w:rsidRPr="008A3F46" w:rsidRDefault="00C17C88" w:rsidP="00C17C88">
      <w:pPr>
        <w:widowControl w:val="0"/>
        <w:tabs>
          <w:tab w:val="left" w:pos="8920"/>
        </w:tabs>
        <w:autoSpaceDE w:val="0"/>
        <w:autoSpaceDN w:val="0"/>
        <w:adjustRightInd w:val="0"/>
        <w:ind w:left="480"/>
        <w:rPr>
          <w:rFonts w:ascii="Arial" w:hAnsi="Arial" w:cs="Arial"/>
        </w:rPr>
      </w:pPr>
      <w:r w:rsidRPr="004C6DA2">
        <w:rPr>
          <w:rFonts w:ascii="Arial" w:hAnsi="Arial" w:cs="Arial"/>
          <w:sz w:val="22"/>
          <w:szCs w:val="22"/>
        </w:rPr>
        <w:t xml:space="preserve">4. </w:t>
      </w:r>
      <w:r>
        <w:rPr>
          <w:rFonts w:ascii="Arial" w:hAnsi="Arial" w:cs="Arial"/>
          <w:sz w:val="22"/>
          <w:szCs w:val="22"/>
        </w:rPr>
        <w:t>Poursuite pénale…………………………………………………………………………….18</w:t>
      </w:r>
    </w:p>
    <w:p w:rsidR="00C17C88" w:rsidRPr="008A3F46" w:rsidRDefault="00C17C88" w:rsidP="00C17C88">
      <w:pPr>
        <w:widowControl w:val="0"/>
        <w:autoSpaceDE w:val="0"/>
        <w:autoSpaceDN w:val="0"/>
        <w:adjustRightInd w:val="0"/>
        <w:spacing w:line="21" w:lineRule="exact"/>
        <w:rPr>
          <w:rFonts w:ascii="Arial" w:hAnsi="Arial" w:cs="Arial"/>
        </w:rPr>
      </w:pPr>
    </w:p>
    <w:p w:rsidR="00C17C88" w:rsidRPr="004C6DA2" w:rsidRDefault="00C17C88" w:rsidP="00C17C88">
      <w:pPr>
        <w:widowControl w:val="0"/>
        <w:tabs>
          <w:tab w:val="left" w:pos="8920"/>
        </w:tabs>
        <w:autoSpaceDE w:val="0"/>
        <w:autoSpaceDN w:val="0"/>
        <w:adjustRightInd w:val="0"/>
        <w:spacing w:before="120"/>
        <w:ind w:left="238"/>
        <w:rPr>
          <w:rFonts w:ascii="Arial" w:hAnsi="Arial" w:cs="Arial"/>
          <w:sz w:val="22"/>
          <w:szCs w:val="22"/>
        </w:rPr>
      </w:pPr>
      <w:r w:rsidRPr="008A3F46">
        <w:rPr>
          <w:rFonts w:ascii="Arial" w:hAnsi="Arial" w:cs="Arial"/>
          <w:sz w:val="21"/>
          <w:szCs w:val="21"/>
        </w:rPr>
        <w:t xml:space="preserve">C. </w:t>
      </w:r>
      <w:r>
        <w:rPr>
          <w:rFonts w:ascii="Arial" w:hAnsi="Arial" w:cs="Arial"/>
          <w:sz w:val="22"/>
          <w:szCs w:val="22"/>
        </w:rPr>
        <w:t>Protection des droits des enfants victimes………………………………………………….19</w:t>
      </w:r>
    </w:p>
    <w:p w:rsidR="00C17C88" w:rsidRPr="004C6DA2" w:rsidRDefault="00C17C88" w:rsidP="00C17C88">
      <w:pPr>
        <w:widowControl w:val="0"/>
        <w:autoSpaceDE w:val="0"/>
        <w:autoSpaceDN w:val="0"/>
        <w:adjustRightInd w:val="0"/>
        <w:spacing w:line="37" w:lineRule="exact"/>
        <w:rPr>
          <w:rFonts w:ascii="Arial" w:hAnsi="Arial" w:cs="Arial"/>
          <w:sz w:val="22"/>
          <w:szCs w:val="22"/>
        </w:rPr>
      </w:pPr>
    </w:p>
    <w:p w:rsidR="00C17C88" w:rsidRDefault="00C17C88" w:rsidP="00C17C88">
      <w:pPr>
        <w:widowControl w:val="0"/>
        <w:tabs>
          <w:tab w:val="left" w:pos="8800"/>
        </w:tabs>
        <w:autoSpaceDE w:val="0"/>
        <w:autoSpaceDN w:val="0"/>
        <w:adjustRightInd w:val="0"/>
        <w:ind w:left="480"/>
        <w:rPr>
          <w:rFonts w:ascii="Arial" w:hAnsi="Arial" w:cs="Arial"/>
          <w:sz w:val="22"/>
          <w:szCs w:val="22"/>
        </w:rPr>
      </w:pPr>
      <w:r w:rsidRPr="004C6DA2">
        <w:rPr>
          <w:rFonts w:ascii="Arial" w:hAnsi="Arial" w:cs="Arial"/>
          <w:sz w:val="22"/>
          <w:szCs w:val="22"/>
        </w:rPr>
        <w:t xml:space="preserve">1. </w:t>
      </w:r>
      <w:r>
        <w:rPr>
          <w:rFonts w:ascii="Arial" w:hAnsi="Arial" w:cs="Arial"/>
          <w:sz w:val="22"/>
          <w:szCs w:val="22"/>
        </w:rPr>
        <w:t>Protection des victimes durant la procédure pénale…………………………………….19</w:t>
      </w:r>
    </w:p>
    <w:p w:rsidR="00C17C88" w:rsidRDefault="00C17C88" w:rsidP="00C17C88">
      <w:pPr>
        <w:widowControl w:val="0"/>
        <w:tabs>
          <w:tab w:val="left" w:pos="8800"/>
        </w:tabs>
        <w:autoSpaceDE w:val="0"/>
        <w:autoSpaceDN w:val="0"/>
        <w:adjustRightInd w:val="0"/>
        <w:ind w:left="709"/>
        <w:rPr>
          <w:rFonts w:ascii="Arial" w:hAnsi="Arial" w:cs="Arial"/>
          <w:sz w:val="22"/>
          <w:szCs w:val="22"/>
        </w:rPr>
      </w:pPr>
      <w:r>
        <w:rPr>
          <w:rFonts w:ascii="Arial" w:hAnsi="Arial" w:cs="Arial"/>
          <w:sz w:val="22"/>
          <w:szCs w:val="22"/>
        </w:rPr>
        <w:t>a) Procédure de signalement………………………………………………………………19</w:t>
      </w:r>
    </w:p>
    <w:p w:rsidR="00C17C88" w:rsidRDefault="00C17C88" w:rsidP="00C17C88">
      <w:pPr>
        <w:widowControl w:val="0"/>
        <w:tabs>
          <w:tab w:val="left" w:pos="8931"/>
        </w:tabs>
        <w:autoSpaceDE w:val="0"/>
        <w:autoSpaceDN w:val="0"/>
        <w:adjustRightInd w:val="0"/>
        <w:ind w:left="709"/>
        <w:rPr>
          <w:rFonts w:ascii="Arial" w:hAnsi="Arial" w:cs="Arial"/>
          <w:sz w:val="22"/>
          <w:szCs w:val="22"/>
        </w:rPr>
      </w:pPr>
      <w:r>
        <w:rPr>
          <w:rFonts w:ascii="Arial" w:hAnsi="Arial" w:cs="Arial"/>
          <w:sz w:val="22"/>
          <w:szCs w:val="22"/>
        </w:rPr>
        <w:t>b) Aide et assistance aux victimes………………………………………………………..20</w:t>
      </w:r>
    </w:p>
    <w:p w:rsidR="00C17C88" w:rsidRDefault="00C17C88" w:rsidP="00C17C88">
      <w:pPr>
        <w:widowControl w:val="0"/>
        <w:tabs>
          <w:tab w:val="left" w:pos="8800"/>
        </w:tabs>
        <w:autoSpaceDE w:val="0"/>
        <w:autoSpaceDN w:val="0"/>
        <w:adjustRightInd w:val="0"/>
        <w:ind w:left="709"/>
        <w:rPr>
          <w:rFonts w:ascii="Arial" w:hAnsi="Arial" w:cs="Arial"/>
          <w:sz w:val="22"/>
          <w:szCs w:val="22"/>
        </w:rPr>
      </w:pPr>
      <w:r>
        <w:rPr>
          <w:rFonts w:ascii="Arial" w:hAnsi="Arial" w:cs="Arial"/>
          <w:sz w:val="22"/>
          <w:szCs w:val="22"/>
        </w:rPr>
        <w:t>c) Milieu de protection de remplacement…………………………………………………20</w:t>
      </w:r>
    </w:p>
    <w:p w:rsidR="00C17C88" w:rsidRPr="004C6DA2" w:rsidRDefault="00C17C88" w:rsidP="00C17C88">
      <w:pPr>
        <w:widowControl w:val="0"/>
        <w:tabs>
          <w:tab w:val="left" w:pos="8800"/>
        </w:tabs>
        <w:autoSpaceDE w:val="0"/>
        <w:autoSpaceDN w:val="0"/>
        <w:adjustRightInd w:val="0"/>
        <w:ind w:left="709"/>
        <w:rPr>
          <w:rFonts w:ascii="Arial" w:hAnsi="Arial" w:cs="Arial"/>
          <w:sz w:val="22"/>
          <w:szCs w:val="22"/>
        </w:rPr>
      </w:pPr>
      <w:r>
        <w:rPr>
          <w:rFonts w:ascii="Arial" w:hAnsi="Arial" w:cs="Arial"/>
          <w:sz w:val="22"/>
          <w:szCs w:val="22"/>
        </w:rPr>
        <w:t>d) Accélération de la procédure…………………………………………………………...21</w:t>
      </w:r>
    </w:p>
    <w:p w:rsidR="00C17C88" w:rsidRPr="004C6DA2" w:rsidRDefault="00C17C88" w:rsidP="00C17C88">
      <w:pPr>
        <w:widowControl w:val="0"/>
        <w:autoSpaceDE w:val="0"/>
        <w:autoSpaceDN w:val="0"/>
        <w:adjustRightInd w:val="0"/>
        <w:spacing w:line="21" w:lineRule="exact"/>
        <w:rPr>
          <w:rFonts w:ascii="Arial" w:hAnsi="Arial" w:cs="Arial"/>
          <w:sz w:val="22"/>
          <w:szCs w:val="22"/>
        </w:rPr>
      </w:pPr>
    </w:p>
    <w:p w:rsidR="00C17C88" w:rsidRPr="004C6DA2" w:rsidRDefault="00C17C88" w:rsidP="00C17C88">
      <w:pPr>
        <w:widowControl w:val="0"/>
        <w:tabs>
          <w:tab w:val="left" w:pos="8800"/>
        </w:tabs>
        <w:autoSpaceDE w:val="0"/>
        <w:autoSpaceDN w:val="0"/>
        <w:adjustRightInd w:val="0"/>
        <w:ind w:left="480"/>
        <w:rPr>
          <w:rFonts w:ascii="Arial" w:hAnsi="Arial" w:cs="Arial"/>
          <w:sz w:val="22"/>
          <w:szCs w:val="22"/>
        </w:rPr>
      </w:pPr>
      <w:r w:rsidRPr="004C6DA2">
        <w:rPr>
          <w:rFonts w:ascii="Arial" w:hAnsi="Arial" w:cs="Arial"/>
          <w:sz w:val="22"/>
          <w:szCs w:val="22"/>
        </w:rPr>
        <w:t xml:space="preserve">2. </w:t>
      </w:r>
      <w:r>
        <w:rPr>
          <w:rFonts w:ascii="Arial" w:hAnsi="Arial" w:cs="Arial"/>
          <w:sz w:val="22"/>
          <w:szCs w:val="22"/>
        </w:rPr>
        <w:t>Indemnisation (article 9 alinéa 4)………………………………………………………….21</w:t>
      </w:r>
    </w:p>
    <w:p w:rsidR="00C17C88" w:rsidRPr="004C6DA2" w:rsidRDefault="00C17C88" w:rsidP="00C17C88">
      <w:pPr>
        <w:widowControl w:val="0"/>
        <w:autoSpaceDE w:val="0"/>
        <w:autoSpaceDN w:val="0"/>
        <w:adjustRightInd w:val="0"/>
        <w:spacing w:line="37" w:lineRule="exact"/>
        <w:rPr>
          <w:rFonts w:ascii="Arial" w:hAnsi="Arial" w:cs="Arial"/>
          <w:sz w:val="22"/>
          <w:szCs w:val="22"/>
        </w:rPr>
      </w:pPr>
    </w:p>
    <w:p w:rsidR="00C17C88" w:rsidRDefault="00C17C88" w:rsidP="00C17C88">
      <w:pPr>
        <w:widowControl w:val="0"/>
        <w:tabs>
          <w:tab w:val="left" w:pos="8800"/>
        </w:tabs>
        <w:autoSpaceDE w:val="0"/>
        <w:autoSpaceDN w:val="0"/>
        <w:adjustRightInd w:val="0"/>
        <w:ind w:left="480"/>
        <w:rPr>
          <w:rFonts w:ascii="Arial" w:hAnsi="Arial" w:cs="Arial"/>
          <w:sz w:val="22"/>
          <w:szCs w:val="22"/>
        </w:rPr>
      </w:pPr>
      <w:r w:rsidRPr="004C6DA2">
        <w:rPr>
          <w:rFonts w:ascii="Arial" w:hAnsi="Arial" w:cs="Arial"/>
          <w:sz w:val="22"/>
          <w:szCs w:val="22"/>
        </w:rPr>
        <w:t xml:space="preserve">3. </w:t>
      </w:r>
      <w:r>
        <w:rPr>
          <w:rFonts w:ascii="Arial" w:hAnsi="Arial" w:cs="Arial"/>
          <w:sz w:val="22"/>
          <w:szCs w:val="22"/>
        </w:rPr>
        <w:t xml:space="preserve">Formation et renforcement des capacités </w:t>
      </w:r>
      <w:bookmarkStart w:id="0" w:name="_GoBack"/>
      <w:bookmarkEnd w:id="0"/>
      <w:r>
        <w:rPr>
          <w:rFonts w:ascii="Arial" w:hAnsi="Arial" w:cs="Arial"/>
          <w:sz w:val="22"/>
          <w:szCs w:val="22"/>
        </w:rPr>
        <w:t>des personnes chargées de la protection des enfants victimes (article 8 alinéa 4)……………………………………………………..21</w:t>
      </w:r>
    </w:p>
    <w:p w:rsidR="00C17C88" w:rsidRDefault="00C17C88" w:rsidP="00C17C88">
      <w:pPr>
        <w:widowControl w:val="0"/>
        <w:tabs>
          <w:tab w:val="left" w:pos="8800"/>
        </w:tabs>
        <w:autoSpaceDE w:val="0"/>
        <w:autoSpaceDN w:val="0"/>
        <w:adjustRightInd w:val="0"/>
        <w:ind w:left="480"/>
        <w:rPr>
          <w:rFonts w:ascii="Arial" w:hAnsi="Arial" w:cs="Arial"/>
          <w:sz w:val="22"/>
          <w:szCs w:val="22"/>
        </w:rPr>
      </w:pPr>
      <w:r>
        <w:rPr>
          <w:rFonts w:ascii="Arial" w:hAnsi="Arial" w:cs="Arial"/>
          <w:sz w:val="22"/>
          <w:szCs w:val="22"/>
        </w:rPr>
        <w:t>4. Autres mesures de protection des enfants victimes…………………………………….22</w:t>
      </w:r>
    </w:p>
    <w:p w:rsidR="00C17C88" w:rsidRDefault="00C17C88" w:rsidP="00C17C88">
      <w:pPr>
        <w:widowControl w:val="0"/>
        <w:tabs>
          <w:tab w:val="left" w:pos="8800"/>
        </w:tabs>
        <w:autoSpaceDE w:val="0"/>
        <w:autoSpaceDN w:val="0"/>
        <w:adjustRightInd w:val="0"/>
        <w:ind w:left="709"/>
        <w:rPr>
          <w:rFonts w:ascii="Arial" w:hAnsi="Arial" w:cs="Arial"/>
          <w:sz w:val="22"/>
          <w:szCs w:val="22"/>
        </w:rPr>
      </w:pPr>
      <w:r>
        <w:rPr>
          <w:rFonts w:ascii="Arial" w:hAnsi="Arial" w:cs="Arial"/>
          <w:sz w:val="22"/>
          <w:szCs w:val="22"/>
        </w:rPr>
        <w:t>a) Centre d’écoute et de conseil juridique………………………………………………..24</w:t>
      </w:r>
    </w:p>
    <w:p w:rsidR="00C17C88" w:rsidRDefault="00C17C88" w:rsidP="00C17C88">
      <w:pPr>
        <w:widowControl w:val="0"/>
        <w:tabs>
          <w:tab w:val="left" w:pos="8800"/>
        </w:tabs>
        <w:autoSpaceDE w:val="0"/>
        <w:autoSpaceDN w:val="0"/>
        <w:adjustRightInd w:val="0"/>
        <w:ind w:left="709"/>
        <w:rPr>
          <w:rFonts w:ascii="Arial" w:hAnsi="Arial" w:cs="Arial"/>
          <w:sz w:val="22"/>
          <w:szCs w:val="22"/>
        </w:rPr>
      </w:pPr>
      <w:r>
        <w:rPr>
          <w:rFonts w:ascii="Arial" w:hAnsi="Arial" w:cs="Arial"/>
          <w:sz w:val="22"/>
          <w:szCs w:val="22"/>
        </w:rPr>
        <w:t>b) Cliniques juridiques………………………………………………………………………24</w:t>
      </w:r>
    </w:p>
    <w:p w:rsidR="00C17C88" w:rsidRDefault="00C17C88" w:rsidP="00C17C88">
      <w:pPr>
        <w:widowControl w:val="0"/>
        <w:tabs>
          <w:tab w:val="left" w:pos="8800"/>
        </w:tabs>
        <w:autoSpaceDE w:val="0"/>
        <w:autoSpaceDN w:val="0"/>
        <w:adjustRightInd w:val="0"/>
        <w:ind w:left="709"/>
        <w:rPr>
          <w:rFonts w:ascii="Arial" w:hAnsi="Arial" w:cs="Arial"/>
          <w:sz w:val="22"/>
          <w:szCs w:val="22"/>
        </w:rPr>
      </w:pPr>
      <w:r>
        <w:rPr>
          <w:rFonts w:ascii="Arial" w:hAnsi="Arial" w:cs="Arial"/>
          <w:sz w:val="22"/>
          <w:szCs w:val="22"/>
        </w:rPr>
        <w:t>c) La participation des OSC : ONG et associations oeuvrant dans la protection et promotion des droits de l’enfant…………………………………………………………...24</w:t>
      </w:r>
    </w:p>
    <w:p w:rsidR="00C17C88" w:rsidRDefault="00C17C88" w:rsidP="00C17C88">
      <w:pPr>
        <w:widowControl w:val="0"/>
        <w:tabs>
          <w:tab w:val="left" w:pos="8920"/>
        </w:tabs>
        <w:autoSpaceDE w:val="0"/>
        <w:autoSpaceDN w:val="0"/>
        <w:adjustRightInd w:val="0"/>
        <w:spacing w:before="120"/>
        <w:ind w:left="238"/>
        <w:rPr>
          <w:rFonts w:ascii="Arial" w:hAnsi="Arial" w:cs="Arial"/>
          <w:sz w:val="22"/>
          <w:szCs w:val="22"/>
        </w:rPr>
      </w:pPr>
      <w:r>
        <w:rPr>
          <w:rFonts w:ascii="Arial" w:hAnsi="Arial" w:cs="Arial"/>
          <w:sz w:val="22"/>
          <w:szCs w:val="22"/>
        </w:rPr>
        <w:t>D. Mesures de prévention (article 9 alinéa 1 et 2)…………………………………………….25</w:t>
      </w:r>
    </w:p>
    <w:p w:rsidR="00C17C88" w:rsidRDefault="00C17C88" w:rsidP="00C17C88">
      <w:pPr>
        <w:widowControl w:val="0"/>
        <w:tabs>
          <w:tab w:val="left" w:pos="8920"/>
        </w:tabs>
        <w:autoSpaceDE w:val="0"/>
        <w:autoSpaceDN w:val="0"/>
        <w:adjustRightInd w:val="0"/>
        <w:spacing w:before="120"/>
        <w:ind w:left="238"/>
        <w:rPr>
          <w:rFonts w:ascii="Arial" w:hAnsi="Arial" w:cs="Arial"/>
          <w:sz w:val="22"/>
          <w:szCs w:val="22"/>
        </w:rPr>
      </w:pPr>
      <w:r>
        <w:rPr>
          <w:rFonts w:ascii="Arial" w:hAnsi="Arial" w:cs="Arial"/>
          <w:sz w:val="22"/>
          <w:szCs w:val="22"/>
        </w:rPr>
        <w:t>E. Assistance et coopération internationale…………………………………………………...29</w:t>
      </w:r>
    </w:p>
    <w:p w:rsidR="00C17C88" w:rsidRPr="00C17C88" w:rsidRDefault="00C17C88" w:rsidP="00C17C88">
      <w:pPr>
        <w:widowControl w:val="0"/>
        <w:tabs>
          <w:tab w:val="left" w:pos="8800"/>
        </w:tabs>
        <w:autoSpaceDE w:val="0"/>
        <w:autoSpaceDN w:val="0"/>
        <w:adjustRightInd w:val="0"/>
        <w:spacing w:before="120"/>
        <w:ind w:left="284"/>
        <w:rPr>
          <w:rFonts w:ascii="Arial" w:hAnsi="Arial" w:cs="Arial"/>
        </w:rPr>
      </w:pPr>
      <w:r w:rsidRPr="00C17C88">
        <w:rPr>
          <w:rFonts w:ascii="Arial" w:hAnsi="Arial" w:cs="Arial"/>
        </w:rPr>
        <w:t>CONCLUSION</w:t>
      </w:r>
    </w:p>
    <w:p w:rsidR="00347DE4" w:rsidRDefault="00347DE4" w:rsidP="00347DE4">
      <w:pPr>
        <w:widowControl w:val="0"/>
        <w:autoSpaceDE w:val="0"/>
        <w:autoSpaceDN w:val="0"/>
        <w:adjustRightInd w:val="0"/>
        <w:spacing w:after="200" w:line="276" w:lineRule="auto"/>
        <w:ind w:right="-432"/>
        <w:jc w:val="center"/>
        <w:rPr>
          <w:rFonts w:ascii="Arial" w:eastAsiaTheme="minorEastAsia" w:hAnsi="Arial" w:cs="Arial"/>
          <w:b/>
          <w:bCs/>
          <w:sz w:val="36"/>
          <w:szCs w:val="36"/>
        </w:rPr>
      </w:pPr>
      <w:r>
        <w:rPr>
          <w:rFonts w:ascii="Arial" w:eastAsiaTheme="minorEastAsia" w:hAnsi="Arial" w:cs="Arial"/>
          <w:b/>
          <w:bCs/>
          <w:sz w:val="36"/>
          <w:szCs w:val="36"/>
        </w:rPr>
        <w:lastRenderedPageBreak/>
        <w:t>ANNEXE</w:t>
      </w:r>
      <w:r w:rsidR="00002269">
        <w:rPr>
          <w:rFonts w:ascii="Arial" w:eastAsiaTheme="minorEastAsia" w:hAnsi="Arial" w:cs="Arial"/>
          <w:b/>
          <w:bCs/>
          <w:sz w:val="36"/>
          <w:szCs w:val="36"/>
        </w:rPr>
        <w:t>S</w:t>
      </w:r>
    </w:p>
    <w:p w:rsidR="00347DE4" w:rsidRDefault="00347DE4" w:rsidP="00347DE4">
      <w:pPr>
        <w:widowControl w:val="0"/>
        <w:autoSpaceDE w:val="0"/>
        <w:autoSpaceDN w:val="0"/>
        <w:adjustRightInd w:val="0"/>
        <w:spacing w:before="120" w:after="320"/>
        <w:ind w:left="644" w:right="-432"/>
        <w:jc w:val="both"/>
        <w:rPr>
          <w:rFonts w:ascii="Arial" w:eastAsiaTheme="minorEastAsia" w:hAnsi="Arial" w:cs="Arial"/>
        </w:rPr>
      </w:pPr>
      <w:r>
        <w:rPr>
          <w:rFonts w:ascii="Arial" w:hAnsi="Arial" w:cs="Arial"/>
        </w:rPr>
        <w:t>ANNEXE I</w:t>
      </w:r>
      <w:r>
        <w:rPr>
          <w:rFonts w:ascii="Arial" w:eastAsiaTheme="minorEastAsia" w:hAnsi="Arial" w:cs="Arial"/>
        </w:rPr>
        <w:t>: Loi n° 2007</w:t>
      </w:r>
      <w:r>
        <w:rPr>
          <w:rFonts w:ascii="PT Sans" w:eastAsiaTheme="minorEastAsia" w:hAnsi="PT Sans" w:cs="PT Sans"/>
        </w:rPr>
        <w:t>‑</w:t>
      </w:r>
      <w:r>
        <w:rPr>
          <w:rFonts w:ascii="Arial" w:eastAsiaTheme="minorEastAsia" w:hAnsi="Arial" w:cs="Arial"/>
        </w:rPr>
        <w:t>023 du 20 août 2007 sur les droits et la protection des enfants</w:t>
      </w:r>
    </w:p>
    <w:p w:rsidR="00347DE4" w:rsidRDefault="00347DE4" w:rsidP="00347DE4">
      <w:pPr>
        <w:widowControl w:val="0"/>
        <w:tabs>
          <w:tab w:val="left" w:pos="4170"/>
        </w:tabs>
        <w:autoSpaceDE w:val="0"/>
        <w:autoSpaceDN w:val="0"/>
        <w:adjustRightInd w:val="0"/>
        <w:ind w:right="-432"/>
        <w:rPr>
          <w:rFonts w:ascii="Arial" w:eastAsiaTheme="minorEastAsia" w:hAnsi="Arial" w:cs="Arial"/>
          <w:b/>
          <w:bCs/>
        </w:rPr>
      </w:pPr>
    </w:p>
    <w:p w:rsidR="00347DE4" w:rsidRDefault="00347DE4" w:rsidP="00347DE4">
      <w:pPr>
        <w:widowControl w:val="0"/>
        <w:tabs>
          <w:tab w:val="left" w:pos="4170"/>
        </w:tabs>
        <w:autoSpaceDE w:val="0"/>
        <w:autoSpaceDN w:val="0"/>
        <w:adjustRightInd w:val="0"/>
        <w:spacing w:before="120" w:after="320"/>
        <w:ind w:left="644" w:right="-432"/>
        <w:jc w:val="both"/>
        <w:rPr>
          <w:rFonts w:ascii="Arial" w:eastAsiaTheme="minorEastAsia" w:hAnsi="Arial" w:cs="Arial"/>
        </w:rPr>
      </w:pPr>
      <w:r>
        <w:rPr>
          <w:rFonts w:ascii="Arial" w:hAnsi="Arial" w:cs="Arial"/>
        </w:rPr>
        <w:t>ANNEXE II</w:t>
      </w:r>
      <w:r>
        <w:rPr>
          <w:rFonts w:ascii="Arial" w:eastAsiaTheme="minorEastAsia" w:hAnsi="Arial" w:cs="Arial"/>
        </w:rPr>
        <w:t>: Loi n° 2007</w:t>
      </w:r>
      <w:r>
        <w:rPr>
          <w:rFonts w:ascii="PT Sans" w:eastAsiaTheme="minorEastAsia" w:hAnsi="PT Sans" w:cs="PT Sans"/>
        </w:rPr>
        <w:t>‑</w:t>
      </w:r>
      <w:r>
        <w:rPr>
          <w:rFonts w:ascii="Arial" w:eastAsiaTheme="minorEastAsia" w:hAnsi="Arial" w:cs="Arial"/>
        </w:rPr>
        <w:t>038 du 14 janvier 2008 modifiant et complétant certaines dispositions du Code Pénal sur la lutte contre la traite des personnes et le tourisme sexuel</w:t>
      </w:r>
    </w:p>
    <w:p w:rsidR="00347DE4" w:rsidRPr="004C6DA2" w:rsidRDefault="00347DE4" w:rsidP="00347DE4">
      <w:pPr>
        <w:widowControl w:val="0"/>
        <w:tabs>
          <w:tab w:val="left" w:pos="8800"/>
        </w:tabs>
        <w:autoSpaceDE w:val="0"/>
        <w:autoSpaceDN w:val="0"/>
        <w:adjustRightInd w:val="0"/>
        <w:ind w:left="284"/>
        <w:rPr>
          <w:rFonts w:ascii="Arial" w:hAnsi="Arial" w:cs="Arial"/>
          <w:sz w:val="22"/>
          <w:szCs w:val="22"/>
        </w:rPr>
      </w:pPr>
    </w:p>
    <w:p w:rsidR="00347DE4" w:rsidRDefault="00347DE4" w:rsidP="00347DE4">
      <w:pPr>
        <w:widowControl w:val="0"/>
        <w:autoSpaceDE w:val="0"/>
        <w:autoSpaceDN w:val="0"/>
        <w:adjustRightInd w:val="0"/>
        <w:spacing w:line="32" w:lineRule="exact"/>
        <w:rPr>
          <w:rFonts w:ascii="Arial" w:hAnsi="Arial" w:cs="Arial"/>
        </w:rPr>
      </w:pPr>
    </w:p>
    <w:p w:rsidR="00347DE4" w:rsidRPr="008A3F46" w:rsidRDefault="00347DE4" w:rsidP="00347DE4">
      <w:pPr>
        <w:widowControl w:val="0"/>
        <w:autoSpaceDE w:val="0"/>
        <w:autoSpaceDN w:val="0"/>
        <w:adjustRightInd w:val="0"/>
        <w:spacing w:line="32" w:lineRule="exact"/>
        <w:rPr>
          <w:rFonts w:ascii="Arial" w:hAnsi="Arial" w:cs="Arial"/>
        </w:rPr>
      </w:pPr>
    </w:p>
    <w:p w:rsidR="00347DE4" w:rsidRPr="008A3F46" w:rsidRDefault="00347DE4" w:rsidP="00347DE4">
      <w:pPr>
        <w:rPr>
          <w:rFonts w:ascii="Arial" w:hAnsi="Arial" w:cs="Arial"/>
        </w:rPr>
      </w:pPr>
    </w:p>
    <w:p w:rsidR="00F95626" w:rsidRDefault="00F95626" w:rsidP="00F95626">
      <w:pPr>
        <w:widowControl w:val="0"/>
        <w:autoSpaceDE w:val="0"/>
        <w:autoSpaceDN w:val="0"/>
        <w:adjustRightInd w:val="0"/>
        <w:spacing w:line="276" w:lineRule="auto"/>
        <w:ind w:left="360" w:right="-432"/>
        <w:rPr>
          <w:rFonts w:ascii="Arial" w:eastAsiaTheme="minorEastAsia" w:hAnsi="Arial" w:cs="Arial"/>
          <w:color w:val="333333"/>
          <w:sz w:val="20"/>
          <w:szCs w:val="20"/>
        </w:rPr>
      </w:pPr>
    </w:p>
    <w:p w:rsidR="00F95626" w:rsidRDefault="00F95626" w:rsidP="00F95626">
      <w:pPr>
        <w:widowControl w:val="0"/>
        <w:autoSpaceDE w:val="0"/>
        <w:autoSpaceDN w:val="0"/>
        <w:adjustRightInd w:val="0"/>
        <w:ind w:left="360" w:right="-432"/>
        <w:rPr>
          <w:rFonts w:ascii="Arial" w:eastAsiaTheme="minorEastAsia" w:hAnsi="Arial" w:cs="Arial"/>
          <w:b/>
          <w:bCs/>
          <w:color w:val="333333"/>
          <w:sz w:val="20"/>
          <w:szCs w:val="20"/>
        </w:rPr>
      </w:pPr>
    </w:p>
    <w:p w:rsidR="00F95626" w:rsidRDefault="00F95626" w:rsidP="00F95626">
      <w:pPr>
        <w:widowControl w:val="0"/>
        <w:autoSpaceDE w:val="0"/>
        <w:autoSpaceDN w:val="0"/>
        <w:adjustRightInd w:val="0"/>
        <w:spacing w:before="100" w:after="100" w:line="360" w:lineRule="auto"/>
        <w:ind w:left="644" w:right="-432" w:hanging="360"/>
        <w:rPr>
          <w:rFonts w:ascii="Arial" w:eastAsiaTheme="minorEastAsia" w:hAnsi="Arial" w:cs="Arial"/>
        </w:rPr>
      </w:pPr>
    </w:p>
    <w:p w:rsidR="00F95626" w:rsidRDefault="00F95626" w:rsidP="00F95626">
      <w:pPr>
        <w:widowControl w:val="0"/>
        <w:autoSpaceDE w:val="0"/>
        <w:autoSpaceDN w:val="0"/>
        <w:adjustRightInd w:val="0"/>
        <w:spacing w:after="200" w:line="276" w:lineRule="auto"/>
        <w:ind w:right="-432"/>
        <w:rPr>
          <w:rFonts w:ascii="Arial" w:eastAsiaTheme="minorEastAsia" w:hAnsi="Arial" w:cs="Arial"/>
          <w:b/>
          <w:bCs/>
        </w:rPr>
      </w:pPr>
    </w:p>
    <w:p w:rsidR="00F95626" w:rsidRDefault="00F95626" w:rsidP="00F95626">
      <w:pPr>
        <w:widowControl w:val="0"/>
        <w:autoSpaceDE w:val="0"/>
        <w:autoSpaceDN w:val="0"/>
        <w:adjustRightInd w:val="0"/>
        <w:spacing w:after="200" w:line="276" w:lineRule="auto"/>
        <w:ind w:right="-432"/>
        <w:rPr>
          <w:rFonts w:ascii="Arial" w:eastAsiaTheme="minorEastAsia" w:hAnsi="Arial" w:cs="Arial"/>
        </w:rPr>
      </w:pPr>
    </w:p>
    <w:p w:rsidR="00F95626" w:rsidRDefault="00F95626" w:rsidP="00F95626">
      <w:pPr>
        <w:widowControl w:val="0"/>
        <w:autoSpaceDE w:val="0"/>
        <w:autoSpaceDN w:val="0"/>
        <w:adjustRightInd w:val="0"/>
        <w:spacing w:after="200" w:line="276" w:lineRule="auto"/>
        <w:ind w:right="-432"/>
        <w:rPr>
          <w:rFonts w:ascii="Arial" w:eastAsiaTheme="minorEastAsia" w:hAnsi="Arial" w:cs="Arial"/>
        </w:rPr>
      </w:pPr>
    </w:p>
    <w:p w:rsidR="00F95626" w:rsidRDefault="00F95626" w:rsidP="00F95626">
      <w:pPr>
        <w:widowControl w:val="0"/>
        <w:autoSpaceDE w:val="0"/>
        <w:autoSpaceDN w:val="0"/>
        <w:adjustRightInd w:val="0"/>
        <w:spacing w:after="200" w:line="276" w:lineRule="auto"/>
        <w:ind w:right="-432"/>
        <w:rPr>
          <w:rFonts w:ascii="Arial" w:eastAsiaTheme="minorEastAsia" w:hAnsi="Arial" w:cs="Arial"/>
        </w:rPr>
      </w:pPr>
    </w:p>
    <w:p w:rsidR="00F95626" w:rsidRDefault="00F95626" w:rsidP="00F95626">
      <w:pPr>
        <w:widowControl w:val="0"/>
        <w:autoSpaceDE w:val="0"/>
        <w:autoSpaceDN w:val="0"/>
        <w:adjustRightInd w:val="0"/>
        <w:ind w:right="-432"/>
        <w:rPr>
          <w:rFonts w:ascii="Arial" w:eastAsiaTheme="minorEastAsia" w:hAnsi="Arial" w:cs="Arial"/>
          <w:b/>
          <w:bCs/>
          <w:sz w:val="20"/>
          <w:szCs w:val="20"/>
        </w:rPr>
      </w:pPr>
    </w:p>
    <w:p w:rsidR="00F95626" w:rsidRDefault="00F95626" w:rsidP="00F95626">
      <w:pPr>
        <w:widowControl w:val="0"/>
        <w:autoSpaceDE w:val="0"/>
        <w:autoSpaceDN w:val="0"/>
        <w:adjustRightInd w:val="0"/>
        <w:spacing w:before="100" w:after="100" w:line="360" w:lineRule="auto"/>
        <w:ind w:left="644" w:right="-432" w:hanging="360"/>
        <w:rPr>
          <w:rFonts w:ascii="Arial" w:eastAsiaTheme="minorEastAsia" w:hAnsi="Arial" w:cs="Arial"/>
        </w:rPr>
      </w:pPr>
    </w:p>
    <w:p w:rsidR="00F95626" w:rsidRDefault="00F95626" w:rsidP="00F95626">
      <w:pPr>
        <w:widowControl w:val="0"/>
        <w:autoSpaceDE w:val="0"/>
        <w:autoSpaceDN w:val="0"/>
        <w:adjustRightInd w:val="0"/>
        <w:spacing w:after="200" w:line="276" w:lineRule="auto"/>
        <w:ind w:right="-432"/>
        <w:rPr>
          <w:rFonts w:ascii="Arial" w:eastAsiaTheme="minorEastAsia" w:hAnsi="Arial" w:cs="Arial"/>
          <w:b/>
          <w:bCs/>
        </w:rPr>
      </w:pPr>
    </w:p>
    <w:p w:rsidR="00F95626" w:rsidRDefault="00F95626" w:rsidP="00F95626">
      <w:pPr>
        <w:widowControl w:val="0"/>
        <w:autoSpaceDE w:val="0"/>
        <w:autoSpaceDN w:val="0"/>
        <w:adjustRightInd w:val="0"/>
        <w:spacing w:after="200" w:line="276" w:lineRule="auto"/>
        <w:ind w:right="-432"/>
        <w:rPr>
          <w:rFonts w:ascii="Arial" w:eastAsiaTheme="minorEastAsia" w:hAnsi="Arial" w:cs="Arial"/>
        </w:rPr>
      </w:pPr>
    </w:p>
    <w:p w:rsidR="00F95626" w:rsidRDefault="00F95626" w:rsidP="00F95626">
      <w:pPr>
        <w:widowControl w:val="0"/>
        <w:autoSpaceDE w:val="0"/>
        <w:autoSpaceDN w:val="0"/>
        <w:adjustRightInd w:val="0"/>
        <w:spacing w:after="200" w:line="276" w:lineRule="auto"/>
        <w:ind w:right="-432"/>
        <w:rPr>
          <w:rFonts w:ascii="Arial" w:eastAsiaTheme="minorEastAsia" w:hAnsi="Arial" w:cs="Arial"/>
        </w:rPr>
      </w:pPr>
    </w:p>
    <w:p w:rsidR="00F95626" w:rsidRDefault="00F95626" w:rsidP="00F95626">
      <w:pPr>
        <w:widowControl w:val="0"/>
        <w:autoSpaceDE w:val="0"/>
        <w:autoSpaceDN w:val="0"/>
        <w:adjustRightInd w:val="0"/>
        <w:spacing w:after="200" w:line="276" w:lineRule="auto"/>
        <w:ind w:right="-432"/>
        <w:rPr>
          <w:rFonts w:ascii="Arial" w:eastAsiaTheme="minorEastAsia" w:hAnsi="Arial" w:cs="Arial"/>
        </w:rPr>
      </w:pPr>
    </w:p>
    <w:p w:rsidR="00F95626" w:rsidRDefault="00F95626" w:rsidP="00F95626">
      <w:pPr>
        <w:widowControl w:val="0"/>
        <w:autoSpaceDE w:val="0"/>
        <w:autoSpaceDN w:val="0"/>
        <w:adjustRightInd w:val="0"/>
        <w:spacing w:after="200" w:line="276" w:lineRule="auto"/>
        <w:ind w:right="-432"/>
        <w:rPr>
          <w:rFonts w:ascii="Arial" w:eastAsiaTheme="minorEastAsia" w:hAnsi="Arial" w:cs="Arial"/>
        </w:rPr>
      </w:pPr>
    </w:p>
    <w:p w:rsidR="00F95626" w:rsidRDefault="00F95626" w:rsidP="00F95626">
      <w:pPr>
        <w:widowControl w:val="0"/>
        <w:autoSpaceDE w:val="0"/>
        <w:autoSpaceDN w:val="0"/>
        <w:adjustRightInd w:val="0"/>
        <w:spacing w:after="200" w:line="276" w:lineRule="auto"/>
        <w:ind w:right="-432"/>
        <w:rPr>
          <w:rFonts w:ascii="Arial" w:eastAsiaTheme="minorEastAsia" w:hAnsi="Arial" w:cs="Arial"/>
        </w:rPr>
      </w:pPr>
    </w:p>
    <w:p w:rsidR="00347DE4" w:rsidRDefault="00347DE4" w:rsidP="00F95626">
      <w:pPr>
        <w:widowControl w:val="0"/>
        <w:autoSpaceDE w:val="0"/>
        <w:autoSpaceDN w:val="0"/>
        <w:adjustRightInd w:val="0"/>
        <w:spacing w:after="200" w:line="276" w:lineRule="auto"/>
        <w:ind w:right="-432"/>
        <w:rPr>
          <w:rFonts w:ascii="Arial" w:eastAsiaTheme="minorEastAsia" w:hAnsi="Arial" w:cs="Arial"/>
        </w:rPr>
      </w:pPr>
    </w:p>
    <w:p w:rsidR="00347DE4" w:rsidRDefault="00347DE4" w:rsidP="00F95626">
      <w:pPr>
        <w:widowControl w:val="0"/>
        <w:autoSpaceDE w:val="0"/>
        <w:autoSpaceDN w:val="0"/>
        <w:adjustRightInd w:val="0"/>
        <w:spacing w:after="200" w:line="276" w:lineRule="auto"/>
        <w:ind w:right="-432"/>
        <w:rPr>
          <w:rFonts w:ascii="Arial" w:eastAsiaTheme="minorEastAsia" w:hAnsi="Arial" w:cs="Arial"/>
        </w:rPr>
      </w:pPr>
    </w:p>
    <w:p w:rsidR="00347DE4" w:rsidRDefault="00347DE4" w:rsidP="00F95626">
      <w:pPr>
        <w:widowControl w:val="0"/>
        <w:autoSpaceDE w:val="0"/>
        <w:autoSpaceDN w:val="0"/>
        <w:adjustRightInd w:val="0"/>
        <w:spacing w:after="200" w:line="276" w:lineRule="auto"/>
        <w:ind w:right="-432"/>
        <w:rPr>
          <w:rFonts w:ascii="Arial" w:eastAsiaTheme="minorEastAsia" w:hAnsi="Arial" w:cs="Arial"/>
        </w:rPr>
      </w:pPr>
    </w:p>
    <w:p w:rsidR="00347DE4" w:rsidRDefault="00347DE4" w:rsidP="00F95626">
      <w:pPr>
        <w:widowControl w:val="0"/>
        <w:autoSpaceDE w:val="0"/>
        <w:autoSpaceDN w:val="0"/>
        <w:adjustRightInd w:val="0"/>
        <w:spacing w:after="200" w:line="276" w:lineRule="auto"/>
        <w:ind w:right="-432"/>
        <w:rPr>
          <w:rFonts w:ascii="Arial" w:eastAsiaTheme="minorEastAsia" w:hAnsi="Arial" w:cs="Arial"/>
        </w:rPr>
      </w:pPr>
    </w:p>
    <w:p w:rsidR="00F95626" w:rsidRDefault="00F95626" w:rsidP="00F95626">
      <w:pPr>
        <w:widowControl w:val="0"/>
        <w:autoSpaceDE w:val="0"/>
        <w:autoSpaceDN w:val="0"/>
        <w:adjustRightInd w:val="0"/>
        <w:spacing w:after="200" w:line="276" w:lineRule="auto"/>
        <w:ind w:right="-432"/>
        <w:rPr>
          <w:rFonts w:ascii="Arial" w:eastAsiaTheme="minorEastAsia" w:hAnsi="Arial" w:cs="Arial"/>
        </w:rPr>
      </w:pPr>
    </w:p>
    <w:p w:rsidR="00F95626" w:rsidRDefault="00F95626" w:rsidP="00F95626">
      <w:pPr>
        <w:widowControl w:val="0"/>
        <w:autoSpaceDE w:val="0"/>
        <w:autoSpaceDN w:val="0"/>
        <w:adjustRightInd w:val="0"/>
        <w:spacing w:after="200" w:line="276" w:lineRule="auto"/>
        <w:ind w:right="-432"/>
        <w:rPr>
          <w:rFonts w:ascii="Arial" w:eastAsiaTheme="minorEastAsia" w:hAnsi="Arial" w:cs="Arial"/>
        </w:rPr>
      </w:pPr>
    </w:p>
    <w:p w:rsidR="00F95626" w:rsidRDefault="00F95626" w:rsidP="00F95626">
      <w:pPr>
        <w:widowControl w:val="0"/>
        <w:autoSpaceDE w:val="0"/>
        <w:autoSpaceDN w:val="0"/>
        <w:adjustRightInd w:val="0"/>
        <w:spacing w:after="200" w:line="276" w:lineRule="auto"/>
        <w:ind w:right="-432"/>
        <w:jc w:val="center"/>
        <w:rPr>
          <w:rFonts w:ascii="Arial" w:eastAsiaTheme="minorEastAsia" w:hAnsi="Arial" w:cs="Arial"/>
        </w:rPr>
      </w:pPr>
      <w:r>
        <w:rPr>
          <w:rFonts w:ascii="Arial" w:eastAsiaTheme="minorEastAsia" w:hAnsi="Arial" w:cs="Arial"/>
          <w:sz w:val="32"/>
          <w:szCs w:val="32"/>
        </w:rPr>
        <w:lastRenderedPageBreak/>
        <w:t>LISTE DES ACRONYMES</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rPr>
      </w:pPr>
      <w:r>
        <w:rPr>
          <w:rFonts w:ascii="Arial" w:eastAsiaTheme="minorEastAsia" w:hAnsi="Arial" w:cs="Arial"/>
          <w:b/>
          <w:bCs/>
        </w:rPr>
        <w:t xml:space="preserve">ACAT : </w:t>
      </w:r>
      <w:r>
        <w:rPr>
          <w:rFonts w:ascii="Arial" w:eastAsiaTheme="minorEastAsia" w:hAnsi="Arial" w:cs="Arial"/>
          <w:b/>
          <w:bCs/>
        </w:rPr>
        <w:tab/>
      </w:r>
      <w:r>
        <w:rPr>
          <w:rFonts w:ascii="Arial" w:eastAsiaTheme="minorEastAsia" w:hAnsi="Arial" w:cs="Arial"/>
          <w:b/>
          <w:bCs/>
        </w:rPr>
        <w:tab/>
      </w:r>
      <w:r>
        <w:rPr>
          <w:rFonts w:ascii="Arial" w:eastAsiaTheme="minorEastAsia" w:hAnsi="Arial" w:cs="Arial"/>
        </w:rPr>
        <w:t>Actions des Chrétiens pour l’Abolition de la Torture.</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rPr>
      </w:pPr>
      <w:r>
        <w:rPr>
          <w:rFonts w:ascii="Arial" w:eastAsiaTheme="minorEastAsia" w:hAnsi="Arial" w:cs="Arial"/>
          <w:b/>
          <w:bCs/>
        </w:rPr>
        <w:t>AFFD :</w:t>
      </w:r>
      <w:r>
        <w:rPr>
          <w:rFonts w:ascii="Arial" w:eastAsiaTheme="minorEastAsia" w:hAnsi="Arial" w:cs="Arial"/>
          <w:b/>
          <w:bCs/>
        </w:rPr>
        <w:tab/>
      </w:r>
      <w:r>
        <w:rPr>
          <w:rFonts w:ascii="Arial" w:eastAsiaTheme="minorEastAsia" w:hAnsi="Arial" w:cs="Arial"/>
          <w:b/>
          <w:bCs/>
        </w:rPr>
        <w:tab/>
      </w:r>
      <w:r>
        <w:rPr>
          <w:rFonts w:ascii="Arial" w:eastAsiaTheme="minorEastAsia" w:hAnsi="Arial" w:cs="Arial"/>
        </w:rPr>
        <w:t>Association française d’aide aux Filles et Femmes en Détresse.</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rPr>
      </w:pPr>
      <w:r>
        <w:rPr>
          <w:rFonts w:ascii="Arial" w:eastAsiaTheme="minorEastAsia" w:hAnsi="Arial" w:cs="Arial"/>
          <w:b/>
          <w:bCs/>
        </w:rPr>
        <w:t xml:space="preserve">BIT : </w:t>
      </w:r>
      <w:r>
        <w:rPr>
          <w:rFonts w:ascii="Arial" w:eastAsiaTheme="minorEastAsia" w:hAnsi="Arial" w:cs="Arial"/>
          <w:b/>
          <w:bCs/>
        </w:rPr>
        <w:tab/>
      </w:r>
      <w:r>
        <w:rPr>
          <w:rFonts w:ascii="Arial" w:eastAsiaTheme="minorEastAsia" w:hAnsi="Arial" w:cs="Arial"/>
          <w:b/>
          <w:bCs/>
        </w:rPr>
        <w:tab/>
      </w:r>
      <w:r>
        <w:rPr>
          <w:rFonts w:ascii="Arial" w:eastAsiaTheme="minorEastAsia" w:hAnsi="Arial" w:cs="Arial"/>
          <w:b/>
          <w:bCs/>
        </w:rPr>
        <w:tab/>
      </w:r>
      <w:r>
        <w:rPr>
          <w:rFonts w:ascii="Arial" w:eastAsiaTheme="minorEastAsia" w:hAnsi="Arial" w:cs="Arial"/>
        </w:rPr>
        <w:t>Bureau International du Travail.</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b/>
          <w:bCs/>
        </w:rPr>
      </w:pPr>
      <w:r>
        <w:rPr>
          <w:rFonts w:ascii="Arial" w:eastAsiaTheme="minorEastAsia" w:hAnsi="Arial" w:cs="Arial"/>
          <w:b/>
          <w:bCs/>
        </w:rPr>
        <w:t xml:space="preserve">CBV : </w:t>
      </w:r>
      <w:r>
        <w:rPr>
          <w:rFonts w:ascii="Arial" w:eastAsiaTheme="minorEastAsia" w:hAnsi="Arial" w:cs="Arial"/>
          <w:b/>
          <w:bCs/>
        </w:rPr>
        <w:tab/>
      </w:r>
      <w:r>
        <w:rPr>
          <w:rFonts w:ascii="Arial" w:eastAsiaTheme="minorEastAsia" w:hAnsi="Arial" w:cs="Arial"/>
          <w:b/>
          <w:bCs/>
        </w:rPr>
        <w:tab/>
      </w:r>
      <w:r>
        <w:rPr>
          <w:rFonts w:ascii="Arial" w:eastAsiaTheme="minorEastAsia" w:hAnsi="Arial" w:cs="Arial"/>
        </w:rPr>
        <w:t>Coups et Blessures Volontaires.</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b/>
          <w:bCs/>
        </w:rPr>
      </w:pPr>
      <w:r>
        <w:rPr>
          <w:rFonts w:ascii="Arial" w:eastAsiaTheme="minorEastAsia" w:hAnsi="Arial" w:cs="Arial"/>
          <w:b/>
          <w:bCs/>
        </w:rPr>
        <w:t xml:space="preserve">CDE : </w:t>
      </w:r>
      <w:r>
        <w:rPr>
          <w:rFonts w:ascii="Arial" w:eastAsiaTheme="minorEastAsia" w:hAnsi="Arial" w:cs="Arial"/>
          <w:b/>
          <w:bCs/>
        </w:rPr>
        <w:tab/>
      </w:r>
      <w:r>
        <w:rPr>
          <w:rFonts w:ascii="Arial" w:eastAsiaTheme="minorEastAsia" w:hAnsi="Arial" w:cs="Arial"/>
          <w:b/>
          <w:bCs/>
        </w:rPr>
        <w:tab/>
      </w:r>
      <w:r>
        <w:rPr>
          <w:rFonts w:ascii="Arial" w:eastAsiaTheme="minorEastAsia" w:hAnsi="Arial" w:cs="Arial"/>
        </w:rPr>
        <w:t>Convention relative aux Droits des Enfants.</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b/>
          <w:bCs/>
        </w:rPr>
      </w:pPr>
      <w:r>
        <w:rPr>
          <w:rFonts w:ascii="Arial" w:eastAsiaTheme="minorEastAsia" w:hAnsi="Arial" w:cs="Arial"/>
          <w:b/>
          <w:bCs/>
        </w:rPr>
        <w:t xml:space="preserve">CNPE : </w:t>
      </w:r>
      <w:r>
        <w:rPr>
          <w:rFonts w:ascii="Arial" w:eastAsiaTheme="minorEastAsia" w:hAnsi="Arial" w:cs="Arial"/>
          <w:b/>
          <w:bCs/>
        </w:rPr>
        <w:tab/>
      </w:r>
      <w:r>
        <w:rPr>
          <w:rFonts w:ascii="Arial" w:eastAsiaTheme="minorEastAsia" w:hAnsi="Arial" w:cs="Arial"/>
          <w:b/>
          <w:bCs/>
        </w:rPr>
        <w:tab/>
      </w:r>
      <w:r>
        <w:rPr>
          <w:rFonts w:ascii="Arial" w:eastAsiaTheme="minorEastAsia" w:hAnsi="Arial" w:cs="Arial"/>
        </w:rPr>
        <w:t>Comité National de Protection de l’Enfant.</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rPr>
      </w:pPr>
      <w:r>
        <w:rPr>
          <w:rFonts w:ascii="Arial" w:eastAsiaTheme="minorEastAsia" w:hAnsi="Arial" w:cs="Arial"/>
          <w:b/>
          <w:bCs/>
        </w:rPr>
        <w:t>EPU :</w:t>
      </w:r>
      <w:r>
        <w:rPr>
          <w:rFonts w:ascii="Arial" w:eastAsiaTheme="minorEastAsia" w:hAnsi="Arial" w:cs="Arial"/>
          <w:b/>
          <w:bCs/>
        </w:rPr>
        <w:tab/>
      </w:r>
      <w:r>
        <w:rPr>
          <w:rFonts w:ascii="Arial" w:eastAsiaTheme="minorEastAsia" w:hAnsi="Arial" w:cs="Arial"/>
          <w:b/>
          <w:bCs/>
        </w:rPr>
        <w:tab/>
      </w:r>
      <w:r>
        <w:rPr>
          <w:rFonts w:ascii="Arial" w:eastAsiaTheme="minorEastAsia" w:hAnsi="Arial" w:cs="Arial"/>
          <w:b/>
          <w:bCs/>
        </w:rPr>
        <w:tab/>
      </w:r>
      <w:r>
        <w:rPr>
          <w:rFonts w:ascii="Arial" w:eastAsiaTheme="minorEastAsia" w:hAnsi="Arial" w:cs="Arial"/>
        </w:rPr>
        <w:t>Examen Périodique Universel.</w:t>
      </w:r>
      <w:r>
        <w:rPr>
          <w:rFonts w:ascii="Arial" w:eastAsiaTheme="minorEastAsia" w:hAnsi="Arial" w:cs="Arial"/>
          <w:b/>
          <w:bCs/>
        </w:rPr>
        <w:tab/>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b/>
          <w:bCs/>
        </w:rPr>
      </w:pPr>
      <w:r>
        <w:rPr>
          <w:rFonts w:ascii="Arial" w:eastAsiaTheme="minorEastAsia" w:hAnsi="Arial" w:cs="Arial"/>
          <w:b/>
          <w:bCs/>
        </w:rPr>
        <w:t xml:space="preserve">FNUAP :                  </w:t>
      </w:r>
      <w:r>
        <w:rPr>
          <w:rFonts w:ascii="Arial" w:eastAsiaTheme="minorEastAsia" w:hAnsi="Arial" w:cs="Arial"/>
        </w:rPr>
        <w:t>Fonds des Nations Unies pour la Population.</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rPr>
      </w:pPr>
      <w:r>
        <w:rPr>
          <w:rFonts w:ascii="Arial" w:eastAsiaTheme="minorEastAsia" w:hAnsi="Arial" w:cs="Arial"/>
          <w:b/>
          <w:bCs/>
        </w:rPr>
        <w:t xml:space="preserve">INSTAT : </w:t>
      </w:r>
      <w:r>
        <w:rPr>
          <w:rFonts w:ascii="Arial" w:eastAsiaTheme="minorEastAsia" w:hAnsi="Arial" w:cs="Arial"/>
          <w:b/>
          <w:bCs/>
        </w:rPr>
        <w:tab/>
      </w:r>
      <w:r>
        <w:rPr>
          <w:rFonts w:ascii="Arial" w:eastAsiaTheme="minorEastAsia" w:hAnsi="Arial" w:cs="Arial"/>
          <w:b/>
          <w:bCs/>
        </w:rPr>
        <w:tab/>
      </w:r>
      <w:r>
        <w:rPr>
          <w:rFonts w:ascii="Arial" w:eastAsiaTheme="minorEastAsia" w:hAnsi="Arial" w:cs="Arial"/>
        </w:rPr>
        <w:t>Institut National de la Statistique malgache.</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rPr>
      </w:pPr>
      <w:r>
        <w:rPr>
          <w:rFonts w:ascii="Arial" w:eastAsiaTheme="minorEastAsia" w:hAnsi="Arial" w:cs="Arial"/>
          <w:b/>
          <w:bCs/>
        </w:rPr>
        <w:t xml:space="preserve">IPEC : </w:t>
      </w:r>
      <w:r>
        <w:rPr>
          <w:rFonts w:ascii="Arial" w:eastAsiaTheme="minorEastAsia" w:hAnsi="Arial" w:cs="Arial"/>
          <w:b/>
          <w:bCs/>
        </w:rPr>
        <w:tab/>
      </w:r>
      <w:r>
        <w:rPr>
          <w:rFonts w:ascii="Arial" w:eastAsiaTheme="minorEastAsia" w:hAnsi="Arial" w:cs="Arial"/>
          <w:b/>
          <w:bCs/>
        </w:rPr>
        <w:tab/>
      </w:r>
      <w:r>
        <w:rPr>
          <w:rFonts w:ascii="Arial" w:eastAsiaTheme="minorEastAsia" w:hAnsi="Arial" w:cs="Arial"/>
          <w:color w:val="222222"/>
        </w:rPr>
        <w:t>Programme international pour l'abolition du travail des enfants.</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b/>
          <w:bCs/>
        </w:rPr>
      </w:pPr>
      <w:r>
        <w:rPr>
          <w:rFonts w:ascii="Arial" w:eastAsiaTheme="minorEastAsia" w:hAnsi="Arial" w:cs="Arial"/>
          <w:b/>
          <w:bCs/>
        </w:rPr>
        <w:t xml:space="preserve">OEMC :                   </w:t>
      </w:r>
      <w:r>
        <w:rPr>
          <w:rFonts w:ascii="Arial" w:eastAsiaTheme="minorEastAsia" w:hAnsi="Arial" w:cs="Arial"/>
        </w:rPr>
        <w:t>Office d’Education de Masse et de Civisme.</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b/>
          <w:bCs/>
        </w:rPr>
      </w:pPr>
      <w:r>
        <w:rPr>
          <w:rFonts w:ascii="Arial" w:eastAsiaTheme="minorEastAsia" w:hAnsi="Arial" w:cs="Arial"/>
          <w:b/>
          <w:bCs/>
        </w:rPr>
        <w:t>OMS:</w:t>
      </w:r>
      <w:r>
        <w:rPr>
          <w:rFonts w:ascii="Arial" w:eastAsiaTheme="minorEastAsia" w:hAnsi="Arial" w:cs="Arial"/>
          <w:b/>
          <w:bCs/>
        </w:rPr>
        <w:tab/>
      </w:r>
      <w:r>
        <w:rPr>
          <w:rFonts w:ascii="Arial" w:eastAsiaTheme="minorEastAsia" w:hAnsi="Arial" w:cs="Arial"/>
          <w:b/>
          <w:bCs/>
        </w:rPr>
        <w:tab/>
      </w:r>
      <w:r>
        <w:rPr>
          <w:rFonts w:ascii="Arial" w:eastAsiaTheme="minorEastAsia" w:hAnsi="Arial" w:cs="Arial"/>
          <w:b/>
          <w:bCs/>
        </w:rPr>
        <w:tab/>
      </w:r>
      <w:r>
        <w:rPr>
          <w:rFonts w:ascii="Arial" w:eastAsiaTheme="minorEastAsia" w:hAnsi="Arial" w:cs="Arial"/>
        </w:rPr>
        <w:t>Organisation Mondiale de la Santé.</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b/>
          <w:bCs/>
        </w:rPr>
      </w:pPr>
      <w:r>
        <w:rPr>
          <w:rFonts w:ascii="Arial" w:eastAsiaTheme="minorEastAsia" w:hAnsi="Arial" w:cs="Arial"/>
          <w:b/>
          <w:bCs/>
        </w:rPr>
        <w:t xml:space="preserve">ONG : </w:t>
      </w:r>
      <w:r>
        <w:rPr>
          <w:rFonts w:ascii="Arial" w:eastAsiaTheme="minorEastAsia" w:hAnsi="Arial" w:cs="Arial"/>
          <w:b/>
          <w:bCs/>
        </w:rPr>
        <w:tab/>
      </w:r>
      <w:r>
        <w:rPr>
          <w:rFonts w:ascii="Arial" w:eastAsiaTheme="minorEastAsia" w:hAnsi="Arial" w:cs="Arial"/>
          <w:b/>
          <w:bCs/>
        </w:rPr>
        <w:tab/>
      </w:r>
      <w:r>
        <w:rPr>
          <w:rFonts w:ascii="Arial" w:eastAsiaTheme="minorEastAsia" w:hAnsi="Arial" w:cs="Arial"/>
        </w:rPr>
        <w:t>Organisation(s) Non Gouvernementale(s).</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b/>
          <w:bCs/>
        </w:rPr>
      </w:pPr>
      <w:r>
        <w:rPr>
          <w:rFonts w:ascii="Arial" w:eastAsiaTheme="minorEastAsia" w:hAnsi="Arial" w:cs="Arial"/>
          <w:b/>
          <w:bCs/>
        </w:rPr>
        <w:t xml:space="preserve">OPJ : </w:t>
      </w:r>
      <w:r>
        <w:rPr>
          <w:rFonts w:ascii="Arial" w:eastAsiaTheme="minorEastAsia" w:hAnsi="Arial" w:cs="Arial"/>
          <w:b/>
          <w:bCs/>
        </w:rPr>
        <w:tab/>
      </w:r>
      <w:r>
        <w:rPr>
          <w:rFonts w:ascii="Arial" w:eastAsiaTheme="minorEastAsia" w:hAnsi="Arial" w:cs="Arial"/>
          <w:b/>
          <w:bCs/>
        </w:rPr>
        <w:tab/>
      </w:r>
      <w:r>
        <w:rPr>
          <w:rFonts w:ascii="Arial" w:eastAsiaTheme="minorEastAsia" w:hAnsi="Arial" w:cs="Arial"/>
          <w:b/>
          <w:bCs/>
        </w:rPr>
        <w:tab/>
      </w:r>
      <w:r>
        <w:rPr>
          <w:rFonts w:ascii="Arial" w:eastAsiaTheme="minorEastAsia" w:hAnsi="Arial" w:cs="Arial"/>
        </w:rPr>
        <w:t>Officier de Police Judiciaire.</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b/>
          <w:bCs/>
        </w:rPr>
      </w:pPr>
      <w:r>
        <w:rPr>
          <w:rFonts w:ascii="Arial" w:eastAsiaTheme="minorEastAsia" w:hAnsi="Arial" w:cs="Arial"/>
          <w:b/>
          <w:bCs/>
        </w:rPr>
        <w:t xml:space="preserve">OSC : </w:t>
      </w:r>
      <w:r>
        <w:rPr>
          <w:rFonts w:ascii="Arial" w:eastAsiaTheme="minorEastAsia" w:hAnsi="Arial" w:cs="Arial"/>
          <w:b/>
          <w:bCs/>
        </w:rPr>
        <w:tab/>
      </w:r>
      <w:r>
        <w:rPr>
          <w:rFonts w:ascii="Arial" w:eastAsiaTheme="minorEastAsia" w:hAnsi="Arial" w:cs="Arial"/>
          <w:b/>
          <w:bCs/>
        </w:rPr>
        <w:tab/>
      </w:r>
      <w:r>
        <w:rPr>
          <w:rFonts w:ascii="Arial" w:eastAsiaTheme="minorEastAsia" w:hAnsi="Arial" w:cs="Arial"/>
        </w:rPr>
        <w:t>Organisations de la Société Civile.</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b/>
          <w:bCs/>
        </w:rPr>
      </w:pPr>
      <w:r>
        <w:rPr>
          <w:rFonts w:ascii="Arial" w:eastAsiaTheme="minorEastAsia" w:hAnsi="Arial" w:cs="Arial"/>
          <w:b/>
          <w:bCs/>
        </w:rPr>
        <w:t>PAM :</w:t>
      </w:r>
      <w:r>
        <w:rPr>
          <w:rFonts w:ascii="Arial" w:eastAsiaTheme="minorEastAsia" w:hAnsi="Arial" w:cs="Arial"/>
          <w:b/>
          <w:bCs/>
        </w:rPr>
        <w:tab/>
      </w:r>
      <w:r>
        <w:rPr>
          <w:rFonts w:ascii="Arial" w:eastAsiaTheme="minorEastAsia" w:hAnsi="Arial" w:cs="Arial"/>
          <w:b/>
          <w:bCs/>
        </w:rPr>
        <w:tab/>
      </w:r>
      <w:r>
        <w:rPr>
          <w:rFonts w:ascii="Arial" w:eastAsiaTheme="minorEastAsia" w:hAnsi="Arial" w:cs="Arial"/>
          <w:b/>
          <w:bCs/>
        </w:rPr>
        <w:tab/>
      </w:r>
      <w:r>
        <w:rPr>
          <w:rFonts w:ascii="Arial" w:eastAsiaTheme="minorEastAsia" w:hAnsi="Arial" w:cs="Arial"/>
        </w:rPr>
        <w:t>Programme Alimentaire Mondial.</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b/>
          <w:bCs/>
        </w:rPr>
      </w:pPr>
      <w:r>
        <w:rPr>
          <w:rFonts w:ascii="Arial" w:eastAsiaTheme="minorEastAsia" w:hAnsi="Arial" w:cs="Arial"/>
          <w:b/>
          <w:bCs/>
        </w:rPr>
        <w:t xml:space="preserve">PNUD : </w:t>
      </w:r>
      <w:r>
        <w:rPr>
          <w:rFonts w:ascii="Arial" w:eastAsiaTheme="minorEastAsia" w:hAnsi="Arial" w:cs="Arial"/>
          <w:b/>
          <w:bCs/>
        </w:rPr>
        <w:tab/>
      </w:r>
      <w:r>
        <w:rPr>
          <w:rFonts w:ascii="Arial" w:eastAsiaTheme="minorEastAsia" w:hAnsi="Arial" w:cs="Arial"/>
          <w:b/>
          <w:bCs/>
        </w:rPr>
        <w:tab/>
      </w:r>
      <w:r>
        <w:rPr>
          <w:rFonts w:ascii="Arial" w:eastAsiaTheme="minorEastAsia" w:hAnsi="Arial" w:cs="Arial"/>
        </w:rPr>
        <w:t>Programme Des Nations Unies pour Le Développement.</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b/>
          <w:bCs/>
        </w:rPr>
      </w:pPr>
      <w:r>
        <w:rPr>
          <w:rFonts w:ascii="Arial" w:eastAsiaTheme="minorEastAsia" w:hAnsi="Arial" w:cs="Arial"/>
          <w:b/>
          <w:bCs/>
        </w:rPr>
        <w:t xml:space="preserve">RPE :                      </w:t>
      </w:r>
      <w:r>
        <w:rPr>
          <w:rFonts w:ascii="Arial" w:eastAsiaTheme="minorEastAsia" w:hAnsi="Arial" w:cs="Arial"/>
        </w:rPr>
        <w:t>Réseaux de Protection de l’enfant.</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rPr>
      </w:pPr>
      <w:r>
        <w:rPr>
          <w:rFonts w:ascii="Arial" w:eastAsiaTheme="minorEastAsia" w:hAnsi="Arial" w:cs="Arial"/>
          <w:b/>
          <w:bCs/>
        </w:rPr>
        <w:t xml:space="preserve">SPDTS : </w:t>
      </w:r>
      <w:r>
        <w:rPr>
          <w:rFonts w:ascii="Arial" w:eastAsiaTheme="minorEastAsia" w:hAnsi="Arial" w:cs="Arial"/>
          <w:b/>
          <w:bCs/>
        </w:rPr>
        <w:tab/>
      </w:r>
      <w:r>
        <w:rPr>
          <w:rFonts w:ascii="Arial" w:eastAsiaTheme="minorEastAsia" w:hAnsi="Arial" w:cs="Arial"/>
          <w:b/>
          <w:bCs/>
        </w:rPr>
        <w:tab/>
      </w:r>
      <w:r>
        <w:rPr>
          <w:rFonts w:ascii="Arial" w:eastAsiaTheme="minorEastAsia" w:hAnsi="Arial" w:cs="Arial"/>
        </w:rPr>
        <w:t>Syndicat des professionnels diplômés en travail social.</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b/>
          <w:bCs/>
        </w:rPr>
      </w:pPr>
      <w:r>
        <w:rPr>
          <w:rFonts w:ascii="Arial" w:eastAsiaTheme="minorEastAsia" w:hAnsi="Arial" w:cs="Arial"/>
          <w:b/>
          <w:bCs/>
        </w:rPr>
        <w:t xml:space="preserve">UE :                         </w:t>
      </w:r>
      <w:r>
        <w:rPr>
          <w:rFonts w:ascii="Arial" w:eastAsiaTheme="minorEastAsia" w:hAnsi="Arial" w:cs="Arial"/>
        </w:rPr>
        <w:t>Union Européenne.</w:t>
      </w:r>
    </w:p>
    <w:p w:rsidR="00F95626" w:rsidRDefault="00F95626" w:rsidP="006B340E">
      <w:pPr>
        <w:widowControl w:val="0"/>
        <w:autoSpaceDE w:val="0"/>
        <w:autoSpaceDN w:val="0"/>
        <w:adjustRightInd w:val="0"/>
        <w:spacing w:before="240" w:line="360" w:lineRule="auto"/>
        <w:ind w:left="2127" w:right="-432" w:hanging="2127"/>
        <w:jc w:val="both"/>
        <w:rPr>
          <w:rFonts w:ascii="Arial" w:eastAsiaTheme="minorEastAsia" w:hAnsi="Arial" w:cs="Arial"/>
        </w:rPr>
      </w:pPr>
      <w:r>
        <w:rPr>
          <w:rFonts w:ascii="Arial" w:eastAsiaTheme="minorEastAsia" w:hAnsi="Arial" w:cs="Arial"/>
          <w:b/>
          <w:bCs/>
        </w:rPr>
        <w:lastRenderedPageBreak/>
        <w:t>UNESCO :</w:t>
      </w:r>
      <w:r>
        <w:rPr>
          <w:rFonts w:ascii="Arial" w:eastAsiaTheme="minorEastAsia" w:hAnsi="Arial" w:cs="Arial"/>
          <w:b/>
          <w:bCs/>
        </w:rPr>
        <w:tab/>
      </w:r>
      <w:r>
        <w:rPr>
          <w:rFonts w:ascii="Arial" w:eastAsiaTheme="minorEastAsia" w:hAnsi="Arial" w:cs="Arial"/>
        </w:rPr>
        <w:t>Organisation des Nations Unies pour l’Education, la Science et la Culture.</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b/>
          <w:bCs/>
        </w:rPr>
      </w:pPr>
      <w:r>
        <w:rPr>
          <w:rFonts w:ascii="Arial" w:eastAsiaTheme="minorEastAsia" w:hAnsi="Arial" w:cs="Arial"/>
          <w:b/>
          <w:bCs/>
        </w:rPr>
        <w:t xml:space="preserve">UNICEF :                 </w:t>
      </w:r>
      <w:r>
        <w:rPr>
          <w:rFonts w:ascii="Arial" w:eastAsiaTheme="minorEastAsia" w:hAnsi="Arial" w:cs="Arial"/>
        </w:rPr>
        <w:t>Fonds Des Nations Unies pour l’Enfance.</w:t>
      </w:r>
    </w:p>
    <w:p w:rsidR="00F95626" w:rsidRDefault="00F95626" w:rsidP="006B340E">
      <w:pPr>
        <w:widowControl w:val="0"/>
        <w:autoSpaceDE w:val="0"/>
        <w:autoSpaceDN w:val="0"/>
        <w:adjustRightInd w:val="0"/>
        <w:spacing w:before="240" w:line="360" w:lineRule="auto"/>
        <w:ind w:right="-432"/>
        <w:jc w:val="both"/>
        <w:rPr>
          <w:rFonts w:ascii="Arial" w:eastAsiaTheme="minorEastAsia" w:hAnsi="Arial" w:cs="Arial"/>
          <w:b/>
          <w:bCs/>
        </w:rPr>
      </w:pPr>
      <w:r>
        <w:rPr>
          <w:rFonts w:ascii="Arial" w:eastAsiaTheme="minorEastAsia" w:hAnsi="Arial" w:cs="Arial"/>
          <w:b/>
          <w:bCs/>
        </w:rPr>
        <w:t>USAID :</w:t>
      </w:r>
      <w:r>
        <w:rPr>
          <w:rFonts w:ascii="Arial" w:eastAsiaTheme="minorEastAsia" w:hAnsi="Arial" w:cs="Arial"/>
        </w:rPr>
        <w:t xml:space="preserve"> </w:t>
      </w:r>
      <w:r>
        <w:rPr>
          <w:rFonts w:ascii="Arial" w:eastAsiaTheme="minorEastAsia" w:hAnsi="Arial" w:cs="Arial"/>
        </w:rPr>
        <w:tab/>
      </w:r>
      <w:r>
        <w:rPr>
          <w:rFonts w:ascii="Arial" w:eastAsiaTheme="minorEastAsia" w:hAnsi="Arial" w:cs="Arial"/>
        </w:rPr>
        <w:tab/>
        <w:t>Agent des Etats-Unis pour le Développement International</w:t>
      </w:r>
    </w:p>
    <w:p w:rsidR="00F95626" w:rsidRDefault="00F95626" w:rsidP="006B340E">
      <w:pPr>
        <w:widowControl w:val="0"/>
        <w:autoSpaceDE w:val="0"/>
        <w:autoSpaceDN w:val="0"/>
        <w:adjustRightInd w:val="0"/>
        <w:spacing w:after="200" w:line="276" w:lineRule="auto"/>
        <w:ind w:right="-432"/>
        <w:jc w:val="both"/>
        <w:rPr>
          <w:rFonts w:ascii="Arial" w:eastAsiaTheme="minorEastAsia" w:hAnsi="Arial" w:cs="Arial"/>
        </w:rPr>
      </w:pPr>
    </w:p>
    <w:p w:rsidR="00F95626" w:rsidRDefault="00F95626" w:rsidP="006B340E">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6B340E">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6B340E">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6B340E">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6B340E">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6B340E">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6B340E">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6B340E">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6B340E">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6B340E">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6B340E">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6B340E">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6B340E">
      <w:pPr>
        <w:widowControl w:val="0"/>
        <w:autoSpaceDE w:val="0"/>
        <w:autoSpaceDN w:val="0"/>
        <w:adjustRightInd w:val="0"/>
        <w:spacing w:before="100" w:after="100" w:line="360" w:lineRule="auto"/>
        <w:ind w:right="-432"/>
        <w:jc w:val="both"/>
        <w:rPr>
          <w:rFonts w:ascii="Arial" w:eastAsiaTheme="minorEastAsia" w:hAnsi="Arial" w:cs="Arial"/>
        </w:rPr>
      </w:pPr>
    </w:p>
    <w:p w:rsidR="00347DE4" w:rsidRDefault="00347DE4" w:rsidP="006B340E">
      <w:pPr>
        <w:widowControl w:val="0"/>
        <w:autoSpaceDE w:val="0"/>
        <w:autoSpaceDN w:val="0"/>
        <w:adjustRightInd w:val="0"/>
        <w:spacing w:before="100" w:after="100" w:line="360" w:lineRule="auto"/>
        <w:ind w:right="-432"/>
        <w:jc w:val="both"/>
        <w:rPr>
          <w:rFonts w:ascii="Arial" w:eastAsiaTheme="minorEastAsia" w:hAnsi="Arial" w:cs="Arial"/>
        </w:rPr>
      </w:pPr>
    </w:p>
    <w:p w:rsidR="00347DE4" w:rsidRDefault="00347DE4" w:rsidP="006B340E">
      <w:pPr>
        <w:widowControl w:val="0"/>
        <w:autoSpaceDE w:val="0"/>
        <w:autoSpaceDN w:val="0"/>
        <w:adjustRightInd w:val="0"/>
        <w:spacing w:before="100" w:after="100" w:line="360" w:lineRule="auto"/>
        <w:ind w:right="-432"/>
        <w:jc w:val="both"/>
        <w:rPr>
          <w:rFonts w:ascii="Arial" w:eastAsiaTheme="minorEastAsia" w:hAnsi="Arial" w:cs="Arial"/>
        </w:rPr>
      </w:pPr>
    </w:p>
    <w:p w:rsidR="00347DE4" w:rsidRDefault="00347DE4" w:rsidP="006B340E">
      <w:pPr>
        <w:widowControl w:val="0"/>
        <w:autoSpaceDE w:val="0"/>
        <w:autoSpaceDN w:val="0"/>
        <w:adjustRightInd w:val="0"/>
        <w:spacing w:before="100" w:after="100" w:line="360" w:lineRule="auto"/>
        <w:ind w:right="-432"/>
        <w:jc w:val="both"/>
        <w:rPr>
          <w:rFonts w:ascii="Arial" w:eastAsiaTheme="minorEastAsia" w:hAnsi="Arial" w:cs="Arial"/>
        </w:rPr>
      </w:pPr>
    </w:p>
    <w:p w:rsidR="00347DE4" w:rsidRDefault="00347DE4" w:rsidP="00F95626">
      <w:pPr>
        <w:widowControl w:val="0"/>
        <w:autoSpaceDE w:val="0"/>
        <w:autoSpaceDN w:val="0"/>
        <w:adjustRightInd w:val="0"/>
        <w:spacing w:before="100" w:after="100" w:line="360" w:lineRule="auto"/>
        <w:ind w:right="-432"/>
        <w:jc w:val="both"/>
        <w:rPr>
          <w:rFonts w:ascii="Arial" w:eastAsiaTheme="minorEastAsia" w:hAnsi="Arial" w:cs="Arial"/>
        </w:rPr>
      </w:pPr>
    </w:p>
    <w:p w:rsidR="00347DE4" w:rsidRDefault="00347DE4" w:rsidP="00F95626">
      <w:pPr>
        <w:widowControl w:val="0"/>
        <w:autoSpaceDE w:val="0"/>
        <w:autoSpaceDN w:val="0"/>
        <w:adjustRightInd w:val="0"/>
        <w:spacing w:before="100" w:after="100" w:line="360" w:lineRule="auto"/>
        <w:ind w:right="-432"/>
        <w:jc w:val="both"/>
        <w:rPr>
          <w:rFonts w:ascii="Arial" w:eastAsiaTheme="minorEastAsia" w:hAnsi="Arial" w:cs="Arial"/>
        </w:rPr>
      </w:pPr>
    </w:p>
    <w:p w:rsidR="00347DE4" w:rsidRDefault="00347DE4" w:rsidP="00F95626">
      <w:pPr>
        <w:widowControl w:val="0"/>
        <w:autoSpaceDE w:val="0"/>
        <w:autoSpaceDN w:val="0"/>
        <w:adjustRightInd w:val="0"/>
        <w:spacing w:before="100" w:after="100" w:line="360" w:lineRule="auto"/>
        <w:ind w:right="-432"/>
        <w:jc w:val="both"/>
        <w:rPr>
          <w:rFonts w:ascii="Arial" w:eastAsiaTheme="minorEastAsia" w:hAnsi="Arial" w:cs="Arial"/>
        </w:rPr>
      </w:pPr>
    </w:p>
    <w:p w:rsidR="00347DE4" w:rsidRDefault="00347DE4" w:rsidP="00F95626">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p>
    <w:p w:rsidR="00F95626" w:rsidRPr="006B340E" w:rsidRDefault="00F95626" w:rsidP="00F95626">
      <w:pPr>
        <w:widowControl w:val="0"/>
        <w:autoSpaceDE w:val="0"/>
        <w:autoSpaceDN w:val="0"/>
        <w:adjustRightInd w:val="0"/>
        <w:spacing w:before="100" w:after="100" w:line="360" w:lineRule="auto"/>
        <w:ind w:right="-432"/>
        <w:jc w:val="center"/>
        <w:rPr>
          <w:rFonts w:ascii="Arial" w:eastAsiaTheme="minorEastAsia" w:hAnsi="Arial" w:cs="Arial"/>
          <w:sz w:val="28"/>
          <w:szCs w:val="28"/>
        </w:rPr>
      </w:pPr>
      <w:r w:rsidRPr="006B340E">
        <w:rPr>
          <w:rFonts w:ascii="Arial" w:eastAsiaTheme="minorEastAsia" w:hAnsi="Arial" w:cs="Arial"/>
          <w:b/>
          <w:bCs/>
          <w:sz w:val="28"/>
          <w:szCs w:val="28"/>
        </w:rPr>
        <w:lastRenderedPageBreak/>
        <w:t>INTRODUCTION</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Madagascar a ratifié la Convention relative aux Droits de l’Enfant le 19 mars 1991 et a présenté ses deuxième, troisième et quatrième r</w:t>
      </w:r>
      <w:r w:rsidR="006B340E">
        <w:rPr>
          <w:rFonts w:ascii="Arial" w:eastAsiaTheme="minorEastAsia" w:hAnsi="Arial" w:cs="Arial"/>
        </w:rPr>
        <w:t xml:space="preserve">apports périodiques combinés. </w:t>
      </w:r>
      <w:r>
        <w:rPr>
          <w:rFonts w:ascii="Arial" w:eastAsiaTheme="minorEastAsia" w:hAnsi="Arial" w:cs="Arial"/>
        </w:rPr>
        <w:t>Dans  ses  observations  lors  de  l’examen du deuxième rapport , le Comité des droits de l’enfant a recommandé à Madagascar  la ratification  et  l’application  des  deux  protocoles:</w:t>
      </w:r>
    </w:p>
    <w:p w:rsidR="00F95626" w:rsidRDefault="00F95626" w:rsidP="00F95626">
      <w:pPr>
        <w:widowControl w:val="0"/>
        <w:numPr>
          <w:ilvl w:val="1"/>
          <w:numId w:val="6"/>
        </w:numPr>
        <w:autoSpaceDE w:val="0"/>
        <w:autoSpaceDN w:val="0"/>
        <w:adjustRightInd w:val="0"/>
        <w:spacing w:before="100" w:after="100" w:line="360" w:lineRule="auto"/>
        <w:ind w:left="360" w:right="-432"/>
        <w:jc w:val="both"/>
        <w:rPr>
          <w:rFonts w:ascii="Arial" w:eastAsiaTheme="minorEastAsia" w:hAnsi="Arial" w:cs="Arial"/>
        </w:rPr>
      </w:pPr>
      <w:r>
        <w:rPr>
          <w:rFonts w:ascii="Arial" w:eastAsiaTheme="minorEastAsia" w:hAnsi="Arial" w:cs="Arial"/>
        </w:rPr>
        <w:t>Le protocole facultatif se rapportant à la Convention relative aux droits de l’enfant, concernant l’implication d’enfants dans les conflits armés ;</w:t>
      </w:r>
    </w:p>
    <w:p w:rsidR="00F95626" w:rsidRDefault="00F95626" w:rsidP="00F95626">
      <w:pPr>
        <w:widowControl w:val="0"/>
        <w:numPr>
          <w:ilvl w:val="1"/>
          <w:numId w:val="6"/>
        </w:numPr>
        <w:autoSpaceDE w:val="0"/>
        <w:autoSpaceDN w:val="0"/>
        <w:adjustRightInd w:val="0"/>
        <w:spacing w:before="100" w:after="100" w:line="360" w:lineRule="auto"/>
        <w:ind w:left="360" w:right="-432"/>
        <w:jc w:val="both"/>
        <w:rPr>
          <w:rFonts w:ascii="Arial" w:eastAsiaTheme="minorEastAsia" w:hAnsi="Arial" w:cs="Arial"/>
        </w:rPr>
      </w:pPr>
      <w:r>
        <w:rPr>
          <w:rFonts w:ascii="Arial" w:eastAsiaTheme="minorEastAsia" w:hAnsi="Arial" w:cs="Arial"/>
        </w:rPr>
        <w:t>Le protocole facultatif à la Convention relative aux droits de l’enfant, concernant la vente d’enfants, la prostitution des enfants et la pornographie mettant en scène des enfants.</w:t>
      </w:r>
    </w:p>
    <w:p w:rsidR="00F95626" w:rsidRDefault="00F95626" w:rsidP="00F95626">
      <w:pPr>
        <w:widowControl w:val="0"/>
        <w:autoSpaceDE w:val="0"/>
        <w:autoSpaceDN w:val="0"/>
        <w:adjustRightInd w:val="0"/>
        <w:spacing w:before="100" w:after="100" w:line="360" w:lineRule="auto"/>
        <w:ind w:left="360" w:right="-432"/>
        <w:jc w:val="both"/>
        <w:rPr>
          <w:rFonts w:ascii="Arial" w:eastAsiaTheme="minorEastAsia" w:hAnsi="Arial" w:cs="Arial"/>
        </w:rPr>
      </w:pPr>
      <w:r>
        <w:rPr>
          <w:rFonts w:ascii="Arial" w:eastAsiaTheme="minorEastAsia" w:hAnsi="Arial" w:cs="Arial"/>
        </w:rPr>
        <w:t>Pour la mise en œuvre de cette recommandation, Madagascar a ratifié ces deux protocoles en septembre 2004.</w:t>
      </w:r>
    </w:p>
    <w:p w:rsidR="00F95626" w:rsidRDefault="00F95626" w:rsidP="00F95626">
      <w:pPr>
        <w:widowControl w:val="0"/>
        <w:autoSpaceDE w:val="0"/>
        <w:autoSpaceDN w:val="0"/>
        <w:adjustRightInd w:val="0"/>
        <w:spacing w:before="100" w:after="100" w:line="360" w:lineRule="auto"/>
        <w:ind w:left="360" w:right="-432"/>
        <w:jc w:val="both"/>
        <w:rPr>
          <w:rFonts w:ascii="Arial" w:eastAsiaTheme="minorEastAsia" w:hAnsi="Arial" w:cs="Arial"/>
        </w:rPr>
      </w:pPr>
      <w:r>
        <w:rPr>
          <w:rFonts w:ascii="Arial" w:eastAsiaTheme="minorEastAsia" w:hAnsi="Arial" w:cs="Arial"/>
        </w:rPr>
        <w:t xml:space="preserve">L’article 12 du protocole oblige les Etats Parties à présenter au Comité des Droits de l’Enfant un rapport initial et des rapports périodiques contenant des renseignements détaillés sur les mesures prises pour donner effet aux dispositions du protocole. </w:t>
      </w:r>
    </w:p>
    <w:p w:rsidR="00F95626" w:rsidRDefault="00F95626" w:rsidP="00F95626">
      <w:pPr>
        <w:widowControl w:val="0"/>
        <w:autoSpaceDE w:val="0"/>
        <w:autoSpaceDN w:val="0"/>
        <w:adjustRightInd w:val="0"/>
        <w:spacing w:before="100" w:after="100" w:line="360" w:lineRule="auto"/>
        <w:ind w:left="360" w:right="-432"/>
        <w:jc w:val="both"/>
        <w:rPr>
          <w:rFonts w:ascii="Arial" w:eastAsiaTheme="minorEastAsia" w:hAnsi="Arial" w:cs="Arial"/>
        </w:rPr>
      </w:pPr>
      <w:r>
        <w:rPr>
          <w:rFonts w:ascii="Arial" w:eastAsiaTheme="minorEastAsia" w:hAnsi="Arial" w:cs="Arial"/>
        </w:rPr>
        <w:t xml:space="preserve">A l’issue de l’examen des troisième et quatrième rapports sur l’application de la Convention des droits de l’enfant  en 2012, il a été également recommandé à Madagascar de soumettre ses rapports initiaux sur l’application des deux protocoles. </w:t>
      </w:r>
    </w:p>
    <w:p w:rsidR="00F95626" w:rsidRDefault="00F95626" w:rsidP="00F95626">
      <w:pPr>
        <w:widowControl w:val="0"/>
        <w:autoSpaceDE w:val="0"/>
        <w:autoSpaceDN w:val="0"/>
        <w:adjustRightInd w:val="0"/>
        <w:spacing w:before="100" w:after="100" w:line="360" w:lineRule="auto"/>
        <w:ind w:left="360" w:right="-432"/>
        <w:jc w:val="both"/>
        <w:rPr>
          <w:rFonts w:ascii="Arial" w:eastAsiaTheme="minorEastAsia" w:hAnsi="Arial" w:cs="Arial"/>
        </w:rPr>
      </w:pPr>
      <w:r>
        <w:rPr>
          <w:rFonts w:ascii="Arial" w:eastAsiaTheme="minorEastAsia" w:hAnsi="Arial" w:cs="Arial"/>
        </w:rPr>
        <w:t xml:space="preserve">Conformément à l’article 12 du protocole et pour la mise en œuvre de la recommandation sus-évoquée, le Comité interministériel de rédaction de rapport a établi le présent rapport initial. </w:t>
      </w:r>
    </w:p>
    <w:p w:rsidR="00F95626" w:rsidRDefault="00F95626" w:rsidP="00347DE4">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Le présent rapport a été établi suivant les directives révisées du Comité. Le processus de rédaction a débuté en 2007 à Antsirabe et a été repris en 2012 dans la capitale. Ce retard est dû au rattrapage de rédaction et de soumission des autres rapports périodiques en souffrance. </w:t>
      </w:r>
    </w:p>
    <w:p w:rsidR="00F95626" w:rsidRDefault="00F95626" w:rsidP="00F95626">
      <w:pPr>
        <w:widowControl w:val="0"/>
        <w:autoSpaceDE w:val="0"/>
        <w:autoSpaceDN w:val="0"/>
        <w:adjustRightInd w:val="0"/>
        <w:spacing w:before="100" w:after="100" w:line="360" w:lineRule="auto"/>
        <w:ind w:left="360" w:right="-432"/>
        <w:jc w:val="both"/>
        <w:rPr>
          <w:rFonts w:ascii="Arial" w:eastAsiaTheme="minorEastAsia" w:hAnsi="Arial" w:cs="Arial"/>
        </w:rPr>
      </w:pPr>
      <w:r>
        <w:rPr>
          <w:rFonts w:ascii="Arial" w:eastAsiaTheme="minorEastAsia" w:hAnsi="Arial" w:cs="Arial"/>
        </w:rPr>
        <w:t>En effet, Madagascar a soumis et soutenu successivement devant les organes des traités concernés les rapports relatifs à l’application :</w:t>
      </w:r>
    </w:p>
    <w:p w:rsidR="00F95626" w:rsidRDefault="00F95626" w:rsidP="00F95626">
      <w:pPr>
        <w:widowControl w:val="0"/>
        <w:numPr>
          <w:ilvl w:val="1"/>
          <w:numId w:val="7"/>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t>de la Convention sur l’élimination de toutes les formes de discrimination raciale en 2004 ;</w:t>
      </w:r>
    </w:p>
    <w:p w:rsidR="00F95626" w:rsidRDefault="00F95626" w:rsidP="00F95626">
      <w:pPr>
        <w:widowControl w:val="0"/>
        <w:numPr>
          <w:ilvl w:val="1"/>
          <w:numId w:val="7"/>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t>du Pacte International relatif aux droits civils et politiques en 2007 ;</w:t>
      </w:r>
    </w:p>
    <w:p w:rsidR="00F95626" w:rsidRDefault="00F95626" w:rsidP="00F95626">
      <w:pPr>
        <w:widowControl w:val="0"/>
        <w:numPr>
          <w:ilvl w:val="1"/>
          <w:numId w:val="7"/>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lastRenderedPageBreak/>
        <w:t>de la Convention sur l’élimination de toutes les formes de discrimination à l’égard des femmes en 2008 ;</w:t>
      </w:r>
    </w:p>
    <w:p w:rsidR="00F95626" w:rsidRDefault="00F95626" w:rsidP="00F95626">
      <w:pPr>
        <w:widowControl w:val="0"/>
        <w:numPr>
          <w:ilvl w:val="1"/>
          <w:numId w:val="7"/>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t>du Pacte international relatif aux droits économiques, sociaux et culturels en 2009 ;</w:t>
      </w:r>
    </w:p>
    <w:p w:rsidR="00F95626" w:rsidRDefault="00F95626" w:rsidP="00F95626">
      <w:pPr>
        <w:widowControl w:val="0"/>
        <w:numPr>
          <w:ilvl w:val="1"/>
          <w:numId w:val="7"/>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t>du rapport national dans le cadre de l’examen périodique universel en 2010 ;</w:t>
      </w:r>
    </w:p>
    <w:p w:rsidR="00F95626" w:rsidRDefault="00F95626" w:rsidP="00F95626">
      <w:pPr>
        <w:widowControl w:val="0"/>
        <w:numPr>
          <w:ilvl w:val="1"/>
          <w:numId w:val="7"/>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t>du rapport initial sur l’application de la convention contre la torture et les autres peines inhumaines et dégradantes en 2011 ;</w:t>
      </w:r>
    </w:p>
    <w:p w:rsidR="00F95626" w:rsidRPr="00347DE4" w:rsidRDefault="00F95626" w:rsidP="00347DE4">
      <w:pPr>
        <w:widowControl w:val="0"/>
        <w:numPr>
          <w:ilvl w:val="1"/>
          <w:numId w:val="7"/>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t>de la Convention sur les droits de l’enfant (troisième et quatrième rapports)…..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Pour la rédaction de ces rapports, le Comité de rédaction a bénéficié d’un appui technique et financier de la part de l’Union Européenne,   du PNUD, de l’UNICEF et  du Haut Commissariat aux droits de l’homme. Ce Comité interministériel est composé de représentants de tous les ministères concernés avec inclusion des représentants de la société civile au niveau centrale et régionale. La participation des organisations de la société civile n’écarte pas leur droit de soumettre des rapports alternatifs visant à compléter les informations nécessaires à la compréhension des réalités sur la situation ou l’évolution de la promotion et de la protection des Droits de l’Homme. </w:t>
      </w:r>
    </w:p>
    <w:p w:rsidR="00F95626" w:rsidRDefault="00F95626" w:rsidP="00F95626">
      <w:pPr>
        <w:widowControl w:val="0"/>
        <w:autoSpaceDE w:val="0"/>
        <w:autoSpaceDN w:val="0"/>
        <w:adjustRightInd w:val="0"/>
        <w:spacing w:before="100" w:after="100" w:line="360" w:lineRule="auto"/>
        <w:ind w:right="-432"/>
        <w:rPr>
          <w:rFonts w:ascii="Arial" w:eastAsiaTheme="minorEastAsia" w:hAnsi="Arial" w:cs="Arial"/>
          <w:b/>
          <w:bCs/>
        </w:rPr>
      </w:pPr>
    </w:p>
    <w:p w:rsidR="006B340E" w:rsidRDefault="006B340E" w:rsidP="00F95626">
      <w:pPr>
        <w:widowControl w:val="0"/>
        <w:autoSpaceDE w:val="0"/>
        <w:autoSpaceDN w:val="0"/>
        <w:adjustRightInd w:val="0"/>
        <w:spacing w:before="100" w:after="100" w:line="360" w:lineRule="auto"/>
        <w:ind w:right="-432"/>
        <w:jc w:val="both"/>
        <w:rPr>
          <w:rFonts w:ascii="Arial" w:eastAsiaTheme="minorEastAsia" w:hAnsi="Arial" w:cs="Arial"/>
          <w:b/>
          <w:bCs/>
          <w:sz w:val="36"/>
          <w:szCs w:val="36"/>
        </w:rPr>
      </w:pPr>
    </w:p>
    <w:p w:rsidR="006B340E" w:rsidRDefault="006B340E" w:rsidP="00F95626">
      <w:pPr>
        <w:widowControl w:val="0"/>
        <w:autoSpaceDE w:val="0"/>
        <w:autoSpaceDN w:val="0"/>
        <w:adjustRightInd w:val="0"/>
        <w:spacing w:before="100" w:after="100" w:line="360" w:lineRule="auto"/>
        <w:ind w:right="-432"/>
        <w:jc w:val="both"/>
        <w:rPr>
          <w:rFonts w:ascii="Arial" w:eastAsiaTheme="minorEastAsia" w:hAnsi="Arial" w:cs="Arial"/>
          <w:b/>
          <w:bCs/>
          <w:sz w:val="36"/>
          <w:szCs w:val="36"/>
        </w:rPr>
      </w:pPr>
    </w:p>
    <w:p w:rsidR="006B340E" w:rsidRDefault="006B340E" w:rsidP="00F95626">
      <w:pPr>
        <w:widowControl w:val="0"/>
        <w:autoSpaceDE w:val="0"/>
        <w:autoSpaceDN w:val="0"/>
        <w:adjustRightInd w:val="0"/>
        <w:spacing w:before="100" w:after="100" w:line="360" w:lineRule="auto"/>
        <w:ind w:right="-432"/>
        <w:jc w:val="both"/>
        <w:rPr>
          <w:rFonts w:ascii="Arial" w:eastAsiaTheme="minorEastAsia" w:hAnsi="Arial" w:cs="Arial"/>
          <w:b/>
          <w:bCs/>
          <w:sz w:val="36"/>
          <w:szCs w:val="36"/>
        </w:rPr>
      </w:pPr>
    </w:p>
    <w:p w:rsidR="006B340E" w:rsidRDefault="006B340E" w:rsidP="00F95626">
      <w:pPr>
        <w:widowControl w:val="0"/>
        <w:autoSpaceDE w:val="0"/>
        <w:autoSpaceDN w:val="0"/>
        <w:adjustRightInd w:val="0"/>
        <w:spacing w:before="100" w:after="100" w:line="360" w:lineRule="auto"/>
        <w:ind w:right="-432"/>
        <w:jc w:val="both"/>
        <w:rPr>
          <w:rFonts w:ascii="Arial" w:eastAsiaTheme="minorEastAsia" w:hAnsi="Arial" w:cs="Arial"/>
          <w:b/>
          <w:bCs/>
          <w:sz w:val="36"/>
          <w:szCs w:val="36"/>
        </w:rPr>
      </w:pPr>
    </w:p>
    <w:p w:rsidR="006B340E" w:rsidRDefault="006B340E" w:rsidP="00F95626">
      <w:pPr>
        <w:widowControl w:val="0"/>
        <w:autoSpaceDE w:val="0"/>
        <w:autoSpaceDN w:val="0"/>
        <w:adjustRightInd w:val="0"/>
        <w:spacing w:before="100" w:after="100" w:line="360" w:lineRule="auto"/>
        <w:ind w:right="-432"/>
        <w:jc w:val="both"/>
        <w:rPr>
          <w:rFonts w:ascii="Arial" w:eastAsiaTheme="minorEastAsia" w:hAnsi="Arial" w:cs="Arial"/>
          <w:b/>
          <w:bCs/>
          <w:sz w:val="36"/>
          <w:szCs w:val="36"/>
        </w:rPr>
      </w:pPr>
    </w:p>
    <w:p w:rsidR="006B340E" w:rsidRDefault="006B340E" w:rsidP="00F95626">
      <w:pPr>
        <w:widowControl w:val="0"/>
        <w:autoSpaceDE w:val="0"/>
        <w:autoSpaceDN w:val="0"/>
        <w:adjustRightInd w:val="0"/>
        <w:spacing w:before="100" w:after="100" w:line="360" w:lineRule="auto"/>
        <w:ind w:right="-432"/>
        <w:jc w:val="both"/>
        <w:rPr>
          <w:rFonts w:ascii="Arial" w:eastAsiaTheme="minorEastAsia" w:hAnsi="Arial" w:cs="Arial"/>
          <w:b/>
          <w:bCs/>
          <w:sz w:val="36"/>
          <w:szCs w:val="36"/>
        </w:rPr>
      </w:pPr>
    </w:p>
    <w:p w:rsidR="006B340E" w:rsidRDefault="006B340E" w:rsidP="00F95626">
      <w:pPr>
        <w:widowControl w:val="0"/>
        <w:autoSpaceDE w:val="0"/>
        <w:autoSpaceDN w:val="0"/>
        <w:adjustRightInd w:val="0"/>
        <w:spacing w:before="100" w:after="100" w:line="360" w:lineRule="auto"/>
        <w:ind w:right="-432"/>
        <w:jc w:val="both"/>
        <w:rPr>
          <w:rFonts w:ascii="Arial" w:eastAsiaTheme="minorEastAsia" w:hAnsi="Arial" w:cs="Arial"/>
          <w:b/>
          <w:bCs/>
          <w:sz w:val="36"/>
          <w:szCs w:val="36"/>
        </w:rPr>
      </w:pPr>
    </w:p>
    <w:p w:rsidR="006B340E" w:rsidRDefault="006B340E" w:rsidP="00F95626">
      <w:pPr>
        <w:widowControl w:val="0"/>
        <w:autoSpaceDE w:val="0"/>
        <w:autoSpaceDN w:val="0"/>
        <w:adjustRightInd w:val="0"/>
        <w:spacing w:before="100" w:after="100" w:line="360" w:lineRule="auto"/>
        <w:ind w:right="-432"/>
        <w:jc w:val="both"/>
        <w:rPr>
          <w:rFonts w:ascii="Arial" w:eastAsiaTheme="minorEastAsia" w:hAnsi="Arial" w:cs="Arial"/>
          <w:b/>
          <w:bCs/>
          <w:sz w:val="36"/>
          <w:szCs w:val="36"/>
        </w:rPr>
      </w:pPr>
    </w:p>
    <w:p w:rsidR="006B340E" w:rsidRDefault="006B340E" w:rsidP="00F95626">
      <w:pPr>
        <w:widowControl w:val="0"/>
        <w:autoSpaceDE w:val="0"/>
        <w:autoSpaceDN w:val="0"/>
        <w:adjustRightInd w:val="0"/>
        <w:spacing w:before="100" w:after="100" w:line="360" w:lineRule="auto"/>
        <w:ind w:right="-432"/>
        <w:jc w:val="both"/>
        <w:rPr>
          <w:rFonts w:ascii="Arial" w:eastAsiaTheme="minorEastAsia" w:hAnsi="Arial" w:cs="Arial"/>
          <w:b/>
          <w:bCs/>
          <w:sz w:val="36"/>
          <w:szCs w:val="36"/>
        </w:rPr>
      </w:pPr>
    </w:p>
    <w:p w:rsidR="00F95626" w:rsidRPr="00002269" w:rsidRDefault="00F95626" w:rsidP="00F95626">
      <w:pPr>
        <w:widowControl w:val="0"/>
        <w:autoSpaceDE w:val="0"/>
        <w:autoSpaceDN w:val="0"/>
        <w:adjustRightInd w:val="0"/>
        <w:spacing w:before="100" w:after="100" w:line="360" w:lineRule="auto"/>
        <w:ind w:right="-432"/>
        <w:jc w:val="both"/>
        <w:rPr>
          <w:rFonts w:ascii="Arial" w:eastAsiaTheme="minorEastAsia" w:hAnsi="Arial" w:cs="Arial"/>
          <w:b/>
          <w:bCs/>
          <w:sz w:val="32"/>
          <w:szCs w:val="32"/>
        </w:rPr>
      </w:pPr>
      <w:r w:rsidRPr="00002269">
        <w:rPr>
          <w:rFonts w:ascii="Arial" w:eastAsiaTheme="minorEastAsia" w:hAnsi="Arial" w:cs="Arial"/>
          <w:b/>
          <w:bCs/>
          <w:sz w:val="32"/>
          <w:szCs w:val="32"/>
        </w:rPr>
        <w:lastRenderedPageBreak/>
        <w:t xml:space="preserve">PARTIE I : INFORMATIONS GENERALES  </w:t>
      </w:r>
    </w:p>
    <w:p w:rsidR="00F95626" w:rsidRPr="00002269" w:rsidRDefault="00F95626" w:rsidP="00F95626">
      <w:pPr>
        <w:widowControl w:val="0"/>
        <w:autoSpaceDE w:val="0"/>
        <w:autoSpaceDN w:val="0"/>
        <w:adjustRightInd w:val="0"/>
        <w:spacing w:before="100" w:after="100" w:line="360" w:lineRule="auto"/>
        <w:ind w:right="-432"/>
        <w:jc w:val="both"/>
        <w:rPr>
          <w:rFonts w:ascii="Arial" w:eastAsiaTheme="minorEastAsia" w:hAnsi="Arial" w:cs="Arial"/>
          <w:b/>
          <w:bCs/>
          <w:sz w:val="28"/>
          <w:szCs w:val="28"/>
        </w:rPr>
      </w:pPr>
      <w:r w:rsidRPr="00002269">
        <w:rPr>
          <w:rFonts w:ascii="Arial" w:eastAsiaTheme="minorEastAsia" w:hAnsi="Arial" w:cs="Arial"/>
          <w:b/>
          <w:bCs/>
          <w:sz w:val="28"/>
          <w:szCs w:val="28"/>
        </w:rPr>
        <w:t>A. Définition de l’enfant selon le droit malagasy</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La définition de l’enfant dans la législation nationale est conforme à celle de la Convention relative aux droits de l’enfant qui dispose en son article premier « qu’un enfant s’entend de tout être humain âgé de moins de dix-huit ans, sauf si la majorité est atteinte plus tôt en vertu de la législation qui lui est applicable ».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Cette définition est consacrée par les lois nationales relatives : </w:t>
      </w:r>
    </w:p>
    <w:p w:rsidR="00F95626" w:rsidRDefault="00F95626" w:rsidP="00F95626">
      <w:pPr>
        <w:widowControl w:val="0"/>
        <w:numPr>
          <w:ilvl w:val="1"/>
          <w:numId w:val="8"/>
        </w:numPr>
        <w:autoSpaceDE w:val="0"/>
        <w:autoSpaceDN w:val="0"/>
        <w:adjustRightInd w:val="0"/>
        <w:spacing w:before="100" w:after="100" w:line="360" w:lineRule="auto"/>
        <w:ind w:left="783" w:right="-432"/>
        <w:jc w:val="both"/>
        <w:rPr>
          <w:rFonts w:ascii="Arial" w:eastAsiaTheme="minorEastAsia" w:hAnsi="Arial" w:cs="Arial"/>
        </w:rPr>
      </w:pPr>
      <w:r>
        <w:rPr>
          <w:rFonts w:ascii="Arial" w:eastAsiaTheme="minorEastAsia" w:hAnsi="Arial" w:cs="Arial"/>
        </w:rPr>
        <w:t>à l’adoption ;</w:t>
      </w:r>
    </w:p>
    <w:p w:rsidR="00F95626" w:rsidRDefault="00F95626" w:rsidP="00F95626">
      <w:pPr>
        <w:widowControl w:val="0"/>
        <w:numPr>
          <w:ilvl w:val="1"/>
          <w:numId w:val="8"/>
        </w:numPr>
        <w:autoSpaceDE w:val="0"/>
        <w:autoSpaceDN w:val="0"/>
        <w:adjustRightInd w:val="0"/>
        <w:spacing w:before="100" w:after="100" w:line="360" w:lineRule="auto"/>
        <w:ind w:left="783" w:right="-432"/>
        <w:jc w:val="both"/>
        <w:rPr>
          <w:rFonts w:ascii="Arial" w:eastAsiaTheme="minorEastAsia" w:hAnsi="Arial" w:cs="Arial"/>
        </w:rPr>
      </w:pPr>
      <w:r>
        <w:rPr>
          <w:rFonts w:ascii="Arial" w:eastAsiaTheme="minorEastAsia" w:hAnsi="Arial" w:cs="Arial"/>
        </w:rPr>
        <w:t>au droit et protection des enfants ;</w:t>
      </w:r>
    </w:p>
    <w:p w:rsidR="00F95626" w:rsidRDefault="00F95626" w:rsidP="00F95626">
      <w:pPr>
        <w:widowControl w:val="0"/>
        <w:numPr>
          <w:ilvl w:val="1"/>
          <w:numId w:val="8"/>
        </w:numPr>
        <w:autoSpaceDE w:val="0"/>
        <w:autoSpaceDN w:val="0"/>
        <w:adjustRightInd w:val="0"/>
        <w:spacing w:before="100" w:after="100" w:line="360" w:lineRule="auto"/>
        <w:ind w:left="783" w:right="-432"/>
        <w:jc w:val="both"/>
        <w:rPr>
          <w:rFonts w:ascii="Arial" w:eastAsiaTheme="minorEastAsia" w:hAnsi="Arial" w:cs="Arial"/>
        </w:rPr>
      </w:pPr>
      <w:r>
        <w:rPr>
          <w:rFonts w:ascii="Arial" w:eastAsiaTheme="minorEastAsia" w:hAnsi="Arial" w:cs="Arial"/>
        </w:rPr>
        <w:t>au mariage et aux régimes matrimoniaux ;</w:t>
      </w:r>
    </w:p>
    <w:p w:rsidR="00002269" w:rsidRPr="00002269" w:rsidRDefault="00F95626" w:rsidP="00F95626">
      <w:pPr>
        <w:widowControl w:val="0"/>
        <w:numPr>
          <w:ilvl w:val="1"/>
          <w:numId w:val="8"/>
        </w:numPr>
        <w:autoSpaceDE w:val="0"/>
        <w:autoSpaceDN w:val="0"/>
        <w:adjustRightInd w:val="0"/>
        <w:spacing w:before="100" w:after="100" w:line="360" w:lineRule="auto"/>
        <w:ind w:left="783" w:right="-432"/>
        <w:jc w:val="both"/>
        <w:rPr>
          <w:rFonts w:ascii="Arial" w:eastAsiaTheme="minorEastAsia" w:hAnsi="Arial" w:cs="Arial"/>
        </w:rPr>
      </w:pPr>
      <w:r>
        <w:rPr>
          <w:rFonts w:ascii="Arial" w:eastAsiaTheme="minorEastAsia" w:hAnsi="Arial" w:cs="Arial"/>
        </w:rPr>
        <w:t xml:space="preserve">à la modification de certaines dispositions du code pénal sur la lutte contre la traite des personnes et le tourisme sexuel. </w:t>
      </w:r>
    </w:p>
    <w:p w:rsidR="00F95626" w:rsidRPr="00002269" w:rsidRDefault="00F95626" w:rsidP="00002269">
      <w:pPr>
        <w:widowControl w:val="0"/>
        <w:autoSpaceDE w:val="0"/>
        <w:autoSpaceDN w:val="0"/>
        <w:adjustRightInd w:val="0"/>
        <w:spacing w:before="240" w:after="100" w:line="360" w:lineRule="auto"/>
        <w:ind w:right="-431"/>
        <w:jc w:val="both"/>
        <w:rPr>
          <w:rFonts w:ascii="Arial" w:eastAsiaTheme="minorEastAsia" w:hAnsi="Arial" w:cs="Arial"/>
          <w:b/>
          <w:bCs/>
          <w:sz w:val="28"/>
          <w:szCs w:val="28"/>
        </w:rPr>
      </w:pPr>
      <w:r w:rsidRPr="00002269">
        <w:rPr>
          <w:rFonts w:ascii="Arial" w:eastAsiaTheme="minorEastAsia" w:hAnsi="Arial" w:cs="Arial"/>
          <w:b/>
          <w:bCs/>
          <w:sz w:val="28"/>
          <w:szCs w:val="28"/>
        </w:rPr>
        <w:t>B. Place du protocole dans l’ordonnancement juridique interne et son applicabilité devant les juridictions nationales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Le protocole facultatif a été ratifié par Madagascar le 22 Septembre 2004.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Le préambule de la Constitution de 1992 a précisé la place de la Convention relative aux droits de l’enfant dans l’ordonnancement juridique interne en stipulant que « (…) la Convention des droits de l’enfant (…) fait partie intégrante du droit positif malagasy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Par ailleurs, l’article 137 </w:t>
      </w:r>
      <w:r>
        <w:rPr>
          <w:rFonts w:ascii="Arial" w:eastAsiaTheme="minorEastAsia" w:hAnsi="Arial" w:cs="Arial"/>
          <w:i/>
          <w:iCs/>
        </w:rPr>
        <w:t xml:space="preserve">in fine </w:t>
      </w:r>
      <w:r>
        <w:rPr>
          <w:rFonts w:ascii="Arial" w:eastAsiaTheme="minorEastAsia" w:hAnsi="Arial" w:cs="Arial"/>
        </w:rPr>
        <w:t xml:space="preserve">de la Constitution malagasy du 10 Décembre 2010 consacre la primauté des instruments internationaux ratifiés en ces termes : «Les traités ou accords régulièrement ratifiés ou approuvés ont, dès leur publication une autorité supérieure à celle des lois… ». En cas de conflit entre les dispositions des lois nationales et celles des Conventions et des Protocoles, ces dernières l’emportent.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Il en résulte que les dispositions du protocole d’application directe peuvent être invoquées devant les Cours et Tribunaux malagasy. Il n’en est pas ainsi pour les dispositions pénales qui nécessitent au préalable une réforme législative rendant compatible le droit pénal avec le protocole.</w:t>
      </w: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rPr>
      </w:pP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rPr>
      </w:pPr>
    </w:p>
    <w:p w:rsidR="00F95626" w:rsidRPr="00002269" w:rsidRDefault="00347DE4" w:rsidP="00347DE4">
      <w:pPr>
        <w:widowControl w:val="0"/>
        <w:autoSpaceDE w:val="0"/>
        <w:autoSpaceDN w:val="0"/>
        <w:adjustRightInd w:val="0"/>
        <w:spacing w:before="100" w:after="100" w:line="360" w:lineRule="auto"/>
        <w:ind w:right="-432"/>
        <w:jc w:val="both"/>
        <w:rPr>
          <w:rFonts w:ascii="Arial" w:eastAsiaTheme="minorEastAsia" w:hAnsi="Arial" w:cs="Arial"/>
          <w:b/>
          <w:bCs/>
          <w:sz w:val="28"/>
          <w:szCs w:val="28"/>
        </w:rPr>
      </w:pPr>
      <w:r w:rsidRPr="00002269">
        <w:rPr>
          <w:rFonts w:ascii="Arial" w:eastAsiaTheme="minorEastAsia" w:hAnsi="Arial" w:cs="Arial"/>
          <w:b/>
          <w:bCs/>
          <w:sz w:val="28"/>
          <w:szCs w:val="28"/>
        </w:rPr>
        <w:lastRenderedPageBreak/>
        <w:t xml:space="preserve">C. </w:t>
      </w:r>
      <w:r w:rsidR="00F95626" w:rsidRPr="00002269">
        <w:rPr>
          <w:rFonts w:ascii="Arial" w:eastAsiaTheme="minorEastAsia" w:hAnsi="Arial" w:cs="Arial"/>
          <w:b/>
          <w:bCs/>
          <w:sz w:val="28"/>
          <w:szCs w:val="28"/>
        </w:rPr>
        <w:t xml:space="preserve">Mise en œuvre du Protocole  </w:t>
      </w:r>
    </w:p>
    <w:p w:rsidR="00F95626" w:rsidRDefault="00F95626" w:rsidP="00F95626">
      <w:pPr>
        <w:widowControl w:val="0"/>
        <w:autoSpaceDE w:val="0"/>
        <w:autoSpaceDN w:val="0"/>
        <w:adjustRightInd w:val="0"/>
        <w:spacing w:before="100" w:after="100" w:line="360" w:lineRule="auto"/>
        <w:ind w:left="284" w:right="-432"/>
        <w:jc w:val="both"/>
        <w:rPr>
          <w:rFonts w:ascii="Arial" w:eastAsiaTheme="minorEastAsia" w:hAnsi="Arial" w:cs="Arial"/>
        </w:rPr>
      </w:pPr>
      <w:r>
        <w:rPr>
          <w:rFonts w:ascii="Arial" w:eastAsiaTheme="minorEastAsia" w:hAnsi="Arial" w:cs="Arial"/>
        </w:rPr>
        <w:t>Pour donner effet au protocole, des réformes législatives ont été entreprises dans le secteur de l’éducation, de la santé, de l’emploi, de la justice, de la police, ainsi que dans le domaine de l’administration pénitentiaire et des forces armées.</w:t>
      </w:r>
    </w:p>
    <w:p w:rsidR="00F95626" w:rsidRDefault="00F95626" w:rsidP="00F95626">
      <w:pPr>
        <w:widowControl w:val="0"/>
        <w:autoSpaceDE w:val="0"/>
        <w:autoSpaceDN w:val="0"/>
        <w:adjustRightInd w:val="0"/>
        <w:spacing w:before="100" w:after="100" w:line="360" w:lineRule="auto"/>
        <w:ind w:left="284" w:right="-432"/>
        <w:jc w:val="both"/>
        <w:rPr>
          <w:rFonts w:ascii="Arial" w:eastAsiaTheme="minorEastAsia" w:hAnsi="Arial" w:cs="Arial"/>
        </w:rPr>
      </w:pPr>
      <w:r>
        <w:rPr>
          <w:rFonts w:ascii="Arial" w:eastAsiaTheme="minorEastAsia" w:hAnsi="Arial" w:cs="Arial"/>
        </w:rPr>
        <w:t xml:space="preserve">La mise en œuvre du Protocole tient compte de l’application des principes généraux de la CDE consacrés dans la législation nationale, notamment, en ce qui concerne les principes : </w:t>
      </w:r>
    </w:p>
    <w:p w:rsidR="00F95626" w:rsidRDefault="00F95626" w:rsidP="00F95626">
      <w:pPr>
        <w:widowControl w:val="0"/>
        <w:numPr>
          <w:ilvl w:val="1"/>
          <w:numId w:val="10"/>
        </w:numPr>
        <w:autoSpaceDE w:val="0"/>
        <w:autoSpaceDN w:val="0"/>
        <w:adjustRightInd w:val="0"/>
        <w:spacing w:before="100" w:after="100" w:line="360" w:lineRule="auto"/>
        <w:ind w:left="644" w:right="-432"/>
        <w:jc w:val="both"/>
        <w:rPr>
          <w:rFonts w:ascii="Arial" w:eastAsiaTheme="minorEastAsia" w:hAnsi="Arial" w:cs="Arial"/>
        </w:rPr>
      </w:pPr>
      <w:r>
        <w:rPr>
          <w:rFonts w:ascii="Arial" w:eastAsiaTheme="minorEastAsia" w:hAnsi="Arial" w:cs="Arial"/>
        </w:rPr>
        <w:t xml:space="preserve">de non-discrimination ; </w:t>
      </w:r>
    </w:p>
    <w:p w:rsidR="00F95626" w:rsidRDefault="00F95626" w:rsidP="00F95626">
      <w:pPr>
        <w:widowControl w:val="0"/>
        <w:numPr>
          <w:ilvl w:val="1"/>
          <w:numId w:val="10"/>
        </w:numPr>
        <w:autoSpaceDE w:val="0"/>
        <w:autoSpaceDN w:val="0"/>
        <w:adjustRightInd w:val="0"/>
        <w:spacing w:before="100" w:after="100" w:line="360" w:lineRule="auto"/>
        <w:ind w:left="644" w:right="-432"/>
        <w:jc w:val="both"/>
        <w:rPr>
          <w:rFonts w:ascii="Arial" w:eastAsiaTheme="minorEastAsia" w:hAnsi="Arial" w:cs="Arial"/>
        </w:rPr>
      </w:pPr>
      <w:r>
        <w:rPr>
          <w:rFonts w:ascii="Arial" w:eastAsiaTheme="minorEastAsia" w:hAnsi="Arial" w:cs="Arial"/>
        </w:rPr>
        <w:t xml:space="preserve">de la prise en compte de l’intérêt supérieur de l’enfant et de ses opinions ; </w:t>
      </w:r>
    </w:p>
    <w:p w:rsidR="00F95626" w:rsidRDefault="00F95626" w:rsidP="00F95626">
      <w:pPr>
        <w:widowControl w:val="0"/>
        <w:numPr>
          <w:ilvl w:val="1"/>
          <w:numId w:val="10"/>
        </w:numPr>
        <w:autoSpaceDE w:val="0"/>
        <w:autoSpaceDN w:val="0"/>
        <w:adjustRightInd w:val="0"/>
        <w:spacing w:before="100" w:after="100" w:line="360" w:lineRule="auto"/>
        <w:ind w:left="644" w:right="-432"/>
        <w:jc w:val="both"/>
        <w:rPr>
          <w:rFonts w:ascii="Arial" w:eastAsiaTheme="minorEastAsia" w:hAnsi="Arial" w:cs="Arial"/>
        </w:rPr>
      </w:pPr>
      <w:r>
        <w:rPr>
          <w:rFonts w:ascii="Arial" w:eastAsiaTheme="minorEastAsia" w:hAnsi="Arial" w:cs="Arial"/>
        </w:rPr>
        <w:t xml:space="preserve">du droit à la vie, à la survie et au développement. </w:t>
      </w:r>
    </w:p>
    <w:p w:rsidR="00F95626" w:rsidRPr="00347DE4" w:rsidRDefault="00F95626" w:rsidP="00347DE4">
      <w:pPr>
        <w:widowControl w:val="0"/>
        <w:autoSpaceDE w:val="0"/>
        <w:autoSpaceDN w:val="0"/>
        <w:adjustRightInd w:val="0"/>
        <w:spacing w:before="100" w:after="100" w:line="360" w:lineRule="auto"/>
        <w:ind w:left="284" w:right="-432"/>
        <w:jc w:val="both"/>
        <w:rPr>
          <w:rFonts w:ascii="Arial" w:eastAsiaTheme="minorEastAsia" w:hAnsi="Arial" w:cs="Arial"/>
        </w:rPr>
      </w:pPr>
      <w:r>
        <w:rPr>
          <w:rFonts w:ascii="Arial" w:eastAsiaTheme="minorEastAsia" w:hAnsi="Arial" w:cs="Arial"/>
        </w:rPr>
        <w:t>Ces principes sont consacrés dans la procédure pénale, civile et dans le</w:t>
      </w:r>
      <w:r w:rsidR="00347DE4">
        <w:rPr>
          <w:rFonts w:ascii="Arial" w:eastAsiaTheme="minorEastAsia" w:hAnsi="Arial" w:cs="Arial"/>
        </w:rPr>
        <w:t xml:space="preserve"> processus d’adoption ainsi qu’</w:t>
      </w:r>
      <w:r>
        <w:rPr>
          <w:rFonts w:ascii="Arial" w:eastAsiaTheme="minorEastAsia" w:hAnsi="Arial" w:cs="Arial"/>
        </w:rPr>
        <w:t>en matière d’attributions de garde.</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b/>
          <w:bCs/>
        </w:rPr>
      </w:pP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b/>
          <w:bCs/>
        </w:rPr>
      </w:pP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b/>
          <w:bCs/>
        </w:rPr>
      </w:pP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b/>
          <w:bCs/>
        </w:rPr>
      </w:pP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b/>
          <w:bCs/>
        </w:rPr>
      </w:pP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b/>
          <w:bCs/>
        </w:rPr>
      </w:pP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b/>
          <w:bCs/>
        </w:rPr>
      </w:pP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b/>
          <w:bCs/>
        </w:rPr>
      </w:pP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b/>
          <w:bCs/>
        </w:rPr>
      </w:pP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b/>
          <w:bCs/>
        </w:rPr>
      </w:pP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b/>
          <w:bCs/>
        </w:rPr>
      </w:pP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b/>
          <w:bCs/>
        </w:rPr>
      </w:pP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b/>
          <w:bCs/>
        </w:rPr>
      </w:pP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p>
    <w:p w:rsidR="00F95626" w:rsidRPr="00002269" w:rsidRDefault="00F95626" w:rsidP="00F95626">
      <w:pPr>
        <w:widowControl w:val="0"/>
        <w:autoSpaceDE w:val="0"/>
        <w:autoSpaceDN w:val="0"/>
        <w:adjustRightInd w:val="0"/>
        <w:spacing w:before="100" w:after="100" w:line="360" w:lineRule="auto"/>
        <w:ind w:right="-432"/>
        <w:jc w:val="both"/>
        <w:rPr>
          <w:rFonts w:ascii="Arial" w:eastAsiaTheme="minorEastAsia" w:hAnsi="Arial" w:cs="Arial"/>
          <w:b/>
          <w:bCs/>
          <w:sz w:val="32"/>
          <w:szCs w:val="32"/>
        </w:rPr>
      </w:pPr>
      <w:r>
        <w:rPr>
          <w:rFonts w:ascii="Arial" w:eastAsiaTheme="minorEastAsia" w:hAnsi="Arial" w:cs="Arial"/>
          <w:sz w:val="36"/>
          <w:szCs w:val="36"/>
        </w:rPr>
        <w:lastRenderedPageBreak/>
        <w:t xml:space="preserve"> </w:t>
      </w:r>
      <w:r w:rsidRPr="00002269">
        <w:rPr>
          <w:rFonts w:ascii="Arial" w:eastAsiaTheme="minorEastAsia" w:hAnsi="Arial" w:cs="Arial"/>
          <w:b/>
          <w:bCs/>
          <w:sz w:val="32"/>
          <w:szCs w:val="32"/>
        </w:rPr>
        <w:t xml:space="preserve">PARTIE II : APPLICATION DU PROTOCOLE </w:t>
      </w:r>
    </w:p>
    <w:p w:rsidR="00F95626" w:rsidRPr="00002269" w:rsidRDefault="00347DE4" w:rsidP="00347DE4">
      <w:pPr>
        <w:widowControl w:val="0"/>
        <w:autoSpaceDE w:val="0"/>
        <w:autoSpaceDN w:val="0"/>
        <w:adjustRightInd w:val="0"/>
        <w:spacing w:before="100" w:after="100" w:line="360" w:lineRule="auto"/>
        <w:ind w:right="-432"/>
        <w:jc w:val="both"/>
        <w:rPr>
          <w:rFonts w:ascii="Arial" w:eastAsiaTheme="minorEastAsia" w:hAnsi="Arial" w:cs="Arial"/>
          <w:b/>
          <w:bCs/>
          <w:sz w:val="28"/>
          <w:szCs w:val="28"/>
        </w:rPr>
      </w:pPr>
      <w:r w:rsidRPr="00002269">
        <w:rPr>
          <w:rFonts w:ascii="Arial" w:eastAsiaTheme="minorEastAsia" w:hAnsi="Arial" w:cs="Arial"/>
          <w:b/>
          <w:bCs/>
          <w:sz w:val="28"/>
          <w:szCs w:val="28"/>
        </w:rPr>
        <w:t xml:space="preserve">A. </w:t>
      </w:r>
      <w:r w:rsidR="00F95626" w:rsidRPr="00002269">
        <w:rPr>
          <w:rFonts w:ascii="Arial" w:eastAsiaTheme="minorEastAsia" w:hAnsi="Arial" w:cs="Arial"/>
          <w:b/>
          <w:bCs/>
          <w:sz w:val="28"/>
          <w:szCs w:val="28"/>
        </w:rPr>
        <w:t>Interdiction de la vente d’enfants, de la prostitution des enfants et de la pornographie mettant en scène des enfants (article 3 du protocole)</w:t>
      </w:r>
    </w:p>
    <w:p w:rsidR="00F95626" w:rsidRPr="00002269" w:rsidRDefault="00F95626" w:rsidP="00347DE4">
      <w:pPr>
        <w:pStyle w:val="Paragraphedeliste"/>
        <w:widowControl w:val="0"/>
        <w:numPr>
          <w:ilvl w:val="0"/>
          <w:numId w:val="29"/>
        </w:numPr>
        <w:autoSpaceDE w:val="0"/>
        <w:autoSpaceDN w:val="0"/>
        <w:adjustRightInd w:val="0"/>
        <w:spacing w:before="100" w:after="100" w:line="360" w:lineRule="auto"/>
        <w:ind w:right="-432"/>
        <w:jc w:val="both"/>
        <w:rPr>
          <w:rFonts w:ascii="Arial" w:eastAsiaTheme="minorEastAsia" w:hAnsi="Arial" w:cs="Arial"/>
          <w:b/>
          <w:i/>
          <w:u w:val="single"/>
        </w:rPr>
      </w:pPr>
      <w:r w:rsidRPr="00002269">
        <w:rPr>
          <w:rFonts w:ascii="Arial" w:eastAsiaTheme="minorEastAsia" w:hAnsi="Arial" w:cs="Arial"/>
          <w:b/>
          <w:i/>
          <w:u w:val="single"/>
        </w:rPr>
        <w:t>Généralités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Dans le but d’ assurer une meilleure protection des enfants contre la vente d’enfants, la prostitution des enfants et de la pornographie mettant en scène des enfants la procédure pénale malgache a étendu la compétence des juridictions répressives à l’encontre des nationaux et ressortissants étrangers auteurs ou complices de traite, d’exploitation sexuelle et de tourisme sexuel ayant leur résidence habituelle à Madagascar.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Aux termes de l’article </w:t>
      </w:r>
      <w:r>
        <w:rPr>
          <w:rFonts w:ascii="Arial" w:eastAsiaTheme="minorEastAsia" w:hAnsi="Arial" w:cs="Arial"/>
          <w:i/>
          <w:iCs/>
        </w:rPr>
        <w:t>335 ter</w:t>
      </w:r>
      <w:r>
        <w:rPr>
          <w:rFonts w:ascii="Arial" w:eastAsiaTheme="minorEastAsia" w:hAnsi="Arial" w:cs="Arial"/>
        </w:rPr>
        <w:t xml:space="preserve"> du Code Pénal: « les nationaux et les personnes ayant leur résidence habituelle à Madagascar qui se livrent à la traite, à l’exploitation sexuelle, au tourisme sexuel dans d’autres pays sont poursuivis et sanctionnés conformément aux dispositions du Code Pénal ».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Il convient de noter que le délai de prescription ne court qu’à compter de la majorité de l’enfant victime.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Dans ce sens, l’article 335.7 du Code Pénal dispose: « qu’en matière d’infraction relative à la traite, à l’exploitation sexuelle, au tourisme sexuel et à l’inceste commis sur la personne d’un enfant, le délai de prescription de l’action public ne commence à courir qu’à partir du jour où l’enfant victime atteint l’âge de dix huit ans. »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Cette disposition vise à donner la possibilité à l’enfant victime de porter plainte même au-delà</w:t>
      </w:r>
      <w:r>
        <w:rPr>
          <w:rFonts w:ascii="Calibri" w:eastAsiaTheme="minorEastAsia" w:hAnsi="Calibri" w:cs="Calibri"/>
        </w:rPr>
        <w:t xml:space="preserve"> </w:t>
      </w:r>
      <w:r>
        <w:rPr>
          <w:rFonts w:ascii="Arial" w:eastAsiaTheme="minorEastAsia" w:hAnsi="Arial" w:cs="Arial"/>
        </w:rPr>
        <w:t>du délai de prescription classique limitée à trois ans pour le délit et à dix ans pour le crime. Cela se comprend dans la mesure où l’enfant victime durant sa minorité n’ose pas porter plainte à cause de sa dépendance économique vis-à-vis de l’auteur de l’infraction.</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De plus, une autre innovation a été apportée par l’article 335 alinéa 6 lequel permet à l’enfant victime de saisir les autorités  compétentes  en déposant  plainte alors que tel n’était pas le cas auparavant. Avant cette disposition, le pouvoir de déposer plainte était exclusivement attribué aux parents ou aux tuteurs de l’enfant victime. Cette innovation permet de déposer plainte contre les parents auteurs ou complices des infractions visées dans le Protocole. </w:t>
      </w: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lastRenderedPageBreak/>
        <w:t>En outre, le ministère public peut se saisir d’office en cas de dénonciation ou signalement. Par ailleurs le défaut de signalement est érigé en une infraction pénale de complicité suivant l’article 333 quater.3 du Code Pénal qui énonce que : «  quiconque sachant pertinemment l’existence de proxénétisme, d’exploitation sexuelle ou de tourisme sexuel, n’aura pas dénoncé ou signalé les faits aux autorités compétentes, conformément aux dispositions des articles 69 et 70 de la Loi n°2007-023 du 20 Aout 2007 sur les Droits et le protection des enfants, est considéré comme complice. ». Pour l’application de cette disposition, les personnes visées par cet Article sont punissables des mêmes peines que les auteurs.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Pour donner plus d’efficacité à la lutte contre la traite, l’exploitation sexuelle et le tourisme sexuel, le législateur a introduit une obligation légale de donner suite au signalement ou dénonciation. Ici, la règle de l’appréciation de l’opportunité de la poursuite est légalement écartée.  Par conséquent, la règle de la légalité de la poursuite s’applique par dérogation à la règle classique d’opportunité de poursuite.</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Pour encourager et protéger le dénonciateur, celui-ci peut garder l’anonymat.</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Par ailleurs, il y a lieu de préciser qu’en matière d’infraction relative à la traite, à l’exploitation sexuelle, au tourisme sexuel et à l’inceste commis sur la personne d’un enfant, aucun sursis ne peut être accordé conformément à l’ article 335.9 du Code Pénal qui dispose que « les peines prononcées pour les délits relatifs aux infractions sur la traite, l’exploitation sexuelle, le tourisme sexuel et l’inceste commis sur la personne d’’un enfant ne peuvent être assorties de sursis ».</w:t>
      </w:r>
    </w:p>
    <w:p w:rsidR="006E7FA5"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Enfin, en vertu de l’Article 335.7 du Code Pénal l’auteur détenu préventivement ne peut bénéficier de l’application des dispositions sur la liberté sous caution. Aux termes dudit article « en cas de détention préventive de l’auteur, le cautionnement prévu par les articles 346 et suivants du Code de Procédur</w:t>
      </w:r>
      <w:r w:rsidR="006E7FA5">
        <w:rPr>
          <w:rFonts w:ascii="Arial" w:eastAsiaTheme="minorEastAsia" w:hAnsi="Arial" w:cs="Arial"/>
        </w:rPr>
        <w:t>e Pénale ne peut être utilisé ».</w:t>
      </w:r>
    </w:p>
    <w:p w:rsidR="00F95626" w:rsidRPr="00002269" w:rsidRDefault="00F95626" w:rsidP="00347DE4">
      <w:pPr>
        <w:pStyle w:val="Paragraphedeliste"/>
        <w:widowControl w:val="0"/>
        <w:numPr>
          <w:ilvl w:val="0"/>
          <w:numId w:val="29"/>
        </w:numPr>
        <w:autoSpaceDE w:val="0"/>
        <w:autoSpaceDN w:val="0"/>
        <w:adjustRightInd w:val="0"/>
        <w:spacing w:before="100" w:after="100" w:line="360" w:lineRule="auto"/>
        <w:ind w:right="-432"/>
        <w:jc w:val="both"/>
        <w:rPr>
          <w:rFonts w:ascii="Arial" w:eastAsiaTheme="minorEastAsia" w:hAnsi="Arial" w:cs="Arial"/>
          <w:b/>
          <w:i/>
          <w:u w:val="single"/>
        </w:rPr>
      </w:pPr>
      <w:r w:rsidRPr="00002269">
        <w:rPr>
          <w:rFonts w:ascii="Arial" w:eastAsiaTheme="minorEastAsia" w:hAnsi="Arial" w:cs="Arial"/>
          <w:b/>
          <w:i/>
          <w:u w:val="single"/>
        </w:rPr>
        <w:t>Incrimination et répression</w:t>
      </w:r>
    </w:p>
    <w:p w:rsidR="00F95626" w:rsidRPr="00002269" w:rsidRDefault="00F95626" w:rsidP="00347DE4">
      <w:pPr>
        <w:pStyle w:val="Paragraphedeliste"/>
        <w:widowControl w:val="0"/>
        <w:numPr>
          <w:ilvl w:val="0"/>
          <w:numId w:val="31"/>
        </w:numPr>
        <w:autoSpaceDE w:val="0"/>
        <w:autoSpaceDN w:val="0"/>
        <w:adjustRightInd w:val="0"/>
        <w:spacing w:before="100" w:after="100" w:line="360" w:lineRule="auto"/>
        <w:ind w:left="1418" w:right="-432"/>
        <w:jc w:val="both"/>
        <w:rPr>
          <w:rFonts w:ascii="Arial" w:eastAsiaTheme="minorEastAsia" w:hAnsi="Arial" w:cs="Arial"/>
          <w:u w:val="single"/>
        </w:rPr>
      </w:pPr>
      <w:r w:rsidRPr="00002269">
        <w:rPr>
          <w:rFonts w:ascii="Arial" w:eastAsiaTheme="minorEastAsia" w:hAnsi="Arial" w:cs="Arial"/>
          <w:u w:val="single"/>
        </w:rPr>
        <w:t>Incrimination et répression de la vente d’enfants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Aux termes de l’article 3 alinéa 1</w:t>
      </w:r>
      <w:r>
        <w:rPr>
          <w:rFonts w:ascii="Arial" w:eastAsiaTheme="minorEastAsia" w:hAnsi="Arial" w:cs="Arial"/>
          <w:vertAlign w:val="superscript"/>
        </w:rPr>
        <w:t>er</w:t>
      </w:r>
      <w:r>
        <w:rPr>
          <w:rFonts w:ascii="Arial" w:eastAsiaTheme="minorEastAsia" w:hAnsi="Arial" w:cs="Arial"/>
        </w:rPr>
        <w:t xml:space="preserve"> du protocole, « les Etats parties sanctionnent sur le plan pénal le fait d’offrir, de remettre ou d’accepter un enfant aux fins d’exploitation sexuelle de l’enfant, de transfert d’organes de l’enfant et de soumettre l’enfant au travail forcé ».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lastRenderedPageBreak/>
        <w:t xml:space="preserve">Pour la mise en œuvre de ces dispositions, l’article 6 in fine de la loi n°2007-038 du 14 Janvier 2008 définit la vente d’enfants comme « tout acte ou toute transaction faisant intervenir le transfert d’un enfant de toute personne ou de tout groupe de personnes à une autre personne ou à un autre groupe contre rémunération ou tout autre avantage ».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Bien qu’ainsi définie, la sanction pénale de la vente d’enfants n’est pas précisée. Or la loi pénale est d’interprétation stricte, d’où les difficultés de son application dans la pratique.  Pour y remédier, une réforme législative est en cours. La Commission de réforme du système pénal auprès du Ministère de la justice est en train de compléter les dispositions y afférentes pour déterminer le quantum de la peine applicable à la vente. Cette Commission est actuellement en train d’inventorier les insuffisances de la loi et de proposer des réformes pour mieux lutter contre le phénomène.</w:t>
      </w:r>
    </w:p>
    <w:p w:rsidR="00F95626" w:rsidRPr="00002269" w:rsidRDefault="00F95626" w:rsidP="00347DE4">
      <w:pPr>
        <w:pStyle w:val="Paragraphedeliste"/>
        <w:widowControl w:val="0"/>
        <w:numPr>
          <w:ilvl w:val="0"/>
          <w:numId w:val="31"/>
        </w:numPr>
        <w:autoSpaceDE w:val="0"/>
        <w:autoSpaceDN w:val="0"/>
        <w:adjustRightInd w:val="0"/>
        <w:spacing w:before="100" w:after="100" w:line="360" w:lineRule="auto"/>
        <w:ind w:left="1418" w:right="-432"/>
        <w:jc w:val="both"/>
        <w:rPr>
          <w:rFonts w:ascii="Arial" w:eastAsiaTheme="minorEastAsia" w:hAnsi="Arial" w:cs="Arial"/>
          <w:u w:val="single"/>
        </w:rPr>
      </w:pPr>
      <w:r w:rsidRPr="00002269">
        <w:rPr>
          <w:rFonts w:ascii="Arial" w:eastAsiaTheme="minorEastAsia" w:hAnsi="Arial" w:cs="Arial"/>
          <w:u w:val="single"/>
        </w:rPr>
        <w:t xml:space="preserve">Incrimination et répression de l’adoption illégale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Le protocole énonce en son article 3 alinéa 1</w:t>
      </w:r>
      <w:r>
        <w:rPr>
          <w:rFonts w:ascii="Arial" w:eastAsiaTheme="minorEastAsia" w:hAnsi="Arial" w:cs="Arial"/>
          <w:vertAlign w:val="superscript"/>
        </w:rPr>
        <w:t xml:space="preserve">er </w:t>
      </w:r>
      <w:r>
        <w:rPr>
          <w:rFonts w:ascii="Arial" w:eastAsiaTheme="minorEastAsia" w:hAnsi="Arial" w:cs="Arial"/>
        </w:rPr>
        <w:t xml:space="preserve">que « chaque  Etat Partie veille à ce que, au minimum, les actes et activités suivants soient pleinement saisis par son droit pénal, que ces infractions soient commises au plan interne ou transnational par un individu ou de façon organisée ». Ces dispositions visent au point a.ii que « le fait d’obtenir indûment, en tant qu’intermédiaire, le consentement à l’adoption d’un enfant, en violation des instruments juridiques internationaux relatifs à l’adoption »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A l’issue de l’examen des troisième et quatrième rapports périodiques sur l’application de la Convention relative aux droits de l’enfant, le Comité des droits de l’enfant a recommandé à Madagascar de réviser sa législation pour combattre la vente d’enfant à travers  une adoption illégale.</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Auparavant, l’adoption a été régie par la loi n° 63-022 du 20 Novembre 1963 sur la filiation, l’adoption, le rejet et la tutelle. Les dispositions de cette loi relatives à l’apparentement et au consentement des parents biologiques favorisaient des risques de trafic d’enfants.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Pour y remédier, la nouvelle loi n° 2005-014 du 07 Septembre 2005 relative à  l’adoption prévoit en son article 15 la peine de travaux forcés à temps pour tous gains matériels et/ou financiers ou tout autre bénéfice ou avantage indus durant une procédure d’adoption.</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Par ailleurs, l’institution de l’Autorité Centrale prévue par les articles 51 à 78 de la nouvelle loi veille à la régularité et à l’intégrité de l’apparentement.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lastRenderedPageBreak/>
        <w:t>Madagascar compte mettre en œuvre les recommandations du Comité des droits de l’enfant par :</w:t>
      </w:r>
    </w:p>
    <w:p w:rsidR="00F95626" w:rsidRPr="006E7FA5" w:rsidRDefault="00F95626" w:rsidP="006E7FA5">
      <w:pPr>
        <w:pStyle w:val="Paragraphedeliste"/>
        <w:widowControl w:val="0"/>
        <w:numPr>
          <w:ilvl w:val="0"/>
          <w:numId w:val="32"/>
        </w:numPr>
        <w:autoSpaceDE w:val="0"/>
        <w:autoSpaceDN w:val="0"/>
        <w:adjustRightInd w:val="0"/>
        <w:spacing w:before="100" w:after="100" w:line="360" w:lineRule="auto"/>
        <w:ind w:right="-432"/>
        <w:jc w:val="both"/>
        <w:rPr>
          <w:rFonts w:ascii="Arial" w:eastAsiaTheme="minorEastAsia" w:hAnsi="Arial" w:cs="Arial"/>
        </w:rPr>
      </w:pPr>
      <w:r w:rsidRPr="006E7FA5">
        <w:rPr>
          <w:rFonts w:ascii="Arial" w:eastAsiaTheme="minorEastAsia" w:hAnsi="Arial" w:cs="Arial"/>
        </w:rPr>
        <w:t>des reformes législatives appropriées</w:t>
      </w:r>
    </w:p>
    <w:p w:rsidR="00F95626" w:rsidRDefault="00F95626" w:rsidP="006E7FA5">
      <w:pPr>
        <w:pStyle w:val="Paragraphedeliste"/>
        <w:widowControl w:val="0"/>
        <w:numPr>
          <w:ilvl w:val="0"/>
          <w:numId w:val="32"/>
        </w:numPr>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le renforcement de capacité de l’Autorité Centrale en matière de ressources humaines, techniques et financières </w:t>
      </w:r>
    </w:p>
    <w:p w:rsidR="00F95626" w:rsidRDefault="00F95626" w:rsidP="006E7FA5">
      <w:pPr>
        <w:pStyle w:val="Paragraphedeliste"/>
        <w:widowControl w:val="0"/>
        <w:numPr>
          <w:ilvl w:val="0"/>
          <w:numId w:val="32"/>
        </w:numPr>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l’intensification de l’opération de délivrance des actes de naissance. </w:t>
      </w:r>
    </w:p>
    <w:p w:rsidR="006E7FA5" w:rsidRPr="00002269" w:rsidRDefault="00F95626" w:rsidP="00002269">
      <w:pPr>
        <w:pStyle w:val="Paragraphedeliste"/>
        <w:widowControl w:val="0"/>
        <w:numPr>
          <w:ilvl w:val="0"/>
          <w:numId w:val="32"/>
        </w:numPr>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pénalisation de l’adoption illégale, enquête, poursuite et condamnation des auteurs.</w:t>
      </w:r>
    </w:p>
    <w:p w:rsidR="00F95626" w:rsidRPr="00002269" w:rsidRDefault="00F95626" w:rsidP="006E7FA5">
      <w:pPr>
        <w:pStyle w:val="Paragraphedeliste"/>
        <w:widowControl w:val="0"/>
        <w:numPr>
          <w:ilvl w:val="0"/>
          <w:numId w:val="31"/>
        </w:numPr>
        <w:autoSpaceDE w:val="0"/>
        <w:autoSpaceDN w:val="0"/>
        <w:adjustRightInd w:val="0"/>
        <w:spacing w:before="100" w:after="100" w:line="360" w:lineRule="auto"/>
        <w:ind w:left="1418" w:right="-432"/>
        <w:jc w:val="both"/>
        <w:rPr>
          <w:rFonts w:ascii="Arial" w:eastAsiaTheme="minorEastAsia" w:hAnsi="Arial" w:cs="Arial"/>
          <w:u w:val="single"/>
        </w:rPr>
      </w:pPr>
      <w:r w:rsidRPr="00002269">
        <w:rPr>
          <w:rFonts w:ascii="Arial" w:eastAsiaTheme="minorEastAsia" w:hAnsi="Arial" w:cs="Arial"/>
          <w:u w:val="single"/>
        </w:rPr>
        <w:t>Incrimination et répression de la prostitution d’enfants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La prostitution d’enfants constitue un phénomène de préoccupation à Madagascar. Pour combattre ce fléau, le législateur a entrepris des reformes législatives à travers la loi n°2007-038. Les pénalités encourues sont visées par la loi n°2007-038 incorporées dans le code pénal.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Le  code  pénal  malagasy  comporte  des  dispositions  incriminant  et sanctionnant les actes et activités visées à l’article 3 du protocole ainsi libellés : «  Chaque Etat partie veille à ce que, au minimum, les actes et activités suivants soient pleinement saisis par son droit pénal(…) le fait d’offrir, d’obtenir, de procurer ou de fournir une enfant à des fins de prostitution, telle que définie à l’article 2.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Pour la mise en œuvre de l’article 3 du Protocole, le Code Pénal malgache en son article </w:t>
      </w:r>
      <w:r>
        <w:rPr>
          <w:rFonts w:ascii="Arial" w:eastAsiaTheme="minorEastAsia" w:hAnsi="Arial" w:cs="Arial"/>
          <w:i/>
          <w:iCs/>
        </w:rPr>
        <w:t>333 ter</w:t>
      </w:r>
      <w:r>
        <w:rPr>
          <w:rFonts w:ascii="Arial" w:eastAsiaTheme="minorEastAsia" w:hAnsi="Arial" w:cs="Arial"/>
        </w:rPr>
        <w:t xml:space="preserve"> dispose que : « l’exploitation sexuelle d’un enfant de l’un ou de l’autre sexe, à des fins commerciales s’entend comme étant l’acte par lequel un adulte obtient les services d’un enfant pour faire des rapport s sexuels en contrepartie d’une rémunération, d’une compensation ou d’une rétribution en nature ou en espèces versées à l’enfant ou à une ou plusieurs tierces personnes prévues par les articles 334 à 335 du Code Pénal avec ou sans le consentement de l’enfant. »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Le consentement est indifférent pour la constitution de l’infraction. Dans ce sens, l’article 333 quinto du Code Pénal énonce que : « le consentement de la victime de la traite des personnes à l’exploitation est réputé nul et non avenu lorsque l’un des moyens énoncés à l’article 333 quater a été utilisé.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L’auteur de telle infraction est puni par les dispositions des articles 334 et suivants du Code Pénal : </w:t>
      </w:r>
    </w:p>
    <w:p w:rsidR="00F95626" w:rsidRDefault="00F95626" w:rsidP="00F95626">
      <w:pPr>
        <w:widowControl w:val="0"/>
        <w:numPr>
          <w:ilvl w:val="1"/>
          <w:numId w:val="13"/>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t xml:space="preserve">« Si l’infraction a été commise sur un enfant de l’un ou de l’autre sexe au dessous </w:t>
      </w:r>
      <w:r>
        <w:rPr>
          <w:rFonts w:ascii="Arial" w:eastAsiaTheme="minorEastAsia" w:hAnsi="Arial" w:cs="Arial"/>
        </w:rPr>
        <w:lastRenderedPageBreak/>
        <w:t xml:space="preserve">de l’âge de 15 ans, l’auteur est puni de la peine de travaux forcés à temps ».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Ici, la qualité d’enfant constitue une circonstance aggravante de la peine. </w:t>
      </w:r>
    </w:p>
    <w:p w:rsidR="00F95626" w:rsidRDefault="00F95626" w:rsidP="00F95626">
      <w:pPr>
        <w:widowControl w:val="0"/>
        <w:numPr>
          <w:ilvl w:val="1"/>
          <w:numId w:val="14"/>
        </w:numPr>
        <w:autoSpaceDE w:val="0"/>
        <w:autoSpaceDN w:val="0"/>
        <w:adjustRightInd w:val="0"/>
        <w:spacing w:before="100" w:after="100" w:line="360" w:lineRule="auto"/>
        <w:ind w:left="720" w:right="-432"/>
        <w:jc w:val="both"/>
        <w:rPr>
          <w:rFonts w:ascii="Arial" w:eastAsiaTheme="minorEastAsia" w:hAnsi="Arial" w:cs="Arial"/>
          <w:i/>
          <w:iCs/>
        </w:rPr>
      </w:pPr>
      <w:r>
        <w:rPr>
          <w:rFonts w:ascii="Arial" w:eastAsiaTheme="minorEastAsia" w:hAnsi="Arial" w:cs="Arial"/>
        </w:rPr>
        <w:t>«Si l’exploitation sexuelle a été commise à des fins commerciales sur un enfant de dix huit ans, l’auteur est puni des travaux forcés à temps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Dans les deux cas, les infractions sus-indiquées constituent des crimes relevant de la compétence des cours criminelles ordinaires.</w:t>
      </w:r>
    </w:p>
    <w:p w:rsidR="00F95626" w:rsidRDefault="00F95626" w:rsidP="00F95626">
      <w:pPr>
        <w:widowControl w:val="0"/>
        <w:numPr>
          <w:ilvl w:val="1"/>
          <w:numId w:val="15"/>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t xml:space="preserve">Si les mêmes infractions ont été commises à l’encontre des victimes majeures, les peines encourues sont de 2 à 5 ans d’emprisonnement et d’une amende de 1 000 000 à 10 000 000 d’Ar.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En dehors d’une exploitation sexuelle ci-dessus décrite, quiconque  aura  consommé  des  rapports  sexuels avec un enfant contre toute forme de rémunération ou tout autre avantage est puni  de  la  peine  d’emprisonnement  de  2  à  5  ans  et  d’une  amende  de  1</w:t>
      </w:r>
      <w:r w:rsidR="006E7FA5">
        <w:rPr>
          <w:rFonts w:ascii="Arial" w:eastAsiaTheme="minorEastAsia" w:hAnsi="Arial" w:cs="Arial"/>
        </w:rPr>
        <w:t xml:space="preserve"> 000 000  à  10 000 000 Ariary </w:t>
      </w:r>
      <w:r>
        <w:rPr>
          <w:rFonts w:ascii="Arial" w:eastAsiaTheme="minorEastAsia" w:hAnsi="Arial" w:cs="Arial"/>
        </w:rPr>
        <w:t>ou l’une de ces deux peines seulement, selon l’article 334 quater.</w:t>
      </w:r>
    </w:p>
    <w:p w:rsidR="00F95626" w:rsidRPr="00002269" w:rsidRDefault="00F95626" w:rsidP="006E7FA5">
      <w:pPr>
        <w:pStyle w:val="Paragraphedeliste"/>
        <w:widowControl w:val="0"/>
        <w:numPr>
          <w:ilvl w:val="0"/>
          <w:numId w:val="31"/>
        </w:numPr>
        <w:autoSpaceDE w:val="0"/>
        <w:autoSpaceDN w:val="0"/>
        <w:adjustRightInd w:val="0"/>
        <w:spacing w:before="100" w:after="100" w:line="360" w:lineRule="auto"/>
        <w:ind w:left="1418" w:right="-432"/>
        <w:jc w:val="both"/>
        <w:rPr>
          <w:rFonts w:ascii="Arial" w:eastAsiaTheme="minorEastAsia" w:hAnsi="Arial" w:cs="Arial"/>
          <w:u w:val="single"/>
        </w:rPr>
      </w:pPr>
      <w:r w:rsidRPr="00002269">
        <w:rPr>
          <w:rFonts w:ascii="Arial" w:eastAsiaTheme="minorEastAsia" w:hAnsi="Arial" w:cs="Arial"/>
          <w:u w:val="single"/>
        </w:rPr>
        <w:t>Incrimination et répression de la pornographie mettant en scène des enfants</w:t>
      </w:r>
    </w:p>
    <w:p w:rsidR="00F95626" w:rsidRDefault="00F95626" w:rsidP="006E7FA5">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Le  code  pénal  malagasy  comporte  des  dispositions  incriminant  et sanctionnant les actes et activités visées à l’article 3 du protocole ainsi libellés : «  Chaque Etat partie veille à ce que, au minimum, les actes et activités suivants soient pleinement saisis par son droit pénal (…)  le fait de produire, de distribuer, de diffuser, d’importer, d’exporter, d’offrir, de vendre ou de détenir aux fins susmentionnées des matériels pornographiques mettant en scène des enfants, tels que définis à l’article 2.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Pour la mise en œuvre du Protocole facultatif se rapportant à la Convention relative aux droits de l’enfant concernant l’interdiction de la pornographie mettant en scène des enfants, la Loi malgache a érigé en une infraction pénale les actes et activités y afférant.</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L’article 333 ter du Code Pénal précise que: « la pornographie mettant en scène des enfants s’entend comme toute représentation par quelque moyen que ce soit, d’un enfant s’adonnant à des activités sexuelles explicites, réelles ou simulées ou toute représentation des organes sexuels d’un enfant, à des fins principalement sexuelles.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Aux termes de l’article 335.1 alinéa 3 : « La pornographie mettant en scène des enfants, par toute représentation et par quelque moyen que ce soit, ou la détention de matériel </w:t>
      </w:r>
      <w:r>
        <w:rPr>
          <w:rFonts w:ascii="Arial" w:eastAsiaTheme="minorEastAsia" w:hAnsi="Arial" w:cs="Arial"/>
        </w:rPr>
        <w:lastRenderedPageBreak/>
        <w:t>pornographique impliquant des enfants est punie des peines prévues par l’article 334 du Code pénal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Le champ d’application de cette disposition couvre toute représentation à l’aide de tout support. C’est ce qui est visé par l’emploi des termes « par quelque moyen que ce soit ».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Ce texte est applicable pour la poursuite de toute diffusion de toute représentation pornographique mettant en scène des enfants à travers internet.</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Elle couvre également le fait de détenir de matériels destinés à la production de supports pornographiques impliquant des enfants.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Le code pénal prévoit la répression des actes de fabrication, d’enregistrement et  de  diffusion  par  les  moyens  de  communication  modernes  d’images pornographiques  de  mineurs  et  de  tout  message  à  caractère  violent  ou pornographique.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L’article  346  punit  d’une  peine  de  2  a  5  ans  d’emprisonnement  et  d’une amende  de  2  000 000  à  10  000 000  Ariary,  le  fait,  en  vue  de  sa  diffusion,  de fixer, d’enregistrer ou de transmettre l’image d’un mineur lorsque cette image présente un caractère  pornographique  ainsi que le fait de diffuser une telle image  par quelque moyen que ce soit.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Lorsqu’il s’agit d’un mineur de quinze ans les peines sont portées de trois à dix ans d’emprisonnement et d’une amende de 4 000 000 à 20 000 000 Ariary.</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b/>
          <w:bCs/>
        </w:rPr>
      </w:pPr>
      <w:r>
        <w:rPr>
          <w:rFonts w:ascii="Arial" w:eastAsiaTheme="minorEastAsia" w:hAnsi="Arial" w:cs="Arial"/>
        </w:rPr>
        <w:t xml:space="preserve"> En outre, l’article 347 prévoit une peine d’emprisonnement de deux a cinq ans et d’une amende de 10 000 000 à 20 000 000 Ariary, pour la fabrication, le transport, la diffusion par quelque moyen que ce soit et quel qu’en soit le support, d’un message a caractère violent ou pornographique ou de nature a porter gravement atteinte a la dignité  humaine,  et  le  commerce  d’un  tel  message,  lorsque  ce  message  est susceptible d</w:t>
      </w:r>
      <w:r w:rsidR="006E7FA5">
        <w:rPr>
          <w:rFonts w:ascii="Arial" w:eastAsiaTheme="minorEastAsia" w:hAnsi="Arial" w:cs="Arial"/>
        </w:rPr>
        <w:t>’être vu ou perçu par un mineur.</w:t>
      </w:r>
    </w:p>
    <w:p w:rsidR="00F95626" w:rsidRPr="00002269" w:rsidRDefault="00F95626" w:rsidP="006E7FA5">
      <w:pPr>
        <w:pStyle w:val="Paragraphedeliste"/>
        <w:widowControl w:val="0"/>
        <w:numPr>
          <w:ilvl w:val="0"/>
          <w:numId w:val="29"/>
        </w:numPr>
        <w:autoSpaceDE w:val="0"/>
        <w:autoSpaceDN w:val="0"/>
        <w:adjustRightInd w:val="0"/>
        <w:spacing w:before="100" w:after="100" w:line="360" w:lineRule="auto"/>
        <w:ind w:right="-432"/>
        <w:jc w:val="both"/>
        <w:rPr>
          <w:rFonts w:ascii="Arial" w:eastAsiaTheme="minorEastAsia" w:hAnsi="Arial" w:cs="Arial"/>
          <w:b/>
          <w:i/>
          <w:u w:val="single"/>
        </w:rPr>
      </w:pPr>
      <w:r w:rsidRPr="00002269">
        <w:rPr>
          <w:rFonts w:ascii="Arial" w:eastAsiaTheme="minorEastAsia" w:hAnsi="Arial" w:cs="Arial"/>
          <w:b/>
          <w:i/>
          <w:u w:val="single"/>
        </w:rPr>
        <w:t>Responsabilité pénale des personnes morales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Madagascar ne dispose pas de textes spécifiques relatifs à la responsabilité des personnes morales en matière de vente d’enfants et de pornographie mettant en scène des enfants.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Par contre, l’article 335 du Code Pénal réprime tout individu qui gère, dirige ou fait fonctionner un établissement de prostitution ou qui tolère habituellement la présence d’une ou plusieurs personnes se livrant à la prostitution à l’intérieur d’un hôtel, maison </w:t>
      </w:r>
      <w:r>
        <w:rPr>
          <w:rFonts w:ascii="Arial" w:eastAsiaTheme="minorEastAsia" w:hAnsi="Arial" w:cs="Arial"/>
        </w:rPr>
        <w:lastRenderedPageBreak/>
        <w:t xml:space="preserve">meublée, pension, débits de boissons, club, cercle, dancing ou lieu de spectacle ou leurs annexes.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Les établissements où les faits incriminés se sont produits peuvent faire l’objet de retrait de licence ou de fermeture définitive par jugement.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Pour remédier à cette insuffisance, Madagascar envisage d’entreprendre des reformes législatives prévoyant l’engagement de la responsabilité pénale des personnes morales s’il a été établi que ces dernières sont impliquées dans la production, la circulation et la commercialisation de supports et/ou de matériels destinés à la pornographie mettant en scène des enfants.</w:t>
      </w:r>
    </w:p>
    <w:p w:rsidR="00F95626" w:rsidRPr="00002269" w:rsidRDefault="00F95626" w:rsidP="006E7FA5">
      <w:pPr>
        <w:pStyle w:val="Paragraphedeliste"/>
        <w:widowControl w:val="0"/>
        <w:numPr>
          <w:ilvl w:val="0"/>
          <w:numId w:val="29"/>
        </w:numPr>
        <w:autoSpaceDE w:val="0"/>
        <w:autoSpaceDN w:val="0"/>
        <w:adjustRightInd w:val="0"/>
        <w:spacing w:before="100" w:after="100" w:line="360" w:lineRule="auto"/>
        <w:ind w:right="-432"/>
        <w:jc w:val="both"/>
        <w:rPr>
          <w:rFonts w:ascii="Arial" w:eastAsiaTheme="minorEastAsia" w:hAnsi="Arial" w:cs="Arial"/>
          <w:b/>
          <w:i/>
          <w:u w:val="single"/>
        </w:rPr>
      </w:pPr>
      <w:r w:rsidRPr="00002269">
        <w:rPr>
          <w:rFonts w:ascii="Arial" w:eastAsiaTheme="minorEastAsia" w:hAnsi="Arial" w:cs="Arial"/>
          <w:b/>
          <w:i/>
          <w:u w:val="single"/>
        </w:rPr>
        <w:t>Tentative et complicité</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Dans la législation malagasy, toute tentative de crime est punissable. En revanche, la tentative de délit ne l’est que lorsqu’elle est prévue par la loi.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Ainsi les tentatives de commettre des infractions visées par le protocole qualifiées de crime dans la loi malgache sont toutes punissables.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Aux termes de l’article 335.5 : « Toute tentative de traite, d’exploitation sexuelle sous quelque forme que ce soit de tourisme sexuel et d’inceste qui aura été manifesté par un commencement d’exécution, si elle n’a pas été suspendue ou si elle n’a manqué son effet que par des circonstances indépendantes de la volonté de son auteur, est considérée comme l’acte lui-même et sera punie de même peine ».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En droit malagasy, la complicité est visée par les articles 59 et 60 du code pénal. Pour son application, il est exigé l’existence d’une infraction principale punissable.</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Par ailleurs, les faits de complicité doivent intervenir avant ou tout au moins concomitant à la commission de l’infraction principale. Ce qui exclut la complicité postérieure à la commission de l’infraction principale.</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Mais pour rendre plus efficace la lutte contre la traite des personnes et pour mieux protéger les enfants, il a été institué un cas de complicité spéciale prévu par l’article 333 quater al.4 du code pénal qui stipule que : « Quiconque, sachant pertinemment l’existence de proxénétisme, d’exploitation sexuelle ou de tourisme sexuel, n’aura pas dénoncé ou signalé les faits aux autorités compétentes, conformément aux dispositions des articles 69 et 70 de la loi n°2007-023 du 20 Août 2007 sur les droits et la protection des enfants, est considéré comme complice. Les actes de participation sont considérés </w:t>
      </w:r>
      <w:r>
        <w:rPr>
          <w:rFonts w:ascii="Arial" w:eastAsiaTheme="minorEastAsia" w:hAnsi="Arial" w:cs="Arial"/>
        </w:rPr>
        <w:lastRenderedPageBreak/>
        <w:t>comme des infractions distinctes ».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Il s’agit là d’une infraction autonome, par dérogation aux cas de complicité classique prévus par les articles 59 et 60 du code pénal.</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Cette complicité spéciale vise à encourager le signalement et à sanctionner pénalement ceux qui, sachant l’existence des infractions visées plus haut, s’abstiennent de les dénoncer aux autorités policière et judiciaire.</w:t>
      </w:r>
    </w:p>
    <w:p w:rsidR="00F95626" w:rsidRPr="00002269" w:rsidRDefault="00F95626" w:rsidP="006E7FA5">
      <w:pPr>
        <w:pStyle w:val="Paragraphedeliste"/>
        <w:widowControl w:val="0"/>
        <w:numPr>
          <w:ilvl w:val="0"/>
          <w:numId w:val="29"/>
        </w:numPr>
        <w:autoSpaceDE w:val="0"/>
        <w:autoSpaceDN w:val="0"/>
        <w:adjustRightInd w:val="0"/>
        <w:spacing w:before="100" w:after="100" w:line="360" w:lineRule="auto"/>
        <w:ind w:right="-432"/>
        <w:jc w:val="both"/>
        <w:rPr>
          <w:rFonts w:ascii="Arial" w:eastAsiaTheme="minorEastAsia" w:hAnsi="Arial" w:cs="Arial"/>
          <w:b/>
          <w:i/>
          <w:u w:val="single"/>
        </w:rPr>
      </w:pPr>
      <w:r w:rsidRPr="00002269">
        <w:rPr>
          <w:rFonts w:ascii="Arial" w:eastAsiaTheme="minorEastAsia" w:hAnsi="Arial" w:cs="Arial"/>
          <w:b/>
          <w:i/>
          <w:u w:val="single"/>
        </w:rPr>
        <w:t xml:space="preserve">Remarques concernant les exigences minimales à l’égard de la législation nationale </w:t>
      </w:r>
    </w:p>
    <w:p w:rsidR="006E7FA5"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Les exigences minimales formulées par l’article 3 du Protocole sont réalisées à travers la loi n°2007-038 incriminant et réprimant pénalement la vente, la prostitution infantile et la pornographie mettant en scène des enfants dans le</w:t>
      </w:r>
      <w:r w:rsidR="006E7FA5">
        <w:rPr>
          <w:rFonts w:ascii="Arial" w:eastAsiaTheme="minorEastAsia" w:hAnsi="Arial" w:cs="Arial"/>
        </w:rPr>
        <w:t>s articles évoqués précédemment.</w:t>
      </w:r>
    </w:p>
    <w:p w:rsidR="00F95626" w:rsidRPr="00002269" w:rsidRDefault="00F95626" w:rsidP="006E7FA5">
      <w:pPr>
        <w:pStyle w:val="Paragraphedeliste"/>
        <w:widowControl w:val="0"/>
        <w:numPr>
          <w:ilvl w:val="0"/>
          <w:numId w:val="33"/>
        </w:numPr>
        <w:autoSpaceDE w:val="0"/>
        <w:autoSpaceDN w:val="0"/>
        <w:adjustRightInd w:val="0"/>
        <w:spacing w:before="100" w:after="100" w:line="360" w:lineRule="auto"/>
        <w:ind w:right="-432"/>
        <w:jc w:val="both"/>
        <w:rPr>
          <w:rFonts w:ascii="Arial" w:eastAsiaTheme="minorEastAsia" w:hAnsi="Arial" w:cs="Arial"/>
          <w:b/>
          <w:bCs/>
          <w:sz w:val="28"/>
          <w:szCs w:val="28"/>
        </w:rPr>
      </w:pPr>
      <w:r w:rsidRPr="00002269">
        <w:rPr>
          <w:rFonts w:ascii="Arial" w:eastAsiaTheme="minorEastAsia" w:hAnsi="Arial" w:cs="Arial"/>
          <w:b/>
          <w:bCs/>
          <w:sz w:val="28"/>
          <w:szCs w:val="28"/>
        </w:rPr>
        <w:t>Procédure pénale (Articles 4 à 7)</w:t>
      </w:r>
    </w:p>
    <w:p w:rsidR="00F95626" w:rsidRPr="00002269" w:rsidRDefault="00F95626" w:rsidP="006E7FA5">
      <w:pPr>
        <w:pStyle w:val="Paragraphedeliste"/>
        <w:widowControl w:val="0"/>
        <w:numPr>
          <w:ilvl w:val="0"/>
          <w:numId w:val="34"/>
        </w:numPr>
        <w:autoSpaceDE w:val="0"/>
        <w:autoSpaceDN w:val="0"/>
        <w:adjustRightInd w:val="0"/>
        <w:spacing w:before="100" w:after="100" w:line="360" w:lineRule="auto"/>
        <w:ind w:right="-432"/>
        <w:jc w:val="both"/>
        <w:rPr>
          <w:rFonts w:ascii="Arial" w:eastAsiaTheme="minorEastAsia" w:hAnsi="Arial" w:cs="Arial"/>
          <w:b/>
          <w:i/>
          <w:u w:val="single"/>
        </w:rPr>
      </w:pPr>
      <w:r w:rsidRPr="00002269">
        <w:rPr>
          <w:rFonts w:ascii="Arial" w:eastAsiaTheme="minorEastAsia" w:hAnsi="Arial" w:cs="Arial"/>
          <w:b/>
          <w:i/>
          <w:u w:val="single"/>
        </w:rPr>
        <w:t>Compétence (Article 4)</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Selon l’article 4 du Protocole : « tout Etat Partie prend les mesures nécessaires pour établir sa compétence au fin de connaitre des infractions visées au paragraphe 1 de l’article 3, lorsque : </w:t>
      </w:r>
    </w:p>
    <w:p w:rsidR="00F95626" w:rsidRDefault="006E7FA5" w:rsidP="00F95626">
      <w:pPr>
        <w:widowControl w:val="0"/>
        <w:numPr>
          <w:ilvl w:val="1"/>
          <w:numId w:val="20"/>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t>C</w:t>
      </w:r>
      <w:r w:rsidR="00F95626">
        <w:rPr>
          <w:rFonts w:ascii="Arial" w:eastAsiaTheme="minorEastAsia" w:hAnsi="Arial" w:cs="Arial"/>
        </w:rPr>
        <w:t>es infractions ont été commises sur son territoire ou à bord d’un navire ou d’aéronefs immatriculés dans cet Etat.</w:t>
      </w:r>
    </w:p>
    <w:p w:rsidR="00F95626" w:rsidRDefault="00F95626" w:rsidP="00F95626">
      <w:pPr>
        <w:widowControl w:val="0"/>
        <w:numPr>
          <w:ilvl w:val="1"/>
          <w:numId w:val="20"/>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t>L’auteur présumé de l’infraction est un ressortissant dudit Etat, ou a sa résidence habituelle sur le territoire de celui-ci.</w:t>
      </w:r>
    </w:p>
    <w:p w:rsidR="00F95626" w:rsidRDefault="00F95626" w:rsidP="00F95626">
      <w:pPr>
        <w:widowControl w:val="0"/>
        <w:numPr>
          <w:ilvl w:val="1"/>
          <w:numId w:val="20"/>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t>La victime est un ressortissant dudit Etat.</w:t>
      </w:r>
    </w:p>
    <w:p w:rsidR="00F95626" w:rsidRDefault="00F95626" w:rsidP="00F95626">
      <w:pPr>
        <w:widowControl w:val="0"/>
        <w:numPr>
          <w:ilvl w:val="1"/>
          <w:numId w:val="20"/>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t>L’auteur présumé de l’infraction est présent sur son territoire et qu’il ne l’extrade pas vers un autre Etat Partie au motif que l’infraction a été commise par l’un de ses ressortissants.</w:t>
      </w:r>
    </w:p>
    <w:p w:rsidR="00F95626" w:rsidRDefault="00F95626" w:rsidP="00F95626">
      <w:pPr>
        <w:widowControl w:val="0"/>
        <w:autoSpaceDE w:val="0"/>
        <w:autoSpaceDN w:val="0"/>
        <w:adjustRightInd w:val="0"/>
        <w:spacing w:before="100" w:after="100" w:line="360" w:lineRule="auto"/>
        <w:ind w:left="360" w:right="-432"/>
        <w:jc w:val="both"/>
        <w:rPr>
          <w:rFonts w:ascii="Arial" w:eastAsiaTheme="minorEastAsia" w:hAnsi="Arial" w:cs="Arial"/>
        </w:rPr>
      </w:pPr>
      <w:r>
        <w:rPr>
          <w:rFonts w:ascii="Arial" w:eastAsiaTheme="minorEastAsia" w:hAnsi="Arial" w:cs="Arial"/>
        </w:rPr>
        <w:t>Le présent Protocole n’exclut l’exercice d’aucune compétence pénale en application du droit interne.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L’article 335 ter du Code Pénal est conforme au protocole en ce qu’il prévoit une compétence étendue à l’encontre des nationaux et des ressortissants étrangers auteurs ou complices de traite, d’exploitation sexuelle et de tourisme sexuel ayant leur résidence habituelle à Madagascar.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lastRenderedPageBreak/>
        <w:t>Cette extension de compétence vise à rendre plus efficace la lutte mondiale contre les phénomènes visés ci-dessus.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Il en résulte que les infractions de traite, d’exploitation sexuelle et de tourisme sexuel commises par des nationaux et des ressortissants étrangers à l’étranger sont justiciables des cours et tribunaux de Madagascar lorsque les auteurs ont leur résidence habituelle à Madagascar. Cette extension de compétence déroge aux règles de compétence classique fondées sur le principe de la territorialité des infractions pénales.</w:t>
      </w:r>
    </w:p>
    <w:p w:rsidR="00F95626" w:rsidRPr="00002269" w:rsidRDefault="00F95626" w:rsidP="006E7FA5">
      <w:pPr>
        <w:pStyle w:val="Paragraphedeliste"/>
        <w:widowControl w:val="0"/>
        <w:numPr>
          <w:ilvl w:val="0"/>
          <w:numId w:val="34"/>
        </w:numPr>
        <w:autoSpaceDE w:val="0"/>
        <w:autoSpaceDN w:val="0"/>
        <w:adjustRightInd w:val="0"/>
        <w:spacing w:before="100" w:after="100" w:line="360" w:lineRule="auto"/>
        <w:ind w:right="-432"/>
        <w:jc w:val="both"/>
        <w:rPr>
          <w:rFonts w:ascii="Arial" w:eastAsiaTheme="minorEastAsia" w:hAnsi="Arial" w:cs="Arial"/>
          <w:b/>
          <w:i/>
          <w:u w:val="single"/>
        </w:rPr>
      </w:pPr>
      <w:r w:rsidRPr="00002269">
        <w:rPr>
          <w:rFonts w:ascii="Arial" w:eastAsiaTheme="minorEastAsia" w:hAnsi="Arial" w:cs="Arial"/>
          <w:b/>
          <w:i/>
          <w:u w:val="single"/>
        </w:rPr>
        <w:t xml:space="preserve">Extradition et entraide judiciaire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L’article 335 du code pénal modifié par la loi n°2007-038 précitée dispose  que : « les demandes d’extradition des personnes recherchées aux fins de procédure dans un Etat étranger sont exécutées pour les infractions prévues dans ladite loi ou aux fins de faire exécuter une peine relative à une telle infraction ».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La mise en œuvre de cette procédure est facilitée en présence d’accord de coopération et d’entraide Judiciaire. Madagascar est lié par l’accord de coopération avec la France et les Comores.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Dans la pratique, en l’absence des traités d’extradition ou de dispositions législatives, l’extradition peut être exécutée selon la procédure et dans le respect des principes définis par le traité type d’extradition.</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Ainsi, on peut faire référence à la procédure et dans le respect des principes définis par le traité type d’extradition adopté par l’Assemblée Générale des Nations Unies dans sa résolution 45/116.</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Par application de la loi n°2004-020 du 19 août 2004 sur le blanchiment, le dépistage la confiscation et la coopération internationale en matière de produits du crime, les auteurs ou complices de blanchiment d’argent provenant de la traite, de l’exploitation sexuelle ou de la pornographie mettant en scène des enfants peuvent faire l’objet de demande d’extradition. </w:t>
      </w:r>
    </w:p>
    <w:p w:rsidR="00F95626" w:rsidRPr="00002269" w:rsidRDefault="00F95626" w:rsidP="006E7FA5">
      <w:pPr>
        <w:pStyle w:val="Paragraphedeliste"/>
        <w:widowControl w:val="0"/>
        <w:numPr>
          <w:ilvl w:val="0"/>
          <w:numId w:val="34"/>
        </w:numPr>
        <w:autoSpaceDE w:val="0"/>
        <w:autoSpaceDN w:val="0"/>
        <w:adjustRightInd w:val="0"/>
        <w:spacing w:before="100" w:after="100" w:line="360" w:lineRule="auto"/>
        <w:ind w:right="-432"/>
        <w:jc w:val="both"/>
        <w:rPr>
          <w:rFonts w:ascii="Arial" w:eastAsiaTheme="minorEastAsia" w:hAnsi="Arial" w:cs="Arial"/>
          <w:b/>
          <w:i/>
          <w:u w:val="single"/>
        </w:rPr>
      </w:pPr>
      <w:r w:rsidRPr="00002269">
        <w:rPr>
          <w:rFonts w:ascii="Arial" w:eastAsiaTheme="minorEastAsia" w:hAnsi="Arial" w:cs="Arial"/>
          <w:b/>
          <w:i/>
          <w:u w:val="single"/>
        </w:rPr>
        <w:t xml:space="preserve">Saisie, confiscation et fermeture de locaux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Le code de procédure pénale malagasy sur la saisie et la confiscation est applicable en matière de vente, de prostitution infantile et de pornographie mettant en scène des enfants. La fermeture des établissements incriminés peut être décidée par mesure administrative.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lastRenderedPageBreak/>
        <w:t xml:space="preserve">Tel a été le cas de la fermeture de l’établissement PHARAON SUPER-CLUB. Il s’agit d’un établissement sis à Antananarivo, fermé suite à une descente effectuée par le Service Central de la Police des Mœurs et de la Protection des Mineurs le 18 Avril 2012. Il a été constaté que des adolescents âgés de 12 à 15 ans, dont la majorité était trouvée sous l’emprise de produits psychotropes et/ou de boissons alcooliques, ont été victimes d’incitation à la débauche par le propriétaire de l’établissement.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Une enquête suivie de poursuite, de jugement et de condamnation ont eu lieu à l’encontre de trois prévenus poursuivis de détention de Cannabis et d’incitation à la débauche de mineurs. Jugés le 22 Mars 2012, ils ont été relaxés du chef d’inculpation de détention de cannabis et condamnés à cinq ans d’emprisonnement ferme pour le délit d’incitation des mineurs à la débauche. Par ailleurs, le propriétaire de l’établissement a fait l’objet d’une décision d’expulsion.</w:t>
      </w:r>
    </w:p>
    <w:p w:rsidR="00F95626" w:rsidRPr="00002269" w:rsidRDefault="00F95626" w:rsidP="006E7FA5">
      <w:pPr>
        <w:pStyle w:val="Paragraphedeliste"/>
        <w:widowControl w:val="0"/>
        <w:numPr>
          <w:ilvl w:val="0"/>
          <w:numId w:val="34"/>
        </w:numPr>
        <w:autoSpaceDE w:val="0"/>
        <w:autoSpaceDN w:val="0"/>
        <w:adjustRightInd w:val="0"/>
        <w:spacing w:before="100" w:after="100" w:line="360" w:lineRule="auto"/>
        <w:ind w:right="-432"/>
        <w:jc w:val="both"/>
        <w:rPr>
          <w:rFonts w:ascii="Arial" w:eastAsiaTheme="minorEastAsia" w:hAnsi="Arial" w:cs="Arial"/>
          <w:b/>
          <w:i/>
          <w:u w:val="single"/>
        </w:rPr>
      </w:pPr>
      <w:r w:rsidRPr="00002269">
        <w:rPr>
          <w:rFonts w:ascii="Arial" w:eastAsiaTheme="minorEastAsia" w:hAnsi="Arial" w:cs="Arial"/>
          <w:b/>
          <w:i/>
          <w:u w:val="single"/>
        </w:rPr>
        <w:t>Poursuite pénale</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A Madagascar, la constatation des infractions, le rassemblement d’indices et de preuves et l’identification des auteurs présumés relèvent de la compétence de la police judiciaire composée de la Police Nationale et de la Gendarmerie. Cette compétence s’applique également dans le cadre des infractions incriminées par le protocole.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Le Service central de la Police des Mœurs de la Protection des Mineurs et ses démembrements en Province et dans les Régions sont chargés de traiter les infractions de mœurs incluant celles prévues par le protocole.</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Cet organe central est également chargé de la collecte des données relatives aux infractions visées par le protocole. Il en est de même des divisions implantées dans les six provinces ainsi que dans quelques grandes villes de Madagascar, à savoir : Morondava, Fort-Dauphin, Nosy-Be.</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Sur le plan judiciaire, la poursuite est exercée par le Ministère public représenté par le Procureur de la République ou par l’un de ses Substituts.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Le Procureur de la République de Tuléar fut saisi d’un cas de projet de vente d’enfant suivi de meurtre le 06 Octobre 2012.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u w:val="single"/>
        </w:rPr>
        <w:t>Sur les faits</w:t>
      </w:r>
      <w:r>
        <w:rPr>
          <w:rFonts w:ascii="Arial" w:eastAsiaTheme="minorEastAsia" w:hAnsi="Arial" w:cs="Arial"/>
        </w:rPr>
        <w:t xml:space="preserve"> : la gendarmerie a été mise au courant de l’existence d’une séquestration d’enfant âgée de 13 ans pendant environ 7 mois.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lastRenderedPageBreak/>
        <w:t>Les ravisseurs auraient eu l’intention de vendre la victime. Les éléments de la gendarmerie se sont présentés en tant qu’acquéreurs intéressés. Le prix a été fixé à 10 millions d’Ariary et la date de remise prévue avoir lieu le Jeudi 04 Octobre 2012 en un endroit convenu. Or, le jour de la remise, les ravisseurs ont fait part du décès de l’enfant. Quatre personnes dont une femme ont été arrêtées, enquêtées et déférées devant le parquet. Inculpées de tentative de vente d’enfant et de meurtre, elles ont été placées sous mandat de dépôt. L’instruction poursuit son cours.</w:t>
      </w:r>
    </w:p>
    <w:p w:rsidR="00F95626" w:rsidRPr="00002269" w:rsidRDefault="00F95626" w:rsidP="006E7FA5">
      <w:pPr>
        <w:widowControl w:val="0"/>
        <w:autoSpaceDE w:val="0"/>
        <w:autoSpaceDN w:val="0"/>
        <w:adjustRightInd w:val="0"/>
        <w:spacing w:before="100" w:after="100" w:line="360" w:lineRule="auto"/>
        <w:ind w:right="-432"/>
        <w:jc w:val="both"/>
        <w:rPr>
          <w:rFonts w:ascii="Arial" w:eastAsiaTheme="minorEastAsia" w:hAnsi="Arial" w:cs="Arial"/>
          <w:b/>
          <w:bCs/>
          <w:sz w:val="28"/>
          <w:szCs w:val="28"/>
        </w:rPr>
      </w:pPr>
      <w:r w:rsidRPr="00002269">
        <w:rPr>
          <w:rFonts w:ascii="Arial" w:eastAsiaTheme="minorEastAsia" w:hAnsi="Arial" w:cs="Arial"/>
          <w:b/>
          <w:bCs/>
          <w:sz w:val="28"/>
          <w:szCs w:val="28"/>
        </w:rPr>
        <w:t>C. Protection des droits des enfants victimes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Il convient de souligner qu’à tous les stades de la procédure pénale, le principe de l’intérêt supérieur de l’enfant est pris en compte dans toutes les décisions concernant les enfants victimes. </w:t>
      </w:r>
    </w:p>
    <w:p w:rsidR="00F95626" w:rsidRPr="00002269" w:rsidRDefault="00F95626" w:rsidP="006E7FA5">
      <w:pPr>
        <w:pStyle w:val="Paragraphedeliste"/>
        <w:widowControl w:val="0"/>
        <w:numPr>
          <w:ilvl w:val="0"/>
          <w:numId w:val="35"/>
        </w:numPr>
        <w:autoSpaceDE w:val="0"/>
        <w:autoSpaceDN w:val="0"/>
        <w:adjustRightInd w:val="0"/>
        <w:spacing w:before="100" w:after="100" w:line="360" w:lineRule="auto"/>
        <w:ind w:right="-432"/>
        <w:jc w:val="both"/>
        <w:rPr>
          <w:rFonts w:ascii="Arial" w:eastAsiaTheme="minorEastAsia" w:hAnsi="Arial" w:cs="Arial"/>
          <w:b/>
          <w:i/>
          <w:u w:val="single"/>
        </w:rPr>
      </w:pPr>
      <w:r w:rsidRPr="00002269">
        <w:rPr>
          <w:rFonts w:ascii="Arial" w:eastAsiaTheme="minorEastAsia" w:hAnsi="Arial" w:cs="Arial"/>
          <w:b/>
          <w:i/>
          <w:u w:val="single"/>
        </w:rPr>
        <w:t>Protection des victimes durant la procédure pénale</w:t>
      </w:r>
    </w:p>
    <w:p w:rsidR="00F95626" w:rsidRPr="00002269" w:rsidRDefault="00F95626" w:rsidP="006E7FA5">
      <w:pPr>
        <w:pStyle w:val="Paragraphedeliste"/>
        <w:widowControl w:val="0"/>
        <w:numPr>
          <w:ilvl w:val="1"/>
          <w:numId w:val="35"/>
        </w:numPr>
        <w:autoSpaceDE w:val="0"/>
        <w:autoSpaceDN w:val="0"/>
        <w:adjustRightInd w:val="0"/>
        <w:spacing w:before="100" w:after="100" w:line="360" w:lineRule="auto"/>
        <w:ind w:right="-432"/>
        <w:jc w:val="both"/>
        <w:rPr>
          <w:rFonts w:ascii="Arial" w:eastAsiaTheme="minorEastAsia" w:hAnsi="Arial" w:cs="Arial"/>
          <w:u w:val="single"/>
        </w:rPr>
      </w:pPr>
      <w:r w:rsidRPr="00002269">
        <w:rPr>
          <w:rFonts w:ascii="Arial" w:eastAsiaTheme="minorEastAsia" w:hAnsi="Arial" w:cs="Arial"/>
          <w:u w:val="single"/>
        </w:rPr>
        <w:t>Procédure de signalement</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La loi 2007-023 a apporté de nombreuses innovations pour renforcer la protection des enfants victimes dont le signalement. En effet, selon les articles de ladite loi :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b/>
          <w:bCs/>
        </w:rPr>
      </w:pPr>
      <w:r>
        <w:rPr>
          <w:rFonts w:ascii="Arial" w:eastAsiaTheme="minorEastAsia" w:hAnsi="Arial" w:cs="Arial"/>
        </w:rPr>
        <w:t xml:space="preserve">« Articles 69 : Toute personne, notamment les parents, les membres de la famille, les voisins, les amis, les autorités locales, les enseignants, les dignitaires religieux, les travailleurs sociaux, le personnel médical, la police judiciaire ayant connaissance d’une maltraitance tentée ou consommée, doit signaler les autorités administratives ou judiciaires compétentes sous peine des sanctions prévues par l’article 62 al.1 du Code Pénal.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b/>
          <w:bCs/>
        </w:rPr>
      </w:pPr>
      <w:r>
        <w:rPr>
          <w:rFonts w:ascii="Arial" w:eastAsiaTheme="minorEastAsia" w:hAnsi="Arial" w:cs="Arial"/>
        </w:rPr>
        <w:t>L’enfant lui-même peut également signaler la maltraitance dont il est victime.</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b/>
          <w:bCs/>
        </w:rPr>
      </w:pPr>
      <w:r>
        <w:rPr>
          <w:rFonts w:ascii="Arial" w:eastAsiaTheme="minorEastAsia" w:hAnsi="Arial" w:cs="Arial"/>
        </w:rPr>
        <w:t xml:space="preserve">En cas de découverte de signe de maltraitance chez un enfant, le personnel médical est tenu de dresser un rapport médico-légal. A cet effet, il n’est pas lié par le secret professionnel.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Article 70</w:t>
      </w:r>
      <w:r>
        <w:rPr>
          <w:rFonts w:ascii="Arial" w:eastAsiaTheme="minorEastAsia" w:hAnsi="Arial" w:cs="Arial"/>
          <w:b/>
          <w:bCs/>
        </w:rPr>
        <w:t> :</w:t>
      </w:r>
      <w:r>
        <w:rPr>
          <w:rFonts w:ascii="Arial" w:eastAsiaTheme="minorEastAsia" w:hAnsi="Arial" w:cs="Arial"/>
        </w:rPr>
        <w:t xml:space="preserve"> « L’auteur du signalement peut garder l’anonymat s’il le désire ; dans ce cas, l’autorité administrative ou judiciaire qui le reçoit est tenue de le respecter.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b/>
          <w:bCs/>
        </w:rPr>
      </w:pPr>
      <w:r>
        <w:rPr>
          <w:rFonts w:ascii="Arial" w:eastAsiaTheme="minorEastAsia" w:hAnsi="Arial" w:cs="Arial"/>
        </w:rPr>
        <w:t>Article 71 alinéa 2 :</w:t>
      </w:r>
      <w:r>
        <w:rPr>
          <w:rFonts w:ascii="Arial" w:eastAsiaTheme="minorEastAsia" w:hAnsi="Arial" w:cs="Arial"/>
          <w:b/>
          <w:bCs/>
        </w:rPr>
        <w:t xml:space="preserve"> « </w:t>
      </w:r>
      <w:r>
        <w:rPr>
          <w:rFonts w:ascii="Arial" w:eastAsiaTheme="minorEastAsia" w:hAnsi="Arial" w:cs="Arial"/>
        </w:rPr>
        <w:t xml:space="preserve">L’autorité saisie doit donner suite au signalement sous peine de poursuite judiciaire. A cet effet, elle a l’obligation de consigner la déclaration sur Procès Verbal et de saisir par la suite le Tribunal compétent dans les meilleurs délais ».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b/>
          <w:bCs/>
        </w:rPr>
      </w:pPr>
      <w:r>
        <w:rPr>
          <w:rFonts w:ascii="Arial" w:eastAsiaTheme="minorEastAsia" w:hAnsi="Arial" w:cs="Arial"/>
        </w:rPr>
        <w:t xml:space="preserve">Afin d’éviter la double victimisation, la loi prévoit en son article 7 alinéa 2 que : « Toute </w:t>
      </w:r>
      <w:r>
        <w:rPr>
          <w:rFonts w:ascii="Arial" w:eastAsiaTheme="minorEastAsia" w:hAnsi="Arial" w:cs="Arial"/>
        </w:rPr>
        <w:lastRenderedPageBreak/>
        <w:t xml:space="preserve">autorité compétente à charge d’auditionner un enfant doit prendre les mesures utiles non coercitives pour faciliter et abréger sa déposition ».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L’enfant victime doit être informé de tous ses droits, assisté *par ses parents ou tuteurs, son conseil ou responsable de centre à tout moment de la procédure.  L’audition doit être confiée  à une personne de son sexe. La confrontation ne doit  pas avoir lieu entre l’enfant victime et l’auteur.</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Pour éviter la répétition d’audition d’un enfant victime de maltraitance, la première audition d’un enfant peut se faire par vidéo filmée tant au niveau de l’Officier de Police Judiciaire que devant le Juge des Enfants, toutefois la transcription sur procès-verbal est obligatoire. Faute de moyen, l’application de cette disposition n’est pas encore effective.</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La mise en place de Bureau National de Suivi de violence sexuelle et basée sur le genre appuyé lors de son démarrage  par le PNUD, le FNUAP, l’UNICEF prévoit la prise en charge juridique, médicale et psychosociale des enfants victimes de violence incluant les violences sexuelles.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La création de la ligne verte vise à favoriser le signalement des cas de maltraitances infantiles y compris l’exploitation sexuelle et le trafic d’enfants. C’est ainsi qu’a été créée la ligne verte 805 en 2008, remplacée par la ligne verte 147 en 2011, en collaboration avec les opérateurs téléphoniques TELMA, AIRTEL, ORANGE. Actuellement, 11 grandes villes à haut risque  sont couvertes par cette ligne verte.</w:t>
      </w:r>
    </w:p>
    <w:p w:rsidR="00F95626" w:rsidRPr="00002269" w:rsidRDefault="00F95626" w:rsidP="006E7FA5">
      <w:pPr>
        <w:pStyle w:val="Paragraphedeliste"/>
        <w:widowControl w:val="0"/>
        <w:numPr>
          <w:ilvl w:val="1"/>
          <w:numId w:val="35"/>
        </w:numPr>
        <w:autoSpaceDE w:val="0"/>
        <w:autoSpaceDN w:val="0"/>
        <w:adjustRightInd w:val="0"/>
        <w:spacing w:before="100" w:after="100" w:line="360" w:lineRule="auto"/>
        <w:ind w:right="-432"/>
        <w:jc w:val="both"/>
        <w:rPr>
          <w:rFonts w:ascii="Arial" w:eastAsiaTheme="minorEastAsia" w:hAnsi="Arial" w:cs="Arial"/>
          <w:u w:val="single"/>
        </w:rPr>
      </w:pPr>
      <w:r w:rsidRPr="00002269">
        <w:rPr>
          <w:rFonts w:ascii="Arial" w:eastAsiaTheme="minorEastAsia" w:hAnsi="Arial" w:cs="Arial"/>
          <w:u w:val="single"/>
        </w:rPr>
        <w:t>Aide et assistance aux victimes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Selon l’Article 49 de la Loi n°2007-023: « Le Juge des Enfants est compétent pour décider des mesures d’assistance éducative adaptées à la situation d’un enfant.</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Ces mesures sont prises par le Juge des Enfants à la requête des père et mère conjointement ou de l’un d’eux, de la personne ou du service à qui l’enfant a été confié ou du tuteur, de l’enfant lui-même ou du Magistrat du Ministère Public. Le Juge des Enfants peut aussi se saisir d’office.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Les mesures d’assistance éducative peuvent être ordonnées en même temps  ou séparément pour plusieurs enfants relevant de la même autorité parentale. </w:t>
      </w:r>
    </w:p>
    <w:p w:rsidR="00F95626" w:rsidRPr="00002269" w:rsidRDefault="00F95626" w:rsidP="006E7FA5">
      <w:pPr>
        <w:pStyle w:val="Paragraphedeliste"/>
        <w:widowControl w:val="0"/>
        <w:numPr>
          <w:ilvl w:val="1"/>
          <w:numId w:val="35"/>
        </w:numPr>
        <w:autoSpaceDE w:val="0"/>
        <w:autoSpaceDN w:val="0"/>
        <w:adjustRightInd w:val="0"/>
        <w:spacing w:before="100" w:after="100" w:line="360" w:lineRule="auto"/>
        <w:ind w:right="-432"/>
        <w:jc w:val="both"/>
        <w:rPr>
          <w:rFonts w:ascii="Arial" w:eastAsiaTheme="minorEastAsia" w:hAnsi="Arial" w:cs="Arial"/>
          <w:u w:val="single"/>
        </w:rPr>
      </w:pPr>
      <w:r w:rsidRPr="00002269">
        <w:rPr>
          <w:rFonts w:ascii="Arial" w:eastAsiaTheme="minorEastAsia" w:hAnsi="Arial" w:cs="Arial"/>
          <w:u w:val="single"/>
        </w:rPr>
        <w:t>Milieu de protection de remplacement</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Suivant l’article 13 de la Loi n° 2007-023 du 20 Aout 2007, la responsabilité du développement harmonieux de l’enfant incombe en premier lieu aux parents.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lastRenderedPageBreak/>
        <w:t>Toutefois, l’enfant victime a le droit d’être exceptionnellement élevé et éduqué au sein d’une autre famille que la sienne en guise de mesure de protection.</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Dans les deux cas, ils ont le devoir d’assurer les conditions de vie indispensables à l’épanouissement de l’enfant, compte tenu de leurs aptitudes et de leurs capacités financières.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Que pour sa protection, l’enfant victime peut être placé temporairement dans un  centre par décision motivée du Juge des enfants. </w:t>
      </w:r>
    </w:p>
    <w:p w:rsidR="00F95626" w:rsidRPr="00002269" w:rsidRDefault="00F95626" w:rsidP="006E7FA5">
      <w:pPr>
        <w:pStyle w:val="Paragraphedeliste"/>
        <w:widowControl w:val="0"/>
        <w:numPr>
          <w:ilvl w:val="1"/>
          <w:numId w:val="35"/>
        </w:numPr>
        <w:autoSpaceDE w:val="0"/>
        <w:autoSpaceDN w:val="0"/>
        <w:adjustRightInd w:val="0"/>
        <w:spacing w:before="100" w:after="100" w:line="360" w:lineRule="auto"/>
        <w:ind w:right="-432"/>
        <w:jc w:val="both"/>
        <w:rPr>
          <w:rFonts w:ascii="Arial" w:eastAsiaTheme="minorEastAsia" w:hAnsi="Arial" w:cs="Arial"/>
          <w:u w:val="single"/>
        </w:rPr>
      </w:pPr>
      <w:r w:rsidRPr="00002269">
        <w:rPr>
          <w:rFonts w:ascii="Arial" w:eastAsiaTheme="minorEastAsia" w:hAnsi="Arial" w:cs="Arial"/>
          <w:u w:val="single"/>
        </w:rPr>
        <w:t>Accélération de la procédure</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Conformément à l’Article 78 de la Loi n° 2007-023 du 20 Aout 2007 : « L’affaire est instruite et jugée dans les meilleurs délais en Chambre de Conseil après avis du Ministère Public. Le Juge des Enfants peut dispenser l’enfant de se présenter ou ordonner qu’il se retire pendant tout ou </w:t>
      </w:r>
      <w:r w:rsidR="006E7FA5">
        <w:rPr>
          <w:rFonts w:ascii="Arial" w:eastAsiaTheme="minorEastAsia" w:hAnsi="Arial" w:cs="Arial"/>
        </w:rPr>
        <w:t>partie de la suite des débats ».</w:t>
      </w:r>
    </w:p>
    <w:p w:rsidR="00F95626" w:rsidRPr="00002269" w:rsidRDefault="00F95626" w:rsidP="006E7FA5">
      <w:pPr>
        <w:pStyle w:val="Paragraphedeliste"/>
        <w:widowControl w:val="0"/>
        <w:numPr>
          <w:ilvl w:val="0"/>
          <w:numId w:val="35"/>
        </w:numPr>
        <w:autoSpaceDE w:val="0"/>
        <w:autoSpaceDN w:val="0"/>
        <w:adjustRightInd w:val="0"/>
        <w:spacing w:before="100" w:after="100" w:line="360" w:lineRule="auto"/>
        <w:ind w:right="-432"/>
        <w:jc w:val="both"/>
        <w:rPr>
          <w:rFonts w:ascii="Arial" w:eastAsiaTheme="minorEastAsia" w:hAnsi="Arial" w:cs="Arial"/>
          <w:b/>
          <w:i/>
          <w:u w:val="single"/>
        </w:rPr>
      </w:pPr>
      <w:r w:rsidRPr="00002269">
        <w:rPr>
          <w:rFonts w:ascii="Arial" w:eastAsiaTheme="minorEastAsia" w:hAnsi="Arial" w:cs="Arial"/>
          <w:b/>
          <w:i/>
          <w:u w:val="single"/>
        </w:rPr>
        <w:t>Indemnisation (article 9 alinéa 4)</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A Madagascar, la législation prévoit l’indemnisation des préjudices découlant de l’infraction au cours du procès pénal.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L’article 335.6 nouveau du code pénal prévoit que l’enfant victime des infractions relatives à la traite, à l’exploitation sexuelle et au tourisme sexuel et à l’inceste peut à tout moment signaler ou saisir le ministère public ou toute autre autorité compétente des faits commis à son encontre et réclamer réparation du préjudice subi. L’innovation apportée par cette disposition réside dans le fait que l’enfant est habilité à porter plainte et réclamer directement la réparation des préjudices subis sans passer par ses parents ou son représentant légal.</w:t>
      </w:r>
    </w:p>
    <w:p w:rsidR="00002269"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En général, au pénal, le délai pour demander réparation est lié à celui de la prescription de l’infraction. Spécifiquement en matière de vente, de prostitution et de pornographie mettant en scène des enfants ce délai ne commence à courir qu’à partir de l’âge de l</w:t>
      </w:r>
      <w:r w:rsidR="00002269">
        <w:rPr>
          <w:rFonts w:ascii="Arial" w:eastAsiaTheme="minorEastAsia" w:hAnsi="Arial" w:cs="Arial"/>
        </w:rPr>
        <w:t>a majorité de l’enfant victime.</w:t>
      </w:r>
    </w:p>
    <w:p w:rsidR="00F95626" w:rsidRPr="00002269" w:rsidRDefault="00F95626" w:rsidP="006E7FA5">
      <w:pPr>
        <w:pStyle w:val="Paragraphedeliste"/>
        <w:widowControl w:val="0"/>
        <w:numPr>
          <w:ilvl w:val="0"/>
          <w:numId w:val="35"/>
        </w:numPr>
        <w:autoSpaceDE w:val="0"/>
        <w:autoSpaceDN w:val="0"/>
        <w:adjustRightInd w:val="0"/>
        <w:spacing w:before="100" w:after="100" w:line="360" w:lineRule="auto"/>
        <w:ind w:right="-432"/>
        <w:jc w:val="both"/>
        <w:rPr>
          <w:rFonts w:ascii="Arial" w:eastAsiaTheme="minorEastAsia" w:hAnsi="Arial" w:cs="Arial"/>
          <w:b/>
          <w:i/>
          <w:u w:val="single"/>
        </w:rPr>
      </w:pPr>
      <w:r w:rsidRPr="00002269">
        <w:rPr>
          <w:rFonts w:ascii="Arial" w:eastAsiaTheme="minorEastAsia" w:hAnsi="Arial" w:cs="Arial"/>
          <w:b/>
          <w:i/>
          <w:u w:val="single"/>
        </w:rPr>
        <w:t>Formation et renforcement des capacités des personnes chargées de la protection des enfants victimes (article 8 alinéa 4 du protocole)</w:t>
      </w:r>
    </w:p>
    <w:p w:rsidR="00F95626" w:rsidRDefault="00F95626" w:rsidP="00F95626">
      <w:pPr>
        <w:widowControl w:val="0"/>
        <w:tabs>
          <w:tab w:val="right" w:pos="9072"/>
        </w:tabs>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Dans le cadre du renforcement de capacités des magistrats en exercice et plus particulièrement de ceux en charge de traiter les affaires impliquant des mineurs, des formations continues sont programmées annuellement à l’Ecole Nationale de la </w:t>
      </w:r>
      <w:r>
        <w:rPr>
          <w:rFonts w:ascii="Arial" w:eastAsiaTheme="minorEastAsia" w:hAnsi="Arial" w:cs="Arial"/>
        </w:rPr>
        <w:lastRenderedPageBreak/>
        <w:t xml:space="preserve">Magistrature et des Greffes. </w:t>
      </w:r>
    </w:p>
    <w:p w:rsidR="00F95626" w:rsidRDefault="00F95626" w:rsidP="00F95626">
      <w:pPr>
        <w:widowControl w:val="0"/>
        <w:tabs>
          <w:tab w:val="right" w:pos="9072"/>
        </w:tabs>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Il en est de même pour les acteurs de la justice, incluant les magistrats, les officiers de police judiciaire, les avocats, les responsables pénitentiaires, le personnel de la santé publique, les travailleurs sociaux,…</w:t>
      </w:r>
    </w:p>
    <w:p w:rsidR="00F95626" w:rsidRDefault="00F95626" w:rsidP="00F95626">
      <w:pPr>
        <w:widowControl w:val="0"/>
        <w:tabs>
          <w:tab w:val="right" w:pos="9072"/>
        </w:tabs>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Dans le cadre de l’opérationnalisation des recommandations de l’EPU, le Ministère de la Justice en partenariat avec le PNUD et le Haut Commissariat aux Droits de l’Homme, prévoit d’organiser des sessions de formation axées sur la lutte contre la traite de personnes et plus particulièrement celle des femmes et des enfants à l’intention des acteurs cités ci-dessus pour une période de deux ans à partir de l’année 2012.</w:t>
      </w:r>
    </w:p>
    <w:p w:rsidR="00F95626" w:rsidRDefault="00F95626" w:rsidP="00F95626">
      <w:pPr>
        <w:widowControl w:val="0"/>
        <w:tabs>
          <w:tab w:val="right" w:pos="9072"/>
        </w:tabs>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 Au niveau de la Police judiciaire, l’Ecole Nationale de la Police et celle de la Gendarmerie nationale dispensent une formation spécialisée à l’endroit des responsables en charge des affaires de mœurs. Par ailleurs, cette spécialisation a conduit à la création d’un Service central de la Police des Mœurs et de la Protection des Mineurs. La mise en place de service analogue au sein de la Gendarmerie est en cours. </w:t>
      </w:r>
    </w:p>
    <w:p w:rsidR="00F95626" w:rsidRDefault="00F95626" w:rsidP="00F95626">
      <w:pPr>
        <w:widowControl w:val="0"/>
        <w:tabs>
          <w:tab w:val="right" w:pos="9072"/>
        </w:tabs>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L’Université d’Antananarivo, en l’occurrence le département Sociologie de la Faculté de Droit, d’Economie, de Gestion et de Sociologie, dispense des formations pour les travailleurs sociaux. </w:t>
      </w:r>
    </w:p>
    <w:p w:rsidR="00F95626" w:rsidRDefault="00F95626" w:rsidP="00F95626">
      <w:pPr>
        <w:widowControl w:val="0"/>
        <w:tabs>
          <w:tab w:val="right" w:pos="9072"/>
        </w:tabs>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Un Institut spécialisé géré par le secteur privé, l’Institut Supérieur de Travail Social, sis à Antananarivo, se consacre dans la formation et le renforcement de capacités des travailleurs et des intervenants sociaux.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En plus des Instituts et des grandes écoles publiques et privées, des organismes comme le Syndicat des professionnels diplômés en travail social (SPDTS) dispense également des formations à l’endroit des travailleurs sociaux en matière de protection des droits des enfants victimes. </w:t>
      </w:r>
    </w:p>
    <w:p w:rsidR="00F95626" w:rsidRPr="00002269" w:rsidRDefault="00F95626" w:rsidP="006E7FA5">
      <w:pPr>
        <w:pStyle w:val="Paragraphedeliste"/>
        <w:widowControl w:val="0"/>
        <w:numPr>
          <w:ilvl w:val="0"/>
          <w:numId w:val="35"/>
        </w:numPr>
        <w:autoSpaceDE w:val="0"/>
        <w:autoSpaceDN w:val="0"/>
        <w:adjustRightInd w:val="0"/>
        <w:spacing w:before="100" w:after="100" w:line="360" w:lineRule="auto"/>
        <w:ind w:right="-432"/>
        <w:jc w:val="both"/>
        <w:rPr>
          <w:rFonts w:ascii="Arial" w:eastAsiaTheme="minorEastAsia" w:hAnsi="Arial" w:cs="Arial"/>
          <w:b/>
          <w:i/>
          <w:u w:val="single"/>
        </w:rPr>
      </w:pPr>
      <w:r w:rsidRPr="00002269">
        <w:rPr>
          <w:rFonts w:ascii="Arial" w:eastAsiaTheme="minorEastAsia" w:hAnsi="Arial" w:cs="Arial"/>
          <w:b/>
          <w:i/>
          <w:u w:val="single"/>
        </w:rPr>
        <w:t>Autres mesures de protection des enfants victimes</w:t>
      </w:r>
    </w:p>
    <w:p w:rsidR="00F95626" w:rsidRDefault="00F95626" w:rsidP="00F95626">
      <w:pPr>
        <w:widowControl w:val="0"/>
        <w:tabs>
          <w:tab w:val="right" w:pos="9072"/>
        </w:tabs>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Un guide de prise en charge médicale des victimes de violence sexuelle à l’usage du corps médical a été validé le 25 Mai 2012. </w:t>
      </w:r>
    </w:p>
    <w:p w:rsidR="00F95626" w:rsidRDefault="00F95626" w:rsidP="00F95626">
      <w:pPr>
        <w:widowControl w:val="0"/>
        <w:tabs>
          <w:tab w:val="right" w:pos="9072"/>
        </w:tabs>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Sont envisagées pour le deuxième semestre de l’année 2012 des formations de médecins en charge des enfants victimes. </w:t>
      </w:r>
    </w:p>
    <w:p w:rsidR="00F95626" w:rsidRDefault="00F95626" w:rsidP="00F95626">
      <w:pPr>
        <w:widowControl w:val="0"/>
        <w:tabs>
          <w:tab w:val="right" w:pos="9072"/>
        </w:tabs>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En ce qui concerne l’ordre des Avocats, un pool  pour la protection des femmes et mineurs victimes de maltraitance a été créé en Septembre 2011. Pour l’instant, ce pool </w:t>
      </w:r>
      <w:r>
        <w:rPr>
          <w:rFonts w:ascii="Arial" w:eastAsiaTheme="minorEastAsia" w:hAnsi="Arial" w:cs="Arial"/>
        </w:rPr>
        <w:lastRenderedPageBreak/>
        <w:t xml:space="preserve">est fonctionnel à Antananarivo et son extension sur l’ensemble du territoire national est en vue. Des formations sont programmées pour le renforcement de capacités de 48 avocats concernés cette année 2012. </w:t>
      </w:r>
    </w:p>
    <w:p w:rsidR="00F95626" w:rsidRDefault="00F95626" w:rsidP="00F95626">
      <w:pPr>
        <w:widowControl w:val="0"/>
        <w:tabs>
          <w:tab w:val="right" w:pos="9072"/>
        </w:tabs>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Des formations mixtes regroupant magistrats, OPJ, barreau, corps médical, représentants du ministère de la population ont été tenus depuis 2007, après l’entrée en vigueur de la nouvelle loi sur la protection des droits de l’enfant, loi 2007-023.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Dans le cadre de la mise en œuvre du Programme de Coopération entre le Gouvernement Malagasy et l’UNICEF axé sur la « Gouvernance pour la Protection de l’Enfant de l’UNICEF », le Ministère de la Population et des Affaires Sociales a mis en place des structures communautaires appelées « Réseaux de Protection de l’Enfant » ou RPE.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Le Réseau de Protection de l’Enfant est un système organisé de collaboration et de coordination des actions entre les différents acteurs dont les mandats sont différents mais complémentaires pour un but commun qui est la promotion des droits et la protection des enfants contre toutes les formes de violence, d’abus, d’exploitation y compris la perte de son milieu familial pour l’enfant.</w:t>
      </w:r>
    </w:p>
    <w:p w:rsidR="00F95626" w:rsidRDefault="00F95626" w:rsidP="00002269">
      <w:pPr>
        <w:widowControl w:val="0"/>
        <w:tabs>
          <w:tab w:val="left" w:pos="357"/>
        </w:tabs>
        <w:autoSpaceDE w:val="0"/>
        <w:autoSpaceDN w:val="0"/>
        <w:adjustRightInd w:val="0"/>
        <w:spacing w:before="100" w:after="100" w:line="360" w:lineRule="auto"/>
        <w:ind w:right="-288"/>
        <w:jc w:val="both"/>
        <w:rPr>
          <w:rFonts w:ascii="Arial" w:eastAsiaTheme="minorEastAsia" w:hAnsi="Arial" w:cs="Arial"/>
        </w:rPr>
      </w:pPr>
      <w:r>
        <w:rPr>
          <w:rFonts w:ascii="Arial" w:eastAsiaTheme="minorEastAsia" w:hAnsi="Arial" w:cs="Arial"/>
        </w:rPr>
        <w:t>Les réseaux reposent sur :</w:t>
      </w:r>
    </w:p>
    <w:p w:rsidR="00F95626" w:rsidRPr="006E7FA5" w:rsidRDefault="00F95626" w:rsidP="006E7FA5">
      <w:pPr>
        <w:widowControl w:val="0"/>
        <w:numPr>
          <w:ilvl w:val="1"/>
          <w:numId w:val="24"/>
        </w:numPr>
        <w:tabs>
          <w:tab w:val="left" w:pos="357"/>
        </w:tabs>
        <w:autoSpaceDE w:val="0"/>
        <w:autoSpaceDN w:val="0"/>
        <w:adjustRightInd w:val="0"/>
        <w:spacing w:before="100" w:after="100" w:line="360" w:lineRule="auto"/>
        <w:ind w:left="993" w:right="-288"/>
        <w:jc w:val="both"/>
        <w:rPr>
          <w:rFonts w:ascii="Arial" w:eastAsiaTheme="minorEastAsia" w:hAnsi="Arial" w:cs="Arial"/>
        </w:rPr>
      </w:pPr>
      <w:r w:rsidRPr="006E7FA5">
        <w:rPr>
          <w:rFonts w:ascii="Arial" w:eastAsiaTheme="minorEastAsia" w:hAnsi="Arial" w:cs="Arial"/>
        </w:rPr>
        <w:t xml:space="preserve">une base communautaire au niveau des communes qui s’organise, s’implique et veille à la protection de l’enfant en agissant sur la prévention mais également à la protection stricto sensu par l’identification des cas de violence, l’application de mesures qu’elle peut elle-même prendre, la référence ou signalement auprès des autorités compétentes ; </w:t>
      </w:r>
    </w:p>
    <w:p w:rsidR="00F95626" w:rsidRDefault="00F95626" w:rsidP="006E7FA5">
      <w:pPr>
        <w:widowControl w:val="0"/>
        <w:numPr>
          <w:ilvl w:val="1"/>
          <w:numId w:val="25"/>
        </w:numPr>
        <w:tabs>
          <w:tab w:val="left" w:pos="357"/>
        </w:tabs>
        <w:autoSpaceDE w:val="0"/>
        <w:autoSpaceDN w:val="0"/>
        <w:adjustRightInd w:val="0"/>
        <w:spacing w:before="100" w:after="100" w:line="360" w:lineRule="auto"/>
        <w:ind w:left="993" w:right="-288"/>
        <w:jc w:val="both"/>
        <w:rPr>
          <w:rFonts w:ascii="Arial" w:eastAsiaTheme="minorEastAsia" w:hAnsi="Arial" w:cs="Arial"/>
        </w:rPr>
      </w:pPr>
      <w:r>
        <w:rPr>
          <w:rFonts w:ascii="Arial" w:eastAsiaTheme="minorEastAsia" w:hAnsi="Arial" w:cs="Arial"/>
        </w:rPr>
        <w:t>une base institutionnelle au niveau des districts qui organise</w:t>
      </w:r>
      <w:r>
        <w:rPr>
          <w:rFonts w:ascii="Arial" w:eastAsiaTheme="minorEastAsia" w:hAnsi="Arial" w:cs="Arial"/>
          <w:i/>
          <w:iCs/>
        </w:rPr>
        <w:t xml:space="preserve"> </w:t>
      </w:r>
      <w:r>
        <w:rPr>
          <w:rFonts w:ascii="Arial" w:eastAsiaTheme="minorEastAsia" w:hAnsi="Arial" w:cs="Arial"/>
        </w:rPr>
        <w:t>la complémentarité des services et leur coordination, la mise en place de services manquants, la relation avec la communauté : référence de cas…, le renforcement et la mobilisation des capacités.</w:t>
      </w:r>
    </w:p>
    <w:p w:rsidR="00F95626" w:rsidRDefault="00F95626" w:rsidP="00F95626">
      <w:pPr>
        <w:widowControl w:val="0"/>
        <w:tabs>
          <w:tab w:val="left" w:pos="357"/>
        </w:tabs>
        <w:autoSpaceDE w:val="0"/>
        <w:autoSpaceDN w:val="0"/>
        <w:adjustRightInd w:val="0"/>
        <w:spacing w:before="100" w:after="100" w:line="360" w:lineRule="auto"/>
        <w:ind w:right="-288"/>
        <w:jc w:val="both"/>
        <w:rPr>
          <w:rFonts w:ascii="Arial" w:eastAsiaTheme="minorEastAsia" w:hAnsi="Arial" w:cs="Arial"/>
        </w:rPr>
      </w:pPr>
      <w:r>
        <w:rPr>
          <w:rFonts w:ascii="Arial" w:eastAsiaTheme="minorEastAsia" w:hAnsi="Arial" w:cs="Arial"/>
        </w:rPr>
        <w:t>La mise en place des réseaux de protection des enfants s’est faite progressivement depuis l’année 2005 et actuellement 765 communes (qui représentent 48% des communes de Madagascar) réparties dans 88 districts sont  couvertes par les réseaux.</w:t>
      </w:r>
      <w:r>
        <w:rPr>
          <w:rFonts w:ascii="Arial" w:eastAsiaTheme="minorEastAsia" w:hAnsi="Arial" w:cs="Arial"/>
          <w:b/>
          <w:bCs/>
        </w:rPr>
        <w:t xml:space="preserv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En plus de la protection prévue par la loi pénale et la procédure pénale, les enfants victimes peuvent s’adresser à des mécanismes de recours non judiciaires, à savoir : aux centres d’écoute et de conseil juridique et aux cliniques juridiques.</w:t>
      </w:r>
    </w:p>
    <w:p w:rsidR="00F95626" w:rsidRPr="00002269" w:rsidRDefault="00F95626" w:rsidP="006E7FA5">
      <w:pPr>
        <w:pStyle w:val="Paragraphedeliste"/>
        <w:widowControl w:val="0"/>
        <w:numPr>
          <w:ilvl w:val="1"/>
          <w:numId w:val="35"/>
        </w:numPr>
        <w:autoSpaceDE w:val="0"/>
        <w:autoSpaceDN w:val="0"/>
        <w:adjustRightInd w:val="0"/>
        <w:spacing w:before="100" w:after="100" w:line="360" w:lineRule="auto"/>
        <w:ind w:right="-432"/>
        <w:jc w:val="both"/>
        <w:rPr>
          <w:rFonts w:ascii="Arial" w:eastAsiaTheme="minorEastAsia" w:hAnsi="Arial" w:cs="Arial"/>
          <w:u w:val="single"/>
        </w:rPr>
      </w:pPr>
      <w:r w:rsidRPr="00002269">
        <w:rPr>
          <w:rFonts w:ascii="Arial" w:eastAsiaTheme="minorEastAsia" w:hAnsi="Arial" w:cs="Arial"/>
          <w:u w:val="single"/>
        </w:rPr>
        <w:lastRenderedPageBreak/>
        <w:t>Centre d’écoute et de conseil juridique</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Appuyés par le FNUAP, des centres d’écoute publics et privés sont créés au niveau des Communes pour prendre en charge les enfants victimes :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Le Ministère de la Population dispose de 15 centres opérationnels répartis dans les régions Analamanga, Atsinanana, Vakinankaratra, Androy, Atsimo Andrefana, Boeny, Bongolava, Haute Matsiatra, Alaotra Mangoro, Menabe, Amoron’i Mania.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Ces centres ont pour mission d’assurer l’écoute et la prise en charge psychosociale des victimes.</w:t>
      </w:r>
    </w:p>
    <w:p w:rsidR="00F95626" w:rsidRPr="00002269" w:rsidRDefault="00F95626" w:rsidP="006E7FA5">
      <w:pPr>
        <w:pStyle w:val="Paragraphedeliste"/>
        <w:widowControl w:val="0"/>
        <w:numPr>
          <w:ilvl w:val="1"/>
          <w:numId w:val="35"/>
        </w:numPr>
        <w:autoSpaceDE w:val="0"/>
        <w:autoSpaceDN w:val="0"/>
        <w:adjustRightInd w:val="0"/>
        <w:spacing w:before="100" w:after="100" w:line="360" w:lineRule="auto"/>
        <w:ind w:right="-432"/>
        <w:jc w:val="both"/>
        <w:rPr>
          <w:rFonts w:ascii="Arial" w:eastAsiaTheme="minorEastAsia" w:hAnsi="Arial" w:cs="Arial"/>
          <w:u w:val="single"/>
        </w:rPr>
      </w:pPr>
      <w:r w:rsidRPr="00002269">
        <w:rPr>
          <w:rFonts w:ascii="Arial" w:eastAsiaTheme="minorEastAsia" w:hAnsi="Arial" w:cs="Arial"/>
          <w:u w:val="single"/>
        </w:rPr>
        <w:t>Cliniques juridiques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Les cliniques juridiques sont des maisons de protection des droits de l’homme implantées en milieu communautaire pour venir en aide à la population la plus démunie afin que celle-ci puisse faire valoir ses droits en cas de violation sans recourir à la Justice classique. Des organisations non-gouvernementales sont sélectionnées pour gérer ces centres. Elles ont pour mission de procéder à des conciliations des conflits mineurs ne mettant pas en danger ni l’intérêt de la victime ni celui de la société.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Elles œuvrent également dans le domaine de la vulgarisation des lois et des instruments relatifs aux droits de l’homme en général. Les para juristes recrutés au sein de ces cliniques reçoivent des formations initiales et périodiques, des formations continues afin qu’ils puissent s’acquitter convenablement de leurs missions.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Les cliniques juridiques fonctionnent sous la supervision et la coordination du Ministère de la Justice et des Tribunaux de Première Instance de leur lieu d’implantation. Crées depuis 2007, elles bénéficient d’un appui technique et financier de la part du PNUD et de l’UE. Actuellement 9 cliniques juridiques sont implantées respectivement à Antananarivo, Mananjary, Manakara, Farafangana, Tolagnaro, Ihosy, Ambalavao, Sakaraha et Toliara.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Les cliniques juridiques sont rattachées au Ministère de la justice en coopération avec les partenaires techniques et financiers. </w:t>
      </w:r>
    </w:p>
    <w:p w:rsidR="00F95626" w:rsidRPr="00002269" w:rsidRDefault="00F95626" w:rsidP="006E7FA5">
      <w:pPr>
        <w:pStyle w:val="Paragraphedeliste"/>
        <w:widowControl w:val="0"/>
        <w:numPr>
          <w:ilvl w:val="1"/>
          <w:numId w:val="35"/>
        </w:numPr>
        <w:autoSpaceDE w:val="0"/>
        <w:autoSpaceDN w:val="0"/>
        <w:adjustRightInd w:val="0"/>
        <w:spacing w:before="100" w:after="100" w:line="360" w:lineRule="auto"/>
        <w:ind w:right="-432"/>
        <w:jc w:val="both"/>
        <w:rPr>
          <w:rFonts w:ascii="Arial" w:eastAsiaTheme="minorEastAsia" w:hAnsi="Arial" w:cs="Arial"/>
          <w:u w:val="single"/>
        </w:rPr>
      </w:pPr>
      <w:r w:rsidRPr="00002269">
        <w:rPr>
          <w:rFonts w:ascii="Arial" w:eastAsiaTheme="minorEastAsia" w:hAnsi="Arial" w:cs="Arial"/>
          <w:u w:val="single"/>
        </w:rPr>
        <w:t>La participation des OSC, ONG et associations œuvrant dans la protection et promotion des droits de l’enfant</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Des Associations et ONG apportent leur contribution pour la mise en œuvre des actions de promotion et de protection des droits de l’enfant dont l’ACAT, le SPDTS et l’AFFD. Elles se sont spécialisées dans la lutte contre toutes les formes de maltraitance d’enfants </w:t>
      </w:r>
      <w:r>
        <w:rPr>
          <w:rFonts w:ascii="Arial" w:eastAsiaTheme="minorEastAsia" w:hAnsi="Arial" w:cs="Arial"/>
        </w:rPr>
        <w:lastRenderedPageBreak/>
        <w:t xml:space="preserve">y compris la traite et la prostitution d’enfants. Elles ont pour mission la dénonciation, l’accueil, l’hébergement et la réinsertion des jeunes filles victimes d’exploitation sexuelle.   </w:t>
      </w:r>
    </w:p>
    <w:p w:rsidR="00F95626" w:rsidRPr="00002269" w:rsidRDefault="00F95626" w:rsidP="006E7FA5">
      <w:pPr>
        <w:widowControl w:val="0"/>
        <w:autoSpaceDE w:val="0"/>
        <w:autoSpaceDN w:val="0"/>
        <w:adjustRightInd w:val="0"/>
        <w:spacing w:before="100" w:after="100" w:line="360" w:lineRule="auto"/>
        <w:ind w:right="-432"/>
        <w:jc w:val="both"/>
        <w:rPr>
          <w:rFonts w:ascii="Arial" w:eastAsiaTheme="minorEastAsia" w:hAnsi="Arial" w:cs="Arial"/>
          <w:b/>
          <w:bCs/>
          <w:sz w:val="28"/>
          <w:szCs w:val="28"/>
        </w:rPr>
      </w:pPr>
      <w:r w:rsidRPr="00002269">
        <w:rPr>
          <w:rFonts w:ascii="Arial" w:eastAsiaTheme="minorEastAsia" w:hAnsi="Arial" w:cs="Arial"/>
          <w:b/>
          <w:bCs/>
          <w:sz w:val="28"/>
          <w:szCs w:val="28"/>
        </w:rPr>
        <w:t>D. Mesures de prévention (article 9 alinéa 1 et 2)</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En application de l’article 9 du protocole, les Etats parties prennent des mesures politiques et organisent des campagnes d’information et de prévention afin de mieux protéger les enfants contre l’exploitation sexuelle et la vente.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Pour mieux combattre le fléau d’exploitation sexuelle et de trafic d’enfants, il est fondamental de connaitre avec exactitude l’ampleur, l’étendue et les causes profondes dudit fléau. La connaissance des données fiables et crédibles est nécessaire pour l’élaboration de politique et de plan d’action incluant la prévention pour mieux protéger les enfants. En l’état actuel Madagascar ne dispose pas de centre de base de données faisant état de toutes les informations relatives à la traite, à la prostitution, et à la pornographie mettant en scène des enfants.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b/>
          <w:bCs/>
        </w:rPr>
      </w:pPr>
      <w:r>
        <w:rPr>
          <w:rFonts w:ascii="Arial" w:eastAsiaTheme="minorEastAsia" w:hAnsi="Arial" w:cs="Arial"/>
        </w:rPr>
        <w:t xml:space="preserve">Ainsi l’Etat malagasy, avec l’appui de ses partenaires, en particulier l’UNICEF, déploie des efforts pour la centralisation des informations liées à la maltraitance d’enfants sur l’ensemble du territoire émanant des Réseaux de la Protection de l’Enfant.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Dans la même optique, en 2012, avec l’appui du PNUD, FNUAP, UNICEF, la Norvège et le Haut Commissariat aux Droits de l’Homme, il a été créé respectivement au sein du Ministère de la Population et du Ministère de la Justice un Centre de Suivi des violences sexuelles et basées sur le genre, incluant celles commises aux enfants et un Centre de Suivi de l’accès à la Justice.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Ces centres ont leurs démembrements au niveau des Régions, des Communes et des quartiers. L’idée de base est de faire remonter de la base au sommet les informations sur les violations des droits de l’Homme, incluant celles visées par le protocole.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En termes de programmes et d’activités, notamment d’information et d’éducation de la population, le Ministère de la Justice, à travers le Service Vulgarisation Juridique assure la diffusion hebdomadaire des droits dont ceux relatifs à la traite, la prostitution et la maltraitance d’enfants en général. Cette campagne d’information passe sur les ondes de la RNM ayant une couverture nationale.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Au niveau des Provinces, des Régions, des Districts et des Communes, les médias publics et privés, les radios et télévisions sont impliquées dans le processus de la protection des enfants en assurant des émissions spéciales traitant des sujets relatifs à </w:t>
      </w:r>
      <w:r>
        <w:rPr>
          <w:rFonts w:ascii="Arial" w:eastAsiaTheme="minorEastAsia" w:hAnsi="Arial" w:cs="Arial"/>
        </w:rPr>
        <w:lastRenderedPageBreak/>
        <w:t xml:space="preserve">la lutte contre le tourisme sexuel, l’exploitation sexuelle des enfants à des fins commerciales et la traite d’enfants. A titre d’illustration, à Ambanja, Région Diana, les radios locales diffusent simultanément une émission consacrée à la protection des enfants tous les mercredis à 14 heures.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Par ailleurs, il a été procédé à la production de supports audiovisuels d’information et de sensibilisation intéressant l’exploitation sexuelle des enfants. Ainsi, avec l’appui de l’UNICEF, du PNUD les films ci-après ont été produits et diffusés sur les chaines publiques et privées : </w:t>
      </w:r>
    </w:p>
    <w:p w:rsidR="00F95626" w:rsidRDefault="00F95626" w:rsidP="00F95626">
      <w:pPr>
        <w:widowControl w:val="0"/>
        <w:numPr>
          <w:ilvl w:val="1"/>
          <w:numId w:val="26"/>
        </w:numPr>
        <w:autoSpaceDE w:val="0"/>
        <w:autoSpaceDN w:val="0"/>
        <w:adjustRightInd w:val="0"/>
        <w:spacing w:before="100" w:after="100" w:line="360" w:lineRule="auto"/>
        <w:ind w:left="644" w:right="-432"/>
        <w:jc w:val="both"/>
        <w:rPr>
          <w:rFonts w:ascii="Arial" w:eastAsiaTheme="minorEastAsia" w:hAnsi="Arial" w:cs="Arial"/>
        </w:rPr>
      </w:pPr>
      <w:r>
        <w:rPr>
          <w:rFonts w:ascii="Arial" w:eastAsiaTheme="minorEastAsia" w:hAnsi="Arial" w:cs="Arial"/>
        </w:rPr>
        <w:t xml:space="preserve">« Vero sy Haingo » ; </w:t>
      </w:r>
    </w:p>
    <w:p w:rsidR="00F95626" w:rsidRDefault="00F95626" w:rsidP="00F95626">
      <w:pPr>
        <w:widowControl w:val="0"/>
        <w:numPr>
          <w:ilvl w:val="1"/>
          <w:numId w:val="26"/>
        </w:numPr>
        <w:autoSpaceDE w:val="0"/>
        <w:autoSpaceDN w:val="0"/>
        <w:adjustRightInd w:val="0"/>
        <w:spacing w:before="100" w:after="100" w:line="360" w:lineRule="auto"/>
        <w:ind w:left="644" w:right="-432"/>
        <w:jc w:val="both"/>
        <w:rPr>
          <w:rFonts w:ascii="Arial" w:eastAsiaTheme="minorEastAsia" w:hAnsi="Arial" w:cs="Arial"/>
        </w:rPr>
      </w:pPr>
      <w:r>
        <w:rPr>
          <w:rFonts w:ascii="Arial" w:eastAsiaTheme="minorEastAsia" w:hAnsi="Arial" w:cs="Arial"/>
        </w:rPr>
        <w:t xml:space="preserve">« Aina » ; </w:t>
      </w:r>
    </w:p>
    <w:p w:rsidR="00F95626" w:rsidRDefault="00F95626" w:rsidP="00F95626">
      <w:pPr>
        <w:widowControl w:val="0"/>
        <w:numPr>
          <w:ilvl w:val="1"/>
          <w:numId w:val="26"/>
        </w:numPr>
        <w:autoSpaceDE w:val="0"/>
        <w:autoSpaceDN w:val="0"/>
        <w:adjustRightInd w:val="0"/>
        <w:spacing w:before="100" w:after="100" w:line="360" w:lineRule="auto"/>
        <w:ind w:left="644" w:right="-432"/>
        <w:jc w:val="both"/>
        <w:rPr>
          <w:rFonts w:ascii="Arial" w:eastAsiaTheme="minorEastAsia" w:hAnsi="Arial" w:cs="Arial"/>
        </w:rPr>
      </w:pPr>
      <w:r>
        <w:rPr>
          <w:rFonts w:ascii="Arial" w:eastAsiaTheme="minorEastAsia" w:hAnsi="Arial" w:cs="Arial"/>
        </w:rPr>
        <w:t>« Jaomalaza » ;</w:t>
      </w:r>
    </w:p>
    <w:p w:rsidR="00F95626" w:rsidRDefault="00F95626" w:rsidP="00F95626">
      <w:pPr>
        <w:widowControl w:val="0"/>
        <w:numPr>
          <w:ilvl w:val="1"/>
          <w:numId w:val="26"/>
        </w:numPr>
        <w:autoSpaceDE w:val="0"/>
        <w:autoSpaceDN w:val="0"/>
        <w:adjustRightInd w:val="0"/>
        <w:spacing w:before="100" w:after="100" w:line="360" w:lineRule="auto"/>
        <w:ind w:left="644" w:right="-432"/>
        <w:jc w:val="both"/>
        <w:rPr>
          <w:rFonts w:ascii="Arial" w:eastAsiaTheme="minorEastAsia" w:hAnsi="Arial" w:cs="Arial"/>
        </w:rPr>
      </w:pPr>
      <w:r>
        <w:rPr>
          <w:rFonts w:ascii="Arial" w:eastAsiaTheme="minorEastAsia" w:hAnsi="Arial" w:cs="Arial"/>
        </w:rPr>
        <w:t>« Fandrika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Chaque année, pendant la célébration du mois de l’enfance, Madagascar, à travers le Ministère de la Population et des Affaires Sociales, le Ministère de la Fonction Publique, du Travail et des Lois Sociales, en partenariat avec le BIT et l’UNICEF mène des campagnes de sensibilisation sur la lutte contre le travail des enfants tant dans les grandes villes que dans les campagnes. Plus particulièrement, le 12 juin, les actions sont axées sur la lutte contre les pires formes de travail des enfants, incluant la prostitution d’enfants à des fins commerciales.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Concernant la lutte contre les pires formes de travail des enfants, le Projet Tackle depuis fin octobre 2012 intervient à Sakaraha dans l’Atsimo Andrefana ainsi que dans 3 Communes de cette localité.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Dans le cadre du lancement de ce projet, un atelier de formation a été organisé à Sakaraha à l’intention de toutes les parties prenantes.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Ce projet est mis en œuvre par Aide et Action Internationale en partenariat avec IPEC-BIT.</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A Madagascar, le taux de participation aux activités économiques des enfants âgés de cinq à 17 ans est de 28%, soit 1 873 135 d’enfant travailleurs. Le taux de participation aux activités économiques est légèrement plus élevé chez les garçons que chez les filles.</w:t>
      </w:r>
    </w:p>
    <w:p w:rsidR="00002269" w:rsidRDefault="00002269" w:rsidP="00F95626">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lastRenderedPageBreak/>
        <w:t>Le travail des enfants compromet également la scolarisation des enfants. Les donnés révèlent que la fréquentation scolaire n’a pas atteint les 44/% pour les enfants économiquement actifs du pays, contre 74% chez les enfants non travailleurs.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Pour la région Atsimo Andrefana, 111 000 enfants travaillent dont 97 000 dans le d</w:t>
      </w:r>
      <w:r w:rsidR="006E7FA5">
        <w:rPr>
          <w:rFonts w:ascii="Arial" w:eastAsiaTheme="minorEastAsia" w:hAnsi="Arial" w:cs="Arial"/>
        </w:rPr>
        <w:t>omaine des travaux dommageables.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L’objectif du Projet vise à réaliser dans les 3 Communes de Andranolava, Mihary Taheza et Ambinany : </w:t>
      </w:r>
    </w:p>
    <w:p w:rsidR="00F95626" w:rsidRDefault="00F95626" w:rsidP="00F95626">
      <w:pPr>
        <w:widowControl w:val="0"/>
        <w:numPr>
          <w:ilvl w:val="1"/>
          <w:numId w:val="27"/>
        </w:numPr>
        <w:autoSpaceDE w:val="0"/>
        <w:autoSpaceDN w:val="0"/>
        <w:adjustRightInd w:val="0"/>
        <w:spacing w:before="100" w:after="100" w:line="360" w:lineRule="auto"/>
        <w:ind w:left="644" w:right="-432"/>
        <w:jc w:val="both"/>
        <w:rPr>
          <w:rFonts w:ascii="Arial" w:eastAsiaTheme="minorEastAsia" w:hAnsi="Arial" w:cs="Arial"/>
        </w:rPr>
      </w:pPr>
      <w:r>
        <w:rPr>
          <w:rFonts w:ascii="Arial" w:eastAsiaTheme="minorEastAsia" w:hAnsi="Arial" w:cs="Arial"/>
        </w:rPr>
        <w:t xml:space="preserve">Scolarisation de 500 enfants </w:t>
      </w:r>
    </w:p>
    <w:p w:rsidR="00F95626" w:rsidRDefault="00F95626" w:rsidP="00F95626">
      <w:pPr>
        <w:widowControl w:val="0"/>
        <w:numPr>
          <w:ilvl w:val="1"/>
          <w:numId w:val="27"/>
        </w:numPr>
        <w:autoSpaceDE w:val="0"/>
        <w:autoSpaceDN w:val="0"/>
        <w:adjustRightInd w:val="0"/>
        <w:spacing w:before="100" w:after="100" w:line="360" w:lineRule="auto"/>
        <w:ind w:left="644" w:right="-432"/>
        <w:jc w:val="both"/>
        <w:rPr>
          <w:rFonts w:ascii="Arial" w:eastAsiaTheme="minorEastAsia" w:hAnsi="Arial" w:cs="Arial"/>
        </w:rPr>
      </w:pPr>
      <w:r>
        <w:rPr>
          <w:rFonts w:ascii="Arial" w:eastAsiaTheme="minorEastAsia" w:hAnsi="Arial" w:cs="Arial"/>
        </w:rPr>
        <w:t>Sensibilisation sur les enjeux de la lutte contre le travail des enfants</w:t>
      </w:r>
    </w:p>
    <w:p w:rsidR="00F95626" w:rsidRDefault="00F95626" w:rsidP="00F95626">
      <w:pPr>
        <w:widowControl w:val="0"/>
        <w:numPr>
          <w:ilvl w:val="1"/>
          <w:numId w:val="27"/>
        </w:numPr>
        <w:autoSpaceDE w:val="0"/>
        <w:autoSpaceDN w:val="0"/>
        <w:adjustRightInd w:val="0"/>
        <w:spacing w:before="100" w:after="100" w:line="360" w:lineRule="auto"/>
        <w:ind w:left="644" w:right="-432"/>
        <w:jc w:val="both"/>
        <w:rPr>
          <w:rFonts w:ascii="Arial" w:eastAsiaTheme="minorEastAsia" w:hAnsi="Arial" w:cs="Arial"/>
        </w:rPr>
      </w:pPr>
      <w:r>
        <w:rPr>
          <w:rFonts w:ascii="Arial" w:eastAsiaTheme="minorEastAsia" w:hAnsi="Arial" w:cs="Arial"/>
        </w:rPr>
        <w:t xml:space="preserve">Dotation de fournitures scolaires </w:t>
      </w:r>
    </w:p>
    <w:p w:rsidR="00F95626" w:rsidRDefault="00F95626" w:rsidP="00F95626">
      <w:pPr>
        <w:widowControl w:val="0"/>
        <w:numPr>
          <w:ilvl w:val="1"/>
          <w:numId w:val="27"/>
        </w:numPr>
        <w:autoSpaceDE w:val="0"/>
        <w:autoSpaceDN w:val="0"/>
        <w:adjustRightInd w:val="0"/>
        <w:spacing w:before="100" w:after="100" w:line="360" w:lineRule="auto"/>
        <w:ind w:left="644" w:right="-432"/>
        <w:jc w:val="both"/>
        <w:rPr>
          <w:rFonts w:ascii="Arial" w:eastAsiaTheme="minorEastAsia" w:hAnsi="Arial" w:cs="Arial"/>
        </w:rPr>
      </w:pPr>
      <w:r>
        <w:rPr>
          <w:rFonts w:ascii="Arial" w:eastAsiaTheme="minorEastAsia" w:hAnsi="Arial" w:cs="Arial"/>
        </w:rPr>
        <w:t>Appui à l’obtention d’acte de naissance pour 200 enfants</w:t>
      </w:r>
    </w:p>
    <w:p w:rsidR="00F95626" w:rsidRDefault="00F95626" w:rsidP="00F95626">
      <w:pPr>
        <w:widowControl w:val="0"/>
        <w:numPr>
          <w:ilvl w:val="1"/>
          <w:numId w:val="27"/>
        </w:numPr>
        <w:autoSpaceDE w:val="0"/>
        <w:autoSpaceDN w:val="0"/>
        <w:adjustRightInd w:val="0"/>
        <w:spacing w:before="100" w:after="100" w:line="360" w:lineRule="auto"/>
        <w:ind w:left="644" w:right="-432"/>
        <w:jc w:val="both"/>
        <w:rPr>
          <w:rFonts w:ascii="Arial" w:eastAsiaTheme="minorEastAsia" w:hAnsi="Arial" w:cs="Arial"/>
        </w:rPr>
      </w:pPr>
      <w:r>
        <w:rPr>
          <w:rFonts w:ascii="Arial" w:eastAsiaTheme="minorEastAsia" w:hAnsi="Arial" w:cs="Arial"/>
        </w:rPr>
        <w:t>Formation professionnelle à 80 adolescents victimes</w:t>
      </w:r>
    </w:p>
    <w:p w:rsidR="00F95626" w:rsidRDefault="00F95626" w:rsidP="00F95626">
      <w:pPr>
        <w:widowControl w:val="0"/>
        <w:numPr>
          <w:ilvl w:val="1"/>
          <w:numId w:val="27"/>
        </w:numPr>
        <w:autoSpaceDE w:val="0"/>
        <w:autoSpaceDN w:val="0"/>
        <w:adjustRightInd w:val="0"/>
        <w:spacing w:before="120" w:after="320"/>
        <w:ind w:left="644" w:right="-432"/>
        <w:jc w:val="both"/>
        <w:rPr>
          <w:rFonts w:ascii="Arial" w:eastAsiaTheme="minorEastAsia" w:hAnsi="Arial" w:cs="Arial"/>
          <w:sz w:val="22"/>
          <w:szCs w:val="22"/>
        </w:rPr>
      </w:pPr>
      <w:r>
        <w:rPr>
          <w:rFonts w:ascii="Arial" w:eastAsiaTheme="minorEastAsia" w:hAnsi="Arial" w:cs="Arial"/>
        </w:rPr>
        <w:t>Création d’activités génératrices de revenus aux 150 parents des enfants victimes ou menacés du travail</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Concernant les actions visant à retirer les enfants du milieu de la prostitution, l’association française Aide aux Filles et Femmes en Détresse </w:t>
      </w:r>
      <w:r>
        <w:rPr>
          <w:rFonts w:eastAsiaTheme="minorEastAsia"/>
        </w:rPr>
        <w:t>(AFFD</w:t>
      </w:r>
      <w:r>
        <w:rPr>
          <w:rFonts w:ascii="Arial" w:eastAsiaTheme="minorEastAsia" w:hAnsi="Arial" w:cs="Arial"/>
        </w:rPr>
        <w:t xml:space="preserve">) implantée à Fianarantsoa, Morondava et Antsirabe mène des actions pour la construction des foyers d’accueil et des ateliers de formation professionnelle ainsi que des maisons pour les mamans et leurs enfants.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L’objectif est d’accueillir, d’héberger et de doter les victimes de formation générale et ou professionnelle en vue de leur retrait du monde de la prostitution et de leur réinsertion professionnelle et sociale.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Ainsi, depuis sa création à Fianarantsoa il y a sept ans, plus de 40 filles sont réhabilitées, mariées et/ou avec un travail décent tandis que 23 autres sont en phase de terminer leur formation professionnelle et sont outillées pour quitter définitivement le monde de la prostitution.</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Par ailleurs, des manuels, guides et brochures ont été édités par les Ministères chargés de la protection des droits de l’enfant tels le Ministère de l’Education nationale, le Ministère de la Justice, le Ministère de la Population et des Affaires Sociales, le Ministère du Tourisme et le Ministère de la Santé Publique.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En 2007, avec l’appui du PNUD, le Ministère de la Justice dans le cadre de la mise en </w:t>
      </w:r>
      <w:r>
        <w:rPr>
          <w:rFonts w:ascii="Arial" w:eastAsiaTheme="minorEastAsia" w:hAnsi="Arial" w:cs="Arial"/>
        </w:rPr>
        <w:lastRenderedPageBreak/>
        <w:t xml:space="preserve">œuvre du projet « Appui à la Promotion et la Protection des Droits de l’Homme » a édité des milliers de posters illustrés d’image faisant apparaitre la procédure à suivre et les peines encourues en cas de traite. Ces posters ont été affichés dans les lieux publics à grande fréquentation et à l’entrée des hôtels.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En 2009, le Ministère du Tourisme a repris l’initiative en éditant et diffusant des posters analogues dans les mêmes lieux.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Depuis 2003, le Ministère de l’Education Nationale a intégré les Droits de l’Enfant dans les programmes scolaires au niveau primaire et secondaire. Pour ce faire, l’OEMC a été créé pour la conception et le suivi de l’application de ce programme. A la même année, le Ministère a édité des brochures en langue malagasy sur les droits de l’enfant.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La non-scolarisation ou la déscolarisation précoce constitue un facteur favorisant la recrudescence de la prostitution infantile et l’exploitation sexuelle d’enfants en général. Pour y remédier, des mesures incitatives ont été prises pour scolariser ou maintenir les enfants à l’école. Ces mesures consistent à la distribution de kits scolaires, à la mise en place de cantines scolaires non payantes et à la gratuité de l’éducation primaire publique.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Dans le même sens, avec l’appui du PNUD et le Haut Commissariat aux Droits de l’Homme, il sera procédé à l’intégration des Droits de l’Hommes dans les curricula de formation des grandes écoles professionnelles dont celles de la Magistrature et des Greffes, de l’Administration Pénitentiaire, des Forces Armées, de la Police et de l’Institut National de la Formation à la Profession d’Avocats.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Outre les spécificités de chaque grande école, il a été convenu que les thèmes liés à la traite, à la violence à l’encontre des femmes et des enfants seront priorisés. Pour la réalisation de ce programme la formation de formateurs a eu lieu à Antsirabe du 16 au 20 Septembre 2012.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Pour éviter le risque de trafic d’enfants dû à l’insuffisance de délivrance d’actes de naissance, une loi n° 2007-040 du 14 Janvier 2008 relative à la délivrance de jugements supplétifs et d’actes de naissance a été adoptée dans le cadre du Programme national de réhabilitation de l’enregistrement de naissances ainsi dénommé EKA.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Dans l’objectif de combattre le trafic d’enfants, l’Autorité Centrale veille à la régularité de la procédure afin d’éviter les cas d’adoption illégale à travers l’obtention de gains indus au profit des intermédiaires.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Des animateurs communautaires assurent des séances de sensibilisation périodiques </w:t>
      </w:r>
      <w:r>
        <w:rPr>
          <w:rFonts w:ascii="Arial" w:eastAsiaTheme="minorEastAsia" w:hAnsi="Arial" w:cs="Arial"/>
        </w:rPr>
        <w:lastRenderedPageBreak/>
        <w:t>sur la protection de l’enfant y compris l’exploitation sexuelle et le trafic d’enfants à l’intention de la population dans les sites d’implantation des Réseaux de Protection de l’Enfant.</w:t>
      </w:r>
    </w:p>
    <w:p w:rsidR="00F95626" w:rsidRPr="00002269" w:rsidRDefault="00F95626" w:rsidP="00414FFE">
      <w:pPr>
        <w:widowControl w:val="0"/>
        <w:autoSpaceDE w:val="0"/>
        <w:autoSpaceDN w:val="0"/>
        <w:adjustRightInd w:val="0"/>
        <w:spacing w:before="100" w:after="100" w:line="360" w:lineRule="auto"/>
        <w:ind w:right="-432"/>
        <w:jc w:val="both"/>
        <w:rPr>
          <w:rFonts w:ascii="Arial" w:eastAsiaTheme="minorEastAsia" w:hAnsi="Arial" w:cs="Arial"/>
          <w:b/>
          <w:bCs/>
          <w:sz w:val="28"/>
          <w:szCs w:val="28"/>
        </w:rPr>
      </w:pPr>
      <w:r w:rsidRPr="00002269">
        <w:rPr>
          <w:rFonts w:ascii="Arial" w:eastAsiaTheme="minorEastAsia" w:hAnsi="Arial" w:cs="Arial"/>
          <w:b/>
          <w:bCs/>
          <w:sz w:val="28"/>
          <w:szCs w:val="28"/>
        </w:rPr>
        <w:t>E. Assistanc</w:t>
      </w:r>
      <w:r w:rsidR="00414FFE" w:rsidRPr="00002269">
        <w:rPr>
          <w:rFonts w:ascii="Arial" w:eastAsiaTheme="minorEastAsia" w:hAnsi="Arial" w:cs="Arial"/>
          <w:b/>
          <w:bCs/>
          <w:sz w:val="28"/>
          <w:szCs w:val="28"/>
        </w:rPr>
        <w:t>e et coopération internationale</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Tenant compte du caractère national et transnational des infractions visées par le protocole, Madagascar coopère avec les organismes nationaux et internationaux. Dans ce sens, Madagascar bénéficie des appuis du PNUD, de l’UNICEF, du Haut Commissariat aux Droits de l’Homme, du FNUAP, du PAM, de l’OMS, du BIT, du FAO, de l’UNESCO, de l’UE, de la Banque Mondiale, de la Banque Africaine du Développement, de la Norvège, de l’USAID, de la Suisse et de l’AFD.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Ces organismes interviennent dans la promotion des droits de l’enfant, notamment dans le domaine de l’éducation, de la santé, de l’emploi, de l’alimentation, de l’administration de la justice des mineurs. Plus particulièrement, l’UNICEF et le BIT sont impliqués dans la lutte contre les infractions visées dans le protocole. </w:t>
      </w:r>
    </w:p>
    <w:p w:rsidR="00F95626" w:rsidRDefault="00F95626" w:rsidP="00F95626">
      <w:pPr>
        <w:widowControl w:val="0"/>
        <w:autoSpaceDE w:val="0"/>
        <w:autoSpaceDN w:val="0"/>
        <w:adjustRightInd w:val="0"/>
        <w:spacing w:before="100" w:after="100" w:line="360" w:lineRule="auto"/>
        <w:ind w:left="284" w:right="-432"/>
        <w:jc w:val="both"/>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left="284" w:right="-432"/>
        <w:jc w:val="both"/>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left="284" w:right="-432"/>
        <w:jc w:val="both"/>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left="284" w:right="-432"/>
        <w:jc w:val="both"/>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left="284" w:right="-432"/>
        <w:jc w:val="both"/>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left="284" w:right="-432"/>
        <w:jc w:val="both"/>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left="284" w:right="-432"/>
        <w:jc w:val="both"/>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left="284" w:right="-432"/>
        <w:jc w:val="both"/>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left="284" w:right="-432"/>
        <w:jc w:val="both"/>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left="284" w:right="-432"/>
        <w:jc w:val="both"/>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left="284" w:right="-432"/>
        <w:jc w:val="both"/>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left="284" w:right="-432"/>
        <w:jc w:val="both"/>
        <w:rPr>
          <w:rFonts w:ascii="Arial" w:eastAsiaTheme="minorEastAsia" w:hAnsi="Arial" w:cs="Arial"/>
          <w:b/>
          <w:bCs/>
        </w:rPr>
      </w:pPr>
    </w:p>
    <w:p w:rsidR="00414FFE" w:rsidRDefault="00414FFE" w:rsidP="00F95626">
      <w:pPr>
        <w:widowControl w:val="0"/>
        <w:autoSpaceDE w:val="0"/>
        <w:autoSpaceDN w:val="0"/>
        <w:adjustRightInd w:val="0"/>
        <w:spacing w:before="100" w:after="100" w:line="360" w:lineRule="auto"/>
        <w:ind w:left="284" w:right="-432"/>
        <w:jc w:val="both"/>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left="284" w:right="-432"/>
        <w:jc w:val="both"/>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b/>
          <w:bCs/>
        </w:rPr>
      </w:pPr>
    </w:p>
    <w:p w:rsidR="00F95626" w:rsidRPr="00002269" w:rsidRDefault="00002269" w:rsidP="00F95626">
      <w:pPr>
        <w:widowControl w:val="0"/>
        <w:autoSpaceDE w:val="0"/>
        <w:autoSpaceDN w:val="0"/>
        <w:adjustRightInd w:val="0"/>
        <w:spacing w:before="100" w:after="100" w:line="360" w:lineRule="auto"/>
        <w:ind w:left="284" w:right="-432"/>
        <w:jc w:val="center"/>
        <w:rPr>
          <w:rFonts w:ascii="Arial" w:eastAsiaTheme="minorEastAsia" w:hAnsi="Arial" w:cs="Arial"/>
          <w:b/>
          <w:bCs/>
          <w:sz w:val="32"/>
          <w:szCs w:val="32"/>
        </w:rPr>
      </w:pPr>
      <w:r>
        <w:rPr>
          <w:rFonts w:ascii="Arial" w:eastAsiaTheme="minorEastAsia" w:hAnsi="Arial" w:cs="Arial"/>
          <w:b/>
          <w:bCs/>
          <w:sz w:val="32"/>
          <w:szCs w:val="32"/>
        </w:rPr>
        <w:lastRenderedPageBreak/>
        <w:t>C</w:t>
      </w:r>
      <w:r w:rsidR="00F95626" w:rsidRPr="00002269">
        <w:rPr>
          <w:rFonts w:ascii="Arial" w:eastAsiaTheme="minorEastAsia" w:hAnsi="Arial" w:cs="Arial"/>
          <w:b/>
          <w:bCs/>
          <w:sz w:val="32"/>
          <w:szCs w:val="32"/>
        </w:rPr>
        <w:t>ONCLUSION</w:t>
      </w:r>
    </w:p>
    <w:p w:rsidR="00414FFE" w:rsidRDefault="00414FFE" w:rsidP="00F95626">
      <w:pPr>
        <w:widowControl w:val="0"/>
        <w:autoSpaceDE w:val="0"/>
        <w:autoSpaceDN w:val="0"/>
        <w:adjustRightInd w:val="0"/>
        <w:spacing w:before="100" w:after="100" w:line="360" w:lineRule="auto"/>
        <w:ind w:left="284" w:right="-432"/>
        <w:jc w:val="center"/>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Le présent rapport offre une vision globale sur l’application du protocole concernant la vente, la prostitution et la pornographie mettant en scène des enfants. </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r>
        <w:rPr>
          <w:rFonts w:ascii="Arial" w:eastAsiaTheme="minorEastAsia" w:hAnsi="Arial" w:cs="Arial"/>
        </w:rPr>
        <w:t xml:space="preserve">Certes, des efforts ont été déployés en matière de réformes législatives et de création de mesures de prévention et de protection des enfants depuis la ratification du protocole. Cependant, il convient d’admettre que des défis restent à relever notamment en ce qui concerne : </w:t>
      </w:r>
    </w:p>
    <w:p w:rsidR="00F95626" w:rsidRDefault="00414FFE" w:rsidP="00F95626">
      <w:pPr>
        <w:widowControl w:val="0"/>
        <w:numPr>
          <w:ilvl w:val="1"/>
          <w:numId w:val="28"/>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t>L</w:t>
      </w:r>
      <w:r w:rsidR="00F95626">
        <w:rPr>
          <w:rFonts w:ascii="Arial" w:eastAsiaTheme="minorEastAsia" w:hAnsi="Arial" w:cs="Arial"/>
        </w:rPr>
        <w:t xml:space="preserve">a réforme législative pour une meilleure conformité de la loi nationale avec le protocole. </w:t>
      </w:r>
    </w:p>
    <w:p w:rsidR="00F95626" w:rsidRDefault="00F95626" w:rsidP="00F95626">
      <w:pPr>
        <w:widowControl w:val="0"/>
        <w:numPr>
          <w:ilvl w:val="1"/>
          <w:numId w:val="28"/>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t>L’application au niveau des tribunaux du protocole et des textes nationaux de mise en œuvre.</w:t>
      </w:r>
    </w:p>
    <w:p w:rsidR="00F95626" w:rsidRDefault="00F95626" w:rsidP="00F95626">
      <w:pPr>
        <w:widowControl w:val="0"/>
        <w:numPr>
          <w:ilvl w:val="1"/>
          <w:numId w:val="28"/>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t>La mise en place et l’opérationnalisation de la structure de lutte contre la traite des personnes visées dans le plan de mise en œuvre des recommandations de l’Examen Périodique Universel.  Concrètement il s’agit de mettre en place une Structure Indépendante de Lutte contre la Traite, les pires formes de travail des enfants incluant la prostitution, la vente et l’adoption illégale des enfants et les travaux domestiques des enfants.</w:t>
      </w:r>
    </w:p>
    <w:p w:rsidR="00F95626" w:rsidRDefault="00F95626" w:rsidP="00F95626">
      <w:pPr>
        <w:widowControl w:val="0"/>
        <w:numPr>
          <w:ilvl w:val="1"/>
          <w:numId w:val="28"/>
        </w:numPr>
        <w:autoSpaceDE w:val="0"/>
        <w:autoSpaceDN w:val="0"/>
        <w:adjustRightInd w:val="0"/>
        <w:spacing w:before="100" w:after="100" w:line="360" w:lineRule="auto"/>
        <w:ind w:left="720" w:right="-432"/>
        <w:jc w:val="both"/>
        <w:rPr>
          <w:rFonts w:ascii="Arial" w:eastAsiaTheme="minorEastAsia" w:hAnsi="Arial" w:cs="Arial"/>
        </w:rPr>
      </w:pPr>
      <w:r>
        <w:rPr>
          <w:rFonts w:ascii="Arial" w:eastAsiaTheme="minorEastAsia" w:hAnsi="Arial" w:cs="Arial"/>
        </w:rPr>
        <w:t>Cette structure interministérielle aura entre autres pour mission la prévention, la collecte de données fiables en matière des infractions susvisées incluant le nombre des cas traités au niveau des tribunaux en vue de l’élaboration d’une politique nationale de lutte contre  la traite, les pires formes de travail des enfants incluant la prostitution, la vente et l’adoption illégale des enfants et les travaux domestiques des enfants.</w:t>
      </w:r>
    </w:p>
    <w:p w:rsidR="00F95626" w:rsidRDefault="00F95626" w:rsidP="00F95626">
      <w:pPr>
        <w:widowControl w:val="0"/>
        <w:autoSpaceDE w:val="0"/>
        <w:autoSpaceDN w:val="0"/>
        <w:adjustRightInd w:val="0"/>
        <w:spacing w:before="100" w:after="100" w:line="360" w:lineRule="auto"/>
        <w:ind w:right="-432"/>
        <w:jc w:val="both"/>
        <w:rPr>
          <w:rFonts w:ascii="Arial" w:eastAsiaTheme="minorEastAsia" w:hAnsi="Arial" w:cs="Arial"/>
        </w:rPr>
      </w:pPr>
    </w:p>
    <w:p w:rsidR="00F95626" w:rsidRDefault="00F95626" w:rsidP="00F95626">
      <w:pPr>
        <w:widowControl w:val="0"/>
        <w:autoSpaceDE w:val="0"/>
        <w:autoSpaceDN w:val="0"/>
        <w:adjustRightInd w:val="0"/>
        <w:ind w:right="-432"/>
        <w:rPr>
          <w:rFonts w:ascii="Arial" w:eastAsiaTheme="minorEastAsia" w:hAnsi="Arial" w:cs="Arial"/>
          <w:b/>
          <w:bCs/>
        </w:rPr>
      </w:pPr>
    </w:p>
    <w:p w:rsidR="00F95626" w:rsidRDefault="00F95626" w:rsidP="00F95626">
      <w:pPr>
        <w:widowControl w:val="0"/>
        <w:autoSpaceDE w:val="0"/>
        <w:autoSpaceDN w:val="0"/>
        <w:adjustRightInd w:val="0"/>
        <w:ind w:right="-432"/>
        <w:rPr>
          <w:rFonts w:ascii="Arial" w:eastAsiaTheme="minorEastAsia" w:hAnsi="Arial" w:cs="Arial"/>
          <w:b/>
          <w:bCs/>
        </w:rPr>
      </w:pPr>
    </w:p>
    <w:p w:rsidR="00F95626" w:rsidRDefault="00F95626" w:rsidP="00F95626">
      <w:pPr>
        <w:widowControl w:val="0"/>
        <w:autoSpaceDE w:val="0"/>
        <w:autoSpaceDN w:val="0"/>
        <w:adjustRightInd w:val="0"/>
        <w:ind w:right="-432"/>
        <w:rPr>
          <w:rFonts w:ascii="Arial" w:eastAsiaTheme="minorEastAsia" w:hAnsi="Arial" w:cs="Arial"/>
          <w:b/>
          <w:bCs/>
        </w:rPr>
      </w:pPr>
    </w:p>
    <w:p w:rsidR="00F95626" w:rsidRDefault="00F95626" w:rsidP="00F95626">
      <w:pPr>
        <w:widowControl w:val="0"/>
        <w:autoSpaceDE w:val="0"/>
        <w:autoSpaceDN w:val="0"/>
        <w:adjustRightInd w:val="0"/>
        <w:spacing w:before="100" w:after="100" w:line="360" w:lineRule="auto"/>
        <w:ind w:right="-432"/>
        <w:rPr>
          <w:rFonts w:ascii="Arial" w:eastAsiaTheme="minorEastAsia" w:hAnsi="Arial" w:cs="Arial"/>
        </w:rPr>
      </w:pPr>
    </w:p>
    <w:p w:rsidR="00F95626" w:rsidRDefault="00F95626" w:rsidP="00F95626">
      <w:pPr>
        <w:widowControl w:val="0"/>
        <w:autoSpaceDE w:val="0"/>
        <w:autoSpaceDN w:val="0"/>
        <w:adjustRightInd w:val="0"/>
        <w:spacing w:before="100" w:after="100" w:line="360" w:lineRule="auto"/>
        <w:ind w:right="-432"/>
        <w:rPr>
          <w:rFonts w:ascii="Arial" w:eastAsiaTheme="minorEastAsia" w:hAnsi="Arial" w:cs="Arial"/>
        </w:rPr>
      </w:pPr>
    </w:p>
    <w:p w:rsidR="00F95626" w:rsidRDefault="00F95626" w:rsidP="00F95626">
      <w:pPr>
        <w:widowControl w:val="0"/>
        <w:autoSpaceDE w:val="0"/>
        <w:autoSpaceDN w:val="0"/>
        <w:adjustRightInd w:val="0"/>
        <w:spacing w:before="100" w:after="100" w:line="360" w:lineRule="auto"/>
        <w:ind w:right="-432"/>
        <w:rPr>
          <w:rFonts w:ascii="Arial" w:eastAsiaTheme="minorEastAsia" w:hAnsi="Arial" w:cs="Arial"/>
        </w:rPr>
      </w:pPr>
    </w:p>
    <w:p w:rsidR="00F95626" w:rsidRPr="00002269" w:rsidRDefault="00F95626" w:rsidP="00F95626">
      <w:pPr>
        <w:widowControl w:val="0"/>
        <w:autoSpaceDE w:val="0"/>
        <w:autoSpaceDN w:val="0"/>
        <w:adjustRightInd w:val="0"/>
        <w:spacing w:before="100" w:after="100" w:line="360" w:lineRule="auto"/>
        <w:ind w:right="-432"/>
        <w:jc w:val="center"/>
        <w:rPr>
          <w:rFonts w:ascii="Arial" w:eastAsiaTheme="minorEastAsia" w:hAnsi="Arial" w:cs="Arial"/>
          <w:b/>
          <w:bCs/>
          <w:sz w:val="28"/>
          <w:szCs w:val="28"/>
        </w:rPr>
      </w:pPr>
      <w:r w:rsidRPr="00002269">
        <w:rPr>
          <w:rFonts w:ascii="Arial" w:eastAsiaTheme="minorEastAsia" w:hAnsi="Arial" w:cs="Arial"/>
          <w:b/>
          <w:bCs/>
          <w:sz w:val="28"/>
          <w:szCs w:val="28"/>
        </w:rPr>
        <w:lastRenderedPageBreak/>
        <w:t>ANNEXE I</w:t>
      </w:r>
    </w:p>
    <w:p w:rsidR="00F95626" w:rsidRPr="00414FFE" w:rsidRDefault="00F95626" w:rsidP="00F95626">
      <w:pPr>
        <w:widowControl w:val="0"/>
        <w:autoSpaceDE w:val="0"/>
        <w:autoSpaceDN w:val="0"/>
        <w:adjustRightInd w:val="0"/>
        <w:ind w:right="-432"/>
        <w:jc w:val="center"/>
        <w:rPr>
          <w:rFonts w:ascii="Arial" w:eastAsiaTheme="minorEastAsia" w:hAnsi="Arial" w:cs="Arial"/>
          <w:color w:val="333333"/>
        </w:rPr>
      </w:pPr>
      <w:r w:rsidRPr="00414FFE">
        <w:rPr>
          <w:rFonts w:ascii="Arial" w:eastAsiaTheme="minorEastAsia" w:hAnsi="Arial" w:cs="Arial"/>
          <w:b/>
          <w:bCs/>
          <w:color w:val="333333"/>
        </w:rPr>
        <w:t>LOI N° 2007</w:t>
      </w:r>
      <w:r w:rsidRPr="00414FFE">
        <w:rPr>
          <w:rFonts w:ascii="PT Sans" w:eastAsiaTheme="minorEastAsia" w:hAnsi="PT Sans" w:cs="PT Sans"/>
          <w:b/>
          <w:bCs/>
          <w:color w:val="333333"/>
        </w:rPr>
        <w:t>‑</w:t>
      </w:r>
      <w:r w:rsidRPr="00414FFE">
        <w:rPr>
          <w:rFonts w:ascii="Arial" w:eastAsiaTheme="minorEastAsia" w:hAnsi="Arial" w:cs="Arial"/>
          <w:b/>
          <w:bCs/>
          <w:color w:val="333333"/>
        </w:rPr>
        <w:t>023 du 20 août 2007</w:t>
      </w: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sur les droits et la protection des enfants</w:t>
      </w:r>
    </w:p>
    <w:p w:rsidR="00F95626" w:rsidRPr="00414FFE" w:rsidRDefault="00F95626" w:rsidP="00F95626">
      <w:pPr>
        <w:widowControl w:val="0"/>
        <w:autoSpaceDE w:val="0"/>
        <w:autoSpaceDN w:val="0"/>
        <w:adjustRightInd w:val="0"/>
        <w:ind w:right="-432"/>
        <w:jc w:val="center"/>
        <w:rPr>
          <w:rFonts w:ascii="Arial" w:eastAsiaTheme="minorEastAsia" w:hAnsi="Arial" w:cs="Arial"/>
          <w:b/>
          <w:bCs/>
          <w:i/>
          <w:iCs/>
          <w:color w:val="333333"/>
        </w:rPr>
      </w:pPr>
      <w:r w:rsidRPr="00414FFE">
        <w:rPr>
          <w:rFonts w:ascii="Arial" w:eastAsiaTheme="minorEastAsia" w:hAnsi="Arial" w:cs="Arial"/>
          <w:b/>
          <w:bCs/>
          <w:i/>
          <w:iCs/>
          <w:color w:val="333333"/>
        </w:rPr>
        <w:t>(J.O. n° 3 163 du 28/01/08, p. 158)</w:t>
      </w:r>
    </w:p>
    <w:p w:rsidR="00F95626" w:rsidRPr="00414FFE" w:rsidRDefault="00F95626" w:rsidP="00414FFE">
      <w:pPr>
        <w:widowControl w:val="0"/>
        <w:autoSpaceDE w:val="0"/>
        <w:autoSpaceDN w:val="0"/>
        <w:adjustRightInd w:val="0"/>
        <w:ind w:right="-432"/>
        <w:jc w:val="both"/>
        <w:rPr>
          <w:rFonts w:ascii="Arial" w:eastAsiaTheme="minorEastAsia" w:hAnsi="Arial" w:cs="Arial"/>
          <w:b/>
          <w:bCs/>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b/>
          <w:bCs/>
          <w:color w:val="333333"/>
        </w:rPr>
      </w:pPr>
      <w:r w:rsidRPr="00414FFE">
        <w:rPr>
          <w:rFonts w:ascii="Arial" w:eastAsiaTheme="minorEastAsia" w:hAnsi="Arial" w:cs="Arial"/>
          <w:b/>
          <w:bCs/>
          <w:color w:val="333333"/>
        </w:rPr>
        <w:t xml:space="preserve">L’Assemblée nationale et le Sénat ont adopté en leur séance respective en date du 21 juin 2007 et du 28 juin 2007, </w:t>
      </w:r>
    </w:p>
    <w:p w:rsidR="00F95626" w:rsidRPr="00414FFE" w:rsidRDefault="00F95626" w:rsidP="00414FFE">
      <w:pPr>
        <w:widowControl w:val="0"/>
        <w:autoSpaceDE w:val="0"/>
        <w:autoSpaceDN w:val="0"/>
        <w:adjustRightInd w:val="0"/>
        <w:ind w:right="-432"/>
        <w:jc w:val="both"/>
        <w:rPr>
          <w:rFonts w:ascii="Arial" w:eastAsiaTheme="minorEastAsia" w:hAnsi="Arial" w:cs="Arial"/>
          <w:b/>
          <w:bCs/>
          <w:color w:val="333333"/>
        </w:rPr>
      </w:pPr>
      <w:r w:rsidRPr="00414FFE">
        <w:rPr>
          <w:rFonts w:ascii="Arial" w:eastAsiaTheme="minorEastAsia" w:hAnsi="Arial" w:cs="Arial"/>
          <w:b/>
          <w:bCs/>
          <w:color w:val="333333"/>
        </w:rPr>
        <w:t>Le Président de la République,</w:t>
      </w:r>
    </w:p>
    <w:p w:rsidR="00F95626" w:rsidRPr="00414FFE" w:rsidRDefault="00F95626" w:rsidP="00414FFE">
      <w:pPr>
        <w:widowControl w:val="0"/>
        <w:autoSpaceDE w:val="0"/>
        <w:autoSpaceDN w:val="0"/>
        <w:adjustRightInd w:val="0"/>
        <w:ind w:right="-432"/>
        <w:jc w:val="both"/>
        <w:rPr>
          <w:rFonts w:ascii="Arial" w:eastAsiaTheme="minorEastAsia" w:hAnsi="Arial" w:cs="Arial"/>
          <w:b/>
          <w:bCs/>
          <w:color w:val="333333"/>
        </w:rPr>
      </w:pPr>
      <w:r w:rsidRPr="00414FFE">
        <w:rPr>
          <w:rFonts w:ascii="Arial" w:eastAsiaTheme="minorEastAsia" w:hAnsi="Arial" w:cs="Arial"/>
          <w:b/>
          <w:bCs/>
          <w:color w:val="333333"/>
        </w:rPr>
        <w:t>Vu la Constitution ;</w:t>
      </w:r>
    </w:p>
    <w:p w:rsidR="00F95626" w:rsidRPr="00414FFE" w:rsidRDefault="00F95626" w:rsidP="00414FFE">
      <w:pPr>
        <w:widowControl w:val="0"/>
        <w:autoSpaceDE w:val="0"/>
        <w:autoSpaceDN w:val="0"/>
        <w:adjustRightInd w:val="0"/>
        <w:ind w:right="-432"/>
        <w:jc w:val="both"/>
        <w:rPr>
          <w:rFonts w:ascii="Arial" w:eastAsiaTheme="minorEastAsia" w:hAnsi="Arial" w:cs="Arial"/>
          <w:b/>
          <w:bCs/>
          <w:color w:val="333333"/>
        </w:rPr>
      </w:pPr>
      <w:r w:rsidRPr="00414FFE">
        <w:rPr>
          <w:rFonts w:ascii="Arial" w:eastAsiaTheme="minorEastAsia" w:hAnsi="Arial" w:cs="Arial"/>
          <w:b/>
          <w:bCs/>
          <w:color w:val="333333"/>
        </w:rPr>
        <w:t>Vu la Décision n° 08- HCC/D3 du 16 août 2007 de la Haute Cour Constitutionnelle ;</w:t>
      </w:r>
    </w:p>
    <w:p w:rsidR="00F95626" w:rsidRPr="00414FFE" w:rsidRDefault="00F95626" w:rsidP="00414FFE">
      <w:pPr>
        <w:widowControl w:val="0"/>
        <w:autoSpaceDE w:val="0"/>
        <w:autoSpaceDN w:val="0"/>
        <w:adjustRightInd w:val="0"/>
        <w:ind w:right="-432"/>
        <w:jc w:val="both"/>
        <w:rPr>
          <w:rFonts w:ascii="Arial" w:eastAsiaTheme="minorEastAsia" w:hAnsi="Arial" w:cs="Arial"/>
          <w:b/>
          <w:bCs/>
          <w:color w:val="333333"/>
        </w:rPr>
      </w:pPr>
      <w:r w:rsidRPr="00414FFE">
        <w:rPr>
          <w:rFonts w:ascii="Arial" w:eastAsiaTheme="minorEastAsia" w:hAnsi="Arial" w:cs="Arial"/>
          <w:b/>
          <w:bCs/>
          <w:color w:val="333333"/>
        </w:rPr>
        <w:t xml:space="preserve">Promulgue la loi dont la teneur suit : </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color w:val="333333"/>
        </w:rPr>
      </w:pPr>
      <w:r w:rsidRPr="00414FFE">
        <w:rPr>
          <w:rFonts w:ascii="Arial" w:eastAsiaTheme="minorEastAsia" w:hAnsi="Arial" w:cs="Arial"/>
          <w:b/>
          <w:bCs/>
          <w:color w:val="333333"/>
        </w:rPr>
        <w:t>CHAPITRE PREMIER</w:t>
      </w:r>
    </w:p>
    <w:p w:rsidR="00F95626" w:rsidRPr="00414FFE" w:rsidRDefault="00F95626" w:rsidP="00F95626">
      <w:pPr>
        <w:widowControl w:val="0"/>
        <w:autoSpaceDE w:val="0"/>
        <w:autoSpaceDN w:val="0"/>
        <w:adjustRightInd w:val="0"/>
        <w:ind w:right="-432"/>
        <w:jc w:val="center"/>
        <w:rPr>
          <w:rFonts w:ascii="Arial" w:eastAsiaTheme="minorEastAsia" w:hAnsi="Arial" w:cs="Arial"/>
          <w:color w:val="333333"/>
        </w:rPr>
      </w:pPr>
      <w:r w:rsidRPr="00414FFE">
        <w:rPr>
          <w:rFonts w:ascii="Arial" w:eastAsiaTheme="minorEastAsia" w:hAnsi="Arial" w:cs="Arial"/>
          <w:b/>
          <w:bCs/>
          <w:color w:val="333333"/>
        </w:rPr>
        <w:t>DISPOSITIONS GENERALES</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Article premier. - </w:t>
      </w:r>
      <w:r w:rsidRPr="00414FFE">
        <w:rPr>
          <w:rFonts w:ascii="Arial" w:eastAsiaTheme="minorEastAsia" w:hAnsi="Arial" w:cs="Arial"/>
          <w:bCs/>
          <w:color w:val="333333"/>
        </w:rPr>
        <w:t>La présente loi a pour objet de garantir à tout enfant la jouissance de tous les droits fondamentaux inhérents à tout être humain, et de toutes les libertés fondamentales.</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Elle indique les mesures de protection des enfants contre toute forme de maltraitance.</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Elle détermine également la procédure utilisée devant les juridictions compétentes à l’égard des enfants victimes de toute forme de violence</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2. - </w:t>
      </w:r>
      <w:r w:rsidRPr="00414FFE">
        <w:rPr>
          <w:rFonts w:ascii="Arial" w:eastAsiaTheme="minorEastAsia" w:hAnsi="Arial" w:cs="Arial"/>
          <w:bCs/>
          <w:color w:val="333333"/>
        </w:rPr>
        <w:t>Un enfant s’entend de tout être humain âgé de moins de 18 ans.</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3. - </w:t>
      </w:r>
      <w:r w:rsidRPr="00414FFE">
        <w:rPr>
          <w:rFonts w:ascii="Arial" w:eastAsiaTheme="minorEastAsia" w:hAnsi="Arial" w:cs="Arial"/>
          <w:bCs/>
          <w:color w:val="333333"/>
        </w:rPr>
        <w:t>Tout enfant bénéficie des mêmes droits sans distinction aucune, indépendamment de toute considération fondée sur la race, la couleur, le sexe, la langue, la religion, l’opinion politique ou autre de l’enfant ou de ses parents ou représentants légaux, l’origine nationale, ethnique ou sociale, l’incapacité, la situation de fortune, la naissance ou toute autre situation.</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bCs/>
          <w:color w:val="333333"/>
        </w:rPr>
      </w:pPr>
      <w:r w:rsidRPr="00414FFE">
        <w:rPr>
          <w:rFonts w:ascii="Arial" w:eastAsiaTheme="minorEastAsia" w:hAnsi="Arial" w:cs="Arial"/>
          <w:b/>
          <w:bCs/>
          <w:color w:val="333333"/>
        </w:rPr>
        <w:t xml:space="preserve">Art. 4. - </w:t>
      </w:r>
      <w:r w:rsidRPr="00414FFE">
        <w:rPr>
          <w:rFonts w:ascii="Arial" w:eastAsiaTheme="minorEastAsia" w:hAnsi="Arial" w:cs="Arial"/>
          <w:bCs/>
          <w:color w:val="333333"/>
        </w:rPr>
        <w:t>Aucun enfant ne doit faire l’objet de quelque forme que ce soit de négligence, de discrimination, d’exploitation, de violence, de cruauté et d’oppression.</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5. - </w:t>
      </w:r>
      <w:r w:rsidRPr="00414FFE">
        <w:rPr>
          <w:rFonts w:ascii="Arial" w:eastAsiaTheme="minorEastAsia" w:hAnsi="Arial" w:cs="Arial"/>
          <w:bCs/>
          <w:color w:val="333333"/>
        </w:rPr>
        <w:t>Dans toute décision le concernant, l’intérêt supérieur de l’enfant, doit être la considération primordiale et déterminante.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6. - </w:t>
      </w:r>
      <w:r w:rsidRPr="00414FFE">
        <w:rPr>
          <w:rFonts w:ascii="Arial" w:eastAsiaTheme="minorEastAsia" w:hAnsi="Arial" w:cs="Arial"/>
          <w:bCs/>
          <w:color w:val="333333"/>
        </w:rPr>
        <w:t xml:space="preserve">Tout enfant a droit à la vie, à la survie et au développement harmonieux de sa personnalité. </w:t>
      </w:r>
    </w:p>
    <w:p w:rsidR="00F95626" w:rsidRPr="00414FFE" w:rsidRDefault="00F95626" w:rsidP="00F95626">
      <w:pPr>
        <w:widowControl w:val="0"/>
        <w:autoSpaceDE w:val="0"/>
        <w:autoSpaceDN w:val="0"/>
        <w:adjustRightInd w:val="0"/>
        <w:ind w:right="-432"/>
        <w:rPr>
          <w:rFonts w:ascii="Arial" w:eastAsiaTheme="minorEastAsia" w:hAnsi="Arial" w:cs="Arial"/>
          <w:b/>
          <w:bCs/>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7. - </w:t>
      </w:r>
      <w:r w:rsidRPr="00414FFE">
        <w:rPr>
          <w:rFonts w:ascii="Arial" w:eastAsiaTheme="minorEastAsia" w:hAnsi="Arial" w:cs="Arial"/>
          <w:bCs/>
          <w:color w:val="333333"/>
        </w:rPr>
        <w:t>Tout enfant, capable de discernement, a le droit d’exprimer librement son opinion sur toute question l’intéressant, opinion dûment prise en considération eue égard à son âge et à son degré de maturité.</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Toute autorité compétente à charge d’auditionner un enfant doit prendre les mesures utiles non coercitives pour faciliter et abréger sa déposition</w:t>
      </w:r>
      <w:r w:rsidRPr="00414FFE">
        <w:rPr>
          <w:rFonts w:ascii="Arial" w:eastAsiaTheme="minorEastAsia" w:hAnsi="Arial" w:cs="Arial"/>
          <w:b/>
          <w:bCs/>
          <w:color w:val="333333"/>
        </w:rPr>
        <w:t xml:space="preserve">. </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8. - </w:t>
      </w:r>
      <w:r w:rsidRPr="00414FFE">
        <w:rPr>
          <w:rFonts w:ascii="Arial" w:eastAsiaTheme="minorEastAsia" w:hAnsi="Arial" w:cs="Arial"/>
          <w:bCs/>
          <w:color w:val="333333"/>
        </w:rPr>
        <w:t>Aucun enfant ne peut être soumis à une ingérence arbitraire ou illégale dans sa vie privée, sa famille, son foyer ou sa correspondance, ni à des atteintes à son honneur ou à sa réputation.</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b/>
          <w:bCs/>
          <w:color w:val="333333"/>
        </w:rPr>
      </w:pPr>
      <w:r w:rsidRPr="00414FFE">
        <w:rPr>
          <w:rFonts w:ascii="Arial" w:eastAsiaTheme="minorEastAsia" w:hAnsi="Arial" w:cs="Arial"/>
          <w:b/>
          <w:bCs/>
          <w:color w:val="333333"/>
        </w:rPr>
        <w:lastRenderedPageBreak/>
        <w:t xml:space="preserve">Art. 9. - </w:t>
      </w:r>
      <w:r w:rsidRPr="00414FFE">
        <w:rPr>
          <w:rFonts w:ascii="Arial" w:eastAsiaTheme="minorEastAsia" w:hAnsi="Arial" w:cs="Arial"/>
          <w:bCs/>
          <w:color w:val="333333"/>
        </w:rPr>
        <w:t>L’enfant occupe au sein de la famille une place privilégiée : il a droit à une sécurité matérielle et morale aussi complète que possible</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10. </w:t>
      </w:r>
      <w:r w:rsidRPr="00414FFE">
        <w:rPr>
          <w:rFonts w:ascii="Arial" w:eastAsiaTheme="minorEastAsia" w:hAnsi="Arial" w:cs="Arial"/>
          <w:bCs/>
          <w:color w:val="333333"/>
        </w:rPr>
        <w:t>- La famille d’origine ou élargie, les pouvoirs publics, l’Etat ont pour devoir d’assurer la survie, la protection et le développement sain et harmonieux sur le plan physique, intellectuel, moral, spirituel et social d’un enfant, dans des conditions de liberté et de dignité.</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color w:val="333333"/>
        </w:rPr>
      </w:pPr>
      <w:r w:rsidRPr="00414FFE">
        <w:rPr>
          <w:rFonts w:ascii="Arial" w:eastAsiaTheme="minorEastAsia" w:hAnsi="Arial" w:cs="Arial"/>
          <w:b/>
          <w:bCs/>
          <w:color w:val="333333"/>
        </w:rPr>
        <w:t>CHAPITRE II</w:t>
      </w:r>
    </w:p>
    <w:p w:rsidR="00F95626" w:rsidRPr="00414FFE" w:rsidRDefault="00F95626" w:rsidP="00F95626">
      <w:pPr>
        <w:widowControl w:val="0"/>
        <w:autoSpaceDE w:val="0"/>
        <w:autoSpaceDN w:val="0"/>
        <w:adjustRightInd w:val="0"/>
        <w:ind w:right="-432"/>
        <w:jc w:val="center"/>
        <w:rPr>
          <w:rFonts w:ascii="Arial" w:eastAsiaTheme="minorEastAsia" w:hAnsi="Arial" w:cs="Arial"/>
          <w:color w:val="333333"/>
        </w:rPr>
      </w:pPr>
      <w:r w:rsidRPr="00414FFE">
        <w:rPr>
          <w:rFonts w:ascii="Arial" w:eastAsiaTheme="minorEastAsia" w:hAnsi="Arial" w:cs="Arial"/>
          <w:b/>
          <w:bCs/>
          <w:color w:val="333333"/>
        </w:rPr>
        <w:t>DU MILIEU FAMILIAL ET DE LA PROTECTION DE REMPLACEMENT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Section I</w:t>
      </w: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DU MILIEU FAMILIAL</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11. - </w:t>
      </w:r>
      <w:r w:rsidRPr="00414FFE">
        <w:rPr>
          <w:rFonts w:ascii="Arial" w:eastAsiaTheme="minorEastAsia" w:hAnsi="Arial" w:cs="Arial"/>
          <w:bCs/>
          <w:color w:val="333333"/>
        </w:rPr>
        <w:t xml:space="preserve">Aucun enfant ne peut être séparé de ses parents contre son gré. </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 xml:space="preserve">Il a le droit de résider avec eux. </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 xml:space="preserve">Il a droit à la protection et aux soins de ses parents. </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12. - </w:t>
      </w:r>
      <w:r w:rsidRPr="00414FFE">
        <w:rPr>
          <w:rFonts w:ascii="Arial" w:eastAsiaTheme="minorEastAsia" w:hAnsi="Arial" w:cs="Arial"/>
          <w:bCs/>
          <w:color w:val="333333"/>
        </w:rPr>
        <w:t>L’enfant ne peut être séparé de ses parents sauf par décision judiciaire fondée sur son intérêt supérieur.</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Au cas où il est séparé de l’un de ses parents ou des deux, l’enfant a le droit de maintenir régulièrement des relations personnelles et des contacts directs avec ses parents sauf s’il n’en est pas décidé autrement par décision de justice.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13. - </w:t>
      </w:r>
      <w:r w:rsidRPr="00414FFE">
        <w:rPr>
          <w:rFonts w:ascii="Arial" w:eastAsiaTheme="minorEastAsia" w:hAnsi="Arial" w:cs="Arial"/>
          <w:bCs/>
          <w:color w:val="333333"/>
        </w:rPr>
        <w:t xml:space="preserve">La responsabilité du développement harmonieux de l’enfant incombe en premier lieu aux parents. </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 xml:space="preserve">Toutefois, l’enfant a le droit d’être exceptionnellement élevé et éduqué au sein d’une autre famille que la sienne en guise de mesure de protection. </w:t>
      </w:r>
    </w:p>
    <w:p w:rsidR="00F95626" w:rsidRPr="00414FFE" w:rsidRDefault="00F95626" w:rsidP="00414FFE">
      <w:pPr>
        <w:widowControl w:val="0"/>
        <w:autoSpaceDE w:val="0"/>
        <w:autoSpaceDN w:val="0"/>
        <w:adjustRightInd w:val="0"/>
        <w:ind w:right="-432"/>
        <w:jc w:val="both"/>
        <w:rPr>
          <w:rFonts w:ascii="Arial" w:eastAsiaTheme="minorEastAsia" w:hAnsi="Arial" w:cs="Arial"/>
          <w:bCs/>
          <w:color w:val="333333"/>
        </w:rPr>
      </w:pPr>
      <w:r w:rsidRPr="00414FFE">
        <w:rPr>
          <w:rFonts w:ascii="Arial" w:eastAsiaTheme="minorEastAsia" w:hAnsi="Arial" w:cs="Arial"/>
          <w:bCs/>
          <w:color w:val="333333"/>
        </w:rPr>
        <w:t xml:space="preserve">Dans les deux cas, ils ont le devoir d’assurer les conditions de vie indispensables à l’épanouissement de l’enfant, compte tenu de leurs aptitudes et de leurs capacités financières. </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Sous-Section I</w:t>
      </w: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De l’autorité parentale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14. </w:t>
      </w:r>
      <w:r w:rsidRPr="00414FFE">
        <w:rPr>
          <w:rFonts w:ascii="Arial" w:eastAsiaTheme="minorEastAsia" w:hAnsi="Arial" w:cs="Arial"/>
          <w:bCs/>
          <w:color w:val="333333"/>
        </w:rPr>
        <w:t>- L’autorité parentale est l’ensemble des droits et devoirs attribués aux parents sur leur enfant jusqu’à majorité ou émancipation par le mariage.</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ab/>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15. - </w:t>
      </w:r>
      <w:r w:rsidRPr="00414FFE">
        <w:rPr>
          <w:rFonts w:ascii="Arial" w:eastAsiaTheme="minorEastAsia" w:hAnsi="Arial" w:cs="Arial"/>
          <w:bCs/>
          <w:color w:val="333333"/>
        </w:rPr>
        <w:t>L’autorité parentale appartient aux père et mère pour protéger l’enfant dans sa sécurité, son intégrité physique ou morale et son éducation.</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16. - </w:t>
      </w:r>
      <w:r w:rsidRPr="00414FFE">
        <w:rPr>
          <w:rFonts w:ascii="Arial" w:eastAsiaTheme="minorEastAsia" w:hAnsi="Arial" w:cs="Arial"/>
          <w:bCs/>
          <w:color w:val="333333"/>
        </w:rPr>
        <w:t>L’autorité parentale est exercée en commun par les deux parents s’ils sont mariés.</w:t>
      </w:r>
    </w:p>
    <w:p w:rsidR="00F95626" w:rsidRDefault="00F95626" w:rsidP="00414FFE">
      <w:pPr>
        <w:widowControl w:val="0"/>
        <w:autoSpaceDE w:val="0"/>
        <w:autoSpaceDN w:val="0"/>
        <w:adjustRightInd w:val="0"/>
        <w:ind w:right="-432"/>
        <w:jc w:val="both"/>
        <w:rPr>
          <w:rFonts w:ascii="Arial" w:eastAsiaTheme="minorEastAsia" w:hAnsi="Arial" w:cs="Arial"/>
          <w:bCs/>
          <w:color w:val="333333"/>
        </w:rPr>
      </w:pPr>
      <w:r w:rsidRPr="00414FFE">
        <w:rPr>
          <w:rFonts w:ascii="Arial" w:eastAsiaTheme="minorEastAsia" w:hAnsi="Arial" w:cs="Arial"/>
          <w:bCs/>
          <w:color w:val="333333"/>
        </w:rPr>
        <w:t>A l’égard des tiers de bonne foi, chacun des parents est réputé agir avec l’accord de l’autre quand il fait seul un acte usuel de l’autorité parentale relativement à la personne de l’enfant.</w:t>
      </w:r>
    </w:p>
    <w:p w:rsidR="00414FFE" w:rsidRPr="00414FFE" w:rsidRDefault="00414FFE" w:rsidP="00414FFE">
      <w:pPr>
        <w:widowControl w:val="0"/>
        <w:autoSpaceDE w:val="0"/>
        <w:autoSpaceDN w:val="0"/>
        <w:adjustRightInd w:val="0"/>
        <w:ind w:right="-432"/>
        <w:jc w:val="both"/>
        <w:rPr>
          <w:rFonts w:ascii="Arial" w:eastAsiaTheme="minorEastAsia" w:hAnsi="Arial" w:cs="Arial"/>
          <w:bCs/>
          <w:color w:val="333333"/>
        </w:rPr>
      </w:pP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lastRenderedPageBreak/>
        <w:t xml:space="preserve">Art. 17. - </w:t>
      </w:r>
      <w:r w:rsidRPr="00414FFE">
        <w:rPr>
          <w:rFonts w:ascii="Arial" w:eastAsiaTheme="minorEastAsia" w:hAnsi="Arial" w:cs="Arial"/>
          <w:bCs/>
          <w:color w:val="333333"/>
        </w:rPr>
        <w:t xml:space="preserve">Si les père et mère ne sont pas mariés et que la filiation est établie à l’égard des deux parents, l’autorité parentale est exercée en commun par ces derniers. </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18. - </w:t>
      </w:r>
      <w:r w:rsidRPr="00414FFE">
        <w:rPr>
          <w:rFonts w:ascii="Arial" w:eastAsiaTheme="minorEastAsia" w:hAnsi="Arial" w:cs="Arial"/>
          <w:bCs/>
          <w:color w:val="333333"/>
        </w:rPr>
        <w:t>Les père et mère dont l’enfant a donné lieu à une mesure d’assistance éducative, conservent sur eux leur autorité parentale sauf s’ils sont déclarés déchus par décision judiciaire</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Art. 19.</w:t>
      </w:r>
      <w:r w:rsidRPr="00414FFE">
        <w:rPr>
          <w:rFonts w:ascii="Arial" w:eastAsiaTheme="minorEastAsia" w:hAnsi="Arial" w:cs="Arial"/>
          <w:b/>
          <w:bCs/>
          <w:i/>
          <w:iCs/>
          <w:color w:val="333333"/>
        </w:rPr>
        <w:t xml:space="preserve"> </w:t>
      </w:r>
      <w:r w:rsidRPr="00414FFE">
        <w:rPr>
          <w:rFonts w:ascii="Arial" w:eastAsiaTheme="minorEastAsia" w:hAnsi="Arial" w:cs="Arial"/>
          <w:b/>
          <w:bCs/>
          <w:color w:val="333333"/>
        </w:rPr>
        <w:t>-</w:t>
      </w:r>
      <w:r w:rsidRPr="00414FFE">
        <w:rPr>
          <w:rFonts w:ascii="Arial" w:eastAsiaTheme="minorEastAsia" w:hAnsi="Arial" w:cs="Arial"/>
          <w:b/>
          <w:bCs/>
          <w:i/>
          <w:iCs/>
          <w:color w:val="333333"/>
        </w:rPr>
        <w:t xml:space="preserve"> </w:t>
      </w:r>
      <w:r w:rsidRPr="00414FFE">
        <w:rPr>
          <w:rFonts w:ascii="Arial" w:eastAsiaTheme="minorEastAsia" w:hAnsi="Arial" w:cs="Arial"/>
          <w:bCs/>
          <w:color w:val="333333"/>
        </w:rPr>
        <w:t>Si les père et mère sont divorcés, l’autorité parentale est exercée en commun par les deux parents. Le Juge des Enfants désigne, à défaut d’accord amiable ou si cet accord lui apparaît contraire à l’intérêt de l’enfant, le parent chez lequel les enfants ont leur résidence habituelle.</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Si l’intérêt de l’enfant le commande, le Juge des Enfants peut confier l’exercice de l’autorité parentale à l’un des deux parents.</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Les parents peuvent, de leur propre initiative ou à la demande du Juge des Enfants, présenter leurs observations sur les modalités de l’exercice de l’autorité parentale.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20. - </w:t>
      </w:r>
      <w:r w:rsidRPr="00414FFE">
        <w:rPr>
          <w:rFonts w:ascii="Arial" w:eastAsiaTheme="minorEastAsia" w:hAnsi="Arial" w:cs="Arial"/>
          <w:bCs/>
          <w:color w:val="333333"/>
        </w:rPr>
        <w:t>Si l’un des père et mère décède ou se trouve dans l’un des cas énumérés par l’article 22, l’exercice de l’autorité parentale est dévolu en entier à l’autre.</w:t>
      </w:r>
    </w:p>
    <w:p w:rsidR="00F95626" w:rsidRPr="00414FFE" w:rsidRDefault="00F95626" w:rsidP="00414FFE">
      <w:pPr>
        <w:widowControl w:val="0"/>
        <w:autoSpaceDE w:val="0"/>
        <w:autoSpaceDN w:val="0"/>
        <w:adjustRightInd w:val="0"/>
        <w:ind w:right="-432"/>
        <w:jc w:val="both"/>
        <w:rPr>
          <w:rFonts w:ascii="Arial" w:eastAsiaTheme="minorEastAsia" w:hAnsi="Arial" w:cs="Arial"/>
          <w:bCs/>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21. - </w:t>
      </w:r>
      <w:r w:rsidRPr="00414FFE">
        <w:rPr>
          <w:rFonts w:ascii="Arial" w:eastAsiaTheme="minorEastAsia" w:hAnsi="Arial" w:cs="Arial"/>
          <w:bCs/>
          <w:color w:val="333333"/>
        </w:rPr>
        <w:t>L’autorité parentale est exercée de plein droit par la mère dans une famille monoparentale.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22. - </w:t>
      </w:r>
      <w:r w:rsidRPr="00414FFE">
        <w:rPr>
          <w:rFonts w:ascii="Arial" w:eastAsiaTheme="minorEastAsia" w:hAnsi="Arial" w:cs="Arial"/>
          <w:bCs/>
          <w:color w:val="333333"/>
        </w:rPr>
        <w:t>Perd l’exercice de l’autorité parentale ou en est provisoirement privé celui des père et mère qui se trouve dans l’un des cas suivants :</w:t>
      </w:r>
    </w:p>
    <w:p w:rsidR="00F95626" w:rsidRPr="00414FFE" w:rsidRDefault="00F95626" w:rsidP="00414FFE">
      <w:pPr>
        <w:widowControl w:val="0"/>
        <w:tabs>
          <w:tab w:val="left" w:pos="1368"/>
        </w:tabs>
        <w:autoSpaceDE w:val="0"/>
        <w:autoSpaceDN w:val="0"/>
        <w:adjustRightInd w:val="0"/>
        <w:ind w:left="425" w:right="-432"/>
        <w:jc w:val="both"/>
        <w:rPr>
          <w:rFonts w:ascii="Arial" w:eastAsiaTheme="minorEastAsia" w:hAnsi="Arial" w:cs="Arial"/>
          <w:bCs/>
          <w:color w:val="333333"/>
        </w:rPr>
      </w:pPr>
      <w:r w:rsidRPr="00414FFE">
        <w:rPr>
          <w:rFonts w:ascii="Arial" w:eastAsiaTheme="minorEastAsia" w:hAnsi="Arial" w:cs="Arial"/>
          <w:bCs/>
          <w:color w:val="333333"/>
        </w:rPr>
        <w:t>- s’il est hors d’état de manifester sa volonté, en raison de son incapacité, de son absence, de son éloignement ou de toute autre cause ;</w:t>
      </w:r>
    </w:p>
    <w:p w:rsidR="00F95626" w:rsidRPr="00414FFE" w:rsidRDefault="00F95626" w:rsidP="00414FFE">
      <w:pPr>
        <w:widowControl w:val="0"/>
        <w:tabs>
          <w:tab w:val="left" w:pos="1368"/>
        </w:tabs>
        <w:autoSpaceDE w:val="0"/>
        <w:autoSpaceDN w:val="0"/>
        <w:adjustRightInd w:val="0"/>
        <w:ind w:left="425" w:right="-432"/>
        <w:jc w:val="both"/>
        <w:rPr>
          <w:rFonts w:ascii="Arial" w:eastAsiaTheme="minorEastAsia" w:hAnsi="Arial" w:cs="Arial"/>
          <w:bCs/>
          <w:color w:val="333333"/>
        </w:rPr>
      </w:pPr>
      <w:r w:rsidRPr="00414FFE">
        <w:rPr>
          <w:rFonts w:ascii="Arial" w:eastAsiaTheme="minorEastAsia" w:hAnsi="Arial" w:cs="Arial"/>
          <w:bCs/>
          <w:color w:val="333333"/>
        </w:rPr>
        <w:t>- s’il a consenti une délégation de ses droits constatée par décision de justice ;</w:t>
      </w:r>
    </w:p>
    <w:p w:rsidR="00F95626" w:rsidRPr="00414FFE" w:rsidRDefault="00F95626" w:rsidP="00414FFE">
      <w:pPr>
        <w:widowControl w:val="0"/>
        <w:tabs>
          <w:tab w:val="left" w:pos="1368"/>
        </w:tabs>
        <w:autoSpaceDE w:val="0"/>
        <w:autoSpaceDN w:val="0"/>
        <w:adjustRightInd w:val="0"/>
        <w:ind w:left="425" w:right="-432"/>
        <w:jc w:val="both"/>
        <w:rPr>
          <w:rFonts w:ascii="Arial" w:eastAsiaTheme="minorEastAsia" w:hAnsi="Arial" w:cs="Arial"/>
          <w:bCs/>
          <w:color w:val="333333"/>
        </w:rPr>
      </w:pPr>
      <w:r w:rsidRPr="00414FFE">
        <w:rPr>
          <w:rFonts w:ascii="Arial" w:eastAsiaTheme="minorEastAsia" w:hAnsi="Arial" w:cs="Arial"/>
          <w:bCs/>
          <w:color w:val="333333"/>
        </w:rPr>
        <w:t>- s’il a été condamné sous l’un des divers chefs de l’abandon de famille, tant qu’il n’a pas recommencé à assumer ses obligations pendant une durée de six mois au moins ;</w:t>
      </w:r>
    </w:p>
    <w:p w:rsidR="00F95626" w:rsidRPr="00414FFE" w:rsidRDefault="00F95626" w:rsidP="00414FFE">
      <w:pPr>
        <w:widowControl w:val="0"/>
        <w:tabs>
          <w:tab w:val="left" w:pos="1368"/>
        </w:tabs>
        <w:autoSpaceDE w:val="0"/>
        <w:autoSpaceDN w:val="0"/>
        <w:adjustRightInd w:val="0"/>
        <w:ind w:left="425" w:right="-432"/>
        <w:jc w:val="both"/>
        <w:rPr>
          <w:rFonts w:ascii="Arial" w:eastAsiaTheme="minorEastAsia" w:hAnsi="Arial" w:cs="Arial"/>
          <w:bCs/>
          <w:color w:val="333333"/>
        </w:rPr>
      </w:pPr>
      <w:r w:rsidRPr="00414FFE">
        <w:rPr>
          <w:rFonts w:ascii="Arial" w:eastAsiaTheme="minorEastAsia" w:hAnsi="Arial" w:cs="Arial"/>
          <w:bCs/>
          <w:color w:val="333333"/>
        </w:rPr>
        <w:t>- si un jugement de retrait total ou partiel de l’autorité parentale a été prononcé contre lui.</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L’absence ou l’insuffisance de ressources matérielles, ne constitue pas un motif suffisant de retrait ou de suspension de l’autorité parentale.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23. - </w:t>
      </w:r>
      <w:r w:rsidRPr="00414FFE">
        <w:rPr>
          <w:rFonts w:ascii="Arial" w:eastAsiaTheme="minorEastAsia" w:hAnsi="Arial" w:cs="Arial"/>
          <w:bCs/>
          <w:color w:val="333333"/>
        </w:rPr>
        <w:t>Lorsque l’enfant est séparé de ses parents, ces derniers peuvent déléguer l’autorité parentale à la personne ou à l’institution à qui l’enfant a été confié. Cette délégation doit être constatée par décision du Juge des Enfants.</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414FFE"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24. - </w:t>
      </w:r>
      <w:r w:rsidRPr="00414FFE">
        <w:rPr>
          <w:rFonts w:ascii="Arial" w:eastAsiaTheme="minorEastAsia" w:hAnsi="Arial" w:cs="Arial"/>
          <w:bCs/>
          <w:color w:val="333333"/>
        </w:rPr>
        <w:t>En cas de déchéance de l’autorité parentale, la personne ou l’institution à qui l’enfant a été confié peut demander la tutelle de l’enfant ou de l’adolescent</w:t>
      </w:r>
      <w:r w:rsidRPr="00414FFE">
        <w:rPr>
          <w:rFonts w:ascii="Arial" w:eastAsiaTheme="minorEastAsia" w:hAnsi="Arial" w:cs="Arial"/>
          <w:b/>
          <w:bCs/>
          <w:color w:val="333333"/>
        </w:rPr>
        <w:t>.</w:t>
      </w:r>
    </w:p>
    <w:p w:rsidR="00414FFE" w:rsidRDefault="00414FFE" w:rsidP="00414FFE">
      <w:pPr>
        <w:widowControl w:val="0"/>
        <w:autoSpaceDE w:val="0"/>
        <w:autoSpaceDN w:val="0"/>
        <w:adjustRightInd w:val="0"/>
        <w:ind w:right="-432"/>
        <w:rPr>
          <w:rFonts w:ascii="Arial" w:eastAsiaTheme="minorEastAsia" w:hAnsi="Arial" w:cs="Arial"/>
          <w:b/>
          <w:bCs/>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Sous-section II</w:t>
      </w: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De la tutelle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25. - </w:t>
      </w:r>
      <w:r w:rsidRPr="00414FFE">
        <w:rPr>
          <w:rFonts w:ascii="Arial" w:eastAsiaTheme="minorEastAsia" w:hAnsi="Arial" w:cs="Arial"/>
          <w:bCs/>
          <w:color w:val="333333"/>
        </w:rPr>
        <w:t>La tutelle s’ouvre lorsque le père et la mère sont tous deux décédés ou se trouvent dans l’un des cas prévus aux articles 22 et 24 ;</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Elle s’ouvre également à l’égard d’un enfant abandonné s’il n’a ni père ni mère qui l’aient volontairement reconnu, abandon dûment constaté par décision du Juge des Enfants.</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26. - </w:t>
      </w:r>
      <w:r w:rsidRPr="00414FFE">
        <w:rPr>
          <w:rFonts w:ascii="Arial" w:eastAsiaTheme="minorEastAsia" w:hAnsi="Arial" w:cs="Arial"/>
          <w:bCs/>
          <w:color w:val="333333"/>
        </w:rPr>
        <w:t xml:space="preserve">La tutelle a pour but la protection de l’enfant et l’administration de ses biens. </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Elle est exercée par un tuteur</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b/>
          <w:bCs/>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27. - </w:t>
      </w:r>
      <w:r w:rsidRPr="00414FFE">
        <w:rPr>
          <w:rFonts w:ascii="Arial" w:eastAsiaTheme="minorEastAsia" w:hAnsi="Arial" w:cs="Arial"/>
          <w:bCs/>
          <w:color w:val="333333"/>
        </w:rPr>
        <w:t>Ne peuvent être tuteurs :</w:t>
      </w:r>
    </w:p>
    <w:p w:rsidR="00F95626" w:rsidRPr="00414FFE" w:rsidRDefault="00F95626" w:rsidP="00414FFE">
      <w:pPr>
        <w:widowControl w:val="0"/>
        <w:tabs>
          <w:tab w:val="left" w:pos="1368"/>
        </w:tabs>
        <w:autoSpaceDE w:val="0"/>
        <w:autoSpaceDN w:val="0"/>
        <w:adjustRightInd w:val="0"/>
        <w:ind w:left="425" w:right="-432"/>
        <w:jc w:val="both"/>
        <w:rPr>
          <w:rFonts w:ascii="Arial" w:eastAsiaTheme="minorEastAsia" w:hAnsi="Arial" w:cs="Arial"/>
          <w:bCs/>
          <w:color w:val="333333"/>
        </w:rPr>
      </w:pPr>
      <w:r w:rsidRPr="00414FFE">
        <w:rPr>
          <w:rFonts w:ascii="Arial" w:eastAsiaTheme="minorEastAsia" w:hAnsi="Arial" w:cs="Arial"/>
          <w:bCs/>
          <w:color w:val="333333"/>
        </w:rPr>
        <w:t>- les mineurs ;</w:t>
      </w:r>
    </w:p>
    <w:p w:rsidR="00F95626" w:rsidRPr="00414FFE" w:rsidRDefault="00F95626" w:rsidP="00414FFE">
      <w:pPr>
        <w:widowControl w:val="0"/>
        <w:tabs>
          <w:tab w:val="left" w:pos="1368"/>
        </w:tabs>
        <w:autoSpaceDE w:val="0"/>
        <w:autoSpaceDN w:val="0"/>
        <w:adjustRightInd w:val="0"/>
        <w:ind w:left="425" w:right="-432"/>
        <w:jc w:val="both"/>
        <w:rPr>
          <w:rFonts w:ascii="Arial" w:eastAsiaTheme="minorEastAsia" w:hAnsi="Arial" w:cs="Arial"/>
          <w:bCs/>
          <w:color w:val="333333"/>
        </w:rPr>
      </w:pPr>
      <w:r w:rsidRPr="00414FFE">
        <w:rPr>
          <w:rFonts w:ascii="Arial" w:eastAsiaTheme="minorEastAsia" w:hAnsi="Arial" w:cs="Arial"/>
          <w:bCs/>
          <w:color w:val="333333"/>
        </w:rPr>
        <w:t>- les aliénés ;</w:t>
      </w:r>
    </w:p>
    <w:p w:rsidR="00F95626" w:rsidRPr="00414FFE" w:rsidRDefault="00F95626" w:rsidP="00414FFE">
      <w:pPr>
        <w:widowControl w:val="0"/>
        <w:tabs>
          <w:tab w:val="left" w:pos="1368"/>
        </w:tabs>
        <w:autoSpaceDE w:val="0"/>
        <w:autoSpaceDN w:val="0"/>
        <w:adjustRightInd w:val="0"/>
        <w:ind w:left="425" w:right="-432"/>
        <w:jc w:val="both"/>
        <w:rPr>
          <w:rFonts w:ascii="Arial" w:eastAsiaTheme="minorEastAsia" w:hAnsi="Arial" w:cs="Arial"/>
          <w:bCs/>
          <w:color w:val="333333"/>
        </w:rPr>
      </w:pPr>
      <w:r w:rsidRPr="00414FFE">
        <w:rPr>
          <w:rFonts w:ascii="Arial" w:eastAsiaTheme="minorEastAsia" w:hAnsi="Arial" w:cs="Arial"/>
          <w:bCs/>
          <w:color w:val="333333"/>
        </w:rPr>
        <w:t>- les personnes condamnées à une peine afflictive et infamante, ou celles notoirement connues pour leur inconduite.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28. - </w:t>
      </w:r>
      <w:r w:rsidRPr="00414FFE">
        <w:rPr>
          <w:rFonts w:ascii="Arial" w:eastAsiaTheme="minorEastAsia" w:hAnsi="Arial" w:cs="Arial"/>
          <w:bCs/>
          <w:color w:val="333333"/>
        </w:rPr>
        <w:t>Le droit individuel de choisir un tuteur, parent ou non, appartient au dernier mourant des père et mère ou à la mère dans une famille monoparentale.</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Cette nomination est faite dans la forme d’un testament ou d’une déclaration devant notaire.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29. - </w:t>
      </w:r>
      <w:r w:rsidRPr="00414FFE">
        <w:rPr>
          <w:rFonts w:ascii="Arial" w:eastAsiaTheme="minorEastAsia" w:hAnsi="Arial" w:cs="Arial"/>
          <w:bCs/>
          <w:color w:val="333333"/>
        </w:rPr>
        <w:t>Lorsqu’il n’a pas été choisi de tuteur par le dernier mourant des père et mère, la tutelle de l’enfant est déférée à celui des ascendants qui est du degré le plus rapproché.</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En cas de concours entre ascendants du même degré, le conseil de famille désigne celui d’entre eux qui sera tuteur.</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30. - </w:t>
      </w:r>
      <w:r w:rsidRPr="00414FFE">
        <w:rPr>
          <w:rFonts w:ascii="Arial" w:eastAsiaTheme="minorEastAsia" w:hAnsi="Arial" w:cs="Arial"/>
          <w:bCs/>
          <w:color w:val="333333"/>
        </w:rPr>
        <w:t>S’il n’y a ni tuteur testamentaire ni ascendant tuteur ou si celui qui avait été désigné en cette qualité vient à cesser ses fonctions, un tuteur sera donné au mineur par le conseil de famille.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31. - </w:t>
      </w:r>
      <w:r w:rsidRPr="00414FFE">
        <w:rPr>
          <w:rFonts w:ascii="Arial" w:eastAsiaTheme="minorEastAsia" w:hAnsi="Arial" w:cs="Arial"/>
          <w:bCs/>
          <w:color w:val="333333"/>
        </w:rPr>
        <w:t>Le tuteur élu ou désigné n’est pas tenu d’accepter la tutelle.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32. - </w:t>
      </w:r>
      <w:r w:rsidRPr="00414FFE">
        <w:rPr>
          <w:rFonts w:ascii="Arial" w:eastAsiaTheme="minorEastAsia" w:hAnsi="Arial" w:cs="Arial"/>
          <w:bCs/>
          <w:color w:val="333333"/>
        </w:rPr>
        <w:t>Le conseil est convoqué par le Président du Tribunal soit d’office, soit à la demande des parents, alliés des père et mère, autres parties intéressées, ou le Ministère Public. Toute personne pourra dénoncer au Président du Tribunal le fait qui donnera lieu à la nomination d’un tuteur</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33. - </w:t>
      </w:r>
      <w:r w:rsidRPr="00414FFE">
        <w:rPr>
          <w:rFonts w:ascii="Arial" w:eastAsiaTheme="minorEastAsia" w:hAnsi="Arial" w:cs="Arial"/>
          <w:bCs/>
          <w:color w:val="333333"/>
        </w:rPr>
        <w:t>Le tuteur est désigné pour la durée de la tutelle. Le conseil de famille peut néanmoins pourvoir à son remplacement en cours de tutelle, si des circonstances graves le requièrent, sans préjudice des cas d’excuse d’incapacité ou de destitution.</w:t>
      </w:r>
    </w:p>
    <w:p w:rsidR="00F95626" w:rsidRPr="00414FFE" w:rsidRDefault="00F95626" w:rsidP="00414FFE">
      <w:pPr>
        <w:widowControl w:val="0"/>
        <w:autoSpaceDE w:val="0"/>
        <w:autoSpaceDN w:val="0"/>
        <w:adjustRightInd w:val="0"/>
        <w:ind w:right="-432"/>
        <w:jc w:val="both"/>
        <w:rPr>
          <w:rFonts w:ascii="Arial" w:eastAsiaTheme="minorEastAsia" w:hAnsi="Arial" w:cs="Arial"/>
          <w:b/>
          <w:bCs/>
          <w:color w:val="333333"/>
        </w:rPr>
      </w:pPr>
      <w:r w:rsidRPr="00414FFE">
        <w:rPr>
          <w:rFonts w:ascii="Arial" w:eastAsiaTheme="minorEastAsia" w:hAnsi="Arial" w:cs="Arial"/>
          <w:bCs/>
          <w:color w:val="333333"/>
        </w:rPr>
        <w:t>La désignation du nouveau tuteur est faite par le Président du Tribunal du lieu de la résidence de l’enfant, à la requête du proche parent ou allié, suivant la procédure de référé, le tuteur en exercice étant présent ou dûment appelé</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34. - </w:t>
      </w:r>
      <w:r w:rsidRPr="00414FFE">
        <w:rPr>
          <w:rFonts w:ascii="Arial" w:eastAsiaTheme="minorEastAsia" w:hAnsi="Arial" w:cs="Arial"/>
          <w:bCs/>
          <w:color w:val="333333"/>
        </w:rPr>
        <w:t>Il peut aussi être procédé au remplacement du tuteur en exercice chaque fois que ses intérêts sont en opposition avec ceux du mineur, ou si l’accomplissement d’un acte particulier l’exige.</w:t>
      </w:r>
    </w:p>
    <w:p w:rsidR="00F95626" w:rsidRPr="00414FFE" w:rsidRDefault="00F95626" w:rsidP="00414FFE">
      <w:pPr>
        <w:widowControl w:val="0"/>
        <w:autoSpaceDE w:val="0"/>
        <w:autoSpaceDN w:val="0"/>
        <w:adjustRightInd w:val="0"/>
        <w:ind w:right="-432"/>
        <w:jc w:val="both"/>
        <w:rPr>
          <w:rFonts w:ascii="Arial" w:eastAsiaTheme="minorEastAsia" w:hAnsi="Arial" w:cs="Arial"/>
          <w:bCs/>
          <w:color w:val="333333"/>
        </w:rPr>
      </w:pPr>
      <w:r w:rsidRPr="00414FFE">
        <w:rPr>
          <w:rFonts w:ascii="Arial" w:eastAsiaTheme="minorEastAsia" w:hAnsi="Arial" w:cs="Arial"/>
          <w:bCs/>
          <w:color w:val="333333"/>
        </w:rPr>
        <w:t>Dans ces cas, la désignation du remplacement est faite par le Président du Tribunal du lieu de la résidence de l’enfant par ordonnance rendue sur requête.</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35. - </w:t>
      </w:r>
      <w:r w:rsidRPr="00414FFE">
        <w:rPr>
          <w:rFonts w:ascii="Arial" w:eastAsiaTheme="minorEastAsia" w:hAnsi="Arial" w:cs="Arial"/>
          <w:bCs/>
          <w:color w:val="333333"/>
        </w:rPr>
        <w:t>Appel des ordonnances prévues aux articles précédents peut être interjeté dans les formes et délais du droit commun.</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La décision d’appel n’est pas susceptible de pourvoi</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bCs/>
          <w:color w:val="333333"/>
        </w:rPr>
      </w:pPr>
      <w:r w:rsidRPr="00414FFE">
        <w:rPr>
          <w:rFonts w:ascii="Arial" w:eastAsiaTheme="minorEastAsia" w:hAnsi="Arial" w:cs="Arial"/>
          <w:b/>
          <w:bCs/>
          <w:color w:val="333333"/>
        </w:rPr>
        <w:t xml:space="preserve">Art. 36. - </w:t>
      </w:r>
      <w:r w:rsidRPr="00414FFE">
        <w:rPr>
          <w:rFonts w:ascii="Arial" w:eastAsiaTheme="minorEastAsia" w:hAnsi="Arial" w:cs="Arial"/>
          <w:bCs/>
          <w:color w:val="333333"/>
        </w:rPr>
        <w:t xml:space="preserve">Le conseil de famille est composé de membres choisis par le Président du Tribunal ou un Juge par lui délégué, parmi les parents ou alliés des père et mère de </w:t>
      </w:r>
      <w:r w:rsidRPr="00414FFE">
        <w:rPr>
          <w:rFonts w:ascii="Arial" w:eastAsiaTheme="minorEastAsia" w:hAnsi="Arial" w:cs="Arial"/>
          <w:bCs/>
          <w:color w:val="333333"/>
        </w:rPr>
        <w:lastRenderedPageBreak/>
        <w:t>l’enfant en appréciant toutes les circonstances du cas : la proximité du degré, le lieu de la résidence, l’âge et les aptitudes des intéressés.</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Peuvent faire partie du conseil de famille : les amis, voisins ou toutes autres personnes qui lui semblent pouvoir s’intéresser à l’enfant.</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37. - </w:t>
      </w:r>
      <w:r w:rsidRPr="00414FFE">
        <w:rPr>
          <w:rFonts w:ascii="Arial" w:eastAsiaTheme="minorEastAsia" w:hAnsi="Arial" w:cs="Arial"/>
          <w:bCs/>
          <w:color w:val="333333"/>
        </w:rPr>
        <w:t>Le conseil de famille ne peut délibérer que si la moitié au moins de es membres sont présents ou représentés, sauf en cas d’urgence où le Président du Tribunal peut prendre lui même la décision.</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38. - </w:t>
      </w:r>
      <w:r w:rsidRPr="00414FFE">
        <w:rPr>
          <w:rFonts w:ascii="Arial" w:eastAsiaTheme="minorEastAsia" w:hAnsi="Arial" w:cs="Arial"/>
          <w:bCs/>
          <w:color w:val="333333"/>
        </w:rPr>
        <w:t>Le tuteur doit assister à la séance mais ne vote pas.</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Le mineur capable de discernement peut, si le Président du Tribunal ne l’estime pas contraire à son intérêt, assister à la séance à titre consultatif.</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39. - </w:t>
      </w:r>
      <w:r w:rsidRPr="00414FFE">
        <w:rPr>
          <w:rFonts w:ascii="Arial" w:eastAsiaTheme="minorEastAsia" w:hAnsi="Arial" w:cs="Arial"/>
          <w:bCs/>
          <w:color w:val="333333"/>
        </w:rPr>
        <w:t>Le tuteur prend soin de la personne de l’enfant et le représente dans tous les actes civils.</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Il administre ses biens en bon père de famille et est responsable de son administration dans les termes du droit commun.</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40. - </w:t>
      </w:r>
      <w:r w:rsidRPr="00414FFE">
        <w:rPr>
          <w:rFonts w:ascii="Arial" w:eastAsiaTheme="minorEastAsia" w:hAnsi="Arial" w:cs="Arial"/>
          <w:bCs/>
          <w:color w:val="333333"/>
        </w:rPr>
        <w:t>Le tuteur ne peut disposer à titre gratuit des biens appartenant en propres à l’enfant, ni s’en rendre acquéreur directement ou par personne interposée</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41. - </w:t>
      </w:r>
      <w:r w:rsidRPr="00414FFE">
        <w:rPr>
          <w:rFonts w:ascii="Arial" w:eastAsiaTheme="minorEastAsia" w:hAnsi="Arial" w:cs="Arial"/>
          <w:bCs/>
          <w:color w:val="333333"/>
        </w:rPr>
        <w:t xml:space="preserve">Il ne peut consentir aucun acte d’aliénation ou de disposition concernant les biens immeubles de l’enfant sans une autorisation donnée par le Président du Tribunal du lieu de la résidence de l’enfant par ordonnance rendue sur requête. </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Il peut ainsi aliéner, à titre onéreux, les meubles d’usage courant et les biens ayant le caractère de fruits.</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42. - </w:t>
      </w:r>
      <w:r w:rsidRPr="00414FFE">
        <w:rPr>
          <w:rFonts w:ascii="Arial" w:eastAsiaTheme="minorEastAsia" w:hAnsi="Arial" w:cs="Arial"/>
          <w:bCs/>
          <w:color w:val="333333"/>
        </w:rPr>
        <w:t>Tout tuteur est comptable de sa gestion lorsqu’elle finit.</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Le compte est dû à l’enfant ayant acquis sa pleine capacité juridique, ou à ses héritiers.</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43. - </w:t>
      </w:r>
      <w:r w:rsidRPr="00414FFE">
        <w:rPr>
          <w:rFonts w:ascii="Arial" w:eastAsiaTheme="minorEastAsia" w:hAnsi="Arial" w:cs="Arial"/>
          <w:bCs/>
          <w:color w:val="333333"/>
        </w:rPr>
        <w:t>L’enfant âgé de dix huit ans révolus peut accomplir seul tous les actes de pure administration concernant son patrimoine</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44. - </w:t>
      </w:r>
      <w:r w:rsidRPr="00414FFE">
        <w:rPr>
          <w:rFonts w:ascii="Arial" w:eastAsiaTheme="minorEastAsia" w:hAnsi="Arial" w:cs="Arial"/>
          <w:bCs/>
          <w:color w:val="333333"/>
        </w:rPr>
        <w:t>En cas de tutelles successives, le compte du dernier tuteur doit comprendre toutes les gestions précédentes</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45. - </w:t>
      </w:r>
      <w:r w:rsidRPr="00414FFE">
        <w:rPr>
          <w:rFonts w:ascii="Arial" w:eastAsiaTheme="minorEastAsia" w:hAnsi="Arial" w:cs="Arial"/>
          <w:bCs/>
          <w:color w:val="333333"/>
        </w:rPr>
        <w:t>Si le compte donne lieu à contestation, elles seront réglées, comme en matière civile, selon les règles du droit commun</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46. - </w:t>
      </w:r>
      <w:r w:rsidRPr="00414FFE">
        <w:rPr>
          <w:rFonts w:ascii="Arial" w:eastAsiaTheme="minorEastAsia" w:hAnsi="Arial" w:cs="Arial"/>
          <w:bCs/>
          <w:color w:val="333333"/>
        </w:rPr>
        <w:t>La pleine capacité juridique est acquise à l’enfant du fait de son mariage</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47. - </w:t>
      </w:r>
      <w:r w:rsidRPr="00414FFE">
        <w:rPr>
          <w:rFonts w:ascii="Arial" w:eastAsiaTheme="minorEastAsia" w:hAnsi="Arial" w:cs="Arial"/>
          <w:bCs/>
          <w:color w:val="333333"/>
        </w:rPr>
        <w:t>La charge de la tutelle est gratuite et personnelle. Elle ne se communique pas au conjoint du tuteur et ne passe point à ses héritiers</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Sous-Section III</w:t>
      </w: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Des mesures d’assistance éducative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48. - </w:t>
      </w:r>
      <w:r w:rsidRPr="00414FFE">
        <w:rPr>
          <w:rFonts w:ascii="Arial" w:eastAsiaTheme="minorEastAsia" w:hAnsi="Arial" w:cs="Arial"/>
          <w:bCs/>
          <w:color w:val="333333"/>
        </w:rPr>
        <w:t xml:space="preserve">Lorsque la sécurité, l'intégrité physique ou morale, la santé ou l’éducation d’un enfant sont compromises, le Juge des Enfants intervient avec l’aide de travailleurs </w:t>
      </w:r>
      <w:r w:rsidRPr="00414FFE">
        <w:rPr>
          <w:rFonts w:ascii="Arial" w:eastAsiaTheme="minorEastAsia" w:hAnsi="Arial" w:cs="Arial"/>
          <w:bCs/>
          <w:color w:val="333333"/>
        </w:rPr>
        <w:lastRenderedPageBreak/>
        <w:t>sociaux, soit pour aider et assister la famille dans son rôle d’éducateur naturel de l’enfant, soit pour prendre des mesures d’assistance éducative appropriées et d’assurer leur suivi.</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49. - </w:t>
      </w:r>
      <w:r w:rsidRPr="00414FFE">
        <w:rPr>
          <w:rFonts w:ascii="Arial" w:eastAsiaTheme="minorEastAsia" w:hAnsi="Arial" w:cs="Arial"/>
          <w:bCs/>
          <w:color w:val="333333"/>
        </w:rPr>
        <w:t>Le Juge des Enfants est compétent pour décider des mesures d’assistance éducative adaptées à la situation d’un enfant.</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 xml:space="preserve">Ces mesures sont prises par le Juge des Enfants à la requête des père et mère conjointement ou de l’un d’eux, de la personne ou du service à qui l’enfant a été confié ou du tuteur, de l’enfant lui-même ou du Magistrat du Ministère Public. Le Juge des Enfants peut aussi se saisir d’office. </w:t>
      </w:r>
    </w:p>
    <w:p w:rsidR="00F95626" w:rsidRPr="00414FFE" w:rsidRDefault="00F95626" w:rsidP="00414FFE">
      <w:pPr>
        <w:widowControl w:val="0"/>
        <w:autoSpaceDE w:val="0"/>
        <w:autoSpaceDN w:val="0"/>
        <w:adjustRightInd w:val="0"/>
        <w:ind w:right="-432"/>
        <w:jc w:val="both"/>
        <w:rPr>
          <w:rFonts w:ascii="Arial" w:eastAsiaTheme="minorEastAsia" w:hAnsi="Arial" w:cs="Arial"/>
          <w:bCs/>
          <w:color w:val="333333"/>
        </w:rPr>
      </w:pPr>
      <w:r w:rsidRPr="00414FFE">
        <w:rPr>
          <w:rFonts w:ascii="Arial" w:eastAsiaTheme="minorEastAsia" w:hAnsi="Arial" w:cs="Arial"/>
          <w:bCs/>
          <w:color w:val="333333"/>
        </w:rPr>
        <w:t xml:space="preserve">Les mesures d’assistance éducative peuvent être ordonnées en même temps ou séparément pour plusieurs enfants relevant de la même autorité parentale. </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50. - </w:t>
      </w:r>
      <w:r w:rsidRPr="00414FFE">
        <w:rPr>
          <w:rFonts w:ascii="Arial" w:eastAsiaTheme="minorEastAsia" w:hAnsi="Arial" w:cs="Arial"/>
          <w:bCs/>
          <w:color w:val="333333"/>
        </w:rPr>
        <w:t>Les mesures d’assistance éducative sont constituées notamment par :</w:t>
      </w:r>
    </w:p>
    <w:p w:rsidR="00F95626" w:rsidRPr="00414FFE" w:rsidRDefault="00F95626" w:rsidP="00414FFE">
      <w:pPr>
        <w:widowControl w:val="0"/>
        <w:tabs>
          <w:tab w:val="left" w:pos="1368"/>
        </w:tabs>
        <w:autoSpaceDE w:val="0"/>
        <w:autoSpaceDN w:val="0"/>
        <w:adjustRightInd w:val="0"/>
        <w:ind w:left="425" w:right="-432"/>
        <w:jc w:val="both"/>
        <w:rPr>
          <w:rFonts w:ascii="Arial" w:eastAsiaTheme="minorEastAsia" w:hAnsi="Arial" w:cs="Arial"/>
          <w:bCs/>
          <w:color w:val="333333"/>
        </w:rPr>
      </w:pPr>
      <w:r w:rsidRPr="00414FFE">
        <w:rPr>
          <w:rFonts w:ascii="Arial" w:eastAsiaTheme="minorEastAsia" w:hAnsi="Arial" w:cs="Arial"/>
          <w:bCs/>
          <w:color w:val="333333"/>
        </w:rPr>
        <w:t>- remise aux parents ou à toute personne ayant autorité sur l’enfant moyennant certains engagements concernant l’éducation de l’enfant ;</w:t>
      </w:r>
    </w:p>
    <w:p w:rsidR="00F95626" w:rsidRPr="00414FFE" w:rsidRDefault="00F95626" w:rsidP="00414FFE">
      <w:pPr>
        <w:widowControl w:val="0"/>
        <w:tabs>
          <w:tab w:val="left" w:pos="1368"/>
        </w:tabs>
        <w:autoSpaceDE w:val="0"/>
        <w:autoSpaceDN w:val="0"/>
        <w:adjustRightInd w:val="0"/>
        <w:ind w:left="425" w:right="-432"/>
        <w:jc w:val="both"/>
        <w:rPr>
          <w:rFonts w:ascii="Arial" w:eastAsiaTheme="minorEastAsia" w:hAnsi="Arial" w:cs="Arial"/>
          <w:bCs/>
          <w:color w:val="333333"/>
        </w:rPr>
      </w:pPr>
      <w:r w:rsidRPr="00414FFE">
        <w:rPr>
          <w:rFonts w:ascii="Arial" w:eastAsiaTheme="minorEastAsia" w:hAnsi="Arial" w:cs="Arial"/>
          <w:bCs/>
          <w:color w:val="333333"/>
        </w:rPr>
        <w:t>- orientation, appui et accompagnement temporaires ;</w:t>
      </w:r>
    </w:p>
    <w:p w:rsidR="00F95626" w:rsidRPr="00414FFE" w:rsidRDefault="00F95626" w:rsidP="00414FFE">
      <w:pPr>
        <w:widowControl w:val="0"/>
        <w:tabs>
          <w:tab w:val="left" w:pos="1368"/>
        </w:tabs>
        <w:autoSpaceDE w:val="0"/>
        <w:autoSpaceDN w:val="0"/>
        <w:adjustRightInd w:val="0"/>
        <w:ind w:left="425" w:right="-432"/>
        <w:jc w:val="both"/>
        <w:rPr>
          <w:rFonts w:ascii="Arial" w:eastAsiaTheme="minorEastAsia" w:hAnsi="Arial" w:cs="Arial"/>
          <w:bCs/>
          <w:color w:val="333333"/>
        </w:rPr>
      </w:pPr>
      <w:r w:rsidRPr="00414FFE">
        <w:rPr>
          <w:rFonts w:ascii="Arial" w:eastAsiaTheme="minorEastAsia" w:hAnsi="Arial" w:cs="Arial"/>
          <w:bCs/>
          <w:color w:val="333333"/>
        </w:rPr>
        <w:t>- inscription de l’enfant dans des établissements officiels d’enseignement et fréquentation obligatoire ;</w:t>
      </w:r>
    </w:p>
    <w:p w:rsidR="00F95626" w:rsidRPr="00414FFE" w:rsidRDefault="00F95626" w:rsidP="00414FFE">
      <w:pPr>
        <w:widowControl w:val="0"/>
        <w:tabs>
          <w:tab w:val="left" w:pos="1368"/>
        </w:tabs>
        <w:autoSpaceDE w:val="0"/>
        <w:autoSpaceDN w:val="0"/>
        <w:adjustRightInd w:val="0"/>
        <w:ind w:left="425" w:right="-432"/>
        <w:jc w:val="both"/>
        <w:rPr>
          <w:rFonts w:ascii="Arial" w:eastAsiaTheme="minorEastAsia" w:hAnsi="Arial" w:cs="Arial"/>
          <w:color w:val="333333"/>
        </w:rPr>
      </w:pPr>
      <w:r w:rsidRPr="00414FFE">
        <w:rPr>
          <w:rFonts w:ascii="Arial" w:eastAsiaTheme="minorEastAsia" w:hAnsi="Arial" w:cs="Arial"/>
          <w:bCs/>
          <w:color w:val="333333"/>
        </w:rPr>
        <w:t>- placement dans une autre famille, institution agréée ou une personne digne de confiance.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51. - </w:t>
      </w:r>
      <w:r w:rsidRPr="00414FFE">
        <w:rPr>
          <w:rFonts w:ascii="Arial" w:eastAsiaTheme="minorEastAsia" w:hAnsi="Arial" w:cs="Arial"/>
          <w:bCs/>
          <w:color w:val="333333"/>
        </w:rPr>
        <w:t>Elles peuvent être ordonnées séparément ou cumulativement selon les cas.</w:t>
      </w:r>
      <w:r w:rsidRPr="00414FFE">
        <w:rPr>
          <w:rFonts w:ascii="Arial" w:eastAsiaTheme="minorEastAsia" w:hAnsi="Arial" w:cs="Arial"/>
          <w:bCs/>
          <w:i/>
          <w:iCs/>
          <w:color w:val="333333"/>
        </w:rPr>
        <w:t xml:space="preserve"> </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Lorsque la mesure d’assistance éducative décidée par le Juge des Enfants consiste au placement de l’enfant dans une autre famille ou institution, la durée est de 3 mois renouvelable</w:t>
      </w:r>
      <w:r w:rsidRPr="00414FFE">
        <w:rPr>
          <w:rFonts w:ascii="Arial" w:eastAsiaTheme="minorEastAsia" w:hAnsi="Arial" w:cs="Arial"/>
          <w:bCs/>
          <w:i/>
          <w:iCs/>
          <w:color w:val="333333"/>
        </w:rPr>
        <w:t>.</w:t>
      </w:r>
      <w:r w:rsidRPr="00414FFE">
        <w:rPr>
          <w:rFonts w:ascii="Arial" w:eastAsiaTheme="minorEastAsia" w:hAnsi="Arial" w:cs="Arial"/>
          <w:bCs/>
          <w:color w:val="333333"/>
        </w:rPr>
        <w:t xml:space="preserve"> </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La mesure d’assistance éducative peut être remplacée ou renouvelée par décision motivée suivant l’évolution de la situation de l’enfant</w:t>
      </w:r>
      <w:r w:rsidRPr="00414FFE">
        <w:rPr>
          <w:rFonts w:ascii="Arial" w:eastAsiaTheme="minorEastAsia" w:hAnsi="Arial" w:cs="Arial"/>
          <w:bCs/>
          <w:i/>
          <w:iCs/>
          <w:color w:val="333333"/>
        </w:rPr>
        <w:t>.</w:t>
      </w:r>
      <w:r w:rsidRPr="00414FFE">
        <w:rPr>
          <w:rFonts w:ascii="Arial" w:eastAsiaTheme="minorEastAsia" w:hAnsi="Arial" w:cs="Arial"/>
          <w:bCs/>
          <w:color w:val="333333"/>
        </w:rPr>
        <w:t xml:space="preserve"> En aucun cas, la durée de la mesure prise ne peut excéder deux ans.</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52. - </w:t>
      </w:r>
      <w:r w:rsidRPr="00414FFE">
        <w:rPr>
          <w:rFonts w:ascii="Arial" w:eastAsiaTheme="minorEastAsia" w:hAnsi="Arial" w:cs="Arial"/>
          <w:bCs/>
          <w:color w:val="333333"/>
        </w:rPr>
        <w:t>Les frais d’entretien et d’éducation de l’enfant qui a fait l’objet d’une mesure d’assistance éducative continuent d’incomber à ses père et mère ainsi qu’aux ascendants auxquels des aliments peuvent être réclamés, sauf la faculté pour le Juge de les en décharger en tout ou en partie.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53. - </w:t>
      </w:r>
      <w:r w:rsidRPr="00414FFE">
        <w:rPr>
          <w:rFonts w:ascii="Arial" w:eastAsiaTheme="minorEastAsia" w:hAnsi="Arial" w:cs="Arial"/>
          <w:bCs/>
          <w:color w:val="333333"/>
        </w:rPr>
        <w:t>Le Juge des Enfants a l’obligation de visiter ou faire visiter tout enfant faisant l’objet d’une mesure de placement au moins deux fois par an.</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54. - </w:t>
      </w:r>
      <w:r w:rsidRPr="00414FFE">
        <w:rPr>
          <w:rFonts w:ascii="Arial" w:eastAsiaTheme="minorEastAsia" w:hAnsi="Arial" w:cs="Arial"/>
          <w:bCs/>
          <w:color w:val="333333"/>
        </w:rPr>
        <w:t>Il assure également le suivi et le contrôle de l’exécution des mesures d’assistance éducative par lui ordonnées. Ces mesures peuvent être modifiées ou rapportées en fonction de l’évolution de la situation de l’enfant.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55. </w:t>
      </w:r>
      <w:r w:rsidRPr="00414FFE">
        <w:rPr>
          <w:rFonts w:ascii="Arial" w:eastAsiaTheme="minorEastAsia" w:hAnsi="Arial" w:cs="Arial"/>
          <w:bCs/>
          <w:color w:val="333333"/>
        </w:rPr>
        <w:t xml:space="preserve">- Le Juge des Enfants est compétent, à charge d’appel, pour tout ce qui concerne l’assistance éducative. </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Il doit toujours s’efforcer de recueillir l’adhésion de la famille à la mesure envisagée ainsi que celle de l’enfant qui a une capacité de discernement.</w:t>
      </w:r>
    </w:p>
    <w:p w:rsidR="00F95626" w:rsidRPr="00414FFE" w:rsidRDefault="00F95626" w:rsidP="00F95626">
      <w:pPr>
        <w:widowControl w:val="0"/>
        <w:autoSpaceDE w:val="0"/>
        <w:autoSpaceDN w:val="0"/>
        <w:adjustRightInd w:val="0"/>
        <w:ind w:right="-432"/>
        <w:rPr>
          <w:rFonts w:ascii="Arial" w:eastAsiaTheme="minorEastAsia" w:hAnsi="Arial" w:cs="Arial"/>
          <w:b/>
          <w:bCs/>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56. - </w:t>
      </w:r>
      <w:r w:rsidRPr="00414FFE">
        <w:rPr>
          <w:rFonts w:ascii="Arial" w:eastAsiaTheme="minorEastAsia" w:hAnsi="Arial" w:cs="Arial"/>
          <w:bCs/>
          <w:color w:val="333333"/>
        </w:rPr>
        <w:t>Chaque fois qu’il est possible, l’enfant doit être maintenu dans son milieu familial.</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 xml:space="preserve">Dans ce cas, le Juge désigne, soit une personne qualifiée, soit un service d’observation, </w:t>
      </w:r>
      <w:r w:rsidRPr="00414FFE">
        <w:rPr>
          <w:rFonts w:ascii="Arial" w:eastAsiaTheme="minorEastAsia" w:hAnsi="Arial" w:cs="Arial"/>
          <w:bCs/>
          <w:color w:val="333333"/>
        </w:rPr>
        <w:lastRenderedPageBreak/>
        <w:t>d’éducation ou de rééducation en milieu ouvert, en lui donnant mission d’apporter aide et conseil à la famille, afin de surmonter les difficultés matérielles ou morales qu’elle rencontre.</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Cette personne ou ce service est chargé de suivre le développement de l’enfant et d’en faire rapport au Juge des Enfants périodiquement.</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 xml:space="preserve">Le Juge des Enfants peut aussi subordonner le maintien de l’enfant dans son milieu familial à des obligations particulières, telles que celle de fréquenter régulièrement un établissement sanitaire ou d’éducation, ordinaire ou spécialisé, ou d’exercer une activité professionnelle. </w:t>
      </w: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Section II</w:t>
      </w: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De la protection de remplacement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57. - </w:t>
      </w:r>
      <w:r w:rsidRPr="00414FFE">
        <w:rPr>
          <w:rFonts w:ascii="Arial" w:eastAsiaTheme="minorEastAsia" w:hAnsi="Arial" w:cs="Arial"/>
          <w:bCs/>
          <w:color w:val="333333"/>
        </w:rPr>
        <w:t>S’il est nécessaire de retirer l’enfant de son milieu actuel, le Juge des Enfants peut décider de le confier soit :</w:t>
      </w:r>
    </w:p>
    <w:p w:rsidR="00F95626" w:rsidRPr="00414FFE" w:rsidRDefault="00F95626" w:rsidP="00414FFE">
      <w:pPr>
        <w:widowControl w:val="0"/>
        <w:tabs>
          <w:tab w:val="left" w:pos="720"/>
        </w:tabs>
        <w:autoSpaceDE w:val="0"/>
        <w:autoSpaceDN w:val="0"/>
        <w:adjustRightInd w:val="0"/>
        <w:ind w:left="425" w:right="-432"/>
        <w:jc w:val="both"/>
        <w:rPr>
          <w:rFonts w:ascii="Arial" w:eastAsiaTheme="minorEastAsia" w:hAnsi="Arial" w:cs="Arial"/>
          <w:bCs/>
          <w:color w:val="333333"/>
        </w:rPr>
      </w:pPr>
      <w:r w:rsidRPr="00414FFE">
        <w:rPr>
          <w:rFonts w:ascii="Arial" w:eastAsiaTheme="minorEastAsia" w:hAnsi="Arial" w:cs="Arial"/>
          <w:bCs/>
          <w:color w:val="333333"/>
        </w:rPr>
        <w:t>1. au père ou à la mère qui n’avait pas l’exercice de l’autorité parentale ou chez lequel l’enfant n’avait pas sa résidence habituelle ;</w:t>
      </w:r>
    </w:p>
    <w:p w:rsidR="00F95626" w:rsidRPr="00414FFE" w:rsidRDefault="00F95626" w:rsidP="00414FFE">
      <w:pPr>
        <w:widowControl w:val="0"/>
        <w:tabs>
          <w:tab w:val="left" w:pos="720"/>
        </w:tabs>
        <w:autoSpaceDE w:val="0"/>
        <w:autoSpaceDN w:val="0"/>
        <w:adjustRightInd w:val="0"/>
        <w:ind w:left="425" w:right="-432"/>
        <w:jc w:val="both"/>
        <w:rPr>
          <w:rFonts w:ascii="Arial" w:eastAsiaTheme="minorEastAsia" w:hAnsi="Arial" w:cs="Arial"/>
          <w:bCs/>
          <w:color w:val="333333"/>
        </w:rPr>
      </w:pPr>
      <w:r w:rsidRPr="00414FFE">
        <w:rPr>
          <w:rFonts w:ascii="Arial" w:eastAsiaTheme="minorEastAsia" w:hAnsi="Arial" w:cs="Arial"/>
          <w:bCs/>
          <w:color w:val="333333"/>
        </w:rPr>
        <w:t>2. à un autre membre de la famille ou à la famille élargie ;</w:t>
      </w:r>
    </w:p>
    <w:p w:rsidR="00F95626" w:rsidRPr="00414FFE" w:rsidRDefault="00F95626" w:rsidP="00414FFE">
      <w:pPr>
        <w:widowControl w:val="0"/>
        <w:tabs>
          <w:tab w:val="left" w:pos="720"/>
        </w:tabs>
        <w:autoSpaceDE w:val="0"/>
        <w:autoSpaceDN w:val="0"/>
        <w:adjustRightInd w:val="0"/>
        <w:ind w:left="425" w:right="-432"/>
        <w:jc w:val="both"/>
        <w:rPr>
          <w:rFonts w:ascii="Arial" w:eastAsiaTheme="minorEastAsia" w:hAnsi="Arial" w:cs="Arial"/>
          <w:color w:val="333333"/>
        </w:rPr>
      </w:pPr>
      <w:r w:rsidRPr="00414FFE">
        <w:rPr>
          <w:rFonts w:ascii="Arial" w:eastAsiaTheme="minorEastAsia" w:hAnsi="Arial" w:cs="Arial"/>
          <w:bCs/>
          <w:color w:val="333333"/>
        </w:rPr>
        <w:t>3. à un tiers digne de confiance dont le choix est laissé à l’appréciation souveraine du Juge ;</w:t>
      </w:r>
    </w:p>
    <w:p w:rsidR="00F95626" w:rsidRPr="00414FFE" w:rsidRDefault="00F95626" w:rsidP="00414FFE">
      <w:pPr>
        <w:widowControl w:val="0"/>
        <w:tabs>
          <w:tab w:val="left" w:pos="720"/>
        </w:tabs>
        <w:autoSpaceDE w:val="0"/>
        <w:autoSpaceDN w:val="0"/>
        <w:adjustRightInd w:val="0"/>
        <w:ind w:left="425" w:right="-432"/>
        <w:jc w:val="both"/>
        <w:rPr>
          <w:rFonts w:ascii="Arial" w:eastAsiaTheme="minorEastAsia" w:hAnsi="Arial" w:cs="Arial"/>
          <w:bCs/>
          <w:color w:val="333333"/>
        </w:rPr>
      </w:pPr>
      <w:r w:rsidRPr="00414FFE">
        <w:rPr>
          <w:rFonts w:ascii="Arial" w:eastAsiaTheme="minorEastAsia" w:hAnsi="Arial" w:cs="Arial"/>
          <w:bCs/>
          <w:color w:val="333333"/>
        </w:rPr>
        <w:t>4. à un service ou à un établissement sanitaire ou d’éducation, ordinaire ou spécialisé ;</w:t>
      </w:r>
    </w:p>
    <w:p w:rsidR="00F95626" w:rsidRPr="00414FFE" w:rsidRDefault="00F95626" w:rsidP="00414FFE">
      <w:pPr>
        <w:widowControl w:val="0"/>
        <w:tabs>
          <w:tab w:val="left" w:pos="720"/>
        </w:tabs>
        <w:autoSpaceDE w:val="0"/>
        <w:autoSpaceDN w:val="0"/>
        <w:adjustRightInd w:val="0"/>
        <w:ind w:left="425" w:right="-432"/>
        <w:jc w:val="both"/>
        <w:rPr>
          <w:rFonts w:ascii="Arial" w:eastAsiaTheme="minorEastAsia" w:hAnsi="Arial" w:cs="Arial"/>
          <w:bCs/>
          <w:color w:val="333333"/>
        </w:rPr>
      </w:pPr>
      <w:r w:rsidRPr="00414FFE">
        <w:rPr>
          <w:rFonts w:ascii="Arial" w:eastAsiaTheme="minorEastAsia" w:hAnsi="Arial" w:cs="Arial"/>
          <w:bCs/>
          <w:color w:val="333333"/>
        </w:rPr>
        <w:t>5. à un service de l’aide sociale à l’enfance.</w:t>
      </w:r>
    </w:p>
    <w:p w:rsidR="00F95626" w:rsidRPr="00414FFE" w:rsidRDefault="00F95626" w:rsidP="00414FFE">
      <w:pPr>
        <w:widowControl w:val="0"/>
        <w:autoSpaceDE w:val="0"/>
        <w:autoSpaceDN w:val="0"/>
        <w:adjustRightInd w:val="0"/>
        <w:ind w:right="-432"/>
        <w:jc w:val="both"/>
        <w:rPr>
          <w:rFonts w:ascii="Arial" w:eastAsiaTheme="minorEastAsia" w:hAnsi="Arial" w:cs="Arial"/>
          <w:bCs/>
          <w:color w:val="333333"/>
        </w:rPr>
      </w:pPr>
    </w:p>
    <w:p w:rsidR="00F95626" w:rsidRPr="00414FFE" w:rsidRDefault="00F95626" w:rsidP="00414FF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Cs/>
          <w:color w:val="333333"/>
        </w:rPr>
        <w:t>Sauf circonstances exceptionnelles, l’enfant en bas âge ne doit pas être séparé de sa mère.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bCs/>
          <w:color w:val="333333"/>
        </w:rPr>
      </w:pPr>
      <w:r w:rsidRPr="00414FFE">
        <w:rPr>
          <w:rFonts w:ascii="Arial" w:eastAsiaTheme="minorEastAsia" w:hAnsi="Arial" w:cs="Arial"/>
          <w:b/>
          <w:bCs/>
          <w:color w:val="333333"/>
        </w:rPr>
        <w:t xml:space="preserve">Art. 58. - </w:t>
      </w:r>
      <w:r w:rsidRPr="006B340E">
        <w:rPr>
          <w:rFonts w:ascii="Arial" w:eastAsiaTheme="minorEastAsia" w:hAnsi="Arial" w:cs="Arial"/>
          <w:bCs/>
          <w:color w:val="333333"/>
        </w:rPr>
        <w:t>La garde de l’enfant consiste en une prestation d’assistance matérielle, morale et à donner une éducation à l’enfant, ce qui confère au responsable le droit de s’opposer à des tiers et même aux parents.</w:t>
      </w:r>
    </w:p>
    <w:p w:rsidR="00F95626" w:rsidRPr="006B340E" w:rsidRDefault="00F95626" w:rsidP="006B340E">
      <w:pPr>
        <w:widowControl w:val="0"/>
        <w:autoSpaceDE w:val="0"/>
        <w:autoSpaceDN w:val="0"/>
        <w:adjustRightInd w:val="0"/>
        <w:ind w:right="-432"/>
        <w:jc w:val="both"/>
        <w:rPr>
          <w:rFonts w:ascii="Arial" w:eastAsiaTheme="minorEastAsia" w:hAnsi="Arial" w:cs="Arial"/>
          <w:bCs/>
          <w:color w:val="333333"/>
        </w:rPr>
      </w:pPr>
      <w:r w:rsidRPr="006B340E">
        <w:rPr>
          <w:rFonts w:ascii="Arial" w:eastAsiaTheme="minorEastAsia" w:hAnsi="Arial" w:cs="Arial"/>
          <w:bCs/>
          <w:color w:val="333333"/>
        </w:rPr>
        <w:t>L’enfant gardé par une famille ou une institution est alors à la charge de cette dernière si les parents ont été déchargés en tout ou en partie par décision judiciaire.</w:t>
      </w:r>
    </w:p>
    <w:p w:rsidR="00F95626" w:rsidRPr="00414FFE" w:rsidRDefault="00F95626" w:rsidP="006B340E">
      <w:pPr>
        <w:widowControl w:val="0"/>
        <w:autoSpaceDE w:val="0"/>
        <w:autoSpaceDN w:val="0"/>
        <w:adjustRightInd w:val="0"/>
        <w:ind w:right="-432"/>
        <w:jc w:val="both"/>
        <w:rPr>
          <w:rFonts w:ascii="Arial" w:eastAsiaTheme="minorEastAsia" w:hAnsi="Arial" w:cs="Arial"/>
          <w:b/>
          <w:bCs/>
          <w:color w:val="333333"/>
        </w:rPr>
      </w:pPr>
      <w:r w:rsidRPr="006B340E">
        <w:rPr>
          <w:rFonts w:ascii="Arial" w:eastAsiaTheme="minorEastAsia" w:hAnsi="Arial" w:cs="Arial"/>
          <w:bCs/>
          <w:color w:val="333333"/>
        </w:rPr>
        <w:t>Toutefois, toute personne ou institution, à laquelle est remis un enfant par application des dispositions du présent article pourra prétendre à une indemnité journalière fixée par décret pris en Conseil du Gouvernement</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b/>
          <w:bCs/>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59. - </w:t>
      </w:r>
      <w:r w:rsidRPr="006B340E">
        <w:rPr>
          <w:rFonts w:ascii="Arial" w:eastAsiaTheme="minorEastAsia" w:hAnsi="Arial" w:cs="Arial"/>
          <w:bCs/>
          <w:color w:val="333333"/>
        </w:rPr>
        <w:t xml:space="preserve">Les mesures d’assistance éducative sont prises par le Juge des enfants du lieu où demeure l’enfant, à défaut par le Juge du lieu où demeure le père, la mère, toute autre personne ayant autorité sur lui, ou l’institution à qui l’enfant a été confié. </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Si le père, la mère, le tuteur ou la personne, ou l’institution à qui l’enfant a été confié change de domicile ou de résidence, le Juge des enfants a l’obligation de se dessaisir au profit du Juge des Enfants du nouveau domicile ou de la nouvelle résidence.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60. - </w:t>
      </w:r>
      <w:r w:rsidRPr="006B340E">
        <w:rPr>
          <w:rFonts w:ascii="Arial" w:eastAsiaTheme="minorEastAsia" w:hAnsi="Arial" w:cs="Arial"/>
          <w:bCs/>
          <w:color w:val="333333"/>
        </w:rPr>
        <w:t>Les décisions prises en matière d’assistance éducative peuvent être, à tout moment, modifiées ou rapportées par le Juge des Enfants qui les a rendues soit d’office, soit à la requête des père et mère conjointement, ou de l’un d’eux, de la personne ou de l’institution à qui l’enfant a été confié ou de la personne ayant autorité sur lui, de l’enfant lui-même ou du Ministère Public.</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p>
    <w:p w:rsidR="00F95626" w:rsidRPr="00414FF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lastRenderedPageBreak/>
        <w:t xml:space="preserve">Art. 61. - </w:t>
      </w:r>
      <w:r w:rsidRPr="006B340E">
        <w:rPr>
          <w:rFonts w:ascii="Arial" w:eastAsiaTheme="minorEastAsia" w:hAnsi="Arial" w:cs="Arial"/>
          <w:bCs/>
          <w:color w:val="333333"/>
        </w:rPr>
        <w:t>Tant que la mesure d’assistance éducative reçoit application, l’enfant ne peut être autorisé à se marier</w:t>
      </w:r>
      <w:r w:rsidRPr="00414FFE">
        <w:rPr>
          <w:rFonts w:ascii="Arial" w:eastAsiaTheme="minorEastAsia" w:hAnsi="Arial" w:cs="Arial"/>
          <w:b/>
          <w:bCs/>
          <w:color w:val="333333"/>
        </w:rPr>
        <w:t xml:space="preserve">. </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62. - </w:t>
      </w:r>
      <w:r w:rsidRPr="006B340E">
        <w:rPr>
          <w:rFonts w:ascii="Arial" w:eastAsiaTheme="minorEastAsia" w:hAnsi="Arial" w:cs="Arial"/>
          <w:bCs/>
          <w:color w:val="333333"/>
        </w:rPr>
        <w:t>S’il a été nécessaire de placer l’enfant hors de chez ses parents, ceux-ci conservent un droit de correspondance et un droit de visite</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63. - </w:t>
      </w:r>
      <w:r w:rsidRPr="006B340E">
        <w:rPr>
          <w:rFonts w:ascii="Arial" w:eastAsiaTheme="minorEastAsia" w:hAnsi="Arial" w:cs="Arial"/>
          <w:bCs/>
          <w:color w:val="333333"/>
        </w:rPr>
        <w:t>Le Juge des Enfants doit informer les parents ou toute personne ayant autorité sur l’enfant du lieu de placement de celui-ci, afin de faciliter l’exercice du droit de visite par ces derniers.</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64. - </w:t>
      </w:r>
      <w:r w:rsidRPr="006B340E">
        <w:rPr>
          <w:rFonts w:ascii="Arial" w:eastAsiaTheme="minorEastAsia" w:hAnsi="Arial" w:cs="Arial"/>
          <w:bCs/>
          <w:color w:val="333333"/>
        </w:rPr>
        <w:t>Le Juge des enfants fixe les modalités d’exercice des droits de correspondance et de visite, et peut même décider, si l’intérêt supérieur de l’enfant l’exige, que leur exercice, ou de l’un d’eux, soit provisoirement suspendu</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65. - </w:t>
      </w:r>
      <w:r w:rsidRPr="006B340E">
        <w:rPr>
          <w:rFonts w:ascii="Arial" w:eastAsiaTheme="minorEastAsia" w:hAnsi="Arial" w:cs="Arial"/>
          <w:bCs/>
          <w:color w:val="333333"/>
        </w:rPr>
        <w:t xml:space="preserve">En cas de placement dans une famille ou une institution agréée par l’Etat ou auprès d’une personne digne de confiance, celles-ci sont tenues d’apporter une assistance matérielle, morale et à donner une éducation à l’enfant. </w:t>
      </w:r>
    </w:p>
    <w:p w:rsidR="00F95626" w:rsidRPr="006B340E" w:rsidRDefault="00F95626" w:rsidP="006B340E">
      <w:pPr>
        <w:widowControl w:val="0"/>
        <w:autoSpaceDE w:val="0"/>
        <w:autoSpaceDN w:val="0"/>
        <w:adjustRightInd w:val="0"/>
        <w:ind w:right="-432"/>
        <w:jc w:val="both"/>
        <w:rPr>
          <w:rFonts w:ascii="Arial" w:eastAsiaTheme="minorEastAsia" w:hAnsi="Arial" w:cs="Arial"/>
          <w:bCs/>
          <w:color w:val="333333"/>
        </w:rPr>
      </w:pPr>
      <w:r w:rsidRPr="006B340E">
        <w:rPr>
          <w:rFonts w:ascii="Arial" w:eastAsiaTheme="minorEastAsia" w:hAnsi="Arial" w:cs="Arial"/>
          <w:bCs/>
          <w:color w:val="333333"/>
        </w:rPr>
        <w:t>Elles doivent en outre adresser un rapport trimestriel</w:t>
      </w:r>
      <w:r w:rsidRPr="006B340E">
        <w:rPr>
          <w:rFonts w:ascii="Arial" w:eastAsiaTheme="minorEastAsia" w:hAnsi="Arial" w:cs="Arial"/>
          <w:bCs/>
          <w:i/>
          <w:iCs/>
          <w:color w:val="333333"/>
        </w:rPr>
        <w:t xml:space="preserve"> </w:t>
      </w:r>
      <w:r w:rsidRPr="006B340E">
        <w:rPr>
          <w:rFonts w:ascii="Arial" w:eastAsiaTheme="minorEastAsia" w:hAnsi="Arial" w:cs="Arial"/>
          <w:bCs/>
          <w:color w:val="333333"/>
        </w:rPr>
        <w:t>au Juge des Enfants concernant la situation de l’enfant. Ce rapport doit également faire apparaître l’évolution des relations de l’enfant avec ses parents en vue de sa réintégration familiale.</w:t>
      </w:r>
    </w:p>
    <w:p w:rsidR="00F95626" w:rsidRPr="00414FFE" w:rsidRDefault="00F95626" w:rsidP="00F95626">
      <w:pPr>
        <w:widowControl w:val="0"/>
        <w:autoSpaceDE w:val="0"/>
        <w:autoSpaceDN w:val="0"/>
        <w:adjustRightInd w:val="0"/>
        <w:ind w:right="-432"/>
        <w:rPr>
          <w:rFonts w:ascii="Arial" w:eastAsiaTheme="minorEastAsia" w:hAnsi="Arial" w:cs="Arial"/>
          <w:b/>
          <w:bCs/>
          <w:color w:val="333333"/>
        </w:rPr>
      </w:pPr>
    </w:p>
    <w:p w:rsidR="00F95626" w:rsidRPr="00414FFE" w:rsidRDefault="00F95626" w:rsidP="00F95626">
      <w:pPr>
        <w:widowControl w:val="0"/>
        <w:autoSpaceDE w:val="0"/>
        <w:autoSpaceDN w:val="0"/>
        <w:adjustRightInd w:val="0"/>
        <w:ind w:right="-432"/>
        <w:rPr>
          <w:rFonts w:ascii="Arial" w:eastAsiaTheme="minorEastAsia" w:hAnsi="Arial" w:cs="Arial"/>
          <w:b/>
          <w:bCs/>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color w:val="333333"/>
        </w:rPr>
      </w:pPr>
      <w:r w:rsidRPr="00414FFE">
        <w:rPr>
          <w:rFonts w:ascii="Arial" w:eastAsiaTheme="minorEastAsia" w:hAnsi="Arial" w:cs="Arial"/>
          <w:b/>
          <w:bCs/>
          <w:color w:val="333333"/>
        </w:rPr>
        <w:t>CHAPITRE III</w:t>
      </w:r>
    </w:p>
    <w:p w:rsidR="00F95626" w:rsidRPr="00414FFE" w:rsidRDefault="00F95626" w:rsidP="00F95626">
      <w:pPr>
        <w:widowControl w:val="0"/>
        <w:autoSpaceDE w:val="0"/>
        <w:autoSpaceDN w:val="0"/>
        <w:adjustRightInd w:val="0"/>
        <w:ind w:right="-432"/>
        <w:jc w:val="center"/>
        <w:rPr>
          <w:rFonts w:ascii="Arial" w:eastAsiaTheme="minorEastAsia" w:hAnsi="Arial" w:cs="Arial"/>
          <w:color w:val="333333"/>
        </w:rPr>
      </w:pPr>
      <w:r w:rsidRPr="00414FFE">
        <w:rPr>
          <w:rFonts w:ascii="Arial" w:eastAsiaTheme="minorEastAsia" w:hAnsi="Arial" w:cs="Arial"/>
          <w:b/>
          <w:bCs/>
          <w:color w:val="333333"/>
        </w:rPr>
        <w:t>DE LA PROTECTION EN CAS DE MALTRAITANCE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66. - </w:t>
      </w:r>
      <w:r w:rsidRPr="006B340E">
        <w:rPr>
          <w:rFonts w:ascii="Arial" w:eastAsiaTheme="minorEastAsia" w:hAnsi="Arial" w:cs="Arial"/>
          <w:bCs/>
          <w:color w:val="333333"/>
        </w:rPr>
        <w:t>L’Etat doit protéger l’enfant contre toutes formes de maltraitance et prendre des mesures d’ordre législatif, administratif, social ou autre pour y mettre fin.</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67. - </w:t>
      </w:r>
      <w:r w:rsidRPr="006B340E">
        <w:rPr>
          <w:rFonts w:ascii="Arial" w:eastAsiaTheme="minorEastAsia" w:hAnsi="Arial" w:cs="Arial"/>
          <w:bCs/>
          <w:color w:val="333333"/>
        </w:rPr>
        <w:t>La maltraitance est définie comme toutes formes de violences, d’atteinte ou de brutalités physiques ou morales, d’abandon ou de négligence, de mauvais traitements ou d’exploitation y compris la violence sexuelle perpétrées sur un enfant par ses parents, ses représentants légaux</w:t>
      </w:r>
      <w:r w:rsidRPr="006B340E">
        <w:rPr>
          <w:rFonts w:ascii="Arial" w:eastAsiaTheme="minorEastAsia" w:hAnsi="Arial" w:cs="Arial"/>
          <w:bCs/>
          <w:i/>
          <w:iCs/>
          <w:color w:val="333333"/>
        </w:rPr>
        <w:t xml:space="preserve"> </w:t>
      </w:r>
      <w:r w:rsidRPr="006B340E">
        <w:rPr>
          <w:rFonts w:ascii="Arial" w:eastAsiaTheme="minorEastAsia" w:hAnsi="Arial" w:cs="Arial"/>
          <w:bCs/>
          <w:color w:val="333333"/>
        </w:rPr>
        <w:t>ou toute autre personne.</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Sont assimilées à la maltraitance toutes sanctions prises à l’encontre des enfants au sein de la famille, des écoles, de la communauté lorsqu’elles portent atteinte à son intégrité physique ou morale.</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Les auteurs de maltraitance sont punis des peines prévues par le Code Pénal suivant l’infraction retenue.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68. - </w:t>
      </w:r>
      <w:r w:rsidRPr="006B340E">
        <w:rPr>
          <w:rFonts w:ascii="Arial" w:eastAsiaTheme="minorEastAsia" w:hAnsi="Arial" w:cs="Arial"/>
          <w:bCs/>
          <w:color w:val="333333"/>
        </w:rPr>
        <w:t>Sans préjudice de l’application des peines prévues par le Code Pénal réprimant les infractions sur les mœurs commises sur les mineurs, les parents ou les représentants légaux ou toute personne ayant autorité sur une adolescente de moins de 18 ans qui se trouve en état de grossesse et abandonnée par le présumé père sont habilités à ester en justice afin d’obtenir la condamnation de ce dernier à payer les dépenses y afférentes ainsi qu’une pension alimentaire.</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Si le condamné est un mineur, ses parents ou ses représentants légaux ou toute personne ayant autorité sur lui sont solidairement tenus à payer la condamnation prononcée.</w:t>
      </w:r>
    </w:p>
    <w:p w:rsidR="00F95626" w:rsidRDefault="00F95626" w:rsidP="00F95626">
      <w:pPr>
        <w:widowControl w:val="0"/>
        <w:autoSpaceDE w:val="0"/>
        <w:autoSpaceDN w:val="0"/>
        <w:adjustRightInd w:val="0"/>
        <w:ind w:right="-432"/>
        <w:rPr>
          <w:rFonts w:ascii="Arial" w:eastAsiaTheme="minorEastAsia" w:hAnsi="Arial" w:cs="Arial"/>
          <w:color w:val="333333"/>
        </w:rPr>
      </w:pPr>
    </w:p>
    <w:p w:rsidR="006B340E" w:rsidRPr="00414FFE" w:rsidRDefault="006B340E"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lastRenderedPageBreak/>
        <w:t>Section I</w:t>
      </w: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Du signalement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69. - </w:t>
      </w:r>
      <w:r w:rsidRPr="006B340E">
        <w:rPr>
          <w:rFonts w:ascii="Arial" w:eastAsiaTheme="minorEastAsia" w:hAnsi="Arial" w:cs="Arial"/>
          <w:bCs/>
          <w:color w:val="333333"/>
        </w:rPr>
        <w:t xml:space="preserve">Toute personne, notamment les parents, les membres de la famille, les voisins, les amis, les autorités locales, les enseignants, les dignitaires religieux, les travailleurs sociaux, le personnel médical, la police judiciaire ayant connaissance d’une maltraitance tentée ou consommée, doit signaler les autorités administratives ou judiciaires compétentes sous peine des sanctions prévues par l’article 62 al.1 du Code Pénal. </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L’enfant lui-même peut également signaler la maltraitance dont il est victime.</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 xml:space="preserve">En cas de découverte de signe de maltraitance chez un enfant, le personnel médical est tenu de dresser un rapport médico-légal. A cet effet, il n’est pas lié par le secret professionnel. </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r w:rsidRPr="00414FFE">
        <w:rPr>
          <w:rFonts w:ascii="Arial" w:eastAsiaTheme="minorEastAsia" w:hAnsi="Arial" w:cs="Arial"/>
          <w:b/>
          <w:bCs/>
          <w:color w:val="333333"/>
        </w:rPr>
        <w:tab/>
      </w:r>
    </w:p>
    <w:p w:rsidR="00F95626" w:rsidRPr="00414FF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70. - </w:t>
      </w:r>
      <w:r w:rsidRPr="006B340E">
        <w:rPr>
          <w:rFonts w:ascii="Arial" w:eastAsiaTheme="minorEastAsia" w:hAnsi="Arial" w:cs="Arial"/>
          <w:bCs/>
          <w:color w:val="333333"/>
        </w:rPr>
        <w:t>L’auteur du signalement peut garder l’anonymat s’il le désire ; dans ce cas, l’autorité administrative ou judiciaire qui le reçoit est tenue de le respecter</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Section II</w:t>
      </w: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De la procédure à suivre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71. - </w:t>
      </w:r>
      <w:r w:rsidRPr="006B340E">
        <w:rPr>
          <w:rFonts w:ascii="Arial" w:eastAsiaTheme="minorEastAsia" w:hAnsi="Arial" w:cs="Arial"/>
          <w:bCs/>
          <w:color w:val="333333"/>
        </w:rPr>
        <w:t>Le signalement peut être fait verbalement ou par écrit auprès du Fokontany, du Bureau d’Assistance Sociale de la Commune, de la Police, de la Gendarmerie ou du Tribunal le plus proche de la victime ou de la commission des faits.</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 xml:space="preserve">L’autorité saisie doit donner suite au signalement sous peine de poursuite judiciaire. A cet effet, elle a l’obligation de consigner la déclaration sur Procès Verbal et de saisir par la suite le Tribunal compétent dans les meilleurs délais. </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72. - </w:t>
      </w:r>
      <w:r w:rsidRPr="006B340E">
        <w:rPr>
          <w:rFonts w:ascii="Arial" w:eastAsiaTheme="minorEastAsia" w:hAnsi="Arial" w:cs="Arial"/>
          <w:bCs/>
          <w:color w:val="333333"/>
        </w:rPr>
        <w:t>La procédure de signalement aboutit à la saisine du Juge des Enfants qui intervient pour ordonner, après enquête sociale, s’il l’estime nécessaire, sur la réalité de l’état de danger, des mesures d’assistance éducative prévues par l’article 16</w:t>
      </w:r>
      <w:r w:rsidRPr="006B340E">
        <w:rPr>
          <w:rFonts w:ascii="Arial" w:eastAsiaTheme="minorEastAsia" w:hAnsi="Arial" w:cs="Arial"/>
          <w:bCs/>
          <w:i/>
          <w:iCs/>
          <w:color w:val="333333"/>
        </w:rPr>
        <w:t>.</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Si l’enfant victime nécessite des soins spéciaux, le Juge des Enfants le place dans un hôpital ou dans un établissement susceptible de lui donner les soins adéquats à sa santé.</w:t>
      </w:r>
    </w:p>
    <w:p w:rsidR="00F95626" w:rsidRPr="00414FF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En cas d’infraction pénale, le Ministère Public déclenche la poursuite</w:t>
      </w:r>
      <w:r w:rsidRPr="00414FFE">
        <w:rPr>
          <w:rFonts w:ascii="Arial" w:eastAsiaTheme="minorEastAsia" w:hAnsi="Arial" w:cs="Arial"/>
          <w:b/>
          <w:bCs/>
          <w:color w:val="333333"/>
        </w:rPr>
        <w:t xml:space="preserve">. </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73. - </w:t>
      </w:r>
      <w:r w:rsidRPr="006B340E">
        <w:rPr>
          <w:rFonts w:ascii="Arial" w:eastAsiaTheme="minorEastAsia" w:hAnsi="Arial" w:cs="Arial"/>
          <w:bCs/>
          <w:color w:val="333333"/>
        </w:rPr>
        <w:t xml:space="preserve">Toutefois, en cas d’urgence et en l’absence du Juge des Enfants, l’Officier de Police Judiciaire informé du cas de maltraitance peut placer temporairement l’enfant victime auprès d’une personne, d’un service ou d’une institution agréée ou placer l’enfant dans un hôpital ou dans un établissement susceptible de lui donner les soins adéquats à sa santé ou requérir un médecin aux fins d’expertise médico-légale avant toute saisine du Juge des Enfants. Ce dernier doit être avisé le plus vite possible pour régulariser la situation ou pour prendre d’autres mesures plus adaptées. </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74. - </w:t>
      </w:r>
      <w:r w:rsidRPr="006B340E">
        <w:rPr>
          <w:rFonts w:ascii="Arial" w:eastAsiaTheme="minorEastAsia" w:hAnsi="Arial" w:cs="Arial"/>
          <w:bCs/>
          <w:color w:val="333333"/>
        </w:rPr>
        <w:t xml:space="preserve">Lorsque les parents ou toute personne ayant autorité sur l’enfant sont les auteurs de la maltraitance, le Juge des Enfants peut ordonner le placement de l’enfant victime chez une personne digne de confiance ou une institution agréée par l’Etat. </w:t>
      </w:r>
    </w:p>
    <w:p w:rsidR="00F95626" w:rsidRPr="00414FFE" w:rsidRDefault="00F95626" w:rsidP="00F95626">
      <w:pPr>
        <w:widowControl w:val="0"/>
        <w:autoSpaceDE w:val="0"/>
        <w:autoSpaceDN w:val="0"/>
        <w:adjustRightInd w:val="0"/>
        <w:ind w:right="-432"/>
        <w:rPr>
          <w:rFonts w:ascii="Arial" w:eastAsiaTheme="minorEastAsia" w:hAnsi="Arial" w:cs="Arial"/>
          <w:b/>
          <w:bCs/>
          <w:color w:val="333333"/>
        </w:rPr>
      </w:pPr>
    </w:p>
    <w:p w:rsidR="00F95626" w:rsidRDefault="00F95626" w:rsidP="00F95626">
      <w:pPr>
        <w:widowControl w:val="0"/>
        <w:autoSpaceDE w:val="0"/>
        <w:autoSpaceDN w:val="0"/>
        <w:adjustRightInd w:val="0"/>
        <w:ind w:right="-432"/>
        <w:rPr>
          <w:rFonts w:ascii="Arial" w:eastAsiaTheme="minorEastAsia" w:hAnsi="Arial" w:cs="Arial"/>
          <w:color w:val="333333"/>
        </w:rPr>
      </w:pPr>
    </w:p>
    <w:p w:rsidR="006B340E" w:rsidRDefault="006B340E" w:rsidP="00F95626">
      <w:pPr>
        <w:widowControl w:val="0"/>
        <w:autoSpaceDE w:val="0"/>
        <w:autoSpaceDN w:val="0"/>
        <w:adjustRightInd w:val="0"/>
        <w:ind w:right="-432"/>
        <w:rPr>
          <w:rFonts w:ascii="Arial" w:eastAsiaTheme="minorEastAsia" w:hAnsi="Arial" w:cs="Arial"/>
          <w:color w:val="333333"/>
        </w:rPr>
      </w:pPr>
    </w:p>
    <w:p w:rsidR="006B340E" w:rsidRPr="00414FFE" w:rsidRDefault="006B340E"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color w:val="333333"/>
        </w:rPr>
      </w:pPr>
      <w:r w:rsidRPr="00414FFE">
        <w:rPr>
          <w:rFonts w:ascii="Arial" w:eastAsiaTheme="minorEastAsia" w:hAnsi="Arial" w:cs="Arial"/>
          <w:b/>
          <w:bCs/>
          <w:color w:val="333333"/>
        </w:rPr>
        <w:lastRenderedPageBreak/>
        <w:t>CHAPITRE IV</w:t>
      </w:r>
    </w:p>
    <w:p w:rsidR="00F95626" w:rsidRPr="00414FFE" w:rsidRDefault="00F95626" w:rsidP="00F95626">
      <w:pPr>
        <w:widowControl w:val="0"/>
        <w:autoSpaceDE w:val="0"/>
        <w:autoSpaceDN w:val="0"/>
        <w:adjustRightInd w:val="0"/>
        <w:ind w:right="-432"/>
        <w:jc w:val="center"/>
        <w:rPr>
          <w:rFonts w:ascii="Arial" w:eastAsiaTheme="minorEastAsia" w:hAnsi="Arial" w:cs="Arial"/>
          <w:color w:val="333333"/>
        </w:rPr>
      </w:pPr>
      <w:r w:rsidRPr="00414FFE">
        <w:rPr>
          <w:rFonts w:ascii="Arial" w:eastAsiaTheme="minorEastAsia" w:hAnsi="Arial" w:cs="Arial"/>
          <w:b/>
          <w:bCs/>
          <w:color w:val="333333"/>
        </w:rPr>
        <w:t>DE LA PROCEDURE JUDICIAIRE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Section I</w:t>
      </w: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De la saisine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75. - </w:t>
      </w:r>
      <w:r w:rsidRPr="006B340E">
        <w:rPr>
          <w:rFonts w:ascii="Arial" w:eastAsiaTheme="minorEastAsia" w:hAnsi="Arial" w:cs="Arial"/>
          <w:bCs/>
          <w:color w:val="333333"/>
        </w:rPr>
        <w:t>Le Juge des Enfants peut se saisir d’office ou à la requête des père et mère, du tuteur, de la personne ou du représentant du service à qui l’enfant a été confié ou de l’enfant lui-même ou du Ministère Public pour la prise de mesures d’assistance éducative.</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En cas de saisine d’office du Juge des Enfants, il donne avis de la procédure au Procureur de la République et en informe les père et mère, l’institution ou la personne ayant autorité sur l’enfant et à l’enfant lui-même s’il est capable de discernement.</w:t>
      </w:r>
    </w:p>
    <w:p w:rsidR="00F95626" w:rsidRPr="006B340E" w:rsidRDefault="00F95626" w:rsidP="006B340E">
      <w:pPr>
        <w:widowControl w:val="0"/>
        <w:autoSpaceDE w:val="0"/>
        <w:autoSpaceDN w:val="0"/>
        <w:adjustRightInd w:val="0"/>
        <w:ind w:right="-432"/>
        <w:jc w:val="both"/>
        <w:rPr>
          <w:rFonts w:ascii="Arial" w:eastAsiaTheme="minorEastAsia" w:hAnsi="Arial" w:cs="Arial"/>
          <w:bCs/>
          <w:color w:val="333333"/>
        </w:rPr>
      </w:pPr>
      <w:r w:rsidRPr="006B340E">
        <w:rPr>
          <w:rFonts w:ascii="Arial" w:eastAsiaTheme="minorEastAsia" w:hAnsi="Arial" w:cs="Arial"/>
          <w:bCs/>
          <w:color w:val="333333"/>
        </w:rPr>
        <w:t>Lorsque l’enfant est victime d’une maltraitance du fait d’un tiers, ses parents, la personne ayant autorité sur lui ou l’enfant lui-même peut saisir le Juge des Enfants ou le représentant du Ministère Public. Ils peuvent ainsi demander réparation des préjudices subis par l’enfant.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76. - </w:t>
      </w:r>
      <w:r w:rsidRPr="006B340E">
        <w:rPr>
          <w:rFonts w:ascii="Arial" w:eastAsiaTheme="minorEastAsia" w:hAnsi="Arial" w:cs="Arial"/>
          <w:bCs/>
          <w:color w:val="333333"/>
        </w:rPr>
        <w:t>L’avis d’ouverture de la procédure et les convocations adressées aux père et mère, au tuteur, à la personne ou au représentant du service à qui l’enfant a été confié et à l’enfant capable de discernement, mentionnent les droits des parties de faire choix d’un conseil ou de demander qu’il leur en soit désigné un d’office. La désignation doit intervenir dans les huit jours de la demande.</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L’avis et les convocations informent également les parties de la possibilité de consulter le dossier.</w:t>
      </w:r>
    </w:p>
    <w:p w:rsidR="00414FFE" w:rsidRDefault="00414FFE" w:rsidP="00F95626">
      <w:pPr>
        <w:widowControl w:val="0"/>
        <w:autoSpaceDE w:val="0"/>
        <w:autoSpaceDN w:val="0"/>
        <w:adjustRightInd w:val="0"/>
        <w:ind w:right="-432"/>
        <w:jc w:val="center"/>
        <w:rPr>
          <w:rFonts w:ascii="Arial" w:eastAsiaTheme="minorEastAsia" w:hAnsi="Arial" w:cs="Arial"/>
          <w:b/>
          <w:bCs/>
          <w:color w:val="333333"/>
        </w:rPr>
      </w:pPr>
    </w:p>
    <w:p w:rsidR="00414FFE" w:rsidRPr="00414FFE" w:rsidRDefault="00414FFE" w:rsidP="00F95626">
      <w:pPr>
        <w:widowControl w:val="0"/>
        <w:autoSpaceDE w:val="0"/>
        <w:autoSpaceDN w:val="0"/>
        <w:adjustRightInd w:val="0"/>
        <w:ind w:right="-432"/>
        <w:jc w:val="center"/>
        <w:rPr>
          <w:rFonts w:ascii="Arial" w:eastAsiaTheme="minorEastAsia" w:hAnsi="Arial" w:cs="Arial"/>
          <w:b/>
          <w:bCs/>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Section II</w:t>
      </w: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DE L’INFORMATION ET DU JUGEMENT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77. - </w:t>
      </w:r>
      <w:r w:rsidRPr="006B340E">
        <w:rPr>
          <w:rFonts w:ascii="Arial" w:eastAsiaTheme="minorEastAsia" w:hAnsi="Arial" w:cs="Arial"/>
          <w:bCs/>
          <w:color w:val="333333"/>
        </w:rPr>
        <w:t>Le Juge des Enfants entend le père, la mère, le tuteur, la personne ou le représentant du service à qui l’enfant a été confié, l’enfant s’il est capable de discernement et porte à leur connaissance les motifs de sa saisine.</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 xml:space="preserve">Il peut également entendre toute autre personne dont l’audition lui paraît utile. </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Pour éviter la répétition d’audition d’un enfant victime de maltraitance, la première audition d’un enfant peut se faire par vidéo filmée tant au niveau de l’Officier de Police Judiciaire que devant le Juge des Enfants, toutefois la transcription sur procès-verbal est obligatoire.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78. - </w:t>
      </w:r>
      <w:r w:rsidRPr="006B340E">
        <w:rPr>
          <w:rFonts w:ascii="Arial" w:eastAsiaTheme="minorEastAsia" w:hAnsi="Arial" w:cs="Arial"/>
          <w:bCs/>
          <w:color w:val="333333"/>
        </w:rPr>
        <w:t>L’affaire est instruite et jugée dans les meilleurs délais en Chambre de Conseil après avis du Ministère Public. Le Juge des Enfants peut dispenser l’enfant de se présenter ou ordonner qu’il se retire pendant tout ou partie de la suite des débats.</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79. - </w:t>
      </w:r>
      <w:r w:rsidRPr="006B340E">
        <w:rPr>
          <w:rFonts w:ascii="Arial" w:eastAsiaTheme="minorEastAsia" w:hAnsi="Arial" w:cs="Arial"/>
          <w:bCs/>
          <w:color w:val="333333"/>
        </w:rPr>
        <w:t>Le Juge des Enfants peut, soit d’office, soit à la requête des parties ou du Ministère Public, ordonner toute mesure d’information concernant la personnalité et les conditions de vie de l’enfant et de ses parents, en particulier par le moyen d’une enquête sociale, d’examens médicaux, d’expertises psychiatriques et psychologiques ou d’une mesure d’investigation et d’orientation éducative.</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Les décisions du juge sont rendues en audience publique.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lastRenderedPageBreak/>
        <w:t>Section III</w:t>
      </w:r>
    </w:p>
    <w:p w:rsidR="00F95626" w:rsidRPr="00414FFE" w:rsidRDefault="00F95626" w:rsidP="00F95626">
      <w:pPr>
        <w:widowControl w:val="0"/>
        <w:autoSpaceDE w:val="0"/>
        <w:autoSpaceDN w:val="0"/>
        <w:adjustRightInd w:val="0"/>
        <w:ind w:right="-432"/>
        <w:jc w:val="center"/>
        <w:rPr>
          <w:rFonts w:ascii="Arial" w:eastAsiaTheme="minorEastAsia" w:hAnsi="Arial" w:cs="Arial"/>
          <w:b/>
          <w:bCs/>
          <w:color w:val="333333"/>
        </w:rPr>
      </w:pPr>
      <w:r w:rsidRPr="00414FFE">
        <w:rPr>
          <w:rFonts w:ascii="Arial" w:eastAsiaTheme="minorEastAsia" w:hAnsi="Arial" w:cs="Arial"/>
          <w:b/>
          <w:bCs/>
          <w:color w:val="333333"/>
        </w:rPr>
        <w:t>DES VOIES DE RECOURS</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80. - </w:t>
      </w:r>
      <w:r w:rsidRPr="006B340E">
        <w:rPr>
          <w:rFonts w:ascii="Arial" w:eastAsiaTheme="minorEastAsia" w:hAnsi="Arial" w:cs="Arial"/>
          <w:bCs/>
          <w:color w:val="333333"/>
        </w:rPr>
        <w:t>Les décisions du Juge sont susceptibles d’appel.</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Peuvent interjeter appel :</w:t>
      </w:r>
    </w:p>
    <w:p w:rsidR="00F95626" w:rsidRPr="006B340E" w:rsidRDefault="00F95626" w:rsidP="006B340E">
      <w:pPr>
        <w:widowControl w:val="0"/>
        <w:tabs>
          <w:tab w:val="left" w:pos="1368"/>
        </w:tabs>
        <w:autoSpaceDE w:val="0"/>
        <w:autoSpaceDN w:val="0"/>
        <w:adjustRightInd w:val="0"/>
        <w:ind w:left="425" w:right="-432"/>
        <w:jc w:val="both"/>
        <w:rPr>
          <w:rFonts w:ascii="Arial" w:eastAsiaTheme="minorEastAsia" w:hAnsi="Arial" w:cs="Arial"/>
          <w:bCs/>
          <w:color w:val="333333"/>
        </w:rPr>
      </w:pPr>
      <w:r w:rsidRPr="006B340E">
        <w:rPr>
          <w:rFonts w:ascii="Arial" w:eastAsiaTheme="minorEastAsia" w:hAnsi="Arial" w:cs="Arial"/>
          <w:bCs/>
          <w:color w:val="333333"/>
        </w:rPr>
        <w:t>- le père, la mère, le tuteur, la personne, ou le service à qui l’enfant a été confié jusqu’à l’expiration d’un délai de dix jours suivant la notification de la décision ;</w:t>
      </w:r>
    </w:p>
    <w:p w:rsidR="00F95626" w:rsidRPr="006B340E" w:rsidRDefault="00F95626" w:rsidP="006B340E">
      <w:pPr>
        <w:widowControl w:val="0"/>
        <w:tabs>
          <w:tab w:val="left" w:pos="1368"/>
        </w:tabs>
        <w:autoSpaceDE w:val="0"/>
        <w:autoSpaceDN w:val="0"/>
        <w:adjustRightInd w:val="0"/>
        <w:ind w:left="425" w:right="-432"/>
        <w:jc w:val="both"/>
        <w:rPr>
          <w:rFonts w:ascii="Arial" w:eastAsiaTheme="minorEastAsia" w:hAnsi="Arial" w:cs="Arial"/>
          <w:bCs/>
          <w:color w:val="333333"/>
        </w:rPr>
      </w:pPr>
      <w:r w:rsidRPr="006B340E">
        <w:rPr>
          <w:rFonts w:ascii="Arial" w:eastAsiaTheme="minorEastAsia" w:hAnsi="Arial" w:cs="Arial"/>
          <w:bCs/>
          <w:color w:val="333333"/>
        </w:rPr>
        <w:t>- l’enfant lui-même, jusqu’à l’expiration d’un délai de dix jours suivant la notification et, à défaut, suivant le jour où il a eu connaissance de la décision ;</w:t>
      </w:r>
    </w:p>
    <w:p w:rsidR="00F95626" w:rsidRPr="006B340E" w:rsidRDefault="00F95626" w:rsidP="006B340E">
      <w:pPr>
        <w:widowControl w:val="0"/>
        <w:tabs>
          <w:tab w:val="left" w:pos="1368"/>
        </w:tabs>
        <w:autoSpaceDE w:val="0"/>
        <w:autoSpaceDN w:val="0"/>
        <w:adjustRightInd w:val="0"/>
        <w:ind w:left="425" w:right="-432"/>
        <w:jc w:val="both"/>
        <w:rPr>
          <w:rFonts w:ascii="Arial" w:eastAsiaTheme="minorEastAsia" w:hAnsi="Arial" w:cs="Arial"/>
          <w:color w:val="333333"/>
        </w:rPr>
      </w:pPr>
      <w:r w:rsidRPr="006B340E">
        <w:rPr>
          <w:rFonts w:ascii="Arial" w:eastAsiaTheme="minorEastAsia" w:hAnsi="Arial" w:cs="Arial"/>
          <w:bCs/>
          <w:color w:val="333333"/>
        </w:rPr>
        <w:t>- le Ministère Public jusqu’à l’expiration d’un délai de dix jours suivant la remise de l’avis qui lui a été</w:t>
      </w:r>
      <w:r w:rsidRPr="006B340E">
        <w:rPr>
          <w:rFonts w:ascii="Arial" w:eastAsiaTheme="minorEastAsia" w:hAnsi="Arial" w:cs="Arial"/>
          <w:bCs/>
          <w:i/>
          <w:iCs/>
          <w:color w:val="333333"/>
        </w:rPr>
        <w:t xml:space="preserve"> </w:t>
      </w:r>
      <w:r w:rsidRPr="006B340E">
        <w:rPr>
          <w:rFonts w:ascii="Arial" w:eastAsiaTheme="minorEastAsia" w:hAnsi="Arial" w:cs="Arial"/>
          <w:bCs/>
          <w:color w:val="333333"/>
        </w:rPr>
        <w:t>donné.</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 xml:space="preserve">L’appel d’une ordonnance prise par le Juge des Enfants dans le cadre d’une mesure d’assistance éducative n’est pas suspensif. </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81. - </w:t>
      </w:r>
      <w:r w:rsidRPr="006B340E">
        <w:rPr>
          <w:rFonts w:ascii="Arial" w:eastAsiaTheme="minorEastAsia" w:hAnsi="Arial" w:cs="Arial"/>
          <w:bCs/>
          <w:color w:val="333333"/>
        </w:rPr>
        <w:t>L’appel est instruit et jugé en priorité en Chambre du Conseil par la Chambre de la Cour d’Appel chargé des affaires des enfants suivant la procédure applicable devant le Juge des Enfants.</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82. - </w:t>
      </w:r>
      <w:r w:rsidRPr="006B340E">
        <w:rPr>
          <w:rFonts w:ascii="Arial" w:eastAsiaTheme="minorEastAsia" w:hAnsi="Arial" w:cs="Arial"/>
          <w:bCs/>
          <w:color w:val="333333"/>
        </w:rPr>
        <w:t>Le pourvoi en cassation est ouvert aux parties et au Ministère Public.</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414FFE" w:rsidRDefault="00414FFE" w:rsidP="00F95626">
      <w:pPr>
        <w:widowControl w:val="0"/>
        <w:autoSpaceDE w:val="0"/>
        <w:autoSpaceDN w:val="0"/>
        <w:adjustRightInd w:val="0"/>
        <w:ind w:right="-432"/>
        <w:jc w:val="center"/>
        <w:rPr>
          <w:rFonts w:ascii="Arial" w:eastAsiaTheme="minorEastAsia" w:hAnsi="Arial" w:cs="Arial"/>
          <w:b/>
          <w:bCs/>
          <w:color w:val="333333"/>
        </w:rPr>
      </w:pPr>
    </w:p>
    <w:p w:rsidR="00414FFE" w:rsidRDefault="00414FFE" w:rsidP="00F95626">
      <w:pPr>
        <w:widowControl w:val="0"/>
        <w:autoSpaceDE w:val="0"/>
        <w:autoSpaceDN w:val="0"/>
        <w:adjustRightInd w:val="0"/>
        <w:ind w:right="-432"/>
        <w:jc w:val="center"/>
        <w:rPr>
          <w:rFonts w:ascii="Arial" w:eastAsiaTheme="minorEastAsia" w:hAnsi="Arial" w:cs="Arial"/>
          <w:b/>
          <w:bCs/>
          <w:color w:val="333333"/>
        </w:rPr>
      </w:pPr>
    </w:p>
    <w:p w:rsidR="00F95626" w:rsidRPr="00414FFE" w:rsidRDefault="00F95626" w:rsidP="00F95626">
      <w:pPr>
        <w:widowControl w:val="0"/>
        <w:autoSpaceDE w:val="0"/>
        <w:autoSpaceDN w:val="0"/>
        <w:adjustRightInd w:val="0"/>
        <w:ind w:right="-432"/>
        <w:jc w:val="center"/>
        <w:rPr>
          <w:rFonts w:ascii="Arial" w:eastAsiaTheme="minorEastAsia" w:hAnsi="Arial" w:cs="Arial"/>
          <w:color w:val="333333"/>
        </w:rPr>
      </w:pPr>
      <w:r w:rsidRPr="00414FFE">
        <w:rPr>
          <w:rFonts w:ascii="Arial" w:eastAsiaTheme="minorEastAsia" w:hAnsi="Arial" w:cs="Arial"/>
          <w:b/>
          <w:bCs/>
          <w:color w:val="333333"/>
        </w:rPr>
        <w:t>CHAPITRE V</w:t>
      </w:r>
    </w:p>
    <w:p w:rsidR="00F95626" w:rsidRPr="00414FFE" w:rsidRDefault="00F95626" w:rsidP="00F95626">
      <w:pPr>
        <w:widowControl w:val="0"/>
        <w:autoSpaceDE w:val="0"/>
        <w:autoSpaceDN w:val="0"/>
        <w:adjustRightInd w:val="0"/>
        <w:ind w:right="-432"/>
        <w:jc w:val="center"/>
        <w:rPr>
          <w:rFonts w:ascii="Arial" w:eastAsiaTheme="minorEastAsia" w:hAnsi="Arial" w:cs="Arial"/>
          <w:color w:val="333333"/>
        </w:rPr>
      </w:pPr>
      <w:r w:rsidRPr="00414FFE">
        <w:rPr>
          <w:rFonts w:ascii="Arial" w:eastAsiaTheme="minorEastAsia" w:hAnsi="Arial" w:cs="Arial"/>
          <w:b/>
          <w:bCs/>
          <w:color w:val="333333"/>
        </w:rPr>
        <w:t>DES DISPOSITIONS DIVERSES</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414FF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83. - </w:t>
      </w:r>
      <w:r w:rsidRPr="006B340E">
        <w:rPr>
          <w:rFonts w:ascii="Arial" w:eastAsiaTheme="minorEastAsia" w:hAnsi="Arial" w:cs="Arial"/>
          <w:bCs/>
          <w:color w:val="333333"/>
        </w:rPr>
        <w:t>Des textes réglementaires seront pris en tant que de besoin pour l’application de la présente loi</w:t>
      </w:r>
      <w:r w:rsidRPr="00414FFE">
        <w:rPr>
          <w:rFonts w:ascii="Arial" w:eastAsiaTheme="minorEastAsia" w:hAnsi="Arial" w:cs="Arial"/>
          <w:b/>
          <w:bCs/>
          <w:color w:val="333333"/>
        </w:rPr>
        <w:t>.</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84. - </w:t>
      </w:r>
      <w:r w:rsidRPr="006B340E">
        <w:rPr>
          <w:rFonts w:ascii="Arial" w:eastAsiaTheme="minorEastAsia" w:hAnsi="Arial" w:cs="Arial"/>
          <w:bCs/>
          <w:color w:val="333333"/>
        </w:rPr>
        <w:t>Toutes dispositions contraires à la présente loi sont et demeurent abrogées, notamment les articles 92 à 110 de la loi n° 63</w:t>
      </w:r>
      <w:r w:rsidRPr="006B340E">
        <w:rPr>
          <w:rFonts w:ascii="PT Sans" w:eastAsiaTheme="minorEastAsia" w:hAnsi="PT Sans" w:cs="PT Sans"/>
          <w:bCs/>
          <w:color w:val="333333"/>
        </w:rPr>
        <w:t>‑</w:t>
      </w:r>
      <w:r w:rsidRPr="006B340E">
        <w:rPr>
          <w:rFonts w:ascii="Arial" w:eastAsiaTheme="minorEastAsia" w:hAnsi="Arial" w:cs="Arial"/>
          <w:bCs/>
          <w:color w:val="333333"/>
        </w:rPr>
        <w:t>022 du 20 novembre 1963 sur la filiation, le rejet et la tutelle.</w:t>
      </w:r>
    </w:p>
    <w:p w:rsidR="00F95626" w:rsidRPr="00414FFE" w:rsidRDefault="00F95626" w:rsidP="00F95626">
      <w:pPr>
        <w:widowControl w:val="0"/>
        <w:autoSpaceDE w:val="0"/>
        <w:autoSpaceDN w:val="0"/>
        <w:adjustRightInd w:val="0"/>
        <w:ind w:right="-432"/>
        <w:rPr>
          <w:rFonts w:ascii="Arial" w:eastAsiaTheme="minorEastAsia" w:hAnsi="Arial" w:cs="Arial"/>
          <w:color w:val="333333"/>
        </w:rPr>
      </w:pP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414FFE">
        <w:rPr>
          <w:rFonts w:ascii="Arial" w:eastAsiaTheme="minorEastAsia" w:hAnsi="Arial" w:cs="Arial"/>
          <w:b/>
          <w:bCs/>
          <w:color w:val="333333"/>
        </w:rPr>
        <w:t xml:space="preserve">Art. 85. - </w:t>
      </w:r>
      <w:r w:rsidRPr="006B340E">
        <w:rPr>
          <w:rFonts w:ascii="Arial" w:eastAsiaTheme="minorEastAsia" w:hAnsi="Arial" w:cs="Arial"/>
          <w:bCs/>
          <w:color w:val="333333"/>
        </w:rPr>
        <w:t xml:space="preserve">La présente loi sera publiée au </w:t>
      </w:r>
      <w:r w:rsidRPr="006B340E">
        <w:rPr>
          <w:rFonts w:ascii="Arial" w:eastAsiaTheme="minorEastAsia" w:hAnsi="Arial" w:cs="Arial"/>
          <w:bCs/>
          <w:i/>
          <w:iCs/>
          <w:color w:val="333333"/>
        </w:rPr>
        <w:t>Journal Officiel</w:t>
      </w:r>
      <w:r w:rsidRPr="006B340E">
        <w:rPr>
          <w:rFonts w:ascii="Arial" w:eastAsiaTheme="minorEastAsia" w:hAnsi="Arial" w:cs="Arial"/>
          <w:bCs/>
          <w:color w:val="333333"/>
        </w:rPr>
        <w:t xml:space="preserve"> de la République de Madagascar. Elle sera exécutée comme loi de I’Etat. </w:t>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r w:rsidRPr="006B340E">
        <w:rPr>
          <w:rFonts w:ascii="Arial" w:eastAsiaTheme="minorEastAsia" w:hAnsi="Arial" w:cs="Arial"/>
          <w:bCs/>
          <w:color w:val="333333"/>
        </w:rPr>
        <w:tab/>
      </w:r>
      <w:r w:rsidRPr="006B340E">
        <w:rPr>
          <w:rFonts w:ascii="Arial" w:eastAsiaTheme="minorEastAsia" w:hAnsi="Arial" w:cs="Arial"/>
          <w:bCs/>
          <w:color w:val="333333"/>
        </w:rPr>
        <w:tab/>
      </w:r>
      <w:r w:rsidRPr="006B340E">
        <w:rPr>
          <w:rFonts w:ascii="Arial" w:eastAsiaTheme="minorEastAsia" w:hAnsi="Arial" w:cs="Arial"/>
          <w:bCs/>
          <w:color w:val="333333"/>
        </w:rPr>
        <w:tab/>
      </w:r>
      <w:r w:rsidRPr="006B340E">
        <w:rPr>
          <w:rFonts w:ascii="Arial" w:eastAsiaTheme="minorEastAsia" w:hAnsi="Arial" w:cs="Arial"/>
          <w:bCs/>
          <w:color w:val="333333"/>
        </w:rPr>
        <w:tab/>
      </w:r>
      <w:r w:rsidRPr="006B340E">
        <w:rPr>
          <w:rFonts w:ascii="Arial" w:eastAsiaTheme="minorEastAsia" w:hAnsi="Arial" w:cs="Arial"/>
          <w:bCs/>
          <w:color w:val="333333"/>
        </w:rPr>
        <w:tab/>
      </w:r>
    </w:p>
    <w:p w:rsidR="00F95626" w:rsidRPr="006B340E" w:rsidRDefault="00F95626" w:rsidP="006B340E">
      <w:pPr>
        <w:widowControl w:val="0"/>
        <w:autoSpaceDE w:val="0"/>
        <w:autoSpaceDN w:val="0"/>
        <w:adjustRightInd w:val="0"/>
        <w:ind w:right="-432"/>
        <w:jc w:val="both"/>
        <w:rPr>
          <w:rFonts w:ascii="Arial" w:eastAsiaTheme="minorEastAsia" w:hAnsi="Arial" w:cs="Arial"/>
          <w:color w:val="333333"/>
        </w:rPr>
      </w:pPr>
    </w:p>
    <w:p w:rsidR="00F95626" w:rsidRPr="00AB4940" w:rsidRDefault="00F95626" w:rsidP="006B340E">
      <w:pPr>
        <w:widowControl w:val="0"/>
        <w:autoSpaceDE w:val="0"/>
        <w:autoSpaceDN w:val="0"/>
        <w:adjustRightInd w:val="0"/>
        <w:ind w:right="-432"/>
        <w:jc w:val="both"/>
        <w:rPr>
          <w:rFonts w:ascii="Arial" w:eastAsiaTheme="minorEastAsia" w:hAnsi="Arial" w:cs="Arial"/>
          <w:b/>
          <w:bCs/>
          <w:color w:val="333333"/>
        </w:rPr>
      </w:pPr>
      <w:r w:rsidRPr="00AB4940">
        <w:rPr>
          <w:rFonts w:ascii="Arial" w:eastAsiaTheme="minorEastAsia" w:hAnsi="Arial" w:cs="Arial"/>
          <w:b/>
          <w:bCs/>
          <w:color w:val="333333"/>
        </w:rPr>
        <w:t>Promulguée à Antananarivo, le 20 août 2007</w:t>
      </w:r>
    </w:p>
    <w:p w:rsidR="00F95626" w:rsidRPr="00AB4940" w:rsidRDefault="00F95626" w:rsidP="006B340E">
      <w:pPr>
        <w:widowControl w:val="0"/>
        <w:autoSpaceDE w:val="0"/>
        <w:autoSpaceDN w:val="0"/>
        <w:adjustRightInd w:val="0"/>
        <w:ind w:right="-432"/>
        <w:jc w:val="both"/>
        <w:rPr>
          <w:rFonts w:ascii="Arial" w:eastAsiaTheme="minorEastAsia" w:hAnsi="Arial" w:cs="Arial"/>
          <w:b/>
          <w:color w:val="333333"/>
        </w:rPr>
      </w:pPr>
      <w:r w:rsidRPr="00AB4940">
        <w:rPr>
          <w:rFonts w:ascii="Arial" w:eastAsiaTheme="minorEastAsia" w:hAnsi="Arial" w:cs="Arial"/>
          <w:b/>
          <w:bCs/>
          <w:color w:val="333333"/>
        </w:rPr>
        <w:t xml:space="preserve">Marc RAVALOMANANA </w:t>
      </w:r>
    </w:p>
    <w:p w:rsidR="00F95626" w:rsidRPr="00414FFE" w:rsidRDefault="00F95626" w:rsidP="00F95626">
      <w:pPr>
        <w:widowControl w:val="0"/>
        <w:autoSpaceDE w:val="0"/>
        <w:autoSpaceDN w:val="0"/>
        <w:adjustRightInd w:val="0"/>
        <w:ind w:right="-432"/>
        <w:rPr>
          <w:rFonts w:ascii="Arial" w:eastAsiaTheme="minorEastAsia" w:hAnsi="Arial" w:cs="Arial"/>
          <w:b/>
          <w:bCs/>
        </w:rPr>
      </w:pPr>
    </w:p>
    <w:p w:rsidR="00F95626" w:rsidRPr="00414FFE" w:rsidRDefault="00F95626" w:rsidP="00F95626">
      <w:pPr>
        <w:widowControl w:val="0"/>
        <w:autoSpaceDE w:val="0"/>
        <w:autoSpaceDN w:val="0"/>
        <w:adjustRightInd w:val="0"/>
        <w:spacing w:before="100" w:after="100" w:line="360" w:lineRule="auto"/>
        <w:ind w:left="644" w:right="-432" w:hanging="360"/>
        <w:rPr>
          <w:rFonts w:ascii="Arial" w:eastAsiaTheme="minorEastAsia" w:hAnsi="Arial" w:cs="Arial"/>
        </w:rPr>
      </w:pPr>
    </w:p>
    <w:p w:rsidR="00414FFE" w:rsidRDefault="00414FFE" w:rsidP="006B340E">
      <w:pPr>
        <w:widowControl w:val="0"/>
        <w:autoSpaceDE w:val="0"/>
        <w:autoSpaceDN w:val="0"/>
        <w:adjustRightInd w:val="0"/>
        <w:spacing w:before="100" w:after="100" w:line="360" w:lineRule="auto"/>
        <w:ind w:right="-432"/>
        <w:rPr>
          <w:rFonts w:ascii="Arial" w:eastAsiaTheme="minorEastAsia" w:hAnsi="Arial" w:cs="Arial"/>
        </w:rPr>
      </w:pPr>
    </w:p>
    <w:p w:rsidR="00414FFE" w:rsidRDefault="00414FFE" w:rsidP="00F95626">
      <w:pPr>
        <w:widowControl w:val="0"/>
        <w:autoSpaceDE w:val="0"/>
        <w:autoSpaceDN w:val="0"/>
        <w:adjustRightInd w:val="0"/>
        <w:spacing w:before="100" w:after="100" w:line="360" w:lineRule="auto"/>
        <w:ind w:left="644" w:right="-432" w:hanging="360"/>
        <w:rPr>
          <w:rFonts w:ascii="Arial" w:eastAsiaTheme="minorEastAsia" w:hAnsi="Arial" w:cs="Arial"/>
        </w:rPr>
      </w:pPr>
    </w:p>
    <w:p w:rsidR="00414FFE" w:rsidRDefault="00414FFE" w:rsidP="00F95626">
      <w:pPr>
        <w:widowControl w:val="0"/>
        <w:autoSpaceDE w:val="0"/>
        <w:autoSpaceDN w:val="0"/>
        <w:adjustRightInd w:val="0"/>
        <w:spacing w:before="100" w:after="100" w:line="360" w:lineRule="auto"/>
        <w:ind w:left="644" w:right="-432" w:hanging="360"/>
        <w:rPr>
          <w:rFonts w:ascii="Arial" w:eastAsiaTheme="minorEastAsia" w:hAnsi="Arial" w:cs="Arial"/>
        </w:rPr>
      </w:pPr>
    </w:p>
    <w:p w:rsidR="00414FFE" w:rsidRDefault="00414FFE" w:rsidP="00F95626">
      <w:pPr>
        <w:widowControl w:val="0"/>
        <w:autoSpaceDE w:val="0"/>
        <w:autoSpaceDN w:val="0"/>
        <w:adjustRightInd w:val="0"/>
        <w:spacing w:before="100" w:after="100" w:line="360" w:lineRule="auto"/>
        <w:ind w:left="644" w:right="-432" w:hanging="360"/>
        <w:rPr>
          <w:rFonts w:ascii="Arial" w:eastAsiaTheme="minorEastAsia" w:hAnsi="Arial" w:cs="Arial"/>
        </w:rPr>
      </w:pPr>
    </w:p>
    <w:p w:rsidR="00F95626" w:rsidRPr="00002269" w:rsidRDefault="00F95626" w:rsidP="00F95626">
      <w:pPr>
        <w:widowControl w:val="0"/>
        <w:autoSpaceDE w:val="0"/>
        <w:autoSpaceDN w:val="0"/>
        <w:adjustRightInd w:val="0"/>
        <w:spacing w:before="100" w:after="100" w:line="360" w:lineRule="auto"/>
        <w:ind w:left="644" w:right="-432" w:hanging="360"/>
        <w:jc w:val="center"/>
        <w:rPr>
          <w:rFonts w:ascii="Arial" w:eastAsiaTheme="minorEastAsia" w:hAnsi="Arial" w:cs="Arial"/>
          <w:b/>
          <w:bCs/>
          <w:sz w:val="28"/>
          <w:szCs w:val="28"/>
        </w:rPr>
      </w:pPr>
      <w:r w:rsidRPr="00002269">
        <w:rPr>
          <w:rFonts w:ascii="Arial" w:eastAsiaTheme="minorEastAsia" w:hAnsi="Arial" w:cs="Arial"/>
          <w:b/>
          <w:bCs/>
          <w:sz w:val="28"/>
          <w:szCs w:val="28"/>
        </w:rPr>
        <w:lastRenderedPageBreak/>
        <w:t>ANNEXE II</w:t>
      </w:r>
    </w:p>
    <w:p w:rsidR="00F95626" w:rsidRPr="00414FFE" w:rsidRDefault="00F95626" w:rsidP="00F95626">
      <w:pPr>
        <w:widowControl w:val="0"/>
        <w:autoSpaceDE w:val="0"/>
        <w:autoSpaceDN w:val="0"/>
        <w:adjustRightInd w:val="0"/>
        <w:ind w:right="-432"/>
        <w:jc w:val="center"/>
        <w:rPr>
          <w:rFonts w:ascii="Arial" w:eastAsiaTheme="minorEastAsia" w:hAnsi="Arial" w:cs="Arial"/>
        </w:rPr>
      </w:pPr>
      <w:r w:rsidRPr="00414FFE">
        <w:rPr>
          <w:rFonts w:ascii="Arial" w:eastAsiaTheme="minorEastAsia" w:hAnsi="Arial" w:cs="Arial"/>
          <w:b/>
          <w:bCs/>
        </w:rPr>
        <w:t>LOI N° 2007</w:t>
      </w:r>
      <w:r w:rsidRPr="00414FFE">
        <w:rPr>
          <w:rFonts w:ascii="PT Sans" w:eastAsiaTheme="minorEastAsia" w:hAnsi="PT Sans" w:cs="PT Sans"/>
          <w:b/>
          <w:bCs/>
        </w:rPr>
        <w:t>‑</w:t>
      </w:r>
      <w:r w:rsidRPr="00414FFE">
        <w:rPr>
          <w:rFonts w:ascii="Arial" w:eastAsiaTheme="minorEastAsia" w:hAnsi="Arial" w:cs="Arial"/>
          <w:b/>
          <w:bCs/>
        </w:rPr>
        <w:t>038 du 14 janvier 2008</w:t>
      </w:r>
    </w:p>
    <w:p w:rsidR="00F95626" w:rsidRPr="00414FFE" w:rsidRDefault="00F95626" w:rsidP="00F95626">
      <w:pPr>
        <w:widowControl w:val="0"/>
        <w:autoSpaceDE w:val="0"/>
        <w:autoSpaceDN w:val="0"/>
        <w:adjustRightInd w:val="0"/>
        <w:ind w:right="-432"/>
        <w:jc w:val="center"/>
        <w:rPr>
          <w:rFonts w:ascii="Arial" w:eastAsiaTheme="minorEastAsia" w:hAnsi="Arial" w:cs="Arial"/>
          <w:b/>
          <w:bCs/>
        </w:rPr>
      </w:pPr>
      <w:r w:rsidRPr="00414FFE">
        <w:rPr>
          <w:rFonts w:ascii="Arial" w:eastAsiaTheme="minorEastAsia" w:hAnsi="Arial" w:cs="Arial"/>
          <w:b/>
          <w:bCs/>
        </w:rPr>
        <w:t>modifiant et complétant certaines dispositions du Code Pénal sur  la lutte contre la traite des personnes et le tourisme sexuel</w:t>
      </w:r>
    </w:p>
    <w:p w:rsidR="00F95626" w:rsidRPr="00414FFE" w:rsidRDefault="00F95626" w:rsidP="00F95626">
      <w:pPr>
        <w:widowControl w:val="0"/>
        <w:autoSpaceDE w:val="0"/>
        <w:autoSpaceDN w:val="0"/>
        <w:adjustRightInd w:val="0"/>
        <w:ind w:right="-432"/>
        <w:jc w:val="center"/>
        <w:rPr>
          <w:rFonts w:ascii="Arial" w:eastAsiaTheme="minorEastAsia" w:hAnsi="Arial" w:cs="Arial"/>
          <w:b/>
          <w:bCs/>
        </w:rPr>
      </w:pPr>
      <w:r w:rsidRPr="00414FFE">
        <w:rPr>
          <w:rFonts w:ascii="Arial" w:eastAsiaTheme="minorEastAsia" w:hAnsi="Arial" w:cs="Arial"/>
          <w:b/>
          <w:bCs/>
        </w:rPr>
        <w:t>(J.O. n° 3 173 du 19/03/08, p.1191)</w:t>
      </w:r>
    </w:p>
    <w:p w:rsidR="00F95626" w:rsidRPr="00414FFE" w:rsidRDefault="00F95626" w:rsidP="00F95626">
      <w:pPr>
        <w:widowControl w:val="0"/>
        <w:autoSpaceDE w:val="0"/>
        <w:autoSpaceDN w:val="0"/>
        <w:adjustRightInd w:val="0"/>
        <w:ind w:right="-432"/>
        <w:rPr>
          <w:rFonts w:ascii="Arial" w:eastAsiaTheme="minorEastAsia" w:hAnsi="Arial" w:cs="Arial"/>
          <w:b/>
          <w:bCs/>
        </w:rPr>
      </w:pPr>
    </w:p>
    <w:p w:rsidR="00F95626" w:rsidRPr="00414FFE" w:rsidRDefault="00F95626" w:rsidP="006B340E">
      <w:pPr>
        <w:widowControl w:val="0"/>
        <w:autoSpaceDE w:val="0"/>
        <w:autoSpaceDN w:val="0"/>
        <w:adjustRightInd w:val="0"/>
        <w:ind w:right="-432"/>
        <w:jc w:val="both"/>
        <w:rPr>
          <w:rFonts w:ascii="Arial" w:eastAsiaTheme="minorEastAsia" w:hAnsi="Arial" w:cs="Arial"/>
          <w:b/>
          <w:bCs/>
        </w:rPr>
      </w:pPr>
      <w:r w:rsidRPr="00414FFE">
        <w:rPr>
          <w:rFonts w:ascii="Arial" w:eastAsiaTheme="minorEastAsia" w:hAnsi="Arial" w:cs="Arial"/>
          <w:b/>
          <w:bCs/>
        </w:rPr>
        <w:t xml:space="preserve">L’Assemblée nationale et le Sénat ont adopté en leur séance respective en date du 07 décembre 2007 et du 17 décembre 2007, </w:t>
      </w:r>
    </w:p>
    <w:p w:rsidR="00F95626" w:rsidRPr="00414FFE" w:rsidRDefault="00F95626" w:rsidP="006B340E">
      <w:pPr>
        <w:widowControl w:val="0"/>
        <w:autoSpaceDE w:val="0"/>
        <w:autoSpaceDN w:val="0"/>
        <w:adjustRightInd w:val="0"/>
        <w:ind w:right="-432"/>
        <w:jc w:val="both"/>
        <w:rPr>
          <w:rFonts w:ascii="Arial" w:eastAsiaTheme="minorEastAsia" w:hAnsi="Arial" w:cs="Arial"/>
          <w:b/>
          <w:bCs/>
        </w:rPr>
      </w:pPr>
      <w:r w:rsidRPr="00414FFE">
        <w:rPr>
          <w:rFonts w:ascii="Arial" w:eastAsiaTheme="minorEastAsia" w:hAnsi="Arial" w:cs="Arial"/>
          <w:b/>
          <w:bCs/>
        </w:rPr>
        <w:t>Le Président de la République,</w:t>
      </w:r>
    </w:p>
    <w:p w:rsidR="00F95626" w:rsidRPr="00414FFE" w:rsidRDefault="00F95626" w:rsidP="006B340E">
      <w:pPr>
        <w:widowControl w:val="0"/>
        <w:autoSpaceDE w:val="0"/>
        <w:autoSpaceDN w:val="0"/>
        <w:adjustRightInd w:val="0"/>
        <w:ind w:right="-432"/>
        <w:jc w:val="both"/>
        <w:rPr>
          <w:rFonts w:ascii="Arial" w:eastAsiaTheme="minorEastAsia" w:hAnsi="Arial" w:cs="Arial"/>
          <w:b/>
          <w:bCs/>
        </w:rPr>
      </w:pPr>
      <w:r w:rsidRPr="00414FFE">
        <w:rPr>
          <w:rFonts w:ascii="Arial" w:eastAsiaTheme="minorEastAsia" w:hAnsi="Arial" w:cs="Arial"/>
          <w:b/>
          <w:bCs/>
        </w:rPr>
        <w:t>Vu la Constitution ;</w:t>
      </w:r>
    </w:p>
    <w:p w:rsidR="00F95626" w:rsidRDefault="00F95626" w:rsidP="006B340E">
      <w:pPr>
        <w:widowControl w:val="0"/>
        <w:autoSpaceDE w:val="0"/>
        <w:autoSpaceDN w:val="0"/>
        <w:adjustRightInd w:val="0"/>
        <w:ind w:right="-432"/>
        <w:jc w:val="both"/>
        <w:rPr>
          <w:rFonts w:ascii="Arial" w:eastAsiaTheme="minorEastAsia" w:hAnsi="Arial" w:cs="Arial"/>
          <w:b/>
          <w:bCs/>
        </w:rPr>
      </w:pPr>
      <w:r w:rsidRPr="00414FFE">
        <w:rPr>
          <w:rFonts w:ascii="Arial" w:eastAsiaTheme="minorEastAsia" w:hAnsi="Arial" w:cs="Arial"/>
          <w:b/>
          <w:bCs/>
        </w:rPr>
        <w:t>Vu la Décision n° 01</w:t>
      </w:r>
      <w:r w:rsidRPr="00414FFE">
        <w:rPr>
          <w:rFonts w:ascii="PT Sans" w:eastAsiaTheme="minorEastAsia" w:hAnsi="PT Sans" w:cs="PT Sans"/>
          <w:b/>
          <w:bCs/>
        </w:rPr>
        <w:t>‑</w:t>
      </w:r>
      <w:r w:rsidRPr="00414FFE">
        <w:rPr>
          <w:rFonts w:ascii="Arial" w:eastAsiaTheme="minorEastAsia" w:hAnsi="Arial" w:cs="Arial"/>
          <w:b/>
          <w:bCs/>
        </w:rPr>
        <w:t>HCC/D3 du 09 janvier 2008 de l</w:t>
      </w:r>
      <w:r w:rsidR="006B340E">
        <w:rPr>
          <w:rFonts w:ascii="Arial" w:eastAsiaTheme="minorEastAsia" w:hAnsi="Arial" w:cs="Arial"/>
          <w:b/>
          <w:bCs/>
        </w:rPr>
        <w:t xml:space="preserve">a Haute Cour Constitutionnelle </w:t>
      </w:r>
    </w:p>
    <w:p w:rsidR="006B340E" w:rsidRPr="00414FFE" w:rsidRDefault="006B340E" w:rsidP="006B340E">
      <w:pPr>
        <w:widowControl w:val="0"/>
        <w:autoSpaceDE w:val="0"/>
        <w:autoSpaceDN w:val="0"/>
        <w:adjustRightInd w:val="0"/>
        <w:ind w:right="-432"/>
        <w:jc w:val="both"/>
        <w:rPr>
          <w:rFonts w:ascii="Arial" w:eastAsiaTheme="minorEastAsia" w:hAnsi="Arial" w:cs="Arial"/>
          <w:b/>
          <w:bCs/>
        </w:rPr>
      </w:pPr>
    </w:p>
    <w:p w:rsidR="00F95626" w:rsidRPr="00414FFE" w:rsidRDefault="00F95626" w:rsidP="006B340E">
      <w:pPr>
        <w:widowControl w:val="0"/>
        <w:autoSpaceDE w:val="0"/>
        <w:autoSpaceDN w:val="0"/>
        <w:adjustRightInd w:val="0"/>
        <w:ind w:right="-432"/>
        <w:jc w:val="both"/>
        <w:rPr>
          <w:rFonts w:ascii="Arial" w:eastAsiaTheme="minorEastAsia" w:hAnsi="Arial" w:cs="Arial"/>
          <w:b/>
          <w:bCs/>
        </w:rPr>
      </w:pPr>
      <w:r w:rsidRPr="00414FFE">
        <w:rPr>
          <w:rFonts w:ascii="Arial" w:eastAsiaTheme="minorEastAsia" w:hAnsi="Arial" w:cs="Arial"/>
          <w:b/>
          <w:bCs/>
        </w:rPr>
        <w:t xml:space="preserve">Promulgue la loi dont la teneur suit : </w:t>
      </w:r>
    </w:p>
    <w:p w:rsidR="00F95626" w:rsidRPr="00414FFE" w:rsidRDefault="00F95626" w:rsidP="00F95626">
      <w:pPr>
        <w:widowControl w:val="0"/>
        <w:autoSpaceDE w:val="0"/>
        <w:autoSpaceDN w:val="0"/>
        <w:adjustRightInd w:val="0"/>
        <w:ind w:right="-432"/>
        <w:rPr>
          <w:rFonts w:ascii="Arial" w:eastAsiaTheme="minorEastAsia" w:hAnsi="Arial" w:cs="Arial"/>
        </w:rPr>
      </w:pPr>
    </w:p>
    <w:p w:rsidR="00F95626" w:rsidRPr="00414FFE" w:rsidRDefault="00F95626" w:rsidP="00F95626">
      <w:pPr>
        <w:widowControl w:val="0"/>
        <w:autoSpaceDE w:val="0"/>
        <w:autoSpaceDN w:val="0"/>
        <w:adjustRightInd w:val="0"/>
        <w:ind w:right="-432"/>
        <w:rPr>
          <w:rFonts w:ascii="Arial" w:eastAsiaTheme="minorEastAsia" w:hAnsi="Arial" w:cs="Arial"/>
        </w:rPr>
      </w:pPr>
    </w:p>
    <w:p w:rsidR="00F95626" w:rsidRPr="006B340E" w:rsidRDefault="00F95626" w:rsidP="006B340E">
      <w:pPr>
        <w:widowControl w:val="0"/>
        <w:autoSpaceDE w:val="0"/>
        <w:autoSpaceDN w:val="0"/>
        <w:adjustRightInd w:val="0"/>
        <w:ind w:right="-432"/>
        <w:jc w:val="both"/>
        <w:rPr>
          <w:rFonts w:ascii="Arial" w:eastAsiaTheme="minorEastAsia" w:hAnsi="Arial" w:cs="Arial"/>
          <w:bCs/>
        </w:rPr>
      </w:pPr>
      <w:r w:rsidRPr="00414FFE">
        <w:rPr>
          <w:rFonts w:ascii="Arial" w:eastAsiaTheme="minorEastAsia" w:hAnsi="Arial" w:cs="Arial"/>
          <w:b/>
          <w:bCs/>
        </w:rPr>
        <w:t xml:space="preserve">Article premier. - </w:t>
      </w:r>
      <w:r w:rsidRPr="006B340E">
        <w:rPr>
          <w:rFonts w:ascii="Arial" w:eastAsiaTheme="minorEastAsia" w:hAnsi="Arial" w:cs="Arial"/>
          <w:bCs/>
        </w:rPr>
        <w:t xml:space="preserve">La présente loi a pour objet de :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 mettre en place des mesures de prévention contre la traite de personnes, l’exploitation sexuelle et le tourisme sexuel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 modifier et compléter certaines dispositions du Code Pénal afin de :</w:t>
      </w:r>
    </w:p>
    <w:p w:rsidR="00F95626" w:rsidRPr="006B340E" w:rsidRDefault="00F95626" w:rsidP="006B340E">
      <w:pPr>
        <w:widowControl w:val="0"/>
        <w:autoSpaceDE w:val="0"/>
        <w:autoSpaceDN w:val="0"/>
        <w:adjustRightInd w:val="0"/>
        <w:ind w:left="709" w:right="-432"/>
        <w:jc w:val="both"/>
        <w:rPr>
          <w:rFonts w:ascii="Arial" w:eastAsiaTheme="minorEastAsia" w:hAnsi="Arial" w:cs="Arial"/>
          <w:bCs/>
        </w:rPr>
      </w:pPr>
      <w:r w:rsidRPr="006B340E">
        <w:rPr>
          <w:rFonts w:ascii="Arial" w:eastAsiaTheme="minorEastAsia" w:hAnsi="Arial" w:cs="Arial"/>
          <w:bCs/>
        </w:rPr>
        <w:t>. régir toute forme de traite, de vente, d’enlèvement et d’exploitation de personnes ;</w:t>
      </w:r>
    </w:p>
    <w:p w:rsidR="00F95626" w:rsidRPr="006B340E" w:rsidRDefault="00F95626" w:rsidP="006B340E">
      <w:pPr>
        <w:widowControl w:val="0"/>
        <w:autoSpaceDE w:val="0"/>
        <w:autoSpaceDN w:val="0"/>
        <w:adjustRightInd w:val="0"/>
        <w:ind w:left="709" w:right="-432"/>
        <w:jc w:val="both"/>
        <w:rPr>
          <w:rFonts w:ascii="Arial" w:eastAsiaTheme="minorEastAsia" w:hAnsi="Arial" w:cs="Arial"/>
          <w:bCs/>
        </w:rPr>
      </w:pPr>
      <w:r w:rsidRPr="006B340E">
        <w:rPr>
          <w:rFonts w:ascii="Arial" w:eastAsiaTheme="minorEastAsia" w:hAnsi="Arial" w:cs="Arial"/>
          <w:bCs/>
        </w:rPr>
        <w:t>. prévenir et de combattre la traite des personnes ;</w:t>
      </w:r>
    </w:p>
    <w:p w:rsidR="00F95626" w:rsidRPr="006B340E" w:rsidRDefault="00F95626" w:rsidP="006B340E">
      <w:pPr>
        <w:widowControl w:val="0"/>
        <w:autoSpaceDE w:val="0"/>
        <w:autoSpaceDN w:val="0"/>
        <w:adjustRightInd w:val="0"/>
        <w:ind w:left="709" w:right="-432"/>
        <w:jc w:val="both"/>
        <w:rPr>
          <w:rFonts w:ascii="Arial" w:eastAsiaTheme="minorEastAsia" w:hAnsi="Arial" w:cs="Arial"/>
          <w:bCs/>
        </w:rPr>
      </w:pPr>
      <w:r w:rsidRPr="006B340E">
        <w:rPr>
          <w:rFonts w:ascii="Arial" w:eastAsiaTheme="minorEastAsia" w:hAnsi="Arial" w:cs="Arial"/>
          <w:bCs/>
        </w:rPr>
        <w:t>. prendre des sanctions à l’encontre des trafiquants ;</w:t>
      </w:r>
    </w:p>
    <w:p w:rsidR="00F95626" w:rsidRPr="006B340E" w:rsidRDefault="00F95626" w:rsidP="006B340E">
      <w:pPr>
        <w:widowControl w:val="0"/>
        <w:autoSpaceDE w:val="0"/>
        <w:autoSpaceDN w:val="0"/>
        <w:adjustRightInd w:val="0"/>
        <w:ind w:left="709" w:right="-432"/>
        <w:jc w:val="both"/>
        <w:rPr>
          <w:rFonts w:ascii="Arial" w:eastAsiaTheme="minorEastAsia" w:hAnsi="Arial" w:cs="Arial"/>
          <w:bCs/>
        </w:rPr>
      </w:pPr>
      <w:r w:rsidRPr="006B340E">
        <w:rPr>
          <w:rFonts w:ascii="Arial" w:eastAsiaTheme="minorEastAsia" w:hAnsi="Arial" w:cs="Arial"/>
          <w:bCs/>
        </w:rPr>
        <w:t>. protéger et aider les victimes de la traite des personnes, en respectant pleinement leurs droits fondamentaux, en particulier les femmes et les enfants contre une nouvelle victimisation.</w:t>
      </w:r>
    </w:p>
    <w:p w:rsidR="00F95626" w:rsidRPr="00414FFE" w:rsidRDefault="00F95626" w:rsidP="00F95626">
      <w:pPr>
        <w:widowControl w:val="0"/>
        <w:autoSpaceDE w:val="0"/>
        <w:autoSpaceDN w:val="0"/>
        <w:adjustRightInd w:val="0"/>
        <w:ind w:right="-432"/>
        <w:rPr>
          <w:rFonts w:ascii="Arial" w:eastAsiaTheme="minorEastAsia" w:hAnsi="Arial" w:cs="Arial"/>
          <w:b/>
          <w:bCs/>
        </w:rPr>
      </w:pPr>
    </w:p>
    <w:p w:rsidR="00F95626" w:rsidRPr="00414FFE" w:rsidRDefault="00F95626" w:rsidP="00F95626">
      <w:pPr>
        <w:widowControl w:val="0"/>
        <w:autoSpaceDE w:val="0"/>
        <w:autoSpaceDN w:val="0"/>
        <w:adjustRightInd w:val="0"/>
        <w:ind w:right="-432"/>
        <w:rPr>
          <w:rFonts w:ascii="Arial" w:eastAsiaTheme="minorEastAsia" w:hAnsi="Arial" w:cs="Arial"/>
          <w:b/>
          <w:bCs/>
        </w:rPr>
      </w:pPr>
    </w:p>
    <w:p w:rsidR="00F95626" w:rsidRPr="00414FFE" w:rsidRDefault="00F95626" w:rsidP="00F95626">
      <w:pPr>
        <w:widowControl w:val="0"/>
        <w:autoSpaceDE w:val="0"/>
        <w:autoSpaceDN w:val="0"/>
        <w:adjustRightInd w:val="0"/>
        <w:ind w:right="-432"/>
        <w:jc w:val="center"/>
        <w:rPr>
          <w:rFonts w:ascii="Arial" w:eastAsiaTheme="minorEastAsia" w:hAnsi="Arial" w:cs="Arial"/>
        </w:rPr>
      </w:pPr>
      <w:r w:rsidRPr="00414FFE">
        <w:rPr>
          <w:rFonts w:ascii="Arial" w:eastAsiaTheme="minorEastAsia" w:hAnsi="Arial" w:cs="Arial"/>
          <w:b/>
          <w:bCs/>
        </w:rPr>
        <w:t>CHAPITRE PREMIER</w:t>
      </w:r>
    </w:p>
    <w:p w:rsidR="00F95626" w:rsidRPr="00414FFE" w:rsidRDefault="00F95626" w:rsidP="00F95626">
      <w:pPr>
        <w:widowControl w:val="0"/>
        <w:autoSpaceDE w:val="0"/>
        <w:autoSpaceDN w:val="0"/>
        <w:adjustRightInd w:val="0"/>
        <w:ind w:right="-432"/>
        <w:jc w:val="center"/>
        <w:rPr>
          <w:rFonts w:ascii="Arial" w:eastAsiaTheme="minorEastAsia" w:hAnsi="Arial" w:cs="Arial"/>
          <w:b/>
          <w:bCs/>
        </w:rPr>
      </w:pPr>
      <w:r w:rsidRPr="00414FFE">
        <w:rPr>
          <w:rFonts w:ascii="Arial" w:eastAsiaTheme="minorEastAsia" w:hAnsi="Arial" w:cs="Arial"/>
          <w:b/>
          <w:bCs/>
        </w:rPr>
        <w:t>DE LA PREVENTION</w:t>
      </w:r>
    </w:p>
    <w:p w:rsidR="00F95626" w:rsidRPr="00414FFE" w:rsidRDefault="00F95626" w:rsidP="00F95626">
      <w:pPr>
        <w:widowControl w:val="0"/>
        <w:autoSpaceDE w:val="0"/>
        <w:autoSpaceDN w:val="0"/>
        <w:adjustRightInd w:val="0"/>
        <w:ind w:right="-432"/>
        <w:rPr>
          <w:rFonts w:ascii="Arial" w:eastAsiaTheme="minorEastAsia" w:hAnsi="Arial" w:cs="Arial"/>
          <w:b/>
          <w:bCs/>
        </w:rPr>
      </w:pPr>
    </w:p>
    <w:p w:rsidR="00F95626" w:rsidRPr="006B340E" w:rsidRDefault="00F95626" w:rsidP="006B340E">
      <w:pPr>
        <w:widowControl w:val="0"/>
        <w:autoSpaceDE w:val="0"/>
        <w:autoSpaceDN w:val="0"/>
        <w:adjustRightInd w:val="0"/>
        <w:ind w:right="-432"/>
        <w:jc w:val="both"/>
        <w:rPr>
          <w:rFonts w:ascii="Arial" w:eastAsiaTheme="minorEastAsia" w:hAnsi="Arial" w:cs="Arial"/>
          <w:bCs/>
        </w:rPr>
      </w:pPr>
      <w:r w:rsidRPr="00414FFE">
        <w:rPr>
          <w:rFonts w:ascii="Arial" w:eastAsiaTheme="minorEastAsia" w:hAnsi="Arial" w:cs="Arial"/>
          <w:b/>
          <w:bCs/>
        </w:rPr>
        <w:t xml:space="preserve">Art. 2. - </w:t>
      </w:r>
      <w:r w:rsidRPr="006B340E">
        <w:rPr>
          <w:rFonts w:ascii="Arial" w:eastAsiaTheme="minorEastAsia" w:hAnsi="Arial" w:cs="Arial"/>
          <w:bCs/>
        </w:rPr>
        <w:t xml:space="preserve">En vue de lutter contre la traite, la vente, l’enlèvement ou l’exploitation des personnes y compris les enfants, les programmes, les initiatives sociales et autres mesures de campagnes d’information, d’éducation et de communication et de campagnes dans les médias à diffuser sur tout le territoire national par les structures habilitées ainsi que les mesures de prise en charge par l’Etat sont déterminés par décret pris en Conseil du Gouvernement. </w:t>
      </w:r>
    </w:p>
    <w:p w:rsidR="00F95626" w:rsidRPr="006B340E" w:rsidRDefault="00F95626" w:rsidP="006B340E">
      <w:pPr>
        <w:widowControl w:val="0"/>
        <w:autoSpaceDE w:val="0"/>
        <w:autoSpaceDN w:val="0"/>
        <w:adjustRightInd w:val="0"/>
        <w:ind w:right="-432"/>
        <w:jc w:val="both"/>
        <w:rPr>
          <w:rFonts w:ascii="Arial" w:eastAsiaTheme="minorEastAsia" w:hAnsi="Arial" w:cs="Arial"/>
          <w:bCs/>
        </w:rPr>
      </w:pPr>
    </w:p>
    <w:p w:rsidR="00F95626" w:rsidRPr="006B340E" w:rsidRDefault="00F95626" w:rsidP="006B340E">
      <w:pPr>
        <w:widowControl w:val="0"/>
        <w:autoSpaceDE w:val="0"/>
        <w:autoSpaceDN w:val="0"/>
        <w:adjustRightInd w:val="0"/>
        <w:ind w:right="-432"/>
        <w:jc w:val="both"/>
        <w:rPr>
          <w:rFonts w:ascii="Arial" w:eastAsiaTheme="minorEastAsia" w:hAnsi="Arial" w:cs="Arial"/>
          <w:bCs/>
        </w:rPr>
      </w:pPr>
      <w:r w:rsidRPr="00414FFE">
        <w:rPr>
          <w:rFonts w:ascii="Arial" w:eastAsiaTheme="minorEastAsia" w:hAnsi="Arial" w:cs="Arial"/>
          <w:b/>
          <w:bCs/>
        </w:rPr>
        <w:t xml:space="preserve">Art. 3. - </w:t>
      </w:r>
      <w:r w:rsidRPr="006B340E">
        <w:rPr>
          <w:rFonts w:ascii="Arial" w:eastAsiaTheme="minorEastAsia" w:hAnsi="Arial" w:cs="Arial"/>
          <w:bCs/>
        </w:rPr>
        <w:t>La coopération des Organisations Non Gouvernementales, des Agences multi et bilatérales, des Gouvernements des pays étrangers ainsi que de la société civile avec l’Etat doit être effective pour la mise en œuvre des programmes et des mesures établis.</w:t>
      </w:r>
    </w:p>
    <w:p w:rsidR="00F95626" w:rsidRPr="00414FFE" w:rsidRDefault="00F95626" w:rsidP="00F95626">
      <w:pPr>
        <w:widowControl w:val="0"/>
        <w:autoSpaceDE w:val="0"/>
        <w:autoSpaceDN w:val="0"/>
        <w:adjustRightInd w:val="0"/>
        <w:ind w:right="-432"/>
        <w:rPr>
          <w:rFonts w:ascii="Arial" w:eastAsiaTheme="minorEastAsia" w:hAnsi="Arial" w:cs="Arial"/>
          <w:b/>
          <w:bCs/>
        </w:rPr>
      </w:pPr>
    </w:p>
    <w:p w:rsidR="00F95626" w:rsidRDefault="00F95626" w:rsidP="00F95626">
      <w:pPr>
        <w:widowControl w:val="0"/>
        <w:autoSpaceDE w:val="0"/>
        <w:autoSpaceDN w:val="0"/>
        <w:adjustRightInd w:val="0"/>
        <w:ind w:right="-432"/>
        <w:rPr>
          <w:rFonts w:ascii="Arial" w:eastAsiaTheme="minorEastAsia" w:hAnsi="Arial" w:cs="Arial"/>
          <w:bCs/>
        </w:rPr>
      </w:pPr>
      <w:r w:rsidRPr="00414FFE">
        <w:rPr>
          <w:rFonts w:ascii="Arial" w:eastAsiaTheme="minorEastAsia" w:hAnsi="Arial" w:cs="Arial"/>
          <w:b/>
          <w:bCs/>
        </w:rPr>
        <w:t xml:space="preserve">Art. 4. - </w:t>
      </w:r>
      <w:r w:rsidRPr="006B340E">
        <w:rPr>
          <w:rFonts w:ascii="Arial" w:eastAsiaTheme="minorEastAsia" w:hAnsi="Arial" w:cs="Arial"/>
          <w:bCs/>
        </w:rPr>
        <w:t>Un service, organisé dans les conditions fixées par un décret pris en Conseil du Gouvernement, est chargé de déterminer les types de documents de voyage valables et nécessaires, de détecter les moyens et méthodes utilisés par toute personne ou groupe organisé pour la traite de personnes.</w:t>
      </w:r>
    </w:p>
    <w:p w:rsidR="006B340E" w:rsidRPr="006B340E" w:rsidRDefault="006B340E" w:rsidP="00F95626">
      <w:pPr>
        <w:widowControl w:val="0"/>
        <w:autoSpaceDE w:val="0"/>
        <w:autoSpaceDN w:val="0"/>
        <w:adjustRightInd w:val="0"/>
        <w:ind w:right="-432"/>
        <w:rPr>
          <w:rFonts w:ascii="Arial" w:eastAsiaTheme="minorEastAsia" w:hAnsi="Arial" w:cs="Arial"/>
          <w:bCs/>
        </w:rPr>
      </w:pPr>
    </w:p>
    <w:p w:rsidR="00F95626" w:rsidRPr="00414FFE" w:rsidRDefault="00F95626" w:rsidP="00F95626">
      <w:pPr>
        <w:widowControl w:val="0"/>
        <w:autoSpaceDE w:val="0"/>
        <w:autoSpaceDN w:val="0"/>
        <w:adjustRightInd w:val="0"/>
        <w:ind w:right="-432"/>
        <w:rPr>
          <w:rFonts w:ascii="Arial" w:eastAsiaTheme="minorEastAsia" w:hAnsi="Arial" w:cs="Arial"/>
          <w:b/>
          <w:bCs/>
        </w:rPr>
      </w:pPr>
      <w:r w:rsidRPr="00414FFE">
        <w:rPr>
          <w:rFonts w:ascii="Arial" w:eastAsiaTheme="minorEastAsia" w:hAnsi="Arial" w:cs="Arial"/>
          <w:b/>
          <w:bCs/>
        </w:rPr>
        <w:tab/>
        <w:t xml:space="preserve"> </w:t>
      </w:r>
    </w:p>
    <w:p w:rsidR="00F95626" w:rsidRPr="00414FFE" w:rsidRDefault="00F95626" w:rsidP="00F95626">
      <w:pPr>
        <w:widowControl w:val="0"/>
        <w:autoSpaceDE w:val="0"/>
        <w:autoSpaceDN w:val="0"/>
        <w:adjustRightInd w:val="0"/>
        <w:ind w:right="-432"/>
        <w:rPr>
          <w:rFonts w:ascii="Arial" w:eastAsiaTheme="minorEastAsia" w:hAnsi="Arial" w:cs="Arial"/>
        </w:rPr>
      </w:pPr>
    </w:p>
    <w:p w:rsidR="00F95626" w:rsidRPr="00414FFE" w:rsidRDefault="00F95626" w:rsidP="00F95626">
      <w:pPr>
        <w:widowControl w:val="0"/>
        <w:autoSpaceDE w:val="0"/>
        <w:autoSpaceDN w:val="0"/>
        <w:adjustRightInd w:val="0"/>
        <w:ind w:right="-432"/>
        <w:jc w:val="center"/>
        <w:rPr>
          <w:rFonts w:ascii="Arial" w:eastAsiaTheme="minorEastAsia" w:hAnsi="Arial" w:cs="Arial"/>
        </w:rPr>
      </w:pPr>
      <w:r w:rsidRPr="00414FFE">
        <w:rPr>
          <w:rFonts w:ascii="Arial" w:eastAsiaTheme="minorEastAsia" w:hAnsi="Arial" w:cs="Arial"/>
          <w:b/>
          <w:bCs/>
        </w:rPr>
        <w:lastRenderedPageBreak/>
        <w:t>CHAPITRE II</w:t>
      </w:r>
    </w:p>
    <w:p w:rsidR="00F95626" w:rsidRPr="00414FFE" w:rsidRDefault="00F95626" w:rsidP="00F95626">
      <w:pPr>
        <w:widowControl w:val="0"/>
        <w:autoSpaceDE w:val="0"/>
        <w:autoSpaceDN w:val="0"/>
        <w:adjustRightInd w:val="0"/>
        <w:ind w:right="-432"/>
        <w:jc w:val="center"/>
        <w:rPr>
          <w:rFonts w:ascii="Arial" w:eastAsiaTheme="minorEastAsia" w:hAnsi="Arial" w:cs="Arial"/>
          <w:b/>
          <w:bCs/>
        </w:rPr>
      </w:pPr>
      <w:r w:rsidRPr="00414FFE">
        <w:rPr>
          <w:rFonts w:ascii="Arial" w:eastAsiaTheme="minorEastAsia" w:hAnsi="Arial" w:cs="Arial"/>
          <w:b/>
          <w:bCs/>
        </w:rPr>
        <w:t>DES MODIFICATIONS DU CODE PENAL</w:t>
      </w:r>
    </w:p>
    <w:p w:rsidR="00F95626" w:rsidRPr="00414FFE" w:rsidRDefault="00F95626" w:rsidP="00F95626">
      <w:pPr>
        <w:widowControl w:val="0"/>
        <w:autoSpaceDE w:val="0"/>
        <w:autoSpaceDN w:val="0"/>
        <w:adjustRightInd w:val="0"/>
        <w:ind w:right="-432"/>
        <w:rPr>
          <w:rFonts w:ascii="Arial" w:eastAsiaTheme="minorEastAsia" w:hAnsi="Arial" w:cs="Arial"/>
          <w:b/>
          <w:bCs/>
        </w:rPr>
      </w:pPr>
    </w:p>
    <w:p w:rsidR="00F95626" w:rsidRPr="006B340E" w:rsidRDefault="00F95626" w:rsidP="006B340E">
      <w:pPr>
        <w:widowControl w:val="0"/>
        <w:autoSpaceDE w:val="0"/>
        <w:autoSpaceDN w:val="0"/>
        <w:adjustRightInd w:val="0"/>
        <w:ind w:right="-432"/>
        <w:jc w:val="both"/>
        <w:rPr>
          <w:rFonts w:ascii="Arial" w:eastAsiaTheme="minorEastAsia" w:hAnsi="Arial" w:cs="Arial"/>
          <w:bCs/>
        </w:rPr>
      </w:pPr>
      <w:r w:rsidRPr="00414FFE">
        <w:rPr>
          <w:rFonts w:ascii="Arial" w:eastAsiaTheme="minorEastAsia" w:hAnsi="Arial" w:cs="Arial"/>
          <w:b/>
          <w:bCs/>
        </w:rPr>
        <w:t xml:space="preserve">Art. 5. - </w:t>
      </w:r>
      <w:r w:rsidRPr="006B340E">
        <w:rPr>
          <w:rFonts w:ascii="Arial" w:eastAsiaTheme="minorEastAsia" w:hAnsi="Arial" w:cs="Arial"/>
          <w:bCs/>
        </w:rPr>
        <w:t>Il est inséré, après l’article 331 un article numéroté 331 bis ainsi rédigé :</w:t>
      </w:r>
    </w:p>
    <w:p w:rsidR="00F95626" w:rsidRPr="006B340E" w:rsidRDefault="00F95626" w:rsidP="006B340E">
      <w:pPr>
        <w:widowControl w:val="0"/>
        <w:autoSpaceDE w:val="0"/>
        <w:autoSpaceDN w:val="0"/>
        <w:adjustRightInd w:val="0"/>
        <w:ind w:right="-432"/>
        <w:jc w:val="both"/>
        <w:rPr>
          <w:rFonts w:ascii="Arial" w:eastAsiaTheme="minorEastAsia" w:hAnsi="Arial" w:cs="Arial"/>
          <w:bCs/>
        </w:rPr>
      </w:pPr>
      <w:r w:rsidRPr="006B340E">
        <w:rPr>
          <w:rFonts w:ascii="Arial" w:eastAsiaTheme="minorEastAsia" w:hAnsi="Arial" w:cs="Arial"/>
          <w:bCs/>
          <w:i/>
          <w:iCs/>
        </w:rPr>
        <w:t xml:space="preserve">« Art.331 bis </w:t>
      </w:r>
      <w:r w:rsidRPr="006B340E">
        <w:rPr>
          <w:rFonts w:ascii="Arial" w:eastAsiaTheme="minorEastAsia" w:hAnsi="Arial" w:cs="Arial"/>
          <w:bCs/>
        </w:rPr>
        <w:t>: Quiconque aura attenté aux mœurs en excitant, favorisant ou facilitant, pour satisfaire les passions d’autrui, la débauche, la corruption ou la prostitution enfantine de l’un ou de l’autre sexe, est puni des travaux forcés à temps. »</w:t>
      </w:r>
    </w:p>
    <w:p w:rsidR="00F95626" w:rsidRPr="00414FFE" w:rsidRDefault="00F95626" w:rsidP="00F95626">
      <w:pPr>
        <w:widowControl w:val="0"/>
        <w:autoSpaceDE w:val="0"/>
        <w:autoSpaceDN w:val="0"/>
        <w:adjustRightInd w:val="0"/>
        <w:ind w:right="-432"/>
        <w:rPr>
          <w:rFonts w:ascii="Arial" w:eastAsiaTheme="minorEastAsia" w:hAnsi="Arial" w:cs="Arial"/>
          <w:b/>
          <w:bCs/>
        </w:rPr>
      </w:pPr>
    </w:p>
    <w:p w:rsidR="00F95626" w:rsidRPr="006B340E" w:rsidRDefault="00F95626" w:rsidP="006B340E">
      <w:pPr>
        <w:widowControl w:val="0"/>
        <w:autoSpaceDE w:val="0"/>
        <w:autoSpaceDN w:val="0"/>
        <w:adjustRightInd w:val="0"/>
        <w:ind w:right="-432"/>
        <w:jc w:val="both"/>
        <w:rPr>
          <w:rFonts w:ascii="Arial" w:eastAsiaTheme="minorEastAsia" w:hAnsi="Arial" w:cs="Arial"/>
          <w:bCs/>
        </w:rPr>
      </w:pPr>
      <w:r w:rsidRPr="00414FFE">
        <w:rPr>
          <w:rFonts w:ascii="Arial" w:eastAsiaTheme="minorEastAsia" w:hAnsi="Arial" w:cs="Arial"/>
          <w:b/>
          <w:bCs/>
        </w:rPr>
        <w:t xml:space="preserve">Art. 6. - </w:t>
      </w:r>
      <w:r w:rsidRPr="006B340E">
        <w:rPr>
          <w:rFonts w:ascii="Arial" w:eastAsiaTheme="minorEastAsia" w:hAnsi="Arial" w:cs="Arial"/>
          <w:bCs/>
        </w:rPr>
        <w:t>Il est inséré, après l’article 333 bis, trois articles numérotés 333 ter, 333 quater et 333 quinto ainsi rédigés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i/>
          <w:iCs/>
        </w:rPr>
      </w:pPr>
      <w:r w:rsidRPr="006B340E">
        <w:rPr>
          <w:rFonts w:ascii="Arial" w:eastAsiaTheme="minorEastAsia" w:hAnsi="Arial" w:cs="Arial"/>
          <w:bCs/>
          <w:i/>
          <w:iCs/>
        </w:rPr>
        <w:t>« Art. 333 ter :</w:t>
      </w:r>
    </w:p>
    <w:p w:rsidR="00F95626" w:rsidRPr="006B340E" w:rsidRDefault="00F95626" w:rsidP="006B340E">
      <w:pPr>
        <w:widowControl w:val="0"/>
        <w:autoSpaceDE w:val="0"/>
        <w:autoSpaceDN w:val="0"/>
        <w:adjustRightInd w:val="0"/>
        <w:ind w:left="709" w:right="-432"/>
        <w:jc w:val="both"/>
        <w:rPr>
          <w:rFonts w:ascii="Arial" w:eastAsiaTheme="minorEastAsia" w:hAnsi="Arial" w:cs="Arial"/>
          <w:bCs/>
        </w:rPr>
      </w:pPr>
      <w:r w:rsidRPr="006B340E">
        <w:rPr>
          <w:rFonts w:ascii="Arial" w:eastAsiaTheme="minorEastAsia" w:hAnsi="Arial" w:cs="Arial"/>
          <w:bCs/>
        </w:rPr>
        <w:t>1. Un enfant s’entend de tout être humain âgé de moins de dix huit ans.</w:t>
      </w:r>
    </w:p>
    <w:p w:rsidR="00F95626" w:rsidRPr="006B340E" w:rsidRDefault="00F95626" w:rsidP="006B340E">
      <w:pPr>
        <w:widowControl w:val="0"/>
        <w:autoSpaceDE w:val="0"/>
        <w:autoSpaceDN w:val="0"/>
        <w:adjustRightInd w:val="0"/>
        <w:ind w:left="709" w:right="-432"/>
        <w:jc w:val="both"/>
        <w:rPr>
          <w:rFonts w:ascii="Arial" w:eastAsiaTheme="minorEastAsia" w:hAnsi="Arial" w:cs="Arial"/>
        </w:rPr>
      </w:pPr>
    </w:p>
    <w:p w:rsidR="00F95626" w:rsidRPr="006B340E" w:rsidRDefault="00F95626" w:rsidP="006B340E">
      <w:pPr>
        <w:widowControl w:val="0"/>
        <w:autoSpaceDE w:val="0"/>
        <w:autoSpaceDN w:val="0"/>
        <w:adjustRightInd w:val="0"/>
        <w:ind w:left="709" w:right="-432"/>
        <w:jc w:val="both"/>
        <w:rPr>
          <w:rFonts w:ascii="Arial" w:eastAsiaTheme="minorEastAsia" w:hAnsi="Arial" w:cs="Arial"/>
          <w:bCs/>
        </w:rPr>
      </w:pPr>
      <w:r w:rsidRPr="006B340E">
        <w:rPr>
          <w:rFonts w:ascii="Arial" w:eastAsiaTheme="minorEastAsia" w:hAnsi="Arial" w:cs="Arial"/>
          <w:bCs/>
        </w:rPr>
        <w:t xml:space="preserve">2. L’expression « traite ou trafic des personnes » désigne le recrutement, le transport, le transfert, l’hébergement ou l’accueil de personnes, par la menace de recours ou le recours à la force ou à d’autres formes de contrainte, par enlèvement, fraude, tromperie, abus d’autorité ou d’une situation de vulnérabilité, ou par l’offre ou l’acceptation de paiements ou d’avantages pour obtenir le consentement d’une personne ayant autorité sur une autre aux fins d’exploitation ou d’adoption plénière illégale d’un enfant par une personne dite trafiquant. </w:t>
      </w:r>
    </w:p>
    <w:p w:rsidR="00F95626" w:rsidRPr="006B340E" w:rsidRDefault="00F95626" w:rsidP="006B340E">
      <w:pPr>
        <w:widowControl w:val="0"/>
        <w:autoSpaceDE w:val="0"/>
        <w:autoSpaceDN w:val="0"/>
        <w:adjustRightInd w:val="0"/>
        <w:ind w:left="709" w:right="-432"/>
        <w:jc w:val="both"/>
        <w:rPr>
          <w:rFonts w:ascii="Arial" w:eastAsiaTheme="minorEastAsia" w:hAnsi="Arial" w:cs="Arial"/>
        </w:rPr>
      </w:pPr>
    </w:p>
    <w:p w:rsidR="00F95626" w:rsidRPr="006B340E" w:rsidRDefault="00F95626" w:rsidP="006B340E">
      <w:pPr>
        <w:widowControl w:val="0"/>
        <w:autoSpaceDE w:val="0"/>
        <w:autoSpaceDN w:val="0"/>
        <w:adjustRightInd w:val="0"/>
        <w:ind w:left="709" w:right="-432"/>
        <w:jc w:val="both"/>
        <w:rPr>
          <w:rFonts w:ascii="Arial" w:eastAsiaTheme="minorEastAsia" w:hAnsi="Arial" w:cs="Arial"/>
          <w:bCs/>
        </w:rPr>
      </w:pPr>
      <w:r w:rsidRPr="006B340E">
        <w:rPr>
          <w:rFonts w:ascii="Arial" w:eastAsiaTheme="minorEastAsia" w:hAnsi="Arial" w:cs="Arial"/>
          <w:bCs/>
        </w:rPr>
        <w:t>3. L’exploitation comprend l’exploitation de la prostitution d’autrui ou d’autres formes d’exploitation sexuelle, le travail non rémunéré, le travail ou les services forcés, le travail domestique d’un enfant, l’esclavage ou les pratiques analogues à l’esclavage, la servitude ou le prélèvement d’organes.</w:t>
      </w:r>
    </w:p>
    <w:p w:rsidR="00F95626" w:rsidRPr="006B340E" w:rsidRDefault="00F95626" w:rsidP="006B340E">
      <w:pPr>
        <w:widowControl w:val="0"/>
        <w:autoSpaceDE w:val="0"/>
        <w:autoSpaceDN w:val="0"/>
        <w:adjustRightInd w:val="0"/>
        <w:ind w:left="709" w:right="-432"/>
        <w:jc w:val="both"/>
        <w:rPr>
          <w:rFonts w:ascii="Arial" w:eastAsiaTheme="minorEastAsia" w:hAnsi="Arial" w:cs="Arial"/>
        </w:rPr>
      </w:pPr>
    </w:p>
    <w:p w:rsidR="00F95626" w:rsidRPr="006B340E" w:rsidRDefault="00F95626" w:rsidP="006B340E">
      <w:pPr>
        <w:widowControl w:val="0"/>
        <w:autoSpaceDE w:val="0"/>
        <w:autoSpaceDN w:val="0"/>
        <w:adjustRightInd w:val="0"/>
        <w:ind w:left="709" w:right="-432"/>
        <w:jc w:val="both"/>
        <w:rPr>
          <w:rFonts w:ascii="Arial" w:eastAsiaTheme="minorEastAsia" w:hAnsi="Arial" w:cs="Arial"/>
          <w:bCs/>
        </w:rPr>
      </w:pPr>
      <w:r w:rsidRPr="006B340E">
        <w:rPr>
          <w:rFonts w:ascii="Arial" w:eastAsiaTheme="minorEastAsia" w:hAnsi="Arial" w:cs="Arial"/>
          <w:bCs/>
        </w:rPr>
        <w:t>4. L’exploitation sexuelle d’un enfant, de l’un ou de l’autre sexe, à des fins commerciales s’entend comme étant l’acte par lequel un adulte obtient les services d’un enfant pour faire des rapports sexuels en contrepartie d’une rémunération, d’une compensation ou d’une rétribution en nature ou en espèces versée à l’enfant ou à une ou plusieurs tierces personnes prévues par les articles 334 à 335 bis du Code Pénal avec ou sans le consentement de l’enfant.</w:t>
      </w:r>
    </w:p>
    <w:p w:rsidR="00F95626" w:rsidRPr="006B340E" w:rsidRDefault="00F95626" w:rsidP="006B340E">
      <w:pPr>
        <w:widowControl w:val="0"/>
        <w:autoSpaceDE w:val="0"/>
        <w:autoSpaceDN w:val="0"/>
        <w:adjustRightInd w:val="0"/>
        <w:ind w:left="709" w:right="-432"/>
        <w:jc w:val="both"/>
        <w:rPr>
          <w:rFonts w:ascii="Arial" w:eastAsiaTheme="minorEastAsia" w:hAnsi="Arial" w:cs="Arial"/>
        </w:rPr>
      </w:pPr>
    </w:p>
    <w:p w:rsidR="00F95626" w:rsidRPr="006B340E" w:rsidRDefault="00F95626" w:rsidP="006B340E">
      <w:pPr>
        <w:widowControl w:val="0"/>
        <w:autoSpaceDE w:val="0"/>
        <w:autoSpaceDN w:val="0"/>
        <w:adjustRightInd w:val="0"/>
        <w:ind w:left="709" w:right="-432"/>
        <w:jc w:val="both"/>
        <w:rPr>
          <w:rFonts w:ascii="Arial" w:eastAsiaTheme="minorEastAsia" w:hAnsi="Arial" w:cs="Arial"/>
          <w:bCs/>
        </w:rPr>
      </w:pPr>
      <w:r w:rsidRPr="006B340E">
        <w:rPr>
          <w:rFonts w:ascii="Arial" w:eastAsiaTheme="minorEastAsia" w:hAnsi="Arial" w:cs="Arial"/>
          <w:bCs/>
        </w:rPr>
        <w:t>5. Le tourisme sexuel désigne le fait pour un national ou un étranger de voyager, pour quelque motif que ce soit et, d’avoir des relations sexuelles contre rémunération financière ou autres avantages avec des enfants ou des prostituées, cherchant eux-mêmes des relations sexuelles pour en obtenir un avantage quelconque.</w:t>
      </w:r>
    </w:p>
    <w:p w:rsidR="00F95626" w:rsidRPr="006B340E" w:rsidRDefault="00F95626" w:rsidP="006B340E">
      <w:pPr>
        <w:widowControl w:val="0"/>
        <w:autoSpaceDE w:val="0"/>
        <w:autoSpaceDN w:val="0"/>
        <w:adjustRightInd w:val="0"/>
        <w:ind w:left="709" w:right="-432"/>
        <w:jc w:val="both"/>
        <w:rPr>
          <w:rFonts w:ascii="Arial" w:eastAsiaTheme="minorEastAsia" w:hAnsi="Arial" w:cs="Arial"/>
        </w:rPr>
      </w:pPr>
    </w:p>
    <w:p w:rsidR="00F95626" w:rsidRPr="006B340E" w:rsidRDefault="00F95626" w:rsidP="006B340E">
      <w:pPr>
        <w:widowControl w:val="0"/>
        <w:autoSpaceDE w:val="0"/>
        <w:autoSpaceDN w:val="0"/>
        <w:adjustRightInd w:val="0"/>
        <w:ind w:left="709" w:right="-432"/>
        <w:jc w:val="both"/>
        <w:rPr>
          <w:rFonts w:ascii="Arial" w:eastAsiaTheme="minorEastAsia" w:hAnsi="Arial" w:cs="Arial"/>
          <w:bCs/>
        </w:rPr>
      </w:pPr>
      <w:r w:rsidRPr="006B340E">
        <w:rPr>
          <w:rFonts w:ascii="Arial" w:eastAsiaTheme="minorEastAsia" w:hAnsi="Arial" w:cs="Arial"/>
          <w:bCs/>
        </w:rPr>
        <w:t>6. La pornographie mettant en scène des enfants s’entend comme toute représentation, par quelque moyen que ce soit, d’un enfant s’adonnant à des activités sexuelles explicites, réelles ou simulées ou toute représentation des organes sexuels d’un enfant, à des fins principalement sexuelles.</w:t>
      </w:r>
    </w:p>
    <w:p w:rsidR="00F95626" w:rsidRPr="006B340E" w:rsidRDefault="00F95626" w:rsidP="006B340E">
      <w:pPr>
        <w:widowControl w:val="0"/>
        <w:autoSpaceDE w:val="0"/>
        <w:autoSpaceDN w:val="0"/>
        <w:adjustRightInd w:val="0"/>
        <w:ind w:left="709" w:right="-432"/>
        <w:jc w:val="both"/>
        <w:rPr>
          <w:rFonts w:ascii="Arial" w:eastAsiaTheme="minorEastAsia" w:hAnsi="Arial" w:cs="Arial"/>
        </w:rPr>
      </w:pPr>
    </w:p>
    <w:p w:rsidR="00F95626" w:rsidRPr="006B340E" w:rsidRDefault="00F95626" w:rsidP="006B340E">
      <w:pPr>
        <w:widowControl w:val="0"/>
        <w:autoSpaceDE w:val="0"/>
        <w:autoSpaceDN w:val="0"/>
        <w:adjustRightInd w:val="0"/>
        <w:ind w:left="709" w:right="-432"/>
        <w:jc w:val="both"/>
        <w:rPr>
          <w:rFonts w:ascii="Arial" w:eastAsiaTheme="minorEastAsia" w:hAnsi="Arial" w:cs="Arial"/>
          <w:bCs/>
        </w:rPr>
      </w:pPr>
      <w:r w:rsidRPr="006B340E">
        <w:rPr>
          <w:rFonts w:ascii="Arial" w:eastAsiaTheme="minorEastAsia" w:hAnsi="Arial" w:cs="Arial"/>
          <w:bCs/>
        </w:rPr>
        <w:t>7. L’expression « vente d’enfants » désigne tout acte ou toute transaction faisant intervenir le transfert d’un enfant de toute personne ou de tout groupe de personnes à une autre personne ou un autre groupe contre rémunération ou tout autre avantage.</w:t>
      </w:r>
    </w:p>
    <w:p w:rsidR="00F95626" w:rsidRPr="006B340E" w:rsidRDefault="00F95626" w:rsidP="006B340E">
      <w:pPr>
        <w:widowControl w:val="0"/>
        <w:autoSpaceDE w:val="0"/>
        <w:autoSpaceDN w:val="0"/>
        <w:adjustRightInd w:val="0"/>
        <w:ind w:right="-432"/>
        <w:jc w:val="both"/>
        <w:rPr>
          <w:rFonts w:ascii="Arial" w:eastAsiaTheme="minorEastAsia" w:hAnsi="Arial" w:cs="Arial"/>
          <w:bCs/>
        </w:rPr>
      </w:pP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 xml:space="preserve">Le déplacement ou le non retour d’un enfant est considéré comme illicite lorsqu’il a </w:t>
      </w:r>
      <w:r w:rsidRPr="006B340E">
        <w:rPr>
          <w:rFonts w:ascii="Arial" w:eastAsiaTheme="minorEastAsia" w:hAnsi="Arial" w:cs="Arial"/>
          <w:bCs/>
        </w:rPr>
        <w:lastRenderedPageBreak/>
        <w:t>lieu en violation d’un droit de garde, attribué à une personne, une institution ou tout autre organisme, seul ou conjointement, par le droit de l’Etat dans lequel l’enfant avait sa résidence habituelle immédiatement avant son déplacement ou son non retour.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i/>
          <w:iCs/>
        </w:rPr>
        <w:t>« Art. 333 quater :</w:t>
      </w:r>
      <w:r w:rsidRPr="006B340E">
        <w:rPr>
          <w:rFonts w:ascii="Arial" w:eastAsiaTheme="minorEastAsia" w:hAnsi="Arial" w:cs="Arial"/>
          <w:bCs/>
        </w:rPr>
        <w:t xml:space="preserve"> La traite de personnes, y compris des enfants ainsi que le tourisme sexuel et l’inceste constituent des infractions.</w:t>
      </w:r>
    </w:p>
    <w:p w:rsidR="00F95626" w:rsidRPr="006B340E" w:rsidRDefault="00F95626" w:rsidP="006B340E">
      <w:pPr>
        <w:widowControl w:val="0"/>
        <w:autoSpaceDE w:val="0"/>
        <w:autoSpaceDN w:val="0"/>
        <w:adjustRightInd w:val="0"/>
        <w:ind w:left="709" w:right="-432"/>
        <w:jc w:val="both"/>
        <w:rPr>
          <w:rFonts w:ascii="Arial" w:eastAsiaTheme="minorEastAsia" w:hAnsi="Arial" w:cs="Arial"/>
          <w:bCs/>
        </w:rPr>
      </w:pPr>
      <w:r w:rsidRPr="006B340E">
        <w:rPr>
          <w:rFonts w:ascii="Arial" w:eastAsiaTheme="minorEastAsia" w:hAnsi="Arial" w:cs="Arial"/>
          <w:bCs/>
        </w:rPr>
        <w:t>Est considéré comme trafiquant d’enfants :</w:t>
      </w:r>
    </w:p>
    <w:p w:rsidR="00F95626" w:rsidRPr="006B340E" w:rsidRDefault="00F95626" w:rsidP="006B340E">
      <w:pPr>
        <w:widowControl w:val="0"/>
        <w:autoSpaceDE w:val="0"/>
        <w:autoSpaceDN w:val="0"/>
        <w:adjustRightInd w:val="0"/>
        <w:ind w:left="709" w:right="-432"/>
        <w:jc w:val="both"/>
        <w:rPr>
          <w:rFonts w:ascii="Arial" w:eastAsiaTheme="minorEastAsia" w:hAnsi="Arial" w:cs="Arial"/>
          <w:bCs/>
        </w:rPr>
      </w:pPr>
      <w:r w:rsidRPr="006B340E">
        <w:rPr>
          <w:rFonts w:ascii="Arial" w:eastAsiaTheme="minorEastAsia" w:hAnsi="Arial" w:cs="Arial"/>
          <w:bCs/>
        </w:rPr>
        <w:t>1. Quiconque recrute un enfant, le transporte, le transfère, l’héberge ou l’accueille en échange d’une rémunération ou de tout autre avantage ou d’une promesse de rémunération ou d’avantage, pour le mettre à la disposition d’un tiers, même non identifié, afin de permettre la commission contre cet enfant des infractions de proxénétisme prévues et réprimées par les articles 334 et suivants, d’agressions ou d’atteintes sexuelles, d’exploitation de la mendicité, de conditions de travail ou d’hébergement contraires à sa dignité, même s’ils ne font appel à aucun des moyens énoncés à l’article 333 ter ;</w:t>
      </w:r>
    </w:p>
    <w:p w:rsidR="00F95626" w:rsidRPr="006B340E" w:rsidRDefault="00F95626" w:rsidP="006B340E">
      <w:pPr>
        <w:widowControl w:val="0"/>
        <w:autoSpaceDE w:val="0"/>
        <w:autoSpaceDN w:val="0"/>
        <w:adjustRightInd w:val="0"/>
        <w:ind w:left="709" w:right="-432"/>
        <w:jc w:val="both"/>
        <w:rPr>
          <w:rFonts w:ascii="Arial" w:eastAsiaTheme="minorEastAsia" w:hAnsi="Arial" w:cs="Arial"/>
        </w:rPr>
      </w:pPr>
    </w:p>
    <w:p w:rsidR="00F95626" w:rsidRPr="006B340E" w:rsidRDefault="00F95626" w:rsidP="006B340E">
      <w:pPr>
        <w:widowControl w:val="0"/>
        <w:autoSpaceDE w:val="0"/>
        <w:autoSpaceDN w:val="0"/>
        <w:adjustRightInd w:val="0"/>
        <w:ind w:left="709" w:right="-432"/>
        <w:jc w:val="both"/>
        <w:rPr>
          <w:rFonts w:ascii="Arial" w:eastAsiaTheme="minorEastAsia" w:hAnsi="Arial" w:cs="Arial"/>
          <w:bCs/>
        </w:rPr>
      </w:pPr>
      <w:r w:rsidRPr="006B340E">
        <w:rPr>
          <w:rFonts w:ascii="Arial" w:eastAsiaTheme="minorEastAsia" w:hAnsi="Arial" w:cs="Arial"/>
          <w:bCs/>
        </w:rPr>
        <w:t>2. Quiconque procède au transport illégal et à la vente d’enfants sous quelque forme que ce soit et à quelque fin que ce soit, notamment l’exploitation sexuelle, le travail forcé, l’esclavage, les pratiques analogues à l’esclavage et à la servitude, avec ou sans le consentement de la victime ;</w:t>
      </w:r>
    </w:p>
    <w:p w:rsidR="00F95626" w:rsidRPr="006B340E" w:rsidRDefault="00F95626" w:rsidP="006B340E">
      <w:pPr>
        <w:widowControl w:val="0"/>
        <w:autoSpaceDE w:val="0"/>
        <w:autoSpaceDN w:val="0"/>
        <w:adjustRightInd w:val="0"/>
        <w:ind w:left="709" w:right="-432"/>
        <w:jc w:val="both"/>
        <w:rPr>
          <w:rFonts w:ascii="Arial" w:eastAsiaTheme="minorEastAsia" w:hAnsi="Arial" w:cs="Arial"/>
        </w:rPr>
      </w:pPr>
    </w:p>
    <w:p w:rsidR="00F95626" w:rsidRPr="006B340E" w:rsidRDefault="00F95626" w:rsidP="006B340E">
      <w:pPr>
        <w:widowControl w:val="0"/>
        <w:autoSpaceDE w:val="0"/>
        <w:autoSpaceDN w:val="0"/>
        <w:adjustRightInd w:val="0"/>
        <w:ind w:left="709" w:right="-432"/>
        <w:jc w:val="both"/>
        <w:rPr>
          <w:rFonts w:ascii="Arial" w:eastAsiaTheme="minorEastAsia" w:hAnsi="Arial" w:cs="Arial"/>
          <w:bCs/>
        </w:rPr>
      </w:pPr>
      <w:r w:rsidRPr="006B340E">
        <w:rPr>
          <w:rFonts w:ascii="Arial" w:eastAsiaTheme="minorEastAsia" w:hAnsi="Arial" w:cs="Arial"/>
          <w:bCs/>
        </w:rPr>
        <w:t>3. Quiconque, sachant pertinemment l’existence de proxénétisme, d’exploitation sexuelle ou de tourisme sexuel, n’aura pas dénoncé ou signalé les faits aux autorités compétentes, conformément aux dispositions des articles 69 et 70 de la loi n° 2007</w:t>
      </w:r>
      <w:r w:rsidRPr="006B340E">
        <w:rPr>
          <w:rFonts w:ascii="PT Sans" w:eastAsiaTheme="minorEastAsia" w:hAnsi="PT Sans" w:cs="PT Sans"/>
          <w:bCs/>
        </w:rPr>
        <w:t>‑</w:t>
      </w:r>
      <w:r w:rsidRPr="006B340E">
        <w:rPr>
          <w:rFonts w:ascii="Arial" w:eastAsiaTheme="minorEastAsia" w:hAnsi="Arial" w:cs="Arial"/>
          <w:bCs/>
        </w:rPr>
        <w:t>023 du 20 août 2007 sur les droits et la protection des enfants, est considéré comme complice.</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Les actes de participation sont considérés comme des infractions distinctes.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i/>
          <w:iCs/>
        </w:rPr>
        <w:t>« Art. 333 quinto :</w:t>
      </w:r>
      <w:r w:rsidRPr="006B340E">
        <w:rPr>
          <w:rFonts w:ascii="Arial" w:eastAsiaTheme="minorEastAsia" w:hAnsi="Arial" w:cs="Arial"/>
          <w:bCs/>
        </w:rPr>
        <w:t xml:space="preserve"> Le consentement de la victime de traite de personnes à l’exploitation est réputé nul et non avenu, lorsque l’un des moyens énoncés à l’article 333 quater a été utilisé. »</w:t>
      </w:r>
    </w:p>
    <w:p w:rsidR="00F95626" w:rsidRPr="00414FFE" w:rsidRDefault="00F95626" w:rsidP="00F95626">
      <w:pPr>
        <w:widowControl w:val="0"/>
        <w:autoSpaceDE w:val="0"/>
        <w:autoSpaceDN w:val="0"/>
        <w:adjustRightInd w:val="0"/>
        <w:ind w:right="-432"/>
        <w:rPr>
          <w:rFonts w:ascii="Arial" w:eastAsiaTheme="minorEastAsia" w:hAnsi="Arial" w:cs="Arial"/>
          <w:b/>
          <w:bCs/>
        </w:rPr>
      </w:pPr>
    </w:p>
    <w:p w:rsidR="00F95626" w:rsidRPr="006B340E" w:rsidRDefault="00F95626" w:rsidP="006B340E">
      <w:pPr>
        <w:widowControl w:val="0"/>
        <w:autoSpaceDE w:val="0"/>
        <w:autoSpaceDN w:val="0"/>
        <w:adjustRightInd w:val="0"/>
        <w:ind w:right="-432"/>
        <w:jc w:val="both"/>
        <w:rPr>
          <w:rFonts w:ascii="Arial" w:eastAsiaTheme="minorEastAsia" w:hAnsi="Arial" w:cs="Arial"/>
          <w:bCs/>
        </w:rPr>
      </w:pPr>
      <w:r w:rsidRPr="00414FFE">
        <w:rPr>
          <w:rFonts w:ascii="Arial" w:eastAsiaTheme="minorEastAsia" w:hAnsi="Arial" w:cs="Arial"/>
          <w:b/>
          <w:bCs/>
        </w:rPr>
        <w:t xml:space="preserve">Art. 7. - </w:t>
      </w:r>
      <w:r w:rsidRPr="006B340E">
        <w:rPr>
          <w:rFonts w:ascii="Arial" w:eastAsiaTheme="minorEastAsia" w:hAnsi="Arial" w:cs="Arial"/>
          <w:bCs/>
        </w:rPr>
        <w:t>Il est inséré, après l’article 334 bis, trois articles numérotés 334 ter, 334 quater et 334 quinto ainsi rédigés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i/>
          <w:iCs/>
        </w:rPr>
        <w:t>« Art. 334 ter :</w:t>
      </w:r>
      <w:r w:rsidRPr="006B340E">
        <w:rPr>
          <w:rFonts w:ascii="Arial" w:eastAsiaTheme="minorEastAsia" w:hAnsi="Arial" w:cs="Arial"/>
          <w:bCs/>
        </w:rPr>
        <w:t xml:space="preserve"> Quiconque embauche, entraîne ou détourne en vue de la prostitution, une personne même consentante est punie de la peine de deux (2) à cinq (5) ans et d’une amende de 1 000 000 Ar à 10 000 000 Ar.</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Si l’infraction a été commise sur la personne d’un enfant, de l’un ou de l’autre sexe, au dessous de l’âge de quinze ans, l’auteur est puni des travaux forcés à temps.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i/>
          <w:iCs/>
        </w:rPr>
        <w:t xml:space="preserve">« Art. 334 quater : </w:t>
      </w:r>
      <w:r w:rsidRPr="006B340E">
        <w:rPr>
          <w:rFonts w:ascii="Arial" w:eastAsiaTheme="minorEastAsia" w:hAnsi="Arial" w:cs="Arial"/>
          <w:bCs/>
        </w:rPr>
        <w:t>L’exploitation sexuelle, définie par l’article 333 ter, est punie de la peine de cinq (5) à dix (10) ans d’emprisonnement et d’une amende de 4 000 000 Ar à 20 000 000 Ar.</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L’exploitation sexuelle est punie des travaux forcés à temps si elle a été commise sur la personne d’un enfant, de l’un ou de l’autre sexe, au dessous de l’âge de quinze ans accomplis.</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Si l’exploitation sexuelle a été commise à des fins commerciales sur un enfant de dix huit ans, l’auteur est puni des travaux forcés à temps.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ab/>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i/>
          <w:iCs/>
        </w:rPr>
        <w:lastRenderedPageBreak/>
        <w:t xml:space="preserve">« Art. 334 quinto : </w:t>
      </w:r>
      <w:r w:rsidRPr="006B340E">
        <w:rPr>
          <w:rFonts w:ascii="Arial" w:eastAsiaTheme="minorEastAsia" w:hAnsi="Arial" w:cs="Arial"/>
          <w:bCs/>
        </w:rPr>
        <w:t xml:space="preserve">Quiconque aura consommé des rapports sexuels avec un enfant contre toute forme de rémunération ou tout autre avantage est puni de la peine d’emprisonnement de deux (2) à cinq (5) ans d’emprisonnement et d’une amende de 1 000 000 à 10 000 000 Ar. ou l’une de ces deux peines seulement. </w:t>
      </w:r>
    </w:p>
    <w:p w:rsidR="00F95626" w:rsidRPr="00414FFE" w:rsidRDefault="00F95626" w:rsidP="006B340E">
      <w:pPr>
        <w:widowControl w:val="0"/>
        <w:autoSpaceDE w:val="0"/>
        <w:autoSpaceDN w:val="0"/>
        <w:adjustRightInd w:val="0"/>
        <w:ind w:left="425" w:right="-432"/>
        <w:jc w:val="both"/>
        <w:rPr>
          <w:rFonts w:ascii="Arial" w:eastAsiaTheme="minorEastAsia" w:hAnsi="Arial" w:cs="Arial"/>
          <w:b/>
          <w:bCs/>
        </w:rPr>
      </w:pPr>
      <w:r w:rsidRPr="006B340E">
        <w:rPr>
          <w:rFonts w:ascii="Arial" w:eastAsiaTheme="minorEastAsia" w:hAnsi="Arial" w:cs="Arial"/>
          <w:bCs/>
        </w:rPr>
        <w:t>La tentative est punie des mêmes peines. »</w:t>
      </w:r>
    </w:p>
    <w:p w:rsidR="00F95626" w:rsidRPr="00414FFE" w:rsidRDefault="00F95626" w:rsidP="00F95626">
      <w:pPr>
        <w:widowControl w:val="0"/>
        <w:autoSpaceDE w:val="0"/>
        <w:autoSpaceDN w:val="0"/>
        <w:adjustRightInd w:val="0"/>
        <w:ind w:right="-432"/>
        <w:rPr>
          <w:rFonts w:ascii="Arial" w:eastAsiaTheme="minorEastAsia" w:hAnsi="Arial" w:cs="Arial"/>
          <w:b/>
          <w:bCs/>
        </w:rPr>
      </w:pPr>
    </w:p>
    <w:p w:rsidR="00F95626" w:rsidRPr="006B340E" w:rsidRDefault="00F95626" w:rsidP="006B340E">
      <w:pPr>
        <w:widowControl w:val="0"/>
        <w:autoSpaceDE w:val="0"/>
        <w:autoSpaceDN w:val="0"/>
        <w:adjustRightInd w:val="0"/>
        <w:ind w:right="-432"/>
        <w:jc w:val="both"/>
        <w:rPr>
          <w:rFonts w:ascii="Arial" w:eastAsiaTheme="minorEastAsia" w:hAnsi="Arial" w:cs="Arial"/>
          <w:bCs/>
        </w:rPr>
      </w:pPr>
      <w:r w:rsidRPr="00414FFE">
        <w:rPr>
          <w:rFonts w:ascii="Arial" w:eastAsiaTheme="minorEastAsia" w:hAnsi="Arial" w:cs="Arial"/>
          <w:b/>
          <w:bCs/>
        </w:rPr>
        <w:t xml:space="preserve">Art. 8. - </w:t>
      </w:r>
      <w:r w:rsidRPr="006B340E">
        <w:rPr>
          <w:rFonts w:ascii="Arial" w:eastAsiaTheme="minorEastAsia" w:hAnsi="Arial" w:cs="Arial"/>
          <w:bCs/>
        </w:rPr>
        <w:t>Il est inséré, après l’article 335, neuf (9) articles numérotés 335.1, 335.2, 335.3, 335.4, 335.5, 335.6, 335.7, 335.8, 335.9 ainsi rédigés :</w:t>
      </w:r>
    </w:p>
    <w:p w:rsidR="00F95626" w:rsidRPr="006B340E" w:rsidRDefault="00F95626" w:rsidP="006B340E">
      <w:pPr>
        <w:widowControl w:val="0"/>
        <w:autoSpaceDE w:val="0"/>
        <w:autoSpaceDN w:val="0"/>
        <w:adjustRightInd w:val="0"/>
        <w:ind w:right="-432"/>
        <w:jc w:val="both"/>
        <w:rPr>
          <w:rFonts w:ascii="Arial" w:eastAsiaTheme="minorEastAsia" w:hAnsi="Arial" w:cs="Arial"/>
          <w:bCs/>
        </w:rPr>
      </w:pP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i/>
          <w:iCs/>
        </w:rPr>
        <w:t>« Art. 335.1 :</w:t>
      </w:r>
      <w:r w:rsidRPr="006B340E">
        <w:rPr>
          <w:rFonts w:ascii="Arial" w:eastAsiaTheme="minorEastAsia" w:hAnsi="Arial" w:cs="Arial"/>
          <w:bCs/>
        </w:rPr>
        <w:t xml:space="preserve"> Le tourisme sexuel, défini par l’article 2, 4° de la présente loi, est puni de la peine de cinq (5) à dix (10) ans d’emprisonnement et d’une amende de 4 000 000 Ar à 20 000 000 Ar.</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Le tourisme sexuel est puni des travaux forcés à temps s’il a été commis sur la personne d’un enfant, de l’un ou de l’autre sexe, au dessous de l’âge de quinze ans accomplis.</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La pornographie mettant en scène des enfants, par toute représentation et par quelque moyen que ce soit ou la détention de matériel pornographique impliquant des enfants est punie des peines prévues par l’article 334 du Code Pénal.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i/>
          <w:iCs/>
        </w:rPr>
        <w:t>« Art.335. 2 :</w:t>
      </w:r>
      <w:r w:rsidRPr="006B340E">
        <w:rPr>
          <w:rFonts w:ascii="Arial" w:eastAsiaTheme="minorEastAsia" w:hAnsi="Arial" w:cs="Arial"/>
          <w:bCs/>
        </w:rPr>
        <w:t xml:space="preserve"> Les père et mère ou autres ascendants, qui encouragent directement ou indirectement la prostitution enfantine en le laissant mener un train de vie libéral et indépendant, favorisant l’exploitation et/ou le tourisme sexuel à son égard tant sur le plan national que dans le cadre international, sont punis de la peine de cinq (5) à dix (10) ans d’emprisonnement et d’une amende de 4 000 000 Ar à 20 000 000 Ar ou l’une de ces deux peines seulement.</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Les mêmes peines sont appliquées si l’auteur est soit le frère ou la sœur de la victime mineure ou toute personne qui occupe une position similaire au sein de la famille, soit toute personne cohabitant habituellement ou occasionnellement avec elle et qui a autorité sur elle.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ab/>
      </w:r>
      <w:r w:rsidRPr="006B340E">
        <w:rPr>
          <w:rFonts w:ascii="Arial" w:eastAsiaTheme="minorEastAsia" w:hAnsi="Arial" w:cs="Arial"/>
          <w:bCs/>
        </w:rPr>
        <w:tab/>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i/>
          <w:iCs/>
        </w:rPr>
        <w:t>« Art. 335. 3 :</w:t>
      </w:r>
      <w:r w:rsidRPr="006B340E">
        <w:rPr>
          <w:rFonts w:ascii="Arial" w:eastAsiaTheme="minorEastAsia" w:hAnsi="Arial" w:cs="Arial"/>
          <w:bCs/>
        </w:rPr>
        <w:t xml:space="preserve"> Tout rapport sexuel entre proches parents ou alliés jusqu’au 3</w:t>
      </w:r>
      <w:r w:rsidRPr="006B340E">
        <w:rPr>
          <w:rFonts w:ascii="Arial" w:eastAsiaTheme="minorEastAsia" w:hAnsi="Arial" w:cs="Arial"/>
          <w:bCs/>
          <w:vertAlign w:val="superscript"/>
        </w:rPr>
        <w:t>ème</w:t>
      </w:r>
      <w:r w:rsidRPr="006B340E">
        <w:rPr>
          <w:rFonts w:ascii="Arial" w:eastAsiaTheme="minorEastAsia" w:hAnsi="Arial" w:cs="Arial"/>
          <w:bCs/>
        </w:rPr>
        <w:t xml:space="preserve"> degré inclus, en ligne directe ou collatérale, dont le mariage est prohibé par la loi ou tout abus sexuel commis par le père ou la mère ou un autre ascendant ou une personne ayant autorité parentale sur un enfant est qualifié d’inceste.</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L’inceste est puni des travaux forcés à temps s’il a été commis sur la personne d’un enfant.</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Dans les autres cas, l’inceste est puni de cinq (5) à dix (10) ans d’emprisonnement et d’une amende de 4 000 000 Ar à 20 000 000 Ar.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ab/>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i/>
          <w:iCs/>
        </w:rPr>
        <w:t xml:space="preserve">« Art.335. 4 </w:t>
      </w:r>
      <w:r w:rsidRPr="006B340E">
        <w:rPr>
          <w:rFonts w:ascii="Arial" w:eastAsiaTheme="minorEastAsia" w:hAnsi="Arial" w:cs="Arial"/>
          <w:bCs/>
        </w:rPr>
        <w:t>: Quiconque aura transgressé aux règles fixées par les dispositions de la loi relative à l’adoption en vue d’une adoption illégale, fait constitutif de traite, sera puni des travaux forcés à temps</w:t>
      </w:r>
      <w:r w:rsidRPr="006B340E">
        <w:rPr>
          <w:rFonts w:ascii="Arial" w:eastAsiaTheme="minorEastAsia" w:hAnsi="Arial" w:cs="Arial"/>
          <w:bCs/>
          <w:i/>
          <w:iCs/>
        </w:rPr>
        <w:t>.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i/>
          <w:iCs/>
        </w:rPr>
        <w:t>« Art. 335.5 :</w:t>
      </w:r>
      <w:r w:rsidRPr="006B340E">
        <w:rPr>
          <w:rFonts w:ascii="Arial" w:eastAsiaTheme="minorEastAsia" w:hAnsi="Arial" w:cs="Arial"/>
          <w:bCs/>
        </w:rPr>
        <w:t xml:space="preserve"> Toute tentative de traite, d’exploitation sexuelle sous quelque forme que ce soit, de tourisme sexuel et d’inceste qui aura été manifestée par un commencement d’exécution, si elle n’a pas été suspendue ou si elle n’a manqué son effet que par des circonstances indépendantes de la volonté de son auteur, est considérée comme l’acte lui-même et sera punie des mêmes peines.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i/>
          <w:iCs/>
        </w:rPr>
        <w:t>« Art.335. 6 :</w:t>
      </w:r>
      <w:r w:rsidRPr="006B340E">
        <w:rPr>
          <w:rFonts w:ascii="Arial" w:eastAsiaTheme="minorEastAsia" w:hAnsi="Arial" w:cs="Arial"/>
          <w:bCs/>
        </w:rPr>
        <w:t xml:space="preserve"> L’enfant victime des infractions relatives à la traite, à l’exploitation </w:t>
      </w:r>
      <w:r w:rsidRPr="006B340E">
        <w:rPr>
          <w:rFonts w:ascii="Arial" w:eastAsiaTheme="minorEastAsia" w:hAnsi="Arial" w:cs="Arial"/>
          <w:bCs/>
        </w:rPr>
        <w:lastRenderedPageBreak/>
        <w:t>sexuelle, au tourisme sexuel et à l’inceste peut, à tout moment, signaler ou saisir le Ministère Public ou toute autre autorité compétente des faits commis à son encontre et réclamer réparation du préjudice subi.</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ab/>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i/>
          <w:iCs/>
        </w:rPr>
        <w:t>« Art.335. 7 :</w:t>
      </w:r>
      <w:r w:rsidRPr="006B340E">
        <w:rPr>
          <w:rFonts w:ascii="Arial" w:eastAsiaTheme="minorEastAsia" w:hAnsi="Arial" w:cs="Arial"/>
          <w:bCs/>
        </w:rPr>
        <w:t xml:space="preserve"> En matière d’infraction relative à la traite, à l’exploitation sexuelle, au tourisme sexuel et à l’inceste commis sur la personne d’un enfant, le délai de prescription de l’action publique ne commence à courir qu’à partir du jour où l’enfant victime atteint l’âge de dix huit ans.</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En cas de détention préventive de l’auteur, le cautionnement prévu par les articles 346 et suivants du Code de Procédure Pénale ne peut être utilisé.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i/>
          <w:iCs/>
        </w:rPr>
        <w:t xml:space="preserve">« Art. 335. 8 : </w:t>
      </w:r>
      <w:r w:rsidRPr="006B340E">
        <w:rPr>
          <w:rFonts w:ascii="Arial" w:eastAsiaTheme="minorEastAsia" w:hAnsi="Arial" w:cs="Arial"/>
          <w:bCs/>
        </w:rPr>
        <w:t>Les peines prévues pour les infractions sur la traite, l’exploitation sexuelle, le tourisme sexuel et l’inceste commis sur la personne d’un enfant sont prononcées indépendamment du moyen utilisé pour exploiter ou abuser la victime</w:t>
      </w:r>
      <w:r w:rsidRPr="006B340E">
        <w:rPr>
          <w:rFonts w:ascii="Arial" w:eastAsiaTheme="minorEastAsia" w:hAnsi="Arial" w:cs="Arial"/>
          <w:bCs/>
          <w:i/>
          <w:iCs/>
        </w:rPr>
        <w:t>.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ab/>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i/>
          <w:iCs/>
        </w:rPr>
        <w:t>« Art.335. 9 :</w:t>
      </w:r>
      <w:r w:rsidRPr="006B340E">
        <w:rPr>
          <w:rFonts w:ascii="Arial" w:eastAsiaTheme="minorEastAsia" w:hAnsi="Arial" w:cs="Arial"/>
          <w:bCs/>
        </w:rPr>
        <w:t xml:space="preserve"> Les peines prononcées pour les délits relatifs aux infractions sur la traite, l’exploitation sexuelle, le tourisme sexuel et l’inceste commis sur la personne d’un enfant ne peuvent être assorties de sursis. »</w:t>
      </w:r>
    </w:p>
    <w:p w:rsidR="00F95626" w:rsidRPr="00414FFE" w:rsidRDefault="00F95626" w:rsidP="00F95626">
      <w:pPr>
        <w:widowControl w:val="0"/>
        <w:autoSpaceDE w:val="0"/>
        <w:autoSpaceDN w:val="0"/>
        <w:adjustRightInd w:val="0"/>
        <w:ind w:right="-432"/>
        <w:rPr>
          <w:rFonts w:ascii="Arial" w:eastAsiaTheme="minorEastAsia" w:hAnsi="Arial" w:cs="Arial"/>
          <w:b/>
          <w:bCs/>
        </w:rPr>
      </w:pPr>
    </w:p>
    <w:p w:rsidR="00F95626" w:rsidRPr="006B340E" w:rsidRDefault="00F95626" w:rsidP="006B340E">
      <w:pPr>
        <w:widowControl w:val="0"/>
        <w:autoSpaceDE w:val="0"/>
        <w:autoSpaceDN w:val="0"/>
        <w:adjustRightInd w:val="0"/>
        <w:ind w:right="-432"/>
        <w:jc w:val="both"/>
        <w:rPr>
          <w:rFonts w:ascii="Arial" w:eastAsiaTheme="minorEastAsia" w:hAnsi="Arial" w:cs="Arial"/>
          <w:bCs/>
        </w:rPr>
      </w:pPr>
      <w:r w:rsidRPr="00414FFE">
        <w:rPr>
          <w:rFonts w:ascii="Arial" w:eastAsiaTheme="minorEastAsia" w:hAnsi="Arial" w:cs="Arial"/>
          <w:b/>
          <w:bCs/>
        </w:rPr>
        <w:t xml:space="preserve">Art. 9. - </w:t>
      </w:r>
      <w:r w:rsidRPr="006B340E">
        <w:rPr>
          <w:rFonts w:ascii="Arial" w:eastAsiaTheme="minorEastAsia" w:hAnsi="Arial" w:cs="Arial"/>
          <w:bCs/>
        </w:rPr>
        <w:t>Il est inséré, après l’article 335 bis, deux articles numérotés 335 ter, 335 quater ainsi rédigés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i/>
          <w:iCs/>
        </w:rPr>
        <w:t>« Art.335 ter :</w:t>
      </w:r>
      <w:r w:rsidRPr="006B340E">
        <w:rPr>
          <w:rFonts w:ascii="Arial" w:eastAsiaTheme="minorEastAsia" w:hAnsi="Arial" w:cs="Arial"/>
          <w:bCs/>
        </w:rPr>
        <w:t xml:space="preserve"> Les nationaux et les personnes ayant leur résidence habituelle à Madagascar qui se livrent à la traite, à l’exploitation sexuelle, au tourisme sexuel dans d’autres pays sont poursuivis et sanctionnés conformément aux dispositions du Code Pénal. »</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i/>
          <w:iCs/>
        </w:rPr>
        <w:t>« Art. 335 quater :</w:t>
      </w:r>
      <w:r w:rsidRPr="006B340E">
        <w:rPr>
          <w:rFonts w:ascii="Arial" w:eastAsiaTheme="minorEastAsia" w:hAnsi="Arial" w:cs="Arial"/>
          <w:bCs/>
        </w:rPr>
        <w:t xml:space="preserve"> Les demandes d’extradition des personnes recherchées aux fins de procédure dans un Etat étranger sont exécutées pour les infractions prévues à la présente loi ou aux fins de faire exécuter une peine relative à une telle infraction.</w:t>
      </w:r>
    </w:p>
    <w:p w:rsidR="00F95626" w:rsidRPr="006B340E" w:rsidRDefault="00F95626" w:rsidP="006B340E">
      <w:pPr>
        <w:widowControl w:val="0"/>
        <w:autoSpaceDE w:val="0"/>
        <w:autoSpaceDN w:val="0"/>
        <w:adjustRightInd w:val="0"/>
        <w:ind w:left="425" w:right="-432"/>
        <w:jc w:val="both"/>
        <w:rPr>
          <w:rFonts w:ascii="Arial" w:eastAsiaTheme="minorEastAsia" w:hAnsi="Arial" w:cs="Arial"/>
          <w:bCs/>
        </w:rPr>
      </w:pPr>
      <w:r w:rsidRPr="006B340E">
        <w:rPr>
          <w:rFonts w:ascii="Arial" w:eastAsiaTheme="minorEastAsia" w:hAnsi="Arial" w:cs="Arial"/>
          <w:bCs/>
        </w:rPr>
        <w:t>Les procédures et les principes prévus par le traité d’extradition en vigueur entre l’Etat requérant et Madagascar sont appliqués.</w:t>
      </w:r>
    </w:p>
    <w:p w:rsidR="00F95626" w:rsidRPr="006B340E" w:rsidRDefault="00F95626" w:rsidP="006B340E">
      <w:pPr>
        <w:widowControl w:val="0"/>
        <w:autoSpaceDE w:val="0"/>
        <w:autoSpaceDN w:val="0"/>
        <w:adjustRightInd w:val="0"/>
        <w:ind w:left="425" w:right="-432"/>
        <w:jc w:val="both"/>
        <w:rPr>
          <w:rFonts w:ascii="Arial" w:eastAsiaTheme="minorEastAsia" w:hAnsi="Arial" w:cs="Arial"/>
        </w:rPr>
      </w:pPr>
      <w:r w:rsidRPr="006B340E">
        <w:rPr>
          <w:rFonts w:ascii="Arial" w:eastAsiaTheme="minorEastAsia" w:hAnsi="Arial" w:cs="Arial"/>
          <w:bCs/>
        </w:rPr>
        <w:t>En l’absence de traité d’extradition ou de dispositions législatives, l’extradition est exécutée selon la procédure et dans le respect des principes définis par le traité type d’extradition adopté par l’Assemblée Générale des Nations Un</w:t>
      </w:r>
      <w:r w:rsidR="00414FFE" w:rsidRPr="006B340E">
        <w:rPr>
          <w:rFonts w:ascii="Arial" w:eastAsiaTheme="minorEastAsia" w:hAnsi="Arial" w:cs="Arial"/>
          <w:bCs/>
        </w:rPr>
        <w:t>ies dans sa Résolution 45/116.</w:t>
      </w:r>
    </w:p>
    <w:p w:rsidR="00F95626" w:rsidRPr="006B340E" w:rsidRDefault="00F95626" w:rsidP="006B340E">
      <w:pPr>
        <w:widowControl w:val="0"/>
        <w:autoSpaceDE w:val="0"/>
        <w:autoSpaceDN w:val="0"/>
        <w:adjustRightInd w:val="0"/>
        <w:ind w:right="-432"/>
        <w:jc w:val="both"/>
        <w:rPr>
          <w:rFonts w:ascii="Arial" w:eastAsiaTheme="minorEastAsia" w:hAnsi="Arial" w:cs="Arial"/>
        </w:rPr>
      </w:pPr>
    </w:p>
    <w:p w:rsidR="00F95626" w:rsidRPr="00414FFE" w:rsidRDefault="00F95626" w:rsidP="00F95626">
      <w:pPr>
        <w:widowControl w:val="0"/>
        <w:autoSpaceDE w:val="0"/>
        <w:autoSpaceDN w:val="0"/>
        <w:adjustRightInd w:val="0"/>
        <w:ind w:right="-432"/>
        <w:rPr>
          <w:rFonts w:ascii="Arial" w:eastAsiaTheme="minorEastAsia" w:hAnsi="Arial" w:cs="Arial"/>
        </w:rPr>
      </w:pPr>
    </w:p>
    <w:p w:rsidR="00F95626" w:rsidRPr="00414FFE" w:rsidRDefault="00F95626" w:rsidP="00F95626">
      <w:pPr>
        <w:widowControl w:val="0"/>
        <w:autoSpaceDE w:val="0"/>
        <w:autoSpaceDN w:val="0"/>
        <w:adjustRightInd w:val="0"/>
        <w:ind w:right="-432"/>
        <w:jc w:val="center"/>
        <w:rPr>
          <w:rFonts w:ascii="Arial" w:eastAsiaTheme="minorEastAsia" w:hAnsi="Arial" w:cs="Arial"/>
        </w:rPr>
      </w:pPr>
      <w:r w:rsidRPr="00414FFE">
        <w:rPr>
          <w:rFonts w:ascii="Arial" w:eastAsiaTheme="minorEastAsia" w:hAnsi="Arial" w:cs="Arial"/>
          <w:b/>
          <w:bCs/>
        </w:rPr>
        <w:t>CHAPITRE III</w:t>
      </w:r>
    </w:p>
    <w:p w:rsidR="00F95626" w:rsidRPr="00414FFE" w:rsidRDefault="00F95626" w:rsidP="00F95626">
      <w:pPr>
        <w:widowControl w:val="0"/>
        <w:autoSpaceDE w:val="0"/>
        <w:autoSpaceDN w:val="0"/>
        <w:adjustRightInd w:val="0"/>
        <w:ind w:right="-432"/>
        <w:jc w:val="center"/>
        <w:rPr>
          <w:rFonts w:ascii="Arial" w:eastAsiaTheme="minorEastAsia" w:hAnsi="Arial" w:cs="Arial"/>
          <w:b/>
          <w:bCs/>
        </w:rPr>
      </w:pPr>
      <w:r w:rsidRPr="00414FFE">
        <w:rPr>
          <w:rFonts w:ascii="Arial" w:eastAsiaTheme="minorEastAsia" w:hAnsi="Arial" w:cs="Arial"/>
          <w:b/>
          <w:bCs/>
        </w:rPr>
        <w:t>DES DISPOSITIONS FINALES</w:t>
      </w:r>
    </w:p>
    <w:p w:rsidR="00F95626" w:rsidRPr="00414FFE" w:rsidRDefault="00F95626" w:rsidP="00F95626">
      <w:pPr>
        <w:widowControl w:val="0"/>
        <w:autoSpaceDE w:val="0"/>
        <w:autoSpaceDN w:val="0"/>
        <w:adjustRightInd w:val="0"/>
        <w:ind w:right="-432"/>
        <w:rPr>
          <w:rFonts w:ascii="Arial" w:eastAsiaTheme="minorEastAsia" w:hAnsi="Arial" w:cs="Arial"/>
          <w:b/>
          <w:bCs/>
        </w:rPr>
      </w:pPr>
      <w:r w:rsidRPr="00414FFE">
        <w:rPr>
          <w:rFonts w:ascii="Arial" w:eastAsiaTheme="minorEastAsia" w:hAnsi="Arial" w:cs="Arial"/>
          <w:b/>
          <w:bCs/>
        </w:rPr>
        <w:tab/>
        <w:t xml:space="preserve"> </w:t>
      </w:r>
    </w:p>
    <w:p w:rsidR="00F95626" w:rsidRPr="006B340E" w:rsidRDefault="00F95626" w:rsidP="006B340E">
      <w:pPr>
        <w:widowControl w:val="0"/>
        <w:autoSpaceDE w:val="0"/>
        <w:autoSpaceDN w:val="0"/>
        <w:adjustRightInd w:val="0"/>
        <w:ind w:right="-432"/>
        <w:jc w:val="both"/>
        <w:rPr>
          <w:rFonts w:ascii="Arial" w:eastAsiaTheme="minorEastAsia" w:hAnsi="Arial" w:cs="Arial"/>
          <w:bCs/>
        </w:rPr>
      </w:pPr>
      <w:r w:rsidRPr="00414FFE">
        <w:rPr>
          <w:rFonts w:ascii="Arial" w:eastAsiaTheme="minorEastAsia" w:hAnsi="Arial" w:cs="Arial"/>
          <w:b/>
          <w:bCs/>
        </w:rPr>
        <w:t xml:space="preserve">Art. 10. - </w:t>
      </w:r>
      <w:r w:rsidRPr="006B340E">
        <w:rPr>
          <w:rFonts w:ascii="Arial" w:eastAsiaTheme="minorEastAsia" w:hAnsi="Arial" w:cs="Arial"/>
          <w:bCs/>
        </w:rPr>
        <w:t>Des textes réglementaires seront pris pour l’application de la présente loi.</w:t>
      </w:r>
    </w:p>
    <w:p w:rsidR="00F95626" w:rsidRPr="006B340E" w:rsidRDefault="00F95626" w:rsidP="006B340E">
      <w:pPr>
        <w:widowControl w:val="0"/>
        <w:autoSpaceDE w:val="0"/>
        <w:autoSpaceDN w:val="0"/>
        <w:adjustRightInd w:val="0"/>
        <w:ind w:right="-432"/>
        <w:jc w:val="both"/>
        <w:rPr>
          <w:rFonts w:ascii="Arial" w:eastAsiaTheme="minorEastAsia" w:hAnsi="Arial" w:cs="Arial"/>
          <w:bCs/>
        </w:rPr>
      </w:pPr>
    </w:p>
    <w:p w:rsidR="00F95626" w:rsidRPr="00414FFE" w:rsidRDefault="00F95626" w:rsidP="006B340E">
      <w:pPr>
        <w:widowControl w:val="0"/>
        <w:autoSpaceDE w:val="0"/>
        <w:autoSpaceDN w:val="0"/>
        <w:adjustRightInd w:val="0"/>
        <w:ind w:right="-432"/>
        <w:jc w:val="both"/>
        <w:rPr>
          <w:rFonts w:ascii="Arial" w:eastAsiaTheme="minorEastAsia" w:hAnsi="Arial" w:cs="Arial"/>
          <w:b/>
          <w:bCs/>
        </w:rPr>
      </w:pPr>
      <w:r w:rsidRPr="00414FFE">
        <w:rPr>
          <w:rFonts w:ascii="Arial" w:eastAsiaTheme="minorEastAsia" w:hAnsi="Arial" w:cs="Arial"/>
          <w:b/>
          <w:bCs/>
        </w:rPr>
        <w:t xml:space="preserve">Art. 11. - </w:t>
      </w:r>
      <w:r w:rsidRPr="006B340E">
        <w:rPr>
          <w:rFonts w:ascii="Arial" w:eastAsiaTheme="minorEastAsia" w:hAnsi="Arial" w:cs="Arial"/>
          <w:bCs/>
        </w:rPr>
        <w:t xml:space="preserve">La présente loi sera publiée au </w:t>
      </w:r>
      <w:r w:rsidRPr="006B340E">
        <w:rPr>
          <w:rFonts w:ascii="Arial" w:eastAsiaTheme="minorEastAsia" w:hAnsi="Arial" w:cs="Arial"/>
          <w:bCs/>
          <w:i/>
          <w:iCs/>
        </w:rPr>
        <w:t>Journal officiel</w:t>
      </w:r>
      <w:r w:rsidRPr="006B340E">
        <w:rPr>
          <w:rFonts w:ascii="Arial" w:eastAsiaTheme="minorEastAsia" w:hAnsi="Arial" w:cs="Arial"/>
          <w:bCs/>
        </w:rPr>
        <w:t xml:space="preserve"> de la République de Madagascar. Elle sera exécutée comme loi de l’Etat</w:t>
      </w:r>
      <w:r w:rsidRPr="00414FFE">
        <w:rPr>
          <w:rFonts w:ascii="Arial" w:eastAsiaTheme="minorEastAsia" w:hAnsi="Arial" w:cs="Arial"/>
          <w:b/>
          <w:bCs/>
        </w:rPr>
        <w:t>.</w:t>
      </w:r>
    </w:p>
    <w:p w:rsidR="00F95626" w:rsidRPr="00414FFE" w:rsidRDefault="00F95626" w:rsidP="00F95626">
      <w:pPr>
        <w:widowControl w:val="0"/>
        <w:autoSpaceDE w:val="0"/>
        <w:autoSpaceDN w:val="0"/>
        <w:adjustRightInd w:val="0"/>
        <w:ind w:right="-432"/>
        <w:rPr>
          <w:rFonts w:ascii="Arial" w:eastAsiaTheme="minorEastAsia" w:hAnsi="Arial" w:cs="Arial"/>
          <w:b/>
          <w:bCs/>
        </w:rPr>
      </w:pPr>
    </w:p>
    <w:p w:rsidR="00F95626" w:rsidRPr="00414FFE" w:rsidRDefault="00F95626" w:rsidP="00F95626">
      <w:pPr>
        <w:widowControl w:val="0"/>
        <w:autoSpaceDE w:val="0"/>
        <w:autoSpaceDN w:val="0"/>
        <w:adjustRightInd w:val="0"/>
        <w:ind w:right="-432"/>
        <w:rPr>
          <w:rFonts w:ascii="Arial" w:eastAsiaTheme="minorEastAsia" w:hAnsi="Arial" w:cs="Arial"/>
          <w:b/>
          <w:bCs/>
        </w:rPr>
      </w:pPr>
      <w:r w:rsidRPr="00414FFE">
        <w:rPr>
          <w:rFonts w:ascii="Arial" w:eastAsiaTheme="minorEastAsia" w:hAnsi="Arial" w:cs="Arial"/>
          <w:b/>
          <w:bCs/>
        </w:rPr>
        <w:tab/>
      </w:r>
      <w:r w:rsidRPr="00414FFE">
        <w:rPr>
          <w:rFonts w:ascii="Arial" w:eastAsiaTheme="minorEastAsia" w:hAnsi="Arial" w:cs="Arial"/>
          <w:b/>
          <w:bCs/>
        </w:rPr>
        <w:tab/>
      </w:r>
      <w:r w:rsidRPr="00414FFE">
        <w:rPr>
          <w:rFonts w:ascii="Arial" w:eastAsiaTheme="minorEastAsia" w:hAnsi="Arial" w:cs="Arial"/>
          <w:b/>
          <w:bCs/>
        </w:rPr>
        <w:tab/>
      </w:r>
    </w:p>
    <w:p w:rsidR="00F95626" w:rsidRPr="00414FFE" w:rsidRDefault="00F95626" w:rsidP="00F95626">
      <w:pPr>
        <w:widowControl w:val="0"/>
        <w:autoSpaceDE w:val="0"/>
        <w:autoSpaceDN w:val="0"/>
        <w:adjustRightInd w:val="0"/>
        <w:ind w:right="-432"/>
        <w:rPr>
          <w:rFonts w:ascii="Arial" w:eastAsiaTheme="minorEastAsia" w:hAnsi="Arial" w:cs="Arial"/>
        </w:rPr>
      </w:pPr>
      <w:r w:rsidRPr="00414FFE">
        <w:rPr>
          <w:rFonts w:ascii="Arial" w:eastAsiaTheme="minorEastAsia" w:hAnsi="Arial" w:cs="Arial"/>
          <w:b/>
          <w:bCs/>
        </w:rPr>
        <w:t xml:space="preserve">Promulguée à Antananarivo, le 14 janvier 2008 </w:t>
      </w:r>
    </w:p>
    <w:p w:rsidR="00F95626" w:rsidRPr="00414FFE" w:rsidRDefault="006B340E" w:rsidP="006B340E">
      <w:pPr>
        <w:widowControl w:val="0"/>
        <w:autoSpaceDE w:val="0"/>
        <w:autoSpaceDN w:val="0"/>
        <w:adjustRightInd w:val="0"/>
        <w:ind w:right="-432"/>
      </w:pPr>
      <w:r>
        <w:rPr>
          <w:rFonts w:ascii="Arial" w:eastAsiaTheme="minorEastAsia" w:hAnsi="Arial" w:cs="Arial"/>
          <w:b/>
          <w:bCs/>
        </w:rPr>
        <w:t>Marc RAVALOMANANA</w:t>
      </w:r>
    </w:p>
    <w:sectPr w:rsidR="00F95626" w:rsidRPr="00414FFE" w:rsidSect="00AB4940">
      <w:footerReference w:type="even" r:id="rId7"/>
      <w:footerReference w:type="default" r:id="rId8"/>
      <w:pgSz w:w="11906" w:h="16838"/>
      <w:pgMar w:top="1417" w:right="1417" w:bottom="1417" w:left="1417"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940" w:rsidRDefault="00AB4940" w:rsidP="00002269">
      <w:r>
        <w:separator/>
      </w:r>
    </w:p>
  </w:endnote>
  <w:endnote w:type="continuationSeparator" w:id="0">
    <w:p w:rsidR="00AB4940" w:rsidRDefault="00AB4940" w:rsidP="000022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ＭＳ 明朝">
    <w:charset w:val="4E"/>
    <w:family w:val="auto"/>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PT Sans">
    <w:altName w:val="Corbel"/>
    <w:charset w:val="00"/>
    <w:family w:val="auto"/>
    <w:pitch w:val="variable"/>
    <w:sig w:usb0="00000001" w:usb1="5000204B" w:usb2="00000000" w:usb3="00000000" w:csb0="00000097" w:csb1="00000000"/>
  </w:font>
  <w:font w:name="Calibri">
    <w:panose1 w:val="020F0502020204030204"/>
    <w:charset w:val="00"/>
    <w:family w:val="swiss"/>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940" w:rsidRDefault="00792FD5" w:rsidP="00AB4940">
    <w:pPr>
      <w:pStyle w:val="Pieddepage"/>
      <w:framePr w:wrap="around" w:vAnchor="text" w:hAnchor="margin" w:xAlign="right" w:y="1"/>
      <w:rPr>
        <w:rStyle w:val="Numrodepage"/>
      </w:rPr>
    </w:pPr>
    <w:r>
      <w:rPr>
        <w:rStyle w:val="Numrodepage"/>
      </w:rPr>
      <w:fldChar w:fldCharType="begin"/>
    </w:r>
    <w:r w:rsidR="00AB4940">
      <w:rPr>
        <w:rStyle w:val="Numrodepage"/>
      </w:rPr>
      <w:instrText xml:space="preserve">PAGE  </w:instrText>
    </w:r>
    <w:r>
      <w:rPr>
        <w:rStyle w:val="Numrodepage"/>
      </w:rPr>
      <w:fldChar w:fldCharType="end"/>
    </w:r>
  </w:p>
  <w:p w:rsidR="00AB4940" w:rsidRDefault="00792FD5" w:rsidP="00AB4940">
    <w:pPr>
      <w:pStyle w:val="Pieddepage"/>
      <w:framePr w:wrap="around" w:vAnchor="text" w:hAnchor="margin" w:xAlign="right" w:y="1"/>
      <w:ind w:right="360"/>
      <w:rPr>
        <w:rStyle w:val="Numrodepage"/>
      </w:rPr>
    </w:pPr>
    <w:r>
      <w:rPr>
        <w:rStyle w:val="Numrodepage"/>
      </w:rPr>
      <w:fldChar w:fldCharType="begin"/>
    </w:r>
    <w:r w:rsidR="00AB4940">
      <w:rPr>
        <w:rStyle w:val="Numrodepage"/>
      </w:rPr>
      <w:instrText xml:space="preserve">PAGE  </w:instrText>
    </w:r>
    <w:r>
      <w:rPr>
        <w:rStyle w:val="Numrodepage"/>
      </w:rPr>
      <w:fldChar w:fldCharType="end"/>
    </w:r>
  </w:p>
  <w:p w:rsidR="00AB4940" w:rsidRDefault="00AB4940" w:rsidP="00AB4940">
    <w:pPr>
      <w:pStyle w:val="Pieddepag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940" w:rsidRPr="00C17C88" w:rsidRDefault="00792FD5" w:rsidP="00C17C88">
    <w:pPr>
      <w:pStyle w:val="Pieddepage"/>
      <w:framePr w:wrap="around" w:vAnchor="text" w:hAnchor="margin" w:xAlign="right" w:y="1"/>
      <w:jc w:val="right"/>
      <w:rPr>
        <w:rStyle w:val="Numrodepage"/>
        <w:rFonts w:ascii="Arial" w:hAnsi="Arial" w:cs="Arial"/>
      </w:rPr>
    </w:pPr>
    <w:r w:rsidRPr="00C17C88">
      <w:rPr>
        <w:rStyle w:val="Numrodepage"/>
        <w:rFonts w:ascii="Arial" w:hAnsi="Arial" w:cs="Arial"/>
      </w:rPr>
      <w:fldChar w:fldCharType="begin"/>
    </w:r>
    <w:r w:rsidR="00AB4940" w:rsidRPr="00C17C88">
      <w:rPr>
        <w:rStyle w:val="Numrodepage"/>
        <w:rFonts w:ascii="Arial" w:hAnsi="Arial" w:cs="Arial"/>
      </w:rPr>
      <w:instrText xml:space="preserve">PAGE  </w:instrText>
    </w:r>
    <w:r w:rsidRPr="00C17C88">
      <w:rPr>
        <w:rStyle w:val="Numrodepage"/>
        <w:rFonts w:ascii="Arial" w:hAnsi="Arial" w:cs="Arial"/>
      </w:rPr>
      <w:fldChar w:fldCharType="separate"/>
    </w:r>
    <w:r w:rsidR="00D25495">
      <w:rPr>
        <w:rStyle w:val="Numrodepage"/>
        <w:rFonts w:ascii="Arial" w:hAnsi="Arial" w:cs="Arial"/>
        <w:noProof/>
      </w:rPr>
      <w:t>46</w:t>
    </w:r>
    <w:r w:rsidRPr="00C17C88">
      <w:rPr>
        <w:rStyle w:val="Numrodepage"/>
        <w:rFonts w:ascii="Arial" w:hAnsi="Arial" w:cs="Arial"/>
      </w:rPr>
      <w:fldChar w:fldCharType="end"/>
    </w:r>
  </w:p>
  <w:p w:rsidR="00AB4940" w:rsidRDefault="00AB4940" w:rsidP="00AB4940">
    <w:pPr>
      <w:pStyle w:val="Pieddepage"/>
      <w:framePr w:wrap="around" w:vAnchor="text" w:hAnchor="margin" w:xAlign="right" w:y="1"/>
      <w:ind w:right="360"/>
      <w:rPr>
        <w:rStyle w:val="Numrodepage"/>
      </w:rPr>
    </w:pPr>
  </w:p>
  <w:p w:rsidR="00AB4940" w:rsidRDefault="00AB4940" w:rsidP="00C17C88">
    <w:pPr>
      <w:pStyle w:val="Pieddepage"/>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940" w:rsidRDefault="00AB4940" w:rsidP="00002269">
      <w:r>
        <w:separator/>
      </w:r>
    </w:p>
  </w:footnote>
  <w:footnote w:type="continuationSeparator" w:id="0">
    <w:p w:rsidR="00AB4940" w:rsidRDefault="00AB4940" w:rsidP="000022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00000066">
      <w:start w:val="1"/>
      <w:numFmt w:val="decimal"/>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4"/>
      <w:numFmt w:val="lowerLetter"/>
      <w:lvlText w:val="%1."/>
      <w:lvlJc w:val="left"/>
      <w:pPr>
        <w:ind w:left="720" w:hanging="360"/>
      </w:pPr>
    </w:lvl>
    <w:lvl w:ilvl="1" w:tplc="000000CA">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upperLetter"/>
      <w:lvlText w:val="%1."/>
      <w:lvlJc w:val="left"/>
      <w:pPr>
        <w:ind w:left="720" w:hanging="360"/>
      </w:pPr>
    </w:lvl>
    <w:lvl w:ilvl="1" w:tplc="0000012E">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lowerLetter"/>
      <w:lvlText w:val="%1."/>
      <w:lvlJc w:val="left"/>
      <w:pPr>
        <w:ind w:left="720" w:hanging="360"/>
      </w:pPr>
    </w:lvl>
    <w:lvl w:ilvl="1" w:tplc="00000192">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3"/>
      <w:numFmt w:val="upperLetter"/>
      <w:lvlText w:val="%1."/>
      <w:lvlJc w:val="left"/>
      <w:pPr>
        <w:ind w:left="720" w:hanging="360"/>
      </w:pPr>
    </w:lvl>
    <w:lvl w:ilvl="1" w:tplc="00000322">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3"/>
      <w:numFmt w:val="bullet"/>
      <w:lvlText w:val="•"/>
      <w:lvlJc w:val="left"/>
      <w:pPr>
        <w:ind w:left="720" w:hanging="360"/>
      </w:pPr>
    </w:lvl>
    <w:lvl w:ilvl="1" w:tplc="000003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upperLetter"/>
      <w:lvlText w:val="%1."/>
      <w:lvlJc w:val="left"/>
      <w:pPr>
        <w:ind w:left="720" w:hanging="360"/>
      </w:pPr>
    </w:lvl>
    <w:lvl w:ilvl="1" w:tplc="000003EA">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decimal"/>
      <w:lvlText w:val="%1."/>
      <w:lvlJc w:val="left"/>
      <w:pPr>
        <w:ind w:left="720" w:hanging="360"/>
      </w:pPr>
    </w:lvl>
    <w:lvl w:ilvl="1" w:tplc="0000044E">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000004B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0000051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0000057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4"/>
      <w:numFmt w:val="lowerLetter"/>
      <w:lvlText w:val="%1."/>
      <w:lvlJc w:val="left"/>
      <w:pPr>
        <w:ind w:left="720" w:hanging="360"/>
      </w:pPr>
    </w:lvl>
    <w:lvl w:ilvl="1" w:tplc="000005DE">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3"/>
      <w:numFmt w:val="decimal"/>
      <w:lvlText w:val="%1."/>
      <w:lvlJc w:val="left"/>
      <w:pPr>
        <w:ind w:left="720" w:hanging="360"/>
      </w:pPr>
    </w:lvl>
    <w:lvl w:ilvl="1" w:tplc="00000642">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upperLetter"/>
      <w:lvlText w:val="%1."/>
      <w:lvlJc w:val="left"/>
      <w:pPr>
        <w:ind w:left="720" w:hanging="360"/>
      </w:pPr>
    </w:lvl>
    <w:lvl w:ilvl="1" w:tplc="000006A6">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decimal"/>
      <w:lvlText w:val="%1."/>
      <w:lvlJc w:val="left"/>
      <w:pPr>
        <w:ind w:left="720" w:hanging="360"/>
      </w:pPr>
    </w:lvl>
    <w:lvl w:ilvl="1" w:tplc="0000070A">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000007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decimal"/>
      <w:lvlText w:val="%1."/>
      <w:lvlJc w:val="left"/>
      <w:pPr>
        <w:ind w:left="720" w:hanging="360"/>
      </w:pPr>
    </w:lvl>
    <w:lvl w:ilvl="1" w:tplc="000007D2">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decimal"/>
      <w:lvlText w:val="%1."/>
      <w:lvlJc w:val="left"/>
      <w:pPr>
        <w:ind w:left="720" w:hanging="360"/>
      </w:pPr>
    </w:lvl>
    <w:lvl w:ilvl="1" w:tplc="00000836">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decimal"/>
      <w:lvlText w:val="%1."/>
      <w:lvlJc w:val="left"/>
      <w:pPr>
        <w:ind w:left="720" w:hanging="360"/>
      </w:pPr>
    </w:lvl>
    <w:lvl w:ilvl="1" w:tplc="0000089A">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000008F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0000096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3"/>
      <w:numFmt w:val="bullet"/>
      <w:lvlText w:val="•"/>
      <w:lvlJc w:val="left"/>
      <w:pPr>
        <w:ind w:left="720" w:hanging="360"/>
      </w:pPr>
    </w:lvl>
    <w:lvl w:ilvl="1" w:tplc="000009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3"/>
      <w:numFmt w:val="bullet"/>
      <w:lvlText w:val="•"/>
      <w:lvlJc w:val="left"/>
      <w:pPr>
        <w:ind w:left="720" w:hanging="360"/>
      </w:pPr>
    </w:lvl>
    <w:lvl w:ilvl="1" w:tplc="00000A2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00000A8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B0C0007"/>
    <w:multiLevelType w:val="hybridMultilevel"/>
    <w:tmpl w:val="D1C031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35F93E4D"/>
    <w:multiLevelType w:val="hybridMultilevel"/>
    <w:tmpl w:val="D5C8FA24"/>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3ECC64B7"/>
    <w:multiLevelType w:val="hybridMultilevel"/>
    <w:tmpl w:val="E9842AB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3FDA4608"/>
    <w:multiLevelType w:val="hybridMultilevel"/>
    <w:tmpl w:val="0BFACE68"/>
    <w:lvl w:ilvl="0" w:tplc="040C000F">
      <w:start w:val="1"/>
      <w:numFmt w:val="decimal"/>
      <w:lvlText w:val="%1."/>
      <w:lvlJc w:val="left"/>
      <w:pPr>
        <w:ind w:left="720" w:hanging="360"/>
      </w:pPr>
      <w:rPr>
        <w:rFonts w:hint="default"/>
      </w:rPr>
    </w:lvl>
    <w:lvl w:ilvl="1" w:tplc="13700D4C">
      <w:start w:val="1"/>
      <w:numFmt w:val="low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3FDB7122"/>
    <w:multiLevelType w:val="hybridMultilevel"/>
    <w:tmpl w:val="456A755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52FB2D12"/>
    <w:multiLevelType w:val="hybridMultilevel"/>
    <w:tmpl w:val="6BD446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779339C"/>
    <w:multiLevelType w:val="hybridMultilevel"/>
    <w:tmpl w:val="BF34D168"/>
    <w:lvl w:ilvl="0" w:tplc="040C0015">
      <w:start w:val="2"/>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30"/>
  </w:num>
  <w:num w:numId="31">
    <w:abstractNumId w:val="29"/>
  </w:num>
  <w:num w:numId="32">
    <w:abstractNumId w:val="33"/>
  </w:num>
  <w:num w:numId="33">
    <w:abstractNumId w:val="34"/>
  </w:num>
  <w:num w:numId="34">
    <w:abstractNumId w:val="32"/>
  </w:num>
  <w:num w:numId="35">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FELayout/>
  </w:compat>
  <w:rsids>
    <w:rsidRoot w:val="00F95626"/>
    <w:rsid w:val="00002269"/>
    <w:rsid w:val="00347DE4"/>
    <w:rsid w:val="00407E3B"/>
    <w:rsid w:val="00414FFE"/>
    <w:rsid w:val="006B340E"/>
    <w:rsid w:val="006E7FA5"/>
    <w:rsid w:val="00792FD5"/>
    <w:rsid w:val="00AB4940"/>
    <w:rsid w:val="00C17C88"/>
    <w:rsid w:val="00D25495"/>
    <w:rsid w:val="00F95626"/>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626"/>
    <w:rPr>
      <w:rFonts w:ascii="Times New Roman" w:eastAsia="Times New Roman" w:hAnsi="Times New Roman" w:cs="Times New Roman"/>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47DE4"/>
    <w:pPr>
      <w:ind w:left="720"/>
      <w:contextualSpacing/>
    </w:pPr>
  </w:style>
  <w:style w:type="paragraph" w:styleId="Pieddepage">
    <w:name w:val="footer"/>
    <w:basedOn w:val="Normal"/>
    <w:link w:val="PieddepageCar"/>
    <w:uiPriority w:val="99"/>
    <w:unhideWhenUsed/>
    <w:rsid w:val="00002269"/>
    <w:pPr>
      <w:tabs>
        <w:tab w:val="center" w:pos="4536"/>
        <w:tab w:val="right" w:pos="9072"/>
      </w:tabs>
    </w:pPr>
  </w:style>
  <w:style w:type="character" w:customStyle="1" w:styleId="PieddepageCar">
    <w:name w:val="Pied de page Car"/>
    <w:basedOn w:val="Policepardfaut"/>
    <w:link w:val="Pieddepage"/>
    <w:uiPriority w:val="99"/>
    <w:rsid w:val="00002269"/>
    <w:rPr>
      <w:rFonts w:ascii="Times New Roman" w:eastAsia="Times New Roman" w:hAnsi="Times New Roman" w:cs="Times New Roman"/>
      <w:lang w:val="fr-FR"/>
    </w:rPr>
  </w:style>
  <w:style w:type="character" w:styleId="Numrodepage">
    <w:name w:val="page number"/>
    <w:basedOn w:val="Policepardfaut"/>
    <w:uiPriority w:val="99"/>
    <w:semiHidden/>
    <w:unhideWhenUsed/>
    <w:rsid w:val="00002269"/>
  </w:style>
  <w:style w:type="paragraph" w:styleId="En-tte">
    <w:name w:val="header"/>
    <w:basedOn w:val="Normal"/>
    <w:link w:val="En-tteCar"/>
    <w:uiPriority w:val="99"/>
    <w:unhideWhenUsed/>
    <w:rsid w:val="00002269"/>
    <w:pPr>
      <w:tabs>
        <w:tab w:val="center" w:pos="4536"/>
        <w:tab w:val="right" w:pos="9072"/>
      </w:tabs>
    </w:pPr>
  </w:style>
  <w:style w:type="character" w:customStyle="1" w:styleId="En-tteCar">
    <w:name w:val="En-tête Car"/>
    <w:basedOn w:val="Policepardfaut"/>
    <w:link w:val="En-tte"/>
    <w:uiPriority w:val="99"/>
    <w:rsid w:val="00002269"/>
    <w:rPr>
      <w:rFonts w:ascii="Times New Roman" w:eastAsia="Times New Roman" w:hAnsi="Times New Roman" w:cs="Times New Roman"/>
      <w:lang w:val="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626"/>
    <w:rPr>
      <w:rFonts w:ascii="Times New Roman" w:eastAsia="Times New Roman" w:hAnsi="Times New Roman" w:cs="Times New Roman"/>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47DE4"/>
    <w:pPr>
      <w:ind w:left="720"/>
      <w:contextualSpacing/>
    </w:pPr>
  </w:style>
  <w:style w:type="paragraph" w:styleId="Pieddepage">
    <w:name w:val="footer"/>
    <w:basedOn w:val="Normal"/>
    <w:link w:val="PieddepageCar"/>
    <w:uiPriority w:val="99"/>
    <w:unhideWhenUsed/>
    <w:rsid w:val="00002269"/>
    <w:pPr>
      <w:tabs>
        <w:tab w:val="center" w:pos="4536"/>
        <w:tab w:val="right" w:pos="9072"/>
      </w:tabs>
    </w:pPr>
  </w:style>
  <w:style w:type="character" w:customStyle="1" w:styleId="PieddepageCar">
    <w:name w:val="Pied de page Car"/>
    <w:basedOn w:val="Policepardfaut"/>
    <w:link w:val="Pieddepage"/>
    <w:uiPriority w:val="99"/>
    <w:rsid w:val="00002269"/>
    <w:rPr>
      <w:rFonts w:ascii="Times New Roman" w:eastAsia="Times New Roman" w:hAnsi="Times New Roman" w:cs="Times New Roman"/>
      <w:lang w:val="fr-FR"/>
    </w:rPr>
  </w:style>
  <w:style w:type="character" w:styleId="Numrodepage">
    <w:name w:val="page number"/>
    <w:basedOn w:val="Policepardfaut"/>
    <w:uiPriority w:val="99"/>
    <w:semiHidden/>
    <w:unhideWhenUsed/>
    <w:rsid w:val="00002269"/>
  </w:style>
  <w:style w:type="paragraph" w:styleId="En-tte">
    <w:name w:val="header"/>
    <w:basedOn w:val="Normal"/>
    <w:link w:val="En-tteCar"/>
    <w:uiPriority w:val="99"/>
    <w:unhideWhenUsed/>
    <w:rsid w:val="00002269"/>
    <w:pPr>
      <w:tabs>
        <w:tab w:val="center" w:pos="4536"/>
        <w:tab w:val="right" w:pos="9072"/>
      </w:tabs>
    </w:pPr>
  </w:style>
  <w:style w:type="character" w:customStyle="1" w:styleId="En-tteCar">
    <w:name w:val="En-tête Car"/>
    <w:basedOn w:val="Policepardfaut"/>
    <w:link w:val="En-tte"/>
    <w:uiPriority w:val="99"/>
    <w:rsid w:val="00002269"/>
    <w:rPr>
      <w:rFonts w:ascii="Times New Roman" w:eastAsia="Times New Roman" w:hAnsi="Times New Roman" w:cs="Times New Roman"/>
      <w:lang w:val="fr-FR"/>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218C7B-3BC2-4428-8466-460095AD51A7}"/>
</file>

<file path=customXml/itemProps2.xml><?xml version="1.0" encoding="utf-8"?>
<ds:datastoreItem xmlns:ds="http://schemas.openxmlformats.org/officeDocument/2006/customXml" ds:itemID="{F892FCD3-4582-440B-9B87-8DB76FF04D70}"/>
</file>

<file path=customXml/itemProps3.xml><?xml version="1.0" encoding="utf-8"?>
<ds:datastoreItem xmlns:ds="http://schemas.openxmlformats.org/officeDocument/2006/customXml" ds:itemID="{E167416B-C5CF-4DCD-96FC-12C141F647C4}"/>
</file>

<file path=docProps/app.xml><?xml version="1.0" encoding="utf-8"?>
<Properties xmlns="http://schemas.openxmlformats.org/officeDocument/2006/extended-properties" xmlns:vt="http://schemas.openxmlformats.org/officeDocument/2006/docPropsVTypes">
  <Template>Normal.dotm</Template>
  <TotalTime>0</TotalTime>
  <Pages>46</Pages>
  <Words>15312</Words>
  <Characters>84219</Characters>
  <Application>Microsoft Office Word</Application>
  <DocSecurity>0</DocSecurity>
  <Lines>701</Lines>
  <Paragraphs>198</Paragraphs>
  <ScaleCrop>false</ScaleCrop>
  <Company/>
  <LinksUpToDate>false</LinksUpToDate>
  <CharactersWithSpaces>99333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Mialy ANDRIAMANANTSOA</dc:creator>
  <cp:lastModifiedBy>User2</cp:lastModifiedBy>
  <cp:revision>2</cp:revision>
  <dcterms:created xsi:type="dcterms:W3CDTF">2012-11-12T11:13:00Z</dcterms:created>
  <dcterms:modified xsi:type="dcterms:W3CDTF">2012-11-12T11:13:00Z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