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8B8DC" w14:textId="69074A18" w:rsidR="004576D5" w:rsidRPr="004576D5" w:rsidRDefault="004576D5" w:rsidP="004576D5">
      <w:pPr>
        <w:jc w:val="center"/>
        <w:rPr>
          <w:rFonts w:ascii="Aptos" w:hAnsi="Aptos" w:cstheme="majorBidi"/>
          <w:b/>
          <w:color w:val="4472C4" w:themeColor="accen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6D5">
        <w:rPr>
          <w:rFonts w:ascii="Aptos" w:hAnsi="Aptos" w:cstheme="majorBidi"/>
          <w:b/>
          <w:color w:val="4472C4" w:themeColor="accen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Alliance for Peace and Development</w:t>
      </w:r>
    </w:p>
    <w:p w14:paraId="0658AD36" w14:textId="6B0230DA" w:rsidR="004576D5" w:rsidRPr="004576D5" w:rsidRDefault="004576D5" w:rsidP="004576D5">
      <w:pPr>
        <w:jc w:val="center"/>
        <w:rPr>
          <w:rFonts w:ascii="Aptos" w:hAnsi="Aptos" w:cstheme="majorBidi"/>
          <w:b/>
          <w:color w:val="538135" w:themeColor="accent6"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6D5">
        <w:rPr>
          <w:rFonts w:ascii="Aptos" w:hAnsi="Aptos" w:cstheme="majorBidi"/>
          <w:b/>
          <w:color w:val="538135" w:themeColor="accent6"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Submitted t</w:t>
      </w:r>
      <w:r w:rsidRPr="004576D5">
        <w:rPr>
          <w:rFonts w:ascii="Aptos" w:hAnsi="Aptos" w:cstheme="majorBidi"/>
          <w:b/>
          <w:color w:val="538135" w:themeColor="accent6"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 the Committee on Economic, Social, and Cultural Rights</w:t>
      </w:r>
    </w:p>
    <w:p w14:paraId="12F9A991" w14:textId="2AD31030" w:rsidR="004576D5" w:rsidRPr="004576D5" w:rsidRDefault="004576D5" w:rsidP="004576D5">
      <w:pPr>
        <w:pBdr>
          <w:bottom w:val="single" w:sz="12" w:space="0" w:color="auto"/>
        </w:pBdr>
        <w:jc w:val="center"/>
        <w:rPr>
          <w:rFonts w:ascii="Aptos" w:hAnsi="Aptos" w:cstheme="majorBidi"/>
          <w:b/>
          <w:color w:val="538135" w:themeColor="accent6"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6D5">
        <w:rPr>
          <w:rFonts w:ascii="Aptos" w:hAnsi="Aptos" w:cstheme="majorBidi"/>
          <w:b/>
          <w:color w:val="538135" w:themeColor="accent6"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Regarding Egypt</w:t>
      </w:r>
      <w:r w:rsidRPr="004576D5">
        <w:rPr>
          <w:rFonts w:ascii="Aptos" w:hAnsi="Aptos" w:cstheme="majorBidi"/>
          <w:b/>
          <w:color w:val="538135" w:themeColor="accent6"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under the list of issues</w:t>
      </w:r>
    </w:p>
    <w:p w14:paraId="0EEAD4F4"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t>The International Alliance for Peace and Development (IAPD) presents this report in advance of Egypt’s review by the Committee on Economic, Social, and Cultural Rights (CESCR). The report specifically focuses on providing the CESCR with information regarding gender equality in the enjoyment of the rights outlined in the Covenant, family and child rights, the right to food, and the right to health care. We hope this report will contribute to the CESCR's preparation of a list of issues through which it seeks further inquiries regarding Egypt's compliance with the International Covenant on Economic, Social, and Cultural Rights (ICESCR), which Egypt ratified on January 14, 1982.</w:t>
      </w:r>
    </w:p>
    <w:p w14:paraId="61F84DBC" w14:textId="77777777" w:rsidR="004576D5" w:rsidRPr="004576D5" w:rsidRDefault="004576D5" w:rsidP="004576D5">
      <w:pPr>
        <w:pStyle w:val="ListParagraph"/>
        <w:numPr>
          <w:ilvl w:val="0"/>
          <w:numId w:val="32"/>
        </w:numPr>
        <w:spacing w:after="160" w:line="278" w:lineRule="auto"/>
        <w:jc w:val="both"/>
        <w:rPr>
          <w:rFonts w:ascii="Aptos" w:hAnsi="Aptos" w:cstheme="majorBidi"/>
          <w:b/>
          <w:bCs/>
          <w:color w:val="4472C4" w:themeColor="accent1"/>
          <w:sz w:val="28"/>
          <w:szCs w:val="28"/>
        </w:rPr>
      </w:pPr>
      <w:r w:rsidRPr="004576D5">
        <w:rPr>
          <w:rFonts w:ascii="Aptos" w:hAnsi="Aptos" w:cstheme="majorBidi"/>
          <w:b/>
          <w:bCs/>
          <w:color w:val="4472C4" w:themeColor="accent1"/>
          <w:sz w:val="28"/>
          <w:szCs w:val="28"/>
        </w:rPr>
        <w:t>Gender Equality in the Enjoyment of Rights Under the ICESCR – Article 3</w:t>
      </w:r>
    </w:p>
    <w:p w14:paraId="0DCB0EE0"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t>The IAPD notes that the Egyptian Constitution guarantees in Article 11 equality between men and women in all economic, social, and cultural rights. Article 53 guarantees equality in rights, duties, and public freedoms,</w:t>
      </w:r>
      <w:r w:rsidRPr="004576D5">
        <w:rPr>
          <w:rStyle w:val="FootnoteReference"/>
          <w:rFonts w:ascii="Aptos" w:hAnsi="Aptos" w:cstheme="majorBidi"/>
          <w:sz w:val="24"/>
          <w:szCs w:val="24"/>
        </w:rPr>
        <w:footnoteReference w:id="1"/>
      </w:r>
      <w:r w:rsidRPr="004576D5">
        <w:rPr>
          <w:rFonts w:ascii="Aptos" w:hAnsi="Aptos" w:cstheme="majorBidi"/>
          <w:sz w:val="24"/>
          <w:szCs w:val="24"/>
        </w:rPr>
        <w:t xml:space="preserve"> and Law No. 81 of 2016 on civil service reinforces equality between male and female employees regarding rights and duties within the state's administrative apparatus, including wages, promotions, and leave.</w:t>
      </w:r>
      <w:r w:rsidRPr="004576D5">
        <w:rPr>
          <w:rStyle w:val="FootnoteReference"/>
          <w:rFonts w:ascii="Aptos" w:hAnsi="Aptos" w:cstheme="majorBidi"/>
          <w:sz w:val="24"/>
          <w:szCs w:val="24"/>
        </w:rPr>
        <w:footnoteReference w:id="2"/>
      </w:r>
    </w:p>
    <w:p w14:paraId="4206583A"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t>The Egyptian government has taken various measures to promote gender equality, including the ongoing implementation of the National Strategy for the Empowerment of Egyptian Women 2030.</w:t>
      </w:r>
      <w:r w:rsidRPr="004576D5">
        <w:rPr>
          <w:rStyle w:val="FootnoteReference"/>
          <w:rFonts w:ascii="Aptos" w:hAnsi="Aptos" w:cstheme="majorBidi"/>
          <w:sz w:val="24"/>
          <w:szCs w:val="24"/>
        </w:rPr>
        <w:footnoteReference w:id="3"/>
      </w:r>
      <w:r w:rsidRPr="004576D5">
        <w:rPr>
          <w:rFonts w:ascii="Aptos" w:hAnsi="Aptos" w:cstheme="majorBidi"/>
          <w:sz w:val="24"/>
          <w:szCs w:val="24"/>
        </w:rPr>
        <w:t xml:space="preserve"> Additionally, Egypt issued the National Integrated Financing Strategy in March 2025, which considers gender-responsive planning and focuses specifically on empowering women and mobilizing financial resources to support women’s initiatives.</w:t>
      </w:r>
      <w:r w:rsidRPr="004576D5">
        <w:rPr>
          <w:rStyle w:val="FootnoteReference"/>
          <w:rFonts w:ascii="Aptos" w:hAnsi="Aptos" w:cstheme="majorBidi"/>
          <w:sz w:val="24"/>
          <w:szCs w:val="24"/>
        </w:rPr>
        <w:footnoteReference w:id="4"/>
      </w:r>
    </w:p>
    <w:p w14:paraId="08739366"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t>Economically, Egypt has made significant progress in indicators of women's economic empowerment, with the portfolio of concessional development financing directed toward projects supporting gender equality exceeding $4.5 billion. This includes the implementation of approximately 117 development projects across various sectors, benefiting nearly 27 million women and girls. Furthermore, the financial inclusion rate for women rose by about 295% from 2016 to the end of 2024, with approximately 23.3 million women holding financial accounts out of a total of 33.9 million in the age group over 15 years old.</w:t>
      </w:r>
      <w:r w:rsidRPr="004576D5">
        <w:rPr>
          <w:rStyle w:val="FootnoteReference"/>
          <w:rFonts w:ascii="Aptos" w:hAnsi="Aptos" w:cstheme="majorBidi"/>
          <w:sz w:val="24"/>
          <w:szCs w:val="24"/>
        </w:rPr>
        <w:footnoteReference w:id="5"/>
      </w:r>
    </w:p>
    <w:p w14:paraId="54EA59DD"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lastRenderedPageBreak/>
        <w:t>Despite these measures, the IAPD has concerns about certain obstacles that continue to hinder the realization of full gender equality. Women's participation in the labor market remains remarkably low compared to men, with a participation rate of approximately 15.1% for women in Egypt in 2024, compared to 69.9% for men. This reflects the persistence of structural, social, and economic barriers that prevent women from being equally integrated into economic activity.</w:t>
      </w:r>
      <w:r w:rsidRPr="004576D5">
        <w:rPr>
          <w:rStyle w:val="FootnoteReference"/>
          <w:rFonts w:ascii="Aptos" w:hAnsi="Aptos" w:cstheme="majorBidi"/>
          <w:sz w:val="24"/>
          <w:szCs w:val="24"/>
        </w:rPr>
        <w:footnoteReference w:id="6"/>
      </w:r>
    </w:p>
    <w:p w14:paraId="3D865AC3"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t>While the Egyptian Constitution states in Article 53 the establishment of an independent commission to eliminate all forms of discrimination, this commission has not yet been created as of the writing of this report,</w:t>
      </w:r>
      <w:r w:rsidRPr="004576D5">
        <w:rPr>
          <w:rStyle w:val="FootnoteReference"/>
          <w:rFonts w:ascii="Aptos" w:hAnsi="Aptos" w:cstheme="majorBidi"/>
          <w:sz w:val="24"/>
          <w:szCs w:val="24"/>
        </w:rPr>
        <w:footnoteReference w:id="7"/>
      </w:r>
      <w:r w:rsidRPr="004576D5">
        <w:rPr>
          <w:rFonts w:ascii="Aptos" w:hAnsi="Aptos" w:cstheme="majorBidi"/>
          <w:sz w:val="24"/>
          <w:szCs w:val="24"/>
        </w:rPr>
        <w:t xml:space="preserve"> reflecting the ongoing lack of an independent institutional mechanism that could play an effective role in addressing discrimination and promoting actual gender equality. In addition, despite what Labor Law No. 14 of 2025 stipulates regarding the principle of equal pay for work of equal value,</w:t>
      </w:r>
      <w:r w:rsidRPr="004576D5">
        <w:rPr>
          <w:rStyle w:val="FootnoteReference"/>
          <w:rFonts w:ascii="Aptos" w:hAnsi="Aptos" w:cstheme="majorBidi"/>
          <w:sz w:val="24"/>
          <w:szCs w:val="24"/>
        </w:rPr>
        <w:footnoteReference w:id="8"/>
      </w:r>
      <w:r w:rsidRPr="004576D5">
        <w:rPr>
          <w:rFonts w:ascii="Aptos" w:hAnsi="Aptos" w:cstheme="majorBidi"/>
          <w:sz w:val="24"/>
          <w:szCs w:val="24"/>
        </w:rPr>
        <w:t xml:space="preserve"> practical realities indicate that a gender pay gap persists, with women earning approximately 20% less than men for work of equal value.</w:t>
      </w:r>
      <w:r w:rsidRPr="004576D5">
        <w:rPr>
          <w:rStyle w:val="FootnoteReference"/>
          <w:rFonts w:ascii="Aptos" w:hAnsi="Aptos" w:cstheme="majorBidi"/>
          <w:sz w:val="24"/>
          <w:szCs w:val="24"/>
        </w:rPr>
        <w:footnoteReference w:id="9"/>
      </w:r>
    </w:p>
    <w:p w14:paraId="6654BEC2" w14:textId="320C7B8C" w:rsidR="004576D5" w:rsidRPr="004576D5" w:rsidRDefault="004576D5" w:rsidP="004576D5">
      <w:pPr>
        <w:jc w:val="both"/>
        <w:rPr>
          <w:rFonts w:ascii="Aptos" w:hAnsi="Aptos" w:cstheme="majorBidi"/>
          <w:b/>
          <w:bCs/>
          <w:sz w:val="24"/>
          <w:szCs w:val="24"/>
          <w:u w:val="single"/>
        </w:rPr>
      </w:pPr>
      <w:r w:rsidRPr="004576D5">
        <w:rPr>
          <w:rFonts w:ascii="Aptos" w:hAnsi="Aptos" w:cstheme="majorBidi"/>
          <w:b/>
          <w:bCs/>
          <w:sz w:val="24"/>
          <w:szCs w:val="24"/>
          <w:u w:val="single"/>
        </w:rPr>
        <w:t xml:space="preserve">Suggested </w:t>
      </w:r>
      <w:r w:rsidRPr="004576D5">
        <w:rPr>
          <w:rFonts w:ascii="Aptos" w:hAnsi="Aptos" w:cstheme="majorBidi"/>
          <w:b/>
          <w:bCs/>
          <w:sz w:val="24"/>
          <w:szCs w:val="24"/>
          <w:u w:val="single"/>
        </w:rPr>
        <w:t>Issues</w:t>
      </w:r>
    </w:p>
    <w:p w14:paraId="5C270319" w14:textId="77777777" w:rsidR="004576D5" w:rsidRPr="004576D5" w:rsidRDefault="004576D5" w:rsidP="004576D5">
      <w:pPr>
        <w:numPr>
          <w:ilvl w:val="0"/>
          <w:numId w:val="29"/>
        </w:numPr>
        <w:spacing w:after="160" w:line="278" w:lineRule="auto"/>
        <w:jc w:val="both"/>
        <w:rPr>
          <w:rFonts w:ascii="Aptos" w:hAnsi="Aptos" w:cstheme="majorBidi"/>
          <w:sz w:val="24"/>
          <w:szCs w:val="24"/>
        </w:rPr>
      </w:pPr>
      <w:r w:rsidRPr="004576D5">
        <w:rPr>
          <w:rFonts w:ascii="Aptos" w:hAnsi="Aptos" w:cstheme="majorBidi"/>
          <w:sz w:val="24"/>
          <w:szCs w:val="24"/>
        </w:rPr>
        <w:t>Is there a timeline set by the government for establishing an independent commission to combat discrimination in accordance with the constitutional text stated in Article 53 of the Constitution?</w:t>
      </w:r>
    </w:p>
    <w:p w14:paraId="5FAEC221" w14:textId="77777777" w:rsidR="004576D5" w:rsidRPr="004576D5" w:rsidRDefault="004576D5" w:rsidP="004576D5">
      <w:pPr>
        <w:numPr>
          <w:ilvl w:val="0"/>
          <w:numId w:val="29"/>
        </w:numPr>
        <w:spacing w:after="160" w:line="278" w:lineRule="auto"/>
        <w:jc w:val="both"/>
        <w:rPr>
          <w:rFonts w:ascii="Aptos" w:hAnsi="Aptos" w:cstheme="majorBidi"/>
          <w:sz w:val="24"/>
          <w:szCs w:val="24"/>
        </w:rPr>
      </w:pPr>
      <w:r w:rsidRPr="004576D5">
        <w:rPr>
          <w:rFonts w:ascii="Aptos" w:hAnsi="Aptos" w:cstheme="majorBidi"/>
          <w:sz w:val="24"/>
          <w:szCs w:val="24"/>
        </w:rPr>
        <w:t>What measures has the government taken to implement the principle of equal pay for work of equal value in line with the Labor Law that came into force in September 2025?</w:t>
      </w:r>
    </w:p>
    <w:p w14:paraId="4E5A42FB" w14:textId="77777777" w:rsidR="004576D5" w:rsidRPr="004576D5" w:rsidRDefault="004576D5" w:rsidP="004576D5">
      <w:pPr>
        <w:pStyle w:val="ListParagraph"/>
        <w:numPr>
          <w:ilvl w:val="0"/>
          <w:numId w:val="32"/>
        </w:numPr>
        <w:spacing w:after="160" w:line="278" w:lineRule="auto"/>
        <w:jc w:val="both"/>
        <w:rPr>
          <w:rFonts w:ascii="Aptos" w:hAnsi="Aptos" w:cstheme="majorBidi"/>
          <w:b/>
          <w:bCs/>
          <w:color w:val="4472C4" w:themeColor="accent1"/>
          <w:sz w:val="28"/>
          <w:szCs w:val="28"/>
        </w:rPr>
      </w:pPr>
      <w:r w:rsidRPr="004576D5">
        <w:rPr>
          <w:rFonts w:ascii="Aptos" w:hAnsi="Aptos" w:cstheme="majorBidi"/>
          <w:b/>
          <w:bCs/>
          <w:color w:val="4472C4" w:themeColor="accent1"/>
          <w:sz w:val="28"/>
          <w:szCs w:val="28"/>
        </w:rPr>
        <w:t>Family and Child Rights – Article 10</w:t>
      </w:r>
    </w:p>
    <w:p w14:paraId="77C86C99"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t>According to Article 10 of the Egyptian Constitution,</w:t>
      </w:r>
      <w:r w:rsidRPr="004576D5">
        <w:rPr>
          <w:rStyle w:val="FootnoteReference"/>
          <w:rFonts w:ascii="Aptos" w:hAnsi="Aptos" w:cstheme="majorBidi"/>
          <w:sz w:val="24"/>
          <w:szCs w:val="24"/>
        </w:rPr>
        <w:footnoteReference w:id="10"/>
      </w:r>
      <w:r w:rsidRPr="004576D5">
        <w:rPr>
          <w:rFonts w:ascii="Aptos" w:hAnsi="Aptos" w:cstheme="majorBidi"/>
          <w:sz w:val="24"/>
          <w:szCs w:val="24"/>
        </w:rPr>
        <w:t xml:space="preserve"> the family is considered the foundation of society. There are approximately 26.5 million families in Egypt, with 55.6% of them residing in rural areas.</w:t>
      </w:r>
      <w:r w:rsidRPr="004576D5">
        <w:rPr>
          <w:rStyle w:val="FootnoteReference"/>
          <w:rFonts w:ascii="Aptos" w:hAnsi="Aptos" w:cstheme="majorBidi"/>
          <w:sz w:val="24"/>
          <w:szCs w:val="24"/>
        </w:rPr>
        <w:footnoteReference w:id="11"/>
      </w:r>
      <w:r w:rsidRPr="004576D5">
        <w:rPr>
          <w:rFonts w:ascii="Aptos" w:hAnsi="Aptos" w:cstheme="majorBidi"/>
          <w:sz w:val="24"/>
          <w:szCs w:val="24"/>
        </w:rPr>
        <w:t xml:space="preserve"> The Egyptian government launched the National Project for the Development of the Egyptian Family, benefiting around 28 million citizens in the first phase from 2021 to 2024. As of April 2024, the government is working on a conceptual plan for the second phase of the National Project.</w:t>
      </w:r>
      <w:r w:rsidRPr="004576D5">
        <w:rPr>
          <w:rStyle w:val="FootnoteReference"/>
          <w:rFonts w:ascii="Aptos" w:hAnsi="Aptos" w:cstheme="majorBidi"/>
          <w:sz w:val="24"/>
          <w:szCs w:val="24"/>
        </w:rPr>
        <w:footnoteReference w:id="12"/>
      </w:r>
    </w:p>
    <w:p w14:paraId="5EFB2C7B"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t xml:space="preserve">The National Institution for Family and Community Development, in cooperation with several civil society organizations in ten governorates, has continued to implement a program to support and finance micro-projects aimed at individuals and families in rural and remote areas characterized by high unemployment and low income. This program finances agricultural, commercial, handicraft, service, and industrial projects, with a focus on empowering women breadwinners. Despite these positive developments, the IAPD notes that the Personal Status Law has not yet been enacted, even though a draft was announced in January 2025 and was not discussed </w:t>
      </w:r>
      <w:r w:rsidRPr="004576D5">
        <w:rPr>
          <w:rFonts w:ascii="Aptos" w:hAnsi="Aptos" w:cstheme="majorBidi"/>
          <w:sz w:val="24"/>
          <w:szCs w:val="24"/>
        </w:rPr>
        <w:lastRenderedPageBreak/>
        <w:t>publicly as intended. Additionally, Labor Law No. 14 of 2025 came into effect on September 1, 2025, increasing maternity leave to four months with full pay, including 45 days before giving birth and 75 days after, ensuring the worker's right to return to her job without loss of rank or salary, in accordance with the second clause of Article 10 of the ICESCR.</w:t>
      </w:r>
    </w:p>
    <w:p w14:paraId="64E6511C"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t>In terms of combating child marriage, the Ministry of Health and Population, in collaboration with the National Population Council, launched a campaign to raise awareness about the dangers of child marriage. The government's stance remains opposed to child marriage; however, the IAPD notes, through collected evidence, that legal loopholes continue to facilitate child marriages. Some families are reportedly marrying off children by agreeing with the officiant to delay document registration until after one or both parties reach the legal marriage age of 18. This has led to an increase in reported child marriages from June 2024 to July 2025, totaling approximately 252 cases according to statistics from the Child Helpline affiliated with the National Council for Childhood and Motherhood. Despite the objective of the National Human Rights Strategy to issue a law against child marriage, the law has not yet been enacted, although it has been discussed in the House of Representatives.</w:t>
      </w:r>
    </w:p>
    <w:p w14:paraId="72C2849F" w14:textId="77777777" w:rsidR="004576D5" w:rsidRPr="004576D5" w:rsidRDefault="004576D5" w:rsidP="004576D5">
      <w:pPr>
        <w:jc w:val="both"/>
        <w:rPr>
          <w:rFonts w:ascii="Aptos" w:hAnsi="Aptos" w:cstheme="majorBidi"/>
          <w:b/>
          <w:bCs/>
          <w:sz w:val="24"/>
          <w:szCs w:val="24"/>
          <w:u w:val="single"/>
        </w:rPr>
      </w:pPr>
      <w:r w:rsidRPr="004576D5">
        <w:rPr>
          <w:rFonts w:ascii="Aptos" w:hAnsi="Aptos" w:cstheme="majorBidi"/>
          <w:b/>
          <w:bCs/>
          <w:sz w:val="24"/>
          <w:szCs w:val="24"/>
          <w:u w:val="single"/>
        </w:rPr>
        <w:t>Suggested Questions</w:t>
      </w:r>
    </w:p>
    <w:p w14:paraId="2B66C5B8" w14:textId="77777777" w:rsidR="004576D5" w:rsidRPr="004576D5" w:rsidRDefault="004576D5" w:rsidP="004576D5">
      <w:pPr>
        <w:numPr>
          <w:ilvl w:val="0"/>
          <w:numId w:val="30"/>
        </w:numPr>
        <w:spacing w:after="160" w:line="278" w:lineRule="auto"/>
        <w:jc w:val="both"/>
        <w:rPr>
          <w:rFonts w:ascii="Aptos" w:hAnsi="Aptos" w:cstheme="majorBidi"/>
          <w:sz w:val="24"/>
          <w:szCs w:val="24"/>
        </w:rPr>
      </w:pPr>
      <w:r w:rsidRPr="004576D5">
        <w:rPr>
          <w:rFonts w:ascii="Aptos" w:hAnsi="Aptos" w:cstheme="majorBidi"/>
          <w:sz w:val="24"/>
          <w:szCs w:val="24"/>
        </w:rPr>
        <w:t>What is the timeline set by the government for the implementation of the second phase of the National Project for the Development of the Egyptian Family?</w:t>
      </w:r>
    </w:p>
    <w:p w14:paraId="20BBE45C" w14:textId="77777777" w:rsidR="004576D5" w:rsidRPr="004576D5" w:rsidRDefault="004576D5" w:rsidP="004576D5">
      <w:pPr>
        <w:numPr>
          <w:ilvl w:val="0"/>
          <w:numId w:val="30"/>
        </w:numPr>
        <w:spacing w:after="160" w:line="278" w:lineRule="auto"/>
        <w:jc w:val="both"/>
        <w:rPr>
          <w:rFonts w:ascii="Aptos" w:hAnsi="Aptos" w:cstheme="majorBidi"/>
          <w:sz w:val="24"/>
          <w:szCs w:val="24"/>
        </w:rPr>
      </w:pPr>
      <w:r w:rsidRPr="004576D5">
        <w:rPr>
          <w:rFonts w:ascii="Aptos" w:hAnsi="Aptos" w:cstheme="majorBidi"/>
          <w:sz w:val="24"/>
          <w:szCs w:val="24"/>
        </w:rPr>
        <w:t>Is there recent data regarding child marriage cases, and what penalties are imposed on discovered cases?</w:t>
      </w:r>
    </w:p>
    <w:p w14:paraId="63345FF5" w14:textId="77777777" w:rsidR="004576D5" w:rsidRPr="004576D5" w:rsidRDefault="004576D5" w:rsidP="004576D5">
      <w:pPr>
        <w:numPr>
          <w:ilvl w:val="0"/>
          <w:numId w:val="30"/>
        </w:numPr>
        <w:spacing w:after="160" w:line="278" w:lineRule="auto"/>
        <w:jc w:val="both"/>
        <w:rPr>
          <w:rFonts w:ascii="Aptos" w:hAnsi="Aptos" w:cstheme="majorBidi"/>
          <w:sz w:val="24"/>
          <w:szCs w:val="24"/>
        </w:rPr>
      </w:pPr>
      <w:r w:rsidRPr="004576D5">
        <w:rPr>
          <w:rFonts w:ascii="Aptos" w:hAnsi="Aptos" w:cstheme="majorBidi"/>
          <w:sz w:val="24"/>
          <w:szCs w:val="24"/>
        </w:rPr>
        <w:t>What obstacles are facing the issuance of the Personal Status Law after the draft has been finalized?</w:t>
      </w:r>
    </w:p>
    <w:p w14:paraId="6B521F3B" w14:textId="77777777" w:rsidR="004576D5" w:rsidRPr="004576D5" w:rsidRDefault="004576D5" w:rsidP="004576D5">
      <w:pPr>
        <w:pStyle w:val="ListParagraph"/>
        <w:numPr>
          <w:ilvl w:val="0"/>
          <w:numId w:val="32"/>
        </w:numPr>
        <w:spacing w:after="160" w:line="278" w:lineRule="auto"/>
        <w:jc w:val="both"/>
        <w:rPr>
          <w:rFonts w:ascii="Aptos" w:hAnsi="Aptos" w:cstheme="majorBidi"/>
          <w:b/>
          <w:bCs/>
          <w:color w:val="4472C4" w:themeColor="accent1"/>
          <w:sz w:val="28"/>
          <w:szCs w:val="28"/>
        </w:rPr>
      </w:pPr>
      <w:r w:rsidRPr="004576D5">
        <w:rPr>
          <w:rFonts w:ascii="Aptos" w:hAnsi="Aptos" w:cstheme="majorBidi"/>
          <w:b/>
          <w:bCs/>
          <w:color w:val="4472C4" w:themeColor="accent1"/>
          <w:sz w:val="28"/>
          <w:szCs w:val="28"/>
        </w:rPr>
        <w:t>The Right to Food – Article 11</w:t>
      </w:r>
    </w:p>
    <w:p w14:paraId="4885037C"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t>The right to food is considered one of the essential human rights and is crucial for freedom from hunger. It is fundamental to ensuring an adequate standard of living in accordance with Article 11 of the ICESCR. The Egyptian government has taken positive steps to promote this right, launching the National Food and Nutrition Strategy 2022-2030, which aims to achieve eight objectives, including reducing the prevalence of stunting, wasting, and obesity among children and adolescents by 2030. It also includes preventive measures to reduce early mortality from non-communicable diseases related to nutritional deficiencies.</w:t>
      </w:r>
    </w:p>
    <w:p w14:paraId="31E37900" w14:textId="06D27C15" w:rsidR="004576D5" w:rsidRPr="004576D5" w:rsidRDefault="004576D5" w:rsidP="004576D5">
      <w:pPr>
        <w:jc w:val="both"/>
        <w:rPr>
          <w:rFonts w:ascii="Aptos" w:hAnsi="Aptos" w:cstheme="majorBidi"/>
          <w:sz w:val="24"/>
          <w:szCs w:val="24"/>
          <w:rtl/>
        </w:rPr>
      </w:pPr>
      <w:r w:rsidRPr="004576D5">
        <w:rPr>
          <w:rFonts w:ascii="Aptos" w:hAnsi="Aptos" w:cstheme="majorBidi"/>
          <w:sz w:val="24"/>
          <w:szCs w:val="24"/>
        </w:rPr>
        <w:t>In line with this, the Egyptian government launched the National Action Plan for Food Systems and Nutrition 2025-2030 in July 2025,</w:t>
      </w:r>
      <w:r w:rsidRPr="004576D5">
        <w:rPr>
          <w:rStyle w:val="FootnoteReference"/>
          <w:rFonts w:ascii="Aptos" w:hAnsi="Aptos" w:cstheme="majorBidi"/>
          <w:sz w:val="24"/>
          <w:szCs w:val="24"/>
        </w:rPr>
        <w:footnoteReference w:id="13"/>
      </w:r>
      <w:r w:rsidRPr="004576D5">
        <w:rPr>
          <w:rFonts w:ascii="Aptos" w:hAnsi="Aptos" w:cstheme="majorBidi"/>
          <w:sz w:val="24"/>
          <w:szCs w:val="24"/>
        </w:rPr>
        <w:t xml:space="preserve"> as a government commitment to achieving food security and preventing diseases resulting from malnutrition. Among other measures, Egypt is implementing 41 projects aimed at achieving food security, with a total funding of $486.1 million.</w:t>
      </w:r>
      <w:r w:rsidRPr="004576D5">
        <w:rPr>
          <w:rStyle w:val="FootnoteReference"/>
          <w:rFonts w:ascii="Aptos" w:hAnsi="Aptos" w:cstheme="majorBidi"/>
          <w:sz w:val="24"/>
          <w:szCs w:val="24"/>
        </w:rPr>
        <w:footnoteReference w:id="14"/>
      </w:r>
      <w:r w:rsidRPr="004576D5">
        <w:rPr>
          <w:rFonts w:ascii="Aptos" w:hAnsi="Aptos" w:cstheme="majorBidi"/>
          <w:sz w:val="24"/>
          <w:szCs w:val="24"/>
        </w:rPr>
        <w:t xml:space="preserve"> According to the Global Hunger Index 2024, Egypt's hunger level is classified as "moderate," ranking 63</w:t>
      </w:r>
      <w:r w:rsidRPr="00EB6626">
        <w:rPr>
          <w:rFonts w:ascii="Aptos" w:hAnsi="Aptos" w:cstheme="majorBidi"/>
          <w:sz w:val="24"/>
          <w:szCs w:val="24"/>
          <w:vertAlign w:val="superscript"/>
        </w:rPr>
        <w:t>rd</w:t>
      </w:r>
      <w:r w:rsidRPr="004576D5">
        <w:rPr>
          <w:rFonts w:ascii="Aptos" w:hAnsi="Aptos" w:cstheme="majorBidi"/>
          <w:sz w:val="24"/>
          <w:szCs w:val="24"/>
        </w:rPr>
        <w:t xml:space="preserve"> out of </w:t>
      </w:r>
      <w:r w:rsidRPr="004576D5">
        <w:rPr>
          <w:rFonts w:ascii="Aptos" w:hAnsi="Aptos" w:cstheme="majorBidi"/>
          <w:sz w:val="24"/>
          <w:szCs w:val="24"/>
        </w:rPr>
        <w:lastRenderedPageBreak/>
        <w:t>127 countries included in the index,</w:t>
      </w:r>
      <w:r w:rsidRPr="004576D5">
        <w:rPr>
          <w:rStyle w:val="FootnoteReference"/>
          <w:rFonts w:ascii="Aptos" w:hAnsi="Aptos" w:cstheme="majorBidi"/>
          <w:sz w:val="24"/>
          <w:szCs w:val="24"/>
        </w:rPr>
        <w:footnoteReference w:id="15"/>
      </w:r>
      <w:r w:rsidRPr="004576D5">
        <w:rPr>
          <w:rFonts w:ascii="Aptos" w:hAnsi="Aptos" w:cstheme="majorBidi"/>
          <w:sz w:val="24"/>
          <w:szCs w:val="24"/>
        </w:rPr>
        <w:t xml:space="preserve"> indicating that Egypt is not in a state of extreme risk according to World Food Program standards.</w:t>
      </w:r>
    </w:p>
    <w:p w14:paraId="7EA5BD61"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t>A parliamentary study estimated the area of agricultural land in Egypt at around 9.4 million feddans, consisting of approximately 6.1 million feddans of old land and about 3.3 million feddans of new land. The study, issued by the Senate, acknowledges that this area is no longer sufficient to meet the population's food needs, indicating that Egypt requires more arable land. Despite the government's efforts to reduce food waste in Egypt, the percentage of wasted food remains high. According to the latest available statistics for 2024, approximately 18.1 million tons of food were wasted, translating to an annual waste rate of 155 kilograms per person.</w:t>
      </w:r>
    </w:p>
    <w:p w14:paraId="375F1DE9" w14:textId="77777777" w:rsidR="004576D5" w:rsidRPr="00EB6626" w:rsidRDefault="004576D5" w:rsidP="004576D5">
      <w:pPr>
        <w:jc w:val="both"/>
        <w:rPr>
          <w:rFonts w:ascii="Aptos" w:hAnsi="Aptos" w:cstheme="majorBidi"/>
          <w:b/>
          <w:bCs/>
          <w:sz w:val="24"/>
          <w:szCs w:val="24"/>
          <w:u w:val="single"/>
        </w:rPr>
      </w:pPr>
      <w:r w:rsidRPr="00EB6626">
        <w:rPr>
          <w:rFonts w:ascii="Aptos" w:hAnsi="Aptos" w:cstheme="majorBidi"/>
          <w:b/>
          <w:bCs/>
          <w:sz w:val="24"/>
          <w:szCs w:val="24"/>
          <w:u w:val="single"/>
        </w:rPr>
        <w:t>Suggested Questions</w:t>
      </w:r>
    </w:p>
    <w:p w14:paraId="570B4E3B" w14:textId="77777777" w:rsidR="004576D5" w:rsidRPr="004576D5" w:rsidRDefault="004576D5" w:rsidP="004576D5">
      <w:pPr>
        <w:numPr>
          <w:ilvl w:val="0"/>
          <w:numId w:val="33"/>
        </w:numPr>
        <w:spacing w:after="160" w:line="278" w:lineRule="auto"/>
        <w:jc w:val="both"/>
        <w:rPr>
          <w:rFonts w:ascii="Aptos" w:hAnsi="Aptos" w:cstheme="majorBidi"/>
          <w:sz w:val="24"/>
          <w:szCs w:val="24"/>
        </w:rPr>
      </w:pPr>
      <w:r w:rsidRPr="004576D5">
        <w:rPr>
          <w:rFonts w:ascii="Aptos" w:hAnsi="Aptos" w:cstheme="majorBidi"/>
          <w:sz w:val="24"/>
          <w:szCs w:val="24"/>
        </w:rPr>
        <w:t>Is the government preparing a report to monitor the implementation of the National Food and Nutrition Strategy 2023-2030?</w:t>
      </w:r>
    </w:p>
    <w:p w14:paraId="67C51E6C" w14:textId="77777777" w:rsidR="004576D5" w:rsidRPr="004576D5" w:rsidRDefault="004576D5" w:rsidP="004576D5">
      <w:pPr>
        <w:numPr>
          <w:ilvl w:val="0"/>
          <w:numId w:val="33"/>
        </w:numPr>
        <w:spacing w:after="160" w:line="278" w:lineRule="auto"/>
        <w:jc w:val="both"/>
        <w:rPr>
          <w:rFonts w:ascii="Aptos" w:hAnsi="Aptos" w:cstheme="majorBidi"/>
          <w:sz w:val="24"/>
          <w:szCs w:val="24"/>
        </w:rPr>
      </w:pPr>
      <w:r w:rsidRPr="004576D5">
        <w:rPr>
          <w:rFonts w:ascii="Aptos" w:hAnsi="Aptos" w:cstheme="majorBidi"/>
          <w:sz w:val="24"/>
          <w:szCs w:val="24"/>
        </w:rPr>
        <w:t>What measures have been taken to address food waste in Egypt, and how is the government collaborating with the private sector to find solutions to this issue?</w:t>
      </w:r>
    </w:p>
    <w:p w14:paraId="2C1DC10D" w14:textId="77777777" w:rsidR="004576D5" w:rsidRPr="00EB6626" w:rsidRDefault="004576D5" w:rsidP="004576D5">
      <w:pPr>
        <w:pStyle w:val="ListParagraph"/>
        <w:numPr>
          <w:ilvl w:val="0"/>
          <w:numId w:val="32"/>
        </w:numPr>
        <w:spacing w:after="160" w:line="278" w:lineRule="auto"/>
        <w:jc w:val="both"/>
        <w:rPr>
          <w:rFonts w:ascii="Aptos" w:hAnsi="Aptos" w:cstheme="majorBidi"/>
          <w:b/>
          <w:bCs/>
          <w:color w:val="4472C4" w:themeColor="accent1"/>
          <w:sz w:val="28"/>
          <w:szCs w:val="28"/>
        </w:rPr>
      </w:pPr>
      <w:r w:rsidRPr="00EB6626">
        <w:rPr>
          <w:rFonts w:ascii="Aptos" w:hAnsi="Aptos" w:cstheme="majorBidi"/>
          <w:b/>
          <w:bCs/>
          <w:color w:val="4472C4" w:themeColor="accent1"/>
          <w:sz w:val="28"/>
          <w:szCs w:val="28"/>
        </w:rPr>
        <w:t>Health Care – Article 12</w:t>
      </w:r>
    </w:p>
    <w:p w14:paraId="0C83DEA0"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t>The Egyptian government has aimed to provide healthcare services to its citizens, particularly those requiring emergency treatment. In September 2025, the Minister of Health and Population confirmed that every Egyptian citizen is entitled to immediate and free treatment in emergencies, regardless of financial conditions or barriers. He also directed investigations into any private hospital demanding payment for emergency treatment. This approach is in line with Prime Ministerial Decision No. 1063 of 2014, which ensures that every citizen has the right to receive emergency treatment—for free—within the first 48 hours in all hospitals, whether public or private, at the state's expense.</w:t>
      </w:r>
    </w:p>
    <w:p w14:paraId="3A005DDE"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t>Moreover, Egypt continues to offer vaccination services to migrants and refugees at no cost. Public hospitals have also provided healthcare services to migrants at reasonable costs.</w:t>
      </w:r>
      <w:r w:rsidRPr="004576D5">
        <w:rPr>
          <w:rStyle w:val="FootnoteReference"/>
          <w:rFonts w:ascii="Aptos" w:hAnsi="Aptos" w:cstheme="majorBidi"/>
          <w:sz w:val="24"/>
          <w:szCs w:val="24"/>
        </w:rPr>
        <w:footnoteReference w:id="16"/>
      </w:r>
      <w:r w:rsidRPr="004576D5">
        <w:rPr>
          <w:rFonts w:ascii="Aptos" w:hAnsi="Aptos" w:cstheme="majorBidi"/>
          <w:sz w:val="24"/>
          <w:szCs w:val="24"/>
        </w:rPr>
        <w:t xml:space="preserve"> On October 20, 2024, Egypt received certification from the World Health Organization as malaria-free,</w:t>
      </w:r>
      <w:r w:rsidRPr="004576D5">
        <w:rPr>
          <w:rStyle w:val="FootnoteReference"/>
          <w:rFonts w:ascii="Aptos" w:hAnsi="Aptos" w:cstheme="majorBidi"/>
          <w:sz w:val="24"/>
          <w:szCs w:val="24"/>
        </w:rPr>
        <w:footnoteReference w:id="17"/>
      </w:r>
      <w:r w:rsidRPr="004576D5">
        <w:rPr>
          <w:rFonts w:ascii="Aptos" w:hAnsi="Aptos" w:cstheme="majorBidi"/>
          <w:sz w:val="24"/>
          <w:szCs w:val="24"/>
        </w:rPr>
        <w:t xml:space="preserve"> becoming the third country in the Middle East to achieve this status, which underscores the Egyptian government's commitment to enhancing healthcare services.</w:t>
      </w:r>
    </w:p>
    <w:p w14:paraId="3B1DDAE6" w14:textId="77777777" w:rsidR="004576D5" w:rsidRPr="004576D5" w:rsidRDefault="004576D5" w:rsidP="004576D5">
      <w:pPr>
        <w:jc w:val="both"/>
        <w:rPr>
          <w:rFonts w:ascii="Aptos" w:hAnsi="Aptos" w:cstheme="majorBidi"/>
          <w:sz w:val="24"/>
          <w:szCs w:val="24"/>
        </w:rPr>
      </w:pPr>
      <w:r w:rsidRPr="004576D5">
        <w:rPr>
          <w:rFonts w:ascii="Aptos" w:hAnsi="Aptos" w:cstheme="majorBidi"/>
          <w:sz w:val="24"/>
          <w:szCs w:val="24"/>
        </w:rPr>
        <w:t>In July 2025, the Egyptian government launched a roadmap to reduce anemia rates, which aims to benefit pregnant women and their children and improve educational attainment among students. Experts estimate that every dollar invested in reducing anemia could yield up to twelve dollars in economic returns. However, anemia levels among Egyptians, especially women, remain high, with statistics indicating that one in three women in Egypt is affected by anemia or iron deficiency.</w:t>
      </w:r>
    </w:p>
    <w:p w14:paraId="03638DD0" w14:textId="77777777" w:rsidR="004576D5" w:rsidRPr="00EB6626" w:rsidRDefault="004576D5" w:rsidP="004576D5">
      <w:pPr>
        <w:jc w:val="both"/>
        <w:rPr>
          <w:rFonts w:ascii="Aptos" w:hAnsi="Aptos" w:cstheme="majorBidi"/>
          <w:b/>
          <w:bCs/>
          <w:sz w:val="24"/>
          <w:szCs w:val="24"/>
          <w:u w:val="single"/>
        </w:rPr>
      </w:pPr>
      <w:r w:rsidRPr="00EB6626">
        <w:rPr>
          <w:rFonts w:ascii="Aptos" w:hAnsi="Aptos" w:cstheme="majorBidi"/>
          <w:b/>
          <w:bCs/>
          <w:sz w:val="24"/>
          <w:szCs w:val="24"/>
          <w:u w:val="single"/>
        </w:rPr>
        <w:lastRenderedPageBreak/>
        <w:t>Suggested Questions</w:t>
      </w:r>
    </w:p>
    <w:p w14:paraId="1D441964" w14:textId="77777777" w:rsidR="004576D5" w:rsidRPr="004576D5" w:rsidRDefault="004576D5" w:rsidP="004576D5">
      <w:pPr>
        <w:numPr>
          <w:ilvl w:val="0"/>
          <w:numId w:val="31"/>
        </w:numPr>
        <w:spacing w:after="160" w:line="278" w:lineRule="auto"/>
        <w:jc w:val="both"/>
        <w:rPr>
          <w:rFonts w:ascii="Aptos" w:hAnsi="Aptos" w:cstheme="majorBidi"/>
          <w:sz w:val="24"/>
          <w:szCs w:val="24"/>
        </w:rPr>
      </w:pPr>
      <w:r w:rsidRPr="004576D5">
        <w:rPr>
          <w:rFonts w:ascii="Aptos" w:hAnsi="Aptos" w:cstheme="majorBidi"/>
          <w:sz w:val="24"/>
          <w:szCs w:val="24"/>
        </w:rPr>
        <w:t>What mechanisms are in place to implement Prime Ministerial Decision No. 1063 of 2014, which guarantees every citizen the right to receive emergency treatment for free within the first 48 hours in all hospitals, whether public or private, at the state's expense?</w:t>
      </w:r>
    </w:p>
    <w:p w14:paraId="588EC6FA" w14:textId="77777777" w:rsidR="004576D5" w:rsidRPr="004576D5" w:rsidRDefault="004576D5" w:rsidP="004576D5">
      <w:pPr>
        <w:numPr>
          <w:ilvl w:val="0"/>
          <w:numId w:val="31"/>
        </w:numPr>
        <w:spacing w:after="160" w:line="278" w:lineRule="auto"/>
        <w:jc w:val="both"/>
        <w:rPr>
          <w:rFonts w:ascii="Aptos" w:hAnsi="Aptos" w:cstheme="majorBidi"/>
          <w:sz w:val="24"/>
          <w:szCs w:val="24"/>
        </w:rPr>
      </w:pPr>
      <w:r w:rsidRPr="004576D5">
        <w:rPr>
          <w:rFonts w:ascii="Aptos" w:hAnsi="Aptos" w:cstheme="majorBidi"/>
          <w:sz w:val="24"/>
          <w:szCs w:val="24"/>
        </w:rPr>
        <w:t>How many hospitals were investigated following the last review by the CESCR due to their refusal to provide free emergency treatment to patients?</w:t>
      </w:r>
    </w:p>
    <w:p w14:paraId="787440C1" w14:textId="77777777" w:rsidR="004576D5" w:rsidRPr="004576D5" w:rsidRDefault="004576D5" w:rsidP="004576D5">
      <w:pPr>
        <w:numPr>
          <w:ilvl w:val="0"/>
          <w:numId w:val="31"/>
        </w:numPr>
        <w:spacing w:after="160" w:line="278" w:lineRule="auto"/>
        <w:jc w:val="both"/>
        <w:rPr>
          <w:rFonts w:ascii="Aptos" w:hAnsi="Aptos" w:cstheme="majorBidi"/>
          <w:sz w:val="24"/>
          <w:szCs w:val="24"/>
        </w:rPr>
      </w:pPr>
      <w:r w:rsidRPr="004576D5">
        <w:rPr>
          <w:rFonts w:ascii="Aptos" w:hAnsi="Aptos" w:cstheme="majorBidi"/>
          <w:sz w:val="24"/>
          <w:szCs w:val="24"/>
        </w:rPr>
        <w:t>How many campaigns has the government launched to raise awareness about the symptoms of anemia among Egyptians and the methods for treating it?</w:t>
      </w:r>
    </w:p>
    <w:p w14:paraId="1EE52773" w14:textId="77777777" w:rsidR="004576D5" w:rsidRPr="004576D5" w:rsidRDefault="004576D5" w:rsidP="004576D5">
      <w:pPr>
        <w:jc w:val="both"/>
        <w:rPr>
          <w:rFonts w:ascii="Aptos" w:hAnsi="Aptos" w:cstheme="majorBidi"/>
          <w:sz w:val="24"/>
          <w:szCs w:val="24"/>
        </w:rPr>
      </w:pPr>
    </w:p>
    <w:p w14:paraId="19073781" w14:textId="77777777" w:rsidR="001719EB" w:rsidRPr="004576D5" w:rsidRDefault="001719EB" w:rsidP="00265110">
      <w:pPr>
        <w:jc w:val="both"/>
        <w:rPr>
          <w:rFonts w:ascii="Aptos" w:hAnsi="Aptos"/>
          <w:sz w:val="24"/>
          <w:szCs w:val="24"/>
        </w:rPr>
      </w:pPr>
    </w:p>
    <w:sectPr w:rsidR="001719EB" w:rsidRPr="004576D5">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4DBB0" w14:textId="77777777" w:rsidR="00532295" w:rsidRDefault="00532295" w:rsidP="003D1884">
      <w:pPr>
        <w:spacing w:after="0" w:line="240" w:lineRule="auto"/>
      </w:pPr>
      <w:r>
        <w:separator/>
      </w:r>
    </w:p>
  </w:endnote>
  <w:endnote w:type="continuationSeparator" w:id="0">
    <w:p w14:paraId="3F0B26B8" w14:textId="77777777" w:rsidR="00532295" w:rsidRDefault="00532295"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D99EE" w14:textId="77777777" w:rsidR="00532295" w:rsidRDefault="00532295" w:rsidP="003D1884">
      <w:pPr>
        <w:spacing w:after="0" w:line="240" w:lineRule="auto"/>
      </w:pPr>
      <w:r>
        <w:separator/>
      </w:r>
    </w:p>
  </w:footnote>
  <w:footnote w:type="continuationSeparator" w:id="0">
    <w:p w14:paraId="3652CBEB" w14:textId="77777777" w:rsidR="00532295" w:rsidRDefault="00532295" w:rsidP="003D1884">
      <w:pPr>
        <w:spacing w:after="0" w:line="240" w:lineRule="auto"/>
      </w:pPr>
      <w:r>
        <w:continuationSeparator/>
      </w:r>
    </w:p>
  </w:footnote>
  <w:footnote w:id="1">
    <w:p w14:paraId="582719A7" w14:textId="77777777"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sidRPr="004576D5">
        <w:rPr>
          <w:rFonts w:ascii="Aptos" w:hAnsi="Aptos"/>
          <w:sz w:val="16"/>
          <w:szCs w:val="16"/>
        </w:rPr>
        <w:t xml:space="preserve"> Egypt 2014 (rev. 2019), </w:t>
      </w:r>
      <w:hyperlink r:id="rId1" w:history="1">
        <w:r w:rsidRPr="004576D5">
          <w:rPr>
            <w:rStyle w:val="Hyperlink"/>
            <w:rFonts w:ascii="Aptos" w:hAnsi="Aptos"/>
            <w:sz w:val="16"/>
            <w:szCs w:val="16"/>
          </w:rPr>
          <w:t>https://shorturl.at/rCWcc</w:t>
        </w:r>
      </w:hyperlink>
    </w:p>
  </w:footnote>
  <w:footnote w:id="2">
    <w:p w14:paraId="6F100251" w14:textId="77777777"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sidRPr="004576D5">
        <w:rPr>
          <w:rFonts w:ascii="Aptos" w:hAnsi="Aptos"/>
          <w:sz w:val="16"/>
          <w:szCs w:val="16"/>
        </w:rPr>
        <w:t xml:space="preserve"> Civil Service Law No. 81 of 2016, </w:t>
      </w:r>
      <w:hyperlink r:id="rId2" w:history="1">
        <w:r w:rsidRPr="004576D5">
          <w:rPr>
            <w:rStyle w:val="Hyperlink"/>
            <w:rFonts w:ascii="Aptos" w:hAnsi="Aptos"/>
            <w:sz w:val="16"/>
            <w:szCs w:val="16"/>
          </w:rPr>
          <w:t>https://manshurat.org/node/13128</w:t>
        </w:r>
      </w:hyperlink>
      <w:r w:rsidRPr="004576D5">
        <w:rPr>
          <w:rFonts w:ascii="Aptos" w:hAnsi="Aptos"/>
          <w:sz w:val="16"/>
          <w:szCs w:val="16"/>
        </w:rPr>
        <w:t xml:space="preserve"> </w:t>
      </w:r>
    </w:p>
  </w:footnote>
  <w:footnote w:id="3">
    <w:p w14:paraId="5435D7C8" w14:textId="77777777"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sidRPr="004576D5">
        <w:rPr>
          <w:rFonts w:ascii="Aptos" w:hAnsi="Aptos"/>
          <w:sz w:val="16"/>
          <w:szCs w:val="16"/>
        </w:rPr>
        <w:t xml:space="preserve"> National Strategy for the Empowerment of Egyptian Women 2030, </w:t>
      </w:r>
      <w:hyperlink r:id="rId3" w:history="1">
        <w:r w:rsidRPr="004576D5">
          <w:rPr>
            <w:rStyle w:val="Hyperlink"/>
            <w:rFonts w:ascii="Aptos" w:hAnsi="Aptos"/>
            <w:sz w:val="16"/>
            <w:szCs w:val="16"/>
          </w:rPr>
          <w:t>https://shorturl.at/9vAAt</w:t>
        </w:r>
      </w:hyperlink>
    </w:p>
  </w:footnote>
  <w:footnote w:id="4">
    <w:p w14:paraId="30A40553" w14:textId="77777777"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sidRPr="004576D5">
        <w:rPr>
          <w:rFonts w:ascii="Aptos" w:hAnsi="Aptos"/>
          <w:sz w:val="16"/>
          <w:szCs w:val="16"/>
        </w:rPr>
        <w:t xml:space="preserve"> Egypt Launches E-INFS to Drive Women’s Empowerment and Sustainable Development. </w:t>
      </w:r>
      <w:hyperlink r:id="rId4" w:history="1">
        <w:r w:rsidRPr="004576D5">
          <w:rPr>
            <w:rStyle w:val="Hyperlink"/>
            <w:rFonts w:ascii="Aptos" w:hAnsi="Aptos"/>
            <w:sz w:val="16"/>
            <w:szCs w:val="16"/>
          </w:rPr>
          <w:t>https://tinyurl.com/3ey4s8ep</w:t>
        </w:r>
      </w:hyperlink>
    </w:p>
  </w:footnote>
  <w:footnote w:id="5">
    <w:p w14:paraId="1F6D09AF" w14:textId="00746BFC"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Pr>
          <w:rFonts w:ascii="Aptos" w:hAnsi="Aptos"/>
          <w:sz w:val="16"/>
          <w:szCs w:val="16"/>
        </w:rPr>
        <w:t xml:space="preserve"> </w:t>
      </w:r>
      <w:r w:rsidRPr="004576D5">
        <w:rPr>
          <w:rFonts w:ascii="Aptos" w:hAnsi="Aptos"/>
          <w:sz w:val="16"/>
          <w:szCs w:val="16"/>
        </w:rPr>
        <w:t xml:space="preserve">Empowering Women and Promoting Equality, the Financial Inclusion Rate for Women Increased by 295%, 5 April 2025, </w:t>
      </w:r>
      <w:hyperlink r:id="rId5" w:history="1">
        <w:r w:rsidRPr="004576D5">
          <w:rPr>
            <w:rStyle w:val="Hyperlink"/>
            <w:rFonts w:ascii="Aptos" w:hAnsi="Aptos"/>
            <w:sz w:val="16"/>
            <w:szCs w:val="16"/>
          </w:rPr>
          <w:t>https://sschr.gov.eg/en/media-page/press-releases/empowerwemenar/</w:t>
        </w:r>
      </w:hyperlink>
    </w:p>
  </w:footnote>
  <w:footnote w:id="6">
    <w:p w14:paraId="351951D2" w14:textId="77777777"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sidRPr="004576D5">
        <w:rPr>
          <w:rFonts w:ascii="Aptos" w:hAnsi="Aptos"/>
          <w:sz w:val="16"/>
          <w:szCs w:val="16"/>
        </w:rPr>
        <w:t xml:space="preserve"> In Egypt, the labor force participation rate among females is 15.1% and among males is 69.9% for 2024, </w:t>
      </w:r>
      <w:hyperlink r:id="rId6" w:history="1">
        <w:r w:rsidRPr="004576D5">
          <w:rPr>
            <w:rStyle w:val="Hyperlink"/>
            <w:rFonts w:ascii="Aptos" w:hAnsi="Aptos"/>
            <w:sz w:val="16"/>
            <w:szCs w:val="16"/>
          </w:rPr>
          <w:t>https://genderdata.worldbank.org/en/economies/egypt-arab-rep?utm</w:t>
        </w:r>
      </w:hyperlink>
    </w:p>
  </w:footnote>
  <w:footnote w:id="7">
    <w:p w14:paraId="2764B790" w14:textId="77777777"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sidRPr="004576D5">
        <w:rPr>
          <w:rFonts w:ascii="Aptos" w:hAnsi="Aptos"/>
          <w:sz w:val="16"/>
          <w:szCs w:val="16"/>
        </w:rPr>
        <w:t xml:space="preserve"> Egyptian Constitution of 2014, Article 53, </w:t>
      </w:r>
      <w:hyperlink r:id="rId7" w:history="1">
        <w:r w:rsidRPr="004576D5">
          <w:rPr>
            <w:rStyle w:val="Hyperlink"/>
            <w:rFonts w:ascii="Aptos" w:hAnsi="Aptos"/>
            <w:sz w:val="16"/>
            <w:szCs w:val="16"/>
          </w:rPr>
          <w:t>https://tinyurl.com/3ujfn83z</w:t>
        </w:r>
      </w:hyperlink>
      <w:r w:rsidRPr="004576D5">
        <w:rPr>
          <w:rFonts w:ascii="Aptos" w:hAnsi="Aptos"/>
          <w:sz w:val="16"/>
          <w:szCs w:val="16"/>
        </w:rPr>
        <w:t xml:space="preserve"> </w:t>
      </w:r>
    </w:p>
  </w:footnote>
  <w:footnote w:id="8">
    <w:p w14:paraId="5DE2D3B8" w14:textId="77777777"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sidRPr="004576D5">
        <w:rPr>
          <w:rFonts w:ascii="Aptos" w:hAnsi="Aptos"/>
          <w:sz w:val="16"/>
          <w:szCs w:val="16"/>
        </w:rPr>
        <w:t xml:space="preserve"> labor Law No. 14 of 2025 Promulgating the Labor Law of the Arab Republic of Egypt, </w:t>
      </w:r>
      <w:hyperlink r:id="rId8" w:history="1">
        <w:r w:rsidRPr="004576D5">
          <w:rPr>
            <w:rStyle w:val="Hyperlink"/>
            <w:rFonts w:ascii="Aptos" w:hAnsi="Aptos"/>
            <w:sz w:val="16"/>
            <w:szCs w:val="16"/>
          </w:rPr>
          <w:t>https://shorturl.at/lEiFq</w:t>
        </w:r>
      </w:hyperlink>
    </w:p>
  </w:footnote>
  <w:footnote w:id="9">
    <w:p w14:paraId="61E133D3" w14:textId="77777777"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sidRPr="004576D5">
        <w:rPr>
          <w:rFonts w:ascii="Aptos" w:hAnsi="Aptos"/>
          <w:sz w:val="16"/>
          <w:szCs w:val="16"/>
        </w:rPr>
        <w:t xml:space="preserve"> The Gender Wage Gap in Egypt, </w:t>
      </w:r>
      <w:hyperlink r:id="rId9" w:history="1">
        <w:r w:rsidRPr="004576D5">
          <w:rPr>
            <w:rStyle w:val="Hyperlink"/>
            <w:rFonts w:ascii="Aptos" w:hAnsi="Aptos"/>
            <w:sz w:val="16"/>
            <w:szCs w:val="16"/>
          </w:rPr>
          <w:t>https://shorturl.at/5Kx57</w:t>
        </w:r>
      </w:hyperlink>
    </w:p>
  </w:footnote>
  <w:footnote w:id="10">
    <w:p w14:paraId="178E1AC5" w14:textId="77777777"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sidRPr="004576D5">
        <w:rPr>
          <w:rFonts w:ascii="Aptos" w:hAnsi="Aptos"/>
          <w:sz w:val="16"/>
          <w:szCs w:val="16"/>
        </w:rPr>
        <w:t xml:space="preserve"> </w:t>
      </w:r>
      <w:r w:rsidRPr="004576D5">
        <w:rPr>
          <w:rFonts w:ascii="Aptos" w:hAnsi="Aptos"/>
          <w:sz w:val="16"/>
          <w:szCs w:val="16"/>
          <w:lang w:bidi="ar-EG"/>
        </w:rPr>
        <w:t xml:space="preserve">Ibid, </w:t>
      </w:r>
      <w:hyperlink r:id="rId10" w:history="1">
        <w:r w:rsidRPr="004576D5">
          <w:rPr>
            <w:rStyle w:val="Hyperlink"/>
            <w:rFonts w:ascii="Aptos" w:hAnsi="Aptos"/>
            <w:sz w:val="16"/>
            <w:szCs w:val="16"/>
          </w:rPr>
          <w:t>https://shorturl.at/rCWcc</w:t>
        </w:r>
      </w:hyperlink>
    </w:p>
  </w:footnote>
  <w:footnote w:id="11">
    <w:p w14:paraId="41A5A75F" w14:textId="77777777"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sidRPr="004576D5">
        <w:rPr>
          <w:rFonts w:ascii="Aptos" w:hAnsi="Aptos"/>
          <w:sz w:val="16"/>
          <w:szCs w:val="16"/>
        </w:rPr>
        <w:t xml:space="preserve"> Over Half of Egyptian Households Live in Rural Areas, </w:t>
      </w:r>
      <w:hyperlink r:id="rId11" w:history="1">
        <w:r w:rsidRPr="004576D5">
          <w:rPr>
            <w:rStyle w:val="Hyperlink"/>
            <w:rFonts w:ascii="Aptos" w:hAnsi="Aptos"/>
            <w:sz w:val="16"/>
            <w:szCs w:val="16"/>
          </w:rPr>
          <w:t>https://shorturl.at/HXZyX</w:t>
        </w:r>
      </w:hyperlink>
    </w:p>
  </w:footnote>
  <w:footnote w:id="12">
    <w:p w14:paraId="0B12BD02" w14:textId="77777777"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sidRPr="004576D5">
        <w:rPr>
          <w:rFonts w:ascii="Aptos" w:hAnsi="Aptos"/>
          <w:sz w:val="16"/>
          <w:szCs w:val="16"/>
        </w:rPr>
        <w:t xml:space="preserve"> Egypt’s National Efforts in the Field of Family Development </w:t>
      </w:r>
      <w:proofErr w:type="gramStart"/>
      <w:r w:rsidRPr="004576D5">
        <w:rPr>
          <w:rFonts w:ascii="Aptos" w:hAnsi="Aptos"/>
          <w:sz w:val="16"/>
          <w:szCs w:val="16"/>
        </w:rPr>
        <w:t>On</w:t>
      </w:r>
      <w:proofErr w:type="gramEnd"/>
      <w:r w:rsidRPr="004576D5">
        <w:rPr>
          <w:rFonts w:ascii="Aptos" w:hAnsi="Aptos"/>
          <w:sz w:val="16"/>
          <w:szCs w:val="16"/>
        </w:rPr>
        <w:t xml:space="preserve"> the Occasion of the International Day of Families May 15, 2025</w:t>
      </w:r>
      <w:r w:rsidRPr="004576D5">
        <w:rPr>
          <w:rFonts w:ascii="Aptos" w:hAnsi="Aptos"/>
          <w:sz w:val="16"/>
          <w:szCs w:val="16"/>
          <w:lang w:bidi="ar-EG"/>
        </w:rPr>
        <w:t xml:space="preserve">, </w:t>
      </w:r>
      <w:hyperlink r:id="rId12" w:history="1">
        <w:r w:rsidRPr="004576D5">
          <w:rPr>
            <w:rStyle w:val="Hyperlink"/>
            <w:rFonts w:ascii="Aptos" w:hAnsi="Aptos"/>
            <w:sz w:val="16"/>
            <w:szCs w:val="16"/>
            <w:lang w:bidi="ar-EG"/>
          </w:rPr>
          <w:t>https://sschr.gov.eg/media/fd0jo5dy/nationaleffortsfamily_e.pdf</w:t>
        </w:r>
      </w:hyperlink>
    </w:p>
  </w:footnote>
  <w:footnote w:id="13">
    <w:p w14:paraId="68E9B2DE" w14:textId="77777777" w:rsidR="004576D5" w:rsidRPr="004576D5" w:rsidRDefault="004576D5" w:rsidP="004576D5">
      <w:pPr>
        <w:pStyle w:val="FootnoteText"/>
        <w:rPr>
          <w:rFonts w:ascii="Aptos" w:hAnsi="Aptos"/>
          <w:sz w:val="16"/>
          <w:szCs w:val="16"/>
          <w:rtl/>
          <w:lang w:bidi="ar-EG"/>
        </w:rPr>
      </w:pPr>
      <w:r w:rsidRPr="004576D5">
        <w:rPr>
          <w:rStyle w:val="FootnoteReference"/>
          <w:rFonts w:ascii="Aptos" w:hAnsi="Aptos"/>
          <w:sz w:val="16"/>
          <w:szCs w:val="16"/>
        </w:rPr>
        <w:footnoteRef/>
      </w:r>
      <w:r w:rsidRPr="004576D5">
        <w:rPr>
          <w:rFonts w:ascii="Aptos" w:hAnsi="Aptos"/>
          <w:sz w:val="16"/>
          <w:szCs w:val="16"/>
        </w:rPr>
        <w:t xml:space="preserve"> Launch of the National Operational Plan for Food and Nutrition Systems 2025–2030, and the Accelerated Anemia Action Plan, </w:t>
      </w:r>
      <w:hyperlink r:id="rId13" w:history="1">
        <w:r w:rsidRPr="004576D5">
          <w:rPr>
            <w:rStyle w:val="Hyperlink"/>
            <w:rFonts w:ascii="Aptos" w:hAnsi="Aptos"/>
            <w:sz w:val="16"/>
            <w:szCs w:val="16"/>
          </w:rPr>
          <w:t>https://shorturl.at/hd1Hz</w:t>
        </w:r>
      </w:hyperlink>
    </w:p>
  </w:footnote>
  <w:footnote w:id="14">
    <w:p w14:paraId="687FD0E1" w14:textId="77777777" w:rsidR="004576D5" w:rsidRPr="004576D5" w:rsidRDefault="004576D5" w:rsidP="004576D5">
      <w:pPr>
        <w:pStyle w:val="FootnoteText"/>
        <w:rPr>
          <w:rFonts w:ascii="Aptos" w:hAnsi="Aptos"/>
          <w:sz w:val="16"/>
          <w:szCs w:val="16"/>
          <w:rtl/>
          <w:lang w:bidi="ar-EG"/>
        </w:rPr>
      </w:pPr>
      <w:r w:rsidRPr="004576D5">
        <w:rPr>
          <w:rStyle w:val="FootnoteReference"/>
          <w:rFonts w:ascii="Aptos" w:hAnsi="Aptos"/>
          <w:sz w:val="16"/>
          <w:szCs w:val="16"/>
        </w:rPr>
        <w:footnoteRef/>
      </w:r>
      <w:r w:rsidRPr="004576D5">
        <w:rPr>
          <w:rFonts w:ascii="Aptos" w:hAnsi="Aptos"/>
          <w:sz w:val="16"/>
          <w:szCs w:val="16"/>
        </w:rPr>
        <w:t xml:space="preserve"> Egypt Works Towards Achieving Zero Hunger on World Food Day, </w:t>
      </w:r>
      <w:hyperlink r:id="rId14" w:history="1">
        <w:r w:rsidRPr="004576D5">
          <w:rPr>
            <w:rStyle w:val="Hyperlink"/>
            <w:rFonts w:ascii="Aptos" w:hAnsi="Aptos"/>
            <w:sz w:val="16"/>
            <w:szCs w:val="16"/>
          </w:rPr>
          <w:t>https://tinyurl.com/2fwptadx</w:t>
        </w:r>
      </w:hyperlink>
    </w:p>
  </w:footnote>
  <w:footnote w:id="15">
    <w:p w14:paraId="0A7D269A" w14:textId="77777777" w:rsidR="004576D5" w:rsidRPr="004576D5" w:rsidRDefault="004576D5" w:rsidP="004576D5">
      <w:pPr>
        <w:pStyle w:val="FootnoteText"/>
        <w:rPr>
          <w:rFonts w:ascii="Aptos" w:hAnsi="Aptos"/>
          <w:sz w:val="16"/>
          <w:szCs w:val="16"/>
          <w:rtl/>
          <w:lang w:bidi="ar-EG"/>
        </w:rPr>
      </w:pPr>
      <w:r w:rsidRPr="004576D5">
        <w:rPr>
          <w:rStyle w:val="FootnoteReference"/>
          <w:rFonts w:ascii="Aptos" w:hAnsi="Aptos"/>
          <w:sz w:val="16"/>
          <w:szCs w:val="16"/>
        </w:rPr>
        <w:footnoteRef/>
      </w:r>
      <w:r w:rsidRPr="004576D5">
        <w:rPr>
          <w:rFonts w:ascii="Aptos" w:hAnsi="Aptos"/>
          <w:sz w:val="16"/>
          <w:szCs w:val="16"/>
        </w:rPr>
        <w:t xml:space="preserve"> Global Hunger Index, Egypt, </w:t>
      </w:r>
      <w:hyperlink r:id="rId15" w:history="1">
        <w:r w:rsidRPr="004576D5">
          <w:rPr>
            <w:rStyle w:val="Hyperlink"/>
            <w:rFonts w:ascii="Aptos" w:hAnsi="Aptos"/>
            <w:sz w:val="16"/>
            <w:szCs w:val="16"/>
          </w:rPr>
          <w:t>https://www.globalhungerindex.org/egypt.html</w:t>
        </w:r>
      </w:hyperlink>
    </w:p>
  </w:footnote>
  <w:footnote w:id="16">
    <w:p w14:paraId="7E3E93C5" w14:textId="77777777"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sidRPr="004576D5">
        <w:rPr>
          <w:rFonts w:ascii="Aptos" w:hAnsi="Aptos"/>
          <w:sz w:val="16"/>
          <w:szCs w:val="16"/>
        </w:rPr>
        <w:t xml:space="preserve"> General Assembly Held in Cairo, </w:t>
      </w:r>
      <w:hyperlink r:id="rId16" w:history="1">
        <w:r w:rsidRPr="004576D5">
          <w:rPr>
            <w:rStyle w:val="Hyperlink"/>
            <w:rFonts w:ascii="Aptos" w:hAnsi="Aptos"/>
            <w:sz w:val="16"/>
            <w:szCs w:val="16"/>
          </w:rPr>
          <w:t>https://menamigranthealth.org/3rd-general-assembly-held-in-cairo/</w:t>
        </w:r>
      </w:hyperlink>
    </w:p>
  </w:footnote>
  <w:footnote w:id="17">
    <w:p w14:paraId="41B7E4C0" w14:textId="77777777" w:rsidR="004576D5" w:rsidRPr="004576D5" w:rsidRDefault="004576D5" w:rsidP="004576D5">
      <w:pPr>
        <w:pStyle w:val="FootnoteText"/>
        <w:rPr>
          <w:rFonts w:ascii="Aptos" w:hAnsi="Aptos"/>
          <w:sz w:val="16"/>
          <w:szCs w:val="16"/>
        </w:rPr>
      </w:pPr>
      <w:r w:rsidRPr="004576D5">
        <w:rPr>
          <w:rStyle w:val="FootnoteReference"/>
          <w:rFonts w:ascii="Aptos" w:hAnsi="Aptos"/>
          <w:sz w:val="16"/>
          <w:szCs w:val="16"/>
        </w:rPr>
        <w:footnoteRef/>
      </w:r>
      <w:r w:rsidRPr="004576D5">
        <w:rPr>
          <w:rFonts w:ascii="Aptos" w:hAnsi="Aptos"/>
          <w:sz w:val="16"/>
          <w:szCs w:val="16"/>
        </w:rPr>
        <w:t xml:space="preserve"> Egypt is certified malaria-free by WHO, </w:t>
      </w:r>
      <w:hyperlink r:id="rId17" w:history="1">
        <w:r w:rsidRPr="004576D5">
          <w:rPr>
            <w:rStyle w:val="Hyperlink"/>
            <w:rFonts w:ascii="Aptos" w:hAnsi="Aptos"/>
            <w:sz w:val="16"/>
            <w:szCs w:val="16"/>
          </w:rPr>
          <w:t>https://shorturl.at/UJEIH</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EE65DA"/>
    <w:multiLevelType w:val="multilevel"/>
    <w:tmpl w:val="6960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8" w15:restartNumberingAfterBreak="0">
    <w:nsid w:val="497B4771"/>
    <w:multiLevelType w:val="multilevel"/>
    <w:tmpl w:val="DA70A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565CE9"/>
    <w:multiLevelType w:val="multilevel"/>
    <w:tmpl w:val="393AC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9123FB9"/>
    <w:multiLevelType w:val="multilevel"/>
    <w:tmpl w:val="A90A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1F7125"/>
    <w:multiLevelType w:val="hybridMultilevel"/>
    <w:tmpl w:val="82B4D024"/>
    <w:lvl w:ilvl="0" w:tplc="8AD6C1AE">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5"/>
  </w:num>
  <w:num w:numId="3" w16cid:durableId="1057122983">
    <w:abstractNumId w:val="28"/>
  </w:num>
  <w:num w:numId="4" w16cid:durableId="599484416">
    <w:abstractNumId w:val="13"/>
  </w:num>
  <w:num w:numId="5" w16cid:durableId="221990767">
    <w:abstractNumId w:val="32"/>
  </w:num>
  <w:num w:numId="6" w16cid:durableId="1184974759">
    <w:abstractNumId w:val="2"/>
  </w:num>
  <w:num w:numId="7" w16cid:durableId="719747233">
    <w:abstractNumId w:val="8"/>
  </w:num>
  <w:num w:numId="8" w16cid:durableId="2082218265">
    <w:abstractNumId w:val="16"/>
  </w:num>
  <w:num w:numId="9" w16cid:durableId="44522668">
    <w:abstractNumId w:val="20"/>
  </w:num>
  <w:num w:numId="10" w16cid:durableId="384570591">
    <w:abstractNumId w:val="22"/>
  </w:num>
  <w:num w:numId="11" w16cid:durableId="955409921">
    <w:abstractNumId w:val="1"/>
  </w:num>
  <w:num w:numId="12" w16cid:durableId="329604790">
    <w:abstractNumId w:val="0"/>
  </w:num>
  <w:num w:numId="13" w16cid:durableId="499975853">
    <w:abstractNumId w:val="23"/>
  </w:num>
  <w:num w:numId="14" w16cid:durableId="933244681">
    <w:abstractNumId w:val="26"/>
  </w:num>
  <w:num w:numId="15" w16cid:durableId="1029186210">
    <w:abstractNumId w:val="30"/>
  </w:num>
  <w:num w:numId="16" w16cid:durableId="510409883">
    <w:abstractNumId w:val="27"/>
  </w:num>
  <w:num w:numId="17" w16cid:durableId="1424718560">
    <w:abstractNumId w:val="5"/>
  </w:num>
  <w:num w:numId="18" w16cid:durableId="1266771858">
    <w:abstractNumId w:val="21"/>
  </w:num>
  <w:num w:numId="19" w16cid:durableId="1307006074">
    <w:abstractNumId w:val="7"/>
  </w:num>
  <w:num w:numId="20" w16cid:durableId="596136773">
    <w:abstractNumId w:val="12"/>
  </w:num>
  <w:num w:numId="21" w16cid:durableId="31420069">
    <w:abstractNumId w:val="9"/>
  </w:num>
  <w:num w:numId="22" w16cid:durableId="334383903">
    <w:abstractNumId w:val="31"/>
  </w:num>
  <w:num w:numId="23" w16cid:durableId="1430659545">
    <w:abstractNumId w:val="10"/>
  </w:num>
  <w:num w:numId="24" w16cid:durableId="155460974">
    <w:abstractNumId w:val="24"/>
  </w:num>
  <w:num w:numId="25" w16cid:durableId="722827196">
    <w:abstractNumId w:val="4"/>
  </w:num>
  <w:num w:numId="26" w16cid:durableId="2024890808">
    <w:abstractNumId w:val="17"/>
  </w:num>
  <w:num w:numId="27" w16cid:durableId="570501625">
    <w:abstractNumId w:val="11"/>
  </w:num>
  <w:num w:numId="28" w16cid:durableId="1337419106">
    <w:abstractNumId w:val="6"/>
  </w:num>
  <w:num w:numId="29" w16cid:durableId="4092458">
    <w:abstractNumId w:val="19"/>
  </w:num>
  <w:num w:numId="30" w16cid:durableId="320503424">
    <w:abstractNumId w:val="25"/>
  </w:num>
  <w:num w:numId="31" w16cid:durableId="1445231001">
    <w:abstractNumId w:val="14"/>
  </w:num>
  <w:num w:numId="32" w16cid:durableId="990870330">
    <w:abstractNumId w:val="29"/>
  </w:num>
  <w:num w:numId="33" w16cid:durableId="102806898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A5CB1"/>
    <w:rsid w:val="001B3856"/>
    <w:rsid w:val="001B74C9"/>
    <w:rsid w:val="001D2801"/>
    <w:rsid w:val="001E0F28"/>
    <w:rsid w:val="001E5853"/>
    <w:rsid w:val="001F17D0"/>
    <w:rsid w:val="00204088"/>
    <w:rsid w:val="0021413B"/>
    <w:rsid w:val="00220D6B"/>
    <w:rsid w:val="00265110"/>
    <w:rsid w:val="00273EAA"/>
    <w:rsid w:val="0027781D"/>
    <w:rsid w:val="00287FC0"/>
    <w:rsid w:val="00292DF1"/>
    <w:rsid w:val="002A6B29"/>
    <w:rsid w:val="002F1224"/>
    <w:rsid w:val="00304121"/>
    <w:rsid w:val="003174DA"/>
    <w:rsid w:val="00340D06"/>
    <w:rsid w:val="00391176"/>
    <w:rsid w:val="003946B5"/>
    <w:rsid w:val="003A181E"/>
    <w:rsid w:val="003D1884"/>
    <w:rsid w:val="003E0E53"/>
    <w:rsid w:val="003E1F7C"/>
    <w:rsid w:val="003F36C0"/>
    <w:rsid w:val="003F39DD"/>
    <w:rsid w:val="003F65C7"/>
    <w:rsid w:val="00434E12"/>
    <w:rsid w:val="00444AC0"/>
    <w:rsid w:val="004576D5"/>
    <w:rsid w:val="00466AA6"/>
    <w:rsid w:val="00472C5D"/>
    <w:rsid w:val="00483CDB"/>
    <w:rsid w:val="00484B01"/>
    <w:rsid w:val="004B000E"/>
    <w:rsid w:val="004D7A9C"/>
    <w:rsid w:val="00507A7F"/>
    <w:rsid w:val="005171C1"/>
    <w:rsid w:val="00526952"/>
    <w:rsid w:val="00532295"/>
    <w:rsid w:val="00553347"/>
    <w:rsid w:val="00563368"/>
    <w:rsid w:val="00567291"/>
    <w:rsid w:val="00590ACC"/>
    <w:rsid w:val="005C5F24"/>
    <w:rsid w:val="005D2424"/>
    <w:rsid w:val="005D7270"/>
    <w:rsid w:val="005E07AC"/>
    <w:rsid w:val="005E1A66"/>
    <w:rsid w:val="00605C13"/>
    <w:rsid w:val="00605E6A"/>
    <w:rsid w:val="00623B00"/>
    <w:rsid w:val="0063407D"/>
    <w:rsid w:val="00661876"/>
    <w:rsid w:val="00672538"/>
    <w:rsid w:val="00685328"/>
    <w:rsid w:val="006857E8"/>
    <w:rsid w:val="00690CA6"/>
    <w:rsid w:val="006A4EDA"/>
    <w:rsid w:val="006A5B98"/>
    <w:rsid w:val="006D29FD"/>
    <w:rsid w:val="006D5294"/>
    <w:rsid w:val="006D7846"/>
    <w:rsid w:val="006F0399"/>
    <w:rsid w:val="007001BC"/>
    <w:rsid w:val="007165EF"/>
    <w:rsid w:val="00716EF6"/>
    <w:rsid w:val="007203A5"/>
    <w:rsid w:val="007253A8"/>
    <w:rsid w:val="00726C7D"/>
    <w:rsid w:val="00756631"/>
    <w:rsid w:val="007719B0"/>
    <w:rsid w:val="00774046"/>
    <w:rsid w:val="007809DA"/>
    <w:rsid w:val="0078773E"/>
    <w:rsid w:val="007A3308"/>
    <w:rsid w:val="007A5537"/>
    <w:rsid w:val="007D795E"/>
    <w:rsid w:val="007E687B"/>
    <w:rsid w:val="0080014F"/>
    <w:rsid w:val="00832E45"/>
    <w:rsid w:val="0085336D"/>
    <w:rsid w:val="008738FB"/>
    <w:rsid w:val="0087723C"/>
    <w:rsid w:val="00877E2D"/>
    <w:rsid w:val="008A1847"/>
    <w:rsid w:val="008C49F7"/>
    <w:rsid w:val="008D520A"/>
    <w:rsid w:val="008F2735"/>
    <w:rsid w:val="00904745"/>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AE3F17"/>
    <w:rsid w:val="00B02619"/>
    <w:rsid w:val="00B30326"/>
    <w:rsid w:val="00B544FE"/>
    <w:rsid w:val="00B567EF"/>
    <w:rsid w:val="00B86C51"/>
    <w:rsid w:val="00BC412F"/>
    <w:rsid w:val="00BD5A19"/>
    <w:rsid w:val="00BE0F32"/>
    <w:rsid w:val="00BE1008"/>
    <w:rsid w:val="00C26EB5"/>
    <w:rsid w:val="00C3032A"/>
    <w:rsid w:val="00C508A5"/>
    <w:rsid w:val="00C6564D"/>
    <w:rsid w:val="00C71B16"/>
    <w:rsid w:val="00C76041"/>
    <w:rsid w:val="00C82B72"/>
    <w:rsid w:val="00CA624A"/>
    <w:rsid w:val="00CA7CEB"/>
    <w:rsid w:val="00CF53E4"/>
    <w:rsid w:val="00D51762"/>
    <w:rsid w:val="00D65F66"/>
    <w:rsid w:val="00DB790F"/>
    <w:rsid w:val="00DC2019"/>
    <w:rsid w:val="00DC4F4D"/>
    <w:rsid w:val="00DF4ECD"/>
    <w:rsid w:val="00E0326C"/>
    <w:rsid w:val="00E23A40"/>
    <w:rsid w:val="00E23EEE"/>
    <w:rsid w:val="00E3778A"/>
    <w:rsid w:val="00E4081E"/>
    <w:rsid w:val="00E53BB1"/>
    <w:rsid w:val="00E55D80"/>
    <w:rsid w:val="00E56E43"/>
    <w:rsid w:val="00EB2133"/>
    <w:rsid w:val="00EB6626"/>
    <w:rsid w:val="00EC41C9"/>
    <w:rsid w:val="00ED1E5C"/>
    <w:rsid w:val="00EE156B"/>
    <w:rsid w:val="00F154A1"/>
    <w:rsid w:val="00F44F63"/>
    <w:rsid w:val="00F4689D"/>
    <w:rsid w:val="00F854B3"/>
    <w:rsid w:val="00F86E04"/>
    <w:rsid w:val="00F86F47"/>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shorturl.at/lEiFq" TargetMode="External"/><Relationship Id="rId13" Type="http://schemas.openxmlformats.org/officeDocument/2006/relationships/hyperlink" Target="https://shorturl.at/hd1Hz" TargetMode="External"/><Relationship Id="rId3" Type="http://schemas.openxmlformats.org/officeDocument/2006/relationships/hyperlink" Target="https://shorturl.at/9vAAt" TargetMode="External"/><Relationship Id="rId7" Type="http://schemas.openxmlformats.org/officeDocument/2006/relationships/hyperlink" Target="https://tinyurl.com/3ujfn83z" TargetMode="External"/><Relationship Id="rId12" Type="http://schemas.openxmlformats.org/officeDocument/2006/relationships/hyperlink" Target="https://sschr.gov.eg/media/fd0jo5dy/nationaleffortsfamily_e.pdf" TargetMode="External"/><Relationship Id="rId17" Type="http://schemas.openxmlformats.org/officeDocument/2006/relationships/hyperlink" Target="https://shorturl.at/UJEIH" TargetMode="External"/><Relationship Id="rId2" Type="http://schemas.openxmlformats.org/officeDocument/2006/relationships/hyperlink" Target="https://manshurat.org/node/13128" TargetMode="External"/><Relationship Id="rId16" Type="http://schemas.openxmlformats.org/officeDocument/2006/relationships/hyperlink" Target="https://menamigranthealth.org/3rd-general-assembly-held-in-cairo/" TargetMode="External"/><Relationship Id="rId1" Type="http://schemas.openxmlformats.org/officeDocument/2006/relationships/hyperlink" Target="https://shorturl.at/rCWcc" TargetMode="External"/><Relationship Id="rId6" Type="http://schemas.openxmlformats.org/officeDocument/2006/relationships/hyperlink" Target="https://genderdata.worldbank.org/en/economies/egypt-arab-rep?utm" TargetMode="External"/><Relationship Id="rId11" Type="http://schemas.openxmlformats.org/officeDocument/2006/relationships/hyperlink" Target="https://shorturl.at/HXZyX" TargetMode="External"/><Relationship Id="rId5" Type="http://schemas.openxmlformats.org/officeDocument/2006/relationships/hyperlink" Target="https://sschr.gov.eg/en/media-page/press-releases/empowerwemenar/" TargetMode="External"/><Relationship Id="rId15" Type="http://schemas.openxmlformats.org/officeDocument/2006/relationships/hyperlink" Target="https://www.globalhungerindex.org/egypt.html" TargetMode="External"/><Relationship Id="rId10" Type="http://schemas.openxmlformats.org/officeDocument/2006/relationships/hyperlink" Target="https://shorturl.at/rCWcc" TargetMode="External"/><Relationship Id="rId4" Type="http://schemas.openxmlformats.org/officeDocument/2006/relationships/hyperlink" Target="https://tinyurl.com/3ey4s8ep" TargetMode="External"/><Relationship Id="rId9" Type="http://schemas.openxmlformats.org/officeDocument/2006/relationships/hyperlink" Target="https://shorturl.at/5Kx57" TargetMode="External"/><Relationship Id="rId14" Type="http://schemas.openxmlformats.org/officeDocument/2006/relationships/hyperlink" Target="https://tinyurl.com/2fwptad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1714</Words>
  <Characters>9537</Characters>
  <Application>Microsoft Office Word</Application>
  <DocSecurity>0</DocSecurity>
  <Lines>79</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 Farash</cp:lastModifiedBy>
  <cp:revision>2</cp:revision>
  <dcterms:created xsi:type="dcterms:W3CDTF">2025-11-26T16:05:00Z</dcterms:created>
  <dcterms:modified xsi:type="dcterms:W3CDTF">2025-11-26T16:05:00Z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