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58DB4" w14:textId="77777777" w:rsidR="003F506F" w:rsidRDefault="003F506F" w:rsidP="009643FD">
      <w:pPr>
        <w:pStyle w:val="BodyText"/>
        <w:jc w:val="center"/>
        <w:rPr>
          <w:b/>
        </w:rPr>
      </w:pPr>
    </w:p>
    <w:p w14:paraId="57D37E14" w14:textId="198F7C99" w:rsidR="009643FD" w:rsidRPr="009643FD" w:rsidRDefault="009643FD" w:rsidP="009643FD">
      <w:pPr>
        <w:pStyle w:val="BodyText"/>
        <w:jc w:val="center"/>
        <w:rPr>
          <w:b/>
        </w:rPr>
      </w:pPr>
      <w:r>
        <w:rPr>
          <w:b/>
        </w:rPr>
        <w:t>Bahrain</w:t>
      </w:r>
      <w:r w:rsidRPr="009643FD">
        <w:rPr>
          <w:b/>
        </w:rPr>
        <w:t>’</w:t>
      </w:r>
      <w:r>
        <w:rPr>
          <w:b/>
        </w:rPr>
        <w:t>s</w:t>
      </w:r>
      <w:r w:rsidRPr="009643FD">
        <w:rPr>
          <w:b/>
        </w:rPr>
        <w:t xml:space="preserve"> Compliance with the Convention on the Elimination of All Forms of Discrimination Against Women: The Death Penalty</w:t>
      </w:r>
    </w:p>
    <w:p w14:paraId="6798A2A0" w14:textId="77777777" w:rsidR="00E00C5A" w:rsidRDefault="009643FD" w:rsidP="00E00C5A">
      <w:pPr>
        <w:pStyle w:val="BodyText"/>
        <w:spacing w:after="0"/>
        <w:jc w:val="center"/>
        <w:rPr>
          <w:b/>
        </w:rPr>
      </w:pPr>
      <w:r w:rsidRPr="00E00C5A">
        <w:rPr>
          <w:b/>
        </w:rPr>
        <w:t>Submitted by The Advocates for Human Rights</w:t>
      </w:r>
    </w:p>
    <w:p w14:paraId="228E5F15" w14:textId="442BB847" w:rsidR="001E48F2" w:rsidRDefault="009643FD" w:rsidP="00E00C5A">
      <w:pPr>
        <w:pStyle w:val="BodyText"/>
        <w:spacing w:after="0"/>
        <w:jc w:val="center"/>
        <w:rPr>
          <w:b/>
          <w:bCs/>
        </w:rPr>
      </w:pPr>
      <w:r>
        <w:t xml:space="preserve"> a non-governmental organization in special consultative status with ECOSOC since 1996</w:t>
      </w:r>
      <w:r w:rsidR="00E00C5A">
        <w:br/>
      </w:r>
      <w:r w:rsidR="00792D3E">
        <w:rPr>
          <w:b/>
          <w:bCs/>
        </w:rPr>
        <w:t>Salam for Democracy and Human Rights</w:t>
      </w:r>
    </w:p>
    <w:p w14:paraId="2F88DB1E" w14:textId="327D3B1E" w:rsidR="00863532" w:rsidRPr="00792D3E" w:rsidRDefault="00863532" w:rsidP="00E00C5A">
      <w:pPr>
        <w:pStyle w:val="BodyText"/>
        <w:spacing w:after="0"/>
        <w:jc w:val="center"/>
        <w:rPr>
          <w:b/>
          <w:bCs/>
        </w:rPr>
      </w:pPr>
      <w:r>
        <w:rPr>
          <w:b/>
          <w:bCs/>
        </w:rPr>
        <w:t>The Cornell Center on the Death Penalty Worldwide</w:t>
      </w:r>
    </w:p>
    <w:p w14:paraId="65A3BA66" w14:textId="7701FE86" w:rsidR="009643FD" w:rsidRDefault="00E00C5A" w:rsidP="00E00C5A">
      <w:pPr>
        <w:pStyle w:val="BodyText"/>
        <w:spacing w:after="0"/>
        <w:jc w:val="center"/>
      </w:pPr>
      <w:r>
        <w:t>and</w:t>
      </w:r>
    </w:p>
    <w:p w14:paraId="6EB3D16E" w14:textId="50D5AC17" w:rsidR="00EF47CB" w:rsidRDefault="00EF47CB" w:rsidP="00E00C5A">
      <w:pPr>
        <w:pStyle w:val="BodyText"/>
        <w:spacing w:after="0"/>
        <w:jc w:val="center"/>
        <w:rPr>
          <w:b/>
          <w:bCs/>
        </w:rPr>
      </w:pPr>
      <w:r>
        <w:rPr>
          <w:b/>
          <w:bCs/>
        </w:rPr>
        <w:t>The World Coalition Against the Death Penalty</w:t>
      </w:r>
    </w:p>
    <w:p w14:paraId="3037CD4A" w14:textId="77777777" w:rsidR="00EF47CB" w:rsidRDefault="00EF47CB" w:rsidP="00E00C5A">
      <w:pPr>
        <w:pStyle w:val="BodyText"/>
        <w:spacing w:after="0"/>
        <w:jc w:val="center"/>
        <w:rPr>
          <w:b/>
          <w:bCs/>
        </w:rPr>
      </w:pPr>
    </w:p>
    <w:p w14:paraId="1AB928A9" w14:textId="1B6EBE03" w:rsidR="00F5226B" w:rsidRPr="00EF47CB" w:rsidRDefault="00F5226B" w:rsidP="00F5226B">
      <w:pPr>
        <w:jc w:val="center"/>
        <w:rPr>
          <w:b/>
          <w:bCs/>
        </w:rPr>
      </w:pPr>
      <w:r w:rsidRPr="00EF47CB">
        <w:rPr>
          <w:b/>
          <w:bCs/>
        </w:rPr>
        <w:t xml:space="preserve">for the </w:t>
      </w:r>
      <w:r w:rsidR="00EF47CB" w:rsidRPr="00EF47CB">
        <w:rPr>
          <w:b/>
          <w:bCs/>
        </w:rPr>
        <w:t>84th</w:t>
      </w:r>
      <w:r w:rsidRPr="00EF47CB">
        <w:rPr>
          <w:b/>
          <w:bCs/>
        </w:rPr>
        <w:t xml:space="preserve"> Session of the </w:t>
      </w:r>
      <w:r w:rsidR="00EF47CB" w:rsidRPr="00EF47CB">
        <w:rPr>
          <w:b/>
          <w:bCs/>
        </w:rPr>
        <w:t>Committee on the Elimination of Discrimination Against Women</w:t>
      </w:r>
    </w:p>
    <w:p w14:paraId="4C599B15" w14:textId="3691474E" w:rsidR="00F5226B" w:rsidRPr="00EF47CB" w:rsidRDefault="00EF47CB" w:rsidP="00F5226B">
      <w:pPr>
        <w:jc w:val="center"/>
        <w:rPr>
          <w:b/>
          <w:bCs/>
        </w:rPr>
      </w:pPr>
      <w:r w:rsidRPr="00EF47CB">
        <w:rPr>
          <w:b/>
          <w:bCs/>
        </w:rPr>
        <w:t>6</w:t>
      </w:r>
      <w:r w:rsidR="00F5226B" w:rsidRPr="00EF47CB">
        <w:rPr>
          <w:b/>
          <w:bCs/>
        </w:rPr>
        <w:t>–</w:t>
      </w:r>
      <w:r w:rsidRPr="00EF47CB">
        <w:rPr>
          <w:b/>
          <w:bCs/>
        </w:rPr>
        <w:t>24 February 2023</w:t>
      </w:r>
    </w:p>
    <w:p w14:paraId="249F5D9B" w14:textId="77777777" w:rsidR="00F5226B" w:rsidRPr="00EF47CB" w:rsidRDefault="00F5226B" w:rsidP="00F5226B">
      <w:pPr>
        <w:jc w:val="center"/>
        <w:rPr>
          <w:b/>
          <w:bCs/>
        </w:rPr>
      </w:pPr>
    </w:p>
    <w:p w14:paraId="10D6C925" w14:textId="7F41AC96" w:rsidR="00F5226B" w:rsidRPr="00CA5CC2" w:rsidRDefault="00F5226B" w:rsidP="00F5226B">
      <w:pPr>
        <w:jc w:val="center"/>
        <w:rPr>
          <w:b/>
          <w:bCs/>
        </w:rPr>
      </w:pPr>
      <w:r w:rsidRPr="00EF47CB">
        <w:rPr>
          <w:b/>
          <w:bCs/>
        </w:rPr>
        <w:t xml:space="preserve">Submitted </w:t>
      </w:r>
      <w:r w:rsidR="00EF47CB" w:rsidRPr="00EF47CB">
        <w:rPr>
          <w:b/>
          <w:bCs/>
        </w:rPr>
        <w:t xml:space="preserve">9 </w:t>
      </w:r>
      <w:r w:rsidR="00F328E1">
        <w:rPr>
          <w:b/>
          <w:bCs/>
        </w:rPr>
        <w:t>January</w:t>
      </w:r>
      <w:r w:rsidR="00F328E1" w:rsidRPr="00EF47CB">
        <w:rPr>
          <w:b/>
          <w:bCs/>
        </w:rPr>
        <w:t xml:space="preserve"> </w:t>
      </w:r>
      <w:r w:rsidR="00EF47CB" w:rsidRPr="00EF47CB">
        <w:rPr>
          <w:b/>
          <w:bCs/>
        </w:rPr>
        <w:t>2023</w:t>
      </w:r>
    </w:p>
    <w:p w14:paraId="1AEF4F02" w14:textId="77777777" w:rsidR="00F5226B" w:rsidRPr="00E00C5A" w:rsidRDefault="00F5226B" w:rsidP="009643FD">
      <w:pPr>
        <w:pStyle w:val="BodyText"/>
        <w:jc w:val="center"/>
        <w:rPr>
          <w:b/>
        </w:rPr>
      </w:pPr>
    </w:p>
    <w:p w14:paraId="69B6CCE7" w14:textId="77777777" w:rsidR="009643FD" w:rsidRDefault="009643FD" w:rsidP="001476E2">
      <w:pPr>
        <w:pStyle w:val="BodyText"/>
      </w:pPr>
      <w:r w:rsidRPr="009643FD">
        <w:rPr>
          <w:b/>
        </w:rPr>
        <w:t>The Advocates for Human Rights</w:t>
      </w:r>
      <w: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625D36C1" w14:textId="6EDDCD44" w:rsidR="00A35809" w:rsidRDefault="00A35809" w:rsidP="001476E2">
      <w:pPr>
        <w:pStyle w:val="BodyText"/>
      </w:pPr>
      <w:r w:rsidRPr="00A35809">
        <w:rPr>
          <w:b/>
          <w:bCs/>
        </w:rPr>
        <w:t>Salam for Democracy and Human Rights (SALAM DHR)</w:t>
      </w:r>
      <w:r w:rsidRPr="00A35809">
        <w:t xml:space="preserve"> is a non-governmental </w:t>
      </w:r>
      <w:proofErr w:type="spellStart"/>
      <w:r w:rsidRPr="00A35809">
        <w:t>organisation</w:t>
      </w:r>
      <w:proofErr w:type="spellEnd"/>
      <w:r w:rsidRPr="00A35809">
        <w:t xml:space="preserve"> (NGO) whose members are based in the United Kingdom,</w:t>
      </w:r>
      <w:r>
        <w:t xml:space="preserve"> </w:t>
      </w:r>
      <w:r w:rsidRPr="00A35809">
        <w:t xml:space="preserve">Germany, France, </w:t>
      </w:r>
      <w:r>
        <w:t xml:space="preserve">and </w:t>
      </w:r>
      <w:r w:rsidRPr="00A35809">
        <w:t xml:space="preserve">Lebanon. Its work focuses, mainly, on Bahrain and the Gulf and the issue of statelessness / deprivation of citizenship. Formally registered in the UK, France and Switzerland, it has supporters in Bahrain, where it is unable to register. As part of its mission, SALAM DHR </w:t>
      </w:r>
      <w:proofErr w:type="spellStart"/>
      <w:r w:rsidRPr="00A35809">
        <w:t>endeavours</w:t>
      </w:r>
      <w:proofErr w:type="spellEnd"/>
      <w:r w:rsidRPr="00A35809">
        <w:t xml:space="preserve"> to preserve universal principles of dignity and respect by shielding democracy and human rights. The NGO conducts research, produces reports and recommendations. It builds coalitions including through its membership of, amongst others, CIVICUS and World Coalition Against the Death Penalty.</w:t>
      </w:r>
    </w:p>
    <w:p w14:paraId="4B1796B0" w14:textId="554A82DE" w:rsidR="00EF47CB" w:rsidRDefault="00EF47CB" w:rsidP="00EF47CB">
      <w:pPr>
        <w:jc w:val="both"/>
        <w:rPr>
          <w:rStyle w:val="eop"/>
          <w:color w:val="000000"/>
          <w:shd w:val="clear" w:color="auto" w:fill="FFFFFF"/>
        </w:rPr>
      </w:pPr>
      <w:r>
        <w:rPr>
          <w:rStyle w:val="normaltextrun"/>
          <w:b/>
          <w:color w:val="000000"/>
          <w:shd w:val="clear" w:color="auto" w:fill="FFFFFF"/>
        </w:rPr>
        <w:t>The World Coalition Against the Death Penalty</w:t>
      </w:r>
      <w:r>
        <w:rPr>
          <w:rStyle w:val="normaltextrun"/>
          <w:color w:val="000000"/>
          <w:shd w:val="clear" w:color="auto" w:fill="FFFFFF"/>
        </w:rPr>
        <w:t xml:space="preserve"> is a volunteer-based non-governmental organization committed to strengthening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r>
        <w:rPr>
          <w:rStyle w:val="eop"/>
          <w:color w:val="000000"/>
          <w:shd w:val="clear" w:color="auto" w:fill="FFFFFF"/>
        </w:rPr>
        <w:t> </w:t>
      </w:r>
    </w:p>
    <w:p w14:paraId="207CB9F0" w14:textId="77777777" w:rsidR="00863532" w:rsidRDefault="00863532" w:rsidP="00BC71F6">
      <w:pPr>
        <w:widowControl w:val="0"/>
        <w:autoSpaceDE w:val="0"/>
        <w:autoSpaceDN w:val="0"/>
        <w:adjustRightInd w:val="0"/>
        <w:jc w:val="both"/>
        <w:rPr>
          <w:b/>
          <w:bCs/>
        </w:rPr>
      </w:pPr>
    </w:p>
    <w:p w14:paraId="4E5DBC16" w14:textId="0951C199" w:rsidR="00BC71F6" w:rsidRDefault="00BC71F6" w:rsidP="00BC71F6">
      <w:pPr>
        <w:widowControl w:val="0"/>
        <w:autoSpaceDE w:val="0"/>
        <w:autoSpaceDN w:val="0"/>
        <w:adjustRightInd w:val="0"/>
        <w:jc w:val="both"/>
      </w:pPr>
      <w:r w:rsidRPr="00D610E5">
        <w:rPr>
          <w:b/>
          <w:bCs/>
        </w:rPr>
        <w:lastRenderedPageBreak/>
        <w:t>The Cornell Center on the Death Penalty Worldwide</w:t>
      </w:r>
      <w:r w:rsidRPr="00D610E5">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268B703E" w14:textId="77777777" w:rsidR="00BC71F6" w:rsidRDefault="00BC71F6" w:rsidP="00EF47CB">
      <w:pPr>
        <w:jc w:val="both"/>
        <w:rPr>
          <w:rStyle w:val="eop"/>
          <w:color w:val="000000"/>
          <w:shd w:val="clear" w:color="auto" w:fill="FFFFFF"/>
        </w:rPr>
      </w:pPr>
    </w:p>
    <w:p w14:paraId="24DF9735" w14:textId="261094AB" w:rsidR="009C05B5" w:rsidRDefault="009C05B5" w:rsidP="007D6E4C">
      <w:pPr>
        <w:jc w:val="both"/>
      </w:pPr>
      <w:r>
        <w:br w:type="page"/>
      </w:r>
    </w:p>
    <w:p w14:paraId="026FC6B3" w14:textId="33E1C63E" w:rsidR="00EF47CB" w:rsidRPr="00EF47CB" w:rsidRDefault="00EF47CB" w:rsidP="00F55DF7">
      <w:pPr>
        <w:pStyle w:val="BodyText"/>
        <w:jc w:val="center"/>
        <w:rPr>
          <w:b/>
        </w:rPr>
      </w:pPr>
      <w:r w:rsidRPr="00EF47CB">
        <w:rPr>
          <w:b/>
        </w:rPr>
        <w:lastRenderedPageBreak/>
        <w:t>EXECUTIVE SUMMARY</w:t>
      </w:r>
    </w:p>
    <w:p w14:paraId="31DAD12A" w14:textId="3BB67422" w:rsidR="00B27EA7" w:rsidRDefault="000B4D3C" w:rsidP="005275D0">
      <w:pPr>
        <w:numPr>
          <w:ilvl w:val="0"/>
          <w:numId w:val="22"/>
        </w:numPr>
        <w:spacing w:after="120"/>
        <w:jc w:val="both"/>
      </w:pPr>
      <w:r w:rsidRPr="00B27EA7">
        <w:t>This report addresses Bahrain’s compliance with its obligations under the Convention on the Elimination of All Forms of Discrimination Against Women with respect to the death penalty. The report examines Bahrain</w:t>
      </w:r>
      <w:r w:rsidR="000551EF">
        <w:t>’s</w:t>
      </w:r>
      <w:r w:rsidRPr="00B27EA7">
        <w:t xml:space="preserve"> laws</w:t>
      </w:r>
      <w:r w:rsidR="000551EF">
        <w:t xml:space="preserve"> regarding the death penalty</w:t>
      </w:r>
      <w:r w:rsidRPr="00B27EA7">
        <w:t xml:space="preserve"> </w:t>
      </w:r>
      <w:r w:rsidR="000551EF">
        <w:t xml:space="preserve">human rights violations experienced by </w:t>
      </w:r>
      <w:r w:rsidR="005407BA">
        <w:t>persons</w:t>
      </w:r>
      <w:r w:rsidRPr="00B27EA7">
        <w:t xml:space="preserve"> sentenced to death in Bahrain. This report recommends that Bahrain adopt a number of key recommendations to better align its death penalty practices with </w:t>
      </w:r>
      <w:r w:rsidR="000551EF">
        <w:t xml:space="preserve">its </w:t>
      </w:r>
      <w:r w:rsidRPr="00B27EA7">
        <w:t>obligations under the Convention. These steps, among other things, include: (1) abolishing the death penalty and</w:t>
      </w:r>
      <w:r w:rsidR="00F55DF7" w:rsidRPr="00B27EA7">
        <w:t>,</w:t>
      </w:r>
      <w:r w:rsidRPr="00B27EA7">
        <w:t xml:space="preserve"> in the interim, limiting the </w:t>
      </w:r>
      <w:r w:rsidRPr="005275D0">
        <w:rPr>
          <w:rFonts w:ascii="Times New Roman" w:eastAsia="Times New Roman" w:hAnsi="Times New Roman"/>
          <w:kern w:val="28"/>
        </w:rPr>
        <w:t>death</w:t>
      </w:r>
      <w:r w:rsidRPr="00B27EA7">
        <w:t xml:space="preserve"> penalty to only the most serious crimes; (2) ensuring proper gender-sensitive training in the judicial system and protecting women in conflict with the law when gender-based violence is involved; (3) developing and implementing programs to prevent gender-based violence and discrimination; and (4) ensuring fair access to counsel to women sentenced to death or at risk of being sentenced to death. </w:t>
      </w:r>
    </w:p>
    <w:p w14:paraId="32793201" w14:textId="65BF90A3" w:rsidR="00EB7AA0" w:rsidRPr="00B27EA7" w:rsidRDefault="00BE3641" w:rsidP="005707DA">
      <w:pPr>
        <w:numPr>
          <w:ilvl w:val="0"/>
          <w:numId w:val="22"/>
        </w:numPr>
        <w:spacing w:after="120"/>
        <w:jc w:val="both"/>
      </w:pPr>
      <w:r w:rsidRPr="00B27EA7">
        <w:t xml:space="preserve">Bahrain acceded to the Convention on March 2, 2002. Bahrain stipulated reservations with respect to the following provisions of the Convention: </w:t>
      </w:r>
      <w:r w:rsidR="007D6E4C" w:rsidRPr="00B27EA7">
        <w:t>(</w:t>
      </w:r>
      <w:proofErr w:type="spellStart"/>
      <w:r w:rsidR="007D6E4C" w:rsidRPr="00B27EA7">
        <w:t>i</w:t>
      </w:r>
      <w:proofErr w:type="spellEnd"/>
      <w:r w:rsidR="007D6E4C" w:rsidRPr="00B27EA7">
        <w:t xml:space="preserve">) </w:t>
      </w:r>
      <w:r w:rsidRPr="00B27EA7">
        <w:t xml:space="preserve">Article 2, in order to ensure its implementation within the bounds of the provisions of the Islamic Sharia; </w:t>
      </w:r>
      <w:r w:rsidR="007D6E4C" w:rsidRPr="00B27EA7">
        <w:t xml:space="preserve">(ii) </w:t>
      </w:r>
      <w:r w:rsidRPr="00B27EA7">
        <w:t xml:space="preserve">Article 9, paragraph 2; </w:t>
      </w:r>
      <w:r w:rsidR="007D6E4C" w:rsidRPr="00B27EA7">
        <w:t xml:space="preserve">(iii) </w:t>
      </w:r>
      <w:r w:rsidRPr="00B27EA7">
        <w:t xml:space="preserve">Article 15, paragraph 4; </w:t>
      </w:r>
      <w:r w:rsidR="007D6E4C" w:rsidRPr="00B27EA7">
        <w:t xml:space="preserve">(iv) </w:t>
      </w:r>
      <w:r w:rsidRPr="00B27EA7">
        <w:t xml:space="preserve">Article 16, in so far as it is incompatible with the provisions of the Islamic Sharia; </w:t>
      </w:r>
      <w:r w:rsidR="007D6E4C" w:rsidRPr="00B27EA7">
        <w:t xml:space="preserve">and (v) </w:t>
      </w:r>
      <w:r w:rsidRPr="00B27EA7">
        <w:t xml:space="preserve">Article 29, paragraph 1. These reservations relate to the Convention’s </w:t>
      </w:r>
      <w:r w:rsidR="000551EF">
        <w:t xml:space="preserve">requirements that State parties </w:t>
      </w:r>
      <w:r w:rsidRPr="00B27EA7">
        <w:t xml:space="preserve">pursue policies that eliminate discrimination against women, </w:t>
      </w:r>
      <w:r w:rsidR="000551EF">
        <w:t xml:space="preserve">ensure </w:t>
      </w:r>
      <w:r w:rsidRPr="00B27EA7">
        <w:t xml:space="preserve">the equal rights of women with respect to the nationality of their children, </w:t>
      </w:r>
      <w:r w:rsidR="000551EF">
        <w:t xml:space="preserve">ensure that all women have </w:t>
      </w:r>
      <w:r w:rsidRPr="00B27EA7">
        <w:t>the ability to move and freely choose their residence, and eliminat</w:t>
      </w:r>
      <w:r w:rsidR="000551EF">
        <w:t>e</w:t>
      </w:r>
      <w:r w:rsidRPr="00B27EA7">
        <w:t xml:space="preserve"> discrimination against women in matters relating to marriage and family relations. Bahrain has not acceded </w:t>
      </w:r>
      <w:r w:rsidR="000551EF">
        <w:t xml:space="preserve">to </w:t>
      </w:r>
      <w:r w:rsidRPr="00B27EA7">
        <w:t>or ratified the Convention’s Optional Protocol.</w:t>
      </w:r>
      <w:r w:rsidR="009C4122" w:rsidRPr="005707DA">
        <w:rPr>
          <w:rFonts w:ascii="Times New Roman" w:hAnsi="Times New Roman"/>
        </w:rPr>
        <w:t xml:space="preserve"> </w:t>
      </w:r>
    </w:p>
    <w:p w14:paraId="63163D4D" w14:textId="4AB6E0D1" w:rsidR="00A0522B" w:rsidRPr="00A0522B" w:rsidRDefault="00A0522B" w:rsidP="00EF47CB">
      <w:pPr>
        <w:pStyle w:val="BodyText"/>
        <w:jc w:val="center"/>
        <w:rPr>
          <w:b/>
          <w:u w:val="single"/>
        </w:rPr>
      </w:pPr>
      <w:r w:rsidRPr="00A0522B">
        <w:rPr>
          <w:b/>
        </w:rPr>
        <w:t xml:space="preserve">Bahrain fails to uphold its obligations under the Convention on the Elimination of All Forms of Discrimination Against Women with </w:t>
      </w:r>
      <w:r w:rsidR="000551EF">
        <w:rPr>
          <w:b/>
        </w:rPr>
        <w:t xml:space="preserve">regard to </w:t>
      </w:r>
      <w:r w:rsidRPr="00A0522B">
        <w:rPr>
          <w:b/>
        </w:rPr>
        <w:t>the death penalty.</w:t>
      </w:r>
    </w:p>
    <w:p w14:paraId="673A9D4B" w14:textId="64DB9A39" w:rsidR="00B27EA7" w:rsidRPr="00B27EA7" w:rsidRDefault="00FC5A1C" w:rsidP="005275D0">
      <w:pPr>
        <w:numPr>
          <w:ilvl w:val="0"/>
          <w:numId w:val="22"/>
        </w:numPr>
        <w:spacing w:after="120"/>
        <w:jc w:val="both"/>
        <w:rPr>
          <w:rFonts w:asciiTheme="majorHAnsi" w:hAnsiTheme="majorHAnsi" w:cstheme="majorHAnsi"/>
        </w:rPr>
      </w:pPr>
      <w:r w:rsidRPr="00B27EA7">
        <w:rPr>
          <w:rFonts w:asciiTheme="majorHAnsi" w:hAnsiTheme="majorHAnsi" w:cstheme="majorHAnsi"/>
        </w:rPr>
        <w:t xml:space="preserve">Bahrain is a </w:t>
      </w:r>
      <w:r w:rsidRPr="00B27EA7">
        <w:rPr>
          <w:rFonts w:asciiTheme="majorHAnsi" w:hAnsiTheme="majorHAnsi" w:cstheme="majorHAnsi"/>
          <w:color w:val="262626"/>
        </w:rPr>
        <w:t>retentionist</w:t>
      </w:r>
      <w:r w:rsidRPr="00B27EA7">
        <w:rPr>
          <w:rFonts w:asciiTheme="majorHAnsi" w:hAnsiTheme="majorHAnsi" w:cstheme="majorHAnsi"/>
        </w:rPr>
        <w:t xml:space="preserve"> country.  </w:t>
      </w:r>
      <w:r w:rsidR="00F5226B" w:rsidRPr="00B27EA7">
        <w:rPr>
          <w:rFonts w:asciiTheme="majorHAnsi" w:hAnsiTheme="majorHAnsi" w:cstheme="majorHAnsi"/>
        </w:rPr>
        <w:t xml:space="preserve">Bahrain </w:t>
      </w:r>
      <w:r w:rsidR="000B4D3C" w:rsidRPr="00B27EA7">
        <w:rPr>
          <w:rFonts w:asciiTheme="majorHAnsi" w:hAnsiTheme="majorHAnsi" w:cstheme="majorHAnsi"/>
        </w:rPr>
        <w:t xml:space="preserve">has executed six </w:t>
      </w:r>
      <w:r w:rsidR="00431F2F" w:rsidRPr="00B27EA7">
        <w:rPr>
          <w:rFonts w:asciiTheme="majorHAnsi" w:hAnsiTheme="majorHAnsi" w:cstheme="majorHAnsi"/>
        </w:rPr>
        <w:t xml:space="preserve">people </w:t>
      </w:r>
      <w:r w:rsidR="000B4D3C" w:rsidRPr="00B27EA7">
        <w:rPr>
          <w:rFonts w:asciiTheme="majorHAnsi" w:hAnsiTheme="majorHAnsi" w:cstheme="majorHAnsi"/>
        </w:rPr>
        <w:t xml:space="preserve">since the end of a de facto moratorium on </w:t>
      </w:r>
      <w:r w:rsidR="000B4D3C" w:rsidRPr="005275D0">
        <w:t>executions</w:t>
      </w:r>
      <w:r w:rsidR="000B4D3C" w:rsidRPr="00B27EA7">
        <w:rPr>
          <w:rFonts w:asciiTheme="majorHAnsi" w:hAnsiTheme="majorHAnsi" w:cstheme="majorHAnsi"/>
        </w:rPr>
        <w:t xml:space="preserve"> in 2017.</w:t>
      </w:r>
      <w:r w:rsidR="000B4D3C" w:rsidRPr="00B27EA7">
        <w:rPr>
          <w:rStyle w:val="FootnoteReference"/>
          <w:rFonts w:asciiTheme="majorHAnsi" w:hAnsiTheme="majorHAnsi" w:cstheme="majorHAnsi"/>
        </w:rPr>
        <w:footnoteReference w:id="2"/>
      </w:r>
      <w:r w:rsidR="000B4D3C" w:rsidRPr="00B27EA7">
        <w:rPr>
          <w:rFonts w:asciiTheme="majorHAnsi" w:hAnsiTheme="majorHAnsi" w:cstheme="majorHAnsi"/>
        </w:rPr>
        <w:t xml:space="preserve"> </w:t>
      </w:r>
      <w:r w:rsidR="00505957" w:rsidRPr="00B27EA7">
        <w:rPr>
          <w:rFonts w:asciiTheme="majorHAnsi" w:hAnsiTheme="majorHAnsi" w:cstheme="majorHAnsi"/>
        </w:rPr>
        <w:t xml:space="preserve"> </w:t>
      </w:r>
      <w:r w:rsidR="000B4D3C" w:rsidRPr="00B27EA7">
        <w:rPr>
          <w:rFonts w:asciiTheme="majorHAnsi" w:hAnsiTheme="majorHAnsi" w:cstheme="majorHAnsi"/>
        </w:rPr>
        <w:t xml:space="preserve">Bahrain’s last three reported executions </w:t>
      </w:r>
      <w:r w:rsidR="00431F2F" w:rsidRPr="00B27EA7">
        <w:rPr>
          <w:rFonts w:asciiTheme="majorHAnsi" w:hAnsiTheme="majorHAnsi" w:cstheme="majorHAnsi"/>
        </w:rPr>
        <w:t xml:space="preserve">occurred </w:t>
      </w:r>
      <w:r w:rsidR="000B4D3C" w:rsidRPr="00B27EA7">
        <w:rPr>
          <w:rFonts w:asciiTheme="majorHAnsi" w:hAnsiTheme="majorHAnsi" w:cstheme="majorHAnsi"/>
        </w:rPr>
        <w:t xml:space="preserve">in 2019, </w:t>
      </w:r>
      <w:r w:rsidR="00431F2F" w:rsidRPr="00B27EA7">
        <w:rPr>
          <w:rFonts w:asciiTheme="majorHAnsi" w:hAnsiTheme="majorHAnsi" w:cstheme="majorHAnsi"/>
        </w:rPr>
        <w:t xml:space="preserve">during which </w:t>
      </w:r>
      <w:r w:rsidR="000B4D3C" w:rsidRPr="00B27EA7">
        <w:rPr>
          <w:rFonts w:asciiTheme="majorHAnsi" w:hAnsiTheme="majorHAnsi" w:cstheme="majorHAnsi"/>
        </w:rPr>
        <w:t xml:space="preserve">two Shia activists who had been accused of terrorism </w:t>
      </w:r>
      <w:r w:rsidR="00431F2F" w:rsidRPr="00B27EA7">
        <w:rPr>
          <w:rFonts w:asciiTheme="majorHAnsi" w:hAnsiTheme="majorHAnsi" w:cstheme="majorHAnsi"/>
        </w:rPr>
        <w:t>were</w:t>
      </w:r>
      <w:r w:rsidR="000B4D3C" w:rsidRPr="00B27EA7">
        <w:rPr>
          <w:rFonts w:asciiTheme="majorHAnsi" w:hAnsiTheme="majorHAnsi" w:cstheme="majorHAnsi"/>
        </w:rPr>
        <w:t xml:space="preserve"> sentenced to death in a mass trial.</w:t>
      </w:r>
      <w:r w:rsidR="000B4D3C" w:rsidRPr="00B27EA7">
        <w:rPr>
          <w:rStyle w:val="FootnoteReference"/>
          <w:rFonts w:asciiTheme="majorHAnsi" w:hAnsiTheme="majorHAnsi" w:cstheme="majorHAnsi"/>
        </w:rPr>
        <w:footnoteReference w:id="3"/>
      </w:r>
      <w:r w:rsidR="000B4D3C" w:rsidRPr="00B27EA7">
        <w:rPr>
          <w:rFonts w:asciiTheme="majorHAnsi" w:hAnsiTheme="majorHAnsi" w:cstheme="majorHAnsi"/>
        </w:rPr>
        <w:t xml:space="preserve"> Courts in Bahrain did not sentence anyone to death in 2021,</w:t>
      </w:r>
      <w:r w:rsidR="000B4D3C" w:rsidRPr="00B27EA7">
        <w:rPr>
          <w:rStyle w:val="FootnoteReference"/>
          <w:rFonts w:asciiTheme="majorHAnsi" w:hAnsiTheme="majorHAnsi" w:cstheme="majorHAnsi"/>
        </w:rPr>
        <w:footnoteReference w:id="4"/>
      </w:r>
      <w:r w:rsidR="000B4D3C" w:rsidRPr="00B27EA7">
        <w:rPr>
          <w:rFonts w:asciiTheme="majorHAnsi" w:hAnsiTheme="majorHAnsi" w:cstheme="majorHAnsi"/>
        </w:rPr>
        <w:t xml:space="preserve"> but three people </w:t>
      </w:r>
      <w:r w:rsidR="00431F2F" w:rsidRPr="00B27EA7">
        <w:rPr>
          <w:rFonts w:asciiTheme="majorHAnsi" w:hAnsiTheme="majorHAnsi" w:cstheme="majorHAnsi"/>
        </w:rPr>
        <w:t xml:space="preserve">were sentenced </w:t>
      </w:r>
      <w:r w:rsidR="000B4D3C" w:rsidRPr="00B27EA7">
        <w:rPr>
          <w:rFonts w:asciiTheme="majorHAnsi" w:hAnsiTheme="majorHAnsi" w:cstheme="majorHAnsi"/>
        </w:rPr>
        <w:t>to death in 2020.</w:t>
      </w:r>
      <w:r w:rsidR="000B4D3C" w:rsidRPr="00B27EA7">
        <w:rPr>
          <w:rStyle w:val="FootnoteReference"/>
          <w:rFonts w:asciiTheme="majorHAnsi" w:hAnsiTheme="majorHAnsi" w:cstheme="majorHAnsi"/>
        </w:rPr>
        <w:footnoteReference w:id="5"/>
      </w:r>
      <w:r w:rsidR="000B4D3C" w:rsidRPr="00B27EA7">
        <w:rPr>
          <w:rFonts w:asciiTheme="majorHAnsi" w:hAnsiTheme="majorHAnsi" w:cstheme="majorHAnsi"/>
        </w:rPr>
        <w:t xml:space="preserve"> Reported death sentences have increased from just 7 between </w:t>
      </w:r>
      <w:r w:rsidR="000B4D3C" w:rsidRPr="00B27EA7">
        <w:rPr>
          <w:rFonts w:asciiTheme="majorHAnsi" w:hAnsiTheme="majorHAnsi" w:cstheme="majorHAnsi"/>
        </w:rPr>
        <w:lastRenderedPageBreak/>
        <w:t>2001 and 2010 to at least 51 between 2011 and 2020.</w:t>
      </w:r>
      <w:r w:rsidR="000B4D3C" w:rsidRPr="00B27EA7">
        <w:rPr>
          <w:rStyle w:val="FootnoteReference"/>
          <w:rFonts w:asciiTheme="majorHAnsi" w:hAnsiTheme="majorHAnsi" w:cstheme="majorHAnsi"/>
        </w:rPr>
        <w:footnoteReference w:id="6"/>
      </w:r>
      <w:r w:rsidR="000B4D3C" w:rsidRPr="00B27EA7">
        <w:rPr>
          <w:rFonts w:asciiTheme="majorHAnsi" w:hAnsiTheme="majorHAnsi" w:cstheme="majorHAnsi"/>
        </w:rPr>
        <w:t xml:space="preserve"> </w:t>
      </w:r>
      <w:r w:rsidR="00C57246" w:rsidRPr="00B27EA7">
        <w:rPr>
          <w:rFonts w:asciiTheme="majorHAnsi" w:hAnsiTheme="majorHAnsi" w:cstheme="majorHAnsi"/>
        </w:rPr>
        <w:t>Research suggests that there have been no women on death row in Bahrain since at least 2011.</w:t>
      </w:r>
      <w:r w:rsidR="00C57246" w:rsidRPr="00B27EA7">
        <w:rPr>
          <w:rStyle w:val="FootnoteReference"/>
          <w:rFonts w:asciiTheme="majorHAnsi" w:hAnsiTheme="majorHAnsi" w:cstheme="majorHAnsi"/>
        </w:rPr>
        <w:footnoteReference w:id="7"/>
      </w:r>
    </w:p>
    <w:p w14:paraId="0075AC23" w14:textId="57B876EA" w:rsidR="00B27EA7" w:rsidRPr="00B27EA7" w:rsidRDefault="006F714F" w:rsidP="005275D0">
      <w:pPr>
        <w:numPr>
          <w:ilvl w:val="0"/>
          <w:numId w:val="22"/>
        </w:numPr>
        <w:spacing w:after="120"/>
        <w:jc w:val="both"/>
        <w:rPr>
          <w:rFonts w:ascii="Times New Roman" w:hAnsi="Times New Roman"/>
        </w:rPr>
      </w:pPr>
      <w:r w:rsidRPr="00B27EA7">
        <w:rPr>
          <w:rFonts w:ascii="Times New Roman" w:hAnsi="Times New Roman"/>
        </w:rPr>
        <w:t>There are currently at least 26 people under se</w:t>
      </w:r>
      <w:r w:rsidR="000B4D3C" w:rsidRPr="00B27EA7">
        <w:rPr>
          <w:rFonts w:ascii="Times New Roman" w:hAnsi="Times New Roman"/>
        </w:rPr>
        <w:t>ntence of death in Bahrain</w:t>
      </w:r>
      <w:r w:rsidRPr="00B27EA7">
        <w:rPr>
          <w:rFonts w:ascii="Times New Roman" w:hAnsi="Times New Roman"/>
        </w:rPr>
        <w:t>.</w:t>
      </w:r>
      <w:r w:rsidRPr="00B27EA7">
        <w:rPr>
          <w:rStyle w:val="FootnoteReference"/>
          <w:rFonts w:ascii="Times New Roman" w:hAnsi="Times New Roman"/>
        </w:rPr>
        <w:footnoteReference w:id="8"/>
      </w:r>
      <w:r w:rsidRPr="00B27EA7">
        <w:rPr>
          <w:rFonts w:ascii="Times New Roman" w:hAnsi="Times New Roman"/>
        </w:rPr>
        <w:t xml:space="preserve"> Of that number, at least 15 are foreign nationals.</w:t>
      </w:r>
      <w:r w:rsidRPr="00B27EA7">
        <w:rPr>
          <w:rStyle w:val="FootnoteReference"/>
          <w:rFonts w:ascii="Times New Roman" w:hAnsi="Times New Roman"/>
        </w:rPr>
        <w:footnoteReference w:id="9"/>
      </w:r>
      <w:r w:rsidRPr="00B27EA7">
        <w:rPr>
          <w:rFonts w:ascii="Times New Roman" w:hAnsi="Times New Roman"/>
        </w:rPr>
        <w:t xml:space="preserve"> The number of people on death row facing imminent execution has increased from 1 person at the end of 2010 to at least 26 as of</w:t>
      </w:r>
      <w:r w:rsidR="000B4D3C" w:rsidRPr="00B27EA7">
        <w:rPr>
          <w:rFonts w:ascii="Times New Roman" w:hAnsi="Times New Roman"/>
        </w:rPr>
        <w:t xml:space="preserve"> November 2022.</w:t>
      </w:r>
      <w:r w:rsidR="000B4D3C" w:rsidRPr="00B27EA7">
        <w:rPr>
          <w:rStyle w:val="FootnoteReference"/>
          <w:rFonts w:ascii="Times New Roman" w:hAnsi="Times New Roman"/>
        </w:rPr>
        <w:footnoteReference w:id="10"/>
      </w:r>
      <w:r w:rsidR="000B4D3C" w:rsidRPr="00B27EA7">
        <w:rPr>
          <w:rFonts w:ascii="Times New Roman" w:hAnsi="Times New Roman"/>
        </w:rPr>
        <w:t xml:space="preserve"> Of the 26 prisoners on death row in Bahrain, 12 have been sentenced in political cases.</w:t>
      </w:r>
      <w:r w:rsidR="000B4D3C" w:rsidRPr="00B27EA7">
        <w:rPr>
          <w:rStyle w:val="FootnoteReference"/>
          <w:rFonts w:ascii="Times New Roman" w:hAnsi="Times New Roman"/>
        </w:rPr>
        <w:footnoteReference w:id="11"/>
      </w:r>
      <w:r w:rsidR="000B4D3C" w:rsidRPr="00B27EA7">
        <w:rPr>
          <w:rFonts w:ascii="Times New Roman" w:hAnsi="Times New Roman"/>
        </w:rPr>
        <w:t xml:space="preserve"> All 26 are at risk of imminent execution as they have exhausted all domestic remedies, the final step being the ratification of their death sentences by King Hamad bin Isa Khalifa.</w:t>
      </w:r>
      <w:r w:rsidR="000B4D3C" w:rsidRPr="00B27EA7">
        <w:rPr>
          <w:rStyle w:val="FootnoteReference"/>
          <w:rFonts w:ascii="Times New Roman" w:hAnsi="Times New Roman"/>
        </w:rPr>
        <w:footnoteReference w:id="12"/>
      </w:r>
      <w:r w:rsidR="00BB10BF" w:rsidRPr="00B27EA7">
        <w:rPr>
          <w:rFonts w:ascii="Times New Roman" w:hAnsi="Times New Roman"/>
        </w:rPr>
        <w:t xml:space="preserve"> </w:t>
      </w:r>
      <w:r w:rsidR="00C57246" w:rsidRPr="00B27EA7">
        <w:rPr>
          <w:rFonts w:ascii="Times New Roman" w:hAnsi="Times New Roman"/>
        </w:rPr>
        <w:t xml:space="preserve"> </w:t>
      </w:r>
    </w:p>
    <w:p w14:paraId="2A0209B1" w14:textId="77777777" w:rsidR="00B27EA7" w:rsidRPr="00B27EA7" w:rsidRDefault="000B4D3C" w:rsidP="005275D0">
      <w:pPr>
        <w:numPr>
          <w:ilvl w:val="0"/>
          <w:numId w:val="22"/>
        </w:numPr>
        <w:spacing w:after="120"/>
        <w:jc w:val="both"/>
        <w:rPr>
          <w:rFonts w:ascii="Times New Roman" w:hAnsi="Times New Roman"/>
        </w:rPr>
      </w:pPr>
      <w:r w:rsidRPr="00B27EA7">
        <w:rPr>
          <w:rFonts w:ascii="Times New Roman" w:hAnsi="Times New Roman"/>
        </w:rPr>
        <w:t>In 2018, Bahrain began imposing the death penalty for drug-related offenses, and three people are currently on death row for non-lethal drug offenses,</w:t>
      </w:r>
      <w:r w:rsidRPr="00B27EA7">
        <w:rPr>
          <w:rStyle w:val="FootnoteReference"/>
          <w:rFonts w:ascii="Times New Roman" w:hAnsi="Times New Roman"/>
        </w:rPr>
        <w:footnoteReference w:id="13"/>
      </w:r>
      <w:r w:rsidRPr="00B27EA7">
        <w:rPr>
          <w:rFonts w:ascii="Times New Roman" w:hAnsi="Times New Roman"/>
        </w:rPr>
        <w:t xml:space="preserve"> such as transporting, selling, or possessing hashish.</w:t>
      </w:r>
      <w:r w:rsidRPr="00B27EA7">
        <w:rPr>
          <w:rStyle w:val="FootnoteReference"/>
          <w:rFonts w:ascii="Times New Roman" w:hAnsi="Times New Roman"/>
        </w:rPr>
        <w:footnoteReference w:id="14"/>
      </w:r>
      <w:r w:rsidRPr="00B27EA7">
        <w:rPr>
          <w:rFonts w:ascii="Times New Roman" w:hAnsi="Times New Roman"/>
        </w:rPr>
        <w:t xml:space="preserve"> Bahrain also authorizes the death penalty for non-lethal “terrorism-related” offenses, and courts have sentenced nine people to death for such offenses since 2011.</w:t>
      </w:r>
      <w:r w:rsidRPr="00B27EA7">
        <w:rPr>
          <w:rStyle w:val="FootnoteReference"/>
          <w:rFonts w:ascii="Times New Roman" w:hAnsi="Times New Roman"/>
        </w:rPr>
        <w:footnoteReference w:id="15"/>
      </w:r>
      <w:r w:rsidRPr="00B27EA7">
        <w:rPr>
          <w:rFonts w:ascii="Times New Roman" w:hAnsi="Times New Roman"/>
        </w:rPr>
        <w:t xml:space="preserve"> Authorities use drug-related charges eligible for the death penalty “to strengthen cases against defendants whose charges are political in nature. Aware that the charge of terrorism is . . . far reaching and vague in Bahrain, drug charges can add to the severity of a defendant’s cases, as well as smear their reputations in the national and international press.”</w:t>
      </w:r>
      <w:r w:rsidRPr="00B27EA7">
        <w:rPr>
          <w:rStyle w:val="FootnoteReference"/>
          <w:rFonts w:ascii="Times New Roman" w:hAnsi="Times New Roman"/>
        </w:rPr>
        <w:footnoteReference w:id="16"/>
      </w:r>
    </w:p>
    <w:p w14:paraId="0290B6C1" w14:textId="7E4BCC31" w:rsidR="00B27EA7" w:rsidRPr="00B27EA7" w:rsidRDefault="000B4D3C" w:rsidP="005275D0">
      <w:pPr>
        <w:numPr>
          <w:ilvl w:val="0"/>
          <w:numId w:val="22"/>
        </w:numPr>
        <w:spacing w:after="120"/>
        <w:jc w:val="both"/>
        <w:rPr>
          <w:rFonts w:ascii="Times New Roman" w:hAnsi="Times New Roman"/>
        </w:rPr>
      </w:pPr>
      <w:r w:rsidRPr="00B27EA7">
        <w:rPr>
          <w:rFonts w:ascii="Times New Roman" w:hAnsi="Times New Roman"/>
        </w:rPr>
        <w:lastRenderedPageBreak/>
        <w:t>In prosecutio</w:t>
      </w:r>
      <w:r w:rsidR="00C57246" w:rsidRPr="00B27EA7">
        <w:rPr>
          <w:rFonts w:ascii="Times New Roman" w:hAnsi="Times New Roman"/>
        </w:rPr>
        <w:t xml:space="preserve">ns resulting in death sentences, </w:t>
      </w:r>
      <w:r w:rsidRPr="00B27EA7">
        <w:rPr>
          <w:rFonts w:ascii="Times New Roman" w:hAnsi="Times New Roman"/>
        </w:rPr>
        <w:t xml:space="preserve">Bahraini courts manifestly fail to protect fundamental fair trial rights as provided for in international and Bahraini law. In other cases, the courts meted out death sentences for charges not involving the gravest offenses, namely non-violent drug crimes, </w:t>
      </w:r>
      <w:r w:rsidR="000551EF">
        <w:rPr>
          <w:rFonts w:ascii="Times New Roman" w:hAnsi="Times New Roman"/>
        </w:rPr>
        <w:t xml:space="preserve">in violation of </w:t>
      </w:r>
      <w:r w:rsidRPr="00B27EA7">
        <w:rPr>
          <w:rFonts w:ascii="Times New Roman" w:hAnsi="Times New Roman"/>
        </w:rPr>
        <w:t xml:space="preserve">international </w:t>
      </w:r>
      <w:r w:rsidR="000551EF">
        <w:rPr>
          <w:rFonts w:ascii="Times New Roman" w:hAnsi="Times New Roman"/>
        </w:rPr>
        <w:t>human rights standards</w:t>
      </w:r>
      <w:r w:rsidRPr="00B27EA7">
        <w:rPr>
          <w:rFonts w:ascii="Times New Roman" w:hAnsi="Times New Roman"/>
        </w:rPr>
        <w:t>.</w:t>
      </w:r>
      <w:r w:rsidR="00BB10BF" w:rsidRPr="00B27EA7">
        <w:rPr>
          <w:rStyle w:val="FootnoteReference"/>
          <w:rFonts w:ascii="Times New Roman" w:hAnsi="Times New Roman"/>
        </w:rPr>
        <w:footnoteReference w:id="17"/>
      </w:r>
    </w:p>
    <w:p w14:paraId="4D6E3DC9" w14:textId="3CE57EA5" w:rsidR="008C722E" w:rsidRPr="0056022A" w:rsidRDefault="000551EF" w:rsidP="005275D0">
      <w:pPr>
        <w:numPr>
          <w:ilvl w:val="0"/>
          <w:numId w:val="22"/>
        </w:numPr>
        <w:spacing w:after="120"/>
        <w:jc w:val="both"/>
        <w:rPr>
          <w:rFonts w:ascii="Times New Roman" w:hAnsi="Times New Roman"/>
        </w:rPr>
      </w:pPr>
      <w:r>
        <w:t>Because</w:t>
      </w:r>
      <w:r w:rsidR="00E00C5A" w:rsidRPr="00B27EA7">
        <w:t xml:space="preserve"> Bahrain has not formally abolished the death penalty, women are at risk of being sentenced to death.</w:t>
      </w:r>
    </w:p>
    <w:p w14:paraId="19451D48" w14:textId="34B72E4E" w:rsidR="00665632" w:rsidRPr="005275D0" w:rsidRDefault="000551EF" w:rsidP="005275D0">
      <w:pPr>
        <w:pStyle w:val="ListParagraph"/>
        <w:keepNext/>
        <w:numPr>
          <w:ilvl w:val="0"/>
          <w:numId w:val="23"/>
        </w:numPr>
        <w:spacing w:before="240" w:after="120"/>
        <w:rPr>
          <w:rFonts w:ascii="Times New Roman" w:eastAsia="Times New Roman" w:hAnsi="Times New Roman"/>
          <w:b/>
          <w:kern w:val="28"/>
          <w:sz w:val="24"/>
          <w:szCs w:val="24"/>
        </w:rPr>
      </w:pPr>
      <w:r>
        <w:rPr>
          <w:rFonts w:ascii="Times New Roman" w:eastAsia="Times New Roman" w:hAnsi="Times New Roman"/>
          <w:b/>
          <w:kern w:val="28"/>
          <w:sz w:val="24"/>
          <w:szCs w:val="24"/>
        </w:rPr>
        <w:t>Women in conflict with the law are deprived of their right to a fair trial</w:t>
      </w:r>
      <w:r w:rsidR="002B7244">
        <w:rPr>
          <w:rFonts w:ascii="Times New Roman" w:eastAsia="Times New Roman" w:hAnsi="Times New Roman"/>
          <w:b/>
          <w:kern w:val="28"/>
          <w:sz w:val="24"/>
          <w:szCs w:val="24"/>
        </w:rPr>
        <w:t>.</w:t>
      </w:r>
      <w:r>
        <w:rPr>
          <w:rFonts w:ascii="Times New Roman" w:eastAsia="Times New Roman" w:hAnsi="Times New Roman"/>
          <w:b/>
          <w:kern w:val="28"/>
          <w:sz w:val="24"/>
          <w:szCs w:val="24"/>
        </w:rPr>
        <w:t xml:space="preserve"> (</w:t>
      </w:r>
      <w:r w:rsidR="002B7244">
        <w:rPr>
          <w:rFonts w:ascii="Times New Roman" w:eastAsia="Times New Roman" w:hAnsi="Times New Roman"/>
          <w:b/>
          <w:kern w:val="28"/>
          <w:sz w:val="24"/>
          <w:szCs w:val="24"/>
        </w:rPr>
        <w:t>List of issues para. 4)</w:t>
      </w:r>
    </w:p>
    <w:p w14:paraId="0B811279" w14:textId="7278311D" w:rsidR="0050085C" w:rsidRDefault="00665632" w:rsidP="005275D0">
      <w:pPr>
        <w:numPr>
          <w:ilvl w:val="0"/>
          <w:numId w:val="22"/>
        </w:numPr>
        <w:spacing w:after="120"/>
        <w:jc w:val="both"/>
      </w:pPr>
      <w:r w:rsidRPr="00B27EA7">
        <w:t>The Committe</w:t>
      </w:r>
      <w:r w:rsidR="002507C4">
        <w:t>e noted that “the Supreme Counci</w:t>
      </w:r>
      <w:r w:rsidRPr="00B27EA7">
        <w:t>l for Women grants free legal assistance for cases involving maintenance, divorce and custody, as well as in civil cases that may arise concerning other family-related matters.”</w:t>
      </w:r>
      <w:r w:rsidR="0050085C" w:rsidRPr="00B27EA7">
        <w:rPr>
          <w:rStyle w:val="FootnoteReference"/>
        </w:rPr>
        <w:footnoteReference w:id="18"/>
      </w:r>
      <w:r w:rsidRPr="00B27EA7">
        <w:t xml:space="preserve"> </w:t>
      </w:r>
      <w:r w:rsidR="002B7244">
        <w:t>T</w:t>
      </w:r>
      <w:r w:rsidR="0050085C" w:rsidRPr="00B27EA7">
        <w:t xml:space="preserve">he Committee requested data regarding the cases reported to the </w:t>
      </w:r>
      <w:r w:rsidR="0050085C" w:rsidRPr="005275D0">
        <w:rPr>
          <w:rFonts w:ascii="Times New Roman" w:hAnsi="Times New Roman"/>
        </w:rPr>
        <w:t>Supreme</w:t>
      </w:r>
      <w:r w:rsidR="0050085C" w:rsidRPr="00B27EA7">
        <w:t xml:space="preserve"> Council for Women, including, among others, sexual harassment, health, and participation in political and public life.</w:t>
      </w:r>
      <w:r w:rsidR="0050085C" w:rsidRPr="00B27EA7">
        <w:rPr>
          <w:rStyle w:val="FootnoteReference"/>
        </w:rPr>
        <w:footnoteReference w:id="19"/>
      </w:r>
      <w:r w:rsidR="0050085C" w:rsidRPr="00B27EA7">
        <w:t xml:space="preserve">  In response, </w:t>
      </w:r>
      <w:r w:rsidR="00512E82">
        <w:t>the State p</w:t>
      </w:r>
      <w:r w:rsidR="0050085C" w:rsidRPr="00B27EA7">
        <w:t>arty noted that in 2017, the Legal Advice Department of the Women’s Support Centre of the Supreme Council for Women received 418 assistance requests, but did not provide data regarding how many of these requests related to claims for sexual harassment, health, and participation in political and public life.</w:t>
      </w:r>
      <w:r w:rsidR="0050085C" w:rsidRPr="00B27EA7">
        <w:rPr>
          <w:rStyle w:val="FootnoteReference"/>
        </w:rPr>
        <w:footnoteReference w:id="20"/>
      </w:r>
      <w:r w:rsidR="0050085C" w:rsidRPr="00B27EA7">
        <w:t xml:space="preserve">  </w:t>
      </w:r>
    </w:p>
    <w:p w14:paraId="71AE7216" w14:textId="08010A05" w:rsidR="00665632" w:rsidRPr="00B27EA7" w:rsidRDefault="00E67125" w:rsidP="005275D0">
      <w:pPr>
        <w:numPr>
          <w:ilvl w:val="0"/>
          <w:numId w:val="22"/>
        </w:numPr>
        <w:spacing w:after="120"/>
        <w:jc w:val="both"/>
      </w:pPr>
      <w:r w:rsidRPr="00B27EA7">
        <w:t>C</w:t>
      </w:r>
      <w:r w:rsidR="00665632" w:rsidRPr="00B27EA7">
        <w:t xml:space="preserve">ivil society organizations </w:t>
      </w:r>
      <w:r w:rsidR="002B7244">
        <w:t xml:space="preserve">report </w:t>
      </w:r>
      <w:r w:rsidR="00665632" w:rsidRPr="00B27EA7">
        <w:t xml:space="preserve">that the application of the death penalty in Bahrain often violates the accused’s due process rights.  People </w:t>
      </w:r>
      <w:r w:rsidR="002B7244">
        <w:t xml:space="preserve">at risk of being </w:t>
      </w:r>
      <w:r w:rsidR="00665632" w:rsidRPr="00B27EA7">
        <w:t xml:space="preserve">sentenced to death are often </w:t>
      </w:r>
      <w:r w:rsidR="00AA40FD" w:rsidRPr="00B27EA7">
        <w:t xml:space="preserve">not provided access to counsel during </w:t>
      </w:r>
      <w:r w:rsidR="00AA40FD" w:rsidRPr="005275D0">
        <w:rPr>
          <w:rFonts w:ascii="Times New Roman" w:hAnsi="Times New Roman"/>
        </w:rPr>
        <w:t>interrogations</w:t>
      </w:r>
      <w:r w:rsidR="00AA40FD" w:rsidRPr="00B27EA7">
        <w:t xml:space="preserve"> or appropriate access to counsel during trial.</w:t>
      </w:r>
      <w:r w:rsidR="00AA40FD" w:rsidRPr="00B27EA7">
        <w:rPr>
          <w:rStyle w:val="FootnoteReference"/>
        </w:rPr>
        <w:footnoteReference w:id="21"/>
      </w:r>
      <w:r w:rsidR="00AA40FD" w:rsidRPr="00B27EA7">
        <w:t xml:space="preserve">  </w:t>
      </w:r>
    </w:p>
    <w:p w14:paraId="4C5BB6CB" w14:textId="18217053" w:rsidR="00AA40FD" w:rsidRDefault="00AA40FD" w:rsidP="005275D0">
      <w:pPr>
        <w:numPr>
          <w:ilvl w:val="0"/>
          <w:numId w:val="22"/>
        </w:numPr>
        <w:spacing w:after="120"/>
        <w:jc w:val="both"/>
      </w:pPr>
      <w:r w:rsidRPr="00B27EA7">
        <w:t xml:space="preserve">Global trends show that women sentenced to death face intersectional discrimination.  According to a </w:t>
      </w:r>
      <w:r w:rsidR="002B7244">
        <w:t xml:space="preserve">groundbreaking 2018 </w:t>
      </w:r>
      <w:r w:rsidRPr="00B27EA7">
        <w:t>study by the Cornell Center on the Death Penalty Worldwide, most women on death row come from backgrounds of severe socio-economic deprivation and many are illiterate, which can reinforce unequal access to effective legal representation.</w:t>
      </w:r>
      <w:r w:rsidR="002507C4">
        <w:rPr>
          <w:rStyle w:val="FootnoteReference"/>
        </w:rPr>
        <w:footnoteReference w:id="22"/>
      </w:r>
      <w:r w:rsidR="00512E82">
        <w:t xml:space="preserve"> </w:t>
      </w:r>
      <w:r w:rsidRPr="00B27EA7">
        <w:t xml:space="preserve">This intersectional discrimination exacerbates the risk that a woman charged with a capital crime will be subjected to an unfair trial.  </w:t>
      </w:r>
    </w:p>
    <w:p w14:paraId="5E18B2DE" w14:textId="0C2A4C64" w:rsidR="002B7244" w:rsidRPr="00B27EA7" w:rsidRDefault="002B7244" w:rsidP="002B7244">
      <w:pPr>
        <w:numPr>
          <w:ilvl w:val="0"/>
          <w:numId w:val="22"/>
        </w:numPr>
        <w:spacing w:after="120"/>
        <w:jc w:val="both"/>
        <w:rPr>
          <w:b/>
        </w:rPr>
      </w:pPr>
      <w:r>
        <w:rPr>
          <w:rFonts w:ascii="Times New Roman" w:hAnsi="Times New Roman"/>
        </w:rPr>
        <w:lastRenderedPageBreak/>
        <w:t>The Cornell study found that ma</w:t>
      </w:r>
      <w:r w:rsidRPr="00B27EA7">
        <w:rPr>
          <w:rFonts w:ascii="Times New Roman" w:hAnsi="Times New Roman"/>
        </w:rPr>
        <w:t xml:space="preserve">ny women in criminal </w:t>
      </w:r>
      <w:r>
        <w:rPr>
          <w:rFonts w:ascii="Times New Roman" w:hAnsi="Times New Roman"/>
        </w:rPr>
        <w:t xml:space="preserve">legal </w:t>
      </w:r>
      <w:r w:rsidRPr="00B27EA7">
        <w:rPr>
          <w:rFonts w:ascii="Times New Roman" w:hAnsi="Times New Roman"/>
        </w:rPr>
        <w:t>system</w:t>
      </w:r>
      <w:r>
        <w:rPr>
          <w:rFonts w:ascii="Times New Roman" w:hAnsi="Times New Roman"/>
        </w:rPr>
        <w:t>s throughout the world</w:t>
      </w:r>
      <w:r w:rsidRPr="00B27EA7">
        <w:rPr>
          <w:rFonts w:ascii="Times New Roman" w:hAnsi="Times New Roman"/>
        </w:rPr>
        <w:t xml:space="preserve">, and the vast majority of </w:t>
      </w:r>
      <w:r>
        <w:rPr>
          <w:rFonts w:ascii="Times New Roman" w:hAnsi="Times New Roman"/>
        </w:rPr>
        <w:t xml:space="preserve">women </w:t>
      </w:r>
      <w:r w:rsidRPr="00B27EA7">
        <w:rPr>
          <w:rFonts w:ascii="Times New Roman" w:hAnsi="Times New Roman"/>
        </w:rPr>
        <w:t xml:space="preserve">on death row, are from poor and marginalized </w:t>
      </w:r>
      <w:r w:rsidRPr="005275D0">
        <w:t>communities</w:t>
      </w:r>
      <w:r w:rsidRPr="00B27EA7">
        <w:rPr>
          <w:rFonts w:ascii="Times New Roman" w:hAnsi="Times New Roman"/>
        </w:rPr>
        <w:t>.</w:t>
      </w:r>
      <w:r>
        <w:rPr>
          <w:rStyle w:val="FootnoteReference"/>
          <w:rFonts w:ascii="Times New Roman" w:hAnsi="Times New Roman"/>
        </w:rPr>
        <w:footnoteReference w:id="23"/>
      </w:r>
      <w:r w:rsidRPr="00B27EA7">
        <w:rPr>
          <w:rFonts w:ascii="Times New Roman" w:hAnsi="Times New Roman"/>
        </w:rPr>
        <w:t xml:space="preserve"> Most women who are detained are unable to afford a lawyer, and are more likely to be illiterate and unaware of their legal rights.</w:t>
      </w:r>
      <w:r>
        <w:rPr>
          <w:rStyle w:val="FootnoteReference"/>
          <w:rFonts w:ascii="Times New Roman" w:hAnsi="Times New Roman"/>
        </w:rPr>
        <w:footnoteReference w:id="24"/>
      </w:r>
      <w:r w:rsidRPr="00B27EA7">
        <w:rPr>
          <w:rFonts w:ascii="Times New Roman" w:hAnsi="Times New Roman"/>
        </w:rPr>
        <w:t xml:space="preserve"> </w:t>
      </w:r>
      <w:r>
        <w:rPr>
          <w:rFonts w:ascii="Times New Roman" w:hAnsi="Times New Roman"/>
        </w:rPr>
        <w:t xml:space="preserve"> </w:t>
      </w:r>
      <w:r w:rsidRPr="00B27EA7">
        <w:rPr>
          <w:rFonts w:ascii="Times New Roman" w:hAnsi="Times New Roman"/>
        </w:rPr>
        <w:t>Illiteracy and lack of education among poor women leave them more vulnerable to discrimination, coercion, and exploitation.”</w:t>
      </w:r>
      <w:r w:rsidRPr="00B27EA7">
        <w:rPr>
          <w:rStyle w:val="FootnoteReference"/>
          <w:rFonts w:ascii="Times New Roman" w:hAnsi="Times New Roman"/>
        </w:rPr>
        <w:footnoteReference w:id="25"/>
      </w:r>
    </w:p>
    <w:p w14:paraId="7492E076" w14:textId="1F5F6301" w:rsidR="002B7244" w:rsidRPr="00B27EA7" w:rsidRDefault="002B7244" w:rsidP="002B7244">
      <w:pPr>
        <w:numPr>
          <w:ilvl w:val="0"/>
          <w:numId w:val="22"/>
        </w:numPr>
        <w:spacing w:after="120"/>
        <w:jc w:val="both"/>
      </w:pPr>
      <w:r w:rsidRPr="00B27EA7">
        <w:t xml:space="preserve">Women may be particularly at risk of discrimination in </w:t>
      </w:r>
      <w:r>
        <w:t xml:space="preserve">Bahrain’s criminal legal </w:t>
      </w:r>
      <w:r w:rsidRPr="00B27EA7">
        <w:t xml:space="preserve">system, which has consistently violated fundamental due process and fair trial rights, including </w:t>
      </w:r>
      <w:r>
        <w:t xml:space="preserve">cases in which people </w:t>
      </w:r>
      <w:r w:rsidRPr="00B27EA7">
        <w:t>currently on death row did not have any access to counsel during interrogations or appropriate access to counsel during trial.</w:t>
      </w:r>
      <w:r w:rsidRPr="00B27EA7">
        <w:rPr>
          <w:rStyle w:val="FootnoteReference"/>
        </w:rPr>
        <w:footnoteReference w:id="26"/>
      </w:r>
      <w:r w:rsidRPr="00B27EA7">
        <w:t xml:space="preserve"> Bahraini courts have relied on coerced confessions despite defendants’ credible claims of torture and ill-treatment in </w:t>
      </w:r>
      <w:r>
        <w:t xml:space="preserve">capital </w:t>
      </w:r>
      <w:r w:rsidRPr="00B27EA7">
        <w:t>cases.</w:t>
      </w:r>
      <w:r w:rsidRPr="00B27EA7">
        <w:rPr>
          <w:rStyle w:val="FootnoteReference"/>
        </w:rPr>
        <w:footnoteReference w:id="27"/>
      </w:r>
    </w:p>
    <w:p w14:paraId="55DEDAF8" w14:textId="169986A3" w:rsidR="002B7244" w:rsidRPr="00B27EA7" w:rsidRDefault="002B7244" w:rsidP="002B7244">
      <w:pPr>
        <w:numPr>
          <w:ilvl w:val="0"/>
          <w:numId w:val="22"/>
        </w:numPr>
        <w:spacing w:after="120"/>
        <w:jc w:val="both"/>
      </w:pPr>
      <w:r>
        <w:t>A</w:t>
      </w:r>
      <w:r w:rsidRPr="00B27EA7">
        <w:t xml:space="preserve"> 2019 report from the Bahrain Institute for Rights </w:t>
      </w:r>
      <w:r>
        <w:t>and</w:t>
      </w:r>
      <w:r w:rsidRPr="00B27EA7">
        <w:t xml:space="preserve"> Democracy found that women in Bahrain were routinely arrested without warrants</w:t>
      </w:r>
      <w:r w:rsidRPr="00B27EA7">
        <w:rPr>
          <w:rStyle w:val="FootnoteReference"/>
        </w:rPr>
        <w:footnoteReference w:id="28"/>
      </w:r>
      <w:r w:rsidRPr="00B27EA7">
        <w:t>; subjected to physical, psychological and sexual assault during interrogations with Bahraini authorities and National Security Agency officers</w:t>
      </w:r>
      <w:r w:rsidRPr="00B27EA7">
        <w:rPr>
          <w:rStyle w:val="FootnoteReference"/>
        </w:rPr>
        <w:footnoteReference w:id="29"/>
      </w:r>
      <w:r w:rsidRPr="00B27EA7">
        <w:t xml:space="preserve">; convicted </w:t>
      </w:r>
      <w:r>
        <w:t xml:space="preserve">on the basis </w:t>
      </w:r>
      <w:r w:rsidRPr="00B27EA7">
        <w:t>of coerced confessions</w:t>
      </w:r>
      <w:r w:rsidRPr="00B27EA7">
        <w:rPr>
          <w:rStyle w:val="FootnoteReference"/>
        </w:rPr>
        <w:footnoteReference w:id="30"/>
      </w:r>
      <w:r w:rsidRPr="00B27EA7">
        <w:t>; denied alternative sentences</w:t>
      </w:r>
      <w:r w:rsidRPr="00B27EA7">
        <w:rPr>
          <w:rStyle w:val="FootnoteReference"/>
        </w:rPr>
        <w:footnoteReference w:id="31"/>
      </w:r>
      <w:r w:rsidRPr="00B27EA7">
        <w:t>; and not given adequate medical care and standards of hygiene in prison</w:t>
      </w:r>
      <w:r w:rsidRPr="00B27EA7">
        <w:rPr>
          <w:rStyle w:val="FootnoteReference"/>
        </w:rPr>
        <w:footnoteReference w:id="32"/>
      </w:r>
      <w:r w:rsidRPr="00B27EA7">
        <w:t xml:space="preserve">, all in contravention of Bahraini and international law. </w:t>
      </w:r>
    </w:p>
    <w:p w14:paraId="75806CE0" w14:textId="0A71D2C3" w:rsidR="006F714F" w:rsidRPr="005275D0" w:rsidRDefault="006F714F" w:rsidP="005275D0">
      <w:pPr>
        <w:pStyle w:val="ListParagraph"/>
        <w:keepNext/>
        <w:numPr>
          <w:ilvl w:val="0"/>
          <w:numId w:val="23"/>
        </w:numPr>
        <w:spacing w:before="240" w:after="120"/>
        <w:rPr>
          <w:rFonts w:ascii="Times New Roman" w:eastAsia="Times New Roman" w:hAnsi="Times New Roman"/>
          <w:b/>
          <w:kern w:val="28"/>
          <w:sz w:val="24"/>
          <w:szCs w:val="24"/>
        </w:rPr>
      </w:pPr>
      <w:r w:rsidRPr="005275D0">
        <w:rPr>
          <w:rFonts w:ascii="Times New Roman" w:eastAsia="Times New Roman" w:hAnsi="Times New Roman"/>
          <w:b/>
          <w:kern w:val="28"/>
          <w:sz w:val="24"/>
          <w:szCs w:val="24"/>
        </w:rPr>
        <w:lastRenderedPageBreak/>
        <w:t xml:space="preserve">Activists, </w:t>
      </w:r>
      <w:r w:rsidR="00BD6621" w:rsidRPr="005275D0">
        <w:rPr>
          <w:rFonts w:ascii="Times New Roman" w:eastAsia="Times New Roman" w:hAnsi="Times New Roman"/>
          <w:b/>
          <w:kern w:val="28"/>
          <w:sz w:val="24"/>
          <w:szCs w:val="24"/>
        </w:rPr>
        <w:t>j</w:t>
      </w:r>
      <w:r w:rsidRPr="005275D0">
        <w:rPr>
          <w:rFonts w:ascii="Times New Roman" w:eastAsia="Times New Roman" w:hAnsi="Times New Roman"/>
          <w:b/>
          <w:kern w:val="28"/>
          <w:sz w:val="24"/>
          <w:szCs w:val="24"/>
        </w:rPr>
        <w:t xml:space="preserve">ournalists, </w:t>
      </w:r>
      <w:r w:rsidR="002B7244">
        <w:rPr>
          <w:rFonts w:ascii="Times New Roman" w:eastAsia="Times New Roman" w:hAnsi="Times New Roman"/>
          <w:b/>
          <w:kern w:val="28"/>
          <w:sz w:val="24"/>
          <w:szCs w:val="24"/>
        </w:rPr>
        <w:t>and</w:t>
      </w:r>
      <w:r w:rsidRPr="005275D0">
        <w:rPr>
          <w:rFonts w:ascii="Times New Roman" w:eastAsia="Times New Roman" w:hAnsi="Times New Roman"/>
          <w:b/>
          <w:kern w:val="28"/>
          <w:sz w:val="24"/>
          <w:szCs w:val="24"/>
        </w:rPr>
        <w:t xml:space="preserve"> </w:t>
      </w:r>
      <w:r w:rsidR="00BD6621" w:rsidRPr="005275D0">
        <w:rPr>
          <w:rFonts w:ascii="Times New Roman" w:eastAsia="Times New Roman" w:hAnsi="Times New Roman"/>
          <w:b/>
          <w:kern w:val="28"/>
          <w:sz w:val="24"/>
          <w:szCs w:val="24"/>
        </w:rPr>
        <w:t>m</w:t>
      </w:r>
      <w:r w:rsidRPr="005275D0">
        <w:rPr>
          <w:rFonts w:ascii="Times New Roman" w:eastAsia="Times New Roman" w:hAnsi="Times New Roman"/>
          <w:b/>
          <w:kern w:val="28"/>
          <w:sz w:val="24"/>
          <w:szCs w:val="24"/>
        </w:rPr>
        <w:t>embers</w:t>
      </w:r>
      <w:r w:rsidR="008C722E" w:rsidRPr="005275D0">
        <w:rPr>
          <w:rFonts w:ascii="Times New Roman" w:eastAsia="Times New Roman" w:hAnsi="Times New Roman"/>
          <w:b/>
          <w:kern w:val="28"/>
          <w:sz w:val="24"/>
          <w:szCs w:val="24"/>
        </w:rPr>
        <w:t xml:space="preserve"> of </w:t>
      </w:r>
      <w:r w:rsidR="00BD6621" w:rsidRPr="005275D0">
        <w:rPr>
          <w:rFonts w:ascii="Times New Roman" w:eastAsia="Times New Roman" w:hAnsi="Times New Roman"/>
          <w:b/>
          <w:kern w:val="28"/>
          <w:sz w:val="24"/>
          <w:szCs w:val="24"/>
        </w:rPr>
        <w:t>c</w:t>
      </w:r>
      <w:r w:rsidR="008C722E" w:rsidRPr="005275D0">
        <w:rPr>
          <w:rFonts w:ascii="Times New Roman" w:eastAsia="Times New Roman" w:hAnsi="Times New Roman"/>
          <w:b/>
          <w:kern w:val="28"/>
          <w:sz w:val="24"/>
          <w:szCs w:val="24"/>
        </w:rPr>
        <w:t xml:space="preserve">ivil </w:t>
      </w:r>
      <w:r w:rsidR="00BD6621" w:rsidRPr="005275D0">
        <w:rPr>
          <w:rFonts w:ascii="Times New Roman" w:eastAsia="Times New Roman" w:hAnsi="Times New Roman"/>
          <w:b/>
          <w:kern w:val="28"/>
          <w:sz w:val="24"/>
          <w:szCs w:val="24"/>
        </w:rPr>
        <w:t>s</w:t>
      </w:r>
      <w:r w:rsidR="008C722E" w:rsidRPr="005275D0">
        <w:rPr>
          <w:rFonts w:ascii="Times New Roman" w:eastAsia="Times New Roman" w:hAnsi="Times New Roman"/>
          <w:b/>
          <w:kern w:val="28"/>
          <w:sz w:val="24"/>
          <w:szCs w:val="24"/>
        </w:rPr>
        <w:t xml:space="preserve">ociety </w:t>
      </w:r>
      <w:r w:rsidR="00BD6621" w:rsidRPr="005275D0">
        <w:rPr>
          <w:rFonts w:ascii="Times New Roman" w:eastAsia="Times New Roman" w:hAnsi="Times New Roman"/>
          <w:b/>
          <w:kern w:val="28"/>
          <w:sz w:val="24"/>
          <w:szCs w:val="24"/>
        </w:rPr>
        <w:t>o</w:t>
      </w:r>
      <w:r w:rsidR="008C722E" w:rsidRPr="005275D0">
        <w:rPr>
          <w:rFonts w:ascii="Times New Roman" w:eastAsia="Times New Roman" w:hAnsi="Times New Roman"/>
          <w:b/>
          <w:kern w:val="28"/>
          <w:sz w:val="24"/>
          <w:szCs w:val="24"/>
        </w:rPr>
        <w:t>rganizations</w:t>
      </w:r>
      <w:r w:rsidR="002B7244">
        <w:rPr>
          <w:rFonts w:ascii="Times New Roman" w:eastAsia="Times New Roman" w:hAnsi="Times New Roman"/>
          <w:b/>
          <w:kern w:val="28"/>
          <w:sz w:val="24"/>
          <w:szCs w:val="24"/>
        </w:rPr>
        <w:t xml:space="preserve"> are at risk of being sentenced to death. (List of Issues para. 6)</w:t>
      </w:r>
    </w:p>
    <w:p w14:paraId="358BD195" w14:textId="0E26FD60" w:rsidR="00E576BC" w:rsidRDefault="00EB7AA0" w:rsidP="005275D0">
      <w:pPr>
        <w:numPr>
          <w:ilvl w:val="0"/>
          <w:numId w:val="22"/>
        </w:numPr>
        <w:spacing w:after="120"/>
        <w:jc w:val="both"/>
      </w:pPr>
      <w:r>
        <w:t>In paragraph 6 of the List of Issues, t</w:t>
      </w:r>
      <w:r w:rsidR="00E576BC">
        <w:t>he Committee requested</w:t>
      </w:r>
      <w:r>
        <w:t>, among other things,</w:t>
      </w:r>
      <w:r w:rsidR="00E576BC">
        <w:t xml:space="preserve"> “information on measures taken to guarantee the freedom of speech, movement and association of all women in [Bahrain], including women activists, journalists and members of civil society organizations.”</w:t>
      </w:r>
      <w:r w:rsidR="00E576BC">
        <w:rPr>
          <w:rStyle w:val="FootnoteReference"/>
        </w:rPr>
        <w:footnoteReference w:id="33"/>
      </w:r>
    </w:p>
    <w:p w14:paraId="01B427F0" w14:textId="5FB2D493" w:rsidR="00EB7AA0" w:rsidRDefault="00EB7AA0" w:rsidP="005275D0">
      <w:pPr>
        <w:numPr>
          <w:ilvl w:val="0"/>
          <w:numId w:val="22"/>
        </w:numPr>
        <w:spacing w:after="120"/>
        <w:jc w:val="both"/>
      </w:pPr>
      <w:r>
        <w:t xml:space="preserve">The Government of Bahrain’s reply </w:t>
      </w:r>
      <w:r w:rsidR="005707DA">
        <w:t>simply asserts that the country “allows freedom [of] expression.”</w:t>
      </w:r>
      <w:r>
        <w:rPr>
          <w:rStyle w:val="FootnoteReference"/>
        </w:rPr>
        <w:footnoteReference w:id="34"/>
      </w:r>
    </w:p>
    <w:p w14:paraId="5ADDB320" w14:textId="325AF689" w:rsidR="008C722E" w:rsidRPr="00B27EA7" w:rsidRDefault="008C722E" w:rsidP="005275D0">
      <w:pPr>
        <w:numPr>
          <w:ilvl w:val="0"/>
          <w:numId w:val="22"/>
        </w:numPr>
        <w:spacing w:after="120"/>
        <w:jc w:val="both"/>
      </w:pPr>
      <w:r w:rsidRPr="00B27EA7">
        <w:t xml:space="preserve">Bahrain has a track record of prosecuting activists. </w:t>
      </w:r>
      <w:r w:rsidR="009E3845" w:rsidRPr="00B27EA7">
        <w:t>In 20</w:t>
      </w:r>
      <w:r w:rsidRPr="00B27EA7">
        <w:t>11, eleven political and civil society leaders of peaceful protests were detained, tried</w:t>
      </w:r>
      <w:r w:rsidR="002B7244">
        <w:t>,</w:t>
      </w:r>
      <w:r w:rsidRPr="00B27EA7">
        <w:t xml:space="preserve"> and sentenced to between 15 years and life in prison. </w:t>
      </w:r>
      <w:r w:rsidR="009E3845" w:rsidRPr="00B27EA7">
        <w:t xml:space="preserve">In 2021, </w:t>
      </w:r>
      <w:r w:rsidR="00AC5420">
        <w:t>M.H.J.</w:t>
      </w:r>
      <w:r w:rsidRPr="00B27EA7">
        <w:t xml:space="preserve">, one of 11 political and civil society leaders of peaceful protests in 2011, </w:t>
      </w:r>
      <w:r w:rsidR="00A879E8" w:rsidRPr="00B27EA7">
        <w:t xml:space="preserve">was </w:t>
      </w:r>
      <w:r w:rsidRPr="00B27EA7">
        <w:t>tried and sentenced to between 15 years and life in prison.</w:t>
      </w:r>
      <w:r w:rsidR="009E3845" w:rsidRPr="00B27EA7">
        <w:rPr>
          <w:rStyle w:val="FootnoteReference"/>
        </w:rPr>
        <w:footnoteReference w:id="35"/>
      </w:r>
    </w:p>
    <w:p w14:paraId="062DC63E" w14:textId="306BAB62" w:rsidR="006F714F" w:rsidRPr="00B27EA7" w:rsidRDefault="002B7244" w:rsidP="005275D0">
      <w:pPr>
        <w:numPr>
          <w:ilvl w:val="0"/>
          <w:numId w:val="22"/>
        </w:numPr>
        <w:spacing w:after="120"/>
        <w:jc w:val="both"/>
      </w:pPr>
      <w:r>
        <w:t xml:space="preserve">Research has not uncovered any </w:t>
      </w:r>
      <w:r w:rsidR="008C722E" w:rsidRPr="00B27EA7">
        <w:t xml:space="preserve">instances of women activists being sentenced to death. </w:t>
      </w:r>
      <w:r>
        <w:t>A</w:t>
      </w:r>
      <w:r w:rsidR="008C722E" w:rsidRPr="00B27EA7">
        <w:rPr>
          <w:rFonts w:ascii="Times New Roman" w:hAnsi="Times New Roman"/>
        </w:rPr>
        <w:t xml:space="preserve">s mentioned above, </w:t>
      </w:r>
      <w:r>
        <w:rPr>
          <w:rFonts w:ascii="Times New Roman" w:hAnsi="Times New Roman"/>
        </w:rPr>
        <w:t xml:space="preserve">however, </w:t>
      </w:r>
      <w:r w:rsidR="008C722E" w:rsidRPr="00B27EA7">
        <w:rPr>
          <w:rFonts w:ascii="Times New Roman" w:hAnsi="Times New Roman"/>
        </w:rPr>
        <w:t xml:space="preserve">Bahrain’s last three reported executions were in 2019, including two Shia activists.  The two Shia activists were sentenced to death in a mass trial. In June 2020, the Court of Cassation upheld the </w:t>
      </w:r>
      <w:r w:rsidR="008C722E" w:rsidRPr="005275D0">
        <w:t>death</w:t>
      </w:r>
      <w:r w:rsidR="008C722E" w:rsidRPr="00B27EA7">
        <w:rPr>
          <w:rFonts w:ascii="Times New Roman" w:hAnsi="Times New Roman"/>
        </w:rPr>
        <w:t xml:space="preserve"> sentences of two Shia men who had been convicted and sentenced to death for their alleged involvement in targeting security forces and killing two police officers in bombings.</w:t>
      </w:r>
      <w:r w:rsidR="008C722E" w:rsidRPr="00B27EA7">
        <w:rPr>
          <w:rStyle w:val="FootnoteReference"/>
          <w:rFonts w:ascii="Times New Roman" w:hAnsi="Times New Roman"/>
        </w:rPr>
        <w:footnoteReference w:id="36"/>
      </w:r>
      <w:r w:rsidR="008C722E" w:rsidRPr="00B27EA7">
        <w:rPr>
          <w:rFonts w:ascii="Times New Roman" w:hAnsi="Times New Roman"/>
        </w:rPr>
        <w:t xml:space="preserve"> NGOs have reported that authorities obtained their confessions “through torture and that that the trial proceedings were unfair.”</w:t>
      </w:r>
      <w:r w:rsidR="008C722E" w:rsidRPr="00B27EA7">
        <w:rPr>
          <w:rStyle w:val="FootnoteReference"/>
          <w:rFonts w:ascii="Times New Roman" w:hAnsi="Times New Roman"/>
        </w:rPr>
        <w:footnoteReference w:id="37"/>
      </w:r>
      <w:r w:rsidR="008C722E" w:rsidRPr="00B27EA7">
        <w:rPr>
          <w:rFonts w:ascii="Times New Roman" w:hAnsi="Times New Roman"/>
        </w:rPr>
        <w:t xml:space="preserve"> The </w:t>
      </w:r>
      <w:r w:rsidR="00C57246" w:rsidRPr="00B27EA7">
        <w:rPr>
          <w:rFonts w:ascii="Times New Roman" w:hAnsi="Times New Roman"/>
        </w:rPr>
        <w:t>convicted persons</w:t>
      </w:r>
      <w:r w:rsidR="008C722E" w:rsidRPr="00B27EA7">
        <w:rPr>
          <w:rFonts w:ascii="Times New Roman" w:hAnsi="Times New Roman"/>
        </w:rPr>
        <w:t xml:space="preserve"> had previously expressed their opposition to the government.</w:t>
      </w:r>
      <w:r w:rsidR="008C722E" w:rsidRPr="00B27EA7">
        <w:rPr>
          <w:rStyle w:val="FootnoteReference"/>
          <w:rFonts w:ascii="Times New Roman" w:hAnsi="Times New Roman"/>
        </w:rPr>
        <w:footnoteReference w:id="38"/>
      </w:r>
    </w:p>
    <w:p w14:paraId="251AF66B" w14:textId="20231566" w:rsidR="006F714F" w:rsidRDefault="009A7514" w:rsidP="005275D0">
      <w:pPr>
        <w:pStyle w:val="ListParagraph"/>
        <w:keepNext/>
        <w:numPr>
          <w:ilvl w:val="0"/>
          <w:numId w:val="23"/>
        </w:numPr>
        <w:spacing w:before="240" w:after="120"/>
        <w:rPr>
          <w:rFonts w:ascii="Times New Roman" w:eastAsia="Times New Roman" w:hAnsi="Times New Roman"/>
          <w:b/>
          <w:kern w:val="28"/>
          <w:sz w:val="24"/>
          <w:szCs w:val="24"/>
        </w:rPr>
      </w:pPr>
      <w:r>
        <w:rPr>
          <w:rFonts w:ascii="Times New Roman" w:eastAsia="Times New Roman" w:hAnsi="Times New Roman"/>
          <w:b/>
          <w:kern w:val="28"/>
          <w:sz w:val="24"/>
          <w:szCs w:val="24"/>
        </w:rPr>
        <w:t>The death penalty and g</w:t>
      </w:r>
      <w:r w:rsidR="006F714F" w:rsidRPr="005275D0">
        <w:rPr>
          <w:rFonts w:ascii="Times New Roman" w:eastAsia="Times New Roman" w:hAnsi="Times New Roman"/>
          <w:b/>
          <w:kern w:val="28"/>
          <w:sz w:val="24"/>
          <w:szCs w:val="24"/>
        </w:rPr>
        <w:t xml:space="preserve">ender-based </w:t>
      </w:r>
      <w:r w:rsidR="00512E82" w:rsidRPr="005275D0">
        <w:rPr>
          <w:rFonts w:ascii="Times New Roman" w:eastAsia="Times New Roman" w:hAnsi="Times New Roman"/>
          <w:b/>
          <w:kern w:val="28"/>
          <w:sz w:val="24"/>
          <w:szCs w:val="24"/>
        </w:rPr>
        <w:t>v</w:t>
      </w:r>
      <w:r w:rsidR="006F714F" w:rsidRPr="005275D0">
        <w:rPr>
          <w:rFonts w:ascii="Times New Roman" w:eastAsia="Times New Roman" w:hAnsi="Times New Roman"/>
          <w:b/>
          <w:kern w:val="28"/>
          <w:sz w:val="24"/>
          <w:szCs w:val="24"/>
        </w:rPr>
        <w:t>iolence</w:t>
      </w:r>
      <w:r w:rsidR="00512E82" w:rsidRPr="005275D0">
        <w:rPr>
          <w:rFonts w:ascii="Times New Roman" w:eastAsia="Times New Roman" w:hAnsi="Times New Roman"/>
          <w:b/>
          <w:kern w:val="28"/>
          <w:sz w:val="24"/>
          <w:szCs w:val="24"/>
        </w:rPr>
        <w:t xml:space="preserve"> against women</w:t>
      </w:r>
      <w:r w:rsidR="002B7244">
        <w:rPr>
          <w:rFonts w:ascii="Times New Roman" w:eastAsia="Times New Roman" w:hAnsi="Times New Roman"/>
          <w:b/>
          <w:kern w:val="28"/>
          <w:sz w:val="24"/>
          <w:szCs w:val="24"/>
        </w:rPr>
        <w:t xml:space="preserve"> (List of Issues para</w:t>
      </w:r>
      <w:r w:rsidR="00E576BC">
        <w:rPr>
          <w:rFonts w:ascii="Times New Roman" w:eastAsia="Times New Roman" w:hAnsi="Times New Roman"/>
          <w:b/>
          <w:kern w:val="28"/>
          <w:sz w:val="24"/>
          <w:szCs w:val="24"/>
        </w:rPr>
        <w:t>s</w:t>
      </w:r>
      <w:r w:rsidR="002B7244">
        <w:rPr>
          <w:rFonts w:ascii="Times New Roman" w:eastAsia="Times New Roman" w:hAnsi="Times New Roman"/>
          <w:b/>
          <w:kern w:val="28"/>
          <w:sz w:val="24"/>
          <w:szCs w:val="24"/>
        </w:rPr>
        <w:t>. 10</w:t>
      </w:r>
      <w:r w:rsidR="00E576BC">
        <w:rPr>
          <w:rFonts w:ascii="Times New Roman" w:eastAsia="Times New Roman" w:hAnsi="Times New Roman"/>
          <w:b/>
          <w:kern w:val="28"/>
          <w:sz w:val="24"/>
          <w:szCs w:val="24"/>
        </w:rPr>
        <w:t>-11</w:t>
      </w:r>
      <w:r w:rsidR="002B7244">
        <w:rPr>
          <w:rFonts w:ascii="Times New Roman" w:eastAsia="Times New Roman" w:hAnsi="Times New Roman"/>
          <w:b/>
          <w:kern w:val="28"/>
          <w:sz w:val="24"/>
          <w:szCs w:val="24"/>
        </w:rPr>
        <w:t>)</w:t>
      </w:r>
    </w:p>
    <w:p w14:paraId="0823D854" w14:textId="774CEB4A" w:rsidR="00EB7AA0" w:rsidRPr="00B87919" w:rsidRDefault="00E576BC" w:rsidP="00E576BC">
      <w:pPr>
        <w:numPr>
          <w:ilvl w:val="0"/>
          <w:numId w:val="22"/>
        </w:numPr>
        <w:spacing w:after="120"/>
        <w:jc w:val="both"/>
        <w:rPr>
          <w:rFonts w:ascii="Times New Roman" w:eastAsia="Times New Roman" w:hAnsi="Times New Roman"/>
          <w:b/>
          <w:kern w:val="28"/>
        </w:rPr>
      </w:pPr>
      <w:r>
        <w:rPr>
          <w:rFonts w:ascii="Times New Roman" w:eastAsia="Times New Roman" w:hAnsi="Times New Roman"/>
          <w:bCs/>
          <w:kern w:val="28"/>
        </w:rPr>
        <w:t>The Committee requested “data on stoning and death penalties imposed on women in [Bahrain].”</w:t>
      </w:r>
      <w:r>
        <w:rPr>
          <w:rStyle w:val="FootnoteReference"/>
        </w:rPr>
        <w:footnoteReference w:id="39"/>
      </w:r>
      <w:r>
        <w:rPr>
          <w:rFonts w:ascii="Times New Roman" w:eastAsia="Times New Roman" w:hAnsi="Times New Roman"/>
          <w:bCs/>
          <w:kern w:val="28"/>
        </w:rPr>
        <w:t xml:space="preserve"> </w:t>
      </w:r>
      <w:r w:rsidR="00EB7AA0">
        <w:rPr>
          <w:rFonts w:ascii="Times New Roman" w:eastAsia="Times New Roman" w:hAnsi="Times New Roman"/>
          <w:bCs/>
          <w:kern w:val="28"/>
        </w:rPr>
        <w:t xml:space="preserve">The Government of Bahrain’s reply to the List of Issues </w:t>
      </w:r>
      <w:r w:rsidR="005707DA">
        <w:rPr>
          <w:rFonts w:ascii="Times New Roman" w:eastAsia="Times New Roman" w:hAnsi="Times New Roman"/>
          <w:bCs/>
          <w:kern w:val="28"/>
        </w:rPr>
        <w:t>provides no such data, but simply asserts that “[u]</w:t>
      </w:r>
      <w:proofErr w:type="spellStart"/>
      <w:r w:rsidR="005707DA">
        <w:rPr>
          <w:rFonts w:ascii="Times New Roman" w:eastAsia="Times New Roman" w:hAnsi="Times New Roman"/>
          <w:bCs/>
          <w:kern w:val="28"/>
        </w:rPr>
        <w:t>nder</w:t>
      </w:r>
      <w:proofErr w:type="spellEnd"/>
      <w:r w:rsidR="005707DA">
        <w:rPr>
          <w:rFonts w:ascii="Times New Roman" w:eastAsia="Times New Roman" w:hAnsi="Times New Roman"/>
          <w:bCs/>
          <w:kern w:val="28"/>
        </w:rPr>
        <w:t xml:space="preserve"> articles 348 and 349 of the Penal Code, the death penalty is applied only for serious crimes in which there are aggravating circumstances.”</w:t>
      </w:r>
      <w:r w:rsidR="00EB7AA0">
        <w:rPr>
          <w:rStyle w:val="FootnoteReference"/>
          <w:rFonts w:ascii="Times New Roman" w:eastAsia="Times New Roman" w:hAnsi="Times New Roman"/>
          <w:bCs/>
          <w:kern w:val="28"/>
        </w:rPr>
        <w:footnoteReference w:id="40"/>
      </w:r>
      <w:r w:rsidR="005707DA">
        <w:rPr>
          <w:rFonts w:ascii="Times New Roman" w:eastAsia="Times New Roman" w:hAnsi="Times New Roman"/>
          <w:bCs/>
          <w:kern w:val="28"/>
        </w:rPr>
        <w:t xml:space="preserve"> The reply further asserts that “the penalty of stoning is not part of its national laws.”</w:t>
      </w:r>
      <w:r w:rsidR="005707DA">
        <w:rPr>
          <w:rStyle w:val="FootnoteReference"/>
          <w:rFonts w:ascii="Times New Roman" w:eastAsia="Times New Roman" w:hAnsi="Times New Roman"/>
          <w:bCs/>
          <w:kern w:val="28"/>
        </w:rPr>
        <w:footnoteReference w:id="41"/>
      </w:r>
    </w:p>
    <w:p w14:paraId="181AADB0" w14:textId="0C6B9597" w:rsidR="00E576BC" w:rsidRPr="00B87919" w:rsidRDefault="00E576BC" w:rsidP="00E576BC">
      <w:pPr>
        <w:numPr>
          <w:ilvl w:val="0"/>
          <w:numId w:val="22"/>
        </w:numPr>
        <w:spacing w:after="120"/>
        <w:jc w:val="both"/>
        <w:rPr>
          <w:rFonts w:ascii="Times New Roman" w:eastAsia="Times New Roman" w:hAnsi="Times New Roman"/>
          <w:b/>
          <w:kern w:val="28"/>
        </w:rPr>
      </w:pPr>
      <w:r>
        <w:rPr>
          <w:rFonts w:ascii="Times New Roman" w:eastAsia="Times New Roman" w:hAnsi="Times New Roman"/>
          <w:bCs/>
          <w:kern w:val="28"/>
        </w:rPr>
        <w:lastRenderedPageBreak/>
        <w:t>The Committee also requested “information on the achievements of the national strategy to protect women from domestic violence.”</w:t>
      </w:r>
      <w:r>
        <w:rPr>
          <w:rStyle w:val="FootnoteReference"/>
        </w:rPr>
        <w:footnoteReference w:id="42"/>
      </w:r>
      <w:r w:rsidR="005707DA">
        <w:rPr>
          <w:rFonts w:ascii="Times New Roman" w:eastAsia="Times New Roman" w:hAnsi="Times New Roman"/>
          <w:bCs/>
          <w:kern w:val="28"/>
        </w:rPr>
        <w:t xml:space="preserve"> The Government of Bahrain’s reply states that the Supreme Council for Women launched the strategy in November 2015, and that “[p]</w:t>
      </w:r>
      <w:proofErr w:type="spellStart"/>
      <w:r w:rsidR="005707DA">
        <w:rPr>
          <w:rFonts w:ascii="Times New Roman" w:eastAsia="Times New Roman" w:hAnsi="Times New Roman"/>
          <w:bCs/>
          <w:kern w:val="28"/>
        </w:rPr>
        <w:t>rogress</w:t>
      </w:r>
      <w:proofErr w:type="spellEnd"/>
      <w:r w:rsidR="005707DA">
        <w:rPr>
          <w:rFonts w:ascii="Times New Roman" w:eastAsia="Times New Roman" w:hAnsi="Times New Roman"/>
          <w:bCs/>
          <w:kern w:val="28"/>
        </w:rPr>
        <w:t xml:space="preserve"> has been made in implementing the strategy.”</w:t>
      </w:r>
      <w:r w:rsidR="005707DA">
        <w:rPr>
          <w:rStyle w:val="FootnoteReference"/>
          <w:rFonts w:ascii="Times New Roman" w:eastAsia="Times New Roman" w:hAnsi="Times New Roman"/>
          <w:bCs/>
          <w:kern w:val="28"/>
        </w:rPr>
        <w:footnoteReference w:id="43"/>
      </w:r>
      <w:r w:rsidR="005707DA">
        <w:rPr>
          <w:rFonts w:ascii="Times New Roman" w:eastAsia="Times New Roman" w:hAnsi="Times New Roman"/>
          <w:bCs/>
          <w:kern w:val="28"/>
        </w:rPr>
        <w:t xml:space="preserve"> The reply asserts that “[t]he incidence of domestic violence against Bahraini women has declined following the launch of the strategy.”</w:t>
      </w:r>
      <w:r w:rsidR="005707DA">
        <w:rPr>
          <w:rStyle w:val="FootnoteReference"/>
          <w:rFonts w:ascii="Times New Roman" w:eastAsia="Times New Roman" w:hAnsi="Times New Roman"/>
          <w:bCs/>
          <w:kern w:val="28"/>
        </w:rPr>
        <w:footnoteReference w:id="44"/>
      </w:r>
    </w:p>
    <w:p w14:paraId="16566B12" w14:textId="19CF2C33" w:rsidR="005707DA" w:rsidRPr="00B87919" w:rsidRDefault="009A7514" w:rsidP="00E576BC">
      <w:pPr>
        <w:numPr>
          <w:ilvl w:val="0"/>
          <w:numId w:val="22"/>
        </w:numPr>
        <w:spacing w:after="120"/>
        <w:jc w:val="both"/>
        <w:rPr>
          <w:rFonts w:ascii="Times New Roman" w:eastAsia="Times New Roman" w:hAnsi="Times New Roman"/>
          <w:b/>
          <w:kern w:val="28"/>
        </w:rPr>
      </w:pPr>
      <w:r>
        <w:rPr>
          <w:rFonts w:ascii="Times New Roman" w:eastAsia="Times New Roman" w:hAnsi="Times New Roman"/>
          <w:bCs/>
          <w:kern w:val="28"/>
        </w:rPr>
        <w:t>Civil society does not have access to information about the number of women under sentence of death in Bahrain. Amnesty International’s most recent data shows that there are “at least” 26 people under sentence of death,</w:t>
      </w:r>
      <w:r>
        <w:rPr>
          <w:rStyle w:val="FootnoteReference"/>
          <w:rFonts w:ascii="Times New Roman" w:eastAsia="Times New Roman" w:hAnsi="Times New Roman"/>
          <w:bCs/>
          <w:kern w:val="28"/>
        </w:rPr>
        <w:footnoteReference w:id="45"/>
      </w:r>
      <w:r>
        <w:rPr>
          <w:rFonts w:ascii="Times New Roman" w:eastAsia="Times New Roman" w:hAnsi="Times New Roman"/>
          <w:bCs/>
          <w:kern w:val="28"/>
        </w:rPr>
        <w:t xml:space="preserve"> but the Government of Bahrain does not publish comprehensive data, much less data disaggregated by sex or gender.</w:t>
      </w:r>
    </w:p>
    <w:p w14:paraId="3BDF7113" w14:textId="7E950B30" w:rsidR="009A7514" w:rsidRPr="00B87919" w:rsidRDefault="009A7514" w:rsidP="00BB0A9D">
      <w:pPr>
        <w:numPr>
          <w:ilvl w:val="0"/>
          <w:numId w:val="22"/>
        </w:numPr>
        <w:spacing w:after="120"/>
        <w:jc w:val="both"/>
        <w:rPr>
          <w:rFonts w:ascii="Times New Roman" w:eastAsia="Times New Roman" w:hAnsi="Times New Roman"/>
          <w:bCs/>
          <w:kern w:val="28"/>
        </w:rPr>
      </w:pPr>
      <w:r w:rsidRPr="00B87919">
        <w:rPr>
          <w:rFonts w:ascii="Times New Roman" w:eastAsia="Times New Roman" w:hAnsi="Times New Roman"/>
          <w:bCs/>
          <w:kern w:val="28"/>
        </w:rPr>
        <w:t xml:space="preserve">There are a few particular issues that women face with respect to the death penalty. The </w:t>
      </w:r>
      <w:r>
        <w:rPr>
          <w:rFonts w:ascii="Times New Roman" w:eastAsia="Times New Roman" w:hAnsi="Times New Roman"/>
          <w:bCs/>
          <w:kern w:val="28"/>
        </w:rPr>
        <w:t xml:space="preserve">above-referenced study by the </w:t>
      </w:r>
      <w:r w:rsidRPr="00B87919">
        <w:rPr>
          <w:rFonts w:ascii="Times New Roman" w:eastAsia="Times New Roman" w:hAnsi="Times New Roman"/>
          <w:bCs/>
          <w:kern w:val="28"/>
        </w:rPr>
        <w:t xml:space="preserve">Cornell Center on the Death Penalty Worldwide </w:t>
      </w:r>
      <w:r>
        <w:rPr>
          <w:rFonts w:ascii="Times New Roman" w:eastAsia="Times New Roman" w:hAnsi="Times New Roman"/>
          <w:bCs/>
          <w:kern w:val="28"/>
        </w:rPr>
        <w:t xml:space="preserve">found </w:t>
      </w:r>
      <w:r w:rsidRPr="00B87919">
        <w:rPr>
          <w:rFonts w:ascii="Times New Roman" w:eastAsia="Times New Roman" w:hAnsi="Times New Roman"/>
          <w:bCs/>
          <w:kern w:val="28"/>
        </w:rPr>
        <w:t>that in the global context, women are most likely to be sentenced to death for murdering a family member, often in the context of gender-based violence.</w:t>
      </w:r>
      <w:r>
        <w:rPr>
          <w:rStyle w:val="FootnoteReference"/>
          <w:rFonts w:ascii="Times New Roman" w:eastAsia="Times New Roman" w:hAnsi="Times New Roman"/>
          <w:bCs/>
          <w:kern w:val="28"/>
        </w:rPr>
        <w:footnoteReference w:id="46"/>
      </w:r>
      <w:r w:rsidRPr="00B87919">
        <w:rPr>
          <w:rFonts w:ascii="Times New Roman" w:eastAsia="Times New Roman" w:hAnsi="Times New Roman"/>
          <w:bCs/>
          <w:kern w:val="28"/>
        </w:rPr>
        <w:t xml:space="preserve"> Many women under sentence of death are victims </w:t>
      </w:r>
      <w:r>
        <w:rPr>
          <w:rFonts w:ascii="Times New Roman" w:eastAsia="Times New Roman" w:hAnsi="Times New Roman"/>
          <w:bCs/>
          <w:kern w:val="28"/>
        </w:rPr>
        <w:t>of</w:t>
      </w:r>
      <w:r w:rsidRPr="00B87919">
        <w:rPr>
          <w:rFonts w:ascii="Times New Roman" w:eastAsia="Times New Roman" w:hAnsi="Times New Roman"/>
          <w:bCs/>
          <w:kern w:val="28"/>
        </w:rPr>
        <w:t xml:space="preserve"> gender-based violence and come from disadvantaged socio-economic backgrounds.</w:t>
      </w:r>
      <w:r>
        <w:rPr>
          <w:rStyle w:val="FootnoteReference"/>
          <w:rFonts w:ascii="Times New Roman" w:eastAsia="Times New Roman" w:hAnsi="Times New Roman"/>
          <w:bCs/>
          <w:kern w:val="28"/>
        </w:rPr>
        <w:footnoteReference w:id="47"/>
      </w:r>
      <w:r w:rsidRPr="00B87919">
        <w:rPr>
          <w:rFonts w:ascii="Times New Roman" w:eastAsia="Times New Roman" w:hAnsi="Times New Roman"/>
          <w:bCs/>
          <w:kern w:val="28"/>
        </w:rPr>
        <w:t xml:space="preserve"> In many countries that retain the death penalty, however, courts fail to take into account a defendant’s experience as a survivor of gender-based violence when making sentencing decisions.</w:t>
      </w:r>
      <w:r>
        <w:rPr>
          <w:rStyle w:val="FootnoteReference"/>
          <w:rFonts w:ascii="Times New Roman" w:eastAsia="Times New Roman" w:hAnsi="Times New Roman"/>
          <w:bCs/>
          <w:kern w:val="28"/>
        </w:rPr>
        <w:footnoteReference w:id="48"/>
      </w:r>
    </w:p>
    <w:p w14:paraId="2A88DA7E" w14:textId="4D13B180" w:rsidR="009A7514" w:rsidRPr="009A7514" w:rsidRDefault="009A7514" w:rsidP="00B87919">
      <w:pPr>
        <w:numPr>
          <w:ilvl w:val="0"/>
          <w:numId w:val="22"/>
        </w:numPr>
        <w:spacing w:after="120"/>
        <w:jc w:val="both"/>
        <w:rPr>
          <w:rFonts w:ascii="Times New Roman" w:eastAsia="Times New Roman" w:hAnsi="Times New Roman"/>
          <w:b/>
          <w:kern w:val="28"/>
        </w:rPr>
      </w:pPr>
      <w:r>
        <w:t>Research by the Cornell Center shows that women are more likely to receive a death sentence when the adjudicating authority perceives that they are violating entrenched gender norms, being cast as the “female fatale” or the “witch.” Women are often put on trial not only for acts they performed but also for allegedly being “a bad wife, a bad mother, and a bad woman.”</w:t>
      </w:r>
      <w:r>
        <w:rPr>
          <w:rStyle w:val="FootnoteReference"/>
        </w:rPr>
        <w:footnoteReference w:id="49"/>
      </w:r>
    </w:p>
    <w:p w14:paraId="5997EAFD" w14:textId="697BB8E2" w:rsidR="006F714F" w:rsidRPr="005275D0" w:rsidRDefault="00BD6621" w:rsidP="005275D0">
      <w:pPr>
        <w:pStyle w:val="ListParagraph"/>
        <w:keepNext/>
        <w:numPr>
          <w:ilvl w:val="0"/>
          <w:numId w:val="23"/>
        </w:numPr>
        <w:spacing w:before="240" w:after="120"/>
        <w:rPr>
          <w:rFonts w:ascii="Times New Roman" w:eastAsia="Times New Roman" w:hAnsi="Times New Roman"/>
          <w:b/>
          <w:kern w:val="28"/>
          <w:sz w:val="24"/>
          <w:szCs w:val="24"/>
        </w:rPr>
      </w:pPr>
      <w:r w:rsidRPr="005275D0">
        <w:rPr>
          <w:rFonts w:ascii="Times New Roman" w:eastAsia="Times New Roman" w:hAnsi="Times New Roman"/>
          <w:b/>
          <w:kern w:val="28"/>
          <w:sz w:val="24"/>
          <w:szCs w:val="24"/>
        </w:rPr>
        <w:t>Women migrant domestic workers</w:t>
      </w:r>
      <w:r w:rsidR="00CC7EBE">
        <w:rPr>
          <w:rFonts w:ascii="Times New Roman" w:eastAsia="Times New Roman" w:hAnsi="Times New Roman"/>
          <w:b/>
          <w:kern w:val="28"/>
          <w:sz w:val="24"/>
          <w:szCs w:val="24"/>
        </w:rPr>
        <w:t xml:space="preserve"> are at risk of being sentenced to death.</w:t>
      </w:r>
      <w:r w:rsidR="0082197C">
        <w:rPr>
          <w:rFonts w:ascii="Times New Roman" w:eastAsia="Times New Roman" w:hAnsi="Times New Roman"/>
          <w:b/>
          <w:kern w:val="28"/>
          <w:sz w:val="24"/>
          <w:szCs w:val="24"/>
        </w:rPr>
        <w:t xml:space="preserve"> (List of Issues para. 17)</w:t>
      </w:r>
    </w:p>
    <w:p w14:paraId="6585C595" w14:textId="63B8AB02" w:rsidR="00E3719B" w:rsidRDefault="00E576BC" w:rsidP="005275D0">
      <w:pPr>
        <w:numPr>
          <w:ilvl w:val="0"/>
          <w:numId w:val="22"/>
        </w:numPr>
        <w:spacing w:after="120"/>
        <w:jc w:val="both"/>
      </w:pPr>
      <w:r>
        <w:t>The Committee requested information on the legal protections available to women migrant domestic workers and measures taken to raise their awareness of applicable legal protections.</w:t>
      </w:r>
      <w:r>
        <w:rPr>
          <w:rStyle w:val="FootnoteReference"/>
        </w:rPr>
        <w:footnoteReference w:id="50"/>
      </w:r>
      <w:r w:rsidR="005707DA">
        <w:t xml:space="preserve"> The Government of Bahrain’s reply to the List of Issues clarifies that the country does not have “migrant” workers but instead refers to them as “expatriate workers.”</w:t>
      </w:r>
      <w:r w:rsidR="005707DA">
        <w:rPr>
          <w:rStyle w:val="FootnoteReference"/>
          <w:rFonts w:ascii="Times New Roman" w:eastAsia="Times New Roman" w:hAnsi="Times New Roman"/>
          <w:bCs/>
          <w:kern w:val="28"/>
        </w:rPr>
        <w:footnoteReference w:id="51"/>
      </w:r>
      <w:r w:rsidR="005707DA">
        <w:t xml:space="preserve"> The reply asserts that </w:t>
      </w:r>
      <w:r w:rsidR="005707DA">
        <w:lastRenderedPageBreak/>
        <w:t xml:space="preserve">women migrant domestic workers </w:t>
      </w:r>
      <w:r w:rsidR="00E3719B">
        <w:t>“whose work permits were cancelled or have expired and not been renewed by their employers can be issued” a “flexible work permit,” that would not tie them to an employer and that would allow them to “work as individuals on a contractual basis with anyone they like.”</w:t>
      </w:r>
      <w:r w:rsidR="00E3719B">
        <w:rPr>
          <w:rStyle w:val="FootnoteReference"/>
          <w:rFonts w:ascii="Times New Roman" w:eastAsia="Times New Roman" w:hAnsi="Times New Roman"/>
          <w:bCs/>
          <w:kern w:val="28"/>
        </w:rPr>
        <w:footnoteReference w:id="52"/>
      </w:r>
      <w:r w:rsidR="00E3719B">
        <w:t xml:space="preserve"> The reply concedes, however, that “[t]he </w:t>
      </w:r>
      <w:proofErr w:type="spellStart"/>
      <w:r w:rsidR="00E3719B">
        <w:t>Labour</w:t>
      </w:r>
      <w:proofErr w:type="spellEnd"/>
      <w:r w:rsidR="00E3719B">
        <w:t xml:space="preserve"> Code for the Private Sector does not apply to foreigners who hold flexible work permits, because they are considered to be foreign persons. . . . Such persons are not covered by the definition of a worker in respect of the manner in which their work is supervised and managed.”</w:t>
      </w:r>
      <w:r w:rsidR="00E3719B">
        <w:rPr>
          <w:rStyle w:val="FootnoteReference"/>
          <w:rFonts w:ascii="Times New Roman" w:eastAsia="Times New Roman" w:hAnsi="Times New Roman"/>
          <w:bCs/>
          <w:kern w:val="28"/>
        </w:rPr>
        <w:footnoteReference w:id="53"/>
      </w:r>
      <w:r w:rsidR="00E3719B">
        <w:t xml:space="preserve"> The reply asserts without explanation that “[t]his puts them in a better legal position than an ordinary worker,” and then contends that if such a worker enters into an employment contract, “then the definition of worker applies to them and they will enjoy all guarantees provided by the law.”</w:t>
      </w:r>
      <w:r w:rsidR="00E3719B">
        <w:rPr>
          <w:rStyle w:val="FootnoteReference"/>
          <w:rFonts w:ascii="Times New Roman" w:eastAsia="Times New Roman" w:hAnsi="Times New Roman"/>
          <w:bCs/>
          <w:kern w:val="28"/>
        </w:rPr>
        <w:footnoteReference w:id="54"/>
      </w:r>
    </w:p>
    <w:p w14:paraId="5E6F4610" w14:textId="3282F88B" w:rsidR="00E576BC" w:rsidRPr="00B87919" w:rsidRDefault="00E3719B" w:rsidP="005275D0">
      <w:pPr>
        <w:numPr>
          <w:ilvl w:val="0"/>
          <w:numId w:val="22"/>
        </w:numPr>
        <w:spacing w:after="120"/>
        <w:jc w:val="both"/>
      </w:pPr>
      <w:r>
        <w:t>Regarding compensation, the Government of Bahrain explains that if a worker doesn’t have an individual or collective labor contract, “the worker is entitled to the standard wage, if one has been stipulated; otherwise, the wage is calculated according to the custom of the profession in which the worker is engaged.”</w:t>
      </w:r>
      <w:r>
        <w:rPr>
          <w:rStyle w:val="FootnoteReference"/>
          <w:rFonts w:ascii="Times New Roman" w:eastAsia="Times New Roman" w:hAnsi="Times New Roman"/>
          <w:bCs/>
          <w:kern w:val="28"/>
        </w:rPr>
        <w:footnoteReference w:id="55"/>
      </w:r>
    </w:p>
    <w:p w14:paraId="341EC500" w14:textId="6FB3C3E6" w:rsidR="00505957" w:rsidRPr="00B27EA7" w:rsidRDefault="00505957" w:rsidP="005275D0">
      <w:pPr>
        <w:numPr>
          <w:ilvl w:val="0"/>
          <w:numId w:val="22"/>
        </w:numPr>
        <w:spacing w:after="120"/>
        <w:jc w:val="both"/>
      </w:pPr>
      <w:r w:rsidRPr="00B27EA7">
        <w:rPr>
          <w:rFonts w:ascii="Times New Roman" w:hAnsi="Times New Roman"/>
        </w:rPr>
        <w:t xml:space="preserve">Migrant workers face human rights violations under the </w:t>
      </w:r>
      <w:r w:rsidRPr="00B27EA7">
        <w:rPr>
          <w:rFonts w:ascii="Times New Roman" w:hAnsi="Times New Roman"/>
          <w:i/>
          <w:iCs/>
        </w:rPr>
        <w:t>kafala</w:t>
      </w:r>
      <w:r w:rsidRPr="00B27EA7">
        <w:rPr>
          <w:rFonts w:ascii="Times New Roman" w:hAnsi="Times New Roman"/>
        </w:rPr>
        <w:t xml:space="preserve"> guest-worker system, which fails to protect them against exploitation, including confiscation of passports, wage theft, and exorbitant </w:t>
      </w:r>
      <w:r w:rsidRPr="005275D0">
        <w:t>recruiting</w:t>
      </w:r>
      <w:r w:rsidRPr="00B27EA7">
        <w:rPr>
          <w:rFonts w:ascii="Times New Roman" w:hAnsi="Times New Roman"/>
        </w:rPr>
        <w:t xml:space="preserve"> fees.</w:t>
      </w:r>
      <w:r w:rsidRPr="00B27EA7">
        <w:rPr>
          <w:rStyle w:val="FootnoteReference"/>
          <w:rFonts w:ascii="Times New Roman" w:hAnsi="Times New Roman"/>
        </w:rPr>
        <w:footnoteReference w:id="56"/>
      </w:r>
      <w:r w:rsidRPr="00B27EA7">
        <w:rPr>
          <w:rFonts w:ascii="Times New Roman" w:hAnsi="Times New Roman"/>
        </w:rPr>
        <w:t xml:space="preserve"> Migrant domestic workers are particularly vulnerable, and it is unclear whether courts would take into account their precarious circumstances when assessing culpability in capital cases. In Bahrain, migrant women are 65% of the total female workforce, and of the 91,852 officially registered domestic workers, 75% are women.</w:t>
      </w:r>
      <w:r w:rsidRPr="00B27EA7">
        <w:rPr>
          <w:rStyle w:val="FootnoteReference"/>
          <w:rFonts w:ascii="Times New Roman" w:hAnsi="Times New Roman"/>
        </w:rPr>
        <w:footnoteReference w:id="57"/>
      </w:r>
      <w:r w:rsidRPr="00B27EA7">
        <w:rPr>
          <w:rFonts w:ascii="Times New Roman" w:hAnsi="Times New Roman"/>
        </w:rPr>
        <w:t xml:space="preserve"> Bahrain does not have a domestic worker law.</w:t>
      </w:r>
      <w:r w:rsidRPr="00B27EA7">
        <w:rPr>
          <w:rStyle w:val="FootnoteReference"/>
          <w:rFonts w:ascii="Times New Roman" w:hAnsi="Times New Roman"/>
        </w:rPr>
        <w:footnoteReference w:id="58"/>
      </w:r>
      <w:r w:rsidRPr="00B27EA7">
        <w:rPr>
          <w:rFonts w:ascii="Times New Roman" w:hAnsi="Times New Roman"/>
        </w:rPr>
        <w:t xml:space="preserve"> Bahrain’s legal protections for domestic workers “remain among the weakest in the Gulf; there are no regulations on maximum working hours, mandatory rest hours, or a weekly day off—regulations which almost all other Gulf countries provide.”</w:t>
      </w:r>
      <w:r w:rsidRPr="00B27EA7">
        <w:rPr>
          <w:rStyle w:val="FootnoteReference"/>
          <w:rFonts w:ascii="Times New Roman" w:hAnsi="Times New Roman"/>
        </w:rPr>
        <w:footnoteReference w:id="59"/>
      </w:r>
      <w:r w:rsidR="00D17A0E" w:rsidRPr="00B27EA7">
        <w:rPr>
          <w:rFonts w:ascii="Times New Roman" w:hAnsi="Times New Roman"/>
        </w:rPr>
        <w:t xml:space="preserve"> Relatedly, </w:t>
      </w:r>
      <w:r w:rsidR="009C4122" w:rsidRPr="00B27EA7">
        <w:rPr>
          <w:rFonts w:ascii="Times New Roman" w:hAnsi="Times New Roman"/>
        </w:rPr>
        <w:t xml:space="preserve">Bahrain has not ratified </w:t>
      </w:r>
      <w:r w:rsidR="00D17A0E" w:rsidRPr="00B27EA7">
        <w:rPr>
          <w:rFonts w:ascii="Times New Roman" w:hAnsi="Times New Roman"/>
        </w:rPr>
        <w:t>or acceded to the International Convention on the Protection of the Rights of All Migrant Workers and Members of their Families</w:t>
      </w:r>
      <w:r w:rsidR="00C81FE8" w:rsidRPr="00B27EA7">
        <w:rPr>
          <w:rFonts w:ascii="Times New Roman" w:hAnsi="Times New Roman"/>
        </w:rPr>
        <w:t>.</w:t>
      </w:r>
    </w:p>
    <w:p w14:paraId="757C6DB7" w14:textId="5A21A468" w:rsidR="008C722E" w:rsidRDefault="00995082" w:rsidP="005275D0">
      <w:pPr>
        <w:numPr>
          <w:ilvl w:val="0"/>
          <w:numId w:val="22"/>
        </w:numPr>
        <w:spacing w:after="120"/>
        <w:jc w:val="both"/>
        <w:rPr>
          <w:rFonts w:ascii="Times New Roman" w:hAnsi="Times New Roman"/>
        </w:rPr>
      </w:pPr>
      <w:r w:rsidRPr="00B27EA7">
        <w:rPr>
          <w:rFonts w:ascii="Times New Roman" w:hAnsi="Times New Roman"/>
        </w:rPr>
        <w:t xml:space="preserve">While there is no specific information available regarding Bahrain, </w:t>
      </w:r>
      <w:r w:rsidR="0082197C">
        <w:rPr>
          <w:rFonts w:ascii="Times New Roman" w:hAnsi="Times New Roman"/>
        </w:rPr>
        <w:t xml:space="preserve">the 2018 Cornell study referenced  above observed </w:t>
      </w:r>
      <w:r w:rsidRPr="00B27EA7">
        <w:rPr>
          <w:rFonts w:ascii="Times New Roman" w:hAnsi="Times New Roman"/>
        </w:rPr>
        <w:t xml:space="preserve">that in other countries in the region, many women on death row </w:t>
      </w:r>
      <w:r w:rsidRPr="00B27EA7">
        <w:rPr>
          <w:rFonts w:ascii="Times New Roman" w:hAnsi="Times New Roman"/>
        </w:rPr>
        <w:lastRenderedPageBreak/>
        <w:t>are migrant domestic workers.</w:t>
      </w:r>
      <w:r w:rsidRPr="00B27EA7">
        <w:rPr>
          <w:rStyle w:val="FootnoteReference"/>
          <w:rFonts w:ascii="Times New Roman" w:hAnsi="Times New Roman"/>
        </w:rPr>
        <w:footnoteReference w:id="60"/>
      </w:r>
      <w:r w:rsidR="008C722E" w:rsidRPr="00B27EA7">
        <w:rPr>
          <w:rFonts w:ascii="Times New Roman" w:hAnsi="Times New Roman"/>
        </w:rPr>
        <w:t xml:space="preserve"> In many cases, the female domestic worker was accused </w:t>
      </w:r>
      <w:r w:rsidR="008C722E" w:rsidRPr="005275D0">
        <w:t>of</w:t>
      </w:r>
      <w:r w:rsidR="008C722E" w:rsidRPr="00B27EA7">
        <w:rPr>
          <w:rFonts w:ascii="Times New Roman" w:hAnsi="Times New Roman"/>
        </w:rPr>
        <w:t xml:space="preserve"> killing her employer, suggesting a “pattern of female migrant domestic workers sentenced to death in . . . Middle Eastern countries, who suffer from intersecting forms of oppression based on class, foreign nationality, precarious immigration status, and gender.”</w:t>
      </w:r>
      <w:r w:rsidR="008C722E" w:rsidRPr="00B27EA7">
        <w:rPr>
          <w:rStyle w:val="FootnoteReference"/>
          <w:rFonts w:ascii="Times New Roman" w:hAnsi="Times New Roman"/>
        </w:rPr>
        <w:footnoteReference w:id="61"/>
      </w:r>
      <w:r w:rsidR="008C722E" w:rsidRPr="00B27EA7">
        <w:rPr>
          <w:rFonts w:ascii="Times New Roman" w:hAnsi="Times New Roman"/>
        </w:rPr>
        <w:t xml:space="preserve"> </w:t>
      </w:r>
    </w:p>
    <w:p w14:paraId="64BB96E8" w14:textId="51796D79" w:rsidR="00995082" w:rsidRDefault="00BD6621" w:rsidP="005275D0">
      <w:pPr>
        <w:numPr>
          <w:ilvl w:val="0"/>
          <w:numId w:val="22"/>
        </w:numPr>
        <w:spacing w:after="120"/>
        <w:jc w:val="both"/>
      </w:pPr>
      <w:r w:rsidRPr="00B27EA7">
        <w:rPr>
          <w:rFonts w:ascii="Times New Roman" w:hAnsi="Times New Roman"/>
        </w:rPr>
        <w:t xml:space="preserve">There is no information to suggest that courts in Bahrain take these multifaceted forms of oppression, including sexual harassment and gender-based violence, into account in capital cases against foreign domestic </w:t>
      </w:r>
      <w:r w:rsidRPr="005275D0">
        <w:t>workers</w:t>
      </w:r>
      <w:r w:rsidRPr="00B27EA7">
        <w:rPr>
          <w:rFonts w:ascii="Times New Roman" w:hAnsi="Times New Roman"/>
        </w:rPr>
        <w:t>.</w:t>
      </w:r>
      <w:r>
        <w:rPr>
          <w:rFonts w:ascii="Times New Roman" w:hAnsi="Times New Roman"/>
        </w:rPr>
        <w:t xml:space="preserve"> </w:t>
      </w:r>
      <w:r w:rsidR="00505957" w:rsidRPr="00B27EA7">
        <w:t xml:space="preserve">Although </w:t>
      </w:r>
      <w:r w:rsidR="0082197C">
        <w:t xml:space="preserve">research did not uncover any capital cases against </w:t>
      </w:r>
      <w:r w:rsidR="00E00C5A" w:rsidRPr="00B27EA7">
        <w:t xml:space="preserve">migrant women </w:t>
      </w:r>
      <w:r w:rsidR="00C57246" w:rsidRPr="00B27EA7">
        <w:t>in Bahrain</w:t>
      </w:r>
      <w:r w:rsidR="00505957" w:rsidRPr="00B27EA7">
        <w:t xml:space="preserve">, </w:t>
      </w:r>
      <w:r w:rsidR="0082197C">
        <w:t xml:space="preserve">country </w:t>
      </w:r>
      <w:r w:rsidR="00505957" w:rsidRPr="00B27EA7">
        <w:t xml:space="preserve">conditions </w:t>
      </w:r>
      <w:r w:rsidR="00AA40FD" w:rsidRPr="00B27EA7">
        <w:t>expose migrant</w:t>
      </w:r>
      <w:r w:rsidR="00505957" w:rsidRPr="00B27EA7">
        <w:t xml:space="preserve"> women to</w:t>
      </w:r>
      <w:r w:rsidR="00AA40FD" w:rsidRPr="00B27EA7">
        <w:t xml:space="preserve"> a</w:t>
      </w:r>
      <w:r w:rsidR="00505957" w:rsidRPr="00B27EA7">
        <w:t xml:space="preserve"> disproportionate risk </w:t>
      </w:r>
      <w:r w:rsidR="00AA40FD" w:rsidRPr="00B27EA7">
        <w:t>of violation of their</w:t>
      </w:r>
      <w:r w:rsidR="00C57246" w:rsidRPr="00B27EA7">
        <w:t xml:space="preserve"> due process</w:t>
      </w:r>
      <w:r w:rsidR="00AA40FD" w:rsidRPr="00B27EA7">
        <w:t xml:space="preserve"> rights</w:t>
      </w:r>
      <w:r w:rsidR="00C57246" w:rsidRPr="00B27EA7">
        <w:t xml:space="preserve"> </w:t>
      </w:r>
      <w:r w:rsidR="0082197C">
        <w:t>in capital cases</w:t>
      </w:r>
      <w:r w:rsidR="00505957" w:rsidRPr="00B27EA7">
        <w:t xml:space="preserve">. </w:t>
      </w:r>
      <w:r w:rsidR="00995082" w:rsidRPr="00B27EA7">
        <w:t xml:space="preserve"> </w:t>
      </w:r>
    </w:p>
    <w:p w14:paraId="0B992A6F" w14:textId="77777777" w:rsidR="00C00DBC" w:rsidRPr="005275D0" w:rsidRDefault="00C00DBC" w:rsidP="005275D0">
      <w:pPr>
        <w:pStyle w:val="ListParagraph"/>
        <w:keepNext/>
        <w:numPr>
          <w:ilvl w:val="0"/>
          <w:numId w:val="23"/>
        </w:numPr>
        <w:spacing w:before="240" w:after="120"/>
        <w:rPr>
          <w:rFonts w:ascii="Times New Roman" w:eastAsia="Times New Roman" w:hAnsi="Times New Roman"/>
          <w:b/>
          <w:kern w:val="28"/>
          <w:sz w:val="24"/>
          <w:szCs w:val="24"/>
        </w:rPr>
      </w:pPr>
      <w:r w:rsidRPr="005275D0">
        <w:rPr>
          <w:rFonts w:ascii="Times New Roman" w:eastAsia="Times New Roman" w:hAnsi="Times New Roman"/>
          <w:b/>
          <w:kern w:val="28"/>
          <w:sz w:val="24"/>
          <w:szCs w:val="24"/>
        </w:rPr>
        <w:t>Suggested recommendations relating to women and death penalty:</w:t>
      </w:r>
    </w:p>
    <w:p w14:paraId="17E3CED1" w14:textId="4F1E8E3F" w:rsidR="005275D0" w:rsidRDefault="005275D0" w:rsidP="005275D0">
      <w:pPr>
        <w:numPr>
          <w:ilvl w:val="0"/>
          <w:numId w:val="22"/>
        </w:numPr>
        <w:spacing w:after="120"/>
        <w:jc w:val="both"/>
      </w:pPr>
      <w:r>
        <w:t>The coauthors suggest the following recommendations for the Government of Bahrain:</w:t>
      </w:r>
    </w:p>
    <w:p w14:paraId="0DFDAA3C" w14:textId="07837D59" w:rsidR="00E00C5A" w:rsidRDefault="00330491" w:rsidP="00A42BCA">
      <w:pPr>
        <w:pStyle w:val="BodyText"/>
        <w:numPr>
          <w:ilvl w:val="0"/>
          <w:numId w:val="21"/>
        </w:numPr>
        <w:spacing w:after="0"/>
      </w:pPr>
      <w:r>
        <w:t xml:space="preserve">Abolish the death penalty </w:t>
      </w:r>
      <w:r w:rsidR="00A42BCA">
        <w:t>in all circumstances</w:t>
      </w:r>
      <w:r w:rsidR="00C00DBC" w:rsidRPr="00C00DBC">
        <w:t xml:space="preserve"> and replace it with a penalty that is fair, proportionate, and consistent with international human rights standards</w:t>
      </w:r>
      <w:r>
        <w:t xml:space="preserve">, and in the meantime adopt a </w:t>
      </w:r>
      <w:r>
        <w:rPr>
          <w:i/>
          <w:iCs/>
        </w:rPr>
        <w:t xml:space="preserve">de jure </w:t>
      </w:r>
      <w:r w:rsidRPr="00A42BCA">
        <w:t>moratorium on judicial executions</w:t>
      </w:r>
      <w:r w:rsidR="00654F9E">
        <w:t>.</w:t>
      </w:r>
    </w:p>
    <w:p w14:paraId="69F03BF0" w14:textId="4CC993D7" w:rsidR="00654F9E" w:rsidRDefault="00654F9E" w:rsidP="00A42BCA">
      <w:pPr>
        <w:pStyle w:val="BodyText"/>
        <w:numPr>
          <w:ilvl w:val="0"/>
          <w:numId w:val="21"/>
        </w:numPr>
        <w:spacing w:after="0"/>
      </w:pPr>
      <w:r>
        <w:t>In the meantime, revise the Penal Code to eliminate the death penalty for any crime that does not include an intentional killing committed by the person to be sentenced to death.</w:t>
      </w:r>
    </w:p>
    <w:p w14:paraId="0B1FACD6" w14:textId="719038BB" w:rsidR="00C10A36" w:rsidRDefault="00C10A36" w:rsidP="00F55DF7">
      <w:pPr>
        <w:pStyle w:val="BodyText"/>
        <w:numPr>
          <w:ilvl w:val="0"/>
          <w:numId w:val="21"/>
        </w:numPr>
        <w:spacing w:after="0"/>
      </w:pPr>
      <w:r>
        <w:t xml:space="preserve">Ratify the </w:t>
      </w:r>
      <w:r w:rsidR="00330491">
        <w:t xml:space="preserve">Second </w:t>
      </w:r>
      <w:r>
        <w:t>Optional Protocol to the International Covenant on Civil and Political Rights.</w:t>
      </w:r>
    </w:p>
    <w:p w14:paraId="145F1144" w14:textId="29B5CDD2" w:rsidR="00E00C5A" w:rsidRDefault="00C10A36" w:rsidP="00E00C5A">
      <w:pPr>
        <w:pStyle w:val="BodyText"/>
        <w:numPr>
          <w:ilvl w:val="0"/>
          <w:numId w:val="21"/>
        </w:numPr>
        <w:spacing w:after="0"/>
      </w:pPr>
      <w:r>
        <w:t xml:space="preserve">Withdraw </w:t>
      </w:r>
      <w:r w:rsidR="002172D2">
        <w:t>all</w:t>
      </w:r>
      <w:r w:rsidR="00330491">
        <w:t xml:space="preserve"> </w:t>
      </w:r>
      <w:r>
        <w:t xml:space="preserve">reservations to the Convention. </w:t>
      </w:r>
    </w:p>
    <w:p w14:paraId="3C24CBF1" w14:textId="77777777" w:rsidR="00330491" w:rsidRDefault="00C00DBC" w:rsidP="00E00C5A">
      <w:pPr>
        <w:pStyle w:val="BodyText"/>
        <w:numPr>
          <w:ilvl w:val="0"/>
          <w:numId w:val="21"/>
        </w:numPr>
        <w:spacing w:after="0"/>
      </w:pPr>
      <w:r w:rsidRPr="00C00DBC">
        <w:t xml:space="preserve">Take steps to provide </w:t>
      </w:r>
      <w:r w:rsidR="00330491">
        <w:t xml:space="preserve">heightened </w:t>
      </w:r>
      <w:r w:rsidRPr="00C00DBC">
        <w:t>fair trial and due process safeguards in capital cases involving women defendants, including by providing them with access to effective legal representation</w:t>
      </w:r>
      <w:r w:rsidR="00330491">
        <w:t xml:space="preserve"> with experience in capital cases and with training on gender-sensitive defense strategies.</w:t>
      </w:r>
      <w:r w:rsidRPr="00C00DBC">
        <w:t xml:space="preserve"> </w:t>
      </w:r>
    </w:p>
    <w:p w14:paraId="3526069E" w14:textId="3EA5ABA9" w:rsidR="00E00C5A" w:rsidRDefault="00330491" w:rsidP="00E00C5A">
      <w:pPr>
        <w:pStyle w:val="BodyText"/>
        <w:numPr>
          <w:ilvl w:val="0"/>
          <w:numId w:val="21"/>
        </w:numPr>
        <w:spacing w:after="0"/>
      </w:pPr>
      <w:r>
        <w:t xml:space="preserve">In capital proceedings, enact heightened </w:t>
      </w:r>
      <w:r w:rsidR="00C00DBC" w:rsidRPr="00C00DBC">
        <w:t>safeguards prohibiting admissibility of evidence obtained through torture or ill-treatment.</w:t>
      </w:r>
    </w:p>
    <w:p w14:paraId="28CDAC6E" w14:textId="74B738F9" w:rsidR="00FC5A1C" w:rsidRDefault="00FC5A1C" w:rsidP="00E00C5A">
      <w:pPr>
        <w:pStyle w:val="BodyText"/>
        <w:numPr>
          <w:ilvl w:val="0"/>
          <w:numId w:val="21"/>
        </w:numPr>
        <w:spacing w:after="0"/>
      </w:pPr>
      <w:r>
        <w:t xml:space="preserve">Increase the number of women </w:t>
      </w:r>
      <w:r w:rsidR="00330491">
        <w:t xml:space="preserve">working in the criminal legal system, including </w:t>
      </w:r>
      <w:r>
        <w:t>judges, prosecutors, and court administrators.</w:t>
      </w:r>
    </w:p>
    <w:p w14:paraId="047F1BEF" w14:textId="77777777" w:rsidR="00C00DBC" w:rsidRDefault="00C00DBC" w:rsidP="00E00C5A">
      <w:pPr>
        <w:pStyle w:val="BodyText"/>
        <w:numPr>
          <w:ilvl w:val="0"/>
          <w:numId w:val="21"/>
        </w:numPr>
        <w:spacing w:after="0"/>
      </w:pPr>
      <w:r w:rsidRPr="00C00DBC">
        <w:t>Codify gender-specific defenses and mitigation in capital cases, encompassing women’s experiences of trauma, poverty, and gender-based violence.</w:t>
      </w:r>
    </w:p>
    <w:p w14:paraId="32D7C4F9" w14:textId="77777777" w:rsidR="00C00DBC" w:rsidRDefault="00C00DBC" w:rsidP="00E00C5A">
      <w:pPr>
        <w:pStyle w:val="BodyText"/>
        <w:numPr>
          <w:ilvl w:val="0"/>
          <w:numId w:val="21"/>
        </w:numPr>
        <w:spacing w:after="0"/>
      </w:pPr>
      <w:r w:rsidRPr="00C00DBC">
        <w:t>Adopt provisions to ensure the independence and impartiality of the judiciary.</w:t>
      </w:r>
    </w:p>
    <w:p w14:paraId="61376074" w14:textId="3411ACB5" w:rsidR="00C00DBC" w:rsidRDefault="00C00DBC" w:rsidP="00E00C5A">
      <w:pPr>
        <w:pStyle w:val="BodyText"/>
        <w:numPr>
          <w:ilvl w:val="0"/>
          <w:numId w:val="21"/>
        </w:numPr>
        <w:spacing w:after="0"/>
      </w:pPr>
      <w:r w:rsidRPr="00C00DBC">
        <w:t xml:space="preserve">Ensure that all judicial officers responsible for sentencing in capital cases receive comprehensive training on gender-based discrimination, </w:t>
      </w:r>
      <w:r w:rsidR="00330491">
        <w:t xml:space="preserve">gender-based </w:t>
      </w:r>
      <w:r w:rsidRPr="00C00DBC">
        <w:t>violence, and tactics of coercive control that may lead to women committing death-eligible offenses.</w:t>
      </w:r>
    </w:p>
    <w:p w14:paraId="49EDEAF9" w14:textId="77777777" w:rsidR="00C00DBC" w:rsidRDefault="00C00DBC" w:rsidP="00BB0A9D">
      <w:pPr>
        <w:pStyle w:val="BodyText"/>
        <w:numPr>
          <w:ilvl w:val="0"/>
          <w:numId w:val="21"/>
        </w:numPr>
        <w:spacing w:after="0"/>
      </w:pPr>
      <w:r w:rsidRPr="00C00DBC">
        <w:t>Provide training to all defense counsel who take on capital cases regarding gender</w:t>
      </w:r>
      <w:r w:rsidR="00E00C5A">
        <w:t>-</w:t>
      </w:r>
      <w:r w:rsidRPr="00C00DBC">
        <w:t xml:space="preserve">specific mitigation and how to raise discrimination against clients on the basis of </w:t>
      </w:r>
      <w:r w:rsidR="00E63EAC" w:rsidRPr="00C00DBC">
        <w:t>their</w:t>
      </w:r>
      <w:r w:rsidRPr="00C00DBC">
        <w:t xml:space="preserve"> gender, when appropriate. </w:t>
      </w:r>
    </w:p>
    <w:p w14:paraId="37DC9D1B" w14:textId="272AF489" w:rsidR="00C00DBC" w:rsidRDefault="00C00DBC" w:rsidP="00BB0A9D">
      <w:pPr>
        <w:pStyle w:val="BodyText"/>
        <w:numPr>
          <w:ilvl w:val="0"/>
          <w:numId w:val="21"/>
        </w:numPr>
        <w:spacing w:after="0"/>
      </w:pPr>
      <w:r w:rsidRPr="00C00DBC">
        <w:lastRenderedPageBreak/>
        <w:t xml:space="preserve">Provide safeguards to ensure that no </w:t>
      </w:r>
      <w:r w:rsidR="00330491">
        <w:t xml:space="preserve">person </w:t>
      </w:r>
      <w:r w:rsidRPr="00C00DBC">
        <w:t>is executed while pregnant or</w:t>
      </w:r>
      <w:r w:rsidR="00E00C5A">
        <w:t xml:space="preserve"> </w:t>
      </w:r>
      <w:r w:rsidRPr="00C00DBC">
        <w:t>caring for a young child.</w:t>
      </w:r>
    </w:p>
    <w:p w14:paraId="52BA58B7" w14:textId="77777777" w:rsidR="00FC5A1C" w:rsidRDefault="00FC5A1C" w:rsidP="00BB0A9D">
      <w:pPr>
        <w:pStyle w:val="BodyText"/>
        <w:numPr>
          <w:ilvl w:val="0"/>
          <w:numId w:val="21"/>
        </w:numPr>
        <w:spacing w:after="0"/>
      </w:pPr>
      <w:r>
        <w:t>Ensure that no woman or girl is sentenced to death for any crime committed when under the age of 18 years old.</w:t>
      </w:r>
    </w:p>
    <w:p w14:paraId="24318CC5" w14:textId="77777777" w:rsidR="00C00DBC" w:rsidRDefault="00C00DBC" w:rsidP="00D674E5">
      <w:pPr>
        <w:pStyle w:val="BodyText"/>
        <w:numPr>
          <w:ilvl w:val="0"/>
          <w:numId w:val="21"/>
        </w:numPr>
        <w:spacing w:after="0"/>
      </w:pPr>
      <w:r w:rsidRPr="00C00DBC">
        <w:t xml:space="preserve">Ensure that all prison authorities adopt gender-sensitive policies in relation to women’s detention, based on the Bangkok Rules and the Nelson Mandela Rules, ensuring women’s safety and security pre-trial, during admission to any </w:t>
      </w:r>
      <w:r w:rsidR="00D674E5">
        <w:t xml:space="preserve">detention </w:t>
      </w:r>
      <w:r w:rsidRPr="00C00DBC">
        <w:t>facility, and while incarcerated.</w:t>
      </w:r>
    </w:p>
    <w:p w14:paraId="35B8A3A5" w14:textId="77777777" w:rsidR="00C00DBC" w:rsidRDefault="00C00DBC" w:rsidP="00D674E5">
      <w:pPr>
        <w:pStyle w:val="BodyText"/>
        <w:numPr>
          <w:ilvl w:val="0"/>
          <w:numId w:val="21"/>
        </w:numPr>
        <w:spacing w:after="0"/>
      </w:pPr>
      <w:r w:rsidRPr="00C00DBC">
        <w:t>Design prison infrastructure that accommodates women’s specific needs, including their privacy.</w:t>
      </w:r>
    </w:p>
    <w:p w14:paraId="26A1AFF3" w14:textId="61A229C7" w:rsidR="00C00DBC" w:rsidRDefault="00330491" w:rsidP="00D674E5">
      <w:pPr>
        <w:pStyle w:val="BodyText"/>
        <w:numPr>
          <w:ilvl w:val="0"/>
          <w:numId w:val="21"/>
        </w:numPr>
        <w:spacing w:after="0"/>
      </w:pPr>
      <w:r>
        <w:t>On at least an annual basis, p</w:t>
      </w:r>
      <w:r w:rsidR="00C00DBC" w:rsidRPr="00C00DBC">
        <w:t>rovide and publish transparent information on the number of women charged with capital offenses, the number of women sentenced to death</w:t>
      </w:r>
      <w:r>
        <w:t>, and the number of women currently under sentence of death</w:t>
      </w:r>
      <w:r w:rsidR="00C00DBC" w:rsidRPr="00C00DBC">
        <w:t xml:space="preserve">, and </w:t>
      </w:r>
      <w:r>
        <w:t xml:space="preserve">disaggregate those data </w:t>
      </w:r>
      <w:r w:rsidR="00C00DBC" w:rsidRPr="00C00DBC">
        <w:t xml:space="preserve">by age, age of dependent children (if any), nationality, ethnic group, crimes of conviction, date of conviction, </w:t>
      </w:r>
      <w:r>
        <w:t xml:space="preserve">relationship to the victim, </w:t>
      </w:r>
      <w:r w:rsidR="00C00DBC" w:rsidRPr="00C00DBC">
        <w:t>and date of execution (if applicable), to facilitate analysis of the demographics of women on death row.</w:t>
      </w:r>
    </w:p>
    <w:p w14:paraId="102EABD5" w14:textId="7B718313" w:rsidR="00C00DBC" w:rsidRPr="00C00DBC" w:rsidRDefault="00C00DBC" w:rsidP="00D674E5">
      <w:pPr>
        <w:pStyle w:val="BodyText"/>
        <w:numPr>
          <w:ilvl w:val="0"/>
          <w:numId w:val="21"/>
        </w:numPr>
        <w:spacing w:after="0"/>
      </w:pPr>
      <w:r w:rsidRPr="00C00DBC">
        <w:t xml:space="preserve">Collaborate with civil society </w:t>
      </w:r>
      <w:r w:rsidR="00330491">
        <w:t xml:space="preserve">organizations with expertise on women in conflict with the law </w:t>
      </w:r>
      <w:r w:rsidRPr="00C00DBC">
        <w:t>to conduct and publish research on root causes and structural, systemic discrimination against women that may lead to women’s increased likelihood of coming into conflict with the law, particularly in capital cases</w:t>
      </w:r>
      <w:r w:rsidR="00D674E5">
        <w:t>.</w:t>
      </w:r>
    </w:p>
    <w:sectPr w:rsidR="00C00DBC" w:rsidRPr="00C00DBC" w:rsidSect="000F50B2">
      <w:footerReference w:type="even"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9F35B" w14:textId="77777777" w:rsidR="00C87F85" w:rsidRDefault="00C87F85" w:rsidP="006F714F">
      <w:r>
        <w:separator/>
      </w:r>
    </w:p>
  </w:endnote>
  <w:endnote w:type="continuationSeparator" w:id="0">
    <w:p w14:paraId="09845F83" w14:textId="77777777" w:rsidR="00C87F85" w:rsidRDefault="00C87F85" w:rsidP="006F714F">
      <w:r>
        <w:continuationSeparator/>
      </w:r>
    </w:p>
  </w:endnote>
  <w:endnote w:type="continuationNotice" w:id="1">
    <w:p w14:paraId="5569E243" w14:textId="77777777" w:rsidR="00C87F85" w:rsidRDefault="00C87F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54E22" w14:textId="77777777" w:rsidR="00F55DF7" w:rsidRDefault="00F55DF7">
    <w:pPr>
      <w:pStyle w:val="DocID"/>
    </w:pPr>
    <w:r>
      <w:rPr>
        <w:noProof/>
      </w:rPr>
      <w:t>CORE/9990000.8384/179084702.3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097604"/>
      <w:docPartObj>
        <w:docPartGallery w:val="Page Numbers (Bottom of Page)"/>
        <w:docPartUnique/>
      </w:docPartObj>
    </w:sdtPr>
    <w:sdtEndPr>
      <w:rPr>
        <w:noProof/>
      </w:rPr>
    </w:sdtEndPr>
    <w:sdtContent>
      <w:p w14:paraId="715E334C" w14:textId="77777777" w:rsidR="00F55DF7" w:rsidRDefault="00F55DF7">
        <w:pPr>
          <w:pStyle w:val="Footer"/>
          <w:jc w:val="center"/>
        </w:pPr>
        <w:r>
          <w:fldChar w:fldCharType="begin"/>
        </w:r>
        <w:r>
          <w:instrText xml:space="preserve"> PAGE   \* MERGEFORMAT </w:instrText>
        </w:r>
        <w:r>
          <w:fldChar w:fldCharType="separate"/>
        </w:r>
        <w:r w:rsidR="00E46A2E">
          <w:rPr>
            <w:noProof/>
          </w:rPr>
          <w:t>8</w:t>
        </w:r>
        <w:r>
          <w:rPr>
            <w:noProof/>
          </w:rPr>
          <w:fldChar w:fldCharType="end"/>
        </w:r>
      </w:p>
    </w:sdtContent>
  </w:sdt>
  <w:p w14:paraId="45E2DE00" w14:textId="77777777" w:rsidR="00F55DF7" w:rsidRDefault="00F55DF7">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E774B" w14:textId="77777777" w:rsidR="00C87F85" w:rsidRDefault="00C87F85" w:rsidP="006F714F">
      <w:r>
        <w:separator/>
      </w:r>
    </w:p>
  </w:footnote>
  <w:footnote w:type="continuationSeparator" w:id="0">
    <w:p w14:paraId="7AC991AD" w14:textId="77777777" w:rsidR="00C87F85" w:rsidRDefault="00C87F85" w:rsidP="006F714F">
      <w:r>
        <w:continuationSeparator/>
      </w:r>
    </w:p>
  </w:footnote>
  <w:footnote w:type="continuationNotice" w:id="1">
    <w:p w14:paraId="251E4894" w14:textId="77777777" w:rsidR="00C87F85" w:rsidRDefault="00C87F85"/>
  </w:footnote>
  <w:footnote w:id="2">
    <w:p w14:paraId="41F16691" w14:textId="77777777" w:rsidR="000B4D3C" w:rsidRDefault="000B4D3C" w:rsidP="000B4D3C">
      <w:pPr>
        <w:pStyle w:val="FootnoteText"/>
      </w:pPr>
      <w:r>
        <w:rPr>
          <w:rStyle w:val="FootnoteReference"/>
        </w:rPr>
        <w:footnoteRef/>
      </w:r>
      <w:r>
        <w:t xml:space="preserve"> </w:t>
      </w:r>
      <w:r w:rsidR="009643FD" w:rsidRPr="00B57EA4">
        <w:rPr>
          <w:rFonts w:ascii="Times New Roman" w:hAnsi="Times New Roman" w:cs="Times New Roman"/>
        </w:rPr>
        <w:t xml:space="preserve">Human Rights Watch, </w:t>
      </w:r>
      <w:r w:rsidR="009643FD" w:rsidRPr="00B57EA4">
        <w:rPr>
          <w:rFonts w:ascii="Times New Roman" w:hAnsi="Times New Roman" w:cs="Times New Roman"/>
          <w:i/>
          <w:iCs/>
        </w:rPr>
        <w:t>“The Court is Satisfied with the Confession”: Bahrain Death Sentences Follow Torture, Sham Trials</w:t>
      </w:r>
      <w:r w:rsidR="009643FD" w:rsidRPr="00B57EA4">
        <w:rPr>
          <w:rFonts w:ascii="Times New Roman" w:hAnsi="Times New Roman" w:cs="Times New Roman"/>
        </w:rPr>
        <w:t xml:space="preserve">, Oct. 10, 2022, </w:t>
      </w:r>
      <w:r w:rsidRPr="009643FD">
        <w:t>https://www.hrw.org/report/2022/10/10/court-satisfied-confession/bahrain-death-sentences-follow-torture-sham-trials</w:t>
      </w:r>
      <w:r>
        <w:t xml:space="preserve"> (last visited Dec</w:t>
      </w:r>
      <w:r w:rsidR="00512E82">
        <w:t>.</w:t>
      </w:r>
      <w:r>
        <w:t xml:space="preserve"> 28, 2022).</w:t>
      </w:r>
    </w:p>
  </w:footnote>
  <w:footnote w:id="3">
    <w:p w14:paraId="64F89C25"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Aziz El </w:t>
      </w:r>
      <w:proofErr w:type="spellStart"/>
      <w:r w:rsidRPr="00B57EA4">
        <w:rPr>
          <w:rFonts w:ascii="Times New Roman" w:hAnsi="Times New Roman" w:cs="Times New Roman"/>
        </w:rPr>
        <w:t>Yaakoubi</w:t>
      </w:r>
      <w:proofErr w:type="spellEnd"/>
      <w:r w:rsidRPr="00B57EA4">
        <w:rPr>
          <w:rFonts w:ascii="Times New Roman" w:hAnsi="Times New Roman" w:cs="Times New Roman"/>
        </w:rPr>
        <w:t xml:space="preserve"> &amp; Ali </w:t>
      </w:r>
      <w:proofErr w:type="spellStart"/>
      <w:r w:rsidRPr="00B57EA4">
        <w:rPr>
          <w:rFonts w:ascii="Times New Roman" w:hAnsi="Times New Roman" w:cs="Times New Roman"/>
        </w:rPr>
        <w:t>Abdelaty</w:t>
      </w:r>
      <w:proofErr w:type="spellEnd"/>
      <w:r w:rsidRPr="00B57EA4">
        <w:rPr>
          <w:rFonts w:ascii="Times New Roman" w:hAnsi="Times New Roman" w:cs="Times New Roman"/>
        </w:rPr>
        <w:t xml:space="preserve">, </w:t>
      </w:r>
      <w:r w:rsidRPr="00B57EA4">
        <w:rPr>
          <w:rFonts w:ascii="Times New Roman" w:hAnsi="Times New Roman" w:cs="Times New Roman"/>
          <w:i/>
          <w:iCs/>
        </w:rPr>
        <w:t>Bahrain executes three, including Shi’ite activists</w:t>
      </w:r>
      <w:r w:rsidRPr="00B57EA4">
        <w:rPr>
          <w:rFonts w:ascii="Times New Roman" w:hAnsi="Times New Roman" w:cs="Times New Roman"/>
        </w:rPr>
        <w:t>, Reuters, July 27, 2019, https://www.reuters.com/article/us-bahrain-execution/bahrain-executes-three-including-shiite-activists-idUSKCN1UM04R (</w:t>
      </w:r>
      <w:r w:rsidR="00512E82">
        <w:t>last visited Dec. 30, 2022</w:t>
      </w:r>
      <w:r w:rsidRPr="00B57EA4">
        <w:rPr>
          <w:rFonts w:ascii="Times New Roman" w:hAnsi="Times New Roman" w:cs="Times New Roman"/>
        </w:rPr>
        <w:t xml:space="preserve">). </w:t>
      </w:r>
    </w:p>
  </w:footnote>
  <w:footnote w:id="4">
    <w:p w14:paraId="308B1E9E"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Amnesty International, Death Sentences and Executions 2021 (2022), at 13, available at https://www.amnesty.org/en/documents/act50/5418/2022/en/ (</w:t>
      </w:r>
      <w:r w:rsidR="00512E82">
        <w:t>last visited Dec. 29, 2022</w:t>
      </w:r>
      <w:r w:rsidRPr="00B57EA4">
        <w:rPr>
          <w:rFonts w:ascii="Times New Roman" w:hAnsi="Times New Roman" w:cs="Times New Roman"/>
        </w:rPr>
        <w:t xml:space="preserve">). </w:t>
      </w:r>
    </w:p>
  </w:footnote>
  <w:footnote w:id="5">
    <w:p w14:paraId="642271CE"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Amnesty International, Death Sentences and Executions 2020 (2021), at 12, available at https://www.amnesty.org/en/documents/act50/3760/2021/en/ (last visited </w:t>
      </w:r>
      <w:r w:rsidR="00512E82">
        <w:rPr>
          <w:rFonts w:ascii="Times New Roman" w:hAnsi="Times New Roman" w:cs="Times New Roman"/>
        </w:rPr>
        <w:t>Dec. 28, 2022</w:t>
      </w:r>
      <w:r w:rsidRPr="00B57EA4">
        <w:rPr>
          <w:rFonts w:ascii="Times New Roman" w:hAnsi="Times New Roman" w:cs="Times New Roman"/>
        </w:rPr>
        <w:t xml:space="preserve">). </w:t>
      </w:r>
    </w:p>
  </w:footnote>
  <w:footnote w:id="6">
    <w:p w14:paraId="1874E6F2"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Bahrain Institute for Rights and Democracy &amp; Reprieve, </w:t>
      </w:r>
      <w:r w:rsidRPr="00B57EA4">
        <w:rPr>
          <w:rFonts w:ascii="Times New Roman" w:hAnsi="Times New Roman" w:cs="Times New Roman"/>
          <w:i/>
          <w:iCs/>
        </w:rPr>
        <w:t>From Uprising to Executions: The death penalty in Bahrain, ten years on from the Arab Spring</w:t>
      </w:r>
      <w:r w:rsidRPr="00B57EA4">
        <w:rPr>
          <w:rFonts w:ascii="Times New Roman" w:hAnsi="Times New Roman" w:cs="Times New Roman"/>
        </w:rPr>
        <w:t xml:space="preserve"> (2022), at 3, available at file:</w:t>
      </w:r>
      <w:r w:rsidR="001A61BD">
        <w:rPr>
          <w:rFonts w:ascii="Times New Roman" w:hAnsi="Times New Roman" w:cs="Times New Roman"/>
        </w:rPr>
        <w:t xml:space="preserve"> </w:t>
      </w:r>
      <w:r w:rsidR="001A61BD" w:rsidRPr="001A61BD">
        <w:rPr>
          <w:rFonts w:ascii="Times New Roman" w:hAnsi="Times New Roman" w:cs="Times New Roman"/>
        </w:rPr>
        <w:t>https://reprieve.org/uk/2021/07/27/death-penalty-in-bahrain/</w:t>
      </w:r>
      <w:r w:rsidRPr="00B57EA4">
        <w:rPr>
          <w:rFonts w:ascii="Times New Roman" w:hAnsi="Times New Roman" w:cs="Times New Roman"/>
        </w:rPr>
        <w:t xml:space="preserve"> (last visited </w:t>
      </w:r>
      <w:r w:rsidR="001A61BD">
        <w:rPr>
          <w:rFonts w:ascii="Times New Roman" w:hAnsi="Times New Roman" w:cs="Times New Roman"/>
        </w:rPr>
        <w:t>Dec. 29</w:t>
      </w:r>
      <w:r w:rsidRPr="00B57EA4">
        <w:rPr>
          <w:rFonts w:ascii="Times New Roman" w:hAnsi="Times New Roman" w:cs="Times New Roman"/>
        </w:rPr>
        <w:t>, 2022).</w:t>
      </w:r>
    </w:p>
  </w:footnote>
  <w:footnote w:id="7">
    <w:p w14:paraId="57CC9619" w14:textId="77777777" w:rsidR="00C57246" w:rsidRDefault="00C57246" w:rsidP="00C57246">
      <w:pPr>
        <w:pStyle w:val="FootnoteText"/>
      </w:pPr>
      <w:r>
        <w:rPr>
          <w:rStyle w:val="FootnoteReference"/>
        </w:rPr>
        <w:footnoteRef/>
      </w:r>
      <w:r>
        <w:t xml:space="preserve">  </w:t>
      </w:r>
      <w:r w:rsidRPr="009643FD">
        <w:rPr>
          <w:i/>
        </w:rPr>
        <w:t>“No One Believed Me”: A Global Overview of Women Facing the Death Penalty for Drug Offenses, Cornell Center on the Death Penalty Worldwide</w:t>
      </w:r>
      <w:r>
        <w:t>,</w:t>
      </w:r>
      <w:r w:rsidRPr="009643FD">
        <w:t xml:space="preserve"> https://deathpenaltyworldwide.org/publication/no-one-believed-me-a-global-overview-of-women-facing-the-death-penalty-for-drug-offenses/</w:t>
      </w:r>
      <w:r>
        <w:t xml:space="preserve"> (last visited </w:t>
      </w:r>
      <w:r w:rsidR="001A61BD">
        <w:rPr>
          <w:rFonts w:ascii="Times New Roman" w:hAnsi="Times New Roman" w:cs="Times New Roman"/>
        </w:rPr>
        <w:t>Dec. 29</w:t>
      </w:r>
      <w:r>
        <w:t xml:space="preserve">, 2022), citing </w:t>
      </w:r>
      <w:r w:rsidR="001A61BD" w:rsidRPr="00B57EA4">
        <w:rPr>
          <w:rFonts w:ascii="Times New Roman" w:hAnsi="Times New Roman" w:cs="Times New Roman"/>
        </w:rPr>
        <w:t>Bahrain Institute for Rights and Democracy &amp; Reprieve</w:t>
      </w:r>
      <w:r w:rsidR="001A61BD">
        <w:rPr>
          <w:rFonts w:ascii="Times New Roman" w:hAnsi="Times New Roman" w:cs="Times New Roman"/>
        </w:rPr>
        <w:t>,</w:t>
      </w:r>
      <w:r w:rsidRPr="00C00DBC">
        <w:t xml:space="preserve"> Continuously Updated List of Death-Sentenced Prisoners in Bahr</w:t>
      </w:r>
      <w:r>
        <w:t>a</w:t>
      </w:r>
      <w:r w:rsidRPr="00C00DBC">
        <w:t>in from 2011 to today, last updated on May 22, 2020, Internal document emailed to Cornell Center on the Death Penalty Worldwide, Apr. 29, 2021.</w:t>
      </w:r>
    </w:p>
  </w:footnote>
  <w:footnote w:id="8">
    <w:p w14:paraId="5EA72229" w14:textId="77777777" w:rsidR="006F714F" w:rsidRPr="00B57EA4" w:rsidRDefault="006F714F" w:rsidP="006F714F">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Human Rights Watch, </w:t>
      </w:r>
      <w:r w:rsidRPr="00B57EA4">
        <w:rPr>
          <w:rFonts w:ascii="Times New Roman" w:hAnsi="Times New Roman" w:cs="Times New Roman"/>
          <w:i/>
          <w:iCs/>
        </w:rPr>
        <w:t>Bahrain: Events of 2021</w:t>
      </w:r>
      <w:r w:rsidRPr="00B57EA4">
        <w:rPr>
          <w:rFonts w:ascii="Times New Roman" w:hAnsi="Times New Roman" w:cs="Times New Roman"/>
        </w:rPr>
        <w:t>, https://www.hrw.org/world-report/2022/country-chapte</w:t>
      </w:r>
      <w:r w:rsidR="001A61BD">
        <w:rPr>
          <w:rFonts w:ascii="Times New Roman" w:hAnsi="Times New Roman" w:cs="Times New Roman"/>
        </w:rPr>
        <w:t>rs/bahrain (last visited Dec. 29</w:t>
      </w:r>
      <w:r w:rsidRPr="00B57EA4">
        <w:rPr>
          <w:rFonts w:ascii="Times New Roman" w:hAnsi="Times New Roman" w:cs="Times New Roman"/>
        </w:rPr>
        <w:t>, 2022</w:t>
      </w:r>
      <w:r w:rsidR="001A61BD">
        <w:rPr>
          <w:rFonts w:ascii="Times New Roman" w:hAnsi="Times New Roman" w:cs="Times New Roman"/>
        </w:rPr>
        <w:t>).</w:t>
      </w:r>
      <w:r w:rsidRPr="00B57EA4">
        <w:rPr>
          <w:rFonts w:ascii="Times New Roman" w:hAnsi="Times New Roman" w:cs="Times New Roman"/>
        </w:rPr>
        <w:t xml:space="preserve"> </w:t>
      </w:r>
    </w:p>
  </w:footnote>
  <w:footnote w:id="9">
    <w:p w14:paraId="4CD65A02" w14:textId="77777777" w:rsidR="006F714F" w:rsidRPr="00B57EA4" w:rsidRDefault="006F714F" w:rsidP="006F714F">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Lucy Harry et al., </w:t>
      </w:r>
      <w:r w:rsidRPr="00B57EA4">
        <w:rPr>
          <w:rFonts w:ascii="Times New Roman" w:hAnsi="Times New Roman" w:cs="Times New Roman"/>
          <w:i/>
          <w:iCs/>
        </w:rPr>
        <w:t>How the Bahrain judicial system fails its migrant workers</w:t>
      </w:r>
      <w:r w:rsidRPr="00B57EA4">
        <w:rPr>
          <w:rFonts w:ascii="Times New Roman" w:hAnsi="Times New Roman" w:cs="Times New Roman"/>
        </w:rPr>
        <w:t>, 360info, Sept. 5, 2022, https://360info.org/how-the-bahrain-judicial-system-fails-its-migrant-workers/ (last visited Oct. 19, 2022).</w:t>
      </w:r>
    </w:p>
  </w:footnote>
  <w:footnote w:id="10">
    <w:p w14:paraId="5647D3C5" w14:textId="77777777" w:rsidR="000B4D3C" w:rsidRDefault="000B4D3C">
      <w:pPr>
        <w:pStyle w:val="FootnoteText"/>
      </w:pPr>
      <w:r>
        <w:rPr>
          <w:rStyle w:val="FootnoteReference"/>
        </w:rPr>
        <w:footnoteRef/>
      </w:r>
      <w:r>
        <w:t xml:space="preserve"> </w:t>
      </w:r>
      <w:r w:rsidRPr="000B4D3C">
        <w:t xml:space="preserve">Bahraini death row prisoner pleads with pope to aid his </w:t>
      </w:r>
      <w:r>
        <w:t>r</w:t>
      </w:r>
      <w:r w:rsidRPr="000B4D3C">
        <w:t>elease</w:t>
      </w:r>
      <w:r>
        <w:t xml:space="preserve">, The Guardian, November 3, 2022, </w:t>
      </w:r>
      <w:r w:rsidRPr="000B4D3C">
        <w:t>https://www.theguardian.com/world/2022/nov/03/bahraini-death-row-prisoner-pleads-with-pope-to-aid-his-release</w:t>
      </w:r>
      <w:r>
        <w:t xml:space="preserve"> (last visited Dec</w:t>
      </w:r>
      <w:r w:rsidR="001A61BD">
        <w:t>.</w:t>
      </w:r>
      <w:r>
        <w:t xml:space="preserve"> 28, 2022)</w:t>
      </w:r>
    </w:p>
  </w:footnote>
  <w:footnote w:id="11">
    <w:p w14:paraId="1C940CA1" w14:textId="77777777" w:rsidR="000B4D3C" w:rsidRDefault="000B4D3C">
      <w:pPr>
        <w:pStyle w:val="FootnoteText"/>
      </w:pPr>
      <w:r>
        <w:rPr>
          <w:rStyle w:val="FootnoteReference"/>
        </w:rPr>
        <w:footnoteRef/>
      </w:r>
      <w:r>
        <w:t xml:space="preserve"> </w:t>
      </w:r>
      <w:r w:rsidRPr="009643FD">
        <w:rPr>
          <w:i/>
        </w:rPr>
        <w:t>Bahraini death row prisoner pleads with pope to aid his release</w:t>
      </w:r>
      <w:r>
        <w:t xml:space="preserve">, The Guardian, November 3, 2022, </w:t>
      </w:r>
      <w:r w:rsidRPr="000B4D3C">
        <w:t>https://www.theguardian.com/world/2022/nov/03/bahraini-death-row-prisoner-pleads-with-pope-to-aid-his-release</w:t>
      </w:r>
      <w:r>
        <w:t xml:space="preserve"> (last visited Dec</w:t>
      </w:r>
      <w:r w:rsidR="001A61BD">
        <w:t>.</w:t>
      </w:r>
      <w:r>
        <w:t xml:space="preserve"> 28, 2022)</w:t>
      </w:r>
    </w:p>
  </w:footnote>
  <w:footnote w:id="12">
    <w:p w14:paraId="76B52AB7" w14:textId="77777777" w:rsidR="000B4D3C" w:rsidRDefault="000B4D3C">
      <w:pPr>
        <w:pStyle w:val="FootnoteText"/>
      </w:pPr>
      <w:r>
        <w:rPr>
          <w:rStyle w:val="FootnoteReference"/>
        </w:rPr>
        <w:footnoteRef/>
      </w:r>
      <w:r w:rsidRPr="009643FD">
        <w:rPr>
          <w:i/>
        </w:rPr>
        <w:t>Bahraini death row prisoner pleads with pope to aid his release</w:t>
      </w:r>
      <w:r>
        <w:t xml:space="preserve">, The Guardian, November 3, 2022, </w:t>
      </w:r>
      <w:r w:rsidRPr="000B4D3C">
        <w:t>https://www.theguardian.com/world/2022/nov/03/bahraini-death-row-prisoner-pleads-with-pope-to-aid-his-release</w:t>
      </w:r>
      <w:r>
        <w:t xml:space="preserve"> (last visited Dec</w:t>
      </w:r>
      <w:r w:rsidR="001A61BD">
        <w:t>.</w:t>
      </w:r>
      <w:r>
        <w:t xml:space="preserve"> 28, 2022)</w:t>
      </w:r>
    </w:p>
  </w:footnote>
  <w:footnote w:id="13">
    <w:p w14:paraId="1F34B175"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Andrew McIntosh, Salam for Democracy and Human Rights, </w:t>
      </w:r>
      <w:r w:rsidRPr="00B57EA4">
        <w:rPr>
          <w:rFonts w:ascii="Times New Roman" w:hAnsi="Times New Roman" w:cs="Times New Roman"/>
          <w:i/>
          <w:iCs/>
        </w:rPr>
        <w:t>The Death Penalty in Bahrain: A system buil</w:t>
      </w:r>
      <w:r w:rsidR="00E63EAC">
        <w:rPr>
          <w:rFonts w:ascii="Times New Roman" w:hAnsi="Times New Roman" w:cs="Times New Roman"/>
          <w:i/>
          <w:iCs/>
        </w:rPr>
        <w:t>t</w:t>
      </w:r>
      <w:r w:rsidRPr="00B57EA4">
        <w:rPr>
          <w:rFonts w:ascii="Times New Roman" w:hAnsi="Times New Roman" w:cs="Times New Roman"/>
          <w:i/>
          <w:iCs/>
        </w:rPr>
        <w:t xml:space="preserve"> on torture</w:t>
      </w:r>
      <w:r w:rsidRPr="00B57EA4">
        <w:rPr>
          <w:rFonts w:ascii="Times New Roman" w:hAnsi="Times New Roman" w:cs="Times New Roman"/>
        </w:rPr>
        <w:t xml:space="preserve">, Oct. 2021, at 7, available at https://salam-dhr.org/wp-content/uploads/2021/10/EN-DP-Report.pdf (last visited </w:t>
      </w:r>
      <w:r w:rsidR="001A61BD">
        <w:rPr>
          <w:rFonts w:ascii="Times New Roman" w:hAnsi="Times New Roman" w:cs="Times New Roman"/>
        </w:rPr>
        <w:t>Dec. 29</w:t>
      </w:r>
      <w:r w:rsidRPr="00B57EA4">
        <w:rPr>
          <w:rFonts w:ascii="Times New Roman" w:hAnsi="Times New Roman" w:cs="Times New Roman"/>
        </w:rPr>
        <w:t>, 2022).</w:t>
      </w:r>
    </w:p>
  </w:footnote>
  <w:footnote w:id="14">
    <w:p w14:paraId="43889C76"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Human Rights Watch, </w:t>
      </w:r>
      <w:r w:rsidRPr="00B57EA4">
        <w:rPr>
          <w:rFonts w:ascii="Times New Roman" w:hAnsi="Times New Roman" w:cs="Times New Roman"/>
          <w:i/>
          <w:iCs/>
        </w:rPr>
        <w:t>“The Court is Satisfied with the Confession”: Bahrain Death Sentences Follow Torture, Sham Trials</w:t>
      </w:r>
      <w:r w:rsidRPr="00B57EA4">
        <w:rPr>
          <w:rFonts w:ascii="Times New Roman" w:hAnsi="Times New Roman" w:cs="Times New Roman"/>
        </w:rPr>
        <w:t xml:space="preserve">, Oct. 10, 2022, https://www.hrw.org/report/2022/10/10/court-satisfied-confession/bahrain-death-sentences-follow-torture-sham-trials (last visited </w:t>
      </w:r>
      <w:r w:rsidR="001A61BD">
        <w:rPr>
          <w:rFonts w:ascii="Times New Roman" w:hAnsi="Times New Roman" w:cs="Times New Roman"/>
        </w:rPr>
        <w:t>Dec. 29</w:t>
      </w:r>
      <w:r w:rsidRPr="00B57EA4">
        <w:rPr>
          <w:rFonts w:ascii="Times New Roman" w:hAnsi="Times New Roman" w:cs="Times New Roman"/>
        </w:rPr>
        <w:t>, 2022).</w:t>
      </w:r>
    </w:p>
  </w:footnote>
  <w:footnote w:id="15">
    <w:p w14:paraId="6AE7353A"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Andrew McIntosh, Salam for Democracy and Human Rights, </w:t>
      </w:r>
      <w:r w:rsidRPr="00B57EA4">
        <w:rPr>
          <w:rFonts w:ascii="Times New Roman" w:hAnsi="Times New Roman" w:cs="Times New Roman"/>
          <w:i/>
          <w:iCs/>
        </w:rPr>
        <w:t>The Death Penalty in Bahrain: A system buil</w:t>
      </w:r>
      <w:r w:rsidR="00E63EAC">
        <w:rPr>
          <w:rFonts w:ascii="Times New Roman" w:hAnsi="Times New Roman" w:cs="Times New Roman"/>
          <w:i/>
          <w:iCs/>
        </w:rPr>
        <w:t>t</w:t>
      </w:r>
      <w:r w:rsidRPr="00B57EA4">
        <w:rPr>
          <w:rFonts w:ascii="Times New Roman" w:hAnsi="Times New Roman" w:cs="Times New Roman"/>
          <w:i/>
          <w:iCs/>
        </w:rPr>
        <w:t xml:space="preserve"> on torture</w:t>
      </w:r>
      <w:r w:rsidRPr="00B57EA4">
        <w:rPr>
          <w:rFonts w:ascii="Times New Roman" w:hAnsi="Times New Roman" w:cs="Times New Roman"/>
        </w:rPr>
        <w:t xml:space="preserve">, Oct. 2021, at 7, available at https://salam-dhr.org/wp-content/uploads/2021/10/EN-DP-Report.pdf (last visited </w:t>
      </w:r>
      <w:r w:rsidR="001A61BD">
        <w:rPr>
          <w:rFonts w:ascii="Times New Roman" w:hAnsi="Times New Roman" w:cs="Times New Roman"/>
        </w:rPr>
        <w:t>Dec. 29</w:t>
      </w:r>
      <w:r w:rsidRPr="00B57EA4">
        <w:rPr>
          <w:rFonts w:ascii="Times New Roman" w:hAnsi="Times New Roman" w:cs="Times New Roman"/>
        </w:rPr>
        <w:t>, 2022).</w:t>
      </w:r>
    </w:p>
  </w:footnote>
  <w:footnote w:id="16">
    <w:p w14:paraId="42F1F485" w14:textId="77777777" w:rsidR="000B4D3C" w:rsidRPr="00B57EA4" w:rsidRDefault="000B4D3C" w:rsidP="000B4D3C">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Andrew McIntosh, Salam for Democracy and Human Rights, </w:t>
      </w:r>
      <w:r w:rsidRPr="00B57EA4">
        <w:rPr>
          <w:rFonts w:ascii="Times New Roman" w:hAnsi="Times New Roman" w:cs="Times New Roman"/>
          <w:i/>
          <w:iCs/>
        </w:rPr>
        <w:t>The Death Penalty in Bahrain: A system buil</w:t>
      </w:r>
      <w:r w:rsidR="00E63EAC">
        <w:rPr>
          <w:rFonts w:ascii="Times New Roman" w:hAnsi="Times New Roman" w:cs="Times New Roman"/>
          <w:i/>
          <w:iCs/>
        </w:rPr>
        <w:t>t</w:t>
      </w:r>
      <w:r w:rsidRPr="00B57EA4">
        <w:rPr>
          <w:rFonts w:ascii="Times New Roman" w:hAnsi="Times New Roman" w:cs="Times New Roman"/>
          <w:i/>
          <w:iCs/>
        </w:rPr>
        <w:t xml:space="preserve"> on torture</w:t>
      </w:r>
      <w:r w:rsidRPr="00B57EA4">
        <w:rPr>
          <w:rFonts w:ascii="Times New Roman" w:hAnsi="Times New Roman" w:cs="Times New Roman"/>
        </w:rPr>
        <w:t xml:space="preserve">, Oct. 2021, at 7-8, available at https://salam-dhr.org/wp-content/uploads/2021/10/EN-DP-Report.pdf (last visited </w:t>
      </w:r>
      <w:r w:rsidR="001A61BD">
        <w:rPr>
          <w:rFonts w:ascii="Times New Roman" w:hAnsi="Times New Roman" w:cs="Times New Roman"/>
        </w:rPr>
        <w:t>Dec. 29</w:t>
      </w:r>
      <w:r w:rsidRPr="00B57EA4">
        <w:rPr>
          <w:rFonts w:ascii="Times New Roman" w:hAnsi="Times New Roman" w:cs="Times New Roman"/>
        </w:rPr>
        <w:t>).</w:t>
      </w:r>
    </w:p>
  </w:footnote>
  <w:footnote w:id="17">
    <w:p w14:paraId="573E754C" w14:textId="77777777" w:rsidR="00BB10BF" w:rsidRDefault="00BB10BF">
      <w:pPr>
        <w:pStyle w:val="FootnoteText"/>
      </w:pPr>
      <w:r>
        <w:rPr>
          <w:rStyle w:val="FootnoteReference"/>
        </w:rPr>
        <w:footnoteRef/>
      </w:r>
      <w:r>
        <w:t xml:space="preserve"> </w:t>
      </w:r>
      <w:r w:rsidRPr="00B57EA4">
        <w:rPr>
          <w:rFonts w:ascii="Times New Roman" w:hAnsi="Times New Roman" w:cs="Times New Roman"/>
        </w:rPr>
        <w:t xml:space="preserve">Human Rights Watch, </w:t>
      </w:r>
      <w:r w:rsidRPr="00B57EA4">
        <w:rPr>
          <w:rFonts w:ascii="Times New Roman" w:hAnsi="Times New Roman" w:cs="Times New Roman"/>
          <w:i/>
          <w:iCs/>
        </w:rPr>
        <w:t>“The Court is Satisfied with the Confession”: Bahrain Death Sentences Follow Torture, Sham Trials</w:t>
      </w:r>
      <w:r w:rsidRPr="00B57EA4">
        <w:rPr>
          <w:rFonts w:ascii="Times New Roman" w:hAnsi="Times New Roman" w:cs="Times New Roman"/>
        </w:rPr>
        <w:t xml:space="preserve">, Oct. 10, 2022, https://www.hrw.org/report/2022/10/10/court-satisfied-confession/bahrain-death-sentences-follow-torture-sham-trials (last visited </w:t>
      </w:r>
      <w:r w:rsidR="001A61BD">
        <w:rPr>
          <w:rFonts w:ascii="Times New Roman" w:hAnsi="Times New Roman" w:cs="Times New Roman"/>
        </w:rPr>
        <w:t>Dec. 29</w:t>
      </w:r>
      <w:r w:rsidRPr="00B57EA4">
        <w:rPr>
          <w:rFonts w:ascii="Times New Roman" w:hAnsi="Times New Roman" w:cs="Times New Roman"/>
        </w:rPr>
        <w:t>, 2022).</w:t>
      </w:r>
    </w:p>
  </w:footnote>
  <w:footnote w:id="18">
    <w:p w14:paraId="1226BC6E" w14:textId="77777777" w:rsidR="0050085C" w:rsidRDefault="0050085C">
      <w:pPr>
        <w:pStyle w:val="FootnoteText"/>
      </w:pPr>
      <w:r>
        <w:rPr>
          <w:rStyle w:val="FootnoteReference"/>
        </w:rPr>
        <w:footnoteRef/>
      </w:r>
      <w:r>
        <w:t xml:space="preserve"> Convention on the Elimination of All Forms of Discrimination Against Women. </w:t>
      </w:r>
      <w:r w:rsidRPr="00F55DF7">
        <w:rPr>
          <w:i/>
        </w:rPr>
        <w:t>List of Issues and questions in relation to the fourth periodic report of Bahrain</w:t>
      </w:r>
      <w:r>
        <w:rPr>
          <w:i/>
        </w:rPr>
        <w:t>,</w:t>
      </w:r>
      <w:r>
        <w:t xml:space="preserve"> (19 July 2019), U.N. Doc. CEDAW/C/BHR/Q/4, ¶ 4.</w:t>
      </w:r>
    </w:p>
  </w:footnote>
  <w:footnote w:id="19">
    <w:p w14:paraId="731776F0" w14:textId="77777777" w:rsidR="0050085C" w:rsidRDefault="0050085C">
      <w:pPr>
        <w:pStyle w:val="FootnoteText"/>
      </w:pPr>
      <w:r>
        <w:rPr>
          <w:rStyle w:val="FootnoteReference"/>
        </w:rPr>
        <w:footnoteRef/>
      </w:r>
      <w:r>
        <w:t xml:space="preserve"> </w:t>
      </w:r>
      <w:r w:rsidR="00F55DF7">
        <w:t xml:space="preserve">Convention on the Elimination of All Forms of Discrimination Against Women. </w:t>
      </w:r>
      <w:r w:rsidR="00F55DF7" w:rsidRPr="00F55DF7">
        <w:rPr>
          <w:i/>
        </w:rPr>
        <w:t>List of Issues and questions in relation to the fourth periodic report of Bahrain</w:t>
      </w:r>
      <w:r w:rsidR="00F55DF7">
        <w:rPr>
          <w:i/>
        </w:rPr>
        <w:t>,</w:t>
      </w:r>
      <w:r w:rsidR="00F55DF7">
        <w:t xml:space="preserve"> (19 July 2019), U.N. Doc. CEDAW/C/BHR/Q/4, ¶ 4.</w:t>
      </w:r>
    </w:p>
  </w:footnote>
  <w:footnote w:id="20">
    <w:p w14:paraId="663AD11E" w14:textId="77777777" w:rsidR="0050085C" w:rsidRDefault="0050085C">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w:t>
      </w:r>
    </w:p>
  </w:footnote>
  <w:footnote w:id="21">
    <w:p w14:paraId="79755685" w14:textId="77777777" w:rsidR="00AA40FD" w:rsidRDefault="00AA40FD">
      <w:pPr>
        <w:pStyle w:val="FootnoteText"/>
      </w:pPr>
      <w:r>
        <w:rPr>
          <w:rStyle w:val="FootnoteReference"/>
        </w:rPr>
        <w:footnoteRef/>
      </w:r>
      <w:r>
        <w:t xml:space="preserve"> </w:t>
      </w:r>
      <w:r w:rsidRPr="00AA40FD">
        <w:t xml:space="preserve">Andrew McIntosh, Salam for Democracy and Human Rights, The Death Penalty in Bahrain: A system build on torture, Oct. 2021, at 3-5, available at https://salam-dhr.org/wp-content/uploads/2021/10/EN-DP-Report.pdf (last visited </w:t>
      </w:r>
      <w:r w:rsidR="001A61BD">
        <w:rPr>
          <w:rFonts w:ascii="Times New Roman" w:hAnsi="Times New Roman" w:cs="Times New Roman"/>
        </w:rPr>
        <w:t>Dec. 29</w:t>
      </w:r>
      <w:r w:rsidRPr="00AA40FD">
        <w:t xml:space="preserve">, 2022); Human Rights Watch, “The Court is Satisfied with the Confession”: Bahrain Death Sentences Follow Torture, Sham Trials, Oct. 10, 2022, https://www.hrw.org/report/2022/10/10/court-satisfied-confession/bahrain-death-sentences-follow-torture-sham-trials (last visited </w:t>
      </w:r>
      <w:r w:rsidR="001A61BD">
        <w:rPr>
          <w:rFonts w:ascii="Times New Roman" w:hAnsi="Times New Roman" w:cs="Times New Roman"/>
        </w:rPr>
        <w:t>Dec. 29</w:t>
      </w:r>
      <w:r w:rsidRPr="00AA40FD">
        <w:t xml:space="preserve">, 2022); Amnesty International, Death Sentences and Executions 2020 (2021), at 14, available at https://www.amnesty.org/en/documents/act50/3760/2021/en/ (last visited </w:t>
      </w:r>
      <w:r w:rsidR="001A61BD">
        <w:rPr>
          <w:rFonts w:ascii="Times New Roman" w:hAnsi="Times New Roman" w:cs="Times New Roman"/>
        </w:rPr>
        <w:t>Dec. 29</w:t>
      </w:r>
      <w:r w:rsidRPr="00AA40FD">
        <w:t>, 2022).</w:t>
      </w:r>
    </w:p>
  </w:footnote>
  <w:footnote w:id="22">
    <w:p w14:paraId="2585185D" w14:textId="77777777" w:rsidR="002507C4" w:rsidRDefault="002507C4" w:rsidP="002507C4">
      <w:pPr>
        <w:pStyle w:val="FootnoteText"/>
      </w:pPr>
      <w:r>
        <w:rPr>
          <w:rStyle w:val="FootnoteReference"/>
        </w:rPr>
        <w:footnoteRef/>
      </w:r>
      <w:r>
        <w:t xml:space="preserve"> </w:t>
      </w:r>
      <w:r w:rsidRPr="002507C4">
        <w:rPr>
          <w:i/>
        </w:rPr>
        <w:t>Judged for More Than Her Crime: A Global Overview of Women Facing the Death Penalty</w:t>
      </w:r>
      <w:r>
        <w:t>, Cornell Center on the</w:t>
      </w:r>
    </w:p>
    <w:p w14:paraId="7E047EEC" w14:textId="77777777" w:rsidR="002507C4" w:rsidRDefault="002507C4" w:rsidP="002507C4">
      <w:pPr>
        <w:pStyle w:val="FootnoteText"/>
      </w:pPr>
      <w:r>
        <w:t>Death Penalty Worldwide, Sept. 2018, at 3, https://www.deathpenaltyworldwide.org/wpcontent/</w:t>
      </w:r>
    </w:p>
    <w:p w14:paraId="0D862D75" w14:textId="77777777" w:rsidR="002507C4" w:rsidRDefault="002507C4" w:rsidP="002507C4">
      <w:pPr>
        <w:pStyle w:val="FootnoteText"/>
      </w:pPr>
      <w:r>
        <w:t>uploads/2019/12/Judged-More-Than-Her-Crime.pdf</w:t>
      </w:r>
      <w:r w:rsidR="001A61BD">
        <w:t xml:space="preserve"> (last visited </w:t>
      </w:r>
      <w:r w:rsidR="001A61BD">
        <w:rPr>
          <w:rFonts w:ascii="Times New Roman" w:hAnsi="Times New Roman" w:cs="Times New Roman"/>
        </w:rPr>
        <w:t>Dec. 29, 2022)</w:t>
      </w:r>
      <w:r>
        <w:t>.</w:t>
      </w:r>
    </w:p>
  </w:footnote>
  <w:footnote w:id="23">
    <w:p w14:paraId="195F9D2F" w14:textId="77777777" w:rsidR="002B7244" w:rsidRDefault="002B7244" w:rsidP="002B7244">
      <w:pPr>
        <w:pStyle w:val="FootnoteText"/>
      </w:pPr>
      <w:r>
        <w:rPr>
          <w:rStyle w:val="FootnoteReference"/>
        </w:rPr>
        <w:footnoteRef/>
      </w:r>
      <w:r>
        <w:t xml:space="preserve"> </w:t>
      </w:r>
      <w:r w:rsidRPr="00B57EA4">
        <w:rPr>
          <w:rFonts w:ascii="Times New Roman" w:hAnsi="Times New Roman" w:cs="Times New Roman"/>
        </w:rPr>
        <w:t xml:space="preserve">Cornell Center on the Death Penalty Worldwide, </w:t>
      </w:r>
      <w:r w:rsidRPr="00B57EA4">
        <w:rPr>
          <w:rFonts w:ascii="Times New Roman" w:hAnsi="Times New Roman" w:cs="Times New Roman"/>
          <w:i/>
          <w:iCs/>
        </w:rPr>
        <w:t>Judged for More Than Her Crime: A Global Overview of Women Facing the Death Penalty</w:t>
      </w:r>
      <w:r w:rsidRPr="00B57EA4">
        <w:rPr>
          <w:rFonts w:ascii="Times New Roman" w:hAnsi="Times New Roman" w:cs="Times New Roman"/>
        </w:rPr>
        <w:t xml:space="preserve">, Sept. 2018, at 18, available at https://www.deathpenaltyworldwide.org/wp-content/uploads/2019/12/Judged-More-Than-Her-Crime.pdf (last visited </w:t>
      </w:r>
      <w:r>
        <w:rPr>
          <w:rFonts w:ascii="Times New Roman" w:hAnsi="Times New Roman" w:cs="Times New Roman"/>
        </w:rPr>
        <w:t>Dec. 29</w:t>
      </w:r>
      <w:r w:rsidRPr="00B57EA4">
        <w:rPr>
          <w:rFonts w:ascii="Times New Roman" w:hAnsi="Times New Roman" w:cs="Times New Roman"/>
        </w:rPr>
        <w:t>, 2022)</w:t>
      </w:r>
      <w:r>
        <w:rPr>
          <w:rFonts w:ascii="Times New Roman" w:hAnsi="Times New Roman" w:cs="Times New Roman"/>
        </w:rPr>
        <w:t>.</w:t>
      </w:r>
    </w:p>
  </w:footnote>
  <w:footnote w:id="24">
    <w:p w14:paraId="041DCEAC" w14:textId="77777777" w:rsidR="002B7244" w:rsidRDefault="002B7244" w:rsidP="002B7244">
      <w:pPr>
        <w:pStyle w:val="FootnoteText"/>
      </w:pPr>
      <w:r>
        <w:rPr>
          <w:rStyle w:val="FootnoteReference"/>
        </w:rPr>
        <w:footnoteRef/>
      </w:r>
      <w:r>
        <w:t xml:space="preserve"> </w:t>
      </w:r>
      <w:r w:rsidRPr="00B57EA4">
        <w:rPr>
          <w:rFonts w:ascii="Times New Roman" w:hAnsi="Times New Roman" w:cs="Times New Roman"/>
        </w:rPr>
        <w:t xml:space="preserve">Cornell Center on the Death Penalty Worldwide, </w:t>
      </w:r>
      <w:r w:rsidRPr="00B57EA4">
        <w:rPr>
          <w:rFonts w:ascii="Times New Roman" w:hAnsi="Times New Roman" w:cs="Times New Roman"/>
          <w:i/>
          <w:iCs/>
        </w:rPr>
        <w:t>Judged for More Than Her Crime: A Global Overview of Women Facing the Death Penalty</w:t>
      </w:r>
      <w:r w:rsidRPr="00B57EA4">
        <w:rPr>
          <w:rFonts w:ascii="Times New Roman" w:hAnsi="Times New Roman" w:cs="Times New Roman"/>
        </w:rPr>
        <w:t xml:space="preserve">, Sept. 2018, at 18, available at https://www.deathpenaltyworldwide.org/wp-content/uploads/2019/12/Judged-More-Than-Her-Crime.pdf (last visited </w:t>
      </w:r>
      <w:r>
        <w:rPr>
          <w:rFonts w:ascii="Times New Roman" w:hAnsi="Times New Roman" w:cs="Times New Roman"/>
        </w:rPr>
        <w:t>Dec. 29</w:t>
      </w:r>
      <w:r w:rsidRPr="00B57EA4">
        <w:rPr>
          <w:rFonts w:ascii="Times New Roman" w:hAnsi="Times New Roman" w:cs="Times New Roman"/>
        </w:rPr>
        <w:t>, 2022)</w:t>
      </w:r>
      <w:r>
        <w:rPr>
          <w:rFonts w:ascii="Times New Roman" w:hAnsi="Times New Roman" w:cs="Times New Roman"/>
        </w:rPr>
        <w:t>.</w:t>
      </w:r>
    </w:p>
  </w:footnote>
  <w:footnote w:id="25">
    <w:p w14:paraId="068E519D" w14:textId="77777777" w:rsidR="002B7244" w:rsidRPr="00B57EA4" w:rsidRDefault="002B7244" w:rsidP="002B7244">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Cornell Center on the Death Penalty Worldwide, </w:t>
      </w:r>
      <w:r w:rsidRPr="00B57EA4">
        <w:rPr>
          <w:rFonts w:ascii="Times New Roman" w:hAnsi="Times New Roman" w:cs="Times New Roman"/>
          <w:i/>
          <w:iCs/>
        </w:rPr>
        <w:t>Judged for More Than Her Crime: A Global Overview of Women Facing the Death Penalty</w:t>
      </w:r>
      <w:r w:rsidRPr="00B57EA4">
        <w:rPr>
          <w:rFonts w:ascii="Times New Roman" w:hAnsi="Times New Roman" w:cs="Times New Roman"/>
        </w:rPr>
        <w:t xml:space="preserve">, Sept. 2018, at 18, available at https://www.deathpenaltyworldwide.org/wp-content/uploads/2019/12/Judged-More-Than-Her-Crime.pdf (last visited </w:t>
      </w:r>
      <w:r>
        <w:rPr>
          <w:rFonts w:ascii="Times New Roman" w:hAnsi="Times New Roman" w:cs="Times New Roman"/>
        </w:rPr>
        <w:t>Dec. 29</w:t>
      </w:r>
      <w:r w:rsidRPr="00B57EA4">
        <w:rPr>
          <w:rFonts w:ascii="Times New Roman" w:hAnsi="Times New Roman" w:cs="Times New Roman"/>
        </w:rPr>
        <w:t>, 2022).</w:t>
      </w:r>
    </w:p>
  </w:footnote>
  <w:footnote w:id="26">
    <w:p w14:paraId="1CDD9F32" w14:textId="77777777" w:rsidR="002B7244" w:rsidRDefault="002B7244" w:rsidP="002B7244">
      <w:pPr>
        <w:pStyle w:val="FootnoteText"/>
      </w:pPr>
      <w:r>
        <w:rPr>
          <w:rStyle w:val="FootnoteReference"/>
        </w:rPr>
        <w:footnoteRef/>
      </w:r>
      <w:r>
        <w:t xml:space="preserve"> </w:t>
      </w:r>
      <w:r w:rsidRPr="00B57EA4">
        <w:rPr>
          <w:rFonts w:ascii="Times New Roman" w:hAnsi="Times New Roman" w:cs="Times New Roman"/>
        </w:rPr>
        <w:t xml:space="preserve">Human Rights Watch, </w:t>
      </w:r>
      <w:r w:rsidRPr="00B57EA4">
        <w:rPr>
          <w:rFonts w:ascii="Times New Roman" w:hAnsi="Times New Roman" w:cs="Times New Roman"/>
          <w:i/>
          <w:iCs/>
        </w:rPr>
        <w:t>“The Court is Satisfied with the Confession”: Bahrain Death Sentences Follow Torture, Sham Trials</w:t>
      </w:r>
      <w:r w:rsidRPr="00B57EA4">
        <w:rPr>
          <w:rFonts w:ascii="Times New Roman" w:hAnsi="Times New Roman" w:cs="Times New Roman"/>
        </w:rPr>
        <w:t xml:space="preserve">, Oct. 10, 2022, https://www.hrw.org/report/2022/10/10/court-satisfied-confession/bahrain-death-sentences-follow-torture-sham-trials (last visited </w:t>
      </w:r>
      <w:r>
        <w:rPr>
          <w:rFonts w:ascii="Times New Roman" w:hAnsi="Times New Roman" w:cs="Times New Roman"/>
        </w:rPr>
        <w:t>Dec. 29</w:t>
      </w:r>
      <w:r w:rsidRPr="00B57EA4">
        <w:rPr>
          <w:rFonts w:ascii="Times New Roman" w:hAnsi="Times New Roman" w:cs="Times New Roman"/>
        </w:rPr>
        <w:t>, 2022).</w:t>
      </w:r>
    </w:p>
  </w:footnote>
  <w:footnote w:id="27">
    <w:p w14:paraId="7D310C9D" w14:textId="77777777" w:rsidR="002B7244" w:rsidRDefault="002B7244" w:rsidP="002B7244">
      <w:pPr>
        <w:pStyle w:val="FootnoteText"/>
      </w:pPr>
      <w:r>
        <w:rPr>
          <w:rStyle w:val="FootnoteReference"/>
        </w:rPr>
        <w:footnoteRef/>
      </w:r>
      <w:r>
        <w:t xml:space="preserve"> </w:t>
      </w:r>
      <w:r w:rsidRPr="00B57EA4">
        <w:rPr>
          <w:rFonts w:ascii="Times New Roman" w:hAnsi="Times New Roman" w:cs="Times New Roman"/>
        </w:rPr>
        <w:t xml:space="preserve">Human Rights Watch, </w:t>
      </w:r>
      <w:r w:rsidRPr="00B57EA4">
        <w:rPr>
          <w:rFonts w:ascii="Times New Roman" w:hAnsi="Times New Roman" w:cs="Times New Roman"/>
          <w:i/>
          <w:iCs/>
        </w:rPr>
        <w:t>“The Court is Satisfied with the Confession”: Bahrain Death Sentences Follow Torture, Sham Trials</w:t>
      </w:r>
      <w:r w:rsidRPr="00B57EA4">
        <w:rPr>
          <w:rFonts w:ascii="Times New Roman" w:hAnsi="Times New Roman" w:cs="Times New Roman"/>
        </w:rPr>
        <w:t xml:space="preserve">, Oct. 10, 2022, https://www.hrw.org/report/2022/10/10/court-satisfied-confession/bahrain-death-sentences-follow-torture-sham-trials (last visited </w:t>
      </w:r>
      <w:r>
        <w:rPr>
          <w:rFonts w:ascii="Times New Roman" w:hAnsi="Times New Roman" w:cs="Times New Roman"/>
        </w:rPr>
        <w:t>Dec. 29</w:t>
      </w:r>
      <w:r w:rsidRPr="00B57EA4">
        <w:rPr>
          <w:rFonts w:ascii="Times New Roman" w:hAnsi="Times New Roman" w:cs="Times New Roman"/>
        </w:rPr>
        <w:t>, 2022).</w:t>
      </w:r>
    </w:p>
  </w:footnote>
  <w:footnote w:id="28">
    <w:p w14:paraId="5DBDDFDD" w14:textId="77777777" w:rsidR="002B7244" w:rsidRDefault="002B7244" w:rsidP="002B7244">
      <w:pPr>
        <w:pStyle w:val="FootnoteText"/>
      </w:pPr>
      <w:r>
        <w:rPr>
          <w:rStyle w:val="FootnoteReference"/>
        </w:rPr>
        <w:footnoteRef/>
      </w:r>
      <w:r>
        <w:t xml:space="preserve"> Bahrain Institute for Rights &amp; Democracy, </w:t>
      </w:r>
      <w:r w:rsidRPr="00F55DF7">
        <w:rPr>
          <w:i/>
        </w:rPr>
        <w:t>Breaking the Silence: Bahraini Women Political Prisoners Expose Systemic Abuses</w:t>
      </w:r>
      <w:r>
        <w:t xml:space="preserve">, 2019, at 24–40, available at </w:t>
      </w:r>
      <w:r w:rsidRPr="00F55DF7">
        <w:t>https://birdbh.org/wp-content/uploads/2019/09/BIRD-ADHRB_BreakingTheSilence.pdf</w:t>
      </w:r>
      <w:r>
        <w:t xml:space="preserve"> (last visited Dec. 28, 2022).</w:t>
      </w:r>
    </w:p>
  </w:footnote>
  <w:footnote w:id="29">
    <w:p w14:paraId="584212CD" w14:textId="77777777" w:rsidR="002B7244" w:rsidRDefault="002B7244" w:rsidP="002B7244">
      <w:pPr>
        <w:pStyle w:val="FootnoteText"/>
      </w:pPr>
      <w:r>
        <w:rPr>
          <w:rStyle w:val="FootnoteReference"/>
        </w:rPr>
        <w:footnoteRef/>
      </w:r>
      <w:r>
        <w:t xml:space="preserve"> Bahrain Institute for Rights &amp; Democracy, </w:t>
      </w:r>
      <w:r w:rsidRPr="00D171A8">
        <w:rPr>
          <w:i/>
        </w:rPr>
        <w:t>Breaking the Silence: Bahraini Women Political Prisoners Expose Systemic Abuses</w:t>
      </w:r>
      <w:r>
        <w:t xml:space="preserve">, 2019, at 24–28, available at </w:t>
      </w:r>
      <w:r w:rsidRPr="00F55DF7">
        <w:t>https://birdbh.org/wp-content/uploads/2019/09/BIRD-ADHRB_BreakingTheSilence.pdf</w:t>
      </w:r>
      <w:r>
        <w:t xml:space="preserve"> (last visited Dec. 28, 2022).</w:t>
      </w:r>
    </w:p>
  </w:footnote>
  <w:footnote w:id="30">
    <w:p w14:paraId="79D8236D" w14:textId="77777777" w:rsidR="002B7244" w:rsidRDefault="002B7244" w:rsidP="002B7244">
      <w:pPr>
        <w:pStyle w:val="FootnoteText"/>
      </w:pPr>
      <w:r>
        <w:rPr>
          <w:rStyle w:val="FootnoteReference"/>
        </w:rPr>
        <w:footnoteRef/>
      </w:r>
      <w:r>
        <w:t xml:space="preserve"> Bahrain Institute for Rights &amp; Democracy, </w:t>
      </w:r>
      <w:r w:rsidRPr="00D171A8">
        <w:rPr>
          <w:i/>
        </w:rPr>
        <w:t>Breaking the Silence: Bahraini Women Political Prisoners Expose Systemic Abuses</w:t>
      </w:r>
      <w:r>
        <w:t xml:space="preserve">, 2019, at 43–44, 51–53, available at </w:t>
      </w:r>
      <w:r w:rsidRPr="00F55DF7">
        <w:t>https://birdbh.org/wp-content/uploads/2019/09/BIRD-ADHRB_BreakingTheSilence.pdf</w:t>
      </w:r>
      <w:r>
        <w:t xml:space="preserve"> (last visited Dec. 28, 2022).</w:t>
      </w:r>
    </w:p>
  </w:footnote>
  <w:footnote w:id="31">
    <w:p w14:paraId="73D40E72" w14:textId="77777777" w:rsidR="002B7244" w:rsidRDefault="002B7244" w:rsidP="002B7244">
      <w:pPr>
        <w:pStyle w:val="FootnoteText"/>
      </w:pPr>
      <w:r>
        <w:rPr>
          <w:rStyle w:val="FootnoteReference"/>
        </w:rPr>
        <w:footnoteRef/>
      </w:r>
      <w:r>
        <w:t xml:space="preserve"> Bahrain Institute for Rights &amp; Democracy, </w:t>
      </w:r>
      <w:r w:rsidRPr="00D171A8">
        <w:rPr>
          <w:i/>
        </w:rPr>
        <w:t>Breaking the Silence: Bahraini Women Political Prisoners Expose Systemic Abuses</w:t>
      </w:r>
      <w:r>
        <w:t xml:space="preserve">, 2019, at 59–60, available at </w:t>
      </w:r>
      <w:r w:rsidRPr="00F55DF7">
        <w:t>https://birdbh.org/wp-content/uploads/2019/09/BIRD-ADHRB_BreakingTheSilence.pdf</w:t>
      </w:r>
      <w:r>
        <w:t xml:space="preserve"> (last visited Dec. 28, 2022).</w:t>
      </w:r>
    </w:p>
  </w:footnote>
  <w:footnote w:id="32">
    <w:p w14:paraId="293B2360" w14:textId="77777777" w:rsidR="002B7244" w:rsidRDefault="002B7244" w:rsidP="002B7244">
      <w:pPr>
        <w:pStyle w:val="FootnoteText"/>
      </w:pPr>
      <w:r>
        <w:rPr>
          <w:rStyle w:val="FootnoteReference"/>
        </w:rPr>
        <w:footnoteRef/>
      </w:r>
      <w:r>
        <w:t xml:space="preserve"> Bahrain Institute for Rights &amp; Democracy, </w:t>
      </w:r>
      <w:r w:rsidRPr="00D171A8">
        <w:rPr>
          <w:i/>
        </w:rPr>
        <w:t>Breaking the Silence: Bahraini Women Political Prisoners Expose Systemic Abuses</w:t>
      </w:r>
      <w:r>
        <w:t xml:space="preserve">, 2019, at 68–70, available at </w:t>
      </w:r>
      <w:r w:rsidRPr="00F55DF7">
        <w:t>https://birdbh.org/wp-content/uploads/2019/09/BIRD-ADHRB_BreakingTheSilence.pdf</w:t>
      </w:r>
      <w:r>
        <w:t xml:space="preserve"> (last visited Dec. 28, 2022).</w:t>
      </w:r>
    </w:p>
  </w:footnote>
  <w:footnote w:id="33">
    <w:p w14:paraId="6F03C242" w14:textId="11B31D57" w:rsidR="00E576BC" w:rsidRDefault="00E576BC">
      <w:pPr>
        <w:pStyle w:val="FootnoteText"/>
      </w:pPr>
      <w:r>
        <w:rPr>
          <w:rStyle w:val="FootnoteReference"/>
        </w:rPr>
        <w:footnoteRef/>
      </w:r>
      <w:r>
        <w:t xml:space="preserve"> Convention on the Elimination of All Forms of Discrimination Against Women. </w:t>
      </w:r>
      <w:r w:rsidRPr="00F55DF7">
        <w:rPr>
          <w:i/>
        </w:rPr>
        <w:t>List of Issues and questions in relation to the fourth periodic report of Bahrain</w:t>
      </w:r>
      <w:r>
        <w:rPr>
          <w:i/>
        </w:rPr>
        <w:t>,</w:t>
      </w:r>
      <w:r>
        <w:t xml:space="preserve"> (19 July 2019), U.N. Doc. CEDAW/C/BHR/Q/4, ¶ 6.</w:t>
      </w:r>
    </w:p>
  </w:footnote>
  <w:footnote w:id="34">
    <w:p w14:paraId="7FC612F2" w14:textId="37501484" w:rsidR="00EB7AA0" w:rsidRDefault="00EB7AA0">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xml:space="preserve">, (18 Apr. 2019), U.N. Doc. CEDAW/C/BHR/RQ/4, at </w:t>
      </w:r>
      <w:r w:rsidR="005707DA">
        <w:t>5</w:t>
      </w:r>
      <w:r>
        <w:t>.</w:t>
      </w:r>
    </w:p>
  </w:footnote>
  <w:footnote w:id="35">
    <w:p w14:paraId="6F8A8F95" w14:textId="77777777" w:rsidR="009E3845" w:rsidRDefault="009E3845">
      <w:pPr>
        <w:pStyle w:val="FootnoteText"/>
      </w:pPr>
      <w:r>
        <w:rPr>
          <w:rStyle w:val="FootnoteReference"/>
        </w:rPr>
        <w:footnoteRef/>
      </w:r>
      <w:r>
        <w:t xml:space="preserve"> </w:t>
      </w:r>
      <w:r w:rsidRPr="009E3845">
        <w:t>BAHRAIN 2021</w:t>
      </w:r>
      <w:r>
        <w:t>,</w:t>
      </w:r>
      <w:r w:rsidRPr="009E3845">
        <w:t xml:space="preserve"> https://www.amnesty.org/en/location/middle-east-and-north-africa/bahrain/report-bahrain/</w:t>
      </w:r>
      <w:r>
        <w:t xml:space="preserve"> (last visited Dec</w:t>
      </w:r>
      <w:r w:rsidR="001A61BD">
        <w:t>.</w:t>
      </w:r>
      <w:r>
        <w:t xml:space="preserve"> 28, 2022)</w:t>
      </w:r>
    </w:p>
  </w:footnote>
  <w:footnote w:id="36">
    <w:p w14:paraId="31B33C2B" w14:textId="77777777" w:rsidR="008C722E" w:rsidRPr="00B57EA4" w:rsidRDefault="008C722E" w:rsidP="008C722E">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U.S. Department of State, </w:t>
      </w:r>
      <w:r w:rsidRPr="00B57EA4">
        <w:rPr>
          <w:rFonts w:ascii="Times New Roman" w:hAnsi="Times New Roman" w:cs="Times New Roman"/>
          <w:i/>
          <w:iCs/>
        </w:rPr>
        <w:t>2021 Report on International Religious Freedom: Bahrain</w:t>
      </w:r>
      <w:r w:rsidRPr="00B57EA4">
        <w:rPr>
          <w:rFonts w:ascii="Times New Roman" w:hAnsi="Times New Roman" w:cs="Times New Roman"/>
        </w:rPr>
        <w:t xml:space="preserve">, June 2, 2022, https://www.state.gov/reports/2021-report-on-international-religious-freedom/bahrain/ (last visited </w:t>
      </w:r>
      <w:r w:rsidR="001A61BD">
        <w:rPr>
          <w:rFonts w:ascii="Times New Roman" w:hAnsi="Times New Roman" w:cs="Times New Roman"/>
        </w:rPr>
        <w:t>Dec. 29</w:t>
      </w:r>
      <w:r w:rsidRPr="00B57EA4">
        <w:rPr>
          <w:rFonts w:ascii="Times New Roman" w:hAnsi="Times New Roman" w:cs="Times New Roman"/>
        </w:rPr>
        <w:t>, 2022).</w:t>
      </w:r>
    </w:p>
  </w:footnote>
  <w:footnote w:id="37">
    <w:p w14:paraId="44180CF8" w14:textId="77777777" w:rsidR="008C722E" w:rsidRPr="00B57EA4" w:rsidRDefault="008C722E" w:rsidP="008C722E">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U.S. Department of State, </w:t>
      </w:r>
      <w:r w:rsidRPr="00B57EA4">
        <w:rPr>
          <w:rFonts w:ascii="Times New Roman" w:hAnsi="Times New Roman" w:cs="Times New Roman"/>
          <w:i/>
          <w:iCs/>
        </w:rPr>
        <w:t>2021 Report on International Religious Freedom: Bahrain</w:t>
      </w:r>
      <w:r w:rsidRPr="00B57EA4">
        <w:rPr>
          <w:rFonts w:ascii="Times New Roman" w:hAnsi="Times New Roman" w:cs="Times New Roman"/>
        </w:rPr>
        <w:t xml:space="preserve">, June 2, 2022, https://www.state.gov/reports/2021-report-on-international-religious-freedom/bahrain/ (last visited </w:t>
      </w:r>
      <w:r w:rsidR="001A61BD">
        <w:rPr>
          <w:rFonts w:ascii="Times New Roman" w:hAnsi="Times New Roman" w:cs="Times New Roman"/>
        </w:rPr>
        <w:t>Dec. 29</w:t>
      </w:r>
      <w:r w:rsidRPr="00B57EA4">
        <w:rPr>
          <w:rFonts w:ascii="Times New Roman" w:hAnsi="Times New Roman" w:cs="Times New Roman"/>
        </w:rPr>
        <w:t>, 2022).</w:t>
      </w:r>
    </w:p>
  </w:footnote>
  <w:footnote w:id="38">
    <w:p w14:paraId="69B66DA4" w14:textId="77777777" w:rsidR="008C722E" w:rsidRPr="00B57EA4" w:rsidRDefault="008C722E" w:rsidP="008C722E">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U.S. Department of State, </w:t>
      </w:r>
      <w:r w:rsidRPr="00B57EA4">
        <w:rPr>
          <w:rFonts w:ascii="Times New Roman" w:hAnsi="Times New Roman" w:cs="Times New Roman"/>
          <w:i/>
          <w:iCs/>
        </w:rPr>
        <w:t>2021 Report on International Religious Freedom: Bahrain</w:t>
      </w:r>
      <w:r w:rsidRPr="00B57EA4">
        <w:rPr>
          <w:rFonts w:ascii="Times New Roman" w:hAnsi="Times New Roman" w:cs="Times New Roman"/>
        </w:rPr>
        <w:t xml:space="preserve">, June 2, 2022, https://www.state.gov/reports/2021-report-on-international-religious-freedom/bahrain/ (last visited </w:t>
      </w:r>
      <w:r w:rsidR="001A61BD">
        <w:rPr>
          <w:rFonts w:ascii="Times New Roman" w:hAnsi="Times New Roman" w:cs="Times New Roman"/>
        </w:rPr>
        <w:t>Dec. 29</w:t>
      </w:r>
      <w:r w:rsidRPr="00B57EA4">
        <w:rPr>
          <w:rFonts w:ascii="Times New Roman" w:hAnsi="Times New Roman" w:cs="Times New Roman"/>
        </w:rPr>
        <w:t>, 2022).</w:t>
      </w:r>
    </w:p>
  </w:footnote>
  <w:footnote w:id="39">
    <w:p w14:paraId="12A15D5F" w14:textId="04DC2FE3" w:rsidR="00E576BC" w:rsidRDefault="00E576BC" w:rsidP="00E576BC">
      <w:pPr>
        <w:pStyle w:val="FootnoteText"/>
      </w:pPr>
      <w:r>
        <w:rPr>
          <w:rStyle w:val="FootnoteReference"/>
        </w:rPr>
        <w:footnoteRef/>
      </w:r>
      <w:r>
        <w:t xml:space="preserve"> Convention on the Elimination of All Forms of Discrimination Against Women. </w:t>
      </w:r>
      <w:r w:rsidRPr="00F55DF7">
        <w:rPr>
          <w:i/>
        </w:rPr>
        <w:t>List of Issues and questions in relation to the fourth periodic report of Bahrain</w:t>
      </w:r>
      <w:r>
        <w:rPr>
          <w:i/>
        </w:rPr>
        <w:t>,</w:t>
      </w:r>
      <w:r>
        <w:t xml:space="preserve"> (19 July 2019), U.N. Doc. CEDAW/C/BHR/Q/4, ¶ 10.</w:t>
      </w:r>
    </w:p>
  </w:footnote>
  <w:footnote w:id="40">
    <w:p w14:paraId="09802A31" w14:textId="361E83F3" w:rsidR="00EB7AA0" w:rsidRDefault="00EB7AA0">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w:t>
      </w:r>
      <w:r w:rsidR="005707DA">
        <w:t xml:space="preserve"> 10</w:t>
      </w:r>
      <w:r>
        <w:t>.</w:t>
      </w:r>
    </w:p>
  </w:footnote>
  <w:footnote w:id="41">
    <w:p w14:paraId="7C935EC4" w14:textId="77777777" w:rsidR="005707DA" w:rsidRDefault="005707DA" w:rsidP="005707DA">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10.</w:t>
      </w:r>
    </w:p>
  </w:footnote>
  <w:footnote w:id="42">
    <w:p w14:paraId="589CE90F" w14:textId="2998D231" w:rsidR="00E576BC" w:rsidRDefault="00E576BC" w:rsidP="00E576BC">
      <w:pPr>
        <w:pStyle w:val="FootnoteText"/>
      </w:pPr>
      <w:r>
        <w:rPr>
          <w:rStyle w:val="FootnoteReference"/>
        </w:rPr>
        <w:footnoteRef/>
      </w:r>
      <w:r>
        <w:t xml:space="preserve"> Convention on the Elimination of All Forms of Discrimination Against Women. </w:t>
      </w:r>
      <w:r w:rsidRPr="00F55DF7">
        <w:rPr>
          <w:i/>
        </w:rPr>
        <w:t>List of Issues and questions in relation to the fourth periodic report of Bahrain</w:t>
      </w:r>
      <w:r>
        <w:rPr>
          <w:i/>
        </w:rPr>
        <w:t>,</w:t>
      </w:r>
      <w:r>
        <w:t xml:space="preserve"> (19 July 2019), U.N. Doc. CEDAW/C/BHR/Q/4, ¶ 11.</w:t>
      </w:r>
    </w:p>
  </w:footnote>
  <w:footnote w:id="43">
    <w:p w14:paraId="14FF1CF8" w14:textId="318FDF23" w:rsidR="005707DA" w:rsidRDefault="005707DA">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10.</w:t>
      </w:r>
    </w:p>
  </w:footnote>
  <w:footnote w:id="44">
    <w:p w14:paraId="0E00986D" w14:textId="77777777" w:rsidR="005707DA" w:rsidRDefault="005707DA" w:rsidP="005707DA">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10.</w:t>
      </w:r>
    </w:p>
  </w:footnote>
  <w:footnote w:id="45">
    <w:p w14:paraId="58D75EA2" w14:textId="5F88DEED" w:rsidR="009A7514" w:rsidRDefault="009A7514">
      <w:pPr>
        <w:pStyle w:val="FootnoteText"/>
      </w:pPr>
      <w:r>
        <w:rPr>
          <w:rStyle w:val="FootnoteReference"/>
        </w:rPr>
        <w:footnoteRef/>
      </w:r>
      <w:r>
        <w:t xml:space="preserve"> Amnesty International, </w:t>
      </w:r>
      <w:r>
        <w:rPr>
          <w:i/>
          <w:iCs/>
        </w:rPr>
        <w:t xml:space="preserve">Death Sentences and Executions 2021 </w:t>
      </w:r>
      <w:r>
        <w:t xml:space="preserve">(2022), at 40, available at </w:t>
      </w:r>
      <w:r w:rsidRPr="009A7514">
        <w:t>https://www.amnesty.org/en/documents/act50/5418/2022/en/</w:t>
      </w:r>
      <w:r>
        <w:t xml:space="preserve"> (last visited Jan. 1, 2023). </w:t>
      </w:r>
    </w:p>
  </w:footnote>
  <w:footnote w:id="46">
    <w:p w14:paraId="6FFBB75A" w14:textId="305EBE60" w:rsidR="009A7514" w:rsidRDefault="009A7514">
      <w:pPr>
        <w:pStyle w:val="FootnoteText"/>
      </w:pPr>
      <w:r>
        <w:rPr>
          <w:rStyle w:val="FootnoteReference"/>
        </w:rPr>
        <w:footnoteRef/>
      </w:r>
      <w:r>
        <w:t xml:space="preserve"> Judged for More Than Her Crime: A Global Overview of Women Facing the Death Penalty, Cornell Center on the Death Penalty Worldwide, Sept. 2018, at 4, https://www.deathpenaltyworldwide.org/wpcontent/uploads/2019/12/Judged-More-Than-Her-Crime.pdf.</w:t>
      </w:r>
    </w:p>
  </w:footnote>
  <w:footnote w:id="47">
    <w:p w14:paraId="79018C43" w14:textId="73A957D1" w:rsidR="009A7514" w:rsidRPr="00B87919" w:rsidRDefault="009A7514">
      <w:pPr>
        <w:pStyle w:val="FootnoteText"/>
        <w:rPr>
          <w:i/>
          <w:iCs/>
        </w:rPr>
      </w:pPr>
      <w:r>
        <w:rPr>
          <w:rStyle w:val="FootnoteReference"/>
        </w:rPr>
        <w:footnoteRef/>
      </w:r>
      <w:r>
        <w:t xml:space="preserve"> </w:t>
      </w:r>
      <w:r>
        <w:rPr>
          <w:i/>
          <w:iCs/>
        </w:rPr>
        <w:t>Ibid.</w:t>
      </w:r>
    </w:p>
  </w:footnote>
  <w:footnote w:id="48">
    <w:p w14:paraId="49950809" w14:textId="29387BBE" w:rsidR="009A7514" w:rsidRPr="00B87919" w:rsidRDefault="009A7514">
      <w:pPr>
        <w:pStyle w:val="FootnoteText"/>
        <w:rPr>
          <w:i/>
          <w:iCs/>
        </w:rPr>
      </w:pPr>
      <w:r>
        <w:rPr>
          <w:rStyle w:val="FootnoteReference"/>
        </w:rPr>
        <w:footnoteRef/>
      </w:r>
      <w:r>
        <w:t xml:space="preserve"> </w:t>
      </w:r>
      <w:r>
        <w:rPr>
          <w:i/>
          <w:iCs/>
        </w:rPr>
        <w:t>Ibid.</w:t>
      </w:r>
    </w:p>
  </w:footnote>
  <w:footnote w:id="49">
    <w:p w14:paraId="4618F6C7" w14:textId="64699420" w:rsidR="009A7514" w:rsidRPr="009A7514" w:rsidRDefault="009A7514">
      <w:pPr>
        <w:pStyle w:val="FootnoteText"/>
      </w:pPr>
      <w:r>
        <w:rPr>
          <w:rStyle w:val="FootnoteReference"/>
        </w:rPr>
        <w:footnoteRef/>
      </w:r>
      <w:r>
        <w:t xml:space="preserve"> </w:t>
      </w:r>
      <w:r>
        <w:rPr>
          <w:i/>
          <w:iCs/>
        </w:rPr>
        <w:t>Ibid.</w:t>
      </w:r>
    </w:p>
  </w:footnote>
  <w:footnote w:id="50">
    <w:p w14:paraId="72AF4F93" w14:textId="05CD9374" w:rsidR="00E576BC" w:rsidRDefault="00E576BC" w:rsidP="00E576BC">
      <w:pPr>
        <w:pStyle w:val="FootnoteText"/>
      </w:pPr>
      <w:r>
        <w:rPr>
          <w:rStyle w:val="FootnoteReference"/>
        </w:rPr>
        <w:footnoteRef/>
      </w:r>
      <w:r>
        <w:t xml:space="preserve"> Convention on the Elimination of All Forms of Discrimination Against Women. </w:t>
      </w:r>
      <w:r w:rsidRPr="00F55DF7">
        <w:rPr>
          <w:i/>
        </w:rPr>
        <w:t>List of Issues and questions in relation to the fourth periodic report of Bahrain</w:t>
      </w:r>
      <w:r>
        <w:rPr>
          <w:i/>
        </w:rPr>
        <w:t>,</w:t>
      </w:r>
      <w:r>
        <w:t xml:space="preserve"> (19 July 2019), U.N. Doc. CEDAW/C/BHR/Q/4, ¶ 17.</w:t>
      </w:r>
    </w:p>
  </w:footnote>
  <w:footnote w:id="51">
    <w:p w14:paraId="6572D5E0" w14:textId="5A20858E" w:rsidR="005707DA" w:rsidRDefault="005707DA" w:rsidP="005707DA">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14.</w:t>
      </w:r>
    </w:p>
  </w:footnote>
  <w:footnote w:id="52">
    <w:p w14:paraId="760AFFB8" w14:textId="1B429E4A" w:rsidR="00E3719B" w:rsidRDefault="00E3719B" w:rsidP="00E3719B">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14.</w:t>
      </w:r>
    </w:p>
  </w:footnote>
  <w:footnote w:id="53">
    <w:p w14:paraId="0A91D3C5" w14:textId="77777777" w:rsidR="00E3719B" w:rsidRDefault="00E3719B" w:rsidP="00E3719B">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14.</w:t>
      </w:r>
    </w:p>
  </w:footnote>
  <w:footnote w:id="54">
    <w:p w14:paraId="39ED9FFE" w14:textId="77777777" w:rsidR="00E3719B" w:rsidRDefault="00E3719B" w:rsidP="00E3719B">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14.</w:t>
      </w:r>
    </w:p>
  </w:footnote>
  <w:footnote w:id="55">
    <w:p w14:paraId="7737FA65" w14:textId="77777777" w:rsidR="00E3719B" w:rsidRDefault="00E3719B" w:rsidP="00E3719B">
      <w:pPr>
        <w:pStyle w:val="FootnoteText"/>
      </w:pPr>
      <w:r>
        <w:rPr>
          <w:rStyle w:val="FootnoteReference"/>
        </w:rPr>
        <w:footnoteRef/>
      </w:r>
      <w:r>
        <w:t xml:space="preserve"> Committee on the Elimination of Discrimination Against Women, </w:t>
      </w:r>
      <w:r w:rsidRPr="00F55DF7">
        <w:rPr>
          <w:i/>
        </w:rPr>
        <w:t>Replies of Bahrain to the list of issues and questions in relation to its fourth periodic report</w:t>
      </w:r>
      <w:r>
        <w:t>, (18 Apr. 2019), U.N. Doc. CEDAW/C/BHR/RQ/4, at 14.</w:t>
      </w:r>
    </w:p>
  </w:footnote>
  <w:footnote w:id="56">
    <w:p w14:paraId="13C23BB7" w14:textId="77777777" w:rsidR="00505957" w:rsidRPr="00B57EA4" w:rsidRDefault="00505957" w:rsidP="00505957">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Lucy Harry et al., </w:t>
      </w:r>
      <w:r w:rsidRPr="00B57EA4">
        <w:rPr>
          <w:rFonts w:ascii="Times New Roman" w:hAnsi="Times New Roman" w:cs="Times New Roman"/>
          <w:i/>
          <w:iCs/>
        </w:rPr>
        <w:t>How the Bahrain judicial system fails its migrant workers</w:t>
      </w:r>
      <w:r w:rsidRPr="00B57EA4">
        <w:rPr>
          <w:rFonts w:ascii="Times New Roman" w:hAnsi="Times New Roman" w:cs="Times New Roman"/>
        </w:rPr>
        <w:t>, 360info, Sept. 5, 2022, https://360info.org/how-the-bahrain-judicial-system-fails-its-migrant-workers/ (last visited Oct. 19, 2022).</w:t>
      </w:r>
    </w:p>
  </w:footnote>
  <w:footnote w:id="57">
    <w:p w14:paraId="1D7994CE" w14:textId="77777777" w:rsidR="00505957" w:rsidRPr="00B57EA4" w:rsidRDefault="00505957" w:rsidP="00505957">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Migrant-Rights.org, </w:t>
      </w:r>
      <w:r w:rsidRPr="00B57EA4">
        <w:rPr>
          <w:rFonts w:ascii="Times New Roman" w:hAnsi="Times New Roman" w:cs="Times New Roman"/>
          <w:i/>
          <w:iCs/>
        </w:rPr>
        <w:t>Lived Experience of Migrant Women: Qatar, Bahrain, and Kuwait</w:t>
      </w:r>
      <w:r w:rsidRPr="00B57EA4">
        <w:rPr>
          <w:rFonts w:ascii="Times New Roman" w:hAnsi="Times New Roman" w:cs="Times New Roman"/>
        </w:rPr>
        <w:t xml:space="preserve">, 2019, at 10, available at https://www.migrant-rights.org/wp-content/uploads/2019/11/Lived-Experiences-of-Migrant-Women.pdf (last visited </w:t>
      </w:r>
      <w:r w:rsidR="00FE3693">
        <w:rPr>
          <w:rFonts w:ascii="Times New Roman" w:hAnsi="Times New Roman" w:cs="Times New Roman"/>
        </w:rPr>
        <w:t>Dec. 29</w:t>
      </w:r>
      <w:r w:rsidRPr="00B57EA4">
        <w:rPr>
          <w:rFonts w:ascii="Times New Roman" w:hAnsi="Times New Roman" w:cs="Times New Roman"/>
        </w:rPr>
        <w:t>, 2022).</w:t>
      </w:r>
    </w:p>
  </w:footnote>
  <w:footnote w:id="58">
    <w:p w14:paraId="5C4E5496" w14:textId="77777777" w:rsidR="00505957" w:rsidRPr="00B57EA4" w:rsidRDefault="00505957" w:rsidP="00505957">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Migrant-Rights.org, </w:t>
      </w:r>
      <w:r w:rsidRPr="00B57EA4">
        <w:rPr>
          <w:rFonts w:ascii="Times New Roman" w:hAnsi="Times New Roman" w:cs="Times New Roman"/>
          <w:i/>
          <w:iCs/>
        </w:rPr>
        <w:t>Lived Experience of Migrant Women: Qatar, Bahrain, and Kuwait</w:t>
      </w:r>
      <w:r w:rsidRPr="00B57EA4">
        <w:rPr>
          <w:rFonts w:ascii="Times New Roman" w:hAnsi="Times New Roman" w:cs="Times New Roman"/>
        </w:rPr>
        <w:t xml:space="preserve">, 2019, at 17, available at https://www.migrant-rights.org/wp-content/uploads/2019/11/Lived-Experiences-of-Migrant-Women.pdf (last visited </w:t>
      </w:r>
      <w:r w:rsidR="00FE3693">
        <w:rPr>
          <w:rFonts w:ascii="Times New Roman" w:hAnsi="Times New Roman" w:cs="Times New Roman"/>
        </w:rPr>
        <w:t>Dec. 29</w:t>
      </w:r>
      <w:r w:rsidRPr="00B57EA4">
        <w:rPr>
          <w:rFonts w:ascii="Times New Roman" w:hAnsi="Times New Roman" w:cs="Times New Roman"/>
        </w:rPr>
        <w:t>, 2022).</w:t>
      </w:r>
    </w:p>
  </w:footnote>
  <w:footnote w:id="59">
    <w:p w14:paraId="440FEFB5" w14:textId="77777777" w:rsidR="00505957" w:rsidRPr="00B57EA4" w:rsidRDefault="00505957" w:rsidP="00505957">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Migrant-Rights.org, </w:t>
      </w:r>
      <w:r w:rsidRPr="00B57EA4">
        <w:rPr>
          <w:rFonts w:ascii="Times New Roman" w:hAnsi="Times New Roman" w:cs="Times New Roman"/>
          <w:i/>
          <w:iCs/>
        </w:rPr>
        <w:t>Lived Experience of Migrant Women: Qatar, Bahrain, and Kuwait</w:t>
      </w:r>
      <w:r w:rsidRPr="00B57EA4">
        <w:rPr>
          <w:rFonts w:ascii="Times New Roman" w:hAnsi="Times New Roman" w:cs="Times New Roman"/>
        </w:rPr>
        <w:t xml:space="preserve">, 2019, at 17, available at https://www.migrant-rights.org/wp-content/uploads/2019/11/Lived-Experiences-of-Migrant-Women.pdf (last visited </w:t>
      </w:r>
      <w:r w:rsidR="00FE3693">
        <w:rPr>
          <w:rFonts w:ascii="Times New Roman" w:hAnsi="Times New Roman" w:cs="Times New Roman"/>
        </w:rPr>
        <w:t>Dec. 29</w:t>
      </w:r>
      <w:r w:rsidRPr="00B57EA4">
        <w:rPr>
          <w:rFonts w:ascii="Times New Roman" w:hAnsi="Times New Roman" w:cs="Times New Roman"/>
        </w:rPr>
        <w:t>, 2022).</w:t>
      </w:r>
    </w:p>
  </w:footnote>
  <w:footnote w:id="60">
    <w:p w14:paraId="326BDE34" w14:textId="77777777" w:rsidR="00995082" w:rsidRPr="00B57EA4" w:rsidRDefault="00995082" w:rsidP="00995082">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Cornell Center on the Death Penalty Worldwide, </w:t>
      </w:r>
      <w:r w:rsidRPr="00B57EA4">
        <w:rPr>
          <w:rFonts w:ascii="Times New Roman" w:hAnsi="Times New Roman" w:cs="Times New Roman"/>
          <w:i/>
          <w:iCs/>
        </w:rPr>
        <w:t>Judged for More Than Her Crime: A Global Overview of Women Facing the Death Penalty</w:t>
      </w:r>
      <w:r w:rsidRPr="00B57EA4">
        <w:rPr>
          <w:rFonts w:ascii="Times New Roman" w:hAnsi="Times New Roman" w:cs="Times New Roman"/>
        </w:rPr>
        <w:t xml:space="preserve">, Sept. 2018, at 17-18, available at https://www.deathpenaltyworldwide.org/wp-content/uploads/2019/12/Judged-More-Than-Her-Crime.pdf (last visited </w:t>
      </w:r>
      <w:r w:rsidR="00FE3693">
        <w:rPr>
          <w:rFonts w:ascii="Times New Roman" w:hAnsi="Times New Roman" w:cs="Times New Roman"/>
        </w:rPr>
        <w:t>Dec. 29</w:t>
      </w:r>
      <w:r w:rsidRPr="00B57EA4">
        <w:rPr>
          <w:rFonts w:ascii="Times New Roman" w:hAnsi="Times New Roman" w:cs="Times New Roman"/>
        </w:rPr>
        <w:t>, 2022).</w:t>
      </w:r>
    </w:p>
  </w:footnote>
  <w:footnote w:id="61">
    <w:p w14:paraId="6F38367F" w14:textId="77777777" w:rsidR="008C722E" w:rsidRPr="00B57EA4" w:rsidRDefault="008C722E" w:rsidP="008C722E">
      <w:pPr>
        <w:pStyle w:val="FootnoteText"/>
        <w:rPr>
          <w:rFonts w:ascii="Times New Roman" w:hAnsi="Times New Roman" w:cs="Times New Roman"/>
        </w:rPr>
      </w:pPr>
      <w:r w:rsidRPr="00B57EA4">
        <w:rPr>
          <w:rStyle w:val="FootnoteReference"/>
          <w:rFonts w:ascii="Times New Roman" w:hAnsi="Times New Roman" w:cs="Times New Roman"/>
        </w:rPr>
        <w:footnoteRef/>
      </w:r>
      <w:r w:rsidRPr="00B57EA4">
        <w:rPr>
          <w:rFonts w:ascii="Times New Roman" w:hAnsi="Times New Roman" w:cs="Times New Roman"/>
        </w:rPr>
        <w:t xml:space="preserve"> Cornell Center on the Death Penalty Worldwide, </w:t>
      </w:r>
      <w:r w:rsidRPr="00B57EA4">
        <w:rPr>
          <w:rFonts w:ascii="Times New Roman" w:hAnsi="Times New Roman" w:cs="Times New Roman"/>
          <w:i/>
          <w:iCs/>
        </w:rPr>
        <w:t>Judged for More Than Her Crime: A Global Overview of Women Facing the Death Penalty</w:t>
      </w:r>
      <w:r w:rsidRPr="00B57EA4">
        <w:rPr>
          <w:rFonts w:ascii="Times New Roman" w:hAnsi="Times New Roman" w:cs="Times New Roman"/>
        </w:rPr>
        <w:t xml:space="preserve">, Sept. 2018, at 28, available at https://www.deathpenaltyworldwide.org/wp-content/uploads/2019/12/Judged-More-Than-Her-Crime.pdf (last visited </w:t>
      </w:r>
      <w:r w:rsidR="00FE3693">
        <w:rPr>
          <w:rFonts w:ascii="Times New Roman" w:hAnsi="Times New Roman" w:cs="Times New Roman"/>
        </w:rPr>
        <w:t>Dec. 29</w:t>
      </w:r>
      <w:r w:rsidRPr="00B57EA4">
        <w:rPr>
          <w:rFonts w:ascii="Times New Roman" w:hAnsi="Times New Roman" w:cs="Times New Roman"/>
        </w:rPr>
        <w:t>,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C5CF2" w14:textId="7C82C62D" w:rsidR="000F50B2" w:rsidRDefault="003F0EA2">
    <w:pPr>
      <w:pStyle w:val="Header"/>
    </w:pPr>
    <w:r w:rsidRPr="00B075AD">
      <w:rPr>
        <w:rFonts w:ascii="Palatino Linotype" w:hAnsi="Palatino Linotype"/>
        <w:noProof/>
        <w:sz w:val="22"/>
        <w:szCs w:val="22"/>
        <w:shd w:val="clear" w:color="auto" w:fill="FFFFFF"/>
      </w:rPr>
      <w:drawing>
        <wp:anchor distT="0" distB="0" distL="114300" distR="114300" simplePos="0" relativeHeight="251675650" behindDoc="0" locked="0" layoutInCell="1" allowOverlap="1" wp14:anchorId="3D552578" wp14:editId="5675FFCC">
          <wp:simplePos x="0" y="0"/>
          <wp:positionH relativeFrom="column">
            <wp:posOffset>942975</wp:posOffset>
          </wp:positionH>
          <wp:positionV relativeFrom="paragraph">
            <wp:posOffset>-229870</wp:posOffset>
          </wp:positionV>
          <wp:extent cx="1685925" cy="866775"/>
          <wp:effectExtent l="0" t="0" r="0" b="0"/>
          <wp:wrapTopAndBottom/>
          <wp:docPr id="9" name="Picture 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lose up of a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rPr>
      <w:drawing>
        <wp:anchor distT="57150" distB="57150" distL="57150" distR="57150" simplePos="0" relativeHeight="251677698" behindDoc="0" locked="0" layoutInCell="1" hidden="0" allowOverlap="1" wp14:anchorId="238DFC67" wp14:editId="7F58CE5C">
          <wp:simplePos x="0" y="0"/>
          <wp:positionH relativeFrom="margin">
            <wp:posOffset>2543175</wp:posOffset>
          </wp:positionH>
          <wp:positionV relativeFrom="paragraph">
            <wp:posOffset>-293370</wp:posOffset>
          </wp:positionV>
          <wp:extent cx="1933575" cy="914400"/>
          <wp:effectExtent l="0" t="0" r="9525" b="0"/>
          <wp:wrapSquare wrapText="bothSides" distT="57150" distB="57150" distL="57150" distR="57150"/>
          <wp:docPr id="10" name="image1.png" descr="SALAM DHR"/>
          <wp:cNvGraphicFramePr/>
          <a:graphic xmlns:a="http://schemas.openxmlformats.org/drawingml/2006/main">
            <a:graphicData uri="http://schemas.openxmlformats.org/drawingml/2006/picture">
              <pic:pic xmlns:pic="http://schemas.openxmlformats.org/drawingml/2006/picture">
                <pic:nvPicPr>
                  <pic:cNvPr id="0" name="image1.png" descr="SALAM DHR"/>
                  <pic:cNvPicPr preferRelativeResize="0"/>
                </pic:nvPicPr>
                <pic:blipFill>
                  <a:blip r:embed="rId2"/>
                  <a:srcRect/>
                  <a:stretch>
                    <a:fillRect/>
                  </a:stretch>
                </pic:blipFill>
                <pic:spPr>
                  <a:xfrm>
                    <a:off x="0" y="0"/>
                    <a:ext cx="1933575" cy="9144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4" behindDoc="1" locked="0" layoutInCell="1" allowOverlap="1" wp14:anchorId="755C27BE" wp14:editId="30A80476">
          <wp:simplePos x="0" y="0"/>
          <wp:positionH relativeFrom="column">
            <wp:posOffset>4562475</wp:posOffset>
          </wp:positionH>
          <wp:positionV relativeFrom="paragraph">
            <wp:posOffset>-177800</wp:posOffset>
          </wp:positionV>
          <wp:extent cx="2133600" cy="817880"/>
          <wp:effectExtent l="0" t="0" r="0" b="1270"/>
          <wp:wrapTight wrapText="bothSides">
            <wp:wrapPolygon edited="0">
              <wp:start x="0" y="0"/>
              <wp:lineTo x="0" y="21130"/>
              <wp:lineTo x="21407" y="21130"/>
              <wp:lineTo x="21407" y="0"/>
              <wp:lineTo x="0" y="0"/>
            </wp:wrapPolygon>
          </wp:wrapTight>
          <wp:docPr id="7" name="Picture 7" descr="Company n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ompany name&#10;&#10;Description automatically generated with low confiden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0" cy="817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2" behindDoc="0" locked="0" layoutInCell="1" allowOverlap="1" wp14:anchorId="348BA977" wp14:editId="05C506C0">
          <wp:simplePos x="0" y="0"/>
          <wp:positionH relativeFrom="column">
            <wp:posOffset>-704850</wp:posOffset>
          </wp:positionH>
          <wp:positionV relativeFrom="paragraph">
            <wp:posOffset>-200025</wp:posOffset>
          </wp:positionV>
          <wp:extent cx="1776855" cy="859339"/>
          <wp:effectExtent l="0" t="0" r="0" b="0"/>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1776855" cy="85933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670846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5B2E44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9D4A45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1A22F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5D8614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6A0C4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BEADE5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BF0F2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4CEA5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9A42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FA6C53"/>
    <w:multiLevelType w:val="hybridMultilevel"/>
    <w:tmpl w:val="F3407B72"/>
    <w:lvl w:ilvl="0" w:tplc="5928AFFC">
      <w:start w:val="1"/>
      <w:numFmt w:val="decimal"/>
      <w:lvlText w:val="%1."/>
      <w:lvlJc w:val="left"/>
      <w:pPr>
        <w:ind w:left="360" w:hanging="360"/>
      </w:pPr>
      <w:rPr>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E493622"/>
    <w:multiLevelType w:val="hybridMultilevel"/>
    <w:tmpl w:val="C8F0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06EEB"/>
    <w:multiLevelType w:val="hybridMultilevel"/>
    <w:tmpl w:val="5448A386"/>
    <w:lvl w:ilvl="0" w:tplc="76B68D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34F6F"/>
    <w:multiLevelType w:val="hybridMultilevel"/>
    <w:tmpl w:val="1530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B17BA8"/>
    <w:multiLevelType w:val="hybridMultilevel"/>
    <w:tmpl w:val="6188F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3206461">
    <w:abstractNumId w:val="9"/>
  </w:num>
  <w:num w:numId="2" w16cid:durableId="1148208308">
    <w:abstractNumId w:val="7"/>
  </w:num>
  <w:num w:numId="3" w16cid:durableId="1622299460">
    <w:abstractNumId w:val="6"/>
  </w:num>
  <w:num w:numId="4" w16cid:durableId="1939866489">
    <w:abstractNumId w:val="5"/>
  </w:num>
  <w:num w:numId="5" w16cid:durableId="360596908">
    <w:abstractNumId w:val="4"/>
  </w:num>
  <w:num w:numId="6" w16cid:durableId="1009143390">
    <w:abstractNumId w:val="8"/>
  </w:num>
  <w:num w:numId="7" w16cid:durableId="1532717824">
    <w:abstractNumId w:val="3"/>
  </w:num>
  <w:num w:numId="8" w16cid:durableId="729618663">
    <w:abstractNumId w:val="2"/>
  </w:num>
  <w:num w:numId="9" w16cid:durableId="1486236154">
    <w:abstractNumId w:val="1"/>
  </w:num>
  <w:num w:numId="10" w16cid:durableId="750780673">
    <w:abstractNumId w:val="0"/>
  </w:num>
  <w:num w:numId="11" w16cid:durableId="453328444">
    <w:abstractNumId w:val="9"/>
  </w:num>
  <w:num w:numId="12" w16cid:durableId="110831522">
    <w:abstractNumId w:val="8"/>
  </w:num>
  <w:num w:numId="13" w16cid:durableId="335965028">
    <w:abstractNumId w:val="9"/>
  </w:num>
  <w:num w:numId="14" w16cid:durableId="1803494494">
    <w:abstractNumId w:val="8"/>
  </w:num>
  <w:num w:numId="15" w16cid:durableId="1896966359">
    <w:abstractNumId w:val="9"/>
  </w:num>
  <w:num w:numId="16" w16cid:durableId="1976181756">
    <w:abstractNumId w:val="8"/>
  </w:num>
  <w:num w:numId="17" w16cid:durableId="91248838">
    <w:abstractNumId w:val="9"/>
  </w:num>
  <w:num w:numId="18" w16cid:durableId="188377617">
    <w:abstractNumId w:val="8"/>
  </w:num>
  <w:num w:numId="19" w16cid:durableId="1681470049">
    <w:abstractNumId w:val="15"/>
  </w:num>
  <w:num w:numId="20" w16cid:durableId="92678178">
    <w:abstractNumId w:val="11"/>
  </w:num>
  <w:num w:numId="21" w16cid:durableId="1959291207">
    <w:abstractNumId w:val="14"/>
  </w:num>
  <w:num w:numId="22" w16cid:durableId="653874272">
    <w:abstractNumId w:val="10"/>
  </w:num>
  <w:num w:numId="23" w16cid:durableId="1471283327">
    <w:abstractNumId w:val="13"/>
  </w:num>
  <w:num w:numId="24" w16cid:durableId="18315547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14F"/>
    <w:rsid w:val="00000F1F"/>
    <w:rsid w:val="00016172"/>
    <w:rsid w:val="00047CDC"/>
    <w:rsid w:val="000525CF"/>
    <w:rsid w:val="00053B68"/>
    <w:rsid w:val="000551EF"/>
    <w:rsid w:val="0007066C"/>
    <w:rsid w:val="00071E58"/>
    <w:rsid w:val="000756C1"/>
    <w:rsid w:val="000A7533"/>
    <w:rsid w:val="000B4D3C"/>
    <w:rsid w:val="000E3A83"/>
    <w:rsid w:val="000F50B2"/>
    <w:rsid w:val="000F7760"/>
    <w:rsid w:val="000F7F8B"/>
    <w:rsid w:val="00123496"/>
    <w:rsid w:val="001316C5"/>
    <w:rsid w:val="00134E74"/>
    <w:rsid w:val="00135BAD"/>
    <w:rsid w:val="00144873"/>
    <w:rsid w:val="001476E2"/>
    <w:rsid w:val="0015232D"/>
    <w:rsid w:val="00154D9E"/>
    <w:rsid w:val="001572FC"/>
    <w:rsid w:val="001961E0"/>
    <w:rsid w:val="001A0A76"/>
    <w:rsid w:val="001A0FED"/>
    <w:rsid w:val="001A51F7"/>
    <w:rsid w:val="001A61BD"/>
    <w:rsid w:val="001A778D"/>
    <w:rsid w:val="001D2C75"/>
    <w:rsid w:val="001E48F2"/>
    <w:rsid w:val="00204333"/>
    <w:rsid w:val="002172D2"/>
    <w:rsid w:val="00223AC8"/>
    <w:rsid w:val="00230F52"/>
    <w:rsid w:val="00241A29"/>
    <w:rsid w:val="00250516"/>
    <w:rsid w:val="002507C4"/>
    <w:rsid w:val="002618F8"/>
    <w:rsid w:val="00270F59"/>
    <w:rsid w:val="002A2F2B"/>
    <w:rsid w:val="002B37C9"/>
    <w:rsid w:val="002B7244"/>
    <w:rsid w:val="002C15FC"/>
    <w:rsid w:val="002C79E6"/>
    <w:rsid w:val="002F3DA8"/>
    <w:rsid w:val="0030401B"/>
    <w:rsid w:val="00311F0A"/>
    <w:rsid w:val="00316B75"/>
    <w:rsid w:val="00330491"/>
    <w:rsid w:val="00331CB6"/>
    <w:rsid w:val="00340A26"/>
    <w:rsid w:val="00346FB2"/>
    <w:rsid w:val="003703B3"/>
    <w:rsid w:val="003739CA"/>
    <w:rsid w:val="003A24C5"/>
    <w:rsid w:val="003A25D0"/>
    <w:rsid w:val="003A66C2"/>
    <w:rsid w:val="003B73B6"/>
    <w:rsid w:val="003F0EA2"/>
    <w:rsid w:val="003F506F"/>
    <w:rsid w:val="003F763E"/>
    <w:rsid w:val="00406398"/>
    <w:rsid w:val="0041031F"/>
    <w:rsid w:val="00412184"/>
    <w:rsid w:val="00431F2F"/>
    <w:rsid w:val="0044580F"/>
    <w:rsid w:val="00493782"/>
    <w:rsid w:val="00497C49"/>
    <w:rsid w:val="004C4D4D"/>
    <w:rsid w:val="004F5907"/>
    <w:rsid w:val="0050085C"/>
    <w:rsid w:val="00505957"/>
    <w:rsid w:val="00512E82"/>
    <w:rsid w:val="00524596"/>
    <w:rsid w:val="005275D0"/>
    <w:rsid w:val="00527B58"/>
    <w:rsid w:val="005407BA"/>
    <w:rsid w:val="00555C3C"/>
    <w:rsid w:val="0056022A"/>
    <w:rsid w:val="00563562"/>
    <w:rsid w:val="005707DA"/>
    <w:rsid w:val="005A2CE8"/>
    <w:rsid w:val="005A5E96"/>
    <w:rsid w:val="005A5F3B"/>
    <w:rsid w:val="005B02C5"/>
    <w:rsid w:val="005B412D"/>
    <w:rsid w:val="005C3EB6"/>
    <w:rsid w:val="005C48A5"/>
    <w:rsid w:val="005E2890"/>
    <w:rsid w:val="005E4028"/>
    <w:rsid w:val="005E5A82"/>
    <w:rsid w:val="00615A55"/>
    <w:rsid w:val="006354FC"/>
    <w:rsid w:val="00654F9E"/>
    <w:rsid w:val="00665632"/>
    <w:rsid w:val="00694053"/>
    <w:rsid w:val="006948E0"/>
    <w:rsid w:val="006A0F17"/>
    <w:rsid w:val="006B098A"/>
    <w:rsid w:val="006D0816"/>
    <w:rsid w:val="006D0B2E"/>
    <w:rsid w:val="006D25E1"/>
    <w:rsid w:val="006D2F38"/>
    <w:rsid w:val="006D46B4"/>
    <w:rsid w:val="006E648D"/>
    <w:rsid w:val="006F0483"/>
    <w:rsid w:val="006F714F"/>
    <w:rsid w:val="00726C11"/>
    <w:rsid w:val="0075050D"/>
    <w:rsid w:val="007839AA"/>
    <w:rsid w:val="007916D6"/>
    <w:rsid w:val="00792D3E"/>
    <w:rsid w:val="00794AAF"/>
    <w:rsid w:val="007A3664"/>
    <w:rsid w:val="007A3BCD"/>
    <w:rsid w:val="007A4F64"/>
    <w:rsid w:val="007D0B51"/>
    <w:rsid w:val="007D6E4C"/>
    <w:rsid w:val="007F4979"/>
    <w:rsid w:val="008001C5"/>
    <w:rsid w:val="008019C4"/>
    <w:rsid w:val="0082197C"/>
    <w:rsid w:val="008233D6"/>
    <w:rsid w:val="008425A8"/>
    <w:rsid w:val="008475BC"/>
    <w:rsid w:val="00856F29"/>
    <w:rsid w:val="00863532"/>
    <w:rsid w:val="00863E41"/>
    <w:rsid w:val="00873370"/>
    <w:rsid w:val="00886882"/>
    <w:rsid w:val="00886E35"/>
    <w:rsid w:val="008A23BD"/>
    <w:rsid w:val="008A3169"/>
    <w:rsid w:val="008C722E"/>
    <w:rsid w:val="008F2C37"/>
    <w:rsid w:val="009336CD"/>
    <w:rsid w:val="00941A41"/>
    <w:rsid w:val="009643FD"/>
    <w:rsid w:val="00973405"/>
    <w:rsid w:val="00973D8B"/>
    <w:rsid w:val="00982BC9"/>
    <w:rsid w:val="0099023E"/>
    <w:rsid w:val="0099113B"/>
    <w:rsid w:val="00995082"/>
    <w:rsid w:val="009A7514"/>
    <w:rsid w:val="009B7004"/>
    <w:rsid w:val="009C05B5"/>
    <w:rsid w:val="009C4122"/>
    <w:rsid w:val="009E3845"/>
    <w:rsid w:val="009F6CFF"/>
    <w:rsid w:val="00A0522B"/>
    <w:rsid w:val="00A11E81"/>
    <w:rsid w:val="00A1314C"/>
    <w:rsid w:val="00A2088A"/>
    <w:rsid w:val="00A35034"/>
    <w:rsid w:val="00A35809"/>
    <w:rsid w:val="00A42BCA"/>
    <w:rsid w:val="00A44BFD"/>
    <w:rsid w:val="00A55623"/>
    <w:rsid w:val="00A57987"/>
    <w:rsid w:val="00A66000"/>
    <w:rsid w:val="00A879E8"/>
    <w:rsid w:val="00AA40FD"/>
    <w:rsid w:val="00AA6CC0"/>
    <w:rsid w:val="00AC5420"/>
    <w:rsid w:val="00AD553D"/>
    <w:rsid w:val="00AE4D6D"/>
    <w:rsid w:val="00AE60C6"/>
    <w:rsid w:val="00AF0EF6"/>
    <w:rsid w:val="00B14313"/>
    <w:rsid w:val="00B27EA7"/>
    <w:rsid w:val="00B34926"/>
    <w:rsid w:val="00B37E7F"/>
    <w:rsid w:val="00B52549"/>
    <w:rsid w:val="00B53B28"/>
    <w:rsid w:val="00B84EB0"/>
    <w:rsid w:val="00B87919"/>
    <w:rsid w:val="00BA43DC"/>
    <w:rsid w:val="00BA7666"/>
    <w:rsid w:val="00BB0A9D"/>
    <w:rsid w:val="00BB10BF"/>
    <w:rsid w:val="00BB5E0A"/>
    <w:rsid w:val="00BC3D1C"/>
    <w:rsid w:val="00BC71F6"/>
    <w:rsid w:val="00BD6621"/>
    <w:rsid w:val="00BE2FBC"/>
    <w:rsid w:val="00BE3641"/>
    <w:rsid w:val="00BF1A9A"/>
    <w:rsid w:val="00BF7C85"/>
    <w:rsid w:val="00C00DBC"/>
    <w:rsid w:val="00C10A36"/>
    <w:rsid w:val="00C57246"/>
    <w:rsid w:val="00C6598A"/>
    <w:rsid w:val="00C778E6"/>
    <w:rsid w:val="00C81FE8"/>
    <w:rsid w:val="00C87F85"/>
    <w:rsid w:val="00C91705"/>
    <w:rsid w:val="00CA1F1A"/>
    <w:rsid w:val="00CA4260"/>
    <w:rsid w:val="00CB44FE"/>
    <w:rsid w:val="00CC7EBE"/>
    <w:rsid w:val="00CD26B8"/>
    <w:rsid w:val="00CD6C03"/>
    <w:rsid w:val="00CE5570"/>
    <w:rsid w:val="00CF104D"/>
    <w:rsid w:val="00D17A0E"/>
    <w:rsid w:val="00D22474"/>
    <w:rsid w:val="00D674E5"/>
    <w:rsid w:val="00D777C6"/>
    <w:rsid w:val="00D929DB"/>
    <w:rsid w:val="00DB27C9"/>
    <w:rsid w:val="00DF7BA5"/>
    <w:rsid w:val="00E00C5A"/>
    <w:rsid w:val="00E33C78"/>
    <w:rsid w:val="00E34A9C"/>
    <w:rsid w:val="00E3719B"/>
    <w:rsid w:val="00E46A2E"/>
    <w:rsid w:val="00E53590"/>
    <w:rsid w:val="00E576BC"/>
    <w:rsid w:val="00E63EAC"/>
    <w:rsid w:val="00E67125"/>
    <w:rsid w:val="00E933E7"/>
    <w:rsid w:val="00EA4843"/>
    <w:rsid w:val="00EA7693"/>
    <w:rsid w:val="00EB7AA0"/>
    <w:rsid w:val="00EF47CB"/>
    <w:rsid w:val="00F0721F"/>
    <w:rsid w:val="00F21A3E"/>
    <w:rsid w:val="00F24E9F"/>
    <w:rsid w:val="00F328E1"/>
    <w:rsid w:val="00F5226B"/>
    <w:rsid w:val="00F55DF7"/>
    <w:rsid w:val="00F5732A"/>
    <w:rsid w:val="00F71355"/>
    <w:rsid w:val="00F758F8"/>
    <w:rsid w:val="00FA5A70"/>
    <w:rsid w:val="00FC50EA"/>
    <w:rsid w:val="00FC5A1C"/>
    <w:rsid w:val="00FD298C"/>
    <w:rsid w:val="00FD339F"/>
    <w:rsid w:val="00FD750B"/>
    <w:rsid w:val="00FE21F8"/>
    <w:rsid w:val="00FE3693"/>
    <w:rsid w:val="00FF4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D3281"/>
  <w15:chartTrackingRefBased/>
  <w15:docId w15:val="{A988D71D-31E2-446B-BE2E-DF13CEC07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4"/>
        <w:szCs w:val="24"/>
        <w:lang w:val="en-US" w:eastAsia="en-US" w:bidi="ar-SA"/>
      </w:rPr>
    </w:rPrDefault>
    <w:pPrDefault/>
  </w:docDefaults>
  <w:latentStyles w:defLockedState="0" w:defUIPriority="99" w:defSemiHidden="0" w:defUnhideWhenUsed="0" w:defQFormat="0" w:count="376">
    <w:lsdException w:name="heading 1" w:uiPriority="3"/>
    <w:lsdException w:name="heading 2" w:semiHidden="1" w:uiPriority="4" w:unhideWhenUsed="1"/>
    <w:lsdException w:name="heading 3" w:semiHidden="1" w:uiPriority="5" w:unhideWhenUsed="1"/>
    <w:lsdException w:name="heading 4" w:semiHidden="1" w:uiPriority="4"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qFormat="1"/>
    <w:lsdException w:name="List Number" w:uiPriority="7" w:qFormat="1"/>
    <w:lsdException w:name="List 2" w:semiHidden="1" w:unhideWhenUsed="1"/>
    <w:lsdException w:name="List 3" w:semiHidden="1" w:unhideWhenUsed="1"/>
    <w:lsdException w:name="List 4" w:semiHidden="1" w:unhideWhenUsed="1"/>
    <w:lsdException w:name="List 5" w:semiHidden="1" w:unhideWhenUsed="1"/>
    <w:lsdException w:name="List Bullet 2" w:uiPriority="15"/>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uiPriority="15"/>
    <w:lsdException w:name="Default Paragraph Font" w:semiHidden="1" w:uiPriority="1" w:unhideWhenUsed="1"/>
    <w:lsdException w:name="Body Text" w:semiHidden="1" w:uiPriority="0" w:unhideWhenUsed="1" w:qFormat="1"/>
    <w:lsdException w:name="Body Text Indent" w:semiHidden="1" w:uiPriority="1" w:unhideWhenUsed="1" w:qFormat="1"/>
    <w:lsdException w:name="List Continue" w:uiPriority="14"/>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lsdException w:name="Salutation" w:semiHidden="1" w:unhideWhenUsed="1"/>
    <w:lsdException w:name="Date" w:semiHidden="1" w:unhideWhenUsed="1"/>
    <w:lsdException w:name="Body Text First Indent" w:semiHidden="1" w:uiPriority="2" w:unhideWhenUsed="1" w:qFormat="1"/>
    <w:lsdException w:name="Body Text First Indent 2" w:semiHidden="1" w:uiPriority="12" w:unhideWhenUsed="1"/>
    <w:lsdException w:name="Note Heading" w:semiHidden="1" w:unhideWhenUsed="1"/>
    <w:lsdException w:name="Body Text 2" w:semiHidden="1" w:uiPriority="11" w:unhideWhenUsed="1"/>
    <w:lsdException w:name="Body Text 3" w:semiHidden="1" w:unhideWhenUsed="1"/>
    <w:lsdException w:name="Body Text Indent 2" w:semiHidden="1" w:uiPriority="13"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E33C78"/>
  </w:style>
  <w:style w:type="paragraph" w:styleId="Heading1">
    <w:name w:val="heading 1"/>
    <w:basedOn w:val="Normal"/>
    <w:next w:val="BodyText"/>
    <w:link w:val="Heading1Char"/>
    <w:uiPriority w:val="3"/>
    <w:rsid w:val="003703B3"/>
    <w:pPr>
      <w:keepNext/>
      <w:keepLines/>
      <w:outlineLvl w:val="0"/>
    </w:pPr>
    <w:rPr>
      <w:rFonts w:asciiTheme="majorHAnsi" w:eastAsiaTheme="majorEastAsia" w:hAnsiTheme="majorHAnsi" w:cstheme="majorBidi"/>
      <w:b/>
      <w:bCs/>
      <w:sz w:val="32"/>
      <w:szCs w:val="28"/>
    </w:rPr>
  </w:style>
  <w:style w:type="paragraph" w:styleId="Heading2">
    <w:name w:val="heading 2"/>
    <w:basedOn w:val="Normal"/>
    <w:next w:val="BodyText"/>
    <w:link w:val="Heading2Char"/>
    <w:uiPriority w:val="4"/>
    <w:rsid w:val="003703B3"/>
    <w:pPr>
      <w:outlineLvl w:val="1"/>
    </w:pPr>
    <w:rPr>
      <w:rFonts w:asciiTheme="majorHAnsi" w:eastAsiaTheme="majorEastAsia" w:hAnsiTheme="majorHAnsi" w:cstheme="majorBidi"/>
      <w:b/>
      <w:bCs/>
      <w:sz w:val="28"/>
      <w:szCs w:val="26"/>
      <w:u w:val="single"/>
    </w:rPr>
  </w:style>
  <w:style w:type="paragraph" w:styleId="Heading3">
    <w:name w:val="heading 3"/>
    <w:basedOn w:val="Normal"/>
    <w:next w:val="BodyText"/>
    <w:link w:val="Heading3Char"/>
    <w:uiPriority w:val="5"/>
    <w:rsid w:val="003703B3"/>
    <w:pPr>
      <w:outlineLvl w:val="2"/>
    </w:pPr>
    <w:rPr>
      <w:rFonts w:asciiTheme="majorHAnsi" w:eastAsiaTheme="majorEastAsia" w:hAnsiTheme="majorHAnsi" w:cstheme="majorBidi"/>
      <w:b/>
      <w:bCs/>
      <w:sz w:val="28"/>
    </w:rPr>
  </w:style>
  <w:style w:type="paragraph" w:styleId="Heading4">
    <w:name w:val="heading 4"/>
    <w:basedOn w:val="Normal"/>
    <w:next w:val="BodyText"/>
    <w:link w:val="Heading4Char"/>
    <w:uiPriority w:val="4"/>
    <w:rsid w:val="003703B3"/>
    <w:pPr>
      <w:outlineLvl w:val="3"/>
    </w:pPr>
    <w:rPr>
      <w:rFonts w:asciiTheme="majorHAnsi" w:eastAsiaTheme="majorEastAsia" w:hAnsiTheme="majorHAnsi" w:cstheme="majorBidi"/>
      <w:bCs/>
      <w:i/>
      <w:iCs/>
      <w:sz w:val="26"/>
    </w:rPr>
  </w:style>
  <w:style w:type="paragraph" w:styleId="Heading5">
    <w:name w:val="heading 5"/>
    <w:basedOn w:val="Normal"/>
    <w:next w:val="BodyText"/>
    <w:link w:val="Heading5Char"/>
    <w:uiPriority w:val="9"/>
    <w:semiHidden/>
    <w:unhideWhenUsed/>
    <w:rsid w:val="00B14313"/>
    <w:pPr>
      <w:outlineLvl w:val="4"/>
    </w:pPr>
    <w:rPr>
      <w:rFonts w:asciiTheme="majorHAnsi" w:eastAsiaTheme="majorEastAsia" w:hAnsiTheme="majorHAnsi" w:cstheme="majorBidi"/>
    </w:rPr>
  </w:style>
  <w:style w:type="paragraph" w:styleId="Heading6">
    <w:name w:val="heading 6"/>
    <w:basedOn w:val="Normal"/>
    <w:next w:val="BodyText"/>
    <w:link w:val="Heading6Char"/>
    <w:uiPriority w:val="9"/>
    <w:semiHidden/>
    <w:unhideWhenUsed/>
    <w:qFormat/>
    <w:rsid w:val="00B14313"/>
    <w:pPr>
      <w:outlineLvl w:val="5"/>
    </w:pPr>
    <w:rPr>
      <w:rFonts w:asciiTheme="majorHAnsi" w:eastAsiaTheme="majorEastAsia" w:hAnsiTheme="majorHAnsi" w:cstheme="majorBidi"/>
      <w:i/>
      <w:iCs/>
    </w:rPr>
  </w:style>
  <w:style w:type="paragraph" w:styleId="Heading7">
    <w:name w:val="heading 7"/>
    <w:basedOn w:val="Normal"/>
    <w:next w:val="BodyText"/>
    <w:link w:val="Heading7Char"/>
    <w:uiPriority w:val="9"/>
    <w:semiHidden/>
    <w:unhideWhenUsed/>
    <w:qFormat/>
    <w:rsid w:val="00B14313"/>
    <w:pPr>
      <w:outlineLvl w:val="6"/>
    </w:pPr>
    <w:rPr>
      <w:rFonts w:asciiTheme="majorHAnsi" w:eastAsiaTheme="majorEastAsia" w:hAnsiTheme="majorHAnsi" w:cstheme="majorBidi"/>
      <w:i/>
      <w:iCs/>
      <w:smallCaps/>
    </w:rPr>
  </w:style>
  <w:style w:type="paragraph" w:styleId="Heading8">
    <w:name w:val="heading 8"/>
    <w:basedOn w:val="Normal"/>
    <w:next w:val="BodyText"/>
    <w:link w:val="Heading8Char"/>
    <w:uiPriority w:val="9"/>
    <w:semiHidden/>
    <w:unhideWhenUsed/>
    <w:qFormat/>
    <w:rsid w:val="00B14313"/>
    <w:pPr>
      <w:outlineLvl w:val="7"/>
    </w:pPr>
    <w:rPr>
      <w:rFonts w:asciiTheme="majorHAnsi" w:eastAsiaTheme="majorEastAsia" w:hAnsiTheme="majorHAnsi" w:cstheme="majorBidi"/>
      <w:i/>
      <w:szCs w:val="20"/>
    </w:rPr>
  </w:style>
  <w:style w:type="paragraph" w:styleId="Heading9">
    <w:name w:val="heading 9"/>
    <w:basedOn w:val="Normal"/>
    <w:next w:val="BodyText"/>
    <w:link w:val="Heading9Char"/>
    <w:uiPriority w:val="9"/>
    <w:semiHidden/>
    <w:unhideWhenUsed/>
    <w:qFormat/>
    <w:rsid w:val="00B14313"/>
    <w:pPr>
      <w:outlineLvl w:val="8"/>
    </w:pPr>
    <w:rPr>
      <w:rFonts w:asciiTheme="majorHAnsi" w:eastAsiaTheme="majorEastAsia" w:hAnsiTheme="majorHAnsi" w:cstheme="majorBidi"/>
      <w:i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semiHidden/>
    <w:unhideWhenUsed/>
    <w:rsid w:val="00B14313"/>
    <w:pPr>
      <w:spacing w:after="240"/>
      <w:ind w:left="720" w:right="720"/>
      <w:jc w:val="both"/>
    </w:pPr>
    <w:rPr>
      <w:rFonts w:eastAsiaTheme="minorEastAsia"/>
      <w:iCs/>
    </w:rPr>
  </w:style>
  <w:style w:type="paragraph" w:styleId="BodyText">
    <w:name w:val="Body Text"/>
    <w:basedOn w:val="Normal"/>
    <w:link w:val="BodyTextChar"/>
    <w:qFormat/>
    <w:rsid w:val="003703B3"/>
    <w:pPr>
      <w:spacing w:after="240"/>
      <w:jc w:val="both"/>
    </w:pPr>
  </w:style>
  <w:style w:type="character" w:customStyle="1" w:styleId="BodyTextChar">
    <w:name w:val="Body Text Char"/>
    <w:basedOn w:val="DefaultParagraphFont"/>
    <w:link w:val="BodyText"/>
    <w:rsid w:val="003703B3"/>
  </w:style>
  <w:style w:type="paragraph" w:styleId="BodyText2">
    <w:name w:val="Body Text 2"/>
    <w:basedOn w:val="BodyText"/>
    <w:link w:val="BodyText2Char"/>
    <w:uiPriority w:val="11"/>
    <w:rsid w:val="003703B3"/>
    <w:pPr>
      <w:spacing w:after="0" w:line="480" w:lineRule="auto"/>
    </w:pPr>
  </w:style>
  <w:style w:type="character" w:customStyle="1" w:styleId="BodyText2Char">
    <w:name w:val="Body Text 2 Char"/>
    <w:basedOn w:val="DefaultParagraphFont"/>
    <w:link w:val="BodyText2"/>
    <w:uiPriority w:val="11"/>
    <w:rsid w:val="003703B3"/>
  </w:style>
  <w:style w:type="paragraph" w:styleId="BodyText3">
    <w:name w:val="Body Text 3"/>
    <w:basedOn w:val="BodyText"/>
    <w:link w:val="BodyText3Char"/>
    <w:uiPriority w:val="99"/>
    <w:semiHidden/>
    <w:unhideWhenUsed/>
    <w:rsid w:val="00B14313"/>
    <w:pPr>
      <w:spacing w:after="120"/>
    </w:pPr>
    <w:rPr>
      <w:sz w:val="16"/>
      <w:szCs w:val="16"/>
    </w:rPr>
  </w:style>
  <w:style w:type="character" w:customStyle="1" w:styleId="BodyText3Char">
    <w:name w:val="Body Text 3 Char"/>
    <w:basedOn w:val="DefaultParagraphFont"/>
    <w:link w:val="BodyText3"/>
    <w:uiPriority w:val="99"/>
    <w:semiHidden/>
    <w:rsid w:val="00B14313"/>
    <w:rPr>
      <w:sz w:val="16"/>
      <w:szCs w:val="16"/>
    </w:rPr>
  </w:style>
  <w:style w:type="paragraph" w:styleId="BodyTextFirstIndent">
    <w:name w:val="Body Text First Indent"/>
    <w:basedOn w:val="BodyText"/>
    <w:link w:val="BodyTextFirstIndentChar"/>
    <w:uiPriority w:val="2"/>
    <w:qFormat/>
    <w:rsid w:val="003703B3"/>
    <w:pPr>
      <w:ind w:firstLine="720"/>
    </w:pPr>
  </w:style>
  <w:style w:type="character" w:customStyle="1" w:styleId="BodyTextFirstIndentChar">
    <w:name w:val="Body Text First Indent Char"/>
    <w:basedOn w:val="BodyTextChar"/>
    <w:link w:val="BodyTextFirstIndent"/>
    <w:uiPriority w:val="2"/>
    <w:rsid w:val="003703B3"/>
  </w:style>
  <w:style w:type="paragraph" w:styleId="BodyTextIndent">
    <w:name w:val="Body Text Indent"/>
    <w:basedOn w:val="BodyText"/>
    <w:link w:val="BodyTextIndentChar"/>
    <w:uiPriority w:val="1"/>
    <w:qFormat/>
    <w:rsid w:val="003703B3"/>
    <w:pPr>
      <w:ind w:left="720"/>
    </w:pPr>
  </w:style>
  <w:style w:type="character" w:customStyle="1" w:styleId="BodyTextIndentChar">
    <w:name w:val="Body Text Indent Char"/>
    <w:basedOn w:val="DefaultParagraphFont"/>
    <w:link w:val="BodyTextIndent"/>
    <w:uiPriority w:val="1"/>
    <w:rsid w:val="003703B3"/>
  </w:style>
  <w:style w:type="paragraph" w:styleId="BodyTextFirstIndent2">
    <w:name w:val="Body Text First Indent 2"/>
    <w:basedOn w:val="BodyText"/>
    <w:link w:val="BodyTextFirstIndent2Char"/>
    <w:uiPriority w:val="12"/>
    <w:rsid w:val="003703B3"/>
    <w:pPr>
      <w:spacing w:after="0" w:line="480" w:lineRule="auto"/>
      <w:ind w:firstLine="720"/>
    </w:pPr>
  </w:style>
  <w:style w:type="character" w:customStyle="1" w:styleId="BodyTextFirstIndent2Char">
    <w:name w:val="Body Text First Indent 2 Char"/>
    <w:basedOn w:val="BodyTextIndentChar"/>
    <w:link w:val="BodyTextFirstIndent2"/>
    <w:uiPriority w:val="12"/>
    <w:rsid w:val="003703B3"/>
  </w:style>
  <w:style w:type="paragraph" w:styleId="BodyTextIndent2">
    <w:name w:val="Body Text Indent 2"/>
    <w:basedOn w:val="BodyText"/>
    <w:link w:val="BodyTextIndent2Char"/>
    <w:uiPriority w:val="13"/>
    <w:rsid w:val="003703B3"/>
    <w:pPr>
      <w:spacing w:after="0" w:line="480" w:lineRule="auto"/>
      <w:ind w:left="720"/>
    </w:pPr>
  </w:style>
  <w:style w:type="character" w:customStyle="1" w:styleId="BodyTextIndent2Char">
    <w:name w:val="Body Text Indent 2 Char"/>
    <w:basedOn w:val="DefaultParagraphFont"/>
    <w:link w:val="BodyTextIndent2"/>
    <w:uiPriority w:val="13"/>
    <w:rsid w:val="003703B3"/>
  </w:style>
  <w:style w:type="paragraph" w:styleId="BodyTextIndent3">
    <w:name w:val="Body Text Indent 3"/>
    <w:basedOn w:val="BodyText"/>
    <w:link w:val="BodyTextIndent3Char"/>
    <w:uiPriority w:val="99"/>
    <w:semiHidden/>
    <w:unhideWhenUsed/>
    <w:rsid w:val="00B14313"/>
    <w:pPr>
      <w:spacing w:after="120"/>
      <w:ind w:left="720"/>
    </w:pPr>
    <w:rPr>
      <w:sz w:val="16"/>
      <w:szCs w:val="16"/>
    </w:rPr>
  </w:style>
  <w:style w:type="character" w:customStyle="1" w:styleId="BodyTextIndent3Char">
    <w:name w:val="Body Text Indent 3 Char"/>
    <w:basedOn w:val="DefaultParagraphFont"/>
    <w:link w:val="BodyTextIndent3"/>
    <w:uiPriority w:val="99"/>
    <w:semiHidden/>
    <w:rsid w:val="00B14313"/>
    <w:rPr>
      <w:sz w:val="16"/>
      <w:szCs w:val="16"/>
    </w:rPr>
  </w:style>
  <w:style w:type="paragraph" w:styleId="Caption">
    <w:name w:val="caption"/>
    <w:basedOn w:val="Normal"/>
    <w:next w:val="Normal"/>
    <w:uiPriority w:val="35"/>
    <w:semiHidden/>
    <w:unhideWhenUsed/>
    <w:qFormat/>
    <w:rsid w:val="00B14313"/>
    <w:pPr>
      <w:spacing w:after="200"/>
    </w:pPr>
    <w:rPr>
      <w:b/>
      <w:bCs/>
      <w:sz w:val="18"/>
      <w:szCs w:val="18"/>
    </w:rPr>
  </w:style>
  <w:style w:type="character" w:customStyle="1" w:styleId="Heading1Char">
    <w:name w:val="Heading 1 Char"/>
    <w:basedOn w:val="DefaultParagraphFont"/>
    <w:link w:val="Heading1"/>
    <w:uiPriority w:val="3"/>
    <w:rsid w:val="003703B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4"/>
    <w:rsid w:val="003703B3"/>
    <w:rPr>
      <w:rFonts w:asciiTheme="majorHAnsi" w:eastAsiaTheme="majorEastAsia" w:hAnsiTheme="majorHAnsi" w:cstheme="majorBidi"/>
      <w:b/>
      <w:bCs/>
      <w:sz w:val="28"/>
      <w:szCs w:val="26"/>
      <w:u w:val="single"/>
    </w:rPr>
  </w:style>
  <w:style w:type="character" w:customStyle="1" w:styleId="Heading3Char">
    <w:name w:val="Heading 3 Char"/>
    <w:basedOn w:val="DefaultParagraphFont"/>
    <w:link w:val="Heading3"/>
    <w:uiPriority w:val="5"/>
    <w:rsid w:val="003703B3"/>
    <w:rPr>
      <w:rFonts w:asciiTheme="majorHAnsi" w:eastAsiaTheme="majorEastAsia" w:hAnsiTheme="majorHAnsi" w:cstheme="majorBidi"/>
      <w:b/>
      <w:bCs/>
      <w:sz w:val="28"/>
    </w:rPr>
  </w:style>
  <w:style w:type="character" w:customStyle="1" w:styleId="Heading4Char">
    <w:name w:val="Heading 4 Char"/>
    <w:basedOn w:val="DefaultParagraphFont"/>
    <w:link w:val="Heading4"/>
    <w:uiPriority w:val="4"/>
    <w:rsid w:val="003703B3"/>
    <w:rPr>
      <w:rFonts w:asciiTheme="majorHAnsi" w:eastAsiaTheme="majorEastAsia" w:hAnsiTheme="majorHAnsi" w:cstheme="majorBidi"/>
      <w:bCs/>
      <w:i/>
      <w:iCs/>
      <w:sz w:val="26"/>
    </w:rPr>
  </w:style>
  <w:style w:type="character" w:customStyle="1" w:styleId="Heading5Char">
    <w:name w:val="Heading 5 Char"/>
    <w:basedOn w:val="DefaultParagraphFont"/>
    <w:link w:val="Heading5"/>
    <w:uiPriority w:val="9"/>
    <w:semiHidden/>
    <w:rsid w:val="00B14313"/>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B14313"/>
    <w:rPr>
      <w:rFonts w:asciiTheme="majorHAnsi" w:eastAsiaTheme="majorEastAsia" w:hAnsiTheme="majorHAnsi" w:cstheme="majorBidi"/>
      <w:i/>
      <w:iCs/>
    </w:rPr>
  </w:style>
  <w:style w:type="character" w:customStyle="1" w:styleId="Heading7Char">
    <w:name w:val="Heading 7 Char"/>
    <w:basedOn w:val="DefaultParagraphFont"/>
    <w:link w:val="Heading7"/>
    <w:uiPriority w:val="9"/>
    <w:semiHidden/>
    <w:rsid w:val="00B14313"/>
    <w:rPr>
      <w:rFonts w:asciiTheme="majorHAnsi" w:eastAsiaTheme="majorEastAsia" w:hAnsiTheme="majorHAnsi" w:cstheme="majorBidi"/>
      <w:i/>
      <w:iCs/>
      <w:smallCaps/>
    </w:rPr>
  </w:style>
  <w:style w:type="character" w:customStyle="1" w:styleId="Heading8Char">
    <w:name w:val="Heading 8 Char"/>
    <w:basedOn w:val="DefaultParagraphFont"/>
    <w:link w:val="Heading8"/>
    <w:uiPriority w:val="9"/>
    <w:semiHidden/>
    <w:rsid w:val="00B14313"/>
    <w:rPr>
      <w:rFonts w:asciiTheme="majorHAnsi" w:eastAsiaTheme="majorEastAsia" w:hAnsiTheme="majorHAnsi" w:cstheme="majorBidi"/>
      <w:i/>
      <w:szCs w:val="20"/>
    </w:rPr>
  </w:style>
  <w:style w:type="character" w:customStyle="1" w:styleId="Heading9Char">
    <w:name w:val="Heading 9 Char"/>
    <w:basedOn w:val="DefaultParagraphFont"/>
    <w:link w:val="Heading9"/>
    <w:uiPriority w:val="9"/>
    <w:semiHidden/>
    <w:rsid w:val="00B14313"/>
    <w:rPr>
      <w:rFonts w:asciiTheme="majorHAnsi" w:eastAsiaTheme="majorEastAsia" w:hAnsiTheme="majorHAnsi" w:cstheme="majorBidi"/>
      <w:iCs/>
      <w:szCs w:val="20"/>
      <w:u w:val="single"/>
    </w:rPr>
  </w:style>
  <w:style w:type="character" w:styleId="IntenseEmphasis">
    <w:name w:val="Intense Emphasis"/>
    <w:basedOn w:val="DefaultParagraphFont"/>
    <w:uiPriority w:val="21"/>
    <w:semiHidden/>
    <w:unhideWhenUsed/>
    <w:rsid w:val="00B14313"/>
    <w:rPr>
      <w:b/>
      <w:bCs/>
      <w:i/>
      <w:iCs/>
      <w:color w:val="auto"/>
    </w:rPr>
  </w:style>
  <w:style w:type="paragraph" w:styleId="IntenseQuote">
    <w:name w:val="Intense Quote"/>
    <w:basedOn w:val="Normal"/>
    <w:next w:val="Normal"/>
    <w:link w:val="IntenseQuoteChar"/>
    <w:uiPriority w:val="30"/>
    <w:semiHidden/>
    <w:unhideWhenUsed/>
    <w:rsid w:val="00B14313"/>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semiHidden/>
    <w:rsid w:val="00B14313"/>
    <w:rPr>
      <w:b/>
      <w:bCs/>
      <w:i/>
      <w:iCs/>
    </w:rPr>
  </w:style>
  <w:style w:type="character" w:styleId="IntenseReference">
    <w:name w:val="Intense Reference"/>
    <w:basedOn w:val="DefaultParagraphFont"/>
    <w:uiPriority w:val="32"/>
    <w:semiHidden/>
    <w:unhideWhenUsed/>
    <w:rsid w:val="00B14313"/>
    <w:rPr>
      <w:b/>
      <w:bCs/>
      <w:smallCaps/>
      <w:color w:val="auto"/>
      <w:spacing w:val="5"/>
      <w:u w:val="single"/>
    </w:rPr>
  </w:style>
  <w:style w:type="paragraph" w:styleId="Quote">
    <w:name w:val="Quote"/>
    <w:basedOn w:val="Normal"/>
    <w:next w:val="BodyText"/>
    <w:link w:val="QuoteChar"/>
    <w:uiPriority w:val="29"/>
    <w:semiHidden/>
    <w:unhideWhenUsed/>
    <w:rsid w:val="00B14313"/>
    <w:rPr>
      <w:i/>
      <w:iCs/>
      <w:color w:val="000000" w:themeColor="text1"/>
    </w:rPr>
  </w:style>
  <w:style w:type="character" w:customStyle="1" w:styleId="QuoteChar">
    <w:name w:val="Quote Char"/>
    <w:basedOn w:val="DefaultParagraphFont"/>
    <w:link w:val="Quote"/>
    <w:uiPriority w:val="29"/>
    <w:semiHidden/>
    <w:rsid w:val="00B14313"/>
    <w:rPr>
      <w:i/>
      <w:iCs/>
      <w:color w:val="000000" w:themeColor="text1"/>
    </w:rPr>
  </w:style>
  <w:style w:type="paragraph" w:styleId="Salutation">
    <w:name w:val="Salutation"/>
    <w:basedOn w:val="Normal"/>
    <w:next w:val="BodyText"/>
    <w:link w:val="SalutationChar"/>
    <w:uiPriority w:val="99"/>
    <w:semiHidden/>
    <w:unhideWhenUsed/>
    <w:rsid w:val="00B14313"/>
  </w:style>
  <w:style w:type="character" w:customStyle="1" w:styleId="SalutationChar">
    <w:name w:val="Salutation Char"/>
    <w:basedOn w:val="DefaultParagraphFont"/>
    <w:link w:val="Salutation"/>
    <w:uiPriority w:val="99"/>
    <w:semiHidden/>
    <w:rsid w:val="00B14313"/>
  </w:style>
  <w:style w:type="paragraph" w:styleId="Subtitle">
    <w:name w:val="Subtitle"/>
    <w:basedOn w:val="Title"/>
    <w:next w:val="BodyText"/>
    <w:link w:val="SubtitleChar"/>
    <w:uiPriority w:val="9"/>
    <w:rsid w:val="003703B3"/>
    <w:pPr>
      <w:numPr>
        <w:ilvl w:val="1"/>
      </w:numPr>
    </w:pPr>
    <w:rPr>
      <w:b w:val="0"/>
      <w:iCs/>
      <w:szCs w:val="24"/>
    </w:rPr>
  </w:style>
  <w:style w:type="character" w:customStyle="1" w:styleId="SubtitleChar">
    <w:name w:val="Subtitle Char"/>
    <w:basedOn w:val="DefaultParagraphFont"/>
    <w:link w:val="Subtitle"/>
    <w:uiPriority w:val="9"/>
    <w:rsid w:val="003703B3"/>
    <w:rPr>
      <w:rFonts w:asciiTheme="majorHAnsi" w:eastAsiaTheme="majorEastAsia" w:hAnsiTheme="majorHAnsi" w:cstheme="majorBidi"/>
      <w:iCs/>
    </w:rPr>
  </w:style>
  <w:style w:type="character" w:styleId="SubtleReference">
    <w:name w:val="Subtle Reference"/>
    <w:basedOn w:val="DefaultParagraphFont"/>
    <w:uiPriority w:val="31"/>
    <w:semiHidden/>
    <w:unhideWhenUsed/>
    <w:rsid w:val="00B14313"/>
    <w:rPr>
      <w:smallCaps/>
      <w:color w:val="auto"/>
      <w:u w:val="single"/>
    </w:rPr>
  </w:style>
  <w:style w:type="paragraph" w:styleId="Title">
    <w:name w:val="Title"/>
    <w:basedOn w:val="BodyText"/>
    <w:next w:val="BodyText"/>
    <w:link w:val="TitleChar"/>
    <w:uiPriority w:val="8"/>
    <w:qFormat/>
    <w:rsid w:val="003703B3"/>
    <w:pPr>
      <w:jc w:val="center"/>
    </w:pPr>
    <w:rPr>
      <w:rFonts w:asciiTheme="majorHAnsi" w:eastAsiaTheme="majorEastAsia" w:hAnsiTheme="majorHAnsi" w:cstheme="majorBidi"/>
      <w:b/>
      <w:szCs w:val="52"/>
    </w:rPr>
  </w:style>
  <w:style w:type="character" w:customStyle="1" w:styleId="TitleChar">
    <w:name w:val="Title Char"/>
    <w:basedOn w:val="DefaultParagraphFont"/>
    <w:link w:val="Title"/>
    <w:uiPriority w:val="8"/>
    <w:rsid w:val="003703B3"/>
    <w:rPr>
      <w:rFonts w:asciiTheme="majorHAnsi" w:eastAsiaTheme="majorEastAsia" w:hAnsiTheme="majorHAnsi" w:cstheme="majorBidi"/>
      <w:b/>
      <w:szCs w:val="52"/>
    </w:rPr>
  </w:style>
  <w:style w:type="paragraph" w:styleId="TOCHeading">
    <w:name w:val="TOC Heading"/>
    <w:basedOn w:val="Heading1"/>
    <w:next w:val="Normal"/>
    <w:uiPriority w:val="39"/>
    <w:semiHidden/>
    <w:unhideWhenUsed/>
    <w:rsid w:val="00B14313"/>
    <w:pPr>
      <w:outlineLvl w:val="9"/>
    </w:pPr>
    <w:rPr>
      <w:sz w:val="28"/>
    </w:rPr>
  </w:style>
  <w:style w:type="character" w:styleId="Emphasis">
    <w:name w:val="Emphasis"/>
    <w:basedOn w:val="DefaultParagraphFont"/>
    <w:uiPriority w:val="99"/>
    <w:unhideWhenUsed/>
    <w:qFormat/>
    <w:rsid w:val="003703B3"/>
    <w:rPr>
      <w:i/>
      <w:iCs/>
    </w:rPr>
  </w:style>
  <w:style w:type="paragraph" w:styleId="ListBullet">
    <w:name w:val="List Bullet"/>
    <w:basedOn w:val="Normal"/>
    <w:uiPriority w:val="6"/>
    <w:qFormat/>
    <w:rsid w:val="003703B3"/>
    <w:pPr>
      <w:numPr>
        <w:numId w:val="17"/>
      </w:numPr>
      <w:contextualSpacing/>
    </w:pPr>
  </w:style>
  <w:style w:type="paragraph" w:styleId="ListNumber">
    <w:name w:val="List Number"/>
    <w:basedOn w:val="Normal"/>
    <w:uiPriority w:val="7"/>
    <w:qFormat/>
    <w:rsid w:val="003703B3"/>
    <w:pPr>
      <w:numPr>
        <w:numId w:val="18"/>
      </w:numPr>
      <w:contextualSpacing/>
    </w:pPr>
  </w:style>
  <w:style w:type="character" w:styleId="Strong">
    <w:name w:val="Strong"/>
    <w:basedOn w:val="DefaultParagraphFont"/>
    <w:uiPriority w:val="99"/>
    <w:unhideWhenUsed/>
    <w:qFormat/>
    <w:rsid w:val="003703B3"/>
    <w:rPr>
      <w:b/>
      <w:bCs/>
    </w:rPr>
  </w:style>
  <w:style w:type="character" w:styleId="LineNumber">
    <w:name w:val="line number"/>
    <w:basedOn w:val="DefaultParagraphFont"/>
    <w:uiPriority w:val="99"/>
    <w:semiHidden/>
    <w:unhideWhenUsed/>
    <w:rsid w:val="00B14313"/>
  </w:style>
  <w:style w:type="character" w:styleId="SubtleEmphasis">
    <w:name w:val="Subtle Emphasis"/>
    <w:basedOn w:val="DefaultParagraphFont"/>
    <w:uiPriority w:val="19"/>
    <w:semiHidden/>
    <w:unhideWhenUsed/>
    <w:rsid w:val="00B14313"/>
    <w:rPr>
      <w:i/>
      <w:iCs/>
      <w:color w:val="808080" w:themeColor="text1" w:themeTint="7F"/>
    </w:rPr>
  </w:style>
  <w:style w:type="paragraph" w:customStyle="1" w:styleId="BlockQuote">
    <w:name w:val="Block Quote"/>
    <w:basedOn w:val="BodyText"/>
    <w:uiPriority w:val="10"/>
    <w:rsid w:val="003703B3"/>
    <w:pPr>
      <w:ind w:left="720" w:right="720"/>
    </w:pPr>
  </w:style>
  <w:style w:type="paragraph" w:styleId="NoSpacing">
    <w:name w:val="No Spacing"/>
    <w:uiPriority w:val="99"/>
    <w:qFormat/>
    <w:rsid w:val="003703B3"/>
  </w:style>
  <w:style w:type="paragraph" w:styleId="ListParagraph">
    <w:name w:val="List Paragraph"/>
    <w:basedOn w:val="Normal"/>
    <w:uiPriority w:val="34"/>
    <w:qFormat/>
    <w:rsid w:val="006F714F"/>
    <w:pPr>
      <w:spacing w:after="160" w:line="259" w:lineRule="auto"/>
      <w:ind w:left="720"/>
      <w:contextualSpacing/>
    </w:pPr>
    <w:rPr>
      <w:rFonts w:cstheme="minorBidi"/>
      <w:sz w:val="22"/>
      <w:szCs w:val="22"/>
    </w:rPr>
  </w:style>
  <w:style w:type="paragraph" w:styleId="FootnoteText">
    <w:name w:val="footnote text"/>
    <w:basedOn w:val="Normal"/>
    <w:link w:val="FootnoteTextChar"/>
    <w:uiPriority w:val="99"/>
    <w:semiHidden/>
    <w:unhideWhenUsed/>
    <w:rsid w:val="006F714F"/>
    <w:rPr>
      <w:rFonts w:cstheme="minorBidi"/>
      <w:sz w:val="20"/>
      <w:szCs w:val="20"/>
    </w:rPr>
  </w:style>
  <w:style w:type="character" w:customStyle="1" w:styleId="FootnoteTextChar">
    <w:name w:val="Footnote Text Char"/>
    <w:basedOn w:val="DefaultParagraphFont"/>
    <w:link w:val="FootnoteText"/>
    <w:uiPriority w:val="99"/>
    <w:semiHidden/>
    <w:rsid w:val="006F714F"/>
    <w:rPr>
      <w:rFonts w:cstheme="minorBidi"/>
      <w:sz w:val="20"/>
      <w:szCs w:val="20"/>
    </w:rPr>
  </w:style>
  <w:style w:type="character" w:styleId="FootnoteReference">
    <w:name w:val="footnote reference"/>
    <w:basedOn w:val="DefaultParagraphFont"/>
    <w:uiPriority w:val="99"/>
    <w:semiHidden/>
    <w:unhideWhenUsed/>
    <w:rsid w:val="006F714F"/>
    <w:rPr>
      <w:vertAlign w:val="superscript"/>
    </w:rPr>
  </w:style>
  <w:style w:type="paragraph" w:customStyle="1" w:styleId="DocID">
    <w:name w:val="DocID"/>
    <w:basedOn w:val="Footer"/>
    <w:next w:val="Footer"/>
    <w:link w:val="DocIDChar"/>
    <w:rsid w:val="00CE5570"/>
    <w:pPr>
      <w:tabs>
        <w:tab w:val="clear" w:pos="4680"/>
        <w:tab w:val="clear" w:pos="9360"/>
      </w:tabs>
    </w:pPr>
    <w:rPr>
      <w:rFonts w:ascii="Times New Roman" w:eastAsia="Times New Roman" w:hAnsi="Times New Roman"/>
      <w:sz w:val="16"/>
      <w:szCs w:val="20"/>
    </w:rPr>
  </w:style>
  <w:style w:type="character" w:customStyle="1" w:styleId="DocIDChar">
    <w:name w:val="DocID Char"/>
    <w:basedOn w:val="DefaultParagraphFont"/>
    <w:link w:val="DocID"/>
    <w:rsid w:val="00CE5570"/>
    <w:rPr>
      <w:rFonts w:ascii="Times New Roman" w:eastAsia="Times New Roman" w:hAnsi="Times New Roman"/>
      <w:sz w:val="16"/>
      <w:szCs w:val="20"/>
      <w:lang w:val="en-US" w:eastAsia="en-US"/>
    </w:rPr>
  </w:style>
  <w:style w:type="paragraph" w:styleId="Footer">
    <w:name w:val="footer"/>
    <w:basedOn w:val="Normal"/>
    <w:link w:val="FooterChar"/>
    <w:uiPriority w:val="99"/>
    <w:unhideWhenUsed/>
    <w:rsid w:val="00CE5570"/>
    <w:pPr>
      <w:tabs>
        <w:tab w:val="center" w:pos="4680"/>
        <w:tab w:val="right" w:pos="9360"/>
      </w:tabs>
    </w:pPr>
  </w:style>
  <w:style w:type="character" w:customStyle="1" w:styleId="FooterChar">
    <w:name w:val="Footer Char"/>
    <w:basedOn w:val="DefaultParagraphFont"/>
    <w:link w:val="Footer"/>
    <w:uiPriority w:val="99"/>
    <w:rsid w:val="00CE5570"/>
  </w:style>
  <w:style w:type="paragraph" w:styleId="Header">
    <w:name w:val="header"/>
    <w:basedOn w:val="Normal"/>
    <w:link w:val="HeaderChar"/>
    <w:uiPriority w:val="99"/>
    <w:unhideWhenUsed/>
    <w:rsid w:val="00CE5570"/>
    <w:pPr>
      <w:tabs>
        <w:tab w:val="center" w:pos="4680"/>
        <w:tab w:val="right" w:pos="9360"/>
      </w:tabs>
    </w:pPr>
  </w:style>
  <w:style w:type="character" w:customStyle="1" w:styleId="HeaderChar">
    <w:name w:val="Header Char"/>
    <w:basedOn w:val="DefaultParagraphFont"/>
    <w:link w:val="Header"/>
    <w:uiPriority w:val="99"/>
    <w:rsid w:val="00CE5570"/>
  </w:style>
  <w:style w:type="character" w:styleId="Hyperlink">
    <w:name w:val="Hyperlink"/>
    <w:basedOn w:val="DefaultParagraphFont"/>
    <w:uiPriority w:val="99"/>
    <w:unhideWhenUsed/>
    <w:rsid w:val="009E3845"/>
    <w:rPr>
      <w:color w:val="0000FF" w:themeColor="hyperlink"/>
      <w:u w:val="single"/>
    </w:rPr>
  </w:style>
  <w:style w:type="paragraph" w:styleId="BalloonText">
    <w:name w:val="Balloon Text"/>
    <w:basedOn w:val="Normal"/>
    <w:link w:val="BalloonTextChar"/>
    <w:uiPriority w:val="99"/>
    <w:semiHidden/>
    <w:unhideWhenUsed/>
    <w:rsid w:val="00A879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79E8"/>
    <w:rPr>
      <w:rFonts w:ascii="Segoe UI" w:hAnsi="Segoe UI" w:cs="Segoe UI"/>
      <w:sz w:val="18"/>
      <w:szCs w:val="18"/>
    </w:rPr>
  </w:style>
  <w:style w:type="character" w:customStyle="1" w:styleId="normaltextrun">
    <w:name w:val="normaltextrun"/>
    <w:basedOn w:val="DefaultParagraphFont"/>
    <w:rsid w:val="00EF47CB"/>
  </w:style>
  <w:style w:type="character" w:customStyle="1" w:styleId="eop">
    <w:name w:val="eop"/>
    <w:basedOn w:val="DefaultParagraphFont"/>
    <w:rsid w:val="00EF47CB"/>
  </w:style>
  <w:style w:type="paragraph" w:styleId="Revision">
    <w:name w:val="Revision"/>
    <w:hidden/>
    <w:uiPriority w:val="99"/>
    <w:semiHidden/>
    <w:rsid w:val="000551EF"/>
  </w:style>
  <w:style w:type="character" w:styleId="UnresolvedMention">
    <w:name w:val="Unresolved Mention"/>
    <w:basedOn w:val="DefaultParagraphFont"/>
    <w:uiPriority w:val="99"/>
    <w:semiHidden/>
    <w:unhideWhenUsed/>
    <w:rsid w:val="009A7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61508">
      <w:bodyDiv w:val="1"/>
      <w:marLeft w:val="0"/>
      <w:marRight w:val="0"/>
      <w:marTop w:val="0"/>
      <w:marBottom w:val="0"/>
      <w:divBdr>
        <w:top w:val="none" w:sz="0" w:space="0" w:color="auto"/>
        <w:left w:val="none" w:sz="0" w:space="0" w:color="auto"/>
        <w:bottom w:val="none" w:sz="0" w:space="0" w:color="auto"/>
        <w:right w:val="none" w:sz="0" w:space="0" w:color="auto"/>
      </w:divBdr>
    </w:div>
    <w:div w:id="912738375">
      <w:bodyDiv w:val="1"/>
      <w:marLeft w:val="0"/>
      <w:marRight w:val="0"/>
      <w:marTop w:val="0"/>
      <w:marBottom w:val="0"/>
      <w:divBdr>
        <w:top w:val="none" w:sz="0" w:space="0" w:color="auto"/>
        <w:left w:val="none" w:sz="0" w:space="0" w:color="auto"/>
        <w:bottom w:val="none" w:sz="0" w:space="0" w:color="auto"/>
        <w:right w:val="none" w:sz="0" w:space="0" w:color="auto"/>
      </w:divBdr>
    </w:div>
    <w:div w:id="1149515945">
      <w:bodyDiv w:val="1"/>
      <w:marLeft w:val="0"/>
      <w:marRight w:val="0"/>
      <w:marTop w:val="0"/>
      <w:marBottom w:val="0"/>
      <w:divBdr>
        <w:top w:val="none" w:sz="0" w:space="0" w:color="auto"/>
        <w:left w:val="none" w:sz="0" w:space="0" w:color="auto"/>
        <w:bottom w:val="none" w:sz="0" w:space="0" w:color="auto"/>
        <w:right w:val="none" w:sz="0" w:space="0" w:color="auto"/>
      </w:divBdr>
    </w:div>
    <w:div w:id="1297416921">
      <w:bodyDiv w:val="1"/>
      <w:marLeft w:val="0"/>
      <w:marRight w:val="0"/>
      <w:marTop w:val="0"/>
      <w:marBottom w:val="0"/>
      <w:divBdr>
        <w:top w:val="none" w:sz="0" w:space="0" w:color="auto"/>
        <w:left w:val="none" w:sz="0" w:space="0" w:color="auto"/>
        <w:bottom w:val="none" w:sz="0" w:space="0" w:color="auto"/>
        <w:right w:val="none" w:sz="0" w:space="0" w:color="auto"/>
      </w:divBdr>
    </w:div>
    <w:div w:id="1494251365">
      <w:bodyDiv w:val="1"/>
      <w:marLeft w:val="0"/>
      <w:marRight w:val="0"/>
      <w:marTop w:val="0"/>
      <w:marBottom w:val="0"/>
      <w:divBdr>
        <w:top w:val="none" w:sz="0" w:space="0" w:color="auto"/>
        <w:left w:val="none" w:sz="0" w:space="0" w:color="auto"/>
        <w:bottom w:val="none" w:sz="0" w:space="0" w:color="auto"/>
        <w:right w:val="none" w:sz="0" w:space="0" w:color="auto"/>
      </w:divBdr>
    </w:div>
    <w:div w:id="193994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MH Defaul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620A6D-5F38-43AE-BFA2-FE89F5772114}">
  <ds:schemaRefs>
    <ds:schemaRef ds:uri="http://schemas.openxmlformats.org/officeDocument/2006/bibliography"/>
  </ds:schemaRefs>
</ds:datastoreItem>
</file>

<file path=customXml/itemProps2.xml><?xml version="1.0" encoding="utf-8"?>
<ds:datastoreItem xmlns:ds="http://schemas.openxmlformats.org/officeDocument/2006/customXml" ds:itemID="{9BD8F2AE-E4C9-4A80-A4C0-840F0028ADCF}">
  <ds:schemaRefs>
    <ds:schemaRef ds:uri="http://schemas.microsoft.com/sharepoint/v3/contenttype/forms"/>
  </ds:schemaRefs>
</ds:datastoreItem>
</file>

<file path=customXml/itemProps3.xml><?xml version="1.0" encoding="utf-8"?>
<ds:datastoreItem xmlns:ds="http://schemas.openxmlformats.org/officeDocument/2006/customXml" ds:itemID="{C6EAF81F-04FC-4CF7-B27B-AA8A280C60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Bergquist</dc:creator>
  <cp:keywords/>
  <cp:lastModifiedBy>Amy Bergquist</cp:lastModifiedBy>
  <cp:revision>3</cp:revision>
  <dcterms:created xsi:type="dcterms:W3CDTF">2023-01-10T22:53:00Z</dcterms:created>
  <dcterms:modified xsi:type="dcterms:W3CDTF">2023-01-10T22:54:00Z</dcterms:modified>
</cp:coreProperties>
</file>