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135E48" w14:textId="2810C4FA" w:rsidR="00CF41C8" w:rsidRPr="00CF0F1C" w:rsidRDefault="00CF41C8" w:rsidP="00CF41C8">
      <w:pPr>
        <w:pStyle w:val="EinfacherAbsatz"/>
        <w:spacing w:line="240" w:lineRule="auto"/>
        <w:jc w:val="center"/>
        <w:rPr>
          <w:rFonts w:ascii="Arial Black" w:eastAsia="ColossalisBold" w:hAnsi="Arial Black" w:cs="Arial"/>
          <w:b/>
          <w:bCs/>
          <w:color w:val="5E175E"/>
          <w:spacing w:val="16"/>
          <w:w w:val="97"/>
          <w:kern w:val="60"/>
          <w:sz w:val="64"/>
          <w:szCs w:val="64"/>
          <w:lang w:val="en-GB"/>
        </w:rPr>
      </w:pPr>
      <w:r w:rsidRPr="00CF0F1C">
        <w:rPr>
          <w:rFonts w:ascii="Arial Black" w:eastAsia="ColossalisBold" w:hAnsi="Arial Black" w:cs="Arial"/>
          <w:b/>
          <w:bCs/>
          <w:color w:val="5E175E"/>
          <w:spacing w:val="18"/>
          <w:w w:val="97"/>
          <w:kern w:val="60"/>
          <w:sz w:val="64"/>
          <w:szCs w:val="64"/>
          <w:lang w:val="en-GB"/>
        </w:rPr>
        <w:t>Intersex Genital Mutilation</w:t>
      </w:r>
    </w:p>
    <w:p w14:paraId="2D14AA4D" w14:textId="77777777" w:rsidR="00CF41C8" w:rsidRPr="00CF0F1C" w:rsidRDefault="00CF41C8" w:rsidP="00CF41C8">
      <w:pPr>
        <w:pStyle w:val="EinfacherAbsatz"/>
        <w:spacing w:line="240" w:lineRule="auto"/>
        <w:jc w:val="center"/>
        <w:rPr>
          <w:rFonts w:ascii="Arial Black" w:eastAsia="ColossalisBold" w:hAnsi="Arial Black" w:cs="Arial"/>
          <w:b/>
          <w:bCs/>
          <w:color w:val="5E175E"/>
          <w:spacing w:val="20"/>
          <w:w w:val="103"/>
          <w:sz w:val="42"/>
          <w:szCs w:val="42"/>
          <w:lang w:val="en-GB"/>
        </w:rPr>
      </w:pPr>
      <w:r w:rsidRPr="00CF0F1C">
        <w:rPr>
          <w:rFonts w:ascii="Arial Black" w:eastAsia="ColossalisBold" w:hAnsi="Arial Black" w:cs="Arial"/>
          <w:b/>
          <w:bCs/>
          <w:color w:val="5E175E"/>
          <w:spacing w:val="20"/>
          <w:w w:val="103"/>
          <w:sz w:val="42"/>
          <w:szCs w:val="42"/>
          <w:lang w:val="en-GB"/>
        </w:rPr>
        <w:t xml:space="preserve">Human Rights </w:t>
      </w:r>
      <w:r w:rsidRPr="00CF0F1C">
        <w:rPr>
          <w:rFonts w:ascii="Arial Black" w:eastAsia="ColossalisBold" w:hAnsi="Arial Black" w:cs="Arial"/>
          <w:b/>
          <w:bCs/>
          <w:color w:val="5E175E"/>
          <w:spacing w:val="20"/>
          <w:w w:val="103"/>
          <w:kern w:val="44"/>
          <w:sz w:val="42"/>
          <w:szCs w:val="42"/>
          <w:lang w:val="en-GB"/>
        </w:rPr>
        <w:t>Violations</w:t>
      </w:r>
      <w:r w:rsidRPr="00CF0F1C">
        <w:rPr>
          <w:rFonts w:ascii="Arial Black" w:eastAsia="ColossalisBold" w:hAnsi="Arial Black" w:cs="Arial"/>
          <w:b/>
          <w:bCs/>
          <w:color w:val="5E175E"/>
          <w:spacing w:val="20"/>
          <w:w w:val="103"/>
          <w:sz w:val="42"/>
          <w:szCs w:val="42"/>
          <w:lang w:val="en-GB"/>
        </w:rPr>
        <w:t xml:space="preserve"> </w:t>
      </w:r>
      <w:proofErr w:type="gramStart"/>
      <w:r w:rsidRPr="00CF0F1C">
        <w:rPr>
          <w:rFonts w:ascii="Arial Black" w:eastAsia="ColossalisBold" w:hAnsi="Arial Black" w:cs="Arial"/>
          <w:b/>
          <w:bCs/>
          <w:color w:val="5E175E"/>
          <w:spacing w:val="20"/>
          <w:w w:val="103"/>
          <w:sz w:val="42"/>
          <w:szCs w:val="42"/>
          <w:lang w:val="en-GB"/>
        </w:rPr>
        <w:t>Of</w:t>
      </w:r>
      <w:proofErr w:type="gramEnd"/>
      <w:r w:rsidRPr="00CF0F1C">
        <w:rPr>
          <w:rFonts w:ascii="Arial Black" w:eastAsia="ColossalisBold" w:hAnsi="Arial Black" w:cs="Arial"/>
          <w:b/>
          <w:bCs/>
          <w:color w:val="5E175E"/>
          <w:spacing w:val="20"/>
          <w:w w:val="103"/>
          <w:sz w:val="42"/>
          <w:szCs w:val="42"/>
          <w:lang w:val="en-GB"/>
        </w:rPr>
        <w:t xml:space="preserve"> Children</w:t>
      </w:r>
    </w:p>
    <w:p w14:paraId="0CD62404" w14:textId="77777777" w:rsidR="00CF41C8" w:rsidRPr="00CF0F1C" w:rsidRDefault="00CF41C8" w:rsidP="00CF41C8">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CF0F1C">
        <w:rPr>
          <w:rFonts w:ascii="Arial Black" w:eastAsia="ColossalisBold" w:hAnsi="Arial Black" w:cs="Arial"/>
          <w:b/>
          <w:bCs/>
          <w:color w:val="5E175E"/>
          <w:spacing w:val="20"/>
          <w:w w:val="98"/>
          <w:kern w:val="44"/>
          <w:sz w:val="38"/>
          <w:szCs w:val="38"/>
          <w:lang w:val="en-GB"/>
        </w:rPr>
        <w:t xml:space="preserve">With Variations </w:t>
      </w:r>
      <w:proofErr w:type="gramStart"/>
      <w:r w:rsidRPr="00CF0F1C">
        <w:rPr>
          <w:rFonts w:ascii="Arial Black" w:eastAsia="ColossalisBold" w:hAnsi="Arial Black" w:cs="Arial"/>
          <w:b/>
          <w:bCs/>
          <w:color w:val="5E175E"/>
          <w:spacing w:val="20"/>
          <w:w w:val="98"/>
          <w:kern w:val="44"/>
          <w:sz w:val="38"/>
          <w:szCs w:val="38"/>
          <w:lang w:val="en-GB"/>
        </w:rPr>
        <w:t>Of</w:t>
      </w:r>
      <w:proofErr w:type="gramEnd"/>
      <w:r w:rsidRPr="00CF0F1C">
        <w:rPr>
          <w:rFonts w:ascii="Arial Black" w:eastAsia="ColossalisBold" w:hAnsi="Arial Black" w:cs="Arial"/>
          <w:b/>
          <w:bCs/>
          <w:color w:val="5E175E"/>
          <w:spacing w:val="20"/>
          <w:w w:val="98"/>
          <w:kern w:val="44"/>
          <w:sz w:val="38"/>
          <w:szCs w:val="38"/>
          <w:lang w:val="en-GB"/>
        </w:rPr>
        <w:t xml:space="preserve"> Reproductive Anatomy</w:t>
      </w:r>
    </w:p>
    <w:p w14:paraId="00C92B07" w14:textId="77777777" w:rsidR="00366508" w:rsidRPr="00CF0F1C" w:rsidRDefault="00366508" w:rsidP="00366508">
      <w:pPr>
        <w:pStyle w:val="EinfacherAbsatz"/>
        <w:spacing w:line="240" w:lineRule="auto"/>
        <w:rPr>
          <w:rFonts w:ascii="Arial" w:eastAsia="ColossalisBold" w:hAnsi="Arial" w:cs="Arial"/>
          <w:b/>
          <w:bCs/>
          <w:color w:val="5E175E"/>
          <w:spacing w:val="11"/>
          <w:w w:val="95"/>
          <w:sz w:val="44"/>
          <w:szCs w:val="44"/>
          <w:lang w:val="en-GB"/>
        </w:rPr>
      </w:pPr>
    </w:p>
    <w:p w14:paraId="20EAC18B" w14:textId="77777777" w:rsidR="00A925E6" w:rsidRPr="00CF0F1C" w:rsidRDefault="00A925E6" w:rsidP="00366508">
      <w:pPr>
        <w:pStyle w:val="EinfacherAbsatz"/>
        <w:spacing w:line="240" w:lineRule="auto"/>
        <w:rPr>
          <w:rFonts w:ascii="Arial" w:eastAsia="ColossalisBold" w:hAnsi="Arial" w:cs="Arial"/>
          <w:b/>
          <w:bCs/>
          <w:color w:val="5E175E"/>
          <w:spacing w:val="11"/>
          <w:w w:val="95"/>
          <w:sz w:val="44"/>
          <w:szCs w:val="44"/>
          <w:lang w:val="en-GB"/>
        </w:rPr>
      </w:pPr>
    </w:p>
    <w:p w14:paraId="2EF3AEE0" w14:textId="6E95FB72" w:rsidR="00366508" w:rsidRPr="00CF0F1C" w:rsidRDefault="00A925E6" w:rsidP="00366508">
      <w:pPr>
        <w:pStyle w:val="EinfacherAbsatz"/>
        <w:spacing w:line="240" w:lineRule="auto"/>
        <w:jc w:val="center"/>
        <w:rPr>
          <w:rFonts w:ascii="Arial" w:eastAsia="ColossalisBold" w:hAnsi="Arial" w:cs="Arial"/>
          <w:b/>
          <w:bCs/>
          <w:color w:val="5E175E"/>
          <w:spacing w:val="11"/>
          <w:w w:val="95"/>
          <w:sz w:val="30"/>
          <w:szCs w:val="30"/>
          <w:lang w:val="en-GB"/>
        </w:rPr>
      </w:pPr>
      <w:r w:rsidRPr="00CF0F1C">
        <w:rPr>
          <w:rFonts w:ascii="Times New Roman" w:hAnsi="Times New Roman" w:cs="Times New Roman"/>
          <w:b/>
          <w:noProof/>
          <w:color w:val="5E175E"/>
          <w:spacing w:val="11"/>
          <w:w w:val="95"/>
          <w:sz w:val="30"/>
          <w:szCs w:val="30"/>
          <w:lang w:val="de-CH" w:eastAsia="de-CH" w:bidi="ar-SA"/>
        </w:rPr>
        <w:drawing>
          <wp:inline distT="0" distB="0" distL="0" distR="0" wp14:anchorId="0ADC28F9" wp14:editId="3B1C82F1">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2F9D2FA4" w14:textId="77777777" w:rsidR="00507791" w:rsidRPr="00CF0F1C" w:rsidRDefault="00507791" w:rsidP="00507791">
      <w:pPr>
        <w:pStyle w:val="EinfacherAbsatz"/>
        <w:spacing w:line="240" w:lineRule="auto"/>
        <w:rPr>
          <w:rFonts w:ascii="Arial" w:eastAsia="ColossalisBold" w:hAnsi="Arial" w:cs="Arial"/>
          <w:b/>
          <w:bCs/>
          <w:color w:val="5E175E"/>
          <w:spacing w:val="11"/>
          <w:w w:val="95"/>
          <w:sz w:val="44"/>
          <w:szCs w:val="44"/>
          <w:lang w:val="en-GB"/>
        </w:rPr>
      </w:pPr>
    </w:p>
    <w:p w14:paraId="3C397BD9" w14:textId="77777777" w:rsidR="00507791" w:rsidRPr="00CF0F1C" w:rsidRDefault="00507791" w:rsidP="00507791">
      <w:pPr>
        <w:pStyle w:val="EinfacherAbsatz"/>
        <w:spacing w:line="240" w:lineRule="auto"/>
        <w:rPr>
          <w:rFonts w:ascii="Arial" w:eastAsia="ColossalisBold" w:hAnsi="Arial" w:cs="Arial"/>
          <w:b/>
          <w:bCs/>
          <w:color w:val="5E175E"/>
          <w:spacing w:val="11"/>
          <w:w w:val="95"/>
          <w:sz w:val="44"/>
          <w:szCs w:val="44"/>
          <w:lang w:val="en-GB"/>
        </w:rPr>
      </w:pPr>
    </w:p>
    <w:p w14:paraId="490DF940" w14:textId="4B3C629E" w:rsidR="00133504" w:rsidRPr="00CF0F1C" w:rsidRDefault="00507791" w:rsidP="00507791">
      <w:pPr>
        <w:pStyle w:val="EinfacherAbsatz"/>
        <w:tabs>
          <w:tab w:val="center" w:pos="4819"/>
        </w:tabs>
        <w:spacing w:line="240" w:lineRule="auto"/>
        <w:rPr>
          <w:rFonts w:ascii="Arial Black" w:eastAsia="ColossalisBold" w:hAnsi="Arial Black" w:cs="Arial"/>
          <w:b/>
          <w:bCs/>
          <w:color w:val="5E175E"/>
          <w:spacing w:val="4"/>
          <w:kern w:val="36"/>
          <w:sz w:val="42"/>
          <w:szCs w:val="42"/>
          <w:lang w:val="en-GB"/>
        </w:rPr>
      </w:pPr>
      <w:r w:rsidRPr="00CF0F1C">
        <w:rPr>
          <w:rFonts w:ascii="Arial Black" w:eastAsia="ColossalisBold" w:hAnsi="Arial Black" w:cs="Arial"/>
          <w:b/>
          <w:bCs/>
          <w:color w:val="5E175E"/>
          <w:spacing w:val="4"/>
          <w:w w:val="92"/>
          <w:kern w:val="36"/>
          <w:sz w:val="42"/>
          <w:szCs w:val="42"/>
          <w:lang w:val="en-GB"/>
        </w:rPr>
        <w:t xml:space="preserve">NGO </w:t>
      </w:r>
      <w:r w:rsidRPr="00CF0F1C">
        <w:rPr>
          <w:rFonts w:ascii="Arial Black" w:eastAsia="ColossalisBold" w:hAnsi="Arial Black" w:cs="Arial"/>
          <w:bCs/>
          <w:color w:val="5E175E"/>
          <w:spacing w:val="4"/>
          <w:w w:val="92"/>
          <w:kern w:val="36"/>
          <w:sz w:val="42"/>
          <w:szCs w:val="42"/>
          <w:lang w:val="en-GB"/>
        </w:rPr>
        <w:t>Report</w:t>
      </w:r>
      <w:r w:rsidRPr="00CF0F1C">
        <w:rPr>
          <w:rFonts w:ascii="Arial Black" w:eastAsia="ColossalisBold" w:hAnsi="Arial Black" w:cs="Arial"/>
          <w:b/>
          <w:bCs/>
          <w:color w:val="5E175E"/>
          <w:spacing w:val="4"/>
          <w:w w:val="92"/>
          <w:kern w:val="36"/>
          <w:sz w:val="42"/>
          <w:szCs w:val="42"/>
          <w:lang w:val="en-GB"/>
        </w:rPr>
        <w:t xml:space="preserve"> (for </w:t>
      </w:r>
      <w:r w:rsidR="000B38E3" w:rsidRPr="00CF0F1C">
        <w:rPr>
          <w:rFonts w:ascii="Arial Black" w:eastAsia="ColossalisBold" w:hAnsi="Arial Black" w:cs="Arial"/>
          <w:b/>
          <w:bCs/>
          <w:color w:val="5E175E"/>
          <w:spacing w:val="4"/>
          <w:w w:val="92"/>
          <w:kern w:val="36"/>
          <w:sz w:val="42"/>
          <w:szCs w:val="42"/>
          <w:lang w:val="en-GB"/>
        </w:rPr>
        <w:t>Session</w:t>
      </w:r>
      <w:r w:rsidRPr="00CF0F1C">
        <w:rPr>
          <w:rFonts w:ascii="Arial Black" w:eastAsia="ColossalisBold" w:hAnsi="Arial Black" w:cs="Arial"/>
          <w:b/>
          <w:bCs/>
          <w:color w:val="5E175E"/>
          <w:spacing w:val="4"/>
          <w:w w:val="92"/>
          <w:kern w:val="36"/>
          <w:sz w:val="42"/>
          <w:szCs w:val="42"/>
          <w:lang w:val="en-GB"/>
        </w:rPr>
        <w:t>)</w:t>
      </w:r>
      <w:r w:rsidRPr="00CF0F1C">
        <w:rPr>
          <w:rFonts w:ascii="Arial Black" w:eastAsia="ColossalisBold" w:hAnsi="Arial Black" w:cs="Arial"/>
          <w:b/>
          <w:bCs/>
          <w:color w:val="5E175E"/>
          <w:spacing w:val="4"/>
          <w:w w:val="92"/>
          <w:kern w:val="36"/>
          <w:sz w:val="42"/>
          <w:szCs w:val="42"/>
          <w:lang w:val="en-GB"/>
        </w:rPr>
        <w:br/>
      </w:r>
      <w:r w:rsidRPr="00CF0F1C">
        <w:rPr>
          <w:rFonts w:ascii="Arial Black" w:eastAsia="ColossalisBold" w:hAnsi="Arial Black" w:cs="Arial"/>
          <w:bCs/>
          <w:color w:val="5E175E"/>
          <w:spacing w:val="4"/>
          <w:w w:val="92"/>
          <w:kern w:val="36"/>
          <w:sz w:val="42"/>
          <w:szCs w:val="42"/>
          <w:lang w:val="en-GB"/>
        </w:rPr>
        <w:t>to the</w:t>
      </w:r>
      <w:r w:rsidR="0040507D" w:rsidRPr="00CF0F1C">
        <w:rPr>
          <w:rFonts w:ascii="Arial Black" w:eastAsia="ColossalisBold" w:hAnsi="Arial Black" w:cs="Arial"/>
          <w:bCs/>
          <w:color w:val="5E175E"/>
          <w:spacing w:val="4"/>
          <w:w w:val="92"/>
          <w:kern w:val="36"/>
          <w:sz w:val="42"/>
          <w:szCs w:val="42"/>
          <w:lang w:val="en-GB"/>
        </w:rPr>
        <w:t xml:space="preserve"> 8th</w:t>
      </w:r>
      <w:r w:rsidR="00F5121D" w:rsidRPr="00CF0F1C">
        <w:rPr>
          <w:rFonts w:ascii="Arial Black" w:eastAsia="ColossalisBold" w:hAnsi="Arial Black" w:cs="Arial"/>
          <w:bCs/>
          <w:color w:val="5E175E"/>
          <w:spacing w:val="4"/>
          <w:w w:val="92"/>
          <w:kern w:val="36"/>
          <w:sz w:val="42"/>
          <w:szCs w:val="42"/>
          <w:lang w:val="en-GB"/>
        </w:rPr>
        <w:t xml:space="preserve"> </w:t>
      </w:r>
      <w:r w:rsidRPr="00CF0F1C">
        <w:rPr>
          <w:rFonts w:ascii="Arial Black" w:eastAsia="ColossalisBold" w:hAnsi="Arial Black" w:cs="Arial"/>
          <w:bCs/>
          <w:color w:val="5E175E"/>
          <w:spacing w:val="4"/>
          <w:w w:val="92"/>
          <w:kern w:val="36"/>
          <w:sz w:val="42"/>
          <w:szCs w:val="42"/>
          <w:lang w:val="en-GB"/>
        </w:rPr>
        <w:t xml:space="preserve">Report of Finland on the Convention </w:t>
      </w:r>
      <w:r w:rsidR="0040507D" w:rsidRPr="00CF0F1C">
        <w:rPr>
          <w:rFonts w:ascii="Arial Black" w:eastAsia="ColossalisBold" w:hAnsi="Arial Black" w:cs="Arial"/>
          <w:bCs/>
          <w:color w:val="5E175E"/>
          <w:spacing w:val="4"/>
          <w:w w:val="92"/>
          <w:kern w:val="36"/>
          <w:sz w:val="42"/>
          <w:szCs w:val="42"/>
          <w:lang w:val="en-GB"/>
        </w:rPr>
        <w:t>against Torture</w:t>
      </w:r>
      <w:r w:rsidRPr="00CF0F1C">
        <w:rPr>
          <w:rFonts w:ascii="Arial Black" w:eastAsia="ColossalisBold" w:hAnsi="Arial Black" w:cs="Arial"/>
          <w:bCs/>
          <w:color w:val="5E175E"/>
          <w:spacing w:val="4"/>
          <w:w w:val="92"/>
          <w:kern w:val="36"/>
          <w:sz w:val="42"/>
          <w:szCs w:val="42"/>
          <w:lang w:val="en-GB"/>
        </w:rPr>
        <w:t xml:space="preserve"> (</w:t>
      </w:r>
      <w:r w:rsidR="0040507D" w:rsidRPr="00CF0F1C">
        <w:rPr>
          <w:rFonts w:ascii="Arial Black" w:eastAsia="ColossalisBold" w:hAnsi="Arial Black" w:cs="Arial"/>
          <w:bCs/>
          <w:color w:val="5E175E"/>
          <w:spacing w:val="4"/>
          <w:w w:val="92"/>
          <w:kern w:val="36"/>
          <w:sz w:val="42"/>
          <w:szCs w:val="42"/>
          <w:lang w:val="en-GB"/>
        </w:rPr>
        <w:t>CAT</w:t>
      </w:r>
      <w:r w:rsidRPr="00CF0F1C">
        <w:rPr>
          <w:rFonts w:ascii="Arial Black" w:eastAsia="ColossalisBold" w:hAnsi="Arial Black" w:cs="Arial"/>
          <w:bCs/>
          <w:color w:val="5E175E"/>
          <w:spacing w:val="4"/>
          <w:w w:val="92"/>
          <w:kern w:val="36"/>
          <w:sz w:val="42"/>
          <w:szCs w:val="42"/>
          <w:lang w:val="en-GB"/>
        </w:rPr>
        <w:t>)</w:t>
      </w:r>
      <w:r w:rsidR="00133504" w:rsidRPr="00CF0F1C">
        <w:rPr>
          <w:rFonts w:ascii="Arial" w:hAnsi="Arial" w:cs="Arial"/>
          <w:b/>
          <w:sz w:val="28"/>
          <w:szCs w:val="28"/>
          <w:lang w:val="en-GB"/>
        </w:rPr>
        <w:br w:type="page"/>
      </w:r>
    </w:p>
    <w:p w14:paraId="6C1293F9" w14:textId="3EB1E0E8" w:rsidR="002A5EF8" w:rsidRPr="00CF0F1C" w:rsidRDefault="00D25B09" w:rsidP="00D25B09">
      <w:pPr>
        <w:pStyle w:val="absatzschattenbericht"/>
        <w:jc w:val="left"/>
        <w:rPr>
          <w:lang w:val="en-GB"/>
        </w:rPr>
      </w:pPr>
      <w:r w:rsidRPr="00CF0F1C">
        <w:rPr>
          <w:rFonts w:ascii="Arial" w:hAnsi="Arial" w:cs="Arial"/>
          <w:b/>
          <w:sz w:val="28"/>
          <w:szCs w:val="28"/>
          <w:lang w:val="en-GB"/>
        </w:rPr>
        <w:lastRenderedPageBreak/>
        <w:t>Compiled by:</w:t>
      </w:r>
      <w:r w:rsidRPr="00CF0F1C">
        <w:rPr>
          <w:rFonts w:ascii="Arial" w:hAnsi="Arial" w:cs="Arial"/>
          <w:b/>
          <w:sz w:val="28"/>
          <w:szCs w:val="28"/>
          <w:lang w:val="en-GB"/>
        </w:rPr>
        <w:br/>
      </w:r>
    </w:p>
    <w:p w14:paraId="1FC3B45D" w14:textId="77777777" w:rsidR="002A5EF8" w:rsidRPr="00CF0F1C" w:rsidRDefault="002A5EF8" w:rsidP="002A5EF8">
      <w:pPr>
        <w:pStyle w:val="absatzschattenbericht"/>
        <w:rPr>
          <w:lang w:val="en-GB"/>
        </w:rPr>
      </w:pPr>
    </w:p>
    <w:p w14:paraId="31EB25D5" w14:textId="77777777" w:rsidR="002A5EF8" w:rsidRPr="00CF0F1C" w:rsidRDefault="002A5EF8" w:rsidP="002A5EF8">
      <w:pPr>
        <w:pStyle w:val="absatzschattenbericht"/>
        <w:spacing w:after="170"/>
        <w:rPr>
          <w:rFonts w:cs="Times New Roman"/>
          <w:lang w:val="en-GB"/>
        </w:rPr>
      </w:pPr>
      <w:r w:rsidRPr="00CF0F1C">
        <w:rPr>
          <w:rFonts w:eastAsia="Baskerville-Bold" w:cs="Times New Roman"/>
          <w:b/>
          <w:bCs/>
          <w:lang w:val="en-GB"/>
        </w:rPr>
        <w:t>StopIGM.org / Zwischengeschlecht.org</w:t>
      </w:r>
      <w:r w:rsidRPr="00CF0F1C">
        <w:rPr>
          <w:rFonts w:cs="Times New Roman"/>
          <w:lang w:val="en-GB"/>
        </w:rPr>
        <w:t xml:space="preserve"> (International Intersex Human Rights NGO)</w:t>
      </w:r>
    </w:p>
    <w:p w14:paraId="25173240" w14:textId="77777777" w:rsidR="002A5EF8" w:rsidRPr="00CF0F1C" w:rsidRDefault="002A5EF8" w:rsidP="002A5EF8">
      <w:pPr>
        <w:pStyle w:val="absatzschattenbericht"/>
        <w:spacing w:after="170"/>
        <w:rPr>
          <w:rFonts w:eastAsia="Baskerville-Italic" w:cs="Times New Roman"/>
          <w:i/>
          <w:iCs/>
          <w:lang w:val="en-GB"/>
        </w:rPr>
      </w:pPr>
      <w:r w:rsidRPr="00CF0F1C">
        <w:rPr>
          <w:rFonts w:cs="Times New Roman"/>
          <w:lang w:val="en-GB"/>
        </w:rPr>
        <w:t>Markus Bauer, Daniela Truffer</w:t>
      </w:r>
    </w:p>
    <w:p w14:paraId="05EF7AE0" w14:textId="77777777" w:rsidR="002A5EF8" w:rsidRPr="00383C48" w:rsidRDefault="002A5EF8" w:rsidP="002A5EF8">
      <w:pPr>
        <w:pStyle w:val="absatzschattenbericht"/>
        <w:spacing w:after="0"/>
        <w:rPr>
          <w:rFonts w:eastAsia="Baskerville-Italic" w:cs="Times New Roman"/>
          <w:i/>
          <w:iCs/>
          <w:lang w:val="de-CH"/>
        </w:rPr>
      </w:pPr>
      <w:r w:rsidRPr="00383C48">
        <w:rPr>
          <w:rFonts w:eastAsia="Baskerville-Italic" w:cs="Times New Roman"/>
          <w:i/>
          <w:iCs/>
          <w:lang w:val="de-CH"/>
        </w:rPr>
        <w:t>Zwischengeschlecht.org</w:t>
      </w:r>
    </w:p>
    <w:p w14:paraId="4F498AA3" w14:textId="7FFC7E21" w:rsidR="002A5EF8" w:rsidRPr="00383C48" w:rsidRDefault="002A5EF8" w:rsidP="002A5EF8">
      <w:pPr>
        <w:pStyle w:val="absatzschattenbericht"/>
        <w:spacing w:after="0"/>
        <w:rPr>
          <w:rFonts w:eastAsia="Baskerville-Italic" w:cs="Times New Roman"/>
          <w:i/>
          <w:iCs/>
          <w:lang w:val="de-CH"/>
        </w:rPr>
      </w:pPr>
      <w:r w:rsidRPr="00383C48">
        <w:rPr>
          <w:rFonts w:eastAsia="Baskerville-Italic" w:cs="Times New Roman"/>
          <w:i/>
          <w:iCs/>
          <w:lang w:val="de-CH"/>
        </w:rPr>
        <w:t xml:space="preserve">P.O.Box </w:t>
      </w:r>
      <w:r w:rsidR="00B5270F" w:rsidRPr="00383C48">
        <w:rPr>
          <w:rFonts w:eastAsia="Baskerville-Italic" w:cs="Times New Roman"/>
          <w:i/>
          <w:iCs/>
          <w:lang w:val="de-CH"/>
        </w:rPr>
        <w:t>1318</w:t>
      </w:r>
    </w:p>
    <w:p w14:paraId="53586FF2" w14:textId="77777777" w:rsidR="002A5EF8" w:rsidRPr="00383C48" w:rsidRDefault="002A5EF8" w:rsidP="002A5EF8">
      <w:pPr>
        <w:pStyle w:val="absatzschattenbericht"/>
        <w:spacing w:after="170"/>
        <w:rPr>
          <w:rFonts w:eastAsia="Baskerville-Italic" w:cs="Times New Roman"/>
          <w:i/>
          <w:iCs/>
          <w:lang w:val="de-CH"/>
        </w:rPr>
      </w:pPr>
      <w:r w:rsidRPr="00383C48">
        <w:rPr>
          <w:rFonts w:eastAsia="Baskerville-Italic" w:cs="Times New Roman"/>
          <w:i/>
          <w:iCs/>
          <w:lang w:val="de-CH"/>
        </w:rPr>
        <w:t>CH-8031 Zurich</w:t>
      </w:r>
    </w:p>
    <w:p w14:paraId="02CB83DD" w14:textId="77777777" w:rsidR="002A5EF8" w:rsidRPr="00383C48" w:rsidRDefault="002A5EF8" w:rsidP="002A5EF8">
      <w:pPr>
        <w:pStyle w:val="absatzschattenbericht"/>
        <w:spacing w:after="0"/>
        <w:rPr>
          <w:rStyle w:val="url"/>
          <w:rFonts w:eastAsia="Baskerville-Italic" w:cs="Times New Roman"/>
          <w:i/>
          <w:iCs/>
          <w:lang w:val="de-CH"/>
        </w:rPr>
      </w:pPr>
      <w:r w:rsidRPr="00383C48">
        <w:rPr>
          <w:rFonts w:eastAsia="Baskerville-Italic" w:cs="Times New Roman"/>
          <w:i/>
          <w:iCs/>
          <w:lang w:val="de-CH"/>
        </w:rPr>
        <w:t>info_at_zwischengeschlecht.org</w:t>
      </w:r>
    </w:p>
    <w:p w14:paraId="548E6CCE" w14:textId="6AEA1516" w:rsidR="002A5EF8" w:rsidRPr="00383C48" w:rsidRDefault="00117303" w:rsidP="002A5EF8">
      <w:pPr>
        <w:pStyle w:val="absatzschattenbericht"/>
        <w:spacing w:after="0"/>
        <w:rPr>
          <w:rStyle w:val="url"/>
          <w:rFonts w:eastAsia="Baskerville-Italic" w:cs="Times New Roman"/>
          <w:i/>
          <w:iCs/>
          <w:lang w:val="de-CH"/>
        </w:rPr>
      </w:pPr>
      <w:hyperlink r:id="rId9" w:history="1">
        <w:r w:rsidR="004F7F3C" w:rsidRPr="00383C48">
          <w:rPr>
            <w:rStyle w:val="Hyperlink"/>
            <w:rFonts w:eastAsia="Baskerville-Italic" w:cs="Times New Roman"/>
            <w:i/>
            <w:iCs/>
            <w:lang w:val="de-CH"/>
          </w:rPr>
          <w:t>https://Zwischengeschlecht.org/</w:t>
        </w:r>
      </w:hyperlink>
      <w:r w:rsidR="002A5EF8" w:rsidRPr="00383C48">
        <w:rPr>
          <w:rStyle w:val="url"/>
          <w:rFonts w:eastAsia="Baskerville-Italic" w:cs="Times New Roman"/>
          <w:i/>
          <w:iCs/>
          <w:lang w:val="de-CH"/>
        </w:rPr>
        <w:t xml:space="preserve"> </w:t>
      </w:r>
    </w:p>
    <w:p w14:paraId="76F10B87" w14:textId="10D41227" w:rsidR="002A5EF8" w:rsidRPr="00383C48" w:rsidRDefault="00117303" w:rsidP="002A5EF8">
      <w:pPr>
        <w:pStyle w:val="absatzschattenbericht"/>
        <w:spacing w:after="0"/>
        <w:rPr>
          <w:rFonts w:cs="Times New Roman"/>
          <w:i/>
          <w:lang w:val="de-CH"/>
        </w:rPr>
      </w:pPr>
      <w:hyperlink r:id="rId10" w:history="1">
        <w:r w:rsidR="002D544F" w:rsidRPr="00383C48">
          <w:rPr>
            <w:rStyle w:val="Hyperlink"/>
            <w:rFonts w:cs="Times New Roman"/>
            <w:i/>
            <w:lang w:val="de-CH"/>
          </w:rPr>
          <w:t>https://StopIGM.org</w:t>
        </w:r>
      </w:hyperlink>
      <w:r w:rsidR="002A5EF8" w:rsidRPr="00383C48">
        <w:rPr>
          <w:rFonts w:cs="Times New Roman"/>
          <w:i/>
          <w:lang w:val="de-CH"/>
        </w:rPr>
        <w:t xml:space="preserve"> </w:t>
      </w:r>
    </w:p>
    <w:p w14:paraId="18543215" w14:textId="77777777" w:rsidR="002A5EF8" w:rsidRPr="00383C48" w:rsidRDefault="002A5EF8" w:rsidP="002A5EF8">
      <w:pPr>
        <w:pStyle w:val="absatzschattenbericht"/>
        <w:rPr>
          <w:lang w:val="de-CH"/>
        </w:rPr>
      </w:pPr>
    </w:p>
    <w:p w14:paraId="711202CD" w14:textId="77777777" w:rsidR="002A5EF8" w:rsidRPr="00383C48" w:rsidRDefault="002A5EF8" w:rsidP="002A5EF8">
      <w:pPr>
        <w:pStyle w:val="absatzschattenbericht"/>
        <w:rPr>
          <w:lang w:val="de-CH"/>
        </w:rPr>
      </w:pPr>
    </w:p>
    <w:p w14:paraId="5B0274FF" w14:textId="77777777" w:rsidR="002A5EF8" w:rsidRPr="00383C48" w:rsidRDefault="002A5EF8" w:rsidP="002A5EF8">
      <w:pPr>
        <w:pStyle w:val="absatzschattenbericht"/>
        <w:rPr>
          <w:lang w:val="de-CH"/>
        </w:rPr>
      </w:pPr>
    </w:p>
    <w:p w14:paraId="084F44AA" w14:textId="77777777" w:rsidR="002A5EF8" w:rsidRPr="00383C48" w:rsidRDefault="002A5EF8" w:rsidP="002A5EF8">
      <w:pPr>
        <w:pStyle w:val="absatzschattenbericht"/>
        <w:rPr>
          <w:lang w:val="de-CH"/>
        </w:rPr>
      </w:pPr>
    </w:p>
    <w:p w14:paraId="6409E20E" w14:textId="77777777" w:rsidR="002A5EF8" w:rsidRPr="00383C48" w:rsidRDefault="002A5EF8" w:rsidP="002A5EF8">
      <w:pPr>
        <w:pStyle w:val="absatzschattenbericht"/>
        <w:rPr>
          <w:lang w:val="de-CH"/>
        </w:rPr>
      </w:pPr>
    </w:p>
    <w:p w14:paraId="6A322B0B" w14:textId="77777777" w:rsidR="002A5EF8" w:rsidRPr="00383C48" w:rsidRDefault="002A5EF8" w:rsidP="002A5EF8">
      <w:pPr>
        <w:pStyle w:val="absatzschattenbericht"/>
        <w:rPr>
          <w:lang w:val="de-CH"/>
        </w:rPr>
      </w:pPr>
    </w:p>
    <w:p w14:paraId="21AA3DC8" w14:textId="77777777" w:rsidR="002A5EF8" w:rsidRPr="00383C48" w:rsidRDefault="002A5EF8" w:rsidP="002A5EF8">
      <w:pPr>
        <w:pStyle w:val="absatzschattenbericht"/>
        <w:rPr>
          <w:lang w:val="de-CH"/>
        </w:rPr>
      </w:pPr>
    </w:p>
    <w:p w14:paraId="1B10F401" w14:textId="6EEA3078" w:rsidR="002A5EF8" w:rsidRPr="00CF0F1C" w:rsidRDefault="00C649C5" w:rsidP="002A5EF8">
      <w:pPr>
        <w:pStyle w:val="absatzschattenbericht"/>
        <w:rPr>
          <w:b/>
          <w:lang w:val="en-GB"/>
        </w:rPr>
      </w:pPr>
      <w:r w:rsidRPr="00CF0F1C">
        <w:rPr>
          <w:b/>
          <w:lang w:val="en-GB"/>
        </w:rPr>
        <w:t>March 2024</w:t>
      </w:r>
    </w:p>
    <w:p w14:paraId="746D95BD" w14:textId="77777777" w:rsidR="002A5EF8" w:rsidRPr="00CF0F1C" w:rsidRDefault="002A5EF8" w:rsidP="002A5EF8">
      <w:pPr>
        <w:pStyle w:val="absatzschattenbericht"/>
        <w:rPr>
          <w:lang w:val="en-GB"/>
        </w:rPr>
      </w:pPr>
    </w:p>
    <w:p w14:paraId="2B166986" w14:textId="77777777" w:rsidR="002A5EF8" w:rsidRPr="00CF0F1C" w:rsidRDefault="002A5EF8" w:rsidP="002A5EF8">
      <w:pPr>
        <w:pStyle w:val="absatzschattenbericht"/>
        <w:rPr>
          <w:lang w:val="en-GB"/>
        </w:rPr>
      </w:pPr>
    </w:p>
    <w:p w14:paraId="15DB08E2" w14:textId="77777777" w:rsidR="002A5EF8" w:rsidRPr="00CF0F1C" w:rsidRDefault="002A5EF8" w:rsidP="002A5EF8">
      <w:pPr>
        <w:pStyle w:val="absatzschattenbericht"/>
        <w:rPr>
          <w:lang w:val="en-GB"/>
        </w:rPr>
      </w:pPr>
    </w:p>
    <w:p w14:paraId="0EF0795B" w14:textId="77777777" w:rsidR="002A5EF8" w:rsidRPr="00CF0F1C" w:rsidRDefault="002A5EF8" w:rsidP="002A5EF8">
      <w:pPr>
        <w:pStyle w:val="absatzschattenbericht"/>
        <w:spacing w:after="60"/>
        <w:rPr>
          <w:rFonts w:eastAsia="ArialMT"/>
          <w:lang w:val="en-GB"/>
        </w:rPr>
      </w:pPr>
      <w:r w:rsidRPr="00CF0F1C">
        <w:rPr>
          <w:lang w:val="en-GB"/>
        </w:rPr>
        <w:t>This NGO Report online:</w:t>
      </w:r>
    </w:p>
    <w:p w14:paraId="68FF0867" w14:textId="46AE306D" w:rsidR="002A5EF8" w:rsidRPr="00CF0F1C" w:rsidRDefault="00117303" w:rsidP="002A5EF8">
      <w:pPr>
        <w:pStyle w:val="absatzschattenbericht"/>
        <w:rPr>
          <w:lang w:val="en-GB"/>
        </w:rPr>
      </w:pPr>
      <w:hyperlink r:id="rId11" w:history="1">
        <w:r w:rsidR="00F15E8C" w:rsidRPr="000B41E3">
          <w:rPr>
            <w:rStyle w:val="Hyperlink"/>
            <w:lang w:val="en-GB"/>
          </w:rPr>
          <w:t>https://intersex.shadowreport.org/public/2024-CAT-Finland-NGO-Intersex-StopIGM.pdf</w:t>
        </w:r>
      </w:hyperlink>
    </w:p>
    <w:p w14:paraId="0B0AFC78" w14:textId="77777777" w:rsidR="00847355" w:rsidRPr="00CF0F1C" w:rsidRDefault="00847355" w:rsidP="002A5EF8">
      <w:pPr>
        <w:pStyle w:val="absatzschattenbericht"/>
        <w:rPr>
          <w:lang w:val="en-GB"/>
        </w:rPr>
      </w:pPr>
    </w:p>
    <w:p w14:paraId="5C2F966B" w14:textId="77777777" w:rsidR="002A5EF8" w:rsidRPr="00CF0F1C" w:rsidRDefault="002A5EF8" w:rsidP="002A5EF8">
      <w:pPr>
        <w:pStyle w:val="absatzschattenbericht"/>
        <w:rPr>
          <w:lang w:val="en-GB"/>
        </w:rPr>
      </w:pPr>
    </w:p>
    <w:p w14:paraId="28AA6A4D" w14:textId="77777777" w:rsidR="002A5EF8" w:rsidRPr="00CF0F1C" w:rsidRDefault="002A5EF8" w:rsidP="002A5EF8">
      <w:pPr>
        <w:pStyle w:val="KeinAbsatzformat"/>
        <w:rPr>
          <w:rFonts w:cs="Times New Roman"/>
          <w:sz w:val="20"/>
          <w:szCs w:val="20"/>
          <w:lang w:val="en-GB"/>
        </w:rPr>
      </w:pPr>
    </w:p>
    <w:p w14:paraId="440B8188" w14:textId="33ABA98E" w:rsidR="0029151A" w:rsidRPr="00CF0F1C" w:rsidRDefault="00460B3F" w:rsidP="002A5EF8">
      <w:pPr>
        <w:pStyle w:val="EinfacherAbsatz"/>
        <w:jc w:val="center"/>
        <w:rPr>
          <w:rFonts w:ascii="Times New Roman" w:eastAsia="Arial-BoldMT" w:hAnsi="Times New Roman" w:cs="Times New Roman"/>
          <w:b/>
          <w:spacing w:val="6"/>
          <w:sz w:val="28"/>
          <w:szCs w:val="28"/>
          <w:lang w:val="en-GB" w:eastAsia="de-DE" w:bidi="ar-SA"/>
        </w:rPr>
      </w:pPr>
      <w:r w:rsidRPr="00CF0F1C">
        <w:rPr>
          <w:rFonts w:ascii="Times New Roman" w:eastAsia="Arial-BoldMT" w:hAnsi="Times New Roman" w:cs="Times New Roman"/>
          <w:b/>
          <w:noProof/>
          <w:spacing w:val="6"/>
          <w:sz w:val="28"/>
          <w:szCs w:val="28"/>
          <w:lang w:val="de-CH" w:eastAsia="de-CH" w:bidi="ar-SA"/>
        </w:rPr>
        <w:drawing>
          <wp:inline distT="0" distB="0" distL="0" distR="0" wp14:anchorId="0BD94A1A" wp14:editId="29FC6F89">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7846A33D" w14:textId="216625E7" w:rsidR="002D071E" w:rsidRPr="00CF0F1C" w:rsidRDefault="001515AB" w:rsidP="002D071E">
      <w:pPr>
        <w:pStyle w:val="Title1"/>
        <w:rPr>
          <w:rFonts w:eastAsia="Baskerville" w:cs="Times New Roman"/>
          <w:spacing w:val="2"/>
          <w:lang w:val="en-GB"/>
        </w:rPr>
      </w:pPr>
      <w:bookmarkStart w:id="0" w:name="Executive_Summary"/>
      <w:bookmarkStart w:id="1" w:name="_Toc453620701"/>
      <w:bookmarkStart w:id="2" w:name="_Toc463295397"/>
      <w:bookmarkStart w:id="3" w:name="_Toc472687681"/>
      <w:bookmarkStart w:id="4" w:name="_Toc485093562"/>
      <w:bookmarkStart w:id="5" w:name="_Toc161663930"/>
      <w:r w:rsidRPr="00CF0F1C">
        <w:rPr>
          <w:lang w:val="en-GB"/>
        </w:rPr>
        <w:lastRenderedPageBreak/>
        <w:t>Executive Summary</w:t>
      </w:r>
      <w:bookmarkEnd w:id="0"/>
      <w:bookmarkEnd w:id="1"/>
      <w:bookmarkEnd w:id="2"/>
      <w:bookmarkEnd w:id="3"/>
      <w:bookmarkEnd w:id="4"/>
      <w:bookmarkEnd w:id="5"/>
    </w:p>
    <w:p w14:paraId="0C724935" w14:textId="10BF4842" w:rsidR="007A3DE5" w:rsidRPr="00CF0F1C" w:rsidRDefault="009E6669" w:rsidP="009E6669">
      <w:pPr>
        <w:pStyle w:val="absatzschattenbericht"/>
        <w:spacing w:after="91"/>
        <w:rPr>
          <w:b/>
          <w:bCs/>
          <w:lang w:val="en-GB"/>
        </w:rPr>
      </w:pPr>
      <w:r w:rsidRPr="00CF0F1C">
        <w:rPr>
          <w:rFonts w:eastAsia="Baskerville-Bold" w:cs="Baskerville-Bold"/>
          <w:color w:val="auto"/>
          <w:lang w:val="en-GB"/>
        </w:rPr>
        <w:t xml:space="preserve">In Finland </w:t>
      </w:r>
      <w:r w:rsidRPr="00CF0F1C">
        <w:rPr>
          <w:rFonts w:eastAsia="Baskerville-Bold" w:cs="Baskerville-Bold"/>
          <w:b/>
          <w:bCs/>
          <w:color w:val="auto"/>
          <w:lang w:val="en-GB"/>
        </w:rPr>
        <w:t>all typical forms of Intersex Genital Mutilation (IGM) persist with impunity</w:t>
      </w:r>
      <w:r w:rsidRPr="00CF0F1C">
        <w:rPr>
          <w:rFonts w:eastAsia="Baskerville-Bold" w:cs="Baskerville-Bold"/>
          <w:color w:val="auto"/>
          <w:lang w:val="en-GB"/>
        </w:rPr>
        <w:t xml:space="preserve">, </w:t>
      </w:r>
      <w:proofErr w:type="gramStart"/>
      <w:r w:rsidRPr="00CF0F1C">
        <w:rPr>
          <w:rFonts w:eastAsia="Baskerville-Bold" w:cs="Baskerville-Bold"/>
          <w:color w:val="auto"/>
          <w:lang w:val="en-GB"/>
        </w:rPr>
        <w:t>facilitated</w:t>
      </w:r>
      <w:proofErr w:type="gramEnd"/>
      <w:r w:rsidRPr="00CF0F1C">
        <w:rPr>
          <w:rFonts w:eastAsia="Baskerville-Bold" w:cs="Baskerville-Bold"/>
          <w:color w:val="auto"/>
          <w:lang w:val="en-GB"/>
        </w:rPr>
        <w:t xml:space="preserve"> and </w:t>
      </w:r>
      <w:r w:rsidRPr="00CF0F1C">
        <w:rPr>
          <w:rFonts w:eastAsia="Baskerville-Bold" w:cs="Baskerville-Bold"/>
          <w:b/>
          <w:color w:val="auto"/>
          <w:lang w:val="en-GB"/>
        </w:rPr>
        <w:t>paid for by the State party</w:t>
      </w:r>
      <w:r w:rsidRPr="00CF0F1C">
        <w:rPr>
          <w:rFonts w:eastAsia="Baskerville-Bold" w:cs="Baskerville-Bold"/>
          <w:color w:val="auto"/>
          <w:lang w:val="en-GB"/>
        </w:rPr>
        <w:t xml:space="preserve"> via the </w:t>
      </w:r>
      <w:r w:rsidRPr="00CF0F1C">
        <w:rPr>
          <w:rFonts w:eastAsia="Baskerville-Bold" w:cs="Baskerville-Bold"/>
          <w:b/>
          <w:color w:val="auto"/>
          <w:lang w:val="en-GB"/>
        </w:rPr>
        <w:t>public health system.</w:t>
      </w:r>
    </w:p>
    <w:p w14:paraId="1FAEFBF4" w14:textId="7822A58D" w:rsidR="007A3DE5" w:rsidRPr="00CF0F1C" w:rsidRDefault="007A3DE5" w:rsidP="009E6669">
      <w:pPr>
        <w:pStyle w:val="absatzschattenbericht"/>
        <w:spacing w:after="91"/>
        <w:rPr>
          <w:rFonts w:eastAsia="Baskerville-Bold" w:cs="Baskerville-Bold"/>
          <w:color w:val="auto"/>
          <w:lang w:val="en-GB"/>
        </w:rPr>
      </w:pPr>
      <w:r w:rsidRPr="00CF0F1C">
        <w:rPr>
          <w:rFonts w:eastAsia="Baskerville-Bold" w:cs="Baskerville-Bold"/>
          <w:color w:val="auto"/>
          <w:lang w:val="en-GB"/>
        </w:rPr>
        <w:t>Finnish intersex advocates</w:t>
      </w:r>
      <w:r w:rsidR="009E6669" w:rsidRPr="00CF0F1C">
        <w:rPr>
          <w:rFonts w:eastAsia="Baskerville-Bold" w:cs="Baskerville-Bold"/>
          <w:color w:val="auto"/>
          <w:lang w:val="en-GB"/>
        </w:rPr>
        <w:t>,</w:t>
      </w:r>
      <w:r w:rsidR="008A2F9D" w:rsidRPr="00CF0F1C">
        <w:rPr>
          <w:rFonts w:eastAsia="Baskerville-Bold" w:cs="Baskerville-Bold"/>
          <w:color w:val="auto"/>
          <w:lang w:val="en-GB"/>
        </w:rPr>
        <w:t xml:space="preserve"> </w:t>
      </w:r>
      <w:r w:rsidRPr="00CF0F1C">
        <w:rPr>
          <w:rFonts w:eastAsia="Baskerville-Bold" w:cs="Baskerville-Bold"/>
          <w:color w:val="auto"/>
          <w:lang w:val="en-GB"/>
        </w:rPr>
        <w:t xml:space="preserve">NGOs, </w:t>
      </w:r>
      <w:r w:rsidR="000C3493" w:rsidRPr="00CF0F1C">
        <w:rPr>
          <w:rFonts w:eastAsia="Baskerville-Bold" w:cs="Baskerville-Bold"/>
          <w:color w:val="auto"/>
          <w:lang w:val="en-GB"/>
        </w:rPr>
        <w:t xml:space="preserve">government, </w:t>
      </w:r>
      <w:r w:rsidRPr="00CF0F1C">
        <w:rPr>
          <w:rFonts w:eastAsia="Baskerville-Bold" w:cs="Baskerville-Bold"/>
          <w:color w:val="auto"/>
          <w:lang w:val="en-GB"/>
        </w:rPr>
        <w:t xml:space="preserve">ethics and human rights </w:t>
      </w:r>
      <w:r w:rsidR="002F20DF" w:rsidRPr="00CF0F1C">
        <w:rPr>
          <w:rFonts w:eastAsia="Baskerville-Bold" w:cs="Baskerville-Bold"/>
          <w:color w:val="auto"/>
          <w:lang w:val="en-GB"/>
        </w:rPr>
        <w:t xml:space="preserve">bodies </w:t>
      </w:r>
      <w:r w:rsidRPr="00CF0F1C">
        <w:rPr>
          <w:rFonts w:eastAsia="Baskerville-Bold" w:cs="Baskerville-Bold"/>
          <w:color w:val="auto"/>
          <w:lang w:val="en-GB"/>
        </w:rPr>
        <w:t xml:space="preserve">and some medical professionals have </w:t>
      </w:r>
      <w:r w:rsidRPr="00CF0F1C">
        <w:rPr>
          <w:rFonts w:eastAsia="Baskerville-Bold" w:cs="Baskerville-Bold"/>
          <w:b/>
          <w:bCs/>
          <w:color w:val="auto"/>
          <w:lang w:val="en-GB"/>
        </w:rPr>
        <w:t>publicly criticised IGM practices</w:t>
      </w:r>
      <w:r w:rsidRPr="00CF0F1C">
        <w:rPr>
          <w:rFonts w:eastAsia="Baskerville-Bold" w:cs="Baskerville-Bold"/>
          <w:color w:val="auto"/>
          <w:lang w:val="en-GB"/>
        </w:rPr>
        <w:t xml:space="preserve"> in Finland for years, </w:t>
      </w:r>
      <w:r w:rsidRPr="00CF0F1C">
        <w:rPr>
          <w:rFonts w:eastAsia="Baskerville-Bold" w:cs="Baskerville-Bold"/>
          <w:b/>
          <w:bCs/>
          <w:color w:val="auto"/>
          <w:lang w:val="en-GB"/>
        </w:rPr>
        <w:t>calling for a prohibition</w:t>
      </w:r>
      <w:r w:rsidRPr="00CF0F1C">
        <w:rPr>
          <w:rFonts w:eastAsia="Baskerville-Bold" w:cs="Baskerville-Bold"/>
          <w:color w:val="auto"/>
          <w:lang w:val="en-GB"/>
        </w:rPr>
        <w:t xml:space="preserve"> of all </w:t>
      </w:r>
      <w:r w:rsidR="008A2F9D" w:rsidRPr="00CF0F1C">
        <w:rPr>
          <w:rFonts w:eastAsia="Baskerville-Bold" w:cs="Baskerville-Bold"/>
          <w:color w:val="auto"/>
          <w:lang w:val="en-GB"/>
        </w:rPr>
        <w:t>non-urgent surgical and other procedures on intersex children before they can give informed consent</w:t>
      </w:r>
      <w:r w:rsidR="002B4162" w:rsidRPr="00CF0F1C">
        <w:rPr>
          <w:rFonts w:eastAsia="Baskerville-Bold" w:cs="Baskerville-Bold"/>
          <w:color w:val="auto"/>
          <w:lang w:val="en-GB"/>
        </w:rPr>
        <w:t>,</w:t>
      </w:r>
      <w:r w:rsidR="008A2F9D" w:rsidRPr="00CF0F1C">
        <w:rPr>
          <w:rFonts w:eastAsia="Baskerville-Bold" w:cs="Baskerville-Bold"/>
          <w:color w:val="auto"/>
          <w:lang w:val="en-GB"/>
        </w:rPr>
        <w:t xml:space="preserve"> and for </w:t>
      </w:r>
      <w:r w:rsidR="008A2F9D" w:rsidRPr="00CF0F1C">
        <w:rPr>
          <w:rFonts w:eastAsia="Baskerville-Bold" w:cs="Baskerville-Bold"/>
          <w:b/>
          <w:bCs/>
          <w:color w:val="auto"/>
          <w:lang w:val="en-GB"/>
        </w:rPr>
        <w:t xml:space="preserve">equal </w:t>
      </w:r>
      <w:r w:rsidRPr="00CF0F1C">
        <w:rPr>
          <w:rFonts w:eastAsia="Baskerville-Bold" w:cs="Baskerville-Bold"/>
          <w:b/>
          <w:bCs/>
          <w:color w:val="auto"/>
          <w:lang w:val="en-GB"/>
        </w:rPr>
        <w:t>access to justice and redress</w:t>
      </w:r>
      <w:r w:rsidRPr="00CF0F1C">
        <w:rPr>
          <w:rFonts w:eastAsia="Baskerville-Bold" w:cs="Baskerville-Bold"/>
          <w:color w:val="auto"/>
          <w:lang w:val="en-GB"/>
        </w:rPr>
        <w:t xml:space="preserve"> for IGM survivors.</w:t>
      </w:r>
    </w:p>
    <w:p w14:paraId="22521588" w14:textId="47A13DA2" w:rsidR="007A3DE5" w:rsidRPr="00CF0F1C" w:rsidRDefault="008A2F9D" w:rsidP="009E6669">
      <w:pPr>
        <w:pStyle w:val="absatzschattenbericht"/>
        <w:rPr>
          <w:rFonts w:cs="Times New Roman"/>
          <w:lang w:val="en-GB"/>
        </w:rPr>
      </w:pPr>
      <w:r w:rsidRPr="00CF0F1C">
        <w:rPr>
          <w:rFonts w:cs="Times New Roman"/>
          <w:lang w:val="en-GB"/>
        </w:rPr>
        <w:t xml:space="preserve">The </w:t>
      </w:r>
      <w:r w:rsidRPr="00CF0F1C">
        <w:rPr>
          <w:rFonts w:cs="Times New Roman"/>
          <w:b/>
          <w:bCs/>
          <w:lang w:val="en-GB"/>
        </w:rPr>
        <w:t xml:space="preserve">Finnish government admits </w:t>
      </w:r>
      <w:r w:rsidRPr="0021555B">
        <w:rPr>
          <w:rFonts w:cs="Times New Roman"/>
          <w:lang w:val="en-GB"/>
        </w:rPr>
        <w:t>to the ongoing practice</w:t>
      </w:r>
      <w:r w:rsidR="009E6669" w:rsidRPr="00CF0F1C">
        <w:rPr>
          <w:rFonts w:cs="Times New Roman"/>
          <w:lang w:val="en-GB"/>
        </w:rPr>
        <w:t xml:space="preserve">, and </w:t>
      </w:r>
      <w:r w:rsidR="009E6669" w:rsidRPr="00CF0F1C">
        <w:rPr>
          <w:rFonts w:eastAsia="Baskerville-Bold" w:cs="Baskerville-Bold"/>
          <w:b/>
          <w:bCs/>
          <w:color w:val="auto"/>
          <w:lang w:val="en-GB"/>
        </w:rPr>
        <w:t xml:space="preserve">pledges to protect </w:t>
      </w:r>
      <w:r w:rsidR="009E6669" w:rsidRPr="0021555B">
        <w:rPr>
          <w:rFonts w:eastAsia="Baskerville-Bold" w:cs="Baskerville-Bold"/>
          <w:color w:val="auto"/>
          <w:lang w:val="en-GB"/>
        </w:rPr>
        <w:t>intersex children from cosmetic genital surgery</w:t>
      </w:r>
      <w:r w:rsidR="009E6669" w:rsidRPr="00CF0F1C">
        <w:rPr>
          <w:rFonts w:eastAsia="Baskerville-Bold" w:cs="Baskerville-Bold"/>
          <w:b/>
          <w:bCs/>
          <w:color w:val="auto"/>
          <w:lang w:val="en-GB"/>
        </w:rPr>
        <w:t>.</w:t>
      </w:r>
      <w:r w:rsidRPr="00CF0F1C">
        <w:rPr>
          <w:rFonts w:cs="Times New Roman"/>
          <w:lang w:val="en-GB"/>
        </w:rPr>
        <w:t xml:space="preserve"> However, so far </w:t>
      </w:r>
      <w:r w:rsidR="009E6669" w:rsidRPr="00CF0F1C">
        <w:rPr>
          <w:rFonts w:cs="Times New Roman"/>
          <w:lang w:val="en-GB"/>
        </w:rPr>
        <w:t>it</w:t>
      </w:r>
      <w:r w:rsidRPr="00CF0F1C">
        <w:rPr>
          <w:rFonts w:cs="Times New Roman"/>
          <w:b/>
          <w:bCs/>
          <w:lang w:val="en-GB"/>
        </w:rPr>
        <w:t xml:space="preserve"> fails </w:t>
      </w:r>
      <w:r w:rsidRPr="00CF0F1C">
        <w:rPr>
          <w:rFonts w:eastAsia="Baskerville-SemiBold" w:cs="Times New Roman"/>
          <w:b/>
          <w:bCs/>
          <w:lang w:val="en-GB"/>
        </w:rPr>
        <w:t xml:space="preserve">to </w:t>
      </w:r>
      <w:r w:rsidRPr="00CF0F1C">
        <w:rPr>
          <w:rFonts w:eastAsia="Baskerville-SemiBoldItalic" w:cs="Times New Roman"/>
          <w:b/>
          <w:bCs/>
          <w:lang w:val="en-GB"/>
        </w:rPr>
        <w:t>take effective legislative</w:t>
      </w:r>
      <w:r w:rsidR="009E6669" w:rsidRPr="00CF0F1C">
        <w:rPr>
          <w:rFonts w:eastAsia="Baskerville-SemiBoldItalic" w:cs="Times New Roman"/>
          <w:b/>
          <w:bCs/>
          <w:lang w:val="en-GB"/>
        </w:rPr>
        <w:t xml:space="preserve"> and</w:t>
      </w:r>
      <w:r w:rsidRPr="00CF0F1C">
        <w:rPr>
          <w:rFonts w:eastAsia="Baskerville-SemiBoldItalic" w:cs="Times New Roman"/>
          <w:b/>
          <w:bCs/>
          <w:lang w:val="en-GB"/>
        </w:rPr>
        <w:t xml:space="preserve"> other measures</w:t>
      </w:r>
      <w:r w:rsidRPr="00CF0F1C">
        <w:rPr>
          <w:rFonts w:cs="Times New Roman"/>
          <w:b/>
          <w:bCs/>
          <w:lang w:val="en-GB"/>
        </w:rPr>
        <w:t>.</w:t>
      </w:r>
    </w:p>
    <w:p w14:paraId="6BD3B45F" w14:textId="77777777" w:rsidR="0021555B" w:rsidRPr="001D710A" w:rsidRDefault="0021555B" w:rsidP="0021555B">
      <w:pPr>
        <w:pStyle w:val="absatzschattenbericht"/>
        <w:spacing w:after="100" w:line="276" w:lineRule="auto"/>
        <w:rPr>
          <w:rFonts w:eastAsia="Times New Roman" w:cs="Times New Roman"/>
          <w:color w:val="auto"/>
          <w:lang w:val="en-GB" w:eastAsia="hi-IN"/>
        </w:rPr>
      </w:pPr>
      <w:r w:rsidRPr="001D710A">
        <w:rPr>
          <w:rFonts w:eastAsia="Times New Roman" w:cs="Times New Roman"/>
          <w:b/>
          <w:bCs/>
          <w:lang w:val="en-GB" w:eastAsia="hi-IN"/>
        </w:rPr>
        <w:t>This Committee has repeatedly recognised IGM practices to constitute ill-treatment</w:t>
      </w:r>
      <w:r w:rsidRPr="001D710A">
        <w:rPr>
          <w:rFonts w:eastAsia="Times New Roman" w:cs="Times New Roman"/>
          <w:lang w:val="en-GB" w:eastAsia="hi-IN"/>
        </w:rPr>
        <w:t xml:space="preserve">, and called for </w:t>
      </w:r>
      <w:r w:rsidRPr="001D710A">
        <w:rPr>
          <w:rFonts w:eastAsia="Times New Roman" w:cs="Times New Roman"/>
          <w:b/>
          <w:lang w:val="en-GB" w:eastAsia="hi-IN"/>
        </w:rPr>
        <w:t>legislation</w:t>
      </w:r>
      <w:r w:rsidRPr="001D710A">
        <w:rPr>
          <w:rFonts w:eastAsia="Times New Roman" w:cs="Times New Roman"/>
          <w:lang w:val="en-GB" w:eastAsia="hi-IN"/>
        </w:rPr>
        <w:t xml:space="preserve"> to </w:t>
      </w:r>
      <w:r w:rsidRPr="001D710A">
        <w:rPr>
          <w:rFonts w:eastAsia="Times New Roman" w:cs="Times New Roman"/>
          <w:b/>
          <w:lang w:val="en-GB" w:eastAsia="hi-IN"/>
        </w:rPr>
        <w:t>(a)</w:t>
      </w:r>
      <w:r w:rsidRPr="001D710A">
        <w:rPr>
          <w:rFonts w:eastAsia="Times New Roman" w:cs="Times New Roman"/>
          <w:lang w:val="en-GB" w:eastAsia="hi-IN"/>
        </w:rPr>
        <w:t xml:space="preserve"> end the practice, </w:t>
      </w:r>
      <w:r w:rsidRPr="001D710A">
        <w:rPr>
          <w:rFonts w:eastAsia="Times New Roman" w:cs="Times New Roman"/>
          <w:b/>
          <w:lang w:val="en-GB" w:eastAsia="hi-IN"/>
        </w:rPr>
        <w:t>(b)</w:t>
      </w:r>
      <w:r w:rsidRPr="001D710A">
        <w:rPr>
          <w:rFonts w:eastAsia="Times New Roman" w:cs="Times New Roman"/>
          <w:lang w:val="en-GB" w:eastAsia="hi-IN"/>
        </w:rPr>
        <w:t xml:space="preserve"> ensure redress and compensation, and</w:t>
      </w:r>
      <w:r w:rsidRPr="001D710A">
        <w:rPr>
          <w:rFonts w:eastAsia="Times New Roman" w:cs="Times New Roman"/>
          <w:b/>
          <w:lang w:val="en-GB" w:eastAsia="hi-IN"/>
        </w:rPr>
        <w:t xml:space="preserve"> (c)</w:t>
      </w:r>
      <w:r w:rsidRPr="001D710A">
        <w:rPr>
          <w:rFonts w:eastAsia="Times New Roman" w:cs="Times New Roman"/>
          <w:lang w:val="en-GB" w:eastAsia="hi-IN"/>
        </w:rPr>
        <w:t xml:space="preserve"> to provide access to free counselling (CAT/C/DEU/CO/5, para 20; CAT/C/CHE/CO/7, para 20; CAT/C/AUT/CO/6, paras 44-45; CAT/C/DNK/CO/6-7, paras 42-43; CAT/C/CHN-HKG/CO/4-5, paras 28-29; CAT/C/FRA/CO/7, paras 32-33; CAT/C/NLD/CO/7, paras 52-53). </w:t>
      </w:r>
    </w:p>
    <w:p w14:paraId="33BB7EB3" w14:textId="77777777" w:rsidR="0021555B" w:rsidRDefault="0021555B" w:rsidP="0021555B">
      <w:pPr>
        <w:pStyle w:val="absatzschattenbericht"/>
        <w:spacing w:after="100" w:line="276" w:lineRule="auto"/>
        <w:rPr>
          <w:rFonts w:eastAsia="Times New Roman" w:cs="Times New Roman"/>
          <w:color w:val="auto"/>
          <w:lang w:val="en-GB" w:eastAsia="hi-IN"/>
        </w:rPr>
      </w:pPr>
      <w:r w:rsidRPr="001D710A">
        <w:rPr>
          <w:rFonts w:eastAsia="Times New Roman" w:cs="Times New Roman"/>
          <w:color w:val="auto"/>
          <w:lang w:val="en-GB" w:eastAsia="hi-IN"/>
        </w:rPr>
        <w:t xml:space="preserve">In addition, </w:t>
      </w:r>
      <w:r>
        <w:rPr>
          <w:rFonts w:eastAsia="Times New Roman" w:cs="Times New Roman"/>
          <w:b/>
          <w:bCs/>
          <w:color w:val="auto"/>
          <w:lang w:val="en-GB" w:eastAsia="hi-IN"/>
        </w:rPr>
        <w:t>CCPR</w:t>
      </w:r>
      <w:r w:rsidRPr="001D710A">
        <w:rPr>
          <w:rFonts w:eastAsia="Times New Roman" w:cs="Times New Roman"/>
          <w:b/>
          <w:bCs/>
          <w:color w:val="auto"/>
          <w:lang w:val="en-GB" w:eastAsia="hi-IN"/>
        </w:rPr>
        <w:t xml:space="preserve"> </w:t>
      </w:r>
      <w:r w:rsidRPr="001D710A">
        <w:rPr>
          <w:rFonts w:eastAsia="Times New Roman" w:cs="Times New Roman"/>
          <w:color w:val="auto"/>
          <w:lang w:val="en-GB" w:eastAsia="hi-IN"/>
        </w:rPr>
        <w:t xml:space="preserve">has already </w:t>
      </w:r>
      <w:r w:rsidRPr="001D710A">
        <w:rPr>
          <w:rFonts w:eastAsia="Times New Roman" w:cs="Times New Roman"/>
          <w:b/>
          <w:bCs/>
          <w:color w:val="auto"/>
          <w:lang w:val="en-GB" w:eastAsia="hi-IN"/>
        </w:rPr>
        <w:t xml:space="preserve">considered IGM in </w:t>
      </w:r>
      <w:r>
        <w:rPr>
          <w:rFonts w:eastAsia="Times New Roman" w:cs="Times New Roman"/>
          <w:b/>
          <w:bCs/>
          <w:color w:val="auto"/>
          <w:lang w:val="en-GB" w:eastAsia="hi-IN"/>
        </w:rPr>
        <w:t xml:space="preserve">Finland </w:t>
      </w:r>
      <w:r w:rsidRPr="001D710A">
        <w:rPr>
          <w:rFonts w:eastAsia="Times New Roman" w:cs="Times New Roman"/>
          <w:bCs/>
          <w:color w:val="auto"/>
          <w:lang w:val="en-GB" w:eastAsia="hi-IN"/>
        </w:rPr>
        <w:t xml:space="preserve">as </w:t>
      </w:r>
      <w:r>
        <w:rPr>
          <w:rFonts w:eastAsia="Times New Roman" w:cs="Times New Roman"/>
          <w:b/>
          <w:color w:val="auto"/>
          <w:lang w:val="en-GB" w:eastAsia="hi-IN"/>
        </w:rPr>
        <w:t>inhuman treatment</w:t>
      </w:r>
      <w:r w:rsidRPr="001D710A">
        <w:rPr>
          <w:rFonts w:eastAsia="Times New Roman" w:cs="Times New Roman"/>
          <w:bCs/>
          <w:color w:val="auto"/>
          <w:lang w:val="en-GB" w:eastAsia="hi-IN"/>
        </w:rPr>
        <w:t xml:space="preserve"> (</w:t>
      </w:r>
      <w:r w:rsidRPr="00383C48">
        <w:rPr>
          <w:rFonts w:cs="Times New Roman"/>
        </w:rPr>
        <w:t>CCPR/C/FIN/CO/7, paras 20+21(c)</w:t>
      </w:r>
      <w:r w:rsidRPr="001D710A">
        <w:rPr>
          <w:rFonts w:cs="Times New Roman"/>
        </w:rPr>
        <w:t>)</w:t>
      </w:r>
      <w:r>
        <w:rPr>
          <w:rFonts w:cs="Times New Roman"/>
        </w:rPr>
        <w:t xml:space="preserve"> and </w:t>
      </w:r>
      <w:r>
        <w:rPr>
          <w:rFonts w:eastAsia="Times New Roman" w:cs="Times New Roman"/>
          <w:b/>
          <w:bCs/>
          <w:color w:val="auto"/>
          <w:lang w:val="en-GB" w:eastAsia="hi-IN"/>
        </w:rPr>
        <w:t>CRC</w:t>
      </w:r>
      <w:r w:rsidRPr="001D710A">
        <w:rPr>
          <w:rFonts w:eastAsia="Times New Roman" w:cs="Times New Roman"/>
          <w:bCs/>
          <w:color w:val="auto"/>
          <w:lang w:val="en-GB" w:eastAsia="hi-IN"/>
        </w:rPr>
        <w:t xml:space="preserve"> </w:t>
      </w:r>
      <w:r>
        <w:rPr>
          <w:rFonts w:eastAsia="Times New Roman" w:cs="Times New Roman"/>
          <w:bCs/>
          <w:color w:val="auto"/>
          <w:lang w:val="en-GB" w:eastAsia="hi-IN"/>
        </w:rPr>
        <w:t xml:space="preserve">and </w:t>
      </w:r>
      <w:r>
        <w:rPr>
          <w:rFonts w:eastAsia="Times New Roman" w:cs="Times New Roman"/>
          <w:b/>
          <w:color w:val="auto"/>
          <w:lang w:val="en-GB" w:eastAsia="hi-IN"/>
        </w:rPr>
        <w:t xml:space="preserve">CEDAW </w:t>
      </w:r>
      <w:r w:rsidRPr="001D710A">
        <w:rPr>
          <w:rFonts w:eastAsia="Times New Roman" w:cs="Times New Roman"/>
          <w:bCs/>
          <w:color w:val="auto"/>
          <w:lang w:val="en-GB" w:eastAsia="hi-IN"/>
        </w:rPr>
        <w:t xml:space="preserve">as a </w:t>
      </w:r>
      <w:r>
        <w:rPr>
          <w:rFonts w:eastAsia="Times New Roman" w:cs="Times New Roman"/>
          <w:b/>
          <w:bCs/>
          <w:color w:val="auto"/>
          <w:lang w:val="en-GB" w:eastAsia="hi-IN"/>
        </w:rPr>
        <w:t>harmful practice</w:t>
      </w:r>
      <w:r w:rsidRPr="001D710A">
        <w:rPr>
          <w:rFonts w:eastAsia="Times New Roman" w:cs="Times New Roman"/>
          <w:bCs/>
          <w:color w:val="auto"/>
          <w:lang w:val="en-GB" w:eastAsia="hi-IN"/>
        </w:rPr>
        <w:t xml:space="preserve"> (</w:t>
      </w:r>
      <w:r w:rsidRPr="004D53D9">
        <w:rPr>
          <w:rFonts w:eastAsia="Times New Roman" w:cs="Times New Roman"/>
          <w:bCs/>
          <w:color w:val="auto"/>
          <w:lang w:eastAsia="hi-IN"/>
        </w:rPr>
        <w:t>CRC/C/FIN/CO/5-6, paras 24(a)+(b)</w:t>
      </w:r>
      <w:r>
        <w:rPr>
          <w:rFonts w:eastAsia="Times New Roman" w:cs="Times New Roman"/>
          <w:bCs/>
          <w:color w:val="auto"/>
          <w:lang w:eastAsia="hi-IN"/>
        </w:rPr>
        <w:t xml:space="preserve">; </w:t>
      </w:r>
      <w:r w:rsidRPr="004D53D9">
        <w:rPr>
          <w:rFonts w:eastAsia="Times New Roman" w:cs="Times New Roman"/>
          <w:bCs/>
          <w:color w:val="auto"/>
          <w:lang w:eastAsia="hi-IN"/>
        </w:rPr>
        <w:t>CEDAW/C/FIN/CO/8, paras 21(b)+22(b)</w:t>
      </w:r>
      <w:r w:rsidRPr="001D710A">
        <w:rPr>
          <w:rFonts w:eastAsia="Times New Roman" w:cs="Times New Roman"/>
          <w:bCs/>
          <w:color w:val="auto"/>
          <w:lang w:val="en-GB" w:eastAsia="hi-IN"/>
        </w:rPr>
        <w:t>)</w:t>
      </w:r>
      <w:r w:rsidRPr="001D710A">
        <w:rPr>
          <w:rFonts w:eastAsia="Times New Roman" w:cs="Times New Roman"/>
          <w:color w:val="auto"/>
          <w:lang w:val="en-GB" w:eastAsia="hi-IN"/>
        </w:rPr>
        <w:t xml:space="preserve">. </w:t>
      </w:r>
    </w:p>
    <w:p w14:paraId="69E31986" w14:textId="111EB2B8" w:rsidR="00A35359" w:rsidRPr="00CF0F1C" w:rsidRDefault="00A35359" w:rsidP="00A35359">
      <w:pPr>
        <w:pStyle w:val="absatzschattenbericht"/>
        <w:spacing w:after="30" w:line="264" w:lineRule="auto"/>
        <w:rPr>
          <w:color w:val="auto"/>
          <w:lang w:val="en-GB"/>
        </w:rPr>
      </w:pPr>
      <w:r w:rsidRPr="00CF0F1C">
        <w:rPr>
          <w:color w:val="auto"/>
          <w:lang w:val="en-GB"/>
        </w:rPr>
        <w:t xml:space="preserve">In total, UN treaty bodies </w:t>
      </w:r>
      <w:r w:rsidRPr="00CF0F1C">
        <w:rPr>
          <w:b/>
          <w:color w:val="auto"/>
          <w:lang w:val="en-GB"/>
        </w:rPr>
        <w:t xml:space="preserve">CRC, CAT, CCPR, CEDAW </w:t>
      </w:r>
      <w:r w:rsidRPr="00CF0F1C">
        <w:rPr>
          <w:color w:val="auto"/>
          <w:lang w:val="en-GB"/>
        </w:rPr>
        <w:t xml:space="preserve">and </w:t>
      </w:r>
      <w:r w:rsidRPr="00CF0F1C">
        <w:rPr>
          <w:b/>
          <w:color w:val="auto"/>
          <w:lang w:val="en-GB"/>
        </w:rPr>
        <w:t>CRPD</w:t>
      </w:r>
      <w:r w:rsidRPr="00CF0F1C">
        <w:rPr>
          <w:color w:val="auto"/>
          <w:lang w:val="en-GB"/>
        </w:rPr>
        <w:t xml:space="preserve"> have so far issued </w:t>
      </w:r>
      <w:r w:rsidR="00711EA1">
        <w:rPr>
          <w:b/>
          <w:bCs/>
          <w:color w:val="auto"/>
          <w:lang w:val="en-GB"/>
        </w:rPr>
        <w:t>90</w:t>
      </w:r>
      <w:r w:rsidRPr="00CF0F1C">
        <w:rPr>
          <w:b/>
          <w:bCs/>
          <w:color w:val="auto"/>
          <w:lang w:val="en-GB"/>
        </w:rPr>
        <w:t xml:space="preserve"> Concluding Observations </w:t>
      </w:r>
      <w:r w:rsidRPr="00CF0F1C">
        <w:rPr>
          <w:color w:val="auto"/>
          <w:lang w:val="en-GB"/>
        </w:rPr>
        <w:t>recognising</w:t>
      </w:r>
      <w:r w:rsidRPr="00CF0F1C">
        <w:rPr>
          <w:b/>
          <w:bCs/>
          <w:color w:val="auto"/>
          <w:lang w:val="en-GB"/>
        </w:rPr>
        <w:t xml:space="preserve"> IGM </w:t>
      </w:r>
      <w:r w:rsidRPr="00CF0F1C">
        <w:rPr>
          <w:color w:val="auto"/>
          <w:lang w:val="en-GB"/>
        </w:rPr>
        <w:t>as a</w:t>
      </w:r>
      <w:r w:rsidRPr="00CF0F1C">
        <w:rPr>
          <w:b/>
          <w:bCs/>
          <w:color w:val="auto"/>
          <w:lang w:val="en-GB"/>
        </w:rPr>
        <w:t xml:space="preserve"> serious violation of non-</w:t>
      </w:r>
      <w:proofErr w:type="spellStart"/>
      <w:r w:rsidRPr="00CF0F1C">
        <w:rPr>
          <w:b/>
          <w:bCs/>
          <w:color w:val="auto"/>
          <w:lang w:val="en-GB"/>
        </w:rPr>
        <w:t>derogable</w:t>
      </w:r>
      <w:proofErr w:type="spellEnd"/>
      <w:r w:rsidRPr="00CF0F1C">
        <w:rPr>
          <w:b/>
          <w:bCs/>
          <w:color w:val="auto"/>
          <w:lang w:val="en-GB"/>
        </w:rPr>
        <w:t xml:space="preserve"> human rights</w:t>
      </w:r>
      <w:r w:rsidRPr="00CF0F1C">
        <w:rPr>
          <w:color w:val="auto"/>
          <w:lang w:val="en-GB"/>
        </w:rPr>
        <w:t xml:space="preserve">, typically obliging State parties to </w:t>
      </w:r>
      <w:r w:rsidRPr="00CF0F1C">
        <w:rPr>
          <w:b/>
          <w:color w:val="auto"/>
          <w:lang w:val="en-GB"/>
        </w:rPr>
        <w:t>enact legislation</w:t>
      </w:r>
      <w:r w:rsidRPr="00CF0F1C">
        <w:rPr>
          <w:color w:val="auto"/>
          <w:lang w:val="en-GB"/>
        </w:rPr>
        <w:t xml:space="preserve"> to </w:t>
      </w:r>
      <w:r w:rsidRPr="00CF0F1C">
        <w:rPr>
          <w:b/>
          <w:bCs/>
          <w:color w:val="auto"/>
          <w:lang w:val="en-GB"/>
        </w:rPr>
        <w:t>(a)</w:t>
      </w:r>
      <w:r w:rsidRPr="00CF0F1C">
        <w:rPr>
          <w:color w:val="auto"/>
          <w:lang w:val="en-GB"/>
        </w:rPr>
        <w:t xml:space="preserve"> end the practice and </w:t>
      </w:r>
      <w:r w:rsidRPr="00CF0F1C">
        <w:rPr>
          <w:b/>
          <w:bCs/>
          <w:color w:val="auto"/>
          <w:lang w:val="en-GB"/>
        </w:rPr>
        <w:t>(b)</w:t>
      </w:r>
      <w:r w:rsidRPr="00CF0F1C">
        <w:rPr>
          <w:color w:val="auto"/>
          <w:lang w:val="en-GB"/>
        </w:rPr>
        <w:t xml:space="preserve"> ensure redress and compensation, plus </w:t>
      </w:r>
      <w:r w:rsidRPr="00CF0F1C">
        <w:rPr>
          <w:b/>
          <w:bCs/>
          <w:color w:val="auto"/>
          <w:lang w:val="en-GB"/>
        </w:rPr>
        <w:t>(c)</w:t>
      </w:r>
      <w:r w:rsidRPr="00CF0F1C">
        <w:rPr>
          <w:color w:val="auto"/>
          <w:lang w:val="en-GB"/>
        </w:rPr>
        <w:t xml:space="preserve"> access to free counselling. Also, the UN</w:t>
      </w:r>
      <w:r w:rsidRPr="00CF0F1C">
        <w:rPr>
          <w:color w:val="auto"/>
          <w:kern w:val="24"/>
          <w:lang w:val="en-GB"/>
        </w:rPr>
        <w:t> </w:t>
      </w:r>
      <w:r w:rsidRPr="00CF0F1C">
        <w:rPr>
          <w:color w:val="auto"/>
          <w:lang w:val="en-GB"/>
        </w:rPr>
        <w:t>Special Rapporteurs on Torture (</w:t>
      </w:r>
      <w:r w:rsidRPr="00CF0F1C">
        <w:rPr>
          <w:rStyle w:val="verweis"/>
          <w:rFonts w:ascii="Times New Roman" w:hAnsi="Times New Roman"/>
          <w:color w:val="auto"/>
        </w:rPr>
        <w:t>SRT</w:t>
      </w:r>
      <w:r w:rsidRPr="00CF0F1C">
        <w:rPr>
          <w:color w:val="auto"/>
          <w:lang w:val="en-GB"/>
        </w:rPr>
        <w:t>) and on Health (</w:t>
      </w:r>
      <w:r w:rsidRPr="00CF0F1C">
        <w:rPr>
          <w:rStyle w:val="verweis"/>
          <w:rFonts w:ascii="Times New Roman" w:hAnsi="Times New Roman"/>
          <w:color w:val="auto"/>
        </w:rPr>
        <w:t>SRH</w:t>
      </w:r>
      <w:r w:rsidRPr="00CF0F1C">
        <w:rPr>
          <w:color w:val="auto"/>
          <w:lang w:val="en-GB"/>
        </w:rPr>
        <w:t>), the UN High Commissioner for Human Rights (</w:t>
      </w:r>
      <w:r w:rsidRPr="00CF0F1C">
        <w:rPr>
          <w:rStyle w:val="verweis"/>
          <w:rFonts w:ascii="Times New Roman" w:hAnsi="Times New Roman"/>
          <w:color w:val="auto"/>
        </w:rPr>
        <w:t>UNHCHR</w:t>
      </w:r>
      <w:r w:rsidRPr="00CF0F1C">
        <w:rPr>
          <w:color w:val="auto"/>
          <w:lang w:val="en-GB"/>
        </w:rPr>
        <w:t>), the World Health Organisation (</w:t>
      </w:r>
      <w:r w:rsidRPr="00CF0F1C">
        <w:rPr>
          <w:rStyle w:val="verweis"/>
          <w:rFonts w:ascii="Times New Roman" w:hAnsi="Times New Roman"/>
          <w:color w:val="auto"/>
        </w:rPr>
        <w:t>WHO</w:t>
      </w:r>
      <w:r w:rsidRPr="00CF0F1C">
        <w:rPr>
          <w:color w:val="auto"/>
          <w:lang w:val="en-GB"/>
        </w:rPr>
        <w:t xml:space="preserve">), </w:t>
      </w:r>
      <w:r w:rsidRPr="00CF0F1C">
        <w:rPr>
          <w:lang w:val="en-GB"/>
        </w:rPr>
        <w:t>the Inter-American Commission on Human Rights (</w:t>
      </w:r>
      <w:r w:rsidRPr="00CF0F1C">
        <w:rPr>
          <w:b/>
          <w:lang w:val="en-GB"/>
        </w:rPr>
        <w:t>IACHR</w:t>
      </w:r>
      <w:r w:rsidRPr="00CF0F1C">
        <w:rPr>
          <w:lang w:val="en-GB"/>
        </w:rPr>
        <w:t>), the African Commission on Human and Peoples’ Rights (</w:t>
      </w:r>
      <w:r w:rsidRPr="00CF0F1C">
        <w:rPr>
          <w:b/>
          <w:lang w:val="en-GB"/>
        </w:rPr>
        <w:t>ACHPR</w:t>
      </w:r>
      <w:r w:rsidRPr="00CF0F1C">
        <w:rPr>
          <w:lang w:val="en-GB"/>
        </w:rPr>
        <w:t>)</w:t>
      </w:r>
      <w:r w:rsidRPr="00CF0F1C">
        <w:rPr>
          <w:color w:val="auto"/>
          <w:lang w:val="en-GB"/>
        </w:rPr>
        <w:t xml:space="preserve"> and the </w:t>
      </w:r>
      <w:r w:rsidRPr="00CF0F1C">
        <w:rPr>
          <w:color w:val="auto"/>
          <w:w w:val="99"/>
          <w:kern w:val="24"/>
          <w:lang w:val="en-GB"/>
        </w:rPr>
        <w:t>Council of Europe (</w:t>
      </w:r>
      <w:r w:rsidRPr="00CF0F1C">
        <w:rPr>
          <w:rStyle w:val="verweis"/>
          <w:rFonts w:ascii="Times New Roman" w:hAnsi="Times New Roman"/>
          <w:color w:val="auto"/>
          <w:w w:val="99"/>
          <w:kern w:val="24"/>
        </w:rPr>
        <w:t>COE</w:t>
      </w:r>
      <w:r w:rsidRPr="00CF0F1C">
        <w:rPr>
          <w:color w:val="auto"/>
          <w:w w:val="99"/>
          <w:kern w:val="24"/>
          <w:lang w:val="en-GB"/>
        </w:rPr>
        <w:t xml:space="preserve">) recognise IGM as a </w:t>
      </w:r>
      <w:r w:rsidRPr="00CF0F1C">
        <w:rPr>
          <w:rFonts w:eastAsia="Baskerville-SemiBold" w:cs="Baskerville-SemiBold"/>
          <w:b/>
          <w:color w:val="auto"/>
          <w:w w:val="99"/>
          <w:kern w:val="24"/>
          <w:lang w:val="en-GB"/>
        </w:rPr>
        <w:t>serious violation of non-</w:t>
      </w:r>
      <w:proofErr w:type="spellStart"/>
      <w:r w:rsidRPr="00CF0F1C">
        <w:rPr>
          <w:rFonts w:eastAsia="Baskerville-SemiBold" w:cs="Baskerville-SemiBold"/>
          <w:b/>
          <w:color w:val="auto"/>
          <w:w w:val="99"/>
          <w:kern w:val="24"/>
          <w:lang w:val="en-GB"/>
        </w:rPr>
        <w:t>derogable</w:t>
      </w:r>
      <w:proofErr w:type="spellEnd"/>
      <w:r w:rsidRPr="00CF0F1C">
        <w:rPr>
          <w:rFonts w:eastAsia="Baskerville-SemiBold" w:cs="Baskerville-SemiBold"/>
          <w:b/>
          <w:color w:val="auto"/>
          <w:w w:val="99"/>
          <w:kern w:val="24"/>
          <w:lang w:val="en-GB"/>
        </w:rPr>
        <w:t xml:space="preserve"> human rights</w:t>
      </w:r>
      <w:r w:rsidRPr="00CF0F1C">
        <w:rPr>
          <w:b/>
          <w:color w:val="auto"/>
          <w:w w:val="99"/>
          <w:kern w:val="24"/>
          <w:lang w:val="en-GB"/>
        </w:rPr>
        <w:t>.</w:t>
      </w:r>
    </w:p>
    <w:p w14:paraId="4857271C" w14:textId="77777777" w:rsidR="00A35359" w:rsidRPr="00CF0F1C" w:rsidRDefault="00A35359" w:rsidP="00A35359">
      <w:pPr>
        <w:pStyle w:val="absatzschattenbericht"/>
        <w:spacing w:after="30" w:line="264" w:lineRule="auto"/>
        <w:rPr>
          <w:rFonts w:eastAsia="Baskerville-Bold" w:cs="Baskerville-Bold"/>
          <w:b/>
          <w:bCs/>
          <w:lang w:val="en-GB"/>
        </w:rPr>
      </w:pPr>
      <w:r w:rsidRPr="00CF0F1C">
        <w:rPr>
          <w:rFonts w:eastAsia="Baskerville-Bold" w:cs="Baskerville-Bold"/>
          <w:b/>
          <w:bCs/>
          <w:lang w:val="en-GB"/>
        </w:rPr>
        <w:t>Intersex people</w:t>
      </w:r>
      <w:r w:rsidRPr="00CF0F1C">
        <w:rPr>
          <w:lang w:val="en-GB"/>
        </w:rPr>
        <w:t xml:space="preserve"> are born with </w:t>
      </w:r>
      <w:r w:rsidRPr="00CF0F1C">
        <w:rPr>
          <w:rFonts w:eastAsia="Baskerville-Bold" w:cs="Baskerville-Bold"/>
          <w:b/>
          <w:bCs/>
          <w:lang w:val="en-GB"/>
        </w:rPr>
        <w:t>Variations of Reproductive Anatomy</w:t>
      </w:r>
      <w:r w:rsidRPr="00CF0F1C">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CF0F1C">
        <w:rPr>
          <w:rFonts w:eastAsia="Baskerville-Bold" w:cs="Baskerville-Bold"/>
          <w:b/>
          <w:bCs/>
          <w:lang w:val="en-GB"/>
        </w:rPr>
        <w:t>Intersex Genital Mutilations</w:t>
      </w:r>
      <w:r w:rsidRPr="00CF0F1C">
        <w:rPr>
          <w:lang w:val="en-GB"/>
        </w:rPr>
        <w:t>, which present a distinct and unique issue constituting significant human rights violations.</w:t>
      </w:r>
    </w:p>
    <w:p w14:paraId="5284398F" w14:textId="77777777" w:rsidR="00A35359" w:rsidRPr="00CF0F1C" w:rsidRDefault="00A35359" w:rsidP="00A35359">
      <w:pPr>
        <w:pStyle w:val="absatzschattenbericht"/>
        <w:spacing w:after="30" w:line="264" w:lineRule="auto"/>
        <w:rPr>
          <w:lang w:val="en-GB"/>
        </w:rPr>
      </w:pPr>
      <w:r w:rsidRPr="00CF0F1C">
        <w:rPr>
          <w:b/>
          <w:lang w:val="en-GB"/>
        </w:rPr>
        <w:t>IGM practices</w:t>
      </w:r>
      <w:r w:rsidRPr="00CF0F1C">
        <w:rPr>
          <w:lang w:val="en-GB"/>
        </w:rPr>
        <w:t xml:space="preserve"> include </w:t>
      </w:r>
      <w:r w:rsidRPr="00CF0F1C">
        <w:rPr>
          <w:b/>
          <w:lang w:val="en-GB"/>
        </w:rPr>
        <w:t>non-consensual, medically unnecessary, irreversible, cosmetic genital surgeries, and/or other harmful medical procedures</w:t>
      </w:r>
      <w:r w:rsidRPr="00CF0F1C">
        <w:rPr>
          <w:lang w:val="en-GB"/>
        </w:rPr>
        <w:t xml:space="preserve"> that would not be considered for “normal” children, without evidence of benefit for the children concerned.</w:t>
      </w:r>
      <w:r w:rsidRPr="00CF0F1C">
        <w:rPr>
          <w:rFonts w:eastAsia="Baskerville-SemiBold" w:cs="Baskerville-SemiBold"/>
          <w:lang w:val="en-GB"/>
        </w:rPr>
        <w:t xml:space="preserve"> </w:t>
      </w:r>
      <w:r w:rsidRPr="00CF0F1C">
        <w:rPr>
          <w:b/>
          <w:lang w:val="en-GB"/>
        </w:rPr>
        <w:t>Typical forms of IGM</w:t>
      </w:r>
      <w:r w:rsidRPr="00CF0F1C">
        <w:rPr>
          <w:lang w:val="en-GB"/>
        </w:rPr>
        <w:t xml:space="preserve"> include “masculinising” and “feminising”, “corrective” genital surgery, sterilising procedures, imposition of hormones, forced genital exams, vaginal dilations, medical display, involuntary human </w:t>
      </w:r>
      <w:proofErr w:type="gramStart"/>
      <w:r w:rsidRPr="00CF0F1C">
        <w:rPr>
          <w:lang w:val="en-GB"/>
        </w:rPr>
        <w:t>experimentation</w:t>
      </w:r>
      <w:proofErr w:type="gramEnd"/>
      <w:r w:rsidRPr="00CF0F1C">
        <w:rPr>
          <w:lang w:val="en-GB"/>
        </w:rPr>
        <w:t xml:space="preserve"> and denial of needed health care.</w:t>
      </w:r>
    </w:p>
    <w:p w14:paraId="35A0FB5E" w14:textId="77777777" w:rsidR="00A35359" w:rsidRPr="00CF0F1C" w:rsidRDefault="00A35359" w:rsidP="00A35359">
      <w:pPr>
        <w:pStyle w:val="absatzschattenbericht"/>
        <w:spacing w:afterLines="40" w:after="96" w:line="240" w:lineRule="auto"/>
        <w:rPr>
          <w:rFonts w:eastAsia="Baskerville-Bold" w:cs="Baskerville-Bold"/>
          <w:b/>
          <w:bCs/>
          <w:lang w:val="en-GB"/>
        </w:rPr>
      </w:pPr>
      <w:r w:rsidRPr="00CF0F1C">
        <w:rPr>
          <w:lang w:val="en-GB"/>
        </w:rPr>
        <w:t xml:space="preserve">IGM practices cause known </w:t>
      </w:r>
      <w:r w:rsidRPr="00CF0F1C">
        <w:rPr>
          <w:rFonts w:eastAsia="Baskerville-Bold" w:cs="Baskerville-Bold"/>
          <w:b/>
          <w:bCs/>
          <w:lang w:val="en-GB"/>
        </w:rPr>
        <w:t>lifelong severe physical and mental pain and suffering</w:t>
      </w:r>
      <w:r w:rsidRPr="00CF0F1C">
        <w:rPr>
          <w:lang w:val="en-GB"/>
        </w:rPr>
        <w:t xml:space="preserve">,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w:t>
      </w:r>
      <w:proofErr w:type="gramStart"/>
      <w:r w:rsidRPr="00CF0F1C">
        <w:rPr>
          <w:lang w:val="en-GB"/>
        </w:rPr>
        <w:t>suffering</w:t>
      </w:r>
      <w:proofErr w:type="gramEnd"/>
      <w:r w:rsidRPr="00CF0F1C">
        <w:rPr>
          <w:lang w:val="en-GB"/>
        </w:rPr>
        <w:t xml:space="preserve"> and trauma, increased sexual anxieties, and less sexual activity.</w:t>
      </w:r>
    </w:p>
    <w:p w14:paraId="08701BD2" w14:textId="1631E43B" w:rsidR="00BF4EE1" w:rsidRPr="00CF0F1C" w:rsidRDefault="009B44FC" w:rsidP="00D50FA8">
      <w:pPr>
        <w:pStyle w:val="absatzschattenbericht"/>
        <w:rPr>
          <w:lang w:val="en-GB"/>
        </w:rPr>
      </w:pPr>
      <w:r w:rsidRPr="00CF0F1C">
        <w:rPr>
          <w:lang w:val="en-GB"/>
        </w:rPr>
        <w:t xml:space="preserve">This </w:t>
      </w:r>
      <w:r w:rsidRPr="00CF0F1C">
        <w:rPr>
          <w:b/>
          <w:lang w:val="en-GB"/>
        </w:rPr>
        <w:t>NGO Report</w:t>
      </w:r>
      <w:r w:rsidRPr="00CF0F1C">
        <w:rPr>
          <w:lang w:val="en-GB"/>
        </w:rPr>
        <w:t xml:space="preserve"> has been compiled by </w:t>
      </w:r>
      <w:r w:rsidRPr="00CF0F1C">
        <w:rPr>
          <w:b/>
          <w:lang w:val="en-GB"/>
        </w:rPr>
        <w:t>StopIGM.org / Zwischengeschlecht.org</w:t>
      </w:r>
      <w:r w:rsidRPr="00CF0F1C">
        <w:rPr>
          <w:lang w:val="en-GB"/>
        </w:rPr>
        <w:t>, an international intersex NGO. It contains</w:t>
      </w:r>
      <w:r w:rsidRPr="00CF0F1C">
        <w:rPr>
          <w:spacing w:val="10"/>
          <w:kern w:val="24"/>
          <w:lang w:val="en-GB"/>
        </w:rPr>
        <w:t xml:space="preserve"> </w:t>
      </w:r>
      <w:r w:rsidRPr="00CF0F1C">
        <w:rPr>
          <w:b/>
          <w:spacing w:val="10"/>
          <w:kern w:val="24"/>
          <w:lang w:val="en-GB"/>
        </w:rPr>
        <w:t xml:space="preserve">Suggested </w:t>
      </w:r>
      <w:r w:rsidR="00531FB7" w:rsidRPr="00CF0F1C">
        <w:rPr>
          <w:b/>
          <w:spacing w:val="10"/>
          <w:kern w:val="24"/>
          <w:lang w:val="en-GB"/>
        </w:rPr>
        <w:t>Recommendations</w:t>
      </w:r>
      <w:r w:rsidRPr="00CF0F1C">
        <w:rPr>
          <w:b/>
          <w:spacing w:val="10"/>
          <w:kern w:val="24"/>
          <w:lang w:val="en-GB"/>
        </w:rPr>
        <w:t xml:space="preserve"> </w:t>
      </w:r>
      <w:r w:rsidRPr="00CF0F1C">
        <w:rPr>
          <w:spacing w:val="10"/>
          <w:kern w:val="24"/>
          <w:lang w:val="en-GB"/>
        </w:rPr>
        <w:t xml:space="preserve">(see p. </w:t>
      </w:r>
      <w:r w:rsidR="00AC6470">
        <w:rPr>
          <w:spacing w:val="10"/>
          <w:kern w:val="24"/>
          <w:lang w:val="en-GB"/>
        </w:rPr>
        <w:t>23</w:t>
      </w:r>
      <w:r w:rsidRPr="00CF0F1C">
        <w:rPr>
          <w:spacing w:val="10"/>
          <w:kern w:val="24"/>
          <w:lang w:val="en-GB"/>
        </w:rPr>
        <w:t>).</w:t>
      </w:r>
      <w:r w:rsidR="00BF4EE1" w:rsidRPr="00CF0F1C">
        <w:rPr>
          <w:rFonts w:ascii="Arial" w:eastAsia="ColossalisBold" w:hAnsi="Arial" w:cs="Arial"/>
          <w:b/>
          <w:bCs/>
          <w:color w:val="5E175E"/>
          <w:spacing w:val="11"/>
          <w:w w:val="95"/>
          <w:lang w:val="en-GB"/>
        </w:rPr>
        <w:br w:type="page"/>
      </w:r>
    </w:p>
    <w:p w14:paraId="795AB949" w14:textId="77777777" w:rsidR="00711EA1" w:rsidRDefault="00711EA1" w:rsidP="00711EA1">
      <w:pPr>
        <w:pStyle w:val="EinfacherAbsatz"/>
        <w:jc w:val="center"/>
        <w:rPr>
          <w:rFonts w:ascii="Arial" w:eastAsia="ColossalisBold" w:hAnsi="Arial" w:cs="Arial"/>
          <w:b/>
          <w:bCs/>
          <w:color w:val="5E175E"/>
          <w:spacing w:val="11"/>
          <w:w w:val="95"/>
          <w:sz w:val="26"/>
          <w:szCs w:val="26"/>
          <w:lang w:val="en-GB"/>
        </w:rPr>
      </w:pPr>
      <w:r w:rsidRPr="00711EA1">
        <w:rPr>
          <w:rFonts w:ascii="Arial" w:eastAsia="ColossalisBold" w:hAnsi="Arial" w:cs="Arial"/>
          <w:b/>
          <w:bCs/>
          <w:color w:val="5E175E"/>
          <w:spacing w:val="11"/>
          <w:w w:val="95"/>
          <w:sz w:val="26"/>
          <w:szCs w:val="26"/>
          <w:lang w:val="en-GB"/>
        </w:rPr>
        <w:lastRenderedPageBreak/>
        <w:t>NGO Report (for Session)</w:t>
      </w:r>
      <w:r>
        <w:rPr>
          <w:rFonts w:ascii="Arial" w:eastAsia="ColossalisBold" w:hAnsi="Arial" w:cs="Arial"/>
          <w:b/>
          <w:bCs/>
          <w:color w:val="5E175E"/>
          <w:spacing w:val="11"/>
          <w:w w:val="95"/>
          <w:sz w:val="26"/>
          <w:szCs w:val="26"/>
          <w:lang w:val="en-GB"/>
        </w:rPr>
        <w:t xml:space="preserve"> </w:t>
      </w:r>
      <w:r w:rsidRPr="00711EA1">
        <w:rPr>
          <w:rFonts w:ascii="Arial" w:eastAsia="ColossalisBold" w:hAnsi="Arial" w:cs="Arial"/>
          <w:b/>
          <w:bCs/>
          <w:color w:val="5E175E"/>
          <w:spacing w:val="11"/>
          <w:w w:val="95"/>
          <w:sz w:val="26"/>
          <w:szCs w:val="26"/>
          <w:lang w:val="en-GB"/>
        </w:rPr>
        <w:t>to the 8th Report of Finland</w:t>
      </w:r>
    </w:p>
    <w:p w14:paraId="696B41C3" w14:textId="612C3E31" w:rsidR="009C68B8" w:rsidRPr="00CF0F1C" w:rsidRDefault="00711EA1" w:rsidP="00711EA1">
      <w:pPr>
        <w:pStyle w:val="EinfacherAbsatz"/>
        <w:jc w:val="center"/>
        <w:rPr>
          <w:rFonts w:ascii="Arial" w:eastAsia="ColossalisBold" w:hAnsi="Arial" w:cs="Arial"/>
          <w:b/>
          <w:bCs/>
          <w:color w:val="5E175E"/>
          <w:spacing w:val="11"/>
          <w:w w:val="95"/>
          <w:sz w:val="26"/>
          <w:szCs w:val="26"/>
          <w:lang w:val="en-GB"/>
        </w:rPr>
      </w:pPr>
      <w:r w:rsidRPr="00711EA1">
        <w:rPr>
          <w:rFonts w:ascii="Arial" w:eastAsia="ColossalisBold" w:hAnsi="Arial" w:cs="Arial"/>
          <w:b/>
          <w:bCs/>
          <w:color w:val="5E175E"/>
          <w:spacing w:val="11"/>
          <w:w w:val="95"/>
          <w:sz w:val="26"/>
          <w:szCs w:val="26"/>
          <w:lang w:val="en-GB"/>
        </w:rPr>
        <w:t>on the Convention against Torture (CAT)</w:t>
      </w:r>
    </w:p>
    <w:p w14:paraId="3144D336" w14:textId="77777777" w:rsidR="00345E3F" w:rsidRPr="00CF0F1C" w:rsidRDefault="00345E3F" w:rsidP="001611D0">
      <w:pPr>
        <w:pStyle w:val="EinfacherAbsatz"/>
        <w:jc w:val="center"/>
        <w:rPr>
          <w:rFonts w:ascii="Arial" w:eastAsia="ColossalisBold" w:hAnsi="Arial" w:cs="Arial"/>
          <w:b/>
          <w:bCs/>
          <w:color w:val="5E175E"/>
          <w:spacing w:val="11"/>
          <w:w w:val="95"/>
          <w:sz w:val="30"/>
          <w:szCs w:val="30"/>
          <w:lang w:val="en-GB"/>
        </w:rPr>
      </w:pPr>
    </w:p>
    <w:p w14:paraId="3867966F" w14:textId="77777777" w:rsidR="001611D0" w:rsidRPr="00CF0F1C" w:rsidRDefault="004F7442" w:rsidP="001611D0">
      <w:pPr>
        <w:pStyle w:val="EinfacherAbsatz"/>
        <w:jc w:val="center"/>
        <w:rPr>
          <w:rFonts w:ascii="Arial" w:eastAsia="ColossalisBold" w:hAnsi="Arial" w:cs="Arial"/>
          <w:b/>
          <w:bCs/>
          <w:color w:val="5E175E"/>
          <w:spacing w:val="11"/>
          <w:w w:val="95"/>
          <w:sz w:val="30"/>
          <w:szCs w:val="30"/>
          <w:lang w:val="en-GB"/>
        </w:rPr>
      </w:pPr>
      <w:r w:rsidRPr="00CF0F1C">
        <w:rPr>
          <w:rFonts w:ascii="Arial" w:eastAsia="ColossalisBold" w:hAnsi="Arial" w:cs="Arial"/>
          <w:b/>
          <w:bCs/>
          <w:color w:val="5E175E"/>
          <w:spacing w:val="11"/>
          <w:w w:val="95"/>
          <w:sz w:val="30"/>
          <w:szCs w:val="30"/>
          <w:lang w:val="en-GB"/>
        </w:rPr>
        <w:t>Table of Contents</w:t>
      </w:r>
      <w:bookmarkStart w:id="6" w:name="Introduction"/>
      <w:bookmarkStart w:id="7" w:name="_Toc453620702"/>
    </w:p>
    <w:p w14:paraId="2C5CE067" w14:textId="77777777" w:rsidR="00F745B1" w:rsidRPr="00CF0F1C" w:rsidRDefault="00F745B1" w:rsidP="00F745B1">
      <w:pPr>
        <w:pStyle w:val="EinfacherAbsatz"/>
        <w:jc w:val="center"/>
        <w:rPr>
          <w:rFonts w:ascii="Arial" w:eastAsia="ColossalisBold" w:hAnsi="Arial" w:cs="Arial"/>
          <w:b/>
          <w:bCs/>
          <w:color w:val="5E175E"/>
          <w:spacing w:val="11"/>
          <w:w w:val="95"/>
          <w:sz w:val="30"/>
          <w:szCs w:val="30"/>
          <w:lang w:val="en-GB"/>
        </w:rPr>
      </w:pPr>
    </w:p>
    <w:p w14:paraId="0C5B4F09" w14:textId="701FD2A1" w:rsidR="00A00E77" w:rsidRPr="00CF0F1C" w:rsidRDefault="00A00E77" w:rsidP="001611D0">
      <w:pPr>
        <w:pStyle w:val="EinfacherAbsatz"/>
        <w:jc w:val="center"/>
        <w:rPr>
          <w:rFonts w:ascii="Times New Roman" w:eastAsia="ColossalisBold" w:hAnsi="Times New Roman" w:cs="Times New Roman"/>
          <w:b/>
          <w:bCs/>
          <w:color w:val="5E175E"/>
          <w:spacing w:val="11"/>
          <w:kern w:val="40"/>
          <w:sz w:val="40"/>
          <w:szCs w:val="40"/>
          <w:lang w:val="en-GB"/>
        </w:rPr>
      </w:pPr>
      <w:r w:rsidRPr="00CF0F1C">
        <w:rPr>
          <w:rFonts w:ascii="Times New Roman" w:eastAsia="ColossalisBold" w:hAnsi="Times New Roman" w:cs="Times New Roman"/>
          <w:b/>
          <w:bCs/>
          <w:color w:val="5E175E"/>
          <w:spacing w:val="11"/>
          <w:kern w:val="40"/>
          <w:sz w:val="40"/>
          <w:szCs w:val="40"/>
          <w:lang w:val="en-GB"/>
        </w:rPr>
        <w:t xml:space="preserve">IGM Practices in </w:t>
      </w:r>
      <w:r w:rsidR="007B0183" w:rsidRPr="00CF0F1C">
        <w:rPr>
          <w:rFonts w:ascii="Times New Roman" w:eastAsia="ColossalisBold" w:hAnsi="Times New Roman" w:cs="Times New Roman"/>
          <w:b/>
          <w:bCs/>
          <w:color w:val="5E175E"/>
          <w:spacing w:val="11"/>
          <w:kern w:val="40"/>
          <w:sz w:val="40"/>
          <w:szCs w:val="40"/>
          <w:lang w:val="en-GB"/>
        </w:rPr>
        <w:t>Finland</w:t>
      </w:r>
      <w:r w:rsidR="00D03A57" w:rsidRPr="00CF0F1C">
        <w:rPr>
          <w:rFonts w:ascii="Times New Roman" w:eastAsia="ColossalisBold" w:hAnsi="Times New Roman" w:cs="Times New Roman"/>
          <w:b/>
          <w:bCs/>
          <w:color w:val="5E175E"/>
          <w:spacing w:val="11"/>
          <w:kern w:val="40"/>
          <w:sz w:val="40"/>
          <w:szCs w:val="40"/>
          <w:lang w:val="en-GB"/>
        </w:rPr>
        <w:t xml:space="preserve"> (p. </w:t>
      </w:r>
      <w:r w:rsidR="00383C48">
        <w:rPr>
          <w:rFonts w:ascii="Times New Roman" w:eastAsia="ColossalisBold" w:hAnsi="Times New Roman" w:cs="Times New Roman"/>
          <w:b/>
          <w:bCs/>
          <w:color w:val="5E175E"/>
          <w:spacing w:val="11"/>
          <w:kern w:val="40"/>
          <w:sz w:val="40"/>
          <w:szCs w:val="40"/>
          <w:lang w:val="en-GB"/>
        </w:rPr>
        <w:t>7-23</w:t>
      </w:r>
      <w:r w:rsidR="00D03A57" w:rsidRPr="00CF0F1C">
        <w:rPr>
          <w:rFonts w:ascii="Times New Roman" w:eastAsia="ColossalisBold" w:hAnsi="Times New Roman" w:cs="Times New Roman"/>
          <w:b/>
          <w:bCs/>
          <w:color w:val="5E175E"/>
          <w:spacing w:val="11"/>
          <w:kern w:val="40"/>
          <w:sz w:val="40"/>
          <w:szCs w:val="40"/>
          <w:lang w:val="en-GB"/>
        </w:rPr>
        <w:t>)</w:t>
      </w:r>
    </w:p>
    <w:p w14:paraId="25F3BB67" w14:textId="77777777" w:rsidR="00A00E77" w:rsidRPr="00CF0F1C" w:rsidRDefault="00A00E77" w:rsidP="001611D0">
      <w:pPr>
        <w:pStyle w:val="EinfacherAbsatz"/>
        <w:jc w:val="center"/>
        <w:rPr>
          <w:rFonts w:ascii="Arial" w:eastAsia="ColossalisBold" w:hAnsi="Arial" w:cs="Arial"/>
          <w:b/>
          <w:bCs/>
          <w:color w:val="5E175E"/>
          <w:spacing w:val="11"/>
          <w:w w:val="95"/>
          <w:sz w:val="30"/>
          <w:szCs w:val="30"/>
          <w:lang w:val="en-GB"/>
        </w:rPr>
      </w:pPr>
    </w:p>
    <w:p w14:paraId="18BAED11" w14:textId="61870747" w:rsidR="0085436D" w:rsidRDefault="00B556E9">
      <w:pPr>
        <w:pStyle w:val="TOC1"/>
        <w:rPr>
          <w:rFonts w:asciiTheme="minorHAnsi" w:eastAsiaTheme="minorEastAsia" w:hAnsiTheme="minorHAnsi" w:cstheme="minorBidi"/>
          <w:b w:val="0"/>
          <w:sz w:val="24"/>
          <w:szCs w:val="24"/>
          <w:lang w:val="de-CH"/>
        </w:rPr>
      </w:pPr>
      <w:r w:rsidRPr="00CF0F1C">
        <w:rPr>
          <w:rFonts w:ascii="Arial" w:eastAsia="ColossalisBold" w:hAnsi="Arial" w:cs="Arial"/>
          <w:bCs/>
          <w:color w:val="5E175E"/>
          <w:spacing w:val="11"/>
          <w:w w:val="95"/>
          <w:sz w:val="30"/>
          <w:szCs w:val="30"/>
        </w:rPr>
        <w:fldChar w:fldCharType="begin"/>
      </w:r>
      <w:r w:rsidRPr="00CF0F1C">
        <w:rPr>
          <w:rFonts w:ascii="Arial" w:eastAsia="ColossalisBold" w:hAnsi="Arial" w:cs="Arial"/>
          <w:bCs/>
          <w:color w:val="5E175E"/>
          <w:spacing w:val="11"/>
          <w:w w:val="95"/>
          <w:sz w:val="30"/>
          <w:szCs w:val="30"/>
        </w:rPr>
        <w:instrText xml:space="preserve"> TOC \h \z \t "Title 1;1;Title 2;2;Title 3;3" </w:instrText>
      </w:r>
      <w:r w:rsidRPr="00CF0F1C">
        <w:rPr>
          <w:rFonts w:ascii="Arial" w:eastAsia="ColossalisBold" w:hAnsi="Arial" w:cs="Arial"/>
          <w:bCs/>
          <w:color w:val="5E175E"/>
          <w:spacing w:val="11"/>
          <w:w w:val="95"/>
          <w:sz w:val="30"/>
          <w:szCs w:val="30"/>
        </w:rPr>
        <w:fldChar w:fldCharType="separate"/>
      </w:r>
      <w:hyperlink w:anchor="_Toc161663930" w:history="1">
        <w:r w:rsidR="0085436D" w:rsidRPr="00991596">
          <w:rPr>
            <w:rStyle w:val="Hyperlink"/>
          </w:rPr>
          <w:t>Executive Summary</w:t>
        </w:r>
        <w:r w:rsidR="0085436D">
          <w:rPr>
            <w:webHidden/>
          </w:rPr>
          <w:tab/>
        </w:r>
        <w:r w:rsidR="0085436D">
          <w:rPr>
            <w:webHidden/>
          </w:rPr>
          <w:fldChar w:fldCharType="begin"/>
        </w:r>
        <w:r w:rsidR="0085436D">
          <w:rPr>
            <w:webHidden/>
          </w:rPr>
          <w:instrText xml:space="preserve"> PAGEREF _Toc161663930 \h </w:instrText>
        </w:r>
        <w:r w:rsidR="0085436D">
          <w:rPr>
            <w:webHidden/>
          </w:rPr>
        </w:r>
        <w:r w:rsidR="0085436D">
          <w:rPr>
            <w:webHidden/>
          </w:rPr>
          <w:fldChar w:fldCharType="separate"/>
        </w:r>
        <w:r w:rsidR="00383C48">
          <w:rPr>
            <w:webHidden/>
          </w:rPr>
          <w:t>3</w:t>
        </w:r>
        <w:r w:rsidR="0085436D">
          <w:rPr>
            <w:webHidden/>
          </w:rPr>
          <w:fldChar w:fldCharType="end"/>
        </w:r>
      </w:hyperlink>
    </w:p>
    <w:p w14:paraId="5625634A" w14:textId="0A3E2702" w:rsidR="0085436D" w:rsidRDefault="00117303">
      <w:pPr>
        <w:pStyle w:val="TOC1"/>
        <w:rPr>
          <w:rFonts w:asciiTheme="minorHAnsi" w:eastAsiaTheme="minorEastAsia" w:hAnsiTheme="minorHAnsi" w:cstheme="minorBidi"/>
          <w:b w:val="0"/>
          <w:sz w:val="24"/>
          <w:szCs w:val="24"/>
          <w:lang w:val="de-CH"/>
        </w:rPr>
      </w:pPr>
      <w:hyperlink w:anchor="_Toc161663931" w:history="1">
        <w:r w:rsidR="0085436D" w:rsidRPr="00991596">
          <w:rPr>
            <w:rStyle w:val="Hyperlink"/>
          </w:rPr>
          <w:t>Introduction</w:t>
        </w:r>
        <w:r w:rsidR="0085436D">
          <w:rPr>
            <w:webHidden/>
          </w:rPr>
          <w:tab/>
        </w:r>
        <w:r w:rsidR="0085436D">
          <w:rPr>
            <w:webHidden/>
          </w:rPr>
          <w:fldChar w:fldCharType="begin"/>
        </w:r>
        <w:r w:rsidR="0085436D">
          <w:rPr>
            <w:webHidden/>
          </w:rPr>
          <w:instrText xml:space="preserve"> PAGEREF _Toc161663931 \h </w:instrText>
        </w:r>
        <w:r w:rsidR="0085436D">
          <w:rPr>
            <w:webHidden/>
          </w:rPr>
        </w:r>
        <w:r w:rsidR="0085436D">
          <w:rPr>
            <w:webHidden/>
          </w:rPr>
          <w:fldChar w:fldCharType="separate"/>
        </w:r>
        <w:r w:rsidR="00383C48">
          <w:rPr>
            <w:webHidden/>
          </w:rPr>
          <w:t>5</w:t>
        </w:r>
        <w:r w:rsidR="0085436D">
          <w:rPr>
            <w:webHidden/>
          </w:rPr>
          <w:fldChar w:fldCharType="end"/>
        </w:r>
      </w:hyperlink>
    </w:p>
    <w:p w14:paraId="735EFDF9" w14:textId="76C48443" w:rsidR="0085436D" w:rsidRDefault="00117303">
      <w:pPr>
        <w:pStyle w:val="TOC2"/>
        <w:rPr>
          <w:rFonts w:asciiTheme="minorHAnsi" w:eastAsiaTheme="minorEastAsia" w:hAnsiTheme="minorHAnsi" w:cstheme="minorBidi"/>
          <w:szCs w:val="24"/>
        </w:rPr>
      </w:pPr>
      <w:hyperlink w:anchor="_Toc161663932" w:history="1">
        <w:r w:rsidR="0085436D" w:rsidRPr="00991596">
          <w:rPr>
            <w:rStyle w:val="Hyperlink"/>
          </w:rPr>
          <w:t>1.  Intersex human rights and IGM in Finland</w:t>
        </w:r>
        <w:r w:rsidR="0085436D">
          <w:rPr>
            <w:webHidden/>
          </w:rPr>
          <w:tab/>
        </w:r>
        <w:r w:rsidR="0085436D">
          <w:rPr>
            <w:webHidden/>
          </w:rPr>
          <w:fldChar w:fldCharType="begin"/>
        </w:r>
        <w:r w:rsidR="0085436D">
          <w:rPr>
            <w:webHidden/>
          </w:rPr>
          <w:instrText xml:space="preserve"> PAGEREF _Toc161663932 \h </w:instrText>
        </w:r>
        <w:r w:rsidR="0085436D">
          <w:rPr>
            <w:webHidden/>
          </w:rPr>
        </w:r>
        <w:r w:rsidR="0085436D">
          <w:rPr>
            <w:webHidden/>
          </w:rPr>
          <w:fldChar w:fldCharType="separate"/>
        </w:r>
        <w:r w:rsidR="00383C48">
          <w:rPr>
            <w:webHidden/>
          </w:rPr>
          <w:t>5</w:t>
        </w:r>
        <w:r w:rsidR="0085436D">
          <w:rPr>
            <w:webHidden/>
          </w:rPr>
          <w:fldChar w:fldCharType="end"/>
        </w:r>
      </w:hyperlink>
    </w:p>
    <w:p w14:paraId="1E422F79" w14:textId="303E2FD9" w:rsidR="0085436D" w:rsidRDefault="00117303">
      <w:pPr>
        <w:pStyle w:val="TOC2"/>
        <w:rPr>
          <w:rFonts w:asciiTheme="minorHAnsi" w:eastAsiaTheme="minorEastAsia" w:hAnsiTheme="minorHAnsi" w:cstheme="minorBidi"/>
          <w:szCs w:val="24"/>
        </w:rPr>
      </w:pPr>
      <w:hyperlink w:anchor="_Toc161663933" w:history="1">
        <w:r w:rsidR="0085436D" w:rsidRPr="00991596">
          <w:rPr>
            <w:rStyle w:val="Hyperlink"/>
          </w:rPr>
          <w:t>2.  About the Rapporteurs</w:t>
        </w:r>
        <w:r w:rsidR="0085436D">
          <w:rPr>
            <w:webHidden/>
          </w:rPr>
          <w:tab/>
        </w:r>
        <w:r w:rsidR="0085436D">
          <w:rPr>
            <w:webHidden/>
          </w:rPr>
          <w:fldChar w:fldCharType="begin"/>
        </w:r>
        <w:r w:rsidR="0085436D">
          <w:rPr>
            <w:webHidden/>
          </w:rPr>
          <w:instrText xml:space="preserve"> PAGEREF _Toc161663933 \h </w:instrText>
        </w:r>
        <w:r w:rsidR="0085436D">
          <w:rPr>
            <w:webHidden/>
          </w:rPr>
        </w:r>
        <w:r w:rsidR="0085436D">
          <w:rPr>
            <w:webHidden/>
          </w:rPr>
          <w:fldChar w:fldCharType="separate"/>
        </w:r>
        <w:r w:rsidR="00383C48">
          <w:rPr>
            <w:webHidden/>
          </w:rPr>
          <w:t>5</w:t>
        </w:r>
        <w:r w:rsidR="0085436D">
          <w:rPr>
            <w:webHidden/>
          </w:rPr>
          <w:fldChar w:fldCharType="end"/>
        </w:r>
      </w:hyperlink>
    </w:p>
    <w:p w14:paraId="6C23EBBA" w14:textId="00B8B787" w:rsidR="0085436D" w:rsidRDefault="00117303">
      <w:pPr>
        <w:pStyle w:val="TOC2"/>
        <w:rPr>
          <w:rFonts w:asciiTheme="minorHAnsi" w:eastAsiaTheme="minorEastAsia" w:hAnsiTheme="minorHAnsi" w:cstheme="minorBidi"/>
          <w:szCs w:val="24"/>
        </w:rPr>
      </w:pPr>
      <w:hyperlink w:anchor="_Toc161663934" w:history="1">
        <w:r w:rsidR="0085436D" w:rsidRPr="00991596">
          <w:rPr>
            <w:rStyle w:val="Hyperlink"/>
          </w:rPr>
          <w:t>3.  Methodology</w:t>
        </w:r>
        <w:r w:rsidR="0085436D">
          <w:rPr>
            <w:webHidden/>
          </w:rPr>
          <w:tab/>
        </w:r>
        <w:r w:rsidR="0085436D">
          <w:rPr>
            <w:webHidden/>
          </w:rPr>
          <w:fldChar w:fldCharType="begin"/>
        </w:r>
        <w:r w:rsidR="0085436D">
          <w:rPr>
            <w:webHidden/>
          </w:rPr>
          <w:instrText xml:space="preserve"> PAGEREF _Toc161663934 \h </w:instrText>
        </w:r>
        <w:r w:rsidR="0085436D">
          <w:rPr>
            <w:webHidden/>
          </w:rPr>
        </w:r>
        <w:r w:rsidR="0085436D">
          <w:rPr>
            <w:webHidden/>
          </w:rPr>
          <w:fldChar w:fldCharType="separate"/>
        </w:r>
        <w:r w:rsidR="00383C48">
          <w:rPr>
            <w:webHidden/>
          </w:rPr>
          <w:t>6</w:t>
        </w:r>
        <w:r w:rsidR="0085436D">
          <w:rPr>
            <w:webHidden/>
          </w:rPr>
          <w:fldChar w:fldCharType="end"/>
        </w:r>
      </w:hyperlink>
    </w:p>
    <w:p w14:paraId="3917364E" w14:textId="622CBEC1" w:rsidR="0085436D" w:rsidRDefault="00117303">
      <w:pPr>
        <w:pStyle w:val="TOC1"/>
        <w:rPr>
          <w:rFonts w:asciiTheme="minorHAnsi" w:eastAsiaTheme="minorEastAsia" w:hAnsiTheme="minorHAnsi" w:cstheme="minorBidi"/>
          <w:b w:val="0"/>
          <w:sz w:val="24"/>
          <w:szCs w:val="24"/>
          <w:lang w:val="de-CH"/>
        </w:rPr>
      </w:pPr>
      <w:hyperlink w:anchor="_Toc161663935" w:history="1">
        <w:r w:rsidR="0085436D" w:rsidRPr="00991596">
          <w:rPr>
            <w:rStyle w:val="Hyperlink"/>
          </w:rPr>
          <w:t>A.  Precedents</w:t>
        </w:r>
        <w:r w:rsidR="0085436D">
          <w:rPr>
            <w:webHidden/>
          </w:rPr>
          <w:tab/>
        </w:r>
        <w:r w:rsidR="0085436D">
          <w:rPr>
            <w:webHidden/>
          </w:rPr>
          <w:fldChar w:fldCharType="begin"/>
        </w:r>
        <w:r w:rsidR="0085436D">
          <w:rPr>
            <w:webHidden/>
          </w:rPr>
          <w:instrText xml:space="preserve"> PAGEREF _Toc161663935 \h </w:instrText>
        </w:r>
        <w:r w:rsidR="0085436D">
          <w:rPr>
            <w:webHidden/>
          </w:rPr>
        </w:r>
        <w:r w:rsidR="0085436D">
          <w:rPr>
            <w:webHidden/>
          </w:rPr>
          <w:fldChar w:fldCharType="separate"/>
        </w:r>
        <w:r w:rsidR="00383C48">
          <w:rPr>
            <w:webHidden/>
          </w:rPr>
          <w:t>7</w:t>
        </w:r>
        <w:r w:rsidR="0085436D">
          <w:rPr>
            <w:webHidden/>
          </w:rPr>
          <w:fldChar w:fldCharType="end"/>
        </w:r>
      </w:hyperlink>
    </w:p>
    <w:p w14:paraId="4A8B325D" w14:textId="597B581B" w:rsidR="0085436D" w:rsidRDefault="00117303">
      <w:pPr>
        <w:pStyle w:val="TOC2"/>
        <w:rPr>
          <w:rFonts w:asciiTheme="minorHAnsi" w:eastAsiaTheme="minorEastAsia" w:hAnsiTheme="minorHAnsi" w:cstheme="minorBidi"/>
          <w:szCs w:val="24"/>
        </w:rPr>
      </w:pPr>
      <w:hyperlink w:anchor="_Toc161663936" w:history="1">
        <w:r w:rsidR="0085436D" w:rsidRPr="00991596">
          <w:rPr>
            <w:rStyle w:val="Hyperlink"/>
          </w:rPr>
          <w:t>1.  Previous Concluding Observations</w:t>
        </w:r>
        <w:r w:rsidR="0085436D">
          <w:rPr>
            <w:webHidden/>
          </w:rPr>
          <w:tab/>
        </w:r>
        <w:r w:rsidR="0085436D">
          <w:rPr>
            <w:webHidden/>
          </w:rPr>
          <w:fldChar w:fldCharType="begin"/>
        </w:r>
        <w:r w:rsidR="0085436D">
          <w:rPr>
            <w:webHidden/>
          </w:rPr>
          <w:instrText xml:space="preserve"> PAGEREF _Toc161663936 \h </w:instrText>
        </w:r>
        <w:r w:rsidR="0085436D">
          <w:rPr>
            <w:webHidden/>
          </w:rPr>
        </w:r>
        <w:r w:rsidR="0085436D">
          <w:rPr>
            <w:webHidden/>
          </w:rPr>
          <w:fldChar w:fldCharType="separate"/>
        </w:r>
        <w:r w:rsidR="00383C48">
          <w:rPr>
            <w:webHidden/>
          </w:rPr>
          <w:t>7</w:t>
        </w:r>
        <w:r w:rsidR="0085436D">
          <w:rPr>
            <w:webHidden/>
          </w:rPr>
          <w:fldChar w:fldCharType="end"/>
        </w:r>
      </w:hyperlink>
    </w:p>
    <w:p w14:paraId="5918066E" w14:textId="24986489" w:rsidR="0085436D" w:rsidRDefault="00117303">
      <w:pPr>
        <w:pStyle w:val="TOC3"/>
        <w:tabs>
          <w:tab w:val="right" w:leader="dot" w:pos="9628"/>
        </w:tabs>
        <w:rPr>
          <w:rFonts w:asciiTheme="minorHAnsi" w:eastAsiaTheme="minorEastAsia" w:hAnsiTheme="minorHAnsi" w:cstheme="minorBidi"/>
          <w:noProof/>
          <w:szCs w:val="24"/>
        </w:rPr>
      </w:pPr>
      <w:hyperlink w:anchor="_Toc161663937" w:history="1">
        <w:r w:rsidR="0085436D" w:rsidRPr="00991596">
          <w:rPr>
            <w:rStyle w:val="Hyperlink"/>
            <w:noProof/>
          </w:rPr>
          <w:t>a) Inhuman Treatment: CCPR 2021, CCPR/C/FIN/CO/7, paras 20+21(c)</w:t>
        </w:r>
        <w:r w:rsidR="0085436D">
          <w:rPr>
            <w:noProof/>
            <w:webHidden/>
          </w:rPr>
          <w:tab/>
        </w:r>
        <w:r w:rsidR="0085436D">
          <w:rPr>
            <w:noProof/>
            <w:webHidden/>
          </w:rPr>
          <w:fldChar w:fldCharType="begin"/>
        </w:r>
        <w:r w:rsidR="0085436D">
          <w:rPr>
            <w:noProof/>
            <w:webHidden/>
          </w:rPr>
          <w:instrText xml:space="preserve"> PAGEREF _Toc161663937 \h </w:instrText>
        </w:r>
        <w:r w:rsidR="0085436D">
          <w:rPr>
            <w:noProof/>
            <w:webHidden/>
          </w:rPr>
        </w:r>
        <w:r w:rsidR="0085436D">
          <w:rPr>
            <w:noProof/>
            <w:webHidden/>
          </w:rPr>
          <w:fldChar w:fldCharType="separate"/>
        </w:r>
        <w:r w:rsidR="00383C48">
          <w:rPr>
            <w:noProof/>
            <w:webHidden/>
          </w:rPr>
          <w:t>7</w:t>
        </w:r>
        <w:r w:rsidR="0085436D">
          <w:rPr>
            <w:noProof/>
            <w:webHidden/>
          </w:rPr>
          <w:fldChar w:fldCharType="end"/>
        </w:r>
      </w:hyperlink>
    </w:p>
    <w:p w14:paraId="09BB9257" w14:textId="2A38402F" w:rsidR="0085436D" w:rsidRDefault="00117303">
      <w:pPr>
        <w:pStyle w:val="TOC3"/>
        <w:tabs>
          <w:tab w:val="right" w:leader="dot" w:pos="9628"/>
        </w:tabs>
        <w:rPr>
          <w:rFonts w:asciiTheme="minorHAnsi" w:eastAsiaTheme="minorEastAsia" w:hAnsiTheme="minorHAnsi" w:cstheme="minorBidi"/>
          <w:noProof/>
          <w:szCs w:val="24"/>
        </w:rPr>
      </w:pPr>
      <w:hyperlink w:anchor="_Toc161663938" w:history="1">
        <w:r w:rsidR="0085436D" w:rsidRPr="00991596">
          <w:rPr>
            <w:rStyle w:val="Hyperlink"/>
            <w:noProof/>
          </w:rPr>
          <w:t>b) Harmful Practices: CEDAW 2022, CEDAW/C/FIN/CO/8, paras 21(b)+22(b)</w:t>
        </w:r>
        <w:r w:rsidR="0085436D">
          <w:rPr>
            <w:noProof/>
            <w:webHidden/>
          </w:rPr>
          <w:tab/>
        </w:r>
        <w:r w:rsidR="0085436D">
          <w:rPr>
            <w:noProof/>
            <w:webHidden/>
          </w:rPr>
          <w:fldChar w:fldCharType="begin"/>
        </w:r>
        <w:r w:rsidR="0085436D">
          <w:rPr>
            <w:noProof/>
            <w:webHidden/>
          </w:rPr>
          <w:instrText xml:space="preserve"> PAGEREF _Toc161663938 \h </w:instrText>
        </w:r>
        <w:r w:rsidR="0085436D">
          <w:rPr>
            <w:noProof/>
            <w:webHidden/>
          </w:rPr>
        </w:r>
        <w:r w:rsidR="0085436D">
          <w:rPr>
            <w:noProof/>
            <w:webHidden/>
          </w:rPr>
          <w:fldChar w:fldCharType="separate"/>
        </w:r>
        <w:r w:rsidR="00383C48">
          <w:rPr>
            <w:noProof/>
            <w:webHidden/>
          </w:rPr>
          <w:t>7</w:t>
        </w:r>
        <w:r w:rsidR="0085436D">
          <w:rPr>
            <w:noProof/>
            <w:webHidden/>
          </w:rPr>
          <w:fldChar w:fldCharType="end"/>
        </w:r>
      </w:hyperlink>
    </w:p>
    <w:p w14:paraId="7BE9C80D" w14:textId="3DC3C4C6" w:rsidR="0085436D" w:rsidRDefault="00117303">
      <w:pPr>
        <w:pStyle w:val="TOC3"/>
        <w:tabs>
          <w:tab w:val="right" w:leader="dot" w:pos="9628"/>
        </w:tabs>
        <w:rPr>
          <w:rFonts w:asciiTheme="minorHAnsi" w:eastAsiaTheme="minorEastAsia" w:hAnsiTheme="minorHAnsi" w:cstheme="minorBidi"/>
          <w:noProof/>
          <w:szCs w:val="24"/>
        </w:rPr>
      </w:pPr>
      <w:hyperlink w:anchor="_Toc161663939" w:history="1">
        <w:r w:rsidR="0085436D" w:rsidRPr="00991596">
          <w:rPr>
            <w:rStyle w:val="Hyperlink"/>
            <w:noProof/>
          </w:rPr>
          <w:t>c) Harmful Practices: CRC 2023, CRC/C/FIN/CO/5-6, paras 24(a)+(b)</w:t>
        </w:r>
        <w:r w:rsidR="0085436D">
          <w:rPr>
            <w:noProof/>
            <w:webHidden/>
          </w:rPr>
          <w:tab/>
        </w:r>
        <w:r w:rsidR="0085436D">
          <w:rPr>
            <w:noProof/>
            <w:webHidden/>
          </w:rPr>
          <w:fldChar w:fldCharType="begin"/>
        </w:r>
        <w:r w:rsidR="0085436D">
          <w:rPr>
            <w:noProof/>
            <w:webHidden/>
          </w:rPr>
          <w:instrText xml:space="preserve"> PAGEREF _Toc161663939 \h </w:instrText>
        </w:r>
        <w:r w:rsidR="0085436D">
          <w:rPr>
            <w:noProof/>
            <w:webHidden/>
          </w:rPr>
        </w:r>
        <w:r w:rsidR="0085436D">
          <w:rPr>
            <w:noProof/>
            <w:webHidden/>
          </w:rPr>
          <w:fldChar w:fldCharType="separate"/>
        </w:r>
        <w:r w:rsidR="00383C48">
          <w:rPr>
            <w:noProof/>
            <w:webHidden/>
          </w:rPr>
          <w:t>8</w:t>
        </w:r>
        <w:r w:rsidR="0085436D">
          <w:rPr>
            <w:noProof/>
            <w:webHidden/>
          </w:rPr>
          <w:fldChar w:fldCharType="end"/>
        </w:r>
      </w:hyperlink>
    </w:p>
    <w:p w14:paraId="52ACA09E" w14:textId="05681F5E" w:rsidR="0085436D" w:rsidRDefault="00117303">
      <w:pPr>
        <w:pStyle w:val="TOC1"/>
        <w:rPr>
          <w:rFonts w:asciiTheme="minorHAnsi" w:eastAsiaTheme="minorEastAsia" w:hAnsiTheme="minorHAnsi" w:cstheme="minorBidi"/>
          <w:b w:val="0"/>
          <w:sz w:val="24"/>
          <w:szCs w:val="24"/>
          <w:lang w:val="de-CH"/>
        </w:rPr>
      </w:pPr>
      <w:hyperlink w:anchor="_Toc161663940" w:history="1">
        <w:r w:rsidR="0085436D" w:rsidRPr="00991596">
          <w:rPr>
            <w:rStyle w:val="Hyperlink"/>
          </w:rPr>
          <w:t>B.  IGM in Finland: State-sponsored and pervasive, Gov fails to act</w:t>
        </w:r>
        <w:r w:rsidR="0085436D">
          <w:rPr>
            <w:webHidden/>
          </w:rPr>
          <w:tab/>
        </w:r>
        <w:r w:rsidR="0085436D">
          <w:rPr>
            <w:webHidden/>
          </w:rPr>
          <w:fldChar w:fldCharType="begin"/>
        </w:r>
        <w:r w:rsidR="0085436D">
          <w:rPr>
            <w:webHidden/>
          </w:rPr>
          <w:instrText xml:space="preserve"> PAGEREF _Toc161663940 \h </w:instrText>
        </w:r>
        <w:r w:rsidR="0085436D">
          <w:rPr>
            <w:webHidden/>
          </w:rPr>
        </w:r>
        <w:r w:rsidR="0085436D">
          <w:rPr>
            <w:webHidden/>
          </w:rPr>
          <w:fldChar w:fldCharType="separate"/>
        </w:r>
        <w:r w:rsidR="00383C48">
          <w:rPr>
            <w:webHidden/>
          </w:rPr>
          <w:t>9</w:t>
        </w:r>
        <w:r w:rsidR="0085436D">
          <w:rPr>
            <w:webHidden/>
          </w:rPr>
          <w:fldChar w:fldCharType="end"/>
        </w:r>
      </w:hyperlink>
    </w:p>
    <w:p w14:paraId="439ABE04" w14:textId="4237D683" w:rsidR="0085436D" w:rsidRDefault="00117303">
      <w:pPr>
        <w:pStyle w:val="TOC2"/>
        <w:rPr>
          <w:rFonts w:asciiTheme="minorHAnsi" w:eastAsiaTheme="minorEastAsia" w:hAnsiTheme="minorHAnsi" w:cstheme="minorBidi"/>
          <w:szCs w:val="24"/>
        </w:rPr>
      </w:pPr>
      <w:hyperlink w:anchor="_Toc161663941" w:history="1">
        <w:r w:rsidR="0085436D" w:rsidRPr="00991596">
          <w:rPr>
            <w:rStyle w:val="Hyperlink"/>
          </w:rPr>
          <w:t>1.  IGM practices in Finland: Still no legal prohibition</w:t>
        </w:r>
        <w:r w:rsidR="0085436D">
          <w:rPr>
            <w:webHidden/>
          </w:rPr>
          <w:tab/>
        </w:r>
        <w:r w:rsidR="0085436D">
          <w:rPr>
            <w:webHidden/>
          </w:rPr>
          <w:fldChar w:fldCharType="begin"/>
        </w:r>
        <w:r w:rsidR="0085436D">
          <w:rPr>
            <w:webHidden/>
          </w:rPr>
          <w:instrText xml:space="preserve"> PAGEREF _Toc161663941 \h </w:instrText>
        </w:r>
        <w:r w:rsidR="0085436D">
          <w:rPr>
            <w:webHidden/>
          </w:rPr>
        </w:r>
        <w:r w:rsidR="0085436D">
          <w:rPr>
            <w:webHidden/>
          </w:rPr>
          <w:fldChar w:fldCharType="separate"/>
        </w:r>
        <w:r w:rsidR="00383C48">
          <w:rPr>
            <w:webHidden/>
          </w:rPr>
          <w:t>9</w:t>
        </w:r>
        <w:r w:rsidR="0085436D">
          <w:rPr>
            <w:webHidden/>
          </w:rPr>
          <w:fldChar w:fldCharType="end"/>
        </w:r>
      </w:hyperlink>
    </w:p>
    <w:p w14:paraId="22787985" w14:textId="795CC546" w:rsidR="0085436D" w:rsidRDefault="00117303">
      <w:pPr>
        <w:pStyle w:val="TOC2"/>
        <w:rPr>
          <w:rFonts w:asciiTheme="minorHAnsi" w:eastAsiaTheme="minorEastAsia" w:hAnsiTheme="minorHAnsi" w:cstheme="minorBidi"/>
          <w:szCs w:val="24"/>
        </w:rPr>
      </w:pPr>
      <w:hyperlink w:anchor="_Toc161663942" w:history="1">
        <w:r w:rsidR="0085436D" w:rsidRPr="00991596">
          <w:rPr>
            <w:rStyle w:val="Hyperlink"/>
          </w:rPr>
          <w:t>2.  Public criticism by intersex advocates, NGOs, Government agencies</w:t>
        </w:r>
        <w:r w:rsidR="0085436D">
          <w:rPr>
            <w:webHidden/>
          </w:rPr>
          <w:tab/>
        </w:r>
        <w:r w:rsidR="0085436D">
          <w:rPr>
            <w:webHidden/>
          </w:rPr>
          <w:fldChar w:fldCharType="begin"/>
        </w:r>
        <w:r w:rsidR="0085436D">
          <w:rPr>
            <w:webHidden/>
          </w:rPr>
          <w:instrText xml:space="preserve"> PAGEREF _Toc161663942 \h </w:instrText>
        </w:r>
        <w:r w:rsidR="0085436D">
          <w:rPr>
            <w:webHidden/>
          </w:rPr>
        </w:r>
        <w:r w:rsidR="0085436D">
          <w:rPr>
            <w:webHidden/>
          </w:rPr>
          <w:fldChar w:fldCharType="separate"/>
        </w:r>
        <w:r w:rsidR="00383C48">
          <w:rPr>
            <w:webHidden/>
          </w:rPr>
          <w:t>9</w:t>
        </w:r>
        <w:r w:rsidR="0085436D">
          <w:rPr>
            <w:webHidden/>
          </w:rPr>
          <w:fldChar w:fldCharType="end"/>
        </w:r>
      </w:hyperlink>
    </w:p>
    <w:p w14:paraId="02DAA389" w14:textId="5BF215FC" w:rsidR="0085436D" w:rsidRDefault="00117303">
      <w:pPr>
        <w:pStyle w:val="TOC2"/>
        <w:rPr>
          <w:rFonts w:asciiTheme="minorHAnsi" w:eastAsiaTheme="minorEastAsia" w:hAnsiTheme="minorHAnsi" w:cstheme="minorBidi"/>
          <w:szCs w:val="24"/>
        </w:rPr>
      </w:pPr>
      <w:hyperlink w:anchor="_Toc161663943" w:history="1">
        <w:r w:rsidR="0085436D" w:rsidRPr="00991596">
          <w:rPr>
            <w:rStyle w:val="Hyperlink"/>
          </w:rPr>
          <w:t>3.  Finland’s commitment to “protect intersex children from violence and harmful practices”</w:t>
        </w:r>
        <w:r w:rsidR="0085436D">
          <w:rPr>
            <w:webHidden/>
          </w:rPr>
          <w:tab/>
        </w:r>
        <w:r w:rsidR="0085436D">
          <w:rPr>
            <w:webHidden/>
          </w:rPr>
          <w:fldChar w:fldCharType="begin"/>
        </w:r>
        <w:r w:rsidR="0085436D">
          <w:rPr>
            <w:webHidden/>
          </w:rPr>
          <w:instrText xml:space="preserve"> PAGEREF _Toc161663943 \h </w:instrText>
        </w:r>
        <w:r w:rsidR="0085436D">
          <w:rPr>
            <w:webHidden/>
          </w:rPr>
        </w:r>
        <w:r w:rsidR="0085436D">
          <w:rPr>
            <w:webHidden/>
          </w:rPr>
          <w:fldChar w:fldCharType="separate"/>
        </w:r>
        <w:r w:rsidR="00383C48">
          <w:rPr>
            <w:webHidden/>
          </w:rPr>
          <w:t>11</w:t>
        </w:r>
        <w:r w:rsidR="0085436D">
          <w:rPr>
            <w:webHidden/>
          </w:rPr>
          <w:fldChar w:fldCharType="end"/>
        </w:r>
      </w:hyperlink>
    </w:p>
    <w:p w14:paraId="18C0656F" w14:textId="2D7E4D0B" w:rsidR="0085436D" w:rsidRDefault="00117303">
      <w:pPr>
        <w:pStyle w:val="TOC3"/>
        <w:tabs>
          <w:tab w:val="right" w:leader="dot" w:pos="9628"/>
        </w:tabs>
        <w:rPr>
          <w:rFonts w:asciiTheme="minorHAnsi" w:eastAsiaTheme="minorEastAsia" w:hAnsiTheme="minorHAnsi" w:cstheme="minorBidi"/>
          <w:noProof/>
          <w:szCs w:val="24"/>
        </w:rPr>
      </w:pPr>
      <w:hyperlink w:anchor="_Toc161663944" w:history="1">
        <w:r w:rsidR="0085436D" w:rsidRPr="00991596">
          <w:rPr>
            <w:rStyle w:val="Hyperlink"/>
            <w:noProof/>
          </w:rPr>
          <w:t>a) National Action Plan on Fundamental and Human Rights 2017-2019</w:t>
        </w:r>
        <w:r w:rsidR="0085436D">
          <w:rPr>
            <w:noProof/>
            <w:webHidden/>
          </w:rPr>
          <w:tab/>
        </w:r>
        <w:r w:rsidR="0085436D">
          <w:rPr>
            <w:noProof/>
            <w:webHidden/>
          </w:rPr>
          <w:fldChar w:fldCharType="begin"/>
        </w:r>
        <w:r w:rsidR="0085436D">
          <w:rPr>
            <w:noProof/>
            <w:webHidden/>
          </w:rPr>
          <w:instrText xml:space="preserve"> PAGEREF _Toc161663944 \h </w:instrText>
        </w:r>
        <w:r w:rsidR="0085436D">
          <w:rPr>
            <w:noProof/>
            <w:webHidden/>
          </w:rPr>
        </w:r>
        <w:r w:rsidR="0085436D">
          <w:rPr>
            <w:noProof/>
            <w:webHidden/>
          </w:rPr>
          <w:fldChar w:fldCharType="separate"/>
        </w:r>
        <w:r w:rsidR="00383C48">
          <w:rPr>
            <w:noProof/>
            <w:webHidden/>
          </w:rPr>
          <w:t>11</w:t>
        </w:r>
        <w:r w:rsidR="0085436D">
          <w:rPr>
            <w:noProof/>
            <w:webHidden/>
          </w:rPr>
          <w:fldChar w:fldCharType="end"/>
        </w:r>
      </w:hyperlink>
    </w:p>
    <w:p w14:paraId="280022AD" w14:textId="42A56078" w:rsidR="0085436D" w:rsidRDefault="00117303">
      <w:pPr>
        <w:pStyle w:val="TOC3"/>
        <w:tabs>
          <w:tab w:val="right" w:leader="dot" w:pos="9628"/>
        </w:tabs>
        <w:rPr>
          <w:rFonts w:asciiTheme="minorHAnsi" w:eastAsiaTheme="minorEastAsia" w:hAnsiTheme="minorHAnsi" w:cstheme="minorBidi"/>
          <w:noProof/>
          <w:szCs w:val="24"/>
        </w:rPr>
      </w:pPr>
      <w:hyperlink w:anchor="_Toc161663945" w:history="1">
        <w:r w:rsidR="0085436D" w:rsidRPr="00991596">
          <w:rPr>
            <w:rStyle w:val="Hyperlink"/>
            <w:noProof/>
          </w:rPr>
          <w:t>b) Government Programme 2019</w:t>
        </w:r>
        <w:r w:rsidR="0085436D">
          <w:rPr>
            <w:noProof/>
            <w:webHidden/>
          </w:rPr>
          <w:tab/>
        </w:r>
        <w:r w:rsidR="0085436D">
          <w:rPr>
            <w:noProof/>
            <w:webHidden/>
          </w:rPr>
          <w:fldChar w:fldCharType="begin"/>
        </w:r>
        <w:r w:rsidR="0085436D">
          <w:rPr>
            <w:noProof/>
            <w:webHidden/>
          </w:rPr>
          <w:instrText xml:space="preserve"> PAGEREF _Toc161663945 \h </w:instrText>
        </w:r>
        <w:r w:rsidR="0085436D">
          <w:rPr>
            <w:noProof/>
            <w:webHidden/>
          </w:rPr>
        </w:r>
        <w:r w:rsidR="0085436D">
          <w:rPr>
            <w:noProof/>
            <w:webHidden/>
          </w:rPr>
          <w:fldChar w:fldCharType="separate"/>
        </w:r>
        <w:r w:rsidR="00383C48">
          <w:rPr>
            <w:noProof/>
            <w:webHidden/>
          </w:rPr>
          <w:t>11</w:t>
        </w:r>
        <w:r w:rsidR="0085436D">
          <w:rPr>
            <w:noProof/>
            <w:webHidden/>
          </w:rPr>
          <w:fldChar w:fldCharType="end"/>
        </w:r>
      </w:hyperlink>
    </w:p>
    <w:p w14:paraId="283F1F0A" w14:textId="170F06A7" w:rsidR="0085436D" w:rsidRDefault="00117303">
      <w:pPr>
        <w:pStyle w:val="TOC3"/>
        <w:tabs>
          <w:tab w:val="right" w:leader="dot" w:pos="9628"/>
        </w:tabs>
        <w:rPr>
          <w:rFonts w:asciiTheme="minorHAnsi" w:eastAsiaTheme="minorEastAsia" w:hAnsiTheme="minorHAnsi" w:cstheme="minorBidi"/>
          <w:noProof/>
          <w:szCs w:val="24"/>
        </w:rPr>
      </w:pPr>
      <w:hyperlink w:anchor="_Toc161663946" w:history="1">
        <w:r w:rsidR="0085436D" w:rsidRPr="00991596">
          <w:rPr>
            <w:rStyle w:val="Hyperlink"/>
            <w:noProof/>
          </w:rPr>
          <w:t>c) UNHRC45 Statement, 01.10.2020</w:t>
        </w:r>
        <w:r w:rsidR="0085436D">
          <w:rPr>
            <w:noProof/>
            <w:webHidden/>
          </w:rPr>
          <w:tab/>
        </w:r>
        <w:r w:rsidR="0085436D">
          <w:rPr>
            <w:noProof/>
            <w:webHidden/>
          </w:rPr>
          <w:fldChar w:fldCharType="begin"/>
        </w:r>
        <w:r w:rsidR="0085436D">
          <w:rPr>
            <w:noProof/>
            <w:webHidden/>
          </w:rPr>
          <w:instrText xml:space="preserve"> PAGEREF _Toc161663946 \h </w:instrText>
        </w:r>
        <w:r w:rsidR="0085436D">
          <w:rPr>
            <w:noProof/>
            <w:webHidden/>
          </w:rPr>
        </w:r>
        <w:r w:rsidR="0085436D">
          <w:rPr>
            <w:noProof/>
            <w:webHidden/>
          </w:rPr>
          <w:fldChar w:fldCharType="separate"/>
        </w:r>
        <w:r w:rsidR="00383C48">
          <w:rPr>
            <w:noProof/>
            <w:webHidden/>
          </w:rPr>
          <w:t>11</w:t>
        </w:r>
        <w:r w:rsidR="0085436D">
          <w:rPr>
            <w:noProof/>
            <w:webHidden/>
          </w:rPr>
          <w:fldChar w:fldCharType="end"/>
        </w:r>
      </w:hyperlink>
    </w:p>
    <w:p w14:paraId="18969475" w14:textId="54A72B03" w:rsidR="0085436D" w:rsidRDefault="00117303">
      <w:pPr>
        <w:pStyle w:val="TOC3"/>
        <w:tabs>
          <w:tab w:val="right" w:leader="dot" w:pos="9628"/>
        </w:tabs>
        <w:rPr>
          <w:rFonts w:asciiTheme="minorHAnsi" w:eastAsiaTheme="minorEastAsia" w:hAnsiTheme="minorHAnsi" w:cstheme="minorBidi"/>
          <w:noProof/>
          <w:szCs w:val="24"/>
        </w:rPr>
      </w:pPr>
      <w:hyperlink w:anchor="_Toc161663947" w:history="1">
        <w:r w:rsidR="0085436D" w:rsidRPr="00991596">
          <w:rPr>
            <w:rStyle w:val="Hyperlink"/>
            <w:noProof/>
          </w:rPr>
          <w:t>d) Government Action Plan for Gender Equality 2020–2023</w:t>
        </w:r>
        <w:r w:rsidR="0085436D">
          <w:rPr>
            <w:noProof/>
            <w:webHidden/>
          </w:rPr>
          <w:tab/>
        </w:r>
        <w:r w:rsidR="0085436D">
          <w:rPr>
            <w:noProof/>
            <w:webHidden/>
          </w:rPr>
          <w:fldChar w:fldCharType="begin"/>
        </w:r>
        <w:r w:rsidR="0085436D">
          <w:rPr>
            <w:noProof/>
            <w:webHidden/>
          </w:rPr>
          <w:instrText xml:space="preserve"> PAGEREF _Toc161663947 \h </w:instrText>
        </w:r>
        <w:r w:rsidR="0085436D">
          <w:rPr>
            <w:noProof/>
            <w:webHidden/>
          </w:rPr>
        </w:r>
        <w:r w:rsidR="0085436D">
          <w:rPr>
            <w:noProof/>
            <w:webHidden/>
          </w:rPr>
          <w:fldChar w:fldCharType="separate"/>
        </w:r>
        <w:r w:rsidR="00383C48">
          <w:rPr>
            <w:noProof/>
            <w:webHidden/>
          </w:rPr>
          <w:t>12</w:t>
        </w:r>
        <w:r w:rsidR="0085436D">
          <w:rPr>
            <w:noProof/>
            <w:webHidden/>
          </w:rPr>
          <w:fldChar w:fldCharType="end"/>
        </w:r>
      </w:hyperlink>
    </w:p>
    <w:p w14:paraId="63CA0D77" w14:textId="3825FC16" w:rsidR="0085436D" w:rsidRDefault="00117303">
      <w:pPr>
        <w:pStyle w:val="TOC3"/>
        <w:tabs>
          <w:tab w:val="right" w:leader="dot" w:pos="9628"/>
        </w:tabs>
        <w:rPr>
          <w:rFonts w:asciiTheme="minorHAnsi" w:eastAsiaTheme="minorEastAsia" w:hAnsiTheme="minorHAnsi" w:cstheme="minorBidi"/>
          <w:noProof/>
          <w:szCs w:val="24"/>
        </w:rPr>
      </w:pPr>
      <w:hyperlink w:anchor="_Toc161663948" w:history="1">
        <w:r w:rsidR="0085436D" w:rsidRPr="00991596">
          <w:rPr>
            <w:rStyle w:val="Hyperlink"/>
            <w:noProof/>
          </w:rPr>
          <w:t>e) UNHRC48 Statement, 04.10.2021</w:t>
        </w:r>
        <w:r w:rsidR="0085436D">
          <w:rPr>
            <w:noProof/>
            <w:webHidden/>
          </w:rPr>
          <w:tab/>
        </w:r>
        <w:r w:rsidR="0085436D">
          <w:rPr>
            <w:noProof/>
            <w:webHidden/>
          </w:rPr>
          <w:fldChar w:fldCharType="begin"/>
        </w:r>
        <w:r w:rsidR="0085436D">
          <w:rPr>
            <w:noProof/>
            <w:webHidden/>
          </w:rPr>
          <w:instrText xml:space="preserve"> PAGEREF _Toc161663948 \h </w:instrText>
        </w:r>
        <w:r w:rsidR="0085436D">
          <w:rPr>
            <w:noProof/>
            <w:webHidden/>
          </w:rPr>
        </w:r>
        <w:r w:rsidR="0085436D">
          <w:rPr>
            <w:noProof/>
            <w:webHidden/>
          </w:rPr>
          <w:fldChar w:fldCharType="separate"/>
        </w:r>
        <w:r w:rsidR="00383C48">
          <w:rPr>
            <w:noProof/>
            <w:webHidden/>
          </w:rPr>
          <w:t>12</w:t>
        </w:r>
        <w:r w:rsidR="0085436D">
          <w:rPr>
            <w:noProof/>
            <w:webHidden/>
          </w:rPr>
          <w:fldChar w:fldCharType="end"/>
        </w:r>
      </w:hyperlink>
    </w:p>
    <w:p w14:paraId="59737A93" w14:textId="0597B9C8" w:rsidR="0085436D" w:rsidRDefault="00117303">
      <w:pPr>
        <w:pStyle w:val="TOC3"/>
        <w:tabs>
          <w:tab w:val="right" w:leader="dot" w:pos="9628"/>
        </w:tabs>
        <w:rPr>
          <w:rFonts w:asciiTheme="minorHAnsi" w:eastAsiaTheme="minorEastAsia" w:hAnsiTheme="minorHAnsi" w:cstheme="minorBidi"/>
          <w:noProof/>
          <w:szCs w:val="24"/>
        </w:rPr>
      </w:pPr>
      <w:hyperlink w:anchor="_Toc161663949" w:history="1">
        <w:r w:rsidR="0085436D" w:rsidRPr="00991596">
          <w:rPr>
            <w:rStyle w:val="Hyperlink"/>
            <w:noProof/>
          </w:rPr>
          <w:t>f) UNHRC54 Statement, 04.10.2023</w:t>
        </w:r>
        <w:r w:rsidR="0085436D">
          <w:rPr>
            <w:noProof/>
            <w:webHidden/>
          </w:rPr>
          <w:tab/>
        </w:r>
        <w:r w:rsidR="0085436D">
          <w:rPr>
            <w:noProof/>
            <w:webHidden/>
          </w:rPr>
          <w:fldChar w:fldCharType="begin"/>
        </w:r>
        <w:r w:rsidR="0085436D">
          <w:rPr>
            <w:noProof/>
            <w:webHidden/>
          </w:rPr>
          <w:instrText xml:space="preserve"> PAGEREF _Toc161663949 \h </w:instrText>
        </w:r>
        <w:r w:rsidR="0085436D">
          <w:rPr>
            <w:noProof/>
            <w:webHidden/>
          </w:rPr>
        </w:r>
        <w:r w:rsidR="0085436D">
          <w:rPr>
            <w:noProof/>
            <w:webHidden/>
          </w:rPr>
          <w:fldChar w:fldCharType="separate"/>
        </w:r>
        <w:r w:rsidR="00383C48">
          <w:rPr>
            <w:noProof/>
            <w:webHidden/>
          </w:rPr>
          <w:t>12</w:t>
        </w:r>
        <w:r w:rsidR="0085436D">
          <w:rPr>
            <w:noProof/>
            <w:webHidden/>
          </w:rPr>
          <w:fldChar w:fldCharType="end"/>
        </w:r>
      </w:hyperlink>
    </w:p>
    <w:p w14:paraId="3E324C45" w14:textId="7D6457E3" w:rsidR="0085436D" w:rsidRDefault="00117303">
      <w:pPr>
        <w:pStyle w:val="TOC2"/>
        <w:rPr>
          <w:rFonts w:asciiTheme="minorHAnsi" w:eastAsiaTheme="minorEastAsia" w:hAnsiTheme="minorHAnsi" w:cstheme="minorBidi"/>
          <w:szCs w:val="24"/>
        </w:rPr>
      </w:pPr>
      <w:hyperlink w:anchor="_Toc161663950" w:history="1">
        <w:r w:rsidR="0085436D" w:rsidRPr="00991596">
          <w:rPr>
            <w:rStyle w:val="Hyperlink"/>
          </w:rPr>
          <w:t>4.  Most Common IGM Forms advocated and perpetrated by Finland</w:t>
        </w:r>
        <w:r w:rsidR="0085436D">
          <w:rPr>
            <w:webHidden/>
          </w:rPr>
          <w:tab/>
        </w:r>
        <w:r w:rsidR="0085436D">
          <w:rPr>
            <w:webHidden/>
          </w:rPr>
          <w:fldChar w:fldCharType="begin"/>
        </w:r>
        <w:r w:rsidR="0085436D">
          <w:rPr>
            <w:webHidden/>
          </w:rPr>
          <w:instrText xml:space="preserve"> PAGEREF _Toc161663950 \h </w:instrText>
        </w:r>
        <w:r w:rsidR="0085436D">
          <w:rPr>
            <w:webHidden/>
          </w:rPr>
        </w:r>
        <w:r w:rsidR="0085436D">
          <w:rPr>
            <w:webHidden/>
          </w:rPr>
          <w:fldChar w:fldCharType="separate"/>
        </w:r>
        <w:r w:rsidR="00383C48">
          <w:rPr>
            <w:webHidden/>
          </w:rPr>
          <w:t>13</w:t>
        </w:r>
        <w:r w:rsidR="0085436D">
          <w:rPr>
            <w:webHidden/>
          </w:rPr>
          <w:fldChar w:fldCharType="end"/>
        </w:r>
      </w:hyperlink>
    </w:p>
    <w:p w14:paraId="2AA4B801" w14:textId="6BFB1EA6" w:rsidR="0085436D" w:rsidRDefault="00117303">
      <w:pPr>
        <w:pStyle w:val="TOC3"/>
        <w:tabs>
          <w:tab w:val="right" w:leader="dot" w:pos="9628"/>
        </w:tabs>
        <w:rPr>
          <w:rFonts w:asciiTheme="minorHAnsi" w:eastAsiaTheme="minorEastAsia" w:hAnsiTheme="minorHAnsi" w:cstheme="minorBidi"/>
          <w:noProof/>
          <w:szCs w:val="24"/>
        </w:rPr>
      </w:pPr>
      <w:hyperlink w:anchor="_Toc161663951" w:history="1">
        <w:r w:rsidR="0085436D" w:rsidRPr="00991596">
          <w:rPr>
            <w:rStyle w:val="Hyperlink"/>
            <w:noProof/>
          </w:rPr>
          <w:t>a) IGM 3 – Sterilising Procedures: Castration / “Gonadectomy” / Hysterectomy</w:t>
        </w:r>
        <w:r w:rsidR="0085436D">
          <w:rPr>
            <w:noProof/>
            <w:webHidden/>
          </w:rPr>
          <w:tab/>
        </w:r>
        <w:r w:rsidR="0085436D">
          <w:rPr>
            <w:noProof/>
            <w:webHidden/>
          </w:rPr>
          <w:fldChar w:fldCharType="begin"/>
        </w:r>
        <w:r w:rsidR="0085436D">
          <w:rPr>
            <w:noProof/>
            <w:webHidden/>
          </w:rPr>
          <w:instrText xml:space="preserve"> PAGEREF _Toc161663951 \h </w:instrText>
        </w:r>
        <w:r w:rsidR="0085436D">
          <w:rPr>
            <w:noProof/>
            <w:webHidden/>
          </w:rPr>
        </w:r>
        <w:r w:rsidR="0085436D">
          <w:rPr>
            <w:noProof/>
            <w:webHidden/>
          </w:rPr>
          <w:fldChar w:fldCharType="separate"/>
        </w:r>
        <w:r w:rsidR="00383C48">
          <w:rPr>
            <w:noProof/>
            <w:webHidden/>
          </w:rPr>
          <w:t>14</w:t>
        </w:r>
        <w:r w:rsidR="0085436D">
          <w:rPr>
            <w:noProof/>
            <w:webHidden/>
          </w:rPr>
          <w:fldChar w:fldCharType="end"/>
        </w:r>
      </w:hyperlink>
    </w:p>
    <w:p w14:paraId="0C33B60A" w14:textId="376AF159" w:rsidR="0085436D" w:rsidRDefault="00117303">
      <w:pPr>
        <w:pStyle w:val="TOC3"/>
        <w:tabs>
          <w:tab w:val="right" w:leader="dot" w:pos="9628"/>
        </w:tabs>
        <w:rPr>
          <w:rFonts w:asciiTheme="minorHAnsi" w:eastAsiaTheme="minorEastAsia" w:hAnsiTheme="minorHAnsi" w:cstheme="minorBidi"/>
          <w:noProof/>
          <w:szCs w:val="24"/>
        </w:rPr>
      </w:pPr>
      <w:hyperlink w:anchor="_Toc161663952" w:history="1">
        <w:r w:rsidR="0085436D" w:rsidRPr="00991596">
          <w:rPr>
            <w:rStyle w:val="Hyperlink"/>
            <w:noProof/>
          </w:rPr>
          <w:t>b) IGM 2 – “Feminising Procedures”: Clitoris Amputation/“Reduction”, “Vaginoplasty”</w:t>
        </w:r>
        <w:r w:rsidR="0085436D">
          <w:rPr>
            <w:noProof/>
            <w:webHidden/>
          </w:rPr>
          <w:tab/>
        </w:r>
        <w:r w:rsidR="0085436D">
          <w:rPr>
            <w:noProof/>
            <w:webHidden/>
          </w:rPr>
          <w:fldChar w:fldCharType="begin"/>
        </w:r>
        <w:r w:rsidR="0085436D">
          <w:rPr>
            <w:noProof/>
            <w:webHidden/>
          </w:rPr>
          <w:instrText xml:space="preserve"> PAGEREF _Toc161663952 \h </w:instrText>
        </w:r>
        <w:r w:rsidR="0085436D">
          <w:rPr>
            <w:noProof/>
            <w:webHidden/>
          </w:rPr>
        </w:r>
        <w:r w:rsidR="0085436D">
          <w:rPr>
            <w:noProof/>
            <w:webHidden/>
          </w:rPr>
          <w:fldChar w:fldCharType="separate"/>
        </w:r>
        <w:r w:rsidR="00383C48">
          <w:rPr>
            <w:noProof/>
            <w:webHidden/>
          </w:rPr>
          <w:t>15</w:t>
        </w:r>
        <w:r w:rsidR="0085436D">
          <w:rPr>
            <w:noProof/>
            <w:webHidden/>
          </w:rPr>
          <w:fldChar w:fldCharType="end"/>
        </w:r>
      </w:hyperlink>
    </w:p>
    <w:p w14:paraId="36DB4F89" w14:textId="3F281C0C" w:rsidR="0085436D" w:rsidRDefault="00117303">
      <w:pPr>
        <w:pStyle w:val="TOC3"/>
        <w:tabs>
          <w:tab w:val="right" w:leader="dot" w:pos="9628"/>
        </w:tabs>
        <w:rPr>
          <w:rFonts w:asciiTheme="minorHAnsi" w:eastAsiaTheme="minorEastAsia" w:hAnsiTheme="minorHAnsi" w:cstheme="minorBidi"/>
          <w:noProof/>
          <w:szCs w:val="24"/>
        </w:rPr>
      </w:pPr>
      <w:hyperlink w:anchor="_Toc161663953" w:history="1">
        <w:r w:rsidR="0085436D" w:rsidRPr="00991596">
          <w:rPr>
            <w:rStyle w:val="Hyperlink"/>
            <w:noProof/>
          </w:rPr>
          <w:t>c) IGM 1 – “Masculinising Surgery”: Hypospadias “Repair”</w:t>
        </w:r>
        <w:r w:rsidR="0085436D">
          <w:rPr>
            <w:noProof/>
            <w:webHidden/>
          </w:rPr>
          <w:tab/>
        </w:r>
        <w:r w:rsidR="0085436D">
          <w:rPr>
            <w:noProof/>
            <w:webHidden/>
          </w:rPr>
          <w:fldChar w:fldCharType="begin"/>
        </w:r>
        <w:r w:rsidR="0085436D">
          <w:rPr>
            <w:noProof/>
            <w:webHidden/>
          </w:rPr>
          <w:instrText xml:space="preserve"> PAGEREF _Toc161663953 \h </w:instrText>
        </w:r>
        <w:r w:rsidR="0085436D">
          <w:rPr>
            <w:noProof/>
            <w:webHidden/>
          </w:rPr>
        </w:r>
        <w:r w:rsidR="0085436D">
          <w:rPr>
            <w:noProof/>
            <w:webHidden/>
          </w:rPr>
          <w:fldChar w:fldCharType="separate"/>
        </w:r>
        <w:r w:rsidR="00383C48">
          <w:rPr>
            <w:noProof/>
            <w:webHidden/>
          </w:rPr>
          <w:t>17</w:t>
        </w:r>
        <w:r w:rsidR="0085436D">
          <w:rPr>
            <w:noProof/>
            <w:webHidden/>
          </w:rPr>
          <w:fldChar w:fldCharType="end"/>
        </w:r>
      </w:hyperlink>
    </w:p>
    <w:p w14:paraId="16871390" w14:textId="6C1EDAFF" w:rsidR="0085436D" w:rsidRDefault="00117303">
      <w:pPr>
        <w:pStyle w:val="TOC2"/>
        <w:rPr>
          <w:rFonts w:asciiTheme="minorHAnsi" w:eastAsiaTheme="minorEastAsia" w:hAnsiTheme="minorHAnsi" w:cstheme="minorBidi"/>
          <w:szCs w:val="24"/>
        </w:rPr>
      </w:pPr>
      <w:hyperlink w:anchor="_Toc161663954" w:history="1">
        <w:r w:rsidR="0085436D" w:rsidRPr="00991596">
          <w:rPr>
            <w:rStyle w:val="Hyperlink"/>
          </w:rPr>
          <w:t>5.  Finnish Doctors and Government consciously dismissing Intersex Human Rights</w:t>
        </w:r>
        <w:r w:rsidR="0085436D">
          <w:rPr>
            <w:webHidden/>
          </w:rPr>
          <w:tab/>
        </w:r>
        <w:r w:rsidR="0085436D">
          <w:rPr>
            <w:webHidden/>
          </w:rPr>
          <w:fldChar w:fldCharType="begin"/>
        </w:r>
        <w:r w:rsidR="0085436D">
          <w:rPr>
            <w:webHidden/>
          </w:rPr>
          <w:instrText xml:space="preserve"> PAGEREF _Toc161663954 \h </w:instrText>
        </w:r>
        <w:r w:rsidR="0085436D">
          <w:rPr>
            <w:webHidden/>
          </w:rPr>
        </w:r>
        <w:r w:rsidR="0085436D">
          <w:rPr>
            <w:webHidden/>
          </w:rPr>
          <w:fldChar w:fldCharType="separate"/>
        </w:r>
        <w:r w:rsidR="00383C48">
          <w:rPr>
            <w:webHidden/>
          </w:rPr>
          <w:t>20</w:t>
        </w:r>
        <w:r w:rsidR="0085436D">
          <w:rPr>
            <w:webHidden/>
          </w:rPr>
          <w:fldChar w:fldCharType="end"/>
        </w:r>
      </w:hyperlink>
    </w:p>
    <w:p w14:paraId="57063827" w14:textId="3C84931C" w:rsidR="0085436D" w:rsidRDefault="00117303">
      <w:pPr>
        <w:pStyle w:val="TOC2"/>
        <w:rPr>
          <w:rFonts w:asciiTheme="minorHAnsi" w:eastAsiaTheme="minorEastAsia" w:hAnsiTheme="minorHAnsi" w:cstheme="minorBidi"/>
          <w:szCs w:val="24"/>
        </w:rPr>
      </w:pPr>
      <w:hyperlink w:anchor="_Toc161663955" w:history="1">
        <w:r w:rsidR="0085436D" w:rsidRPr="00991596">
          <w:rPr>
            <w:rStyle w:val="Hyperlink"/>
          </w:rPr>
          <w:t>6.  Lack of Independent Data Collection and Monitoring</w:t>
        </w:r>
        <w:r w:rsidR="0085436D">
          <w:rPr>
            <w:webHidden/>
          </w:rPr>
          <w:tab/>
        </w:r>
        <w:r w:rsidR="0085436D">
          <w:rPr>
            <w:webHidden/>
          </w:rPr>
          <w:fldChar w:fldCharType="begin"/>
        </w:r>
        <w:r w:rsidR="0085436D">
          <w:rPr>
            <w:webHidden/>
          </w:rPr>
          <w:instrText xml:space="preserve"> PAGEREF _Toc161663955 \h </w:instrText>
        </w:r>
        <w:r w:rsidR="0085436D">
          <w:rPr>
            <w:webHidden/>
          </w:rPr>
        </w:r>
        <w:r w:rsidR="0085436D">
          <w:rPr>
            <w:webHidden/>
          </w:rPr>
          <w:fldChar w:fldCharType="separate"/>
        </w:r>
        <w:r w:rsidR="00383C48">
          <w:rPr>
            <w:webHidden/>
          </w:rPr>
          <w:t>20</w:t>
        </w:r>
        <w:r w:rsidR="0085436D">
          <w:rPr>
            <w:webHidden/>
          </w:rPr>
          <w:fldChar w:fldCharType="end"/>
        </w:r>
      </w:hyperlink>
    </w:p>
    <w:p w14:paraId="24A51CE4" w14:textId="5D5014CB" w:rsidR="0085436D" w:rsidRDefault="00117303">
      <w:pPr>
        <w:pStyle w:val="TOC2"/>
        <w:rPr>
          <w:rFonts w:asciiTheme="minorHAnsi" w:eastAsiaTheme="minorEastAsia" w:hAnsiTheme="minorHAnsi" w:cstheme="minorBidi"/>
          <w:szCs w:val="24"/>
        </w:rPr>
      </w:pPr>
      <w:hyperlink w:anchor="_Toc161663956" w:history="1">
        <w:r w:rsidR="0085436D" w:rsidRPr="00991596">
          <w:rPr>
            <w:rStyle w:val="Hyperlink"/>
          </w:rPr>
          <w:t>7.  Obstacles to redress, fair and adequate compensation</w:t>
        </w:r>
        <w:r w:rsidR="0085436D">
          <w:rPr>
            <w:webHidden/>
          </w:rPr>
          <w:tab/>
        </w:r>
        <w:r w:rsidR="0085436D">
          <w:rPr>
            <w:webHidden/>
          </w:rPr>
          <w:fldChar w:fldCharType="begin"/>
        </w:r>
        <w:r w:rsidR="0085436D">
          <w:rPr>
            <w:webHidden/>
          </w:rPr>
          <w:instrText xml:space="preserve"> PAGEREF _Toc161663956 \h </w:instrText>
        </w:r>
        <w:r w:rsidR="0085436D">
          <w:rPr>
            <w:webHidden/>
          </w:rPr>
        </w:r>
        <w:r w:rsidR="0085436D">
          <w:rPr>
            <w:webHidden/>
          </w:rPr>
          <w:fldChar w:fldCharType="separate"/>
        </w:r>
        <w:r w:rsidR="00383C48">
          <w:rPr>
            <w:webHidden/>
          </w:rPr>
          <w:t>21</w:t>
        </w:r>
        <w:r w:rsidR="0085436D">
          <w:rPr>
            <w:webHidden/>
          </w:rPr>
          <w:fldChar w:fldCharType="end"/>
        </w:r>
      </w:hyperlink>
    </w:p>
    <w:p w14:paraId="6D521FCE" w14:textId="0AC06682" w:rsidR="0085436D" w:rsidRPr="00C46AD8" w:rsidRDefault="00117303">
      <w:pPr>
        <w:pStyle w:val="TOC1"/>
        <w:rPr>
          <w:rFonts w:asciiTheme="minorHAnsi" w:eastAsiaTheme="minorEastAsia" w:hAnsiTheme="minorHAnsi" w:cstheme="minorBidi"/>
          <w:b w:val="0"/>
          <w:sz w:val="36"/>
          <w:szCs w:val="36"/>
          <w:lang w:val="de-CH"/>
        </w:rPr>
      </w:pPr>
      <w:hyperlink w:anchor="_Toc161663957" w:history="1">
        <w:r w:rsidR="0085436D" w:rsidRPr="00C46AD8">
          <w:rPr>
            <w:rStyle w:val="Hyperlink"/>
            <w:sz w:val="36"/>
            <w:szCs w:val="36"/>
          </w:rPr>
          <w:t>C.  Suggested Recommendations</w:t>
        </w:r>
        <w:r w:rsidR="0085436D" w:rsidRPr="00C46AD8">
          <w:rPr>
            <w:webHidden/>
            <w:sz w:val="36"/>
            <w:szCs w:val="36"/>
          </w:rPr>
          <w:tab/>
        </w:r>
        <w:r w:rsidR="0085436D" w:rsidRPr="00C46AD8">
          <w:rPr>
            <w:webHidden/>
            <w:sz w:val="36"/>
            <w:szCs w:val="36"/>
          </w:rPr>
          <w:fldChar w:fldCharType="begin"/>
        </w:r>
        <w:r w:rsidR="0085436D" w:rsidRPr="00C46AD8">
          <w:rPr>
            <w:webHidden/>
            <w:sz w:val="36"/>
            <w:szCs w:val="36"/>
          </w:rPr>
          <w:instrText xml:space="preserve"> PAGEREF _Toc161663957 \h </w:instrText>
        </w:r>
        <w:r w:rsidR="0085436D" w:rsidRPr="00C46AD8">
          <w:rPr>
            <w:webHidden/>
            <w:sz w:val="36"/>
            <w:szCs w:val="36"/>
          </w:rPr>
        </w:r>
        <w:r w:rsidR="0085436D" w:rsidRPr="00C46AD8">
          <w:rPr>
            <w:webHidden/>
            <w:sz w:val="36"/>
            <w:szCs w:val="36"/>
          </w:rPr>
          <w:fldChar w:fldCharType="separate"/>
        </w:r>
        <w:r w:rsidR="00383C48">
          <w:rPr>
            <w:webHidden/>
            <w:sz w:val="36"/>
            <w:szCs w:val="36"/>
          </w:rPr>
          <w:t>23</w:t>
        </w:r>
        <w:r w:rsidR="0085436D" w:rsidRPr="00C46AD8">
          <w:rPr>
            <w:webHidden/>
            <w:sz w:val="36"/>
            <w:szCs w:val="36"/>
          </w:rPr>
          <w:fldChar w:fldCharType="end"/>
        </w:r>
      </w:hyperlink>
    </w:p>
    <w:p w14:paraId="029B1EE5" w14:textId="7D8D0D60" w:rsidR="0085436D" w:rsidRDefault="00117303">
      <w:pPr>
        <w:pStyle w:val="TOC1"/>
        <w:rPr>
          <w:rFonts w:asciiTheme="minorHAnsi" w:eastAsiaTheme="minorEastAsia" w:hAnsiTheme="minorHAnsi" w:cstheme="minorBidi"/>
          <w:b w:val="0"/>
          <w:sz w:val="24"/>
          <w:szCs w:val="24"/>
          <w:lang w:val="de-CH"/>
        </w:rPr>
      </w:pPr>
      <w:hyperlink w:anchor="_Toc161663958" w:history="1">
        <w:r w:rsidR="0085436D" w:rsidRPr="00991596">
          <w:rPr>
            <w:rStyle w:val="Hyperlink"/>
          </w:rPr>
          <w:t>Annexe 1 – Intersex, IGM and Non-Derogable Human Rights</w:t>
        </w:r>
        <w:r w:rsidR="0085436D">
          <w:rPr>
            <w:webHidden/>
          </w:rPr>
          <w:tab/>
        </w:r>
        <w:r w:rsidR="0085436D">
          <w:rPr>
            <w:webHidden/>
          </w:rPr>
          <w:fldChar w:fldCharType="begin"/>
        </w:r>
        <w:r w:rsidR="0085436D">
          <w:rPr>
            <w:webHidden/>
          </w:rPr>
          <w:instrText xml:space="preserve"> PAGEREF _Toc161663958 \h </w:instrText>
        </w:r>
        <w:r w:rsidR="0085436D">
          <w:rPr>
            <w:webHidden/>
          </w:rPr>
        </w:r>
        <w:r w:rsidR="0085436D">
          <w:rPr>
            <w:webHidden/>
          </w:rPr>
          <w:fldChar w:fldCharType="separate"/>
        </w:r>
        <w:r w:rsidR="00383C48">
          <w:rPr>
            <w:webHidden/>
          </w:rPr>
          <w:t>24</w:t>
        </w:r>
        <w:r w:rsidR="0085436D">
          <w:rPr>
            <w:webHidden/>
          </w:rPr>
          <w:fldChar w:fldCharType="end"/>
        </w:r>
      </w:hyperlink>
    </w:p>
    <w:p w14:paraId="13FCF0D0" w14:textId="6C041740" w:rsidR="0085436D" w:rsidRDefault="00117303">
      <w:pPr>
        <w:pStyle w:val="TOC2"/>
        <w:rPr>
          <w:rFonts w:asciiTheme="minorHAnsi" w:eastAsiaTheme="minorEastAsia" w:hAnsiTheme="minorHAnsi" w:cstheme="minorBidi"/>
          <w:szCs w:val="24"/>
        </w:rPr>
      </w:pPr>
      <w:hyperlink w:anchor="_Toc161663959" w:history="1">
        <w:r w:rsidR="0085436D" w:rsidRPr="00991596">
          <w:rPr>
            <w:rStyle w:val="Hyperlink"/>
          </w:rPr>
          <w:t>1.  Intersex = variations of reproductive anatomy</w:t>
        </w:r>
        <w:r w:rsidR="0085436D">
          <w:rPr>
            <w:webHidden/>
          </w:rPr>
          <w:tab/>
        </w:r>
        <w:r w:rsidR="0085436D">
          <w:rPr>
            <w:webHidden/>
          </w:rPr>
          <w:fldChar w:fldCharType="begin"/>
        </w:r>
        <w:r w:rsidR="0085436D">
          <w:rPr>
            <w:webHidden/>
          </w:rPr>
          <w:instrText xml:space="preserve"> PAGEREF _Toc161663959 \h </w:instrText>
        </w:r>
        <w:r w:rsidR="0085436D">
          <w:rPr>
            <w:webHidden/>
          </w:rPr>
        </w:r>
        <w:r w:rsidR="0085436D">
          <w:rPr>
            <w:webHidden/>
          </w:rPr>
          <w:fldChar w:fldCharType="separate"/>
        </w:r>
        <w:r w:rsidR="00383C48">
          <w:rPr>
            <w:webHidden/>
          </w:rPr>
          <w:t>24</w:t>
        </w:r>
        <w:r w:rsidR="0085436D">
          <w:rPr>
            <w:webHidden/>
          </w:rPr>
          <w:fldChar w:fldCharType="end"/>
        </w:r>
      </w:hyperlink>
    </w:p>
    <w:p w14:paraId="69AF2930" w14:textId="5AE33AB5" w:rsidR="0085436D" w:rsidRDefault="00117303">
      <w:pPr>
        <w:pStyle w:val="TOC2"/>
        <w:rPr>
          <w:rFonts w:asciiTheme="minorHAnsi" w:eastAsiaTheme="minorEastAsia" w:hAnsiTheme="minorHAnsi" w:cstheme="minorBidi"/>
          <w:szCs w:val="24"/>
        </w:rPr>
      </w:pPr>
      <w:hyperlink w:anchor="_Toc161663960" w:history="1">
        <w:r w:rsidR="0085436D" w:rsidRPr="00991596">
          <w:rPr>
            <w:rStyle w:val="Hyperlink"/>
          </w:rPr>
          <w:t>2.  IGM = Involuntary, unnecessary and harmful interventions</w:t>
        </w:r>
        <w:r w:rsidR="0085436D">
          <w:rPr>
            <w:webHidden/>
          </w:rPr>
          <w:tab/>
        </w:r>
        <w:r w:rsidR="0085436D">
          <w:rPr>
            <w:webHidden/>
          </w:rPr>
          <w:fldChar w:fldCharType="begin"/>
        </w:r>
        <w:r w:rsidR="0085436D">
          <w:rPr>
            <w:webHidden/>
          </w:rPr>
          <w:instrText xml:space="preserve"> PAGEREF _Toc161663960 \h </w:instrText>
        </w:r>
        <w:r w:rsidR="0085436D">
          <w:rPr>
            <w:webHidden/>
          </w:rPr>
        </w:r>
        <w:r w:rsidR="0085436D">
          <w:rPr>
            <w:webHidden/>
          </w:rPr>
          <w:fldChar w:fldCharType="separate"/>
        </w:r>
        <w:r w:rsidR="00383C48">
          <w:rPr>
            <w:webHidden/>
          </w:rPr>
          <w:t>24</w:t>
        </w:r>
        <w:r w:rsidR="0085436D">
          <w:rPr>
            <w:webHidden/>
          </w:rPr>
          <w:fldChar w:fldCharType="end"/>
        </w:r>
      </w:hyperlink>
    </w:p>
    <w:p w14:paraId="7FCC0E2B" w14:textId="57C74215" w:rsidR="0085436D" w:rsidRDefault="00117303">
      <w:pPr>
        <w:pStyle w:val="TOC2"/>
        <w:rPr>
          <w:rFonts w:asciiTheme="minorHAnsi" w:eastAsiaTheme="minorEastAsia" w:hAnsiTheme="minorHAnsi" w:cstheme="minorBidi"/>
          <w:szCs w:val="24"/>
        </w:rPr>
      </w:pPr>
      <w:hyperlink w:anchor="_Toc161663961" w:history="1">
        <w:r w:rsidR="0085436D" w:rsidRPr="00991596">
          <w:rPr>
            <w:rStyle w:val="Hyperlink"/>
          </w:rPr>
          <w:t>3.  Intersex is NOT THE SAME as LGBT or Transgender</w:t>
        </w:r>
        <w:r w:rsidR="0085436D">
          <w:rPr>
            <w:webHidden/>
          </w:rPr>
          <w:tab/>
        </w:r>
        <w:r w:rsidR="0085436D">
          <w:rPr>
            <w:webHidden/>
          </w:rPr>
          <w:fldChar w:fldCharType="begin"/>
        </w:r>
        <w:r w:rsidR="0085436D">
          <w:rPr>
            <w:webHidden/>
          </w:rPr>
          <w:instrText xml:space="preserve"> PAGEREF _Toc161663961 \h </w:instrText>
        </w:r>
        <w:r w:rsidR="0085436D">
          <w:rPr>
            <w:webHidden/>
          </w:rPr>
        </w:r>
        <w:r w:rsidR="0085436D">
          <w:rPr>
            <w:webHidden/>
          </w:rPr>
          <w:fldChar w:fldCharType="separate"/>
        </w:r>
        <w:r w:rsidR="00383C48">
          <w:rPr>
            <w:webHidden/>
          </w:rPr>
          <w:t>26</w:t>
        </w:r>
        <w:r w:rsidR="0085436D">
          <w:rPr>
            <w:webHidden/>
          </w:rPr>
          <w:fldChar w:fldCharType="end"/>
        </w:r>
      </w:hyperlink>
    </w:p>
    <w:p w14:paraId="524891DD" w14:textId="39320D5A" w:rsidR="0085436D" w:rsidRDefault="00117303">
      <w:pPr>
        <w:pStyle w:val="TOC2"/>
        <w:rPr>
          <w:rFonts w:asciiTheme="minorHAnsi" w:eastAsiaTheme="minorEastAsia" w:hAnsiTheme="minorHAnsi" w:cstheme="minorBidi"/>
          <w:szCs w:val="24"/>
        </w:rPr>
      </w:pPr>
      <w:hyperlink w:anchor="_Toc161663962" w:history="1">
        <w:r w:rsidR="0085436D" w:rsidRPr="00991596">
          <w:rPr>
            <w:rStyle w:val="Hyperlink"/>
          </w:rPr>
          <w:t>4.  IGM is NOT a “Discrimination” Issue</w:t>
        </w:r>
        <w:r w:rsidR="0085436D">
          <w:rPr>
            <w:webHidden/>
          </w:rPr>
          <w:tab/>
        </w:r>
        <w:r w:rsidR="0085436D">
          <w:rPr>
            <w:webHidden/>
          </w:rPr>
          <w:fldChar w:fldCharType="begin"/>
        </w:r>
        <w:r w:rsidR="0085436D">
          <w:rPr>
            <w:webHidden/>
          </w:rPr>
          <w:instrText xml:space="preserve"> PAGEREF _Toc161663962 \h </w:instrText>
        </w:r>
        <w:r w:rsidR="0085436D">
          <w:rPr>
            <w:webHidden/>
          </w:rPr>
        </w:r>
        <w:r w:rsidR="0085436D">
          <w:rPr>
            <w:webHidden/>
          </w:rPr>
          <w:fldChar w:fldCharType="separate"/>
        </w:r>
        <w:r w:rsidR="00383C48">
          <w:rPr>
            <w:webHidden/>
          </w:rPr>
          <w:t>27</w:t>
        </w:r>
        <w:r w:rsidR="0085436D">
          <w:rPr>
            <w:webHidden/>
          </w:rPr>
          <w:fldChar w:fldCharType="end"/>
        </w:r>
      </w:hyperlink>
    </w:p>
    <w:p w14:paraId="4510AA12" w14:textId="5B8365A3" w:rsidR="0085436D" w:rsidRDefault="00117303">
      <w:pPr>
        <w:pStyle w:val="TOC2"/>
        <w:rPr>
          <w:rFonts w:asciiTheme="minorHAnsi" w:eastAsiaTheme="minorEastAsia" w:hAnsiTheme="minorHAnsi" w:cstheme="minorBidi"/>
          <w:szCs w:val="24"/>
        </w:rPr>
      </w:pPr>
      <w:hyperlink w:anchor="_Toc161663963" w:history="1">
        <w:r w:rsidR="0085436D" w:rsidRPr="00991596">
          <w:rPr>
            <w:rStyle w:val="Hyperlink"/>
          </w:rPr>
          <w:t>5.  IGM is NOT a “Health” Issue</w:t>
        </w:r>
        <w:r w:rsidR="0085436D">
          <w:rPr>
            <w:webHidden/>
          </w:rPr>
          <w:tab/>
        </w:r>
        <w:r w:rsidR="0085436D">
          <w:rPr>
            <w:webHidden/>
          </w:rPr>
          <w:fldChar w:fldCharType="begin"/>
        </w:r>
        <w:r w:rsidR="0085436D">
          <w:rPr>
            <w:webHidden/>
          </w:rPr>
          <w:instrText xml:space="preserve"> PAGEREF _Toc161663963 \h </w:instrText>
        </w:r>
        <w:r w:rsidR="0085436D">
          <w:rPr>
            <w:webHidden/>
          </w:rPr>
        </w:r>
        <w:r w:rsidR="0085436D">
          <w:rPr>
            <w:webHidden/>
          </w:rPr>
          <w:fldChar w:fldCharType="separate"/>
        </w:r>
        <w:r w:rsidR="00383C48">
          <w:rPr>
            <w:webHidden/>
          </w:rPr>
          <w:t>27</w:t>
        </w:r>
        <w:r w:rsidR="0085436D">
          <w:rPr>
            <w:webHidden/>
          </w:rPr>
          <w:fldChar w:fldCharType="end"/>
        </w:r>
      </w:hyperlink>
    </w:p>
    <w:p w14:paraId="2B5945C3" w14:textId="18559ED8" w:rsidR="0085436D" w:rsidRDefault="00117303">
      <w:pPr>
        <w:pStyle w:val="TOC1"/>
        <w:rPr>
          <w:rFonts w:asciiTheme="minorHAnsi" w:eastAsiaTheme="minorEastAsia" w:hAnsiTheme="minorHAnsi" w:cstheme="minorBidi"/>
          <w:b w:val="0"/>
          <w:sz w:val="24"/>
          <w:szCs w:val="24"/>
          <w:lang w:val="de-CH"/>
        </w:rPr>
      </w:pPr>
      <w:hyperlink w:anchor="_Toc161663964" w:history="1">
        <w:r w:rsidR="0085436D" w:rsidRPr="00991596">
          <w:rPr>
            <w:rStyle w:val="Hyperlink"/>
          </w:rPr>
          <w:t>Annexe 2 – “IGM in Medical Textbooks: Current Practice”</w:t>
        </w:r>
        <w:r w:rsidR="0085436D">
          <w:rPr>
            <w:webHidden/>
          </w:rPr>
          <w:tab/>
        </w:r>
        <w:r w:rsidR="0085436D">
          <w:rPr>
            <w:webHidden/>
          </w:rPr>
          <w:fldChar w:fldCharType="begin"/>
        </w:r>
        <w:r w:rsidR="0085436D">
          <w:rPr>
            <w:webHidden/>
          </w:rPr>
          <w:instrText xml:space="preserve"> PAGEREF _Toc161663964 \h </w:instrText>
        </w:r>
        <w:r w:rsidR="0085436D">
          <w:rPr>
            <w:webHidden/>
          </w:rPr>
        </w:r>
        <w:r w:rsidR="0085436D">
          <w:rPr>
            <w:webHidden/>
          </w:rPr>
          <w:fldChar w:fldCharType="separate"/>
        </w:r>
        <w:r w:rsidR="00383C48">
          <w:rPr>
            <w:webHidden/>
          </w:rPr>
          <w:t>28</w:t>
        </w:r>
        <w:r w:rsidR="0085436D">
          <w:rPr>
            <w:webHidden/>
          </w:rPr>
          <w:fldChar w:fldCharType="end"/>
        </w:r>
      </w:hyperlink>
    </w:p>
    <w:p w14:paraId="1AD61FC9" w14:textId="18F75BB0" w:rsidR="0085436D" w:rsidRDefault="00117303">
      <w:pPr>
        <w:pStyle w:val="TOC3"/>
        <w:tabs>
          <w:tab w:val="right" w:leader="dot" w:pos="9628"/>
        </w:tabs>
        <w:rPr>
          <w:rFonts w:asciiTheme="minorHAnsi" w:eastAsiaTheme="minorEastAsia" w:hAnsiTheme="minorHAnsi" w:cstheme="minorBidi"/>
          <w:noProof/>
          <w:szCs w:val="24"/>
        </w:rPr>
      </w:pPr>
      <w:hyperlink w:anchor="_Toc161663965" w:history="1">
        <w:r w:rsidR="0085436D" w:rsidRPr="00991596">
          <w:rPr>
            <w:rStyle w:val="Hyperlink"/>
            <w:noProof/>
          </w:rPr>
          <w:t>IGM 1 – “Masculinising Surgery”: “Hypospadias Repair”</w:t>
        </w:r>
        <w:r w:rsidR="0085436D">
          <w:rPr>
            <w:noProof/>
            <w:webHidden/>
          </w:rPr>
          <w:tab/>
        </w:r>
        <w:r w:rsidR="0085436D">
          <w:rPr>
            <w:noProof/>
            <w:webHidden/>
          </w:rPr>
          <w:fldChar w:fldCharType="begin"/>
        </w:r>
        <w:r w:rsidR="0085436D">
          <w:rPr>
            <w:noProof/>
            <w:webHidden/>
          </w:rPr>
          <w:instrText xml:space="preserve"> PAGEREF _Toc161663965 \h </w:instrText>
        </w:r>
        <w:r w:rsidR="0085436D">
          <w:rPr>
            <w:noProof/>
            <w:webHidden/>
          </w:rPr>
        </w:r>
        <w:r w:rsidR="0085436D">
          <w:rPr>
            <w:noProof/>
            <w:webHidden/>
          </w:rPr>
          <w:fldChar w:fldCharType="separate"/>
        </w:r>
        <w:r w:rsidR="00383C48">
          <w:rPr>
            <w:noProof/>
            <w:webHidden/>
          </w:rPr>
          <w:t>28</w:t>
        </w:r>
        <w:r w:rsidR="0085436D">
          <w:rPr>
            <w:noProof/>
            <w:webHidden/>
          </w:rPr>
          <w:fldChar w:fldCharType="end"/>
        </w:r>
      </w:hyperlink>
    </w:p>
    <w:p w14:paraId="238E229C" w14:textId="3392C60D" w:rsidR="0085436D" w:rsidRDefault="00117303">
      <w:pPr>
        <w:pStyle w:val="TOC3"/>
        <w:tabs>
          <w:tab w:val="right" w:leader="dot" w:pos="9628"/>
        </w:tabs>
        <w:rPr>
          <w:rFonts w:asciiTheme="minorHAnsi" w:eastAsiaTheme="minorEastAsia" w:hAnsiTheme="minorHAnsi" w:cstheme="minorBidi"/>
          <w:noProof/>
          <w:szCs w:val="24"/>
        </w:rPr>
      </w:pPr>
      <w:hyperlink w:anchor="_Toc161663966" w:history="1">
        <w:r w:rsidR="0085436D" w:rsidRPr="00991596">
          <w:rPr>
            <w:rStyle w:val="Hyperlink"/>
            <w:noProof/>
          </w:rPr>
          <w:t>IGM 2 – “Feminising Surgery”: “Clitoral Reduction”, “Vaginoplasty”</w:t>
        </w:r>
        <w:r w:rsidR="0085436D">
          <w:rPr>
            <w:noProof/>
            <w:webHidden/>
          </w:rPr>
          <w:tab/>
        </w:r>
        <w:r w:rsidR="0085436D">
          <w:rPr>
            <w:noProof/>
            <w:webHidden/>
          </w:rPr>
          <w:fldChar w:fldCharType="begin"/>
        </w:r>
        <w:r w:rsidR="0085436D">
          <w:rPr>
            <w:noProof/>
            <w:webHidden/>
          </w:rPr>
          <w:instrText xml:space="preserve"> PAGEREF _Toc161663966 \h </w:instrText>
        </w:r>
        <w:r w:rsidR="0085436D">
          <w:rPr>
            <w:noProof/>
            <w:webHidden/>
          </w:rPr>
        </w:r>
        <w:r w:rsidR="0085436D">
          <w:rPr>
            <w:noProof/>
            <w:webHidden/>
          </w:rPr>
          <w:fldChar w:fldCharType="separate"/>
        </w:r>
        <w:r w:rsidR="00383C48">
          <w:rPr>
            <w:noProof/>
            <w:webHidden/>
          </w:rPr>
          <w:t>30</w:t>
        </w:r>
        <w:r w:rsidR="0085436D">
          <w:rPr>
            <w:noProof/>
            <w:webHidden/>
          </w:rPr>
          <w:fldChar w:fldCharType="end"/>
        </w:r>
      </w:hyperlink>
    </w:p>
    <w:p w14:paraId="1ED2842E" w14:textId="6AF19C94" w:rsidR="0085436D" w:rsidRDefault="00117303">
      <w:pPr>
        <w:pStyle w:val="TOC3"/>
        <w:tabs>
          <w:tab w:val="right" w:leader="dot" w:pos="9628"/>
        </w:tabs>
        <w:rPr>
          <w:rFonts w:asciiTheme="minorHAnsi" w:eastAsiaTheme="minorEastAsia" w:hAnsiTheme="minorHAnsi" w:cstheme="minorBidi"/>
          <w:noProof/>
          <w:szCs w:val="24"/>
        </w:rPr>
      </w:pPr>
      <w:hyperlink w:anchor="_Toc161663967" w:history="1">
        <w:r w:rsidR="0085436D" w:rsidRPr="00991596">
          <w:rPr>
            <w:rStyle w:val="Hyperlink"/>
            <w:noProof/>
          </w:rPr>
          <w:t>IGM 3 – Sterilising Surgery: Castration / “Gonadectomy” / Hysterectomy</w:t>
        </w:r>
        <w:r w:rsidR="0085436D">
          <w:rPr>
            <w:noProof/>
            <w:webHidden/>
          </w:rPr>
          <w:tab/>
        </w:r>
        <w:r w:rsidR="0085436D">
          <w:rPr>
            <w:noProof/>
            <w:webHidden/>
          </w:rPr>
          <w:fldChar w:fldCharType="begin"/>
        </w:r>
        <w:r w:rsidR="0085436D">
          <w:rPr>
            <w:noProof/>
            <w:webHidden/>
          </w:rPr>
          <w:instrText xml:space="preserve"> PAGEREF _Toc161663967 \h </w:instrText>
        </w:r>
        <w:r w:rsidR="0085436D">
          <w:rPr>
            <w:noProof/>
            <w:webHidden/>
          </w:rPr>
        </w:r>
        <w:r w:rsidR="0085436D">
          <w:rPr>
            <w:noProof/>
            <w:webHidden/>
          </w:rPr>
          <w:fldChar w:fldCharType="separate"/>
        </w:r>
        <w:r w:rsidR="00383C48">
          <w:rPr>
            <w:noProof/>
            <w:webHidden/>
          </w:rPr>
          <w:t>32</w:t>
        </w:r>
        <w:r w:rsidR="0085436D">
          <w:rPr>
            <w:noProof/>
            <w:webHidden/>
          </w:rPr>
          <w:fldChar w:fldCharType="end"/>
        </w:r>
      </w:hyperlink>
    </w:p>
    <w:p w14:paraId="0D259375" w14:textId="65F41A9A" w:rsidR="0085436D" w:rsidRPr="00383C48" w:rsidRDefault="0085436D">
      <w:pPr>
        <w:pStyle w:val="TOC2"/>
        <w:rPr>
          <w:rFonts w:asciiTheme="minorHAnsi" w:eastAsiaTheme="minorEastAsia" w:hAnsiTheme="minorHAnsi" w:cstheme="minorBidi"/>
          <w:szCs w:val="24"/>
          <w:lang w:val="en-US"/>
        </w:rPr>
      </w:pPr>
      <w:r w:rsidRPr="00383C48">
        <w:rPr>
          <w:rStyle w:val="Hyperlink"/>
          <w:u w:val="none"/>
          <w:lang w:val="en-US"/>
        </w:rPr>
        <w:t xml:space="preserve">    </w:t>
      </w:r>
      <w:hyperlink w:anchor="_Toc161663968" w:history="1">
        <w:r w:rsidRPr="00383C48">
          <w:rPr>
            <w:rStyle w:val="Hyperlink"/>
            <w:lang w:val="en-US"/>
          </w:rPr>
          <w:t>“Bad results” / “Gonadectomy, Feminising Genitoplasty”</w:t>
        </w:r>
        <w:r w:rsidRPr="00383C48">
          <w:rPr>
            <w:webHidden/>
            <w:lang w:val="en-US"/>
          </w:rPr>
          <w:tab/>
        </w:r>
        <w:r>
          <w:rPr>
            <w:webHidden/>
          </w:rPr>
          <w:fldChar w:fldCharType="begin"/>
        </w:r>
        <w:r w:rsidRPr="00383C48">
          <w:rPr>
            <w:webHidden/>
            <w:lang w:val="en-US"/>
          </w:rPr>
          <w:instrText xml:space="preserve"> PAGEREF _Toc161663968 \h </w:instrText>
        </w:r>
        <w:r>
          <w:rPr>
            <w:webHidden/>
          </w:rPr>
        </w:r>
        <w:r>
          <w:rPr>
            <w:webHidden/>
          </w:rPr>
          <w:fldChar w:fldCharType="separate"/>
        </w:r>
        <w:r w:rsidR="00383C48">
          <w:rPr>
            <w:webHidden/>
            <w:lang w:val="en-US"/>
          </w:rPr>
          <w:t>34</w:t>
        </w:r>
        <w:r>
          <w:rPr>
            <w:webHidden/>
          </w:rPr>
          <w:fldChar w:fldCharType="end"/>
        </w:r>
      </w:hyperlink>
    </w:p>
    <w:p w14:paraId="273CF648" w14:textId="7596B290" w:rsidR="00345E3F" w:rsidRPr="00CF0F1C" w:rsidRDefault="00B556E9" w:rsidP="00A760A8">
      <w:pPr>
        <w:pStyle w:val="EinfacherAbsatz"/>
        <w:rPr>
          <w:rFonts w:ascii="Arial" w:eastAsia="ColossalisBold" w:hAnsi="Arial" w:cs="Arial"/>
          <w:b/>
          <w:bCs/>
          <w:color w:val="5E175E"/>
          <w:spacing w:val="11"/>
          <w:w w:val="95"/>
          <w:sz w:val="30"/>
          <w:szCs w:val="30"/>
          <w:lang w:val="en-GB"/>
        </w:rPr>
      </w:pPr>
      <w:r w:rsidRPr="00CF0F1C">
        <w:rPr>
          <w:rFonts w:ascii="Arial" w:eastAsia="ColossalisBold" w:hAnsi="Arial" w:cs="Arial"/>
          <w:bCs/>
          <w:noProof/>
          <w:color w:val="5E175E"/>
          <w:spacing w:val="11"/>
          <w:w w:val="95"/>
          <w:sz w:val="30"/>
          <w:szCs w:val="30"/>
          <w:lang w:val="en-GB"/>
        </w:rPr>
        <w:fldChar w:fldCharType="end"/>
      </w:r>
    </w:p>
    <w:p w14:paraId="4D8ADB6C" w14:textId="1575AEF8" w:rsidR="001C58BA" w:rsidRPr="00CF0F1C" w:rsidRDefault="001515AB" w:rsidP="005244FB">
      <w:pPr>
        <w:pStyle w:val="Title1"/>
        <w:rPr>
          <w:rFonts w:eastAsia="Baskerville" w:cs="Times New Roman"/>
          <w:spacing w:val="2"/>
          <w:lang w:val="en-GB"/>
        </w:rPr>
      </w:pPr>
      <w:bookmarkStart w:id="8" w:name="_Toc463295398"/>
      <w:bookmarkStart w:id="9" w:name="_Toc472687682"/>
      <w:bookmarkStart w:id="10" w:name="_Toc485093563"/>
      <w:bookmarkStart w:id="11" w:name="_Toc161663931"/>
      <w:r w:rsidRPr="00CF0F1C">
        <w:rPr>
          <w:lang w:val="en-GB"/>
        </w:rPr>
        <w:lastRenderedPageBreak/>
        <w:t>Introduction</w:t>
      </w:r>
      <w:bookmarkStart w:id="12" w:name="_Toc453620703"/>
      <w:bookmarkStart w:id="13" w:name="_Toc463295399"/>
      <w:bookmarkStart w:id="14" w:name="_Toc472687683"/>
      <w:bookmarkEnd w:id="6"/>
      <w:bookmarkEnd w:id="7"/>
      <w:bookmarkEnd w:id="8"/>
      <w:bookmarkEnd w:id="9"/>
      <w:bookmarkEnd w:id="10"/>
      <w:bookmarkEnd w:id="11"/>
    </w:p>
    <w:p w14:paraId="6D0F5956" w14:textId="77777777" w:rsidR="00843217" w:rsidRPr="00CF0F1C" w:rsidRDefault="00843217" w:rsidP="00C31717">
      <w:pPr>
        <w:pStyle w:val="Title2"/>
      </w:pPr>
      <w:bookmarkStart w:id="15" w:name="_Toc485093564"/>
    </w:p>
    <w:p w14:paraId="6310A5C9" w14:textId="37DE6042" w:rsidR="00141C4F" w:rsidRPr="00CF0F1C" w:rsidRDefault="00F57504" w:rsidP="00C31717">
      <w:pPr>
        <w:pStyle w:val="Title2"/>
        <w:rPr>
          <w:rFonts w:eastAsia="Baskerville"/>
          <w:szCs w:val="24"/>
        </w:rPr>
      </w:pPr>
      <w:bookmarkStart w:id="16" w:name="_Toc161663932"/>
      <w:r w:rsidRPr="00CF0F1C">
        <w:t xml:space="preserve">1.  </w:t>
      </w:r>
      <w:bookmarkEnd w:id="12"/>
      <w:bookmarkEnd w:id="13"/>
      <w:bookmarkEnd w:id="14"/>
      <w:bookmarkEnd w:id="15"/>
      <w:r w:rsidR="0023768F">
        <w:t>Intersex human rights and IGM in Finland</w:t>
      </w:r>
      <w:bookmarkEnd w:id="16"/>
    </w:p>
    <w:p w14:paraId="7D53FAF2" w14:textId="6BA2068B" w:rsidR="00092680" w:rsidRPr="00CF0F1C" w:rsidRDefault="007A3DE5" w:rsidP="000A2729">
      <w:pPr>
        <w:pStyle w:val="absatzschattenbericht"/>
        <w:rPr>
          <w:rFonts w:eastAsia="Baskerville-Bold" w:cs="Baskerville-Bold"/>
          <w:color w:val="auto"/>
          <w:lang w:val="en-GB"/>
        </w:rPr>
      </w:pPr>
      <w:r w:rsidRPr="00CF0F1C">
        <w:rPr>
          <w:rFonts w:eastAsia="Baskerville-Bold" w:cs="Baskerville-Bold"/>
          <w:color w:val="auto"/>
          <w:lang w:val="en-GB"/>
        </w:rPr>
        <w:t>Finnish i</w:t>
      </w:r>
      <w:r w:rsidR="00092680" w:rsidRPr="00CF0F1C">
        <w:rPr>
          <w:rFonts w:eastAsia="Baskerville-Bold" w:cs="Baskerville-Bold"/>
          <w:color w:val="auto"/>
          <w:lang w:val="en-GB"/>
        </w:rPr>
        <w:t xml:space="preserve">ntersex advocates, NGOs, ethics and human rights bodies, and some medical professionals have </w:t>
      </w:r>
      <w:r w:rsidR="00092680" w:rsidRPr="00CF0F1C">
        <w:rPr>
          <w:rFonts w:eastAsia="Baskerville-Bold" w:cs="Baskerville-Bold"/>
          <w:b/>
          <w:bCs/>
          <w:color w:val="auto"/>
          <w:lang w:val="en-GB"/>
        </w:rPr>
        <w:t>publicly criticised IGM practices</w:t>
      </w:r>
      <w:r w:rsidR="00092680" w:rsidRPr="00CF0F1C">
        <w:rPr>
          <w:rFonts w:eastAsia="Baskerville-Bold" w:cs="Baskerville-Bold"/>
          <w:color w:val="auto"/>
          <w:lang w:val="en-GB"/>
        </w:rPr>
        <w:t xml:space="preserve"> in Finland, the </w:t>
      </w:r>
      <w:r w:rsidR="00092680" w:rsidRPr="00CF0F1C">
        <w:rPr>
          <w:rFonts w:eastAsia="Baskerville-Bold" w:cs="Baskerville-Bold"/>
          <w:b/>
          <w:bCs/>
          <w:color w:val="auto"/>
          <w:lang w:val="en-GB"/>
        </w:rPr>
        <w:t>lack of protection</w:t>
      </w:r>
      <w:r w:rsidR="00092680" w:rsidRPr="00CF0F1C">
        <w:rPr>
          <w:rFonts w:eastAsia="Baskerville-Bold" w:cs="Baskerville-Bold"/>
          <w:color w:val="auto"/>
          <w:lang w:val="en-GB"/>
        </w:rPr>
        <w:t xml:space="preserve"> for intersex children from such inhuman treatment, and the </w:t>
      </w:r>
      <w:r w:rsidR="00092680" w:rsidRPr="00CF0F1C">
        <w:rPr>
          <w:rFonts w:eastAsia="Baskerville-Bold" w:cs="Baskerville-Bold"/>
          <w:b/>
          <w:bCs/>
          <w:color w:val="auto"/>
          <w:lang w:val="en-GB"/>
        </w:rPr>
        <w:t xml:space="preserve">lack of access to justice, </w:t>
      </w:r>
      <w:proofErr w:type="gramStart"/>
      <w:r w:rsidR="00092680" w:rsidRPr="00CF0F1C">
        <w:rPr>
          <w:rFonts w:eastAsia="Baskerville-Bold" w:cs="Baskerville-Bold"/>
          <w:b/>
          <w:bCs/>
          <w:color w:val="auto"/>
          <w:lang w:val="en-GB"/>
        </w:rPr>
        <w:t>rehabilitation</w:t>
      </w:r>
      <w:proofErr w:type="gramEnd"/>
      <w:r w:rsidR="00092680" w:rsidRPr="00CF0F1C">
        <w:rPr>
          <w:rFonts w:eastAsia="Baskerville-Bold" w:cs="Baskerville-Bold"/>
          <w:b/>
          <w:bCs/>
          <w:color w:val="auto"/>
          <w:lang w:val="en-GB"/>
        </w:rPr>
        <w:t xml:space="preserve"> and redress</w:t>
      </w:r>
      <w:r w:rsidR="00092680" w:rsidRPr="00CF0F1C">
        <w:rPr>
          <w:rFonts w:eastAsia="Baskerville-Bold" w:cs="Baskerville-Bold"/>
          <w:color w:val="auto"/>
          <w:lang w:val="en-GB"/>
        </w:rPr>
        <w:t xml:space="preserve"> for IGM survivors for many years (see below, p. </w:t>
      </w:r>
      <w:r w:rsidR="00383C48">
        <w:rPr>
          <w:rFonts w:eastAsia="Baskerville-Bold" w:cs="Baskerville-Bold"/>
          <w:color w:val="auto"/>
          <w:lang w:val="en-GB"/>
        </w:rPr>
        <w:t>9-11</w:t>
      </w:r>
      <w:r w:rsidR="00092680" w:rsidRPr="00CF0F1C">
        <w:rPr>
          <w:rFonts w:eastAsia="Baskerville-Bold" w:cs="Baskerville-Bold"/>
          <w:color w:val="auto"/>
          <w:lang w:val="en-GB"/>
        </w:rPr>
        <w:t>).</w:t>
      </w:r>
    </w:p>
    <w:p w14:paraId="51BFA8B3" w14:textId="62B49A4B" w:rsidR="00546431" w:rsidRPr="00FF1C3D" w:rsidRDefault="008767C5" w:rsidP="000A2729">
      <w:pPr>
        <w:pStyle w:val="absatzschattenbericht"/>
        <w:rPr>
          <w:rFonts w:eastAsia="Baskerville-Bold" w:cs="Baskerville-Bold"/>
          <w:bCs/>
          <w:color w:val="auto"/>
          <w:lang w:val="en-GB"/>
        </w:rPr>
      </w:pPr>
      <w:r w:rsidRPr="0023768F">
        <w:rPr>
          <w:lang w:val="en-GB"/>
        </w:rPr>
        <w:t xml:space="preserve">IGM practices in </w:t>
      </w:r>
      <w:r w:rsidR="00546431" w:rsidRPr="0023768F">
        <w:rPr>
          <w:lang w:val="en-GB"/>
        </w:rPr>
        <w:t xml:space="preserve">Finland </w:t>
      </w:r>
      <w:r w:rsidRPr="0023768F">
        <w:rPr>
          <w:lang w:val="en-GB"/>
        </w:rPr>
        <w:t>have already</w:t>
      </w:r>
      <w:r w:rsidR="00546431" w:rsidRPr="0023768F">
        <w:rPr>
          <w:lang w:val="en-GB"/>
        </w:rPr>
        <w:t xml:space="preserve"> been reviewed by </w:t>
      </w:r>
      <w:r w:rsidR="00546431" w:rsidRPr="0023768F">
        <w:rPr>
          <w:b/>
          <w:lang w:val="en-GB"/>
        </w:rPr>
        <w:t>CCPR</w:t>
      </w:r>
      <w:r w:rsidR="00546431" w:rsidRPr="0023768F">
        <w:rPr>
          <w:lang w:val="en-GB"/>
        </w:rPr>
        <w:t xml:space="preserve"> </w:t>
      </w:r>
      <w:r w:rsidRPr="0023768F">
        <w:rPr>
          <w:lang w:val="en-GB"/>
        </w:rPr>
        <w:t>in 2021 (</w:t>
      </w:r>
      <w:r w:rsidRPr="0023768F">
        <w:rPr>
          <w:rFonts w:eastAsia="Baskerville-Bold" w:cs="Baskerville-Bold"/>
          <w:color w:val="auto"/>
          <w:lang w:val="en-GB"/>
        </w:rPr>
        <w:t>CCPR/C/FIN/CO/7, paras 20+21(c)</w:t>
      </w:r>
      <w:r w:rsidR="00546431" w:rsidRPr="0023768F">
        <w:rPr>
          <w:lang w:val="en-GB"/>
        </w:rPr>
        <w:t>)</w:t>
      </w:r>
      <w:r w:rsidR="00FF1C3D" w:rsidRPr="0023768F">
        <w:rPr>
          <w:lang w:val="en-GB"/>
        </w:rPr>
        <w:t xml:space="preserve">, </w:t>
      </w:r>
      <w:r w:rsidR="00546431" w:rsidRPr="0023768F">
        <w:rPr>
          <w:b/>
          <w:lang w:val="en-GB"/>
        </w:rPr>
        <w:t>CEDAW</w:t>
      </w:r>
      <w:r w:rsidR="00546431" w:rsidRPr="0023768F">
        <w:rPr>
          <w:lang w:val="en-GB"/>
        </w:rPr>
        <w:t xml:space="preserve"> </w:t>
      </w:r>
      <w:r w:rsidRPr="0023768F">
        <w:rPr>
          <w:lang w:val="en-GB"/>
        </w:rPr>
        <w:t xml:space="preserve">in </w:t>
      </w:r>
      <w:r w:rsidR="00546431" w:rsidRPr="0023768F">
        <w:rPr>
          <w:lang w:val="en-GB"/>
        </w:rPr>
        <w:t>2022</w:t>
      </w:r>
      <w:r w:rsidRPr="0023768F">
        <w:rPr>
          <w:lang w:val="en-GB"/>
        </w:rPr>
        <w:t xml:space="preserve"> (</w:t>
      </w:r>
      <w:r w:rsidRPr="0023768F">
        <w:rPr>
          <w:rFonts w:eastAsia="Baskerville-Bold" w:cs="Baskerville-Bold"/>
          <w:color w:val="auto"/>
          <w:lang w:val="en-GB"/>
        </w:rPr>
        <w:t>CEDAW/C/FIN/CO/8, paras 21(b)+22(b)</w:t>
      </w:r>
      <w:r w:rsidR="00546431" w:rsidRPr="0023768F">
        <w:rPr>
          <w:lang w:val="en-GB"/>
        </w:rPr>
        <w:t xml:space="preserve">) </w:t>
      </w:r>
      <w:r w:rsidR="00FF1C3D" w:rsidRPr="0023768F">
        <w:rPr>
          <w:lang w:val="en-GB"/>
        </w:rPr>
        <w:t xml:space="preserve">and </w:t>
      </w:r>
      <w:r w:rsidR="00FF1C3D" w:rsidRPr="0023768F">
        <w:rPr>
          <w:b/>
          <w:bCs/>
          <w:lang w:val="en-GB"/>
        </w:rPr>
        <w:t xml:space="preserve">CRC </w:t>
      </w:r>
      <w:r w:rsidR="00FF1C3D" w:rsidRPr="0023768F">
        <w:rPr>
          <w:lang w:val="en-GB"/>
        </w:rPr>
        <w:t>in 2023 (</w:t>
      </w:r>
      <w:r w:rsidR="00FF1C3D" w:rsidRPr="0023768F">
        <w:t>CRC/C/FIN/CO/5-6, paras 24(a)+(b))</w:t>
      </w:r>
      <w:r w:rsidR="00FF1C3D" w:rsidRPr="0023768F">
        <w:rPr>
          <w:lang w:val="en-GB"/>
        </w:rPr>
        <w:t xml:space="preserve"> </w:t>
      </w:r>
      <w:r w:rsidR="00546431" w:rsidRPr="0023768F">
        <w:rPr>
          <w:lang w:val="en-GB"/>
        </w:rPr>
        <w:t xml:space="preserve">with </w:t>
      </w:r>
      <w:r w:rsidR="00FF1C3D" w:rsidRPr="0023768F">
        <w:rPr>
          <w:lang w:val="en-GB"/>
        </w:rPr>
        <w:t>all</w:t>
      </w:r>
      <w:r w:rsidR="00546431" w:rsidRPr="0023768F">
        <w:rPr>
          <w:lang w:val="en-GB"/>
        </w:rPr>
        <w:t xml:space="preserve"> Committees </w:t>
      </w:r>
      <w:r w:rsidR="00546431" w:rsidRPr="0023768F">
        <w:rPr>
          <w:b/>
          <w:lang w:val="en-GB"/>
        </w:rPr>
        <w:t>recognising</w:t>
      </w:r>
      <w:r w:rsidR="00546431" w:rsidRPr="0023768F">
        <w:rPr>
          <w:lang w:val="en-GB"/>
        </w:rPr>
        <w:t xml:space="preserve"> IGM in Finland</w:t>
      </w:r>
      <w:r w:rsidRPr="0023768F">
        <w:rPr>
          <w:lang w:val="en-GB"/>
        </w:rPr>
        <w:t xml:space="preserve"> a</w:t>
      </w:r>
      <w:r w:rsidR="00546431" w:rsidRPr="0023768F">
        <w:rPr>
          <w:lang w:val="en-GB"/>
        </w:rPr>
        <w:t>s constituting</w:t>
      </w:r>
      <w:r w:rsidR="00546431" w:rsidRPr="0023768F">
        <w:rPr>
          <w:rFonts w:eastAsia="Baskerville-SemiBold"/>
          <w:lang w:val="en-GB"/>
        </w:rPr>
        <w:t xml:space="preserve"> </w:t>
      </w:r>
      <w:r w:rsidR="00546431" w:rsidRPr="0023768F">
        <w:rPr>
          <w:b/>
          <w:lang w:val="en-GB"/>
        </w:rPr>
        <w:t xml:space="preserve">cruel, </w:t>
      </w:r>
      <w:r w:rsidR="00546431" w:rsidRPr="0023768F">
        <w:rPr>
          <w:rFonts w:eastAsia="Baskerville-SemiBold"/>
          <w:b/>
          <w:lang w:val="en-GB"/>
        </w:rPr>
        <w:t>inhuman or degrading treatment</w:t>
      </w:r>
      <w:r w:rsidR="00FF1C3D" w:rsidRPr="0023768F">
        <w:rPr>
          <w:rFonts w:eastAsia="Baskerville-SemiBold"/>
          <w:lang w:val="en-GB"/>
        </w:rPr>
        <w:t xml:space="preserve"> and a </w:t>
      </w:r>
      <w:r w:rsidR="00FF1C3D" w:rsidRPr="0023768F">
        <w:rPr>
          <w:rFonts w:eastAsia="Baskerville-SemiBold"/>
          <w:b/>
          <w:lang w:val="en-GB"/>
        </w:rPr>
        <w:t>harmful practice</w:t>
      </w:r>
      <w:r w:rsidR="00FF1C3D" w:rsidRPr="0023768F">
        <w:rPr>
          <w:rFonts w:eastAsia="Baskerville-SemiBold"/>
          <w:bCs/>
          <w:lang w:val="en-GB"/>
        </w:rPr>
        <w:t>.</w:t>
      </w:r>
    </w:p>
    <w:p w14:paraId="19B86382" w14:textId="6A4BE1EE" w:rsidR="0023768F" w:rsidRPr="00F47F42" w:rsidRDefault="0023768F" w:rsidP="000A2729">
      <w:pPr>
        <w:pStyle w:val="absatzschattenbericht"/>
        <w:rPr>
          <w:rFonts w:eastAsia="Baskerville-Bold" w:cs="Baskerville-Bold"/>
          <w:color w:val="auto"/>
          <w:lang w:val="en-GB"/>
        </w:rPr>
      </w:pPr>
      <w:r w:rsidRPr="00F47F42">
        <w:rPr>
          <w:rFonts w:eastAsia="Baskerville-Bold" w:cs="Baskerville-Bold"/>
          <w:color w:val="auto"/>
          <w:lang w:val="en-GB"/>
        </w:rPr>
        <w:t xml:space="preserve">Finland has </w:t>
      </w:r>
      <w:r w:rsidRPr="00F47F42">
        <w:rPr>
          <w:rFonts w:eastAsia="Baskerville-Bold" w:cs="Baskerville-Bold"/>
          <w:b/>
          <w:bCs/>
          <w:color w:val="auto"/>
          <w:lang w:val="en-GB"/>
        </w:rPr>
        <w:t>repeatedly pledged</w:t>
      </w:r>
      <w:r w:rsidRPr="00F47F42">
        <w:rPr>
          <w:rFonts w:eastAsia="Baskerville-Bold" w:cs="Baskerville-Bold"/>
          <w:color w:val="auto"/>
          <w:lang w:val="en-GB"/>
        </w:rPr>
        <w:t xml:space="preserve"> to protect intersex children and to </w:t>
      </w:r>
      <w:r w:rsidRPr="00F47F42">
        <w:rPr>
          <w:rFonts w:eastAsia="Baskerville-Bold" w:cs="Baskerville-Bold"/>
          <w:b/>
          <w:bCs/>
          <w:color w:val="auto"/>
          <w:lang w:val="en-GB"/>
        </w:rPr>
        <w:t>prohibit</w:t>
      </w:r>
      <w:r w:rsidRPr="00F47F42">
        <w:rPr>
          <w:rFonts w:eastAsia="Baskerville-Bold" w:cs="Baskerville-Bold"/>
          <w:color w:val="auto"/>
          <w:lang w:val="en-GB"/>
        </w:rPr>
        <w:t xml:space="preserve"> IGM </w:t>
      </w:r>
      <w:proofErr w:type="gramStart"/>
      <w:r w:rsidRPr="00F47F42">
        <w:rPr>
          <w:rFonts w:eastAsia="Baskerville-Bold" w:cs="Baskerville-Bold"/>
          <w:color w:val="auto"/>
          <w:lang w:val="en-GB"/>
        </w:rPr>
        <w:t>practices, and</w:t>
      </w:r>
      <w:proofErr w:type="gramEnd"/>
      <w:r w:rsidRPr="00F47F42">
        <w:rPr>
          <w:rFonts w:eastAsia="Baskerville-Bold" w:cs="Baskerville-Bold"/>
          <w:color w:val="auto"/>
          <w:lang w:val="en-GB"/>
        </w:rPr>
        <w:t xml:space="preserve"> has previously claimed to </w:t>
      </w:r>
      <w:r w:rsidR="0024072F" w:rsidRPr="00F47F42">
        <w:rPr>
          <w:rFonts w:eastAsia="Baskerville-Bold" w:cs="Baskerville-Bold"/>
          <w:b/>
          <w:bCs/>
          <w:color w:val="auto"/>
          <w:lang w:val="en-GB"/>
        </w:rPr>
        <w:t>prepare legislation</w:t>
      </w:r>
      <w:r w:rsidRPr="00F47F42">
        <w:rPr>
          <w:rFonts w:eastAsia="Baskerville-Bold" w:cs="Baskerville-Bold"/>
          <w:color w:val="auto"/>
          <w:lang w:val="en-GB"/>
        </w:rPr>
        <w:t xml:space="preserve"> (CRC/C/FIN/RQ/5-6, paras 62+63).</w:t>
      </w:r>
    </w:p>
    <w:p w14:paraId="00F442EC" w14:textId="5B98B64E" w:rsidR="00455324" w:rsidRPr="00CF0F1C" w:rsidRDefault="00AE4FA6" w:rsidP="000A2729">
      <w:pPr>
        <w:pStyle w:val="absatzschattenbericht"/>
        <w:rPr>
          <w:lang w:val="en-GB"/>
        </w:rPr>
      </w:pPr>
      <w:r w:rsidRPr="00F47F42">
        <w:rPr>
          <w:lang w:val="en-GB"/>
        </w:rPr>
        <w:t xml:space="preserve">This </w:t>
      </w:r>
      <w:r w:rsidR="00085FA9" w:rsidRPr="00F47F42">
        <w:rPr>
          <w:lang w:val="en-GB"/>
        </w:rPr>
        <w:t>Thematic NGO Report demonstrates</w:t>
      </w:r>
      <w:r w:rsidR="00DE0C4E" w:rsidRPr="00F47F42">
        <w:rPr>
          <w:lang w:val="en-GB"/>
        </w:rPr>
        <w:t xml:space="preserve"> </w:t>
      </w:r>
      <w:r w:rsidRPr="00F47F42">
        <w:rPr>
          <w:lang w:val="en-GB"/>
        </w:rPr>
        <w:t xml:space="preserve">that </w:t>
      </w:r>
      <w:r w:rsidR="00085FA9" w:rsidRPr="00F47F42">
        <w:rPr>
          <w:lang w:val="en-GB"/>
        </w:rPr>
        <w:t>the current</w:t>
      </w:r>
      <w:r w:rsidR="00B52E68" w:rsidRPr="00F47F42">
        <w:rPr>
          <w:lang w:val="en-GB"/>
        </w:rPr>
        <w:t xml:space="preserve"> and ongoing</w:t>
      </w:r>
      <w:r w:rsidR="00085FA9" w:rsidRPr="00F47F42">
        <w:rPr>
          <w:lang w:val="en-GB"/>
        </w:rPr>
        <w:t xml:space="preserve"> </w:t>
      </w:r>
      <w:r w:rsidR="00085FA9" w:rsidRPr="00F47F42">
        <w:rPr>
          <w:rFonts w:eastAsia="Baskerville-SemiBold"/>
          <w:b/>
          <w:bCs/>
          <w:lang w:val="en-GB"/>
        </w:rPr>
        <w:t>harmful medical practice</w:t>
      </w:r>
      <w:r w:rsidR="00B52E68" w:rsidRPr="00F47F42">
        <w:rPr>
          <w:rFonts w:eastAsia="Baskerville-SemiBold"/>
          <w:b/>
          <w:bCs/>
          <w:lang w:val="en-GB"/>
        </w:rPr>
        <w:t>s</w:t>
      </w:r>
      <w:r w:rsidR="00085FA9" w:rsidRPr="00F47F42">
        <w:rPr>
          <w:rFonts w:eastAsia="Baskerville-SemiBold"/>
          <w:b/>
          <w:bCs/>
          <w:lang w:val="en-GB"/>
        </w:rPr>
        <w:t xml:space="preserve"> on intersex children in </w:t>
      </w:r>
      <w:r w:rsidRPr="00F47F42">
        <w:rPr>
          <w:rFonts w:eastAsia="Baskerville-SemiBold"/>
          <w:b/>
          <w:bCs/>
          <w:lang w:val="en-GB"/>
        </w:rPr>
        <w:t>Finland</w:t>
      </w:r>
      <w:r w:rsidR="00085FA9" w:rsidRPr="00F47F42">
        <w:rPr>
          <w:rFonts w:eastAsia="Baskerville-SemiBold"/>
          <w:b/>
          <w:bCs/>
          <w:lang w:val="en-GB"/>
        </w:rPr>
        <w:t xml:space="preserve"> </w:t>
      </w:r>
      <w:r w:rsidR="00B55086" w:rsidRPr="00F47F42">
        <w:rPr>
          <w:rFonts w:eastAsia="Baskerville-SemiBold"/>
          <w:b/>
          <w:bCs/>
          <w:lang w:val="en-GB"/>
        </w:rPr>
        <w:t>persist</w:t>
      </w:r>
      <w:r w:rsidR="00B55086" w:rsidRPr="00F47F42">
        <w:rPr>
          <w:rFonts w:eastAsia="Baskerville-SemiBold"/>
          <w:lang w:val="en-GB"/>
        </w:rPr>
        <w:t xml:space="preserve"> </w:t>
      </w:r>
      <w:r w:rsidR="00085FA9" w:rsidRPr="00F47F42">
        <w:rPr>
          <w:rFonts w:eastAsia="Baskerville-SemiBold"/>
          <w:lang w:val="en-GB"/>
        </w:rPr>
        <w:t xml:space="preserve">– advocated, </w:t>
      </w:r>
      <w:proofErr w:type="gramStart"/>
      <w:r w:rsidR="00085FA9" w:rsidRPr="00F47F42">
        <w:rPr>
          <w:rFonts w:eastAsia="Baskerville-SemiBold"/>
          <w:lang w:val="en-GB"/>
        </w:rPr>
        <w:t>facilitated</w:t>
      </w:r>
      <w:proofErr w:type="gramEnd"/>
      <w:r w:rsidR="00085FA9" w:rsidRPr="00F47F42">
        <w:rPr>
          <w:rFonts w:eastAsia="Baskerville-SemiBold"/>
          <w:lang w:val="en-GB"/>
        </w:rPr>
        <w:t xml:space="preserve"> and </w:t>
      </w:r>
      <w:r w:rsidR="00085FA9" w:rsidRPr="00F47F42">
        <w:rPr>
          <w:rFonts w:eastAsia="Baskerville-SemiBold"/>
          <w:b/>
          <w:lang w:val="en-GB"/>
        </w:rPr>
        <w:t>paid for by the State party</w:t>
      </w:r>
      <w:r w:rsidR="001A3991" w:rsidRPr="00F47F42">
        <w:rPr>
          <w:rFonts w:eastAsia="Baskerville-SemiBold"/>
          <w:bCs/>
          <w:lang w:val="en-GB"/>
        </w:rPr>
        <w:t>, and</w:t>
      </w:r>
      <w:r w:rsidR="001A3991" w:rsidRPr="00F47F42">
        <w:rPr>
          <w:rFonts w:eastAsia="Baskerville-SemiBold"/>
          <w:b/>
          <w:lang w:val="en-GB"/>
        </w:rPr>
        <w:t xml:space="preserve"> </w:t>
      </w:r>
      <w:r w:rsidR="001A3991" w:rsidRPr="00F47F42">
        <w:rPr>
          <w:rFonts w:eastAsia="Baskerville-SemiBold"/>
          <w:lang w:val="en-GB"/>
        </w:rPr>
        <w:t xml:space="preserve">perpetrated </w:t>
      </w:r>
      <w:r w:rsidRPr="00F47F42">
        <w:rPr>
          <w:rFonts w:eastAsia="Baskerville-SemiBold"/>
          <w:lang w:val="en-GB"/>
        </w:rPr>
        <w:t>in all 5</w:t>
      </w:r>
      <w:r w:rsidR="001A3991" w:rsidRPr="00F47F42">
        <w:rPr>
          <w:rFonts w:eastAsia="Baskerville-SemiBold"/>
          <w:lang w:val="en-GB"/>
        </w:rPr>
        <w:t xml:space="preserve"> </w:t>
      </w:r>
      <w:r w:rsidRPr="00F47F42">
        <w:rPr>
          <w:rFonts w:eastAsia="Baskerville-SemiBold"/>
          <w:lang w:val="en-GB"/>
        </w:rPr>
        <w:t xml:space="preserve">relevant </w:t>
      </w:r>
      <w:r w:rsidR="001A3991" w:rsidRPr="00F47F42">
        <w:rPr>
          <w:rFonts w:eastAsia="Baskerville-SemiBold"/>
          <w:lang w:val="en-GB"/>
        </w:rPr>
        <w:t xml:space="preserve">public </w:t>
      </w:r>
      <w:r w:rsidRPr="00F47F42">
        <w:rPr>
          <w:rFonts w:eastAsia="Baskerville-SemiBold"/>
          <w:lang w:val="en-GB"/>
        </w:rPr>
        <w:t>U</w:t>
      </w:r>
      <w:r w:rsidR="001A3991" w:rsidRPr="00F47F42">
        <w:rPr>
          <w:rFonts w:eastAsia="Baskerville-SemiBold"/>
          <w:lang w:val="en-GB"/>
        </w:rPr>
        <w:t>niversity hospital</w:t>
      </w:r>
      <w:r w:rsidR="00FC008F" w:rsidRPr="00F47F42">
        <w:rPr>
          <w:rFonts w:eastAsia="Baskerville-SemiBold"/>
          <w:lang w:val="en-GB"/>
        </w:rPr>
        <w:t>s</w:t>
      </w:r>
      <w:r w:rsidRPr="00F47F42">
        <w:rPr>
          <w:rFonts w:eastAsia="Baskerville-SemiBold"/>
          <w:lang w:val="en-GB"/>
        </w:rPr>
        <w:t xml:space="preserve"> </w:t>
      </w:r>
      <w:r w:rsidR="009B4C2F" w:rsidRPr="00F47F42">
        <w:rPr>
          <w:rFonts w:eastAsia="Baskerville-SemiBold"/>
          <w:lang w:val="en-GB"/>
        </w:rPr>
        <w:t xml:space="preserve">– </w:t>
      </w:r>
      <w:r w:rsidR="00B55086" w:rsidRPr="00F47F42">
        <w:rPr>
          <w:rFonts w:eastAsia="Baskerville-SemiBold"/>
          <w:lang w:val="en-GB"/>
        </w:rPr>
        <w:t xml:space="preserve">and </w:t>
      </w:r>
      <w:r w:rsidR="009B4C2F" w:rsidRPr="00F47F42">
        <w:rPr>
          <w:rFonts w:eastAsia="Baskerville-SemiBold"/>
          <w:lang w:val="en-GB"/>
        </w:rPr>
        <w:t>constitute</w:t>
      </w:r>
      <w:r w:rsidR="00085FA9" w:rsidRPr="00F47F42">
        <w:rPr>
          <w:rFonts w:eastAsia="Baskerville-SemiBold"/>
          <w:lang w:val="en-GB"/>
        </w:rPr>
        <w:t xml:space="preserve"> </w:t>
      </w:r>
      <w:r w:rsidR="00085FA9" w:rsidRPr="00F47F42">
        <w:rPr>
          <w:lang w:val="en-GB"/>
        </w:rPr>
        <w:t xml:space="preserve">a </w:t>
      </w:r>
      <w:r w:rsidR="00085FA9" w:rsidRPr="00F47F42">
        <w:rPr>
          <w:b/>
          <w:lang w:val="en-GB"/>
        </w:rPr>
        <w:t>serious breach</w:t>
      </w:r>
      <w:r w:rsidR="00085FA9" w:rsidRPr="00F47F42">
        <w:rPr>
          <w:lang w:val="en-GB"/>
        </w:rPr>
        <w:t xml:space="preserve"> of </w:t>
      </w:r>
      <w:r w:rsidRPr="00F47F42">
        <w:rPr>
          <w:lang w:val="en-GB"/>
        </w:rPr>
        <w:t>Finland’s</w:t>
      </w:r>
      <w:r w:rsidR="00085FA9" w:rsidRPr="00F47F42">
        <w:rPr>
          <w:lang w:val="en-GB"/>
        </w:rPr>
        <w:t xml:space="preserve"> obligations under the </w:t>
      </w:r>
      <w:r w:rsidR="00324CA7" w:rsidRPr="00F47F42">
        <w:rPr>
          <w:lang w:val="en-GB"/>
        </w:rPr>
        <w:t>Convention</w:t>
      </w:r>
      <w:r w:rsidR="00E43672" w:rsidRPr="00F47F42">
        <w:rPr>
          <w:lang w:val="en-GB"/>
        </w:rPr>
        <w:t>.</w:t>
      </w:r>
    </w:p>
    <w:p w14:paraId="0C96C361" w14:textId="77777777" w:rsidR="00843217" w:rsidRPr="00CF0F1C" w:rsidRDefault="00843217" w:rsidP="00325A43">
      <w:pPr>
        <w:pStyle w:val="absatzschattenbericht"/>
        <w:rPr>
          <w:lang w:val="en-GB"/>
        </w:rPr>
      </w:pPr>
    </w:p>
    <w:p w14:paraId="53856114" w14:textId="5AEF27B9" w:rsidR="00141C4F" w:rsidRPr="00CF0F1C" w:rsidRDefault="00DB50C5" w:rsidP="00C31717">
      <w:pPr>
        <w:pStyle w:val="Title2"/>
        <w:rPr>
          <w:rFonts w:eastAsia="Baskerville-SemiBold"/>
          <w:szCs w:val="24"/>
        </w:rPr>
      </w:pPr>
      <w:bookmarkStart w:id="17" w:name="_Toc453620704"/>
      <w:bookmarkStart w:id="18" w:name="_Toc463295400"/>
      <w:bookmarkStart w:id="19" w:name="_Toc472687684"/>
      <w:bookmarkStart w:id="20" w:name="_Toc485093565"/>
      <w:bookmarkStart w:id="21" w:name="_Toc161663933"/>
      <w:r w:rsidRPr="00CF0F1C">
        <w:t xml:space="preserve">2.  </w:t>
      </w:r>
      <w:r w:rsidR="00141C4F" w:rsidRPr="00CF0F1C">
        <w:t>About the Rapporteurs</w:t>
      </w:r>
      <w:bookmarkEnd w:id="17"/>
      <w:bookmarkEnd w:id="18"/>
      <w:bookmarkEnd w:id="19"/>
      <w:bookmarkEnd w:id="20"/>
      <w:bookmarkEnd w:id="21"/>
    </w:p>
    <w:p w14:paraId="6CC93377" w14:textId="30311D14" w:rsidR="00CE2976" w:rsidRPr="00CF0F1C" w:rsidRDefault="00CE2976" w:rsidP="000A2729">
      <w:pPr>
        <w:pStyle w:val="absatzschattenbericht"/>
        <w:rPr>
          <w:i/>
          <w:lang w:val="en-GB"/>
        </w:rPr>
      </w:pPr>
      <w:r w:rsidRPr="00CF0F1C">
        <w:rPr>
          <w:rFonts w:eastAsia="Baskerville-SemiBold"/>
          <w:lang w:val="en-GB"/>
        </w:rPr>
        <w:t xml:space="preserve">This NGO report </w:t>
      </w:r>
      <w:r w:rsidRPr="00CF0F1C">
        <w:rPr>
          <w:lang w:val="en-GB"/>
        </w:rPr>
        <w:t xml:space="preserve">has been prepared by the international intersex NGO </w:t>
      </w:r>
      <w:r w:rsidRPr="00CF0F1C">
        <w:rPr>
          <w:rFonts w:eastAsia="Baskerville-Italic"/>
          <w:i/>
          <w:iCs/>
          <w:lang w:val="en-GB"/>
        </w:rPr>
        <w:t>StopIGM.org</w:t>
      </w:r>
      <w:r w:rsidRPr="00CF0F1C">
        <w:rPr>
          <w:lang w:val="en-GB"/>
        </w:rPr>
        <w:t>:</w:t>
      </w:r>
    </w:p>
    <w:p w14:paraId="0211CC53" w14:textId="138007A3" w:rsidR="00B52E68" w:rsidRPr="00CF0F1C" w:rsidRDefault="00CE2976" w:rsidP="000A2729">
      <w:pPr>
        <w:pStyle w:val="absatzschattenbericht"/>
        <w:numPr>
          <w:ilvl w:val="0"/>
          <w:numId w:val="2"/>
        </w:numPr>
        <w:shd w:val="clear" w:color="auto" w:fill="auto"/>
        <w:ind w:left="714" w:hanging="357"/>
        <w:rPr>
          <w:lang w:val="en-GB"/>
        </w:rPr>
      </w:pPr>
      <w:r w:rsidRPr="00CF0F1C">
        <w:rPr>
          <w:rFonts w:eastAsia="Baskerville-SemiBold"/>
          <w:b/>
          <w:bCs/>
          <w:lang w:val="en-GB"/>
        </w:rPr>
        <w:t>StopIGM.org / Zwischengeschlecht.org</w:t>
      </w:r>
      <w:r w:rsidRPr="00CF0F1C">
        <w:rPr>
          <w:lang w:val="en-GB"/>
        </w:rPr>
        <w:t xml:space="preserve"> is an international intersex human rights NGO based in Switzerland, working to end IGM practices and other human rights violations perpetrated on intersex people, according to its motto, </w:t>
      </w:r>
      <w:r w:rsidRPr="00CF0F1C">
        <w:rPr>
          <w:rFonts w:eastAsia="Baskerville-Italic"/>
          <w:i/>
          <w:iCs/>
          <w:lang w:val="en-GB"/>
        </w:rPr>
        <w:t>“Human Rights for Hermaphrodites, too!”</w:t>
      </w:r>
      <w:r w:rsidRPr="00CF0F1C">
        <w:rPr>
          <w:position w:val="6"/>
          <w:lang w:val="en-GB"/>
        </w:rPr>
        <w:t xml:space="preserve"> </w:t>
      </w:r>
      <w:r w:rsidRPr="00CF0F1C">
        <w:rPr>
          <w:rStyle w:val="FootnoteReference"/>
          <w:lang w:val="en-GB"/>
        </w:rPr>
        <w:footnoteReference w:id="1"/>
      </w:r>
      <w:r w:rsidRPr="00CF0F1C">
        <w:rPr>
          <w:lang w:val="en-GB"/>
        </w:rPr>
        <w:t xml:space="preserve"> According to its charter,</w:t>
      </w:r>
      <w:r w:rsidRPr="00CF0F1C">
        <w:rPr>
          <w:rStyle w:val="FootnoteReference"/>
          <w:lang w:val="en-GB"/>
        </w:rPr>
        <w:footnoteReference w:id="2"/>
      </w:r>
      <w:r w:rsidRPr="00CF0F1C">
        <w:rPr>
          <w:lang w:val="en-GB"/>
        </w:rPr>
        <w:t xml:space="preserve"> StopIGM.org works to support persons concerned seeking redress and justice and regularly reports to relevant UN treaty bodies, </w:t>
      </w:r>
      <w:r w:rsidRPr="00CF0F1C">
        <w:rPr>
          <w:rFonts w:cs="Times New Roman"/>
          <w:lang w:val="en-GB"/>
        </w:rPr>
        <w:t>often in collaboration with local intersex persons and organisations,</w:t>
      </w:r>
      <w:r w:rsidRPr="00CF0F1C">
        <w:rPr>
          <w:rStyle w:val="FootnoteReference"/>
          <w:lang w:val="en-GB"/>
        </w:rPr>
        <w:footnoteReference w:id="3"/>
      </w:r>
      <w:r w:rsidRPr="00CF0F1C">
        <w:rPr>
          <w:rFonts w:cs="Times New Roman"/>
          <w:lang w:val="en-GB"/>
        </w:rPr>
        <w:t xml:space="preserve"> substantially contributing to the so far </w:t>
      </w:r>
      <w:r w:rsidR="003B45F3">
        <w:rPr>
          <w:rFonts w:cs="Times New Roman"/>
          <w:lang w:val="en-GB"/>
        </w:rPr>
        <w:t>90</w:t>
      </w:r>
      <w:r w:rsidRPr="00CF0F1C">
        <w:rPr>
          <w:rFonts w:cs="Times New Roman"/>
          <w:lang w:val="en-GB"/>
        </w:rPr>
        <w:t xml:space="preserve"> Treaty body Concluding Observations recognising IGM as a serious human rights violation.</w:t>
      </w:r>
      <w:r w:rsidRPr="00CF0F1C">
        <w:rPr>
          <w:rStyle w:val="FootnoteReference"/>
          <w:lang w:val="en-GB"/>
        </w:rPr>
        <w:footnoteReference w:id="4"/>
      </w:r>
      <w:r w:rsidR="0060103F" w:rsidRPr="00CF0F1C">
        <w:rPr>
          <w:rFonts w:cs="Times New Roman"/>
          <w:lang w:val="en-GB"/>
        </w:rPr>
        <w:t xml:space="preserve"> </w:t>
      </w:r>
    </w:p>
    <w:p w14:paraId="4C2247A9" w14:textId="39029627" w:rsidR="00264FE8" w:rsidRPr="00CF0F1C" w:rsidRDefault="00264FE8" w:rsidP="000A2729">
      <w:pPr>
        <w:pStyle w:val="absatzschattenbericht"/>
        <w:ind w:right="-1"/>
        <w:rPr>
          <w:lang w:val="en-GB"/>
        </w:rPr>
      </w:pPr>
      <w:r w:rsidRPr="000A7B74">
        <w:rPr>
          <w:rFonts w:cs="Times New Roman"/>
          <w:lang w:val="en-GB"/>
        </w:rPr>
        <w:t>In addition, the Rapporteurs would like to acknowledge the work of</w:t>
      </w:r>
      <w:r w:rsidR="00895F6E" w:rsidRPr="000A7B74">
        <w:rPr>
          <w:rFonts w:cs="Times New Roman"/>
          <w:lang w:val="en-GB"/>
        </w:rPr>
        <w:t xml:space="preserve"> the intersex </w:t>
      </w:r>
      <w:r w:rsidR="000B31FB" w:rsidRPr="000A7B74">
        <w:rPr>
          <w:rFonts w:cs="Times New Roman"/>
          <w:lang w:val="en-GB"/>
        </w:rPr>
        <w:t>peer support</w:t>
      </w:r>
      <w:r w:rsidR="00895F6E" w:rsidRPr="000A7B74">
        <w:rPr>
          <w:rFonts w:cs="Times New Roman"/>
          <w:lang w:val="en-GB"/>
        </w:rPr>
        <w:t xml:space="preserve"> group</w:t>
      </w:r>
      <w:r w:rsidRPr="000A7B74">
        <w:rPr>
          <w:rFonts w:cs="Times New Roman"/>
          <w:lang w:val="en-GB"/>
        </w:rPr>
        <w:t xml:space="preserve"> </w:t>
      </w:r>
      <w:r w:rsidR="00F47F42" w:rsidRPr="000A7B74">
        <w:rPr>
          <w:lang w:val="en-GB"/>
        </w:rPr>
        <w:t xml:space="preserve">and </w:t>
      </w:r>
      <w:r w:rsidR="00F05F33" w:rsidRPr="000A7B74">
        <w:rPr>
          <w:rFonts w:cs="Times New Roman"/>
          <w:lang w:val="en-GB"/>
        </w:rPr>
        <w:t xml:space="preserve">intersex NGO </w:t>
      </w:r>
      <w:proofErr w:type="spellStart"/>
      <w:r w:rsidR="00F05F33" w:rsidRPr="000A7B74">
        <w:rPr>
          <w:b/>
          <w:bCs/>
          <w:lang w:val="en-GB"/>
        </w:rPr>
        <w:t>Intersukupuolisten</w:t>
      </w:r>
      <w:proofErr w:type="spellEnd"/>
      <w:r w:rsidR="00F05F33" w:rsidRPr="000A7B74">
        <w:rPr>
          <w:b/>
          <w:bCs/>
          <w:lang w:val="en-GB"/>
        </w:rPr>
        <w:t xml:space="preserve"> </w:t>
      </w:r>
      <w:proofErr w:type="spellStart"/>
      <w:r w:rsidR="00F05F33" w:rsidRPr="000A7B74">
        <w:rPr>
          <w:b/>
          <w:bCs/>
          <w:lang w:val="en-GB"/>
        </w:rPr>
        <w:t>ihmisoikeudet</w:t>
      </w:r>
      <w:proofErr w:type="spellEnd"/>
      <w:r w:rsidR="00F05F33" w:rsidRPr="000A7B74">
        <w:rPr>
          <w:b/>
          <w:bCs/>
          <w:lang w:val="en-GB"/>
        </w:rPr>
        <w:t xml:space="preserve"> – ISIO ry</w:t>
      </w:r>
      <w:r w:rsidRPr="000A7B74">
        <w:rPr>
          <w:rFonts w:cs="Times New Roman"/>
          <w:lang w:val="en-GB"/>
        </w:rPr>
        <w:t>.</w:t>
      </w:r>
      <w:r w:rsidRPr="000A7B74">
        <w:rPr>
          <w:rStyle w:val="FootnoteReference"/>
          <w:rFonts w:cs="Times New Roman"/>
          <w:lang w:val="en-GB"/>
        </w:rPr>
        <w:footnoteReference w:id="5"/>
      </w:r>
      <w:r w:rsidR="00F05F33" w:rsidRPr="000A7B74">
        <w:rPr>
          <w:rFonts w:cs="Times New Roman"/>
          <w:lang w:val="en-GB"/>
        </w:rPr>
        <w:t xml:space="preserve"> And we would like to acknowledge </w:t>
      </w:r>
      <w:r w:rsidR="00F05F33" w:rsidRPr="000A7B74">
        <w:rPr>
          <w:rFonts w:cs="Times New Roman"/>
          <w:b/>
          <w:bCs/>
          <w:lang w:val="en-GB"/>
        </w:rPr>
        <w:t xml:space="preserve">Mika </w:t>
      </w:r>
      <w:proofErr w:type="spellStart"/>
      <w:r w:rsidR="00F05F33" w:rsidRPr="000A7B74">
        <w:rPr>
          <w:rFonts w:cs="Times New Roman"/>
          <w:b/>
          <w:bCs/>
          <w:lang w:val="en-GB"/>
        </w:rPr>
        <w:t>Venhola</w:t>
      </w:r>
      <w:proofErr w:type="spellEnd"/>
      <w:r w:rsidR="00F05F33" w:rsidRPr="000A7B74">
        <w:rPr>
          <w:rFonts w:cs="Times New Roman"/>
          <w:lang w:val="en-GB"/>
        </w:rPr>
        <w:t>.</w:t>
      </w:r>
      <w:r w:rsidR="000B31FB" w:rsidRPr="000A7B74">
        <w:rPr>
          <w:rStyle w:val="FootnoteReference"/>
          <w:lang w:val="en-GB"/>
        </w:rPr>
        <w:footnoteReference w:id="6"/>
      </w:r>
      <w:r w:rsidR="000B31FB" w:rsidRPr="000A7B74">
        <w:rPr>
          <w:rStyle w:val="FootnoteReference"/>
          <w:lang w:val="en-GB"/>
        </w:rPr>
        <w:t xml:space="preserve"> </w:t>
      </w:r>
      <w:r w:rsidR="000B31FB" w:rsidRPr="000A7B74">
        <w:rPr>
          <w:rStyle w:val="FootnoteReference"/>
          <w:lang w:val="en-GB"/>
        </w:rPr>
        <w:footnoteReference w:id="7"/>
      </w:r>
    </w:p>
    <w:p w14:paraId="5BB6E8D3" w14:textId="23D3C34B" w:rsidR="00141C4F" w:rsidRPr="00CF0F1C" w:rsidRDefault="00DB50C5" w:rsidP="00C31717">
      <w:pPr>
        <w:pStyle w:val="Title2"/>
        <w:rPr>
          <w:rFonts w:eastAsia="Baskerville"/>
          <w:szCs w:val="24"/>
        </w:rPr>
      </w:pPr>
      <w:bookmarkStart w:id="22" w:name="_Toc453620705"/>
      <w:bookmarkStart w:id="23" w:name="_Toc463295401"/>
      <w:bookmarkStart w:id="24" w:name="_Toc472687685"/>
      <w:bookmarkStart w:id="25" w:name="_Toc485093566"/>
      <w:bookmarkStart w:id="26" w:name="_Toc161663934"/>
      <w:r w:rsidRPr="00CF0F1C">
        <w:lastRenderedPageBreak/>
        <w:t xml:space="preserve">3.  </w:t>
      </w:r>
      <w:r w:rsidR="00141C4F" w:rsidRPr="00CF0F1C">
        <w:t>Methodology</w:t>
      </w:r>
      <w:bookmarkEnd w:id="22"/>
      <w:bookmarkEnd w:id="23"/>
      <w:bookmarkEnd w:id="24"/>
      <w:bookmarkEnd w:id="25"/>
      <w:bookmarkEnd w:id="26"/>
    </w:p>
    <w:p w14:paraId="1CFF0997" w14:textId="463A46B2" w:rsidR="00DE0C63" w:rsidRDefault="00837EB5" w:rsidP="000A2729">
      <w:pPr>
        <w:pStyle w:val="absatzschattenbericht"/>
        <w:rPr>
          <w:lang w:val="en-GB"/>
        </w:rPr>
      </w:pPr>
      <w:r w:rsidRPr="00C907AA">
        <w:rPr>
          <w:lang w:val="en-GB"/>
        </w:rPr>
        <w:t xml:space="preserve">This thematic NGO report is </w:t>
      </w:r>
      <w:r w:rsidR="00DD05AE" w:rsidRPr="00C907AA">
        <w:rPr>
          <w:lang w:val="en-GB"/>
        </w:rPr>
        <w:t>a</w:t>
      </w:r>
      <w:r w:rsidR="00182B69" w:rsidRPr="00C907AA">
        <w:rPr>
          <w:lang w:val="en-GB"/>
        </w:rPr>
        <w:t xml:space="preserve">n </w:t>
      </w:r>
      <w:r w:rsidRPr="00C907AA">
        <w:rPr>
          <w:lang w:val="en-GB"/>
        </w:rPr>
        <w:t>update to the</w:t>
      </w:r>
      <w:r w:rsidR="00DD05AE" w:rsidRPr="00C907AA">
        <w:rPr>
          <w:lang w:val="en-GB"/>
        </w:rPr>
        <w:t xml:space="preserve"> </w:t>
      </w:r>
      <w:r w:rsidR="00383043" w:rsidRPr="00C907AA">
        <w:rPr>
          <w:b/>
          <w:bCs/>
          <w:lang w:val="en-GB"/>
        </w:rPr>
        <w:t>2023</w:t>
      </w:r>
      <w:r w:rsidR="00DD05AE" w:rsidRPr="00C907AA">
        <w:rPr>
          <w:b/>
          <w:bCs/>
          <w:lang w:val="en-GB"/>
        </w:rPr>
        <w:t xml:space="preserve"> </w:t>
      </w:r>
      <w:r w:rsidR="00383043" w:rsidRPr="00C907AA">
        <w:rPr>
          <w:b/>
          <w:bCs/>
          <w:lang w:val="en-GB"/>
        </w:rPr>
        <w:t>CRC</w:t>
      </w:r>
      <w:r w:rsidR="00DD05AE" w:rsidRPr="00C907AA">
        <w:rPr>
          <w:b/>
          <w:bCs/>
          <w:lang w:val="en-GB"/>
        </w:rPr>
        <w:t xml:space="preserve"> </w:t>
      </w:r>
      <w:r w:rsidR="00D719ED" w:rsidRPr="00C907AA">
        <w:rPr>
          <w:b/>
          <w:bCs/>
          <w:lang w:val="en-GB"/>
        </w:rPr>
        <w:t>Finland</w:t>
      </w:r>
      <w:r w:rsidR="00DD05AE" w:rsidRPr="00C907AA">
        <w:rPr>
          <w:b/>
          <w:bCs/>
          <w:lang w:val="en-GB"/>
        </w:rPr>
        <w:t xml:space="preserve"> NGO Report (for Session)</w:t>
      </w:r>
      <w:r w:rsidR="00DD05AE" w:rsidRPr="00C907AA">
        <w:rPr>
          <w:rStyle w:val="FootnoteReference"/>
          <w:lang w:val="en-GB"/>
        </w:rPr>
        <w:footnoteReference w:id="8"/>
      </w:r>
      <w:r w:rsidR="00DD05AE" w:rsidRPr="00C907AA">
        <w:rPr>
          <w:lang w:val="en-GB"/>
        </w:rPr>
        <w:t xml:space="preserve"> by the same Rapporteurs.</w:t>
      </w:r>
      <w:r w:rsidR="009634F3" w:rsidRPr="00C907AA">
        <w:rPr>
          <w:lang w:val="en-GB"/>
        </w:rPr>
        <w:t xml:space="preserve"> </w:t>
      </w:r>
      <w:r w:rsidR="00182B69" w:rsidRPr="00C907AA">
        <w:rPr>
          <w:lang w:val="en-GB"/>
        </w:rPr>
        <w:t>Own t</w:t>
      </w:r>
      <w:r w:rsidR="009634F3" w:rsidRPr="00C907AA">
        <w:rPr>
          <w:lang w:val="en-GB"/>
        </w:rPr>
        <w:t>ranslations from Finnish texts are automatic translations revised by the Rapporteurs.</w:t>
      </w:r>
    </w:p>
    <w:p w14:paraId="44B6F29B" w14:textId="2BE8D87E" w:rsidR="00383043" w:rsidRDefault="00383043" w:rsidP="0069403C">
      <w:pPr>
        <w:pStyle w:val="absatzschattenbericht"/>
        <w:rPr>
          <w:lang w:val="en-GB"/>
        </w:rPr>
      </w:pPr>
    </w:p>
    <w:p w14:paraId="51CC8521" w14:textId="51200D9D" w:rsidR="006A7C67" w:rsidRPr="00CF0F1C" w:rsidRDefault="006A7C67" w:rsidP="006A7C67">
      <w:pPr>
        <w:pStyle w:val="Title1"/>
        <w:rPr>
          <w:iCs w:val="0"/>
          <w:lang w:val="en-GB"/>
        </w:rPr>
      </w:pPr>
      <w:bookmarkStart w:id="27" w:name="_Toc536455152"/>
      <w:bookmarkStart w:id="28" w:name="_Toc161663935"/>
      <w:bookmarkStart w:id="29" w:name="_Toc453620708"/>
      <w:bookmarkStart w:id="30" w:name="_Toc463295405"/>
      <w:bookmarkStart w:id="31" w:name="_Toc472687689"/>
      <w:bookmarkStart w:id="32" w:name="_Toc485093570"/>
      <w:r w:rsidRPr="00C907AA">
        <w:rPr>
          <w:iCs w:val="0"/>
          <w:lang w:val="en-GB"/>
        </w:rPr>
        <w:lastRenderedPageBreak/>
        <w:t>A.  Precedents</w:t>
      </w:r>
      <w:bookmarkEnd w:id="27"/>
      <w:bookmarkEnd w:id="28"/>
    </w:p>
    <w:p w14:paraId="391782A2" w14:textId="77777777" w:rsidR="00A35CE4" w:rsidRPr="00CF0F1C" w:rsidRDefault="00A35CE4" w:rsidP="00A35CE4">
      <w:pPr>
        <w:pStyle w:val="Title2"/>
      </w:pPr>
      <w:bookmarkStart w:id="33" w:name="_Toc161663936"/>
      <w:r w:rsidRPr="00CF0F1C">
        <w:t>1.  Previous Concluding Observations</w:t>
      </w:r>
      <w:bookmarkEnd w:id="33"/>
    </w:p>
    <w:p w14:paraId="245F7D2A" w14:textId="352B6B89" w:rsidR="00A35CE4" w:rsidRPr="00CF0F1C" w:rsidRDefault="0004538B" w:rsidP="00DE0ADF">
      <w:pPr>
        <w:pStyle w:val="Title3"/>
      </w:pPr>
      <w:bookmarkStart w:id="34" w:name="_Toc161663937"/>
      <w:r w:rsidRPr="00CF0F1C">
        <w:t xml:space="preserve">a) </w:t>
      </w:r>
      <w:r w:rsidR="004C4581" w:rsidRPr="00CF0F1C">
        <w:t>Inhuman Treatment</w:t>
      </w:r>
      <w:r w:rsidR="00A35CE4" w:rsidRPr="00CF0F1C">
        <w:t xml:space="preserve">: </w:t>
      </w:r>
      <w:r w:rsidR="00A35CE4" w:rsidRPr="00DE0ADF">
        <w:t>CCPR</w:t>
      </w:r>
      <w:r w:rsidR="00A35CE4" w:rsidRPr="00CF0F1C">
        <w:t xml:space="preserve"> 2021, CCPR/C/FIN/CO/7, paras 20+21(c)</w:t>
      </w:r>
      <w:bookmarkEnd w:id="34"/>
    </w:p>
    <w:p w14:paraId="7E517538" w14:textId="77777777" w:rsidR="00A35CE4" w:rsidRPr="00CF0F1C" w:rsidRDefault="00A35CE4" w:rsidP="00A35CE4">
      <w:pPr>
        <w:pStyle w:val="absatzschattenbericht"/>
        <w:rPr>
          <w:b/>
          <w:i/>
          <w:iCs/>
          <w:lang w:val="en-GB"/>
        </w:rPr>
      </w:pPr>
      <w:r w:rsidRPr="00CF0F1C">
        <w:rPr>
          <w:b/>
          <w:i/>
          <w:iCs/>
          <w:lang w:val="en-GB"/>
        </w:rPr>
        <w:t>Sexual orientation, gender identity and intersex status</w:t>
      </w:r>
    </w:p>
    <w:p w14:paraId="160AD1B1" w14:textId="77777777" w:rsidR="00A35CE4" w:rsidRPr="00CF0F1C" w:rsidRDefault="00A35CE4" w:rsidP="00A35CE4">
      <w:pPr>
        <w:pStyle w:val="absatzschattenbericht"/>
        <w:rPr>
          <w:bCs/>
          <w:i/>
          <w:iCs/>
          <w:lang w:val="en-GB"/>
        </w:rPr>
      </w:pPr>
      <w:r w:rsidRPr="00CF0F1C">
        <w:rPr>
          <w:bCs/>
          <w:i/>
          <w:iCs/>
          <w:lang w:val="en-GB"/>
        </w:rPr>
        <w:t>20.</w:t>
      </w:r>
      <w:r w:rsidRPr="00CF0F1C">
        <w:rPr>
          <w:bCs/>
          <w:i/>
          <w:iCs/>
          <w:lang w:val="en-GB"/>
        </w:rPr>
        <w:tab/>
        <w:t xml:space="preserve">The Committee is concerned about social stigmatization, discrimination and violence against persons based on their sexual orientation or gender identity. While noting the ongoing process to amend the Trans Act, the Committee is concerned about the lengthy procedure for legal gender recognition and the requirements to be sterilized and diagnosed with “transsexualism”, which is defined as a mental disorder. It is further concerned that consenting transgender children may be unable to access the procedure for legal gender recognition. The Committee is also concerned that irreversible and invasive medical interventions continue to be performed on intersex children. It notes with concern that such actions are often based on a stereotyped vision of gender roles and carried out before children are of an age to allow them to give their full, </w:t>
      </w:r>
      <w:proofErr w:type="gramStart"/>
      <w:r w:rsidRPr="00CF0F1C">
        <w:rPr>
          <w:bCs/>
          <w:i/>
          <w:iCs/>
          <w:lang w:val="en-GB"/>
        </w:rPr>
        <w:t>free</w:t>
      </w:r>
      <w:proofErr w:type="gramEnd"/>
      <w:r w:rsidRPr="00CF0F1C">
        <w:rPr>
          <w:bCs/>
          <w:i/>
          <w:iCs/>
          <w:lang w:val="en-GB"/>
        </w:rPr>
        <w:t xml:space="preserve"> and informed consent (arts. 3, 7, 9, 17, 24 and 26).</w:t>
      </w:r>
    </w:p>
    <w:p w14:paraId="381B3FF4" w14:textId="77777777" w:rsidR="00A35CE4" w:rsidRPr="00CF0F1C" w:rsidRDefault="00A35CE4" w:rsidP="00A35CE4">
      <w:pPr>
        <w:pStyle w:val="absatzschattenbericht"/>
        <w:rPr>
          <w:bCs/>
          <w:i/>
          <w:iCs/>
          <w:lang w:val="en-GB"/>
        </w:rPr>
      </w:pPr>
      <w:r w:rsidRPr="00CF0F1C">
        <w:rPr>
          <w:bCs/>
          <w:i/>
          <w:iCs/>
          <w:lang w:val="en-GB"/>
        </w:rPr>
        <w:t>21.</w:t>
      </w:r>
      <w:r w:rsidRPr="00CF0F1C">
        <w:rPr>
          <w:bCs/>
          <w:i/>
          <w:iCs/>
          <w:lang w:val="en-GB"/>
        </w:rPr>
        <w:tab/>
      </w:r>
      <w:r w:rsidRPr="00CF0F1C">
        <w:rPr>
          <w:b/>
          <w:i/>
          <w:iCs/>
          <w:lang w:val="en-GB"/>
        </w:rPr>
        <w:t>The State party should take legislative and other measures to:</w:t>
      </w:r>
    </w:p>
    <w:p w14:paraId="08714684" w14:textId="77777777" w:rsidR="00A35CE4" w:rsidRPr="00CF0F1C" w:rsidRDefault="00A35CE4" w:rsidP="00A35CE4">
      <w:pPr>
        <w:pStyle w:val="absatzschattenbericht"/>
        <w:ind w:firstLine="709"/>
        <w:rPr>
          <w:bCs/>
          <w:i/>
          <w:iCs/>
          <w:lang w:val="en-GB"/>
        </w:rPr>
      </w:pPr>
      <w:r w:rsidRPr="00CF0F1C">
        <w:rPr>
          <w:bCs/>
          <w:i/>
          <w:iCs/>
          <w:lang w:val="en-GB"/>
        </w:rPr>
        <w:t>[…]</w:t>
      </w:r>
    </w:p>
    <w:p w14:paraId="7CAAE561" w14:textId="77777777" w:rsidR="00A35CE4" w:rsidRPr="00CF0F1C" w:rsidRDefault="00A35CE4" w:rsidP="00A35CE4">
      <w:pPr>
        <w:pStyle w:val="absatzschattenbericht"/>
        <w:ind w:firstLine="709"/>
        <w:rPr>
          <w:b/>
          <w:i/>
          <w:iCs/>
          <w:lang w:val="en-GB"/>
        </w:rPr>
      </w:pPr>
      <w:r w:rsidRPr="00CF0F1C">
        <w:rPr>
          <w:bCs/>
          <w:i/>
          <w:iCs/>
          <w:lang w:val="en-GB"/>
        </w:rPr>
        <w:t>(c)</w:t>
      </w:r>
      <w:r w:rsidRPr="00CF0F1C">
        <w:rPr>
          <w:bCs/>
          <w:i/>
          <w:iCs/>
          <w:lang w:val="en-GB"/>
        </w:rPr>
        <w:tab/>
      </w:r>
      <w:r w:rsidRPr="00CF0F1C">
        <w:rPr>
          <w:b/>
          <w:i/>
          <w:iCs/>
          <w:lang w:val="en-GB"/>
        </w:rPr>
        <w:t xml:space="preserve">Effectively prevent the performance of irreversible medical interventions, especially surgical operations, on intersex children who are not yet capable of giving their full, </w:t>
      </w:r>
      <w:proofErr w:type="gramStart"/>
      <w:r w:rsidRPr="00CF0F1C">
        <w:rPr>
          <w:b/>
          <w:i/>
          <w:iCs/>
          <w:lang w:val="en-GB"/>
        </w:rPr>
        <w:t>free</w:t>
      </w:r>
      <w:proofErr w:type="gramEnd"/>
      <w:r w:rsidRPr="00CF0F1C">
        <w:rPr>
          <w:b/>
          <w:i/>
          <w:iCs/>
          <w:lang w:val="en-GB"/>
        </w:rPr>
        <w:t xml:space="preserve"> and informed consent, unless such procedures constitute an absolute medical necessity, and ensure access to effective remedies for victims of such interventions.</w:t>
      </w:r>
    </w:p>
    <w:p w14:paraId="025213FA" w14:textId="77777777" w:rsidR="00837EBE" w:rsidRPr="00837EBE" w:rsidRDefault="00837EBE" w:rsidP="00837EBE">
      <w:pPr>
        <w:pStyle w:val="absatzschattenbericht"/>
        <w:rPr>
          <w:bCs/>
          <w:lang w:val="en-GB"/>
        </w:rPr>
      </w:pPr>
    </w:p>
    <w:p w14:paraId="565CF49F" w14:textId="20FC18DA" w:rsidR="00A35CE4" w:rsidRPr="00CF0F1C" w:rsidRDefault="00A35CE4" w:rsidP="00DE0ADF">
      <w:pPr>
        <w:pStyle w:val="Title3"/>
      </w:pPr>
      <w:bookmarkStart w:id="35" w:name="_Toc161663938"/>
      <w:r w:rsidRPr="00CF0F1C">
        <w:t>b) Harmful Practices: CEDAW 2022, CEDAW/C/FIN/CO/8, paras 21(b)+22(b)</w:t>
      </w:r>
      <w:bookmarkEnd w:id="35"/>
    </w:p>
    <w:p w14:paraId="0DC77B20" w14:textId="77777777" w:rsidR="00A35CE4" w:rsidRPr="00CF0F1C" w:rsidRDefault="00A35CE4" w:rsidP="00A35CE4">
      <w:pPr>
        <w:pStyle w:val="AbsatzConcludingObs"/>
        <w:rPr>
          <w:b/>
          <w:bCs/>
          <w:lang w:val="en-GB"/>
        </w:rPr>
      </w:pPr>
      <w:r w:rsidRPr="00CF0F1C">
        <w:rPr>
          <w:b/>
          <w:bCs/>
          <w:lang w:val="en-GB"/>
        </w:rPr>
        <w:t>Harmful practices</w:t>
      </w:r>
    </w:p>
    <w:p w14:paraId="66A30262" w14:textId="6DED8435" w:rsidR="00A35CE4" w:rsidRPr="00CF0F1C" w:rsidRDefault="00A35CE4" w:rsidP="0060193F">
      <w:pPr>
        <w:pStyle w:val="AbsatzConcludingObs"/>
        <w:rPr>
          <w:lang w:val="en-GB"/>
        </w:rPr>
      </w:pPr>
      <w:r w:rsidRPr="00CF0F1C">
        <w:rPr>
          <w:lang w:val="en-GB"/>
        </w:rPr>
        <w:t>21.</w:t>
      </w:r>
      <w:r w:rsidRPr="00CF0F1C">
        <w:rPr>
          <w:lang w:val="en-GB"/>
        </w:rPr>
        <w:tab/>
        <w:t>The Committee notes the proposed amendment of the law on verification of gender to remove the requirement of proof of sterilization for a transsexual person. It also notes that a working group was established to prepare best practice guidance to help health-care professionals advise parents with intersex children. The Committee further notes that forced marriage is punishable as human trafficking or as coercion. The Committee notes with concern, however:</w:t>
      </w:r>
      <w:r w:rsidR="0060193F" w:rsidRPr="00CF0F1C">
        <w:rPr>
          <w:lang w:val="en-GB"/>
        </w:rPr>
        <w:t xml:space="preserve"> </w:t>
      </w:r>
      <w:r w:rsidRPr="00CF0F1C">
        <w:rPr>
          <w:lang w:val="en-GB"/>
        </w:rPr>
        <w:t>[…]</w:t>
      </w:r>
    </w:p>
    <w:p w14:paraId="169F4637" w14:textId="77777777" w:rsidR="00A35CE4" w:rsidRPr="00CF0F1C" w:rsidRDefault="00A35CE4" w:rsidP="00A35CE4">
      <w:pPr>
        <w:pStyle w:val="AbsatzConcludingObs"/>
        <w:rPr>
          <w:lang w:val="en-GB"/>
        </w:rPr>
      </w:pPr>
      <w:r w:rsidRPr="00CF0F1C">
        <w:rPr>
          <w:lang w:val="en-GB"/>
        </w:rPr>
        <w:tab/>
        <w:t>(b)</w:t>
      </w:r>
      <w:r w:rsidRPr="00CF0F1C">
        <w:rPr>
          <w:lang w:val="en-GB"/>
        </w:rPr>
        <w:tab/>
        <w:t xml:space="preserve">The performance of surgical interventions on intersex children with the aim of “normalizing” their </w:t>
      </w:r>
      <w:proofErr w:type="gramStart"/>
      <w:r w:rsidRPr="00CF0F1C">
        <w:rPr>
          <w:lang w:val="en-GB"/>
        </w:rPr>
        <w:t>genitalia;</w:t>
      </w:r>
      <w:proofErr w:type="gramEnd"/>
    </w:p>
    <w:p w14:paraId="775572EF" w14:textId="77777777" w:rsidR="00A35CE4" w:rsidRPr="00CF0F1C" w:rsidRDefault="00A35CE4" w:rsidP="00A35CE4">
      <w:pPr>
        <w:pStyle w:val="AbsatzConcludingObs"/>
        <w:rPr>
          <w:lang w:val="en-GB"/>
        </w:rPr>
      </w:pPr>
      <w:r w:rsidRPr="00CF0F1C">
        <w:rPr>
          <w:lang w:val="en-GB"/>
        </w:rPr>
        <w:tab/>
        <w:t>[…]</w:t>
      </w:r>
    </w:p>
    <w:p w14:paraId="24273B8E" w14:textId="77777777" w:rsidR="00A35CE4" w:rsidRPr="00CF0F1C" w:rsidRDefault="00A35CE4" w:rsidP="00A35CE4">
      <w:pPr>
        <w:pStyle w:val="AbsatzConcludingObs"/>
        <w:rPr>
          <w:b/>
          <w:bCs/>
          <w:lang w:val="en-GB"/>
        </w:rPr>
      </w:pPr>
      <w:r w:rsidRPr="00CF0F1C">
        <w:rPr>
          <w:lang w:val="en-GB"/>
        </w:rPr>
        <w:t>22.</w:t>
      </w:r>
      <w:r w:rsidRPr="00CF0F1C">
        <w:rPr>
          <w:lang w:val="en-GB"/>
        </w:rPr>
        <w:tab/>
      </w:r>
      <w:r w:rsidRPr="00CF0F1C">
        <w:rPr>
          <w:b/>
          <w:bCs/>
          <w:lang w:val="en-GB"/>
        </w:rPr>
        <w:t>Recalling joint general recommendation No. 31 of the Committee on the Elimination of Discrimination against Women/general comment No. 18 of the Committee on the Rights of the Child (2019) on harmful practices, and the Committee’s previous recommendations (CEDAW/C/FIN/CO/7, paras. 17 and 29), the Committee recommends that the State party:</w:t>
      </w:r>
    </w:p>
    <w:p w14:paraId="10246C76" w14:textId="77777777" w:rsidR="00A35CE4" w:rsidRPr="00CF0F1C" w:rsidRDefault="00A35CE4" w:rsidP="00A35CE4">
      <w:pPr>
        <w:pStyle w:val="AbsatzConcludingObs"/>
        <w:rPr>
          <w:lang w:val="en-GB"/>
        </w:rPr>
      </w:pPr>
      <w:r w:rsidRPr="00CF0F1C">
        <w:rPr>
          <w:lang w:val="en-GB"/>
        </w:rPr>
        <w:tab/>
        <w:t>[…]</w:t>
      </w:r>
    </w:p>
    <w:p w14:paraId="6061B558" w14:textId="05918E5D" w:rsidR="00A35CE4" w:rsidRPr="00CF0F1C" w:rsidRDefault="00A35CE4" w:rsidP="00A35CE4">
      <w:pPr>
        <w:pStyle w:val="AbsatzConcludingObs"/>
        <w:rPr>
          <w:b/>
          <w:bCs/>
          <w:lang w:val="en-GB"/>
        </w:rPr>
      </w:pPr>
      <w:r w:rsidRPr="00CF0F1C">
        <w:rPr>
          <w:lang w:val="en-GB"/>
        </w:rPr>
        <w:tab/>
        <w:t>(b)</w:t>
      </w:r>
      <w:r w:rsidRPr="00CF0F1C">
        <w:rPr>
          <w:lang w:val="en-GB"/>
        </w:rPr>
        <w:tab/>
      </w:r>
      <w:r w:rsidRPr="00CF0F1C">
        <w:rPr>
          <w:b/>
          <w:bCs/>
          <w:lang w:val="en-GB"/>
        </w:rPr>
        <w:t xml:space="preserve">Specifically criminalize surgical interventions on the genitalia of intersex children, unless medically </w:t>
      </w:r>
      <w:proofErr w:type="gramStart"/>
      <w:r w:rsidRPr="00CF0F1C">
        <w:rPr>
          <w:b/>
          <w:bCs/>
          <w:lang w:val="en-GB"/>
        </w:rPr>
        <w:t>necessary;</w:t>
      </w:r>
      <w:proofErr w:type="gramEnd"/>
    </w:p>
    <w:p w14:paraId="00A2431C" w14:textId="0AF23A61" w:rsidR="004C15A4" w:rsidRPr="00CF0F1C" w:rsidRDefault="004C15A4" w:rsidP="00DE0ADF">
      <w:pPr>
        <w:pStyle w:val="Title3"/>
      </w:pPr>
      <w:bookmarkStart w:id="36" w:name="_Toc161663939"/>
      <w:r w:rsidRPr="00CF0F1C">
        <w:lastRenderedPageBreak/>
        <w:t xml:space="preserve">c) Harmful Practices: </w:t>
      </w:r>
      <w:r w:rsidR="00EC2C31" w:rsidRPr="00CF0F1C">
        <w:t>CRC</w:t>
      </w:r>
      <w:r w:rsidRPr="00CF0F1C">
        <w:t xml:space="preserve"> </w:t>
      </w:r>
      <w:r w:rsidR="00B16849" w:rsidRPr="00CF0F1C">
        <w:t>2023</w:t>
      </w:r>
      <w:r w:rsidRPr="00CF0F1C">
        <w:t xml:space="preserve">, </w:t>
      </w:r>
      <w:r w:rsidR="00EC2C31" w:rsidRPr="00CF0F1C">
        <w:t>CRC/C/FIN/CO/5-6, paras 24(a)+(b)</w:t>
      </w:r>
      <w:bookmarkEnd w:id="36"/>
    </w:p>
    <w:p w14:paraId="54B782AC" w14:textId="77777777" w:rsidR="00B16849" w:rsidRPr="00CF0F1C" w:rsidRDefault="00B16849" w:rsidP="00B16849">
      <w:pPr>
        <w:pStyle w:val="AbsatzConcludingObs"/>
        <w:rPr>
          <w:b/>
          <w:bCs/>
          <w:lang w:val="en-GB"/>
        </w:rPr>
      </w:pPr>
      <w:r w:rsidRPr="00CF0F1C">
        <w:rPr>
          <w:b/>
          <w:bCs/>
          <w:lang w:val="en-GB"/>
        </w:rPr>
        <w:t xml:space="preserve">Harmful practices </w:t>
      </w:r>
    </w:p>
    <w:p w14:paraId="1F1CEA23" w14:textId="77777777" w:rsidR="00B16849" w:rsidRPr="00CF0F1C" w:rsidRDefault="00B16849" w:rsidP="00B16849">
      <w:pPr>
        <w:pStyle w:val="AbsatzConcludingObs"/>
        <w:rPr>
          <w:b/>
          <w:bCs/>
          <w:lang w:val="en-GB"/>
        </w:rPr>
      </w:pPr>
      <w:r w:rsidRPr="00CF0F1C">
        <w:rPr>
          <w:lang w:val="en-GB"/>
        </w:rPr>
        <w:t>24.</w:t>
      </w:r>
      <w:r w:rsidRPr="00CF0F1C">
        <w:rPr>
          <w:lang w:val="en-GB"/>
        </w:rPr>
        <w:tab/>
      </w:r>
      <w:r w:rsidRPr="00CF0F1C">
        <w:rPr>
          <w:b/>
          <w:bCs/>
          <w:lang w:val="en-GB"/>
        </w:rPr>
        <w:t>Recalling joint general recommendation No. 31 of the Committee on the Elimination of Discrimination against Women/general comment No. 18 of the Committee on the Rights of the Child (2019) on harmful practices, the Committee recommends that the State party:</w:t>
      </w:r>
    </w:p>
    <w:p w14:paraId="334EF88A" w14:textId="77777777" w:rsidR="00B16849" w:rsidRPr="00CF0F1C" w:rsidRDefault="00B16849" w:rsidP="00B16849">
      <w:pPr>
        <w:pStyle w:val="AbsatzConcludingObs"/>
        <w:rPr>
          <w:b/>
          <w:bCs/>
          <w:lang w:val="en-GB"/>
        </w:rPr>
      </w:pPr>
      <w:r w:rsidRPr="00CF0F1C">
        <w:rPr>
          <w:lang w:val="en-GB"/>
        </w:rPr>
        <w:tab/>
        <w:t>(a)</w:t>
      </w:r>
      <w:r w:rsidRPr="00CF0F1C">
        <w:rPr>
          <w:lang w:val="en-GB"/>
        </w:rPr>
        <w:tab/>
      </w:r>
      <w:r w:rsidRPr="00CF0F1C">
        <w:rPr>
          <w:b/>
          <w:bCs/>
          <w:lang w:val="en-GB"/>
        </w:rPr>
        <w:t xml:space="preserve">Ensure that the performance of unnecessary medical or surgical treatment on intersex children is safely deferred until the children are able to provide their informed consent, and provide adequate social, medical and psychological services, counselling and support for intersex children and their </w:t>
      </w:r>
      <w:proofErr w:type="gramStart"/>
      <w:r w:rsidRPr="00CF0F1C">
        <w:rPr>
          <w:b/>
          <w:bCs/>
          <w:lang w:val="en-GB"/>
        </w:rPr>
        <w:t>families;</w:t>
      </w:r>
      <w:proofErr w:type="gramEnd"/>
    </w:p>
    <w:p w14:paraId="77A185F8" w14:textId="77777777" w:rsidR="00B16849" w:rsidRPr="00CF0F1C" w:rsidRDefault="00B16849" w:rsidP="00B16849">
      <w:pPr>
        <w:pStyle w:val="AbsatzConcludingObs"/>
        <w:rPr>
          <w:b/>
          <w:bCs/>
          <w:lang w:val="en-GB"/>
        </w:rPr>
      </w:pPr>
      <w:r w:rsidRPr="00CF0F1C">
        <w:rPr>
          <w:lang w:val="en-GB"/>
        </w:rPr>
        <w:tab/>
        <w:t>(b)</w:t>
      </w:r>
      <w:r w:rsidRPr="00CF0F1C">
        <w:rPr>
          <w:lang w:val="en-GB"/>
        </w:rPr>
        <w:tab/>
      </w:r>
      <w:r w:rsidRPr="00CF0F1C">
        <w:rPr>
          <w:b/>
          <w:bCs/>
          <w:lang w:val="en-GB"/>
        </w:rPr>
        <w:t xml:space="preserve">Provide reparations and support to intersex children who received unnecessary medical or surgical treatment, including irreversible medical interventions, sometimes without their consent, by ensuring that their access to justice is not hindered by any statute of </w:t>
      </w:r>
      <w:proofErr w:type="gramStart"/>
      <w:r w:rsidRPr="00CF0F1C">
        <w:rPr>
          <w:b/>
          <w:bCs/>
          <w:lang w:val="en-GB"/>
        </w:rPr>
        <w:t>limitations;</w:t>
      </w:r>
      <w:proofErr w:type="gramEnd"/>
    </w:p>
    <w:p w14:paraId="34959C8A" w14:textId="77777777" w:rsidR="002514AC" w:rsidRPr="00CF0F1C" w:rsidRDefault="002514AC" w:rsidP="006A7C67">
      <w:pPr>
        <w:pStyle w:val="absatzschattenbericht"/>
        <w:rPr>
          <w:bCs/>
          <w:lang w:val="en-GB"/>
        </w:rPr>
      </w:pPr>
    </w:p>
    <w:p w14:paraId="4EB1F1E3" w14:textId="2E4B4B49" w:rsidR="00B15351" w:rsidRPr="00CF0F1C" w:rsidRDefault="00B15351" w:rsidP="00B15351">
      <w:pPr>
        <w:pStyle w:val="Title1"/>
        <w:rPr>
          <w:lang w:val="en-GB"/>
        </w:rPr>
      </w:pPr>
      <w:bookmarkStart w:id="37" w:name="_Toc48428223"/>
      <w:bookmarkStart w:id="38" w:name="_Toc161663940"/>
      <w:bookmarkStart w:id="39" w:name="_Toc453620714"/>
      <w:bookmarkStart w:id="40" w:name="_Toc463295414"/>
      <w:bookmarkStart w:id="41" w:name="_Toc472687698"/>
      <w:bookmarkStart w:id="42" w:name="_Toc485093575"/>
      <w:bookmarkEnd w:id="29"/>
      <w:bookmarkEnd w:id="30"/>
      <w:bookmarkEnd w:id="31"/>
      <w:bookmarkEnd w:id="32"/>
      <w:r w:rsidRPr="00CF0F1C">
        <w:rPr>
          <w:lang w:val="en-GB"/>
        </w:rPr>
        <w:lastRenderedPageBreak/>
        <w:t xml:space="preserve">B.  IGM in </w:t>
      </w:r>
      <w:r w:rsidR="008E4296" w:rsidRPr="00CF0F1C">
        <w:rPr>
          <w:lang w:val="en-GB"/>
        </w:rPr>
        <w:t>Finland</w:t>
      </w:r>
      <w:r w:rsidRPr="00CF0F1C">
        <w:rPr>
          <w:lang w:val="en-GB"/>
        </w:rPr>
        <w:t xml:space="preserve">: State-sponsored </w:t>
      </w:r>
      <w:r w:rsidR="005850F5" w:rsidRPr="00CF0F1C">
        <w:rPr>
          <w:lang w:val="en-GB"/>
        </w:rPr>
        <w:t>and</w:t>
      </w:r>
      <w:r w:rsidRPr="00CF0F1C">
        <w:rPr>
          <w:lang w:val="en-GB"/>
        </w:rPr>
        <w:t xml:space="preserve"> pervasive, Gov fails to </w:t>
      </w:r>
      <w:proofErr w:type="gramStart"/>
      <w:r w:rsidRPr="00CF0F1C">
        <w:rPr>
          <w:lang w:val="en-GB"/>
        </w:rPr>
        <w:t>act</w:t>
      </w:r>
      <w:bookmarkEnd w:id="37"/>
      <w:bookmarkEnd w:id="38"/>
      <w:proofErr w:type="gramEnd"/>
    </w:p>
    <w:p w14:paraId="1B9962EA" w14:textId="60A7790A" w:rsidR="00B15351" w:rsidRPr="00CF0F1C" w:rsidRDefault="00B15351" w:rsidP="00B15351">
      <w:pPr>
        <w:pStyle w:val="Title2"/>
        <w:rPr>
          <w:color w:val="800000"/>
        </w:rPr>
      </w:pPr>
      <w:bookmarkStart w:id="43" w:name="_Toc48428224"/>
      <w:bookmarkStart w:id="44" w:name="_Toc161663941"/>
      <w:r w:rsidRPr="00CF0F1C">
        <w:t xml:space="preserve">1.  IGM practices in </w:t>
      </w:r>
      <w:r w:rsidR="008E4296" w:rsidRPr="00CF0F1C">
        <w:t>Finland</w:t>
      </w:r>
      <w:r w:rsidRPr="00CF0F1C">
        <w:t xml:space="preserve">: </w:t>
      </w:r>
      <w:bookmarkEnd w:id="43"/>
      <w:r w:rsidR="00183894" w:rsidRPr="00CF0F1C">
        <w:t>Still no legal</w:t>
      </w:r>
      <w:r w:rsidR="00C10702" w:rsidRPr="00CF0F1C">
        <w:t xml:space="preserve"> prohibition</w:t>
      </w:r>
      <w:bookmarkEnd w:id="44"/>
    </w:p>
    <w:p w14:paraId="66746F7E" w14:textId="587F8028" w:rsidR="00B15351" w:rsidRPr="00CF0F1C" w:rsidRDefault="00B15351" w:rsidP="00437DDD">
      <w:pPr>
        <w:pStyle w:val="absatzschattenbericht"/>
        <w:rPr>
          <w:rFonts w:cs="Times New Roman"/>
          <w:color w:val="221E1F"/>
          <w:lang w:val="en-GB"/>
        </w:rPr>
      </w:pPr>
      <w:r w:rsidRPr="000177FC">
        <w:rPr>
          <w:rFonts w:cs="Times New Roman"/>
          <w:lang w:val="en-GB"/>
        </w:rPr>
        <w:t xml:space="preserve">In </w:t>
      </w:r>
      <w:r w:rsidR="008E4296" w:rsidRPr="000177FC">
        <w:rPr>
          <w:rFonts w:eastAsia="Baskerville-SemiBold" w:cs="Times New Roman"/>
          <w:b/>
          <w:bCs/>
          <w:lang w:val="en-GB"/>
        </w:rPr>
        <w:t>Finland</w:t>
      </w:r>
      <w:r w:rsidR="00B44233" w:rsidRPr="000177FC">
        <w:rPr>
          <w:rFonts w:eastAsia="Baskerville-SemiBold" w:cs="Times New Roman"/>
          <w:b/>
          <w:bCs/>
          <w:lang w:val="en-GB"/>
        </w:rPr>
        <w:t xml:space="preserve"> </w:t>
      </w:r>
      <w:r w:rsidR="00B44233" w:rsidRPr="000177FC">
        <w:rPr>
          <w:rFonts w:eastAsia="Baskerville-SemiBold" w:cs="Times New Roman"/>
          <w:lang w:val="en-GB"/>
        </w:rPr>
        <w:t>(CCPR/C/FIN/CO/7, paras 20+21(c); CRC/C/FIN/CO/5-6, paras 24(a)+(b); CEDAW/C/FIN/CO/8, paras 21(b)+22(b))</w:t>
      </w:r>
      <w:r w:rsidRPr="000177FC">
        <w:rPr>
          <w:rFonts w:eastAsia="Baskerville-SemiBold"/>
          <w:lang w:val="en-GB"/>
        </w:rPr>
        <w:t>,</w:t>
      </w:r>
      <w:r w:rsidRPr="000177FC">
        <w:rPr>
          <w:rFonts w:eastAsia="Baskerville-SemiBold" w:cs="Times New Roman"/>
          <w:bCs/>
          <w:lang w:val="en-GB"/>
        </w:rPr>
        <w:t xml:space="preserve"> </w:t>
      </w:r>
      <w:r w:rsidRPr="000177FC">
        <w:rPr>
          <w:rFonts w:cs="Times New Roman"/>
          <w:lang w:val="en-GB"/>
        </w:rPr>
        <w:t xml:space="preserve">same as in the </w:t>
      </w:r>
      <w:r w:rsidR="008E4296" w:rsidRPr="000177FC">
        <w:rPr>
          <w:rFonts w:cs="Times New Roman"/>
          <w:b/>
          <w:lang w:val="en-GB"/>
        </w:rPr>
        <w:t xml:space="preserve">fellow Nordic </w:t>
      </w:r>
      <w:r w:rsidRPr="000177FC">
        <w:rPr>
          <w:rFonts w:cs="Times New Roman"/>
          <w:b/>
          <w:lang w:val="en-GB"/>
        </w:rPr>
        <w:t>states</w:t>
      </w:r>
      <w:r w:rsidRPr="000177FC">
        <w:rPr>
          <w:rFonts w:cs="Times New Roman"/>
          <w:lang w:val="en-GB"/>
        </w:rPr>
        <w:t xml:space="preserve"> of </w:t>
      </w:r>
      <w:r w:rsidR="008E4296" w:rsidRPr="000177FC">
        <w:rPr>
          <w:rFonts w:cs="Times New Roman"/>
          <w:i/>
          <w:iCs/>
          <w:lang w:val="en-GB"/>
        </w:rPr>
        <w:t xml:space="preserve">Denmark </w:t>
      </w:r>
      <w:r w:rsidR="008E4296" w:rsidRPr="000177FC">
        <w:rPr>
          <w:rFonts w:cs="Times New Roman"/>
          <w:lang w:val="en-GB"/>
        </w:rPr>
        <w:t>(CAT/C/DNK/CO/6-7, paras 42-43</w:t>
      </w:r>
      <w:r w:rsidR="00CF0F1C" w:rsidRPr="000177FC">
        <w:rPr>
          <w:rFonts w:cs="Times New Roman"/>
          <w:lang w:val="en-GB"/>
        </w:rPr>
        <w:t xml:space="preserve">; </w:t>
      </w:r>
      <w:r w:rsidR="009F6C22" w:rsidRPr="000177FC">
        <w:rPr>
          <w:rFonts w:cs="Times New Roman"/>
          <w:lang w:val="en-GB"/>
        </w:rPr>
        <w:t>CAT/C/DNK/CO/8, paras 32</w:t>
      </w:r>
      <w:r w:rsidR="009F6C22">
        <w:rPr>
          <w:rFonts w:cs="Times New Roman"/>
          <w:lang w:val="en-GB"/>
        </w:rPr>
        <w:t>-</w:t>
      </w:r>
      <w:r w:rsidR="009F6C22" w:rsidRPr="000177FC">
        <w:rPr>
          <w:rFonts w:cs="Times New Roman"/>
          <w:lang w:val="en-GB"/>
        </w:rPr>
        <w:t>33)</w:t>
      </w:r>
      <w:r w:rsidR="009F6C22">
        <w:rPr>
          <w:rFonts w:cs="Times New Roman"/>
          <w:lang w:val="en-GB"/>
        </w:rPr>
        <w:t xml:space="preserve">; </w:t>
      </w:r>
      <w:r w:rsidR="00CF0F1C" w:rsidRPr="000177FC">
        <w:rPr>
          <w:rFonts w:cs="Times New Roman"/>
          <w:lang w:val="en-GB"/>
        </w:rPr>
        <w:t>CRC/C/DNK/CO/5, paras 24+12</w:t>
      </w:r>
      <w:r w:rsidR="009B7842">
        <w:rPr>
          <w:rFonts w:cs="Times New Roman"/>
          <w:lang w:val="en-GB"/>
        </w:rPr>
        <w:t>)</w:t>
      </w:r>
      <w:r w:rsidR="008E4296" w:rsidRPr="000177FC">
        <w:rPr>
          <w:rFonts w:cs="Times New Roman"/>
          <w:lang w:val="en-GB"/>
        </w:rPr>
        <w:t xml:space="preserve">, </w:t>
      </w:r>
      <w:r w:rsidR="008E4296" w:rsidRPr="000177FC">
        <w:rPr>
          <w:rFonts w:cs="Times New Roman"/>
          <w:i/>
          <w:iCs/>
          <w:lang w:val="en-GB"/>
        </w:rPr>
        <w:t xml:space="preserve">Sweden </w:t>
      </w:r>
      <w:r w:rsidR="008E4296" w:rsidRPr="000177FC">
        <w:rPr>
          <w:rFonts w:cs="Times New Roman"/>
          <w:lang w:val="en-GB"/>
        </w:rPr>
        <w:t>(</w:t>
      </w:r>
      <w:r w:rsidR="00B6565A" w:rsidRPr="000177FC">
        <w:rPr>
          <w:rFonts w:cs="Times New Roman"/>
          <w:lang w:val="en-GB"/>
        </w:rPr>
        <w:t>CRC/C/SWE/QPR/6-7, paras 20(a)+40(d)</w:t>
      </w:r>
      <w:r w:rsidR="008E4296" w:rsidRPr="000177FC">
        <w:rPr>
          <w:rFonts w:cs="Times New Roman"/>
          <w:lang w:val="en-GB"/>
        </w:rPr>
        <w:t xml:space="preserve">), </w:t>
      </w:r>
      <w:r w:rsidR="00FD1A9D" w:rsidRPr="000177FC">
        <w:rPr>
          <w:rFonts w:cs="Times New Roman"/>
          <w:i/>
          <w:iCs/>
          <w:lang w:val="en-GB"/>
        </w:rPr>
        <w:t>Iceland</w:t>
      </w:r>
      <w:r w:rsidR="00FD1A9D" w:rsidRPr="000177FC">
        <w:rPr>
          <w:rFonts w:cs="Times New Roman"/>
          <w:lang w:val="en-GB"/>
        </w:rPr>
        <w:t xml:space="preserve"> (CRC/C/ISL/CO/5-6, para 26(b)+(c)), </w:t>
      </w:r>
      <w:r w:rsidRPr="000177FC">
        <w:rPr>
          <w:rFonts w:cs="Times New Roman"/>
          <w:lang w:val="en-GB"/>
        </w:rPr>
        <w:t xml:space="preserve">and in </w:t>
      </w:r>
      <w:r w:rsidRPr="000177FC">
        <w:rPr>
          <w:rFonts w:cs="Times New Roman"/>
          <w:b/>
          <w:lang w:val="en-GB"/>
        </w:rPr>
        <w:t>many more State parties</w:t>
      </w:r>
      <w:r w:rsidRPr="000177FC">
        <w:rPr>
          <w:rFonts w:cs="Times New Roman"/>
          <w:lang w:val="en-GB"/>
        </w:rPr>
        <w:t>,</w:t>
      </w:r>
      <w:r w:rsidRPr="000177FC">
        <w:rPr>
          <w:rStyle w:val="FootnoteReference"/>
          <w:rFonts w:cs="Times New Roman"/>
          <w:lang w:val="en-GB"/>
        </w:rPr>
        <w:footnoteReference w:id="9"/>
      </w:r>
      <w:r w:rsidRPr="000177FC">
        <w:rPr>
          <w:rFonts w:cs="Times New Roman"/>
          <w:color w:val="221E1F"/>
          <w:lang w:val="en-GB"/>
        </w:rPr>
        <w:t xml:space="preserve"> there are</w:t>
      </w:r>
    </w:p>
    <w:p w14:paraId="1BE60F5D" w14:textId="77777777" w:rsidR="00B15351" w:rsidRPr="00CF0F1C" w:rsidRDefault="00B15351" w:rsidP="00B801A4">
      <w:pPr>
        <w:pStyle w:val="absatzschattenbericht"/>
        <w:numPr>
          <w:ilvl w:val="0"/>
          <w:numId w:val="3"/>
        </w:numPr>
        <w:ind w:left="714" w:hanging="357"/>
        <w:rPr>
          <w:rFonts w:cs="Times New Roman"/>
          <w:b/>
          <w:iCs/>
          <w:lang w:val="en-GB"/>
        </w:rPr>
      </w:pPr>
      <w:r w:rsidRPr="00CF0F1C">
        <w:rPr>
          <w:rFonts w:eastAsia="Baskerville-Bold" w:cs="Times New Roman"/>
          <w:b/>
          <w:bCs/>
          <w:lang w:val="en-GB"/>
        </w:rPr>
        <w:t>no legal or other protections</w:t>
      </w:r>
      <w:r w:rsidRPr="00CF0F1C">
        <w:rPr>
          <w:rFonts w:cs="Times New Roman"/>
          <w:lang w:val="en-GB"/>
        </w:rPr>
        <w:t xml:space="preserve"> in place to ensure the rights of intersex children to physical and mental integrity, autonomy and self-determination, and </w:t>
      </w:r>
      <w:r w:rsidRPr="00CF0F1C">
        <w:rPr>
          <w:rFonts w:cs="Times New Roman"/>
          <w:b/>
          <w:lang w:val="en-GB"/>
        </w:rPr>
        <w:t>to prevent</w:t>
      </w:r>
      <w:r w:rsidRPr="00CF0F1C">
        <w:rPr>
          <w:rFonts w:cs="Times New Roman"/>
          <w:lang w:val="en-GB"/>
        </w:rPr>
        <w:t xml:space="preserve"> </w:t>
      </w:r>
      <w:r w:rsidRPr="00CF0F1C">
        <w:rPr>
          <w:rFonts w:cs="Times New Roman"/>
          <w:b/>
          <w:iCs/>
          <w:lang w:val="en-GB"/>
        </w:rPr>
        <w:t xml:space="preserve">IGM </w:t>
      </w:r>
      <w:proofErr w:type="gramStart"/>
      <w:r w:rsidRPr="00CF0F1C">
        <w:rPr>
          <w:rFonts w:cs="Times New Roman"/>
          <w:b/>
          <w:iCs/>
          <w:lang w:val="en-GB"/>
        </w:rPr>
        <w:t>practices</w:t>
      </w:r>
      <w:proofErr w:type="gramEnd"/>
    </w:p>
    <w:p w14:paraId="63E82D69" w14:textId="77777777" w:rsidR="00B15351" w:rsidRPr="00CF0F1C" w:rsidRDefault="00B15351" w:rsidP="00B801A4">
      <w:pPr>
        <w:pStyle w:val="absatzschattenbericht"/>
        <w:numPr>
          <w:ilvl w:val="0"/>
          <w:numId w:val="3"/>
        </w:numPr>
        <w:ind w:left="714" w:hanging="357"/>
        <w:rPr>
          <w:rFonts w:cs="Times New Roman"/>
          <w:iCs/>
          <w:lang w:val="en-GB"/>
        </w:rPr>
      </w:pPr>
      <w:r w:rsidRPr="00CF0F1C">
        <w:rPr>
          <w:rFonts w:cs="Times New Roman"/>
          <w:b/>
          <w:lang w:val="en-GB"/>
        </w:rPr>
        <w:t>no measures</w:t>
      </w:r>
      <w:r w:rsidRPr="00CF0F1C">
        <w:rPr>
          <w:rFonts w:cs="Times New Roman"/>
          <w:lang w:val="en-GB"/>
        </w:rPr>
        <w:t xml:space="preserve"> in place to ensure </w:t>
      </w:r>
      <w:r w:rsidRPr="00CF0F1C">
        <w:rPr>
          <w:rFonts w:cs="Times New Roman"/>
          <w:b/>
          <w:lang w:val="en-GB"/>
        </w:rPr>
        <w:t>data collection and monitoring</w:t>
      </w:r>
      <w:r w:rsidRPr="00CF0F1C">
        <w:rPr>
          <w:rFonts w:cs="Times New Roman"/>
          <w:lang w:val="en-GB"/>
        </w:rPr>
        <w:t xml:space="preserve"> of IGM </w:t>
      </w:r>
      <w:proofErr w:type="gramStart"/>
      <w:r w:rsidRPr="00CF0F1C">
        <w:rPr>
          <w:rFonts w:cs="Times New Roman"/>
          <w:lang w:val="en-GB"/>
        </w:rPr>
        <w:t>practices</w:t>
      </w:r>
      <w:proofErr w:type="gramEnd"/>
    </w:p>
    <w:p w14:paraId="5D23120C" w14:textId="77777777" w:rsidR="00B15351" w:rsidRPr="00CF0F1C" w:rsidRDefault="00B15351" w:rsidP="00B801A4">
      <w:pPr>
        <w:pStyle w:val="absatzschattenbericht"/>
        <w:numPr>
          <w:ilvl w:val="0"/>
          <w:numId w:val="3"/>
        </w:numPr>
        <w:ind w:left="714" w:hanging="357"/>
        <w:rPr>
          <w:rFonts w:cs="Times New Roman"/>
          <w:lang w:val="en-GB"/>
        </w:rPr>
      </w:pPr>
      <w:r w:rsidRPr="00CF0F1C">
        <w:rPr>
          <w:rFonts w:cs="Times New Roman"/>
          <w:b/>
          <w:lang w:val="en-GB"/>
        </w:rPr>
        <w:t>no legal or other measures</w:t>
      </w:r>
      <w:r w:rsidRPr="00CF0F1C">
        <w:rPr>
          <w:rFonts w:cs="Times New Roman"/>
          <w:lang w:val="en-GB"/>
        </w:rPr>
        <w:t xml:space="preserve"> in place to ensure the </w:t>
      </w:r>
      <w:r w:rsidRPr="00CF0F1C">
        <w:rPr>
          <w:rFonts w:cs="Times New Roman"/>
          <w:b/>
          <w:lang w:val="en-GB"/>
        </w:rPr>
        <w:t>accountability</w:t>
      </w:r>
      <w:r w:rsidRPr="00CF0F1C">
        <w:rPr>
          <w:rFonts w:cs="Times New Roman"/>
          <w:lang w:val="en-GB"/>
        </w:rPr>
        <w:t xml:space="preserve"> of IGM </w:t>
      </w:r>
      <w:proofErr w:type="gramStart"/>
      <w:r w:rsidRPr="00CF0F1C">
        <w:rPr>
          <w:rFonts w:cs="Times New Roman"/>
          <w:lang w:val="en-GB"/>
        </w:rPr>
        <w:t>perpetrators</w:t>
      </w:r>
      <w:proofErr w:type="gramEnd"/>
    </w:p>
    <w:p w14:paraId="6BB0DB17" w14:textId="0E1D74A8" w:rsidR="00955D26" w:rsidRPr="00CF0F1C" w:rsidRDefault="00B15351" w:rsidP="00B801A4">
      <w:pPr>
        <w:pStyle w:val="absatzschattenbericht"/>
        <w:numPr>
          <w:ilvl w:val="0"/>
          <w:numId w:val="3"/>
        </w:numPr>
        <w:rPr>
          <w:rFonts w:cs="Times New Roman"/>
          <w:lang w:val="en-GB"/>
        </w:rPr>
      </w:pPr>
      <w:r w:rsidRPr="00CF0F1C">
        <w:rPr>
          <w:rFonts w:cs="Times New Roman"/>
          <w:b/>
          <w:lang w:val="en-GB"/>
        </w:rPr>
        <w:t xml:space="preserve">no </w:t>
      </w:r>
      <w:r w:rsidR="00947A1F" w:rsidRPr="00CF0F1C">
        <w:rPr>
          <w:rFonts w:cs="Times New Roman"/>
          <w:b/>
          <w:lang w:val="en-GB"/>
        </w:rPr>
        <w:t>le</w:t>
      </w:r>
      <w:r w:rsidRPr="00CF0F1C">
        <w:rPr>
          <w:rFonts w:cs="Times New Roman"/>
          <w:b/>
          <w:lang w:val="en-GB"/>
        </w:rPr>
        <w:t>gal or other measures</w:t>
      </w:r>
      <w:r w:rsidRPr="00CF0F1C">
        <w:rPr>
          <w:rFonts w:cs="Times New Roman"/>
          <w:lang w:val="en-GB"/>
        </w:rPr>
        <w:t xml:space="preserve"> in place to ensure </w:t>
      </w:r>
      <w:r w:rsidRPr="00CF0F1C">
        <w:rPr>
          <w:rFonts w:cs="Times New Roman"/>
          <w:b/>
          <w:lang w:val="en-GB"/>
        </w:rPr>
        <w:t>access to redress and justice</w:t>
      </w:r>
      <w:r w:rsidRPr="00CF0F1C">
        <w:rPr>
          <w:rFonts w:cs="Times New Roman"/>
          <w:lang w:val="en-GB"/>
        </w:rPr>
        <w:t xml:space="preserve"> for adult IGM </w:t>
      </w:r>
      <w:proofErr w:type="gramStart"/>
      <w:r w:rsidRPr="00CF0F1C">
        <w:rPr>
          <w:rFonts w:cs="Times New Roman"/>
          <w:lang w:val="en-GB"/>
        </w:rPr>
        <w:t>survivors</w:t>
      </w:r>
      <w:proofErr w:type="gramEnd"/>
    </w:p>
    <w:p w14:paraId="42537F0C" w14:textId="7323A94E" w:rsidR="00955D26" w:rsidRPr="00CF0F1C" w:rsidRDefault="00561290" w:rsidP="00437DDD">
      <w:pPr>
        <w:pStyle w:val="absatzschattenbericht"/>
        <w:rPr>
          <w:rFonts w:cs="Times New Roman"/>
          <w:lang w:val="en-GB"/>
        </w:rPr>
      </w:pPr>
      <w:r w:rsidRPr="00CF0F1C">
        <w:rPr>
          <w:rFonts w:cs="Times New Roman"/>
          <w:lang w:val="en-GB"/>
        </w:rPr>
        <w:t>The</w:t>
      </w:r>
      <w:r w:rsidR="007A24BB" w:rsidRPr="00CF0F1C">
        <w:rPr>
          <w:rFonts w:cs="Times New Roman"/>
          <w:lang w:val="en-GB"/>
        </w:rPr>
        <w:t xml:space="preserve"> </w:t>
      </w:r>
      <w:r w:rsidR="007A24BB" w:rsidRPr="00CF0F1C">
        <w:rPr>
          <w:rFonts w:cs="Times New Roman"/>
          <w:b/>
          <w:bCs/>
          <w:lang w:val="en-GB"/>
        </w:rPr>
        <w:t>Finnish government</w:t>
      </w:r>
      <w:r w:rsidR="00B15351" w:rsidRPr="00CF0F1C">
        <w:rPr>
          <w:rFonts w:cs="Times New Roman"/>
          <w:b/>
          <w:bCs/>
          <w:lang w:val="en-GB"/>
        </w:rPr>
        <w:t xml:space="preserve"> partially recognis</w:t>
      </w:r>
      <w:r w:rsidR="007A24BB" w:rsidRPr="00CF0F1C">
        <w:rPr>
          <w:rFonts w:cs="Times New Roman"/>
          <w:b/>
          <w:bCs/>
          <w:lang w:val="en-GB"/>
        </w:rPr>
        <w:t>es</w:t>
      </w:r>
      <w:r w:rsidR="00B15351" w:rsidRPr="00CF0F1C">
        <w:rPr>
          <w:rFonts w:cs="Times New Roman"/>
          <w:lang w:val="en-GB"/>
        </w:rPr>
        <w:t xml:space="preserve"> the serious violations constituted by IGM practice</w:t>
      </w:r>
      <w:r w:rsidR="00FD1A9D" w:rsidRPr="00CF0F1C">
        <w:rPr>
          <w:rFonts w:cs="Times New Roman"/>
          <w:lang w:val="en-GB"/>
        </w:rPr>
        <w:t>s</w:t>
      </w:r>
      <w:r w:rsidR="00183894" w:rsidRPr="00CF0F1C">
        <w:rPr>
          <w:rFonts w:cs="Times New Roman"/>
          <w:lang w:val="en-GB"/>
        </w:rPr>
        <w:t>, as well as the severe pain and suffering caused by it,</w:t>
      </w:r>
      <w:r w:rsidR="00B15351" w:rsidRPr="00CF0F1C">
        <w:rPr>
          <w:rFonts w:cs="Times New Roman"/>
          <w:lang w:val="en-GB"/>
        </w:rPr>
        <w:t xml:space="preserve"> and </w:t>
      </w:r>
      <w:r w:rsidR="00955D26" w:rsidRPr="00CF0F1C">
        <w:rPr>
          <w:rFonts w:cs="Times New Roman"/>
          <w:lang w:val="en-GB"/>
        </w:rPr>
        <w:t xml:space="preserve">has </w:t>
      </w:r>
      <w:r w:rsidR="00955D26" w:rsidRPr="00CF0F1C">
        <w:rPr>
          <w:rFonts w:cs="Times New Roman"/>
          <w:b/>
          <w:bCs/>
          <w:lang w:val="en-GB"/>
        </w:rPr>
        <w:t>repeatedly pledged to protect</w:t>
      </w:r>
      <w:r w:rsidR="00955D26" w:rsidRPr="00CF0F1C">
        <w:rPr>
          <w:rFonts w:cs="Times New Roman"/>
          <w:lang w:val="en-GB"/>
        </w:rPr>
        <w:t xml:space="preserve"> intersex children from IGM practices (see below, p. </w:t>
      </w:r>
      <w:r w:rsidR="00383C48">
        <w:rPr>
          <w:rFonts w:cs="Times New Roman"/>
          <w:lang w:val="en-GB"/>
        </w:rPr>
        <w:t>11-12</w:t>
      </w:r>
      <w:r w:rsidR="00955D26" w:rsidRPr="00CF0F1C">
        <w:rPr>
          <w:rFonts w:cs="Times New Roman"/>
          <w:lang w:val="en-GB"/>
        </w:rPr>
        <w:t>).</w:t>
      </w:r>
    </w:p>
    <w:p w14:paraId="4964D54A" w14:textId="45369C72" w:rsidR="00635671" w:rsidRPr="00CF0F1C" w:rsidRDefault="00561290" w:rsidP="00437DDD">
      <w:pPr>
        <w:pStyle w:val="absatzschattenbericht"/>
        <w:rPr>
          <w:rFonts w:cs="Times New Roman"/>
          <w:lang w:val="en-GB"/>
        </w:rPr>
      </w:pPr>
      <w:r w:rsidRPr="00CF0F1C">
        <w:rPr>
          <w:rFonts w:cs="Times New Roman"/>
          <w:lang w:val="en-GB"/>
        </w:rPr>
        <w:t>However, so</w:t>
      </w:r>
      <w:r w:rsidR="00464186" w:rsidRPr="00CF0F1C">
        <w:rPr>
          <w:rFonts w:cs="Times New Roman"/>
          <w:lang w:val="en-GB"/>
        </w:rPr>
        <w:t xml:space="preserve"> far</w:t>
      </w:r>
      <w:r w:rsidR="00955D26" w:rsidRPr="00CF0F1C">
        <w:rPr>
          <w:rFonts w:cs="Times New Roman"/>
          <w:lang w:val="en-GB"/>
        </w:rPr>
        <w:t>,</w:t>
      </w:r>
      <w:r w:rsidR="00464186" w:rsidRPr="00CF0F1C">
        <w:rPr>
          <w:rFonts w:cs="Times New Roman"/>
          <w:lang w:val="en-GB"/>
        </w:rPr>
        <w:t xml:space="preserve"> </w:t>
      </w:r>
      <w:r w:rsidR="00B15351" w:rsidRPr="00CF0F1C">
        <w:rPr>
          <w:rFonts w:cs="Times New Roman"/>
          <w:lang w:val="en-GB"/>
        </w:rPr>
        <w:t xml:space="preserve">the </w:t>
      </w:r>
      <w:r w:rsidR="00851C1F" w:rsidRPr="00CF0F1C">
        <w:rPr>
          <w:rFonts w:eastAsia="Baskerville-Bold" w:cs="Times New Roman"/>
          <w:b/>
          <w:bCs/>
          <w:lang w:val="en-GB"/>
        </w:rPr>
        <w:t>Finnish</w:t>
      </w:r>
      <w:r w:rsidR="00B15351" w:rsidRPr="00CF0F1C">
        <w:rPr>
          <w:rFonts w:eastAsia="Baskerville-Bold" w:cs="Times New Roman"/>
          <w:b/>
          <w:bCs/>
          <w:lang w:val="en-GB"/>
        </w:rPr>
        <w:t xml:space="preserve"> government</w:t>
      </w:r>
      <w:r w:rsidR="00B15351" w:rsidRPr="00CF0F1C">
        <w:rPr>
          <w:rFonts w:cs="Times New Roman"/>
          <w:b/>
          <w:bCs/>
          <w:lang w:val="en-GB"/>
        </w:rPr>
        <w:t xml:space="preserve"> fails </w:t>
      </w:r>
      <w:r w:rsidR="00B15351" w:rsidRPr="00CF0F1C">
        <w:rPr>
          <w:rFonts w:eastAsia="Baskerville-SemiBold" w:cs="Times New Roman"/>
          <w:b/>
          <w:bCs/>
          <w:lang w:val="en-GB"/>
        </w:rPr>
        <w:t xml:space="preserve">to </w:t>
      </w:r>
      <w:r w:rsidR="00B15351" w:rsidRPr="00CF0F1C">
        <w:rPr>
          <w:rFonts w:eastAsia="Baskerville-SemiBoldItalic" w:cs="Times New Roman"/>
          <w:b/>
          <w:bCs/>
          <w:i/>
          <w:iCs/>
          <w:lang w:val="en-GB"/>
        </w:rPr>
        <w:t>“take effective legislative, administrative, judicial or other measures”</w:t>
      </w:r>
      <w:r w:rsidR="00B15351" w:rsidRPr="00CF0F1C">
        <w:rPr>
          <w:rFonts w:cs="Times New Roman"/>
          <w:lang w:val="en-GB"/>
        </w:rPr>
        <w:t xml:space="preserve"> to protect intersex children</w:t>
      </w:r>
      <w:r w:rsidR="00A67ECF">
        <w:rPr>
          <w:rFonts w:cs="Times New Roman"/>
          <w:lang w:val="en-GB"/>
        </w:rPr>
        <w:t>.</w:t>
      </w:r>
    </w:p>
    <w:p w14:paraId="34055BE4" w14:textId="77777777" w:rsidR="007575E8" w:rsidRPr="00CF0F1C" w:rsidRDefault="007575E8" w:rsidP="00437DDD">
      <w:pPr>
        <w:pStyle w:val="absatzschattenbericht"/>
        <w:rPr>
          <w:lang w:val="en-GB"/>
        </w:rPr>
      </w:pPr>
      <w:r w:rsidRPr="00CF0F1C">
        <w:rPr>
          <w:rFonts w:cs="Times New Roman"/>
          <w:lang w:val="en-GB"/>
        </w:rPr>
        <w:t xml:space="preserve">In contrast to the lack of legal protection from IGM practices, </w:t>
      </w:r>
      <w:r w:rsidRPr="00CF0F1C">
        <w:rPr>
          <w:rFonts w:cs="Times New Roman"/>
          <w:b/>
          <w:bCs/>
          <w:lang w:val="en-GB"/>
        </w:rPr>
        <w:t>in Finland all types of Female Genital Mutilation (FGM) are prohibited</w:t>
      </w:r>
      <w:r w:rsidRPr="00CF0F1C">
        <w:rPr>
          <w:rFonts w:cs="Times New Roman"/>
          <w:lang w:val="en-GB"/>
        </w:rPr>
        <w:t xml:space="preserve"> in the general criminal law, namely according to </w:t>
      </w:r>
      <w:r w:rsidRPr="00CF0F1C">
        <w:rPr>
          <w:rFonts w:cs="Times New Roman"/>
          <w:lang w:val="en-GB"/>
        </w:rPr>
        <w:br/>
        <w:t xml:space="preserve">§§5-7 on assault in the </w:t>
      </w:r>
      <w:r w:rsidRPr="00CF0F1C">
        <w:rPr>
          <w:rFonts w:cs="Times New Roman"/>
          <w:b/>
          <w:bCs/>
          <w:lang w:val="en-GB"/>
        </w:rPr>
        <w:t>Finnish Penal Code</w:t>
      </w:r>
      <w:r w:rsidRPr="00CF0F1C">
        <w:rPr>
          <w:rFonts w:cs="Times New Roman"/>
          <w:lang w:val="en-GB"/>
        </w:rPr>
        <w:t xml:space="preserve">. The principle of </w:t>
      </w:r>
      <w:r w:rsidRPr="00CF0F1C">
        <w:rPr>
          <w:rFonts w:cs="Times New Roman"/>
          <w:b/>
          <w:bCs/>
          <w:lang w:val="en-GB"/>
        </w:rPr>
        <w:t>extraterritoriality is applicable</w:t>
      </w:r>
      <w:r w:rsidRPr="00CF0F1C">
        <w:rPr>
          <w:rFonts w:cs="Times New Roman"/>
          <w:lang w:val="en-GB"/>
        </w:rPr>
        <w:t>, making FGM punishable even if it is committed outside the country.</w:t>
      </w:r>
      <w:r w:rsidRPr="00CF0F1C">
        <w:rPr>
          <w:rStyle w:val="FootnoteReference"/>
          <w:lang w:val="en-GB"/>
        </w:rPr>
        <w:footnoteReference w:id="10"/>
      </w:r>
      <w:r w:rsidRPr="00CF0F1C">
        <w:rPr>
          <w:rFonts w:cs="Times New Roman"/>
          <w:lang w:val="en-GB"/>
        </w:rPr>
        <w:t xml:space="preserve"> Further, in November 2020 </w:t>
      </w:r>
      <w:r w:rsidRPr="00CF0F1C">
        <w:rPr>
          <w:rFonts w:cs="Times New Roman"/>
          <w:b/>
          <w:bCs/>
          <w:lang w:val="en-GB"/>
        </w:rPr>
        <w:t>Finland’s Parliament</w:t>
      </w:r>
      <w:r w:rsidRPr="00CF0F1C">
        <w:rPr>
          <w:rFonts w:cs="Times New Roman"/>
          <w:lang w:val="en-GB"/>
        </w:rPr>
        <w:t xml:space="preserve"> has voted by a margin of 141 to 10 to </w:t>
      </w:r>
      <w:r w:rsidRPr="00CF0F1C">
        <w:rPr>
          <w:rFonts w:cs="Times New Roman"/>
          <w:b/>
          <w:bCs/>
          <w:lang w:val="en-GB"/>
        </w:rPr>
        <w:t>make the prohibition of FGM more explicit</w:t>
      </w:r>
      <w:r w:rsidRPr="00CF0F1C">
        <w:rPr>
          <w:rFonts w:cs="Times New Roman"/>
          <w:lang w:val="en-GB"/>
        </w:rPr>
        <w:t xml:space="preserve"> in Finnish law, in partial support to a citizens’ initiative with 61’000 signatories calling for the creation of a separate law to specifically ban the practice of FGM. While the Parliament did not back separate legislation, it agreed to </w:t>
      </w:r>
      <w:r w:rsidRPr="00CF0F1C">
        <w:rPr>
          <w:rFonts w:cs="Times New Roman"/>
          <w:b/>
          <w:bCs/>
          <w:lang w:val="en-GB"/>
        </w:rPr>
        <w:t>amendments clarifying the law on FGM to be written into the criminal code</w:t>
      </w:r>
      <w:r w:rsidRPr="00CF0F1C">
        <w:rPr>
          <w:rFonts w:cs="Times New Roman"/>
          <w:lang w:val="en-GB"/>
        </w:rPr>
        <w:t>.</w:t>
      </w:r>
      <w:r w:rsidRPr="00CF0F1C">
        <w:rPr>
          <w:rStyle w:val="FootnoteReference"/>
          <w:lang w:val="en-GB"/>
        </w:rPr>
        <w:footnoteReference w:id="11"/>
      </w:r>
      <w:r w:rsidRPr="00CF0F1C">
        <w:rPr>
          <w:rStyle w:val="FootnoteReference"/>
          <w:lang w:val="en-GB"/>
        </w:rPr>
        <w:t xml:space="preserve"> </w:t>
      </w:r>
      <w:r w:rsidRPr="00CF0F1C">
        <w:rPr>
          <w:rStyle w:val="FootnoteReference"/>
          <w:lang w:val="en-GB"/>
        </w:rPr>
        <w:footnoteReference w:id="12"/>
      </w:r>
    </w:p>
    <w:p w14:paraId="05177EF9" w14:textId="28482CE8" w:rsidR="007575E8" w:rsidRPr="00CF0F1C" w:rsidRDefault="00C10702" w:rsidP="00C10702">
      <w:pPr>
        <w:pStyle w:val="Title2"/>
      </w:pPr>
      <w:bookmarkStart w:id="45" w:name="_Toc128521186"/>
      <w:bookmarkStart w:id="46" w:name="_Toc161663942"/>
      <w:r w:rsidRPr="00CF0F1C">
        <w:t>2</w:t>
      </w:r>
      <w:r w:rsidR="007575E8" w:rsidRPr="00CF0F1C">
        <w:t>.  Public criticism by intersex advocates, NGOs, Government agencies</w:t>
      </w:r>
      <w:bookmarkEnd w:id="45"/>
      <w:bookmarkEnd w:id="46"/>
    </w:p>
    <w:p w14:paraId="254A87A4" w14:textId="18F195EA" w:rsidR="00FE478B" w:rsidRPr="00CF0F1C" w:rsidRDefault="009343EF" w:rsidP="00437DDD">
      <w:pPr>
        <w:pStyle w:val="absatzschattenbericht"/>
        <w:rPr>
          <w:lang w:val="en-GB"/>
        </w:rPr>
      </w:pPr>
      <w:r w:rsidRPr="00CF0F1C">
        <w:rPr>
          <w:rFonts w:cs="Times New Roman"/>
          <w:lang w:val="en-GB"/>
        </w:rPr>
        <w:t>This lack of appropriate and effective action</w:t>
      </w:r>
      <w:r w:rsidR="00B15351" w:rsidRPr="00CF0F1C">
        <w:rPr>
          <w:rFonts w:cs="Times New Roman"/>
          <w:lang w:val="en-GB"/>
        </w:rPr>
        <w:t xml:space="preserve"> </w:t>
      </w:r>
      <w:r w:rsidRPr="00CF0F1C">
        <w:rPr>
          <w:rFonts w:cs="Times New Roman"/>
          <w:lang w:val="en-GB"/>
        </w:rPr>
        <w:t xml:space="preserve">by the </w:t>
      </w:r>
      <w:r w:rsidR="00C10702" w:rsidRPr="00CF0F1C">
        <w:rPr>
          <w:rFonts w:cs="Times New Roman"/>
          <w:lang w:val="en-GB"/>
        </w:rPr>
        <w:t xml:space="preserve">Finnish </w:t>
      </w:r>
      <w:r w:rsidRPr="00CF0F1C">
        <w:rPr>
          <w:rFonts w:cs="Times New Roman"/>
          <w:lang w:val="en-GB"/>
        </w:rPr>
        <w:t xml:space="preserve">government </w:t>
      </w:r>
      <w:r w:rsidR="00C10702" w:rsidRPr="00CF0F1C">
        <w:rPr>
          <w:rFonts w:cs="Times New Roman"/>
          <w:lang w:val="en-GB"/>
        </w:rPr>
        <w:t>stands in stark contrast to</w:t>
      </w:r>
      <w:r w:rsidR="00B15351" w:rsidRPr="00CF0F1C">
        <w:rPr>
          <w:rFonts w:cs="Times New Roman"/>
          <w:lang w:val="en-GB"/>
        </w:rPr>
        <w:t xml:space="preserve"> </w:t>
      </w:r>
      <w:r w:rsidR="00B15351" w:rsidRPr="00CF0F1C">
        <w:rPr>
          <w:rFonts w:cs="Times New Roman"/>
          <w:b/>
          <w:lang w:val="en-GB"/>
        </w:rPr>
        <w:t>longstanding criticism and appeals</w:t>
      </w:r>
      <w:r w:rsidR="00B15351" w:rsidRPr="00CF0F1C">
        <w:rPr>
          <w:rFonts w:cs="Times New Roman"/>
          <w:lang w:val="en-GB"/>
        </w:rPr>
        <w:t xml:space="preserve"> by intersex advocates and their organisations,</w:t>
      </w:r>
      <w:r w:rsidR="009F0F0E" w:rsidRPr="00CF0F1C">
        <w:rPr>
          <w:rFonts w:cs="Times New Roman"/>
          <w:lang w:val="en-GB"/>
        </w:rPr>
        <w:t xml:space="preserve"> namely </w:t>
      </w:r>
      <w:r w:rsidR="009F0F0E" w:rsidRPr="00CF0F1C">
        <w:rPr>
          <w:rFonts w:cs="Times New Roman"/>
          <w:b/>
          <w:bCs/>
          <w:lang w:val="en-GB"/>
        </w:rPr>
        <w:lastRenderedPageBreak/>
        <w:t>ISIO </w:t>
      </w:r>
      <w:proofErr w:type="spellStart"/>
      <w:r w:rsidR="009F0F0E" w:rsidRPr="00CF0F1C">
        <w:rPr>
          <w:rFonts w:cs="Times New Roman"/>
          <w:b/>
          <w:bCs/>
          <w:lang w:val="en-GB"/>
        </w:rPr>
        <w:t>ry</w:t>
      </w:r>
      <w:proofErr w:type="spellEnd"/>
      <w:r w:rsidR="009F0F0E" w:rsidRPr="00CF0F1C">
        <w:rPr>
          <w:rFonts w:cs="Times New Roman"/>
          <w:lang w:val="en-GB"/>
        </w:rPr>
        <w:t>,</w:t>
      </w:r>
      <w:r w:rsidR="00095B7C" w:rsidRPr="00CF0F1C">
        <w:rPr>
          <w:rStyle w:val="FootnoteReference"/>
          <w:rFonts w:cs="Times New Roman"/>
          <w:lang w:val="en-GB"/>
        </w:rPr>
        <w:footnoteReference w:id="13"/>
      </w:r>
      <w:r w:rsidR="008E1474">
        <w:rPr>
          <w:rFonts w:cs="Times New Roman"/>
          <w:lang w:val="en-GB"/>
        </w:rPr>
        <w:t xml:space="preserve"> </w:t>
      </w:r>
      <w:r w:rsidR="00B15351" w:rsidRPr="00CF0F1C">
        <w:rPr>
          <w:rFonts w:cs="Times New Roman"/>
          <w:lang w:val="en-GB"/>
        </w:rPr>
        <w:t xml:space="preserve">seconded by </w:t>
      </w:r>
      <w:r w:rsidR="009F0F0E" w:rsidRPr="00CF0F1C">
        <w:rPr>
          <w:rFonts w:cs="Times New Roman"/>
          <w:lang w:val="en-GB"/>
        </w:rPr>
        <w:t xml:space="preserve">Finnish NGOs </w:t>
      </w:r>
      <w:r w:rsidR="009F0F0E" w:rsidRPr="00CF0F1C">
        <w:rPr>
          <w:rFonts w:cs="Times New Roman"/>
          <w:b/>
          <w:bCs/>
          <w:lang w:val="en-GB"/>
        </w:rPr>
        <w:t>SETA</w:t>
      </w:r>
      <w:r w:rsidR="009F0F0E" w:rsidRPr="00CF0F1C">
        <w:rPr>
          <w:rStyle w:val="FootnoteReference"/>
          <w:lang w:val="en-GB"/>
        </w:rPr>
        <w:footnoteReference w:id="14"/>
      </w:r>
      <w:r w:rsidR="009F0F0E" w:rsidRPr="00CF0F1C">
        <w:rPr>
          <w:rFonts w:cs="Times New Roman"/>
          <w:b/>
          <w:bCs/>
          <w:lang w:val="en-GB"/>
        </w:rPr>
        <w:t xml:space="preserve"> </w:t>
      </w:r>
      <w:r w:rsidR="009F0F0E" w:rsidRPr="00CF0F1C">
        <w:rPr>
          <w:rFonts w:cs="Times New Roman"/>
          <w:lang w:val="en-GB"/>
        </w:rPr>
        <w:t xml:space="preserve">and </w:t>
      </w:r>
      <w:r w:rsidR="009F0F0E" w:rsidRPr="00CF0F1C">
        <w:rPr>
          <w:rFonts w:cs="Times New Roman"/>
          <w:b/>
          <w:bCs/>
          <w:lang w:val="en-GB"/>
        </w:rPr>
        <w:t>Amnesty</w:t>
      </w:r>
      <w:r w:rsidR="00C10702" w:rsidRPr="00CF0F1C">
        <w:rPr>
          <w:rFonts w:cs="Times New Roman"/>
          <w:b/>
          <w:bCs/>
          <w:lang w:val="en-GB"/>
        </w:rPr>
        <w:t xml:space="preserve"> Finland</w:t>
      </w:r>
      <w:r w:rsidR="009F0F0E" w:rsidRPr="00CF0F1C">
        <w:rPr>
          <w:rFonts w:cs="Times New Roman"/>
          <w:lang w:val="en-GB"/>
        </w:rPr>
        <w:t>,</w:t>
      </w:r>
      <w:r w:rsidR="009F0F0E" w:rsidRPr="00CF0F1C">
        <w:rPr>
          <w:rStyle w:val="FootnoteReference"/>
          <w:lang w:val="en-GB"/>
        </w:rPr>
        <w:footnoteReference w:id="15"/>
      </w:r>
      <w:r w:rsidR="009F0F0E" w:rsidRPr="00CF0F1C">
        <w:rPr>
          <w:rFonts w:cs="Times New Roman"/>
          <w:lang w:val="en-GB"/>
        </w:rPr>
        <w:t xml:space="preserve"> as well as by Finnish </w:t>
      </w:r>
      <w:r w:rsidR="00B15351" w:rsidRPr="00CF0F1C">
        <w:rPr>
          <w:rFonts w:cs="Times New Roman"/>
          <w:lang w:val="en-GB"/>
        </w:rPr>
        <w:t xml:space="preserve">public bodies including the </w:t>
      </w:r>
      <w:r w:rsidR="006E3776" w:rsidRPr="00CF0F1C">
        <w:rPr>
          <w:rFonts w:cs="Times New Roman"/>
          <w:lang w:val="en-GB"/>
        </w:rPr>
        <w:t>Finnish</w:t>
      </w:r>
      <w:r w:rsidR="00B15351" w:rsidRPr="00CF0F1C">
        <w:rPr>
          <w:rFonts w:cs="Times New Roman"/>
          <w:lang w:val="en-GB"/>
        </w:rPr>
        <w:t xml:space="preserve"> </w:t>
      </w:r>
      <w:r w:rsidR="006E3776" w:rsidRPr="00CF0F1C">
        <w:rPr>
          <w:rFonts w:cs="Times New Roman"/>
          <w:b/>
          <w:lang w:val="en-GB"/>
        </w:rPr>
        <w:t>National Advisory Board on Social Welfare and Health Care Ethics (ETENE)</w:t>
      </w:r>
      <w:r w:rsidR="00B15351" w:rsidRPr="00CF0F1C">
        <w:rPr>
          <w:rFonts w:cs="Times New Roman"/>
          <w:lang w:val="en-GB"/>
        </w:rPr>
        <w:t>,</w:t>
      </w:r>
      <w:r w:rsidR="00B15351" w:rsidRPr="00CF0F1C">
        <w:rPr>
          <w:rStyle w:val="FootnoteReference"/>
          <w:rFonts w:cs="Times New Roman"/>
          <w:lang w:val="en-GB"/>
        </w:rPr>
        <w:footnoteReference w:id="16"/>
      </w:r>
      <w:r w:rsidR="00B15351" w:rsidRPr="00CF0F1C">
        <w:rPr>
          <w:rFonts w:cs="Times New Roman"/>
          <w:lang w:val="en-GB"/>
        </w:rPr>
        <w:t xml:space="preserve"> </w:t>
      </w:r>
      <w:r w:rsidR="00B15351" w:rsidRPr="00CF0F1C">
        <w:rPr>
          <w:lang w:val="en-GB"/>
        </w:rPr>
        <w:t xml:space="preserve">the </w:t>
      </w:r>
      <w:r w:rsidR="00B15351" w:rsidRPr="00CF0F1C">
        <w:rPr>
          <w:b/>
          <w:bCs/>
          <w:lang w:val="en-GB"/>
        </w:rPr>
        <w:t>Ombudsman for Children</w:t>
      </w:r>
      <w:r w:rsidR="006B6E55" w:rsidRPr="00CF0F1C">
        <w:rPr>
          <w:lang w:val="en-GB"/>
        </w:rPr>
        <w:t>,</w:t>
      </w:r>
      <w:r w:rsidR="00B15351" w:rsidRPr="00CF0F1C">
        <w:rPr>
          <w:rStyle w:val="FootnoteReference"/>
          <w:lang w:val="en-GB"/>
        </w:rPr>
        <w:footnoteReference w:id="17"/>
      </w:r>
      <w:r w:rsidR="009F0F0E" w:rsidRPr="00CF0F1C">
        <w:rPr>
          <w:rStyle w:val="FootnoteReference"/>
          <w:lang w:val="en-GB"/>
        </w:rPr>
        <w:t xml:space="preserve"> </w:t>
      </w:r>
      <w:r w:rsidR="009F0F0E" w:rsidRPr="00CF0F1C">
        <w:rPr>
          <w:rStyle w:val="FootnoteReference"/>
          <w:lang w:val="en-GB"/>
        </w:rPr>
        <w:footnoteReference w:id="18"/>
      </w:r>
      <w:r w:rsidR="009F0F0E" w:rsidRPr="00CF0F1C">
        <w:rPr>
          <w:rStyle w:val="FootnoteReference"/>
          <w:lang w:val="en-GB"/>
        </w:rPr>
        <w:t xml:space="preserve"> </w:t>
      </w:r>
      <w:r w:rsidR="009F0F0E" w:rsidRPr="00CF0F1C">
        <w:rPr>
          <w:rStyle w:val="FootnoteReference"/>
          <w:lang w:val="en-GB"/>
        </w:rPr>
        <w:footnoteReference w:id="19"/>
      </w:r>
      <w:r w:rsidR="00B15351" w:rsidRPr="00CF0F1C">
        <w:rPr>
          <w:lang w:val="en-GB"/>
        </w:rPr>
        <w:t xml:space="preserve"> </w:t>
      </w:r>
      <w:r w:rsidR="009F0F0E" w:rsidRPr="00CF0F1C">
        <w:rPr>
          <w:lang w:val="en-GB"/>
        </w:rPr>
        <w:t xml:space="preserve">the </w:t>
      </w:r>
      <w:r w:rsidR="009F0F0E" w:rsidRPr="00CF0F1C">
        <w:rPr>
          <w:b/>
          <w:bCs/>
          <w:lang w:val="en-GB"/>
        </w:rPr>
        <w:t>Ombudsman for Equality</w:t>
      </w:r>
      <w:r w:rsidR="009F0F0E" w:rsidRPr="00CF0F1C">
        <w:rPr>
          <w:lang w:val="en-GB"/>
        </w:rPr>
        <w:t>,</w:t>
      </w:r>
      <w:r w:rsidR="009F0F0E" w:rsidRPr="00CF0F1C">
        <w:rPr>
          <w:rStyle w:val="FootnoteReference"/>
          <w:lang w:val="en-GB"/>
        </w:rPr>
        <w:footnoteReference w:id="20"/>
      </w:r>
      <w:r w:rsidR="009F0F0E" w:rsidRPr="00CF0F1C">
        <w:rPr>
          <w:lang w:val="en-GB"/>
        </w:rPr>
        <w:t xml:space="preserve"> </w:t>
      </w:r>
      <w:r w:rsidR="0033727E" w:rsidRPr="00CF0F1C">
        <w:rPr>
          <w:rStyle w:val="FootnoteReference"/>
          <w:lang w:val="en-GB"/>
        </w:rPr>
        <w:footnoteReference w:id="21"/>
      </w:r>
      <w:r w:rsidR="0033727E" w:rsidRPr="00CF0F1C">
        <w:rPr>
          <w:lang w:val="en-GB"/>
        </w:rPr>
        <w:t xml:space="preserve"> </w:t>
      </w:r>
      <w:r w:rsidR="006B6E55" w:rsidRPr="00CF0F1C">
        <w:rPr>
          <w:lang w:val="en-GB"/>
        </w:rPr>
        <w:t xml:space="preserve">the </w:t>
      </w:r>
      <w:r w:rsidR="006B6E55" w:rsidRPr="00CF0F1C">
        <w:rPr>
          <w:b/>
          <w:bCs/>
          <w:lang w:val="en-GB"/>
        </w:rPr>
        <w:t>Finnish Human Rights Centre (NHR</w:t>
      </w:r>
      <w:r w:rsidR="00876B68" w:rsidRPr="00CF0F1C">
        <w:rPr>
          <w:b/>
          <w:bCs/>
          <w:lang w:val="en-GB"/>
        </w:rPr>
        <w:t>I</w:t>
      </w:r>
      <w:r w:rsidR="006B6E55" w:rsidRPr="00CF0F1C">
        <w:rPr>
          <w:b/>
          <w:bCs/>
          <w:lang w:val="en-GB"/>
        </w:rPr>
        <w:t>)</w:t>
      </w:r>
      <w:r w:rsidR="006B6E55" w:rsidRPr="00CF0F1C">
        <w:rPr>
          <w:rStyle w:val="FootnoteReference"/>
          <w:lang w:val="en-GB"/>
        </w:rPr>
        <w:footnoteReference w:id="22"/>
      </w:r>
      <w:r w:rsidR="006B6E55" w:rsidRPr="00CF0F1C">
        <w:rPr>
          <w:lang w:val="en-GB"/>
        </w:rPr>
        <w:t xml:space="preserve"> </w:t>
      </w:r>
      <w:r w:rsidR="00F14098" w:rsidRPr="00CF0F1C">
        <w:rPr>
          <w:lang w:val="en-GB"/>
        </w:rPr>
        <w:t>and the</w:t>
      </w:r>
      <w:r w:rsidR="00B15351" w:rsidRPr="00CF0F1C">
        <w:rPr>
          <w:b/>
          <w:bCs/>
          <w:lang w:val="en-GB"/>
        </w:rPr>
        <w:t xml:space="preserve"> </w:t>
      </w:r>
      <w:r w:rsidR="00F14098" w:rsidRPr="00CF0F1C">
        <w:rPr>
          <w:b/>
          <w:bCs/>
          <w:lang w:val="en-GB"/>
        </w:rPr>
        <w:t>Ministry of Justice</w:t>
      </w:r>
      <w:r w:rsidRPr="00CF0F1C">
        <w:rPr>
          <w:lang w:val="en-GB"/>
        </w:rPr>
        <w:t>,</w:t>
      </w:r>
      <w:r w:rsidR="00B15351" w:rsidRPr="00CF0F1C">
        <w:rPr>
          <w:rStyle w:val="FootnoteReference"/>
          <w:lang w:val="en-GB"/>
        </w:rPr>
        <w:footnoteReference w:id="23"/>
      </w:r>
      <w:r w:rsidR="00B15351" w:rsidRPr="00CF0F1C">
        <w:rPr>
          <w:lang w:val="en-GB"/>
        </w:rPr>
        <w:t xml:space="preserve"> </w:t>
      </w:r>
      <w:r w:rsidRPr="00CF0F1C">
        <w:rPr>
          <w:lang w:val="en-GB"/>
        </w:rPr>
        <w:t xml:space="preserve">as well as by some </w:t>
      </w:r>
      <w:r w:rsidR="007A34E0" w:rsidRPr="00CF0F1C">
        <w:rPr>
          <w:b/>
          <w:bCs/>
          <w:lang w:val="en-GB"/>
        </w:rPr>
        <w:t>health care</w:t>
      </w:r>
      <w:r w:rsidRPr="00CF0F1C">
        <w:rPr>
          <w:b/>
          <w:bCs/>
          <w:lang w:val="en-GB"/>
        </w:rPr>
        <w:t xml:space="preserve"> professionals</w:t>
      </w:r>
      <w:r w:rsidRPr="00CF0F1C">
        <w:rPr>
          <w:lang w:val="en-GB"/>
        </w:rPr>
        <w:t>.</w:t>
      </w:r>
      <w:r w:rsidRPr="00CF0F1C">
        <w:rPr>
          <w:rStyle w:val="FootnoteReference"/>
          <w:lang w:val="en-GB"/>
        </w:rPr>
        <w:footnoteReference w:id="24"/>
      </w:r>
      <w:r w:rsidRPr="00CF0F1C">
        <w:rPr>
          <w:rStyle w:val="FootnoteReference"/>
          <w:lang w:val="en-GB"/>
        </w:rPr>
        <w:t xml:space="preserve"> </w:t>
      </w:r>
      <w:r w:rsidRPr="00CF0F1C">
        <w:rPr>
          <w:rStyle w:val="FootnoteReference"/>
          <w:lang w:val="en-GB"/>
        </w:rPr>
        <w:footnoteReference w:id="25"/>
      </w:r>
      <w:r w:rsidR="000E2758" w:rsidRPr="00CF0F1C">
        <w:rPr>
          <w:lang w:val="en-GB"/>
        </w:rPr>
        <w:t xml:space="preserve"> </w:t>
      </w:r>
    </w:p>
    <w:p w14:paraId="1CE6001D" w14:textId="2A32F59E" w:rsidR="00B15351" w:rsidRPr="00CF0F1C" w:rsidRDefault="000E2758" w:rsidP="00437DDD">
      <w:pPr>
        <w:pStyle w:val="absatzschattenbericht"/>
        <w:rPr>
          <w:lang w:val="en-GB"/>
        </w:rPr>
      </w:pPr>
      <w:r w:rsidRPr="00CF0F1C">
        <w:rPr>
          <w:lang w:val="en-GB"/>
        </w:rPr>
        <w:t xml:space="preserve">What’s more, also a </w:t>
      </w:r>
      <w:r w:rsidRPr="00CF0F1C">
        <w:rPr>
          <w:b/>
          <w:bCs/>
          <w:lang w:val="en-GB"/>
        </w:rPr>
        <w:t>2019 study commissioned by the Finnish governmen</w:t>
      </w:r>
      <w:r w:rsidR="00FE478B" w:rsidRPr="00CF0F1C">
        <w:rPr>
          <w:b/>
          <w:bCs/>
          <w:lang w:val="en-GB"/>
        </w:rPr>
        <w:t>t</w:t>
      </w:r>
      <w:r w:rsidR="00FE478B" w:rsidRPr="00CF0F1C">
        <w:rPr>
          <w:rStyle w:val="FootnoteReference"/>
          <w:lang w:val="en-GB"/>
        </w:rPr>
        <w:footnoteReference w:id="26"/>
      </w:r>
      <w:r w:rsidR="00FE478B" w:rsidRPr="00CF0F1C">
        <w:rPr>
          <w:lang w:val="en-GB"/>
        </w:rPr>
        <w:t xml:space="preserve"> </w:t>
      </w:r>
      <w:r w:rsidRPr="00CF0F1C">
        <w:rPr>
          <w:lang w:val="en-GB"/>
        </w:rPr>
        <w:t xml:space="preserve">corroborated the </w:t>
      </w:r>
      <w:r w:rsidRPr="00CF0F1C">
        <w:rPr>
          <w:b/>
          <w:bCs/>
          <w:lang w:val="en-GB"/>
        </w:rPr>
        <w:t xml:space="preserve">severe </w:t>
      </w:r>
      <w:r w:rsidR="002A227C" w:rsidRPr="00CF0F1C">
        <w:rPr>
          <w:b/>
          <w:bCs/>
          <w:lang w:val="en-GB"/>
        </w:rPr>
        <w:t>mental</w:t>
      </w:r>
      <w:r w:rsidRPr="00CF0F1C">
        <w:rPr>
          <w:b/>
          <w:bCs/>
          <w:lang w:val="en-GB"/>
        </w:rPr>
        <w:t xml:space="preserve"> and </w:t>
      </w:r>
      <w:r w:rsidR="002A227C" w:rsidRPr="00CF0F1C">
        <w:rPr>
          <w:b/>
          <w:bCs/>
          <w:lang w:val="en-GB"/>
        </w:rPr>
        <w:t>physical</w:t>
      </w:r>
      <w:r w:rsidRPr="00CF0F1C">
        <w:rPr>
          <w:b/>
          <w:bCs/>
          <w:lang w:val="en-GB"/>
        </w:rPr>
        <w:t xml:space="preserve"> pain and suffering</w:t>
      </w:r>
      <w:r w:rsidR="00FE478B" w:rsidRPr="00CF0F1C">
        <w:rPr>
          <w:b/>
          <w:bCs/>
          <w:lang w:val="en-GB"/>
        </w:rPr>
        <w:t xml:space="preserve"> caused by IGM practices</w:t>
      </w:r>
      <w:r w:rsidR="00FE478B" w:rsidRPr="00CF0F1C">
        <w:rPr>
          <w:lang w:val="en-GB"/>
        </w:rPr>
        <w:t xml:space="preserve">, namely </w:t>
      </w:r>
      <w:r w:rsidR="00FE478B" w:rsidRPr="00CF0F1C">
        <w:rPr>
          <w:i/>
          <w:iCs/>
          <w:lang w:val="en-GB"/>
        </w:rPr>
        <w:t xml:space="preserve">“various types of physical pain” </w:t>
      </w:r>
      <w:r w:rsidR="00FE478B" w:rsidRPr="00CF0F1C">
        <w:rPr>
          <w:lang w:val="en-GB"/>
        </w:rPr>
        <w:t>and</w:t>
      </w:r>
      <w:r w:rsidR="00FE478B" w:rsidRPr="00CF0F1C">
        <w:rPr>
          <w:i/>
          <w:iCs/>
          <w:lang w:val="en-GB"/>
        </w:rPr>
        <w:t xml:space="preserve"> “self-destructive behaviour, depression, anxiety, panic disorders, dissociative disorders”</w:t>
      </w:r>
      <w:r w:rsidR="00FE478B" w:rsidRPr="00CF0F1C">
        <w:rPr>
          <w:lang w:val="en-GB"/>
        </w:rPr>
        <w:t xml:space="preserve">, with survivors </w:t>
      </w:r>
      <w:r w:rsidR="00FE478B" w:rsidRPr="00CF0F1C">
        <w:rPr>
          <w:b/>
          <w:bCs/>
          <w:i/>
          <w:iCs/>
          <w:lang w:val="en-GB"/>
        </w:rPr>
        <w:t>“</w:t>
      </w:r>
      <w:proofErr w:type="spellStart"/>
      <w:r w:rsidR="00FE478B" w:rsidRPr="00CF0F1C">
        <w:rPr>
          <w:b/>
          <w:bCs/>
          <w:i/>
          <w:iCs/>
          <w:lang w:val="en-GB"/>
        </w:rPr>
        <w:t>describ</w:t>
      </w:r>
      <w:proofErr w:type="spellEnd"/>
      <w:r w:rsidR="00FE478B" w:rsidRPr="00CF0F1C">
        <w:rPr>
          <w:b/>
          <w:bCs/>
          <w:i/>
          <w:iCs/>
          <w:lang w:val="en-GB"/>
        </w:rPr>
        <w:t>[</w:t>
      </w:r>
      <w:proofErr w:type="spellStart"/>
      <w:r w:rsidR="00FE478B" w:rsidRPr="00CF0F1C">
        <w:rPr>
          <w:b/>
          <w:bCs/>
          <w:i/>
          <w:iCs/>
          <w:lang w:val="en-GB"/>
        </w:rPr>
        <w:t>ing</w:t>
      </w:r>
      <w:proofErr w:type="spellEnd"/>
      <w:r w:rsidR="00FE478B" w:rsidRPr="00CF0F1C">
        <w:rPr>
          <w:b/>
          <w:bCs/>
          <w:i/>
          <w:iCs/>
          <w:lang w:val="en-GB"/>
        </w:rPr>
        <w:t xml:space="preserve">] their experiences in terms of sexual </w:t>
      </w:r>
      <w:r w:rsidR="00FE478B" w:rsidRPr="00CF0F1C">
        <w:rPr>
          <w:b/>
          <w:bCs/>
          <w:i/>
          <w:iCs/>
          <w:lang w:val="en-GB"/>
        </w:rPr>
        <w:lastRenderedPageBreak/>
        <w:t>violence and sexual abuse.”</w:t>
      </w:r>
      <w:r w:rsidR="007C67AB" w:rsidRPr="00CF0F1C">
        <w:rPr>
          <w:b/>
          <w:bCs/>
          <w:i/>
          <w:iCs/>
          <w:lang w:val="en-GB"/>
        </w:rPr>
        <w:t xml:space="preserve"> </w:t>
      </w:r>
      <w:r w:rsidR="007C67AB" w:rsidRPr="00CF0F1C">
        <w:rPr>
          <w:lang w:val="en-GB"/>
        </w:rPr>
        <w:t xml:space="preserve">Further, the study issued the following </w:t>
      </w:r>
      <w:r w:rsidR="007C67AB" w:rsidRPr="00CF0F1C">
        <w:rPr>
          <w:b/>
          <w:bCs/>
          <w:lang w:val="en-GB"/>
        </w:rPr>
        <w:t>recommendations</w:t>
      </w:r>
      <w:r w:rsidR="007C67AB" w:rsidRPr="00CF0F1C">
        <w:rPr>
          <w:lang w:val="en-GB"/>
        </w:rPr>
        <w:t>:</w:t>
      </w:r>
    </w:p>
    <w:p w14:paraId="581DE04D" w14:textId="29791C10" w:rsidR="00FC0D86" w:rsidRPr="00CF0F1C" w:rsidRDefault="00FC0D86" w:rsidP="00437DDD">
      <w:pPr>
        <w:pStyle w:val="absatzschattenbericht"/>
        <w:ind w:left="284"/>
        <w:rPr>
          <w:i/>
          <w:iCs/>
          <w:lang w:val="en-GB"/>
        </w:rPr>
      </w:pPr>
      <w:r w:rsidRPr="00CF0F1C">
        <w:rPr>
          <w:i/>
          <w:iCs/>
          <w:lang w:val="en-GB"/>
        </w:rPr>
        <w:t xml:space="preserve">“1. Intersex people’s rights to bodily integrity and self-determination should be ensured. </w:t>
      </w:r>
      <w:r w:rsidRPr="00CF0F1C">
        <w:rPr>
          <w:b/>
          <w:bCs/>
          <w:i/>
          <w:iCs/>
          <w:lang w:val="en-GB"/>
        </w:rPr>
        <w:t xml:space="preserve">Any non-vital surgeries or other interventions performed to ‘normalise’ intersex children’s sex characteristics without the child’s informed consent should be prohibited. </w:t>
      </w:r>
      <w:proofErr w:type="gramStart"/>
      <w:r w:rsidRPr="00CF0F1C">
        <w:rPr>
          <w:i/>
          <w:iCs/>
          <w:lang w:val="en-GB"/>
        </w:rPr>
        <w:t>With the exception of</w:t>
      </w:r>
      <w:proofErr w:type="gramEnd"/>
      <w:r w:rsidRPr="00CF0F1C">
        <w:rPr>
          <w:i/>
          <w:iCs/>
          <w:lang w:val="en-GB"/>
        </w:rPr>
        <w:t xml:space="preserve"> situations where a child’s health is at immediate risk, no interventions aiming to modify sex characteristics should be performed until the child is capable of making an independent decision on the matter.</w:t>
      </w:r>
    </w:p>
    <w:p w14:paraId="26366775" w14:textId="3E21FDBF" w:rsidR="00FC0D86" w:rsidRPr="00CF0F1C" w:rsidRDefault="00FC0D86" w:rsidP="00437DDD">
      <w:pPr>
        <w:pStyle w:val="absatzschattenbericht"/>
        <w:ind w:left="284"/>
        <w:rPr>
          <w:i/>
          <w:iCs/>
          <w:lang w:val="en-GB"/>
        </w:rPr>
      </w:pPr>
      <w:r w:rsidRPr="00CF0F1C">
        <w:rPr>
          <w:i/>
          <w:iCs/>
          <w:lang w:val="en-GB"/>
        </w:rPr>
        <w:t>[...]</w:t>
      </w:r>
    </w:p>
    <w:p w14:paraId="7C9BD064" w14:textId="168E3A3F" w:rsidR="00FE478B" w:rsidRPr="00CF0F1C" w:rsidRDefault="00FC0D86" w:rsidP="00437DDD">
      <w:pPr>
        <w:pStyle w:val="absatzschattenbericht"/>
        <w:ind w:left="284"/>
        <w:rPr>
          <w:i/>
          <w:iCs/>
          <w:lang w:val="en-GB"/>
        </w:rPr>
      </w:pPr>
      <w:r w:rsidRPr="00CF0F1C">
        <w:rPr>
          <w:i/>
          <w:iCs/>
          <w:lang w:val="en-GB"/>
        </w:rPr>
        <w:t xml:space="preserve">3. </w:t>
      </w:r>
      <w:r w:rsidRPr="00CF0F1C">
        <w:rPr>
          <w:b/>
          <w:bCs/>
          <w:i/>
          <w:iCs/>
          <w:lang w:val="en-GB"/>
        </w:rPr>
        <w:t>Intersex people and their parents should be guaranteed access to psychosocial support and peer support.</w:t>
      </w:r>
      <w:r w:rsidRPr="00CF0F1C">
        <w:rPr>
          <w:i/>
          <w:iCs/>
          <w:lang w:val="en-GB"/>
        </w:rPr>
        <w:t xml:space="preserve"> Adequate resources should be secured for organisations providing psychosocial and peer support.”</w:t>
      </w:r>
    </w:p>
    <w:p w14:paraId="5F0148EA" w14:textId="019E82D5" w:rsidR="004C4581" w:rsidRPr="00CF0F1C" w:rsidRDefault="00C10702" w:rsidP="004C4581">
      <w:pPr>
        <w:pStyle w:val="Title2"/>
      </w:pPr>
      <w:bookmarkStart w:id="47" w:name="_Toc516594088"/>
      <w:bookmarkStart w:id="48" w:name="_Toc111402307"/>
      <w:bookmarkStart w:id="49" w:name="_Toc128521179"/>
      <w:bookmarkStart w:id="50" w:name="_Toc161663943"/>
      <w:bookmarkStart w:id="51" w:name="_Toc34004099"/>
      <w:r w:rsidRPr="00CF0F1C">
        <w:t>3</w:t>
      </w:r>
      <w:r w:rsidR="004C4581" w:rsidRPr="00CF0F1C">
        <w:t xml:space="preserve">.  </w:t>
      </w:r>
      <w:bookmarkEnd w:id="47"/>
      <w:r w:rsidR="004C4581" w:rsidRPr="00CF0F1C">
        <w:t xml:space="preserve">Finland’s commitment to “protect intersex children from violence and harmful practices”, “investigate abuses”, “ensure accountability” and “access to </w:t>
      </w:r>
      <w:proofErr w:type="gramStart"/>
      <w:r w:rsidR="004C4581" w:rsidRPr="00CF0F1C">
        <w:t>remedy”</w:t>
      </w:r>
      <w:bookmarkEnd w:id="48"/>
      <w:bookmarkEnd w:id="49"/>
      <w:bookmarkEnd w:id="50"/>
      <w:proofErr w:type="gramEnd"/>
    </w:p>
    <w:p w14:paraId="387C3E5A" w14:textId="4ABC0B20" w:rsidR="008E6A3E" w:rsidRPr="00CF0F1C" w:rsidRDefault="008E6A3E" w:rsidP="00DE0ADF">
      <w:pPr>
        <w:pStyle w:val="Title3"/>
      </w:pPr>
      <w:bookmarkStart w:id="52" w:name="_Toc161663944"/>
      <w:bookmarkStart w:id="53" w:name="_Toc111402308"/>
      <w:bookmarkStart w:id="54" w:name="_Toc128521180"/>
      <w:r w:rsidRPr="00CF0F1C">
        <w:t>a) National Action Plan on Fundamental and Human Rights 2017-2019</w:t>
      </w:r>
      <w:bookmarkEnd w:id="52"/>
    </w:p>
    <w:p w14:paraId="1170CF0D" w14:textId="46CDE5ED" w:rsidR="008E6A3E" w:rsidRPr="00CF0F1C" w:rsidRDefault="008E6A3E" w:rsidP="008E6A3E">
      <w:pPr>
        <w:pStyle w:val="absatzschattenbericht"/>
        <w:rPr>
          <w:rFonts w:cs="Times New Roman"/>
          <w:lang w:val="en-GB"/>
        </w:rPr>
      </w:pPr>
      <w:r w:rsidRPr="00CF0F1C">
        <w:rPr>
          <w:rFonts w:cs="Times New Roman"/>
          <w:lang w:val="en-GB"/>
        </w:rPr>
        <w:t xml:space="preserve">The </w:t>
      </w:r>
      <w:r w:rsidRPr="00CF0F1C">
        <w:rPr>
          <w:rFonts w:cs="Times New Roman"/>
          <w:b/>
          <w:bCs/>
          <w:lang w:val="en-GB"/>
        </w:rPr>
        <w:t>2017 National Action Plan on Fundamental and Human Rights 2017-2019</w:t>
      </w:r>
      <w:r w:rsidRPr="00CF0F1C">
        <w:rPr>
          <w:rStyle w:val="FootnoteReference"/>
          <w:rFonts w:cs="Times New Roman"/>
          <w:lang w:val="en-GB"/>
        </w:rPr>
        <w:footnoteReference w:id="27"/>
      </w:r>
      <w:r w:rsidRPr="00CF0F1C">
        <w:rPr>
          <w:rFonts w:cs="Times New Roman"/>
          <w:b/>
          <w:bCs/>
          <w:lang w:val="en-GB"/>
        </w:rPr>
        <w:t xml:space="preserve"> </w:t>
      </w:r>
      <w:r w:rsidRPr="00CF0F1C">
        <w:rPr>
          <w:rFonts w:cs="Times New Roman"/>
          <w:lang w:val="en-GB"/>
        </w:rPr>
        <w:t xml:space="preserve">(see also State Party Report, para 22) of the </w:t>
      </w:r>
      <w:r w:rsidRPr="00CF0F1C">
        <w:rPr>
          <w:rFonts w:cs="Times New Roman"/>
          <w:b/>
          <w:bCs/>
          <w:lang w:val="en-GB"/>
        </w:rPr>
        <w:t>Ministry of Justice</w:t>
      </w:r>
      <w:r w:rsidRPr="00CF0F1C">
        <w:rPr>
          <w:rFonts w:cs="Times New Roman"/>
          <w:lang w:val="en-GB"/>
        </w:rPr>
        <w:t xml:space="preserve"> stipulated the undertaking of a </w:t>
      </w:r>
      <w:r w:rsidRPr="00CF0F1C">
        <w:rPr>
          <w:rFonts w:cs="Times New Roman"/>
          <w:b/>
          <w:bCs/>
          <w:i/>
          <w:iCs/>
          <w:lang w:val="en-GB"/>
        </w:rPr>
        <w:t>“Study on the rights and experiences of intersex children”</w:t>
      </w:r>
      <w:r w:rsidRPr="00CF0F1C">
        <w:rPr>
          <w:rFonts w:cs="Times New Roman"/>
          <w:lang w:val="en-GB"/>
        </w:rPr>
        <w:t xml:space="preserve">, inter alia </w:t>
      </w:r>
      <w:r w:rsidRPr="00CF0F1C">
        <w:rPr>
          <w:rFonts w:cs="Times New Roman"/>
          <w:b/>
          <w:bCs/>
          <w:lang w:val="en-GB"/>
        </w:rPr>
        <w:t>explicitly referring to CRC</w:t>
      </w:r>
      <w:r w:rsidRPr="00CF0F1C">
        <w:rPr>
          <w:rFonts w:cs="Times New Roman"/>
          <w:lang w:val="en-GB"/>
        </w:rPr>
        <w:t xml:space="preserve">. Published in 2019 by the Ministry of Justice, this study corroborated the </w:t>
      </w:r>
      <w:r w:rsidRPr="00CF0F1C">
        <w:rPr>
          <w:rFonts w:cs="Times New Roman"/>
          <w:b/>
          <w:bCs/>
          <w:lang w:val="en-GB"/>
        </w:rPr>
        <w:t>severe mental and physical pain and suffering</w:t>
      </w:r>
      <w:r w:rsidRPr="00CF0F1C">
        <w:rPr>
          <w:rFonts w:cs="Times New Roman"/>
          <w:lang w:val="en-GB"/>
        </w:rPr>
        <w:t xml:space="preserve"> caused by IGM practices, and </w:t>
      </w:r>
      <w:r w:rsidRPr="00CF0F1C">
        <w:rPr>
          <w:rFonts w:cs="Times New Roman"/>
          <w:b/>
          <w:bCs/>
          <w:lang w:val="en-GB"/>
        </w:rPr>
        <w:t>recommended a prohibition</w:t>
      </w:r>
      <w:r w:rsidR="00A05474" w:rsidRPr="00CF0F1C">
        <w:rPr>
          <w:rFonts w:cs="Times New Roman"/>
          <w:lang w:val="en-GB"/>
        </w:rPr>
        <w:t xml:space="preserve"> (see above</w:t>
      </w:r>
      <w:r w:rsidR="00383C48">
        <w:rPr>
          <w:rFonts w:cs="Times New Roman"/>
          <w:lang w:val="en-GB"/>
        </w:rPr>
        <w:t>, p. 13-14</w:t>
      </w:r>
      <w:r w:rsidRPr="00CF0F1C">
        <w:rPr>
          <w:rFonts w:cs="Times New Roman"/>
          <w:lang w:val="en-GB"/>
        </w:rPr>
        <w:t>).</w:t>
      </w:r>
    </w:p>
    <w:p w14:paraId="03FC7F73" w14:textId="479DC5D2" w:rsidR="008E6A3E" w:rsidRPr="00CF0F1C" w:rsidRDefault="008E6A3E" w:rsidP="00DE0ADF">
      <w:pPr>
        <w:pStyle w:val="Title3"/>
      </w:pPr>
      <w:bookmarkStart w:id="55" w:name="_Toc161663945"/>
      <w:r w:rsidRPr="00CF0F1C">
        <w:t>b) Government Programme 2019</w:t>
      </w:r>
      <w:bookmarkEnd w:id="55"/>
    </w:p>
    <w:p w14:paraId="08B216E7" w14:textId="65C14345" w:rsidR="008E6A3E" w:rsidRPr="00CF0F1C" w:rsidRDefault="008E6A3E" w:rsidP="008E6A3E">
      <w:pPr>
        <w:pStyle w:val="absatzschattenbericht"/>
        <w:rPr>
          <w:rFonts w:cs="Times New Roman"/>
          <w:lang w:val="en-GB"/>
        </w:rPr>
      </w:pPr>
      <w:r w:rsidRPr="00CF0F1C">
        <w:rPr>
          <w:rFonts w:cs="Times New Roman"/>
          <w:lang w:val="en-GB"/>
        </w:rPr>
        <w:t xml:space="preserve">The </w:t>
      </w:r>
      <w:r w:rsidRPr="00CF0F1C">
        <w:rPr>
          <w:rFonts w:cs="Times New Roman"/>
          <w:b/>
          <w:bCs/>
          <w:lang w:val="en-GB"/>
        </w:rPr>
        <w:t>2019 Government Programme</w:t>
      </w:r>
      <w:r w:rsidRPr="00CF0F1C">
        <w:rPr>
          <w:rStyle w:val="FootnoteReference"/>
          <w:rFonts w:cs="Times New Roman"/>
          <w:lang w:val="en-GB"/>
        </w:rPr>
        <w:footnoteReference w:id="28"/>
      </w:r>
      <w:r w:rsidRPr="00CF0F1C">
        <w:rPr>
          <w:rFonts w:cs="Times New Roman"/>
          <w:lang w:val="en-GB"/>
        </w:rPr>
        <w:t xml:space="preserve"> of the </w:t>
      </w:r>
      <w:r w:rsidR="008E1474">
        <w:rPr>
          <w:rFonts w:cs="Times New Roman"/>
          <w:lang w:val="en-GB"/>
        </w:rPr>
        <w:t>former</w:t>
      </w:r>
      <w:r w:rsidRPr="00CF0F1C">
        <w:rPr>
          <w:rFonts w:cs="Times New Roman"/>
          <w:lang w:val="en-GB"/>
        </w:rPr>
        <w:t xml:space="preserve"> </w:t>
      </w:r>
      <w:proofErr w:type="spellStart"/>
      <w:r w:rsidRPr="00CF0F1C">
        <w:rPr>
          <w:rFonts w:cs="Times New Roman"/>
          <w:lang w:val="en-GB"/>
        </w:rPr>
        <w:t>Sanna</w:t>
      </w:r>
      <w:proofErr w:type="spellEnd"/>
      <w:r w:rsidRPr="00CF0F1C">
        <w:rPr>
          <w:rFonts w:cs="Times New Roman"/>
          <w:lang w:val="en-GB"/>
        </w:rPr>
        <w:t xml:space="preserve"> Marin government </w:t>
      </w:r>
      <w:r w:rsidRPr="00CF0F1C">
        <w:rPr>
          <w:rFonts w:cs="Times New Roman"/>
          <w:b/>
          <w:bCs/>
          <w:lang w:val="en-GB"/>
        </w:rPr>
        <w:t xml:space="preserve">pledged to protect intersex children </w:t>
      </w:r>
      <w:r w:rsidRPr="00CF0F1C">
        <w:rPr>
          <w:rFonts w:cs="Times New Roman"/>
          <w:lang w:val="en-GB"/>
        </w:rPr>
        <w:t xml:space="preserve">and to </w:t>
      </w:r>
      <w:r w:rsidRPr="00CF0F1C">
        <w:rPr>
          <w:rFonts w:cs="Times New Roman"/>
          <w:b/>
          <w:bCs/>
          <w:lang w:val="en-GB"/>
        </w:rPr>
        <w:t>end IGM practices</w:t>
      </w:r>
      <w:r w:rsidRPr="00CF0F1C">
        <w:rPr>
          <w:rFonts w:cs="Times New Roman"/>
          <w:lang w:val="en-GB"/>
        </w:rPr>
        <w:t xml:space="preserve">, </w:t>
      </w:r>
      <w:r w:rsidRPr="00CF0F1C">
        <w:rPr>
          <w:rFonts w:cs="Times New Roman"/>
          <w:i/>
          <w:iCs/>
          <w:lang w:val="en-GB"/>
        </w:rPr>
        <w:t>“Intersex children’s right to self-determination will be strengthened, and cosmetic, non-medical surgeries on young children’s genitals will no longer be performed.”</w:t>
      </w:r>
    </w:p>
    <w:p w14:paraId="4F5720A2" w14:textId="41687AFA" w:rsidR="004C4581" w:rsidRPr="00CF0F1C" w:rsidRDefault="008E6A3E" w:rsidP="00DE0ADF">
      <w:pPr>
        <w:pStyle w:val="Title3"/>
      </w:pPr>
      <w:bookmarkStart w:id="56" w:name="_Toc161663946"/>
      <w:r w:rsidRPr="00CF0F1C">
        <w:t>c</w:t>
      </w:r>
      <w:r w:rsidR="004C4581" w:rsidRPr="00CF0F1C">
        <w:t>) UNHRC45 Statement, 01.10.2020</w:t>
      </w:r>
      <w:bookmarkEnd w:id="53"/>
      <w:bookmarkEnd w:id="54"/>
      <w:bookmarkEnd w:id="56"/>
    </w:p>
    <w:p w14:paraId="519763F9" w14:textId="2EF560DE" w:rsidR="00F745B1" w:rsidRPr="00CF0F1C" w:rsidRDefault="004C4581" w:rsidP="00DC6AAC">
      <w:pPr>
        <w:pStyle w:val="absatzschattenbericht"/>
        <w:rPr>
          <w:bCs/>
          <w:lang w:val="en-GB"/>
        </w:rPr>
      </w:pPr>
      <w:r w:rsidRPr="00CF0F1C">
        <w:rPr>
          <w:bCs/>
          <w:lang w:val="en-GB"/>
        </w:rPr>
        <w:t xml:space="preserve">On occasion of the </w:t>
      </w:r>
      <w:r w:rsidRPr="00CF0F1C">
        <w:rPr>
          <w:b/>
          <w:lang w:val="en-GB"/>
        </w:rPr>
        <w:t>45</w:t>
      </w:r>
      <w:r w:rsidRPr="00CF0F1C">
        <w:rPr>
          <w:b/>
          <w:vertAlign w:val="superscript"/>
          <w:lang w:val="en-GB"/>
        </w:rPr>
        <w:t>th</w:t>
      </w:r>
      <w:r w:rsidRPr="00CF0F1C">
        <w:rPr>
          <w:b/>
          <w:lang w:val="en-GB"/>
        </w:rPr>
        <w:t xml:space="preserve"> Session of the Human Rights Council</w:t>
      </w:r>
      <w:r w:rsidRPr="00CF0F1C">
        <w:rPr>
          <w:bCs/>
          <w:lang w:val="en-GB"/>
        </w:rPr>
        <w:t xml:space="preserve"> the </w:t>
      </w:r>
      <w:r w:rsidRPr="00CF0F1C">
        <w:rPr>
          <w:b/>
          <w:lang w:val="en-GB"/>
        </w:rPr>
        <w:t>State party</w:t>
      </w:r>
      <w:r w:rsidRPr="00CF0F1C">
        <w:rPr>
          <w:bCs/>
          <w:lang w:val="en-GB"/>
        </w:rPr>
        <w:t xml:space="preserve"> supported a public statement calling to </w:t>
      </w:r>
      <w:r w:rsidRPr="00CF0F1C">
        <w:rPr>
          <w:b/>
          <w:i/>
          <w:iCs/>
          <w:lang w:val="en-GB"/>
        </w:rPr>
        <w:t>“protect […] intersex adults and children</w:t>
      </w:r>
      <w:r w:rsidRPr="00CF0F1C">
        <w:rPr>
          <w:bCs/>
          <w:i/>
          <w:iCs/>
          <w:lang w:val="en-GB"/>
        </w:rPr>
        <w:t xml:space="preserve"> […] so that they live free </w:t>
      </w:r>
      <w:r w:rsidRPr="00CF0F1C">
        <w:rPr>
          <w:b/>
          <w:i/>
          <w:iCs/>
          <w:lang w:val="en-GB"/>
        </w:rPr>
        <w:t>from violence and harmful practices</w:t>
      </w:r>
      <w:r w:rsidRPr="00CF0F1C">
        <w:rPr>
          <w:bCs/>
          <w:i/>
          <w:iCs/>
          <w:lang w:val="en-GB"/>
        </w:rPr>
        <w:t xml:space="preserve">. Governments should </w:t>
      </w:r>
      <w:r w:rsidRPr="00CF0F1C">
        <w:rPr>
          <w:b/>
          <w:i/>
          <w:iCs/>
          <w:lang w:val="en-GB"/>
        </w:rPr>
        <w:t>investigate human rights violations and abuses</w:t>
      </w:r>
      <w:r w:rsidRPr="00CF0F1C">
        <w:rPr>
          <w:bCs/>
          <w:i/>
          <w:iCs/>
          <w:lang w:val="en-GB"/>
        </w:rPr>
        <w:t xml:space="preserve"> against intersex people, </w:t>
      </w:r>
      <w:r w:rsidRPr="00CF0F1C">
        <w:rPr>
          <w:b/>
          <w:i/>
          <w:iCs/>
          <w:lang w:val="en-GB"/>
        </w:rPr>
        <w:t>ensure accountability</w:t>
      </w:r>
      <w:r w:rsidRPr="00CF0F1C">
        <w:rPr>
          <w:bCs/>
          <w:i/>
          <w:iCs/>
          <w:lang w:val="en-GB"/>
        </w:rPr>
        <w:t xml:space="preserve">, […] and </w:t>
      </w:r>
      <w:r w:rsidRPr="00CF0F1C">
        <w:rPr>
          <w:b/>
          <w:i/>
          <w:iCs/>
          <w:lang w:val="en-GB"/>
        </w:rPr>
        <w:t>provide victims with access to remedy.”</w:t>
      </w:r>
      <w:r w:rsidRPr="00CF0F1C">
        <w:rPr>
          <w:bCs/>
          <w:lang w:val="en-GB"/>
        </w:rPr>
        <w:t xml:space="preserve"> </w:t>
      </w:r>
      <w:r w:rsidRPr="00CF0F1C">
        <w:rPr>
          <w:rStyle w:val="Funotenanker"/>
          <w:lang w:val="en-GB"/>
        </w:rPr>
        <w:footnoteReference w:id="29"/>
      </w:r>
      <w:r w:rsidR="00F745B1" w:rsidRPr="00CF0F1C">
        <w:rPr>
          <w:bCs/>
          <w:lang w:val="en-GB"/>
        </w:rPr>
        <w:br w:type="page"/>
      </w:r>
    </w:p>
    <w:p w14:paraId="01D1761A" w14:textId="77777777" w:rsidR="008E6A3E" w:rsidRPr="00CF0F1C" w:rsidRDefault="008E6A3E" w:rsidP="00DE0ADF">
      <w:pPr>
        <w:pStyle w:val="Title3"/>
      </w:pPr>
      <w:bookmarkStart w:id="57" w:name="_Toc161663947"/>
      <w:bookmarkStart w:id="58" w:name="_Toc111402309"/>
      <w:bookmarkStart w:id="59" w:name="_Toc128521181"/>
      <w:r w:rsidRPr="00CF0F1C">
        <w:lastRenderedPageBreak/>
        <w:t>d) Government Action Plan for Gender Equality 2020–2023</w:t>
      </w:r>
      <w:bookmarkEnd w:id="57"/>
    </w:p>
    <w:p w14:paraId="5BAC7173" w14:textId="77777777" w:rsidR="008E6A3E" w:rsidRPr="00CF0F1C" w:rsidRDefault="008E6A3E" w:rsidP="008E6A3E">
      <w:pPr>
        <w:pStyle w:val="absatzschattenbericht"/>
        <w:rPr>
          <w:rFonts w:cs="Times New Roman"/>
          <w:lang w:val="en-GB"/>
        </w:rPr>
      </w:pPr>
      <w:r w:rsidRPr="00CF0F1C">
        <w:rPr>
          <w:rFonts w:cs="Times New Roman"/>
          <w:lang w:val="en-GB"/>
        </w:rPr>
        <w:t xml:space="preserve">The </w:t>
      </w:r>
      <w:r w:rsidRPr="00CF0F1C">
        <w:rPr>
          <w:rFonts w:cs="Times New Roman"/>
          <w:b/>
          <w:bCs/>
          <w:lang w:val="en-GB"/>
        </w:rPr>
        <w:t>2021 National Action Plan on Fundamental and Human Rights 2017-2019</w:t>
      </w:r>
      <w:r w:rsidRPr="00CF0F1C">
        <w:rPr>
          <w:rFonts w:cs="Times New Roman"/>
          <w:vertAlign w:val="superscript"/>
          <w:lang w:val="en-GB"/>
        </w:rPr>
        <w:footnoteReference w:id="30"/>
      </w:r>
      <w:r w:rsidRPr="00CF0F1C">
        <w:rPr>
          <w:rFonts w:cs="Times New Roman"/>
          <w:b/>
          <w:bCs/>
          <w:lang w:val="en-GB"/>
        </w:rPr>
        <w:t xml:space="preserve"> </w:t>
      </w:r>
      <w:r w:rsidRPr="00CF0F1C">
        <w:rPr>
          <w:rFonts w:cs="Times New Roman"/>
          <w:lang w:val="en-GB"/>
        </w:rPr>
        <w:t xml:space="preserve">of the </w:t>
      </w:r>
      <w:r w:rsidRPr="00CF0F1C">
        <w:rPr>
          <w:rFonts w:cs="Times New Roman"/>
          <w:b/>
          <w:bCs/>
          <w:lang w:val="en-GB"/>
        </w:rPr>
        <w:t>Ministry of Social Affairs and Health</w:t>
      </w:r>
      <w:r w:rsidRPr="00CF0F1C">
        <w:rPr>
          <w:rFonts w:cs="Times New Roman"/>
          <w:lang w:val="en-GB"/>
        </w:rPr>
        <w:t xml:space="preserve"> pledged</w:t>
      </w:r>
      <w:r w:rsidRPr="00CF0F1C">
        <w:rPr>
          <w:rFonts w:cs="Times New Roman"/>
          <w:b/>
          <w:bCs/>
          <w:lang w:val="en-GB"/>
        </w:rPr>
        <w:t xml:space="preserve"> to protect intersex children </w:t>
      </w:r>
      <w:r w:rsidRPr="00CF0F1C">
        <w:rPr>
          <w:rFonts w:cs="Times New Roman"/>
          <w:lang w:val="en-GB"/>
        </w:rPr>
        <w:t xml:space="preserve">and to </w:t>
      </w:r>
      <w:r w:rsidRPr="00CF0F1C">
        <w:rPr>
          <w:rFonts w:cs="Times New Roman"/>
          <w:b/>
          <w:bCs/>
          <w:lang w:val="en-GB"/>
        </w:rPr>
        <w:t>abolish IGM practices</w:t>
      </w:r>
      <w:r w:rsidRPr="00CF0F1C">
        <w:rPr>
          <w:rFonts w:cs="Times New Roman"/>
          <w:lang w:val="en-GB"/>
        </w:rPr>
        <w:t xml:space="preserve">, </w:t>
      </w:r>
      <w:r w:rsidRPr="00CF0F1C">
        <w:rPr>
          <w:rFonts w:cs="Times New Roman"/>
          <w:i/>
          <w:iCs/>
          <w:lang w:val="en-GB"/>
        </w:rPr>
        <w:t>“6.4. Strengthen the right of self-determination of intersex children and discontinue cosmetic and medically non-essential genital surgical procedures on small children.”</w:t>
      </w:r>
    </w:p>
    <w:p w14:paraId="799FAA22" w14:textId="42F666C5" w:rsidR="004C4581" w:rsidRPr="00CF0F1C" w:rsidRDefault="008E6A3E" w:rsidP="00DE0ADF">
      <w:pPr>
        <w:pStyle w:val="Title3"/>
      </w:pPr>
      <w:bookmarkStart w:id="60" w:name="_Toc161663948"/>
      <w:r w:rsidRPr="00CF0F1C">
        <w:t>e</w:t>
      </w:r>
      <w:r w:rsidR="004C4581" w:rsidRPr="00CF0F1C">
        <w:t>) UNHRC48 Statement, 04.10.2021</w:t>
      </w:r>
      <w:bookmarkEnd w:id="58"/>
      <w:bookmarkEnd w:id="59"/>
      <w:bookmarkEnd w:id="60"/>
    </w:p>
    <w:p w14:paraId="7D4EC725" w14:textId="77777777" w:rsidR="004C4581" w:rsidRPr="00CF0F1C" w:rsidRDefault="004C4581" w:rsidP="00292B8F">
      <w:pPr>
        <w:pStyle w:val="absatzschattenbericht"/>
        <w:rPr>
          <w:bCs/>
          <w:lang w:val="en-GB"/>
        </w:rPr>
      </w:pPr>
      <w:r w:rsidRPr="00CF0F1C">
        <w:rPr>
          <w:bCs/>
          <w:lang w:val="en-GB"/>
        </w:rPr>
        <w:t xml:space="preserve">On occasion of the </w:t>
      </w:r>
      <w:r w:rsidRPr="00CF0F1C">
        <w:rPr>
          <w:b/>
          <w:lang w:val="en-GB"/>
        </w:rPr>
        <w:t>48</w:t>
      </w:r>
      <w:r w:rsidRPr="00CF0F1C">
        <w:rPr>
          <w:b/>
          <w:vertAlign w:val="superscript"/>
          <w:lang w:val="en-GB"/>
        </w:rPr>
        <w:t>th</w:t>
      </w:r>
      <w:r w:rsidRPr="00CF0F1C">
        <w:rPr>
          <w:b/>
          <w:lang w:val="en-GB"/>
        </w:rPr>
        <w:t xml:space="preserve"> Session of the Human Rights Council</w:t>
      </w:r>
      <w:r w:rsidRPr="00CF0F1C">
        <w:rPr>
          <w:bCs/>
          <w:lang w:val="en-GB"/>
        </w:rPr>
        <w:t xml:space="preserve"> the </w:t>
      </w:r>
      <w:r w:rsidRPr="00CF0F1C">
        <w:rPr>
          <w:b/>
          <w:lang w:val="en-GB"/>
        </w:rPr>
        <w:t>State party</w:t>
      </w:r>
      <w:r w:rsidRPr="00CF0F1C">
        <w:rPr>
          <w:bCs/>
          <w:lang w:val="en-GB"/>
        </w:rPr>
        <w:t xml:space="preserve"> supported a public follow-up statement again calling to end harmful practices and ensure access to justice:</w:t>
      </w:r>
    </w:p>
    <w:p w14:paraId="523ACCC1" w14:textId="77777777" w:rsidR="004C4581" w:rsidRPr="00CF0F1C" w:rsidRDefault="004C4581" w:rsidP="00292B8F">
      <w:pPr>
        <w:pStyle w:val="absatzschattenbericht"/>
        <w:ind w:left="284"/>
        <w:rPr>
          <w:rFonts w:eastAsia="Baskerville-SemiBold" w:cs="Baskerville-SemiBold"/>
          <w:bCs/>
          <w:i/>
          <w:iCs/>
          <w:lang w:val="en-GB"/>
        </w:rPr>
      </w:pPr>
      <w:r w:rsidRPr="00CF0F1C">
        <w:rPr>
          <w:rFonts w:eastAsia="Baskerville-SemiBold" w:cs="Baskerville-SemiBold"/>
          <w:bCs/>
          <w:i/>
          <w:iCs/>
          <w:lang w:val="en-GB"/>
        </w:rPr>
        <w:t xml:space="preserve">“Intersex persons also need to be protected from </w:t>
      </w:r>
      <w:r w:rsidRPr="00CF0F1C">
        <w:rPr>
          <w:rFonts w:eastAsia="Baskerville-SemiBold" w:cs="Baskerville-SemiBold"/>
          <w:b/>
          <w:bCs/>
          <w:i/>
          <w:iCs/>
          <w:lang w:val="en-GB"/>
        </w:rPr>
        <w:t>violence</w:t>
      </w:r>
      <w:r w:rsidRPr="00CF0F1C">
        <w:rPr>
          <w:rFonts w:eastAsia="Baskerville-SemiBold" w:cs="Baskerville-SemiBold"/>
          <w:bCs/>
          <w:i/>
          <w:iCs/>
          <w:lang w:val="en-GB"/>
        </w:rPr>
        <w:t xml:space="preserve"> and States must </w:t>
      </w:r>
      <w:r w:rsidRPr="00CF0F1C">
        <w:rPr>
          <w:rFonts w:eastAsia="Baskerville-SemiBold" w:cs="Baskerville-SemiBold"/>
          <w:b/>
          <w:i/>
          <w:iCs/>
          <w:lang w:val="en-GB"/>
        </w:rPr>
        <w:t>ensure accountability</w:t>
      </w:r>
      <w:r w:rsidRPr="00CF0F1C">
        <w:rPr>
          <w:rFonts w:eastAsia="Baskerville-SemiBold" w:cs="Baskerville-SemiBold"/>
          <w:bCs/>
          <w:i/>
          <w:iCs/>
          <w:lang w:val="en-GB"/>
        </w:rPr>
        <w:t xml:space="preserve"> for these acts. […]</w:t>
      </w:r>
    </w:p>
    <w:p w14:paraId="34CDDAC3" w14:textId="77777777" w:rsidR="004C4581" w:rsidRPr="00CF0F1C" w:rsidRDefault="004C4581" w:rsidP="00292B8F">
      <w:pPr>
        <w:pStyle w:val="absatzschattenbericht"/>
        <w:ind w:left="284"/>
        <w:rPr>
          <w:rFonts w:eastAsia="Baskerville-SemiBold" w:cs="Baskerville-SemiBold"/>
          <w:bCs/>
          <w:i/>
          <w:iCs/>
          <w:lang w:val="en-GB"/>
        </w:rPr>
      </w:pPr>
      <w:r w:rsidRPr="00CF0F1C">
        <w:rPr>
          <w:rFonts w:eastAsia="Baskerville-SemiBold" w:cs="Baskerville-SemiBold"/>
          <w:bCs/>
          <w:i/>
          <w:iCs/>
          <w:lang w:val="en-GB"/>
        </w:rPr>
        <w:t xml:space="preserve">Furthermore, there is also a need to take measures to protect the </w:t>
      </w:r>
      <w:r w:rsidRPr="00CF0F1C">
        <w:rPr>
          <w:rFonts w:eastAsia="Baskerville-SemiBold" w:cs="Baskerville-SemiBold"/>
          <w:b/>
          <w:bCs/>
          <w:i/>
          <w:iCs/>
          <w:lang w:val="en-GB"/>
        </w:rPr>
        <w:t>autonomy</w:t>
      </w:r>
      <w:r w:rsidRPr="00CF0F1C">
        <w:rPr>
          <w:rFonts w:eastAsia="Baskerville-SemiBold" w:cs="Baskerville-SemiBold"/>
          <w:bCs/>
          <w:i/>
          <w:iCs/>
          <w:lang w:val="en-GB"/>
        </w:rPr>
        <w:t xml:space="preserve"> of intersex children and adults and their rights to health and to </w:t>
      </w:r>
      <w:r w:rsidRPr="00CF0F1C">
        <w:rPr>
          <w:rFonts w:eastAsia="Baskerville-SemiBold" w:cs="Baskerville-SemiBold"/>
          <w:b/>
          <w:i/>
          <w:iCs/>
          <w:lang w:val="en-GB"/>
        </w:rPr>
        <w:t>physical and mental integrity</w:t>
      </w:r>
      <w:r w:rsidRPr="00CF0F1C">
        <w:rPr>
          <w:rFonts w:eastAsia="Baskerville-SemiBold" w:cs="Baskerville-SemiBold"/>
          <w:bCs/>
          <w:i/>
          <w:iCs/>
          <w:lang w:val="en-GB"/>
        </w:rPr>
        <w:t xml:space="preserve"> so that they live </w:t>
      </w:r>
      <w:r w:rsidRPr="00CF0F1C">
        <w:rPr>
          <w:rFonts w:eastAsia="Baskerville-SemiBold" w:cs="Baskerville-SemiBold"/>
          <w:b/>
          <w:i/>
          <w:iCs/>
          <w:lang w:val="en-GB"/>
        </w:rPr>
        <w:t>free from violence and harmful practices</w:t>
      </w:r>
      <w:r w:rsidRPr="00CF0F1C">
        <w:rPr>
          <w:rFonts w:eastAsia="Baskerville-SemiBold" w:cs="Baskerville-SemiBold"/>
          <w:bCs/>
          <w:i/>
          <w:iCs/>
          <w:lang w:val="en-GB"/>
        </w:rPr>
        <w:t xml:space="preserve">. Medically unnecessary surgeries, hormonal treatments and other invasive or irreversible non-vital medical procedures without their free, prior, </w:t>
      </w:r>
      <w:proofErr w:type="gramStart"/>
      <w:r w:rsidRPr="00CF0F1C">
        <w:rPr>
          <w:rFonts w:eastAsia="Baskerville-SemiBold" w:cs="Baskerville-SemiBold"/>
          <w:bCs/>
          <w:i/>
          <w:iCs/>
          <w:lang w:val="en-GB"/>
        </w:rPr>
        <w:t>full</w:t>
      </w:r>
      <w:proofErr w:type="gramEnd"/>
      <w:r w:rsidRPr="00CF0F1C">
        <w:rPr>
          <w:rFonts w:eastAsia="Baskerville-SemiBold" w:cs="Baskerville-SemiBold"/>
          <w:bCs/>
          <w:i/>
          <w:iCs/>
          <w:lang w:val="en-GB"/>
        </w:rPr>
        <w:t xml:space="preserve"> and informed consent are </w:t>
      </w:r>
      <w:r w:rsidRPr="00CF0F1C">
        <w:rPr>
          <w:rFonts w:eastAsia="Baskerville-SemiBold" w:cs="Baskerville-SemiBold"/>
          <w:b/>
          <w:i/>
          <w:iCs/>
          <w:lang w:val="en-GB"/>
        </w:rPr>
        <w:t>harmful to the full enjoyment of the human rights</w:t>
      </w:r>
      <w:r w:rsidRPr="00CF0F1C">
        <w:rPr>
          <w:rFonts w:eastAsia="Baskerville-SemiBold" w:cs="Baskerville-SemiBold"/>
          <w:bCs/>
          <w:i/>
          <w:iCs/>
          <w:lang w:val="en-GB"/>
        </w:rPr>
        <w:t xml:space="preserve"> of intersex persons.</w:t>
      </w:r>
    </w:p>
    <w:p w14:paraId="7229D9F0" w14:textId="429A6B1E" w:rsidR="00A96D24" w:rsidRDefault="004C4581" w:rsidP="00292B8F">
      <w:pPr>
        <w:pStyle w:val="absatzschattenbericht"/>
        <w:ind w:left="284"/>
        <w:rPr>
          <w:rFonts w:eastAsia="Baskerville-SemiBold" w:cs="Baskerville-SemiBold"/>
          <w:bCs/>
          <w:i/>
          <w:iCs/>
          <w:lang w:val="en-GB"/>
        </w:rPr>
      </w:pPr>
      <w:r w:rsidRPr="00CF0F1C">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CF0F1C">
        <w:rPr>
          <w:rFonts w:eastAsia="Baskerville-SemiBold" w:cs="Baskerville-SemiBold"/>
          <w:b/>
          <w:i/>
          <w:iCs/>
          <w:lang w:val="en-GB"/>
        </w:rPr>
        <w:t>ensure accountability</w:t>
      </w:r>
      <w:r w:rsidRPr="00CF0F1C">
        <w:rPr>
          <w:rFonts w:eastAsia="Baskerville-SemiBold" w:cs="Baskerville-SemiBold"/>
          <w:bCs/>
          <w:i/>
          <w:iCs/>
          <w:lang w:val="en-GB"/>
        </w:rPr>
        <w:t xml:space="preserve">, reverse discriminatory </w:t>
      </w:r>
      <w:proofErr w:type="gramStart"/>
      <w:r w:rsidRPr="00CF0F1C">
        <w:rPr>
          <w:rFonts w:eastAsia="Baskerville-SemiBold" w:cs="Baskerville-SemiBold"/>
          <w:bCs/>
          <w:i/>
          <w:iCs/>
          <w:lang w:val="en-GB"/>
        </w:rPr>
        <w:t>laws</w:t>
      </w:r>
      <w:proofErr w:type="gramEnd"/>
      <w:r w:rsidRPr="00CF0F1C">
        <w:rPr>
          <w:rFonts w:eastAsia="Baskerville-SemiBold" w:cs="Baskerville-SemiBold"/>
          <w:bCs/>
          <w:i/>
          <w:iCs/>
          <w:lang w:val="en-GB"/>
        </w:rPr>
        <w:t xml:space="preserve"> and </w:t>
      </w:r>
      <w:r w:rsidRPr="00CF0F1C">
        <w:rPr>
          <w:rFonts w:eastAsia="Baskerville-SemiBold" w:cs="Baskerville-SemiBold"/>
          <w:b/>
          <w:i/>
          <w:iCs/>
          <w:lang w:val="en-GB"/>
        </w:rPr>
        <w:t>provide victims with access to remedy</w:t>
      </w:r>
      <w:r w:rsidRPr="00CF0F1C">
        <w:rPr>
          <w:rFonts w:eastAsia="Baskerville-SemiBold" w:cs="Baskerville-SemiBold"/>
          <w:bCs/>
          <w:i/>
          <w:iCs/>
          <w:lang w:val="en-GB"/>
        </w:rPr>
        <w:t xml:space="preserve">.” </w:t>
      </w:r>
      <w:r w:rsidRPr="00CF0F1C">
        <w:rPr>
          <w:rStyle w:val="Funotenanker"/>
          <w:lang w:val="en-GB"/>
        </w:rPr>
        <w:footnoteReference w:id="31"/>
      </w:r>
    </w:p>
    <w:p w14:paraId="4F32FF8D" w14:textId="0068C195" w:rsidR="00013751" w:rsidRPr="00595B9A" w:rsidRDefault="00013751" w:rsidP="00013751">
      <w:pPr>
        <w:pStyle w:val="Title3"/>
      </w:pPr>
      <w:bookmarkStart w:id="61" w:name="_Toc161663949"/>
      <w:r>
        <w:t>f</w:t>
      </w:r>
      <w:r w:rsidRPr="00595B9A">
        <w:t>) UNHRC</w:t>
      </w:r>
      <w:r>
        <w:t>54</w:t>
      </w:r>
      <w:r w:rsidRPr="00595B9A">
        <w:t xml:space="preserve"> Statement, </w:t>
      </w:r>
      <w:r>
        <w:t>04.10.2023</w:t>
      </w:r>
      <w:bookmarkEnd w:id="61"/>
    </w:p>
    <w:p w14:paraId="72829272" w14:textId="33116F6D" w:rsidR="00013751" w:rsidRPr="00595B9A" w:rsidRDefault="00013751" w:rsidP="00013751">
      <w:pPr>
        <w:pStyle w:val="absatzschattenbericht"/>
        <w:rPr>
          <w:bCs/>
          <w:lang w:val="en-GB"/>
        </w:rPr>
      </w:pPr>
      <w:r w:rsidRPr="00595B9A">
        <w:rPr>
          <w:bCs/>
          <w:lang w:val="en-GB"/>
        </w:rPr>
        <w:t xml:space="preserve">On occasion of the </w:t>
      </w:r>
      <w:r>
        <w:rPr>
          <w:b/>
          <w:lang w:val="en-GB"/>
        </w:rPr>
        <w:t>54</w:t>
      </w:r>
      <w:r w:rsidRPr="00595B9A">
        <w:rPr>
          <w:b/>
          <w:vertAlign w:val="superscript"/>
          <w:lang w:val="en-GB"/>
        </w:rPr>
        <w:t>th</w:t>
      </w:r>
      <w:r w:rsidRPr="00595B9A">
        <w:rPr>
          <w:b/>
          <w:lang w:val="en-GB"/>
        </w:rPr>
        <w:t xml:space="preserve"> Session of the Human Rights Council</w:t>
      </w:r>
      <w:r w:rsidRPr="00595B9A">
        <w:rPr>
          <w:bCs/>
          <w:lang w:val="en-GB"/>
        </w:rPr>
        <w:t xml:space="preserve"> the </w:t>
      </w:r>
      <w:r w:rsidRPr="00595B9A">
        <w:rPr>
          <w:b/>
          <w:lang w:val="en-GB"/>
        </w:rPr>
        <w:t>State party</w:t>
      </w:r>
      <w:r w:rsidRPr="00595B9A">
        <w:rPr>
          <w:bCs/>
          <w:lang w:val="en-GB"/>
        </w:rPr>
        <w:t xml:space="preserve"> </w:t>
      </w:r>
      <w:r>
        <w:rPr>
          <w:bCs/>
          <w:lang w:val="en-GB"/>
        </w:rPr>
        <w:t>initiated</w:t>
      </w:r>
      <w:r w:rsidRPr="00595B9A">
        <w:rPr>
          <w:bCs/>
          <w:lang w:val="en-GB"/>
        </w:rPr>
        <w:t xml:space="preserve"> a public follow-up statement reiterating the call to </w:t>
      </w:r>
      <w:r>
        <w:rPr>
          <w:bCs/>
          <w:lang w:val="en-GB"/>
        </w:rPr>
        <w:t>prohibit</w:t>
      </w:r>
      <w:r w:rsidRPr="00595B9A">
        <w:rPr>
          <w:bCs/>
          <w:lang w:val="en-GB"/>
        </w:rPr>
        <w:t xml:space="preserve"> harmful practices </w:t>
      </w:r>
      <w:r>
        <w:rPr>
          <w:bCs/>
          <w:lang w:val="en-GB"/>
        </w:rPr>
        <w:t xml:space="preserve">and inhuman treatment </w:t>
      </w:r>
      <w:r w:rsidRPr="00595B9A">
        <w:rPr>
          <w:bCs/>
          <w:lang w:val="en-GB"/>
        </w:rPr>
        <w:t xml:space="preserve">and </w:t>
      </w:r>
      <w:r>
        <w:rPr>
          <w:bCs/>
          <w:lang w:val="en-GB"/>
        </w:rPr>
        <w:t xml:space="preserve">to </w:t>
      </w:r>
      <w:r w:rsidRPr="00595B9A">
        <w:rPr>
          <w:bCs/>
          <w:lang w:val="en-GB"/>
        </w:rPr>
        <w:t>ensure access to justice:</w:t>
      </w:r>
    </w:p>
    <w:p w14:paraId="16391188" w14:textId="77777777" w:rsidR="00013751" w:rsidRDefault="00013751" w:rsidP="00013751">
      <w:pPr>
        <w:pStyle w:val="absatzschattenbericht"/>
        <w:ind w:left="284"/>
        <w:rPr>
          <w:bCs/>
          <w:i/>
          <w:iCs/>
          <w:lang w:val="en-GB"/>
        </w:rPr>
      </w:pPr>
      <w:r>
        <w:rPr>
          <w:bCs/>
          <w:i/>
          <w:iCs/>
          <w:lang w:val="en-GB"/>
        </w:rPr>
        <w:t xml:space="preserve">“4. </w:t>
      </w:r>
      <w:r w:rsidRPr="00A3744C">
        <w:rPr>
          <w:bCs/>
          <w:i/>
          <w:iCs/>
          <w:lang w:val="en-GB"/>
        </w:rPr>
        <w:t xml:space="preserve">Because their bodies are perceived as different, intersex persons, including children, face stigma, </w:t>
      </w:r>
      <w:proofErr w:type="gramStart"/>
      <w:r w:rsidRPr="00A3744C">
        <w:rPr>
          <w:bCs/>
          <w:i/>
          <w:iCs/>
          <w:lang w:val="en-GB"/>
        </w:rPr>
        <w:t>misconception</w:t>
      </w:r>
      <w:proofErr w:type="gramEnd"/>
      <w:r w:rsidRPr="00A3744C">
        <w:rPr>
          <w:bCs/>
          <w:i/>
          <w:iCs/>
          <w:lang w:val="en-GB"/>
        </w:rPr>
        <w:t xml:space="preserve"> and </w:t>
      </w:r>
      <w:r w:rsidRPr="00C05D7C">
        <w:rPr>
          <w:b/>
          <w:i/>
          <w:iCs/>
          <w:lang w:val="en-GB"/>
        </w:rPr>
        <w:t>violence, such as forced, coercive, irreversible and non-vital medical interventions.</w:t>
      </w:r>
      <w:r w:rsidRPr="00A3744C">
        <w:rPr>
          <w:bCs/>
          <w:i/>
          <w:iCs/>
          <w:lang w:val="en-GB"/>
        </w:rPr>
        <w:t xml:space="preserve"> These include so-called “normalising” surgeries that can have </w:t>
      </w:r>
      <w:r w:rsidRPr="00C05D7C">
        <w:rPr>
          <w:b/>
          <w:i/>
          <w:iCs/>
          <w:lang w:val="en-GB"/>
        </w:rPr>
        <w:t>life-long negative impacts on their physical and mental health.</w:t>
      </w:r>
      <w:r w:rsidRPr="00A3744C">
        <w:rPr>
          <w:bCs/>
          <w:i/>
          <w:iCs/>
          <w:lang w:val="en-GB"/>
        </w:rPr>
        <w:t xml:space="preserve"> These harmful practices </w:t>
      </w:r>
      <w:r w:rsidRPr="00C05D7C">
        <w:rPr>
          <w:b/>
          <w:i/>
          <w:iCs/>
          <w:lang w:val="en-GB"/>
        </w:rPr>
        <w:t>should be urgently stopped.</w:t>
      </w:r>
      <w:r w:rsidRPr="00A3744C">
        <w:rPr>
          <w:bCs/>
          <w:i/>
          <w:iCs/>
          <w:lang w:val="en-GB"/>
        </w:rPr>
        <w:t xml:space="preserve"> Human rights of intersex persons need to be respected, so that they can </w:t>
      </w:r>
      <w:r w:rsidRPr="00C05D7C">
        <w:rPr>
          <w:b/>
          <w:i/>
          <w:iCs/>
          <w:lang w:val="en-GB"/>
        </w:rPr>
        <w:t>live free from violence, cruel, inhuman, or degrading treatment and harmful practices.</w:t>
      </w:r>
      <w:r>
        <w:rPr>
          <w:bCs/>
          <w:i/>
          <w:iCs/>
          <w:lang w:val="en-GB"/>
        </w:rPr>
        <w:t xml:space="preserve"> [...]</w:t>
      </w:r>
    </w:p>
    <w:p w14:paraId="26625A76" w14:textId="77777777" w:rsidR="00013751" w:rsidRPr="00C05D7C" w:rsidRDefault="00013751" w:rsidP="00013751">
      <w:pPr>
        <w:pStyle w:val="absatzschattenbericht"/>
        <w:ind w:left="284"/>
      </w:pPr>
      <w:r w:rsidRPr="00A3744C">
        <w:rPr>
          <w:bCs/>
          <w:i/>
          <w:iCs/>
          <w:lang w:val="en-GB"/>
        </w:rPr>
        <w:t xml:space="preserve">8. We call on all States to increase efforts to combat violence, harmful </w:t>
      </w:r>
      <w:proofErr w:type="gramStart"/>
      <w:r w:rsidRPr="00A3744C">
        <w:rPr>
          <w:bCs/>
          <w:i/>
          <w:iCs/>
          <w:lang w:val="en-GB"/>
        </w:rPr>
        <w:t>practices</w:t>
      </w:r>
      <w:proofErr w:type="gramEnd"/>
      <w:r w:rsidRPr="00A3744C">
        <w:rPr>
          <w:bCs/>
          <w:i/>
          <w:iCs/>
          <w:lang w:val="en-GB"/>
        </w:rPr>
        <w:t xml:space="preserve"> and discrimination on the basis of sex characteristics, address their root causes, and </w:t>
      </w:r>
      <w:r w:rsidRPr="00035752">
        <w:rPr>
          <w:b/>
          <w:i/>
          <w:iCs/>
          <w:lang w:val="en-GB"/>
        </w:rPr>
        <w:t xml:space="preserve">implement protective laws and policies in close consultations with those affected, </w:t>
      </w:r>
      <w:r w:rsidRPr="00A3744C">
        <w:rPr>
          <w:bCs/>
          <w:i/>
          <w:iCs/>
          <w:lang w:val="en-GB"/>
        </w:rPr>
        <w:t>in order to ensure the full realization of human rights of intersex persons.</w:t>
      </w:r>
      <w:r>
        <w:rPr>
          <w:bCs/>
          <w:i/>
          <w:iCs/>
          <w:lang w:val="en-GB"/>
        </w:rPr>
        <w:t>”</w:t>
      </w:r>
      <w:r w:rsidRPr="00595B9A">
        <w:rPr>
          <w:rStyle w:val="Funotenanker"/>
          <w:lang w:val="en-GB"/>
        </w:rPr>
        <w:footnoteReference w:id="32"/>
      </w:r>
    </w:p>
    <w:p w14:paraId="199E2F8E" w14:textId="1905B398" w:rsidR="00B15351" w:rsidRPr="00CF0F1C" w:rsidRDefault="00AB18E1" w:rsidP="00B15351">
      <w:pPr>
        <w:pStyle w:val="Title2"/>
      </w:pPr>
      <w:bookmarkStart w:id="62" w:name="_Toc161663950"/>
      <w:r w:rsidRPr="00CF0F1C">
        <w:lastRenderedPageBreak/>
        <w:t>4</w:t>
      </w:r>
      <w:r w:rsidR="00B15351" w:rsidRPr="00CF0F1C">
        <w:t xml:space="preserve">.  Most Common IGM Forms advocated and perpetrated by </w:t>
      </w:r>
      <w:bookmarkEnd w:id="51"/>
      <w:r w:rsidR="002A2B2C" w:rsidRPr="00CF0F1C">
        <w:t>Finland</w:t>
      </w:r>
      <w:bookmarkEnd w:id="62"/>
    </w:p>
    <w:p w14:paraId="6FBA2498" w14:textId="45808146" w:rsidR="00B15351" w:rsidRPr="00CF0F1C" w:rsidRDefault="00F04275" w:rsidP="00292B8F">
      <w:pPr>
        <w:pStyle w:val="absatzschattenbericht"/>
        <w:rPr>
          <w:lang w:val="en-GB"/>
        </w:rPr>
      </w:pPr>
      <w:r w:rsidRPr="00CF0F1C">
        <w:rPr>
          <w:rFonts w:cs="Times New Roman"/>
          <w:bCs/>
          <w:lang w:val="en-GB"/>
        </w:rPr>
        <w:t xml:space="preserve">Despite </w:t>
      </w:r>
      <w:r w:rsidR="00AB18E1" w:rsidRPr="00CF0F1C">
        <w:rPr>
          <w:rFonts w:cs="Times New Roman"/>
          <w:bCs/>
          <w:lang w:val="en-GB"/>
        </w:rPr>
        <w:t>Finland’s</w:t>
      </w:r>
      <w:r w:rsidRPr="00CF0F1C">
        <w:rPr>
          <w:rFonts w:cs="Times New Roman"/>
          <w:bCs/>
          <w:lang w:val="en-GB"/>
        </w:rPr>
        <w:t xml:space="preserve"> repeated pledges</w:t>
      </w:r>
      <w:r w:rsidR="00AB18E1" w:rsidRPr="00CF0F1C">
        <w:rPr>
          <w:rFonts w:cs="Times New Roman"/>
          <w:bCs/>
          <w:lang w:val="en-GB"/>
        </w:rPr>
        <w:t xml:space="preserve"> to end IGM</w:t>
      </w:r>
      <w:r w:rsidRPr="00CF0F1C">
        <w:rPr>
          <w:rFonts w:cs="Times New Roman"/>
          <w:bCs/>
          <w:lang w:val="en-GB"/>
        </w:rPr>
        <w:t>,</w:t>
      </w:r>
      <w:r w:rsidRPr="00CF0F1C">
        <w:rPr>
          <w:rFonts w:cs="Times New Roman"/>
          <w:b/>
          <w:lang w:val="en-GB"/>
        </w:rPr>
        <w:t xml:space="preserve"> to</w:t>
      </w:r>
      <w:r w:rsidR="00B15351" w:rsidRPr="00CF0F1C">
        <w:rPr>
          <w:rFonts w:cs="Times New Roman"/>
          <w:b/>
          <w:lang w:val="en-GB"/>
        </w:rPr>
        <w:t xml:space="preserve"> this day, in </w:t>
      </w:r>
      <w:r w:rsidR="00464186" w:rsidRPr="00CF0F1C">
        <w:rPr>
          <w:rFonts w:cs="Times New Roman"/>
          <w:b/>
          <w:lang w:val="en-GB"/>
        </w:rPr>
        <w:t>Finland</w:t>
      </w:r>
      <w:r w:rsidR="00B15351" w:rsidRPr="00CF0F1C">
        <w:rPr>
          <w:rFonts w:cs="Times New Roman"/>
          <w:b/>
          <w:lang w:val="en-GB"/>
        </w:rPr>
        <w:t xml:space="preserve"> all forms of </w:t>
      </w:r>
      <w:r w:rsidR="00B15351" w:rsidRPr="00CF0F1C">
        <w:rPr>
          <w:rFonts w:eastAsia="Baskerville-Bold" w:cs="Times New Roman"/>
          <w:b/>
          <w:bCs/>
          <w:lang w:val="en-GB"/>
        </w:rPr>
        <w:t>IGM practices remain widespread and ongoing</w:t>
      </w:r>
      <w:r w:rsidR="00B15351" w:rsidRPr="00CF0F1C">
        <w:rPr>
          <w:rFonts w:cs="Times New Roman"/>
          <w:lang w:val="en-GB"/>
        </w:rPr>
        <w:t xml:space="preserve">, persistently </w:t>
      </w:r>
      <w:r w:rsidR="00B15351" w:rsidRPr="00CF0F1C">
        <w:rPr>
          <w:rFonts w:cs="Times New Roman"/>
          <w:b/>
          <w:lang w:val="en-GB"/>
        </w:rPr>
        <w:t xml:space="preserve">advocated, </w:t>
      </w:r>
      <w:proofErr w:type="gramStart"/>
      <w:r w:rsidR="00B15351" w:rsidRPr="00CF0F1C">
        <w:rPr>
          <w:rFonts w:cs="Times New Roman"/>
          <w:b/>
          <w:lang w:val="en-GB"/>
        </w:rPr>
        <w:t>prescribed</w:t>
      </w:r>
      <w:proofErr w:type="gramEnd"/>
      <w:r w:rsidR="00B15351" w:rsidRPr="00CF0F1C">
        <w:rPr>
          <w:rFonts w:cs="Times New Roman"/>
          <w:b/>
          <w:lang w:val="en-GB"/>
        </w:rPr>
        <w:t xml:space="preserve"> and perpetrated</w:t>
      </w:r>
      <w:r w:rsidR="00B15351" w:rsidRPr="00CF0F1C">
        <w:rPr>
          <w:rFonts w:cs="Times New Roman"/>
          <w:lang w:val="en-GB"/>
        </w:rPr>
        <w:t xml:space="preserve"> by the state funded </w:t>
      </w:r>
      <w:r w:rsidR="00B15351" w:rsidRPr="00CF0F1C">
        <w:rPr>
          <w:rFonts w:cs="Times New Roman"/>
          <w:b/>
          <w:bCs/>
          <w:lang w:val="en-GB"/>
        </w:rPr>
        <w:t>University Hospitals</w:t>
      </w:r>
      <w:r w:rsidR="00B15351" w:rsidRPr="00CF0F1C">
        <w:rPr>
          <w:rFonts w:cs="Times New Roman"/>
          <w:lang w:val="en-GB"/>
        </w:rPr>
        <w:t xml:space="preserve">, </w:t>
      </w:r>
      <w:r w:rsidR="00B15351" w:rsidRPr="00CF0F1C">
        <w:rPr>
          <w:rFonts w:cs="Times New Roman"/>
          <w:bCs/>
          <w:lang w:val="en-GB"/>
        </w:rPr>
        <w:t>and</w:t>
      </w:r>
      <w:r w:rsidR="00B15351" w:rsidRPr="00CF0F1C">
        <w:rPr>
          <w:rFonts w:cs="Times New Roman"/>
          <w:b/>
          <w:lang w:val="en-GB"/>
        </w:rPr>
        <w:t xml:space="preserve"> paid for by the State</w:t>
      </w:r>
      <w:r w:rsidR="00B15351" w:rsidRPr="00CF0F1C">
        <w:rPr>
          <w:rFonts w:cs="Times New Roman"/>
          <w:lang w:val="en-GB"/>
        </w:rPr>
        <w:t xml:space="preserve"> via the </w:t>
      </w:r>
      <w:r w:rsidR="00B15351" w:rsidRPr="00CF0F1C">
        <w:rPr>
          <w:rFonts w:cs="Times New Roman"/>
          <w:b/>
          <w:bCs/>
          <w:lang w:val="en-GB"/>
        </w:rPr>
        <w:t>public health system</w:t>
      </w:r>
      <w:r w:rsidR="00B15351" w:rsidRPr="00CF0F1C">
        <w:rPr>
          <w:rFonts w:cs="Times New Roman"/>
          <w:lang w:val="en-GB"/>
        </w:rPr>
        <w:t xml:space="preserve"> under the responsibility of the </w:t>
      </w:r>
      <w:r w:rsidR="00464186" w:rsidRPr="00CF0F1C">
        <w:rPr>
          <w:rFonts w:cs="Times New Roman"/>
          <w:b/>
          <w:bCs/>
          <w:lang w:val="en-GB"/>
        </w:rPr>
        <w:t>Ministry of Social Affairs and Health</w:t>
      </w:r>
      <w:r w:rsidR="00B15351" w:rsidRPr="00CF0F1C">
        <w:rPr>
          <w:rFonts w:cs="Times New Roman"/>
          <w:lang w:val="en-GB"/>
        </w:rPr>
        <w:t xml:space="preserve"> and the </w:t>
      </w:r>
      <w:r w:rsidR="00464186" w:rsidRPr="00CF0F1C">
        <w:rPr>
          <w:b/>
          <w:bCs/>
          <w:lang w:val="en-GB"/>
        </w:rPr>
        <w:t>Municipalities</w:t>
      </w:r>
      <w:r w:rsidR="00464186" w:rsidRPr="00CF0F1C">
        <w:rPr>
          <w:lang w:val="en-GB"/>
        </w:rPr>
        <w:t xml:space="preserve"> (local governments)</w:t>
      </w:r>
      <w:r w:rsidR="002A2B2C" w:rsidRPr="00CF0F1C">
        <w:rPr>
          <w:lang w:val="en-GB"/>
        </w:rPr>
        <w:t>.</w:t>
      </w:r>
    </w:p>
    <w:p w14:paraId="6B2D28F4" w14:textId="269F5DF0" w:rsidR="002A2B2C" w:rsidRPr="00CF0F1C" w:rsidRDefault="002A2B2C" w:rsidP="00292B8F">
      <w:pPr>
        <w:pStyle w:val="absatzschattenbericht"/>
        <w:rPr>
          <w:lang w:val="en-GB"/>
        </w:rPr>
      </w:pPr>
      <w:r w:rsidRPr="00CF0F1C">
        <w:rPr>
          <w:lang w:val="en-GB"/>
        </w:rPr>
        <w:t xml:space="preserve">In Finland, care for intersex children is centralised in five </w:t>
      </w:r>
      <w:r w:rsidR="009B41B2" w:rsidRPr="00CF0F1C">
        <w:rPr>
          <w:lang w:val="en-GB"/>
        </w:rPr>
        <w:t>U</w:t>
      </w:r>
      <w:r w:rsidRPr="00CF0F1C">
        <w:rPr>
          <w:lang w:val="en-GB"/>
        </w:rPr>
        <w:t xml:space="preserve">niversity </w:t>
      </w:r>
      <w:r w:rsidR="00547F6F" w:rsidRPr="00CF0F1C">
        <w:rPr>
          <w:lang w:val="en-GB"/>
        </w:rPr>
        <w:t>H</w:t>
      </w:r>
      <w:r w:rsidRPr="00CF0F1C">
        <w:rPr>
          <w:lang w:val="en-GB"/>
        </w:rPr>
        <w:t>ospitals:</w:t>
      </w:r>
    </w:p>
    <w:p w14:paraId="404C24C4" w14:textId="262CE587" w:rsidR="002A2B2C" w:rsidRPr="00CF0F1C" w:rsidRDefault="002A2B2C" w:rsidP="00B801A4">
      <w:pPr>
        <w:pStyle w:val="absatzschattenbericht"/>
        <w:numPr>
          <w:ilvl w:val="0"/>
          <w:numId w:val="14"/>
        </w:numPr>
        <w:ind w:left="714" w:hanging="357"/>
        <w:rPr>
          <w:lang w:val="en-GB"/>
        </w:rPr>
      </w:pPr>
      <w:r w:rsidRPr="00CF0F1C">
        <w:rPr>
          <w:b/>
          <w:bCs/>
          <w:lang w:val="en-GB"/>
        </w:rPr>
        <w:t>Helsinki University Hospital</w:t>
      </w:r>
      <w:r w:rsidRPr="00CF0F1C">
        <w:rPr>
          <w:lang w:val="en-GB"/>
        </w:rPr>
        <w:t>, Helsinki</w:t>
      </w:r>
      <w:r w:rsidR="00300F9B" w:rsidRPr="00CF0F1C">
        <w:rPr>
          <w:lang w:val="en-GB"/>
        </w:rPr>
        <w:t xml:space="preserve"> </w:t>
      </w:r>
      <w:r w:rsidR="00300F9B" w:rsidRPr="00CF0F1C">
        <w:rPr>
          <w:b/>
          <w:bCs/>
          <w:lang w:val="en-GB"/>
        </w:rPr>
        <w:t>(HUS)</w:t>
      </w:r>
    </w:p>
    <w:p w14:paraId="442B568F" w14:textId="2BB324F9" w:rsidR="002A2B2C" w:rsidRPr="00CF0F1C" w:rsidRDefault="002A2B2C" w:rsidP="00B801A4">
      <w:pPr>
        <w:pStyle w:val="absatzschattenbericht"/>
        <w:numPr>
          <w:ilvl w:val="0"/>
          <w:numId w:val="14"/>
        </w:numPr>
        <w:rPr>
          <w:lang w:val="en-GB"/>
        </w:rPr>
      </w:pPr>
      <w:r w:rsidRPr="00CF0F1C">
        <w:rPr>
          <w:b/>
          <w:bCs/>
          <w:lang w:val="en-GB"/>
        </w:rPr>
        <w:t>Tampere University Hospital</w:t>
      </w:r>
      <w:r w:rsidRPr="00CF0F1C">
        <w:rPr>
          <w:lang w:val="en-GB"/>
        </w:rPr>
        <w:t>, Tampere</w:t>
      </w:r>
      <w:r w:rsidR="00300F9B" w:rsidRPr="00CF0F1C">
        <w:rPr>
          <w:lang w:val="en-GB"/>
        </w:rPr>
        <w:t xml:space="preserve"> </w:t>
      </w:r>
      <w:r w:rsidR="00300F9B" w:rsidRPr="00CF0F1C">
        <w:rPr>
          <w:b/>
          <w:bCs/>
          <w:lang w:val="en-GB"/>
        </w:rPr>
        <w:t>(TAYS)</w:t>
      </w:r>
    </w:p>
    <w:p w14:paraId="4DA4803E" w14:textId="065598F1" w:rsidR="002A2B2C" w:rsidRPr="00CF0F1C" w:rsidRDefault="002A2B2C" w:rsidP="00B801A4">
      <w:pPr>
        <w:pStyle w:val="absatzschattenbericht"/>
        <w:numPr>
          <w:ilvl w:val="0"/>
          <w:numId w:val="14"/>
        </w:numPr>
        <w:rPr>
          <w:lang w:val="en-GB"/>
        </w:rPr>
      </w:pPr>
      <w:r w:rsidRPr="00CF0F1C">
        <w:rPr>
          <w:b/>
          <w:bCs/>
          <w:lang w:val="en-GB"/>
        </w:rPr>
        <w:t>Kuopio University Hospital</w:t>
      </w:r>
      <w:r w:rsidRPr="00CF0F1C">
        <w:rPr>
          <w:lang w:val="en-GB"/>
        </w:rPr>
        <w:t>, Kuopio</w:t>
      </w:r>
      <w:r w:rsidR="00300F9B" w:rsidRPr="00CF0F1C">
        <w:rPr>
          <w:lang w:val="en-GB"/>
        </w:rPr>
        <w:t xml:space="preserve"> </w:t>
      </w:r>
      <w:r w:rsidR="00300F9B" w:rsidRPr="00CF0F1C">
        <w:rPr>
          <w:b/>
          <w:bCs/>
          <w:lang w:val="en-GB"/>
        </w:rPr>
        <w:t>(KYS)</w:t>
      </w:r>
    </w:p>
    <w:p w14:paraId="3AD8B1A0" w14:textId="29C1A05F" w:rsidR="002A2B2C" w:rsidRPr="00CF0F1C" w:rsidRDefault="002A2B2C" w:rsidP="00B801A4">
      <w:pPr>
        <w:pStyle w:val="absatzschattenbericht"/>
        <w:numPr>
          <w:ilvl w:val="0"/>
          <w:numId w:val="14"/>
        </w:numPr>
        <w:rPr>
          <w:lang w:val="en-GB"/>
        </w:rPr>
      </w:pPr>
      <w:r w:rsidRPr="00CF0F1C">
        <w:rPr>
          <w:b/>
          <w:bCs/>
          <w:lang w:val="en-GB"/>
        </w:rPr>
        <w:t>Turku University Hospital</w:t>
      </w:r>
      <w:r w:rsidRPr="00CF0F1C">
        <w:rPr>
          <w:lang w:val="en-GB"/>
        </w:rPr>
        <w:t>, Turku</w:t>
      </w:r>
      <w:r w:rsidR="00300F9B" w:rsidRPr="00CF0F1C">
        <w:rPr>
          <w:lang w:val="en-GB"/>
        </w:rPr>
        <w:t xml:space="preserve"> </w:t>
      </w:r>
      <w:r w:rsidR="00300F9B" w:rsidRPr="00CF0F1C">
        <w:rPr>
          <w:b/>
          <w:bCs/>
          <w:lang w:val="en-GB"/>
        </w:rPr>
        <w:t>(TYKS)</w:t>
      </w:r>
    </w:p>
    <w:p w14:paraId="2A2E0E97" w14:textId="1BC21F8F" w:rsidR="002A2B2C" w:rsidRPr="00CF0F1C" w:rsidRDefault="002A2B2C" w:rsidP="00B801A4">
      <w:pPr>
        <w:pStyle w:val="absatzschattenbericht"/>
        <w:numPr>
          <w:ilvl w:val="0"/>
          <w:numId w:val="14"/>
        </w:numPr>
        <w:rPr>
          <w:lang w:val="en-GB"/>
        </w:rPr>
      </w:pPr>
      <w:r w:rsidRPr="00CF0F1C">
        <w:rPr>
          <w:b/>
          <w:bCs/>
          <w:lang w:val="en-GB"/>
        </w:rPr>
        <w:t>Oulu University Hospital</w:t>
      </w:r>
      <w:r w:rsidRPr="00CF0F1C">
        <w:rPr>
          <w:lang w:val="en-GB"/>
        </w:rPr>
        <w:t>, Oulu</w:t>
      </w:r>
      <w:r w:rsidR="00300F9B" w:rsidRPr="00CF0F1C">
        <w:rPr>
          <w:lang w:val="en-GB"/>
        </w:rPr>
        <w:t xml:space="preserve"> </w:t>
      </w:r>
      <w:r w:rsidR="00300F9B" w:rsidRPr="00CF0F1C">
        <w:rPr>
          <w:b/>
          <w:bCs/>
          <w:lang w:val="en-GB"/>
        </w:rPr>
        <w:t>(OYS)</w:t>
      </w:r>
    </w:p>
    <w:p w14:paraId="5CF0D7D9" w14:textId="56C1B904" w:rsidR="00506265" w:rsidRPr="00CF0F1C" w:rsidRDefault="00F25A72" w:rsidP="00292B8F">
      <w:pPr>
        <w:pStyle w:val="absatzschattenbericht"/>
        <w:rPr>
          <w:lang w:val="en-GB"/>
        </w:rPr>
      </w:pPr>
      <w:r w:rsidRPr="00CF0F1C">
        <w:rPr>
          <w:lang w:val="en-GB"/>
        </w:rPr>
        <w:t xml:space="preserve">While the 2016 Background Report of the </w:t>
      </w:r>
      <w:r w:rsidRPr="00CF0F1C">
        <w:rPr>
          <w:b/>
          <w:lang w:val="en-GB"/>
        </w:rPr>
        <w:t>National Advisory Board on Social Welfare and Health Care Ethics (ETENE)</w:t>
      </w:r>
      <w:r w:rsidRPr="00CF0F1C">
        <w:rPr>
          <w:vertAlign w:val="superscript"/>
          <w:lang w:val="en-GB"/>
        </w:rPr>
        <w:footnoteReference w:id="33"/>
      </w:r>
      <w:r w:rsidRPr="00CF0F1C">
        <w:rPr>
          <w:lang w:val="en-GB"/>
        </w:rPr>
        <w:t xml:space="preserve"> (p. 6/p. 7 in PDF)</w:t>
      </w:r>
      <w:r w:rsidR="00A330AC" w:rsidRPr="00CF0F1C">
        <w:rPr>
          <w:lang w:val="en-GB"/>
        </w:rPr>
        <w:t>, reiterated in the</w:t>
      </w:r>
      <w:r w:rsidRPr="00CF0F1C">
        <w:rPr>
          <w:lang w:val="en-GB"/>
        </w:rPr>
        <w:t xml:space="preserve"> </w:t>
      </w:r>
      <w:r w:rsidRPr="00CF0F1C">
        <w:rPr>
          <w:b/>
          <w:bCs/>
          <w:lang w:val="en-GB"/>
        </w:rPr>
        <w:t xml:space="preserve">2019 </w:t>
      </w:r>
      <w:r w:rsidR="00A330AC" w:rsidRPr="00CF0F1C">
        <w:rPr>
          <w:b/>
          <w:bCs/>
          <w:lang w:val="en-GB"/>
        </w:rPr>
        <w:t>Intersex Study</w:t>
      </w:r>
      <w:r w:rsidR="00A330AC" w:rsidRPr="00CF0F1C">
        <w:rPr>
          <w:lang w:val="en-GB"/>
        </w:rPr>
        <w:t xml:space="preserve"> commissioned by the </w:t>
      </w:r>
      <w:r w:rsidR="00A330AC" w:rsidRPr="00CF0F1C">
        <w:rPr>
          <w:b/>
          <w:bCs/>
          <w:lang w:val="en-GB"/>
        </w:rPr>
        <w:t>Ministry of Justice</w:t>
      </w:r>
      <w:r w:rsidR="00A330AC" w:rsidRPr="00CF0F1C">
        <w:rPr>
          <w:rStyle w:val="FootnoteReference"/>
          <w:lang w:val="en-GB"/>
        </w:rPr>
        <w:footnoteReference w:id="34"/>
      </w:r>
      <w:r w:rsidR="00A330AC" w:rsidRPr="00CF0F1C">
        <w:rPr>
          <w:lang w:val="en-GB"/>
        </w:rPr>
        <w:t xml:space="preserve"> (p. 26/p. 32 in PDF)</w:t>
      </w:r>
      <w:r w:rsidR="007E6CF8" w:rsidRPr="00CF0F1C">
        <w:rPr>
          <w:lang w:val="en-GB"/>
        </w:rPr>
        <w:t xml:space="preserve">, </w:t>
      </w:r>
      <w:r w:rsidR="007E6CF8" w:rsidRPr="00CF0F1C">
        <w:rPr>
          <w:b/>
          <w:bCs/>
          <w:lang w:val="en-GB"/>
        </w:rPr>
        <w:t>claims</w:t>
      </w:r>
      <w:r w:rsidR="007E6CF8" w:rsidRPr="00CF0F1C">
        <w:rPr>
          <w:lang w:val="en-GB"/>
        </w:rPr>
        <w:t xml:space="preserve"> that only the Helsinki University Hospital (HUS) and the Tampere University Hospital (TAYS) continue with non-consensual, unnecessary genital surgeries, </w:t>
      </w:r>
      <w:r w:rsidR="004529E2" w:rsidRPr="00CF0F1C">
        <w:rPr>
          <w:lang w:val="en-GB"/>
        </w:rPr>
        <w:t xml:space="preserve">and that the Oulu University Hospital (OYS) </w:t>
      </w:r>
      <w:r w:rsidR="00F9701A" w:rsidRPr="00CF0F1C">
        <w:rPr>
          <w:lang w:val="en-GB"/>
        </w:rPr>
        <w:t>h</w:t>
      </w:r>
      <w:r w:rsidR="004529E2" w:rsidRPr="00CF0F1C">
        <w:rPr>
          <w:lang w:val="en-GB"/>
        </w:rPr>
        <w:t xml:space="preserve">as stopped performing unnecessary surgeries, </w:t>
      </w:r>
      <w:r w:rsidR="00401DDD" w:rsidRPr="00CF0F1C">
        <w:rPr>
          <w:lang w:val="en-GB"/>
        </w:rPr>
        <w:t xml:space="preserve">the following sections </w:t>
      </w:r>
      <w:r w:rsidR="00401DDD" w:rsidRPr="00CF0F1C">
        <w:rPr>
          <w:b/>
          <w:bCs/>
          <w:lang w:val="en-GB"/>
        </w:rPr>
        <w:t>demonstrate</w:t>
      </w:r>
      <w:r w:rsidR="00401DDD" w:rsidRPr="00CF0F1C">
        <w:rPr>
          <w:lang w:val="en-GB"/>
        </w:rPr>
        <w:t xml:space="preserve"> </w:t>
      </w:r>
      <w:r w:rsidR="00436D1F" w:rsidRPr="00CF0F1C">
        <w:rPr>
          <w:lang w:val="en-GB"/>
        </w:rPr>
        <w:t xml:space="preserve">that </w:t>
      </w:r>
      <w:r w:rsidR="00436D1F" w:rsidRPr="00CF0F1C">
        <w:rPr>
          <w:b/>
          <w:bCs/>
          <w:lang w:val="en-GB"/>
        </w:rPr>
        <w:t xml:space="preserve">all 5 University Hospitals </w:t>
      </w:r>
      <w:r w:rsidR="00436D1F" w:rsidRPr="00CF0F1C">
        <w:rPr>
          <w:lang w:val="en-GB"/>
        </w:rPr>
        <w:t>continue practising IGM.</w:t>
      </w:r>
    </w:p>
    <w:p w14:paraId="433D37A5" w14:textId="20CF692A" w:rsidR="0017196C" w:rsidRPr="00CF0F1C" w:rsidRDefault="00D95953" w:rsidP="008E1474">
      <w:pPr>
        <w:pStyle w:val="absatzschattenbericht"/>
        <w:rPr>
          <w:lang w:val="en-GB"/>
        </w:rPr>
      </w:pPr>
      <w:r w:rsidRPr="00D95953">
        <w:rPr>
          <w:lang w:val="en-GB"/>
        </w:rPr>
        <w:t>Data on IGM procedures are scarce.</w:t>
      </w:r>
      <w:r>
        <w:rPr>
          <w:lang w:val="en-GB"/>
        </w:rPr>
        <w:t xml:space="preserve"> </w:t>
      </w:r>
      <w:r w:rsidR="003C734C" w:rsidRPr="008E1474">
        <w:rPr>
          <w:lang w:val="en-GB"/>
        </w:rPr>
        <w:t>Notably</w:t>
      </w:r>
      <w:r w:rsidR="00BE3611" w:rsidRPr="008E1474">
        <w:rPr>
          <w:lang w:val="en-GB"/>
        </w:rPr>
        <w:t xml:space="preserve">, </w:t>
      </w:r>
      <w:r w:rsidR="0027384D" w:rsidRPr="008E1474">
        <w:rPr>
          <w:lang w:val="en-GB"/>
        </w:rPr>
        <w:t xml:space="preserve">the </w:t>
      </w:r>
      <w:r w:rsidR="0027384D" w:rsidRPr="008E1474">
        <w:rPr>
          <w:b/>
          <w:bCs/>
          <w:lang w:val="en-GB"/>
        </w:rPr>
        <w:t>2020 CCPR State Party Report</w:t>
      </w:r>
      <w:r w:rsidR="0027384D" w:rsidRPr="008E1474">
        <w:rPr>
          <w:lang w:val="en-GB"/>
        </w:rPr>
        <w:t xml:space="preserve"> (CCPR/C/FIN/7, paras 108-114) also included some</w:t>
      </w:r>
      <w:r w:rsidR="00826EC7" w:rsidRPr="008E1474">
        <w:rPr>
          <w:lang w:val="en-GB"/>
        </w:rPr>
        <w:t xml:space="preserve">, though </w:t>
      </w:r>
      <w:r>
        <w:rPr>
          <w:lang w:val="en-GB"/>
        </w:rPr>
        <w:t>arguably</w:t>
      </w:r>
      <w:r w:rsidR="00826EC7" w:rsidRPr="008E1474">
        <w:rPr>
          <w:lang w:val="en-GB"/>
        </w:rPr>
        <w:t xml:space="preserve"> partial (see below, p. </w:t>
      </w:r>
      <w:r w:rsidR="00383C48">
        <w:rPr>
          <w:lang w:val="en-GB"/>
        </w:rPr>
        <w:t>16, 17</w:t>
      </w:r>
      <w:r w:rsidR="00826EC7" w:rsidRPr="008E1474">
        <w:rPr>
          <w:lang w:val="en-GB"/>
        </w:rPr>
        <w:t>)</w:t>
      </w:r>
      <w:r w:rsidR="0027384D" w:rsidRPr="008E1474">
        <w:rPr>
          <w:lang w:val="en-GB"/>
        </w:rPr>
        <w:t xml:space="preserve"> numbers</w:t>
      </w:r>
      <w:r w:rsidR="00826EC7" w:rsidRPr="008E1474">
        <w:rPr>
          <w:lang w:val="en-GB"/>
        </w:rPr>
        <w:t>:</w:t>
      </w:r>
    </w:p>
    <w:p w14:paraId="092B0A65" w14:textId="74D0CED2" w:rsidR="0027384D" w:rsidRPr="00CF0F1C" w:rsidRDefault="00826EC7" w:rsidP="00292B8F">
      <w:pPr>
        <w:pStyle w:val="absatzschattenbericht"/>
        <w:ind w:left="284"/>
        <w:rPr>
          <w:i/>
          <w:iCs/>
          <w:lang w:val="en-GB"/>
        </w:rPr>
      </w:pPr>
      <w:r w:rsidRPr="00CF0F1C">
        <w:rPr>
          <w:i/>
          <w:iCs/>
          <w:lang w:val="en-GB"/>
        </w:rPr>
        <w:t>“</w:t>
      </w:r>
      <w:r w:rsidR="0027384D" w:rsidRPr="00CF0F1C">
        <w:rPr>
          <w:i/>
          <w:iCs/>
          <w:lang w:val="en-GB"/>
        </w:rPr>
        <w:t xml:space="preserve">112. According to the Hospital District of Helsinki and </w:t>
      </w:r>
      <w:proofErr w:type="spellStart"/>
      <w:r w:rsidR="0027384D" w:rsidRPr="00CF0F1C">
        <w:rPr>
          <w:i/>
          <w:iCs/>
          <w:lang w:val="en-GB"/>
        </w:rPr>
        <w:t>Uusimaa</w:t>
      </w:r>
      <w:proofErr w:type="spellEnd"/>
      <w:r w:rsidR="0027384D" w:rsidRPr="00CF0F1C">
        <w:rPr>
          <w:i/>
          <w:iCs/>
          <w:lang w:val="en-GB"/>
        </w:rPr>
        <w:t xml:space="preserve"> (HUS), corrective surgery on genitals is </w:t>
      </w:r>
      <w:proofErr w:type="gramStart"/>
      <w:r w:rsidR="0027384D" w:rsidRPr="00CF0F1C">
        <w:rPr>
          <w:i/>
          <w:iCs/>
          <w:lang w:val="en-GB"/>
        </w:rPr>
        <w:t>at the moment</w:t>
      </w:r>
      <w:proofErr w:type="gramEnd"/>
      <w:r w:rsidR="0027384D" w:rsidRPr="00CF0F1C">
        <w:rPr>
          <w:i/>
          <w:iCs/>
          <w:lang w:val="en-GB"/>
        </w:rPr>
        <w:t xml:space="preserve"> basically only performed on those patients whose gender has been confirmed as male or female. In unclear cases, an endocrinological team will determine the gender. If the gender is unclear, the principle is that no surgery will be performed. If the patient or family demands an operation which can be considered medically feasible and which is consistent with international treatment practices, then the surgery is provided as far as possible. According to a report compiled at HUS </w:t>
      </w:r>
      <w:proofErr w:type="gramStart"/>
      <w:r w:rsidR="0027384D" w:rsidRPr="00CF0F1C">
        <w:rPr>
          <w:i/>
          <w:iCs/>
          <w:lang w:val="en-GB"/>
        </w:rPr>
        <w:t>on the basis of</w:t>
      </w:r>
      <w:proofErr w:type="gramEnd"/>
      <w:r w:rsidR="0027384D" w:rsidRPr="00CF0F1C">
        <w:rPr>
          <w:i/>
          <w:iCs/>
          <w:lang w:val="en-GB"/>
        </w:rPr>
        <w:t xml:space="preserve"> the Care Register, university hospitals perform about 5 to 40 operations on the genital area in boys per year, most of them having to do with a congenital malformation. The average number of corrective operations on the external genitalia of girls in the 2000s has been 0 to 1 per year.</w:t>
      </w:r>
      <w:r w:rsidRPr="00CF0F1C">
        <w:rPr>
          <w:i/>
          <w:iCs/>
          <w:lang w:val="en-GB"/>
        </w:rPr>
        <w:t>”</w:t>
      </w:r>
    </w:p>
    <w:p w14:paraId="37013F0B" w14:textId="1CBEDEF2" w:rsidR="003C734C" w:rsidRPr="00CF0F1C" w:rsidRDefault="00091C15" w:rsidP="00292B8F">
      <w:pPr>
        <w:pStyle w:val="absatzschattenbericht"/>
        <w:rPr>
          <w:lang w:val="en-GB"/>
        </w:rPr>
      </w:pPr>
      <w:r w:rsidRPr="00CF0F1C">
        <w:rPr>
          <w:lang w:val="en-GB"/>
        </w:rPr>
        <w:t>A</w:t>
      </w:r>
      <w:r w:rsidR="003C734C" w:rsidRPr="00CF0F1C">
        <w:rPr>
          <w:lang w:val="en-GB"/>
        </w:rPr>
        <w:t>lso</w:t>
      </w:r>
      <w:r w:rsidR="00826EC7" w:rsidRPr="00CF0F1C">
        <w:rPr>
          <w:lang w:val="en-GB"/>
        </w:rPr>
        <w:t>,</w:t>
      </w:r>
      <w:r w:rsidR="003C734C" w:rsidRPr="00CF0F1C">
        <w:rPr>
          <w:lang w:val="en-GB"/>
        </w:rPr>
        <w:t xml:space="preserve"> the </w:t>
      </w:r>
      <w:r w:rsidR="003C734C" w:rsidRPr="00CF0F1C">
        <w:rPr>
          <w:b/>
          <w:bCs/>
          <w:lang w:val="en-GB"/>
        </w:rPr>
        <w:t>2019 Intersex Study</w:t>
      </w:r>
      <w:r w:rsidR="00106430" w:rsidRPr="00CF0F1C">
        <w:rPr>
          <w:rStyle w:val="FootnoteReference"/>
          <w:lang w:val="en-GB"/>
        </w:rPr>
        <w:footnoteReference w:id="35"/>
      </w:r>
      <w:r w:rsidR="003C734C" w:rsidRPr="00CF0F1C">
        <w:rPr>
          <w:lang w:val="en-GB"/>
        </w:rPr>
        <w:t xml:space="preserve"> </w:t>
      </w:r>
      <w:r w:rsidR="00B04D64" w:rsidRPr="00CF0F1C">
        <w:rPr>
          <w:lang w:val="en-GB"/>
        </w:rPr>
        <w:t xml:space="preserve">commissioned by the Ministry of Justice </w:t>
      </w:r>
      <w:r w:rsidR="003C734C" w:rsidRPr="00CF0F1C">
        <w:rPr>
          <w:b/>
          <w:bCs/>
          <w:lang w:val="en-GB"/>
        </w:rPr>
        <w:t>confirm</w:t>
      </w:r>
      <w:r w:rsidR="00826EC7" w:rsidRPr="00CF0F1C">
        <w:rPr>
          <w:b/>
          <w:bCs/>
          <w:lang w:val="en-GB"/>
        </w:rPr>
        <w:t>ed</w:t>
      </w:r>
      <w:r w:rsidR="003C734C" w:rsidRPr="00CF0F1C">
        <w:rPr>
          <w:b/>
          <w:bCs/>
          <w:lang w:val="en-GB"/>
        </w:rPr>
        <w:t xml:space="preserve"> the ongoing pract</w:t>
      </w:r>
      <w:r w:rsidR="005E019F" w:rsidRPr="00CF0F1C">
        <w:rPr>
          <w:b/>
          <w:bCs/>
          <w:lang w:val="en-GB"/>
        </w:rPr>
        <w:t>ice</w:t>
      </w:r>
      <w:r w:rsidR="0044509A" w:rsidRPr="00CF0F1C">
        <w:rPr>
          <w:lang w:val="en-GB"/>
        </w:rPr>
        <w:t xml:space="preserve"> (p. 44/p. 50 in PDF):</w:t>
      </w:r>
    </w:p>
    <w:p w14:paraId="7FA0CF4D" w14:textId="03C3B9C4" w:rsidR="0044509A" w:rsidRPr="00CF0F1C" w:rsidRDefault="0044509A" w:rsidP="00292B8F">
      <w:pPr>
        <w:pStyle w:val="absatzschattenbericht"/>
        <w:ind w:left="284"/>
        <w:rPr>
          <w:i/>
          <w:iCs/>
          <w:lang w:val="en-GB"/>
        </w:rPr>
      </w:pPr>
      <w:r w:rsidRPr="00CF0F1C">
        <w:rPr>
          <w:i/>
          <w:iCs/>
          <w:lang w:val="en-GB"/>
        </w:rPr>
        <w:lastRenderedPageBreak/>
        <w:t>“[T]he experiences shared by the parents whose children were born between 2010 and 2019 go to show that interventions such as non-vital genital surgery are still being performed.”</w:t>
      </w:r>
    </w:p>
    <w:p w14:paraId="5D4859D8" w14:textId="3611DF2E" w:rsidR="00F745B1" w:rsidRPr="00CF0F1C" w:rsidRDefault="00B15351" w:rsidP="00292B8F">
      <w:pPr>
        <w:pStyle w:val="absatzschattenbericht"/>
        <w:rPr>
          <w:rFonts w:cs="Times New Roman"/>
          <w:b/>
          <w:lang w:val="en-GB"/>
        </w:rPr>
      </w:pPr>
      <w:r w:rsidRPr="00CF0F1C">
        <w:rPr>
          <w:rFonts w:cs="Times New Roman"/>
          <w:b/>
          <w:lang w:val="en-GB"/>
        </w:rPr>
        <w:t>Currently practiced forms of IGM in Finland include:</w:t>
      </w:r>
      <w:bookmarkStart w:id="63" w:name="_Toc507786410"/>
    </w:p>
    <w:p w14:paraId="3BAB8AB0" w14:textId="77777777" w:rsidR="00B15351" w:rsidRPr="00CF0F1C" w:rsidRDefault="00B15351" w:rsidP="00DE0ADF">
      <w:pPr>
        <w:pStyle w:val="Title3"/>
        <w:rPr>
          <w:rFonts w:eastAsia="Times New Roman"/>
        </w:rPr>
      </w:pPr>
      <w:bookmarkStart w:id="64" w:name="_Toc19465687"/>
      <w:bookmarkStart w:id="65" w:name="_Toc34004100"/>
      <w:bookmarkStart w:id="66" w:name="_Toc161663951"/>
      <w:r w:rsidRPr="00CF0F1C">
        <w:t>a) IGM 3 – Sterilising Procedures:</w:t>
      </w:r>
      <w:r w:rsidRPr="00CF0F1C">
        <w:br/>
        <w:t xml:space="preserve">    Castration / “Gonadectomy” / Hysterectomy /</w:t>
      </w:r>
      <w:r w:rsidRPr="00CF0F1C">
        <w:br/>
        <w:t xml:space="preserve">    Removal of “Discordant Reproductive Structures” / (Secondary) Sterilisation</w:t>
      </w:r>
      <w:r w:rsidRPr="00CF0F1C">
        <w:br/>
        <w:t xml:space="preserve">    Plus arbitrary imposition of hormones </w:t>
      </w:r>
      <w:r w:rsidRPr="00CF0F1C">
        <w:rPr>
          <w:rStyle w:val="Funotenzeichen3"/>
          <w:b w:val="0"/>
          <w:bCs w:val="0"/>
        </w:rPr>
        <w:footnoteReference w:id="36"/>
      </w:r>
      <w:bookmarkEnd w:id="63"/>
      <w:bookmarkEnd w:id="64"/>
      <w:bookmarkEnd w:id="65"/>
      <w:bookmarkEnd w:id="66"/>
    </w:p>
    <w:p w14:paraId="189ADB2B" w14:textId="573F7407" w:rsidR="00727B3D" w:rsidRPr="00383C48" w:rsidRDefault="007A096A" w:rsidP="00727B3D">
      <w:pPr>
        <w:pStyle w:val="absatzschattenbericht"/>
        <w:rPr>
          <w:b/>
          <w:bCs/>
        </w:rPr>
      </w:pPr>
      <w:r w:rsidRPr="00CF0F1C">
        <w:rPr>
          <w:lang w:val="en-GB"/>
        </w:rPr>
        <w:t xml:space="preserve">The </w:t>
      </w:r>
      <w:r w:rsidRPr="00CF0F1C">
        <w:rPr>
          <w:b/>
          <w:bCs/>
          <w:lang w:val="en-GB"/>
        </w:rPr>
        <w:t>Finnish Urological Association (</w:t>
      </w:r>
      <w:proofErr w:type="spellStart"/>
      <w:r w:rsidRPr="00CF0F1C">
        <w:rPr>
          <w:b/>
          <w:bCs/>
          <w:lang w:val="en-GB"/>
        </w:rPr>
        <w:t>Suomen</w:t>
      </w:r>
      <w:proofErr w:type="spellEnd"/>
      <w:r w:rsidRPr="00CF0F1C">
        <w:rPr>
          <w:b/>
          <w:bCs/>
          <w:lang w:val="en-GB"/>
        </w:rPr>
        <w:t xml:space="preserve"> </w:t>
      </w:r>
      <w:proofErr w:type="spellStart"/>
      <w:r w:rsidRPr="00CF0F1C">
        <w:rPr>
          <w:b/>
          <w:bCs/>
          <w:lang w:val="en-GB"/>
        </w:rPr>
        <w:t>Urologiyhdistys</w:t>
      </w:r>
      <w:proofErr w:type="spellEnd"/>
      <w:r w:rsidRPr="00CF0F1C">
        <w:rPr>
          <w:b/>
          <w:bCs/>
          <w:lang w:val="en-GB"/>
        </w:rPr>
        <w:t>)</w:t>
      </w:r>
      <w:r w:rsidRPr="00CF0F1C">
        <w:rPr>
          <w:lang w:val="en-GB"/>
        </w:rPr>
        <w:t xml:space="preserve"> </w:t>
      </w:r>
      <w:r w:rsidR="00727B3D" w:rsidRPr="006203CD">
        <w:rPr>
          <w:lang w:val="en-GB"/>
        </w:rPr>
        <w:t>endorses the</w:t>
      </w:r>
      <w:r w:rsidR="00727B3D">
        <w:rPr>
          <w:lang w:val="en-GB"/>
        </w:rPr>
        <w:t xml:space="preserve"> current</w:t>
      </w:r>
      <w:r w:rsidR="00727B3D" w:rsidRPr="006203CD">
        <w:rPr>
          <w:lang w:val="en-GB"/>
        </w:rPr>
        <w:t xml:space="preserve"> </w:t>
      </w:r>
      <w:r w:rsidR="00727B3D">
        <w:rPr>
          <w:b/>
          <w:lang w:val="en-GB"/>
        </w:rPr>
        <w:t>2023</w:t>
      </w:r>
      <w:r w:rsidR="00727B3D" w:rsidRPr="006203CD">
        <w:rPr>
          <w:b/>
          <w:lang w:val="en-GB"/>
        </w:rPr>
        <w:t xml:space="preserve"> Guidelines of the European Association of Urology (EAU)</w:t>
      </w:r>
      <w:r w:rsidR="00727B3D" w:rsidRPr="006203CD">
        <w:rPr>
          <w:bCs/>
          <w:lang w:val="en-GB"/>
        </w:rPr>
        <w:t>,</w:t>
      </w:r>
      <w:r w:rsidR="00727B3D" w:rsidRPr="006203CD">
        <w:rPr>
          <w:rStyle w:val="FootnoteReference"/>
          <w:lang w:val="en-GB"/>
        </w:rPr>
        <w:footnoteReference w:id="37"/>
      </w:r>
      <w:r w:rsidR="00727B3D" w:rsidRPr="006203CD">
        <w:rPr>
          <w:bCs/>
          <w:lang w:val="en-GB"/>
        </w:rPr>
        <w:t xml:space="preserve"> which include the current </w:t>
      </w:r>
      <w:r w:rsidR="00727B3D" w:rsidRPr="006203CD">
        <w:rPr>
          <w:b/>
          <w:lang w:val="en-GB"/>
        </w:rPr>
        <w:t xml:space="preserve">ESPU/EAU </w:t>
      </w:r>
      <w:r w:rsidR="00727B3D" w:rsidRPr="006203CD">
        <w:rPr>
          <w:b/>
          <w:i/>
          <w:lang w:val="en-GB"/>
        </w:rPr>
        <w:t xml:space="preserve">“Paediatric Urology” </w:t>
      </w:r>
      <w:r w:rsidR="00727B3D" w:rsidRPr="006203CD">
        <w:rPr>
          <w:b/>
          <w:lang w:val="en-GB"/>
        </w:rPr>
        <w:t>Guidelines</w:t>
      </w:r>
      <w:r w:rsidR="00727B3D">
        <w:rPr>
          <w:b/>
          <w:lang w:val="en-GB"/>
        </w:rPr>
        <w:t xml:space="preserve"> 2023</w:t>
      </w:r>
      <w:r w:rsidR="00727B3D" w:rsidRPr="006203CD">
        <w:rPr>
          <w:rStyle w:val="FootnoteReference"/>
          <w:lang w:val="en-GB"/>
        </w:rPr>
        <w:footnoteReference w:id="38"/>
      </w:r>
      <w:r w:rsidR="00727B3D" w:rsidRPr="006203CD">
        <w:rPr>
          <w:lang w:val="en-GB"/>
        </w:rPr>
        <w:t xml:space="preserve"> of the European Society for Paediatric Urology (ESPU) and the European Association of Urology (EAU) which </w:t>
      </w:r>
      <w:r w:rsidR="00727B3D" w:rsidRPr="00727B3D">
        <w:rPr>
          <w:lang w:val="en-GB"/>
        </w:rPr>
        <w:t>stress</w:t>
      </w:r>
      <w:r w:rsidR="00727B3D" w:rsidRPr="006203CD">
        <w:rPr>
          <w:lang w:val="en-GB"/>
        </w:rPr>
        <w:t>:</w:t>
      </w:r>
      <w:r w:rsidR="00727B3D" w:rsidRPr="006203CD">
        <w:rPr>
          <w:rStyle w:val="FootnoteReference"/>
          <w:lang w:val="en-GB"/>
        </w:rPr>
        <w:footnoteReference w:id="39"/>
      </w:r>
    </w:p>
    <w:p w14:paraId="07D6D239" w14:textId="77777777" w:rsidR="00727B3D" w:rsidRDefault="00727B3D" w:rsidP="00727B3D">
      <w:pPr>
        <w:pStyle w:val="absatzschattenbericht"/>
        <w:ind w:left="284"/>
        <w:rPr>
          <w:i/>
          <w:iCs/>
          <w:lang w:val="en-GB"/>
        </w:rPr>
      </w:pPr>
      <w:r w:rsidRPr="006203CD">
        <w:rPr>
          <w:i/>
          <w:iCs/>
          <w:lang w:val="en-GB"/>
        </w:rPr>
        <w:t>“</w:t>
      </w:r>
      <w:r w:rsidRPr="00236717">
        <w:rPr>
          <w:i/>
          <w:iCs/>
          <w:lang w:val="en-GB"/>
        </w:rPr>
        <w:t xml:space="preserve">The issue of whether gonads should be removed and the </w:t>
      </w:r>
      <w:proofErr w:type="spellStart"/>
      <w:r w:rsidRPr="00727B3D">
        <w:rPr>
          <w:i/>
          <w:iCs/>
          <w:lang w:val="en-GB"/>
        </w:rPr>
        <w:t>timining</w:t>
      </w:r>
      <w:proofErr w:type="spellEnd"/>
      <w:r w:rsidRPr="00236717">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236717">
        <w:rPr>
          <w:i/>
          <w:iCs/>
          <w:lang w:val="en-GB"/>
        </w:rPr>
        <w:t>occuring</w:t>
      </w:r>
      <w:proofErr w:type="spellEnd"/>
      <w:r w:rsidRPr="00236717">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236717">
        <w:rPr>
          <w:i/>
          <w:iCs/>
          <w:lang w:val="en-GB"/>
        </w:rPr>
        <w:t>deferal</w:t>
      </w:r>
      <w:proofErr w:type="spellEnd"/>
      <w:r w:rsidRPr="00236717">
        <w:rPr>
          <w:i/>
          <w:iCs/>
          <w:lang w:val="en-GB"/>
        </w:rPr>
        <w:t xml:space="preserve"> of gonadectomy until after puberty [1248, 1249].</w:t>
      </w:r>
      <w:r w:rsidRPr="006203CD">
        <w:rPr>
          <w:i/>
          <w:iCs/>
          <w:lang w:val="en-GB"/>
        </w:rPr>
        <w:t>”</w:t>
      </w:r>
    </w:p>
    <w:p w14:paraId="574B80C4" w14:textId="77777777" w:rsidR="00727B3D" w:rsidRPr="006203CD" w:rsidRDefault="00727B3D" w:rsidP="00727B3D">
      <w:pPr>
        <w:pStyle w:val="absatzschattenbericht"/>
        <w:rPr>
          <w:lang w:val="en-GB"/>
        </w:rPr>
      </w:pPr>
      <w:r w:rsidRPr="006203CD">
        <w:rPr>
          <w:lang w:val="en-GB"/>
        </w:rPr>
        <w:t xml:space="preserve">Further, regarding </w:t>
      </w:r>
      <w:r w:rsidRPr="006203CD">
        <w:rPr>
          <w:i/>
          <w:iCs/>
          <w:lang w:val="en-GB"/>
        </w:rPr>
        <w:t>“whether and when to pursue gonadal or genital surgery”</w:t>
      </w:r>
      <w:r w:rsidRPr="006203CD">
        <w:rPr>
          <w:lang w:val="en-GB"/>
        </w:rPr>
        <w:t>,</w:t>
      </w:r>
      <w:r w:rsidRPr="003020B8">
        <w:rPr>
          <w:rStyle w:val="FootnoteReference"/>
          <w:lang w:val="en-GB"/>
        </w:rPr>
        <w:footnoteReference w:id="40"/>
      </w:r>
      <w:r w:rsidRPr="006203CD">
        <w:rPr>
          <w:lang w:val="en-GB"/>
        </w:rPr>
        <w:t xml:space="preserve"> the Guidelines refer to the </w:t>
      </w:r>
      <w:r w:rsidRPr="006203CD">
        <w:rPr>
          <w:rFonts w:eastAsia="Baskerville-SemiBoldItalic"/>
          <w:b/>
          <w:bCs/>
          <w:i/>
          <w:iCs/>
          <w:lang w:val="en-GB"/>
        </w:rPr>
        <w:t>“ESPU/SPU standpoint on the surgical management of Disorders of Sex Development (DSD)”</w:t>
      </w:r>
      <w:r w:rsidRPr="006203CD">
        <w:rPr>
          <w:rFonts w:eastAsia="Baskerville-SemiBoldItalic"/>
          <w:lang w:val="en-GB"/>
        </w:rPr>
        <w:t>,</w:t>
      </w:r>
      <w:r w:rsidRPr="006203CD">
        <w:rPr>
          <w:rStyle w:val="FootnoteReference"/>
          <w:rFonts w:cs="Times New Roman"/>
          <w:lang w:val="en-GB"/>
        </w:rPr>
        <w:footnoteReference w:id="41"/>
      </w:r>
      <w:r w:rsidRPr="006203CD">
        <w:rPr>
          <w:lang w:val="en-GB"/>
        </w:rPr>
        <w:t xml:space="preserve"> which advocates “gonadectomies”:</w:t>
      </w:r>
    </w:p>
    <w:p w14:paraId="0697B18E" w14:textId="77777777" w:rsidR="00727B3D" w:rsidRPr="00530E7D" w:rsidRDefault="00727B3D" w:rsidP="00727B3D">
      <w:pPr>
        <w:pStyle w:val="absatzschattenbericht"/>
        <w:ind w:left="284" w:right="-1"/>
        <w:rPr>
          <w:i/>
          <w:lang w:val="en-GB"/>
        </w:rPr>
      </w:pPr>
      <w:r w:rsidRPr="00530E7D">
        <w:rPr>
          <w:rFonts w:eastAsia="Baskerville-SemiBoldItalic"/>
          <w:b/>
          <w:bCs/>
          <w:i/>
          <w:lang w:val="en-GB"/>
        </w:rPr>
        <w:t>“Testes are</w:t>
      </w:r>
      <w:r w:rsidRPr="00530E7D">
        <w:rPr>
          <w:i/>
          <w:lang w:val="en-GB"/>
        </w:rPr>
        <w:t xml:space="preserve"> either brought down in boys or </w:t>
      </w:r>
      <w:r w:rsidRPr="00530E7D">
        <w:rPr>
          <w:rFonts w:eastAsia="Baskerville-SemiBoldItalic"/>
          <w:b/>
          <w:bCs/>
          <w:i/>
          <w:lang w:val="en-GB"/>
        </w:rPr>
        <w:t>removed</w:t>
      </w:r>
      <w:r w:rsidRPr="00530E7D">
        <w:rPr>
          <w:i/>
          <w:lang w:val="en-GB"/>
        </w:rPr>
        <w:t xml:space="preserve"> if </w:t>
      </w:r>
      <w:proofErr w:type="spellStart"/>
      <w:r w:rsidRPr="00530E7D">
        <w:rPr>
          <w:i/>
          <w:lang w:val="en-GB"/>
        </w:rPr>
        <w:t>dysgenetic</w:t>
      </w:r>
      <w:proofErr w:type="spellEnd"/>
      <w:r w:rsidRPr="00530E7D">
        <w:rPr>
          <w:i/>
          <w:lang w:val="en-GB"/>
        </w:rPr>
        <w:t xml:space="preserve"> with tumour risk or </w:t>
      </w:r>
      <w:r w:rsidRPr="00530E7D">
        <w:rPr>
          <w:rFonts w:eastAsia="Baskerville-SemiBoldItalic"/>
          <w:b/>
          <w:bCs/>
          <w:i/>
          <w:lang w:val="en-GB"/>
        </w:rPr>
        <w:t xml:space="preserve">in complete androgen insensitivity syndrome or 5 alpha reductase deficiency. </w:t>
      </w:r>
      <w:r w:rsidRPr="00530E7D">
        <w:rPr>
          <w:i/>
          <w:lang w:val="en-GB"/>
        </w:rPr>
        <w:t>Testicular prostheses can be inserted at puberty at the patient’s request.</w:t>
      </w:r>
      <w:r w:rsidRPr="00530E7D">
        <w:rPr>
          <w:rFonts w:eastAsia="Baskerville-SemiBoldItalic"/>
          <w:b/>
          <w:bCs/>
          <w:i/>
          <w:lang w:val="en-GB"/>
        </w:rPr>
        <w:t>”</w:t>
      </w:r>
    </w:p>
    <w:p w14:paraId="0483399B" w14:textId="77777777" w:rsidR="00727B3D" w:rsidRPr="006203CD" w:rsidRDefault="00727B3D" w:rsidP="00727B3D">
      <w:pPr>
        <w:pStyle w:val="absatzschattenbericht"/>
        <w:rPr>
          <w:lang w:val="en-GB"/>
        </w:rPr>
      </w:pPr>
      <w:r w:rsidRPr="006203CD">
        <w:rPr>
          <w:lang w:val="en-GB"/>
        </w:rPr>
        <w:t xml:space="preserve">Also, the </w:t>
      </w:r>
      <w:r w:rsidRPr="006203CD">
        <w:rPr>
          <w:rFonts w:eastAsia="Baskerville-SemiBold"/>
          <w:b/>
          <w:bCs/>
          <w:lang w:val="en-GB"/>
        </w:rPr>
        <w:t>“2016 Global Disorders of Sex Development Consensus Statement”</w:t>
      </w:r>
      <w:r w:rsidRPr="006203CD">
        <w:rPr>
          <w:rStyle w:val="FootnoteReference"/>
          <w:rFonts w:cs="Times New Roman"/>
          <w:lang w:val="en-GB"/>
        </w:rPr>
        <w:footnoteReference w:id="42"/>
      </w:r>
      <w:r w:rsidRPr="006203CD">
        <w:rPr>
          <w:lang w:val="en-GB"/>
        </w:rPr>
        <w:t xml:space="preserve"> refers to the </w:t>
      </w:r>
      <w:r w:rsidRPr="006203CD">
        <w:rPr>
          <w:i/>
          <w:iCs/>
          <w:lang w:val="en-GB"/>
        </w:rPr>
        <w:t>“ESPU/SPU standpoint”</w:t>
      </w:r>
      <w:r w:rsidRPr="006203CD">
        <w:rPr>
          <w:lang w:val="en-GB"/>
        </w:rPr>
        <w:t>,</w:t>
      </w:r>
      <w:r w:rsidRPr="006203CD">
        <w:rPr>
          <w:i/>
          <w:iCs/>
          <w:lang w:val="en-GB"/>
        </w:rPr>
        <w:t xml:space="preserve"> </w:t>
      </w:r>
      <w:r w:rsidRPr="006203CD">
        <w:rPr>
          <w:lang w:val="en-GB"/>
        </w:rPr>
        <w:t xml:space="preserve">advocates </w:t>
      </w:r>
      <w:r w:rsidRPr="006203CD">
        <w:rPr>
          <w:i/>
          <w:lang w:val="en-GB"/>
        </w:rPr>
        <w:t>“gonadectomy”</w:t>
      </w:r>
      <w:r w:rsidRPr="006203CD">
        <w:rPr>
          <w:lang w:val="en-GB"/>
        </w:rPr>
        <w:t xml:space="preserve"> – even when admitting </w:t>
      </w:r>
      <w:r w:rsidRPr="006203CD">
        <w:rPr>
          <w:rFonts w:eastAsia="Baskerville-Italic"/>
          <w:i/>
          <w:iCs/>
          <w:lang w:val="en-GB"/>
        </w:rPr>
        <w:t>“low”</w:t>
      </w:r>
      <w:r w:rsidRPr="006203CD">
        <w:rPr>
          <w:lang w:val="en-GB"/>
        </w:rPr>
        <w:t xml:space="preserve"> cancer risk for CAIS (and despite explicitly acknowledging CRC/C/CHE/CO/2-4)</w:t>
      </w:r>
      <w:r w:rsidRPr="006203CD">
        <w:rPr>
          <w:rStyle w:val="FootnoteReference"/>
          <w:rFonts w:cs="Times New Roman"/>
          <w:lang w:val="en-GB"/>
        </w:rPr>
        <w:footnoteReference w:id="43"/>
      </w:r>
      <w:r>
        <w:rPr>
          <w:lang w:val="en-GB"/>
        </w:rPr>
        <w:t>:</w:t>
      </w:r>
    </w:p>
    <w:p w14:paraId="2EA00348" w14:textId="39459872" w:rsidR="00B15351" w:rsidRPr="00CF0F1C" w:rsidRDefault="00B15351" w:rsidP="00727B3D">
      <w:pPr>
        <w:pStyle w:val="absatzschattenbericht"/>
        <w:rPr>
          <w:lang w:val="en-GB"/>
        </w:rPr>
      </w:pPr>
      <w:r w:rsidRPr="00CF0F1C">
        <w:rPr>
          <w:noProof/>
          <w:lang w:val="de-CH" w:eastAsia="de-CH" w:bidi="ar-SA"/>
        </w:rPr>
        <w:lastRenderedPageBreak/>
        <w:drawing>
          <wp:inline distT="0" distB="0" distL="0" distR="0" wp14:anchorId="2DDD9EDE" wp14:editId="2A2482D7">
            <wp:extent cx="6117590" cy="2692400"/>
            <wp:effectExtent l="0" t="0" r="3810" b="0"/>
            <wp:docPr id="27" name="Bild 1" descr="gonadectomy_dsd-2016-global-update_442975-17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adectomy_dsd-2016-global-update_442975-17_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7590" cy="2692400"/>
                    </a:xfrm>
                    <a:prstGeom prst="rect">
                      <a:avLst/>
                    </a:prstGeom>
                    <a:noFill/>
                    <a:ln>
                      <a:noFill/>
                    </a:ln>
                  </pic:spPr>
                </pic:pic>
              </a:graphicData>
            </a:graphic>
          </wp:inline>
        </w:drawing>
      </w:r>
    </w:p>
    <w:p w14:paraId="4BAAA56A" w14:textId="30322347" w:rsidR="00B15351" w:rsidRPr="00CF0F1C" w:rsidRDefault="00B15351" w:rsidP="00B15351">
      <w:pPr>
        <w:pStyle w:val="absatzschattenbericht"/>
        <w:spacing w:after="280"/>
        <w:jc w:val="center"/>
        <w:rPr>
          <w:rFonts w:ascii="Arial" w:hAnsi="Arial" w:cs="Arial"/>
          <w:sz w:val="20"/>
          <w:szCs w:val="20"/>
          <w:lang w:val="en-GB" w:eastAsia="de-CH" w:bidi="ar-SA"/>
        </w:rPr>
      </w:pPr>
      <w:r w:rsidRPr="00CF0F1C">
        <w:rPr>
          <w:rFonts w:ascii="Arial" w:hAnsi="Arial" w:cs="Arial"/>
          <w:b/>
          <w:sz w:val="20"/>
          <w:szCs w:val="20"/>
          <w:lang w:val="en-GB" w:eastAsia="de-CH" w:bidi="ar-SA"/>
        </w:rPr>
        <w:t xml:space="preserve">Source: </w:t>
      </w:r>
      <w:r w:rsidRPr="00CF0F1C">
        <w:rPr>
          <w:rFonts w:ascii="Arial" w:hAnsi="Arial" w:cs="Arial"/>
          <w:sz w:val="20"/>
          <w:szCs w:val="20"/>
          <w:lang w:val="en-GB" w:eastAsia="de-CH" w:bidi="ar-SA"/>
        </w:rPr>
        <w:t xml:space="preserve">Lee et al., in: </w:t>
      </w:r>
      <w:proofErr w:type="spellStart"/>
      <w:r w:rsidRPr="00CF0F1C">
        <w:rPr>
          <w:rFonts w:ascii="Arial" w:hAnsi="Arial" w:cs="Arial"/>
          <w:sz w:val="20"/>
          <w:szCs w:val="20"/>
          <w:lang w:val="en-GB" w:eastAsia="de-CH" w:bidi="ar-SA"/>
        </w:rPr>
        <w:t>Horm</w:t>
      </w:r>
      <w:proofErr w:type="spellEnd"/>
      <w:r w:rsidRPr="00CF0F1C">
        <w:rPr>
          <w:rFonts w:ascii="Arial" w:hAnsi="Arial" w:cs="Arial"/>
          <w:sz w:val="20"/>
          <w:szCs w:val="20"/>
          <w:lang w:val="en-GB" w:eastAsia="de-CH" w:bidi="ar-SA"/>
        </w:rPr>
        <w:t xml:space="preserve"> Res </w:t>
      </w:r>
      <w:proofErr w:type="spellStart"/>
      <w:r w:rsidRPr="00CF0F1C">
        <w:rPr>
          <w:rFonts w:ascii="Arial" w:hAnsi="Arial" w:cs="Arial"/>
          <w:sz w:val="20"/>
          <w:szCs w:val="20"/>
          <w:lang w:val="en-GB" w:eastAsia="de-CH" w:bidi="ar-SA"/>
        </w:rPr>
        <w:t>Paediatr</w:t>
      </w:r>
      <w:proofErr w:type="spellEnd"/>
      <w:r w:rsidRPr="00CF0F1C">
        <w:rPr>
          <w:rFonts w:ascii="Arial" w:hAnsi="Arial" w:cs="Arial"/>
          <w:sz w:val="20"/>
          <w:szCs w:val="20"/>
          <w:lang w:val="en-GB" w:eastAsia="de-CH" w:bidi="ar-SA"/>
        </w:rPr>
        <w:t xml:space="preserve"> 2016;85:158-180, at 174</w:t>
      </w:r>
    </w:p>
    <w:p w14:paraId="266C3190" w14:textId="3E14AE16" w:rsidR="00106430" w:rsidRPr="00CF0F1C" w:rsidRDefault="00106430" w:rsidP="00106430">
      <w:pPr>
        <w:pStyle w:val="absatzschattenbericht"/>
        <w:rPr>
          <w:lang w:val="en-GB"/>
        </w:rPr>
      </w:pPr>
      <w:r w:rsidRPr="00CF0F1C">
        <w:rPr>
          <w:lang w:val="en-GB"/>
        </w:rPr>
        <w:t xml:space="preserve">Accordingly, the </w:t>
      </w:r>
      <w:r w:rsidRPr="00CF0F1C">
        <w:rPr>
          <w:b/>
          <w:bCs/>
          <w:lang w:val="en-GB"/>
        </w:rPr>
        <w:t>2019 Intersex Study</w:t>
      </w:r>
      <w:r w:rsidRPr="00CF0F1C">
        <w:rPr>
          <w:rStyle w:val="FootnoteReference"/>
          <w:lang w:val="en-GB"/>
        </w:rPr>
        <w:footnoteReference w:id="44"/>
      </w:r>
      <w:r w:rsidRPr="00CF0F1C">
        <w:rPr>
          <w:lang w:val="en-GB"/>
        </w:rPr>
        <w:t xml:space="preserve"> commissioned by the Ministry of Justice </w:t>
      </w:r>
      <w:r w:rsidRPr="00CF0F1C">
        <w:rPr>
          <w:b/>
          <w:bCs/>
          <w:lang w:val="en-GB"/>
        </w:rPr>
        <w:t>confirms</w:t>
      </w:r>
      <w:r w:rsidR="00B5270F" w:rsidRPr="00CF0F1C">
        <w:rPr>
          <w:lang w:val="en-GB"/>
        </w:rPr>
        <w:t xml:space="preserve"> (p.</w:t>
      </w:r>
      <w:r w:rsidR="000017D4" w:rsidRPr="00CF0F1C">
        <w:rPr>
          <w:lang w:val="en-GB"/>
        </w:rPr>
        <w:t> </w:t>
      </w:r>
      <w:r w:rsidRPr="00CF0F1C">
        <w:rPr>
          <w:lang w:val="en-GB"/>
        </w:rPr>
        <w:t>44/p. 50 in PDF):</w:t>
      </w:r>
    </w:p>
    <w:p w14:paraId="362A47D2" w14:textId="6C8E80D9" w:rsidR="007E49D2" w:rsidRPr="00CF0F1C" w:rsidRDefault="00106430" w:rsidP="007E49D2">
      <w:pPr>
        <w:pStyle w:val="absatzschattenbericht"/>
        <w:ind w:left="284"/>
        <w:rPr>
          <w:i/>
          <w:iCs/>
          <w:lang w:val="en-GB"/>
        </w:rPr>
      </w:pPr>
      <w:r w:rsidRPr="00CF0F1C">
        <w:rPr>
          <w:i/>
          <w:iCs/>
          <w:lang w:val="en-GB"/>
        </w:rPr>
        <w:t>“[T]</w:t>
      </w:r>
      <w:r w:rsidR="007E49D2" w:rsidRPr="00CF0F1C">
        <w:rPr>
          <w:i/>
          <w:iCs/>
          <w:lang w:val="en-GB"/>
        </w:rPr>
        <w:t>wo intersex respondents reported that their doctors had recommended gonadectomy in their adolescence, citing cancer risk.</w:t>
      </w:r>
      <w:r w:rsidRPr="00CF0F1C">
        <w:rPr>
          <w:i/>
          <w:iCs/>
          <w:lang w:val="en-GB"/>
        </w:rPr>
        <w:t>”</w:t>
      </w:r>
    </w:p>
    <w:p w14:paraId="37999C02" w14:textId="02C793EB" w:rsidR="003C734C" w:rsidRPr="00CF0F1C" w:rsidRDefault="007E49D2" w:rsidP="00583785">
      <w:pPr>
        <w:pStyle w:val="absatzschattenbericht"/>
        <w:rPr>
          <w:lang w:val="en-GB"/>
        </w:rPr>
      </w:pPr>
      <w:r w:rsidRPr="00CF0F1C">
        <w:rPr>
          <w:lang w:val="en-GB"/>
        </w:rPr>
        <w:t xml:space="preserve">And adds the following </w:t>
      </w:r>
      <w:r w:rsidRPr="00CF0F1C">
        <w:rPr>
          <w:b/>
          <w:bCs/>
          <w:lang w:val="en-GB"/>
        </w:rPr>
        <w:t>testimony</w:t>
      </w:r>
      <w:r w:rsidRPr="00CF0F1C">
        <w:rPr>
          <w:lang w:val="en-GB"/>
        </w:rPr>
        <w:t xml:space="preserve"> (p. 48/p. 54 in PDF)</w:t>
      </w:r>
      <w:r w:rsidR="00ED1883" w:rsidRPr="00CF0F1C">
        <w:rPr>
          <w:lang w:val="en-GB"/>
        </w:rPr>
        <w:t>:</w:t>
      </w:r>
    </w:p>
    <w:p w14:paraId="0955EC94" w14:textId="41A534E9" w:rsidR="007E49D2" w:rsidRPr="00CF0F1C" w:rsidRDefault="007E49D2" w:rsidP="007E49D2">
      <w:pPr>
        <w:pStyle w:val="absatzschattenbericht"/>
        <w:ind w:left="284"/>
        <w:rPr>
          <w:i/>
          <w:iCs/>
          <w:lang w:val="en-GB"/>
        </w:rPr>
      </w:pPr>
      <w:r w:rsidRPr="00CF0F1C">
        <w:rPr>
          <w:i/>
          <w:iCs/>
          <w:lang w:val="en-GB"/>
        </w:rPr>
        <w:t>“Sara, born in the 1990s, underwent a gonadectomy during the current decade when they were a young adult. […] Sara says that, had they been better informed of its potential effects, they would not have gone through with it.</w:t>
      </w:r>
    </w:p>
    <w:p w14:paraId="5CF21F8E" w14:textId="5DC8C6F5" w:rsidR="00583785" w:rsidRPr="00CF0F1C" w:rsidRDefault="00D8505B" w:rsidP="00D8505B">
      <w:pPr>
        <w:pStyle w:val="absatzschattenbericht"/>
        <w:ind w:left="284"/>
        <w:rPr>
          <w:i/>
          <w:iCs/>
          <w:lang w:val="en-GB"/>
        </w:rPr>
      </w:pPr>
      <w:r w:rsidRPr="00CF0F1C">
        <w:rPr>
          <w:i/>
          <w:iCs/>
          <w:lang w:val="en-GB"/>
        </w:rPr>
        <w:t>‘</w:t>
      </w:r>
      <w:r w:rsidR="007E49D2" w:rsidRPr="00CF0F1C">
        <w:rPr>
          <w:i/>
          <w:iCs/>
          <w:lang w:val="en-GB"/>
        </w:rPr>
        <w:t>In my opinion, the gonadectomy was only performed because it’s part of the ‘old’ way of treating AIS. In fact, it’s highly unlikely that the gonads will develop anything malignant. And why should something be cut off in the first place just because it might possibly cause a disease at some point in the future? After all, you don’t cut women’s breasts off just because they might possibly develop breast cancer.</w:t>
      </w:r>
      <w:r w:rsidRPr="00CF0F1C">
        <w:rPr>
          <w:i/>
          <w:iCs/>
          <w:lang w:val="en-GB"/>
        </w:rPr>
        <w:t>’</w:t>
      </w:r>
      <w:r w:rsidR="007E49D2" w:rsidRPr="00CF0F1C">
        <w:rPr>
          <w:i/>
          <w:iCs/>
          <w:lang w:val="en-GB"/>
        </w:rPr>
        <w:t>”</w:t>
      </w:r>
      <w:bookmarkStart w:id="67" w:name="_Toc475924597"/>
      <w:bookmarkStart w:id="68" w:name="_Toc475924774"/>
      <w:bookmarkStart w:id="69" w:name="_Toc475924926"/>
      <w:bookmarkStart w:id="70" w:name="_Toc507786411"/>
      <w:bookmarkStart w:id="71" w:name="_Toc19465688"/>
      <w:bookmarkStart w:id="72" w:name="_Toc34004101"/>
    </w:p>
    <w:p w14:paraId="6C98BF8D" w14:textId="7BBAAA6D" w:rsidR="00B15351" w:rsidRPr="00CF0F1C" w:rsidRDefault="00B15351" w:rsidP="00DE0ADF">
      <w:pPr>
        <w:pStyle w:val="Title3"/>
        <w:rPr>
          <w:rFonts w:eastAsia="Times New Roman"/>
        </w:rPr>
      </w:pPr>
      <w:bookmarkStart w:id="73" w:name="_Toc161663952"/>
      <w:r w:rsidRPr="00CF0F1C">
        <w:t>b) IGM 2 – “Feminising Procedures”: Clitoris Amputation</w:t>
      </w:r>
      <w:proofErr w:type="gramStart"/>
      <w:r w:rsidRPr="00CF0F1C">
        <w:t>/“</w:t>
      </w:r>
      <w:proofErr w:type="gramEnd"/>
      <w:r w:rsidRPr="00CF0F1C">
        <w:t>Reduction”,</w:t>
      </w:r>
      <w:r w:rsidRPr="00CF0F1C">
        <w:br/>
        <w:t xml:space="preserve">    “Vaginoplasty”, “Labiaplasty”, Dilation</w:t>
      </w:r>
      <w:r w:rsidRPr="00CF0F1C">
        <w:rPr>
          <w:rStyle w:val="Funotenzeichen3"/>
        </w:rPr>
        <w:footnoteReference w:id="45"/>
      </w:r>
      <w:bookmarkEnd w:id="67"/>
      <w:bookmarkEnd w:id="68"/>
      <w:bookmarkEnd w:id="69"/>
      <w:bookmarkEnd w:id="70"/>
      <w:bookmarkEnd w:id="71"/>
      <w:bookmarkEnd w:id="72"/>
      <w:bookmarkEnd w:id="73"/>
    </w:p>
    <w:p w14:paraId="71827478" w14:textId="385327C1" w:rsidR="0064215F" w:rsidRPr="006203CD" w:rsidRDefault="002E62A2" w:rsidP="0064215F">
      <w:pPr>
        <w:pStyle w:val="absatzschattenbericht"/>
        <w:rPr>
          <w:lang w:val="en-GB"/>
        </w:rPr>
      </w:pPr>
      <w:r w:rsidRPr="00CF0F1C">
        <w:rPr>
          <w:lang w:val="en-GB"/>
        </w:rPr>
        <w:t xml:space="preserve">The </w:t>
      </w:r>
      <w:r w:rsidRPr="00CF0F1C">
        <w:rPr>
          <w:b/>
          <w:bCs/>
          <w:lang w:val="en-GB"/>
        </w:rPr>
        <w:t>Finnish Urological Association (</w:t>
      </w:r>
      <w:proofErr w:type="spellStart"/>
      <w:r w:rsidRPr="00CF0F1C">
        <w:rPr>
          <w:b/>
          <w:bCs/>
          <w:lang w:val="en-GB"/>
        </w:rPr>
        <w:t>Suomen</w:t>
      </w:r>
      <w:proofErr w:type="spellEnd"/>
      <w:r w:rsidRPr="00CF0F1C">
        <w:rPr>
          <w:b/>
          <w:bCs/>
          <w:lang w:val="en-GB"/>
        </w:rPr>
        <w:t xml:space="preserve"> </w:t>
      </w:r>
      <w:proofErr w:type="spellStart"/>
      <w:r w:rsidRPr="00CF0F1C">
        <w:rPr>
          <w:b/>
          <w:bCs/>
          <w:lang w:val="en-GB"/>
        </w:rPr>
        <w:t>Urologiyhdistys</w:t>
      </w:r>
      <w:proofErr w:type="spellEnd"/>
      <w:r w:rsidRPr="00CF0F1C">
        <w:rPr>
          <w:b/>
          <w:bCs/>
          <w:lang w:val="en-GB"/>
        </w:rPr>
        <w:t xml:space="preserve">) </w:t>
      </w:r>
      <w:r w:rsidR="0064215F" w:rsidRPr="00764B51">
        <w:rPr>
          <w:lang w:val="en-GB"/>
        </w:rPr>
        <w:t>endorses the</w:t>
      </w:r>
      <w:r w:rsidR="0064215F">
        <w:rPr>
          <w:lang w:val="en-GB"/>
        </w:rPr>
        <w:t xml:space="preserve"> current</w:t>
      </w:r>
      <w:r w:rsidR="0064215F" w:rsidRPr="00764B51">
        <w:rPr>
          <w:lang w:val="en-GB"/>
        </w:rPr>
        <w:t xml:space="preserve"> </w:t>
      </w:r>
      <w:r w:rsidR="0064215F">
        <w:rPr>
          <w:b/>
          <w:lang w:val="en-GB"/>
        </w:rPr>
        <w:t>2023</w:t>
      </w:r>
      <w:r w:rsidR="0064215F" w:rsidRPr="00764B51">
        <w:rPr>
          <w:b/>
          <w:lang w:val="en-GB"/>
        </w:rPr>
        <w:t xml:space="preserve"> Guidelines of the European Association of Urology (EAU)</w:t>
      </w:r>
      <w:r w:rsidR="0064215F" w:rsidRPr="00764B51">
        <w:rPr>
          <w:bCs/>
          <w:lang w:val="en-GB"/>
        </w:rPr>
        <w:t>,</w:t>
      </w:r>
      <w:r w:rsidR="0064215F" w:rsidRPr="00764B51">
        <w:rPr>
          <w:rStyle w:val="FootnoteReference"/>
          <w:lang w:val="en-GB"/>
        </w:rPr>
        <w:footnoteReference w:id="46"/>
      </w:r>
      <w:r w:rsidR="0064215F" w:rsidRPr="00764B51">
        <w:rPr>
          <w:bCs/>
          <w:lang w:val="en-GB"/>
        </w:rPr>
        <w:t xml:space="preserve"> which include the current </w:t>
      </w:r>
      <w:r w:rsidR="0064215F" w:rsidRPr="00764B51">
        <w:rPr>
          <w:b/>
          <w:lang w:val="en-GB"/>
        </w:rPr>
        <w:t xml:space="preserve">ESPU/EAU </w:t>
      </w:r>
      <w:r w:rsidR="0064215F" w:rsidRPr="00764B51">
        <w:rPr>
          <w:b/>
          <w:i/>
          <w:lang w:val="en-GB"/>
        </w:rPr>
        <w:t xml:space="preserve">“Paediatric Urology” </w:t>
      </w:r>
      <w:r w:rsidR="0064215F" w:rsidRPr="00764B51">
        <w:rPr>
          <w:b/>
          <w:lang w:val="en-GB"/>
        </w:rPr>
        <w:t>Guidelines</w:t>
      </w:r>
      <w:r w:rsidR="0064215F">
        <w:rPr>
          <w:b/>
          <w:lang w:val="en-GB"/>
        </w:rPr>
        <w:t xml:space="preserve"> 2023</w:t>
      </w:r>
      <w:r w:rsidR="0064215F" w:rsidRPr="00764B51">
        <w:rPr>
          <w:rStyle w:val="FootnoteReference"/>
          <w:lang w:val="en-GB"/>
        </w:rPr>
        <w:footnoteReference w:id="47"/>
      </w:r>
      <w:r w:rsidR="0064215F" w:rsidRPr="00764B51">
        <w:rPr>
          <w:lang w:val="en-GB"/>
        </w:rPr>
        <w:t xml:space="preserve"> of the European Society for Paediatric Urology (ESPU) and the European Association of Urology (EAU). In </w:t>
      </w:r>
      <w:r w:rsidR="0064215F" w:rsidRPr="00764B51">
        <w:rPr>
          <w:b/>
          <w:bCs/>
          <w:lang w:val="en-GB"/>
        </w:rPr>
        <w:t xml:space="preserve">chapter 3.17 </w:t>
      </w:r>
      <w:r w:rsidR="0064215F" w:rsidRPr="00764B51">
        <w:rPr>
          <w:b/>
          <w:bCs/>
          <w:i/>
          <w:iCs/>
          <w:lang w:val="en-GB"/>
        </w:rPr>
        <w:t>“Disorders of sex development”</w:t>
      </w:r>
      <w:r w:rsidR="0064215F" w:rsidRPr="00764B51">
        <w:rPr>
          <w:lang w:val="en-GB"/>
        </w:rPr>
        <w:t>,</w:t>
      </w:r>
      <w:r w:rsidR="0064215F" w:rsidRPr="00764B51">
        <w:rPr>
          <w:rStyle w:val="FootnoteReference"/>
          <w:lang w:val="en-GB"/>
        </w:rPr>
        <w:footnoteReference w:id="48"/>
      </w:r>
      <w:r w:rsidR="0064215F" w:rsidRPr="00764B51">
        <w:rPr>
          <w:lang w:val="en-GB"/>
        </w:rPr>
        <w:t xml:space="preserve"> </w:t>
      </w:r>
      <w:r w:rsidR="0064215F" w:rsidRPr="00764B51">
        <w:rPr>
          <w:rFonts w:cs="Times New Roman"/>
          <w:lang w:val="en-GB"/>
        </w:rPr>
        <w:t xml:space="preserve">despite admitting that </w:t>
      </w:r>
      <w:r w:rsidR="0064215F" w:rsidRPr="00764B51">
        <w:rPr>
          <w:rFonts w:cs="Times New Roman"/>
          <w:i/>
          <w:lang w:val="en-GB"/>
        </w:rPr>
        <w:t>“Surgery that alters appearance is not urgent”</w:t>
      </w:r>
      <w:r w:rsidR="0064215F" w:rsidRPr="00764B51">
        <w:rPr>
          <w:rFonts w:cs="Times New Roman"/>
          <w:lang w:val="en-GB"/>
        </w:rPr>
        <w:t xml:space="preserve"> </w:t>
      </w:r>
      <w:r w:rsidR="0064215F" w:rsidRPr="00764B51">
        <w:rPr>
          <w:rStyle w:val="FootnoteReference"/>
          <w:lang w:val="en-GB"/>
        </w:rPr>
        <w:footnoteReference w:id="49"/>
      </w:r>
      <w:r w:rsidR="0064215F" w:rsidRPr="00764B51">
        <w:rPr>
          <w:rFonts w:cs="Times New Roman"/>
          <w:lang w:val="en-GB"/>
        </w:rPr>
        <w:t xml:space="preserve"> and </w:t>
      </w:r>
      <w:r w:rsidR="0064215F" w:rsidRPr="00764B51">
        <w:rPr>
          <w:rFonts w:cs="Times New Roman"/>
          <w:lang w:val="en-GB"/>
        </w:rPr>
        <w:lastRenderedPageBreak/>
        <w:t xml:space="preserve">that </w:t>
      </w:r>
      <w:r w:rsidR="0064215F" w:rsidRPr="00764B51">
        <w:rPr>
          <w:rFonts w:cs="Times New Roman"/>
          <w:i/>
          <w:lang w:val="en-GB"/>
        </w:rPr>
        <w:t>“adverse outcomes have led to recommendations to delay unnecessary [clitoral] surgery to an age when the patient can give inform</w:t>
      </w:r>
      <w:r w:rsidR="0064215F">
        <w:rPr>
          <w:rFonts w:cs="Times New Roman"/>
          <w:i/>
          <w:lang w:val="en-GB"/>
        </w:rPr>
        <w:t>ed</w:t>
      </w:r>
      <w:r w:rsidR="0064215F" w:rsidRPr="00764B51">
        <w:rPr>
          <w:rFonts w:cs="Times New Roman"/>
          <w:i/>
          <w:lang w:val="en-GB"/>
        </w:rPr>
        <w:t xml:space="preserve"> consent”</w:t>
      </w:r>
      <w:r w:rsidR="0064215F" w:rsidRPr="00764B51">
        <w:rPr>
          <w:rFonts w:cs="Times New Roman"/>
          <w:lang w:val="en-GB"/>
        </w:rPr>
        <w:t>,</w:t>
      </w:r>
      <w:r w:rsidR="0064215F" w:rsidRPr="00764B51">
        <w:rPr>
          <w:rStyle w:val="FootnoteReference"/>
          <w:rFonts w:cs="Times New Roman"/>
          <w:lang w:val="en-GB"/>
        </w:rPr>
        <w:footnoteReference w:id="50"/>
      </w:r>
      <w:r w:rsidR="0064215F" w:rsidRPr="00764B51">
        <w:rPr>
          <w:rFonts w:cs="Times New Roman"/>
          <w:lang w:val="en-GB"/>
        </w:rPr>
        <w:t xml:space="preserve"> the ESPU/EAU Guidelines nonetheless explicitly </w:t>
      </w:r>
      <w:r w:rsidR="0064215F" w:rsidRPr="00764B51">
        <w:rPr>
          <w:rFonts w:cs="Times New Roman"/>
          <w:b/>
          <w:bCs/>
          <w:lang w:val="en-GB"/>
        </w:rPr>
        <w:t>refuse to postpone non-emergency surgery</w:t>
      </w:r>
      <w:r w:rsidR="0064215F" w:rsidRPr="00764B51">
        <w:rPr>
          <w:rFonts w:cs="Times New Roman"/>
          <w:lang w:val="en-GB"/>
        </w:rPr>
        <w:t xml:space="preserve">, but in contrary </w:t>
      </w:r>
      <w:r w:rsidR="0064215F" w:rsidRPr="00764B51">
        <w:rPr>
          <w:rFonts w:cs="Times New Roman"/>
          <w:b/>
          <w:bCs/>
          <w:lang w:val="en-GB"/>
        </w:rPr>
        <w:t>insist to continue with non-emergency genital surgery</w:t>
      </w:r>
      <w:r w:rsidR="0064215F" w:rsidRPr="00764B51">
        <w:rPr>
          <w:rFonts w:cs="Times New Roman"/>
          <w:lang w:val="en-GB"/>
        </w:rPr>
        <w:t xml:space="preserve"> (including partial clitoris amputation) on young children based on </w:t>
      </w:r>
      <w:r w:rsidR="0064215F" w:rsidRPr="00764B51">
        <w:rPr>
          <w:rFonts w:cs="Times New Roman"/>
          <w:b/>
          <w:bCs/>
          <w:i/>
          <w:iCs/>
          <w:lang w:val="en-GB"/>
        </w:rPr>
        <w:t>“social and emotional conditions”</w:t>
      </w:r>
      <w:r w:rsidR="0064215F" w:rsidRPr="00764B51">
        <w:rPr>
          <w:rFonts w:cs="Times New Roman"/>
          <w:lang w:val="en-GB"/>
        </w:rPr>
        <w:t xml:space="preserve"> and </w:t>
      </w:r>
      <w:r w:rsidR="0064215F" w:rsidRPr="00764B51">
        <w:rPr>
          <w:rFonts w:cs="Times New Roman"/>
          <w:b/>
          <w:bCs/>
          <w:lang w:val="en-GB"/>
        </w:rPr>
        <w:t>substituted decision-making</w:t>
      </w:r>
      <w:r w:rsidR="0064215F" w:rsidRPr="00764B51">
        <w:rPr>
          <w:rFonts w:cs="Times New Roman"/>
          <w:b/>
          <w:bCs/>
          <w:i/>
          <w:iCs/>
          <w:lang w:val="en-GB"/>
        </w:rPr>
        <w:t xml:space="preserve"> </w:t>
      </w:r>
      <w:r w:rsidR="0064215F" w:rsidRPr="00764B51">
        <w:rPr>
          <w:rFonts w:cs="Times New Roman"/>
          <w:b/>
          <w:bCs/>
          <w:lang w:val="en-GB"/>
        </w:rPr>
        <w:t xml:space="preserve">by </w:t>
      </w:r>
      <w:r w:rsidR="0064215F" w:rsidRPr="00764B51">
        <w:rPr>
          <w:rFonts w:cs="Times New Roman"/>
          <w:b/>
          <w:bCs/>
          <w:i/>
          <w:iCs/>
          <w:lang w:val="en-GB"/>
        </w:rPr>
        <w:t>“parents and caregivers</w:t>
      </w:r>
      <w:r w:rsidR="0064215F" w:rsidRPr="00764B51">
        <w:rPr>
          <w:rFonts w:cs="Times New Roman"/>
          <w:i/>
          <w:iCs/>
          <w:lang w:val="en-GB"/>
        </w:rPr>
        <w:t xml:space="preserve"> implicitly act[</w:t>
      </w:r>
      <w:proofErr w:type="spellStart"/>
      <w:r w:rsidR="0064215F" w:rsidRPr="00764B51">
        <w:rPr>
          <w:rFonts w:cs="Times New Roman"/>
          <w:i/>
          <w:iCs/>
          <w:lang w:val="en-GB"/>
        </w:rPr>
        <w:t>ing</w:t>
      </w:r>
      <w:proofErr w:type="spellEnd"/>
      <w:r w:rsidR="0064215F" w:rsidRPr="00764B51">
        <w:rPr>
          <w:rFonts w:cs="Times New Roman"/>
          <w:i/>
          <w:iCs/>
          <w:lang w:val="en-GB"/>
        </w:rPr>
        <w:t>] in the best interest of their children”</w:t>
      </w:r>
      <w:r w:rsidR="0064215F" w:rsidRPr="0044286B">
        <w:rPr>
          <w:rStyle w:val="FootnoteReference"/>
          <w:rFonts w:cs="Times New Roman"/>
          <w:lang w:val="en-GB"/>
        </w:rPr>
        <w:t xml:space="preserve"> </w:t>
      </w:r>
      <w:r w:rsidR="0064215F" w:rsidRPr="00764B51">
        <w:rPr>
          <w:rStyle w:val="FootnoteReference"/>
          <w:rFonts w:cs="Times New Roman"/>
          <w:lang w:val="en-GB"/>
        </w:rPr>
        <w:footnoteReference w:id="51"/>
      </w:r>
      <w:r w:rsidR="0064215F" w:rsidRPr="00764B51">
        <w:rPr>
          <w:rFonts w:cs="Times New Roman"/>
          <w:i/>
          <w:iCs/>
          <w:lang w:val="en-GB"/>
        </w:rPr>
        <w:t xml:space="preserve"> </w:t>
      </w:r>
      <w:r w:rsidR="0064215F" w:rsidRPr="00764B51">
        <w:rPr>
          <w:rFonts w:cs="Times New Roman"/>
          <w:lang w:val="en-GB"/>
        </w:rPr>
        <w:t xml:space="preserve">and making </w:t>
      </w:r>
      <w:r w:rsidR="0064215F" w:rsidRPr="00764B51">
        <w:rPr>
          <w:rFonts w:cs="Times New Roman"/>
          <w:i/>
          <w:iCs/>
          <w:lang w:val="en-GB"/>
        </w:rPr>
        <w:t>“well-informed decisions […] on their behalf”</w:t>
      </w:r>
      <w:r w:rsidR="0064215F" w:rsidRPr="00764B51">
        <w:rPr>
          <w:rFonts w:cs="Times New Roman"/>
          <w:lang w:val="en-GB"/>
        </w:rPr>
        <w:t xml:space="preserve">, and further </w:t>
      </w:r>
      <w:r w:rsidR="0064215F" w:rsidRPr="00764B51">
        <w:rPr>
          <w:rFonts w:cs="Times New Roman"/>
          <w:b/>
          <w:bCs/>
          <w:lang w:val="en-GB"/>
        </w:rPr>
        <w:t xml:space="preserve">explicitly refusing </w:t>
      </w:r>
      <w:r w:rsidR="0064215F" w:rsidRPr="00764B51">
        <w:rPr>
          <w:rFonts w:cs="Times New Roman"/>
          <w:b/>
          <w:bCs/>
          <w:i/>
          <w:iCs/>
          <w:lang w:val="en-GB"/>
        </w:rPr>
        <w:t>“prohibition regulations”</w:t>
      </w:r>
      <w:r w:rsidR="0064215F" w:rsidRPr="00764B51">
        <w:rPr>
          <w:rFonts w:cs="Times New Roman"/>
          <w:i/>
          <w:iCs/>
          <w:lang w:val="en-GB"/>
        </w:rPr>
        <w:t xml:space="preserve"> </w:t>
      </w:r>
      <w:r w:rsidR="0064215F" w:rsidRPr="00764B51">
        <w:rPr>
          <w:rFonts w:cs="Times New Roman"/>
          <w:lang w:val="en-GB"/>
        </w:rPr>
        <w:t>of unnecessary early surgery,</w:t>
      </w:r>
      <w:r w:rsidR="0064215F" w:rsidRPr="00764B51">
        <w:rPr>
          <w:rStyle w:val="FootnoteReference"/>
          <w:rFonts w:cs="Times New Roman"/>
          <w:lang w:val="en-GB"/>
        </w:rPr>
        <w:footnoteReference w:id="52"/>
      </w:r>
      <w:r w:rsidR="0064215F" w:rsidRPr="00764B51">
        <w:rPr>
          <w:rFonts w:cs="Times New Roman"/>
          <w:lang w:val="en-GB"/>
        </w:rPr>
        <w:t xml:space="preserve"> referring to the 2018 ESPU Open Letter to the Council of Europe (COE),</w:t>
      </w:r>
      <w:r w:rsidR="0064215F" w:rsidRPr="00764B51">
        <w:rPr>
          <w:rStyle w:val="FootnoteReference"/>
          <w:rFonts w:cs="Times New Roman"/>
          <w:lang w:val="en-GB"/>
        </w:rPr>
        <w:footnoteReference w:id="53"/>
      </w:r>
      <w:r w:rsidR="0064215F" w:rsidRPr="00764B51">
        <w:rPr>
          <w:rFonts w:cs="Times New Roman"/>
          <w:lang w:val="en-GB"/>
        </w:rPr>
        <w:t xml:space="preserve"> which further invokes </w:t>
      </w:r>
      <w:r w:rsidR="0064215F" w:rsidRPr="00764B51">
        <w:rPr>
          <w:rFonts w:cs="Times New Roman"/>
          <w:b/>
          <w:bCs/>
          <w:lang w:val="en-GB"/>
        </w:rPr>
        <w:t xml:space="preserve">parents’ </w:t>
      </w:r>
      <w:r w:rsidR="0064215F" w:rsidRPr="00764B51">
        <w:rPr>
          <w:rFonts w:cs="Times New Roman"/>
          <w:b/>
          <w:bCs/>
          <w:i/>
          <w:iCs/>
          <w:lang w:val="en-GB"/>
        </w:rPr>
        <w:t xml:space="preserve">“social, and cultural considerations” </w:t>
      </w:r>
      <w:r w:rsidR="0064215F" w:rsidRPr="00764B51">
        <w:rPr>
          <w:rFonts w:cs="Times New Roman"/>
          <w:lang w:val="en-GB"/>
        </w:rPr>
        <w:t>as justifications for early surgery (p. 2).</w:t>
      </w:r>
    </w:p>
    <w:p w14:paraId="62DFD0C5" w14:textId="34BB0918" w:rsidR="00091C15" w:rsidRPr="00CF0F1C" w:rsidRDefault="00D8505B" w:rsidP="0064215F">
      <w:pPr>
        <w:pStyle w:val="absatzschattenbericht"/>
        <w:rPr>
          <w:b/>
          <w:i/>
          <w:iCs/>
          <w:lang w:val="en-GB"/>
        </w:rPr>
      </w:pPr>
      <w:r w:rsidRPr="00CF0F1C">
        <w:rPr>
          <w:lang w:val="en-GB"/>
        </w:rPr>
        <w:t xml:space="preserve">Accordingly, </w:t>
      </w:r>
      <w:r w:rsidR="00091C15" w:rsidRPr="00CF0F1C">
        <w:rPr>
          <w:lang w:val="en-GB"/>
        </w:rPr>
        <w:t xml:space="preserve">the </w:t>
      </w:r>
      <w:r w:rsidR="00413EB5" w:rsidRPr="00CF0F1C">
        <w:rPr>
          <w:b/>
          <w:bCs/>
          <w:lang w:val="en-GB"/>
        </w:rPr>
        <w:t>2020 CCPR State Party Report</w:t>
      </w:r>
      <w:r w:rsidR="00413EB5" w:rsidRPr="00CF0F1C">
        <w:rPr>
          <w:lang w:val="en-GB"/>
        </w:rPr>
        <w:t xml:space="preserve"> (CCPR/C/FIN/7, para 112)</w:t>
      </w:r>
      <w:r w:rsidR="00091C15" w:rsidRPr="00CF0F1C">
        <w:rPr>
          <w:lang w:val="en-GB"/>
        </w:rPr>
        <w:t xml:space="preserve"> admit</w:t>
      </w:r>
      <w:r w:rsidR="00413EB5" w:rsidRPr="00CF0F1C">
        <w:rPr>
          <w:lang w:val="en-GB"/>
        </w:rPr>
        <w:t>ted</w:t>
      </w:r>
      <w:r w:rsidR="00091C15" w:rsidRPr="00CF0F1C">
        <w:rPr>
          <w:lang w:val="en-GB"/>
        </w:rPr>
        <w:t xml:space="preserve"> to</w:t>
      </w:r>
      <w:r w:rsidR="006B0375" w:rsidRPr="00CF0F1C">
        <w:rPr>
          <w:lang w:val="en-GB"/>
        </w:rPr>
        <w:t xml:space="preserve"> ongoing</w:t>
      </w:r>
      <w:r w:rsidR="00091C15" w:rsidRPr="00CF0F1C">
        <w:rPr>
          <w:lang w:val="en-GB"/>
        </w:rPr>
        <w:t xml:space="preserve"> </w:t>
      </w:r>
      <w:r w:rsidR="00091C15" w:rsidRPr="00CF0F1C">
        <w:rPr>
          <w:b/>
          <w:bCs/>
          <w:i/>
          <w:iCs/>
          <w:lang w:val="en-GB"/>
        </w:rPr>
        <w:t>“corrective operations on the external genitalia of girls”</w:t>
      </w:r>
      <w:r w:rsidR="00091C15" w:rsidRPr="00CF0F1C">
        <w:rPr>
          <w:lang w:val="en-GB"/>
        </w:rPr>
        <w:t xml:space="preserve">, </w:t>
      </w:r>
      <w:proofErr w:type="gramStart"/>
      <w:r w:rsidR="00091C15" w:rsidRPr="00CF0F1C">
        <w:rPr>
          <w:lang w:val="en-GB"/>
        </w:rPr>
        <w:t>e.g.</w:t>
      </w:r>
      <w:proofErr w:type="gramEnd"/>
      <w:r w:rsidR="00091C15" w:rsidRPr="00CF0F1C">
        <w:rPr>
          <w:lang w:val="en-GB"/>
        </w:rPr>
        <w:t xml:space="preserve"> girls </w:t>
      </w:r>
      <w:r w:rsidR="00F45815" w:rsidRPr="00CF0F1C">
        <w:rPr>
          <w:lang w:val="en-GB"/>
        </w:rPr>
        <w:t xml:space="preserve">with intersex traits </w:t>
      </w:r>
      <w:r w:rsidR="00091C15" w:rsidRPr="00CF0F1C">
        <w:rPr>
          <w:lang w:val="en-GB"/>
        </w:rPr>
        <w:t>diagnosed with Congenital Adrenal Hyperplasia (CAH) or Androgen Insufficiency Syndrom</w:t>
      </w:r>
      <w:r w:rsidR="00205F71" w:rsidRPr="00CF0F1C">
        <w:rPr>
          <w:lang w:val="en-GB"/>
        </w:rPr>
        <w:t>e</w:t>
      </w:r>
      <w:r w:rsidR="00091C15" w:rsidRPr="00CF0F1C">
        <w:rPr>
          <w:lang w:val="en-GB"/>
        </w:rPr>
        <w:t xml:space="preserve"> (AIS)</w:t>
      </w:r>
      <w:r w:rsidR="006B0375" w:rsidRPr="00CF0F1C">
        <w:rPr>
          <w:lang w:val="en-GB"/>
        </w:rPr>
        <w:t xml:space="preserve">. However, the stated </w:t>
      </w:r>
      <w:r w:rsidR="006B0375" w:rsidRPr="00CF0F1C">
        <w:rPr>
          <w:i/>
          <w:iCs/>
          <w:lang w:val="en-GB"/>
        </w:rPr>
        <w:t xml:space="preserve">“average number of […] 0 to 1 [procedures] per year” </w:t>
      </w:r>
      <w:r w:rsidR="007027E8" w:rsidRPr="00CF0F1C">
        <w:rPr>
          <w:lang w:val="en-GB"/>
        </w:rPr>
        <w:t xml:space="preserve">seems to include </w:t>
      </w:r>
      <w:r w:rsidR="007027E8" w:rsidRPr="00CF0F1C">
        <w:rPr>
          <w:b/>
          <w:bCs/>
          <w:lang w:val="en-GB"/>
        </w:rPr>
        <w:t xml:space="preserve">only procedures performed in the Hospital District of Helsinki and </w:t>
      </w:r>
      <w:proofErr w:type="spellStart"/>
      <w:r w:rsidR="007027E8" w:rsidRPr="00CF0F1C">
        <w:rPr>
          <w:b/>
          <w:bCs/>
          <w:lang w:val="en-GB"/>
        </w:rPr>
        <w:t>Uusimaa</w:t>
      </w:r>
      <w:proofErr w:type="spellEnd"/>
      <w:r w:rsidR="007027E8" w:rsidRPr="00CF0F1C">
        <w:rPr>
          <w:lang w:val="en-GB"/>
        </w:rPr>
        <w:t>, and include</w:t>
      </w:r>
      <w:r w:rsidR="00B5270F" w:rsidRPr="00CF0F1C">
        <w:rPr>
          <w:lang w:val="en-GB"/>
        </w:rPr>
        <w:t>s</w:t>
      </w:r>
      <w:r w:rsidR="007027E8" w:rsidRPr="00CF0F1C">
        <w:rPr>
          <w:lang w:val="en-GB"/>
        </w:rPr>
        <w:t xml:space="preserve"> </w:t>
      </w:r>
      <w:r w:rsidR="007027E8" w:rsidRPr="00CF0F1C">
        <w:rPr>
          <w:b/>
          <w:bCs/>
          <w:lang w:val="en-GB"/>
        </w:rPr>
        <w:t>only selected relevant procedures</w:t>
      </w:r>
      <w:r w:rsidR="007027E8" w:rsidRPr="00CF0F1C">
        <w:rPr>
          <w:lang w:val="en-GB"/>
        </w:rPr>
        <w:t>, as the State report doesn’t specify which diagnoses and procedu</w:t>
      </w:r>
      <w:r w:rsidR="00B5270F" w:rsidRPr="00CF0F1C">
        <w:rPr>
          <w:lang w:val="en-GB"/>
        </w:rPr>
        <w:t xml:space="preserve">res were included and which not, and apparently </w:t>
      </w:r>
      <w:r w:rsidR="00B5270F" w:rsidRPr="00CF0F1C">
        <w:rPr>
          <w:b/>
          <w:lang w:val="en-GB"/>
        </w:rPr>
        <w:t>“vaginoplasty”, “</w:t>
      </w:r>
      <w:proofErr w:type="spellStart"/>
      <w:r w:rsidR="00B5270F" w:rsidRPr="00CF0F1C">
        <w:rPr>
          <w:b/>
          <w:lang w:val="en-GB"/>
        </w:rPr>
        <w:t>vulvoplasty</w:t>
      </w:r>
      <w:proofErr w:type="spellEnd"/>
      <w:r w:rsidR="00B5270F" w:rsidRPr="00CF0F1C">
        <w:rPr>
          <w:b/>
          <w:lang w:val="en-GB"/>
        </w:rPr>
        <w:t>” etc. are excluded.</w:t>
      </w:r>
    </w:p>
    <w:p w14:paraId="0E400590" w14:textId="69283867" w:rsidR="00833A6D" w:rsidRPr="00CF0F1C" w:rsidRDefault="009118D1" w:rsidP="00292B8F">
      <w:pPr>
        <w:pStyle w:val="absatzschattenbericht"/>
        <w:rPr>
          <w:lang w:val="en-GB"/>
        </w:rPr>
      </w:pPr>
      <w:r w:rsidRPr="00CF0F1C">
        <w:rPr>
          <w:lang w:val="en-GB"/>
        </w:rPr>
        <w:t xml:space="preserve">Also, </w:t>
      </w:r>
      <w:r w:rsidR="00D8505B" w:rsidRPr="00CF0F1C">
        <w:rPr>
          <w:lang w:val="en-GB"/>
        </w:rPr>
        <w:t xml:space="preserve">the current </w:t>
      </w:r>
      <w:r w:rsidR="00D8505B" w:rsidRPr="00CF0F1C">
        <w:rPr>
          <w:b/>
          <w:bCs/>
          <w:lang w:val="en-GB"/>
        </w:rPr>
        <w:t xml:space="preserve">Finnish language </w:t>
      </w:r>
      <w:proofErr w:type="spellStart"/>
      <w:r w:rsidR="00D8505B" w:rsidRPr="00CF0F1C">
        <w:rPr>
          <w:b/>
          <w:bCs/>
          <w:lang w:val="en-GB"/>
        </w:rPr>
        <w:t>Orphanet</w:t>
      </w:r>
      <w:proofErr w:type="spellEnd"/>
      <w:r w:rsidR="00D8505B" w:rsidRPr="00CF0F1C">
        <w:rPr>
          <w:b/>
          <w:bCs/>
          <w:lang w:val="en-GB"/>
        </w:rPr>
        <w:t xml:space="preserve"> entry</w:t>
      </w:r>
      <w:r w:rsidR="00D8505B" w:rsidRPr="00CF0F1C">
        <w:rPr>
          <w:lang w:val="en-GB"/>
        </w:rPr>
        <w:t xml:space="preserve"> on Congenital Adrenal Hyperplasia (CAH) states:</w:t>
      </w:r>
      <w:r w:rsidR="00791635" w:rsidRPr="00CF0F1C">
        <w:rPr>
          <w:rStyle w:val="FootnoteReference"/>
          <w:rFonts w:cs="Times New Roman"/>
          <w:lang w:val="en-GB"/>
        </w:rPr>
        <w:footnoteReference w:id="54"/>
      </w:r>
    </w:p>
    <w:p w14:paraId="49221CAF" w14:textId="411A0CA0" w:rsidR="00833A6D" w:rsidRPr="00CF0F1C" w:rsidRDefault="00D8505B" w:rsidP="00292B8F">
      <w:pPr>
        <w:pStyle w:val="absatzschattenbericht"/>
        <w:ind w:left="284"/>
        <w:rPr>
          <w:i/>
          <w:iCs/>
          <w:lang w:val="en-GB"/>
        </w:rPr>
      </w:pPr>
      <w:r w:rsidRPr="00CF0F1C">
        <w:rPr>
          <w:i/>
          <w:iCs/>
          <w:lang w:val="en-GB"/>
        </w:rPr>
        <w:t xml:space="preserve">“The disease is inherited in the autosomes recessively. The most common form, corresponding to about 95% of cases, is due to the lack of 21-hydroxylase. </w:t>
      </w:r>
      <w:proofErr w:type="spellStart"/>
      <w:r w:rsidRPr="00CF0F1C">
        <w:rPr>
          <w:i/>
          <w:iCs/>
          <w:lang w:val="en-GB"/>
        </w:rPr>
        <w:t>Fetal</w:t>
      </w:r>
      <w:proofErr w:type="spellEnd"/>
      <w:r w:rsidRPr="00CF0F1C">
        <w:rPr>
          <w:i/>
          <w:iCs/>
          <w:lang w:val="en-GB"/>
        </w:rPr>
        <w:t xml:space="preserve"> diagnosis is possible with DNA testing. Lifelong hormone therapy (</w:t>
      </w:r>
      <w:proofErr w:type="spellStart"/>
      <w:r w:rsidRPr="00CF0F1C">
        <w:rPr>
          <w:i/>
          <w:iCs/>
          <w:lang w:val="en-GB"/>
        </w:rPr>
        <w:t>glucocorticol</w:t>
      </w:r>
      <w:proofErr w:type="spellEnd"/>
      <w:r w:rsidRPr="00CF0F1C">
        <w:rPr>
          <w:i/>
          <w:iCs/>
          <w:lang w:val="en-GB"/>
        </w:rPr>
        <w:t xml:space="preserve"> and mineralocorticoids in classical form and glucocorticoids in non-classical form) is necessary. </w:t>
      </w:r>
      <w:r w:rsidRPr="00CF0F1C">
        <w:rPr>
          <w:b/>
          <w:bCs/>
          <w:i/>
          <w:iCs/>
          <w:lang w:val="en-GB"/>
        </w:rPr>
        <w:t xml:space="preserve">Genital abnormalities in women may require surgical treatment. </w:t>
      </w:r>
      <w:r w:rsidRPr="00CF0F1C">
        <w:rPr>
          <w:i/>
          <w:iCs/>
          <w:lang w:val="en-GB"/>
        </w:rPr>
        <w:t>The incidence of the classical form has been estimated at 1/14000, but the non-classical form is more common.</w:t>
      </w:r>
      <w:r w:rsidR="001772C0" w:rsidRPr="00CF0F1C">
        <w:rPr>
          <w:i/>
          <w:iCs/>
          <w:lang w:val="en-GB"/>
        </w:rPr>
        <w:t>”</w:t>
      </w:r>
    </w:p>
    <w:p w14:paraId="3CB34855" w14:textId="4B943B68" w:rsidR="00833A6D" w:rsidRPr="00CF0F1C" w:rsidRDefault="00EC3922" w:rsidP="00292B8F">
      <w:pPr>
        <w:pStyle w:val="absatzschattenbericht"/>
        <w:rPr>
          <w:lang w:val="en-GB"/>
        </w:rPr>
      </w:pPr>
      <w:r w:rsidRPr="00CF0F1C">
        <w:rPr>
          <w:lang w:val="en-GB"/>
        </w:rPr>
        <w:t xml:space="preserve">Also, </w:t>
      </w:r>
      <w:r w:rsidR="001772C0" w:rsidRPr="00CF0F1C">
        <w:rPr>
          <w:lang w:val="en-GB"/>
        </w:rPr>
        <w:t xml:space="preserve">Finnish medical homepages </w:t>
      </w:r>
      <w:r w:rsidRPr="00CF0F1C">
        <w:rPr>
          <w:lang w:val="en-GB"/>
        </w:rPr>
        <w:t>recommend early genital surgery for infants with CAH</w:t>
      </w:r>
      <w:r w:rsidR="00CC6716">
        <w:rPr>
          <w:lang w:val="en-GB"/>
        </w:rPr>
        <w:t>, for example</w:t>
      </w:r>
      <w:r w:rsidRPr="00CF0F1C">
        <w:rPr>
          <w:lang w:val="en-GB"/>
        </w:rPr>
        <w:t>:</w:t>
      </w:r>
    </w:p>
    <w:p w14:paraId="2F8B4EF4" w14:textId="10B7E046" w:rsidR="000439E9" w:rsidRPr="00CF0F1C" w:rsidRDefault="000439E9" w:rsidP="00292B8F">
      <w:pPr>
        <w:pStyle w:val="absatzschattenbericht"/>
        <w:ind w:left="284"/>
        <w:rPr>
          <w:i/>
          <w:iCs/>
          <w:lang w:val="en-GB"/>
        </w:rPr>
      </w:pPr>
      <w:r w:rsidRPr="00CF0F1C">
        <w:rPr>
          <w:i/>
          <w:iCs/>
          <w:lang w:val="en-GB"/>
        </w:rPr>
        <w:t xml:space="preserve">“In addition to hormonal therapy, surgical repair of the genitals is performed. It is better to carry out the procedure as early as possible, but its timing needs to be discussed with the parents.” </w:t>
      </w:r>
      <w:r w:rsidRPr="00CF0F1C">
        <w:rPr>
          <w:rStyle w:val="FootnoteReference"/>
          <w:rFonts w:cs="Times New Roman"/>
          <w:lang w:val="en-GB"/>
        </w:rPr>
        <w:footnoteReference w:id="55"/>
      </w:r>
    </w:p>
    <w:p w14:paraId="0703840E" w14:textId="70A293F0" w:rsidR="00092953" w:rsidRDefault="00A40312" w:rsidP="00292B8F">
      <w:pPr>
        <w:pStyle w:val="absatzschattenbericht"/>
        <w:rPr>
          <w:lang w:val="en-GB"/>
        </w:rPr>
      </w:pPr>
      <w:r w:rsidRPr="00CF0F1C">
        <w:rPr>
          <w:lang w:val="en-GB"/>
        </w:rPr>
        <w:t xml:space="preserve">And the </w:t>
      </w:r>
      <w:r w:rsidR="00202CF1" w:rsidRPr="00CF0F1C">
        <w:rPr>
          <w:b/>
          <w:bCs/>
          <w:lang w:val="en-GB"/>
        </w:rPr>
        <w:t>University of Turku</w:t>
      </w:r>
      <w:r w:rsidR="00202CF1" w:rsidRPr="00CF0F1C">
        <w:rPr>
          <w:lang w:val="en-GB"/>
        </w:rPr>
        <w:t xml:space="preserve"> (Faculty of Medicine) 2017-2019 </w:t>
      </w:r>
      <w:r w:rsidRPr="00CF0F1C">
        <w:rPr>
          <w:b/>
          <w:bCs/>
          <w:lang w:val="en-GB"/>
        </w:rPr>
        <w:t>Specialist Training Study Guide</w:t>
      </w:r>
      <w:r w:rsidR="00092953" w:rsidRPr="00CF0F1C">
        <w:rPr>
          <w:lang w:val="en-GB"/>
        </w:rPr>
        <w:t xml:space="preserve"> for “Plastic Surgery”, part of which can be completed in the field of “Paediatric Surgery” (p. 123 / p. 124 in PDF), includes (p. 119 / p. 120 in PDF):</w:t>
      </w:r>
    </w:p>
    <w:p w14:paraId="281262BD" w14:textId="77777777" w:rsidR="00845373" w:rsidRPr="00CF0F1C" w:rsidRDefault="00845373" w:rsidP="00292B8F">
      <w:pPr>
        <w:pStyle w:val="absatzschattenbericht"/>
        <w:rPr>
          <w:lang w:val="en-GB"/>
        </w:rPr>
      </w:pPr>
    </w:p>
    <w:p w14:paraId="7D5F6A27" w14:textId="209C591E" w:rsidR="00A40312" w:rsidRPr="00CF0F1C" w:rsidRDefault="00A40312" w:rsidP="0065205A">
      <w:pPr>
        <w:pStyle w:val="absatzschattenbericht"/>
        <w:spacing w:after="80"/>
        <w:ind w:left="284"/>
        <w:rPr>
          <w:i/>
          <w:iCs/>
          <w:lang w:val="en-GB"/>
        </w:rPr>
      </w:pPr>
      <w:r w:rsidRPr="00CF0F1C">
        <w:rPr>
          <w:i/>
          <w:iCs/>
          <w:lang w:val="en-GB"/>
        </w:rPr>
        <w:lastRenderedPageBreak/>
        <w:t>“4. Upper body and abdomen, genitals</w:t>
      </w:r>
    </w:p>
    <w:p w14:paraId="34272093" w14:textId="64D4984C" w:rsidR="00A40312" w:rsidRPr="00CF0F1C" w:rsidRDefault="00A40312" w:rsidP="00F745B1">
      <w:pPr>
        <w:pStyle w:val="absatzschattenbericht"/>
        <w:spacing w:after="80"/>
        <w:ind w:left="284"/>
        <w:rPr>
          <w:i/>
          <w:iCs/>
          <w:lang w:val="en-GB"/>
        </w:rPr>
      </w:pPr>
      <w:r w:rsidRPr="00CF0F1C">
        <w:rPr>
          <w:i/>
          <w:iCs/>
          <w:lang w:val="en-GB"/>
        </w:rPr>
        <w:t>a. congenital</w:t>
      </w:r>
      <w:r w:rsidR="00F745B1" w:rsidRPr="00CF0F1C">
        <w:rPr>
          <w:i/>
          <w:iCs/>
          <w:lang w:val="en-GB"/>
        </w:rPr>
        <w:t xml:space="preserve"> </w:t>
      </w:r>
      <w:r w:rsidRPr="00CF0F1C">
        <w:rPr>
          <w:i/>
          <w:iCs/>
          <w:lang w:val="en-GB"/>
        </w:rPr>
        <w:t>[…]</w:t>
      </w:r>
    </w:p>
    <w:p w14:paraId="1A959A9F" w14:textId="79F25FC3" w:rsidR="00095EA4" w:rsidRPr="00CF0F1C" w:rsidRDefault="00A40312" w:rsidP="00A40312">
      <w:pPr>
        <w:pStyle w:val="absatzschattenbericht"/>
        <w:ind w:left="284"/>
        <w:rPr>
          <w:i/>
          <w:iCs/>
          <w:lang w:val="en-GB"/>
        </w:rPr>
      </w:pPr>
      <w:r w:rsidRPr="00CF0F1C">
        <w:rPr>
          <w:b/>
          <w:bCs/>
          <w:i/>
          <w:iCs/>
          <w:lang w:val="en-GB"/>
        </w:rPr>
        <w:t>ii. female genital abnormalities”</w:t>
      </w:r>
      <w:r w:rsidR="00095EA4" w:rsidRPr="00CF0F1C">
        <w:rPr>
          <w:i/>
          <w:iCs/>
          <w:lang w:val="en-GB"/>
        </w:rPr>
        <w:t xml:space="preserve"> </w:t>
      </w:r>
      <w:r w:rsidR="00095EA4" w:rsidRPr="00CF0F1C">
        <w:rPr>
          <w:rStyle w:val="FootnoteReference"/>
          <w:rFonts w:cs="Times New Roman"/>
          <w:lang w:val="en-GB"/>
        </w:rPr>
        <w:footnoteReference w:id="56"/>
      </w:r>
    </w:p>
    <w:p w14:paraId="10ECE043" w14:textId="77777777" w:rsidR="00B15351" w:rsidRPr="00CF0F1C" w:rsidRDefault="00B15351" w:rsidP="00DE0ADF">
      <w:pPr>
        <w:pStyle w:val="Title3"/>
      </w:pPr>
      <w:bookmarkStart w:id="74" w:name="_Toc507786412"/>
      <w:bookmarkStart w:id="75" w:name="_Toc19465689"/>
      <w:bookmarkStart w:id="76" w:name="_Toc34004102"/>
      <w:bookmarkStart w:id="77" w:name="_Toc161663953"/>
      <w:r w:rsidRPr="00CF0F1C">
        <w:t>c) IGM 1 – “Masculinising Surgery”: Hypospadias “Repair”</w:t>
      </w:r>
      <w:r w:rsidRPr="00CF0F1C">
        <w:rPr>
          <w:rStyle w:val="Funotenzeichen3"/>
        </w:rPr>
        <w:footnoteReference w:id="57"/>
      </w:r>
      <w:bookmarkEnd w:id="74"/>
      <w:bookmarkEnd w:id="75"/>
      <w:bookmarkEnd w:id="76"/>
      <w:bookmarkEnd w:id="77"/>
    </w:p>
    <w:p w14:paraId="60768F3A" w14:textId="00E55025" w:rsidR="0064215F" w:rsidRPr="0037281A" w:rsidRDefault="002E62A2" w:rsidP="0064215F">
      <w:pPr>
        <w:pStyle w:val="absatzschattenbericht"/>
        <w:spacing w:after="60"/>
        <w:rPr>
          <w:lang w:val="en-GB"/>
        </w:rPr>
      </w:pPr>
      <w:bookmarkStart w:id="78" w:name="_Toc485093578"/>
      <w:r w:rsidRPr="00CF0F1C">
        <w:rPr>
          <w:lang w:val="en-GB"/>
        </w:rPr>
        <w:t xml:space="preserve">The </w:t>
      </w:r>
      <w:r w:rsidRPr="00CF0F1C">
        <w:rPr>
          <w:b/>
          <w:bCs/>
          <w:lang w:val="en-GB"/>
        </w:rPr>
        <w:t>Finnish Urological Association (</w:t>
      </w:r>
      <w:proofErr w:type="spellStart"/>
      <w:r w:rsidRPr="00CF0F1C">
        <w:rPr>
          <w:b/>
          <w:bCs/>
          <w:lang w:val="en-GB"/>
        </w:rPr>
        <w:t>Suomen</w:t>
      </w:r>
      <w:proofErr w:type="spellEnd"/>
      <w:r w:rsidRPr="00CF0F1C">
        <w:rPr>
          <w:b/>
          <w:bCs/>
          <w:lang w:val="en-GB"/>
        </w:rPr>
        <w:t xml:space="preserve"> </w:t>
      </w:r>
      <w:proofErr w:type="spellStart"/>
      <w:r w:rsidRPr="00CF0F1C">
        <w:rPr>
          <w:b/>
          <w:bCs/>
          <w:lang w:val="en-GB"/>
        </w:rPr>
        <w:t>Urologiyhdistys</w:t>
      </w:r>
      <w:proofErr w:type="spellEnd"/>
      <w:r w:rsidRPr="00CF0F1C">
        <w:rPr>
          <w:b/>
          <w:bCs/>
          <w:lang w:val="en-GB"/>
        </w:rPr>
        <w:t>)</w:t>
      </w:r>
      <w:r w:rsidRPr="00CF0F1C">
        <w:rPr>
          <w:lang w:val="en-GB"/>
        </w:rPr>
        <w:t xml:space="preserve"> </w:t>
      </w:r>
      <w:r w:rsidR="0064215F" w:rsidRPr="00764B51">
        <w:rPr>
          <w:lang w:val="en-GB"/>
        </w:rPr>
        <w:t>endorses the</w:t>
      </w:r>
      <w:r w:rsidR="0064215F">
        <w:rPr>
          <w:lang w:val="en-GB"/>
        </w:rPr>
        <w:t xml:space="preserve"> current</w:t>
      </w:r>
      <w:r w:rsidR="0064215F" w:rsidRPr="00764B51">
        <w:rPr>
          <w:lang w:val="en-GB"/>
        </w:rPr>
        <w:t xml:space="preserve"> </w:t>
      </w:r>
      <w:r w:rsidR="0064215F">
        <w:rPr>
          <w:b/>
          <w:lang w:val="en-GB"/>
        </w:rPr>
        <w:t>2023</w:t>
      </w:r>
      <w:r w:rsidR="0064215F" w:rsidRPr="00764B51">
        <w:rPr>
          <w:b/>
          <w:lang w:val="en-GB"/>
        </w:rPr>
        <w:t xml:space="preserve"> Guidelines of the European Association of Urology (EAU)</w:t>
      </w:r>
      <w:r w:rsidR="0064215F" w:rsidRPr="00764B51">
        <w:rPr>
          <w:bCs/>
          <w:lang w:val="en-GB"/>
        </w:rPr>
        <w:t>,</w:t>
      </w:r>
      <w:r w:rsidR="0064215F" w:rsidRPr="00764B51">
        <w:rPr>
          <w:rStyle w:val="FootnoteReference"/>
          <w:lang w:val="en-GB"/>
        </w:rPr>
        <w:footnoteReference w:id="58"/>
      </w:r>
      <w:r w:rsidR="0064215F" w:rsidRPr="00764B51">
        <w:rPr>
          <w:bCs/>
          <w:lang w:val="en-GB"/>
        </w:rPr>
        <w:t xml:space="preserve"> which include the current </w:t>
      </w:r>
      <w:r w:rsidR="0064215F" w:rsidRPr="00764B51">
        <w:rPr>
          <w:b/>
          <w:lang w:val="en-GB"/>
        </w:rPr>
        <w:t xml:space="preserve">ESPU/EAU </w:t>
      </w:r>
      <w:r w:rsidR="0064215F" w:rsidRPr="00764B51">
        <w:rPr>
          <w:b/>
          <w:i/>
          <w:lang w:val="en-GB"/>
        </w:rPr>
        <w:t xml:space="preserve">“Paediatric Urology” </w:t>
      </w:r>
      <w:r w:rsidR="0064215F" w:rsidRPr="00764B51">
        <w:rPr>
          <w:b/>
          <w:lang w:val="en-GB"/>
        </w:rPr>
        <w:t>Guidelines</w:t>
      </w:r>
      <w:r w:rsidR="0064215F">
        <w:rPr>
          <w:b/>
          <w:lang w:val="en-GB"/>
        </w:rPr>
        <w:t xml:space="preserve"> 2023</w:t>
      </w:r>
      <w:r w:rsidR="0064215F" w:rsidRPr="00764B51">
        <w:rPr>
          <w:rStyle w:val="FootnoteReference"/>
          <w:lang w:val="en-GB"/>
        </w:rPr>
        <w:footnoteReference w:id="59"/>
      </w:r>
      <w:r w:rsidR="0064215F" w:rsidRPr="00764B51">
        <w:rPr>
          <w:lang w:val="en-GB"/>
        </w:rPr>
        <w:t xml:space="preserve"> of the European Society for Paediatric Urology (ESPU) and the European Association of Urology (EAU).</w:t>
      </w:r>
      <w:r w:rsidR="0064215F">
        <w:rPr>
          <w:lang w:val="en-GB"/>
        </w:rPr>
        <w:t xml:space="preserve"> </w:t>
      </w:r>
      <w:r w:rsidR="0064215F" w:rsidRPr="00764DD7">
        <w:rPr>
          <w:lang w:val="en-GB"/>
        </w:rPr>
        <w:t xml:space="preserve">In </w:t>
      </w:r>
      <w:r w:rsidR="0064215F" w:rsidRPr="00764DD7">
        <w:rPr>
          <w:b/>
          <w:bCs/>
          <w:lang w:val="en-GB"/>
        </w:rPr>
        <w:t xml:space="preserve">chapter 3.6 </w:t>
      </w:r>
      <w:r w:rsidR="0064215F" w:rsidRPr="00764DD7">
        <w:rPr>
          <w:b/>
          <w:bCs/>
          <w:i/>
          <w:iCs/>
          <w:lang w:val="en-GB"/>
        </w:rPr>
        <w:t>“Hypospadias”</w:t>
      </w:r>
      <w:r w:rsidR="0064215F" w:rsidRPr="00764DD7">
        <w:rPr>
          <w:lang w:val="en-GB"/>
        </w:rPr>
        <w:t>,</w:t>
      </w:r>
      <w:r w:rsidR="0064215F" w:rsidRPr="00764DD7">
        <w:rPr>
          <w:rStyle w:val="FootnoteReference"/>
          <w:lang w:val="en-GB"/>
        </w:rPr>
        <w:footnoteReference w:id="60"/>
      </w:r>
      <w:r w:rsidR="0064215F" w:rsidRPr="00764DD7">
        <w:rPr>
          <w:lang w:val="en-GB"/>
        </w:rPr>
        <w:t xml:space="preserve"> </w:t>
      </w:r>
      <w:r w:rsidR="0064215F" w:rsidRPr="00764DD7">
        <w:rPr>
          <w:rFonts w:cs="Times New Roman"/>
          <w:lang w:val="en-GB"/>
        </w:rPr>
        <w:t xml:space="preserve">the ESPU/EAU Guidelines’ </w:t>
      </w:r>
      <w:r w:rsidR="0064215F" w:rsidRPr="00764DD7">
        <w:rPr>
          <w:rFonts w:cs="Times New Roman"/>
          <w:b/>
          <w:bCs/>
          <w:lang w:val="en-GB"/>
        </w:rPr>
        <w:t xml:space="preserve">section 3.6.5.3 </w:t>
      </w:r>
      <w:r w:rsidR="0064215F" w:rsidRPr="00764DD7">
        <w:rPr>
          <w:rFonts w:cs="Times New Roman"/>
          <w:b/>
          <w:bCs/>
          <w:i/>
          <w:iCs/>
          <w:lang w:val="en-GB"/>
        </w:rPr>
        <w:t>“Age at surgery”</w:t>
      </w:r>
      <w:r w:rsidR="0064215F" w:rsidRPr="00764DD7">
        <w:rPr>
          <w:rFonts w:cs="Times New Roman"/>
          <w:i/>
          <w:iCs/>
          <w:lang w:val="en-GB"/>
        </w:rPr>
        <w:t xml:space="preserve"> </w:t>
      </w:r>
      <w:r w:rsidR="0064215F" w:rsidRPr="00764DD7">
        <w:rPr>
          <w:rFonts w:cs="Times New Roman"/>
          <w:lang w:val="en-GB"/>
        </w:rPr>
        <w:t xml:space="preserve">explicitly promotes, </w:t>
      </w:r>
      <w:r w:rsidR="0064215F" w:rsidRPr="00764DD7">
        <w:rPr>
          <w:rFonts w:cs="Times New Roman"/>
          <w:b/>
          <w:bCs/>
          <w:i/>
          <w:iCs/>
          <w:lang w:val="en-GB"/>
        </w:rPr>
        <w:t>“The age at surgery for primary hypospadias repair is usually 6-18 (24) months.”</w:t>
      </w:r>
      <w:r w:rsidR="0064215F" w:rsidRPr="00764DD7">
        <w:rPr>
          <w:rStyle w:val="FootnoteReference"/>
          <w:lang w:val="en-GB"/>
        </w:rPr>
        <w:t xml:space="preserve"> </w:t>
      </w:r>
      <w:r w:rsidR="0064215F" w:rsidRPr="00764DD7">
        <w:rPr>
          <w:rStyle w:val="FootnoteReference"/>
          <w:lang w:val="en-GB"/>
        </w:rPr>
        <w:footnoteReference w:id="61"/>
      </w:r>
      <w:r w:rsidR="0064215F" w:rsidRPr="00764DD7">
        <w:rPr>
          <w:lang w:val="en-GB"/>
        </w:rPr>
        <w:t xml:space="preserve"> – </w:t>
      </w:r>
      <w:r w:rsidR="0064215F" w:rsidRPr="00764DD7">
        <w:rPr>
          <w:rFonts w:cs="Times New Roman"/>
          <w:lang w:val="en-GB"/>
        </w:rPr>
        <w:t xml:space="preserve">despite admitting to the </w:t>
      </w:r>
      <w:r w:rsidR="0064215F" w:rsidRPr="00764DD7">
        <w:rPr>
          <w:rFonts w:cs="Times New Roman"/>
          <w:i/>
          <w:lang w:val="en-GB"/>
        </w:rPr>
        <w:t>“risk of complications”</w:t>
      </w:r>
      <w:r w:rsidR="0064215F" w:rsidRPr="00764DD7">
        <w:rPr>
          <w:rFonts w:cs="Times New Roman"/>
          <w:lang w:val="en-GB"/>
        </w:rPr>
        <w:t xml:space="preserve"> </w:t>
      </w:r>
      <w:r w:rsidR="0064215F" w:rsidRPr="00764DD7">
        <w:rPr>
          <w:rStyle w:val="FootnoteReference"/>
          <w:lang w:val="en-GB"/>
        </w:rPr>
        <w:footnoteReference w:id="62"/>
      </w:r>
      <w:r w:rsidR="0064215F" w:rsidRPr="00764DD7">
        <w:rPr>
          <w:rFonts w:cs="Times New Roman"/>
          <w:lang w:val="en-GB"/>
        </w:rPr>
        <w:t xml:space="preserve"> and </w:t>
      </w:r>
      <w:r w:rsidR="0064215F" w:rsidRPr="00764DD7">
        <w:rPr>
          <w:rFonts w:cs="Times New Roman"/>
          <w:i/>
          <w:lang w:val="en-GB"/>
        </w:rPr>
        <w:t>“</w:t>
      </w:r>
      <w:proofErr w:type="gramStart"/>
      <w:r w:rsidR="0064215F" w:rsidRPr="00764DD7">
        <w:rPr>
          <w:rFonts w:cs="Times New Roman"/>
          <w:i/>
          <w:lang w:val="en-GB"/>
        </w:rPr>
        <w:t>aesthetic[</w:t>
      </w:r>
      <w:proofErr w:type="gramEnd"/>
      <w:r w:rsidR="0064215F" w:rsidRPr="00764DD7">
        <w:rPr>
          <w:rFonts w:cs="Times New Roman"/>
          <w:i/>
          <w:lang w:val="en-GB"/>
        </w:rPr>
        <w:t xml:space="preserve">…]” </w:t>
      </w:r>
      <w:r w:rsidR="0064215F" w:rsidRPr="00764DD7">
        <w:rPr>
          <w:rFonts w:cs="Times New Roman"/>
          <w:iCs/>
          <w:lang w:val="en-GB"/>
        </w:rPr>
        <w:t xml:space="preserve">and </w:t>
      </w:r>
      <w:r w:rsidR="0064215F" w:rsidRPr="00764DD7">
        <w:rPr>
          <w:rFonts w:cs="Times New Roman"/>
          <w:i/>
          <w:lang w:val="en-GB"/>
        </w:rPr>
        <w:t xml:space="preserve">“cosmetic” </w:t>
      </w:r>
      <w:r w:rsidR="0064215F" w:rsidRPr="00764DD7">
        <w:rPr>
          <w:rFonts w:cs="Times New Roman"/>
          <w:iCs/>
          <w:lang w:val="en-GB"/>
        </w:rPr>
        <w:t>justifications.</w:t>
      </w:r>
      <w:r w:rsidR="0064215F" w:rsidRPr="00764DD7">
        <w:rPr>
          <w:rStyle w:val="FootnoteReference"/>
          <w:rFonts w:cs="Times New Roman"/>
          <w:lang w:val="en-GB"/>
        </w:rPr>
        <w:footnoteReference w:id="63"/>
      </w:r>
    </w:p>
    <w:p w14:paraId="4708A54E" w14:textId="3F619FC7" w:rsidR="009118D1" w:rsidRPr="00CF0F1C" w:rsidRDefault="009118D1" w:rsidP="0064215F">
      <w:pPr>
        <w:pStyle w:val="absatzschattenbericht"/>
        <w:rPr>
          <w:i/>
          <w:iCs/>
          <w:lang w:val="en-GB"/>
        </w:rPr>
      </w:pPr>
      <w:r w:rsidRPr="00CF0F1C">
        <w:rPr>
          <w:lang w:val="en-GB"/>
        </w:rPr>
        <w:t xml:space="preserve">Accordingly, the </w:t>
      </w:r>
      <w:r w:rsidR="00413EB5" w:rsidRPr="00CF0F1C">
        <w:rPr>
          <w:b/>
          <w:bCs/>
          <w:lang w:val="en-GB"/>
        </w:rPr>
        <w:t>2020 CCPR State Party Report</w:t>
      </w:r>
      <w:r w:rsidR="00413EB5" w:rsidRPr="00CF0F1C">
        <w:rPr>
          <w:lang w:val="en-GB"/>
        </w:rPr>
        <w:t xml:space="preserve"> (CCPR/C/FIN/7, para</w:t>
      </w:r>
      <w:r w:rsidRPr="00CF0F1C">
        <w:rPr>
          <w:lang w:val="en-GB"/>
        </w:rPr>
        <w:t xml:space="preserve"> 112) admit</w:t>
      </w:r>
      <w:r w:rsidR="00413EB5" w:rsidRPr="00CF0F1C">
        <w:rPr>
          <w:lang w:val="en-GB"/>
        </w:rPr>
        <w:t>ted</w:t>
      </w:r>
      <w:r w:rsidRPr="00CF0F1C">
        <w:rPr>
          <w:lang w:val="en-GB"/>
        </w:rPr>
        <w:t xml:space="preserve"> to ongoing </w:t>
      </w:r>
      <w:r w:rsidRPr="00CF0F1C">
        <w:rPr>
          <w:b/>
          <w:bCs/>
          <w:i/>
          <w:iCs/>
          <w:lang w:val="en-GB"/>
        </w:rPr>
        <w:t xml:space="preserve">“corrective </w:t>
      </w:r>
      <w:r w:rsidR="005E4837" w:rsidRPr="00CF0F1C">
        <w:rPr>
          <w:b/>
          <w:bCs/>
          <w:i/>
          <w:iCs/>
          <w:lang w:val="en-GB"/>
        </w:rPr>
        <w:t>surgery”</w:t>
      </w:r>
      <w:r w:rsidRPr="00CF0F1C">
        <w:rPr>
          <w:b/>
          <w:bCs/>
          <w:i/>
          <w:iCs/>
          <w:lang w:val="en-GB"/>
        </w:rPr>
        <w:t xml:space="preserve"> </w:t>
      </w:r>
      <w:r w:rsidRPr="00CF0F1C">
        <w:rPr>
          <w:lang w:val="en-GB"/>
        </w:rPr>
        <w:t xml:space="preserve">on the </w:t>
      </w:r>
      <w:r w:rsidR="005E4837" w:rsidRPr="00CF0F1C">
        <w:rPr>
          <w:b/>
          <w:bCs/>
          <w:i/>
          <w:iCs/>
          <w:lang w:val="en-GB"/>
        </w:rPr>
        <w:t>“genital area in boys</w:t>
      </w:r>
      <w:r w:rsidRPr="00CF0F1C">
        <w:rPr>
          <w:b/>
          <w:bCs/>
          <w:i/>
          <w:iCs/>
          <w:lang w:val="en-GB"/>
        </w:rPr>
        <w:t>”</w:t>
      </w:r>
      <w:r w:rsidRPr="00CF0F1C">
        <w:rPr>
          <w:lang w:val="en-GB"/>
        </w:rPr>
        <w:t xml:space="preserve">, </w:t>
      </w:r>
      <w:proofErr w:type="gramStart"/>
      <w:r w:rsidRPr="00CF0F1C">
        <w:rPr>
          <w:lang w:val="en-GB"/>
        </w:rPr>
        <w:t>e.g.</w:t>
      </w:r>
      <w:proofErr w:type="gramEnd"/>
      <w:r w:rsidRPr="00CF0F1C">
        <w:rPr>
          <w:lang w:val="en-GB"/>
        </w:rPr>
        <w:t xml:space="preserve"> </w:t>
      </w:r>
      <w:r w:rsidR="005E4837" w:rsidRPr="00CF0F1C">
        <w:rPr>
          <w:lang w:val="en-GB"/>
        </w:rPr>
        <w:t>boys</w:t>
      </w:r>
      <w:r w:rsidRPr="00CF0F1C">
        <w:rPr>
          <w:lang w:val="en-GB"/>
        </w:rPr>
        <w:t xml:space="preserve"> </w:t>
      </w:r>
      <w:r w:rsidR="00F45815" w:rsidRPr="00CF0F1C">
        <w:rPr>
          <w:lang w:val="en-GB"/>
        </w:rPr>
        <w:t xml:space="preserve">with intersex traits </w:t>
      </w:r>
      <w:r w:rsidRPr="00CF0F1C">
        <w:rPr>
          <w:lang w:val="en-GB"/>
        </w:rPr>
        <w:t xml:space="preserve">diagnosed with </w:t>
      </w:r>
      <w:r w:rsidR="005E4837" w:rsidRPr="00CF0F1C">
        <w:rPr>
          <w:lang w:val="en-GB"/>
        </w:rPr>
        <w:t>hypospadias:</w:t>
      </w:r>
      <w:r w:rsidRPr="00CF0F1C">
        <w:rPr>
          <w:lang w:val="en-GB"/>
        </w:rPr>
        <w:t xml:space="preserve"> </w:t>
      </w:r>
    </w:p>
    <w:p w14:paraId="31BA6BAA" w14:textId="77777777" w:rsidR="009118D1" w:rsidRPr="00CF0F1C" w:rsidRDefault="009118D1" w:rsidP="00292B8F">
      <w:pPr>
        <w:pStyle w:val="absatzschattenbericht"/>
        <w:ind w:left="284"/>
        <w:rPr>
          <w:i/>
          <w:iCs/>
          <w:lang w:val="en-GB"/>
        </w:rPr>
      </w:pPr>
      <w:r w:rsidRPr="00CF0F1C">
        <w:rPr>
          <w:i/>
          <w:iCs/>
          <w:lang w:val="en-GB"/>
        </w:rPr>
        <w:t>“According to a report compiled at HUS on the basis of the Care Register, university hospitals perform about 5 to 40 operations on the genital area in boys per year, most of them having to do with a congenital malformation.”</w:t>
      </w:r>
    </w:p>
    <w:p w14:paraId="531783F6" w14:textId="4E73F22A" w:rsidR="005E4837" w:rsidRPr="00CF0F1C" w:rsidRDefault="005E4837" w:rsidP="00292B8F">
      <w:pPr>
        <w:pStyle w:val="absatzschattenbericht"/>
        <w:rPr>
          <w:lang w:val="en-GB"/>
        </w:rPr>
      </w:pPr>
      <w:r w:rsidRPr="00CF0F1C">
        <w:rPr>
          <w:lang w:val="en-GB"/>
        </w:rPr>
        <w:t xml:space="preserve">However, the stated number of </w:t>
      </w:r>
      <w:r w:rsidRPr="00CF0F1C">
        <w:rPr>
          <w:i/>
          <w:iCs/>
          <w:lang w:val="en-GB"/>
        </w:rPr>
        <w:t xml:space="preserve">“5 to 40 operations per year” </w:t>
      </w:r>
      <w:r w:rsidRPr="00CF0F1C">
        <w:rPr>
          <w:lang w:val="en-GB"/>
        </w:rPr>
        <w:t xml:space="preserve">seems to include </w:t>
      </w:r>
      <w:r w:rsidRPr="00CF0F1C">
        <w:rPr>
          <w:b/>
          <w:bCs/>
          <w:lang w:val="en-GB"/>
        </w:rPr>
        <w:t xml:space="preserve">only procedures performed in the Hospital District of Helsinki and </w:t>
      </w:r>
      <w:proofErr w:type="spellStart"/>
      <w:r w:rsidRPr="00CF0F1C">
        <w:rPr>
          <w:b/>
          <w:bCs/>
          <w:lang w:val="en-GB"/>
        </w:rPr>
        <w:t>Uusimaa</w:t>
      </w:r>
      <w:proofErr w:type="spellEnd"/>
      <w:r w:rsidRPr="00CF0F1C">
        <w:rPr>
          <w:lang w:val="en-GB"/>
        </w:rPr>
        <w:t xml:space="preserve">, and </w:t>
      </w:r>
      <w:r w:rsidR="00B5270F" w:rsidRPr="00CF0F1C">
        <w:rPr>
          <w:lang w:val="en-GB"/>
        </w:rPr>
        <w:t>arguably</w:t>
      </w:r>
      <w:r w:rsidRPr="00CF0F1C">
        <w:rPr>
          <w:lang w:val="en-GB"/>
        </w:rPr>
        <w:t xml:space="preserve"> include </w:t>
      </w:r>
      <w:r w:rsidRPr="00CF0F1C">
        <w:rPr>
          <w:b/>
          <w:bCs/>
          <w:lang w:val="en-GB"/>
        </w:rPr>
        <w:t>only selected relevant procedures</w:t>
      </w:r>
      <w:r w:rsidRPr="00CF0F1C">
        <w:rPr>
          <w:lang w:val="en-GB"/>
        </w:rPr>
        <w:t>, as the State report doesn’t specify which diagnoses and procedu</w:t>
      </w:r>
      <w:r w:rsidR="00B5270F" w:rsidRPr="00CF0F1C">
        <w:rPr>
          <w:lang w:val="en-GB"/>
        </w:rPr>
        <w:t xml:space="preserve">res were included and which not (see also below p. </w:t>
      </w:r>
      <w:r w:rsidR="00A05474" w:rsidRPr="00CF0F1C">
        <w:rPr>
          <w:lang w:val="en-GB"/>
        </w:rPr>
        <w:t>21-22</w:t>
      </w:r>
      <w:r w:rsidR="00B5270F" w:rsidRPr="00CF0F1C">
        <w:rPr>
          <w:lang w:val="en-GB"/>
        </w:rPr>
        <w:t>).</w:t>
      </w:r>
    </w:p>
    <w:p w14:paraId="5F4B3152" w14:textId="400E1CB4" w:rsidR="00E9083F" w:rsidRPr="00CF0F1C" w:rsidRDefault="00E9083F" w:rsidP="00292B8F">
      <w:pPr>
        <w:pStyle w:val="absatzschattenbericht"/>
        <w:rPr>
          <w:lang w:val="en-GB"/>
        </w:rPr>
      </w:pPr>
      <w:r w:rsidRPr="00CF0F1C">
        <w:rPr>
          <w:lang w:val="en-GB"/>
        </w:rPr>
        <w:t xml:space="preserve">Accordingly, </w:t>
      </w:r>
      <w:r w:rsidRPr="00CF0F1C">
        <w:rPr>
          <w:b/>
          <w:bCs/>
          <w:lang w:val="en-GB"/>
        </w:rPr>
        <w:t>terveyskyla.fi</w:t>
      </w:r>
      <w:r w:rsidRPr="00CF0F1C">
        <w:rPr>
          <w:lang w:val="en-GB"/>
        </w:rPr>
        <w:t xml:space="preserve">, </w:t>
      </w:r>
      <w:r w:rsidRPr="00CF0F1C">
        <w:rPr>
          <w:i/>
          <w:iCs/>
          <w:lang w:val="en-GB"/>
        </w:rPr>
        <w:t>“a public online service developed by Finnish university</w:t>
      </w:r>
      <w:r w:rsidR="00E03C83" w:rsidRPr="00CF0F1C">
        <w:rPr>
          <w:i/>
          <w:iCs/>
          <w:lang w:val="en-GB"/>
        </w:rPr>
        <w:t xml:space="preserve"> hospitals</w:t>
      </w:r>
      <w:r w:rsidRPr="00CF0F1C">
        <w:rPr>
          <w:i/>
          <w:iCs/>
          <w:lang w:val="en-GB"/>
        </w:rPr>
        <w:t>”</w:t>
      </w:r>
      <w:r w:rsidRPr="00CF0F1C">
        <w:rPr>
          <w:lang w:val="en-GB"/>
        </w:rPr>
        <w:t xml:space="preserve">, </w:t>
      </w:r>
      <w:proofErr w:type="gramStart"/>
      <w:r w:rsidRPr="00CF0F1C">
        <w:rPr>
          <w:lang w:val="en-GB"/>
        </w:rPr>
        <w:t>i.e.</w:t>
      </w:r>
      <w:proofErr w:type="gramEnd"/>
      <w:r w:rsidRPr="00CF0F1C">
        <w:rPr>
          <w:lang w:val="en-GB"/>
        </w:rPr>
        <w:t xml:space="preserve"> the </w:t>
      </w:r>
      <w:r w:rsidRPr="00CF0F1C">
        <w:rPr>
          <w:b/>
          <w:bCs/>
          <w:lang w:val="en-GB"/>
        </w:rPr>
        <w:t>5</w:t>
      </w:r>
      <w:r w:rsidR="00E03C83" w:rsidRPr="00CF0F1C">
        <w:rPr>
          <w:b/>
          <w:bCs/>
          <w:lang w:val="en-GB"/>
        </w:rPr>
        <w:t> above-</w:t>
      </w:r>
      <w:r w:rsidRPr="00CF0F1C">
        <w:rPr>
          <w:b/>
          <w:bCs/>
          <w:lang w:val="en-GB"/>
        </w:rPr>
        <w:t xml:space="preserve">mentioned University Hospitals </w:t>
      </w:r>
      <w:r w:rsidR="00E03C83" w:rsidRPr="00CF0F1C">
        <w:rPr>
          <w:b/>
          <w:bCs/>
          <w:lang w:val="en-GB"/>
        </w:rPr>
        <w:t>practicing IGM</w:t>
      </w:r>
      <w:r w:rsidRPr="00CF0F1C">
        <w:rPr>
          <w:lang w:val="en-GB"/>
        </w:rPr>
        <w:t xml:space="preserve">, states on its homepage on </w:t>
      </w:r>
      <w:r w:rsidRPr="00CF0F1C">
        <w:rPr>
          <w:b/>
          <w:bCs/>
          <w:i/>
          <w:iCs/>
          <w:lang w:val="en-GB"/>
        </w:rPr>
        <w:t>“Lower urethral obstruction (hypospadias) in boys”</w:t>
      </w:r>
      <w:r w:rsidRPr="00CF0F1C">
        <w:rPr>
          <w:lang w:val="en-GB"/>
        </w:rPr>
        <w:t>:</w:t>
      </w:r>
      <w:r w:rsidR="00815972" w:rsidRPr="00CF0F1C">
        <w:rPr>
          <w:rStyle w:val="FootnoteReference"/>
          <w:lang w:val="en-GB"/>
        </w:rPr>
        <w:footnoteReference w:id="64"/>
      </w:r>
    </w:p>
    <w:p w14:paraId="5AD54529" w14:textId="3B72196F" w:rsidR="00E9083F" w:rsidRPr="00CF0F1C" w:rsidRDefault="00E03C83" w:rsidP="00F745B1">
      <w:pPr>
        <w:pStyle w:val="absatzschattenbericht"/>
        <w:spacing w:after="80"/>
        <w:ind w:left="284"/>
        <w:rPr>
          <w:i/>
          <w:iCs/>
          <w:lang w:val="en-GB"/>
        </w:rPr>
      </w:pPr>
      <w:r w:rsidRPr="00CF0F1C">
        <w:rPr>
          <w:i/>
          <w:iCs/>
          <w:lang w:val="en-GB"/>
        </w:rPr>
        <w:t>“</w:t>
      </w:r>
      <w:r w:rsidR="00E9083F" w:rsidRPr="00CF0F1C">
        <w:rPr>
          <w:i/>
          <w:iCs/>
          <w:lang w:val="en-GB"/>
        </w:rPr>
        <w:t xml:space="preserve">In Finland, </w:t>
      </w:r>
      <w:r w:rsidR="00E9083F" w:rsidRPr="00CF0F1C">
        <w:rPr>
          <w:b/>
          <w:bCs/>
          <w:i/>
          <w:iCs/>
          <w:lang w:val="en-GB"/>
        </w:rPr>
        <w:t>about 100 boys are born each year with hypospadias</w:t>
      </w:r>
      <w:r w:rsidR="00E9083F" w:rsidRPr="00CF0F1C">
        <w:rPr>
          <w:i/>
          <w:iCs/>
          <w:lang w:val="en-GB"/>
        </w:rPr>
        <w:t>.</w:t>
      </w:r>
      <w:r w:rsidRPr="00CF0F1C">
        <w:rPr>
          <w:i/>
          <w:iCs/>
          <w:lang w:val="en-GB"/>
        </w:rPr>
        <w:t>”</w:t>
      </w:r>
    </w:p>
    <w:p w14:paraId="490C56E6" w14:textId="6D72C786" w:rsidR="00E9083F" w:rsidRDefault="00E03C83" w:rsidP="00F745B1">
      <w:pPr>
        <w:pStyle w:val="absatzschattenbericht"/>
        <w:spacing w:after="80"/>
        <w:ind w:left="284"/>
        <w:rPr>
          <w:i/>
          <w:iCs/>
          <w:lang w:val="en-GB"/>
        </w:rPr>
      </w:pPr>
      <w:r w:rsidRPr="00CF0F1C">
        <w:rPr>
          <w:b/>
          <w:bCs/>
          <w:i/>
          <w:iCs/>
          <w:lang w:val="en-GB"/>
        </w:rPr>
        <w:t>“</w:t>
      </w:r>
      <w:r w:rsidR="00E9083F" w:rsidRPr="00CF0F1C">
        <w:rPr>
          <w:b/>
          <w:bCs/>
          <w:i/>
          <w:iCs/>
          <w:lang w:val="en-GB"/>
        </w:rPr>
        <w:t>Hypospadias is treated with surgery.</w:t>
      </w:r>
      <w:r w:rsidR="00E9083F" w:rsidRPr="00CF0F1C">
        <w:rPr>
          <w:i/>
          <w:iCs/>
          <w:lang w:val="en-GB"/>
        </w:rPr>
        <w:t xml:space="preserve"> However, mild hypospadias </w:t>
      </w:r>
      <w:proofErr w:type="gramStart"/>
      <w:r w:rsidR="00E9083F" w:rsidRPr="00CF0F1C">
        <w:rPr>
          <w:i/>
          <w:iCs/>
          <w:lang w:val="en-GB"/>
        </w:rPr>
        <w:t>do</w:t>
      </w:r>
      <w:proofErr w:type="gramEnd"/>
      <w:r w:rsidR="00E9083F" w:rsidRPr="00CF0F1C">
        <w:rPr>
          <w:i/>
          <w:iCs/>
          <w:lang w:val="en-GB"/>
        </w:rPr>
        <w:t xml:space="preserve"> not need to be treated. The aim of treatment is to </w:t>
      </w:r>
      <w:r w:rsidR="00E9083F" w:rsidRPr="00CF0F1C">
        <w:rPr>
          <w:b/>
          <w:bCs/>
          <w:i/>
          <w:iCs/>
          <w:lang w:val="en-GB"/>
        </w:rPr>
        <w:t xml:space="preserve">achieve </w:t>
      </w:r>
      <w:r w:rsidRPr="00CF0F1C">
        <w:rPr>
          <w:b/>
          <w:bCs/>
          <w:i/>
          <w:iCs/>
          <w:lang w:val="en-GB"/>
        </w:rPr>
        <w:t xml:space="preserve">a </w:t>
      </w:r>
      <w:r w:rsidR="00E9083F" w:rsidRPr="00CF0F1C">
        <w:rPr>
          <w:b/>
          <w:bCs/>
          <w:i/>
          <w:iCs/>
          <w:lang w:val="en-GB"/>
        </w:rPr>
        <w:t>as normal penis as possible</w:t>
      </w:r>
      <w:r w:rsidR="00E9083F" w:rsidRPr="00CF0F1C">
        <w:rPr>
          <w:i/>
          <w:iCs/>
          <w:lang w:val="en-GB"/>
        </w:rPr>
        <w:t>, both functionally and cosmetically. Functionally, the aim is to achieve a sufficiently strong and forward flow of urine.</w:t>
      </w:r>
      <w:r w:rsidRPr="00CF0F1C">
        <w:rPr>
          <w:i/>
          <w:iCs/>
          <w:lang w:val="en-GB"/>
        </w:rPr>
        <w:t>”</w:t>
      </w:r>
    </w:p>
    <w:p w14:paraId="675D4BE0" w14:textId="77777777" w:rsidR="00845373" w:rsidRPr="00CF0F1C" w:rsidRDefault="00845373" w:rsidP="00F745B1">
      <w:pPr>
        <w:pStyle w:val="absatzschattenbericht"/>
        <w:spacing w:after="80"/>
        <w:ind w:left="284"/>
        <w:rPr>
          <w:i/>
          <w:iCs/>
          <w:lang w:val="en-GB"/>
        </w:rPr>
      </w:pPr>
    </w:p>
    <w:p w14:paraId="1494EC4F" w14:textId="466E50CF" w:rsidR="00E9083F" w:rsidRPr="00CF0F1C" w:rsidRDefault="00E03C83" w:rsidP="00F745B1">
      <w:pPr>
        <w:pStyle w:val="absatzschattenbericht"/>
        <w:spacing w:after="80"/>
        <w:ind w:left="284"/>
        <w:rPr>
          <w:b/>
          <w:bCs/>
          <w:i/>
          <w:iCs/>
          <w:lang w:val="en-GB"/>
        </w:rPr>
      </w:pPr>
      <w:r w:rsidRPr="00CF0F1C">
        <w:rPr>
          <w:b/>
          <w:bCs/>
          <w:i/>
          <w:iCs/>
          <w:lang w:val="en-GB"/>
        </w:rPr>
        <w:lastRenderedPageBreak/>
        <w:t>“</w:t>
      </w:r>
      <w:r w:rsidR="00E9083F" w:rsidRPr="00CF0F1C">
        <w:rPr>
          <w:b/>
          <w:bCs/>
          <w:i/>
          <w:iCs/>
          <w:lang w:val="en-GB"/>
        </w:rPr>
        <w:t>Hypospadias repair surgery</w:t>
      </w:r>
    </w:p>
    <w:p w14:paraId="5C5C1749" w14:textId="2AC1DAC2" w:rsidR="00E9083F" w:rsidRPr="00CF0F1C" w:rsidRDefault="00E9083F" w:rsidP="00292B8F">
      <w:pPr>
        <w:pStyle w:val="absatzschattenbericht"/>
        <w:ind w:left="284"/>
        <w:rPr>
          <w:i/>
          <w:iCs/>
          <w:lang w:val="en-GB"/>
        </w:rPr>
      </w:pPr>
      <w:r w:rsidRPr="00CF0F1C">
        <w:rPr>
          <w:b/>
          <w:bCs/>
          <w:i/>
          <w:iCs/>
          <w:lang w:val="en-GB"/>
        </w:rPr>
        <w:t>The most common age for corrective surgery is one year,</w:t>
      </w:r>
      <w:r w:rsidRPr="00CF0F1C">
        <w:rPr>
          <w:i/>
          <w:iCs/>
          <w:lang w:val="en-GB"/>
        </w:rPr>
        <w:t xml:space="preserve"> but it is possible to have the operation later, for example if the need for surgery is still being considered. The operation is performed under anaesthesia and lasts a few hours. The area is also anaesthetised, which reduces post-operative pain.</w:t>
      </w:r>
      <w:r w:rsidR="00E03C83" w:rsidRPr="00CF0F1C">
        <w:rPr>
          <w:i/>
          <w:iCs/>
          <w:lang w:val="en-GB"/>
        </w:rPr>
        <w:t>”</w:t>
      </w:r>
    </w:p>
    <w:p w14:paraId="3C9B261C" w14:textId="3C744882" w:rsidR="00B463B6" w:rsidRPr="00CF0F1C" w:rsidRDefault="009118D1" w:rsidP="00292B8F">
      <w:pPr>
        <w:pStyle w:val="absatzschattenbericht"/>
        <w:rPr>
          <w:lang w:val="en-GB"/>
        </w:rPr>
      </w:pPr>
      <w:r w:rsidRPr="00CF0F1C">
        <w:rPr>
          <w:lang w:val="en-GB"/>
        </w:rPr>
        <w:t>Also</w:t>
      </w:r>
      <w:r w:rsidR="00B91176" w:rsidRPr="00CF0F1C">
        <w:rPr>
          <w:lang w:val="en-GB"/>
        </w:rPr>
        <w:t xml:space="preserve">, the </w:t>
      </w:r>
      <w:r w:rsidR="00B91176" w:rsidRPr="00CF0F1C">
        <w:rPr>
          <w:b/>
          <w:bCs/>
          <w:lang w:val="en-GB"/>
        </w:rPr>
        <w:t>2019 Intersex Study</w:t>
      </w:r>
      <w:r w:rsidR="00B91176" w:rsidRPr="00CF0F1C">
        <w:rPr>
          <w:rStyle w:val="FootnoteReference"/>
          <w:lang w:val="en-GB"/>
        </w:rPr>
        <w:footnoteReference w:id="65"/>
      </w:r>
      <w:r w:rsidR="00B91176" w:rsidRPr="00CF0F1C">
        <w:rPr>
          <w:lang w:val="en-GB"/>
        </w:rPr>
        <w:t xml:space="preserve"> commissioned by the Ministry of Justice includes the </w:t>
      </w:r>
      <w:r w:rsidR="00B91176" w:rsidRPr="00CF0F1C">
        <w:rPr>
          <w:b/>
          <w:bCs/>
          <w:lang w:val="en-GB"/>
        </w:rPr>
        <w:t>testimony of a parent</w:t>
      </w:r>
      <w:r w:rsidR="001C4D94" w:rsidRPr="00CF0F1C">
        <w:rPr>
          <w:lang w:val="en-GB"/>
        </w:rPr>
        <w:t xml:space="preserve"> concerning a </w:t>
      </w:r>
      <w:r w:rsidR="001C4D94" w:rsidRPr="00CF0F1C">
        <w:rPr>
          <w:b/>
          <w:bCs/>
          <w:lang w:val="en-GB"/>
        </w:rPr>
        <w:t>recent hypospadias surgery</w:t>
      </w:r>
      <w:r w:rsidR="001C4D94" w:rsidRPr="00CF0F1C">
        <w:rPr>
          <w:lang w:val="en-GB"/>
        </w:rPr>
        <w:t xml:space="preserve"> of which </w:t>
      </w:r>
      <w:r w:rsidR="001C4D94" w:rsidRPr="00CF0F1C">
        <w:rPr>
          <w:b/>
          <w:bCs/>
          <w:lang w:val="en-GB"/>
        </w:rPr>
        <w:t>not even the parents were properly informed</w:t>
      </w:r>
      <w:r w:rsidR="001C4D94" w:rsidRPr="00CF0F1C">
        <w:rPr>
          <w:lang w:val="en-GB"/>
        </w:rPr>
        <w:t xml:space="preserve">, and resulting in </w:t>
      </w:r>
      <w:r w:rsidR="001C4D94" w:rsidRPr="00CF0F1C">
        <w:rPr>
          <w:b/>
          <w:bCs/>
          <w:lang w:val="en-GB"/>
        </w:rPr>
        <w:t>serious complications</w:t>
      </w:r>
      <w:r w:rsidR="00B91176" w:rsidRPr="00CF0F1C">
        <w:rPr>
          <w:lang w:val="en-GB"/>
        </w:rPr>
        <w:t xml:space="preserve"> </w:t>
      </w:r>
      <w:r w:rsidR="00095A7A" w:rsidRPr="00CF0F1C">
        <w:rPr>
          <w:lang w:val="en-GB"/>
        </w:rPr>
        <w:t xml:space="preserve">requiring additional surgery </w:t>
      </w:r>
      <w:r w:rsidR="00B91176" w:rsidRPr="00CF0F1C">
        <w:rPr>
          <w:lang w:val="en-GB"/>
        </w:rPr>
        <w:t>(p.</w:t>
      </w:r>
      <w:r w:rsidR="0031000F" w:rsidRPr="00CF0F1C">
        <w:rPr>
          <w:lang w:val="en-GB"/>
        </w:rPr>
        <w:t> </w:t>
      </w:r>
      <w:r w:rsidR="001C4D94" w:rsidRPr="00CF0F1C">
        <w:rPr>
          <w:lang w:val="en-GB"/>
        </w:rPr>
        <w:t>52</w:t>
      </w:r>
      <w:r w:rsidR="003561AA" w:rsidRPr="00CF0F1C">
        <w:rPr>
          <w:lang w:val="en-GB"/>
        </w:rPr>
        <w:t>-53</w:t>
      </w:r>
      <w:r w:rsidR="00B91176" w:rsidRPr="00CF0F1C">
        <w:rPr>
          <w:lang w:val="en-GB"/>
        </w:rPr>
        <w:t xml:space="preserve">/p. </w:t>
      </w:r>
      <w:r w:rsidR="001C4D94" w:rsidRPr="00CF0F1C">
        <w:rPr>
          <w:lang w:val="en-GB"/>
        </w:rPr>
        <w:t>58</w:t>
      </w:r>
      <w:r w:rsidR="003561AA" w:rsidRPr="00CF0F1C">
        <w:rPr>
          <w:lang w:val="en-GB"/>
        </w:rPr>
        <w:t>-59</w:t>
      </w:r>
      <w:r w:rsidR="00B91176" w:rsidRPr="00CF0F1C">
        <w:rPr>
          <w:lang w:val="en-GB"/>
        </w:rPr>
        <w:t xml:space="preserve"> in PDF):</w:t>
      </w:r>
    </w:p>
    <w:p w14:paraId="4FB6F521" w14:textId="13382AA8" w:rsidR="001C4D94" w:rsidRPr="00CF0F1C" w:rsidRDefault="001C4D94" w:rsidP="00982157">
      <w:pPr>
        <w:pStyle w:val="absatzschattenbericht"/>
        <w:ind w:left="284"/>
        <w:rPr>
          <w:i/>
          <w:iCs/>
          <w:lang w:val="en-GB"/>
        </w:rPr>
      </w:pPr>
      <w:r w:rsidRPr="00CF0F1C">
        <w:rPr>
          <w:i/>
          <w:iCs/>
          <w:lang w:val="en-GB"/>
        </w:rPr>
        <w:t>“Johanna, whose child was born in the current decade and is now at daycare age, described their experiences as follows:</w:t>
      </w:r>
    </w:p>
    <w:p w14:paraId="38E6CD21" w14:textId="03B741D7" w:rsidR="001C4D94" w:rsidRPr="00CF0F1C" w:rsidRDefault="001C4D94" w:rsidP="00982157">
      <w:pPr>
        <w:pStyle w:val="absatzschattenbericht"/>
        <w:ind w:left="284"/>
        <w:rPr>
          <w:i/>
          <w:iCs/>
          <w:lang w:val="en-GB"/>
        </w:rPr>
      </w:pPr>
      <w:r w:rsidRPr="00CF0F1C">
        <w:rPr>
          <w:i/>
          <w:iCs/>
          <w:lang w:val="en-GB"/>
        </w:rPr>
        <w:t>‘We were just informed of the interventions. They neither said that “this is being considered”, nor asked like, “what do you think about this”. I don’t feel like I would have had any chance to question this doctor’s pronouncement.’</w:t>
      </w:r>
    </w:p>
    <w:p w14:paraId="0958322C" w14:textId="77777777" w:rsidR="001C4D94" w:rsidRPr="00CF0F1C" w:rsidRDefault="001C4D94" w:rsidP="00982157">
      <w:pPr>
        <w:pStyle w:val="absatzschattenbericht"/>
        <w:ind w:left="284"/>
        <w:rPr>
          <w:i/>
          <w:iCs/>
          <w:lang w:val="en-GB"/>
        </w:rPr>
      </w:pPr>
      <w:r w:rsidRPr="00CF0F1C">
        <w:rPr>
          <w:i/>
          <w:iCs/>
          <w:lang w:val="en-GB"/>
        </w:rPr>
        <w:t xml:space="preserve">Johanna compared the ‘declaratory nature’ of the genital surgery performed on their child with another medical intervention received by their child around the same </w:t>
      </w:r>
      <w:proofErr w:type="gramStart"/>
      <w:r w:rsidRPr="00CF0F1C">
        <w:rPr>
          <w:i/>
          <w:iCs/>
          <w:lang w:val="en-GB"/>
        </w:rPr>
        <w:t>time period</w:t>
      </w:r>
      <w:proofErr w:type="gramEnd"/>
      <w:r w:rsidRPr="00CF0F1C">
        <w:rPr>
          <w:i/>
          <w:iCs/>
          <w:lang w:val="en-GB"/>
        </w:rPr>
        <w:t>. This intervention was not related to the child being intersex and it was significantly less extensive than the genital surgery.</w:t>
      </w:r>
    </w:p>
    <w:p w14:paraId="17898AE4" w14:textId="77777777" w:rsidR="001C4D94" w:rsidRPr="00CF0F1C" w:rsidRDefault="001C4D94" w:rsidP="00982157">
      <w:pPr>
        <w:pStyle w:val="absatzschattenbericht"/>
        <w:ind w:left="284"/>
        <w:rPr>
          <w:i/>
          <w:iCs/>
          <w:lang w:val="en-GB"/>
        </w:rPr>
      </w:pPr>
      <w:r w:rsidRPr="00CF0F1C">
        <w:rPr>
          <w:i/>
          <w:iCs/>
          <w:lang w:val="en-GB"/>
        </w:rPr>
        <w:t>‘[…] Conversely, with the hypospadias surgery, I was offered no clarification whatsoever. Nor did I know to ask when I didn’t even understand what the surgery was like. And I didn’t realise that I should be afraid of the hypospadias surgery, even though I really should have. Had I realised it, I would have fought tooth and nail if necessary to have that discussion.’</w:t>
      </w:r>
    </w:p>
    <w:p w14:paraId="12A21C8E" w14:textId="77777777" w:rsidR="001C4D94" w:rsidRPr="00CF0F1C" w:rsidRDefault="001C4D94" w:rsidP="00982157">
      <w:pPr>
        <w:pStyle w:val="absatzschattenbericht"/>
        <w:ind w:left="284"/>
        <w:rPr>
          <w:i/>
          <w:iCs/>
          <w:lang w:val="en-GB"/>
        </w:rPr>
      </w:pPr>
      <w:r w:rsidRPr="00CF0F1C">
        <w:rPr>
          <w:i/>
          <w:iCs/>
          <w:lang w:val="en-GB"/>
        </w:rPr>
        <w:t>[…]</w:t>
      </w:r>
    </w:p>
    <w:p w14:paraId="702E3140" w14:textId="7B73FE08" w:rsidR="001C4D94" w:rsidRPr="00CF0F1C" w:rsidRDefault="003561AA" w:rsidP="00982157">
      <w:pPr>
        <w:pStyle w:val="absatzschattenbericht"/>
        <w:ind w:left="284"/>
        <w:rPr>
          <w:i/>
          <w:iCs/>
          <w:lang w:val="en-GB"/>
        </w:rPr>
      </w:pPr>
      <w:r w:rsidRPr="00CF0F1C">
        <w:rPr>
          <w:i/>
          <w:iCs/>
          <w:lang w:val="en-GB"/>
        </w:rPr>
        <w:t>‘</w:t>
      </w:r>
      <w:r w:rsidR="001C4D94" w:rsidRPr="00CF0F1C">
        <w:rPr>
          <w:i/>
          <w:iCs/>
          <w:lang w:val="en-GB"/>
        </w:rPr>
        <w:t xml:space="preserve">Then came the appointment that was supposed to be the last. Throughout this whole follow-up period, the surgeon had told us that the recovery was progressing </w:t>
      </w:r>
      <w:proofErr w:type="gramStart"/>
      <w:r w:rsidR="001C4D94" w:rsidRPr="00CF0F1C">
        <w:rPr>
          <w:i/>
          <w:iCs/>
          <w:lang w:val="en-GB"/>
        </w:rPr>
        <w:t>really well</w:t>
      </w:r>
      <w:proofErr w:type="gramEnd"/>
      <w:r w:rsidR="001C4D94" w:rsidRPr="00CF0F1C">
        <w:rPr>
          <w:i/>
          <w:iCs/>
          <w:lang w:val="en-GB"/>
        </w:rPr>
        <w:t xml:space="preserve">. The previous visits to the hospital had been </w:t>
      </w:r>
      <w:proofErr w:type="gramStart"/>
      <w:r w:rsidR="001C4D94" w:rsidRPr="00CF0F1C">
        <w:rPr>
          <w:i/>
          <w:iCs/>
          <w:lang w:val="en-GB"/>
        </w:rPr>
        <w:t>really quick</w:t>
      </w:r>
      <w:proofErr w:type="gramEnd"/>
      <w:r w:rsidR="001C4D94" w:rsidRPr="00CF0F1C">
        <w:rPr>
          <w:i/>
          <w:iCs/>
          <w:lang w:val="en-GB"/>
        </w:rPr>
        <w:t xml:space="preserve">, but at the last time, it started to take longer for them again. Then the child emerged from there, and was tied to the bed again, like after the hypospadias surgery. I was like, what the hell. They told us, “The thing is that it doesn’t look like the urethra is really healing, so what we did now was we </w:t>
      </w:r>
      <w:proofErr w:type="gramStart"/>
      <w:r w:rsidR="001C4D94" w:rsidRPr="00CF0F1C">
        <w:rPr>
          <w:i/>
          <w:iCs/>
          <w:lang w:val="en-GB"/>
        </w:rPr>
        <w:t>opened up</w:t>
      </w:r>
      <w:proofErr w:type="gramEnd"/>
      <w:r w:rsidR="001C4D94" w:rsidRPr="00CF0F1C">
        <w:rPr>
          <w:i/>
          <w:iCs/>
          <w:lang w:val="en-GB"/>
        </w:rPr>
        <w:t xml:space="preserve"> the original urethra and what you’ll need to do now at home every day for a year is to thrust a catheter in and out of the constructed urethra, so that it will remain open. In one </w:t>
      </w:r>
      <w:proofErr w:type="gramStart"/>
      <w:r w:rsidR="001C4D94" w:rsidRPr="00CF0F1C">
        <w:rPr>
          <w:i/>
          <w:iCs/>
          <w:lang w:val="en-GB"/>
        </w:rPr>
        <w:t>year’s</w:t>
      </w:r>
      <w:proofErr w:type="gramEnd"/>
      <w:r w:rsidR="001C4D94" w:rsidRPr="00CF0F1C">
        <w:rPr>
          <w:i/>
          <w:iCs/>
          <w:lang w:val="en-GB"/>
        </w:rPr>
        <w:t xml:space="preserve"> time, there will be another surgery to close up the original urethral opening.”’</w:t>
      </w:r>
    </w:p>
    <w:p w14:paraId="372450E6" w14:textId="77777777" w:rsidR="001C4D94" w:rsidRPr="00CF0F1C" w:rsidRDefault="001C4D94" w:rsidP="00982157">
      <w:pPr>
        <w:pStyle w:val="absatzschattenbericht"/>
        <w:ind w:left="284"/>
        <w:rPr>
          <w:i/>
          <w:iCs/>
          <w:lang w:val="en-GB"/>
        </w:rPr>
      </w:pPr>
      <w:r w:rsidRPr="00CF0F1C">
        <w:rPr>
          <w:i/>
          <w:iCs/>
          <w:lang w:val="en-GB"/>
        </w:rPr>
        <w:t>[…]</w:t>
      </w:r>
    </w:p>
    <w:p w14:paraId="074049B8" w14:textId="0134B54F" w:rsidR="001C4D94" w:rsidRDefault="001C4D94" w:rsidP="00982157">
      <w:pPr>
        <w:pStyle w:val="absatzschattenbericht"/>
        <w:ind w:left="284"/>
        <w:rPr>
          <w:i/>
          <w:iCs/>
          <w:lang w:val="en-GB"/>
        </w:rPr>
      </w:pPr>
      <w:r w:rsidRPr="00CF0F1C">
        <w:rPr>
          <w:i/>
          <w:iCs/>
          <w:lang w:val="en-GB"/>
        </w:rPr>
        <w:t>The child had been in a lot of pain after the first surgery, which had also made the situation very difficult for Johanna. They said that this was the point where they first began to question the medical interventions.</w:t>
      </w:r>
    </w:p>
    <w:p w14:paraId="5E1C3E83" w14:textId="77777777" w:rsidR="00845373" w:rsidRPr="00CF0F1C" w:rsidRDefault="00845373" w:rsidP="00982157">
      <w:pPr>
        <w:pStyle w:val="absatzschattenbericht"/>
        <w:ind w:left="284"/>
        <w:rPr>
          <w:i/>
          <w:iCs/>
          <w:lang w:val="en-GB"/>
        </w:rPr>
      </w:pPr>
    </w:p>
    <w:p w14:paraId="2711CF99" w14:textId="2BE58181" w:rsidR="00B91176" w:rsidRPr="00CF0F1C" w:rsidRDefault="001C4D94" w:rsidP="00982157">
      <w:pPr>
        <w:pStyle w:val="absatzschattenbericht"/>
        <w:ind w:left="284"/>
        <w:rPr>
          <w:i/>
          <w:iCs/>
          <w:lang w:val="en-GB"/>
        </w:rPr>
      </w:pPr>
      <w:r w:rsidRPr="00CF0F1C">
        <w:rPr>
          <w:i/>
          <w:iCs/>
          <w:lang w:val="en-GB"/>
        </w:rPr>
        <w:lastRenderedPageBreak/>
        <w:t>‘That was the point at which I began to think for the first time that “this can’t be how this should go”. I started looking for information and found out that this was not at all necessary. That I wouldn’t be doing any further damage to my child if I were to refuse these surgeries now. That all these operations could also be done later, if my child should want it at some point.</w:t>
      </w:r>
      <w:r w:rsidR="003561AA" w:rsidRPr="00CF0F1C">
        <w:rPr>
          <w:i/>
          <w:iCs/>
          <w:lang w:val="en-GB"/>
        </w:rPr>
        <w:t>’</w:t>
      </w:r>
      <w:r w:rsidRPr="00CF0F1C">
        <w:rPr>
          <w:i/>
          <w:iCs/>
          <w:lang w:val="en-GB"/>
        </w:rPr>
        <w:t>”</w:t>
      </w:r>
    </w:p>
    <w:p w14:paraId="78EA9029" w14:textId="79E01583" w:rsidR="00833A6D" w:rsidRPr="00CF0F1C" w:rsidRDefault="004A0478" w:rsidP="00292B8F">
      <w:pPr>
        <w:pStyle w:val="absatzschattenbericht"/>
        <w:rPr>
          <w:lang w:val="en-GB"/>
        </w:rPr>
      </w:pPr>
      <w:r w:rsidRPr="00CF0F1C">
        <w:rPr>
          <w:lang w:val="en-GB"/>
        </w:rPr>
        <w:t>Also, the</w:t>
      </w:r>
      <w:r w:rsidR="00774BCA" w:rsidRPr="00CF0F1C">
        <w:rPr>
          <w:lang w:val="en-GB"/>
        </w:rPr>
        <w:t xml:space="preserve"> current </w:t>
      </w:r>
      <w:r w:rsidR="006024BC" w:rsidRPr="00CF0F1C">
        <w:rPr>
          <w:i/>
          <w:iCs/>
          <w:lang w:val="en-GB"/>
        </w:rPr>
        <w:t>“</w:t>
      </w:r>
      <w:proofErr w:type="spellStart"/>
      <w:r w:rsidR="006024BC" w:rsidRPr="00CF0F1C">
        <w:rPr>
          <w:i/>
          <w:iCs/>
          <w:lang w:val="en-GB"/>
        </w:rPr>
        <w:t>pediatric</w:t>
      </w:r>
      <w:proofErr w:type="spellEnd"/>
      <w:r w:rsidR="006024BC" w:rsidRPr="00CF0F1C">
        <w:rPr>
          <w:i/>
          <w:iCs/>
          <w:lang w:val="en-GB"/>
        </w:rPr>
        <w:t xml:space="preserve"> urology” </w:t>
      </w:r>
      <w:r w:rsidR="006024BC" w:rsidRPr="00CF0F1C">
        <w:rPr>
          <w:lang w:val="en-GB"/>
        </w:rPr>
        <w:t xml:space="preserve">homepage of the </w:t>
      </w:r>
      <w:r w:rsidR="006024BC" w:rsidRPr="00CF0F1C">
        <w:rPr>
          <w:b/>
          <w:bCs/>
          <w:lang w:val="en-GB"/>
        </w:rPr>
        <w:t>Helsinki University Hospital (HUS)</w:t>
      </w:r>
      <w:r w:rsidR="006024BC" w:rsidRPr="00CF0F1C">
        <w:rPr>
          <w:lang w:val="en-GB"/>
        </w:rPr>
        <w:t xml:space="preserve"> </w:t>
      </w:r>
      <w:r w:rsidR="00616302" w:rsidRPr="00CF0F1C">
        <w:rPr>
          <w:lang w:val="en-GB"/>
        </w:rPr>
        <w:t>states:</w:t>
      </w:r>
      <w:r w:rsidR="00616302" w:rsidRPr="00CF0F1C">
        <w:rPr>
          <w:rStyle w:val="FootnoteReference"/>
          <w:lang w:val="en-GB"/>
        </w:rPr>
        <w:footnoteReference w:id="66"/>
      </w:r>
    </w:p>
    <w:p w14:paraId="72B53BB1" w14:textId="77777777" w:rsidR="00616302" w:rsidRPr="00CF0F1C" w:rsidRDefault="00616302" w:rsidP="00292B8F">
      <w:pPr>
        <w:pStyle w:val="absatzschattenbericht"/>
        <w:ind w:left="284"/>
        <w:rPr>
          <w:i/>
          <w:iCs/>
          <w:lang w:val="en-GB"/>
        </w:rPr>
      </w:pPr>
      <w:r w:rsidRPr="00CF0F1C">
        <w:rPr>
          <w:i/>
          <w:iCs/>
          <w:lang w:val="en-GB"/>
        </w:rPr>
        <w:t xml:space="preserve">“Our most demanding cases in paediatric urology include </w:t>
      </w:r>
      <w:r w:rsidRPr="00CF0F1C">
        <w:rPr>
          <w:b/>
          <w:bCs/>
          <w:i/>
          <w:iCs/>
          <w:lang w:val="en-GB"/>
        </w:rPr>
        <w:t xml:space="preserve">congenital defects </w:t>
      </w:r>
      <w:r w:rsidRPr="00CF0F1C">
        <w:rPr>
          <w:i/>
          <w:iCs/>
          <w:lang w:val="en-GB"/>
        </w:rPr>
        <w:t xml:space="preserve">of the kidneys, bladder or </w:t>
      </w:r>
      <w:r w:rsidRPr="00CF0F1C">
        <w:rPr>
          <w:b/>
          <w:bCs/>
          <w:i/>
          <w:iCs/>
          <w:lang w:val="en-GB"/>
        </w:rPr>
        <w:t>penis</w:t>
      </w:r>
      <w:r w:rsidRPr="00CF0F1C">
        <w:rPr>
          <w:i/>
          <w:iCs/>
          <w:lang w:val="en-GB"/>
        </w:rPr>
        <w:t xml:space="preserve">; </w:t>
      </w:r>
      <w:r w:rsidRPr="00CF0F1C">
        <w:rPr>
          <w:b/>
          <w:bCs/>
          <w:i/>
          <w:iCs/>
          <w:lang w:val="en-GB"/>
        </w:rPr>
        <w:t>disorders of sex development</w:t>
      </w:r>
      <w:r w:rsidRPr="00CF0F1C">
        <w:rPr>
          <w:i/>
          <w:iCs/>
          <w:lang w:val="en-GB"/>
        </w:rPr>
        <w:t xml:space="preserve">; neurogenic urinary disorders due to congenital spinal cord defects; and </w:t>
      </w:r>
      <w:proofErr w:type="spellStart"/>
      <w:r w:rsidRPr="00CF0F1C">
        <w:rPr>
          <w:i/>
          <w:iCs/>
          <w:lang w:val="en-GB"/>
        </w:rPr>
        <w:t>tumor</w:t>
      </w:r>
      <w:proofErr w:type="spellEnd"/>
      <w:r w:rsidRPr="00CF0F1C">
        <w:rPr>
          <w:i/>
          <w:iCs/>
          <w:lang w:val="en-GB"/>
        </w:rPr>
        <w:t xml:space="preserve"> operations.”</w:t>
      </w:r>
    </w:p>
    <w:p w14:paraId="59A96463" w14:textId="7072CE51" w:rsidR="00833A6D" w:rsidRPr="00901717" w:rsidRDefault="00C72D8D" w:rsidP="00292B8F">
      <w:pPr>
        <w:pStyle w:val="absatzschattenbericht"/>
        <w:rPr>
          <w:lang w:val="en-GB"/>
        </w:rPr>
      </w:pPr>
      <w:r w:rsidRPr="00901717">
        <w:rPr>
          <w:lang w:val="en-GB"/>
        </w:rPr>
        <w:t>And the</w:t>
      </w:r>
      <w:r w:rsidR="00AE2FF5" w:rsidRPr="00901717">
        <w:rPr>
          <w:lang w:val="en-GB"/>
        </w:rPr>
        <w:t xml:space="preserve"> current </w:t>
      </w:r>
      <w:r w:rsidR="002C0DA7" w:rsidRPr="00901717">
        <w:rPr>
          <w:lang w:val="en-GB"/>
        </w:rPr>
        <w:t xml:space="preserve">Finnish </w:t>
      </w:r>
      <w:r w:rsidR="00AE2FF5" w:rsidRPr="00901717">
        <w:rPr>
          <w:i/>
          <w:iCs/>
          <w:lang w:val="en-GB"/>
        </w:rPr>
        <w:t xml:space="preserve">“paediatric surgery” </w:t>
      </w:r>
      <w:r w:rsidR="00AE2FF5" w:rsidRPr="00901717">
        <w:rPr>
          <w:lang w:val="en-GB"/>
        </w:rPr>
        <w:t>homepage of the</w:t>
      </w:r>
      <w:r w:rsidRPr="00901717">
        <w:rPr>
          <w:lang w:val="en-GB"/>
        </w:rPr>
        <w:t xml:space="preserve"> </w:t>
      </w:r>
      <w:r w:rsidR="004A5A0D" w:rsidRPr="00901717">
        <w:rPr>
          <w:b/>
          <w:bCs/>
          <w:lang w:val="en-GB"/>
        </w:rPr>
        <w:t>Tampere University Hospital (TAYS)</w:t>
      </w:r>
      <w:r w:rsidR="00B946AA" w:rsidRPr="00901717">
        <w:rPr>
          <w:lang w:val="en-GB"/>
        </w:rPr>
        <w:t>,</w:t>
      </w:r>
      <w:r w:rsidR="004A5A0D" w:rsidRPr="00901717">
        <w:rPr>
          <w:b/>
          <w:bCs/>
          <w:lang w:val="en-GB"/>
        </w:rPr>
        <w:t xml:space="preserve"> </w:t>
      </w:r>
      <w:r w:rsidR="00AE2FF5" w:rsidRPr="00901717">
        <w:rPr>
          <w:lang w:val="en-GB"/>
        </w:rPr>
        <w:t>states:</w:t>
      </w:r>
      <w:r w:rsidR="00AE2FF5" w:rsidRPr="00901717">
        <w:rPr>
          <w:rStyle w:val="FootnoteReference"/>
          <w:lang w:val="en-GB"/>
        </w:rPr>
        <w:footnoteReference w:id="67"/>
      </w:r>
    </w:p>
    <w:p w14:paraId="12DE0BBE" w14:textId="4ED4A78F" w:rsidR="00B946AA" w:rsidRPr="00901717" w:rsidRDefault="00AE2FF5" w:rsidP="00B946AA">
      <w:pPr>
        <w:pStyle w:val="absatzschattenbericht"/>
        <w:ind w:left="284"/>
        <w:rPr>
          <w:i/>
          <w:iCs/>
          <w:lang w:val="en-GB"/>
        </w:rPr>
      </w:pPr>
      <w:r w:rsidRPr="00901717">
        <w:rPr>
          <w:i/>
          <w:iCs/>
          <w:lang w:val="en-GB"/>
        </w:rPr>
        <w:t>“</w:t>
      </w:r>
      <w:r w:rsidR="00B946AA" w:rsidRPr="00901717">
        <w:rPr>
          <w:i/>
          <w:iCs/>
          <w:lang w:val="en-GB"/>
        </w:rPr>
        <w:t xml:space="preserve">Problems treated by paediatric surgery include: [...] </w:t>
      </w:r>
      <w:r w:rsidR="00B946AA" w:rsidRPr="00901717">
        <w:rPr>
          <w:b/>
          <w:bCs/>
          <w:i/>
          <w:iCs/>
          <w:lang w:val="en-GB"/>
        </w:rPr>
        <w:t xml:space="preserve">Congenital urinary and genital </w:t>
      </w:r>
      <w:proofErr w:type="gramStart"/>
      <w:r w:rsidRPr="00901717">
        <w:rPr>
          <w:b/>
          <w:bCs/>
          <w:i/>
          <w:iCs/>
          <w:lang w:val="en-GB"/>
        </w:rPr>
        <w:t>abnormalities</w:t>
      </w:r>
      <w:r w:rsidR="00B946AA" w:rsidRPr="00901717">
        <w:rPr>
          <w:b/>
          <w:bCs/>
          <w:i/>
          <w:iCs/>
          <w:lang w:val="en-GB"/>
        </w:rPr>
        <w:t>”</w:t>
      </w:r>
      <w:proofErr w:type="gramEnd"/>
    </w:p>
    <w:p w14:paraId="64EF3392" w14:textId="77777777" w:rsidR="00617B15" w:rsidRPr="00A35CE4" w:rsidRDefault="00617B15" w:rsidP="00617B15">
      <w:pPr>
        <w:pStyle w:val="absatzschattenbericht"/>
        <w:rPr>
          <w:lang w:val="en-GB"/>
        </w:rPr>
      </w:pPr>
      <w:r w:rsidRPr="00A35CE4">
        <w:rPr>
          <w:lang w:val="en-GB"/>
        </w:rPr>
        <w:t xml:space="preserve">Further, the current Finnish </w:t>
      </w:r>
      <w:r w:rsidRPr="00A35CE4">
        <w:rPr>
          <w:i/>
          <w:iCs/>
          <w:lang w:val="en-GB"/>
        </w:rPr>
        <w:t xml:space="preserve">“hypospadias” </w:t>
      </w:r>
      <w:r w:rsidRPr="00A35CE4">
        <w:rPr>
          <w:lang w:val="en-GB"/>
        </w:rPr>
        <w:t xml:space="preserve">homepage of the </w:t>
      </w:r>
      <w:r w:rsidRPr="00A35CE4">
        <w:rPr>
          <w:b/>
          <w:bCs/>
          <w:lang w:val="en-GB"/>
        </w:rPr>
        <w:t xml:space="preserve">Tampere University Hospital (TAYS) </w:t>
      </w:r>
      <w:r w:rsidRPr="00A35CE4">
        <w:rPr>
          <w:lang w:val="en-GB"/>
        </w:rPr>
        <w:t>prescribes:</w:t>
      </w:r>
      <w:r w:rsidRPr="00A35CE4">
        <w:rPr>
          <w:rStyle w:val="FootnoteReference"/>
          <w:lang w:val="en-GB"/>
        </w:rPr>
        <w:footnoteReference w:id="68"/>
      </w:r>
    </w:p>
    <w:p w14:paraId="479A5B81" w14:textId="0A577D9E" w:rsidR="00617B15" w:rsidRPr="00A35CE4" w:rsidRDefault="00617B15" w:rsidP="002D79EE">
      <w:pPr>
        <w:pStyle w:val="absatzschattenbericht"/>
        <w:ind w:left="284"/>
        <w:rPr>
          <w:b/>
          <w:bCs/>
          <w:i/>
          <w:iCs/>
          <w:lang w:val="en-GB"/>
        </w:rPr>
      </w:pPr>
      <w:r w:rsidRPr="00A35CE4">
        <w:rPr>
          <w:i/>
          <w:iCs/>
          <w:lang w:val="en-GB"/>
        </w:rPr>
        <w:t xml:space="preserve">“Only the mildest forms of hypospadias, which have only a cosmetic disadvantage, can be left </w:t>
      </w:r>
      <w:r w:rsidR="00AD0E02" w:rsidRPr="00AD0E02">
        <w:rPr>
          <w:i/>
          <w:iCs/>
          <w:lang w:val="en-GB"/>
        </w:rPr>
        <w:t>may not be operated on</w:t>
      </w:r>
      <w:r w:rsidRPr="00A35CE4">
        <w:rPr>
          <w:i/>
          <w:iCs/>
          <w:lang w:val="en-GB"/>
        </w:rPr>
        <w:t xml:space="preserve">. We will discuss the matter with the parents. […] </w:t>
      </w:r>
      <w:r w:rsidRPr="00A35CE4">
        <w:rPr>
          <w:b/>
          <w:bCs/>
          <w:i/>
          <w:iCs/>
          <w:lang w:val="en-GB"/>
        </w:rPr>
        <w:t>We perform surgery at the age of 1-1.5 years.”</w:t>
      </w:r>
    </w:p>
    <w:p w14:paraId="07B53A2F" w14:textId="77777777" w:rsidR="00617B15" w:rsidRPr="00A35CE4" w:rsidRDefault="00617B15" w:rsidP="002D79EE">
      <w:pPr>
        <w:pStyle w:val="absatzschattenbericht"/>
        <w:ind w:left="284"/>
        <w:rPr>
          <w:i/>
          <w:iCs/>
          <w:lang w:val="en-GB"/>
        </w:rPr>
      </w:pPr>
      <w:r w:rsidRPr="00A35CE4">
        <w:rPr>
          <w:b/>
          <w:bCs/>
          <w:i/>
          <w:iCs/>
          <w:lang w:val="en-GB"/>
        </w:rPr>
        <w:t>“Fistulae develop in 5 to 30 percent of patients</w:t>
      </w:r>
      <w:r w:rsidRPr="00A35CE4">
        <w:rPr>
          <w:i/>
          <w:iCs/>
          <w:lang w:val="en-GB"/>
        </w:rPr>
        <w:t>, depending on the extent of surgery. We close the fistula at the earliest six months after the previous surgery. In this case, the in-patient treatment lasts a few days.</w:t>
      </w:r>
    </w:p>
    <w:p w14:paraId="4E85DA24" w14:textId="77777777" w:rsidR="00617B15" w:rsidRPr="00A35CE4" w:rsidRDefault="00617B15" w:rsidP="002D79EE">
      <w:pPr>
        <w:pStyle w:val="absatzschattenbericht"/>
        <w:ind w:left="284"/>
        <w:rPr>
          <w:i/>
          <w:iCs/>
          <w:lang w:val="en-GB"/>
        </w:rPr>
      </w:pPr>
      <w:r w:rsidRPr="00A35CE4">
        <w:rPr>
          <w:b/>
          <w:bCs/>
          <w:i/>
          <w:iCs/>
          <w:lang w:val="en-GB"/>
        </w:rPr>
        <w:t>Urethral stenosis develops in less than 10 percent.</w:t>
      </w:r>
      <w:r w:rsidRPr="00A35CE4">
        <w:rPr>
          <w:i/>
          <w:iCs/>
          <w:lang w:val="en-GB"/>
        </w:rPr>
        <w:t xml:space="preserve"> A mild stenosis should be stretched during anaesthesia.”</w:t>
      </w:r>
    </w:p>
    <w:p w14:paraId="06377FA6" w14:textId="7146F0E5" w:rsidR="001834A1" w:rsidRPr="00CF0F1C" w:rsidRDefault="00F20C4F" w:rsidP="00292B8F">
      <w:pPr>
        <w:pStyle w:val="absatzschattenbericht"/>
        <w:rPr>
          <w:lang w:val="en-GB"/>
        </w:rPr>
      </w:pPr>
      <w:r w:rsidRPr="00CF0F1C">
        <w:rPr>
          <w:lang w:val="en-GB"/>
        </w:rPr>
        <w:t>And</w:t>
      </w:r>
      <w:r w:rsidR="001834A1" w:rsidRPr="00CF0F1C">
        <w:rPr>
          <w:lang w:val="en-GB"/>
        </w:rPr>
        <w:t xml:space="preserve"> the current Finnish </w:t>
      </w:r>
      <w:r w:rsidR="001834A1" w:rsidRPr="00CF0F1C">
        <w:rPr>
          <w:i/>
          <w:iCs/>
          <w:lang w:val="en-GB"/>
        </w:rPr>
        <w:t xml:space="preserve">“Congenital genital disorders” </w:t>
      </w:r>
      <w:r w:rsidR="001834A1" w:rsidRPr="00CF0F1C">
        <w:rPr>
          <w:lang w:val="en-GB"/>
        </w:rPr>
        <w:t xml:space="preserve">homepage of the </w:t>
      </w:r>
      <w:r w:rsidR="001834A1" w:rsidRPr="00CF0F1C">
        <w:rPr>
          <w:b/>
          <w:bCs/>
          <w:lang w:val="en-GB"/>
        </w:rPr>
        <w:t xml:space="preserve">Turku University Hospital (TYKS) </w:t>
      </w:r>
      <w:r w:rsidR="001834A1" w:rsidRPr="00CF0F1C">
        <w:rPr>
          <w:lang w:val="en-GB"/>
        </w:rPr>
        <w:t>prescribes:</w:t>
      </w:r>
      <w:r w:rsidR="001834A1" w:rsidRPr="00CF0F1C">
        <w:rPr>
          <w:rStyle w:val="FootnoteReference"/>
          <w:lang w:val="en-GB"/>
        </w:rPr>
        <w:footnoteReference w:id="69"/>
      </w:r>
    </w:p>
    <w:p w14:paraId="1BA89C20" w14:textId="46090CBE" w:rsidR="001834A1" w:rsidRPr="00CF0F1C" w:rsidRDefault="001834A1" w:rsidP="00292B8F">
      <w:pPr>
        <w:pStyle w:val="absatzschattenbericht"/>
        <w:ind w:left="284"/>
        <w:rPr>
          <w:i/>
          <w:iCs/>
          <w:lang w:val="en-GB"/>
        </w:rPr>
      </w:pPr>
      <w:r w:rsidRPr="00CF0F1C">
        <w:rPr>
          <w:i/>
          <w:iCs/>
          <w:lang w:val="en-GB"/>
        </w:rPr>
        <w:t xml:space="preserve">“The most common congenital genital disorder </w:t>
      </w:r>
      <w:r w:rsidR="00F20C4F" w:rsidRPr="00CF0F1C">
        <w:rPr>
          <w:i/>
          <w:iCs/>
          <w:lang w:val="en-GB"/>
        </w:rPr>
        <w:t xml:space="preserve">in boys </w:t>
      </w:r>
      <w:r w:rsidRPr="00CF0F1C">
        <w:rPr>
          <w:i/>
          <w:iCs/>
          <w:lang w:val="en-GB"/>
        </w:rPr>
        <w:t xml:space="preserve">is hypospadias, in which </w:t>
      </w:r>
      <w:proofErr w:type="gramStart"/>
      <w:r w:rsidRPr="00CF0F1C">
        <w:rPr>
          <w:i/>
          <w:iCs/>
          <w:lang w:val="en-GB"/>
        </w:rPr>
        <w:t>e.g.</w:t>
      </w:r>
      <w:proofErr w:type="gramEnd"/>
      <w:r w:rsidRPr="00CF0F1C">
        <w:rPr>
          <w:i/>
          <w:iCs/>
          <w:lang w:val="en-GB"/>
        </w:rPr>
        <w:t xml:space="preserve"> the urethral opening does not open to the tip of the glans but to the underside of the penis. </w:t>
      </w:r>
      <w:r w:rsidR="00F20C4F" w:rsidRPr="00CF0F1C">
        <w:rPr>
          <w:i/>
          <w:iCs/>
          <w:lang w:val="en-GB"/>
        </w:rPr>
        <w:t>[…]</w:t>
      </w:r>
    </w:p>
    <w:p w14:paraId="1F24FE02" w14:textId="699386C9" w:rsidR="001834A1" w:rsidRPr="00CF0F1C" w:rsidRDefault="001834A1" w:rsidP="00292B8F">
      <w:pPr>
        <w:pStyle w:val="absatzschattenbericht"/>
        <w:ind w:left="284"/>
        <w:rPr>
          <w:i/>
          <w:iCs/>
          <w:lang w:val="en-GB"/>
        </w:rPr>
      </w:pPr>
      <w:r w:rsidRPr="00CF0F1C">
        <w:rPr>
          <w:b/>
          <w:bCs/>
          <w:i/>
          <w:iCs/>
          <w:lang w:val="en-GB"/>
        </w:rPr>
        <w:t>Hypospadias is repaired with surgery, usually when the child is about 1 to 1.5 years old.</w:t>
      </w:r>
      <w:r w:rsidRPr="00CF0F1C">
        <w:rPr>
          <w:i/>
          <w:iCs/>
          <w:lang w:val="en-GB"/>
        </w:rPr>
        <w:t xml:space="preserve"> The child will be in the hospital’s p</w:t>
      </w:r>
      <w:r w:rsidR="00F20C4F" w:rsidRPr="00CF0F1C">
        <w:rPr>
          <w:i/>
          <w:iCs/>
          <w:lang w:val="en-GB"/>
        </w:rPr>
        <w:t>a</w:t>
      </w:r>
      <w:r w:rsidRPr="00CF0F1C">
        <w:rPr>
          <w:i/>
          <w:iCs/>
          <w:lang w:val="en-GB"/>
        </w:rPr>
        <w:t>ediatric ward after the procedure from a few days to a good week depending on the degree of hypospadias. Follow-up inspections are performed at the p</w:t>
      </w:r>
      <w:r w:rsidR="00F20C4F" w:rsidRPr="00CF0F1C">
        <w:rPr>
          <w:i/>
          <w:iCs/>
          <w:lang w:val="en-GB"/>
        </w:rPr>
        <w:t>a</w:t>
      </w:r>
      <w:r w:rsidRPr="00CF0F1C">
        <w:rPr>
          <w:i/>
          <w:iCs/>
          <w:lang w:val="en-GB"/>
        </w:rPr>
        <w:t>ediatric urology outpatient clinic.</w:t>
      </w:r>
    </w:p>
    <w:p w14:paraId="1A28C34C" w14:textId="7C9704E0" w:rsidR="001834A1" w:rsidRDefault="001834A1" w:rsidP="00292B8F">
      <w:pPr>
        <w:pStyle w:val="absatzschattenbericht"/>
        <w:ind w:left="284"/>
        <w:rPr>
          <w:i/>
          <w:iCs/>
          <w:lang w:val="en-GB"/>
        </w:rPr>
      </w:pPr>
      <w:r w:rsidRPr="00CF0F1C">
        <w:rPr>
          <w:i/>
          <w:iCs/>
          <w:lang w:val="en-GB"/>
        </w:rPr>
        <w:t>Surgeons at the Children and Adolescent Clinic have extensive experience in p</w:t>
      </w:r>
      <w:r w:rsidR="00F20C4F" w:rsidRPr="00CF0F1C">
        <w:rPr>
          <w:i/>
          <w:iCs/>
          <w:lang w:val="en-GB"/>
        </w:rPr>
        <w:t>a</w:t>
      </w:r>
      <w:r w:rsidRPr="00CF0F1C">
        <w:rPr>
          <w:i/>
          <w:iCs/>
          <w:lang w:val="en-GB"/>
        </w:rPr>
        <w:t>ediatric urology.”</w:t>
      </w:r>
    </w:p>
    <w:p w14:paraId="48A2F026" w14:textId="77777777" w:rsidR="00845373" w:rsidRPr="00CF0F1C" w:rsidRDefault="00845373" w:rsidP="00292B8F">
      <w:pPr>
        <w:pStyle w:val="absatzschattenbericht"/>
        <w:ind w:left="284"/>
        <w:rPr>
          <w:b/>
          <w:bCs/>
          <w:i/>
          <w:iCs/>
          <w:lang w:val="en-GB"/>
        </w:rPr>
      </w:pPr>
    </w:p>
    <w:p w14:paraId="22AFDF28" w14:textId="1CBDBC45" w:rsidR="00F20C4F" w:rsidRPr="00CF0F1C" w:rsidRDefault="00F20C4F" w:rsidP="00292B8F">
      <w:pPr>
        <w:pStyle w:val="absatzschattenbericht"/>
        <w:rPr>
          <w:i/>
          <w:iCs/>
          <w:lang w:val="en-GB"/>
        </w:rPr>
      </w:pPr>
      <w:r w:rsidRPr="00CF0F1C">
        <w:rPr>
          <w:lang w:val="en-GB"/>
        </w:rPr>
        <w:lastRenderedPageBreak/>
        <w:t xml:space="preserve">And the Finnish </w:t>
      </w:r>
      <w:r w:rsidRPr="00CF0F1C">
        <w:rPr>
          <w:i/>
          <w:iCs/>
          <w:lang w:val="en-GB"/>
        </w:rPr>
        <w:t>“Division of labo</w:t>
      </w:r>
      <w:r w:rsidR="00AD4907" w:rsidRPr="00CF0F1C">
        <w:rPr>
          <w:i/>
          <w:iCs/>
          <w:lang w:val="en-GB"/>
        </w:rPr>
        <w:t>u</w:t>
      </w:r>
      <w:r w:rsidRPr="00CF0F1C">
        <w:rPr>
          <w:i/>
          <w:iCs/>
          <w:lang w:val="en-GB"/>
        </w:rPr>
        <w:t xml:space="preserve">r (Annexe 2)” </w:t>
      </w:r>
      <w:r w:rsidRPr="00CF0F1C">
        <w:rPr>
          <w:lang w:val="en-GB"/>
        </w:rPr>
        <w:t xml:space="preserve">of the </w:t>
      </w:r>
      <w:r w:rsidRPr="00CF0F1C">
        <w:rPr>
          <w:b/>
          <w:bCs/>
          <w:lang w:val="en-GB"/>
        </w:rPr>
        <w:t xml:space="preserve">Kuopio University Hospital (KYS) </w:t>
      </w:r>
      <w:r w:rsidRPr="00CF0F1C">
        <w:rPr>
          <w:lang w:val="en-GB"/>
        </w:rPr>
        <w:t xml:space="preserve">lists under </w:t>
      </w:r>
      <w:r w:rsidRPr="00CF0F1C">
        <w:rPr>
          <w:i/>
          <w:iCs/>
          <w:lang w:val="en-GB"/>
        </w:rPr>
        <w:t xml:space="preserve">“Table 13: Demanding Surgery Concentration Plan 2014” </w:t>
      </w:r>
      <w:r w:rsidRPr="00CF0F1C">
        <w:rPr>
          <w:lang w:val="en-GB"/>
        </w:rPr>
        <w:t>(p. 51):</w:t>
      </w:r>
      <w:r w:rsidRPr="00CF0F1C">
        <w:rPr>
          <w:rStyle w:val="FootnoteReference"/>
          <w:lang w:val="en-GB"/>
        </w:rPr>
        <w:footnoteReference w:id="70"/>
      </w:r>
    </w:p>
    <w:p w14:paraId="30257104" w14:textId="26B6B462" w:rsidR="00833A6D" w:rsidRPr="00CF0F1C" w:rsidRDefault="00F20C4F" w:rsidP="00292B8F">
      <w:pPr>
        <w:pStyle w:val="absatzschattenbericht"/>
        <w:ind w:left="284"/>
        <w:rPr>
          <w:i/>
          <w:iCs/>
          <w:lang w:val="en-GB"/>
        </w:rPr>
      </w:pPr>
      <w:r w:rsidRPr="00CF0F1C">
        <w:rPr>
          <w:i/>
          <w:iCs/>
          <w:lang w:val="en-GB"/>
        </w:rPr>
        <w:t>“</w:t>
      </w:r>
      <w:proofErr w:type="gramStart"/>
      <w:r w:rsidRPr="00CF0F1C">
        <w:rPr>
          <w:i/>
          <w:iCs/>
          <w:lang w:val="en-GB"/>
        </w:rPr>
        <w:t>demanding</w:t>
      </w:r>
      <w:proofErr w:type="gramEnd"/>
      <w:r w:rsidRPr="00CF0F1C">
        <w:rPr>
          <w:i/>
          <w:iCs/>
          <w:lang w:val="en-GB"/>
        </w:rPr>
        <w:t xml:space="preserve"> urology: urodynamic evaluation, </w:t>
      </w:r>
      <w:r w:rsidRPr="00CF0F1C">
        <w:rPr>
          <w:b/>
          <w:bCs/>
          <w:i/>
          <w:iCs/>
          <w:lang w:val="en-GB"/>
        </w:rPr>
        <w:t>proximal hypospadias</w:t>
      </w:r>
      <w:r w:rsidRPr="00CF0F1C">
        <w:rPr>
          <w:i/>
          <w:iCs/>
          <w:lang w:val="en-GB"/>
        </w:rPr>
        <w:t>, mini</w:t>
      </w:r>
      <w:r w:rsidR="00AD4907" w:rsidRPr="00CF0F1C">
        <w:rPr>
          <w:i/>
          <w:iCs/>
          <w:lang w:val="en-GB"/>
        </w:rPr>
        <w:t>mal</w:t>
      </w:r>
      <w:r w:rsidRPr="00CF0F1C">
        <w:rPr>
          <w:i/>
          <w:iCs/>
          <w:lang w:val="en-GB"/>
        </w:rPr>
        <w:t>-invasive urological surgery”</w:t>
      </w:r>
    </w:p>
    <w:p w14:paraId="1B71BDBB" w14:textId="39295831" w:rsidR="00AD4907" w:rsidRPr="00CF0F1C" w:rsidRDefault="00367DE8" w:rsidP="00292B8F">
      <w:pPr>
        <w:pStyle w:val="absatzschattenbericht"/>
        <w:rPr>
          <w:lang w:val="en-GB"/>
        </w:rPr>
      </w:pPr>
      <w:r w:rsidRPr="00CF0F1C">
        <w:rPr>
          <w:lang w:val="en-GB"/>
        </w:rPr>
        <w:t>Finally,</w:t>
      </w:r>
      <w:r w:rsidR="00AD4907" w:rsidRPr="00CF0F1C">
        <w:rPr>
          <w:lang w:val="en-GB"/>
        </w:rPr>
        <w:t xml:space="preserve"> </w:t>
      </w:r>
      <w:r w:rsidR="00822DCA" w:rsidRPr="00CF0F1C">
        <w:rPr>
          <w:lang w:val="en-GB"/>
        </w:rPr>
        <w:t xml:space="preserve">a </w:t>
      </w:r>
      <w:r w:rsidR="00763861" w:rsidRPr="00CF0F1C">
        <w:rPr>
          <w:lang w:val="en-GB"/>
        </w:rPr>
        <w:t xml:space="preserve">2012 </w:t>
      </w:r>
      <w:r w:rsidR="00822DCA" w:rsidRPr="00CF0F1C">
        <w:rPr>
          <w:lang w:val="en-GB"/>
        </w:rPr>
        <w:t xml:space="preserve">report from </w:t>
      </w:r>
      <w:r w:rsidR="00AD4907" w:rsidRPr="00CF0F1C">
        <w:rPr>
          <w:lang w:val="en-GB"/>
        </w:rPr>
        <w:t xml:space="preserve">the </w:t>
      </w:r>
      <w:r w:rsidR="00AD4907" w:rsidRPr="00CF0F1C">
        <w:rPr>
          <w:b/>
          <w:bCs/>
          <w:lang w:val="en-GB"/>
        </w:rPr>
        <w:t>Oulu University Hospital (OYS)</w:t>
      </w:r>
      <w:r w:rsidR="00822DCA" w:rsidRPr="00CF0F1C">
        <w:rPr>
          <w:b/>
          <w:bCs/>
          <w:lang w:val="en-GB"/>
        </w:rPr>
        <w:t xml:space="preserve"> </w:t>
      </w:r>
      <w:r w:rsidR="00822DCA" w:rsidRPr="00CF0F1C">
        <w:rPr>
          <w:lang w:val="en-GB"/>
        </w:rPr>
        <w:t xml:space="preserve">titled </w:t>
      </w:r>
      <w:r w:rsidR="00822DCA" w:rsidRPr="00CF0F1C">
        <w:rPr>
          <w:i/>
          <w:iCs/>
          <w:lang w:val="en-GB"/>
        </w:rPr>
        <w:t>“Surgery from head to toe, from the premature baby to the teenager – the Oulu University Hospital Children</w:t>
      </w:r>
      <w:r w:rsidR="00A96D24" w:rsidRPr="00CF0F1C">
        <w:rPr>
          <w:i/>
          <w:iCs/>
          <w:lang w:val="en-GB"/>
        </w:rPr>
        <w:t>’</w:t>
      </w:r>
      <w:r w:rsidR="00822DCA" w:rsidRPr="00CF0F1C">
        <w:rPr>
          <w:i/>
          <w:iCs/>
          <w:lang w:val="en-GB"/>
        </w:rPr>
        <w:t>s Surgery Department introduces itself”</w:t>
      </w:r>
      <w:r w:rsidR="00763861" w:rsidRPr="00CF0F1C">
        <w:rPr>
          <w:lang w:val="en-GB"/>
        </w:rPr>
        <w:t xml:space="preserve"> states</w:t>
      </w:r>
      <w:r w:rsidR="00AD4907" w:rsidRPr="00CF0F1C">
        <w:rPr>
          <w:lang w:val="en-GB"/>
        </w:rPr>
        <w:t xml:space="preserve"> (p. </w:t>
      </w:r>
      <w:r w:rsidR="00763861" w:rsidRPr="00CF0F1C">
        <w:rPr>
          <w:lang w:val="en-GB"/>
        </w:rPr>
        <w:t>17</w:t>
      </w:r>
      <w:r w:rsidR="00AD4907" w:rsidRPr="00CF0F1C">
        <w:rPr>
          <w:lang w:val="en-GB"/>
        </w:rPr>
        <w:t>):</w:t>
      </w:r>
      <w:r w:rsidR="00AD4907" w:rsidRPr="00CF0F1C">
        <w:rPr>
          <w:rStyle w:val="FootnoteReference"/>
          <w:lang w:val="en-GB"/>
        </w:rPr>
        <w:footnoteReference w:id="71"/>
      </w:r>
    </w:p>
    <w:p w14:paraId="6DB87536" w14:textId="5AC01D1A" w:rsidR="00833A6D" w:rsidRPr="00CF0F1C" w:rsidRDefault="00AD4907" w:rsidP="00292B8F">
      <w:pPr>
        <w:pStyle w:val="absatzschattenbericht"/>
        <w:ind w:left="284"/>
        <w:rPr>
          <w:i/>
          <w:iCs/>
          <w:lang w:val="en-GB"/>
        </w:rPr>
      </w:pPr>
      <w:r w:rsidRPr="00CF0F1C">
        <w:rPr>
          <w:b/>
          <w:bCs/>
          <w:i/>
          <w:iCs/>
          <w:lang w:val="en-GB"/>
        </w:rPr>
        <w:t>“</w:t>
      </w:r>
      <w:r w:rsidR="00763861" w:rsidRPr="00CF0F1C">
        <w:rPr>
          <w:b/>
          <w:bCs/>
          <w:i/>
          <w:iCs/>
          <w:lang w:val="en-GB"/>
        </w:rPr>
        <w:t>Urological surgeries include hypospadias</w:t>
      </w:r>
      <w:r w:rsidR="00763861" w:rsidRPr="00CF0F1C">
        <w:rPr>
          <w:i/>
          <w:iCs/>
          <w:lang w:val="en-GB"/>
        </w:rPr>
        <w:t>, renal pelvis and ureteral stenosis repairs (PU and UV plastics), kidney removal, bladder neck incontinence plastics and bladder augmentations.</w:t>
      </w:r>
      <w:r w:rsidRPr="00CF0F1C">
        <w:rPr>
          <w:i/>
          <w:iCs/>
          <w:lang w:val="en-GB"/>
        </w:rPr>
        <w:t>”</w:t>
      </w:r>
    </w:p>
    <w:p w14:paraId="6A10F76A" w14:textId="4F741911" w:rsidR="00F745B1" w:rsidRPr="00CF0F1C" w:rsidRDefault="00367DE8" w:rsidP="00292B8F">
      <w:pPr>
        <w:pStyle w:val="absatzschattenbericht"/>
        <w:rPr>
          <w:lang w:val="en-GB"/>
        </w:rPr>
      </w:pPr>
      <w:r w:rsidRPr="00CF0F1C">
        <w:rPr>
          <w:lang w:val="en-GB"/>
        </w:rPr>
        <w:t>And while</w:t>
      </w:r>
      <w:r w:rsidR="00763861" w:rsidRPr="00CF0F1C">
        <w:rPr>
          <w:lang w:val="en-GB"/>
        </w:rPr>
        <w:t xml:space="preserve"> the 2016 Background Report of the </w:t>
      </w:r>
      <w:r w:rsidR="00763861" w:rsidRPr="00CF0F1C">
        <w:rPr>
          <w:b/>
          <w:lang w:val="en-GB"/>
        </w:rPr>
        <w:t>National Advisory Board on Social Welfare and Health Care Ethics (ETENE)</w:t>
      </w:r>
      <w:r w:rsidR="00763861" w:rsidRPr="00CF0F1C">
        <w:rPr>
          <w:vertAlign w:val="superscript"/>
          <w:lang w:val="en-GB"/>
        </w:rPr>
        <w:footnoteReference w:id="72"/>
      </w:r>
      <w:r w:rsidR="00763861" w:rsidRPr="00CF0F1C">
        <w:rPr>
          <w:lang w:val="en-GB"/>
        </w:rPr>
        <w:t xml:space="preserve"> (p. 6/p. 7 in PDF) </w:t>
      </w:r>
      <w:r w:rsidR="00763861" w:rsidRPr="00CF0F1C">
        <w:rPr>
          <w:b/>
          <w:bCs/>
          <w:lang w:val="en-GB"/>
        </w:rPr>
        <w:t>claims</w:t>
      </w:r>
      <w:r w:rsidR="00763861" w:rsidRPr="00CF0F1C">
        <w:rPr>
          <w:lang w:val="en-GB"/>
        </w:rPr>
        <w:t xml:space="preserve"> that the Oulu University Hospital (OYS) </w:t>
      </w:r>
      <w:r w:rsidR="00F9701A" w:rsidRPr="00CF0F1C">
        <w:rPr>
          <w:lang w:val="en-GB"/>
        </w:rPr>
        <w:t>h</w:t>
      </w:r>
      <w:r w:rsidR="00763861" w:rsidRPr="00CF0F1C">
        <w:rPr>
          <w:lang w:val="en-GB"/>
        </w:rPr>
        <w:t xml:space="preserve">as stopped performing </w:t>
      </w:r>
      <w:r w:rsidRPr="00CF0F1C">
        <w:rPr>
          <w:lang w:val="en-GB"/>
        </w:rPr>
        <w:t xml:space="preserve">all </w:t>
      </w:r>
      <w:r w:rsidR="00763861" w:rsidRPr="00CF0F1C">
        <w:rPr>
          <w:lang w:val="en-GB"/>
        </w:rPr>
        <w:t>unnecessary surgeries</w:t>
      </w:r>
      <w:r w:rsidRPr="00CF0F1C">
        <w:rPr>
          <w:lang w:val="en-GB"/>
        </w:rPr>
        <w:t xml:space="preserve"> on intersex children</w:t>
      </w:r>
      <w:r w:rsidR="00763861" w:rsidRPr="00CF0F1C">
        <w:rPr>
          <w:lang w:val="en-GB"/>
        </w:rPr>
        <w:t xml:space="preserve">, </w:t>
      </w:r>
      <w:r w:rsidR="00F9701A" w:rsidRPr="00CF0F1C">
        <w:rPr>
          <w:lang w:val="en-GB"/>
        </w:rPr>
        <w:t xml:space="preserve">a doctor confirms that non-consensual, medically unnecessary </w:t>
      </w:r>
      <w:r w:rsidR="00F9701A" w:rsidRPr="00CF0F1C">
        <w:rPr>
          <w:b/>
          <w:bCs/>
          <w:lang w:val="en-GB"/>
        </w:rPr>
        <w:t xml:space="preserve">hypospadias “repair” </w:t>
      </w:r>
      <w:r w:rsidR="0055285D" w:rsidRPr="00CF0F1C">
        <w:rPr>
          <w:b/>
          <w:bCs/>
          <w:lang w:val="en-GB"/>
        </w:rPr>
        <w:t xml:space="preserve">surgery </w:t>
      </w:r>
      <w:r w:rsidR="00C90B7C" w:rsidRPr="00CF0F1C">
        <w:rPr>
          <w:b/>
          <w:bCs/>
          <w:lang w:val="en-GB"/>
        </w:rPr>
        <w:t xml:space="preserve">nonetheless continues to be performed </w:t>
      </w:r>
      <w:r w:rsidR="00C86FDB" w:rsidRPr="00CF0F1C">
        <w:rPr>
          <w:b/>
          <w:bCs/>
          <w:lang w:val="en-GB"/>
        </w:rPr>
        <w:t>in Oulu</w:t>
      </w:r>
      <w:r w:rsidR="00C86FDB" w:rsidRPr="00CF0F1C">
        <w:rPr>
          <w:lang w:val="en-GB"/>
        </w:rPr>
        <w:t xml:space="preserve"> to this day</w:t>
      </w:r>
      <w:r w:rsidR="00763861" w:rsidRPr="00CF0F1C">
        <w:rPr>
          <w:lang w:val="en-GB"/>
        </w:rPr>
        <w:t>.</w:t>
      </w:r>
      <w:r w:rsidR="00023562" w:rsidRPr="00CF0F1C">
        <w:rPr>
          <w:vertAlign w:val="superscript"/>
          <w:lang w:val="en-GB"/>
        </w:rPr>
        <w:footnoteReference w:id="73"/>
      </w:r>
    </w:p>
    <w:p w14:paraId="02AA4744" w14:textId="09154256" w:rsidR="00AE7309" w:rsidRPr="00CF0F1C" w:rsidRDefault="00182B69" w:rsidP="00AE7309">
      <w:pPr>
        <w:pStyle w:val="Title2"/>
        <w:rPr>
          <w:rFonts w:eastAsia="Baskerville"/>
          <w:szCs w:val="24"/>
        </w:rPr>
      </w:pPr>
      <w:bookmarkStart w:id="79" w:name="_Toc161663954"/>
      <w:r w:rsidRPr="00CF0F1C">
        <w:t>5</w:t>
      </w:r>
      <w:r w:rsidR="00AE7309" w:rsidRPr="00CF0F1C">
        <w:t xml:space="preserve">.  </w:t>
      </w:r>
      <w:r w:rsidR="006C6BEB" w:rsidRPr="00CF0F1C">
        <w:rPr>
          <w:iCs w:val="0"/>
          <w:spacing w:val="0"/>
          <w:szCs w:val="24"/>
        </w:rPr>
        <w:t>Finnish</w:t>
      </w:r>
      <w:r w:rsidR="00AE7309" w:rsidRPr="00CF0F1C">
        <w:rPr>
          <w:iCs w:val="0"/>
          <w:spacing w:val="0"/>
          <w:szCs w:val="24"/>
        </w:rPr>
        <w:t xml:space="preserve"> Doctors and </w:t>
      </w:r>
      <w:r w:rsidR="00E47DBA" w:rsidRPr="00CF0F1C">
        <w:rPr>
          <w:iCs w:val="0"/>
          <w:spacing w:val="0"/>
          <w:szCs w:val="24"/>
        </w:rPr>
        <w:t>Gov</w:t>
      </w:r>
      <w:r w:rsidR="00CA68FD" w:rsidRPr="00CF0F1C">
        <w:rPr>
          <w:iCs w:val="0"/>
          <w:spacing w:val="0"/>
          <w:szCs w:val="24"/>
        </w:rPr>
        <w:t>ernment</w:t>
      </w:r>
      <w:r w:rsidR="00AE7309" w:rsidRPr="00CF0F1C">
        <w:rPr>
          <w:iCs w:val="0"/>
          <w:spacing w:val="0"/>
          <w:szCs w:val="24"/>
        </w:rPr>
        <w:t xml:space="preserve"> consciously dismissing Intersex Human Rights</w:t>
      </w:r>
      <w:bookmarkEnd w:id="78"/>
      <w:bookmarkEnd w:id="79"/>
    </w:p>
    <w:p w14:paraId="3B0FCD23" w14:textId="5AB0AB3E" w:rsidR="00503A4B" w:rsidRPr="00CF0F1C" w:rsidRDefault="00AE7309" w:rsidP="00A66C4E">
      <w:pPr>
        <w:pStyle w:val="absatzschattenbericht"/>
        <w:spacing w:after="80"/>
        <w:rPr>
          <w:lang w:val="en-GB"/>
        </w:rPr>
      </w:pPr>
      <w:r w:rsidRPr="00CF0F1C">
        <w:rPr>
          <w:lang w:val="en-GB"/>
        </w:rPr>
        <w:t xml:space="preserve">The persistence of IGM practices in </w:t>
      </w:r>
      <w:r w:rsidR="002161E5" w:rsidRPr="00CF0F1C">
        <w:rPr>
          <w:lang w:val="en-GB"/>
        </w:rPr>
        <w:t>Finland</w:t>
      </w:r>
      <w:r w:rsidRPr="00CF0F1C">
        <w:rPr>
          <w:lang w:val="en-GB"/>
        </w:rPr>
        <w:t xml:space="preserve"> is a </w:t>
      </w:r>
      <w:r w:rsidRPr="00CF0F1C">
        <w:rPr>
          <w:b/>
          <w:lang w:val="en-GB"/>
        </w:rPr>
        <w:t>matter of public record</w:t>
      </w:r>
      <w:r w:rsidR="001059B9" w:rsidRPr="00CF0F1C">
        <w:rPr>
          <w:lang w:val="en-GB"/>
        </w:rPr>
        <w:t>.</w:t>
      </w:r>
      <w:r w:rsidR="006C6BEB" w:rsidRPr="00CF0F1C">
        <w:rPr>
          <w:rStyle w:val="FootnoteReference"/>
          <w:lang w:val="en-GB"/>
        </w:rPr>
        <w:footnoteReference w:id="74"/>
      </w:r>
    </w:p>
    <w:p w14:paraId="5ED52CFE" w14:textId="4F48C794" w:rsidR="006C6BEB" w:rsidRPr="00CF0F1C" w:rsidRDefault="006C6BEB" w:rsidP="00A66C4E">
      <w:pPr>
        <w:pStyle w:val="absatzschattenbericht"/>
        <w:spacing w:after="80"/>
        <w:rPr>
          <w:lang w:val="en-GB"/>
        </w:rPr>
      </w:pPr>
      <w:r w:rsidRPr="00CF0F1C">
        <w:rPr>
          <w:lang w:val="en-GB"/>
        </w:rPr>
        <w:t xml:space="preserve">However, </w:t>
      </w:r>
      <w:r w:rsidRPr="00CF0F1C">
        <w:rPr>
          <w:b/>
          <w:lang w:val="en-GB"/>
        </w:rPr>
        <w:t>Finnish paediatric surgeons</w:t>
      </w:r>
      <w:r w:rsidRPr="00CF0F1C">
        <w:rPr>
          <w:lang w:val="en-GB"/>
        </w:rPr>
        <w:t xml:space="preserve">, despite </w:t>
      </w:r>
      <w:r w:rsidRPr="00CF0F1C">
        <w:rPr>
          <w:b/>
          <w:lang w:val="en-GB"/>
        </w:rPr>
        <w:t>openly admitting to knowledge of relevant criticisms</w:t>
      </w:r>
      <w:r w:rsidRPr="00CF0F1C">
        <w:rPr>
          <w:lang w:val="en-GB"/>
        </w:rPr>
        <w:t xml:space="preserve"> by intersex advocates, human </w:t>
      </w:r>
      <w:proofErr w:type="gramStart"/>
      <w:r w:rsidRPr="00CF0F1C">
        <w:rPr>
          <w:lang w:val="en-GB"/>
        </w:rPr>
        <w:t>rights</w:t>
      </w:r>
      <w:proofErr w:type="gramEnd"/>
      <w:r w:rsidRPr="00CF0F1C">
        <w:rPr>
          <w:lang w:val="en-GB"/>
        </w:rPr>
        <w:t xml:space="preserve"> and ethics bodies,</w:t>
      </w:r>
      <w:r w:rsidRPr="00CF0F1C">
        <w:rPr>
          <w:rStyle w:val="FootnoteReference"/>
          <w:lang w:val="en-GB"/>
        </w:rPr>
        <w:footnoteReference w:id="75"/>
      </w:r>
      <w:r w:rsidRPr="00CF0F1C">
        <w:rPr>
          <w:lang w:val="en-GB"/>
        </w:rPr>
        <w:t xml:space="preserve"> nonetheless continue to </w:t>
      </w:r>
      <w:r w:rsidRPr="00CF0F1C">
        <w:rPr>
          <w:b/>
          <w:lang w:val="en-GB"/>
        </w:rPr>
        <w:t xml:space="preserve">consciously refuse to consider any human rights concerns, </w:t>
      </w:r>
      <w:r w:rsidRPr="00CF0F1C">
        <w:rPr>
          <w:lang w:val="en-GB"/>
        </w:rPr>
        <w:t xml:space="preserve">and to this day </w:t>
      </w:r>
      <w:r w:rsidRPr="00CF0F1C">
        <w:rPr>
          <w:b/>
          <w:lang w:val="en-GB"/>
        </w:rPr>
        <w:t>refuse to disclose data of surgical and other interventions on intersex children</w:t>
      </w:r>
      <w:r w:rsidRPr="00CF0F1C">
        <w:rPr>
          <w:lang w:val="en-GB"/>
        </w:rPr>
        <w:t>.</w:t>
      </w:r>
    </w:p>
    <w:p w14:paraId="5926574F" w14:textId="32D9839F" w:rsidR="006C6BEB" w:rsidRPr="00CF0F1C" w:rsidRDefault="006C6BEB" w:rsidP="006C6BEB">
      <w:pPr>
        <w:pStyle w:val="absatzschattenbericht"/>
        <w:rPr>
          <w:b/>
          <w:bCs/>
          <w:lang w:val="en-GB"/>
        </w:rPr>
      </w:pPr>
      <w:r w:rsidRPr="00CF0F1C">
        <w:rPr>
          <w:lang w:val="en-GB"/>
        </w:rPr>
        <w:t>Also</w:t>
      </w:r>
      <w:r w:rsidR="00413EB5" w:rsidRPr="00CF0F1C">
        <w:rPr>
          <w:lang w:val="en-GB"/>
        </w:rPr>
        <w:t>,</w:t>
      </w:r>
      <w:r w:rsidRPr="00CF0F1C">
        <w:rPr>
          <w:lang w:val="en-GB"/>
        </w:rPr>
        <w:t xml:space="preserve"> the </w:t>
      </w:r>
      <w:r w:rsidRPr="00CF0F1C">
        <w:rPr>
          <w:b/>
          <w:lang w:val="en-GB"/>
        </w:rPr>
        <w:t>Finnish government</w:t>
      </w:r>
      <w:r w:rsidRPr="00CF0F1C">
        <w:rPr>
          <w:bCs/>
          <w:lang w:val="en-GB"/>
        </w:rPr>
        <w:t>,</w:t>
      </w:r>
      <w:r w:rsidRPr="00CF0F1C">
        <w:rPr>
          <w:lang w:val="en-GB"/>
        </w:rPr>
        <w:t xml:space="preserve"> despite </w:t>
      </w:r>
      <w:r w:rsidR="00413EB5" w:rsidRPr="00CF0F1C">
        <w:rPr>
          <w:lang w:val="en-GB"/>
        </w:rPr>
        <w:t xml:space="preserve">repeatedly </w:t>
      </w:r>
      <w:r w:rsidRPr="00CF0F1C">
        <w:rPr>
          <w:b/>
          <w:bCs/>
          <w:lang w:val="en-GB"/>
        </w:rPr>
        <w:t>pledging</w:t>
      </w:r>
      <w:r w:rsidRPr="00CF0F1C">
        <w:rPr>
          <w:lang w:val="en-GB"/>
        </w:rPr>
        <w:t xml:space="preserve"> to prevent IGM practices, so far </w:t>
      </w:r>
      <w:r w:rsidRPr="00CF0F1C">
        <w:rPr>
          <w:b/>
          <w:bCs/>
          <w:lang w:val="en-GB"/>
        </w:rPr>
        <w:t>fails to take practical and legislative measures</w:t>
      </w:r>
      <w:r w:rsidRPr="00CF0F1C">
        <w:rPr>
          <w:lang w:val="en-GB"/>
        </w:rPr>
        <w:t xml:space="preserve"> to implement this pledge. </w:t>
      </w:r>
    </w:p>
    <w:p w14:paraId="40C2F750" w14:textId="51C3AD46" w:rsidR="00537CB2" w:rsidRPr="00CF0F1C" w:rsidRDefault="00182B69" w:rsidP="00C31717">
      <w:pPr>
        <w:pStyle w:val="Title2"/>
        <w:rPr>
          <w:rFonts w:eastAsia="Baskerville"/>
          <w:szCs w:val="24"/>
        </w:rPr>
      </w:pPr>
      <w:bookmarkStart w:id="80" w:name="_Toc161663955"/>
      <w:r w:rsidRPr="00CF0F1C">
        <w:t>6</w:t>
      </w:r>
      <w:r w:rsidR="00537CB2" w:rsidRPr="00CF0F1C">
        <w:t>.</w:t>
      </w:r>
      <w:r w:rsidR="00345E3F" w:rsidRPr="00CF0F1C">
        <w:t xml:space="preserve"> </w:t>
      </w:r>
      <w:r w:rsidR="00537CB2" w:rsidRPr="00CF0F1C">
        <w:t xml:space="preserve"> </w:t>
      </w:r>
      <w:bookmarkEnd w:id="39"/>
      <w:r w:rsidR="0073434C" w:rsidRPr="00CF0F1C">
        <w:t>Lack of Independent Data Collection and Monitoring</w:t>
      </w:r>
      <w:bookmarkEnd w:id="40"/>
      <w:bookmarkEnd w:id="41"/>
      <w:bookmarkEnd w:id="42"/>
      <w:bookmarkEnd w:id="80"/>
    </w:p>
    <w:p w14:paraId="12969F8B" w14:textId="2DE3B580" w:rsidR="008E3AF1" w:rsidRDefault="008E3AF1" w:rsidP="00AC483E">
      <w:pPr>
        <w:pStyle w:val="absatzschattenbericht"/>
        <w:rPr>
          <w:lang w:val="en-GB"/>
        </w:rPr>
      </w:pPr>
      <w:r w:rsidRPr="00CF0F1C">
        <w:rPr>
          <w:lang w:val="en-GB"/>
        </w:rPr>
        <w:t xml:space="preserve">With </w:t>
      </w:r>
      <w:r w:rsidRPr="00CF0F1C">
        <w:rPr>
          <w:b/>
          <w:bCs/>
          <w:lang w:val="en-GB"/>
        </w:rPr>
        <w:t xml:space="preserve">no </w:t>
      </w:r>
      <w:r w:rsidR="00413EB5" w:rsidRPr="00CF0F1C">
        <w:rPr>
          <w:b/>
          <w:bCs/>
          <w:lang w:val="en-GB"/>
        </w:rPr>
        <w:t xml:space="preserve">official </w:t>
      </w:r>
      <w:r w:rsidRPr="00CF0F1C">
        <w:rPr>
          <w:b/>
          <w:bCs/>
          <w:lang w:val="en-GB"/>
        </w:rPr>
        <w:t>statistics available</w:t>
      </w:r>
      <w:r w:rsidRPr="00CF0F1C">
        <w:rPr>
          <w:lang w:val="en-GB"/>
        </w:rPr>
        <w:t xml:space="preserve"> on intersex births, let alone surgeries and costs, and </w:t>
      </w:r>
      <w:r w:rsidRPr="00CF0F1C">
        <w:rPr>
          <w:b/>
          <w:lang w:val="en-GB"/>
        </w:rPr>
        <w:t xml:space="preserve">perpetrators, governments and health departments colluding to keep it that way </w:t>
      </w:r>
      <w:proofErr w:type="gramStart"/>
      <w:r w:rsidRPr="00CF0F1C">
        <w:rPr>
          <w:b/>
          <w:lang w:val="en-GB"/>
        </w:rPr>
        <w:t>as long as</w:t>
      </w:r>
      <w:proofErr w:type="gramEnd"/>
      <w:r w:rsidRPr="00CF0F1C">
        <w:rPr>
          <w:b/>
          <w:lang w:val="en-GB"/>
        </w:rPr>
        <w:t xml:space="preserve"> anyhow possible</w:t>
      </w:r>
      <w:r w:rsidRPr="00CF0F1C">
        <w:rPr>
          <w:lang w:val="en-GB"/>
        </w:rPr>
        <w:t xml:space="preserve">, persons concerned as well as civil society </w:t>
      </w:r>
      <w:r w:rsidRPr="00CF0F1C">
        <w:rPr>
          <w:b/>
          <w:lang w:val="en-GB"/>
        </w:rPr>
        <w:t>lack possibilities to effectively highlight and monitor</w:t>
      </w:r>
      <w:r w:rsidRPr="00CF0F1C">
        <w:rPr>
          <w:lang w:val="en-GB"/>
        </w:rPr>
        <w:t xml:space="preserve"> the ongoing mutilations. What’s more, after realising how intersex genital surgeries are increasingly in the focus of public scrutiny and debate, perpetrators of IGM practices respond by suppressing complication rates, as well as refusing to talk to journalists “on record”</w:t>
      </w:r>
      <w:r w:rsidR="00F54FFD" w:rsidRPr="00CF0F1C">
        <w:rPr>
          <w:lang w:val="en-GB"/>
        </w:rPr>
        <w:t>.</w:t>
      </w:r>
    </w:p>
    <w:p w14:paraId="13B6C539" w14:textId="77777777" w:rsidR="00845373" w:rsidRPr="00CF0F1C" w:rsidRDefault="00845373" w:rsidP="00AC483E">
      <w:pPr>
        <w:pStyle w:val="absatzschattenbericht"/>
        <w:rPr>
          <w:lang w:val="en-GB"/>
        </w:rPr>
      </w:pPr>
    </w:p>
    <w:p w14:paraId="3773450E" w14:textId="3C25D15C" w:rsidR="00156F86" w:rsidRPr="00CF0F1C" w:rsidRDefault="00156F86" w:rsidP="00325A43">
      <w:pPr>
        <w:pStyle w:val="absatzschattenbericht"/>
        <w:rPr>
          <w:bCs/>
          <w:lang w:val="en-GB"/>
        </w:rPr>
      </w:pPr>
      <w:r w:rsidRPr="00CF0F1C">
        <w:rPr>
          <w:b/>
          <w:lang w:val="en-GB"/>
        </w:rPr>
        <w:lastRenderedPageBreak/>
        <w:t>Also</w:t>
      </w:r>
      <w:r w:rsidR="00E64082" w:rsidRPr="00CF0F1C">
        <w:rPr>
          <w:b/>
          <w:lang w:val="en-GB"/>
        </w:rPr>
        <w:t>,</w:t>
      </w:r>
      <w:r w:rsidRPr="00CF0F1C">
        <w:rPr>
          <w:b/>
          <w:lang w:val="en-GB"/>
        </w:rPr>
        <w:t xml:space="preserve"> in </w:t>
      </w:r>
      <w:r w:rsidR="00B5270F" w:rsidRPr="00CF0F1C">
        <w:rPr>
          <w:b/>
          <w:lang w:val="en-GB"/>
        </w:rPr>
        <w:t xml:space="preserve">Finland </w:t>
      </w:r>
      <w:r w:rsidRPr="00CF0F1C">
        <w:rPr>
          <w:b/>
          <w:lang w:val="en-GB"/>
        </w:rPr>
        <w:t>there are no</w:t>
      </w:r>
      <w:r w:rsidR="00B5270F" w:rsidRPr="00CF0F1C">
        <w:rPr>
          <w:b/>
          <w:lang w:val="en-GB"/>
        </w:rPr>
        <w:t xml:space="preserve"> reliable</w:t>
      </w:r>
      <w:r w:rsidRPr="00CF0F1C">
        <w:rPr>
          <w:b/>
          <w:lang w:val="en-GB"/>
        </w:rPr>
        <w:t xml:space="preserve"> statistics on intersex birth</w:t>
      </w:r>
      <w:r w:rsidR="00CA0717" w:rsidRPr="00CF0F1C">
        <w:rPr>
          <w:b/>
          <w:lang w:val="en-GB"/>
        </w:rPr>
        <w:t>s</w:t>
      </w:r>
      <w:r w:rsidRPr="00CF0F1C">
        <w:rPr>
          <w:b/>
          <w:lang w:val="en-GB"/>
        </w:rPr>
        <w:t xml:space="preserve"> and on IGM practices available</w:t>
      </w:r>
      <w:r w:rsidR="00CA0717" w:rsidRPr="00CF0F1C">
        <w:rPr>
          <w:bCs/>
          <w:lang w:val="en-GB"/>
        </w:rPr>
        <w:t xml:space="preserve">, despite that such </w:t>
      </w:r>
      <w:r w:rsidR="00CA0717" w:rsidRPr="00CF0F1C">
        <w:rPr>
          <w:b/>
          <w:lang w:val="en-GB"/>
        </w:rPr>
        <w:t>data is available</w:t>
      </w:r>
      <w:r w:rsidR="00CA0717" w:rsidRPr="00CF0F1C">
        <w:rPr>
          <w:bCs/>
          <w:lang w:val="en-GB"/>
        </w:rPr>
        <w:t xml:space="preserve"> in the </w:t>
      </w:r>
      <w:r w:rsidR="00CA0717" w:rsidRPr="00CF0F1C">
        <w:rPr>
          <w:b/>
          <w:lang w:val="en-GB"/>
        </w:rPr>
        <w:t>patient records of the relevant public University Hospitals</w:t>
      </w:r>
      <w:r w:rsidR="00CA0717" w:rsidRPr="00CF0F1C">
        <w:rPr>
          <w:bCs/>
          <w:lang w:val="en-GB"/>
        </w:rPr>
        <w:t xml:space="preserve"> (e.g. a 2018 study </w:t>
      </w:r>
      <w:r w:rsidR="00CA0717" w:rsidRPr="00CF0F1C">
        <w:rPr>
          <w:bCs/>
          <w:i/>
          <w:iCs/>
          <w:lang w:val="en-GB"/>
        </w:rPr>
        <w:t xml:space="preserve">“identified </w:t>
      </w:r>
      <w:r w:rsidR="00CA0717" w:rsidRPr="00CF0F1C">
        <w:rPr>
          <w:b/>
          <w:i/>
          <w:iCs/>
          <w:lang w:val="en-GB"/>
        </w:rPr>
        <w:t>3206 patients</w:t>
      </w:r>
      <w:r w:rsidR="00CA0717" w:rsidRPr="00CF0F1C">
        <w:rPr>
          <w:bCs/>
          <w:i/>
          <w:iCs/>
          <w:lang w:val="en-GB"/>
        </w:rPr>
        <w:t xml:space="preserve"> who were evaluated for one or multiple ICD-10 diagnosis of interest in either </w:t>
      </w:r>
      <w:proofErr w:type="spellStart"/>
      <w:r w:rsidR="00CA0717" w:rsidRPr="00CF0F1C">
        <w:rPr>
          <w:bCs/>
          <w:i/>
          <w:iCs/>
          <w:lang w:val="en-GB"/>
        </w:rPr>
        <w:t>Pediatric</w:t>
      </w:r>
      <w:proofErr w:type="spellEnd"/>
      <w:r w:rsidR="00CA0717" w:rsidRPr="00CF0F1C">
        <w:rPr>
          <w:bCs/>
          <w:i/>
          <w:iCs/>
          <w:lang w:val="en-GB"/>
        </w:rPr>
        <w:t xml:space="preserve">, </w:t>
      </w:r>
      <w:proofErr w:type="spellStart"/>
      <w:r w:rsidR="00CA0717" w:rsidRPr="00CF0F1C">
        <w:rPr>
          <w:bCs/>
          <w:i/>
          <w:iCs/>
          <w:lang w:val="en-GB"/>
        </w:rPr>
        <w:t>Pediatric</w:t>
      </w:r>
      <w:proofErr w:type="spellEnd"/>
      <w:r w:rsidR="00CA0717" w:rsidRPr="00CF0F1C">
        <w:rPr>
          <w:bCs/>
          <w:i/>
          <w:iCs/>
          <w:lang w:val="en-GB"/>
        </w:rPr>
        <w:t xml:space="preserve"> Endocrine and/or </w:t>
      </w:r>
      <w:proofErr w:type="spellStart"/>
      <w:r w:rsidR="00CA0717" w:rsidRPr="00CF0F1C">
        <w:rPr>
          <w:bCs/>
          <w:i/>
          <w:iCs/>
          <w:lang w:val="en-GB"/>
        </w:rPr>
        <w:t>Pediatric</w:t>
      </w:r>
      <w:proofErr w:type="spellEnd"/>
      <w:r w:rsidR="00CA0717" w:rsidRPr="00CF0F1C">
        <w:rPr>
          <w:bCs/>
          <w:i/>
          <w:iCs/>
          <w:lang w:val="en-GB"/>
        </w:rPr>
        <w:t xml:space="preserve"> Surgery Outpatient Clinics </w:t>
      </w:r>
      <w:r w:rsidR="00CA0717" w:rsidRPr="00CF0F1C">
        <w:rPr>
          <w:b/>
          <w:i/>
          <w:iCs/>
          <w:lang w:val="en-GB"/>
        </w:rPr>
        <w:t>at the Helsinki University Hospital between 2004 and 2014</w:t>
      </w:r>
      <w:r w:rsidR="00CA0717" w:rsidRPr="00CF0F1C">
        <w:rPr>
          <w:bCs/>
          <w:i/>
          <w:iCs/>
          <w:lang w:val="en-GB"/>
        </w:rPr>
        <w:t>”</w:t>
      </w:r>
      <w:r w:rsidR="00CA0717" w:rsidRPr="00CF0F1C">
        <w:rPr>
          <w:bCs/>
          <w:lang w:val="en-GB"/>
        </w:rPr>
        <w:t>)</w:t>
      </w:r>
      <w:r w:rsidR="00CA0717" w:rsidRPr="00CF0F1C">
        <w:rPr>
          <w:rStyle w:val="FootnoteReference"/>
          <w:lang w:val="en-GB"/>
        </w:rPr>
        <w:t xml:space="preserve"> </w:t>
      </w:r>
      <w:r w:rsidR="00CA0717" w:rsidRPr="00CF0F1C">
        <w:rPr>
          <w:rStyle w:val="FootnoteReference"/>
          <w:lang w:val="en-GB"/>
        </w:rPr>
        <w:footnoteReference w:id="76"/>
      </w:r>
      <w:r w:rsidR="00CA0717" w:rsidRPr="00CF0F1C">
        <w:rPr>
          <w:bCs/>
          <w:lang w:val="en-GB"/>
        </w:rPr>
        <w:t xml:space="preserve"> and in the </w:t>
      </w:r>
      <w:r w:rsidR="00CA0717" w:rsidRPr="00CF0F1C">
        <w:rPr>
          <w:b/>
          <w:lang w:val="en-GB"/>
        </w:rPr>
        <w:t xml:space="preserve">records of the public health system </w:t>
      </w:r>
      <w:r w:rsidR="00107B7D" w:rsidRPr="00CF0F1C">
        <w:rPr>
          <w:b/>
          <w:lang w:val="en-GB"/>
        </w:rPr>
        <w:t>(Care Register)</w:t>
      </w:r>
      <w:r w:rsidR="00107B7D" w:rsidRPr="00CF0F1C">
        <w:rPr>
          <w:bCs/>
          <w:lang w:val="en-GB"/>
        </w:rPr>
        <w:t xml:space="preserve"> </w:t>
      </w:r>
      <w:r w:rsidR="00CA0717" w:rsidRPr="00CF0F1C">
        <w:rPr>
          <w:bCs/>
          <w:lang w:val="en-GB"/>
        </w:rPr>
        <w:t>which reimburses all relevant IGM procedures</w:t>
      </w:r>
      <w:r w:rsidR="00413EB5" w:rsidRPr="00CF0F1C">
        <w:rPr>
          <w:bCs/>
          <w:lang w:val="en-GB"/>
        </w:rPr>
        <w:t>.</w:t>
      </w:r>
    </w:p>
    <w:p w14:paraId="7DA66D0D" w14:textId="6B84F664" w:rsidR="00B5270F" w:rsidRPr="00CF0F1C" w:rsidRDefault="00FE6A96" w:rsidP="00413EB5">
      <w:pPr>
        <w:pStyle w:val="absatzschattenbericht"/>
        <w:rPr>
          <w:lang w:val="en-GB"/>
        </w:rPr>
      </w:pPr>
      <w:r w:rsidRPr="00CF0F1C">
        <w:rPr>
          <w:b/>
          <w:lang w:val="en-GB"/>
        </w:rPr>
        <w:t xml:space="preserve">Reliable statistics </w:t>
      </w:r>
      <w:r w:rsidRPr="00CF0F1C">
        <w:rPr>
          <w:lang w:val="en-GB"/>
        </w:rPr>
        <w:t xml:space="preserve">on intersex births and IGM procedures would need to be </w:t>
      </w:r>
      <w:r w:rsidRPr="00CF0F1C">
        <w:rPr>
          <w:b/>
          <w:lang w:val="en-GB"/>
        </w:rPr>
        <w:t xml:space="preserve">comprehensive </w:t>
      </w:r>
      <w:r w:rsidRPr="00CF0F1C">
        <w:rPr>
          <w:lang w:val="en-GB"/>
        </w:rPr>
        <w:t xml:space="preserve">and </w:t>
      </w:r>
      <w:r w:rsidRPr="00CF0F1C">
        <w:rPr>
          <w:b/>
          <w:lang w:val="en-GB"/>
        </w:rPr>
        <w:t xml:space="preserve">disaggregated by diagnosis, procedure, age at intervention and clinic </w:t>
      </w:r>
      <w:r w:rsidRPr="00CF0F1C">
        <w:rPr>
          <w:lang w:val="en-GB"/>
        </w:rPr>
        <w:t>where the intervention took place</w:t>
      </w:r>
      <w:r w:rsidR="00413EB5" w:rsidRPr="00CF0F1C">
        <w:rPr>
          <w:lang w:val="en-GB"/>
        </w:rPr>
        <w:t xml:space="preserve">, and would need to cover at least the following </w:t>
      </w:r>
      <w:r w:rsidR="00413EB5" w:rsidRPr="00CF0F1C">
        <w:rPr>
          <w:b/>
          <w:bCs/>
          <w:lang w:val="en-GB"/>
        </w:rPr>
        <w:t>NOMESCO codes</w:t>
      </w:r>
      <w:r w:rsidR="00413EB5" w:rsidRPr="00CF0F1C">
        <w:rPr>
          <w:lang w:val="en-GB"/>
        </w:rPr>
        <w:t>:</w:t>
      </w:r>
      <w:r w:rsidR="00754EF7" w:rsidRPr="00CF0F1C">
        <w:rPr>
          <w:rStyle w:val="FootnoteReference"/>
          <w:lang w:val="en-GB"/>
        </w:rPr>
        <w:footnoteReference w:id="77"/>
      </w:r>
    </w:p>
    <w:p w14:paraId="5569871A" w14:textId="3C8F8B9D" w:rsidR="00413EB5" w:rsidRPr="00CF0F1C" w:rsidRDefault="00413EB5" w:rsidP="00754EF7">
      <w:pPr>
        <w:pStyle w:val="absatzschattenbericht"/>
        <w:spacing w:after="0"/>
        <w:rPr>
          <w:b/>
          <w:bCs/>
          <w:lang w:val="en-GB"/>
        </w:rPr>
      </w:pPr>
      <w:r w:rsidRPr="00CF0F1C">
        <w:rPr>
          <w:b/>
          <w:bCs/>
          <w:lang w:val="en-GB"/>
        </w:rPr>
        <w:t>IGM 3</w:t>
      </w:r>
    </w:p>
    <w:p w14:paraId="4C70DDB1" w14:textId="77777777" w:rsidR="00413EB5" w:rsidRPr="00CF0F1C" w:rsidRDefault="00413EB5" w:rsidP="00754EF7">
      <w:pPr>
        <w:pStyle w:val="absatzschattenbericht"/>
        <w:spacing w:after="0"/>
        <w:rPr>
          <w:lang w:val="en-GB"/>
        </w:rPr>
      </w:pPr>
      <w:r w:rsidRPr="00CF0F1C">
        <w:rPr>
          <w:lang w:val="en-GB"/>
        </w:rPr>
        <w:t>KFC 10 Bilateral orchiectomy</w:t>
      </w:r>
    </w:p>
    <w:p w14:paraId="20F5A2B3" w14:textId="77777777" w:rsidR="00413EB5" w:rsidRPr="00CF0F1C" w:rsidRDefault="00413EB5" w:rsidP="00845373">
      <w:pPr>
        <w:pStyle w:val="absatzschattenbericht"/>
        <w:spacing w:after="0"/>
        <w:rPr>
          <w:lang w:val="en-GB"/>
        </w:rPr>
      </w:pPr>
      <w:r w:rsidRPr="00CF0F1C">
        <w:rPr>
          <w:lang w:val="en-GB"/>
        </w:rPr>
        <w:t xml:space="preserve">LAE 20 Bilateral oophorectomy </w:t>
      </w:r>
    </w:p>
    <w:p w14:paraId="0A6F66E0" w14:textId="77777777" w:rsidR="00413EB5" w:rsidRPr="00CF0F1C" w:rsidRDefault="00413EB5" w:rsidP="00845373">
      <w:pPr>
        <w:pStyle w:val="absatzschattenbericht"/>
        <w:spacing w:after="80"/>
        <w:rPr>
          <w:lang w:val="en-GB"/>
        </w:rPr>
      </w:pPr>
      <w:r w:rsidRPr="00CF0F1C">
        <w:rPr>
          <w:lang w:val="en-GB"/>
        </w:rPr>
        <w:t>LAE 21 Bilateral laparoscopic oophorectomy</w:t>
      </w:r>
    </w:p>
    <w:p w14:paraId="6426B7DD" w14:textId="1BA40397" w:rsidR="00413EB5" w:rsidRPr="00CF0F1C" w:rsidRDefault="00413EB5" w:rsidP="00754EF7">
      <w:pPr>
        <w:pStyle w:val="absatzschattenbericht"/>
        <w:spacing w:after="0"/>
        <w:rPr>
          <w:b/>
          <w:bCs/>
          <w:lang w:val="en-GB"/>
        </w:rPr>
      </w:pPr>
      <w:r w:rsidRPr="00CF0F1C">
        <w:rPr>
          <w:b/>
          <w:bCs/>
          <w:lang w:val="en-GB"/>
        </w:rPr>
        <w:t>IGM 2</w:t>
      </w:r>
    </w:p>
    <w:p w14:paraId="3C688781" w14:textId="77777777" w:rsidR="00413EB5" w:rsidRPr="00CF0F1C" w:rsidRDefault="00413EB5" w:rsidP="00754EF7">
      <w:pPr>
        <w:pStyle w:val="absatzschattenbericht"/>
        <w:spacing w:after="0"/>
        <w:rPr>
          <w:lang w:val="en-GB"/>
        </w:rPr>
      </w:pPr>
      <w:r w:rsidRPr="00CF0F1C">
        <w:rPr>
          <w:lang w:val="en-GB"/>
        </w:rPr>
        <w:t>LEE 40 Construction of vagina in sex transformation surgery</w:t>
      </w:r>
    </w:p>
    <w:p w14:paraId="11234120" w14:textId="77777777" w:rsidR="00413EB5" w:rsidRPr="00CF0F1C" w:rsidRDefault="00413EB5" w:rsidP="00754EF7">
      <w:pPr>
        <w:pStyle w:val="absatzschattenbericht"/>
        <w:spacing w:after="0"/>
        <w:rPr>
          <w:lang w:val="en-GB"/>
        </w:rPr>
      </w:pPr>
      <w:r w:rsidRPr="00CF0F1C">
        <w:rPr>
          <w:lang w:val="en-GB"/>
        </w:rPr>
        <w:t>LEE 96 Other repair of vagina</w:t>
      </w:r>
    </w:p>
    <w:p w14:paraId="10861343" w14:textId="77777777" w:rsidR="00413EB5" w:rsidRPr="00CF0F1C" w:rsidRDefault="00413EB5" w:rsidP="00754EF7">
      <w:pPr>
        <w:pStyle w:val="absatzschattenbericht"/>
        <w:spacing w:after="0"/>
        <w:rPr>
          <w:lang w:val="en-GB"/>
        </w:rPr>
      </w:pPr>
      <w:r w:rsidRPr="00CF0F1C">
        <w:rPr>
          <w:lang w:val="en-GB"/>
        </w:rPr>
        <w:t xml:space="preserve">LEW 96 Other operation on vagina </w:t>
      </w:r>
    </w:p>
    <w:p w14:paraId="029DB262" w14:textId="77777777" w:rsidR="00413EB5" w:rsidRPr="00CF0F1C" w:rsidRDefault="00413EB5" w:rsidP="00754EF7">
      <w:pPr>
        <w:pStyle w:val="absatzschattenbericht"/>
        <w:spacing w:after="0"/>
        <w:rPr>
          <w:lang w:val="en-GB"/>
        </w:rPr>
      </w:pPr>
      <w:r w:rsidRPr="00CF0F1C">
        <w:rPr>
          <w:lang w:val="en-GB"/>
        </w:rPr>
        <w:t>LEW 97 Other laparoscopic operation on vagina</w:t>
      </w:r>
    </w:p>
    <w:p w14:paraId="73F825EA" w14:textId="77777777" w:rsidR="008767C5" w:rsidRPr="00CF0F1C" w:rsidRDefault="008767C5" w:rsidP="008767C5">
      <w:pPr>
        <w:pStyle w:val="absatzschattenbericht"/>
        <w:spacing w:after="0"/>
        <w:rPr>
          <w:lang w:val="en-GB"/>
        </w:rPr>
      </w:pPr>
      <w:r w:rsidRPr="00CF0F1C">
        <w:rPr>
          <w:lang w:val="en-GB"/>
        </w:rPr>
        <w:t>LFC 00 Partial excision of vulva</w:t>
      </w:r>
    </w:p>
    <w:p w14:paraId="11D374A7" w14:textId="77777777" w:rsidR="008767C5" w:rsidRPr="00CF0F1C" w:rsidRDefault="008767C5" w:rsidP="008767C5">
      <w:pPr>
        <w:pStyle w:val="absatzschattenbericht"/>
        <w:spacing w:after="0"/>
        <w:rPr>
          <w:lang w:val="en-GB"/>
        </w:rPr>
      </w:pPr>
      <w:r w:rsidRPr="00CF0F1C">
        <w:rPr>
          <w:lang w:val="en-GB"/>
        </w:rPr>
        <w:t>LFC 96 Other partial excision of vulva or perineum</w:t>
      </w:r>
    </w:p>
    <w:p w14:paraId="053C8777" w14:textId="77777777" w:rsidR="00413EB5" w:rsidRPr="00CF0F1C" w:rsidRDefault="00413EB5" w:rsidP="00754EF7">
      <w:pPr>
        <w:pStyle w:val="absatzschattenbericht"/>
        <w:spacing w:after="0"/>
        <w:rPr>
          <w:lang w:val="en-GB"/>
        </w:rPr>
      </w:pPr>
      <w:r w:rsidRPr="00CF0F1C">
        <w:rPr>
          <w:lang w:val="en-GB"/>
        </w:rPr>
        <w:t>LFE 10 Plastic repair of vulva</w:t>
      </w:r>
    </w:p>
    <w:p w14:paraId="7E259247" w14:textId="77777777" w:rsidR="00413EB5" w:rsidRPr="00CF0F1C" w:rsidRDefault="00413EB5" w:rsidP="00754EF7">
      <w:pPr>
        <w:pStyle w:val="absatzschattenbericht"/>
        <w:spacing w:after="0"/>
        <w:rPr>
          <w:lang w:val="en-GB"/>
        </w:rPr>
      </w:pPr>
      <w:r w:rsidRPr="00CF0F1C">
        <w:rPr>
          <w:lang w:val="en-GB"/>
        </w:rPr>
        <w:t>LFE 96 Other repair of vulva or perineum</w:t>
      </w:r>
    </w:p>
    <w:p w14:paraId="74E63D59" w14:textId="5A66E525" w:rsidR="00413EB5" w:rsidRPr="00CF0F1C" w:rsidRDefault="00413EB5" w:rsidP="00845373">
      <w:pPr>
        <w:pStyle w:val="absatzschattenbericht"/>
        <w:spacing w:after="80"/>
        <w:rPr>
          <w:lang w:val="en-GB"/>
        </w:rPr>
      </w:pPr>
      <w:r w:rsidRPr="00CF0F1C">
        <w:rPr>
          <w:lang w:val="en-GB"/>
        </w:rPr>
        <w:t>LFW 96 Other operation on vulva or perineum</w:t>
      </w:r>
    </w:p>
    <w:p w14:paraId="66E6DD3B" w14:textId="41C21C97" w:rsidR="00413EB5" w:rsidRPr="00CF0F1C" w:rsidRDefault="00413EB5" w:rsidP="00754EF7">
      <w:pPr>
        <w:pStyle w:val="absatzschattenbericht"/>
        <w:spacing w:after="0"/>
        <w:rPr>
          <w:b/>
          <w:bCs/>
          <w:lang w:val="en-GB"/>
        </w:rPr>
      </w:pPr>
      <w:r w:rsidRPr="00CF0F1C">
        <w:rPr>
          <w:b/>
          <w:bCs/>
          <w:lang w:val="en-GB"/>
        </w:rPr>
        <w:t>IGM 1</w:t>
      </w:r>
    </w:p>
    <w:p w14:paraId="211215DE" w14:textId="77777777" w:rsidR="00413EB5" w:rsidRPr="00CF0F1C" w:rsidRDefault="00413EB5" w:rsidP="00754EF7">
      <w:pPr>
        <w:pStyle w:val="absatzschattenbericht"/>
        <w:spacing w:after="0"/>
        <w:rPr>
          <w:lang w:val="en-GB"/>
        </w:rPr>
      </w:pPr>
      <w:r w:rsidRPr="00CF0F1C">
        <w:rPr>
          <w:lang w:val="en-GB"/>
        </w:rPr>
        <w:t xml:space="preserve">KGH 20 Correction of induration or curvature of penis </w:t>
      </w:r>
    </w:p>
    <w:p w14:paraId="4DDDA1BE" w14:textId="77777777" w:rsidR="00413EB5" w:rsidRPr="00CF0F1C" w:rsidRDefault="00413EB5" w:rsidP="00754EF7">
      <w:pPr>
        <w:pStyle w:val="absatzschattenbericht"/>
        <w:spacing w:after="0"/>
        <w:rPr>
          <w:lang w:val="en-GB"/>
        </w:rPr>
      </w:pPr>
      <w:r w:rsidRPr="00CF0F1C">
        <w:rPr>
          <w:lang w:val="en-GB"/>
        </w:rPr>
        <w:t xml:space="preserve">KGH 60 Correction of </w:t>
      </w:r>
      <w:proofErr w:type="spellStart"/>
      <w:r w:rsidRPr="00CF0F1C">
        <w:rPr>
          <w:lang w:val="en-GB"/>
        </w:rPr>
        <w:t>hypospadia</w:t>
      </w:r>
      <w:proofErr w:type="spellEnd"/>
    </w:p>
    <w:p w14:paraId="4A92C36D" w14:textId="77777777" w:rsidR="00413EB5" w:rsidRPr="00CF0F1C" w:rsidRDefault="00413EB5" w:rsidP="00754EF7">
      <w:pPr>
        <w:pStyle w:val="absatzschattenbericht"/>
        <w:spacing w:after="0"/>
        <w:rPr>
          <w:lang w:val="en-GB"/>
        </w:rPr>
      </w:pPr>
      <w:r w:rsidRPr="00CF0F1C">
        <w:rPr>
          <w:lang w:val="en-GB"/>
        </w:rPr>
        <w:t xml:space="preserve">KGH 80 Plastic repair of skin of penis </w:t>
      </w:r>
    </w:p>
    <w:p w14:paraId="2BCA408B" w14:textId="77777777" w:rsidR="00413EB5" w:rsidRPr="00CF0F1C" w:rsidRDefault="00413EB5" w:rsidP="00754EF7">
      <w:pPr>
        <w:pStyle w:val="absatzschattenbericht"/>
        <w:spacing w:after="0"/>
        <w:rPr>
          <w:lang w:val="en-GB"/>
        </w:rPr>
      </w:pPr>
      <w:r w:rsidRPr="00CF0F1C">
        <w:rPr>
          <w:lang w:val="en-GB"/>
        </w:rPr>
        <w:t>KGH 96 Other reconstructive operation on penis</w:t>
      </w:r>
    </w:p>
    <w:p w14:paraId="4FFCDC91" w14:textId="091AF156" w:rsidR="00413EB5" w:rsidRPr="00CF0F1C" w:rsidRDefault="00413EB5" w:rsidP="00845373">
      <w:pPr>
        <w:pStyle w:val="absatzschattenbericht"/>
        <w:rPr>
          <w:lang w:val="en-GB"/>
        </w:rPr>
      </w:pPr>
      <w:r w:rsidRPr="00CF0F1C">
        <w:rPr>
          <w:lang w:val="en-GB"/>
        </w:rPr>
        <w:t>KGW 96 Other operation on penis</w:t>
      </w:r>
    </w:p>
    <w:p w14:paraId="0CD8FEE8" w14:textId="60ADB11E" w:rsidR="00537CB2" w:rsidRPr="00CF0F1C" w:rsidRDefault="00182B69" w:rsidP="00437B2E">
      <w:pPr>
        <w:pStyle w:val="Title2"/>
        <w:rPr>
          <w:rFonts w:eastAsia="Baskerville"/>
          <w:szCs w:val="24"/>
        </w:rPr>
      </w:pPr>
      <w:bookmarkStart w:id="81" w:name="_Toc463295416"/>
      <w:bookmarkStart w:id="82" w:name="_Toc472687700"/>
      <w:bookmarkStart w:id="83" w:name="_Toc485093577"/>
      <w:bookmarkStart w:id="84" w:name="_Toc161663956"/>
      <w:r w:rsidRPr="00CF0F1C">
        <w:t>7</w:t>
      </w:r>
      <w:r w:rsidR="00537CB2" w:rsidRPr="00CF0F1C">
        <w:t>.  Obstacles to redress, fair and adequate compensation</w:t>
      </w:r>
      <w:bookmarkEnd w:id="81"/>
      <w:bookmarkEnd w:id="82"/>
      <w:bookmarkEnd w:id="83"/>
      <w:bookmarkEnd w:id="84"/>
    </w:p>
    <w:p w14:paraId="542DFF2E" w14:textId="106650C1" w:rsidR="00B2558E" w:rsidRPr="00CF0F1C" w:rsidRDefault="00B30B5D" w:rsidP="00AC483E">
      <w:pPr>
        <w:pStyle w:val="absatzschattenbericht"/>
        <w:rPr>
          <w:rFonts w:cs="Times New Roman"/>
          <w:lang w:val="en-GB"/>
        </w:rPr>
      </w:pPr>
      <w:r w:rsidRPr="00CF0F1C">
        <w:rPr>
          <w:rFonts w:cs="Times New Roman"/>
          <w:lang w:val="en-GB"/>
        </w:rPr>
        <w:t>Also</w:t>
      </w:r>
      <w:r w:rsidR="00B2558E" w:rsidRPr="00CF0F1C">
        <w:rPr>
          <w:rFonts w:cs="Times New Roman"/>
          <w:lang w:val="en-GB"/>
        </w:rPr>
        <w:t xml:space="preserve"> in </w:t>
      </w:r>
      <w:r w:rsidR="00B83E46" w:rsidRPr="00CF0F1C">
        <w:rPr>
          <w:rFonts w:eastAsia="Baskerville-SemiBold" w:cs="Times New Roman"/>
          <w:b/>
          <w:bCs/>
          <w:lang w:val="en-GB"/>
        </w:rPr>
        <w:t>Finland</w:t>
      </w:r>
      <w:r w:rsidR="00B2558E" w:rsidRPr="00CF0F1C">
        <w:rPr>
          <w:rFonts w:cs="Times New Roman"/>
          <w:lang w:val="en-GB"/>
        </w:rPr>
        <w:t xml:space="preserve"> the </w:t>
      </w:r>
      <w:r w:rsidR="00B2558E" w:rsidRPr="00CF0F1C">
        <w:rPr>
          <w:rFonts w:eastAsia="Baskerville-SemiBold" w:cs="Times New Roman"/>
          <w:b/>
          <w:bCs/>
          <w:lang w:val="en-GB"/>
        </w:rPr>
        <w:t>statutes of limitation</w:t>
      </w:r>
      <w:r w:rsidR="00B2558E" w:rsidRPr="00CF0F1C">
        <w:rPr>
          <w:rFonts w:cs="Times New Roman"/>
          <w:lang w:val="en-GB"/>
        </w:rPr>
        <w:t xml:space="preserve"> prohibit survivors of early childhood IGM practices to call a court, because persons concerned often </w:t>
      </w:r>
      <w:r w:rsidR="00B2558E" w:rsidRPr="00CF0F1C">
        <w:rPr>
          <w:rFonts w:eastAsia="Baskerville-SemiBold" w:cs="Times New Roman"/>
          <w:b/>
          <w:bCs/>
          <w:lang w:val="en-GB"/>
        </w:rPr>
        <w:t>do not find out</w:t>
      </w:r>
      <w:r w:rsidR="00B2558E" w:rsidRPr="00CF0F1C">
        <w:rPr>
          <w:rFonts w:cs="Times New Roman"/>
          <w:lang w:val="en-GB"/>
        </w:rPr>
        <w:t xml:space="preserve"> about their medical history until much later in life, and </w:t>
      </w:r>
      <w:r w:rsidR="00B2558E" w:rsidRPr="00CF0F1C">
        <w:rPr>
          <w:rFonts w:eastAsia="Baskerville-SemiBold" w:cs="Times New Roman"/>
          <w:b/>
          <w:bCs/>
          <w:lang w:val="en-GB"/>
        </w:rPr>
        <w:t>severe trauma</w:t>
      </w:r>
      <w:r w:rsidR="00B2558E" w:rsidRPr="00CF0F1C">
        <w:rPr>
          <w:rFonts w:cs="Times New Roman"/>
          <w:lang w:val="en-GB"/>
        </w:rPr>
        <w:t xml:space="preserve"> caused by IGM Practices often prohibits them to act in time once they do.</w:t>
      </w:r>
      <w:r w:rsidR="00B2558E" w:rsidRPr="00CF0F1C">
        <w:rPr>
          <w:rStyle w:val="FootnoteReference"/>
          <w:lang w:val="en-GB"/>
        </w:rPr>
        <w:footnoteReference w:id="78"/>
      </w:r>
      <w:r w:rsidR="00B2558E" w:rsidRPr="00CF0F1C">
        <w:rPr>
          <w:rFonts w:cs="Times New Roman"/>
          <w:lang w:val="en-GB"/>
        </w:rPr>
        <w:t xml:space="preserve"> So far</w:t>
      </w:r>
      <w:r w:rsidR="00443C41" w:rsidRPr="00CF0F1C">
        <w:rPr>
          <w:rFonts w:cs="Times New Roman"/>
          <w:lang w:val="en-GB"/>
        </w:rPr>
        <w:t xml:space="preserve">, in </w:t>
      </w:r>
      <w:r w:rsidR="00B83E46" w:rsidRPr="00CF0F1C">
        <w:rPr>
          <w:rFonts w:cs="Times New Roman"/>
          <w:lang w:val="en-GB"/>
        </w:rPr>
        <w:t>Finland</w:t>
      </w:r>
      <w:r w:rsidR="00B2558E" w:rsidRPr="00CF0F1C">
        <w:rPr>
          <w:rFonts w:cs="Times New Roman"/>
          <w:lang w:val="en-GB"/>
        </w:rPr>
        <w:t xml:space="preserve"> there was </w:t>
      </w:r>
      <w:r w:rsidR="00B2558E" w:rsidRPr="00CF0F1C">
        <w:rPr>
          <w:rFonts w:cs="Times New Roman"/>
          <w:b/>
          <w:lang w:val="en-GB"/>
        </w:rPr>
        <w:t>no case</w:t>
      </w:r>
      <w:r w:rsidR="00B2558E" w:rsidRPr="00CF0F1C">
        <w:rPr>
          <w:rFonts w:cs="Times New Roman"/>
          <w:lang w:val="en-GB"/>
        </w:rPr>
        <w:t xml:space="preserve"> of a victim of IGM practice</w:t>
      </w:r>
      <w:r w:rsidRPr="00CF0F1C">
        <w:rPr>
          <w:rFonts w:cs="Times New Roman"/>
          <w:lang w:val="en-GB"/>
        </w:rPr>
        <w:t>s succeeding in going to court.</w:t>
      </w:r>
      <w:r w:rsidR="00B83E46" w:rsidRPr="00CF0F1C">
        <w:rPr>
          <w:rFonts w:cs="Times New Roman"/>
          <w:lang w:val="en-GB"/>
        </w:rPr>
        <w:t xml:space="preserve"> </w:t>
      </w:r>
    </w:p>
    <w:p w14:paraId="577815F5" w14:textId="60AD71C4" w:rsidR="00B83E46" w:rsidRPr="00CF0F1C" w:rsidRDefault="00B83E46" w:rsidP="00B83E46">
      <w:pPr>
        <w:pStyle w:val="absatzschattenbericht"/>
        <w:rPr>
          <w:rFonts w:cs="Times New Roman"/>
          <w:lang w:val="en-GB"/>
        </w:rPr>
      </w:pPr>
      <w:r w:rsidRPr="00CF0F1C">
        <w:rPr>
          <w:rFonts w:cs="Times New Roman"/>
          <w:lang w:val="en-GB"/>
        </w:rPr>
        <w:lastRenderedPageBreak/>
        <w:t xml:space="preserve">Notably, also a </w:t>
      </w:r>
      <w:r w:rsidRPr="00CF0F1C">
        <w:rPr>
          <w:rFonts w:cs="Times New Roman"/>
          <w:b/>
          <w:bCs/>
          <w:lang w:val="en-GB"/>
        </w:rPr>
        <w:t>complaint</w:t>
      </w:r>
      <w:r w:rsidRPr="00CF0F1C">
        <w:rPr>
          <w:rFonts w:cs="Times New Roman"/>
          <w:lang w:val="en-GB"/>
        </w:rPr>
        <w:t xml:space="preserve"> by </w:t>
      </w:r>
      <w:r w:rsidR="00264FE8" w:rsidRPr="00CF0F1C">
        <w:rPr>
          <w:rFonts w:cs="Times New Roman"/>
          <w:lang w:val="en-GB"/>
        </w:rPr>
        <w:t xml:space="preserve">a </w:t>
      </w:r>
      <w:r w:rsidRPr="00CF0F1C">
        <w:rPr>
          <w:rFonts w:cs="Times New Roman"/>
          <w:lang w:val="en-GB"/>
        </w:rPr>
        <w:t xml:space="preserve">Finnish IGM survivor about traumatising, non-consensual, unnecessary genital surgeries </w:t>
      </w:r>
      <w:r w:rsidRPr="00CF0F1C">
        <w:rPr>
          <w:rFonts w:cs="Times New Roman"/>
          <w:b/>
          <w:bCs/>
          <w:lang w:val="en-GB"/>
        </w:rPr>
        <w:t>filed with the Finnish Patient Insurance Centre</w:t>
      </w:r>
      <w:r w:rsidRPr="00CF0F1C">
        <w:rPr>
          <w:rFonts w:cs="Times New Roman"/>
          <w:lang w:val="en-GB"/>
        </w:rPr>
        <w:t xml:space="preserve"> was </w:t>
      </w:r>
      <w:r w:rsidRPr="00CF0F1C">
        <w:rPr>
          <w:rFonts w:cs="Times New Roman"/>
          <w:b/>
          <w:bCs/>
          <w:lang w:val="en-GB"/>
        </w:rPr>
        <w:t>dismissed</w:t>
      </w:r>
      <w:r w:rsidRPr="00CF0F1C">
        <w:rPr>
          <w:rFonts w:cs="Times New Roman"/>
          <w:lang w:val="en-GB"/>
        </w:rPr>
        <w:t>, with the Patient Insurance Centre stating there was no malpractice because the procedure was in keeping with clinical practice guidelines, and the doctors consulted by the Patient Insurance Centre had also expressed the opinion that there was no need to review the clinical practice guidelines.</w:t>
      </w:r>
      <w:r w:rsidRPr="00CF0F1C">
        <w:rPr>
          <w:rStyle w:val="FootnoteReference"/>
          <w:lang w:val="en-GB"/>
        </w:rPr>
        <w:footnoteReference w:id="79"/>
      </w:r>
    </w:p>
    <w:p w14:paraId="30211608" w14:textId="2DD94B46" w:rsidR="00B2558E" w:rsidRPr="00CF0F1C" w:rsidRDefault="00B2558E" w:rsidP="00325A43">
      <w:pPr>
        <w:pStyle w:val="absatzschattenbericht"/>
        <w:rPr>
          <w:rFonts w:eastAsia="Helvetica-Bold"/>
          <w:b/>
          <w:bCs/>
          <w:spacing w:val="3"/>
          <w:sz w:val="28"/>
          <w:szCs w:val="28"/>
          <w:lang w:val="en-GB"/>
        </w:rPr>
      </w:pPr>
      <w:r w:rsidRPr="00CF0F1C">
        <w:rPr>
          <w:b/>
          <w:lang w:val="en-GB"/>
        </w:rPr>
        <w:t xml:space="preserve">This situation is clearly not in line with </w:t>
      </w:r>
      <w:r w:rsidR="00B83E46" w:rsidRPr="00CF0F1C">
        <w:rPr>
          <w:rFonts w:eastAsia="Baskerville-SemiBold"/>
          <w:b/>
          <w:bCs/>
          <w:lang w:val="en-GB"/>
        </w:rPr>
        <w:t>Finland’s</w:t>
      </w:r>
      <w:r w:rsidRPr="00CF0F1C">
        <w:rPr>
          <w:b/>
          <w:lang w:val="en-GB"/>
        </w:rPr>
        <w:t xml:space="preserve"> obligations under the </w:t>
      </w:r>
      <w:r w:rsidR="0087692C" w:rsidRPr="00CF0F1C">
        <w:rPr>
          <w:b/>
          <w:lang w:val="en-GB"/>
        </w:rPr>
        <w:t>Convention</w:t>
      </w:r>
      <w:r w:rsidRPr="00CF0F1C">
        <w:rPr>
          <w:b/>
          <w:lang w:val="en-GB"/>
        </w:rPr>
        <w:t>.</w:t>
      </w:r>
    </w:p>
    <w:p w14:paraId="58087EE1" w14:textId="7A86DFE5" w:rsidR="0030340A" w:rsidRPr="00CF0F1C" w:rsidRDefault="0091118F" w:rsidP="009C68B8">
      <w:pPr>
        <w:pStyle w:val="Title1"/>
        <w:rPr>
          <w:sz w:val="36"/>
          <w:szCs w:val="36"/>
          <w:lang w:val="en-GB"/>
        </w:rPr>
      </w:pPr>
      <w:bookmarkStart w:id="85" w:name="_Toc453620716"/>
      <w:bookmarkStart w:id="86" w:name="_Toc463295417"/>
      <w:bookmarkStart w:id="87" w:name="_Toc472687701"/>
      <w:bookmarkStart w:id="88" w:name="_Toc485093579"/>
      <w:bookmarkStart w:id="89" w:name="_Toc161663957"/>
      <w:r w:rsidRPr="00CF0F1C">
        <w:rPr>
          <w:sz w:val="36"/>
          <w:szCs w:val="36"/>
          <w:lang w:val="en-GB"/>
        </w:rPr>
        <w:lastRenderedPageBreak/>
        <w:t>C</w:t>
      </w:r>
      <w:r w:rsidR="0030340A" w:rsidRPr="00CF0F1C">
        <w:rPr>
          <w:sz w:val="36"/>
          <w:szCs w:val="36"/>
          <w:lang w:val="en-GB"/>
        </w:rPr>
        <w:t xml:space="preserve">. </w:t>
      </w:r>
      <w:r w:rsidR="00345E3F" w:rsidRPr="00CF0F1C">
        <w:rPr>
          <w:sz w:val="36"/>
          <w:szCs w:val="36"/>
          <w:lang w:val="en-GB"/>
        </w:rPr>
        <w:t xml:space="preserve"> </w:t>
      </w:r>
      <w:bookmarkEnd w:id="85"/>
      <w:bookmarkEnd w:id="86"/>
      <w:bookmarkEnd w:id="87"/>
      <w:bookmarkEnd w:id="88"/>
      <w:r w:rsidR="002704D8" w:rsidRPr="00CF0F1C">
        <w:rPr>
          <w:sz w:val="36"/>
          <w:szCs w:val="36"/>
          <w:lang w:val="en-GB"/>
        </w:rPr>
        <w:t xml:space="preserve">Suggested </w:t>
      </w:r>
      <w:r w:rsidR="009B77A6" w:rsidRPr="00CF0F1C">
        <w:rPr>
          <w:sz w:val="36"/>
          <w:szCs w:val="36"/>
          <w:lang w:val="en-GB"/>
        </w:rPr>
        <w:t>Recommendations</w:t>
      </w:r>
      <w:bookmarkEnd w:id="89"/>
    </w:p>
    <w:p w14:paraId="58F86823" w14:textId="77777777" w:rsidR="004C7A48" w:rsidRPr="00CF0F1C" w:rsidRDefault="004C7A48" w:rsidP="00325A43">
      <w:pPr>
        <w:pStyle w:val="absatzschattenbericht"/>
        <w:rPr>
          <w:lang w:val="en-GB"/>
        </w:rPr>
      </w:pPr>
    </w:p>
    <w:p w14:paraId="2DE9318A" w14:textId="30F6AD54" w:rsidR="002C0DA7" w:rsidRPr="00595B9A" w:rsidRDefault="002C0DA7" w:rsidP="002C0DA7">
      <w:pPr>
        <w:pStyle w:val="absatzschattenbericht"/>
        <w:rPr>
          <w:b/>
          <w:i/>
          <w:iCs/>
          <w:sz w:val="28"/>
          <w:szCs w:val="28"/>
          <w:lang w:val="en-GB"/>
        </w:rPr>
      </w:pPr>
      <w:r w:rsidRPr="00595B9A">
        <w:rPr>
          <w:i/>
          <w:iCs/>
          <w:sz w:val="28"/>
          <w:szCs w:val="28"/>
          <w:lang w:val="en-GB"/>
        </w:rPr>
        <w:t xml:space="preserve">The Rapporteurs respectfully suggest that, with respect to the treatment of intersex persons in </w:t>
      </w:r>
      <w:r>
        <w:rPr>
          <w:i/>
          <w:iCs/>
          <w:sz w:val="28"/>
          <w:szCs w:val="28"/>
          <w:lang w:val="en-GB"/>
        </w:rPr>
        <w:t>Finland</w:t>
      </w:r>
      <w:r w:rsidRPr="00595B9A">
        <w:rPr>
          <w:i/>
          <w:iCs/>
          <w:sz w:val="28"/>
          <w:szCs w:val="28"/>
          <w:lang w:val="en-GB"/>
        </w:rPr>
        <w:t xml:space="preserve">, the Committee includes the following measures in their recommendations to the </w:t>
      </w:r>
      <w:r>
        <w:rPr>
          <w:i/>
          <w:iCs/>
          <w:sz w:val="28"/>
          <w:szCs w:val="28"/>
          <w:lang w:val="en-GB"/>
        </w:rPr>
        <w:t>Finnish</w:t>
      </w:r>
      <w:r w:rsidRPr="00595B9A">
        <w:rPr>
          <w:i/>
          <w:iCs/>
          <w:sz w:val="28"/>
          <w:szCs w:val="28"/>
          <w:lang w:val="en-GB"/>
        </w:rPr>
        <w:t xml:space="preserve"> Government:</w:t>
      </w:r>
    </w:p>
    <w:p w14:paraId="31DE1776" w14:textId="77777777" w:rsidR="002C0DA7" w:rsidRDefault="002C0DA7" w:rsidP="002C0DA7">
      <w:pPr>
        <w:pStyle w:val="absatzschattenbericht"/>
        <w:rPr>
          <w:rFonts w:cs="Times New Roman"/>
          <w:sz w:val="28"/>
          <w:szCs w:val="28"/>
          <w:lang w:val="en-GB"/>
        </w:rPr>
      </w:pPr>
    </w:p>
    <w:p w14:paraId="3036DB77" w14:textId="77777777" w:rsidR="002C0DA7" w:rsidRPr="00595B9A" w:rsidRDefault="002C0DA7" w:rsidP="002C0DA7">
      <w:pPr>
        <w:pStyle w:val="absatzschattenbericht"/>
        <w:rPr>
          <w:rFonts w:cs="Times New Roman"/>
          <w:sz w:val="28"/>
          <w:szCs w:val="28"/>
          <w:lang w:val="en-GB"/>
        </w:rPr>
      </w:pPr>
    </w:p>
    <w:p w14:paraId="438E36A7" w14:textId="77777777" w:rsidR="002C0DA7" w:rsidRPr="009D6BCF" w:rsidRDefault="002C0DA7" w:rsidP="002C0DA7">
      <w:pPr>
        <w:pStyle w:val="absatzschattenbericht"/>
        <w:rPr>
          <w:rFonts w:cs="Times New Roman"/>
          <w:b/>
          <w:bCs/>
          <w:sz w:val="28"/>
          <w:szCs w:val="28"/>
          <w:lang w:val="en-GB"/>
        </w:rPr>
      </w:pPr>
      <w:r w:rsidRPr="009D6BCF">
        <w:rPr>
          <w:rFonts w:cs="Times New Roman"/>
          <w:b/>
          <w:bCs/>
          <w:sz w:val="28"/>
          <w:szCs w:val="28"/>
          <w:lang w:val="en-GB"/>
        </w:rPr>
        <w:t>Intersex Genital Mutilation</w:t>
      </w:r>
    </w:p>
    <w:p w14:paraId="4F8DFF9B" w14:textId="2F14B4C3" w:rsidR="00214F89" w:rsidRPr="009D6BCF" w:rsidRDefault="0005147E" w:rsidP="00214F89">
      <w:pPr>
        <w:pStyle w:val="absatzschattenbericht"/>
        <w:rPr>
          <w:rFonts w:cs="Times New Roman"/>
          <w:sz w:val="28"/>
          <w:szCs w:val="28"/>
          <w:lang w:val="en-GB"/>
        </w:rPr>
      </w:pPr>
      <w:r w:rsidRPr="009D6BCF">
        <w:rPr>
          <w:rFonts w:cs="Times New Roman"/>
          <w:sz w:val="28"/>
          <w:szCs w:val="28"/>
          <w:lang w:val="en-GB"/>
        </w:rPr>
        <w:t xml:space="preserve">The Committee takes note of the Government </w:t>
      </w:r>
      <w:r w:rsidR="00391FDD" w:rsidRPr="009D6BCF">
        <w:rPr>
          <w:rFonts w:cs="Times New Roman"/>
          <w:sz w:val="28"/>
          <w:szCs w:val="28"/>
          <w:lang w:val="en-GB"/>
        </w:rPr>
        <w:t>initiatives</w:t>
      </w:r>
      <w:r w:rsidRPr="009D6BCF">
        <w:rPr>
          <w:rFonts w:cs="Times New Roman"/>
          <w:sz w:val="28"/>
          <w:szCs w:val="28"/>
          <w:lang w:val="en-GB"/>
        </w:rPr>
        <w:t xml:space="preserve"> pledging to protect intersex children. </w:t>
      </w:r>
      <w:r w:rsidR="00391FDD" w:rsidRPr="009D6BCF">
        <w:rPr>
          <w:rFonts w:cs="Times New Roman"/>
          <w:sz w:val="28"/>
          <w:szCs w:val="28"/>
          <w:lang w:val="en-GB"/>
        </w:rPr>
        <w:t>However</w:t>
      </w:r>
      <w:r w:rsidRPr="009D6BCF">
        <w:rPr>
          <w:rFonts w:cs="Times New Roman"/>
          <w:sz w:val="28"/>
          <w:szCs w:val="28"/>
          <w:lang w:val="en-GB"/>
        </w:rPr>
        <w:t xml:space="preserve">, </w:t>
      </w:r>
      <w:r w:rsidR="00391FDD" w:rsidRPr="009D6BCF">
        <w:rPr>
          <w:rFonts w:cs="Times New Roman"/>
          <w:sz w:val="28"/>
          <w:szCs w:val="28"/>
          <w:lang w:val="en-GB"/>
        </w:rPr>
        <w:t xml:space="preserve">it remains seriously concerned about cases of unnecessary and irreversible surgery and other </w:t>
      </w:r>
      <w:r w:rsidR="00214F89" w:rsidRPr="009D6BCF">
        <w:rPr>
          <w:rFonts w:cs="Times New Roman"/>
          <w:sz w:val="28"/>
          <w:szCs w:val="28"/>
          <w:lang w:val="en-GB"/>
        </w:rPr>
        <w:t xml:space="preserve">medical </w:t>
      </w:r>
      <w:r w:rsidR="00391FDD" w:rsidRPr="009D6BCF">
        <w:rPr>
          <w:rFonts w:cs="Times New Roman"/>
          <w:sz w:val="28"/>
          <w:szCs w:val="28"/>
          <w:lang w:val="en-GB"/>
        </w:rPr>
        <w:t>treatment on intersex children without their informed consent, which can cause severe suffering, and the lack of redress and compensation in such cases</w:t>
      </w:r>
      <w:r w:rsidR="002C0DA7" w:rsidRPr="009D6BCF">
        <w:rPr>
          <w:rFonts w:cs="Times New Roman"/>
          <w:sz w:val="28"/>
          <w:szCs w:val="28"/>
          <w:lang w:val="en-GB"/>
        </w:rPr>
        <w:t xml:space="preserve"> (arts. 2, 12, 14 and 16).</w:t>
      </w:r>
    </w:p>
    <w:p w14:paraId="48670607" w14:textId="77777777" w:rsidR="002C0DA7" w:rsidRPr="00595B9A" w:rsidRDefault="002C0DA7" w:rsidP="002C0DA7">
      <w:pPr>
        <w:pStyle w:val="absatzschattenbericht"/>
        <w:rPr>
          <w:rFonts w:cs="Times New Roman"/>
          <w:b/>
          <w:bCs/>
          <w:sz w:val="28"/>
          <w:szCs w:val="28"/>
          <w:lang w:val="en-GB"/>
        </w:rPr>
      </w:pPr>
      <w:r w:rsidRPr="009D6BCF">
        <w:rPr>
          <w:rFonts w:cs="Times New Roman"/>
          <w:b/>
          <w:bCs/>
          <w:sz w:val="28"/>
          <w:szCs w:val="28"/>
          <w:lang w:val="en-GB"/>
        </w:rPr>
        <w:t>The Committee recommends that the State party:</w:t>
      </w:r>
    </w:p>
    <w:p w14:paraId="5D211B03" w14:textId="77777777" w:rsidR="009D6BCF" w:rsidRDefault="00391FDD" w:rsidP="009D6BCF">
      <w:pPr>
        <w:pStyle w:val="absatzschattenbericht"/>
        <w:numPr>
          <w:ilvl w:val="0"/>
          <w:numId w:val="15"/>
        </w:numPr>
        <w:rPr>
          <w:b/>
          <w:sz w:val="28"/>
          <w:szCs w:val="28"/>
          <w:lang w:val="en-GB"/>
        </w:rPr>
      </w:pPr>
      <w:r w:rsidRPr="00CF0F1C">
        <w:rPr>
          <w:b/>
          <w:bCs/>
          <w:sz w:val="28"/>
          <w:szCs w:val="28"/>
          <w:lang w:val="en-GB"/>
        </w:rPr>
        <w:t xml:space="preserve">Ensure that the State party’s legislation explicitly prohibits the </w:t>
      </w:r>
      <w:r w:rsidR="009D6BCF" w:rsidRPr="009D6BCF">
        <w:rPr>
          <w:b/>
          <w:sz w:val="28"/>
          <w:szCs w:val="28"/>
          <w:lang w:val="en-GB"/>
        </w:rPr>
        <w:t xml:space="preserve">performance of involuntary, deferrable surgical or other medical procedures on intersex infants and </w:t>
      </w:r>
      <w:proofErr w:type="gramStart"/>
      <w:r w:rsidR="009D6BCF" w:rsidRPr="009D6BCF">
        <w:rPr>
          <w:b/>
          <w:sz w:val="28"/>
          <w:szCs w:val="28"/>
          <w:lang w:val="en-GB"/>
        </w:rPr>
        <w:t>children;</w:t>
      </w:r>
      <w:proofErr w:type="gramEnd"/>
    </w:p>
    <w:p w14:paraId="4B0D352C" w14:textId="77777777" w:rsidR="009D6BCF" w:rsidRDefault="009D6BCF" w:rsidP="009D6BCF">
      <w:pPr>
        <w:pStyle w:val="absatzschattenbericht"/>
        <w:numPr>
          <w:ilvl w:val="0"/>
          <w:numId w:val="15"/>
        </w:numPr>
        <w:rPr>
          <w:b/>
          <w:sz w:val="28"/>
          <w:szCs w:val="28"/>
          <w:lang w:val="en-GB"/>
        </w:rPr>
      </w:pPr>
      <w:r>
        <w:rPr>
          <w:b/>
          <w:sz w:val="28"/>
          <w:szCs w:val="28"/>
          <w:lang w:val="en-GB"/>
        </w:rPr>
        <w:t>E</w:t>
      </w:r>
      <w:r w:rsidRPr="009D6BCF">
        <w:rPr>
          <w:b/>
          <w:sz w:val="28"/>
          <w:szCs w:val="28"/>
          <w:lang w:val="en-GB"/>
        </w:rPr>
        <w:t xml:space="preserve">xtend the statute of limitations to enable criminal and civil </w:t>
      </w:r>
      <w:proofErr w:type="gramStart"/>
      <w:r w:rsidRPr="009D6BCF">
        <w:rPr>
          <w:b/>
          <w:sz w:val="28"/>
          <w:szCs w:val="28"/>
          <w:lang w:val="en-GB"/>
        </w:rPr>
        <w:t>remedies;</w:t>
      </w:r>
      <w:proofErr w:type="gramEnd"/>
    </w:p>
    <w:p w14:paraId="44E8260F" w14:textId="77777777" w:rsidR="009D6BCF" w:rsidRDefault="009D6BCF" w:rsidP="009D6BCF">
      <w:pPr>
        <w:pStyle w:val="absatzschattenbericht"/>
        <w:numPr>
          <w:ilvl w:val="0"/>
          <w:numId w:val="15"/>
        </w:numPr>
        <w:rPr>
          <w:b/>
          <w:sz w:val="28"/>
          <w:szCs w:val="28"/>
          <w:lang w:val="en-GB"/>
        </w:rPr>
      </w:pPr>
      <w:r>
        <w:rPr>
          <w:b/>
          <w:sz w:val="28"/>
          <w:szCs w:val="28"/>
          <w:lang w:val="en-GB"/>
        </w:rPr>
        <w:t>P</w:t>
      </w:r>
      <w:r w:rsidRPr="009D6BCF">
        <w:rPr>
          <w:b/>
          <w:sz w:val="28"/>
          <w:szCs w:val="28"/>
          <w:lang w:val="en-GB"/>
        </w:rPr>
        <w:t xml:space="preserve">rovide adequate counselling and support for families of intersex </w:t>
      </w:r>
      <w:proofErr w:type="gramStart"/>
      <w:r w:rsidRPr="009D6BCF">
        <w:rPr>
          <w:b/>
          <w:sz w:val="28"/>
          <w:szCs w:val="28"/>
          <w:lang w:val="en-GB"/>
        </w:rPr>
        <w:t>children</w:t>
      </w:r>
      <w:r>
        <w:rPr>
          <w:b/>
          <w:sz w:val="28"/>
          <w:szCs w:val="28"/>
          <w:lang w:val="en-GB"/>
        </w:rPr>
        <w:t>;</w:t>
      </w:r>
      <w:proofErr w:type="gramEnd"/>
    </w:p>
    <w:p w14:paraId="6A819622" w14:textId="22877A9E" w:rsidR="009D6BCF" w:rsidRPr="009D6BCF" w:rsidRDefault="009D6BCF" w:rsidP="009D6BCF">
      <w:pPr>
        <w:pStyle w:val="absatzschattenbericht"/>
        <w:numPr>
          <w:ilvl w:val="0"/>
          <w:numId w:val="15"/>
        </w:numPr>
        <w:rPr>
          <w:b/>
          <w:sz w:val="28"/>
          <w:szCs w:val="28"/>
          <w:lang w:val="en-GB"/>
        </w:rPr>
      </w:pPr>
      <w:r>
        <w:rPr>
          <w:b/>
          <w:sz w:val="28"/>
          <w:szCs w:val="28"/>
          <w:lang w:val="en-GB"/>
        </w:rPr>
        <w:t>P</w:t>
      </w:r>
      <w:r w:rsidRPr="009D6BCF">
        <w:rPr>
          <w:b/>
          <w:sz w:val="28"/>
          <w:szCs w:val="28"/>
          <w:lang w:val="en-GB"/>
        </w:rPr>
        <w:t xml:space="preserve">rovide health care and psychosocial support to intersex persons who have been subjected to </w:t>
      </w:r>
      <w:r>
        <w:rPr>
          <w:b/>
          <w:sz w:val="28"/>
          <w:szCs w:val="28"/>
          <w:lang w:val="en-GB"/>
        </w:rPr>
        <w:t xml:space="preserve">involuntary </w:t>
      </w:r>
      <w:proofErr w:type="gramStart"/>
      <w:r>
        <w:rPr>
          <w:b/>
          <w:sz w:val="28"/>
          <w:szCs w:val="28"/>
          <w:lang w:val="en-GB"/>
        </w:rPr>
        <w:t>procedures;</w:t>
      </w:r>
      <w:proofErr w:type="gramEnd"/>
    </w:p>
    <w:p w14:paraId="2F8B5821" w14:textId="328A78DE" w:rsidR="00391FDD" w:rsidRPr="00CF0F1C" w:rsidRDefault="00391FDD" w:rsidP="00B801A4">
      <w:pPr>
        <w:pStyle w:val="absatzschattenbericht"/>
        <w:numPr>
          <w:ilvl w:val="0"/>
          <w:numId w:val="15"/>
        </w:numPr>
        <w:rPr>
          <w:b/>
          <w:bCs/>
          <w:sz w:val="28"/>
          <w:szCs w:val="28"/>
          <w:lang w:val="en-GB"/>
        </w:rPr>
      </w:pPr>
      <w:r w:rsidRPr="00CF0F1C">
        <w:rPr>
          <w:b/>
          <w:bCs/>
          <w:sz w:val="28"/>
          <w:szCs w:val="28"/>
          <w:lang w:val="en-GB"/>
        </w:rPr>
        <w:t>Systematically collect disaggregated data with a view to understanding the extent of these harmful practices so that children at risk can be more easily identified and their abuse prevented.</w:t>
      </w:r>
    </w:p>
    <w:p w14:paraId="3FAE56A7" w14:textId="49A1AC54" w:rsidR="00C615DA" w:rsidRPr="00CF0F1C" w:rsidRDefault="00C615DA">
      <w:pPr>
        <w:rPr>
          <w:rFonts w:ascii="Arial Black" w:eastAsia="ColossalisBold" w:hAnsi="Arial Black" w:cs="Arial"/>
          <w:b/>
          <w:bCs/>
          <w:color w:val="5E175E"/>
          <w:spacing w:val="4"/>
          <w:w w:val="92"/>
          <w:kern w:val="36"/>
          <w:sz w:val="36"/>
          <w:szCs w:val="36"/>
          <w:lang w:val="en-GB"/>
        </w:rPr>
      </w:pPr>
      <w:r w:rsidRPr="00CF0F1C">
        <w:rPr>
          <w:rFonts w:ascii="Arial Black" w:eastAsia="ColossalisBold" w:hAnsi="Arial Black" w:cs="Arial"/>
          <w:b/>
          <w:bCs/>
          <w:color w:val="5E175E"/>
          <w:spacing w:val="4"/>
          <w:w w:val="92"/>
          <w:kern w:val="36"/>
          <w:sz w:val="36"/>
          <w:szCs w:val="36"/>
          <w:lang w:val="en-GB"/>
        </w:rPr>
        <w:br w:type="page"/>
      </w:r>
    </w:p>
    <w:p w14:paraId="3F3C3289" w14:textId="27ABC321" w:rsidR="00B54065" w:rsidRPr="00CF0F1C" w:rsidRDefault="00465609" w:rsidP="00B54065">
      <w:pPr>
        <w:pStyle w:val="Title1"/>
        <w:rPr>
          <w:lang w:val="en-GB"/>
        </w:rPr>
      </w:pPr>
      <w:bookmarkStart w:id="90" w:name="_Toc19465704"/>
      <w:bookmarkStart w:id="91" w:name="_Toc31570300"/>
      <w:bookmarkStart w:id="92" w:name="_Toc34004113"/>
      <w:bookmarkStart w:id="93" w:name="_Toc161663958"/>
      <w:r w:rsidRPr="00CF0F1C">
        <w:rPr>
          <w:lang w:val="en-GB"/>
        </w:rPr>
        <w:lastRenderedPageBreak/>
        <w:t xml:space="preserve">Annexe </w:t>
      </w:r>
      <w:r w:rsidR="002768BB">
        <w:rPr>
          <w:lang w:val="en-GB"/>
        </w:rPr>
        <w:t>1</w:t>
      </w:r>
      <w:r w:rsidRPr="00CF0F1C">
        <w:rPr>
          <w:lang w:val="en-GB"/>
        </w:rPr>
        <w:t xml:space="preserve"> – </w:t>
      </w:r>
      <w:bookmarkEnd w:id="90"/>
      <w:bookmarkEnd w:id="91"/>
      <w:bookmarkEnd w:id="92"/>
      <w:r w:rsidR="00B54065" w:rsidRPr="00CF0F1C">
        <w:rPr>
          <w:lang w:val="en-GB"/>
        </w:rPr>
        <w:t>Intersex, IGM and Non-</w:t>
      </w:r>
      <w:proofErr w:type="spellStart"/>
      <w:r w:rsidR="00B54065" w:rsidRPr="00CF0F1C">
        <w:rPr>
          <w:lang w:val="en-GB"/>
        </w:rPr>
        <w:t>Derogable</w:t>
      </w:r>
      <w:proofErr w:type="spellEnd"/>
      <w:r w:rsidR="00B54065" w:rsidRPr="00CF0F1C">
        <w:rPr>
          <w:lang w:val="en-GB"/>
        </w:rPr>
        <w:t xml:space="preserve"> Human Rights</w:t>
      </w:r>
      <w:bookmarkEnd w:id="93"/>
    </w:p>
    <w:p w14:paraId="036B8325" w14:textId="77777777" w:rsidR="00B54065" w:rsidRPr="00CF0F1C" w:rsidRDefault="00B54065" w:rsidP="00B54065">
      <w:pPr>
        <w:pStyle w:val="Title2"/>
      </w:pPr>
      <w:bookmarkStart w:id="94" w:name="_Toc505194885"/>
      <w:bookmarkStart w:id="95" w:name="_Toc520833562"/>
      <w:bookmarkStart w:id="96" w:name="_Toc526178750"/>
      <w:bookmarkStart w:id="97" w:name="_Toc19465705"/>
      <w:bookmarkStart w:id="98" w:name="_Toc31570301"/>
      <w:bookmarkStart w:id="99" w:name="_Toc34004114"/>
      <w:bookmarkStart w:id="100" w:name="_Toc48428237"/>
      <w:bookmarkStart w:id="101" w:name="_Toc48509364"/>
      <w:bookmarkStart w:id="102" w:name="_Toc132491479"/>
      <w:bookmarkStart w:id="103" w:name="_Toc161663959"/>
      <w:bookmarkStart w:id="104" w:name="_Toc507726464"/>
      <w:bookmarkStart w:id="105" w:name="_Toc511611563"/>
      <w:r w:rsidRPr="00CF0F1C">
        <w:t>1.  Intersex = variations of reproductive anatomy</w:t>
      </w:r>
      <w:bookmarkEnd w:id="94"/>
      <w:bookmarkEnd w:id="95"/>
      <w:bookmarkEnd w:id="96"/>
      <w:bookmarkEnd w:id="97"/>
      <w:bookmarkEnd w:id="98"/>
      <w:bookmarkEnd w:id="99"/>
      <w:bookmarkEnd w:id="100"/>
      <w:bookmarkEnd w:id="101"/>
      <w:bookmarkEnd w:id="102"/>
      <w:bookmarkEnd w:id="103"/>
    </w:p>
    <w:p w14:paraId="4E92DFF5" w14:textId="77777777" w:rsidR="00B54065" w:rsidRPr="00CF0F1C" w:rsidRDefault="00B54065" w:rsidP="00B54065">
      <w:pPr>
        <w:pStyle w:val="absatzschattenbericht"/>
        <w:spacing w:after="73"/>
        <w:rPr>
          <w:lang w:val="en-GB"/>
        </w:rPr>
      </w:pPr>
      <w:r w:rsidRPr="00CF0F1C">
        <w:rPr>
          <w:b/>
          <w:lang w:val="en-GB"/>
        </w:rPr>
        <w:t>Intersex persons</w:t>
      </w:r>
      <w:r w:rsidRPr="00CF0F1C">
        <w:rPr>
          <w:lang w:val="en-GB"/>
        </w:rPr>
        <w:t xml:space="preserve">, in the vernacular also known as hermaphrodites, or medically as persons with </w:t>
      </w:r>
      <w:r w:rsidRPr="00CF0F1C">
        <w:rPr>
          <w:i/>
          <w:lang w:val="en-GB"/>
        </w:rPr>
        <w:t xml:space="preserve">“Disorders” </w:t>
      </w:r>
      <w:r w:rsidRPr="00CF0F1C">
        <w:rPr>
          <w:lang w:val="en-GB"/>
        </w:rPr>
        <w:t>or</w:t>
      </w:r>
      <w:r w:rsidRPr="00CF0F1C">
        <w:rPr>
          <w:i/>
          <w:lang w:val="en-GB"/>
        </w:rPr>
        <w:t xml:space="preserve"> “Differences of Sex Development (DSD)”</w:t>
      </w:r>
      <w:r w:rsidRPr="00CF0F1C">
        <w:rPr>
          <w:lang w:val="en-GB"/>
        </w:rPr>
        <w:t>,</w:t>
      </w:r>
      <w:r w:rsidRPr="00CF0F1C">
        <w:rPr>
          <w:rStyle w:val="Funotenzeichen1"/>
          <w:position w:val="6"/>
          <w:lang w:val="en-GB"/>
        </w:rPr>
        <w:t xml:space="preserve"> </w:t>
      </w:r>
      <w:r w:rsidRPr="00CF0F1C">
        <w:rPr>
          <w:rStyle w:val="FootnoteReference"/>
          <w:lang w:val="en-GB"/>
        </w:rPr>
        <w:footnoteReference w:id="80"/>
      </w:r>
      <w:r w:rsidRPr="00CF0F1C">
        <w:rPr>
          <w:lang w:val="en-GB"/>
        </w:rPr>
        <w:t xml:space="preserve"> are people born with </w:t>
      </w:r>
      <w:r w:rsidRPr="00CF0F1C">
        <w:rPr>
          <w:b/>
          <w:lang w:val="en-GB"/>
        </w:rPr>
        <w:t>variations of reproductive anatomy</w:t>
      </w:r>
      <w:r w:rsidRPr="00CF0F1C">
        <w:rPr>
          <w:lang w:val="en-GB"/>
        </w:rPr>
        <w:t xml:space="preserve">, or “atypical” reproductive organs, </w:t>
      </w:r>
      <w:r w:rsidRPr="00CF0F1C">
        <w:rPr>
          <w:color w:val="auto"/>
          <w:lang w:val="en-GB"/>
        </w:rPr>
        <w:t xml:space="preserve">including atypical genitals, atypical sex hormone producing organs, atypical response to sex hormones, atypical genetic make-up, atypical secondary sex markers. </w:t>
      </w:r>
      <w:r w:rsidRPr="00CF0F1C">
        <w:rPr>
          <w:lang w:val="en-GB"/>
        </w:rPr>
        <w:t xml:space="preserve">Many intersex forms are usually detected at </w:t>
      </w:r>
      <w:r w:rsidRPr="00CF0F1C">
        <w:rPr>
          <w:rFonts w:eastAsia="Baskerville-Bold"/>
          <w:b/>
          <w:bCs/>
          <w:lang w:val="en-GB"/>
        </w:rPr>
        <w:t>birth</w:t>
      </w:r>
      <w:r w:rsidRPr="00CF0F1C">
        <w:rPr>
          <w:lang w:val="en-GB"/>
        </w:rPr>
        <w:t xml:space="preserve"> or earlier during </w:t>
      </w:r>
      <w:r w:rsidRPr="00CF0F1C">
        <w:rPr>
          <w:rFonts w:eastAsia="Baskerville-Bold"/>
          <w:b/>
          <w:bCs/>
          <w:lang w:val="en-GB"/>
        </w:rPr>
        <w:t>prenatal testing</w:t>
      </w:r>
      <w:r w:rsidRPr="00CF0F1C">
        <w:rPr>
          <w:lang w:val="en-GB"/>
        </w:rPr>
        <w:t xml:space="preserve">, others may only become apparent at </w:t>
      </w:r>
      <w:r w:rsidRPr="00CF0F1C">
        <w:rPr>
          <w:rFonts w:eastAsia="Baskerville-Bold"/>
          <w:b/>
          <w:bCs/>
          <w:lang w:val="en-GB"/>
        </w:rPr>
        <w:t>puberty</w:t>
      </w:r>
      <w:r w:rsidRPr="00CF0F1C">
        <w:rPr>
          <w:lang w:val="en-GB"/>
        </w:rPr>
        <w:t xml:space="preserve"> or </w:t>
      </w:r>
      <w:r w:rsidRPr="00CF0F1C">
        <w:rPr>
          <w:rFonts w:eastAsia="Baskerville-Bold"/>
          <w:b/>
          <w:bCs/>
          <w:lang w:val="en-GB"/>
        </w:rPr>
        <w:t>later in life</w:t>
      </w:r>
      <w:r w:rsidRPr="00CF0F1C">
        <w:rPr>
          <w:lang w:val="en-GB"/>
        </w:rPr>
        <w:t>.</w:t>
      </w:r>
    </w:p>
    <w:p w14:paraId="73A698B6" w14:textId="77777777" w:rsidR="00B54065" w:rsidRPr="00CF0F1C" w:rsidRDefault="00B54065" w:rsidP="00B54065">
      <w:pPr>
        <w:pStyle w:val="absatzschattenbericht"/>
        <w:tabs>
          <w:tab w:val="left" w:pos="3544"/>
        </w:tabs>
        <w:spacing w:after="0"/>
        <w:rPr>
          <w:lang w:val="en-GB"/>
        </w:rPr>
      </w:pPr>
      <w:r w:rsidRPr="00CF0F1C">
        <w:rPr>
          <w:lang w:val="en-GB"/>
        </w:rPr>
        <w:t xml:space="preserve">While intersex people may face several problems, in the “developed world” the most pressing are the ongoing </w:t>
      </w:r>
      <w:r w:rsidRPr="00CF0F1C">
        <w:rPr>
          <w:rFonts w:eastAsia="Baskerville-Bold" w:cs="Baskerville-Bold"/>
          <w:b/>
          <w:bCs/>
          <w:lang w:val="en-GB"/>
        </w:rPr>
        <w:t>Intersex Genital Mutilations</w:t>
      </w:r>
      <w:r w:rsidRPr="00CF0F1C">
        <w:rPr>
          <w:lang w:val="en-GB"/>
        </w:rPr>
        <w:t xml:space="preserve">, which present a distinct and unique issue constituting significant human rights violations, with </w:t>
      </w:r>
      <w:r w:rsidRPr="00CF0F1C">
        <w:rPr>
          <w:b/>
          <w:lang w:val="en-GB"/>
        </w:rPr>
        <w:t>1 to 2 in 1000 newborns</w:t>
      </w:r>
      <w:r w:rsidRPr="00CF0F1C">
        <w:rPr>
          <w:lang w:val="en-GB"/>
        </w:rPr>
        <w:t xml:space="preserve"> at risk of being submitted to non-consensual “genital correction surgery”.</w:t>
      </w:r>
    </w:p>
    <w:p w14:paraId="593D6EBC" w14:textId="77777777" w:rsidR="00B54065" w:rsidRPr="00CF0F1C" w:rsidRDefault="00B54065" w:rsidP="00B54065">
      <w:pPr>
        <w:pStyle w:val="absatzschattenbericht"/>
        <w:rPr>
          <w:b/>
          <w:i/>
          <w:color w:val="auto"/>
          <w:lang w:val="en-GB"/>
        </w:rPr>
      </w:pPr>
      <w:r w:rsidRPr="00CF0F1C">
        <w:rPr>
          <w:b/>
          <w:i/>
          <w:color w:val="auto"/>
          <w:lang w:val="en-GB"/>
        </w:rPr>
        <w:t>For more information and references, see 2014 CRC Switzerland NGO Report, p. 7-12.</w:t>
      </w:r>
      <w:r w:rsidRPr="00CF0F1C">
        <w:rPr>
          <w:rStyle w:val="FootnoteReference"/>
          <w:b/>
          <w:i/>
          <w:color w:val="auto"/>
          <w:lang w:val="en-GB"/>
        </w:rPr>
        <w:footnoteReference w:id="81"/>
      </w:r>
    </w:p>
    <w:p w14:paraId="24CDFC70" w14:textId="77777777" w:rsidR="00B54065" w:rsidRPr="00CF0F1C" w:rsidRDefault="00B54065" w:rsidP="00B54065">
      <w:pPr>
        <w:pStyle w:val="Title2"/>
      </w:pPr>
      <w:bookmarkStart w:id="106" w:name="_Toc507726463"/>
      <w:bookmarkStart w:id="107" w:name="_Toc511611562"/>
      <w:bookmarkStart w:id="108" w:name="_Toc526178749"/>
      <w:bookmarkStart w:id="109" w:name="_Toc19465706"/>
      <w:bookmarkStart w:id="110" w:name="_Toc31570302"/>
      <w:bookmarkStart w:id="111" w:name="_Toc34004115"/>
      <w:bookmarkStart w:id="112" w:name="_Toc48428238"/>
      <w:bookmarkStart w:id="113" w:name="_Toc48509365"/>
      <w:bookmarkStart w:id="114" w:name="_Toc132491480"/>
      <w:bookmarkStart w:id="115" w:name="_Toc161663960"/>
      <w:r w:rsidRPr="00CF0F1C">
        <w:t xml:space="preserve">2.  IGM = Involuntary, </w:t>
      </w:r>
      <w:proofErr w:type="gramStart"/>
      <w:r w:rsidRPr="00CF0F1C">
        <w:t>unnecessary</w:t>
      </w:r>
      <w:bookmarkEnd w:id="106"/>
      <w:bookmarkEnd w:id="107"/>
      <w:proofErr w:type="gramEnd"/>
      <w:r w:rsidRPr="00CF0F1C">
        <w:t xml:space="preserve"> and harmful interventions</w:t>
      </w:r>
      <w:bookmarkEnd w:id="108"/>
      <w:bookmarkEnd w:id="109"/>
      <w:bookmarkEnd w:id="110"/>
      <w:bookmarkEnd w:id="111"/>
      <w:bookmarkEnd w:id="112"/>
      <w:bookmarkEnd w:id="113"/>
      <w:bookmarkEnd w:id="114"/>
      <w:bookmarkEnd w:id="115"/>
    </w:p>
    <w:p w14:paraId="0D5A1BDF" w14:textId="77777777" w:rsidR="00B54065" w:rsidRPr="00CF0F1C" w:rsidRDefault="00B54065" w:rsidP="00B54065">
      <w:pPr>
        <w:pStyle w:val="absatzschattenbericht"/>
        <w:rPr>
          <w:b/>
          <w:lang w:val="en-GB"/>
        </w:rPr>
      </w:pPr>
      <w:r w:rsidRPr="00CF0F1C">
        <w:rPr>
          <w:lang w:val="en-GB"/>
        </w:rPr>
        <w:t xml:space="preserve">In </w:t>
      </w:r>
      <w:r w:rsidRPr="00CF0F1C">
        <w:rPr>
          <w:b/>
          <w:lang w:val="en-GB"/>
        </w:rPr>
        <w:t>“developed countries”</w:t>
      </w:r>
      <w:r w:rsidRPr="00CF0F1C">
        <w:rPr>
          <w:lang w:val="en-GB"/>
        </w:rPr>
        <w:t xml:space="preserve"> with universal access to paediatric health care</w:t>
      </w:r>
      <w:r w:rsidRPr="00CF0F1C">
        <w:rPr>
          <w:b/>
          <w:lang w:val="en-GB"/>
        </w:rPr>
        <w:t xml:space="preserve"> 1 to 2 in 1000 newborns</w:t>
      </w:r>
      <w:r w:rsidRPr="00CF0F1C">
        <w:rPr>
          <w:lang w:val="en-GB"/>
        </w:rPr>
        <w:t xml:space="preserve"> are at risk of being submitted to medical </w:t>
      </w:r>
      <w:r w:rsidRPr="00CF0F1C">
        <w:rPr>
          <w:b/>
          <w:lang w:val="en-GB"/>
        </w:rPr>
        <w:t>IGM practices,</w:t>
      </w:r>
      <w:r w:rsidRPr="00CF0F1C">
        <w:rPr>
          <w:lang w:val="en-GB"/>
        </w:rPr>
        <w:t xml:space="preserve"> i.e.</w:t>
      </w:r>
      <w:r w:rsidRPr="00CF0F1C">
        <w:rPr>
          <w:b/>
          <w:bCs/>
          <w:lang w:val="en-GB"/>
        </w:rPr>
        <w:t xml:space="preserve"> </w:t>
      </w:r>
      <w:r w:rsidRPr="00CF0F1C">
        <w:rPr>
          <w:bCs/>
          <w:lang w:val="en-GB"/>
        </w:rPr>
        <w:t>non-consensual, unnecessary, irreversible, cosmetic genital surgeries, and/or other harmful medical treatments</w:t>
      </w:r>
      <w:r w:rsidRPr="00CF0F1C">
        <w:rPr>
          <w:lang w:val="en-GB"/>
        </w:rPr>
        <w:t xml:space="preserve"> that </w:t>
      </w:r>
      <w:r w:rsidRPr="00CF0F1C">
        <w:rPr>
          <w:b/>
          <w:lang w:val="en-GB"/>
        </w:rPr>
        <w:t xml:space="preserve">would </w:t>
      </w:r>
      <w:r w:rsidRPr="00CF0F1C">
        <w:rPr>
          <w:b/>
          <w:bCs/>
          <w:lang w:val="en-GB"/>
        </w:rPr>
        <w:t>not be considered for “normal” children</w:t>
      </w:r>
      <w:r w:rsidRPr="00CF0F1C">
        <w:rPr>
          <w:lang w:val="en-GB"/>
        </w:rPr>
        <w:t xml:space="preserve">, practiced without evidence of benefit for the children concerned, but justified by societal and cultural norms and beliefs, and often </w:t>
      </w:r>
      <w:r w:rsidRPr="00CF0F1C">
        <w:rPr>
          <w:b/>
          <w:bCs/>
          <w:lang w:val="en-GB"/>
        </w:rPr>
        <w:t>directly financed by the state</w:t>
      </w:r>
      <w:r w:rsidRPr="00CF0F1C">
        <w:rPr>
          <w:bCs/>
          <w:lang w:val="en-GB"/>
        </w:rPr>
        <w:t xml:space="preserve"> via the public health system.</w:t>
      </w:r>
      <w:r w:rsidRPr="00CF0F1C">
        <w:rPr>
          <w:vertAlign w:val="superscript"/>
          <w:lang w:val="en-GB"/>
        </w:rPr>
        <w:footnoteReference w:id="82"/>
      </w:r>
    </w:p>
    <w:p w14:paraId="54EC02EA" w14:textId="77777777" w:rsidR="00B54065" w:rsidRPr="00CF0F1C" w:rsidRDefault="00B54065" w:rsidP="00B54065">
      <w:pPr>
        <w:pStyle w:val="absatzschattenbericht"/>
        <w:rPr>
          <w:vertAlign w:val="superscript"/>
          <w:lang w:val="en-GB"/>
        </w:rPr>
      </w:pPr>
      <w:r w:rsidRPr="00CF0F1C">
        <w:rPr>
          <w:lang w:val="en-GB"/>
        </w:rPr>
        <w:t xml:space="preserve">In </w:t>
      </w:r>
      <w:r w:rsidRPr="00CF0F1C">
        <w:rPr>
          <w:b/>
          <w:lang w:val="en-GB"/>
        </w:rPr>
        <w:t>regions without universal access to paediatric health care</w:t>
      </w:r>
      <w:r w:rsidRPr="00CF0F1C">
        <w:rPr>
          <w:lang w:val="en-GB"/>
        </w:rPr>
        <w:t xml:space="preserve">, there are reports of </w:t>
      </w:r>
      <w:r w:rsidRPr="00CF0F1C">
        <w:rPr>
          <w:b/>
          <w:lang w:val="en-GB"/>
        </w:rPr>
        <w:t>infanticide</w:t>
      </w:r>
      <w:r w:rsidRPr="00CF0F1C">
        <w:rPr>
          <w:vertAlign w:val="superscript"/>
          <w:lang w:val="en-GB"/>
        </w:rPr>
        <w:footnoteReference w:id="83"/>
      </w:r>
      <w:r w:rsidRPr="00CF0F1C">
        <w:rPr>
          <w:lang w:val="en-GB"/>
        </w:rPr>
        <w:t xml:space="preserve"> of intersex children, of </w:t>
      </w:r>
      <w:r w:rsidRPr="00CF0F1C">
        <w:rPr>
          <w:b/>
          <w:lang w:val="en-GB"/>
        </w:rPr>
        <w:t>abandonment</w:t>
      </w:r>
      <w:r w:rsidRPr="00CF0F1C">
        <w:rPr>
          <w:lang w:val="en-GB"/>
        </w:rPr>
        <w:t>,</w:t>
      </w:r>
      <w:r w:rsidRPr="00CF0F1C">
        <w:rPr>
          <w:vertAlign w:val="superscript"/>
          <w:lang w:val="en-GB"/>
        </w:rPr>
        <w:footnoteReference w:id="84"/>
      </w:r>
      <w:r w:rsidRPr="00CF0F1C">
        <w:rPr>
          <w:lang w:val="en-GB"/>
        </w:rPr>
        <w:t xml:space="preserve"> of </w:t>
      </w:r>
      <w:r w:rsidRPr="00CF0F1C">
        <w:rPr>
          <w:b/>
          <w:lang w:val="en-GB"/>
        </w:rPr>
        <w:t>expulsion</w:t>
      </w:r>
      <w:r w:rsidRPr="00CF0F1C">
        <w:rPr>
          <w:lang w:val="en-GB"/>
        </w:rPr>
        <w:t>,</w:t>
      </w:r>
      <w:r w:rsidRPr="00CF0F1C">
        <w:rPr>
          <w:rStyle w:val="FootnoteReference"/>
          <w:lang w:val="en-GB"/>
        </w:rPr>
        <w:footnoteReference w:id="85"/>
      </w:r>
      <w:r w:rsidRPr="00CF0F1C">
        <w:rPr>
          <w:lang w:val="en-GB"/>
        </w:rPr>
        <w:t xml:space="preserve"> of </w:t>
      </w:r>
      <w:r w:rsidRPr="00CF0F1C">
        <w:rPr>
          <w:b/>
          <w:lang w:val="en-GB"/>
        </w:rPr>
        <w:t>massive bullying</w:t>
      </w:r>
      <w:r w:rsidRPr="00CF0F1C">
        <w:rPr>
          <w:lang w:val="en-GB"/>
        </w:rPr>
        <w:t xml:space="preserve"> preventing the </w:t>
      </w:r>
      <w:r w:rsidRPr="00CF0F1C">
        <w:rPr>
          <w:lang w:val="en-GB"/>
        </w:rPr>
        <w:lastRenderedPageBreak/>
        <w:t>persons concerned from attending school (recognised by CRC as amounting to a harmful practice),</w:t>
      </w:r>
      <w:r w:rsidRPr="00CF0F1C">
        <w:rPr>
          <w:vertAlign w:val="superscript"/>
          <w:lang w:val="en-GB"/>
        </w:rPr>
        <w:footnoteReference w:id="86"/>
      </w:r>
      <w:r w:rsidRPr="00CF0F1C">
        <w:rPr>
          <w:lang w:val="en-GB"/>
        </w:rPr>
        <w:t xml:space="preserve"> and of </w:t>
      </w:r>
      <w:r w:rsidRPr="00CF0F1C">
        <w:rPr>
          <w:b/>
          <w:lang w:val="en-GB"/>
        </w:rPr>
        <w:t>murder</w:t>
      </w:r>
      <w:r w:rsidRPr="00CF0F1C">
        <w:rPr>
          <w:lang w:val="en-GB"/>
        </w:rPr>
        <w:t>.</w:t>
      </w:r>
      <w:r w:rsidRPr="00CF0F1C">
        <w:rPr>
          <w:vertAlign w:val="superscript"/>
          <w:lang w:val="en-GB"/>
        </w:rPr>
        <w:footnoteReference w:id="87"/>
      </w:r>
      <w:r w:rsidRPr="00CF0F1C">
        <w:rPr>
          <w:vertAlign w:val="superscript"/>
          <w:lang w:val="en-GB"/>
        </w:rPr>
        <w:t xml:space="preserve"> </w:t>
      </w:r>
    </w:p>
    <w:p w14:paraId="7D38C117" w14:textId="27C9F72A" w:rsidR="00B54065" w:rsidRPr="00CF0F1C" w:rsidRDefault="00B54065" w:rsidP="00B54065">
      <w:pPr>
        <w:pStyle w:val="absatzschattenbericht"/>
        <w:rPr>
          <w:lang w:val="en-GB"/>
        </w:rPr>
      </w:pPr>
      <w:r w:rsidRPr="00CF0F1C">
        <w:rPr>
          <w:lang w:val="en-GB"/>
        </w:rPr>
        <w:t xml:space="preserve">Governing State bodies, public and private healthcare providers, national and international medical </w:t>
      </w:r>
      <w:proofErr w:type="gramStart"/>
      <w:r w:rsidRPr="00CF0F1C">
        <w:rPr>
          <w:lang w:val="en-GB"/>
        </w:rPr>
        <w:t>bodies</w:t>
      </w:r>
      <w:proofErr w:type="gramEnd"/>
      <w:r w:rsidRPr="00CF0F1C">
        <w:rPr>
          <w:lang w:val="en-GB"/>
        </w:rPr>
        <w:t xml:space="preserve"> and individual doctors have traditionally been </w:t>
      </w:r>
      <w:r w:rsidRPr="00CF0F1C">
        <w:rPr>
          <w:b/>
          <w:bCs/>
          <w:lang w:val="en-GB"/>
        </w:rPr>
        <w:t xml:space="preserve">framing and “treating” </w:t>
      </w:r>
      <w:r w:rsidRPr="00CF0F1C">
        <w:rPr>
          <w:bCs/>
          <w:lang w:val="en-GB"/>
        </w:rPr>
        <w:t>healthy intersex children as</w:t>
      </w:r>
      <w:r w:rsidRPr="00CF0F1C">
        <w:rPr>
          <w:b/>
          <w:bCs/>
          <w:lang w:val="en-GB"/>
        </w:rPr>
        <w:t xml:space="preserve"> suffering from a form of disability in the medical definition</w:t>
      </w:r>
      <w:r w:rsidRPr="00CF0F1C">
        <w:rPr>
          <w:bCs/>
          <w:lang w:val="en-GB"/>
        </w:rPr>
        <w:t>,</w:t>
      </w:r>
      <w:r w:rsidRPr="00CF0F1C">
        <w:rPr>
          <w:lang w:val="en-GB"/>
        </w:rPr>
        <w:t xml:space="preserve"> and in need to be </w:t>
      </w:r>
      <w:r w:rsidRPr="00CF0F1C">
        <w:rPr>
          <w:b/>
          <w:lang w:val="en-GB"/>
        </w:rPr>
        <w:t>“cured” surgically</w:t>
      </w:r>
      <w:r w:rsidRPr="00CF0F1C">
        <w:rPr>
          <w:lang w:val="en-GB"/>
        </w:rPr>
        <w:t xml:space="preserve">, often </w:t>
      </w:r>
      <w:r w:rsidRPr="00CF0F1C">
        <w:rPr>
          <w:b/>
          <w:bCs/>
          <w:lang w:val="en-GB"/>
        </w:rPr>
        <w:t xml:space="preserve">with openly racist, eugenic and </w:t>
      </w:r>
      <w:proofErr w:type="spellStart"/>
      <w:r w:rsidRPr="00CF0F1C">
        <w:rPr>
          <w:b/>
          <w:bCs/>
          <w:lang w:val="en-GB"/>
        </w:rPr>
        <w:t>suprematist</w:t>
      </w:r>
      <w:proofErr w:type="spellEnd"/>
      <w:r w:rsidRPr="00CF0F1C">
        <w:rPr>
          <w:b/>
          <w:bCs/>
          <w:lang w:val="en-GB"/>
        </w:rPr>
        <w:t xml:space="preserve"> implications</w:t>
      </w:r>
      <w:r w:rsidRPr="00CF0F1C">
        <w:rPr>
          <w:bCs/>
          <w:lang w:val="en-GB"/>
        </w:rPr>
        <w:t>.</w:t>
      </w:r>
      <w:r w:rsidRPr="00CF0F1C">
        <w:rPr>
          <w:rStyle w:val="FootnoteReference"/>
          <w:lang w:val="en-GB"/>
        </w:rPr>
        <w:footnoteReference w:id="88"/>
      </w:r>
      <w:r w:rsidRPr="00CF0F1C">
        <w:rPr>
          <w:rStyle w:val="FootnoteReference"/>
          <w:rFonts w:cs="Times New Roman"/>
          <w:lang w:val="en-GB"/>
        </w:rPr>
        <w:t xml:space="preserve"> </w:t>
      </w:r>
      <w:r w:rsidRPr="00CF0F1C">
        <w:rPr>
          <w:rStyle w:val="FootnoteReference"/>
          <w:lang w:val="en-GB"/>
        </w:rPr>
        <w:footnoteReference w:id="89"/>
      </w:r>
      <w:r w:rsidRPr="00CF0F1C">
        <w:rPr>
          <w:rStyle w:val="FootnoteReference"/>
          <w:rFonts w:cs="Times New Roman"/>
          <w:lang w:val="en-GB"/>
        </w:rPr>
        <w:t xml:space="preserve"> </w:t>
      </w:r>
      <w:r w:rsidRPr="00CF0F1C">
        <w:rPr>
          <w:rStyle w:val="FootnoteReference"/>
          <w:lang w:val="en-GB"/>
        </w:rPr>
        <w:footnoteReference w:id="90"/>
      </w:r>
      <w:r w:rsidRPr="00CF0F1C">
        <w:rPr>
          <w:rStyle w:val="FootnoteReference"/>
          <w:rFonts w:cs="Times New Roman"/>
          <w:lang w:val="en-GB"/>
        </w:rPr>
        <w:t xml:space="preserve"> </w:t>
      </w:r>
      <w:r w:rsidRPr="00CF0F1C">
        <w:rPr>
          <w:rStyle w:val="FootnoteReference"/>
          <w:lang w:val="en-GB"/>
        </w:rPr>
        <w:footnoteReference w:id="91"/>
      </w:r>
      <w:r w:rsidRPr="00CF0F1C">
        <w:rPr>
          <w:position w:val="6"/>
          <w:lang w:val="en-GB"/>
        </w:rPr>
        <w:t xml:space="preserve"> </w:t>
      </w:r>
    </w:p>
    <w:p w14:paraId="055499C0" w14:textId="77777777" w:rsidR="00B54065" w:rsidRPr="00CF0F1C" w:rsidRDefault="00B54065" w:rsidP="00B54065">
      <w:pPr>
        <w:pStyle w:val="absatzschattenbericht"/>
        <w:spacing w:after="73"/>
        <w:rPr>
          <w:lang w:val="en-GB"/>
        </w:rPr>
      </w:pPr>
      <w:r w:rsidRPr="00CF0F1C">
        <w:rPr>
          <w:lang w:val="en-GB" w:eastAsia="hi-IN"/>
        </w:rPr>
        <w:t xml:space="preserve">Both in “developed” and “developing” countries, </w:t>
      </w:r>
      <w:r w:rsidRPr="00CF0F1C">
        <w:rPr>
          <w:b/>
          <w:lang w:val="en-GB" w:eastAsia="hi-IN"/>
        </w:rPr>
        <w:t xml:space="preserve">harmful </w:t>
      </w:r>
      <w:proofErr w:type="gramStart"/>
      <w:r w:rsidRPr="00CF0F1C">
        <w:rPr>
          <w:b/>
          <w:lang w:val="en-GB" w:eastAsia="hi-IN"/>
        </w:rPr>
        <w:t>stereotypes</w:t>
      </w:r>
      <w:proofErr w:type="gramEnd"/>
      <w:r w:rsidRPr="00CF0F1C">
        <w:rPr>
          <w:b/>
          <w:lang w:val="en-GB" w:eastAsia="hi-IN"/>
        </w:rPr>
        <w:t xml:space="preserve"> and prejudice</w:t>
      </w:r>
      <w:r w:rsidRPr="00CF0F1C">
        <w:rPr>
          <w:lang w:val="en-GB" w:eastAsia="hi-IN"/>
        </w:rPr>
        <w:t xml:space="preserve"> framing intersex as </w:t>
      </w:r>
      <w:r w:rsidRPr="00CF0F1C">
        <w:rPr>
          <w:b/>
          <w:bCs/>
          <w:lang w:val="en-GB" w:eastAsia="hi-IN"/>
        </w:rPr>
        <w:t>“inferior”, “deformed”, “disordered”, “degenerated” or a “bad omen”</w:t>
      </w:r>
      <w:r w:rsidRPr="00CF0F1C">
        <w:rPr>
          <w:lang w:val="en-GB" w:eastAsia="hi-IN"/>
        </w:rPr>
        <w:t xml:space="preserve"> remain widespread, and to this day inform the current harmful </w:t>
      </w:r>
      <w:r w:rsidRPr="00CF0F1C">
        <w:rPr>
          <w:b/>
          <w:lang w:val="en-GB" w:eastAsia="hi-IN"/>
        </w:rPr>
        <w:t>western medical practice</w:t>
      </w:r>
      <w:r w:rsidRPr="00CF0F1C">
        <w:rPr>
          <w:lang w:val="en-GB" w:eastAsia="hi-IN"/>
        </w:rPr>
        <w:t xml:space="preserve">, as well as other practices including </w:t>
      </w:r>
      <w:r w:rsidRPr="00CF0F1C">
        <w:rPr>
          <w:b/>
          <w:lang w:val="en-GB" w:eastAsia="hi-IN"/>
        </w:rPr>
        <w:t>infanticide</w:t>
      </w:r>
      <w:r w:rsidRPr="00CF0F1C">
        <w:rPr>
          <w:lang w:val="en-GB" w:eastAsia="hi-IN"/>
        </w:rPr>
        <w:t xml:space="preserve"> and </w:t>
      </w:r>
      <w:r w:rsidRPr="00CF0F1C">
        <w:rPr>
          <w:b/>
          <w:lang w:val="en-GB" w:eastAsia="hi-IN"/>
        </w:rPr>
        <w:t>child abandonment</w:t>
      </w:r>
      <w:r w:rsidRPr="00CF0F1C">
        <w:rPr>
          <w:lang w:val="en-GB" w:eastAsia="hi-IN"/>
        </w:rPr>
        <w:t>.</w:t>
      </w:r>
    </w:p>
    <w:p w14:paraId="199B211C" w14:textId="77777777" w:rsidR="00B54065" w:rsidRPr="00CF0F1C" w:rsidRDefault="00B54065" w:rsidP="00B54065">
      <w:pPr>
        <w:pStyle w:val="absatzschattenbericht"/>
        <w:spacing w:after="73"/>
        <w:rPr>
          <w:lang w:val="en-GB"/>
        </w:rPr>
      </w:pPr>
      <w:r w:rsidRPr="00CF0F1C">
        <w:rPr>
          <w:b/>
          <w:bCs/>
          <w:lang w:val="en-GB"/>
        </w:rPr>
        <w:t>Typical forms of medical IGM</w:t>
      </w:r>
      <w:r w:rsidRPr="00CF0F1C">
        <w:rPr>
          <w:lang w:val="en-GB"/>
        </w:rPr>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6F51F826" w14:textId="77777777" w:rsidR="00B54065" w:rsidRPr="00CF0F1C" w:rsidRDefault="00B54065" w:rsidP="00B54065">
      <w:pPr>
        <w:pStyle w:val="absatzschattenbericht"/>
        <w:spacing w:after="73"/>
        <w:rPr>
          <w:b/>
          <w:bCs/>
          <w:lang w:val="en-GB"/>
        </w:rPr>
      </w:pPr>
      <w:r w:rsidRPr="00CF0F1C">
        <w:rPr>
          <w:lang w:val="en-GB"/>
        </w:rPr>
        <w:t xml:space="preserve">Medical IGM practices are known to cause </w:t>
      </w:r>
      <w:r w:rsidRPr="00CF0F1C">
        <w:rPr>
          <w:b/>
          <w:bCs/>
          <w:lang w:val="en-GB"/>
        </w:rPr>
        <w:t>lifelong severe physical and mental pain and suffering</w:t>
      </w:r>
      <w:r w:rsidRPr="00CF0F1C">
        <w:rPr>
          <w:lang w:val="en-GB"/>
        </w:rPr>
        <w:t>,</w:t>
      </w:r>
      <w:r w:rsidRPr="00CF0F1C">
        <w:rPr>
          <w:vertAlign w:val="superscript"/>
          <w:lang w:val="en-GB"/>
        </w:rPr>
        <w:footnoteReference w:id="92"/>
      </w:r>
      <w:r w:rsidRPr="00CF0F1C">
        <w:rPr>
          <w:lang w:val="en-GB"/>
        </w:rPr>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36A9C6DC" w14:textId="325BEC41" w:rsidR="00B54065" w:rsidRPr="00CF0F1C" w:rsidRDefault="00B54065" w:rsidP="00B54065">
      <w:pPr>
        <w:pStyle w:val="absatzschattenbericht"/>
        <w:rPr>
          <w:rFonts w:cs="Times New Roman"/>
          <w:lang w:val="en-GB"/>
        </w:rPr>
      </w:pPr>
      <w:r w:rsidRPr="00CF0F1C">
        <w:rPr>
          <w:rFonts w:cs="Times New Roman"/>
          <w:b/>
          <w:lang w:val="en-GB"/>
        </w:rPr>
        <w:t>UN Treaty bodies and other human rights experts have consistently recognised IGM practices as a serious violation of non-</w:t>
      </w:r>
      <w:proofErr w:type="spellStart"/>
      <w:r w:rsidRPr="00CF0F1C">
        <w:rPr>
          <w:rFonts w:cs="Times New Roman"/>
          <w:b/>
          <w:lang w:val="en-GB"/>
        </w:rPr>
        <w:t>derogable</w:t>
      </w:r>
      <w:proofErr w:type="spellEnd"/>
      <w:r w:rsidRPr="00CF0F1C">
        <w:rPr>
          <w:rFonts w:cs="Times New Roman"/>
          <w:b/>
          <w:lang w:val="en-GB"/>
        </w:rPr>
        <w:t xml:space="preserve"> human rights.</w:t>
      </w:r>
      <w:r w:rsidRPr="00CF0F1C">
        <w:rPr>
          <w:rStyle w:val="FootnoteReference"/>
          <w:rFonts w:cs="Times New Roman"/>
          <w:lang w:val="en-GB"/>
        </w:rPr>
        <w:footnoteReference w:id="93"/>
      </w:r>
      <w:r w:rsidRPr="00CF0F1C">
        <w:rPr>
          <w:rFonts w:cs="Times New Roman"/>
          <w:b/>
          <w:lang w:val="en-GB"/>
        </w:rPr>
        <w:t xml:space="preserve"> UN Treaty bodies have so far issued </w:t>
      </w:r>
      <w:r w:rsidR="002015F7">
        <w:rPr>
          <w:rFonts w:cs="Times New Roman"/>
          <w:b/>
          <w:lang w:val="en-GB"/>
        </w:rPr>
        <w:t>90</w:t>
      </w:r>
      <w:r w:rsidRPr="00CF0F1C">
        <w:rPr>
          <w:rFonts w:cs="Times New Roman"/>
          <w:b/>
          <w:lang w:val="en-GB"/>
        </w:rPr>
        <w:t> Concluding Observations condemning IGM practices accordingly.</w:t>
      </w:r>
      <w:r w:rsidRPr="00CF0F1C">
        <w:rPr>
          <w:rStyle w:val="FootnoteReference"/>
          <w:rFonts w:cs="Times New Roman"/>
          <w:lang w:val="en-GB"/>
        </w:rPr>
        <w:footnoteReference w:id="94"/>
      </w:r>
      <w:r w:rsidRPr="00CF0F1C">
        <w:rPr>
          <w:b/>
          <w:i/>
          <w:lang w:val="en-GB"/>
        </w:rPr>
        <w:br w:type="page"/>
      </w:r>
    </w:p>
    <w:p w14:paraId="2A3EC5E8" w14:textId="77777777" w:rsidR="00B54065" w:rsidRPr="00CF0F1C" w:rsidRDefault="00B54065" w:rsidP="00B54065">
      <w:pPr>
        <w:pStyle w:val="Title2"/>
        <w:rPr>
          <w:color w:val="800000"/>
        </w:rPr>
      </w:pPr>
      <w:bookmarkStart w:id="116" w:name="_Toc526178751"/>
      <w:bookmarkStart w:id="117" w:name="_Toc19465707"/>
      <w:bookmarkStart w:id="118" w:name="_Toc31570303"/>
      <w:bookmarkStart w:id="119" w:name="_Toc34004116"/>
      <w:bookmarkStart w:id="120" w:name="_Toc48428239"/>
      <w:bookmarkStart w:id="121" w:name="_Toc48509366"/>
      <w:bookmarkStart w:id="122" w:name="_Toc132491481"/>
      <w:bookmarkStart w:id="123" w:name="_Toc161663961"/>
      <w:r w:rsidRPr="00CF0F1C">
        <w:lastRenderedPageBreak/>
        <w:t xml:space="preserve">3.  Intersex is NOT THE SAME as LGBT or </w:t>
      </w:r>
      <w:bookmarkEnd w:id="104"/>
      <w:bookmarkEnd w:id="105"/>
      <w:bookmarkEnd w:id="116"/>
      <w:r w:rsidRPr="00CF0F1C">
        <w:t>Transgender</w:t>
      </w:r>
      <w:bookmarkEnd w:id="117"/>
      <w:bookmarkEnd w:id="118"/>
      <w:bookmarkEnd w:id="119"/>
      <w:bookmarkEnd w:id="120"/>
      <w:bookmarkEnd w:id="121"/>
      <w:bookmarkEnd w:id="122"/>
      <w:bookmarkEnd w:id="123"/>
    </w:p>
    <w:p w14:paraId="453B22E8" w14:textId="77777777" w:rsidR="00B54065" w:rsidRPr="00CF0F1C" w:rsidRDefault="00B54065" w:rsidP="00B54065">
      <w:pPr>
        <w:pStyle w:val="absatzschattenbericht"/>
        <w:spacing w:after="80"/>
        <w:rPr>
          <w:rFonts w:eastAsia="Times New Roman" w:cs="Times New Roman"/>
          <w:lang w:val="en-GB" w:eastAsia="hi-IN"/>
        </w:rPr>
      </w:pPr>
      <w:r w:rsidRPr="00CF0F1C">
        <w:rPr>
          <w:rFonts w:eastAsia="Times New Roman" w:cs="Times New Roman"/>
          <w:lang w:val="en-GB" w:eastAsia="hi-IN"/>
        </w:rPr>
        <w:t xml:space="preserve">Unfortunately, there are also other, often interrelated </w:t>
      </w:r>
      <w:r w:rsidRPr="00CF0F1C">
        <w:rPr>
          <w:rFonts w:eastAsia="Times New Roman" w:cs="Times New Roman"/>
          <w:b/>
          <w:lang w:val="en-GB" w:eastAsia="hi-IN"/>
        </w:rPr>
        <w:t>harmful misconceptions and stereotypes about intersex</w:t>
      </w:r>
      <w:r w:rsidRPr="00CF0F1C">
        <w:rPr>
          <w:rFonts w:eastAsia="Times New Roman" w:cs="Times New Roman"/>
          <w:lang w:val="en-GB" w:eastAsia="hi-IN"/>
        </w:rPr>
        <w:t xml:space="preserve"> still prevailing in public, notably if intersex is counterfactually described as being the same as or a subset of LGBT or SOGI, e.g. if intersex is misrepresented as a sexual orientation (like gay or lesbian), and/or as a gender identity, as a subset of transgender, as the same as transsexuality, or as a form of sexual orientation.</w:t>
      </w:r>
    </w:p>
    <w:p w14:paraId="08B6FF04" w14:textId="77777777" w:rsidR="00B54065" w:rsidRPr="00CF0F1C" w:rsidRDefault="00B54065" w:rsidP="00B54065">
      <w:pPr>
        <w:pStyle w:val="absatzschattenbericht"/>
        <w:spacing w:after="80"/>
        <w:rPr>
          <w:rFonts w:eastAsia="Times New Roman" w:cs="Times New Roman"/>
          <w:lang w:val="en-GB" w:eastAsia="hi-IN"/>
        </w:rPr>
      </w:pPr>
      <w:r w:rsidRPr="00CF0F1C">
        <w:rPr>
          <w:rFonts w:eastAsia="Times New Roman" w:cs="Times New Roman"/>
          <w:lang w:val="en-GB" w:eastAsia="hi-IN"/>
        </w:rPr>
        <w:t xml:space="preserve">The underlying reasons for such harmful misrepresentations include </w:t>
      </w:r>
      <w:r w:rsidRPr="00CF0F1C">
        <w:rPr>
          <w:rFonts w:eastAsia="Times New Roman" w:cs="Times New Roman"/>
          <w:b/>
          <w:lang w:val="en-GB" w:eastAsia="hi-IN"/>
        </w:rPr>
        <w:t>lack of awareness</w:t>
      </w:r>
      <w:r w:rsidRPr="00CF0F1C">
        <w:rPr>
          <w:rFonts w:eastAsia="Times New Roman" w:cs="Times New Roman"/>
          <w:lang w:val="en-GB" w:eastAsia="hi-IN"/>
        </w:rPr>
        <w:t xml:space="preserve">, third party groups </w:t>
      </w:r>
      <w:r w:rsidRPr="00CF0F1C">
        <w:rPr>
          <w:rFonts w:eastAsia="Times New Roman" w:cs="Times New Roman"/>
          <w:b/>
          <w:lang w:val="en-GB" w:eastAsia="hi-IN"/>
        </w:rPr>
        <w:t xml:space="preserve">instrumentalising intersex </w:t>
      </w:r>
      <w:proofErr w:type="gramStart"/>
      <w:r w:rsidRPr="00CF0F1C">
        <w:rPr>
          <w:rFonts w:eastAsia="Times New Roman" w:cs="Times New Roman"/>
          <w:b/>
          <w:lang w:val="en-GB" w:eastAsia="hi-IN"/>
        </w:rPr>
        <w:t>as a means to</w:t>
      </w:r>
      <w:proofErr w:type="gramEnd"/>
      <w:r w:rsidRPr="00CF0F1C">
        <w:rPr>
          <w:rFonts w:eastAsia="Times New Roman" w:cs="Times New Roman"/>
          <w:b/>
          <w:lang w:val="en-GB" w:eastAsia="hi-IN"/>
        </w:rPr>
        <w:t xml:space="preserve"> an end</w:t>
      </w:r>
      <w:r w:rsidRPr="00CF0F1C">
        <w:rPr>
          <w:rStyle w:val="FootnoteReference"/>
          <w:rFonts w:eastAsia="Times New Roman" w:cs="Times New Roman"/>
          <w:lang w:val="en-GB" w:eastAsia="hi-IN"/>
        </w:rPr>
        <w:footnoteReference w:id="95"/>
      </w:r>
      <w:r w:rsidRPr="00CF0F1C">
        <w:rPr>
          <w:rFonts w:eastAsia="Times New Roman" w:cs="Times New Roman"/>
          <w:lang w:val="en-GB" w:eastAsia="hi-IN"/>
        </w:rPr>
        <w:t xml:space="preserve"> </w:t>
      </w:r>
      <w:r w:rsidRPr="00CF0F1C">
        <w:rPr>
          <w:rStyle w:val="FootnoteReference"/>
          <w:rFonts w:eastAsia="Times New Roman" w:cs="Times New Roman"/>
          <w:lang w:val="en-GB" w:eastAsia="hi-IN"/>
        </w:rPr>
        <w:footnoteReference w:id="96"/>
      </w:r>
      <w:r w:rsidRPr="00CF0F1C">
        <w:rPr>
          <w:rFonts w:eastAsia="Times New Roman" w:cs="Times New Roman"/>
          <w:lang w:val="en-GB" w:eastAsia="hi-IN"/>
        </w:rPr>
        <w:t xml:space="preserve"> for their own agenda, and State parties </w:t>
      </w:r>
      <w:r w:rsidRPr="00CF0F1C">
        <w:rPr>
          <w:rFonts w:eastAsia="Times New Roman" w:cs="Times New Roman"/>
          <w:b/>
          <w:lang w:val="en-GB" w:eastAsia="hi-IN"/>
        </w:rPr>
        <w:t>trying to deflect</w:t>
      </w:r>
      <w:r w:rsidRPr="00CF0F1C">
        <w:rPr>
          <w:rFonts w:eastAsia="Times New Roman" w:cs="Times New Roman"/>
          <w:lang w:val="en-GB" w:eastAsia="hi-IN"/>
        </w:rPr>
        <w:t xml:space="preserve"> from criticism of involuntary intersex treatments.</w:t>
      </w:r>
    </w:p>
    <w:p w14:paraId="6F620308" w14:textId="77777777" w:rsidR="00B54065" w:rsidRPr="00CF0F1C" w:rsidRDefault="00B54065" w:rsidP="00B54065">
      <w:pPr>
        <w:pStyle w:val="absatzschattenbericht"/>
        <w:spacing w:after="80"/>
        <w:rPr>
          <w:rFonts w:eastAsia="Times New Roman" w:cs="Times New Roman"/>
          <w:b/>
          <w:lang w:val="en-GB" w:eastAsia="hi-IN"/>
        </w:rPr>
      </w:pPr>
      <w:r w:rsidRPr="00CF0F1C">
        <w:rPr>
          <w:rFonts w:eastAsia="Times New Roman" w:cs="Times New Roman"/>
          <w:b/>
          <w:lang w:val="en-GB" w:eastAsia="hi-IN"/>
        </w:rPr>
        <w:t>Intersex persons and their organisations have spoken out clearly against instrumentalising or misrepresenting intersex issues,</w:t>
      </w:r>
      <w:r w:rsidRPr="00CF0F1C">
        <w:rPr>
          <w:rStyle w:val="FootnoteReference"/>
          <w:rFonts w:cs="Times New Roman"/>
          <w:lang w:val="en-GB"/>
        </w:rPr>
        <w:footnoteReference w:id="97"/>
      </w:r>
      <w:r w:rsidRPr="00CF0F1C">
        <w:rPr>
          <w:rFonts w:eastAsia="Times New Roman" w:cs="Times New Roman"/>
          <w:lang w:val="en-GB" w:eastAsia="hi-IN"/>
        </w:rPr>
        <w:t xml:space="preserve"> maintaining that IGM practices present a </w:t>
      </w:r>
      <w:r w:rsidRPr="00CF0F1C">
        <w:rPr>
          <w:rFonts w:eastAsia="Times New Roman" w:cs="Times New Roman"/>
          <w:b/>
          <w:lang w:val="en-GB" w:eastAsia="hi-IN"/>
        </w:rPr>
        <w:t>distinct and unique issue</w:t>
      </w:r>
      <w:r w:rsidRPr="00CF0F1C">
        <w:rPr>
          <w:rFonts w:eastAsia="Times New Roman" w:cs="Times New Roman"/>
          <w:lang w:val="en-GB" w:eastAsia="hi-IN"/>
        </w:rPr>
        <w:t xml:space="preserve"> constituting significant human rights violations, which are different from those faced by the LGBT community, and thus need to be </w:t>
      </w:r>
      <w:r w:rsidRPr="00CF0F1C">
        <w:rPr>
          <w:rFonts w:eastAsia="Times New Roman" w:cs="Times New Roman"/>
          <w:b/>
          <w:lang w:val="en-GB" w:eastAsia="hi-IN"/>
        </w:rPr>
        <w:t>adequately addressed in a separate section</w:t>
      </w:r>
      <w:r w:rsidRPr="00CF0F1C">
        <w:rPr>
          <w:rFonts w:eastAsia="Times New Roman" w:cs="Times New Roman"/>
          <w:lang w:val="en-GB" w:eastAsia="hi-IN"/>
        </w:rPr>
        <w:t xml:space="preserve"> as </w:t>
      </w:r>
      <w:r w:rsidRPr="00CF0F1C">
        <w:rPr>
          <w:rFonts w:eastAsia="Times New Roman" w:cs="Times New Roman"/>
          <w:b/>
          <w:lang w:val="en-GB" w:eastAsia="hi-IN"/>
        </w:rPr>
        <w:t xml:space="preserve">specific intersex </w:t>
      </w:r>
      <w:proofErr w:type="gramStart"/>
      <w:r w:rsidRPr="00CF0F1C">
        <w:rPr>
          <w:rFonts w:eastAsia="Times New Roman" w:cs="Times New Roman"/>
          <w:b/>
          <w:lang w:val="en-GB" w:eastAsia="hi-IN"/>
        </w:rPr>
        <w:t>issues</w:t>
      </w:r>
      <w:proofErr w:type="gramEnd"/>
      <w:r w:rsidRPr="00CF0F1C">
        <w:rPr>
          <w:rFonts w:eastAsia="Times New Roman" w:cs="Times New Roman"/>
          <w:b/>
          <w:lang w:val="en-GB" w:eastAsia="hi-IN"/>
        </w:rPr>
        <w:t xml:space="preserve">. </w:t>
      </w:r>
    </w:p>
    <w:p w14:paraId="1E1B4E28" w14:textId="77777777" w:rsidR="00B54065" w:rsidRPr="00CF0F1C" w:rsidRDefault="00B54065" w:rsidP="00B54065">
      <w:pPr>
        <w:pStyle w:val="absatzschattenbericht"/>
        <w:spacing w:after="80"/>
        <w:rPr>
          <w:rFonts w:eastAsia="Times New Roman" w:cs="Times New Roman"/>
          <w:lang w:val="en-GB" w:eastAsia="hi-IN"/>
        </w:rPr>
      </w:pPr>
      <w:r w:rsidRPr="00CF0F1C">
        <w:rPr>
          <w:rFonts w:eastAsia="Times New Roman" w:cs="Times New Roman"/>
          <w:lang w:val="en-GB" w:eastAsia="hi-IN"/>
        </w:rPr>
        <w:t xml:space="preserve">Also, </w:t>
      </w:r>
      <w:r w:rsidRPr="00CF0F1C">
        <w:rPr>
          <w:rFonts w:eastAsia="Times New Roman" w:cs="Times New Roman"/>
          <w:b/>
          <w:lang w:val="en-GB" w:eastAsia="hi-IN"/>
        </w:rPr>
        <w:t>human rights experts</w:t>
      </w:r>
      <w:r w:rsidRPr="00CF0F1C">
        <w:rPr>
          <w:rFonts w:eastAsia="Times New Roman" w:cs="Times New Roman"/>
          <w:lang w:val="en-GB" w:eastAsia="hi-IN"/>
        </w:rPr>
        <w:t xml:space="preserve"> are increasingly warning of the </w:t>
      </w:r>
      <w:r w:rsidRPr="00CF0F1C">
        <w:rPr>
          <w:rFonts w:eastAsia="Times New Roman" w:cs="Times New Roman"/>
          <w:b/>
          <w:lang w:val="en-GB" w:eastAsia="hi-IN"/>
        </w:rPr>
        <w:t>harmful conflation</w:t>
      </w:r>
      <w:r w:rsidRPr="00CF0F1C">
        <w:rPr>
          <w:rFonts w:eastAsia="Times New Roman" w:cs="Times New Roman"/>
          <w:lang w:val="en-GB" w:eastAsia="hi-IN"/>
        </w:rPr>
        <w:t xml:space="preserve"> of intersex and LGBT.</w:t>
      </w:r>
      <w:r w:rsidRPr="00CF0F1C">
        <w:rPr>
          <w:rStyle w:val="FootnoteReference"/>
          <w:rFonts w:eastAsia="Times New Roman" w:cs="Times New Roman"/>
          <w:lang w:val="en-GB" w:eastAsia="hi-IN"/>
        </w:rPr>
        <w:footnoteReference w:id="98"/>
      </w:r>
      <w:r w:rsidRPr="00CF0F1C">
        <w:rPr>
          <w:rFonts w:cs="Times New Roman"/>
          <w:lang w:val="en-GB"/>
        </w:rPr>
        <w:t xml:space="preserve"> </w:t>
      </w:r>
      <w:r w:rsidRPr="00CF0F1C">
        <w:rPr>
          <w:rStyle w:val="FootnoteReference"/>
          <w:rFonts w:cs="Times New Roman"/>
          <w:lang w:val="en-GB"/>
        </w:rPr>
        <w:footnoteReference w:id="99"/>
      </w:r>
    </w:p>
    <w:p w14:paraId="18921EF0" w14:textId="77777777" w:rsidR="00B54065" w:rsidRPr="00CF0F1C" w:rsidRDefault="00B54065" w:rsidP="00B54065">
      <w:pPr>
        <w:pStyle w:val="absatzschattenbericht"/>
        <w:spacing w:after="111"/>
        <w:rPr>
          <w:rFonts w:eastAsia="Times New Roman"/>
          <w:lang w:val="en-GB" w:eastAsia="hi-IN"/>
        </w:rPr>
      </w:pPr>
      <w:r w:rsidRPr="00CF0F1C">
        <w:rPr>
          <w:rFonts w:eastAsia="Times New Roman"/>
          <w:lang w:val="en-GB" w:eastAsia="hi-IN"/>
        </w:rPr>
        <w:t xml:space="preserve">Regrettably, </w:t>
      </w:r>
      <w:r w:rsidRPr="00CF0F1C">
        <w:rPr>
          <w:rFonts w:eastAsia="Times New Roman"/>
          <w:b/>
          <w:bCs/>
          <w:lang w:val="en-GB" w:eastAsia="hi-IN"/>
        </w:rPr>
        <w:t>these harmful misrepresentations seem to be on the rise also at the UN</w:t>
      </w:r>
      <w:r w:rsidRPr="00CF0F1C">
        <w:rPr>
          <w:rFonts w:eastAsia="Times New Roman"/>
          <w:lang w:val="en-GB" w:eastAsia="hi-IN"/>
        </w:rPr>
        <w:t xml:space="preserve">, for example in recent </w:t>
      </w:r>
      <w:r w:rsidRPr="00CF0F1C">
        <w:rPr>
          <w:rFonts w:eastAsia="Times New Roman"/>
          <w:b/>
          <w:bCs/>
          <w:lang w:val="en-GB" w:eastAsia="hi-IN"/>
        </w:rPr>
        <w:t>UN press releases</w:t>
      </w:r>
      <w:r w:rsidRPr="00CF0F1C">
        <w:rPr>
          <w:rFonts w:eastAsia="Times New Roman"/>
          <w:lang w:val="en-GB" w:eastAsia="hi-IN"/>
        </w:rPr>
        <w:t xml:space="preserve"> and </w:t>
      </w:r>
      <w:r w:rsidRPr="00CF0F1C">
        <w:rPr>
          <w:rFonts w:eastAsia="Times New Roman"/>
          <w:b/>
          <w:bCs/>
          <w:lang w:val="en-GB" w:eastAsia="hi-IN"/>
        </w:rPr>
        <w:t>Summary records</w:t>
      </w:r>
      <w:r w:rsidRPr="00CF0F1C">
        <w:rPr>
          <w:rFonts w:eastAsia="Times New Roman"/>
          <w:lang w:val="en-GB" w:eastAsia="hi-IN"/>
        </w:rPr>
        <w:t xml:space="preserve"> misrepresenting IGM as </w:t>
      </w:r>
      <w:r w:rsidRPr="00CF0F1C">
        <w:rPr>
          <w:rFonts w:eastAsia="Times New Roman"/>
          <w:i/>
          <w:iCs/>
          <w:lang w:val="en-GB" w:eastAsia="hi-IN"/>
        </w:rPr>
        <w:t>“sex alignment surgeries”</w:t>
      </w:r>
      <w:r w:rsidRPr="00CF0F1C">
        <w:rPr>
          <w:rFonts w:eastAsia="Times New Roman"/>
          <w:lang w:val="en-GB" w:eastAsia="hi-IN"/>
        </w:rPr>
        <w:t xml:space="preserve"> (i.e. voluntary procedures on transsexual or transgender persons), IGM survivors as </w:t>
      </w:r>
      <w:r w:rsidRPr="00CF0F1C">
        <w:rPr>
          <w:rFonts w:eastAsia="Times New Roman"/>
          <w:i/>
          <w:iCs/>
          <w:lang w:val="en-GB" w:eastAsia="hi-IN"/>
        </w:rPr>
        <w:t>“transsexual children”</w:t>
      </w:r>
      <w:r w:rsidRPr="00CF0F1C">
        <w:rPr>
          <w:rFonts w:eastAsia="Times New Roman"/>
          <w:lang w:val="en-GB" w:eastAsia="hi-IN"/>
        </w:rPr>
        <w:t xml:space="preserve">, and intersex NGOs as </w:t>
      </w:r>
      <w:r w:rsidRPr="00CF0F1C">
        <w:rPr>
          <w:rFonts w:eastAsia="Times New Roman"/>
          <w:i/>
          <w:iCs/>
          <w:lang w:val="en-GB" w:eastAsia="hi-IN"/>
        </w:rPr>
        <w:t>“a group of lesbians, gays, bisexuals, transgender and intersex victims of discrimination”</w:t>
      </w:r>
      <w:r w:rsidRPr="00CF0F1C">
        <w:rPr>
          <w:rFonts w:eastAsia="Times New Roman"/>
          <w:lang w:val="en-GB" w:eastAsia="hi-IN"/>
        </w:rPr>
        <w:t>,</w:t>
      </w:r>
      <w:r w:rsidRPr="00CF0F1C">
        <w:rPr>
          <w:rStyle w:val="FootnoteReference"/>
          <w:rFonts w:eastAsia="Times New Roman"/>
          <w:lang w:val="en-GB" w:eastAsia="hi-IN"/>
        </w:rPr>
        <w:footnoteReference w:id="100"/>
      </w:r>
      <w:r w:rsidRPr="00CF0F1C">
        <w:rPr>
          <w:rFonts w:eastAsia="Times New Roman"/>
          <w:lang w:val="en-GB" w:eastAsia="hi-IN"/>
        </w:rPr>
        <w:t xml:space="preserve"> and again IGM survivors as </w:t>
      </w:r>
      <w:r w:rsidRPr="00CF0F1C">
        <w:rPr>
          <w:rFonts w:eastAsia="Times New Roman"/>
          <w:i/>
          <w:lang w:val="en-GB" w:eastAsia="hi-IN"/>
        </w:rPr>
        <w:t>“transgender children”</w:t>
      </w:r>
      <w:r w:rsidRPr="00CF0F1C">
        <w:rPr>
          <w:rFonts w:eastAsia="Times New Roman"/>
          <w:lang w:val="en-GB" w:eastAsia="hi-IN"/>
        </w:rPr>
        <w:t>,</w:t>
      </w:r>
      <w:r w:rsidRPr="00CF0F1C">
        <w:rPr>
          <w:rStyle w:val="FootnoteReference"/>
          <w:rFonts w:eastAsia="Times New Roman"/>
          <w:lang w:val="en-GB" w:eastAsia="hi-IN"/>
        </w:rPr>
        <w:footnoteReference w:id="101"/>
      </w:r>
      <w:r w:rsidRPr="00CF0F1C">
        <w:rPr>
          <w:rFonts w:eastAsia="Times New Roman"/>
          <w:lang w:val="en-GB" w:eastAsia="hi-IN"/>
        </w:rPr>
        <w:t xml:space="preserve"> </w:t>
      </w:r>
      <w:r w:rsidRPr="00CF0F1C">
        <w:rPr>
          <w:rFonts w:eastAsia="Times New Roman"/>
          <w:i/>
          <w:iCs/>
          <w:lang w:val="en-GB" w:eastAsia="hi-IN"/>
        </w:rPr>
        <w:t>“transsexual children who underwent difficult treatments and surgeries”</w:t>
      </w:r>
      <w:r w:rsidRPr="00CF0F1C">
        <w:rPr>
          <w:rFonts w:eastAsia="Times New Roman"/>
          <w:lang w:val="en-GB" w:eastAsia="hi-IN"/>
        </w:rPr>
        <w:t xml:space="preserve">, and IGM as a form of </w:t>
      </w:r>
      <w:r w:rsidRPr="00CF0F1C">
        <w:rPr>
          <w:rFonts w:eastAsia="Times New Roman"/>
          <w:i/>
          <w:iCs/>
          <w:lang w:val="en-GB" w:eastAsia="hi-IN"/>
        </w:rPr>
        <w:t>“discrimination against transgender and intersex children”</w:t>
      </w:r>
      <w:r w:rsidRPr="00CF0F1C">
        <w:rPr>
          <w:rFonts w:eastAsia="Times New Roman"/>
          <w:iCs/>
          <w:lang w:val="en-GB" w:eastAsia="hi-IN"/>
        </w:rPr>
        <w:t xml:space="preserve"> </w:t>
      </w:r>
      <w:r w:rsidRPr="00CF0F1C">
        <w:rPr>
          <w:rStyle w:val="FootnoteReference"/>
          <w:rFonts w:eastAsia="Times New Roman"/>
          <w:lang w:val="en-GB" w:eastAsia="hi-IN"/>
        </w:rPr>
        <w:footnoteReference w:id="102"/>
      </w:r>
      <w:r w:rsidRPr="00CF0F1C">
        <w:rPr>
          <w:rFonts w:eastAsia="Times New Roman"/>
          <w:iCs/>
          <w:lang w:val="en-GB" w:eastAsia="hi-IN"/>
        </w:rPr>
        <w:t xml:space="preserve"> and as </w:t>
      </w:r>
      <w:r w:rsidRPr="00CF0F1C">
        <w:rPr>
          <w:rFonts w:eastAsia="Times New Roman"/>
          <w:i/>
          <w:iCs/>
          <w:lang w:val="en-GB" w:eastAsia="hi-IN"/>
        </w:rPr>
        <w:t>“sex assignment surgery”</w:t>
      </w:r>
      <w:r w:rsidRPr="00CF0F1C">
        <w:rPr>
          <w:rFonts w:eastAsia="Times New Roman"/>
          <w:iCs/>
          <w:lang w:val="en-GB" w:eastAsia="hi-IN"/>
        </w:rPr>
        <w:t xml:space="preserve"> while referring to </w:t>
      </w:r>
      <w:r w:rsidRPr="00CF0F1C">
        <w:rPr>
          <w:rFonts w:eastAsia="Times New Roman"/>
          <w:i/>
          <w:iCs/>
          <w:lang w:val="en-GB" w:eastAsia="hi-IN"/>
        </w:rPr>
        <w:t>“access to gender reassignment-related treatments”</w:t>
      </w:r>
      <w:r w:rsidRPr="00CF0F1C">
        <w:rPr>
          <w:rFonts w:eastAsia="Times New Roman"/>
          <w:iCs/>
          <w:lang w:val="en-GB" w:eastAsia="hi-IN"/>
        </w:rPr>
        <w:t>.</w:t>
      </w:r>
      <w:r w:rsidRPr="00CF0F1C">
        <w:rPr>
          <w:rStyle w:val="FootnoteReference"/>
          <w:rFonts w:eastAsia="Times New Roman"/>
          <w:iCs/>
          <w:lang w:val="en-GB" w:eastAsia="hi-IN"/>
        </w:rPr>
        <w:footnoteReference w:id="103"/>
      </w:r>
    </w:p>
    <w:p w14:paraId="38B99ED3" w14:textId="77777777" w:rsidR="00B54065" w:rsidRPr="00CF0F1C" w:rsidRDefault="00B54065" w:rsidP="00B54065">
      <w:pPr>
        <w:pStyle w:val="absatzschattenbericht"/>
        <w:spacing w:after="111"/>
        <w:rPr>
          <w:rFonts w:eastAsia="Times New Roman"/>
          <w:lang w:val="en-GB" w:eastAsia="hi-IN"/>
        </w:rPr>
      </w:pPr>
      <w:r w:rsidRPr="00CF0F1C">
        <w:rPr>
          <w:rFonts w:eastAsia="Times New Roman"/>
          <w:lang w:val="en-GB" w:eastAsia="hi-IN"/>
        </w:rPr>
        <w:t xml:space="preserve">Particularly </w:t>
      </w:r>
      <w:r w:rsidRPr="00CF0F1C">
        <w:rPr>
          <w:rFonts w:eastAsia="Times New Roman"/>
          <w:b/>
          <w:bCs/>
          <w:lang w:val="en-GB" w:eastAsia="hi-IN"/>
        </w:rPr>
        <w:t>State parties</w:t>
      </w:r>
      <w:r w:rsidRPr="00CF0F1C">
        <w:rPr>
          <w:rFonts w:eastAsia="Times New Roman"/>
          <w:lang w:val="en-GB" w:eastAsia="hi-IN"/>
        </w:rPr>
        <w:t xml:space="preserve"> are constantly </w:t>
      </w:r>
      <w:r w:rsidRPr="00CF0F1C">
        <w:rPr>
          <w:rFonts w:eastAsia="Times New Roman"/>
          <w:b/>
          <w:lang w:val="en-GB" w:eastAsia="hi-IN"/>
        </w:rPr>
        <w:t>misrepresenting intersex and IGM as sexual orientation or gender identity issues</w:t>
      </w:r>
      <w:r w:rsidRPr="00CF0F1C">
        <w:rPr>
          <w:rFonts w:eastAsia="Times New Roman"/>
          <w:lang w:val="en-GB" w:eastAsia="hi-IN"/>
        </w:rPr>
        <w:t xml:space="preserve"> </w:t>
      </w:r>
      <w:r w:rsidRPr="00CF0F1C">
        <w:rPr>
          <w:rFonts w:eastAsia="Times New Roman" w:cs="Times New Roman"/>
          <w:lang w:val="en-GB" w:eastAsia="hi-IN"/>
        </w:rPr>
        <w:t xml:space="preserve">in an attempt to </w:t>
      </w:r>
      <w:r w:rsidRPr="00CF0F1C">
        <w:rPr>
          <w:rFonts w:eastAsia="Times New Roman" w:cs="Times New Roman"/>
          <w:b/>
          <w:lang w:val="en-GB" w:eastAsia="hi-IN"/>
        </w:rPr>
        <w:t>deflect from criticism</w:t>
      </w:r>
      <w:r w:rsidRPr="00CF0F1C">
        <w:rPr>
          <w:rFonts w:eastAsia="Times New Roman" w:cs="Times New Roman"/>
          <w:lang w:val="en-GB" w:eastAsia="hi-IN"/>
        </w:rPr>
        <w:t xml:space="preserve"> of the serious human rights violations resulting from IGM practices, instead </w:t>
      </w:r>
      <w:r w:rsidRPr="00CF0F1C">
        <w:rPr>
          <w:rFonts w:eastAsia="Times New Roman"/>
          <w:lang w:val="en-GB" w:eastAsia="hi-IN"/>
        </w:rPr>
        <w:t xml:space="preserve">referring to e.g. </w:t>
      </w:r>
      <w:r w:rsidRPr="00CF0F1C">
        <w:rPr>
          <w:rFonts w:eastAsia="Times New Roman"/>
          <w:i/>
          <w:lang w:val="en-GB" w:eastAsia="hi-IN"/>
        </w:rPr>
        <w:t>“gender reassignment surgery”</w:t>
      </w:r>
      <w:r w:rsidRPr="00CF0F1C">
        <w:rPr>
          <w:rFonts w:eastAsia="Times New Roman"/>
          <w:lang w:val="en-GB" w:eastAsia="hi-IN"/>
        </w:rPr>
        <w:t xml:space="preserve"> (i.e. voluntary procedures on transsexual or transgender persons) and </w:t>
      </w:r>
      <w:r w:rsidRPr="00CF0F1C">
        <w:rPr>
          <w:rFonts w:eastAsia="Times New Roman"/>
          <w:i/>
          <w:lang w:val="en-GB" w:eastAsia="hi-IN"/>
        </w:rPr>
        <w:t>“gender assignment surgery for children”</w:t>
      </w:r>
      <w:r w:rsidRPr="00CF0F1C">
        <w:rPr>
          <w:rFonts w:eastAsia="Times New Roman"/>
          <w:lang w:val="en-GB" w:eastAsia="hi-IN"/>
        </w:rPr>
        <w:t>,</w:t>
      </w:r>
      <w:r w:rsidRPr="00CF0F1C">
        <w:rPr>
          <w:rStyle w:val="FootnoteReference"/>
          <w:rFonts w:eastAsia="Times New Roman"/>
          <w:lang w:val="en-GB" w:eastAsia="hi-IN"/>
        </w:rPr>
        <w:footnoteReference w:id="104"/>
      </w:r>
      <w:r w:rsidRPr="00CF0F1C">
        <w:rPr>
          <w:rFonts w:eastAsia="Times New Roman"/>
          <w:lang w:val="en-GB" w:eastAsia="hi-IN"/>
        </w:rPr>
        <w:t xml:space="preserve"> </w:t>
      </w:r>
      <w:r w:rsidRPr="00CF0F1C">
        <w:rPr>
          <w:rFonts w:eastAsia="Times New Roman"/>
          <w:i/>
          <w:lang w:val="en-GB" w:eastAsia="hi-IN"/>
        </w:rPr>
        <w:t xml:space="preserve">“a special provision on sexual orientation and </w:t>
      </w:r>
      <w:r w:rsidRPr="00CF0F1C">
        <w:rPr>
          <w:rFonts w:eastAsia="Times New Roman"/>
          <w:i/>
          <w:lang w:val="en-GB" w:eastAsia="hi-IN"/>
        </w:rPr>
        <w:lastRenderedPageBreak/>
        <w:t>gender identity”</w:t>
      </w:r>
      <w:r w:rsidRPr="00CF0F1C">
        <w:rPr>
          <w:rFonts w:eastAsia="Times New Roman"/>
          <w:lang w:val="en-GB" w:eastAsia="hi-IN"/>
        </w:rPr>
        <w:t xml:space="preserve">, </w:t>
      </w:r>
      <w:r w:rsidRPr="00CF0F1C">
        <w:rPr>
          <w:rFonts w:eastAsia="Times New Roman"/>
          <w:i/>
          <w:lang w:val="en-GB" w:eastAsia="hi-IN"/>
        </w:rPr>
        <w:t xml:space="preserve">“civil registry” </w:t>
      </w:r>
      <w:r w:rsidRPr="00CF0F1C">
        <w:rPr>
          <w:rFonts w:eastAsia="Times New Roman"/>
          <w:lang w:val="en-GB" w:eastAsia="hi-IN"/>
        </w:rPr>
        <w:t xml:space="preserve">and </w:t>
      </w:r>
      <w:r w:rsidRPr="00CF0F1C">
        <w:rPr>
          <w:rFonts w:eastAsia="Times New Roman"/>
          <w:i/>
          <w:lang w:val="en-GB" w:eastAsia="hi-IN"/>
        </w:rPr>
        <w:t>“sexual reassignment surgery”</w:t>
      </w:r>
      <w:r w:rsidRPr="00CF0F1C">
        <w:rPr>
          <w:rFonts w:eastAsia="Times New Roman"/>
          <w:lang w:val="en-GB" w:eastAsia="hi-IN"/>
        </w:rPr>
        <w:t xml:space="preserve"> </w:t>
      </w:r>
      <w:r w:rsidRPr="00CF0F1C">
        <w:rPr>
          <w:rStyle w:val="FootnoteReference"/>
          <w:rFonts w:eastAsia="Times New Roman"/>
          <w:lang w:val="en-GB" w:eastAsia="hi-IN"/>
        </w:rPr>
        <w:footnoteReference w:id="105"/>
      </w:r>
      <w:r w:rsidRPr="00CF0F1C">
        <w:rPr>
          <w:rFonts w:eastAsia="Times New Roman"/>
          <w:lang w:val="en-GB" w:eastAsia="hi-IN"/>
        </w:rPr>
        <w:t>, transgender guidelines</w:t>
      </w:r>
      <w:r w:rsidRPr="00CF0F1C">
        <w:rPr>
          <w:rStyle w:val="FootnoteReference"/>
          <w:rFonts w:eastAsia="Times New Roman"/>
          <w:lang w:val="en-GB" w:eastAsia="hi-IN"/>
        </w:rPr>
        <w:footnoteReference w:id="106"/>
      </w:r>
      <w:r w:rsidRPr="00CF0F1C">
        <w:rPr>
          <w:rFonts w:eastAsia="Times New Roman"/>
          <w:lang w:val="en-GB" w:eastAsia="hi-IN"/>
        </w:rPr>
        <w:t xml:space="preserve"> or </w:t>
      </w:r>
      <w:r w:rsidRPr="00CF0F1C">
        <w:rPr>
          <w:rFonts w:eastAsia="Times New Roman"/>
          <w:i/>
          <w:iCs/>
          <w:lang w:val="en-GB" w:eastAsia="hi-IN"/>
        </w:rPr>
        <w:t>“Gender Identity”</w:t>
      </w:r>
      <w:r w:rsidRPr="00CF0F1C">
        <w:rPr>
          <w:rFonts w:eastAsia="Times New Roman"/>
          <w:lang w:val="en-GB" w:eastAsia="hi-IN"/>
        </w:rPr>
        <w:t xml:space="preserve"> </w:t>
      </w:r>
      <w:r w:rsidRPr="00CF0F1C">
        <w:rPr>
          <w:rStyle w:val="FootnoteReference"/>
          <w:rFonts w:eastAsia="Times New Roman"/>
          <w:lang w:val="en-GB" w:eastAsia="hi-IN"/>
        </w:rPr>
        <w:footnoteReference w:id="107"/>
      </w:r>
      <w:r w:rsidRPr="00CF0F1C">
        <w:rPr>
          <w:rFonts w:eastAsia="Times New Roman"/>
          <w:lang w:val="en-GB" w:eastAsia="hi-IN"/>
        </w:rPr>
        <w:t xml:space="preserve"> </w:t>
      </w:r>
      <w:r w:rsidRPr="00CF0F1C">
        <w:rPr>
          <w:rStyle w:val="FootnoteReference"/>
          <w:rFonts w:eastAsia="Times New Roman"/>
          <w:lang w:val="en-GB" w:eastAsia="hi-IN"/>
        </w:rPr>
        <w:footnoteReference w:id="108"/>
      </w:r>
      <w:r w:rsidRPr="00CF0F1C">
        <w:rPr>
          <w:rFonts w:eastAsia="Times New Roman"/>
          <w:lang w:val="en-GB" w:eastAsia="hi-IN"/>
        </w:rPr>
        <w:t xml:space="preserve"> when asked about IGM by e.g. Treaty bodies.</w:t>
      </w:r>
    </w:p>
    <w:p w14:paraId="440EE2FD" w14:textId="7B68D816" w:rsidR="00B54065" w:rsidRPr="00CF0F1C" w:rsidRDefault="00B54065" w:rsidP="00B54065">
      <w:pPr>
        <w:pStyle w:val="absatzschattenbericht"/>
        <w:rPr>
          <w:lang w:val="en-GB" w:eastAsia="hi-IN"/>
        </w:rPr>
      </w:pPr>
      <w:r w:rsidRPr="00CF0F1C">
        <w:rPr>
          <w:lang w:val="en-GB" w:eastAsia="hi-IN"/>
        </w:rPr>
        <w:t xml:space="preserve">What’s more, </w:t>
      </w:r>
      <w:r w:rsidRPr="00CF0F1C">
        <w:rPr>
          <w:b/>
          <w:lang w:val="en-GB" w:eastAsia="hi-IN"/>
        </w:rPr>
        <w:t>LGBT organisations</w:t>
      </w:r>
      <w:r w:rsidRPr="00CF0F1C">
        <w:rPr>
          <w:lang w:val="en-GB" w:eastAsia="hi-IN"/>
        </w:rPr>
        <w:t xml:space="preserve"> (including “LGBTI” organisations without actual intersex representation or advocacy) are using the ubiquitous misrepresentation of intersex = LGBT to </w:t>
      </w:r>
      <w:r w:rsidRPr="00CF0F1C">
        <w:rPr>
          <w:b/>
          <w:lang w:val="en-GB" w:eastAsia="hi-IN"/>
        </w:rPr>
        <w:t>misappropriate intersex funding</w:t>
      </w:r>
      <w:r w:rsidRPr="00CF0F1C">
        <w:rPr>
          <w:lang w:val="en-GB" w:eastAsia="hi-IN"/>
        </w:rPr>
        <w:t xml:space="preserve">, thus </w:t>
      </w:r>
      <w:r w:rsidRPr="00CF0F1C">
        <w:rPr>
          <w:b/>
          <w:lang w:val="en-GB" w:eastAsia="hi-IN"/>
        </w:rPr>
        <w:t>depriving actual intersex organisations</w:t>
      </w:r>
      <w:r w:rsidRPr="00CF0F1C">
        <w:rPr>
          <w:lang w:val="en-GB" w:eastAsia="hi-IN"/>
        </w:rPr>
        <w:t xml:space="preserve"> (which mostly have no significant funding, if any) of much needed </w:t>
      </w:r>
      <w:r w:rsidRPr="00CF0F1C">
        <w:rPr>
          <w:b/>
          <w:lang w:val="en-GB" w:eastAsia="hi-IN"/>
        </w:rPr>
        <w:t>resources</w:t>
      </w:r>
      <w:r w:rsidRPr="00CF0F1C">
        <w:rPr>
          <w:lang w:val="en-GB" w:eastAsia="hi-IN"/>
        </w:rPr>
        <w:t> </w:t>
      </w:r>
      <w:r w:rsidRPr="00CF0F1C">
        <w:rPr>
          <w:rStyle w:val="FootnoteReference"/>
          <w:rFonts w:eastAsia="Times New Roman"/>
          <w:lang w:val="en-GB" w:eastAsia="hi-IN"/>
        </w:rPr>
        <w:footnoteReference w:id="109"/>
      </w:r>
      <w:r w:rsidRPr="00CF0F1C">
        <w:rPr>
          <w:lang w:val="en-GB" w:eastAsia="hi-IN"/>
        </w:rPr>
        <w:t xml:space="preserve"> and public </w:t>
      </w:r>
      <w:r w:rsidRPr="00CF0F1C">
        <w:rPr>
          <w:b/>
          <w:lang w:val="en-GB" w:eastAsia="hi-IN"/>
        </w:rPr>
        <w:t>representation</w:t>
      </w:r>
      <w:r w:rsidRPr="00CF0F1C">
        <w:rPr>
          <w:lang w:val="en-GB" w:eastAsia="hi-IN"/>
        </w:rPr>
        <w:t>.</w:t>
      </w:r>
      <w:r w:rsidRPr="00CF0F1C">
        <w:rPr>
          <w:rStyle w:val="FootnoteReference"/>
          <w:lang w:val="en-GB" w:eastAsia="hi-IN"/>
        </w:rPr>
        <w:footnoteReference w:id="110"/>
      </w:r>
    </w:p>
    <w:p w14:paraId="0A26D1B0" w14:textId="77777777" w:rsidR="00B54065" w:rsidRPr="00CF0F1C" w:rsidRDefault="00B54065" w:rsidP="00B54065">
      <w:pPr>
        <w:pStyle w:val="Title2"/>
      </w:pPr>
      <w:bookmarkStart w:id="124" w:name="_Toc520848570"/>
      <w:bookmarkStart w:id="125" w:name="_Toc15084273"/>
      <w:bookmarkStart w:id="126" w:name="_Toc19465708"/>
      <w:bookmarkStart w:id="127" w:name="_Toc31570304"/>
      <w:bookmarkStart w:id="128" w:name="_Toc34004117"/>
      <w:bookmarkStart w:id="129" w:name="_Toc48428240"/>
      <w:bookmarkStart w:id="130" w:name="_Toc48509367"/>
      <w:bookmarkStart w:id="131" w:name="_Toc132491482"/>
      <w:bookmarkStart w:id="132" w:name="_Toc161663962"/>
      <w:r w:rsidRPr="00CF0F1C">
        <w:t>4.  IGM is NOT a “Discrimination”</w:t>
      </w:r>
      <w:bookmarkEnd w:id="124"/>
      <w:r w:rsidRPr="00CF0F1C">
        <w:t xml:space="preserve"> Issue</w:t>
      </w:r>
      <w:bookmarkEnd w:id="125"/>
      <w:bookmarkEnd w:id="126"/>
      <w:bookmarkEnd w:id="127"/>
      <w:bookmarkEnd w:id="128"/>
      <w:bookmarkEnd w:id="129"/>
      <w:bookmarkEnd w:id="130"/>
      <w:bookmarkEnd w:id="131"/>
      <w:bookmarkEnd w:id="132"/>
    </w:p>
    <w:p w14:paraId="0E47153F" w14:textId="77777777" w:rsidR="00B54065" w:rsidRPr="00CF0F1C" w:rsidRDefault="00B54065" w:rsidP="00C7702B">
      <w:pPr>
        <w:pStyle w:val="absatzschattenbericht"/>
        <w:rPr>
          <w:b/>
          <w:bCs/>
          <w:lang w:val="en-GB" w:eastAsia="hi-IN"/>
        </w:rPr>
      </w:pPr>
      <w:r w:rsidRPr="00CF0F1C">
        <w:rPr>
          <w:lang w:val="en-GB" w:eastAsia="hi-IN"/>
        </w:rPr>
        <w:t xml:space="preserve">An interrelated diversionary tactic is the </w:t>
      </w:r>
      <w:r w:rsidRPr="00CF0F1C">
        <w:rPr>
          <w:b/>
          <w:bCs/>
          <w:lang w:val="en-GB" w:eastAsia="hi-IN"/>
        </w:rPr>
        <w:t xml:space="preserve">increasing misrepresentation by State parties of IGM as </w:t>
      </w:r>
      <w:r w:rsidRPr="00CF0F1C">
        <w:rPr>
          <w:b/>
          <w:bCs/>
          <w:i/>
          <w:iCs/>
          <w:lang w:val="en-GB" w:eastAsia="hi-IN"/>
        </w:rPr>
        <w:t>“discrimination issue”</w:t>
      </w:r>
      <w:r w:rsidRPr="00CF0F1C">
        <w:rPr>
          <w:lang w:val="en-GB" w:eastAsia="hi-IN"/>
        </w:rPr>
        <w:t xml:space="preserve"> instead of a serious violation of non-</w:t>
      </w:r>
      <w:proofErr w:type="spellStart"/>
      <w:r w:rsidRPr="00CF0F1C">
        <w:rPr>
          <w:lang w:val="en-GB" w:eastAsia="hi-IN"/>
        </w:rPr>
        <w:t>derogable</w:t>
      </w:r>
      <w:proofErr w:type="spellEnd"/>
      <w:r w:rsidRPr="00CF0F1C">
        <w:rPr>
          <w:lang w:val="en-GB" w:eastAsia="hi-IN"/>
        </w:rPr>
        <w:t xml:space="preserve"> human rights, namely inhuman </w:t>
      </w:r>
      <w:proofErr w:type="gramStart"/>
      <w:r w:rsidRPr="00CF0F1C">
        <w:rPr>
          <w:lang w:val="en-GB" w:eastAsia="hi-IN"/>
        </w:rPr>
        <w:t>treatment</w:t>
      </w:r>
      <w:proofErr w:type="gramEnd"/>
      <w:r w:rsidRPr="00CF0F1C">
        <w:rPr>
          <w:lang w:val="en-GB" w:eastAsia="hi-IN"/>
        </w:rPr>
        <w:t xml:space="preserve"> and a harmful practice, often in combination with the </w:t>
      </w:r>
      <w:r w:rsidRPr="00CF0F1C">
        <w:rPr>
          <w:b/>
          <w:bCs/>
          <w:lang w:val="en-GB" w:eastAsia="hi-IN"/>
        </w:rPr>
        <w:t>misrepresentation of intersex human rights defenders</w:t>
      </w:r>
      <w:r w:rsidRPr="00CF0F1C">
        <w:rPr>
          <w:lang w:val="en-GB" w:eastAsia="hi-IN"/>
        </w:rPr>
        <w:t xml:space="preserve"> </w:t>
      </w:r>
      <w:r w:rsidRPr="00CF0F1C">
        <w:rPr>
          <w:b/>
          <w:bCs/>
          <w:lang w:val="en-GB" w:eastAsia="hi-IN"/>
        </w:rPr>
        <w:t xml:space="preserve">as </w:t>
      </w:r>
      <w:r w:rsidRPr="00CF0F1C">
        <w:rPr>
          <w:b/>
          <w:bCs/>
          <w:i/>
          <w:iCs/>
          <w:lang w:val="en-GB" w:eastAsia="hi-IN"/>
        </w:rPr>
        <w:t>“fringe elements”</w:t>
      </w:r>
      <w:r w:rsidRPr="00CF0F1C">
        <w:rPr>
          <w:lang w:val="en-GB" w:eastAsia="hi-IN"/>
        </w:rPr>
        <w:t>, and their legitimate demands and criticism of such downgrading and trivialising of IGM as</w:t>
      </w:r>
      <w:r w:rsidRPr="00CF0F1C">
        <w:rPr>
          <w:b/>
          <w:bCs/>
          <w:lang w:val="en-GB" w:eastAsia="hi-IN"/>
        </w:rPr>
        <w:t xml:space="preserve"> </w:t>
      </w:r>
      <w:r w:rsidRPr="00CF0F1C">
        <w:rPr>
          <w:b/>
          <w:bCs/>
          <w:i/>
          <w:iCs/>
          <w:lang w:val="en-GB" w:eastAsia="hi-IN"/>
        </w:rPr>
        <w:t>“extreme views”</w:t>
      </w:r>
      <w:r w:rsidRPr="00CF0F1C">
        <w:rPr>
          <w:lang w:val="en-GB" w:eastAsia="hi-IN"/>
        </w:rPr>
        <w:t xml:space="preserve">. </w:t>
      </w:r>
    </w:p>
    <w:p w14:paraId="5806D03A" w14:textId="77777777" w:rsidR="00B54065" w:rsidRPr="00CF0F1C" w:rsidRDefault="00B54065" w:rsidP="00B54065">
      <w:pPr>
        <w:pStyle w:val="Title2"/>
      </w:pPr>
      <w:bookmarkStart w:id="133" w:name="_Toc19465709"/>
      <w:bookmarkStart w:id="134" w:name="_Toc31570305"/>
      <w:bookmarkStart w:id="135" w:name="_Toc34004118"/>
      <w:bookmarkStart w:id="136" w:name="_Toc48428241"/>
      <w:bookmarkStart w:id="137" w:name="_Toc48509368"/>
      <w:bookmarkStart w:id="138" w:name="_Toc132491483"/>
      <w:bookmarkStart w:id="139" w:name="_Toc161663963"/>
      <w:r w:rsidRPr="00CF0F1C">
        <w:t>5.  IGM is NOT a “Health” Issue</w:t>
      </w:r>
      <w:bookmarkEnd w:id="133"/>
      <w:bookmarkEnd w:id="134"/>
      <w:bookmarkEnd w:id="135"/>
      <w:bookmarkEnd w:id="136"/>
      <w:bookmarkEnd w:id="137"/>
      <w:bookmarkEnd w:id="138"/>
      <w:bookmarkEnd w:id="139"/>
    </w:p>
    <w:p w14:paraId="186F1FB5" w14:textId="77777777" w:rsidR="00B54065" w:rsidRPr="00CF0F1C" w:rsidRDefault="00B54065" w:rsidP="00B54065">
      <w:pPr>
        <w:pStyle w:val="absatzschattenbericht"/>
        <w:spacing w:after="111"/>
        <w:rPr>
          <w:rFonts w:eastAsia="Times New Roman"/>
          <w:lang w:val="en-GB" w:eastAsia="hi-IN"/>
        </w:rPr>
      </w:pPr>
      <w:r w:rsidRPr="00CF0F1C">
        <w:rPr>
          <w:rFonts w:eastAsia="Times New Roman"/>
          <w:lang w:val="en-GB" w:eastAsia="hi-IN"/>
        </w:rPr>
        <w:t xml:space="preserve">An interrelated, alarming new trend is the </w:t>
      </w:r>
      <w:r w:rsidRPr="00CF0F1C">
        <w:rPr>
          <w:rFonts w:eastAsia="Times New Roman"/>
          <w:b/>
          <w:bCs/>
          <w:lang w:val="en-GB" w:eastAsia="hi-IN"/>
        </w:rPr>
        <w:t xml:space="preserve">increasing misrepresentation of IGM as </w:t>
      </w:r>
      <w:r w:rsidRPr="00CF0F1C">
        <w:rPr>
          <w:rFonts w:eastAsia="Times New Roman"/>
          <w:b/>
          <w:bCs/>
          <w:i/>
          <w:iCs/>
          <w:lang w:val="en-GB" w:eastAsia="hi-IN"/>
        </w:rPr>
        <w:t>“health-care issue”</w:t>
      </w:r>
      <w:r w:rsidRPr="00CF0F1C">
        <w:rPr>
          <w:rFonts w:eastAsia="Times New Roman"/>
          <w:lang w:val="en-GB" w:eastAsia="hi-IN"/>
        </w:rPr>
        <w:t xml:space="preserve"> instead of a serious </w:t>
      </w:r>
      <w:r w:rsidRPr="00CF0F1C">
        <w:rPr>
          <w:lang w:val="en-GB" w:eastAsia="hi-IN"/>
        </w:rPr>
        <w:t>violation of non-</w:t>
      </w:r>
      <w:proofErr w:type="spellStart"/>
      <w:r w:rsidRPr="00CF0F1C">
        <w:rPr>
          <w:lang w:val="en-GB" w:eastAsia="hi-IN"/>
        </w:rPr>
        <w:t>derogable</w:t>
      </w:r>
      <w:proofErr w:type="spellEnd"/>
      <w:r w:rsidRPr="00CF0F1C">
        <w:rPr>
          <w:lang w:val="en-GB" w:eastAsia="hi-IN"/>
        </w:rPr>
        <w:t xml:space="preserve"> human rights</w:t>
      </w:r>
      <w:r w:rsidRPr="00CF0F1C">
        <w:rPr>
          <w:rFonts w:eastAsia="Times New Roman"/>
          <w:lang w:val="en-GB" w:eastAsia="hi-IN"/>
        </w:rPr>
        <w:t xml:space="preserve">, and the </w:t>
      </w:r>
      <w:r w:rsidRPr="00CF0F1C">
        <w:rPr>
          <w:rFonts w:eastAsia="Times New Roman"/>
          <w:b/>
          <w:bCs/>
          <w:lang w:val="en-GB" w:eastAsia="hi-IN"/>
        </w:rPr>
        <w:t xml:space="preserve">promotion of </w:t>
      </w:r>
      <w:r w:rsidRPr="00CF0F1C">
        <w:rPr>
          <w:rFonts w:eastAsia="Times New Roman"/>
          <w:b/>
          <w:bCs/>
          <w:i/>
          <w:iCs/>
          <w:lang w:val="en-GB" w:eastAsia="hi-IN"/>
        </w:rPr>
        <w:t>“self-regulation”</w:t>
      </w:r>
      <w:r w:rsidRPr="00CF0F1C">
        <w:rPr>
          <w:rFonts w:eastAsia="Times New Roman"/>
          <w:b/>
          <w:bCs/>
          <w:lang w:val="en-GB" w:eastAsia="hi-IN"/>
        </w:rPr>
        <w:t xml:space="preserve"> of IGM by the current perpetrators</w:t>
      </w:r>
      <w:r w:rsidRPr="00CF0F1C">
        <w:rPr>
          <w:rFonts w:eastAsia="Times New Roman"/>
          <w:vertAlign w:val="superscript"/>
          <w:lang w:val="en-GB" w:eastAsia="hi-IN"/>
        </w:rPr>
        <w:footnoteReference w:id="111"/>
      </w:r>
      <w:r w:rsidRPr="00CF0F1C">
        <w:rPr>
          <w:rFonts w:eastAsia="Times New Roman"/>
          <w:lang w:val="en-GB" w:eastAsia="hi-IN"/>
        </w:rPr>
        <w:t xml:space="preserve"> </w:t>
      </w:r>
      <w:r w:rsidRPr="00CF0F1C">
        <w:rPr>
          <w:rFonts w:eastAsia="Times New Roman"/>
          <w:vertAlign w:val="superscript"/>
          <w:lang w:val="en-GB" w:eastAsia="hi-IN"/>
        </w:rPr>
        <w:footnoteReference w:id="112"/>
      </w:r>
      <w:r w:rsidRPr="00CF0F1C">
        <w:rPr>
          <w:rFonts w:eastAsia="Times New Roman"/>
          <w:lang w:val="en-GB" w:eastAsia="hi-IN"/>
        </w:rPr>
        <w:t xml:space="preserve"> </w:t>
      </w:r>
      <w:r w:rsidRPr="00CF0F1C">
        <w:rPr>
          <w:rFonts w:eastAsia="Times New Roman"/>
          <w:vertAlign w:val="superscript"/>
          <w:lang w:val="en-GB" w:eastAsia="hi-IN"/>
        </w:rPr>
        <w:footnoteReference w:id="113"/>
      </w:r>
      <w:r w:rsidRPr="00CF0F1C">
        <w:rPr>
          <w:rFonts w:eastAsia="Times New Roman"/>
          <w:lang w:val="en-GB" w:eastAsia="hi-IN"/>
        </w:rPr>
        <w:t xml:space="preserve"> </w:t>
      </w:r>
      <w:r w:rsidRPr="00CF0F1C">
        <w:rPr>
          <w:rFonts w:eastAsia="Times New Roman"/>
          <w:vertAlign w:val="superscript"/>
          <w:lang w:val="en-GB" w:eastAsia="hi-IN"/>
        </w:rPr>
        <w:footnoteReference w:id="114"/>
      </w:r>
      <w:r w:rsidRPr="00CF0F1C">
        <w:rPr>
          <w:rFonts w:eastAsia="Times New Roman"/>
          <w:lang w:val="en-GB" w:eastAsia="hi-IN"/>
        </w:rPr>
        <w:t xml:space="preserve"> – instead of effective measures to finally end the practice (as repeatedly stipulated also by this Committee). </w:t>
      </w:r>
    </w:p>
    <w:p w14:paraId="30410F2E" w14:textId="635C6FC8" w:rsidR="00B54065" w:rsidRPr="00722995" w:rsidRDefault="00B54065" w:rsidP="00722995">
      <w:pPr>
        <w:pStyle w:val="absatzschattenbericht"/>
        <w:spacing w:after="80"/>
        <w:rPr>
          <w:rFonts w:eastAsia="Times New Roman"/>
          <w:b/>
          <w:bCs/>
          <w:lang w:val="en-GB" w:eastAsia="hi-IN"/>
        </w:rPr>
      </w:pPr>
      <w:r w:rsidRPr="00CF0F1C">
        <w:rPr>
          <w:rFonts w:eastAsia="Times New Roman"/>
          <w:lang w:val="en-GB" w:eastAsia="hi-IN"/>
        </w:rPr>
        <w:t xml:space="preserve">Even worse, </w:t>
      </w:r>
      <w:r w:rsidRPr="00CF0F1C">
        <w:rPr>
          <w:rFonts w:eastAsia="Times New Roman"/>
          <w:b/>
          <w:bCs/>
          <w:lang w:val="en-GB" w:eastAsia="hi-IN"/>
        </w:rPr>
        <w:t>Health Ministries</w:t>
      </w:r>
      <w:r w:rsidRPr="00CF0F1C">
        <w:rPr>
          <w:rFonts w:eastAsia="Times New Roman"/>
          <w:bCs/>
          <w:lang w:val="en-GB" w:eastAsia="hi-IN"/>
        </w:rPr>
        <w:t xml:space="preserve"> construe UN Concluding observations falling short of explicitly recommending legislation to criminalise or adequately sanction IGM as an</w:t>
      </w:r>
      <w:r w:rsidRPr="00CF0F1C">
        <w:rPr>
          <w:rFonts w:eastAsia="Times New Roman"/>
          <w:b/>
          <w:bCs/>
          <w:lang w:val="en-GB" w:eastAsia="hi-IN"/>
        </w:rPr>
        <w:t xml:space="preserve"> excuse for “self-regulation” promoting </w:t>
      </w:r>
      <w:proofErr w:type="gramStart"/>
      <w:r w:rsidRPr="00CF0F1C">
        <w:rPr>
          <w:rFonts w:eastAsia="Times New Roman"/>
          <w:b/>
          <w:bCs/>
          <w:lang w:val="en-GB" w:eastAsia="hi-IN"/>
        </w:rPr>
        <w:t>state-sponsored</w:t>
      </w:r>
      <w:proofErr w:type="gramEnd"/>
      <w:r w:rsidRPr="00CF0F1C">
        <w:rPr>
          <w:rFonts w:eastAsia="Times New Roman"/>
          <w:b/>
          <w:bCs/>
          <w:lang w:val="en-GB" w:eastAsia="hi-IN"/>
        </w:rPr>
        <w:t xml:space="preserve"> IGM practices to continue with impunity.</w:t>
      </w:r>
      <w:r w:rsidRPr="00CF0F1C">
        <w:rPr>
          <w:rFonts w:eastAsia="Times New Roman"/>
          <w:vertAlign w:val="superscript"/>
          <w:lang w:val="en-GB" w:eastAsia="hi-IN"/>
        </w:rPr>
        <w:footnoteReference w:id="115"/>
      </w:r>
      <w:r w:rsidRPr="00CF0F1C">
        <w:rPr>
          <w:rFonts w:eastAsia="Times New Roman"/>
          <w:b/>
          <w:bCs/>
          <w:lang w:val="en-GB" w:eastAsia="hi-IN"/>
        </w:rPr>
        <w:t> </w:t>
      </w:r>
      <w:r w:rsidRPr="00CF0F1C">
        <w:rPr>
          <w:rFonts w:eastAsia="Times New Roman"/>
          <w:vertAlign w:val="superscript"/>
          <w:lang w:val="en-GB" w:eastAsia="hi-IN"/>
        </w:rPr>
        <w:footnoteReference w:id="116"/>
      </w:r>
      <w:r w:rsidRPr="00CF0F1C">
        <w:rPr>
          <w:rFonts w:eastAsia="Times New Roman"/>
          <w:b/>
          <w:bCs/>
          <w:lang w:val="en-GB" w:eastAsia="hi-IN"/>
        </w:rPr>
        <w:t xml:space="preserve"> </w:t>
      </w:r>
      <w:r w:rsidRPr="00CF0F1C">
        <w:rPr>
          <w:rFonts w:eastAsia="Times New Roman"/>
          <w:vertAlign w:val="superscript"/>
          <w:lang w:val="en-GB" w:eastAsia="hi-IN"/>
        </w:rPr>
        <w:footnoteReference w:id="117"/>
      </w:r>
    </w:p>
    <w:sectPr w:rsidR="00B54065" w:rsidRPr="00722995" w:rsidSect="007018B7">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EEFF1" w14:textId="77777777" w:rsidR="00BD336D" w:rsidRDefault="00BD336D">
      <w:r>
        <w:separator/>
      </w:r>
    </w:p>
  </w:endnote>
  <w:endnote w:type="continuationSeparator" w:id="0">
    <w:p w14:paraId="1F238417" w14:textId="77777777" w:rsidR="00BD336D" w:rsidRDefault="00BD3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Cambria Math"/>
    <w:charset w:val="00"/>
    <w:family w:val="roman"/>
    <w:pitch w:val="variable"/>
    <w:sig w:usb0="00000001" w:usb1="02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Bold">
    <w:altName w:val="Heiti TC Light"/>
    <w:charset w:val="00"/>
    <w:family w:val="roman"/>
    <w:pitch w:val="variable"/>
    <w:sig w:usb0="00000001" w:usb1="02000000" w:usb2="00000000" w:usb3="00000000" w:csb0="0000019F" w:csb1="00000000"/>
  </w:font>
  <w:font w:name="OpenSymbol">
    <w:altName w:val="Arial Unicode MS"/>
    <w:charset w:val="80"/>
    <w:family w:val="auto"/>
    <w:pitch w:val="default"/>
  </w:font>
  <w:font w:name="Baskerville-SemiBold">
    <w:altName w:val="Heiti TC Light"/>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charset w:val="80"/>
    <w:family w:val="auto"/>
    <w:pitch w:val="default"/>
  </w:font>
  <w:font w:name="Helvetica-Bold">
    <w:altName w:val="Yu Gothic"/>
    <w:charset w:val="00"/>
    <w:family w:val="auto"/>
    <w:pitch w:val="variable"/>
    <w:sig w:usb0="E00002FF"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Yu Gothic"/>
    <w:charset w:val="80"/>
    <w:family w:val="auto"/>
    <w:pitch w:val="default"/>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altName w:val="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Baskerville-SemiBoldItalic">
    <w:altName w:val="Baskerville SemiBold Italic"/>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63BCE" w14:textId="77777777" w:rsidR="002C0DA7" w:rsidRDefault="002C0D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96F68" w14:textId="77777777" w:rsidR="002C0DA7" w:rsidRPr="007018B7" w:rsidRDefault="002C0DA7" w:rsidP="007018B7">
    <w:pPr>
      <w:pStyle w:val="Footer"/>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00722995" w:rsidRPr="00722995">
      <w:rPr>
        <w:b/>
        <w:noProof/>
        <w:lang w:val="de-DE"/>
      </w:rPr>
      <w:t>2</w:t>
    </w:r>
    <w:r w:rsidR="00722995" w:rsidRPr="00722995">
      <w:rPr>
        <w:b/>
        <w:noProof/>
        <w:lang w:val="de-DE"/>
      </w:rPr>
      <w:t>7</w:t>
    </w:r>
    <w:r w:rsidRPr="007018B7">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3DCFE" w14:textId="77777777" w:rsidR="002C0DA7" w:rsidRDefault="002C0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E7B4A" w14:textId="77777777" w:rsidR="00BD336D" w:rsidRDefault="00BD336D">
      <w:r>
        <w:separator/>
      </w:r>
    </w:p>
  </w:footnote>
  <w:footnote w:type="continuationSeparator" w:id="0">
    <w:p w14:paraId="6C0283BC" w14:textId="77777777" w:rsidR="00BD336D" w:rsidRDefault="00BD336D">
      <w:r>
        <w:continuationSeparator/>
      </w:r>
    </w:p>
  </w:footnote>
  <w:footnote w:id="1">
    <w:p w14:paraId="3CBA19EF" w14:textId="7AB344C3" w:rsidR="002C0DA7" w:rsidRPr="0070408F" w:rsidRDefault="002C0DA7" w:rsidP="00C20D9B">
      <w:pPr>
        <w:pStyle w:val="fussnoteschattenbericht"/>
      </w:pPr>
      <w:r w:rsidRPr="00F81BC5">
        <w:rPr>
          <w:rStyle w:val="FootnoteReference"/>
          <w:vertAlign w:val="baseline"/>
        </w:rPr>
        <w:footnoteRef/>
      </w:r>
      <w:r w:rsidRPr="00F81BC5">
        <w:rPr>
          <w:rStyle w:val="FootnoteReference"/>
          <w:vertAlign w:val="baseline"/>
        </w:rPr>
        <w:tab/>
      </w:r>
      <w:hyperlink r:id="rId1" w:history="1">
        <w:r w:rsidRPr="001B3353">
          <w:rPr>
            <w:rStyle w:val="Hyperlink"/>
            <w:rFonts w:eastAsia="Arial Unicode MS"/>
            <w:spacing w:val="0"/>
            <w:lang w:val="en-US"/>
          </w:rPr>
          <w:t>https://Zwischengeschlecht.org/</w:t>
        </w:r>
      </w:hyperlink>
      <w:r>
        <w:rPr>
          <w:rStyle w:val="Hyperlink"/>
          <w:rFonts w:eastAsia="Arial Unicode MS"/>
          <w:spacing w:val="0"/>
          <w:lang w:val="en-US"/>
        </w:rPr>
        <w:t xml:space="preserve"> </w:t>
      </w:r>
      <w:r w:rsidRPr="0070408F">
        <w:t xml:space="preserve"> English </w:t>
      </w:r>
      <w:r>
        <w:t>homepage</w:t>
      </w:r>
      <w:r w:rsidRPr="0070408F">
        <w:t xml:space="preserve">: </w:t>
      </w:r>
      <w:hyperlink r:id="rId2" w:history="1">
        <w:r w:rsidRPr="001B3353">
          <w:rPr>
            <w:rStyle w:val="Hyperlink"/>
            <w:rFonts w:eastAsia="Arial Unicode MS"/>
            <w:spacing w:val="0"/>
            <w:lang w:val="en-US"/>
          </w:rPr>
          <w:t>https://StopIGM.org</w:t>
        </w:r>
      </w:hyperlink>
      <w:r>
        <w:t xml:space="preserve"> </w:t>
      </w:r>
    </w:p>
  </w:footnote>
  <w:footnote w:id="2">
    <w:p w14:paraId="4A81CA61" w14:textId="4BFFE501" w:rsidR="002C0DA7" w:rsidRPr="0070408F" w:rsidRDefault="002C0DA7" w:rsidP="00C20D9B">
      <w:pPr>
        <w:pStyle w:val="fussnoteschattenbericht"/>
      </w:pPr>
      <w:r w:rsidRPr="00F81BC5">
        <w:rPr>
          <w:rStyle w:val="FootnoteReference"/>
          <w:vertAlign w:val="baseline"/>
        </w:rPr>
        <w:footnoteRef/>
      </w:r>
      <w:r w:rsidRPr="0070408F">
        <w:tab/>
      </w:r>
      <w:hyperlink r:id="rId3" w:history="1">
        <w:r w:rsidRPr="001B3353">
          <w:rPr>
            <w:rStyle w:val="Hyperlink"/>
            <w:rFonts w:eastAsia="Arial Unicode MS"/>
            <w:spacing w:val="0"/>
            <w:lang w:val="en-US"/>
          </w:rPr>
          <w:t>https://zwischengeschlecht.org/post/Statuten</w:t>
        </w:r>
      </w:hyperlink>
      <w:r>
        <w:rPr>
          <w:rStyle w:val="Hyperlink"/>
          <w:rFonts w:eastAsia="Arial Unicode MS"/>
          <w:spacing w:val="0"/>
          <w:lang w:val="en-US"/>
        </w:rPr>
        <w:t xml:space="preserve"> </w:t>
      </w:r>
    </w:p>
  </w:footnote>
  <w:footnote w:id="3">
    <w:p w14:paraId="703DBBEF" w14:textId="7C3BBFA6" w:rsidR="002C0DA7" w:rsidRPr="00E37983" w:rsidRDefault="002C0DA7" w:rsidP="00C20D9B">
      <w:pPr>
        <w:pStyle w:val="fussnoteschattenbericht"/>
      </w:pPr>
      <w:r w:rsidRPr="00F81BC5">
        <w:rPr>
          <w:rStyle w:val="FootnoteReference"/>
          <w:vertAlign w:val="baseline"/>
        </w:rPr>
        <w:footnoteRef/>
      </w:r>
      <w:r w:rsidRPr="00651DA7">
        <w:rPr>
          <w:rStyle w:val="FootnoteReference"/>
          <w:vertAlign w:val="baseline"/>
        </w:rPr>
        <w:t xml:space="preserve"> </w:t>
      </w:r>
      <w:r>
        <w:tab/>
      </w:r>
      <w:hyperlink r:id="rId4" w:history="1">
        <w:r w:rsidRPr="001B3353">
          <w:rPr>
            <w:rStyle w:val="Hyperlink"/>
            <w:lang w:eastAsia="en-US"/>
          </w:rPr>
          <w:t>https://intersex.shadowreport.org</w:t>
        </w:r>
      </w:hyperlink>
    </w:p>
  </w:footnote>
  <w:footnote w:id="4">
    <w:p w14:paraId="0B5FB1B8" w14:textId="4775FEC3" w:rsidR="002C0DA7" w:rsidRDefault="002C0DA7" w:rsidP="00C20D9B">
      <w:pPr>
        <w:pStyle w:val="fussnoteschattenbericht"/>
      </w:pPr>
      <w:r w:rsidRPr="00F81BC5">
        <w:rPr>
          <w:rStyle w:val="FootnoteReference"/>
          <w:vertAlign w:val="baseline"/>
        </w:rPr>
        <w:footnoteRef/>
      </w:r>
      <w:r w:rsidRPr="00651DA7">
        <w:rPr>
          <w:rStyle w:val="FootnoteReference"/>
          <w:vertAlign w:val="baseline"/>
        </w:rPr>
        <w:t xml:space="preserve"> </w:t>
      </w:r>
      <w:r>
        <w:tab/>
      </w:r>
      <w:hyperlink r:id="rId5" w:history="1">
        <w:r w:rsidRPr="001B3353">
          <w:rPr>
            <w:rStyle w:val="Hyperlink"/>
          </w:rPr>
          <w:t>https://stopigm.org/post/IAD-2016-Soon-20-UN-Reprimands-for-Intersex-Genital-Mutilations</w:t>
        </w:r>
      </w:hyperlink>
      <w:r>
        <w:t xml:space="preserve"> </w:t>
      </w:r>
    </w:p>
  </w:footnote>
  <w:footnote w:id="5">
    <w:p w14:paraId="0905D82D" w14:textId="5712E70B" w:rsidR="002C0DA7" w:rsidRPr="007315EB" w:rsidRDefault="002C0DA7" w:rsidP="00C20D9B">
      <w:pPr>
        <w:pStyle w:val="fussnoteschattenbericht"/>
      </w:pPr>
      <w:r w:rsidRPr="00910986">
        <w:rPr>
          <w:rStyle w:val="Funotenzeichen1"/>
          <w:vertAlign w:val="baseline"/>
        </w:rPr>
        <w:footnoteRef/>
      </w:r>
      <w:r w:rsidRPr="007315EB">
        <w:tab/>
      </w:r>
      <w:hyperlink r:id="rId6" w:history="1">
        <w:r w:rsidRPr="000B41E3">
          <w:rPr>
            <w:rStyle w:val="Hyperlink"/>
          </w:rPr>
          <w:t>https://intersukupuolisuus.fi/?page_id=1206</w:t>
        </w:r>
      </w:hyperlink>
      <w:r>
        <w:t xml:space="preserve"> </w:t>
      </w:r>
    </w:p>
  </w:footnote>
  <w:footnote w:id="6">
    <w:p w14:paraId="61830659" w14:textId="072989B8"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r>
        <w:t xml:space="preserve">Mika Venhola (2012), video statement on intersex surgery, recorded on occasion of the Genital Autonomy 2012 conference by James Loewen, </w:t>
      </w:r>
      <w:hyperlink r:id="rId7" w:history="1">
        <w:r w:rsidRPr="000B41E3">
          <w:rPr>
            <w:rStyle w:val="Hyperlink"/>
          </w:rPr>
          <w:t>https://www.youtube.com/watch?v=riNtxjntqZE</w:t>
        </w:r>
      </w:hyperlink>
      <w:r>
        <w:t xml:space="preserve"> </w:t>
      </w:r>
      <w:r>
        <w:br/>
        <w:t xml:space="preserve">Partial transcript, see </w:t>
      </w:r>
      <w:hyperlink r:id="rId8" w:history="1">
        <w:r w:rsidRPr="001B3353">
          <w:rPr>
            <w:rStyle w:val="Hyperlink"/>
          </w:rPr>
          <w:t>https://ihra.org.au/7867/mika-venhola-video/</w:t>
        </w:r>
      </w:hyperlink>
      <w:r>
        <w:t xml:space="preserve"> </w:t>
      </w:r>
    </w:p>
  </w:footnote>
  <w:footnote w:id="7">
    <w:p w14:paraId="7A97795E" w14:textId="77777777"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r>
        <w:t xml:space="preserve">Mika Venhola, </w:t>
      </w:r>
      <w:r w:rsidRPr="007A34E0">
        <w:t>Miina Savolainen</w:t>
      </w:r>
      <w:r>
        <w:t xml:space="preserve"> (2016), </w:t>
      </w:r>
      <w:r w:rsidRPr="00E11525">
        <w:t xml:space="preserve">Intersukupuolisten lasten hoitoeettiset lähtökohdat. Yhteenveto 29.4.2015 seminaa-rista Ruotsin ja Suomen eettisille neuvottelukunnille, SMERille ja ETENElle </w:t>
      </w:r>
      <w:r>
        <w:t>[</w:t>
      </w:r>
      <w:r w:rsidRPr="00E11525">
        <w:t>Ethical principles of care for intersex children. Summary of the seminar on 29 April 2015 for the Swedish and Finnish Ethical Advisory Boards, SMER and ETENE</w:t>
      </w:r>
      <w:r>
        <w:t xml:space="preserve">], </w:t>
      </w:r>
      <w:r>
        <w:br/>
      </w:r>
      <w:hyperlink r:id="rId9" w:history="1">
        <w:r w:rsidRPr="001B3353">
          <w:rPr>
            <w:rStyle w:val="Hyperlink"/>
          </w:rPr>
          <w:t>https://lapsiasia.fi/documents/25250457/37287625/SmerEteneLausunto2015VenholaSavolainen-Copy.pdf</w:t>
        </w:r>
      </w:hyperlink>
      <w:r>
        <w:t xml:space="preserve"> </w:t>
      </w:r>
    </w:p>
  </w:footnote>
  <w:footnote w:id="8">
    <w:p w14:paraId="407C1462" w14:textId="2A9DD31A" w:rsidR="002C0DA7" w:rsidRPr="00DD05AE" w:rsidRDefault="002C0DA7" w:rsidP="00C20D9B">
      <w:pPr>
        <w:pStyle w:val="fussnoteschattenbericht"/>
      </w:pPr>
      <w:r w:rsidRPr="00F81BC5">
        <w:rPr>
          <w:rStyle w:val="FootnoteReference"/>
          <w:vertAlign w:val="baseline"/>
        </w:rPr>
        <w:footnoteRef/>
      </w:r>
      <w:r w:rsidRPr="00F81BC5">
        <w:rPr>
          <w:rStyle w:val="FootnoteReference"/>
          <w:vertAlign w:val="baseline"/>
        </w:rPr>
        <w:t xml:space="preserve"> </w:t>
      </w:r>
      <w:r w:rsidRPr="00DD05AE">
        <w:tab/>
      </w:r>
      <w:hyperlink r:id="rId10" w:history="1">
        <w:r w:rsidRPr="000B41E3">
          <w:rPr>
            <w:rStyle w:val="Hyperlink"/>
          </w:rPr>
          <w:t>https://intersex.shadowreport.org/public/2023-CRC-Finland-NGO-Zwischengeschlecht-Intersex-IGM.pdf</w:t>
        </w:r>
      </w:hyperlink>
      <w:r>
        <w:t xml:space="preserve"> </w:t>
      </w:r>
    </w:p>
  </w:footnote>
  <w:footnote w:id="9">
    <w:p w14:paraId="538A871F" w14:textId="415E458F" w:rsidR="002C0DA7" w:rsidRPr="00E2403F" w:rsidRDefault="002C0DA7" w:rsidP="00C20D9B">
      <w:pPr>
        <w:pStyle w:val="fussnoteschattenbericht"/>
      </w:pPr>
      <w:r w:rsidRPr="00E2403F">
        <w:rPr>
          <w:rStyle w:val="FootnoteReference"/>
          <w:vertAlign w:val="baseline"/>
        </w:rPr>
        <w:footnoteRef/>
      </w:r>
      <w:r w:rsidRPr="00E2403F">
        <w:rPr>
          <w:rStyle w:val="FootnoteReference"/>
          <w:vertAlign w:val="baseline"/>
        </w:rPr>
        <w:t xml:space="preserve"> </w:t>
      </w:r>
      <w:r w:rsidRPr="00E2403F">
        <w:tab/>
        <w:t xml:space="preserve">Currently we count </w:t>
      </w:r>
      <w:r>
        <w:rPr>
          <w:b/>
        </w:rPr>
        <w:t>90</w:t>
      </w:r>
      <w:r w:rsidRPr="00E2403F">
        <w:rPr>
          <w:b/>
        </w:rPr>
        <w:t xml:space="preserve"> Concluding observations on IGM practices</w:t>
      </w:r>
      <w:r w:rsidRPr="00E2403F">
        <w:t>,</w:t>
      </w:r>
      <w:r>
        <w:t xml:space="preserve"> </w:t>
      </w:r>
      <w:r w:rsidRPr="00E2403F">
        <w:t>see</w:t>
      </w:r>
      <w:r>
        <w:br/>
      </w:r>
      <w:hyperlink r:id="rId11" w:history="1">
        <w:r w:rsidRPr="006335C6">
          <w:rPr>
            <w:rStyle w:val="Hyperlink"/>
          </w:rPr>
          <w:t>https://stopigm.org/post/IAD-2016-Soon-20-UN-Reprimands-for-Intersex-Genital-Mutilations</w:t>
        </w:r>
      </w:hyperlink>
      <w:r w:rsidRPr="00E2403F">
        <w:t xml:space="preserve"> </w:t>
      </w:r>
    </w:p>
  </w:footnote>
  <w:footnote w:id="10">
    <w:p w14:paraId="4CA2FB51" w14:textId="77777777" w:rsidR="002C0DA7" w:rsidRDefault="002C0DA7" w:rsidP="007575E8">
      <w:pPr>
        <w:pStyle w:val="fussnoteschattenbericht"/>
        <w:spacing w:line="288" w:lineRule="auto"/>
      </w:pPr>
      <w:r w:rsidRPr="00E2403F">
        <w:rPr>
          <w:rStyle w:val="FootnoteReference"/>
          <w:vertAlign w:val="baseline"/>
        </w:rPr>
        <w:footnoteRef/>
      </w:r>
      <w:r w:rsidRPr="005369DE">
        <w:t xml:space="preserve"> </w:t>
      </w:r>
      <w:r w:rsidRPr="005369DE">
        <w:tab/>
      </w:r>
      <w:r>
        <w:t xml:space="preserve">European Institute for Gender Equality (EIGE) (2013), Current situation and trends of female genital mutilation in Finland, </w:t>
      </w:r>
      <w:r>
        <w:br/>
      </w:r>
      <w:hyperlink r:id="rId12" w:history="1">
        <w:r w:rsidRPr="001B3353">
          <w:rPr>
            <w:rStyle w:val="Hyperlink"/>
          </w:rPr>
          <w:t>https://lapsiasia.fi/documents/25250457/37287625/SmerEteneLausunto2015VenholaSavolainen-Copy.pdf</w:t>
        </w:r>
      </w:hyperlink>
      <w:r>
        <w:t xml:space="preserve"> </w:t>
      </w:r>
    </w:p>
    <w:p w14:paraId="239022D3" w14:textId="77777777" w:rsidR="002C0DA7" w:rsidRPr="0018367E" w:rsidRDefault="00117303" w:rsidP="007575E8">
      <w:pPr>
        <w:pStyle w:val="fussnoteschattenbericht"/>
        <w:spacing w:line="288" w:lineRule="auto"/>
        <w:ind w:firstLine="0"/>
        <w:rPr>
          <w:sz w:val="17"/>
          <w:szCs w:val="17"/>
        </w:rPr>
      </w:pPr>
      <w:hyperlink r:id="rId13" w:history="1">
        <w:r w:rsidR="002C0DA7" w:rsidRPr="0018367E">
          <w:rPr>
            <w:rStyle w:val="Hyperlink"/>
            <w:sz w:val="17"/>
            <w:szCs w:val="17"/>
          </w:rPr>
          <w:t>http://eige.europa.eu/sites/default/files/documents/current_situation_and_trends_of_female_genital_mutilation_in_finland_en.pdf</w:t>
        </w:r>
      </w:hyperlink>
      <w:r w:rsidR="002C0DA7" w:rsidRPr="0018367E">
        <w:rPr>
          <w:sz w:val="17"/>
          <w:szCs w:val="17"/>
        </w:rPr>
        <w:t xml:space="preserve"> </w:t>
      </w:r>
    </w:p>
  </w:footnote>
  <w:footnote w:id="11">
    <w:p w14:paraId="6B94CEAB" w14:textId="77777777" w:rsidR="002C0DA7" w:rsidRPr="0018367E" w:rsidRDefault="002C0DA7" w:rsidP="007575E8">
      <w:pPr>
        <w:pStyle w:val="fussnoteschattenbericht"/>
        <w:spacing w:line="288" w:lineRule="auto"/>
        <w:rPr>
          <w:sz w:val="17"/>
          <w:szCs w:val="17"/>
        </w:rPr>
      </w:pPr>
      <w:r w:rsidRPr="00E2403F">
        <w:rPr>
          <w:rStyle w:val="FootnoteReference"/>
          <w:vertAlign w:val="baseline"/>
        </w:rPr>
        <w:footnoteRef/>
      </w:r>
      <w:r w:rsidRPr="005369DE">
        <w:t xml:space="preserve"> </w:t>
      </w:r>
      <w:r w:rsidRPr="005369DE">
        <w:tab/>
      </w:r>
      <w:r w:rsidRPr="001B40C2">
        <w:t>yle.fi (2020), Parliament votes to clarify Finland's FGM laws,</w:t>
      </w:r>
      <w:r>
        <w:t xml:space="preserve"> </w:t>
      </w:r>
      <w:hyperlink r:id="rId14" w:history="1">
        <w:r w:rsidRPr="001B3353">
          <w:rPr>
            <w:rStyle w:val="Hyperlink"/>
          </w:rPr>
          <w:t>https://yle.fi/uutiset/osasto/news/parliament_votes_to_clarify_finlands_fgm_laws/11635308</w:t>
        </w:r>
      </w:hyperlink>
      <w:r>
        <w:t xml:space="preserve"> </w:t>
      </w:r>
    </w:p>
  </w:footnote>
  <w:footnote w:id="12">
    <w:p w14:paraId="46C9640A" w14:textId="77777777" w:rsidR="002C0DA7" w:rsidRPr="0018367E" w:rsidRDefault="002C0DA7" w:rsidP="007575E8">
      <w:pPr>
        <w:pStyle w:val="fussnoteschattenbericht"/>
        <w:spacing w:line="288" w:lineRule="auto"/>
        <w:rPr>
          <w:sz w:val="17"/>
          <w:szCs w:val="17"/>
        </w:rPr>
      </w:pPr>
      <w:r w:rsidRPr="00E2403F">
        <w:rPr>
          <w:rStyle w:val="FootnoteReference"/>
          <w:vertAlign w:val="baseline"/>
        </w:rPr>
        <w:footnoteRef/>
      </w:r>
      <w:r w:rsidRPr="005369DE">
        <w:t xml:space="preserve"> </w:t>
      </w:r>
      <w:r w:rsidRPr="005369DE">
        <w:tab/>
      </w:r>
      <w:r w:rsidRPr="005820C0">
        <w:t>euractiv.com (2020), Ban on female genital mutilation in Finland to receive clarifications,</w:t>
      </w:r>
      <w:r>
        <w:t xml:space="preserve"> </w:t>
      </w:r>
      <w:hyperlink r:id="rId15" w:history="1">
        <w:r w:rsidRPr="005820C0">
          <w:rPr>
            <w:rStyle w:val="Hyperlink"/>
            <w:sz w:val="18"/>
            <w:szCs w:val="18"/>
          </w:rPr>
          <w:t>https://www.euractiv.com/section/politics/short_news/ban-on-female-genital-mutilation-in-finland-to-receive-clarifications/</w:t>
        </w:r>
      </w:hyperlink>
      <w:r w:rsidRPr="005820C0">
        <w:rPr>
          <w:sz w:val="18"/>
          <w:szCs w:val="18"/>
        </w:rPr>
        <w:t xml:space="preserve"> </w:t>
      </w:r>
    </w:p>
  </w:footnote>
  <w:footnote w:id="13">
    <w:p w14:paraId="7D752CB9" w14:textId="7BFE2EB9" w:rsidR="002C0DA7" w:rsidRPr="002635E1" w:rsidRDefault="002C0DA7" w:rsidP="000A7B74">
      <w:pPr>
        <w:pStyle w:val="fussnoteschattenbericht"/>
      </w:pPr>
      <w:r w:rsidRPr="008E1474">
        <w:rPr>
          <w:rStyle w:val="FootnoteReference"/>
          <w:vertAlign w:val="baseline"/>
        </w:rPr>
        <w:footnoteRef/>
      </w:r>
      <w:r w:rsidRPr="008E1474">
        <w:t xml:space="preserve"> </w:t>
      </w:r>
      <w:r w:rsidRPr="008E1474">
        <w:tab/>
        <w:t xml:space="preserve">Intersukupuolisten ihmisoikeudet – ISIO ry (Finnish Intersex NGO), </w:t>
      </w:r>
      <w:r w:rsidRPr="008E1474">
        <w:rPr>
          <w:i/>
        </w:rPr>
        <w:t>“Objectives […] 1. There is a need for a law that prohibits all medical procedures (surgeries, hormone therapies) that modify a child’s sex characteristics, which can be postponed until the child is able to give his or her informed consent.”</w:t>
      </w:r>
      <w:r w:rsidRPr="008E1474">
        <w:t xml:space="preserve"> </w:t>
      </w:r>
      <w:hyperlink r:id="rId16" w:history="1">
        <w:r w:rsidRPr="008E1474">
          <w:rPr>
            <w:rStyle w:val="Hyperlink"/>
          </w:rPr>
          <w:t>https://intersukupuolisuus.fi/?page_id=803</w:t>
        </w:r>
      </w:hyperlink>
      <w:r>
        <w:t xml:space="preserve"> </w:t>
      </w:r>
    </w:p>
  </w:footnote>
  <w:footnote w:id="14">
    <w:p w14:paraId="7342FF9B" w14:textId="31DE3E49" w:rsidR="002C0DA7" w:rsidRPr="005369DE" w:rsidRDefault="002C0DA7" w:rsidP="009F0F0E">
      <w:pPr>
        <w:pStyle w:val="fussnoteschattenbericht"/>
        <w:spacing w:line="288" w:lineRule="auto"/>
      </w:pPr>
      <w:r w:rsidRPr="00E2403F">
        <w:rPr>
          <w:rStyle w:val="FootnoteReference"/>
          <w:vertAlign w:val="baseline"/>
        </w:rPr>
        <w:footnoteRef/>
      </w:r>
      <w:r w:rsidRPr="005369DE">
        <w:t xml:space="preserve"> </w:t>
      </w:r>
      <w:r w:rsidRPr="005369DE">
        <w:tab/>
      </w:r>
      <w:r>
        <w:t xml:space="preserve">Seta and OII Europe (2019), “Finnish government should take action to ensure intersex people’s physical integrity and self-determination”, </w:t>
      </w:r>
      <w:hyperlink r:id="rId17" w:history="1">
        <w:r w:rsidRPr="006335C6">
          <w:rPr>
            <w:rStyle w:val="Hyperlink"/>
          </w:rPr>
          <w:t>https://seta.fi/2019/05/10/seta-and-oii-europe-finnish-government-should-take-action-to-ensure-intersex-peoples-physical-integrity-and-self-determination/</w:t>
        </w:r>
      </w:hyperlink>
      <w:r>
        <w:t xml:space="preserve"> </w:t>
      </w:r>
    </w:p>
  </w:footnote>
  <w:footnote w:id="15">
    <w:p w14:paraId="70121604" w14:textId="53663CEF" w:rsidR="002C0DA7" w:rsidRPr="005369DE" w:rsidRDefault="002C0DA7" w:rsidP="009F0F0E">
      <w:pPr>
        <w:pStyle w:val="fussnoteschattenbericht"/>
        <w:spacing w:line="288" w:lineRule="auto"/>
      </w:pPr>
      <w:r w:rsidRPr="00E2403F">
        <w:rPr>
          <w:rStyle w:val="FootnoteReference"/>
          <w:vertAlign w:val="baseline"/>
        </w:rPr>
        <w:footnoteRef/>
      </w:r>
      <w:r w:rsidRPr="005369DE">
        <w:t xml:space="preserve"> </w:t>
      </w:r>
      <w:r w:rsidRPr="005369DE">
        <w:tab/>
      </w:r>
      <w:r>
        <w:t xml:space="preserve">Amnesty International  (2021), “Amnesty International’s statement to the United Nations Human Rights Committee on the occasion of the review of Finland”, </w:t>
      </w:r>
      <w:hyperlink r:id="rId18" w:history="1">
        <w:r w:rsidRPr="006335C6">
          <w:rPr>
            <w:rStyle w:val="Hyperlink"/>
          </w:rPr>
          <w:t>https://www.amnesty.fi/amnesty-internationals-statement-to-the-united-nations-human-rights-committee-on-the-occasion-of-the-review-of-finland/</w:t>
        </w:r>
      </w:hyperlink>
      <w:r>
        <w:t xml:space="preserve"> </w:t>
      </w:r>
    </w:p>
  </w:footnote>
  <w:footnote w:id="16">
    <w:p w14:paraId="11B87438" w14:textId="3BACD331" w:rsidR="002C0DA7" w:rsidRPr="005C4771" w:rsidRDefault="002C0DA7" w:rsidP="00C20D9B">
      <w:pPr>
        <w:pStyle w:val="fussnoteschattenbericht"/>
      </w:pPr>
      <w:r w:rsidRPr="002635E1">
        <w:rPr>
          <w:rStyle w:val="FootnoteReference"/>
          <w:vertAlign w:val="baseline"/>
        </w:rPr>
        <w:footnoteRef/>
      </w:r>
      <w:r w:rsidRPr="005C4771">
        <w:t xml:space="preserve"> </w:t>
      </w:r>
      <w:r w:rsidRPr="005C4771">
        <w:tab/>
      </w:r>
      <w:r w:rsidRPr="006E3776">
        <w:t xml:space="preserve">The National Advisory Board on Social Welfare and Health Care Ethics ETENE (2016), ETENE´s statement on the treatment of intersex children 4 April 2016, </w:t>
      </w:r>
      <w:hyperlink r:id="rId19" w:history="1">
        <w:r w:rsidRPr="001B3353">
          <w:rPr>
            <w:rStyle w:val="Hyperlink"/>
          </w:rPr>
          <w:t>https://etene.fi/documents/1429646/1561478/2016+POSITION+STATEMENT+intersex/77dc4b30-2a6d-4811-aa99-c30032f400b0/2016+POSITION+STATEMENT+intersex.pdf</w:t>
        </w:r>
      </w:hyperlink>
      <w:r>
        <w:t xml:space="preserve"> </w:t>
      </w:r>
    </w:p>
  </w:footnote>
  <w:footnote w:id="17">
    <w:p w14:paraId="6C4F3B11" w14:textId="4F7C25C9" w:rsidR="002C0DA7" w:rsidRPr="005369DE" w:rsidRDefault="002C0DA7" w:rsidP="0065205A">
      <w:pPr>
        <w:pStyle w:val="fussnoteschattenbericht"/>
        <w:spacing w:line="288" w:lineRule="auto"/>
      </w:pPr>
      <w:r w:rsidRPr="00E2403F">
        <w:rPr>
          <w:rStyle w:val="FootnoteReference"/>
          <w:vertAlign w:val="baseline"/>
        </w:rPr>
        <w:footnoteRef/>
      </w:r>
      <w:r w:rsidRPr="005369DE">
        <w:t xml:space="preserve"> </w:t>
      </w:r>
      <w:r w:rsidRPr="005369DE">
        <w:tab/>
      </w:r>
      <w:r w:rsidRPr="006E3776">
        <w:t>Ombudsman for Childre</w:t>
      </w:r>
      <w:r>
        <w:t>n</w:t>
      </w:r>
      <w:r w:rsidRPr="005369DE">
        <w:t xml:space="preserve"> </w:t>
      </w:r>
      <w:r>
        <w:t>(</w:t>
      </w:r>
      <w:r w:rsidRPr="006E3776">
        <w:t>Lapsiasiavaltuutettu</w:t>
      </w:r>
      <w:r>
        <w:t xml:space="preserve">), Roundtable Discussion </w:t>
      </w:r>
      <w:r w:rsidRPr="006E3776">
        <w:t>12 May 2016 Intersex children and clinical practice</w:t>
      </w:r>
      <w:r>
        <w:t xml:space="preserve">, </w:t>
      </w:r>
      <w:hyperlink r:id="rId20" w:history="1">
        <w:r w:rsidRPr="001B3353">
          <w:rPr>
            <w:rStyle w:val="Hyperlink"/>
          </w:rPr>
          <w:t>https://lapsiasia.fi/-/-intersukupuoliset-lapset-ja-hoitokaytannot-</w:t>
        </w:r>
      </w:hyperlink>
      <w:r>
        <w:t xml:space="preserve"> </w:t>
      </w:r>
    </w:p>
  </w:footnote>
  <w:footnote w:id="18">
    <w:p w14:paraId="209EFE43" w14:textId="74CBE0EF" w:rsidR="002C0DA7" w:rsidRPr="005369DE" w:rsidRDefault="002C0DA7" w:rsidP="00DA4554">
      <w:pPr>
        <w:pStyle w:val="fussnoteschattenbericht"/>
        <w:spacing w:line="288" w:lineRule="auto"/>
      </w:pPr>
      <w:r w:rsidRPr="00E2403F">
        <w:rPr>
          <w:rStyle w:val="FootnoteReference"/>
          <w:vertAlign w:val="baseline"/>
        </w:rPr>
        <w:footnoteRef/>
      </w:r>
      <w:r w:rsidRPr="005369DE">
        <w:t xml:space="preserve"> </w:t>
      </w:r>
      <w:r w:rsidRPr="005369DE">
        <w:tab/>
      </w:r>
      <w:r>
        <w:t xml:space="preserve">Ombudsman for Children (2016), “Intersukupuolisten lasten oikeuksia vahvistettava” (“The rights of intersex children need to be strengthened”), </w:t>
      </w:r>
      <w:r>
        <w:br/>
      </w:r>
      <w:hyperlink r:id="rId21" w:history="1">
        <w:r w:rsidRPr="006335C6">
          <w:rPr>
            <w:rStyle w:val="Hyperlink"/>
          </w:rPr>
          <w:t>https://lapsiasia.fi/-/-lapsiasiavaltuutettu-intersukupuolisten-lasten-oikeuksia-vahvistettava-</w:t>
        </w:r>
      </w:hyperlink>
      <w:r>
        <w:t xml:space="preserve"> </w:t>
      </w:r>
    </w:p>
  </w:footnote>
  <w:footnote w:id="19">
    <w:p w14:paraId="12CD63AE" w14:textId="14EA7E64" w:rsidR="002C0DA7" w:rsidRPr="005369DE" w:rsidRDefault="002C0DA7" w:rsidP="0033727E">
      <w:pPr>
        <w:pStyle w:val="fussnoteschattenbericht"/>
        <w:spacing w:line="288" w:lineRule="auto"/>
      </w:pPr>
      <w:r w:rsidRPr="00E2403F">
        <w:rPr>
          <w:rStyle w:val="FootnoteReference"/>
          <w:vertAlign w:val="baseline"/>
        </w:rPr>
        <w:footnoteRef/>
      </w:r>
      <w:r w:rsidRPr="005369DE">
        <w:t xml:space="preserve"> </w:t>
      </w:r>
      <w:r>
        <w:tab/>
        <w:t xml:space="preserve">Ombudsman for Equality and Ombudsman for Children (2017), “Intersukupuolisilla on oikeus omaan </w:t>
      </w:r>
      <w:r>
        <w:br/>
        <w:t xml:space="preserve">kehoonsa” (“Intersex people have the right to their own body”), </w:t>
      </w:r>
      <w:r>
        <w:br/>
      </w:r>
      <w:hyperlink r:id="rId22" w:history="1">
        <w:r w:rsidRPr="0033727E">
          <w:rPr>
            <w:rStyle w:val="Hyperlink"/>
            <w:sz w:val="18"/>
            <w:szCs w:val="18"/>
          </w:rPr>
          <w:t>https://tasa-arvo.fi/-/tasa-arvovaltuutettu-ja-lapsiasiavaltuutettu-intersukupuolisilla-lapsilla-on-oikeus-omaan-kehoonsa</w:t>
        </w:r>
      </w:hyperlink>
      <w:r w:rsidRPr="0033727E">
        <w:rPr>
          <w:sz w:val="18"/>
          <w:szCs w:val="18"/>
        </w:rPr>
        <w:t xml:space="preserve"> </w:t>
      </w:r>
    </w:p>
  </w:footnote>
  <w:footnote w:id="20">
    <w:p w14:paraId="1A3AB8D1" w14:textId="075DE28A" w:rsidR="002C0DA7" w:rsidRPr="005369DE" w:rsidRDefault="002C0DA7" w:rsidP="009F0F0E">
      <w:pPr>
        <w:pStyle w:val="fussnoteschattenbericht"/>
        <w:spacing w:line="288" w:lineRule="auto"/>
      </w:pPr>
      <w:r w:rsidRPr="00E2403F">
        <w:rPr>
          <w:rStyle w:val="FootnoteReference"/>
          <w:vertAlign w:val="baseline"/>
        </w:rPr>
        <w:footnoteRef/>
      </w:r>
      <w:r w:rsidRPr="005369DE">
        <w:t xml:space="preserve"> </w:t>
      </w:r>
      <w:r w:rsidRPr="005369DE">
        <w:tab/>
      </w:r>
      <w:r>
        <w:t>Ibid.</w:t>
      </w:r>
    </w:p>
  </w:footnote>
  <w:footnote w:id="21">
    <w:p w14:paraId="705F46B0" w14:textId="784D2FB3" w:rsidR="002C0DA7" w:rsidRPr="005369DE" w:rsidRDefault="002C0DA7" w:rsidP="0033727E">
      <w:pPr>
        <w:pStyle w:val="fussnoteschattenbericht"/>
        <w:spacing w:line="288" w:lineRule="auto"/>
      </w:pPr>
      <w:r w:rsidRPr="00E2403F">
        <w:rPr>
          <w:rStyle w:val="FootnoteReference"/>
          <w:vertAlign w:val="baseline"/>
        </w:rPr>
        <w:footnoteRef/>
      </w:r>
      <w:r w:rsidRPr="005369DE">
        <w:t xml:space="preserve"> </w:t>
      </w:r>
      <w:r w:rsidRPr="005369DE">
        <w:tab/>
      </w:r>
      <w:r>
        <w:t xml:space="preserve">Ombudsman for Equality (2018), “Ombudsman for Equality’s report to Parliament 2018”, </w:t>
      </w:r>
      <w:hyperlink r:id="rId23" w:history="1">
        <w:r w:rsidRPr="006335C6">
          <w:rPr>
            <w:rStyle w:val="Hyperlink"/>
          </w:rPr>
          <w:t>https://tasa-arvo.fi/documents/25249985/49416869/Ombudsman+for+Equality's+Report+to+Parliament+2018+(PDF).pdf/63a9737d-c5a3-1e00-cc4c-5118b5780c1c/Ombudsman+for+Equality's+Report+to+Parliament+2018+(PDF).pdf</w:t>
        </w:r>
      </w:hyperlink>
      <w:r>
        <w:t xml:space="preserve"> </w:t>
      </w:r>
    </w:p>
  </w:footnote>
  <w:footnote w:id="22">
    <w:p w14:paraId="5D96E4A8" w14:textId="7336F78C" w:rsidR="002C0DA7" w:rsidRPr="005369DE" w:rsidRDefault="002C0DA7" w:rsidP="0065205A">
      <w:pPr>
        <w:pStyle w:val="fussnoteschattenbericht"/>
        <w:spacing w:line="288" w:lineRule="auto"/>
      </w:pPr>
      <w:r w:rsidRPr="00E2403F">
        <w:rPr>
          <w:rStyle w:val="FootnoteReference"/>
          <w:vertAlign w:val="baseline"/>
        </w:rPr>
        <w:footnoteRef/>
      </w:r>
      <w:r w:rsidRPr="005369DE">
        <w:t xml:space="preserve"> </w:t>
      </w:r>
      <w:r w:rsidRPr="005369DE">
        <w:tab/>
      </w:r>
      <w:r>
        <w:t>See 2019 CCPR NHRI Report (for LOIPR), para 32</w:t>
      </w:r>
    </w:p>
  </w:footnote>
  <w:footnote w:id="23">
    <w:p w14:paraId="3699FA41" w14:textId="2D7D3015" w:rsidR="002C0DA7" w:rsidRPr="005369DE" w:rsidRDefault="002C0DA7" w:rsidP="0065205A">
      <w:pPr>
        <w:pStyle w:val="fussnoteschattenbericht"/>
        <w:spacing w:line="288" w:lineRule="auto"/>
      </w:pPr>
      <w:r w:rsidRPr="00E2403F">
        <w:rPr>
          <w:rStyle w:val="FootnoteReference"/>
          <w:vertAlign w:val="baseline"/>
        </w:rPr>
        <w:footnoteRef/>
      </w:r>
      <w:r w:rsidRPr="005369DE">
        <w:t xml:space="preserve"> </w:t>
      </w:r>
      <w:r w:rsidRPr="005369DE">
        <w:tab/>
      </w:r>
      <w:r>
        <w:t>2019 qualitative Intersex Study commissioned by the Ministry of Justice, see above footnote 11</w:t>
      </w:r>
    </w:p>
  </w:footnote>
  <w:footnote w:id="24">
    <w:p w14:paraId="29FC5E1E" w14:textId="4943EE92" w:rsidR="002C0DA7" w:rsidRPr="005369DE" w:rsidRDefault="002C0DA7" w:rsidP="0065205A">
      <w:pPr>
        <w:pStyle w:val="fussnoteschattenbericht"/>
        <w:spacing w:line="288" w:lineRule="auto"/>
      </w:pPr>
      <w:r w:rsidRPr="00E2403F">
        <w:rPr>
          <w:rStyle w:val="FootnoteReference"/>
          <w:vertAlign w:val="baseline"/>
        </w:rPr>
        <w:footnoteRef/>
      </w:r>
      <w:r w:rsidRPr="005369DE">
        <w:t xml:space="preserve"> </w:t>
      </w:r>
      <w:r w:rsidRPr="005369DE">
        <w:tab/>
      </w:r>
      <w:r>
        <w:t xml:space="preserve">Mika Venhola (2012), video statement on intersex surgery, recorded on occasion of the Genital Autonomy 2012 conference by James Loewen, </w:t>
      </w:r>
      <w:hyperlink r:id="rId24" w:history="1">
        <w:r w:rsidRPr="001B3353">
          <w:rPr>
            <w:rStyle w:val="Hyperlink"/>
          </w:rPr>
          <w:t>https://www.youtube.com/watch?v=riNtxjntqZE</w:t>
        </w:r>
      </w:hyperlink>
      <w:r>
        <w:t xml:space="preserve"> </w:t>
      </w:r>
      <w:r>
        <w:br/>
        <w:t xml:space="preserve">Partial transcript, see </w:t>
      </w:r>
      <w:hyperlink r:id="rId25" w:history="1">
        <w:r w:rsidRPr="001B3353">
          <w:rPr>
            <w:rStyle w:val="Hyperlink"/>
          </w:rPr>
          <w:t>https://ihra.org.au/7867/mika-venhola-video/</w:t>
        </w:r>
      </w:hyperlink>
      <w:r>
        <w:t xml:space="preserve"> </w:t>
      </w:r>
    </w:p>
  </w:footnote>
  <w:footnote w:id="25">
    <w:p w14:paraId="6DFE55E6" w14:textId="18C73E58" w:rsidR="002C0DA7" w:rsidRPr="005369DE" w:rsidRDefault="002C0DA7" w:rsidP="0065205A">
      <w:pPr>
        <w:pStyle w:val="fussnoteschattenbericht"/>
        <w:spacing w:line="288" w:lineRule="auto"/>
      </w:pPr>
      <w:r w:rsidRPr="00E2403F">
        <w:rPr>
          <w:rStyle w:val="FootnoteReference"/>
          <w:vertAlign w:val="baseline"/>
        </w:rPr>
        <w:footnoteRef/>
      </w:r>
      <w:r w:rsidRPr="005369DE">
        <w:t xml:space="preserve"> </w:t>
      </w:r>
      <w:r w:rsidRPr="005369DE">
        <w:tab/>
      </w:r>
      <w:r>
        <w:t xml:space="preserve">Mika Venhola, </w:t>
      </w:r>
      <w:r w:rsidRPr="007A34E0">
        <w:t>Miina Savolainen</w:t>
      </w:r>
      <w:r>
        <w:t xml:space="preserve"> (2016), </w:t>
      </w:r>
      <w:r w:rsidRPr="00E11525">
        <w:t xml:space="preserve">Intersukupuolisten lasten hoitoeettiset lähtökohdat. Yhteenveto 29.4.2015 seminaa-rista Ruotsin ja Suomen eettisille neuvottelukunnille, SMERille ja ETENElle </w:t>
      </w:r>
      <w:r>
        <w:t>[</w:t>
      </w:r>
      <w:r w:rsidRPr="00E11525">
        <w:t>Ethical principles of care for intersex children. Summary of the seminar on 29 April 2015 for the Swedish and Finnish Ethical Advisory Boards, SMER and ETENE</w:t>
      </w:r>
      <w:r>
        <w:t xml:space="preserve">], </w:t>
      </w:r>
      <w:r>
        <w:br/>
      </w:r>
      <w:hyperlink r:id="rId26" w:history="1">
        <w:r w:rsidRPr="001B3353">
          <w:rPr>
            <w:rStyle w:val="Hyperlink"/>
          </w:rPr>
          <w:t>https://lapsiasia.fi/documents/25250457/37287625/SmerEteneLausunto2015VenholaSavolainen-Copy.pdf</w:t>
        </w:r>
      </w:hyperlink>
      <w:r>
        <w:t xml:space="preserve"> </w:t>
      </w:r>
    </w:p>
  </w:footnote>
  <w:footnote w:id="26">
    <w:p w14:paraId="3B579B76" w14:textId="054E9403" w:rsidR="002C0DA7" w:rsidRPr="005369DE" w:rsidRDefault="002C0DA7" w:rsidP="00FE478B">
      <w:pPr>
        <w:pStyle w:val="fussnoteschattenbericht"/>
        <w:spacing w:line="288" w:lineRule="auto"/>
      </w:pPr>
      <w:r w:rsidRPr="00E2403F">
        <w:rPr>
          <w:rStyle w:val="FootnoteReference"/>
          <w:vertAlign w:val="baseline"/>
        </w:rPr>
        <w:footnoteRef/>
      </w:r>
      <w:r w:rsidRPr="005369DE">
        <w:t xml:space="preserve"> </w:t>
      </w:r>
      <w:r w:rsidRPr="005369DE">
        <w:tab/>
      </w:r>
      <w:r w:rsidRPr="00FE478B">
        <w:t xml:space="preserve">Tikli Oikarinen (2020), </w:t>
      </w:r>
      <w:r>
        <w:t>“</w:t>
      </w:r>
      <w:r w:rsidRPr="00FE478B">
        <w:t>No information or options. Study on the rights and experiences of intersex people in Finland</w:t>
      </w:r>
      <w:r>
        <w:t>”</w:t>
      </w:r>
      <w:r w:rsidRPr="00FE478B">
        <w:t>, commissioned and published by the Ministry of Justice and the Ministry for Foreign Affairs, 28.2.2019,</w:t>
      </w:r>
      <w:r>
        <w:t xml:space="preserve"> p. 109, 113 (p. 115, 119 in PDF),</w:t>
      </w:r>
      <w:r w:rsidRPr="00FE478B">
        <w:t xml:space="preserve"> </w:t>
      </w:r>
      <w:hyperlink r:id="rId27" w:history="1">
        <w:r w:rsidRPr="00835B0A">
          <w:rPr>
            <w:rStyle w:val="Hyperlink"/>
            <w:sz w:val="19"/>
            <w:szCs w:val="19"/>
          </w:rPr>
          <w:t>https://um.fi/documents/35732/0/IP1709011_STUDY_ON_THE_RIGHTS_AND_EXPERIENCES_sahkoinen_5.pdf</w:t>
        </w:r>
      </w:hyperlink>
      <w:r w:rsidRPr="00835B0A">
        <w:rPr>
          <w:sz w:val="19"/>
          <w:szCs w:val="19"/>
        </w:rPr>
        <w:t xml:space="preserve"> </w:t>
      </w:r>
    </w:p>
  </w:footnote>
  <w:footnote w:id="27">
    <w:p w14:paraId="2FC3DCB9" w14:textId="1AF689A6" w:rsidR="002C0DA7" w:rsidRPr="00851C1F" w:rsidRDefault="002C0DA7" w:rsidP="008E6A3E">
      <w:pPr>
        <w:pStyle w:val="fussnoteschattenbericht"/>
        <w:rPr>
          <w:lang w:val="en-US"/>
        </w:rPr>
      </w:pPr>
      <w:r w:rsidRPr="00E2403F">
        <w:rPr>
          <w:rStyle w:val="FootnoteReference"/>
          <w:vertAlign w:val="baseline"/>
        </w:rPr>
        <w:footnoteRef/>
      </w:r>
      <w:r w:rsidRPr="00E2403F">
        <w:t xml:space="preserve"> </w:t>
      </w:r>
      <w:r w:rsidRPr="00E2403F">
        <w:tab/>
      </w:r>
      <w:r>
        <w:t>Ministry of Justice Finland (2017), “</w:t>
      </w:r>
      <w:r w:rsidRPr="00FD5F47">
        <w:t>National Action Plan on Fundamental and Human Rights 2017-2019</w:t>
      </w:r>
      <w:r>
        <w:t xml:space="preserve">”, p. 85, </w:t>
      </w:r>
      <w:hyperlink r:id="rId28" w:history="1">
        <w:r w:rsidRPr="006335C6">
          <w:rPr>
            <w:rStyle w:val="Hyperlink"/>
          </w:rPr>
          <w:t>https://julkaisut.valtioneuvosto.fi/bitstream/handle/10024/79849/OMML_25_2017.pdf</w:t>
        </w:r>
      </w:hyperlink>
      <w:r>
        <w:t xml:space="preserve"> </w:t>
      </w:r>
    </w:p>
  </w:footnote>
  <w:footnote w:id="28">
    <w:p w14:paraId="03F8CB72" w14:textId="6C39E666" w:rsidR="002C0DA7" w:rsidRPr="00851C1F" w:rsidRDefault="002C0DA7" w:rsidP="008E6A3E">
      <w:pPr>
        <w:pStyle w:val="fussnoteschattenbericht"/>
        <w:rPr>
          <w:lang w:val="en-US"/>
        </w:rPr>
      </w:pPr>
      <w:r w:rsidRPr="008E1474">
        <w:rPr>
          <w:rStyle w:val="FootnoteReference"/>
          <w:vertAlign w:val="baseline"/>
        </w:rPr>
        <w:footnoteRef/>
      </w:r>
      <w:r w:rsidRPr="008E1474">
        <w:t xml:space="preserve"> </w:t>
      </w:r>
      <w:r w:rsidRPr="008E1474">
        <w:tab/>
        <w:t xml:space="preserve">“Inclusive and competent Finland – a socially, economically and ecologically sustainable society. Programme of Prime Minister Sanna Marin’s Government 2019”, Objective 3. Strengthening the integrity of society (social inclusion, good ethnic relations, prevention of discrimination, breaking the cycle of cumulative social exclusion and inequality), </w:t>
      </w:r>
      <w:hyperlink r:id="rId29" w:history="1">
        <w:r w:rsidRPr="008E1474">
          <w:rPr>
            <w:rStyle w:val="Hyperlink"/>
          </w:rPr>
          <w:t>https://web.archive.org/web/20230326112622/https://valtioneuvosto.fi/en/marin/government-programme/strengthening-the-rule-of-law</w:t>
        </w:r>
      </w:hyperlink>
      <w:r>
        <w:t xml:space="preserve"> </w:t>
      </w:r>
    </w:p>
  </w:footnote>
  <w:footnote w:id="29">
    <w:p w14:paraId="53643CE0" w14:textId="77777777" w:rsidR="002C0DA7" w:rsidRPr="00017E29" w:rsidRDefault="002C0DA7" w:rsidP="004C4581">
      <w:pPr>
        <w:pStyle w:val="fussnoteschattenbericht"/>
      </w:pPr>
      <w:r w:rsidRPr="00017E29">
        <w:footnoteRef/>
      </w:r>
      <w:r w:rsidRPr="00017E29">
        <w:tab/>
        <w:t xml:space="preserve">Statement supported by </w:t>
      </w:r>
      <w:r>
        <w:t>Finland</w:t>
      </w:r>
      <w:r w:rsidRPr="00017E29">
        <w:t xml:space="preserve"> (and 34 other States) during the 45</w:t>
      </w:r>
      <w:r w:rsidRPr="00017E29">
        <w:rPr>
          <w:vertAlign w:val="superscript"/>
        </w:rPr>
        <w:t>th</w:t>
      </w:r>
      <w:r w:rsidRPr="00017E29">
        <w:t xml:space="preserve"> Session of the Human Rights Council on 1 October 2020, </w:t>
      </w:r>
      <w:hyperlink r:id="rId30" w:history="1">
        <w:r w:rsidRPr="00017E29">
          <w:rPr>
            <w:rStyle w:val="Hyperlink"/>
          </w:rPr>
          <w:t>https://www.dfat.gov.au/international-relations/themes/human-rights/hrc-statements/45th-session-human-rights-council/joint-statement-led-austria-rights-intersex-persons</w:t>
        </w:r>
      </w:hyperlink>
      <w:r w:rsidRPr="00017E29">
        <w:t xml:space="preserve"> </w:t>
      </w:r>
    </w:p>
  </w:footnote>
  <w:footnote w:id="30">
    <w:p w14:paraId="018936DA" w14:textId="77777777" w:rsidR="002C0DA7" w:rsidRPr="00851C1F" w:rsidRDefault="002C0DA7" w:rsidP="008E6A3E">
      <w:pPr>
        <w:pStyle w:val="fussnoteschattenbericht"/>
        <w:rPr>
          <w:lang w:val="en-US"/>
        </w:rPr>
      </w:pPr>
      <w:r w:rsidRPr="00E2403F">
        <w:rPr>
          <w:rStyle w:val="FootnoteReference"/>
          <w:vertAlign w:val="baseline"/>
        </w:rPr>
        <w:footnoteRef/>
      </w:r>
      <w:r w:rsidRPr="00E2403F">
        <w:t xml:space="preserve"> </w:t>
      </w:r>
      <w:r w:rsidRPr="00E2403F">
        <w:tab/>
      </w:r>
      <w:r>
        <w:t xml:space="preserve">Ministry </w:t>
      </w:r>
      <w:r w:rsidRPr="0017196C">
        <w:t xml:space="preserve">of Social Affairs and Health </w:t>
      </w:r>
      <w:r>
        <w:t xml:space="preserve">(2021), “Making Finland a Global Leader in Gender Equality. Government Action Plan for Gender Equality 2020–2023”, p. 46 (p. 47 in PDF), </w:t>
      </w:r>
      <w:hyperlink r:id="rId31" w:history="1">
        <w:r w:rsidRPr="006335C6">
          <w:rPr>
            <w:rStyle w:val="Hyperlink"/>
          </w:rPr>
          <w:t>https://julkaisut.valtioneuvosto.fi/bitstream/handle/10024/162844/STM_2021_10_J.pdf</w:t>
        </w:r>
      </w:hyperlink>
      <w:r>
        <w:t xml:space="preserve"> </w:t>
      </w:r>
    </w:p>
  </w:footnote>
  <w:footnote w:id="31">
    <w:p w14:paraId="47804A3F" w14:textId="77777777" w:rsidR="002C0DA7" w:rsidRPr="00017E29" w:rsidRDefault="002C0DA7" w:rsidP="004C4581">
      <w:pPr>
        <w:pStyle w:val="fussnoteschattenbericht"/>
        <w:rPr>
          <w:rStyle w:val="Hyperlink"/>
        </w:rPr>
      </w:pPr>
      <w:r w:rsidRPr="00017E29">
        <w:footnoteRef/>
      </w:r>
      <w:r w:rsidRPr="00017E29">
        <w:tab/>
        <w:t xml:space="preserve">Statement supported by </w:t>
      </w:r>
      <w:r>
        <w:t>Finland</w:t>
      </w:r>
      <w:r w:rsidRPr="00017E29">
        <w:t xml:space="preserve"> (and 52 other States) during the 48</w:t>
      </w:r>
      <w:r w:rsidRPr="00017E29">
        <w:rPr>
          <w:vertAlign w:val="superscript"/>
        </w:rPr>
        <w:t>th</w:t>
      </w:r>
      <w:r w:rsidRPr="00017E29">
        <w:t xml:space="preserve"> Session of the Human Rights Council on 4 October 2021, </w:t>
      </w:r>
      <w:hyperlink r:id="rId32" w:history="1">
        <w:r w:rsidRPr="00017E29">
          <w:rPr>
            <w:rStyle w:val="Hyperlink"/>
          </w:rPr>
          <w:t>https://www.bmeia.gv.at/oev-genf/speeches/alle/2021/10/united-nations-human-rights-council-48th-session-joint-statement-on-the-human-rights-of-intersex-persons/</w:t>
        </w:r>
      </w:hyperlink>
      <w:r w:rsidRPr="00017E29">
        <w:t xml:space="preserve"> </w:t>
      </w:r>
    </w:p>
  </w:footnote>
  <w:footnote w:id="32">
    <w:p w14:paraId="2635225B" w14:textId="22FD2BB3" w:rsidR="002C0DA7" w:rsidRDefault="002C0DA7" w:rsidP="00013751">
      <w:pPr>
        <w:pStyle w:val="fussnoteschattenbericht"/>
      </w:pPr>
      <w:r w:rsidRPr="007B1662">
        <w:footnoteRef/>
      </w:r>
      <w:r w:rsidRPr="007B1662">
        <w:tab/>
      </w:r>
      <w:r>
        <w:t>Statement initiated by Finland (and supported by 55 other States) during the 54</w:t>
      </w:r>
      <w:r w:rsidRPr="00C04579">
        <w:rPr>
          <w:vertAlign w:val="superscript"/>
        </w:rPr>
        <w:t>th</w:t>
      </w:r>
      <w:r>
        <w:t xml:space="preserve"> Session of the Human Rights Council on 4 October 2023</w:t>
      </w:r>
      <w:r w:rsidRPr="007B1662">
        <w:t xml:space="preserve">, </w:t>
      </w:r>
      <w:hyperlink r:id="rId33" w:history="1">
        <w:r w:rsidRPr="000B41E3">
          <w:rPr>
            <w:rStyle w:val="Hyperlink"/>
          </w:rPr>
          <w:t>https://finlandabroad.fi/web/geneve/current-affairs/-/asset_publisher/h5w4iTUJhNne/content/general-debate-item-8/384951</w:t>
        </w:r>
      </w:hyperlink>
      <w:r>
        <w:t xml:space="preserve"> </w:t>
      </w:r>
    </w:p>
  </w:footnote>
  <w:footnote w:id="33">
    <w:p w14:paraId="70F54EDE" w14:textId="57EFB64E" w:rsidR="002C0DA7" w:rsidRPr="005C4771" w:rsidRDefault="002C0DA7" w:rsidP="0065205A">
      <w:pPr>
        <w:pStyle w:val="fussnoteschattenbericht"/>
      </w:pPr>
      <w:r w:rsidRPr="002635E1">
        <w:rPr>
          <w:rStyle w:val="FootnoteReference"/>
          <w:vertAlign w:val="baseline"/>
        </w:rPr>
        <w:footnoteRef/>
      </w:r>
      <w:r w:rsidRPr="005C4771">
        <w:t xml:space="preserve"> </w:t>
      </w:r>
      <w:r w:rsidRPr="005C4771">
        <w:tab/>
      </w:r>
      <w:r w:rsidRPr="00A330AC">
        <w:t>ETENE (2016). Intersukupuolisuus [Intersex]. Taustaraportti ETENEn kannanottoon [Background report to ETENE’s position statement]</w:t>
      </w:r>
      <w:r>
        <w:t xml:space="preserve">, </w:t>
      </w:r>
      <w:r>
        <w:br/>
      </w:r>
      <w:hyperlink r:id="rId34" w:history="1">
        <w:r w:rsidRPr="001B3353">
          <w:rPr>
            <w:rStyle w:val="Hyperlink"/>
            <w:sz w:val="16"/>
            <w:szCs w:val="16"/>
          </w:rPr>
          <w:t>https://etene.fi/documents/1429646/2056382/IS-raportti20160331.pdf/58bf2412-48a9-4521-b5ae-81a3ee3bc07b/IS-raportti20160331.pdf</w:t>
        </w:r>
      </w:hyperlink>
      <w:r>
        <w:t xml:space="preserve"> </w:t>
      </w:r>
    </w:p>
  </w:footnote>
  <w:footnote w:id="34">
    <w:p w14:paraId="643B8B0D" w14:textId="6D286958" w:rsidR="002C0DA7" w:rsidRPr="005369DE" w:rsidRDefault="002C0DA7" w:rsidP="0065205A">
      <w:pPr>
        <w:pStyle w:val="fussnoteschattenbericht"/>
      </w:pPr>
      <w:r w:rsidRPr="00E2403F">
        <w:rPr>
          <w:rStyle w:val="FootnoteReference"/>
          <w:vertAlign w:val="baseline"/>
        </w:rPr>
        <w:footnoteRef/>
      </w:r>
      <w:r w:rsidRPr="005369DE">
        <w:t xml:space="preserve"> </w:t>
      </w:r>
      <w:r w:rsidRPr="005369DE">
        <w:tab/>
      </w:r>
      <w:r w:rsidRPr="00851C1F">
        <w:t>Tikli Oikarinen</w:t>
      </w:r>
      <w:r>
        <w:t xml:space="preserve"> (2019), </w:t>
      </w:r>
      <w:r w:rsidRPr="00851C1F">
        <w:t>No information or options</w:t>
      </w:r>
      <w:r>
        <w:t xml:space="preserve">. </w:t>
      </w:r>
      <w:r w:rsidRPr="00851C1F">
        <w:t>Study on the rights and experiences of intersex persons</w:t>
      </w:r>
      <w:r>
        <w:t xml:space="preserve">, </w:t>
      </w:r>
      <w:r w:rsidRPr="00851C1F">
        <w:t>Publications of the Ministry of Justice, Reports and guidelines</w:t>
      </w:r>
      <w:r>
        <w:t xml:space="preserve"> </w:t>
      </w:r>
      <w:r w:rsidRPr="00851C1F">
        <w:t>2019:3</w:t>
      </w:r>
      <w:r>
        <w:t xml:space="preserve">, </w:t>
      </w:r>
      <w:hyperlink r:id="rId35" w:history="1">
        <w:r w:rsidRPr="00721372">
          <w:rPr>
            <w:rStyle w:val="Hyperlink"/>
            <w:sz w:val="19"/>
            <w:szCs w:val="19"/>
          </w:rPr>
          <w:t>https://um.fi/documents/35732/0/IP1709011_STUDY_ON_THE_RIGHTS_AND_EXPERIENCES_sahkoinen_5.pdf</w:t>
        </w:r>
      </w:hyperlink>
    </w:p>
  </w:footnote>
  <w:footnote w:id="35">
    <w:p w14:paraId="219F6D41" w14:textId="46907C64" w:rsidR="002C0DA7" w:rsidRPr="005369DE" w:rsidRDefault="002C0DA7" w:rsidP="0065205A">
      <w:pPr>
        <w:pStyle w:val="fussnoteschattenbericht"/>
      </w:pPr>
      <w:r w:rsidRPr="00E2403F">
        <w:rPr>
          <w:rStyle w:val="FootnoteReference"/>
          <w:vertAlign w:val="baseline"/>
        </w:rPr>
        <w:footnoteRef/>
      </w:r>
      <w:r w:rsidRPr="005369DE">
        <w:t xml:space="preserve"> </w:t>
      </w:r>
      <w:r w:rsidRPr="005369DE">
        <w:tab/>
      </w:r>
      <w:r>
        <w:t>Ibid.</w:t>
      </w:r>
    </w:p>
  </w:footnote>
  <w:footnote w:id="36">
    <w:p w14:paraId="55BC43ED" w14:textId="41192ED7" w:rsidR="002C0DA7" w:rsidRPr="00C153F5" w:rsidRDefault="002C0DA7" w:rsidP="0065205A">
      <w:pPr>
        <w:pStyle w:val="fussnoteschattenbericht"/>
      </w:pPr>
      <w:r w:rsidRPr="00C153F5">
        <w:rPr>
          <w:rStyle w:val="FootnoteReference"/>
          <w:vertAlign w:val="baseline"/>
        </w:rPr>
        <w:footnoteRef/>
      </w:r>
      <w:r w:rsidRPr="00C153F5">
        <w:rPr>
          <w:rStyle w:val="FootnoteSymbol"/>
          <w:rFonts w:eastAsia="Times New Roman"/>
        </w:rPr>
        <w:tab/>
      </w:r>
      <w:r w:rsidRPr="00C153F5">
        <w:t xml:space="preserve">For general information, see 2016 CEDAW NGO Report France, p. 47. </w:t>
      </w:r>
      <w:hyperlink r:id="rId36" w:history="1">
        <w:r w:rsidRPr="001B3353">
          <w:rPr>
            <w:rStyle w:val="Hyperlink"/>
          </w:rPr>
          <w:t>https://intersex.shadowreport.org/public/2016-CEDAW-France-NGO-Zwischengeschlecht-Intersex-IGM.pdf</w:t>
        </w:r>
      </w:hyperlink>
    </w:p>
  </w:footnote>
  <w:footnote w:id="37">
    <w:p w14:paraId="3DF61C8A" w14:textId="77777777" w:rsidR="002C0DA7" w:rsidRPr="00C153F5" w:rsidRDefault="002C0DA7" w:rsidP="00727B3D">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37" w:history="1">
        <w:r w:rsidRPr="00530BE6">
          <w:rPr>
            <w:rStyle w:val="Hyperlink"/>
          </w:rPr>
          <w:t>https://uroweb.org/guidelines/endorsement/</w:t>
        </w:r>
      </w:hyperlink>
      <w:r>
        <w:t xml:space="preserve"> </w:t>
      </w:r>
    </w:p>
  </w:footnote>
  <w:footnote w:id="38">
    <w:p w14:paraId="25B1ACC8" w14:textId="77777777" w:rsidR="002C0DA7" w:rsidRPr="00C153F5" w:rsidRDefault="002C0DA7" w:rsidP="00727B3D">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38" w:history="1">
        <w:r w:rsidRPr="00B97E1B">
          <w:rPr>
            <w:rStyle w:val="Hyperlink"/>
            <w:sz w:val="18"/>
            <w:szCs w:val="18"/>
          </w:rPr>
          <w:t>https://d56bochluxqnz.cloudfront.net/documents/full-guideline/EAU-Guidelines-on-Paediatric-Urology-2023.pdf</w:t>
        </w:r>
      </w:hyperlink>
      <w:r>
        <w:rPr>
          <w:sz w:val="18"/>
          <w:szCs w:val="18"/>
        </w:rPr>
        <w:t xml:space="preserve"> </w:t>
      </w:r>
    </w:p>
  </w:footnote>
  <w:footnote w:id="39">
    <w:p w14:paraId="2C3E358C" w14:textId="77777777" w:rsidR="002C0DA7" w:rsidRPr="00C153F5" w:rsidRDefault="002C0DA7" w:rsidP="00727B3D">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94</w:t>
      </w:r>
    </w:p>
  </w:footnote>
  <w:footnote w:id="40">
    <w:p w14:paraId="6998FADF" w14:textId="77777777" w:rsidR="002C0DA7" w:rsidRPr="00C153F5" w:rsidRDefault="002C0DA7" w:rsidP="00727B3D">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93</w:t>
      </w:r>
    </w:p>
  </w:footnote>
  <w:footnote w:id="41">
    <w:p w14:paraId="2CDD3400" w14:textId="77777777" w:rsidR="002C0DA7" w:rsidRPr="00C153F5" w:rsidRDefault="002C0DA7" w:rsidP="00727B3D">
      <w:pPr>
        <w:pStyle w:val="fussnoteschattenbericht"/>
        <w:rPr>
          <w:rStyle w:val="Hyperlink"/>
        </w:rPr>
      </w:pPr>
      <w:r w:rsidRPr="00C153F5">
        <w:rPr>
          <w:rStyle w:val="FootnoteReference"/>
          <w:vertAlign w:val="baseline"/>
        </w:rPr>
        <w:footnoteRef/>
      </w:r>
      <w:r w:rsidRPr="00C153F5">
        <w:tab/>
        <w:t>P. Mouriquand, A. Caldamone, P. Malone, J.D. Frank, P. Hoebeke,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42">
    <w:p w14:paraId="3D20A88F" w14:textId="77777777" w:rsidR="002C0DA7" w:rsidRPr="00C153F5" w:rsidRDefault="002C0DA7" w:rsidP="00727B3D">
      <w:pPr>
        <w:pStyle w:val="fussnoteschattenbericht"/>
      </w:pPr>
      <w:r w:rsidRPr="00C153F5">
        <w:rPr>
          <w:rStyle w:val="FootnoteReference"/>
          <w:vertAlign w:val="baseline"/>
        </w:rPr>
        <w:footnoteRef/>
      </w:r>
      <w:r w:rsidRPr="00C153F5">
        <w:tab/>
        <w:t xml:space="preserve">Lee et al., “Global Disorders of Sex Development Update since 2006: Perceptions, Approach and Care”, Horm Res Paediatr 2016;85:158–180, </w:t>
      </w:r>
      <w:r w:rsidRPr="00C153F5">
        <w:rPr>
          <w:rStyle w:val="Hyperlink"/>
        </w:rPr>
        <w:t>https://www.karger.com/Article/Pdf/442975</w:t>
      </w:r>
    </w:p>
  </w:footnote>
  <w:footnote w:id="43">
    <w:p w14:paraId="28EF5782" w14:textId="77777777" w:rsidR="002C0DA7" w:rsidRPr="00C153F5" w:rsidRDefault="002C0DA7" w:rsidP="00727B3D">
      <w:pPr>
        <w:pStyle w:val="fussnoteschattenbericht"/>
      </w:pPr>
      <w:r w:rsidRPr="00C153F5">
        <w:rPr>
          <w:rStyle w:val="FootnoteReference"/>
          <w:vertAlign w:val="baseline"/>
        </w:rPr>
        <w:footnoteRef/>
      </w:r>
      <w:r w:rsidRPr="00C153F5">
        <w:tab/>
        <w:t>Ibid., at 180 (fn 111)</w:t>
      </w:r>
    </w:p>
  </w:footnote>
  <w:footnote w:id="44">
    <w:p w14:paraId="28CF4978" w14:textId="3B534A21"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r w:rsidRPr="00851C1F">
        <w:t>Tikli Oikarinen</w:t>
      </w:r>
      <w:r>
        <w:t xml:space="preserve"> (2019), </w:t>
      </w:r>
      <w:r w:rsidRPr="00851C1F">
        <w:t>No information or options</w:t>
      </w:r>
      <w:r>
        <w:t xml:space="preserve">. </w:t>
      </w:r>
      <w:r w:rsidRPr="00851C1F">
        <w:t>Study on the rights and experiences of intersex persons</w:t>
      </w:r>
      <w:r>
        <w:t xml:space="preserve">, </w:t>
      </w:r>
      <w:r w:rsidRPr="00851C1F">
        <w:t>Publications of the Ministry of Justice, Reports and guidelines</w:t>
      </w:r>
      <w:r>
        <w:t xml:space="preserve"> </w:t>
      </w:r>
      <w:r w:rsidRPr="00851C1F">
        <w:t>2019:3</w:t>
      </w:r>
      <w:r>
        <w:t xml:space="preserve">, </w:t>
      </w:r>
      <w:hyperlink r:id="rId39" w:history="1">
        <w:r w:rsidRPr="00721372">
          <w:rPr>
            <w:rStyle w:val="Hyperlink"/>
            <w:sz w:val="19"/>
            <w:szCs w:val="19"/>
          </w:rPr>
          <w:t>https://um.fi/documents/35732/0/IP1709011_STUDY_ON_THE_RIGHTS_AND_EXPERIENCES_sahkoinen_5.pdf</w:t>
        </w:r>
      </w:hyperlink>
    </w:p>
  </w:footnote>
  <w:footnote w:id="45">
    <w:p w14:paraId="523F2C3E" w14:textId="376541F3" w:rsidR="002C0DA7" w:rsidRPr="00C153F5" w:rsidRDefault="002C0DA7" w:rsidP="00C20D9B">
      <w:pPr>
        <w:pStyle w:val="fussnoteschattenbericht"/>
      </w:pPr>
      <w:r w:rsidRPr="00C153F5">
        <w:rPr>
          <w:rStyle w:val="FootnoteReference"/>
          <w:vertAlign w:val="baseline"/>
        </w:rPr>
        <w:footnoteRef/>
      </w:r>
      <w:r w:rsidRPr="00C153F5">
        <w:rPr>
          <w:rStyle w:val="FootnoteSymbol"/>
          <w:rFonts w:eastAsia="Times New Roman"/>
        </w:rPr>
        <w:tab/>
      </w:r>
      <w:r w:rsidRPr="00C153F5">
        <w:t xml:space="preserve">For general information, see 2016 CEDAW NGO Report France, p. 48. </w:t>
      </w:r>
      <w:hyperlink r:id="rId40" w:history="1">
        <w:r w:rsidRPr="003C69C8">
          <w:rPr>
            <w:rStyle w:val="Hyperlink"/>
          </w:rPr>
          <w:t>https://intersex.shadowreport.org/public/2016-CEDAW-France-NGO-Zwischengeschlecht-Intersex-IGM.pdf</w:t>
        </w:r>
      </w:hyperlink>
      <w:r>
        <w:t xml:space="preserve"> </w:t>
      </w:r>
    </w:p>
  </w:footnote>
  <w:footnote w:id="46">
    <w:p w14:paraId="0658ADF9"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41" w:history="1">
        <w:r w:rsidRPr="00505ABD">
          <w:rPr>
            <w:rStyle w:val="Hyperlink"/>
          </w:rPr>
          <w:t>https://uroweb.org/guidelines/endorsement/</w:t>
        </w:r>
      </w:hyperlink>
      <w:r>
        <w:t xml:space="preserve"> </w:t>
      </w:r>
    </w:p>
  </w:footnote>
  <w:footnote w:id="47">
    <w:p w14:paraId="1316CB2E"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42" w:history="1">
        <w:r w:rsidRPr="00B97E1B">
          <w:rPr>
            <w:rStyle w:val="Hyperlink"/>
            <w:sz w:val="18"/>
            <w:szCs w:val="18"/>
          </w:rPr>
          <w:t>https://d56bochluxqnz.cloudfront.net/documents/full-guideline/EAU-Guidelines-on-Paediatric-Urology-2023.pdf</w:t>
        </w:r>
      </w:hyperlink>
    </w:p>
  </w:footnote>
  <w:footnote w:id="48">
    <w:p w14:paraId="6C7D4D25"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89</w:t>
      </w:r>
    </w:p>
  </w:footnote>
  <w:footnote w:id="49">
    <w:p w14:paraId="1E056F71"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93</w:t>
      </w:r>
    </w:p>
  </w:footnote>
  <w:footnote w:id="50">
    <w:p w14:paraId="51910436"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w:t>
      </w:r>
      <w:r w:rsidRPr="00C153F5">
        <w:t xml:space="preserve"> </w:t>
      </w:r>
      <w:r>
        <w:t>p. 93</w:t>
      </w:r>
    </w:p>
  </w:footnote>
  <w:footnote w:id="51">
    <w:p w14:paraId="435B745E"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 p. 93</w:t>
      </w:r>
    </w:p>
  </w:footnote>
  <w:footnote w:id="52">
    <w:p w14:paraId="268C1171"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 p. 94</w:t>
      </w:r>
    </w:p>
  </w:footnote>
  <w:footnote w:id="53">
    <w:p w14:paraId="6685E6FA"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43" w:history="1">
        <w:r w:rsidRPr="00C153F5">
          <w:rPr>
            <w:rStyle w:val="Hyperlink"/>
          </w:rPr>
          <w:t>https://www.espu.org/images/documents/ESPU_Open_Letter_to_COE_2018-01-26.pdf</w:t>
        </w:r>
      </w:hyperlink>
      <w:r w:rsidRPr="00C153F5">
        <w:t xml:space="preserve"> </w:t>
      </w:r>
    </w:p>
  </w:footnote>
  <w:footnote w:id="54">
    <w:p w14:paraId="1F46B66B" w14:textId="32959724" w:rsidR="002C0DA7" w:rsidRPr="00383C48" w:rsidRDefault="002C0DA7" w:rsidP="00C20D9B">
      <w:pPr>
        <w:pStyle w:val="fussnoteschattenbericht"/>
      </w:pPr>
      <w:r w:rsidRPr="00C153F5">
        <w:rPr>
          <w:rStyle w:val="FootnoteReference"/>
          <w:vertAlign w:val="baseline"/>
        </w:rPr>
        <w:footnoteRef/>
      </w:r>
      <w:r w:rsidRPr="00383C48">
        <w:rPr>
          <w:rStyle w:val="FootnoteReference"/>
          <w:vertAlign w:val="baseline"/>
        </w:rPr>
        <w:t xml:space="preserve"> </w:t>
      </w:r>
      <w:r w:rsidRPr="00383C48">
        <w:tab/>
      </w:r>
      <w:hyperlink r:id="rId44" w:history="1">
        <w:r w:rsidRPr="00383C48">
          <w:rPr>
            <w:rStyle w:val="Hyperlink"/>
          </w:rPr>
          <w:t>https://www.orpha.net/data/patho/Pro/other/Synnynnainenlisamunuaistenhyperplasia-FifiAbs648.pdf</w:t>
        </w:r>
      </w:hyperlink>
      <w:r w:rsidRPr="00383C48">
        <w:t xml:space="preserve"> </w:t>
      </w:r>
    </w:p>
  </w:footnote>
  <w:footnote w:id="55">
    <w:p w14:paraId="0E60C428" w14:textId="3EB0F739" w:rsidR="002C0DA7" w:rsidRPr="00383C48" w:rsidRDefault="002C0DA7" w:rsidP="00C20D9B">
      <w:pPr>
        <w:pStyle w:val="fussnoteschattenbericht"/>
      </w:pPr>
      <w:r w:rsidRPr="00C153F5">
        <w:rPr>
          <w:rStyle w:val="FootnoteReference"/>
          <w:vertAlign w:val="baseline"/>
        </w:rPr>
        <w:footnoteRef/>
      </w:r>
      <w:r w:rsidRPr="00383C48">
        <w:rPr>
          <w:rStyle w:val="FootnoteReference"/>
          <w:vertAlign w:val="baseline"/>
        </w:rPr>
        <w:t xml:space="preserve"> </w:t>
      </w:r>
      <w:r w:rsidRPr="00383C48">
        <w:tab/>
      </w:r>
      <w:hyperlink r:id="rId45" w:history="1">
        <w:r w:rsidRPr="00383C48">
          <w:rPr>
            <w:rStyle w:val="Hyperlink"/>
          </w:rPr>
          <w:t>http://laakarinkirja.info/tauti/congenitaalinen-lisamunuaisen-hyperplasia.html</w:t>
        </w:r>
      </w:hyperlink>
      <w:r w:rsidRPr="00383C48">
        <w:t xml:space="preserve"> </w:t>
      </w:r>
    </w:p>
  </w:footnote>
  <w:footnote w:id="56">
    <w:p w14:paraId="78599209" w14:textId="4FEA9C9F" w:rsidR="002C0DA7" w:rsidRPr="00383C48" w:rsidRDefault="002C0DA7" w:rsidP="00C20D9B">
      <w:pPr>
        <w:pStyle w:val="fussnoteschattenbericht"/>
      </w:pPr>
      <w:r w:rsidRPr="00C153F5">
        <w:rPr>
          <w:rStyle w:val="FootnoteReference"/>
          <w:vertAlign w:val="baseline"/>
        </w:rPr>
        <w:footnoteRef/>
      </w:r>
      <w:r w:rsidRPr="00383C48">
        <w:rPr>
          <w:rStyle w:val="FootnoteReference"/>
          <w:vertAlign w:val="baseline"/>
        </w:rPr>
        <w:t xml:space="preserve"> </w:t>
      </w:r>
      <w:r w:rsidRPr="00383C48">
        <w:tab/>
      </w:r>
      <w:hyperlink r:id="rId46" w:history="1">
        <w:r w:rsidRPr="00383C48">
          <w:rPr>
            <w:rStyle w:val="Hyperlink"/>
          </w:rPr>
          <w:t>https://www.utu.fi/sites/default/files/public%3A//media/file/EL_opas%202017-19_final%20-%20v1118.pdf</w:t>
        </w:r>
      </w:hyperlink>
      <w:r w:rsidRPr="00383C48">
        <w:t xml:space="preserve"> </w:t>
      </w:r>
    </w:p>
  </w:footnote>
  <w:footnote w:id="57">
    <w:p w14:paraId="07544783" w14:textId="13FA57CA" w:rsidR="002C0DA7" w:rsidRPr="00C153F5" w:rsidRDefault="002C0DA7" w:rsidP="00C20D9B">
      <w:pPr>
        <w:pStyle w:val="fussnoteschattenbericht"/>
      </w:pPr>
      <w:r w:rsidRPr="00C153F5">
        <w:rPr>
          <w:rStyle w:val="FootnoteReference"/>
          <w:vertAlign w:val="baseline"/>
        </w:rPr>
        <w:footnoteRef/>
      </w:r>
      <w:r w:rsidRPr="00C153F5">
        <w:rPr>
          <w:rStyle w:val="FootnoteSymbol"/>
          <w:rFonts w:eastAsia="Times New Roman"/>
        </w:rPr>
        <w:tab/>
      </w:r>
      <w:r w:rsidRPr="00C153F5">
        <w:t xml:space="preserve">For general information, see 2016 CEDAW NGO Report France, p. 48-49. </w:t>
      </w:r>
      <w:hyperlink r:id="rId47" w:history="1">
        <w:r w:rsidRPr="001B3353">
          <w:rPr>
            <w:rStyle w:val="Hyperlink"/>
          </w:rPr>
          <w:t>https://intersex.shadowreport.org/public/2016-CEDAW-France-NGO-Zwischengeschlecht-Intersex-IGM.pdf</w:t>
        </w:r>
      </w:hyperlink>
    </w:p>
  </w:footnote>
  <w:footnote w:id="58">
    <w:p w14:paraId="1F3B6ADD"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48" w:history="1">
        <w:r w:rsidRPr="00530BE6">
          <w:rPr>
            <w:rStyle w:val="Hyperlink"/>
          </w:rPr>
          <w:t>https://uroweb.org/guidelines/endorsement/</w:t>
        </w:r>
      </w:hyperlink>
      <w:r>
        <w:t xml:space="preserve"> </w:t>
      </w:r>
    </w:p>
  </w:footnote>
  <w:footnote w:id="59">
    <w:p w14:paraId="457F6465" w14:textId="77777777" w:rsidR="002C0DA7" w:rsidRPr="00C153F5" w:rsidRDefault="002C0DA7" w:rsidP="0064215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49" w:history="1">
        <w:r w:rsidRPr="00B97E1B">
          <w:rPr>
            <w:rStyle w:val="Hyperlink"/>
            <w:sz w:val="18"/>
            <w:szCs w:val="18"/>
          </w:rPr>
          <w:t>https://d56bochluxqnz.cloudfront.net/documents/full-guideline/EAU-Guidelines-on-Paediatric-Urology-2023.pdf</w:t>
        </w:r>
      </w:hyperlink>
    </w:p>
  </w:footnote>
  <w:footnote w:id="60">
    <w:p w14:paraId="433B54CD" w14:textId="77777777" w:rsidR="002C0DA7" w:rsidRPr="00A7399C" w:rsidRDefault="002C0DA7" w:rsidP="0064215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7</w:t>
      </w:r>
    </w:p>
  </w:footnote>
  <w:footnote w:id="61">
    <w:p w14:paraId="56311BB5" w14:textId="77777777" w:rsidR="002C0DA7" w:rsidRPr="00A7399C" w:rsidRDefault="002C0DA7" w:rsidP="0064215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9</w:t>
      </w:r>
    </w:p>
  </w:footnote>
  <w:footnote w:id="62">
    <w:p w14:paraId="3500C36D" w14:textId="77777777" w:rsidR="002C0DA7" w:rsidRPr="00A7399C" w:rsidRDefault="002C0DA7" w:rsidP="0064215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8</w:t>
      </w:r>
    </w:p>
  </w:footnote>
  <w:footnote w:id="63">
    <w:p w14:paraId="7955E9D0" w14:textId="77777777" w:rsidR="002C0DA7" w:rsidRPr="00383C48" w:rsidRDefault="002C0DA7" w:rsidP="0064215F">
      <w:pPr>
        <w:pStyle w:val="fussnoteschattenbericht"/>
        <w:rPr>
          <w:lang w:val="es-MX"/>
        </w:rPr>
      </w:pPr>
      <w:r w:rsidRPr="00A7399C">
        <w:rPr>
          <w:rStyle w:val="FootnoteReference"/>
          <w:vertAlign w:val="baseline"/>
        </w:rPr>
        <w:footnoteRef/>
      </w:r>
      <w:r w:rsidRPr="00383C48">
        <w:rPr>
          <w:rStyle w:val="FootnoteReference"/>
          <w:vertAlign w:val="baseline"/>
          <w:lang w:val="es-MX"/>
        </w:rPr>
        <w:t xml:space="preserve"> </w:t>
      </w:r>
      <w:r w:rsidRPr="00383C48">
        <w:rPr>
          <w:lang w:val="es-MX"/>
        </w:rPr>
        <w:tab/>
        <w:t>Ibid., p. 28</w:t>
      </w:r>
    </w:p>
  </w:footnote>
  <w:footnote w:id="64">
    <w:p w14:paraId="4DB29A9F" w14:textId="3E8A7DF8" w:rsidR="002C0DA7" w:rsidRPr="00F745B1" w:rsidRDefault="002C0DA7" w:rsidP="00815972">
      <w:pPr>
        <w:pStyle w:val="fussnoteschattenbericht"/>
        <w:rPr>
          <w:lang w:val="es-MX"/>
        </w:rPr>
      </w:pPr>
      <w:r w:rsidRPr="00E2403F">
        <w:rPr>
          <w:rStyle w:val="FootnoteReference"/>
          <w:vertAlign w:val="baseline"/>
        </w:rPr>
        <w:footnoteRef/>
      </w:r>
      <w:r w:rsidRPr="00F745B1">
        <w:rPr>
          <w:lang w:val="es-MX"/>
        </w:rPr>
        <w:t xml:space="preserve"> </w:t>
      </w:r>
      <w:r w:rsidRPr="00F745B1">
        <w:rPr>
          <w:lang w:val="es-MX"/>
        </w:rPr>
        <w:tab/>
      </w:r>
      <w:hyperlink r:id="rId50" w:history="1">
        <w:r w:rsidRPr="000B41E3">
          <w:rPr>
            <w:rStyle w:val="Hyperlink"/>
            <w:lang w:val="es-MX"/>
          </w:rPr>
          <w:t>https://www.terveyskyla.fi/lastentalo/tietoa-lasten-sairauksista/lasten-ja-nuorten-urologia/virtsaputken-alahalkio-(hypospadia)-pojilla</w:t>
        </w:r>
      </w:hyperlink>
      <w:r>
        <w:rPr>
          <w:lang w:val="es-MX"/>
        </w:rPr>
        <w:t xml:space="preserve"> </w:t>
      </w:r>
    </w:p>
  </w:footnote>
  <w:footnote w:id="65">
    <w:p w14:paraId="252F4F9A" w14:textId="1934CA85"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r w:rsidRPr="00851C1F">
        <w:t>Tikli Oikarinen</w:t>
      </w:r>
      <w:r>
        <w:t xml:space="preserve"> (2019), </w:t>
      </w:r>
      <w:r w:rsidRPr="00851C1F">
        <w:t>No information or options</w:t>
      </w:r>
      <w:r>
        <w:t xml:space="preserve">. </w:t>
      </w:r>
      <w:r w:rsidRPr="00851C1F">
        <w:t>Study on the rights and experiences of intersex persons</w:t>
      </w:r>
      <w:r>
        <w:t xml:space="preserve">, </w:t>
      </w:r>
      <w:r w:rsidRPr="00851C1F">
        <w:t>Publications of the Ministry of Justice, Reports and guidelines</w:t>
      </w:r>
      <w:r>
        <w:t xml:space="preserve"> </w:t>
      </w:r>
      <w:r w:rsidRPr="00851C1F">
        <w:t>2019:3</w:t>
      </w:r>
      <w:r>
        <w:t xml:space="preserve">, </w:t>
      </w:r>
      <w:hyperlink r:id="rId51" w:history="1">
        <w:r w:rsidRPr="00721372">
          <w:rPr>
            <w:rStyle w:val="Hyperlink"/>
            <w:sz w:val="19"/>
            <w:szCs w:val="19"/>
          </w:rPr>
          <w:t>https://um.fi/documents/35732/0/IP1709011_STUDY_ON_THE_RIGHTS_AND_EXPERIENCES_sahkoinen_5.pdf</w:t>
        </w:r>
      </w:hyperlink>
    </w:p>
  </w:footnote>
  <w:footnote w:id="66">
    <w:p w14:paraId="08B12747" w14:textId="371F4946"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hyperlink r:id="rId52" w:history="1">
        <w:r w:rsidRPr="001B3353">
          <w:rPr>
            <w:rStyle w:val="Hyperlink"/>
          </w:rPr>
          <w:t>https://www.hus.fi/en/treatments-and-examinations/pediatric-urology</w:t>
        </w:r>
      </w:hyperlink>
      <w:r>
        <w:t xml:space="preserve"> </w:t>
      </w:r>
    </w:p>
  </w:footnote>
  <w:footnote w:id="67">
    <w:p w14:paraId="302ED242" w14:textId="587D0278"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hyperlink r:id="rId53" w:history="1">
        <w:r w:rsidRPr="000B41E3">
          <w:rPr>
            <w:rStyle w:val="Hyperlink"/>
          </w:rPr>
          <w:t>https://www.pirha.fi/palvelut/sairaalat-tays/lasten-ja-nuorten-sairaalapalvelut/lastenkirurgia</w:t>
        </w:r>
      </w:hyperlink>
      <w:r>
        <w:t xml:space="preserve"> </w:t>
      </w:r>
    </w:p>
  </w:footnote>
  <w:footnote w:id="68">
    <w:p w14:paraId="000E7258" w14:textId="35EE6FDD" w:rsidR="00617B15" w:rsidRPr="005369DE" w:rsidRDefault="00617B15" w:rsidP="00617B15">
      <w:pPr>
        <w:pStyle w:val="fussnoteschattenbericht"/>
      </w:pPr>
      <w:r w:rsidRPr="00E2403F">
        <w:rPr>
          <w:rStyle w:val="FootnoteReference"/>
          <w:vertAlign w:val="baseline"/>
        </w:rPr>
        <w:footnoteRef/>
      </w:r>
      <w:r w:rsidRPr="005369DE">
        <w:t xml:space="preserve"> </w:t>
      </w:r>
      <w:r w:rsidRPr="005369DE">
        <w:tab/>
      </w:r>
      <w:hyperlink r:id="rId54" w:history="1">
        <w:r w:rsidRPr="00617B15">
          <w:rPr>
            <w:rStyle w:val="Hyperlink"/>
            <w:sz w:val="19"/>
            <w:szCs w:val="19"/>
          </w:rPr>
          <w:t>https://www.pirha.fi/palvelut/sairaalat-tays/lasten-ja-nuorten-sairaalapalvelut/lastenkirurgia/virtsaputken-alahalkio</w:t>
        </w:r>
      </w:hyperlink>
      <w:r w:rsidRPr="00617B15">
        <w:rPr>
          <w:sz w:val="19"/>
          <w:szCs w:val="19"/>
        </w:rPr>
        <w:t xml:space="preserve"> </w:t>
      </w:r>
    </w:p>
  </w:footnote>
  <w:footnote w:id="69">
    <w:p w14:paraId="28D8F2BB" w14:textId="534A4DD4"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hyperlink r:id="rId55" w:history="1">
        <w:r w:rsidRPr="003C69C8">
          <w:rPr>
            <w:rStyle w:val="Hyperlink"/>
          </w:rPr>
          <w:t>https://www.tyks.fi/hoidot-ja-tutkimukset/sukupuolielinten-synnynnaiset-hairiot</w:t>
        </w:r>
      </w:hyperlink>
      <w:r>
        <w:t xml:space="preserve"> </w:t>
      </w:r>
    </w:p>
  </w:footnote>
  <w:footnote w:id="70">
    <w:p w14:paraId="3143E29E" w14:textId="6EA733B3" w:rsidR="002C0DA7" w:rsidRPr="005369DE" w:rsidRDefault="002C0DA7" w:rsidP="00C20D9B">
      <w:pPr>
        <w:pStyle w:val="fussnoteschattenbericht"/>
      </w:pPr>
      <w:r w:rsidRPr="00E2403F">
        <w:rPr>
          <w:rStyle w:val="FootnoteReference"/>
          <w:vertAlign w:val="baseline"/>
        </w:rPr>
        <w:footnoteRef/>
      </w:r>
      <w:r w:rsidRPr="005369DE">
        <w:t xml:space="preserve"> </w:t>
      </w:r>
      <w:r w:rsidRPr="005369DE">
        <w:tab/>
      </w:r>
      <w:hyperlink r:id="rId56" w:history="1">
        <w:r w:rsidRPr="00633421">
          <w:rPr>
            <w:rStyle w:val="Hyperlink"/>
            <w:sz w:val="14"/>
            <w:szCs w:val="14"/>
          </w:rPr>
          <w:t>https://web.archive.org/web/20220120091626/https://www.psshp.fi/documents/7796350/7871976/Liite2.pdf/d76808ff-6526-484d-8e2b-16af91e70e88</w:t>
        </w:r>
      </w:hyperlink>
      <w:r w:rsidRPr="00633421">
        <w:rPr>
          <w:sz w:val="14"/>
          <w:szCs w:val="14"/>
        </w:rPr>
        <w:t xml:space="preserve"> </w:t>
      </w:r>
    </w:p>
  </w:footnote>
  <w:footnote w:id="71">
    <w:p w14:paraId="101F5AAF" w14:textId="492B49FF" w:rsidR="002C0DA7" w:rsidRPr="005369DE" w:rsidRDefault="002C0DA7" w:rsidP="00C20D9B">
      <w:pPr>
        <w:pStyle w:val="fussnoteschattenbericht"/>
      </w:pPr>
      <w:r w:rsidRPr="00E2403F">
        <w:rPr>
          <w:rStyle w:val="FootnoteReference"/>
          <w:vertAlign w:val="baseline"/>
        </w:rPr>
        <w:footnoteRef/>
      </w:r>
      <w:r w:rsidRPr="00616174">
        <w:rPr>
          <w:sz w:val="17"/>
          <w:szCs w:val="17"/>
        </w:rPr>
        <w:t xml:space="preserve"> </w:t>
      </w:r>
      <w:r w:rsidRPr="00616174">
        <w:rPr>
          <w:sz w:val="17"/>
          <w:szCs w:val="17"/>
        </w:rPr>
        <w:tab/>
      </w:r>
      <w:hyperlink r:id="rId57" w:history="1">
        <w:r w:rsidRPr="00616174">
          <w:rPr>
            <w:rStyle w:val="Hyperlink"/>
            <w:sz w:val="17"/>
            <w:szCs w:val="17"/>
          </w:rPr>
          <w:t>https://web.archive.org/web/20220120162115/https://www.forna.fi/images/PDF_tiedostot/Pinsetit/pinsetti_2012_3.pdf</w:t>
        </w:r>
      </w:hyperlink>
      <w:r w:rsidRPr="00616174">
        <w:rPr>
          <w:sz w:val="17"/>
          <w:szCs w:val="17"/>
        </w:rPr>
        <w:t xml:space="preserve"> </w:t>
      </w:r>
    </w:p>
  </w:footnote>
  <w:footnote w:id="72">
    <w:p w14:paraId="528C1B8F" w14:textId="77777777" w:rsidR="002C0DA7" w:rsidRPr="005C4771" w:rsidRDefault="002C0DA7" w:rsidP="00C20D9B">
      <w:pPr>
        <w:pStyle w:val="fussnoteschattenbericht"/>
      </w:pPr>
      <w:r w:rsidRPr="002635E1">
        <w:rPr>
          <w:rStyle w:val="FootnoteReference"/>
          <w:vertAlign w:val="baseline"/>
        </w:rPr>
        <w:footnoteRef/>
      </w:r>
      <w:r w:rsidRPr="005C4771">
        <w:t xml:space="preserve"> </w:t>
      </w:r>
      <w:r w:rsidRPr="005C4771">
        <w:tab/>
      </w:r>
      <w:r w:rsidRPr="00A330AC">
        <w:t>ETENE (2016). Intersukupuolisuus [Intersex]. Taustaraportti ETENEn kannanottoon [Background report to ETENE’s position statement]</w:t>
      </w:r>
      <w:r>
        <w:t xml:space="preserve">, </w:t>
      </w:r>
      <w:r>
        <w:br/>
      </w:r>
      <w:hyperlink r:id="rId58" w:history="1">
        <w:r w:rsidRPr="001B3353">
          <w:rPr>
            <w:rStyle w:val="Hyperlink"/>
            <w:sz w:val="16"/>
            <w:szCs w:val="16"/>
          </w:rPr>
          <w:t>https://etene.fi/documents/1429646/2056382/IS-raportti20160331.pdf/58bf2412-48a9-4521-b5ae-81a3ee3bc07b/IS-raportti20160331.pdf</w:t>
        </w:r>
      </w:hyperlink>
      <w:r>
        <w:t xml:space="preserve"> </w:t>
      </w:r>
    </w:p>
  </w:footnote>
  <w:footnote w:id="73">
    <w:p w14:paraId="2FEF75B2" w14:textId="7500D35B" w:rsidR="002C0DA7" w:rsidRPr="005C4771" w:rsidRDefault="002C0DA7" w:rsidP="00C20D9B">
      <w:pPr>
        <w:pStyle w:val="fussnoteschattenbericht"/>
      </w:pPr>
      <w:r w:rsidRPr="002635E1">
        <w:rPr>
          <w:rStyle w:val="FootnoteReference"/>
          <w:vertAlign w:val="baseline"/>
        </w:rPr>
        <w:footnoteRef/>
      </w:r>
      <w:r w:rsidRPr="005C4771">
        <w:t xml:space="preserve"> </w:t>
      </w:r>
      <w:r w:rsidRPr="005C4771">
        <w:tab/>
      </w:r>
      <w:r>
        <w:t xml:space="preserve">Personal communication, 2020 </w:t>
      </w:r>
    </w:p>
  </w:footnote>
  <w:footnote w:id="74">
    <w:p w14:paraId="18A93771" w14:textId="0A44C891" w:rsidR="002C0DA7" w:rsidRPr="00B83E46" w:rsidRDefault="002C0DA7" w:rsidP="00C20D9B">
      <w:pPr>
        <w:pStyle w:val="fussnoteschattenbericht"/>
      </w:pPr>
      <w:r w:rsidRPr="00E2403F">
        <w:rPr>
          <w:rStyle w:val="FootnoteReference"/>
          <w:vertAlign w:val="baseline"/>
        </w:rPr>
        <w:footnoteRef/>
      </w:r>
      <w:r w:rsidRPr="00E2403F">
        <w:t xml:space="preserve"> </w:t>
      </w:r>
      <w:r w:rsidRPr="00E2403F">
        <w:tab/>
      </w:r>
      <w:r>
        <w:t>See above p. 10-12</w:t>
      </w:r>
    </w:p>
  </w:footnote>
  <w:footnote w:id="75">
    <w:p w14:paraId="387DB9C3" w14:textId="5C75D98E" w:rsidR="002C0DA7" w:rsidRPr="005369DE" w:rsidRDefault="002C0DA7" w:rsidP="00C20D9B">
      <w:pPr>
        <w:pStyle w:val="fussnoteschattenbericht"/>
        <w:rPr>
          <w:lang w:val="en-US"/>
        </w:rPr>
      </w:pPr>
      <w:r w:rsidRPr="00E2403F">
        <w:rPr>
          <w:rStyle w:val="FootnoteReference"/>
          <w:vertAlign w:val="baseline"/>
        </w:rPr>
        <w:footnoteRef/>
      </w:r>
      <w:r w:rsidRPr="00E2403F">
        <w:t xml:space="preserve"> </w:t>
      </w:r>
      <w:r w:rsidRPr="00E2403F">
        <w:tab/>
      </w:r>
      <w:r w:rsidRPr="006C6BEB">
        <w:t xml:space="preserve">See for example ESPU 2018 Congress in Helsinki, Lecture: </w:t>
      </w:r>
      <w:r>
        <w:t>“</w:t>
      </w:r>
      <w:r w:rsidRPr="006C6BEB">
        <w:t>DSD: At the crossroads of Medicine, Human Rights and Politics</w:t>
      </w:r>
      <w:r>
        <w:t>”</w:t>
      </w:r>
      <w:r w:rsidRPr="006C6BEB">
        <w:t xml:space="preserve">, </w:t>
      </w:r>
      <w:hyperlink r:id="rId59" w:history="1">
        <w:r w:rsidRPr="001B3353">
          <w:rPr>
            <w:rStyle w:val="Hyperlink"/>
          </w:rPr>
          <w:t>https://www.espu.org/members/video-broadcast/319-lecture-dsd-at-the-crossroads-of-medicine-human-rights-and-politics-at-helsinki-congress-2018</w:t>
        </w:r>
      </w:hyperlink>
      <w:r>
        <w:t xml:space="preserve"> </w:t>
      </w:r>
      <w:r>
        <w:br/>
      </w:r>
      <w:r w:rsidRPr="006C6BEB">
        <w:rPr>
          <w:lang w:val="en-US"/>
        </w:rPr>
        <w:t xml:space="preserve">See also ESPU 2018 Open Letter to COE, on which above discussion was based, </w:t>
      </w:r>
      <w:hyperlink r:id="rId60" w:history="1">
        <w:r w:rsidRPr="001B3353">
          <w:rPr>
            <w:rStyle w:val="Hyperlink"/>
            <w:lang w:val="en-US"/>
          </w:rPr>
          <w:t>https://www.espu.org/images/documents/ESPU_Open_Letter_to_COE_2018-01-26.pdf</w:t>
        </w:r>
      </w:hyperlink>
      <w:r>
        <w:rPr>
          <w:lang w:val="en-US"/>
        </w:rPr>
        <w:t xml:space="preserve"> </w:t>
      </w:r>
    </w:p>
  </w:footnote>
  <w:footnote w:id="76">
    <w:p w14:paraId="539573C3" w14:textId="75C04436" w:rsidR="002C0DA7" w:rsidRPr="005369DE" w:rsidRDefault="002C0DA7" w:rsidP="00845373">
      <w:pPr>
        <w:pStyle w:val="fussnoteschattenbericht"/>
        <w:spacing w:line="240" w:lineRule="auto"/>
        <w:rPr>
          <w:lang w:val="en-US"/>
        </w:rPr>
      </w:pPr>
      <w:r w:rsidRPr="00E2403F">
        <w:rPr>
          <w:rStyle w:val="FootnoteReference"/>
          <w:vertAlign w:val="baseline"/>
        </w:rPr>
        <w:footnoteRef/>
      </w:r>
      <w:r w:rsidRPr="007315EB">
        <w:rPr>
          <w:lang w:val="de-CH"/>
        </w:rPr>
        <w:t xml:space="preserve"> </w:t>
      </w:r>
      <w:r w:rsidRPr="007315EB">
        <w:rPr>
          <w:lang w:val="de-CH"/>
        </w:rPr>
        <w:tab/>
        <w:t xml:space="preserve">Kohva, E., Miettinen, P. J., Taskinen, S., Hero, M., Tarkkanen, A., &amp; Raivio, T. (2018). </w:t>
      </w:r>
      <w:r w:rsidRPr="00CA0717">
        <w:t>Disorders of sex development: timing of diagnosis and management in a single large tertiary center. Endocrine connections, 7(4), 595–603</w:t>
      </w:r>
      <w:r>
        <w:t xml:space="preserve">, </w:t>
      </w:r>
      <w:hyperlink r:id="rId61" w:history="1">
        <w:r w:rsidRPr="001B3353">
          <w:rPr>
            <w:rStyle w:val="Hyperlink"/>
          </w:rPr>
          <w:t>https://www.ncbi.nlm.nih.gov/pmc/articles/PMC5911703/pdf/ec-7-595.pdf</w:t>
        </w:r>
      </w:hyperlink>
      <w:r>
        <w:t xml:space="preserve"> </w:t>
      </w:r>
    </w:p>
  </w:footnote>
  <w:footnote w:id="77">
    <w:p w14:paraId="180BD834" w14:textId="3135636A" w:rsidR="002C0DA7" w:rsidRPr="005369DE" w:rsidRDefault="002C0DA7" w:rsidP="00845373">
      <w:pPr>
        <w:pStyle w:val="fussnoteschattenbericht"/>
        <w:spacing w:line="240" w:lineRule="auto"/>
        <w:rPr>
          <w:lang w:val="en-US"/>
        </w:rPr>
      </w:pPr>
      <w:r w:rsidRPr="00E2403F">
        <w:rPr>
          <w:rStyle w:val="FootnoteReference"/>
          <w:vertAlign w:val="baseline"/>
        </w:rPr>
        <w:footnoteRef/>
      </w:r>
      <w:r w:rsidRPr="00F745B1">
        <w:t xml:space="preserve"> </w:t>
      </w:r>
      <w:r w:rsidRPr="00F745B1">
        <w:tab/>
        <w:t xml:space="preserve">NOMESCO (Nordic Medico-Statistical Committee) (2010), NOMESCO Classification of Surgical Procedures (NCSP), version 1.15, </w:t>
      </w:r>
      <w:hyperlink r:id="rId62" w:history="1">
        <w:r w:rsidRPr="00F745B1">
          <w:rPr>
            <w:rStyle w:val="Hyperlink"/>
          </w:rPr>
          <w:t>https://norden.diva-portal.org/smash/get/diva2:970547/FULLTEXT01.pdf</w:t>
        </w:r>
      </w:hyperlink>
      <w:r w:rsidRPr="00F745B1">
        <w:t xml:space="preserve"> </w:t>
      </w:r>
    </w:p>
  </w:footnote>
  <w:footnote w:id="78">
    <w:p w14:paraId="4ED31A03" w14:textId="452D4F14" w:rsidR="002C0DA7" w:rsidRPr="00876D72" w:rsidRDefault="002C0DA7" w:rsidP="00845373">
      <w:pPr>
        <w:pStyle w:val="fussnoteschattenbericht"/>
        <w:spacing w:line="240" w:lineRule="auto"/>
      </w:pPr>
      <w:r w:rsidRPr="00F81BC5">
        <w:rPr>
          <w:rStyle w:val="FootnoteReference"/>
          <w:vertAlign w:val="baseline"/>
        </w:rPr>
        <w:footnoteRef/>
      </w:r>
      <w:r w:rsidRPr="00876D72">
        <w:tab/>
      </w:r>
      <w:r w:rsidRPr="00B83E46">
        <w:t xml:space="preserve">Globally, no survivor of early surgeries </w:t>
      </w:r>
      <w:r w:rsidRPr="00B83E46">
        <w:rPr>
          <w:b/>
          <w:bCs/>
        </w:rPr>
        <w:t>ever</w:t>
      </w:r>
      <w:r w:rsidRPr="00B83E46">
        <w:t xml:space="preserve"> managed to have their case successfully heard in court. All relevant court cases resulting in damages or settlement (3 in Germany, 1 in the USA) were either about surgery of adults, or initiated by foster parents.</w:t>
      </w:r>
    </w:p>
  </w:footnote>
  <w:footnote w:id="79">
    <w:p w14:paraId="4ECB54F3" w14:textId="5E780B62" w:rsidR="002C0DA7" w:rsidRPr="005369DE" w:rsidRDefault="002C0DA7" w:rsidP="00C20D9B">
      <w:pPr>
        <w:pStyle w:val="fussnoteschattenbericht"/>
        <w:rPr>
          <w:lang w:val="en-US"/>
        </w:rPr>
      </w:pPr>
      <w:r w:rsidRPr="00E2403F">
        <w:rPr>
          <w:rStyle w:val="FootnoteReference"/>
          <w:vertAlign w:val="baseline"/>
        </w:rPr>
        <w:footnoteRef/>
      </w:r>
      <w:r w:rsidRPr="00E2403F">
        <w:t xml:space="preserve"> </w:t>
      </w:r>
      <w:r w:rsidRPr="00E2403F">
        <w:tab/>
      </w:r>
      <w:r w:rsidRPr="00851C1F">
        <w:t>Tikli Oikarinen</w:t>
      </w:r>
      <w:r>
        <w:t xml:space="preserve"> (2019), </w:t>
      </w:r>
      <w:r w:rsidRPr="00851C1F">
        <w:t>No information or options</w:t>
      </w:r>
      <w:r>
        <w:t xml:space="preserve">. </w:t>
      </w:r>
      <w:r w:rsidRPr="00851C1F">
        <w:t>Study on the rights and experiences of intersex persons</w:t>
      </w:r>
      <w:r>
        <w:t xml:space="preserve">, </w:t>
      </w:r>
      <w:r w:rsidRPr="00851C1F">
        <w:t>Publications of the Ministry of Justice, Reports and guidelines</w:t>
      </w:r>
      <w:r>
        <w:t xml:space="preserve"> </w:t>
      </w:r>
      <w:r w:rsidRPr="00851C1F">
        <w:t>2019:3</w:t>
      </w:r>
      <w:r>
        <w:t xml:space="preserve">, p. </w:t>
      </w:r>
      <w:hyperlink r:id="rId63" w:history="1">
        <w:r w:rsidRPr="001B3353">
          <w:rPr>
            <w:rStyle w:val="Hyperlink"/>
            <w:sz w:val="19"/>
            <w:szCs w:val="19"/>
          </w:rPr>
          <w:t>https://um.fi/documents/35732/0/IP1709011_STUDY_ON_THE_RIGHTS_AND_EXPERIENCES_sahkoinen_5.pdf</w:t>
        </w:r>
      </w:hyperlink>
    </w:p>
  </w:footnote>
  <w:footnote w:id="80">
    <w:p w14:paraId="46C5C2CB" w14:textId="77777777" w:rsidR="002C0DA7" w:rsidRPr="00286D52" w:rsidRDefault="002C0DA7" w:rsidP="00C20D9B">
      <w:pPr>
        <w:pStyle w:val="fussnoteschattenbericht"/>
        <w:rPr>
          <w:rStyle w:val="Hyperlink"/>
        </w:rPr>
      </w:pPr>
      <w:r w:rsidRPr="00841617">
        <w:rPr>
          <w:rStyle w:val="Funotenzeichen3"/>
          <w:kern w:val="20"/>
          <w:vertAlign w:val="baseline"/>
        </w:rPr>
        <w:footnoteRef/>
      </w:r>
      <w:r w:rsidRPr="00286D52">
        <w:tab/>
        <w:t xml:space="preserve">The currently still official medical terminology </w:t>
      </w:r>
      <w:r w:rsidRPr="00286D52">
        <w:rPr>
          <w:rFonts w:eastAsia="Baskerville-SemiBold"/>
          <w:b/>
          <w:bCs/>
        </w:rPr>
        <w:t>“</w:t>
      </w:r>
      <w:r w:rsidRPr="00286D52">
        <w:rPr>
          <w:rFonts w:eastAsia="Baskerville-Bold"/>
          <w:b/>
          <w:bCs/>
        </w:rPr>
        <w:t>Disorders</w:t>
      </w:r>
      <w:r w:rsidRPr="00286D52">
        <w:rPr>
          <w:rFonts w:eastAsia="Baskerville-SemiBold"/>
          <w:b/>
          <w:bCs/>
        </w:rPr>
        <w:t xml:space="preserve"> of Sex Development” is strongly refused by persons concerned</w:t>
      </w:r>
      <w:r w:rsidRPr="00286D52">
        <w:rPr>
          <w:rFonts w:eastAsia="Baskerville-SemiBold"/>
          <w:bCs/>
        </w:rPr>
        <w:t>.</w:t>
      </w:r>
      <w:r w:rsidRPr="00286D52">
        <w:rPr>
          <w:rFonts w:eastAsia="Baskerville-SemiBold"/>
          <w:b/>
          <w:bCs/>
        </w:rPr>
        <w:t xml:space="preserve"> </w:t>
      </w:r>
      <w:r w:rsidRPr="00286D52">
        <w:t>See 2014 CRC NGO Report, p. 12 “Terminology”.</w:t>
      </w:r>
    </w:p>
  </w:footnote>
  <w:footnote w:id="81">
    <w:p w14:paraId="2BCEC0EF" w14:textId="77777777" w:rsidR="002C0DA7" w:rsidRPr="00286D52" w:rsidRDefault="002C0DA7" w:rsidP="00C20D9B">
      <w:pPr>
        <w:pStyle w:val="fussnoteschattenbericht"/>
      </w:pPr>
      <w:r w:rsidRPr="00841617">
        <w:rPr>
          <w:rStyle w:val="FootnoteReference"/>
          <w:vertAlign w:val="baseline"/>
        </w:rPr>
        <w:footnoteRef/>
      </w:r>
      <w:r w:rsidRPr="00286D52">
        <w:rPr>
          <w:rStyle w:val="FootnoteReference"/>
        </w:rPr>
        <w:tab/>
      </w:r>
      <w:hyperlink r:id="rId64" w:history="1">
        <w:r w:rsidRPr="003C22A3">
          <w:rPr>
            <w:rStyle w:val="Hyperlink"/>
          </w:rPr>
          <w:t>https://intersex.shadowreport.org/public/2014-CRC-Swiss-NGO-Zwischengeschlecht-Intersex-IGM_v2.pdf</w:t>
        </w:r>
      </w:hyperlink>
      <w:r w:rsidRPr="00286D52">
        <w:t xml:space="preserve"> </w:t>
      </w:r>
    </w:p>
  </w:footnote>
  <w:footnote w:id="82">
    <w:p w14:paraId="35CC6CD6" w14:textId="77777777" w:rsidR="002C0DA7" w:rsidRPr="00286D52" w:rsidRDefault="002C0DA7" w:rsidP="00C20D9B">
      <w:pPr>
        <w:pStyle w:val="fussnoteschattenbericht"/>
      </w:pPr>
      <w:r w:rsidRPr="00286D52">
        <w:footnoteRef/>
      </w:r>
      <w:r w:rsidRPr="00286D52">
        <w:tab/>
        <w:t xml:space="preserve">For references and general information, see 2015 CAT NGO Report Austria, p. 30-35, </w:t>
      </w:r>
      <w:hyperlink r:id="rId65" w:history="1">
        <w:r w:rsidRPr="003C22A3">
          <w:rPr>
            <w:rStyle w:val="Hyperlink"/>
          </w:rPr>
          <w:t>https://intersex.shadowreport.org/public/2015-CAT-Austria-VIMOE-Zwischengeschlecht-Intersex-IGM.pdf</w:t>
        </w:r>
      </w:hyperlink>
      <w:r w:rsidRPr="00286D52">
        <w:t xml:space="preserve"> </w:t>
      </w:r>
    </w:p>
  </w:footnote>
  <w:footnote w:id="83">
    <w:p w14:paraId="7E7829AD" w14:textId="77777777" w:rsidR="002C0DA7" w:rsidRPr="00286D52" w:rsidRDefault="002C0DA7" w:rsidP="00C20D9B">
      <w:pPr>
        <w:pStyle w:val="fussnoteschattenbericht"/>
      </w:pPr>
      <w:r w:rsidRPr="00286D52">
        <w:footnoteRef/>
      </w:r>
      <w:r w:rsidRPr="00286D52">
        <w:tab/>
        <w:t xml:space="preserve">For Nepal, see CEDAW/C/NPL/Q/6, para 8(d). See also 2018 CEDAW Joint Intersex NGO Report, p. 13-14, </w:t>
      </w:r>
      <w:hyperlink r:id="rId66" w:history="1">
        <w:r w:rsidRPr="003C22A3">
          <w:rPr>
            <w:rStyle w:val="Hyperlink"/>
          </w:rPr>
          <w:t>https://intersex.shadowreport.org/public/2018-CEDAW-Nepal-NGO-Intersex-IGM.pdf</w:t>
        </w:r>
      </w:hyperlink>
      <w:r w:rsidRPr="00286D52">
        <w:t xml:space="preserve"> </w:t>
      </w:r>
      <w:r w:rsidRPr="00286D52">
        <w:br/>
        <w:t xml:space="preserve">For example in South Africa, see 2016 CRC South Africa NGO Report, p. 12, </w:t>
      </w:r>
      <w:hyperlink r:id="rId67" w:history="1">
        <w:r w:rsidRPr="003C22A3">
          <w:rPr>
            <w:rStyle w:val="Hyperlink"/>
          </w:rPr>
          <w:t>https://intersex.shadowreport.org/public/2016-CRC-ZA-NGO-Zwischengeschlecht-Intersex-IGM.pdf</w:t>
        </w:r>
      </w:hyperlink>
      <w:r w:rsidRPr="00286D52">
        <w:t xml:space="preserve"> </w:t>
      </w:r>
      <w:r w:rsidRPr="00286D52">
        <w:br/>
        <w:t xml:space="preserve">For South Africa, see also </w:t>
      </w:r>
      <w:hyperlink r:id="rId68" w:history="1">
        <w:r w:rsidRPr="00286D52">
          <w:rPr>
            <w:rStyle w:val="Hyperlink"/>
            <w:sz w:val="17"/>
            <w:szCs w:val="17"/>
          </w:rPr>
          <w:t>https://mg.co.za/article/2018-01-24-00-intersex-babies-killed-at-birth-because-theyre-bad-omens</w:t>
        </w:r>
      </w:hyperlink>
      <w:r w:rsidRPr="00286D52">
        <w:t xml:space="preserve"> </w:t>
      </w:r>
      <w:r w:rsidRPr="00286D52">
        <w:br/>
        <w:t xml:space="preserve">For example in Uganda, Kenya, Rwanda, see "Baseline Survey on intersex realities in East Africa – Specific focus on Uganda, Kenya, and Rwanda" by SIPD Uganda, relevant excerpts and source: </w:t>
      </w:r>
      <w:hyperlink r:id="rId69" w:history="1">
        <w:r>
          <w:rPr>
            <w:rStyle w:val="Hyperlink"/>
            <w:sz w:val="18"/>
            <w:szCs w:val="18"/>
          </w:rPr>
          <w:t>https://stopigm.org/post/Africa-Intersex-Survey-Documents-Intersex-Genital-Mutilation-Infanticide-Abandonment-Expulsion-Uganda-Kenya-Rwanda</w:t>
        </w:r>
      </w:hyperlink>
      <w:r w:rsidRPr="00286D52">
        <w:t xml:space="preserve"> ; for Uganda, see also 2015 CRC Briefing, slide 46, </w:t>
      </w:r>
      <w:hyperlink r:id="rId70" w:history="1">
        <w:r w:rsidRPr="003C22A3">
          <w:rPr>
            <w:rStyle w:val="Hyperlink"/>
          </w:rPr>
          <w:t>https://intersex.shadowreport.org/public/Zwischengeschlecht_2015-CRC-Briefing_Intersex-IGM_web.pdf</w:t>
        </w:r>
      </w:hyperlink>
      <w:r w:rsidRPr="00286D52">
        <w:t xml:space="preserve"> </w:t>
      </w:r>
      <w:r w:rsidRPr="00286D52">
        <w:br/>
        <w:t xml:space="preserve">For Kenya, see also </w:t>
      </w:r>
      <w:hyperlink r:id="rId71" w:history="1">
        <w:r w:rsidRPr="00286D52">
          <w:rPr>
            <w:rStyle w:val="Hyperlink"/>
          </w:rPr>
          <w:t>http://www.bbc.com/news/world-africa-39780214</w:t>
        </w:r>
      </w:hyperlink>
      <w:r w:rsidRPr="00286D52">
        <w:t xml:space="preserve"> </w:t>
      </w:r>
      <w:r w:rsidRPr="00286D52">
        <w:br/>
        <w:t xml:space="preserve">For Mexico, see 2018 CEDAW NGO Joint Statement, </w:t>
      </w:r>
      <w:r w:rsidRPr="00286D52">
        <w:br/>
      </w:r>
      <w:hyperlink r:id="rId72" w:history="1">
        <w:r>
          <w:rPr>
            <w:rStyle w:val="Hyperlink"/>
          </w:rPr>
          <w:t>https://stopigm.org/post/CEDAW70-Mexico-Joint-Intersex-NGO-Statement-05-07-2018</w:t>
        </w:r>
      </w:hyperlink>
      <w:r w:rsidRPr="00286D52">
        <w:t xml:space="preserve"> </w:t>
      </w:r>
    </w:p>
  </w:footnote>
  <w:footnote w:id="84">
    <w:p w14:paraId="62E3CD2E" w14:textId="77777777" w:rsidR="002C0DA7" w:rsidRPr="00286D52" w:rsidRDefault="002C0DA7" w:rsidP="00C20D9B">
      <w:pPr>
        <w:pStyle w:val="fussnoteschattenbericht"/>
      </w:pPr>
      <w:r w:rsidRPr="00286D52">
        <w:footnoteRef/>
      </w:r>
      <w:r w:rsidRPr="00286D52">
        <w:tab/>
        <w:t xml:space="preserve">For example in Uganda, Kenya, Rwanda, see "Baseline Survey on intersex realities in East Africa – Specific focus on Uganda, Kenya, and Rwanda" by SIPD Uganda, relevant excerpts and source: </w:t>
      </w:r>
      <w:r>
        <w:br/>
      </w:r>
      <w:hyperlink r:id="rId73" w:history="1">
        <w:r w:rsidRPr="003849E2">
          <w:rPr>
            <w:rStyle w:val="Hyperlink"/>
            <w:sz w:val="14"/>
            <w:szCs w:val="14"/>
          </w:rPr>
          <w:t>https://stopigm.org/post/Africa-Intersex-Survey-Documents-Intersex-Genital-Mutilation-Infanticide-Abandonment-Expulsion-Uganda-Kenya-Rwanda</w:t>
        </w:r>
      </w:hyperlink>
      <w:r w:rsidRPr="003849E2">
        <w:rPr>
          <w:sz w:val="14"/>
          <w:szCs w:val="14"/>
        </w:rPr>
        <w:br/>
      </w:r>
      <w:r w:rsidRPr="003849E2">
        <w:t>For example in China, see 2015 Hong Kong, China NGO Report, p. 15,</w:t>
      </w:r>
      <w:r w:rsidRPr="009E3241">
        <w:rPr>
          <w:sz w:val="14"/>
          <w:szCs w:val="14"/>
        </w:rPr>
        <w:t xml:space="preserve"> </w:t>
      </w:r>
      <w:hyperlink r:id="rId74" w:history="1">
        <w:r w:rsidRPr="003C22A3">
          <w:rPr>
            <w:rStyle w:val="Hyperlink"/>
          </w:rPr>
          <w:t>https://intersex.shadowreport.org/public/2015-CAT-Hong-Kong-China-NGO-BBKCI-Intersex.pdf</w:t>
        </w:r>
      </w:hyperlink>
      <w:r w:rsidRPr="00286D52">
        <w:t xml:space="preserve"> </w:t>
      </w:r>
    </w:p>
  </w:footnote>
  <w:footnote w:id="85">
    <w:p w14:paraId="584336F3" w14:textId="77777777" w:rsidR="002C0DA7" w:rsidRPr="00286D52" w:rsidRDefault="002C0DA7" w:rsidP="00C20D9B">
      <w:pPr>
        <w:pStyle w:val="fussnoteschattenbericht"/>
      </w:pPr>
      <w:r w:rsidRPr="00286D52">
        <w:footnoteRef/>
      </w:r>
      <w:r w:rsidRPr="00286D52">
        <w:t xml:space="preserve"> </w:t>
      </w:r>
      <w:r w:rsidRPr="00286D52">
        <w:tab/>
        <w:t xml:space="preserve">For example in Uganda, Kenya, Rwanda, see "Baseline Survey on intersex realities in East Africa – Specific focus on Uganda, Kenya, and Rwanda" by SIPD Uganda, relevant excerpts and source: </w:t>
      </w:r>
      <w:r>
        <w:br/>
      </w:r>
      <w:hyperlink r:id="rId75" w:history="1">
        <w:r w:rsidRPr="003849E2">
          <w:rPr>
            <w:rStyle w:val="Hyperlink"/>
            <w:sz w:val="14"/>
            <w:szCs w:val="14"/>
          </w:rPr>
          <w:t>https://stopigm.org/post/Africa-Intersex-Survey-Documents-Intersex-Genital-Mutilation-Infanticide-Abandonment-Expulsion-Uganda-Kenya-Rwanda</w:t>
        </w:r>
      </w:hyperlink>
      <w:r w:rsidRPr="003849E2">
        <w:rPr>
          <w:sz w:val="14"/>
          <w:szCs w:val="14"/>
        </w:rPr>
        <w:t xml:space="preserve"> </w:t>
      </w:r>
    </w:p>
  </w:footnote>
  <w:footnote w:id="86">
    <w:p w14:paraId="259FEEEE" w14:textId="77777777" w:rsidR="002C0DA7" w:rsidRPr="00286D52" w:rsidRDefault="002C0DA7" w:rsidP="00C20D9B">
      <w:pPr>
        <w:pStyle w:val="fussnoteschattenbericht"/>
      </w:pPr>
      <w:r w:rsidRPr="00286D52">
        <w:footnoteRef/>
      </w:r>
      <w:r w:rsidRPr="00286D52">
        <w:tab/>
        <w:t xml:space="preserve">For example in Nepal (CRC/C/NPL/CO/3-5, paras 41–42), based on local testimonies, see </w:t>
      </w:r>
      <w:hyperlink r:id="rId76" w:history="1">
        <w:r>
          <w:rPr>
            <w:rStyle w:val="Hyperlink"/>
          </w:rPr>
          <w:t>https://stopigm.org/post/Denial-of-Needed-Health-Care-Intersex-in-Nepal-Pt-3</w:t>
        </w:r>
      </w:hyperlink>
      <w:r w:rsidRPr="00286D52">
        <w:t xml:space="preserve"> </w:t>
      </w:r>
    </w:p>
  </w:footnote>
  <w:footnote w:id="87">
    <w:p w14:paraId="039DF476" w14:textId="77777777" w:rsidR="002C0DA7" w:rsidRPr="00286D52" w:rsidRDefault="002C0DA7" w:rsidP="00C20D9B">
      <w:pPr>
        <w:pStyle w:val="fussnoteschattenbericht"/>
      </w:pPr>
      <w:r w:rsidRPr="00286D52">
        <w:footnoteRef/>
      </w:r>
      <w:r w:rsidRPr="00286D52">
        <w:tab/>
        <w:t xml:space="preserve">For example in Kenya, see </w:t>
      </w:r>
      <w:hyperlink r:id="rId77" w:history="1">
        <w:r w:rsidRPr="00286D52">
          <w:rPr>
            <w:rStyle w:val="Hyperlink"/>
            <w:sz w:val="18"/>
            <w:szCs w:val="18"/>
          </w:rPr>
          <w:t>https://76crimes.com/2015/12/23/intersex-in-kenya-held-captive-beaten-hacked-dead/</w:t>
        </w:r>
      </w:hyperlink>
      <w:r w:rsidRPr="00286D52">
        <w:t xml:space="preserve"> </w:t>
      </w:r>
    </w:p>
  </w:footnote>
  <w:footnote w:id="88">
    <w:p w14:paraId="5DB7F7BB"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2014 CRC NGO Report, p. 52, 69, 84, </w:t>
      </w:r>
      <w:hyperlink r:id="rId78" w:history="1">
        <w:r w:rsidRPr="003C22A3">
          <w:rPr>
            <w:rStyle w:val="Hyperlink"/>
            <w:sz w:val="13"/>
            <w:szCs w:val="13"/>
          </w:rPr>
          <w:t>https://intersex.shadowreport.org/public/2014-CRC-Swiss-NGO-Zwischengeschlecht-Intersex-IGM_v2.pdf</w:t>
        </w:r>
      </w:hyperlink>
      <w:r w:rsidRPr="00286D52">
        <w:t xml:space="preserve"> </w:t>
      </w:r>
    </w:p>
  </w:footnote>
  <w:footnote w:id="89">
    <w:p w14:paraId="75A7A8DB"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In the WHO “World Atlas of Birth Defects (2nd Edition)”, many intersex diagnoses are listed, including </w:t>
      </w:r>
      <w:r w:rsidRPr="00286D52">
        <w:rPr>
          <w:rFonts w:eastAsia="Baskerville-Italic"/>
          <w:i/>
          <w:iCs/>
        </w:rPr>
        <w:t>“indeterminate sex”</w:t>
      </w:r>
      <w:r w:rsidRPr="00286D52">
        <w:t xml:space="preserve"> and </w:t>
      </w:r>
      <w:r w:rsidRPr="00286D52">
        <w:rPr>
          <w:rFonts w:eastAsia="Baskerville-Italic"/>
          <w:i/>
          <w:iCs/>
        </w:rPr>
        <w:t>“hypospadias”:</w:t>
      </w:r>
    </w:p>
    <w:p w14:paraId="3C05D74A" w14:textId="77777777" w:rsidR="002C0DA7" w:rsidRPr="00286D52" w:rsidRDefault="002C0DA7" w:rsidP="00C20D9B">
      <w:pPr>
        <w:pStyle w:val="fussnoteschattenbericht"/>
        <w:rPr>
          <w:rStyle w:val="Hyperlink"/>
        </w:rPr>
      </w:pPr>
      <w:r w:rsidRPr="00286D52">
        <w:rPr>
          <w:sz w:val="18"/>
          <w:szCs w:val="18"/>
        </w:rPr>
        <w:tab/>
      </w:r>
      <w:hyperlink r:id="rId79" w:history="1">
        <w:r w:rsidRPr="00286D52">
          <w:rPr>
            <w:rStyle w:val="Hyperlink"/>
            <w:sz w:val="17"/>
            <w:szCs w:val="17"/>
          </w:rPr>
          <w:t>http://web.archive.org/web/20160305152127/http://prenatal.tv/lecturas/world%20atlas%20of%20birth%20defects.pdf</w:t>
        </w:r>
      </w:hyperlink>
      <w:r w:rsidRPr="00286D52">
        <w:t xml:space="preserve"> </w:t>
      </w:r>
    </w:p>
  </w:footnote>
  <w:footnote w:id="90">
    <w:p w14:paraId="472103EE"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“The Racist Roots of Intersex Genital Mutilations” </w:t>
      </w:r>
      <w:r>
        <w:br/>
      </w:r>
      <w:hyperlink r:id="rId80" w:history="1">
        <w:r w:rsidRPr="003C22A3">
          <w:rPr>
            <w:rStyle w:val="Hyperlink"/>
          </w:rPr>
          <w:t>https://stopigm.org/post/Racist-Roots-of-Intersex-Genital-Mutilations-IGM</w:t>
        </w:r>
      </w:hyperlink>
      <w:r>
        <w:t xml:space="preserve"> </w:t>
      </w:r>
    </w:p>
  </w:footnote>
  <w:footnote w:id="91">
    <w:p w14:paraId="58A09754"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For 500 years of “scientific” prejudice in a nutshell, see 2016 CEDAW France NGO Report, p. 7, </w:t>
      </w:r>
      <w:hyperlink r:id="rId81" w:history="1">
        <w:r w:rsidRPr="003C22A3">
          <w:rPr>
            <w:rStyle w:val="Hyperlink"/>
          </w:rPr>
          <w:t>https://intersex.shadowreport.org/public/2016-CEDAW-France-NGO-Zwischengeschlecht-Intersex-IGM.pdf</w:t>
        </w:r>
      </w:hyperlink>
      <w:r>
        <w:t xml:space="preserve"> </w:t>
      </w:r>
    </w:p>
  </w:footnote>
  <w:footnote w:id="92">
    <w:p w14:paraId="23DA5180" w14:textId="77777777" w:rsidR="002C0DA7" w:rsidRPr="00286D52" w:rsidRDefault="002C0DA7" w:rsidP="00C20D9B">
      <w:pPr>
        <w:pStyle w:val="fussnoteschattenbericht"/>
      </w:pPr>
      <w:r w:rsidRPr="00841617">
        <w:rPr>
          <w:rStyle w:val="Funotenzeichen3"/>
          <w:kern w:val="20"/>
          <w:vertAlign w:val="baseline"/>
        </w:rPr>
        <w:footnoteRef/>
      </w:r>
      <w:r w:rsidRPr="00286D52">
        <w:tab/>
        <w:t>See “IGM Practices – Non-Consensual, Unnecessary Medical Interventions”, ibid., p. 38–47</w:t>
      </w:r>
    </w:p>
  </w:footnote>
  <w:footnote w:id="93">
    <w:p w14:paraId="09756921" w14:textId="77777777" w:rsidR="002C0DA7" w:rsidRPr="00286D52" w:rsidRDefault="002C0DA7" w:rsidP="00C20D9B">
      <w:pPr>
        <w:pStyle w:val="fussnoteschattenbericht"/>
      </w:pPr>
      <w:r w:rsidRPr="00841617">
        <w:rPr>
          <w:rStyle w:val="Funotenzeichen3"/>
          <w:kern w:val="20"/>
          <w:vertAlign w:val="baseline"/>
        </w:rPr>
        <w:footnoteRef/>
      </w:r>
      <w:r w:rsidRPr="00286D52">
        <w:tab/>
      </w:r>
      <w:r w:rsidRPr="00286D52">
        <w:rPr>
          <w:b/>
        </w:rPr>
        <w:t>CAT, CRC, CRPD, SPT, SRT, SRSG VAC, COE, ACHPR, IACHR</w:t>
      </w:r>
      <w:r w:rsidRPr="00286D52">
        <w:t xml:space="preserve"> (2016), “End violence and harmful medical practices on intersex children and adults, UN and regional experts urge”,</w:t>
      </w:r>
      <w:r w:rsidRPr="00286D52">
        <w:br/>
      </w:r>
      <w:hyperlink r:id="rId82" w:history="1">
        <w:r w:rsidRPr="00286D52">
          <w:rPr>
            <w:rStyle w:val="Hyperlink"/>
          </w:rPr>
          <w:t>http://www.ohchr.org/EN/NewsEvents/Pages/DisplayNews.aspx?NewsID=20739&amp;LangID=E</w:t>
        </w:r>
      </w:hyperlink>
    </w:p>
  </w:footnote>
  <w:footnote w:id="94">
    <w:p w14:paraId="784ED15B" w14:textId="77777777" w:rsidR="002C0DA7" w:rsidRPr="00286D52" w:rsidRDefault="002C0DA7" w:rsidP="00C20D9B">
      <w:pPr>
        <w:pStyle w:val="fussnoteschattenbericht"/>
      </w:pPr>
      <w:r w:rsidRPr="00841617">
        <w:rPr>
          <w:rStyle w:val="Funotenzeichen3"/>
          <w:kern w:val="20"/>
          <w:vertAlign w:val="baseline"/>
        </w:rPr>
        <w:footnoteRef/>
      </w:r>
      <w:r w:rsidRPr="00286D52">
        <w:tab/>
      </w:r>
      <w:hyperlink r:id="rId83" w:history="1">
        <w:r>
          <w:rPr>
            <w:rStyle w:val="Hyperlink"/>
          </w:rPr>
          <w:t>https://stopigm.org/post/IAD-2016-Soon-20-UN-Reprimands-for-Intersex-Genital-Mutilations</w:t>
        </w:r>
      </w:hyperlink>
    </w:p>
  </w:footnote>
  <w:footnote w:id="95">
    <w:p w14:paraId="02C27D02" w14:textId="77777777" w:rsidR="002C0DA7" w:rsidRPr="00C20D9B" w:rsidRDefault="002C0DA7" w:rsidP="00C20D9B">
      <w:pPr>
        <w:pStyle w:val="fussnoteschattenbericht"/>
        <w:rPr>
          <w:lang w:val="de-CH"/>
        </w:rPr>
      </w:pPr>
      <w:r w:rsidRPr="00841617">
        <w:rPr>
          <w:rStyle w:val="Funotenzeichen3"/>
          <w:kern w:val="20"/>
          <w:vertAlign w:val="baseline"/>
        </w:rPr>
        <w:footnoteRef/>
      </w:r>
      <w:r w:rsidRPr="00AF408C">
        <w:rPr>
          <w:rStyle w:val="Funotenzeichen3"/>
          <w:kern w:val="20"/>
          <w:vertAlign w:val="baseline"/>
          <w:lang w:val="de-CH"/>
        </w:rPr>
        <w:t xml:space="preserve"> </w:t>
      </w:r>
      <w:r w:rsidRPr="00C20D9B">
        <w:rPr>
          <w:lang w:val="de-CH"/>
        </w:rPr>
        <w:tab/>
        <w:t xml:space="preserve">CRC67 Denmark, </w:t>
      </w:r>
      <w:hyperlink r:id="rId84" w:history="1">
        <w:r w:rsidRPr="00AF408C">
          <w:rPr>
            <w:rStyle w:val="Hyperlink"/>
            <w:w w:val="85"/>
            <w:kern w:val="20"/>
            <w:sz w:val="19"/>
            <w:szCs w:val="19"/>
            <w:lang w:val="de-CH"/>
          </w:rPr>
          <w:t>https://stopigm.org/post/CRC67-Intersex-children-used-as-cannon-fodder-LGBT-Denmark</w:t>
        </w:r>
      </w:hyperlink>
      <w:r w:rsidRPr="00C20D9B">
        <w:rPr>
          <w:lang w:val="de-CH"/>
        </w:rPr>
        <w:t xml:space="preserve"> </w:t>
      </w:r>
    </w:p>
  </w:footnote>
  <w:footnote w:id="96">
    <w:p w14:paraId="7A426D65" w14:textId="77777777" w:rsidR="002C0DA7" w:rsidRPr="00286D52" w:rsidRDefault="002C0DA7" w:rsidP="00C20D9B">
      <w:pPr>
        <w:pStyle w:val="fussnoteschattenbericht"/>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CEDAW66 Ukraine, </w:t>
      </w:r>
      <w:hyperlink r:id="rId85" w:history="1">
        <w:r>
          <w:rPr>
            <w:rStyle w:val="Hyperlink"/>
            <w:sz w:val="15"/>
            <w:szCs w:val="15"/>
          </w:rPr>
          <w:t>https://stopigm.org/post/Ukraine-Instrumentalising-Intersex-and-IGM-for-LGBT-and-Gender-Politics</w:t>
        </w:r>
      </w:hyperlink>
      <w:r w:rsidRPr="00286D52">
        <w:t xml:space="preserve"> </w:t>
      </w:r>
    </w:p>
  </w:footnote>
  <w:footnote w:id="97">
    <w:p w14:paraId="616BBA52"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For references, see 2016 CEDAW France NGO Report, p. 45 </w:t>
      </w:r>
      <w:r w:rsidRPr="00286D52">
        <w:br/>
      </w:r>
      <w:hyperlink r:id="rId86" w:history="1">
        <w:r w:rsidRPr="003C22A3">
          <w:rPr>
            <w:rStyle w:val="Hyperlink"/>
          </w:rPr>
          <w:t>https://intersex.shadowreport.org/public/2016-CEDAW-France-NGO-Zwischengeschlecht-Intersex-IGM.pdf</w:t>
        </w:r>
      </w:hyperlink>
    </w:p>
  </w:footnote>
  <w:footnote w:id="98">
    <w:p w14:paraId="7CD7CBA7" w14:textId="77777777" w:rsidR="002C0DA7" w:rsidRPr="00286D52" w:rsidRDefault="002C0DA7" w:rsidP="00C20D9B">
      <w:pPr>
        <w:pStyle w:val="fussnoteschattenbericht"/>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For example ACHPR Commissioner Lawrence Murugu Mute, see </w:t>
      </w:r>
      <w:r w:rsidRPr="00286D52">
        <w:br/>
      </w:r>
      <w:hyperlink r:id="rId87" w:history="1">
        <w:r>
          <w:rPr>
            <w:rStyle w:val="Hyperlink"/>
            <w:sz w:val="19"/>
            <w:szCs w:val="19"/>
          </w:rPr>
          <w:t>https://stopigm.org/post/ACHPR-African-Commissioner-warns-Stop-conflating-intersex-and-LGBT</w:t>
        </w:r>
      </w:hyperlink>
      <w:r w:rsidRPr="00286D52">
        <w:t xml:space="preserve"> </w:t>
      </w:r>
    </w:p>
  </w:footnote>
  <w:footnote w:id="99">
    <w:p w14:paraId="7DACCD23"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2018 Report of the Kenya National Commission on Human Rights (KNCHR), p. 15, </w:t>
      </w:r>
      <w:hyperlink r:id="rId88" w:history="1">
        <w:r w:rsidRPr="00286D52">
          <w:rPr>
            <w:rStyle w:val="Hyperlink"/>
          </w:rPr>
          <w:t>https://www.knchr.org/Portals/0/GroupRightsReports/Equal%20In%20Dignity%20and%20Rights_Promoting%20The%20Rights%20Of%20Intersex%20Persons%20In%20Kenya.pdf?ver=2018-06-06-161118-323</w:t>
        </w:r>
      </w:hyperlink>
      <w:r w:rsidRPr="00286D52">
        <w:t xml:space="preserve">  </w:t>
      </w:r>
    </w:p>
  </w:footnote>
  <w:footnote w:id="100">
    <w:p w14:paraId="6946A123" w14:textId="77777777" w:rsidR="002C0DA7" w:rsidRPr="00C20D9B" w:rsidRDefault="002C0DA7" w:rsidP="00C20D9B">
      <w:pPr>
        <w:pStyle w:val="fussnoteschattenbericht"/>
        <w:rPr>
          <w:lang w:val="it-IT"/>
        </w:rPr>
      </w:pPr>
      <w:r w:rsidRPr="00841617">
        <w:rPr>
          <w:rStyle w:val="Funotenzeichen3"/>
          <w:kern w:val="20"/>
          <w:vertAlign w:val="baseline"/>
        </w:rPr>
        <w:footnoteRef/>
      </w:r>
      <w:r w:rsidRPr="00AF408C">
        <w:rPr>
          <w:rStyle w:val="Funotenzeichen3"/>
          <w:kern w:val="20"/>
          <w:vertAlign w:val="baseline"/>
          <w:lang w:val="it-IT"/>
        </w:rPr>
        <w:t xml:space="preserve"> </w:t>
      </w:r>
      <w:r w:rsidRPr="00C20D9B">
        <w:rPr>
          <w:lang w:val="it-IT"/>
        </w:rPr>
        <w:tab/>
        <w:t xml:space="preserve">CAT60 Argentina, </w:t>
      </w:r>
      <w:hyperlink r:id="rId89" w:history="1">
        <w:r w:rsidRPr="00AF408C">
          <w:rPr>
            <w:rStyle w:val="Hyperlink"/>
            <w:sz w:val="16"/>
            <w:szCs w:val="16"/>
            <w:lang w:val="it-IT"/>
          </w:rPr>
          <w:t>https://stopigm.org/post/UN-Press-Release-calls-IGM-survivors-transsexual-children-CATArgentina-UNCAT60</w:t>
        </w:r>
      </w:hyperlink>
      <w:r w:rsidRPr="00C20D9B">
        <w:rPr>
          <w:lang w:val="it-IT"/>
        </w:rPr>
        <w:t xml:space="preserve"> </w:t>
      </w:r>
    </w:p>
  </w:footnote>
  <w:footnote w:id="101">
    <w:p w14:paraId="55A0AB6F" w14:textId="77777777" w:rsidR="002C0DA7" w:rsidRPr="00202113" w:rsidRDefault="002C0DA7" w:rsidP="00C20D9B">
      <w:pPr>
        <w:pStyle w:val="fussnoteschattenbericht"/>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CRC77 Spain, </w:t>
      </w:r>
      <w:hyperlink r:id="rId90" w:history="1">
        <w:r w:rsidRPr="00202113">
          <w:rPr>
            <w:rStyle w:val="Hyperlink"/>
          </w:rPr>
          <w:t>https://stopigm.org/post/UN-Press-Release-mentions-genital-mutilation-of-intersex-children</w:t>
        </w:r>
      </w:hyperlink>
      <w:r w:rsidRPr="00202113">
        <w:t xml:space="preserve"> </w:t>
      </w:r>
    </w:p>
  </w:footnote>
  <w:footnote w:id="102">
    <w:p w14:paraId="0FDD947F" w14:textId="77777777" w:rsidR="002C0DA7" w:rsidRPr="00C20D9B" w:rsidRDefault="002C0DA7" w:rsidP="00C20D9B">
      <w:pPr>
        <w:pStyle w:val="fussnoteschattenbericht"/>
        <w:rPr>
          <w:lang w:val="de-CH"/>
        </w:rPr>
      </w:pPr>
      <w:r w:rsidRPr="00841617">
        <w:rPr>
          <w:rStyle w:val="Funotenzeichen3"/>
          <w:kern w:val="20"/>
          <w:vertAlign w:val="baseline"/>
        </w:rPr>
        <w:footnoteRef/>
      </w:r>
      <w:r w:rsidRPr="00AF408C">
        <w:rPr>
          <w:rStyle w:val="Funotenzeichen3"/>
          <w:kern w:val="20"/>
          <w:vertAlign w:val="baseline"/>
          <w:lang w:val="de-CH"/>
        </w:rPr>
        <w:t xml:space="preserve"> </w:t>
      </w:r>
      <w:r w:rsidRPr="00C20D9B">
        <w:rPr>
          <w:lang w:val="de-CH"/>
        </w:rPr>
        <w:tab/>
        <w:t xml:space="preserve">CRC76 Denmark, </w:t>
      </w:r>
      <w:hyperlink r:id="rId91" w:history="1">
        <w:r w:rsidRPr="00AF408C">
          <w:rPr>
            <w:rStyle w:val="Hyperlink"/>
            <w:sz w:val="16"/>
            <w:szCs w:val="16"/>
            <w:lang w:val="de-CH"/>
          </w:rPr>
          <w:t>https://stopigm.org/post/UN-Press-Release-calls-IGM-survivors-transsexual-children-CRC-Denmark-UNCRC67</w:t>
        </w:r>
      </w:hyperlink>
      <w:r w:rsidRPr="00C20D9B">
        <w:rPr>
          <w:sz w:val="16"/>
          <w:szCs w:val="16"/>
          <w:lang w:val="de-CH"/>
        </w:rPr>
        <w:t xml:space="preserve"> </w:t>
      </w:r>
    </w:p>
  </w:footnote>
  <w:footnote w:id="103">
    <w:p w14:paraId="42969771" w14:textId="77777777" w:rsidR="002C0DA7" w:rsidRPr="00C20D9B" w:rsidRDefault="002C0DA7" w:rsidP="00C20D9B">
      <w:pPr>
        <w:pStyle w:val="fussnoteschattenbericht"/>
        <w:rPr>
          <w:lang w:val="es-MX"/>
        </w:rPr>
      </w:pPr>
      <w:r w:rsidRPr="00841617">
        <w:rPr>
          <w:rStyle w:val="Funotenzeichen3"/>
          <w:kern w:val="20"/>
          <w:vertAlign w:val="baseline"/>
        </w:rPr>
        <w:footnoteRef/>
      </w:r>
      <w:r w:rsidRPr="00AF408C">
        <w:rPr>
          <w:rStyle w:val="Funotenzeichen3"/>
          <w:kern w:val="20"/>
          <w:vertAlign w:val="baseline"/>
          <w:lang w:val="es-MX"/>
        </w:rPr>
        <w:t xml:space="preserve"> </w:t>
      </w:r>
      <w:r w:rsidRPr="00C20D9B">
        <w:rPr>
          <w:lang w:val="es-MX"/>
        </w:rPr>
        <w:tab/>
        <w:t>CAT/C/DNK/QPR/8, para 32</w:t>
      </w:r>
    </w:p>
  </w:footnote>
  <w:footnote w:id="104">
    <w:p w14:paraId="263C9295" w14:textId="77777777" w:rsidR="002C0DA7" w:rsidRPr="00286D52" w:rsidRDefault="002C0DA7" w:rsidP="00C20D9B">
      <w:pPr>
        <w:pStyle w:val="fussnoteschattenbericht"/>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CRC73 New Zealand, </w:t>
      </w:r>
      <w:hyperlink r:id="rId92" w:history="1">
        <w:r>
          <w:rPr>
            <w:rStyle w:val="Hyperlink"/>
          </w:rPr>
          <w:t>https://stopigm.org/post/NZ-to-be-Questioned-over-Intersex-Genital-Mutilations-by-UN-Committee-on-the-Rights-of-the-Child</w:t>
        </w:r>
      </w:hyperlink>
      <w:r w:rsidRPr="00286D52">
        <w:t xml:space="preserve"> </w:t>
      </w:r>
    </w:p>
  </w:footnote>
  <w:footnote w:id="105">
    <w:p w14:paraId="7CD0315F" w14:textId="77777777" w:rsidR="002C0DA7" w:rsidRPr="00C20D9B" w:rsidRDefault="002C0DA7" w:rsidP="00C20D9B">
      <w:pPr>
        <w:pStyle w:val="fussnoteschattenbericht"/>
        <w:rPr>
          <w:lang w:val="de-CH"/>
        </w:rPr>
      </w:pPr>
      <w:r w:rsidRPr="00841617">
        <w:rPr>
          <w:rStyle w:val="Funotenzeichen3"/>
          <w:kern w:val="20"/>
          <w:vertAlign w:val="baseline"/>
        </w:rPr>
        <w:footnoteRef/>
      </w:r>
      <w:r w:rsidRPr="00AF408C">
        <w:rPr>
          <w:rStyle w:val="Funotenzeichen3"/>
          <w:kern w:val="20"/>
          <w:vertAlign w:val="baseline"/>
          <w:lang w:val="de-CH"/>
        </w:rPr>
        <w:t xml:space="preserve"> </w:t>
      </w:r>
      <w:r w:rsidRPr="00C20D9B">
        <w:rPr>
          <w:lang w:val="de-CH"/>
        </w:rPr>
        <w:tab/>
        <w:t xml:space="preserve">CCPR120 Switzerland, </w:t>
      </w:r>
      <w:r w:rsidRPr="00C20D9B">
        <w:rPr>
          <w:lang w:val="de-CH"/>
        </w:rPr>
        <w:br/>
      </w:r>
      <w:hyperlink r:id="rId93" w:history="1">
        <w:r w:rsidRPr="00AF408C">
          <w:rPr>
            <w:rStyle w:val="Hyperlink"/>
            <w:kern w:val="20"/>
            <w:lang w:val="de-CH"/>
          </w:rPr>
          <w:t>https://stopigm.org/post/Pinkwashing-of-Intersex-Genital-Mutilations-at-the-UN-CCPR120</w:t>
        </w:r>
      </w:hyperlink>
      <w:r w:rsidRPr="00C20D9B">
        <w:rPr>
          <w:lang w:val="de-CH"/>
        </w:rPr>
        <w:t xml:space="preserve"> </w:t>
      </w:r>
    </w:p>
  </w:footnote>
  <w:footnote w:id="106">
    <w:p w14:paraId="5A030225" w14:textId="77777777" w:rsidR="002C0DA7" w:rsidRPr="00C20D9B" w:rsidRDefault="002C0DA7" w:rsidP="00C20D9B">
      <w:pPr>
        <w:pStyle w:val="fussnoteschattenbericht"/>
        <w:rPr>
          <w:lang w:val="it-IT"/>
        </w:rPr>
      </w:pPr>
      <w:r w:rsidRPr="00841617">
        <w:rPr>
          <w:rStyle w:val="Funotenzeichen3"/>
          <w:kern w:val="20"/>
          <w:vertAlign w:val="baseline"/>
        </w:rPr>
        <w:footnoteRef/>
      </w:r>
      <w:r w:rsidRPr="00AF408C">
        <w:rPr>
          <w:rStyle w:val="Funotenzeichen3"/>
          <w:kern w:val="20"/>
          <w:vertAlign w:val="baseline"/>
          <w:lang w:val="it-IT"/>
        </w:rPr>
        <w:t xml:space="preserve"> </w:t>
      </w:r>
      <w:r w:rsidRPr="00C20D9B">
        <w:rPr>
          <w:lang w:val="it-IT"/>
        </w:rPr>
        <w:tab/>
        <w:t xml:space="preserve">CAT56 Austria, </w:t>
      </w:r>
      <w:hyperlink r:id="rId94" w:history="1">
        <w:r w:rsidRPr="00AF408C">
          <w:rPr>
            <w:rStyle w:val="Hyperlink"/>
            <w:sz w:val="16"/>
            <w:szCs w:val="16"/>
            <w:lang w:val="it-IT"/>
          </w:rPr>
          <w:t>https://stopigm.org/post/Geneva-UN-Committee-against-Torture-questions-Austria-over-Intersex-Genital-Mutilations</w:t>
        </w:r>
      </w:hyperlink>
      <w:r w:rsidRPr="00C20D9B">
        <w:rPr>
          <w:lang w:val="it-IT"/>
        </w:rPr>
        <w:t xml:space="preserve"> </w:t>
      </w:r>
    </w:p>
  </w:footnote>
  <w:footnote w:id="107">
    <w:p w14:paraId="4076305D" w14:textId="77777777" w:rsidR="002C0DA7" w:rsidRPr="00C20D9B" w:rsidRDefault="002C0DA7" w:rsidP="00C20D9B">
      <w:pPr>
        <w:pStyle w:val="fussnoteschattenbericht"/>
        <w:rPr>
          <w:lang w:val="it-IT"/>
        </w:rPr>
      </w:pPr>
      <w:r w:rsidRPr="00841617">
        <w:rPr>
          <w:rStyle w:val="Funotenzeichen3"/>
          <w:kern w:val="20"/>
          <w:vertAlign w:val="baseline"/>
        </w:rPr>
        <w:footnoteRef/>
      </w:r>
      <w:r w:rsidRPr="00AF408C">
        <w:rPr>
          <w:rStyle w:val="Funotenzeichen3"/>
          <w:kern w:val="20"/>
          <w:vertAlign w:val="baseline"/>
          <w:lang w:val="it-IT"/>
        </w:rPr>
        <w:t xml:space="preserve"> </w:t>
      </w:r>
      <w:r w:rsidRPr="00C20D9B">
        <w:rPr>
          <w:lang w:val="it-IT"/>
        </w:rPr>
        <w:tab/>
        <w:t xml:space="preserve">CAT60 Argentina, </w:t>
      </w:r>
      <w:hyperlink r:id="rId95" w:history="1">
        <w:r w:rsidRPr="00AF408C">
          <w:rPr>
            <w:rStyle w:val="Hyperlink"/>
            <w:lang w:val="it-IT"/>
          </w:rPr>
          <w:t>https://stopigm.org/post/CAT60-Argentina-to-be-Questioned-on-Intersex-Genital-Mutilation-by-UN-Committee-against-Torture</w:t>
        </w:r>
      </w:hyperlink>
      <w:r w:rsidRPr="00C20D9B">
        <w:rPr>
          <w:lang w:val="it-IT"/>
        </w:rPr>
        <w:t xml:space="preserve"> </w:t>
      </w:r>
    </w:p>
  </w:footnote>
  <w:footnote w:id="108">
    <w:p w14:paraId="112A4158" w14:textId="77777777" w:rsidR="002C0DA7" w:rsidRPr="00C20D9B" w:rsidRDefault="002C0DA7" w:rsidP="00C20D9B">
      <w:pPr>
        <w:pStyle w:val="fussnoteschattenbericht"/>
        <w:rPr>
          <w:lang w:val="it-IT"/>
        </w:rPr>
      </w:pPr>
      <w:r w:rsidRPr="00841617">
        <w:rPr>
          <w:rStyle w:val="Funotenzeichen3"/>
          <w:kern w:val="20"/>
          <w:vertAlign w:val="baseline"/>
        </w:rPr>
        <w:footnoteRef/>
      </w:r>
      <w:r w:rsidRPr="00AF408C">
        <w:rPr>
          <w:rStyle w:val="Funotenzeichen3"/>
          <w:kern w:val="20"/>
          <w:vertAlign w:val="baseline"/>
          <w:lang w:val="it-IT"/>
        </w:rPr>
        <w:t xml:space="preserve"> </w:t>
      </w:r>
      <w:r w:rsidRPr="00C20D9B">
        <w:rPr>
          <w:lang w:val="it-IT"/>
        </w:rPr>
        <w:tab/>
        <w:t xml:space="preserve">CRPD18 UK, </w:t>
      </w:r>
      <w:hyperlink r:id="rId96" w:history="1">
        <w:r w:rsidRPr="00AF408C">
          <w:rPr>
            <w:rStyle w:val="Hyperlink"/>
            <w:lang w:val="it-IT"/>
          </w:rPr>
          <w:t>https://stopigm.org/post/UK-Questioned-over-Intersex-Genital-Mutilations-by-UN-Committee-on-the-Rights-of-Persons-with-Disabilities-CRPD</w:t>
        </w:r>
      </w:hyperlink>
      <w:r w:rsidRPr="00C20D9B">
        <w:rPr>
          <w:lang w:val="it-IT"/>
        </w:rPr>
        <w:t xml:space="preserve"> </w:t>
      </w:r>
    </w:p>
  </w:footnote>
  <w:footnote w:id="109">
    <w:p w14:paraId="1D19937B" w14:textId="77777777" w:rsidR="002C0DA7" w:rsidRPr="00286D52" w:rsidRDefault="002C0DA7" w:rsidP="00C20D9B">
      <w:pPr>
        <w:pStyle w:val="fussnoteschattenbericht"/>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For example in Scotland (UK), LGBT organisations have so far collected at least </w:t>
      </w:r>
      <w:r w:rsidRPr="00286D52">
        <w:rPr>
          <w:b/>
        </w:rPr>
        <w:t>£ 135,000.–</w:t>
      </w:r>
      <w:r w:rsidRPr="00286D52">
        <w:t xml:space="preserve"> public intersex funding, while actual intersex organisations received ZERO public funding, see 2017 CRPD UK NGO Report, p. 14, </w:t>
      </w:r>
      <w:hyperlink r:id="rId97" w:history="1">
        <w:r w:rsidRPr="003C22A3">
          <w:rPr>
            <w:rStyle w:val="Hyperlink"/>
          </w:rPr>
          <w:t>https://intersex.shadowreport.org/public/2017-CRPD-UK-NGO-Coalition-Intersex-IGM.pdf</w:t>
        </w:r>
      </w:hyperlink>
      <w:r w:rsidRPr="00286D52">
        <w:t xml:space="preserve"> </w:t>
      </w:r>
      <w:r w:rsidRPr="00286D52">
        <w:br/>
        <w:t xml:space="preserve">Typically, during the interactive dialogue with CRPD, the UK delegation nonetheless tried to sell this glaring misappropriation as “supporting intersex people”, but fortunately got called out on this by the Committee, see transcript (Session 2, 10:53h + 11:47h), </w:t>
      </w:r>
      <w:hyperlink r:id="rId98" w:history="1">
        <w:r>
          <w:rPr>
            <w:rStyle w:val="Hyperlink"/>
          </w:rPr>
          <w:t>https://stopigm.org/post/UK-Questioned-over-Intersex-Genital-Mutilations-by-UN-Committee-on-the-Rights-of-Persons-with-Disabilities-CRPD</w:t>
        </w:r>
      </w:hyperlink>
      <w:r w:rsidRPr="00286D52">
        <w:t xml:space="preserve"> </w:t>
      </w:r>
    </w:p>
  </w:footnote>
  <w:footnote w:id="110">
    <w:p w14:paraId="793B863C" w14:textId="77777777" w:rsidR="002C0DA7" w:rsidRPr="00286D52" w:rsidRDefault="002C0DA7" w:rsidP="00C20D9B">
      <w:pPr>
        <w:pStyle w:val="fussnoteschattenbericht"/>
        <w:rPr>
          <w:sz w:val="16"/>
          <w:szCs w:val="16"/>
        </w:rPr>
      </w:pPr>
      <w:r w:rsidRPr="00841617">
        <w:rPr>
          <w:rStyle w:val="Funotenzeichen3"/>
          <w:kern w:val="20"/>
          <w:vertAlign w:val="baseline"/>
        </w:rPr>
        <w:footnoteRef/>
      </w:r>
      <w:r w:rsidRPr="00841617">
        <w:rPr>
          <w:rStyle w:val="Funotenzeichen3"/>
          <w:kern w:val="20"/>
          <w:vertAlign w:val="baseline"/>
        </w:rPr>
        <w:t xml:space="preserve"> </w:t>
      </w:r>
      <w:r w:rsidRPr="00286D52">
        <w:tab/>
        <w:t xml:space="preserve">See e.g. “Instrumentalizing intersex: ‘The fact that LGBTs in particular embrace intersex is due to an excess of projection’ - Georg Klauda (2002)”, </w:t>
      </w:r>
      <w:hyperlink r:id="rId99" w:history="1">
        <w:r w:rsidRPr="005C78E9">
          <w:rPr>
            <w:rStyle w:val="Hyperlink"/>
          </w:rPr>
          <w:t>https://stopigm.org/post/Instrumentalizing-Intersex-Georg-Klauda-2002</w:t>
        </w:r>
      </w:hyperlink>
      <w:r w:rsidRPr="00286D52">
        <w:rPr>
          <w:sz w:val="16"/>
          <w:szCs w:val="16"/>
        </w:rPr>
        <w:t xml:space="preserve"> </w:t>
      </w:r>
    </w:p>
  </w:footnote>
  <w:footnote w:id="111">
    <w:p w14:paraId="7B99A09B"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For example Amnesty (2017), see </w:t>
      </w:r>
      <w:hyperlink r:id="rId100" w:history="1">
        <w:r w:rsidRPr="005C78E9">
          <w:rPr>
            <w:rStyle w:val="Hyperlink"/>
            <w:rFonts w:cs="Baskerville"/>
            <w:sz w:val="18"/>
            <w:szCs w:val="18"/>
          </w:rPr>
          <w:t>https://stopigm.org/post/Amnesty-Report-fails-Intersex-Children-and-IGM-Survivors</w:t>
        </w:r>
      </w:hyperlink>
      <w:r w:rsidRPr="00286D52">
        <w:rPr>
          <w:rStyle w:val="WW8Num1z3"/>
          <w:rFonts w:cs="Baskerville"/>
        </w:rPr>
        <w:t xml:space="preserve"> </w:t>
      </w:r>
    </w:p>
  </w:footnote>
  <w:footnote w:id="112">
    <w:p w14:paraId="4FB36167" w14:textId="77777777" w:rsidR="002C0DA7" w:rsidRPr="00286D52" w:rsidRDefault="002C0DA7" w:rsidP="00C20D9B">
      <w:pPr>
        <w:pStyle w:val="fussnoteschattenbericht"/>
      </w:pPr>
      <w:r w:rsidRPr="00841617">
        <w:rPr>
          <w:rStyle w:val="Funotenzeichen3"/>
          <w:kern w:val="20"/>
          <w:vertAlign w:val="baseline"/>
        </w:rPr>
        <w:footnoteRef/>
      </w:r>
      <w:r w:rsidRPr="00286D52">
        <w:tab/>
        <w:t xml:space="preserve">For example FRA (2015), see Presentation OHCHR Expert Meeting (2015), slide 8, </w:t>
      </w:r>
      <w:hyperlink r:id="rId101" w:history="1">
        <w:r>
          <w:rPr>
            <w:rStyle w:val="Hyperlink"/>
            <w:rFonts w:cs="Baskerville"/>
          </w:rPr>
          <w:t>https://stopigm.org/public/S3_Zwischengeschlecht_UN-Expert-Meeting-2015_web.pdf</w:t>
        </w:r>
      </w:hyperlink>
      <w:r w:rsidRPr="00286D52">
        <w:rPr>
          <w:rStyle w:val="WW8Num1z3"/>
          <w:rFonts w:cs="Baskerville"/>
        </w:rPr>
        <w:t xml:space="preserve"> </w:t>
      </w:r>
    </w:p>
  </w:footnote>
  <w:footnote w:id="113">
    <w:p w14:paraId="2FAC9971" w14:textId="77777777" w:rsidR="002C0DA7" w:rsidRPr="00286D52" w:rsidRDefault="002C0DA7" w:rsidP="00C20D9B">
      <w:pPr>
        <w:pStyle w:val="fussnoteschattenbericht"/>
      </w:pPr>
      <w:r w:rsidRPr="00841617">
        <w:rPr>
          <w:rStyle w:val="Funotenzeichen3"/>
          <w:kern w:val="20"/>
          <w:vertAlign w:val="baseline"/>
        </w:rPr>
        <w:footnoteRef/>
      </w:r>
      <w:r w:rsidRPr="00286D52">
        <w:tab/>
        <w:t>For example CEDAW</w:t>
      </w:r>
      <w:r w:rsidRPr="00286D52">
        <w:rPr>
          <w:b/>
        </w:rPr>
        <w:t xml:space="preserve"> </w:t>
      </w:r>
      <w:r w:rsidRPr="00286D52">
        <w:t xml:space="preserve">Italy (2017), see </w:t>
      </w:r>
      <w:hyperlink r:id="rId102" w:history="1">
        <w:r w:rsidRPr="003C22A3">
          <w:rPr>
            <w:rStyle w:val="Hyperlink"/>
            <w:rFonts w:cs="Baskerville"/>
            <w:kern w:val="20"/>
            <w:sz w:val="18"/>
            <w:szCs w:val="18"/>
          </w:rPr>
          <w:t>https://stopigm.org/post/Major-Setback-for-Intersex-Human-Rights-at-the-UN</w:t>
        </w:r>
      </w:hyperlink>
      <w:r>
        <w:rPr>
          <w:rFonts w:cs="Baskerville"/>
          <w:kern w:val="20"/>
          <w:sz w:val="18"/>
          <w:szCs w:val="18"/>
        </w:rPr>
        <w:t xml:space="preserve"> </w:t>
      </w:r>
    </w:p>
  </w:footnote>
  <w:footnote w:id="114">
    <w:p w14:paraId="0B87428B" w14:textId="77777777" w:rsidR="002C0DA7" w:rsidRPr="00286D52" w:rsidRDefault="002C0DA7" w:rsidP="00C20D9B">
      <w:pPr>
        <w:pStyle w:val="fussnoteschattenbericht"/>
      </w:pPr>
      <w:r w:rsidRPr="00841617">
        <w:rPr>
          <w:rStyle w:val="Funotenzeichen3"/>
          <w:kern w:val="20"/>
          <w:vertAlign w:val="baseline"/>
        </w:rPr>
        <w:footnoteRef/>
      </w:r>
      <w:r w:rsidRPr="00286D52">
        <w:tab/>
        <w:t>For example CEDAW</w:t>
      </w:r>
      <w:r w:rsidRPr="00286D52">
        <w:rPr>
          <w:b/>
        </w:rPr>
        <w:t xml:space="preserve"> </w:t>
      </w:r>
      <w:r w:rsidRPr="00286D52">
        <w:t>Austria (2019): CEDAW/C/AUT/CO/9, paras 34(h), 35(h)</w:t>
      </w:r>
    </w:p>
  </w:footnote>
  <w:footnote w:id="115">
    <w:p w14:paraId="5F1094B4" w14:textId="77777777" w:rsidR="002C0DA7" w:rsidRPr="00286D52" w:rsidRDefault="002C0DA7" w:rsidP="00C20D9B">
      <w:pPr>
        <w:pStyle w:val="fussnoteschattenbericht"/>
      </w:pPr>
      <w:r w:rsidRPr="00841617">
        <w:rPr>
          <w:rStyle w:val="Funotenzeichen3"/>
          <w:kern w:val="20"/>
          <w:vertAlign w:val="baseline"/>
        </w:rPr>
        <w:footnoteRef/>
      </w:r>
      <w:r w:rsidRPr="00286D52">
        <w:tab/>
        <w:t>For example Ministry of Health Chile (2016), see</w:t>
      </w:r>
      <w:r w:rsidRPr="00286D52">
        <w:br/>
      </w:r>
      <w:hyperlink r:id="rId103" w:history="1">
        <w:r>
          <w:rPr>
            <w:rStyle w:val="Hyperlink"/>
            <w:rFonts w:cs="Baskerville"/>
          </w:rPr>
          <w:t>https://stopigm.org/post/Circular-7-step-back-for-intersex-human-rights-in-Chile</w:t>
        </w:r>
      </w:hyperlink>
      <w:r w:rsidRPr="00286D52">
        <w:rPr>
          <w:rStyle w:val="WW8Num1z3"/>
          <w:rFonts w:cs="Baskerville"/>
        </w:rPr>
        <w:t xml:space="preserve"> </w:t>
      </w:r>
    </w:p>
  </w:footnote>
  <w:footnote w:id="116">
    <w:p w14:paraId="1A259ECD" w14:textId="77777777" w:rsidR="002C0DA7" w:rsidRPr="00286D52" w:rsidRDefault="002C0DA7" w:rsidP="00C20D9B">
      <w:pPr>
        <w:pStyle w:val="fussnoteschattenbericht"/>
      </w:pPr>
      <w:r w:rsidRPr="00841617">
        <w:rPr>
          <w:rStyle w:val="Funotenzeichen3"/>
          <w:kern w:val="20"/>
          <w:vertAlign w:val="baseline"/>
        </w:rPr>
        <w:footnoteRef/>
      </w:r>
      <w:r w:rsidRPr="00286D52">
        <w:rPr>
          <w:rStyle w:val="Funotenzeichen3"/>
          <w:kern w:val="20"/>
        </w:rPr>
        <w:tab/>
      </w:r>
      <w:r w:rsidRPr="00286D52">
        <w:t xml:space="preserve">For example Ministry of Health </w:t>
      </w:r>
      <w:r>
        <w:t>France</w:t>
      </w:r>
      <w:r w:rsidRPr="00286D52">
        <w:t xml:space="preserve"> (201</w:t>
      </w:r>
      <w:r>
        <w:t>8</w:t>
      </w:r>
      <w:r w:rsidRPr="00286D52">
        <w:t>), see 20</w:t>
      </w:r>
      <w:r>
        <w:t>20</w:t>
      </w:r>
      <w:r w:rsidRPr="00286D52">
        <w:t xml:space="preserve"> CRC Intersex NGO Report (for </w:t>
      </w:r>
      <w:r>
        <w:t>LOIPR</w:t>
      </w:r>
      <w:r w:rsidRPr="00286D52">
        <w:t xml:space="preserve">), p. </w:t>
      </w:r>
      <w:r>
        <w:t>19</w:t>
      </w:r>
      <w:r w:rsidRPr="00286D52">
        <w:t>,</w:t>
      </w:r>
      <w:r w:rsidRPr="00286D52">
        <w:br/>
      </w:r>
      <w:hyperlink r:id="rId104" w:history="1">
        <w:r w:rsidRPr="001465D7">
          <w:rPr>
            <w:rStyle w:val="Hyperlink"/>
          </w:rPr>
          <w:t>http</w:t>
        </w:r>
        <w:r>
          <w:rPr>
            <w:rStyle w:val="Hyperlink"/>
          </w:rPr>
          <w:t>s</w:t>
        </w:r>
        <w:r w:rsidRPr="001465D7">
          <w:rPr>
            <w:rStyle w:val="Hyperlink"/>
          </w:rPr>
          <w:t>://intersex.shadowreport.org/public/2020-CRC-France-LOIPR-NGO-Intersex-IGM.pdf</w:t>
        </w:r>
      </w:hyperlink>
      <w:r>
        <w:t xml:space="preserve"> </w:t>
      </w:r>
    </w:p>
  </w:footnote>
  <w:footnote w:id="117">
    <w:p w14:paraId="3049D70B" w14:textId="77777777" w:rsidR="002C0DA7" w:rsidRPr="00286D52" w:rsidRDefault="002C0DA7" w:rsidP="00C20D9B">
      <w:pPr>
        <w:pStyle w:val="fussnoteschattenbericht"/>
      </w:pPr>
      <w:r w:rsidRPr="00841617">
        <w:rPr>
          <w:rStyle w:val="Funotenzeichen3"/>
          <w:kern w:val="20"/>
          <w:vertAlign w:val="baseline"/>
        </w:rPr>
        <w:footnoteRef/>
      </w:r>
      <w:r w:rsidRPr="00286D52">
        <w:rPr>
          <w:rStyle w:val="Funotenzeichen3"/>
          <w:kern w:val="20"/>
        </w:rPr>
        <w:tab/>
      </w:r>
      <w:r w:rsidRPr="00286D52">
        <w:t>For example Ministry of Health Austria (2019), see 2019 CRC Intersex NGO Report (for Session), p. 4-5,</w:t>
      </w:r>
      <w:r w:rsidRPr="00286D52">
        <w:br/>
      </w:r>
      <w:hyperlink r:id="rId105" w:history="1">
        <w:r w:rsidRPr="003C22A3">
          <w:rPr>
            <w:rStyle w:val="Hyperlink"/>
          </w:rPr>
          <w:t>https://intersex.shadowreport.org/public/2019-CRC-Austria-NGO-Zwischengeschlecht-Intersex-IGM.pdf</w:t>
        </w:r>
      </w:hyperlink>
      <w:r w:rsidRPr="00286D5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5715C" w14:textId="77777777" w:rsidR="002C0DA7" w:rsidRDefault="002C0D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242D" w14:textId="77777777" w:rsidR="002C0DA7" w:rsidRDefault="002C0D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4ED37" w14:textId="77777777" w:rsidR="002C0DA7" w:rsidRDefault="002C0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3FC2F6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F4CFD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794F9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6E229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B8EABC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2A7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C044C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0297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E8EA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9FEE3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2"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8"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9"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0"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1"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2" w15:restartNumberingAfterBreak="0">
    <w:nsid w:val="27CC752E"/>
    <w:multiLevelType w:val="hybridMultilevel"/>
    <w:tmpl w:val="5DCE3D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7D971C9"/>
    <w:multiLevelType w:val="multilevel"/>
    <w:tmpl w:val="005A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82015363">
    <w:abstractNumId w:val="10"/>
  </w:num>
  <w:num w:numId="2" w16cid:durableId="1833376283">
    <w:abstractNumId w:val="24"/>
  </w:num>
  <w:num w:numId="3" w16cid:durableId="792940172">
    <w:abstractNumId w:val="25"/>
  </w:num>
  <w:num w:numId="4" w16cid:durableId="2054694249">
    <w:abstractNumId w:val="9"/>
  </w:num>
  <w:num w:numId="5" w16cid:durableId="666519651">
    <w:abstractNumId w:val="7"/>
  </w:num>
  <w:num w:numId="6" w16cid:durableId="794297966">
    <w:abstractNumId w:val="6"/>
  </w:num>
  <w:num w:numId="7" w16cid:durableId="1803770890">
    <w:abstractNumId w:val="5"/>
  </w:num>
  <w:num w:numId="8" w16cid:durableId="428547160">
    <w:abstractNumId w:val="4"/>
  </w:num>
  <w:num w:numId="9" w16cid:durableId="327447251">
    <w:abstractNumId w:val="8"/>
  </w:num>
  <w:num w:numId="10" w16cid:durableId="1791439066">
    <w:abstractNumId w:val="3"/>
  </w:num>
  <w:num w:numId="11" w16cid:durableId="1094866095">
    <w:abstractNumId w:val="2"/>
  </w:num>
  <w:num w:numId="12" w16cid:durableId="1387755339">
    <w:abstractNumId w:val="1"/>
  </w:num>
  <w:num w:numId="13" w16cid:durableId="882793055">
    <w:abstractNumId w:val="0"/>
  </w:num>
  <w:num w:numId="14" w16cid:durableId="1297445581">
    <w:abstractNumId w:val="22"/>
  </w:num>
  <w:num w:numId="15" w16cid:durableId="1253248100">
    <w:abstractNumId w:val="23"/>
  </w:num>
  <w:num w:numId="16" w16cid:durableId="194552883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acDisableGlyphATSUI" w:val="0"/>
  </w:docVars>
  <w:rsids>
    <w:rsidRoot w:val="0044223A"/>
    <w:rsid w:val="000004E0"/>
    <w:rsid w:val="00000745"/>
    <w:rsid w:val="00000A65"/>
    <w:rsid w:val="000017D4"/>
    <w:rsid w:val="00002068"/>
    <w:rsid w:val="00003920"/>
    <w:rsid w:val="00004522"/>
    <w:rsid w:val="00004599"/>
    <w:rsid w:val="00010D58"/>
    <w:rsid w:val="000127A8"/>
    <w:rsid w:val="000127B9"/>
    <w:rsid w:val="00013751"/>
    <w:rsid w:val="00016C6C"/>
    <w:rsid w:val="000177FC"/>
    <w:rsid w:val="00020626"/>
    <w:rsid w:val="0002138B"/>
    <w:rsid w:val="000222E0"/>
    <w:rsid w:val="00022D94"/>
    <w:rsid w:val="00023562"/>
    <w:rsid w:val="000238FA"/>
    <w:rsid w:val="00023B28"/>
    <w:rsid w:val="00023CDB"/>
    <w:rsid w:val="00024333"/>
    <w:rsid w:val="00025342"/>
    <w:rsid w:val="000254D7"/>
    <w:rsid w:val="00026928"/>
    <w:rsid w:val="00026C09"/>
    <w:rsid w:val="000273D0"/>
    <w:rsid w:val="0002794A"/>
    <w:rsid w:val="00030C2B"/>
    <w:rsid w:val="000316A2"/>
    <w:rsid w:val="00031D9E"/>
    <w:rsid w:val="000344B8"/>
    <w:rsid w:val="0003470E"/>
    <w:rsid w:val="00034BE0"/>
    <w:rsid w:val="00035606"/>
    <w:rsid w:val="0003737D"/>
    <w:rsid w:val="000439E9"/>
    <w:rsid w:val="00043CF1"/>
    <w:rsid w:val="000445BD"/>
    <w:rsid w:val="0004538B"/>
    <w:rsid w:val="0005147E"/>
    <w:rsid w:val="000522F3"/>
    <w:rsid w:val="00052EF6"/>
    <w:rsid w:val="00053C1D"/>
    <w:rsid w:val="00053F06"/>
    <w:rsid w:val="000560C2"/>
    <w:rsid w:val="0005624B"/>
    <w:rsid w:val="00060046"/>
    <w:rsid w:val="00060085"/>
    <w:rsid w:val="00062CD2"/>
    <w:rsid w:val="00064D03"/>
    <w:rsid w:val="00066168"/>
    <w:rsid w:val="000669FD"/>
    <w:rsid w:val="00067D35"/>
    <w:rsid w:val="00070AF3"/>
    <w:rsid w:val="00071BA3"/>
    <w:rsid w:val="00071EFF"/>
    <w:rsid w:val="0007296D"/>
    <w:rsid w:val="00072ABF"/>
    <w:rsid w:val="00072ADE"/>
    <w:rsid w:val="000730DD"/>
    <w:rsid w:val="00073CF1"/>
    <w:rsid w:val="00074118"/>
    <w:rsid w:val="00075D23"/>
    <w:rsid w:val="0007614D"/>
    <w:rsid w:val="000768EF"/>
    <w:rsid w:val="00076936"/>
    <w:rsid w:val="00077728"/>
    <w:rsid w:val="00083002"/>
    <w:rsid w:val="00085538"/>
    <w:rsid w:val="00085947"/>
    <w:rsid w:val="00085B6B"/>
    <w:rsid w:val="00085FA9"/>
    <w:rsid w:val="00086F89"/>
    <w:rsid w:val="00090028"/>
    <w:rsid w:val="00090214"/>
    <w:rsid w:val="00091C15"/>
    <w:rsid w:val="000925F2"/>
    <w:rsid w:val="00092680"/>
    <w:rsid w:val="00092953"/>
    <w:rsid w:val="0009339B"/>
    <w:rsid w:val="00095A7A"/>
    <w:rsid w:val="00095B7C"/>
    <w:rsid w:val="00095EA4"/>
    <w:rsid w:val="00096585"/>
    <w:rsid w:val="00096C1E"/>
    <w:rsid w:val="000A0D22"/>
    <w:rsid w:val="000A0F1E"/>
    <w:rsid w:val="000A2729"/>
    <w:rsid w:val="000A2D58"/>
    <w:rsid w:val="000A5761"/>
    <w:rsid w:val="000A5A49"/>
    <w:rsid w:val="000A5D1D"/>
    <w:rsid w:val="000A7B74"/>
    <w:rsid w:val="000B31FB"/>
    <w:rsid w:val="000B38E3"/>
    <w:rsid w:val="000B47C0"/>
    <w:rsid w:val="000B5043"/>
    <w:rsid w:val="000B526E"/>
    <w:rsid w:val="000B57F6"/>
    <w:rsid w:val="000B5B18"/>
    <w:rsid w:val="000B6CA2"/>
    <w:rsid w:val="000B79BF"/>
    <w:rsid w:val="000B7F2B"/>
    <w:rsid w:val="000C0414"/>
    <w:rsid w:val="000C1804"/>
    <w:rsid w:val="000C2080"/>
    <w:rsid w:val="000C2B6F"/>
    <w:rsid w:val="000C3493"/>
    <w:rsid w:val="000C3B0F"/>
    <w:rsid w:val="000C487B"/>
    <w:rsid w:val="000C598F"/>
    <w:rsid w:val="000C6267"/>
    <w:rsid w:val="000D0D23"/>
    <w:rsid w:val="000D1033"/>
    <w:rsid w:val="000D4539"/>
    <w:rsid w:val="000D6B78"/>
    <w:rsid w:val="000D74FF"/>
    <w:rsid w:val="000D752B"/>
    <w:rsid w:val="000D76A9"/>
    <w:rsid w:val="000E00A7"/>
    <w:rsid w:val="000E048A"/>
    <w:rsid w:val="000E2758"/>
    <w:rsid w:val="000E4A33"/>
    <w:rsid w:val="000E4CCA"/>
    <w:rsid w:val="000E5FB5"/>
    <w:rsid w:val="000E6875"/>
    <w:rsid w:val="000E79DA"/>
    <w:rsid w:val="000F07EB"/>
    <w:rsid w:val="000F08FC"/>
    <w:rsid w:val="000F19F2"/>
    <w:rsid w:val="000F446D"/>
    <w:rsid w:val="000F4D51"/>
    <w:rsid w:val="000F757C"/>
    <w:rsid w:val="000F79C1"/>
    <w:rsid w:val="00101DB9"/>
    <w:rsid w:val="001059B9"/>
    <w:rsid w:val="0010640A"/>
    <w:rsid w:val="00106430"/>
    <w:rsid w:val="00106440"/>
    <w:rsid w:val="00106661"/>
    <w:rsid w:val="00107B7D"/>
    <w:rsid w:val="00111A65"/>
    <w:rsid w:val="00111D2A"/>
    <w:rsid w:val="001127B6"/>
    <w:rsid w:val="001137C1"/>
    <w:rsid w:val="001139B2"/>
    <w:rsid w:val="00114F2F"/>
    <w:rsid w:val="00115B58"/>
    <w:rsid w:val="00115D2B"/>
    <w:rsid w:val="00117303"/>
    <w:rsid w:val="00120454"/>
    <w:rsid w:val="001207DD"/>
    <w:rsid w:val="00122974"/>
    <w:rsid w:val="0012479C"/>
    <w:rsid w:val="00125267"/>
    <w:rsid w:val="00125A29"/>
    <w:rsid w:val="00126A73"/>
    <w:rsid w:val="001306AF"/>
    <w:rsid w:val="00131195"/>
    <w:rsid w:val="00131FE9"/>
    <w:rsid w:val="00133421"/>
    <w:rsid w:val="00133504"/>
    <w:rsid w:val="00133B3D"/>
    <w:rsid w:val="00133F29"/>
    <w:rsid w:val="00134D36"/>
    <w:rsid w:val="00135AF6"/>
    <w:rsid w:val="00136733"/>
    <w:rsid w:val="00137169"/>
    <w:rsid w:val="00137D98"/>
    <w:rsid w:val="00141C4F"/>
    <w:rsid w:val="00141FBA"/>
    <w:rsid w:val="0014244C"/>
    <w:rsid w:val="00143AC5"/>
    <w:rsid w:val="001455A8"/>
    <w:rsid w:val="0014599B"/>
    <w:rsid w:val="00150AB6"/>
    <w:rsid w:val="001515AB"/>
    <w:rsid w:val="0015396F"/>
    <w:rsid w:val="001556D2"/>
    <w:rsid w:val="00155DF0"/>
    <w:rsid w:val="00156F86"/>
    <w:rsid w:val="00157EF0"/>
    <w:rsid w:val="00160B32"/>
    <w:rsid w:val="001611D0"/>
    <w:rsid w:val="001629D3"/>
    <w:rsid w:val="001650FA"/>
    <w:rsid w:val="00166E99"/>
    <w:rsid w:val="00167168"/>
    <w:rsid w:val="00170581"/>
    <w:rsid w:val="00171861"/>
    <w:rsid w:val="0017196C"/>
    <w:rsid w:val="0017465C"/>
    <w:rsid w:val="00175061"/>
    <w:rsid w:val="00176249"/>
    <w:rsid w:val="00176D4C"/>
    <w:rsid w:val="001772C0"/>
    <w:rsid w:val="00180060"/>
    <w:rsid w:val="00181F17"/>
    <w:rsid w:val="00182B69"/>
    <w:rsid w:val="001834A1"/>
    <w:rsid w:val="00183631"/>
    <w:rsid w:val="0018367E"/>
    <w:rsid w:val="00183894"/>
    <w:rsid w:val="001846AE"/>
    <w:rsid w:val="001865DD"/>
    <w:rsid w:val="00187412"/>
    <w:rsid w:val="00187F9B"/>
    <w:rsid w:val="001904F6"/>
    <w:rsid w:val="00190873"/>
    <w:rsid w:val="00191381"/>
    <w:rsid w:val="001915B1"/>
    <w:rsid w:val="0019163D"/>
    <w:rsid w:val="00192652"/>
    <w:rsid w:val="00193D4A"/>
    <w:rsid w:val="001942F1"/>
    <w:rsid w:val="00194EEE"/>
    <w:rsid w:val="001962C4"/>
    <w:rsid w:val="00197CDB"/>
    <w:rsid w:val="001A0171"/>
    <w:rsid w:val="001A1507"/>
    <w:rsid w:val="001A20FE"/>
    <w:rsid w:val="001A2649"/>
    <w:rsid w:val="001A3991"/>
    <w:rsid w:val="001A7866"/>
    <w:rsid w:val="001B0A4A"/>
    <w:rsid w:val="001B271D"/>
    <w:rsid w:val="001B37CB"/>
    <w:rsid w:val="001B3996"/>
    <w:rsid w:val="001B40C2"/>
    <w:rsid w:val="001B644D"/>
    <w:rsid w:val="001C0CEB"/>
    <w:rsid w:val="001C0DC8"/>
    <w:rsid w:val="001C1238"/>
    <w:rsid w:val="001C2310"/>
    <w:rsid w:val="001C2514"/>
    <w:rsid w:val="001C25E6"/>
    <w:rsid w:val="001C282E"/>
    <w:rsid w:val="001C327C"/>
    <w:rsid w:val="001C4D94"/>
    <w:rsid w:val="001C58BA"/>
    <w:rsid w:val="001C5C60"/>
    <w:rsid w:val="001C6227"/>
    <w:rsid w:val="001C634D"/>
    <w:rsid w:val="001D19B9"/>
    <w:rsid w:val="001D3769"/>
    <w:rsid w:val="001D3AD3"/>
    <w:rsid w:val="001D7DBA"/>
    <w:rsid w:val="001D7E99"/>
    <w:rsid w:val="001E464A"/>
    <w:rsid w:val="001E5598"/>
    <w:rsid w:val="001E7535"/>
    <w:rsid w:val="001E7806"/>
    <w:rsid w:val="001E7E43"/>
    <w:rsid w:val="001F0BDD"/>
    <w:rsid w:val="001F29C6"/>
    <w:rsid w:val="001F2A06"/>
    <w:rsid w:val="001F2E29"/>
    <w:rsid w:val="001F3423"/>
    <w:rsid w:val="001F3A50"/>
    <w:rsid w:val="001F3ACD"/>
    <w:rsid w:val="001F5A68"/>
    <w:rsid w:val="001F6891"/>
    <w:rsid w:val="001F695A"/>
    <w:rsid w:val="001F6AF6"/>
    <w:rsid w:val="0020104F"/>
    <w:rsid w:val="002015F7"/>
    <w:rsid w:val="00201A78"/>
    <w:rsid w:val="00202CF1"/>
    <w:rsid w:val="0020390A"/>
    <w:rsid w:val="00203D95"/>
    <w:rsid w:val="002045FB"/>
    <w:rsid w:val="00204A07"/>
    <w:rsid w:val="00204C64"/>
    <w:rsid w:val="00205F71"/>
    <w:rsid w:val="00206BFA"/>
    <w:rsid w:val="00207015"/>
    <w:rsid w:val="0020701E"/>
    <w:rsid w:val="00210149"/>
    <w:rsid w:val="00210B32"/>
    <w:rsid w:val="00212742"/>
    <w:rsid w:val="00212935"/>
    <w:rsid w:val="00213E37"/>
    <w:rsid w:val="002145CF"/>
    <w:rsid w:val="00214F89"/>
    <w:rsid w:val="0021555B"/>
    <w:rsid w:val="002161E5"/>
    <w:rsid w:val="00216202"/>
    <w:rsid w:val="00217B72"/>
    <w:rsid w:val="002212AD"/>
    <w:rsid w:val="00223C78"/>
    <w:rsid w:val="00225EEE"/>
    <w:rsid w:val="00226140"/>
    <w:rsid w:val="00226276"/>
    <w:rsid w:val="00230297"/>
    <w:rsid w:val="002308B8"/>
    <w:rsid w:val="002311DE"/>
    <w:rsid w:val="0023123B"/>
    <w:rsid w:val="002313AE"/>
    <w:rsid w:val="0023209F"/>
    <w:rsid w:val="002333C0"/>
    <w:rsid w:val="002346C7"/>
    <w:rsid w:val="00235949"/>
    <w:rsid w:val="002360BC"/>
    <w:rsid w:val="0023768F"/>
    <w:rsid w:val="00237CE6"/>
    <w:rsid w:val="00237D01"/>
    <w:rsid w:val="0024072F"/>
    <w:rsid w:val="00240A8C"/>
    <w:rsid w:val="002413A9"/>
    <w:rsid w:val="0024372E"/>
    <w:rsid w:val="0024389F"/>
    <w:rsid w:val="00245C65"/>
    <w:rsid w:val="00246A31"/>
    <w:rsid w:val="002473F3"/>
    <w:rsid w:val="002506F5"/>
    <w:rsid w:val="002514AC"/>
    <w:rsid w:val="002530F3"/>
    <w:rsid w:val="00253728"/>
    <w:rsid w:val="00254C49"/>
    <w:rsid w:val="00255141"/>
    <w:rsid w:val="002565C9"/>
    <w:rsid w:val="0025694D"/>
    <w:rsid w:val="00256B6E"/>
    <w:rsid w:val="002612BB"/>
    <w:rsid w:val="00261622"/>
    <w:rsid w:val="002631B0"/>
    <w:rsid w:val="002635D2"/>
    <w:rsid w:val="00264FE8"/>
    <w:rsid w:val="002650B4"/>
    <w:rsid w:val="00265FEC"/>
    <w:rsid w:val="0026785F"/>
    <w:rsid w:val="00270455"/>
    <w:rsid w:val="002704D8"/>
    <w:rsid w:val="00270705"/>
    <w:rsid w:val="002710B2"/>
    <w:rsid w:val="0027384D"/>
    <w:rsid w:val="00273BEC"/>
    <w:rsid w:val="00274323"/>
    <w:rsid w:val="00275BCC"/>
    <w:rsid w:val="00275F32"/>
    <w:rsid w:val="00276218"/>
    <w:rsid w:val="002768BB"/>
    <w:rsid w:val="00277BBE"/>
    <w:rsid w:val="00277C99"/>
    <w:rsid w:val="002806DE"/>
    <w:rsid w:val="00281521"/>
    <w:rsid w:val="00281CDA"/>
    <w:rsid w:val="00290D21"/>
    <w:rsid w:val="0029151A"/>
    <w:rsid w:val="002916C6"/>
    <w:rsid w:val="00292A13"/>
    <w:rsid w:val="00292B8F"/>
    <w:rsid w:val="00293A7E"/>
    <w:rsid w:val="00293E17"/>
    <w:rsid w:val="002945B5"/>
    <w:rsid w:val="00294E21"/>
    <w:rsid w:val="00295074"/>
    <w:rsid w:val="0029548F"/>
    <w:rsid w:val="0029660D"/>
    <w:rsid w:val="00296FA3"/>
    <w:rsid w:val="002970A1"/>
    <w:rsid w:val="002A227C"/>
    <w:rsid w:val="002A229B"/>
    <w:rsid w:val="002A29F6"/>
    <w:rsid w:val="002A2B2C"/>
    <w:rsid w:val="002A2E84"/>
    <w:rsid w:val="002A5D7B"/>
    <w:rsid w:val="002A5EF8"/>
    <w:rsid w:val="002A61C3"/>
    <w:rsid w:val="002A7E0D"/>
    <w:rsid w:val="002B0C8F"/>
    <w:rsid w:val="002B1604"/>
    <w:rsid w:val="002B4162"/>
    <w:rsid w:val="002B4210"/>
    <w:rsid w:val="002B47D0"/>
    <w:rsid w:val="002B587D"/>
    <w:rsid w:val="002B7164"/>
    <w:rsid w:val="002C05E1"/>
    <w:rsid w:val="002C0DA7"/>
    <w:rsid w:val="002C178D"/>
    <w:rsid w:val="002C17BE"/>
    <w:rsid w:val="002C1A26"/>
    <w:rsid w:val="002C60DA"/>
    <w:rsid w:val="002C6115"/>
    <w:rsid w:val="002C7A32"/>
    <w:rsid w:val="002D0340"/>
    <w:rsid w:val="002D05B5"/>
    <w:rsid w:val="002D071E"/>
    <w:rsid w:val="002D19F2"/>
    <w:rsid w:val="002D1ED2"/>
    <w:rsid w:val="002D2091"/>
    <w:rsid w:val="002D2405"/>
    <w:rsid w:val="002D38B3"/>
    <w:rsid w:val="002D4879"/>
    <w:rsid w:val="002D4F3C"/>
    <w:rsid w:val="002D544F"/>
    <w:rsid w:val="002D5BCA"/>
    <w:rsid w:val="002D6B7B"/>
    <w:rsid w:val="002D79EE"/>
    <w:rsid w:val="002E11A3"/>
    <w:rsid w:val="002E1B41"/>
    <w:rsid w:val="002E1D21"/>
    <w:rsid w:val="002E25D4"/>
    <w:rsid w:val="002E3915"/>
    <w:rsid w:val="002E42EE"/>
    <w:rsid w:val="002E5702"/>
    <w:rsid w:val="002E62A2"/>
    <w:rsid w:val="002E62F0"/>
    <w:rsid w:val="002E6D56"/>
    <w:rsid w:val="002F142F"/>
    <w:rsid w:val="002F20DF"/>
    <w:rsid w:val="002F2C3E"/>
    <w:rsid w:val="002F3391"/>
    <w:rsid w:val="002F380F"/>
    <w:rsid w:val="002F4564"/>
    <w:rsid w:val="002F4965"/>
    <w:rsid w:val="002F605C"/>
    <w:rsid w:val="002F766E"/>
    <w:rsid w:val="002F797E"/>
    <w:rsid w:val="00300264"/>
    <w:rsid w:val="00300E32"/>
    <w:rsid w:val="00300F9B"/>
    <w:rsid w:val="003010CF"/>
    <w:rsid w:val="0030110A"/>
    <w:rsid w:val="00301761"/>
    <w:rsid w:val="00301B29"/>
    <w:rsid w:val="00302E4A"/>
    <w:rsid w:val="0030340A"/>
    <w:rsid w:val="0030433B"/>
    <w:rsid w:val="00305267"/>
    <w:rsid w:val="00307B71"/>
    <w:rsid w:val="00307C09"/>
    <w:rsid w:val="0031000F"/>
    <w:rsid w:val="0031121B"/>
    <w:rsid w:val="003113DC"/>
    <w:rsid w:val="0031198C"/>
    <w:rsid w:val="00311F7A"/>
    <w:rsid w:val="003148AE"/>
    <w:rsid w:val="00315570"/>
    <w:rsid w:val="00316928"/>
    <w:rsid w:val="00316998"/>
    <w:rsid w:val="0032014E"/>
    <w:rsid w:val="00320BF3"/>
    <w:rsid w:val="00324CA7"/>
    <w:rsid w:val="00324CAE"/>
    <w:rsid w:val="00325A43"/>
    <w:rsid w:val="003268B1"/>
    <w:rsid w:val="003277EB"/>
    <w:rsid w:val="00331C19"/>
    <w:rsid w:val="00332EDC"/>
    <w:rsid w:val="0033394C"/>
    <w:rsid w:val="00333E9D"/>
    <w:rsid w:val="0033487E"/>
    <w:rsid w:val="00336317"/>
    <w:rsid w:val="0033659D"/>
    <w:rsid w:val="0033727E"/>
    <w:rsid w:val="00337DA5"/>
    <w:rsid w:val="00340B2C"/>
    <w:rsid w:val="003412C8"/>
    <w:rsid w:val="00341F1E"/>
    <w:rsid w:val="00342163"/>
    <w:rsid w:val="00343B29"/>
    <w:rsid w:val="00345870"/>
    <w:rsid w:val="00345E3F"/>
    <w:rsid w:val="00346603"/>
    <w:rsid w:val="00346750"/>
    <w:rsid w:val="00346BB4"/>
    <w:rsid w:val="00346D2B"/>
    <w:rsid w:val="0035122D"/>
    <w:rsid w:val="00353384"/>
    <w:rsid w:val="00353C79"/>
    <w:rsid w:val="00355384"/>
    <w:rsid w:val="00355501"/>
    <w:rsid w:val="003561AA"/>
    <w:rsid w:val="003569DD"/>
    <w:rsid w:val="00356D62"/>
    <w:rsid w:val="00356E39"/>
    <w:rsid w:val="0036185A"/>
    <w:rsid w:val="003624AC"/>
    <w:rsid w:val="00362B1D"/>
    <w:rsid w:val="003646D8"/>
    <w:rsid w:val="00365212"/>
    <w:rsid w:val="00365379"/>
    <w:rsid w:val="00366508"/>
    <w:rsid w:val="003673DE"/>
    <w:rsid w:val="0036765A"/>
    <w:rsid w:val="00367DE8"/>
    <w:rsid w:val="003702EF"/>
    <w:rsid w:val="003739E5"/>
    <w:rsid w:val="00373ADC"/>
    <w:rsid w:val="00373BD3"/>
    <w:rsid w:val="00374DEA"/>
    <w:rsid w:val="003762A2"/>
    <w:rsid w:val="00380A23"/>
    <w:rsid w:val="00380B49"/>
    <w:rsid w:val="003814AE"/>
    <w:rsid w:val="00383043"/>
    <w:rsid w:val="00383088"/>
    <w:rsid w:val="00383C48"/>
    <w:rsid w:val="003842D2"/>
    <w:rsid w:val="00384C87"/>
    <w:rsid w:val="003854D6"/>
    <w:rsid w:val="00387787"/>
    <w:rsid w:val="00387DC5"/>
    <w:rsid w:val="00390BC0"/>
    <w:rsid w:val="00391FDD"/>
    <w:rsid w:val="0039342F"/>
    <w:rsid w:val="00393B6C"/>
    <w:rsid w:val="00393FD7"/>
    <w:rsid w:val="00394319"/>
    <w:rsid w:val="00395293"/>
    <w:rsid w:val="00395FC1"/>
    <w:rsid w:val="0039706A"/>
    <w:rsid w:val="00397211"/>
    <w:rsid w:val="00397AFC"/>
    <w:rsid w:val="003A1CCB"/>
    <w:rsid w:val="003A2415"/>
    <w:rsid w:val="003A69B7"/>
    <w:rsid w:val="003B135F"/>
    <w:rsid w:val="003B1383"/>
    <w:rsid w:val="003B2818"/>
    <w:rsid w:val="003B45F3"/>
    <w:rsid w:val="003C054A"/>
    <w:rsid w:val="003C2115"/>
    <w:rsid w:val="003C221E"/>
    <w:rsid w:val="003C55CC"/>
    <w:rsid w:val="003C734C"/>
    <w:rsid w:val="003C7B65"/>
    <w:rsid w:val="003D05BF"/>
    <w:rsid w:val="003D26E6"/>
    <w:rsid w:val="003D2E16"/>
    <w:rsid w:val="003D2FD9"/>
    <w:rsid w:val="003D478B"/>
    <w:rsid w:val="003D48A9"/>
    <w:rsid w:val="003D6E92"/>
    <w:rsid w:val="003D75CD"/>
    <w:rsid w:val="003E0D2A"/>
    <w:rsid w:val="003E1A55"/>
    <w:rsid w:val="003E365B"/>
    <w:rsid w:val="003E3C4E"/>
    <w:rsid w:val="003E4CA3"/>
    <w:rsid w:val="003E5D91"/>
    <w:rsid w:val="003E60E4"/>
    <w:rsid w:val="003E6835"/>
    <w:rsid w:val="003F185D"/>
    <w:rsid w:val="003F2B98"/>
    <w:rsid w:val="003F3EB3"/>
    <w:rsid w:val="003F3FCA"/>
    <w:rsid w:val="003F5766"/>
    <w:rsid w:val="003F633D"/>
    <w:rsid w:val="003F7289"/>
    <w:rsid w:val="003F731E"/>
    <w:rsid w:val="003F7480"/>
    <w:rsid w:val="00401A4E"/>
    <w:rsid w:val="00401DDD"/>
    <w:rsid w:val="0040470F"/>
    <w:rsid w:val="0040507D"/>
    <w:rsid w:val="00411B48"/>
    <w:rsid w:val="00412FEA"/>
    <w:rsid w:val="00413EB5"/>
    <w:rsid w:val="00420AF2"/>
    <w:rsid w:val="00422F5A"/>
    <w:rsid w:val="004242FC"/>
    <w:rsid w:val="00425857"/>
    <w:rsid w:val="004262C8"/>
    <w:rsid w:val="0042662F"/>
    <w:rsid w:val="00427BDA"/>
    <w:rsid w:val="0043006B"/>
    <w:rsid w:val="00430115"/>
    <w:rsid w:val="00432AE0"/>
    <w:rsid w:val="00433171"/>
    <w:rsid w:val="0043328F"/>
    <w:rsid w:val="00433CB0"/>
    <w:rsid w:val="0043445E"/>
    <w:rsid w:val="0043529C"/>
    <w:rsid w:val="004358F9"/>
    <w:rsid w:val="00436403"/>
    <w:rsid w:val="00436D1F"/>
    <w:rsid w:val="004370DD"/>
    <w:rsid w:val="00437B2E"/>
    <w:rsid w:val="00437DDD"/>
    <w:rsid w:val="004409A4"/>
    <w:rsid w:val="00440A66"/>
    <w:rsid w:val="00440BE2"/>
    <w:rsid w:val="004418FC"/>
    <w:rsid w:val="0044223A"/>
    <w:rsid w:val="00443C41"/>
    <w:rsid w:val="0044498E"/>
    <w:rsid w:val="00444DDB"/>
    <w:rsid w:val="0044509A"/>
    <w:rsid w:val="004459AE"/>
    <w:rsid w:val="00445EA6"/>
    <w:rsid w:val="00447751"/>
    <w:rsid w:val="004510D4"/>
    <w:rsid w:val="00452580"/>
    <w:rsid w:val="004529E2"/>
    <w:rsid w:val="00452DB5"/>
    <w:rsid w:val="004540BB"/>
    <w:rsid w:val="00455021"/>
    <w:rsid w:val="00455324"/>
    <w:rsid w:val="00457C96"/>
    <w:rsid w:val="00457DC4"/>
    <w:rsid w:val="0046037D"/>
    <w:rsid w:val="00460B3F"/>
    <w:rsid w:val="00461794"/>
    <w:rsid w:val="00462892"/>
    <w:rsid w:val="0046331A"/>
    <w:rsid w:val="00464186"/>
    <w:rsid w:val="00465609"/>
    <w:rsid w:val="00465AFC"/>
    <w:rsid w:val="00466BA2"/>
    <w:rsid w:val="00473100"/>
    <w:rsid w:val="00473768"/>
    <w:rsid w:val="004746B4"/>
    <w:rsid w:val="004778B8"/>
    <w:rsid w:val="00480710"/>
    <w:rsid w:val="004811F0"/>
    <w:rsid w:val="004835E0"/>
    <w:rsid w:val="0048722A"/>
    <w:rsid w:val="0049280D"/>
    <w:rsid w:val="00492FB3"/>
    <w:rsid w:val="00493BD1"/>
    <w:rsid w:val="00493D19"/>
    <w:rsid w:val="004960E1"/>
    <w:rsid w:val="00497377"/>
    <w:rsid w:val="004A0478"/>
    <w:rsid w:val="004A09CC"/>
    <w:rsid w:val="004A1F4A"/>
    <w:rsid w:val="004A2518"/>
    <w:rsid w:val="004A47F6"/>
    <w:rsid w:val="004A5A0D"/>
    <w:rsid w:val="004A5CA5"/>
    <w:rsid w:val="004A6B0A"/>
    <w:rsid w:val="004A6E85"/>
    <w:rsid w:val="004B0800"/>
    <w:rsid w:val="004B0B09"/>
    <w:rsid w:val="004B2180"/>
    <w:rsid w:val="004B37B9"/>
    <w:rsid w:val="004B5364"/>
    <w:rsid w:val="004B687C"/>
    <w:rsid w:val="004B6D57"/>
    <w:rsid w:val="004B6F22"/>
    <w:rsid w:val="004B7347"/>
    <w:rsid w:val="004B78D7"/>
    <w:rsid w:val="004C053F"/>
    <w:rsid w:val="004C15A4"/>
    <w:rsid w:val="004C1BF0"/>
    <w:rsid w:val="004C4581"/>
    <w:rsid w:val="004C6508"/>
    <w:rsid w:val="004C7A48"/>
    <w:rsid w:val="004D1070"/>
    <w:rsid w:val="004D1DCD"/>
    <w:rsid w:val="004D219C"/>
    <w:rsid w:val="004D3E75"/>
    <w:rsid w:val="004D4B71"/>
    <w:rsid w:val="004D5B08"/>
    <w:rsid w:val="004D5E93"/>
    <w:rsid w:val="004D6A0F"/>
    <w:rsid w:val="004D72C4"/>
    <w:rsid w:val="004D7648"/>
    <w:rsid w:val="004D7B91"/>
    <w:rsid w:val="004E1599"/>
    <w:rsid w:val="004E2944"/>
    <w:rsid w:val="004F28BC"/>
    <w:rsid w:val="004F28D8"/>
    <w:rsid w:val="004F3317"/>
    <w:rsid w:val="004F3E63"/>
    <w:rsid w:val="004F53FD"/>
    <w:rsid w:val="004F63C7"/>
    <w:rsid w:val="004F7442"/>
    <w:rsid w:val="004F7F3C"/>
    <w:rsid w:val="00501B24"/>
    <w:rsid w:val="005028BA"/>
    <w:rsid w:val="0050347C"/>
    <w:rsid w:val="00503A4B"/>
    <w:rsid w:val="00504375"/>
    <w:rsid w:val="00505931"/>
    <w:rsid w:val="00505B60"/>
    <w:rsid w:val="00506265"/>
    <w:rsid w:val="00506288"/>
    <w:rsid w:val="00507076"/>
    <w:rsid w:val="0050762B"/>
    <w:rsid w:val="00507791"/>
    <w:rsid w:val="00507B84"/>
    <w:rsid w:val="00512D60"/>
    <w:rsid w:val="00513589"/>
    <w:rsid w:val="0051400C"/>
    <w:rsid w:val="005143C1"/>
    <w:rsid w:val="005145E6"/>
    <w:rsid w:val="00514E5E"/>
    <w:rsid w:val="00516B00"/>
    <w:rsid w:val="00520983"/>
    <w:rsid w:val="005211FD"/>
    <w:rsid w:val="0052198A"/>
    <w:rsid w:val="00522806"/>
    <w:rsid w:val="00522B0F"/>
    <w:rsid w:val="00522FA7"/>
    <w:rsid w:val="005231E6"/>
    <w:rsid w:val="005244FB"/>
    <w:rsid w:val="005246B1"/>
    <w:rsid w:val="00525BD4"/>
    <w:rsid w:val="00526058"/>
    <w:rsid w:val="00531446"/>
    <w:rsid w:val="00531C65"/>
    <w:rsid w:val="00531FB7"/>
    <w:rsid w:val="00532DB3"/>
    <w:rsid w:val="00534DF0"/>
    <w:rsid w:val="00535067"/>
    <w:rsid w:val="00536A22"/>
    <w:rsid w:val="00537B30"/>
    <w:rsid w:val="00537CB2"/>
    <w:rsid w:val="00537DC7"/>
    <w:rsid w:val="00541DE6"/>
    <w:rsid w:val="0054277E"/>
    <w:rsid w:val="00544457"/>
    <w:rsid w:val="005459EC"/>
    <w:rsid w:val="0054618B"/>
    <w:rsid w:val="00546431"/>
    <w:rsid w:val="0054715C"/>
    <w:rsid w:val="00547BAB"/>
    <w:rsid w:val="00547E67"/>
    <w:rsid w:val="00547F6F"/>
    <w:rsid w:val="00550F7E"/>
    <w:rsid w:val="00551199"/>
    <w:rsid w:val="005511CF"/>
    <w:rsid w:val="0055285D"/>
    <w:rsid w:val="005534EB"/>
    <w:rsid w:val="005536B2"/>
    <w:rsid w:val="00555256"/>
    <w:rsid w:val="005563AE"/>
    <w:rsid w:val="0055648F"/>
    <w:rsid w:val="00561290"/>
    <w:rsid w:val="00561944"/>
    <w:rsid w:val="00561D62"/>
    <w:rsid w:val="005629C7"/>
    <w:rsid w:val="00563BF2"/>
    <w:rsid w:val="005643C2"/>
    <w:rsid w:val="00567AF6"/>
    <w:rsid w:val="005717B4"/>
    <w:rsid w:val="005727E6"/>
    <w:rsid w:val="00572EC1"/>
    <w:rsid w:val="0057453F"/>
    <w:rsid w:val="00574905"/>
    <w:rsid w:val="00580960"/>
    <w:rsid w:val="005813DF"/>
    <w:rsid w:val="005820C0"/>
    <w:rsid w:val="0058348C"/>
    <w:rsid w:val="00583785"/>
    <w:rsid w:val="00584641"/>
    <w:rsid w:val="005846BC"/>
    <w:rsid w:val="005850F5"/>
    <w:rsid w:val="00585FA4"/>
    <w:rsid w:val="00586365"/>
    <w:rsid w:val="00587969"/>
    <w:rsid w:val="00587B76"/>
    <w:rsid w:val="00591005"/>
    <w:rsid w:val="00591852"/>
    <w:rsid w:val="00591A49"/>
    <w:rsid w:val="00594F30"/>
    <w:rsid w:val="00595E7C"/>
    <w:rsid w:val="00596DBC"/>
    <w:rsid w:val="005A1146"/>
    <w:rsid w:val="005A166B"/>
    <w:rsid w:val="005A3F86"/>
    <w:rsid w:val="005A4AB7"/>
    <w:rsid w:val="005A6631"/>
    <w:rsid w:val="005A6C71"/>
    <w:rsid w:val="005A720A"/>
    <w:rsid w:val="005A77CC"/>
    <w:rsid w:val="005A7A58"/>
    <w:rsid w:val="005A7DCB"/>
    <w:rsid w:val="005B00C8"/>
    <w:rsid w:val="005B11B8"/>
    <w:rsid w:val="005B1858"/>
    <w:rsid w:val="005B2C27"/>
    <w:rsid w:val="005B458A"/>
    <w:rsid w:val="005B4C09"/>
    <w:rsid w:val="005C078B"/>
    <w:rsid w:val="005C096E"/>
    <w:rsid w:val="005C0BBB"/>
    <w:rsid w:val="005C18CF"/>
    <w:rsid w:val="005C27AF"/>
    <w:rsid w:val="005C3E79"/>
    <w:rsid w:val="005C5128"/>
    <w:rsid w:val="005C6250"/>
    <w:rsid w:val="005C7696"/>
    <w:rsid w:val="005D1DA6"/>
    <w:rsid w:val="005D2D40"/>
    <w:rsid w:val="005D339C"/>
    <w:rsid w:val="005D377D"/>
    <w:rsid w:val="005D3D16"/>
    <w:rsid w:val="005D4A01"/>
    <w:rsid w:val="005D4CC0"/>
    <w:rsid w:val="005D51D0"/>
    <w:rsid w:val="005D5935"/>
    <w:rsid w:val="005D79B5"/>
    <w:rsid w:val="005E019F"/>
    <w:rsid w:val="005E350C"/>
    <w:rsid w:val="005E35BE"/>
    <w:rsid w:val="005E3D0F"/>
    <w:rsid w:val="005E430B"/>
    <w:rsid w:val="005E4837"/>
    <w:rsid w:val="005E4E70"/>
    <w:rsid w:val="005E51B7"/>
    <w:rsid w:val="005E6086"/>
    <w:rsid w:val="005E6751"/>
    <w:rsid w:val="005E6C70"/>
    <w:rsid w:val="005F1D18"/>
    <w:rsid w:val="005F2F54"/>
    <w:rsid w:val="005F34B9"/>
    <w:rsid w:val="005F5041"/>
    <w:rsid w:val="005F5476"/>
    <w:rsid w:val="005F7824"/>
    <w:rsid w:val="00600430"/>
    <w:rsid w:val="00600954"/>
    <w:rsid w:val="0060103F"/>
    <w:rsid w:val="00601834"/>
    <w:rsid w:val="0060193F"/>
    <w:rsid w:val="006021F4"/>
    <w:rsid w:val="006024BC"/>
    <w:rsid w:val="00605487"/>
    <w:rsid w:val="006078B1"/>
    <w:rsid w:val="00611472"/>
    <w:rsid w:val="006135E0"/>
    <w:rsid w:val="006137AE"/>
    <w:rsid w:val="00613DB9"/>
    <w:rsid w:val="00614D64"/>
    <w:rsid w:val="006159E1"/>
    <w:rsid w:val="00615A0D"/>
    <w:rsid w:val="00616174"/>
    <w:rsid w:val="00616302"/>
    <w:rsid w:val="00616870"/>
    <w:rsid w:val="00617B15"/>
    <w:rsid w:val="00617DC9"/>
    <w:rsid w:val="00617FBF"/>
    <w:rsid w:val="006209F9"/>
    <w:rsid w:val="006230D0"/>
    <w:rsid w:val="00623512"/>
    <w:rsid w:val="006275EE"/>
    <w:rsid w:val="00631034"/>
    <w:rsid w:val="00632308"/>
    <w:rsid w:val="00632525"/>
    <w:rsid w:val="00633054"/>
    <w:rsid w:val="00633421"/>
    <w:rsid w:val="00635671"/>
    <w:rsid w:val="006365FA"/>
    <w:rsid w:val="0064099A"/>
    <w:rsid w:val="00640DA7"/>
    <w:rsid w:val="00640E59"/>
    <w:rsid w:val="00640EAB"/>
    <w:rsid w:val="00641580"/>
    <w:rsid w:val="00641B12"/>
    <w:rsid w:val="00641C4C"/>
    <w:rsid w:val="00641D1E"/>
    <w:rsid w:val="0064215F"/>
    <w:rsid w:val="0064295E"/>
    <w:rsid w:val="00643169"/>
    <w:rsid w:val="00643E22"/>
    <w:rsid w:val="00644745"/>
    <w:rsid w:val="00644C70"/>
    <w:rsid w:val="006461FF"/>
    <w:rsid w:val="006464B1"/>
    <w:rsid w:val="00647287"/>
    <w:rsid w:val="006517D0"/>
    <w:rsid w:val="0065205A"/>
    <w:rsid w:val="0065296B"/>
    <w:rsid w:val="006545AC"/>
    <w:rsid w:val="0065710D"/>
    <w:rsid w:val="00660009"/>
    <w:rsid w:val="00662604"/>
    <w:rsid w:val="00662F9B"/>
    <w:rsid w:val="00664DF5"/>
    <w:rsid w:val="0066565E"/>
    <w:rsid w:val="0066603B"/>
    <w:rsid w:val="00667DED"/>
    <w:rsid w:val="00671E83"/>
    <w:rsid w:val="00672528"/>
    <w:rsid w:val="006726E9"/>
    <w:rsid w:val="00675E03"/>
    <w:rsid w:val="0067622A"/>
    <w:rsid w:val="00676676"/>
    <w:rsid w:val="00677546"/>
    <w:rsid w:val="006806E1"/>
    <w:rsid w:val="00681130"/>
    <w:rsid w:val="00681948"/>
    <w:rsid w:val="0068512A"/>
    <w:rsid w:val="00690C31"/>
    <w:rsid w:val="00691051"/>
    <w:rsid w:val="0069113D"/>
    <w:rsid w:val="0069403C"/>
    <w:rsid w:val="00694728"/>
    <w:rsid w:val="00694AAB"/>
    <w:rsid w:val="00697352"/>
    <w:rsid w:val="006A0F0A"/>
    <w:rsid w:val="006A255D"/>
    <w:rsid w:val="006A3956"/>
    <w:rsid w:val="006A3DA9"/>
    <w:rsid w:val="006A5AFF"/>
    <w:rsid w:val="006A6AA2"/>
    <w:rsid w:val="006A6C1C"/>
    <w:rsid w:val="006A6F50"/>
    <w:rsid w:val="006A7C67"/>
    <w:rsid w:val="006A7D3C"/>
    <w:rsid w:val="006B00E5"/>
    <w:rsid w:val="006B0375"/>
    <w:rsid w:val="006B050F"/>
    <w:rsid w:val="006B0856"/>
    <w:rsid w:val="006B145E"/>
    <w:rsid w:val="006B22D9"/>
    <w:rsid w:val="006B32A8"/>
    <w:rsid w:val="006B4171"/>
    <w:rsid w:val="006B4F5F"/>
    <w:rsid w:val="006B57E5"/>
    <w:rsid w:val="006B6E55"/>
    <w:rsid w:val="006B6F41"/>
    <w:rsid w:val="006B7071"/>
    <w:rsid w:val="006B740C"/>
    <w:rsid w:val="006B7E2E"/>
    <w:rsid w:val="006C018F"/>
    <w:rsid w:val="006C0B63"/>
    <w:rsid w:val="006C17C2"/>
    <w:rsid w:val="006C48C8"/>
    <w:rsid w:val="006C6BEB"/>
    <w:rsid w:val="006C7FBA"/>
    <w:rsid w:val="006D014E"/>
    <w:rsid w:val="006D2BE7"/>
    <w:rsid w:val="006D32BA"/>
    <w:rsid w:val="006D3FB1"/>
    <w:rsid w:val="006D4B75"/>
    <w:rsid w:val="006D5D4E"/>
    <w:rsid w:val="006D6AD3"/>
    <w:rsid w:val="006D6F32"/>
    <w:rsid w:val="006E2373"/>
    <w:rsid w:val="006E3776"/>
    <w:rsid w:val="006E3967"/>
    <w:rsid w:val="006E3E77"/>
    <w:rsid w:val="006E41B9"/>
    <w:rsid w:val="006E5320"/>
    <w:rsid w:val="006E6A77"/>
    <w:rsid w:val="006E7512"/>
    <w:rsid w:val="006F1009"/>
    <w:rsid w:val="006F135F"/>
    <w:rsid w:val="006F3E55"/>
    <w:rsid w:val="006F44F1"/>
    <w:rsid w:val="006F46F2"/>
    <w:rsid w:val="006F47A1"/>
    <w:rsid w:val="006F47BA"/>
    <w:rsid w:val="006F53CD"/>
    <w:rsid w:val="006F7769"/>
    <w:rsid w:val="007018B7"/>
    <w:rsid w:val="007027E8"/>
    <w:rsid w:val="0070408F"/>
    <w:rsid w:val="007119AB"/>
    <w:rsid w:val="00711EA1"/>
    <w:rsid w:val="0071602E"/>
    <w:rsid w:val="00716A3C"/>
    <w:rsid w:val="007208F1"/>
    <w:rsid w:val="00720D57"/>
    <w:rsid w:val="00721372"/>
    <w:rsid w:val="00721D3B"/>
    <w:rsid w:val="00722235"/>
    <w:rsid w:val="00722995"/>
    <w:rsid w:val="007231F8"/>
    <w:rsid w:val="0072420B"/>
    <w:rsid w:val="0072580E"/>
    <w:rsid w:val="00725DEE"/>
    <w:rsid w:val="00727B3D"/>
    <w:rsid w:val="007315EB"/>
    <w:rsid w:val="00731A94"/>
    <w:rsid w:val="007320C9"/>
    <w:rsid w:val="0073434C"/>
    <w:rsid w:val="00734E51"/>
    <w:rsid w:val="00735D9C"/>
    <w:rsid w:val="00736A68"/>
    <w:rsid w:val="007378EE"/>
    <w:rsid w:val="00740CE4"/>
    <w:rsid w:val="00742250"/>
    <w:rsid w:val="0074339D"/>
    <w:rsid w:val="007447D8"/>
    <w:rsid w:val="00745091"/>
    <w:rsid w:val="007457D1"/>
    <w:rsid w:val="0074588B"/>
    <w:rsid w:val="00746B10"/>
    <w:rsid w:val="00750886"/>
    <w:rsid w:val="00751C84"/>
    <w:rsid w:val="007525B6"/>
    <w:rsid w:val="00754EF7"/>
    <w:rsid w:val="00756C2C"/>
    <w:rsid w:val="00756FFD"/>
    <w:rsid w:val="007575E8"/>
    <w:rsid w:val="007615D2"/>
    <w:rsid w:val="00761E02"/>
    <w:rsid w:val="00763029"/>
    <w:rsid w:val="007630DA"/>
    <w:rsid w:val="00763861"/>
    <w:rsid w:val="00765320"/>
    <w:rsid w:val="00766671"/>
    <w:rsid w:val="00767DA3"/>
    <w:rsid w:val="007717F8"/>
    <w:rsid w:val="0077192A"/>
    <w:rsid w:val="00771F93"/>
    <w:rsid w:val="00773928"/>
    <w:rsid w:val="00773CC3"/>
    <w:rsid w:val="00774BCA"/>
    <w:rsid w:val="0077598F"/>
    <w:rsid w:val="00775A36"/>
    <w:rsid w:val="00780B68"/>
    <w:rsid w:val="00782A09"/>
    <w:rsid w:val="00783182"/>
    <w:rsid w:val="00783737"/>
    <w:rsid w:val="0078471E"/>
    <w:rsid w:val="007861BB"/>
    <w:rsid w:val="007864A2"/>
    <w:rsid w:val="007904FD"/>
    <w:rsid w:val="00790F0C"/>
    <w:rsid w:val="00791635"/>
    <w:rsid w:val="00791B28"/>
    <w:rsid w:val="007926F9"/>
    <w:rsid w:val="00793FF4"/>
    <w:rsid w:val="007960C4"/>
    <w:rsid w:val="007A0011"/>
    <w:rsid w:val="007A096A"/>
    <w:rsid w:val="007A1BDD"/>
    <w:rsid w:val="007A24BB"/>
    <w:rsid w:val="007A27B6"/>
    <w:rsid w:val="007A34E0"/>
    <w:rsid w:val="007A3DE5"/>
    <w:rsid w:val="007A5914"/>
    <w:rsid w:val="007A619D"/>
    <w:rsid w:val="007A7690"/>
    <w:rsid w:val="007B0183"/>
    <w:rsid w:val="007B0EE1"/>
    <w:rsid w:val="007B17FE"/>
    <w:rsid w:val="007B2DD1"/>
    <w:rsid w:val="007B3398"/>
    <w:rsid w:val="007B3A17"/>
    <w:rsid w:val="007B4222"/>
    <w:rsid w:val="007B4993"/>
    <w:rsid w:val="007B4A18"/>
    <w:rsid w:val="007B5C3D"/>
    <w:rsid w:val="007B5F16"/>
    <w:rsid w:val="007C0EC2"/>
    <w:rsid w:val="007C279A"/>
    <w:rsid w:val="007C2CC0"/>
    <w:rsid w:val="007C40D2"/>
    <w:rsid w:val="007C496E"/>
    <w:rsid w:val="007C4D6B"/>
    <w:rsid w:val="007C4DBB"/>
    <w:rsid w:val="007C5C48"/>
    <w:rsid w:val="007C67AB"/>
    <w:rsid w:val="007D2202"/>
    <w:rsid w:val="007D3382"/>
    <w:rsid w:val="007E2560"/>
    <w:rsid w:val="007E2BEE"/>
    <w:rsid w:val="007E313A"/>
    <w:rsid w:val="007E442F"/>
    <w:rsid w:val="007E4810"/>
    <w:rsid w:val="007E48BD"/>
    <w:rsid w:val="007E49D2"/>
    <w:rsid w:val="007E6019"/>
    <w:rsid w:val="007E633E"/>
    <w:rsid w:val="007E6CF8"/>
    <w:rsid w:val="007E7E63"/>
    <w:rsid w:val="007F0149"/>
    <w:rsid w:val="007F0AF1"/>
    <w:rsid w:val="007F0F88"/>
    <w:rsid w:val="007F1583"/>
    <w:rsid w:val="007F1D68"/>
    <w:rsid w:val="007F6661"/>
    <w:rsid w:val="008013F3"/>
    <w:rsid w:val="00801719"/>
    <w:rsid w:val="008031FB"/>
    <w:rsid w:val="008040DC"/>
    <w:rsid w:val="00804185"/>
    <w:rsid w:val="008042C7"/>
    <w:rsid w:val="00806CD8"/>
    <w:rsid w:val="008071D7"/>
    <w:rsid w:val="00807854"/>
    <w:rsid w:val="00807C53"/>
    <w:rsid w:val="00807D5B"/>
    <w:rsid w:val="008105BE"/>
    <w:rsid w:val="0081170C"/>
    <w:rsid w:val="00811B78"/>
    <w:rsid w:val="00811C52"/>
    <w:rsid w:val="00812054"/>
    <w:rsid w:val="00812A5A"/>
    <w:rsid w:val="00812F45"/>
    <w:rsid w:val="00815972"/>
    <w:rsid w:val="00816048"/>
    <w:rsid w:val="00816A31"/>
    <w:rsid w:val="00816C33"/>
    <w:rsid w:val="008176DC"/>
    <w:rsid w:val="0081793A"/>
    <w:rsid w:val="00817A07"/>
    <w:rsid w:val="0082116C"/>
    <w:rsid w:val="008216A3"/>
    <w:rsid w:val="0082171D"/>
    <w:rsid w:val="00822DCA"/>
    <w:rsid w:val="00824845"/>
    <w:rsid w:val="00824D2C"/>
    <w:rsid w:val="008256CE"/>
    <w:rsid w:val="008262C9"/>
    <w:rsid w:val="00826EC7"/>
    <w:rsid w:val="0082782C"/>
    <w:rsid w:val="00827CA3"/>
    <w:rsid w:val="00833A6D"/>
    <w:rsid w:val="0083496B"/>
    <w:rsid w:val="00835B0A"/>
    <w:rsid w:val="00837EB5"/>
    <w:rsid w:val="00837EBE"/>
    <w:rsid w:val="00842555"/>
    <w:rsid w:val="00843217"/>
    <w:rsid w:val="00843D72"/>
    <w:rsid w:val="00843FDB"/>
    <w:rsid w:val="008449B8"/>
    <w:rsid w:val="00844C8E"/>
    <w:rsid w:val="00845373"/>
    <w:rsid w:val="0084614D"/>
    <w:rsid w:val="00846ED0"/>
    <w:rsid w:val="00847355"/>
    <w:rsid w:val="00847B9E"/>
    <w:rsid w:val="00847FC4"/>
    <w:rsid w:val="0085134B"/>
    <w:rsid w:val="00851C1F"/>
    <w:rsid w:val="0085436D"/>
    <w:rsid w:val="00855D2A"/>
    <w:rsid w:val="00856811"/>
    <w:rsid w:val="00856F76"/>
    <w:rsid w:val="008573A1"/>
    <w:rsid w:val="00862FE9"/>
    <w:rsid w:val="008646CD"/>
    <w:rsid w:val="0086497A"/>
    <w:rsid w:val="00866A01"/>
    <w:rsid w:val="00867CF5"/>
    <w:rsid w:val="008700D4"/>
    <w:rsid w:val="00871610"/>
    <w:rsid w:val="0087225D"/>
    <w:rsid w:val="0087234F"/>
    <w:rsid w:val="00872FB8"/>
    <w:rsid w:val="00874057"/>
    <w:rsid w:val="008753F9"/>
    <w:rsid w:val="008767C5"/>
    <w:rsid w:val="0087692C"/>
    <w:rsid w:val="00876A6D"/>
    <w:rsid w:val="00876B68"/>
    <w:rsid w:val="00876D72"/>
    <w:rsid w:val="008772F1"/>
    <w:rsid w:val="00877CFE"/>
    <w:rsid w:val="00881D2E"/>
    <w:rsid w:val="00883A7A"/>
    <w:rsid w:val="00883D21"/>
    <w:rsid w:val="008855F0"/>
    <w:rsid w:val="008858F9"/>
    <w:rsid w:val="00887767"/>
    <w:rsid w:val="00891553"/>
    <w:rsid w:val="00891C11"/>
    <w:rsid w:val="0089493A"/>
    <w:rsid w:val="00895F6E"/>
    <w:rsid w:val="008965EF"/>
    <w:rsid w:val="008966E8"/>
    <w:rsid w:val="00896AF8"/>
    <w:rsid w:val="008A0F44"/>
    <w:rsid w:val="008A119C"/>
    <w:rsid w:val="008A243D"/>
    <w:rsid w:val="008A2C02"/>
    <w:rsid w:val="008A2F9D"/>
    <w:rsid w:val="008A34C3"/>
    <w:rsid w:val="008A5AC2"/>
    <w:rsid w:val="008A65BF"/>
    <w:rsid w:val="008A7F25"/>
    <w:rsid w:val="008B0019"/>
    <w:rsid w:val="008B0AD4"/>
    <w:rsid w:val="008B3FF9"/>
    <w:rsid w:val="008B513B"/>
    <w:rsid w:val="008B5299"/>
    <w:rsid w:val="008B5CB2"/>
    <w:rsid w:val="008B7DE6"/>
    <w:rsid w:val="008C04E6"/>
    <w:rsid w:val="008C14C2"/>
    <w:rsid w:val="008C2887"/>
    <w:rsid w:val="008C2D31"/>
    <w:rsid w:val="008C2E61"/>
    <w:rsid w:val="008C57B9"/>
    <w:rsid w:val="008C6B22"/>
    <w:rsid w:val="008C78C9"/>
    <w:rsid w:val="008C798E"/>
    <w:rsid w:val="008C7E1A"/>
    <w:rsid w:val="008D215E"/>
    <w:rsid w:val="008D3B7E"/>
    <w:rsid w:val="008D725C"/>
    <w:rsid w:val="008D774D"/>
    <w:rsid w:val="008E1474"/>
    <w:rsid w:val="008E1557"/>
    <w:rsid w:val="008E2917"/>
    <w:rsid w:val="008E2A8E"/>
    <w:rsid w:val="008E313E"/>
    <w:rsid w:val="008E3AF1"/>
    <w:rsid w:val="008E4296"/>
    <w:rsid w:val="008E5360"/>
    <w:rsid w:val="008E6A3E"/>
    <w:rsid w:val="008E6B9E"/>
    <w:rsid w:val="008E756B"/>
    <w:rsid w:val="008E7BC4"/>
    <w:rsid w:val="008F02AF"/>
    <w:rsid w:val="008F2BD8"/>
    <w:rsid w:val="008F3F77"/>
    <w:rsid w:val="008F78E0"/>
    <w:rsid w:val="00901717"/>
    <w:rsid w:val="0090217F"/>
    <w:rsid w:val="00902628"/>
    <w:rsid w:val="00902716"/>
    <w:rsid w:val="00905031"/>
    <w:rsid w:val="0090764A"/>
    <w:rsid w:val="0091118F"/>
    <w:rsid w:val="009118D1"/>
    <w:rsid w:val="0091212D"/>
    <w:rsid w:val="00915051"/>
    <w:rsid w:val="009159C7"/>
    <w:rsid w:val="00917D7A"/>
    <w:rsid w:val="009206E1"/>
    <w:rsid w:val="00920FA9"/>
    <w:rsid w:val="0092125A"/>
    <w:rsid w:val="00921777"/>
    <w:rsid w:val="009224F3"/>
    <w:rsid w:val="00925FC6"/>
    <w:rsid w:val="00927361"/>
    <w:rsid w:val="00927470"/>
    <w:rsid w:val="009302EC"/>
    <w:rsid w:val="0093360F"/>
    <w:rsid w:val="009343EF"/>
    <w:rsid w:val="00934B5A"/>
    <w:rsid w:val="00936006"/>
    <w:rsid w:val="00936ACC"/>
    <w:rsid w:val="00937955"/>
    <w:rsid w:val="00942AFB"/>
    <w:rsid w:val="00942B7F"/>
    <w:rsid w:val="00943E92"/>
    <w:rsid w:val="00945087"/>
    <w:rsid w:val="00946A1C"/>
    <w:rsid w:val="00947A1F"/>
    <w:rsid w:val="00951A6A"/>
    <w:rsid w:val="00952426"/>
    <w:rsid w:val="00952B53"/>
    <w:rsid w:val="00952BCB"/>
    <w:rsid w:val="00952E1D"/>
    <w:rsid w:val="0095320F"/>
    <w:rsid w:val="00954256"/>
    <w:rsid w:val="0095439F"/>
    <w:rsid w:val="00955D26"/>
    <w:rsid w:val="0095675A"/>
    <w:rsid w:val="009570A4"/>
    <w:rsid w:val="0096134E"/>
    <w:rsid w:val="00961D87"/>
    <w:rsid w:val="009634F3"/>
    <w:rsid w:val="009659E4"/>
    <w:rsid w:val="009667C4"/>
    <w:rsid w:val="0096744E"/>
    <w:rsid w:val="00967750"/>
    <w:rsid w:val="009677A8"/>
    <w:rsid w:val="009677D2"/>
    <w:rsid w:val="00973BA2"/>
    <w:rsid w:val="00974823"/>
    <w:rsid w:val="009751F2"/>
    <w:rsid w:val="00975427"/>
    <w:rsid w:val="00976E90"/>
    <w:rsid w:val="00977127"/>
    <w:rsid w:val="00977170"/>
    <w:rsid w:val="00977CC5"/>
    <w:rsid w:val="009804EE"/>
    <w:rsid w:val="009806C5"/>
    <w:rsid w:val="00980B34"/>
    <w:rsid w:val="0098184F"/>
    <w:rsid w:val="00982157"/>
    <w:rsid w:val="0098301C"/>
    <w:rsid w:val="009838F7"/>
    <w:rsid w:val="00983DC3"/>
    <w:rsid w:val="00983E9F"/>
    <w:rsid w:val="0098451B"/>
    <w:rsid w:val="00984D41"/>
    <w:rsid w:val="00985A88"/>
    <w:rsid w:val="00986480"/>
    <w:rsid w:val="00987A14"/>
    <w:rsid w:val="00987A37"/>
    <w:rsid w:val="00987CB0"/>
    <w:rsid w:val="009917CB"/>
    <w:rsid w:val="009918DA"/>
    <w:rsid w:val="0099312D"/>
    <w:rsid w:val="009A1175"/>
    <w:rsid w:val="009A1F7E"/>
    <w:rsid w:val="009A25E9"/>
    <w:rsid w:val="009A327B"/>
    <w:rsid w:val="009A39C7"/>
    <w:rsid w:val="009A3CDC"/>
    <w:rsid w:val="009A3F59"/>
    <w:rsid w:val="009A4578"/>
    <w:rsid w:val="009A569E"/>
    <w:rsid w:val="009A570E"/>
    <w:rsid w:val="009A62DB"/>
    <w:rsid w:val="009A6399"/>
    <w:rsid w:val="009A69C5"/>
    <w:rsid w:val="009A6E48"/>
    <w:rsid w:val="009A7BCA"/>
    <w:rsid w:val="009A7EC5"/>
    <w:rsid w:val="009B0138"/>
    <w:rsid w:val="009B0E73"/>
    <w:rsid w:val="009B341E"/>
    <w:rsid w:val="009B41B2"/>
    <w:rsid w:val="009B4479"/>
    <w:rsid w:val="009B44FC"/>
    <w:rsid w:val="009B4C2F"/>
    <w:rsid w:val="009B5241"/>
    <w:rsid w:val="009B5CD9"/>
    <w:rsid w:val="009B77A6"/>
    <w:rsid w:val="009B7842"/>
    <w:rsid w:val="009C0937"/>
    <w:rsid w:val="009C1C1A"/>
    <w:rsid w:val="009C4C51"/>
    <w:rsid w:val="009C4F2E"/>
    <w:rsid w:val="009C5EC8"/>
    <w:rsid w:val="009C5F29"/>
    <w:rsid w:val="009C60B3"/>
    <w:rsid w:val="009C68B8"/>
    <w:rsid w:val="009D01DF"/>
    <w:rsid w:val="009D124E"/>
    <w:rsid w:val="009D17EE"/>
    <w:rsid w:val="009D4EB7"/>
    <w:rsid w:val="009D54AF"/>
    <w:rsid w:val="009D6BCF"/>
    <w:rsid w:val="009E04B4"/>
    <w:rsid w:val="009E11D5"/>
    <w:rsid w:val="009E12B9"/>
    <w:rsid w:val="009E237E"/>
    <w:rsid w:val="009E2416"/>
    <w:rsid w:val="009E320A"/>
    <w:rsid w:val="009E4158"/>
    <w:rsid w:val="009E50EF"/>
    <w:rsid w:val="009E520C"/>
    <w:rsid w:val="009E63C9"/>
    <w:rsid w:val="009E6669"/>
    <w:rsid w:val="009E786E"/>
    <w:rsid w:val="009F0B46"/>
    <w:rsid w:val="009F0F0E"/>
    <w:rsid w:val="009F13E7"/>
    <w:rsid w:val="009F215F"/>
    <w:rsid w:val="009F2390"/>
    <w:rsid w:val="009F29C9"/>
    <w:rsid w:val="009F2F74"/>
    <w:rsid w:val="009F318F"/>
    <w:rsid w:val="009F4B26"/>
    <w:rsid w:val="009F6C22"/>
    <w:rsid w:val="00A008B4"/>
    <w:rsid w:val="00A00BE3"/>
    <w:rsid w:val="00A00E77"/>
    <w:rsid w:val="00A01868"/>
    <w:rsid w:val="00A01B37"/>
    <w:rsid w:val="00A025A3"/>
    <w:rsid w:val="00A030FA"/>
    <w:rsid w:val="00A051C3"/>
    <w:rsid w:val="00A05474"/>
    <w:rsid w:val="00A05A94"/>
    <w:rsid w:val="00A06A61"/>
    <w:rsid w:val="00A06CD2"/>
    <w:rsid w:val="00A113C9"/>
    <w:rsid w:val="00A118D4"/>
    <w:rsid w:val="00A144DD"/>
    <w:rsid w:val="00A1529E"/>
    <w:rsid w:val="00A17B93"/>
    <w:rsid w:val="00A22189"/>
    <w:rsid w:val="00A246D4"/>
    <w:rsid w:val="00A25889"/>
    <w:rsid w:val="00A25E9B"/>
    <w:rsid w:val="00A26A53"/>
    <w:rsid w:val="00A26B84"/>
    <w:rsid w:val="00A304ED"/>
    <w:rsid w:val="00A30966"/>
    <w:rsid w:val="00A30D9D"/>
    <w:rsid w:val="00A3105F"/>
    <w:rsid w:val="00A3225C"/>
    <w:rsid w:val="00A32BD6"/>
    <w:rsid w:val="00A330AC"/>
    <w:rsid w:val="00A33928"/>
    <w:rsid w:val="00A33DF6"/>
    <w:rsid w:val="00A346BF"/>
    <w:rsid w:val="00A34C93"/>
    <w:rsid w:val="00A35359"/>
    <w:rsid w:val="00A35CE4"/>
    <w:rsid w:val="00A40089"/>
    <w:rsid w:val="00A40312"/>
    <w:rsid w:val="00A43466"/>
    <w:rsid w:val="00A44A8F"/>
    <w:rsid w:val="00A468BD"/>
    <w:rsid w:val="00A46F08"/>
    <w:rsid w:val="00A47281"/>
    <w:rsid w:val="00A50287"/>
    <w:rsid w:val="00A50AD1"/>
    <w:rsid w:val="00A51274"/>
    <w:rsid w:val="00A5128D"/>
    <w:rsid w:val="00A51F0E"/>
    <w:rsid w:val="00A524D2"/>
    <w:rsid w:val="00A529BC"/>
    <w:rsid w:val="00A52AD2"/>
    <w:rsid w:val="00A5394A"/>
    <w:rsid w:val="00A55449"/>
    <w:rsid w:val="00A635A4"/>
    <w:rsid w:val="00A635EC"/>
    <w:rsid w:val="00A63E85"/>
    <w:rsid w:val="00A651EA"/>
    <w:rsid w:val="00A6554A"/>
    <w:rsid w:val="00A66C4E"/>
    <w:rsid w:val="00A6707A"/>
    <w:rsid w:val="00A674E5"/>
    <w:rsid w:val="00A67A78"/>
    <w:rsid w:val="00A67DB8"/>
    <w:rsid w:val="00A67ECF"/>
    <w:rsid w:val="00A7041C"/>
    <w:rsid w:val="00A70960"/>
    <w:rsid w:val="00A710ED"/>
    <w:rsid w:val="00A72859"/>
    <w:rsid w:val="00A72EAD"/>
    <w:rsid w:val="00A737A6"/>
    <w:rsid w:val="00A75F9A"/>
    <w:rsid w:val="00A760A8"/>
    <w:rsid w:val="00A7698A"/>
    <w:rsid w:val="00A76EC3"/>
    <w:rsid w:val="00A77CE0"/>
    <w:rsid w:val="00A80517"/>
    <w:rsid w:val="00A81902"/>
    <w:rsid w:val="00A82BB9"/>
    <w:rsid w:val="00A838B8"/>
    <w:rsid w:val="00A85760"/>
    <w:rsid w:val="00A86647"/>
    <w:rsid w:val="00A87429"/>
    <w:rsid w:val="00A925E6"/>
    <w:rsid w:val="00A934B7"/>
    <w:rsid w:val="00A94524"/>
    <w:rsid w:val="00A9680E"/>
    <w:rsid w:val="00A96D24"/>
    <w:rsid w:val="00A97374"/>
    <w:rsid w:val="00A97A82"/>
    <w:rsid w:val="00AA02F2"/>
    <w:rsid w:val="00AA108F"/>
    <w:rsid w:val="00AA1A4E"/>
    <w:rsid w:val="00AA2CE6"/>
    <w:rsid w:val="00AA2FF7"/>
    <w:rsid w:val="00AA3292"/>
    <w:rsid w:val="00AA409C"/>
    <w:rsid w:val="00AA57F8"/>
    <w:rsid w:val="00AA6BA3"/>
    <w:rsid w:val="00AA7011"/>
    <w:rsid w:val="00AA7331"/>
    <w:rsid w:val="00AB03C2"/>
    <w:rsid w:val="00AB100E"/>
    <w:rsid w:val="00AB11A9"/>
    <w:rsid w:val="00AB18E1"/>
    <w:rsid w:val="00AB1C9B"/>
    <w:rsid w:val="00AB1D69"/>
    <w:rsid w:val="00AB57F6"/>
    <w:rsid w:val="00AB5B71"/>
    <w:rsid w:val="00AC0891"/>
    <w:rsid w:val="00AC17AF"/>
    <w:rsid w:val="00AC307E"/>
    <w:rsid w:val="00AC357D"/>
    <w:rsid w:val="00AC483E"/>
    <w:rsid w:val="00AC6470"/>
    <w:rsid w:val="00AC75A5"/>
    <w:rsid w:val="00AC7C64"/>
    <w:rsid w:val="00AD0E02"/>
    <w:rsid w:val="00AD1B85"/>
    <w:rsid w:val="00AD2CF0"/>
    <w:rsid w:val="00AD3A0D"/>
    <w:rsid w:val="00AD3CED"/>
    <w:rsid w:val="00AD4907"/>
    <w:rsid w:val="00AD5436"/>
    <w:rsid w:val="00AD5932"/>
    <w:rsid w:val="00AD6C94"/>
    <w:rsid w:val="00AD78DF"/>
    <w:rsid w:val="00AD7998"/>
    <w:rsid w:val="00AE1B85"/>
    <w:rsid w:val="00AE2FF5"/>
    <w:rsid w:val="00AE3E65"/>
    <w:rsid w:val="00AE4A85"/>
    <w:rsid w:val="00AE4FA6"/>
    <w:rsid w:val="00AE562C"/>
    <w:rsid w:val="00AE5A0C"/>
    <w:rsid w:val="00AE6406"/>
    <w:rsid w:val="00AE7309"/>
    <w:rsid w:val="00AF03BD"/>
    <w:rsid w:val="00AF16A9"/>
    <w:rsid w:val="00AF1C5D"/>
    <w:rsid w:val="00AF28E8"/>
    <w:rsid w:val="00AF3087"/>
    <w:rsid w:val="00AF320F"/>
    <w:rsid w:val="00AF3AC3"/>
    <w:rsid w:val="00AF545F"/>
    <w:rsid w:val="00AF6802"/>
    <w:rsid w:val="00AF6F66"/>
    <w:rsid w:val="00AF72B8"/>
    <w:rsid w:val="00AF7EAD"/>
    <w:rsid w:val="00B0030D"/>
    <w:rsid w:val="00B0138C"/>
    <w:rsid w:val="00B02D44"/>
    <w:rsid w:val="00B02E43"/>
    <w:rsid w:val="00B03393"/>
    <w:rsid w:val="00B0347F"/>
    <w:rsid w:val="00B03544"/>
    <w:rsid w:val="00B04D64"/>
    <w:rsid w:val="00B04EB7"/>
    <w:rsid w:val="00B0760F"/>
    <w:rsid w:val="00B106F0"/>
    <w:rsid w:val="00B108DC"/>
    <w:rsid w:val="00B10E43"/>
    <w:rsid w:val="00B11975"/>
    <w:rsid w:val="00B11F98"/>
    <w:rsid w:val="00B12071"/>
    <w:rsid w:val="00B1269C"/>
    <w:rsid w:val="00B146BC"/>
    <w:rsid w:val="00B14E27"/>
    <w:rsid w:val="00B15351"/>
    <w:rsid w:val="00B16849"/>
    <w:rsid w:val="00B17254"/>
    <w:rsid w:val="00B20EAB"/>
    <w:rsid w:val="00B227F5"/>
    <w:rsid w:val="00B22C5C"/>
    <w:rsid w:val="00B23BAF"/>
    <w:rsid w:val="00B24426"/>
    <w:rsid w:val="00B251FA"/>
    <w:rsid w:val="00B2558E"/>
    <w:rsid w:val="00B30B5D"/>
    <w:rsid w:val="00B344D3"/>
    <w:rsid w:val="00B35097"/>
    <w:rsid w:val="00B364A9"/>
    <w:rsid w:val="00B40658"/>
    <w:rsid w:val="00B40BD5"/>
    <w:rsid w:val="00B42173"/>
    <w:rsid w:val="00B44233"/>
    <w:rsid w:val="00B458E3"/>
    <w:rsid w:val="00B4618D"/>
    <w:rsid w:val="00B463B6"/>
    <w:rsid w:val="00B46A43"/>
    <w:rsid w:val="00B46AB5"/>
    <w:rsid w:val="00B50541"/>
    <w:rsid w:val="00B51AC7"/>
    <w:rsid w:val="00B5240E"/>
    <w:rsid w:val="00B524E3"/>
    <w:rsid w:val="00B52519"/>
    <w:rsid w:val="00B5270F"/>
    <w:rsid w:val="00B52E68"/>
    <w:rsid w:val="00B5391B"/>
    <w:rsid w:val="00B53B4F"/>
    <w:rsid w:val="00B54065"/>
    <w:rsid w:val="00B55086"/>
    <w:rsid w:val="00B556E9"/>
    <w:rsid w:val="00B56F12"/>
    <w:rsid w:val="00B576D5"/>
    <w:rsid w:val="00B6038D"/>
    <w:rsid w:val="00B61E3A"/>
    <w:rsid w:val="00B62E73"/>
    <w:rsid w:val="00B63930"/>
    <w:rsid w:val="00B64510"/>
    <w:rsid w:val="00B6565A"/>
    <w:rsid w:val="00B65D7E"/>
    <w:rsid w:val="00B66825"/>
    <w:rsid w:val="00B70062"/>
    <w:rsid w:val="00B72772"/>
    <w:rsid w:val="00B742F1"/>
    <w:rsid w:val="00B74E15"/>
    <w:rsid w:val="00B74EA8"/>
    <w:rsid w:val="00B76C54"/>
    <w:rsid w:val="00B801A4"/>
    <w:rsid w:val="00B810FF"/>
    <w:rsid w:val="00B8118F"/>
    <w:rsid w:val="00B81E92"/>
    <w:rsid w:val="00B83E46"/>
    <w:rsid w:val="00B84210"/>
    <w:rsid w:val="00B86659"/>
    <w:rsid w:val="00B91176"/>
    <w:rsid w:val="00B9284F"/>
    <w:rsid w:val="00B943EB"/>
    <w:rsid w:val="00B946AA"/>
    <w:rsid w:val="00B95176"/>
    <w:rsid w:val="00B951C6"/>
    <w:rsid w:val="00B96762"/>
    <w:rsid w:val="00B97458"/>
    <w:rsid w:val="00BA04A0"/>
    <w:rsid w:val="00BA081D"/>
    <w:rsid w:val="00BA2873"/>
    <w:rsid w:val="00BA39D4"/>
    <w:rsid w:val="00BA3B95"/>
    <w:rsid w:val="00BA4BFD"/>
    <w:rsid w:val="00BA5EBF"/>
    <w:rsid w:val="00BA64E0"/>
    <w:rsid w:val="00BA65BB"/>
    <w:rsid w:val="00BA72FD"/>
    <w:rsid w:val="00BB0B09"/>
    <w:rsid w:val="00BB1BCE"/>
    <w:rsid w:val="00BB27C9"/>
    <w:rsid w:val="00BB295F"/>
    <w:rsid w:val="00BB2CB3"/>
    <w:rsid w:val="00BB4A2B"/>
    <w:rsid w:val="00BB55CD"/>
    <w:rsid w:val="00BB5C6A"/>
    <w:rsid w:val="00BC296D"/>
    <w:rsid w:val="00BC4E9D"/>
    <w:rsid w:val="00BD138C"/>
    <w:rsid w:val="00BD1491"/>
    <w:rsid w:val="00BD2B40"/>
    <w:rsid w:val="00BD2B8A"/>
    <w:rsid w:val="00BD2BDD"/>
    <w:rsid w:val="00BD2D8E"/>
    <w:rsid w:val="00BD2DB9"/>
    <w:rsid w:val="00BD30A9"/>
    <w:rsid w:val="00BD336D"/>
    <w:rsid w:val="00BD33CA"/>
    <w:rsid w:val="00BD3EDB"/>
    <w:rsid w:val="00BD4973"/>
    <w:rsid w:val="00BD5548"/>
    <w:rsid w:val="00BD60DD"/>
    <w:rsid w:val="00BD62F5"/>
    <w:rsid w:val="00BD6548"/>
    <w:rsid w:val="00BD7BD6"/>
    <w:rsid w:val="00BD7FB3"/>
    <w:rsid w:val="00BE030C"/>
    <w:rsid w:val="00BE1393"/>
    <w:rsid w:val="00BE25AC"/>
    <w:rsid w:val="00BE299A"/>
    <w:rsid w:val="00BE2F2A"/>
    <w:rsid w:val="00BE2FA9"/>
    <w:rsid w:val="00BE3611"/>
    <w:rsid w:val="00BE4B32"/>
    <w:rsid w:val="00BE4D65"/>
    <w:rsid w:val="00BE7537"/>
    <w:rsid w:val="00BF0B58"/>
    <w:rsid w:val="00BF1F3F"/>
    <w:rsid w:val="00BF2150"/>
    <w:rsid w:val="00BF30D9"/>
    <w:rsid w:val="00BF390C"/>
    <w:rsid w:val="00BF4895"/>
    <w:rsid w:val="00BF4EE1"/>
    <w:rsid w:val="00BF5DF3"/>
    <w:rsid w:val="00BF6947"/>
    <w:rsid w:val="00BF7E30"/>
    <w:rsid w:val="00C00EC1"/>
    <w:rsid w:val="00C02D37"/>
    <w:rsid w:val="00C0376E"/>
    <w:rsid w:val="00C0421F"/>
    <w:rsid w:val="00C07217"/>
    <w:rsid w:val="00C07FC0"/>
    <w:rsid w:val="00C10702"/>
    <w:rsid w:val="00C12C45"/>
    <w:rsid w:val="00C14496"/>
    <w:rsid w:val="00C1522E"/>
    <w:rsid w:val="00C15AA7"/>
    <w:rsid w:val="00C20D9B"/>
    <w:rsid w:val="00C20FE3"/>
    <w:rsid w:val="00C2136E"/>
    <w:rsid w:val="00C21D02"/>
    <w:rsid w:val="00C21FEC"/>
    <w:rsid w:val="00C22916"/>
    <w:rsid w:val="00C24E89"/>
    <w:rsid w:val="00C25C0A"/>
    <w:rsid w:val="00C27EF1"/>
    <w:rsid w:val="00C302EC"/>
    <w:rsid w:val="00C30646"/>
    <w:rsid w:val="00C31717"/>
    <w:rsid w:val="00C31E78"/>
    <w:rsid w:val="00C321D2"/>
    <w:rsid w:val="00C32656"/>
    <w:rsid w:val="00C347E1"/>
    <w:rsid w:val="00C36C3F"/>
    <w:rsid w:val="00C40ACD"/>
    <w:rsid w:val="00C40F71"/>
    <w:rsid w:val="00C413F3"/>
    <w:rsid w:val="00C416C9"/>
    <w:rsid w:val="00C429F0"/>
    <w:rsid w:val="00C43316"/>
    <w:rsid w:val="00C43579"/>
    <w:rsid w:val="00C438FF"/>
    <w:rsid w:val="00C4441D"/>
    <w:rsid w:val="00C45043"/>
    <w:rsid w:val="00C468BD"/>
    <w:rsid w:val="00C46AD8"/>
    <w:rsid w:val="00C46B28"/>
    <w:rsid w:val="00C515D0"/>
    <w:rsid w:val="00C5165B"/>
    <w:rsid w:val="00C51E6A"/>
    <w:rsid w:val="00C52174"/>
    <w:rsid w:val="00C5262A"/>
    <w:rsid w:val="00C52A27"/>
    <w:rsid w:val="00C52D39"/>
    <w:rsid w:val="00C5347F"/>
    <w:rsid w:val="00C5356D"/>
    <w:rsid w:val="00C54003"/>
    <w:rsid w:val="00C543FA"/>
    <w:rsid w:val="00C54AC7"/>
    <w:rsid w:val="00C5508C"/>
    <w:rsid w:val="00C56DC6"/>
    <w:rsid w:val="00C56E72"/>
    <w:rsid w:val="00C571FF"/>
    <w:rsid w:val="00C6021A"/>
    <w:rsid w:val="00C615DA"/>
    <w:rsid w:val="00C61D8F"/>
    <w:rsid w:val="00C638F7"/>
    <w:rsid w:val="00C6420C"/>
    <w:rsid w:val="00C645D1"/>
    <w:rsid w:val="00C649C5"/>
    <w:rsid w:val="00C651FD"/>
    <w:rsid w:val="00C66178"/>
    <w:rsid w:val="00C664E4"/>
    <w:rsid w:val="00C67435"/>
    <w:rsid w:val="00C70564"/>
    <w:rsid w:val="00C71B0E"/>
    <w:rsid w:val="00C72208"/>
    <w:rsid w:val="00C72D8D"/>
    <w:rsid w:val="00C733EB"/>
    <w:rsid w:val="00C73C56"/>
    <w:rsid w:val="00C747C1"/>
    <w:rsid w:val="00C75329"/>
    <w:rsid w:val="00C7693B"/>
    <w:rsid w:val="00C76DED"/>
    <w:rsid w:val="00C7702B"/>
    <w:rsid w:val="00C77CE9"/>
    <w:rsid w:val="00C801E6"/>
    <w:rsid w:val="00C81126"/>
    <w:rsid w:val="00C838B4"/>
    <w:rsid w:val="00C838C3"/>
    <w:rsid w:val="00C856DE"/>
    <w:rsid w:val="00C858FE"/>
    <w:rsid w:val="00C86262"/>
    <w:rsid w:val="00C86AF4"/>
    <w:rsid w:val="00C86FDB"/>
    <w:rsid w:val="00C90633"/>
    <w:rsid w:val="00C90676"/>
    <w:rsid w:val="00C907AA"/>
    <w:rsid w:val="00C90B7C"/>
    <w:rsid w:val="00C90F5C"/>
    <w:rsid w:val="00C93D31"/>
    <w:rsid w:val="00C94412"/>
    <w:rsid w:val="00C94CF0"/>
    <w:rsid w:val="00C95182"/>
    <w:rsid w:val="00C95590"/>
    <w:rsid w:val="00C96374"/>
    <w:rsid w:val="00C9647B"/>
    <w:rsid w:val="00CA0717"/>
    <w:rsid w:val="00CA0B21"/>
    <w:rsid w:val="00CA1C5F"/>
    <w:rsid w:val="00CA1CDD"/>
    <w:rsid w:val="00CA2922"/>
    <w:rsid w:val="00CA3F9A"/>
    <w:rsid w:val="00CA4418"/>
    <w:rsid w:val="00CA4596"/>
    <w:rsid w:val="00CA46F5"/>
    <w:rsid w:val="00CA521F"/>
    <w:rsid w:val="00CA602A"/>
    <w:rsid w:val="00CA650B"/>
    <w:rsid w:val="00CA68FD"/>
    <w:rsid w:val="00CA714B"/>
    <w:rsid w:val="00CB064B"/>
    <w:rsid w:val="00CB14C0"/>
    <w:rsid w:val="00CB1537"/>
    <w:rsid w:val="00CB220A"/>
    <w:rsid w:val="00CB41E7"/>
    <w:rsid w:val="00CB4F6D"/>
    <w:rsid w:val="00CB6699"/>
    <w:rsid w:val="00CB7615"/>
    <w:rsid w:val="00CC053B"/>
    <w:rsid w:val="00CC1FE2"/>
    <w:rsid w:val="00CC202A"/>
    <w:rsid w:val="00CC47D8"/>
    <w:rsid w:val="00CC571B"/>
    <w:rsid w:val="00CC5747"/>
    <w:rsid w:val="00CC5D71"/>
    <w:rsid w:val="00CC6195"/>
    <w:rsid w:val="00CC6716"/>
    <w:rsid w:val="00CD1703"/>
    <w:rsid w:val="00CD2AFC"/>
    <w:rsid w:val="00CD3767"/>
    <w:rsid w:val="00CD5D06"/>
    <w:rsid w:val="00CD69EC"/>
    <w:rsid w:val="00CD6E30"/>
    <w:rsid w:val="00CE153B"/>
    <w:rsid w:val="00CE2976"/>
    <w:rsid w:val="00CE34B7"/>
    <w:rsid w:val="00CE3F7A"/>
    <w:rsid w:val="00CE5CC1"/>
    <w:rsid w:val="00CE697C"/>
    <w:rsid w:val="00CE76FB"/>
    <w:rsid w:val="00CF0616"/>
    <w:rsid w:val="00CF0B2C"/>
    <w:rsid w:val="00CF0DAB"/>
    <w:rsid w:val="00CF0F1C"/>
    <w:rsid w:val="00CF1854"/>
    <w:rsid w:val="00CF19F0"/>
    <w:rsid w:val="00CF2111"/>
    <w:rsid w:val="00CF373D"/>
    <w:rsid w:val="00CF41C8"/>
    <w:rsid w:val="00CF57CB"/>
    <w:rsid w:val="00CF57E6"/>
    <w:rsid w:val="00CF60FB"/>
    <w:rsid w:val="00D03A57"/>
    <w:rsid w:val="00D03FE3"/>
    <w:rsid w:val="00D0428D"/>
    <w:rsid w:val="00D042CD"/>
    <w:rsid w:val="00D04359"/>
    <w:rsid w:val="00D049EE"/>
    <w:rsid w:val="00D050A6"/>
    <w:rsid w:val="00D051EF"/>
    <w:rsid w:val="00D06A71"/>
    <w:rsid w:val="00D077BB"/>
    <w:rsid w:val="00D106A1"/>
    <w:rsid w:val="00D11E2D"/>
    <w:rsid w:val="00D12549"/>
    <w:rsid w:val="00D12E58"/>
    <w:rsid w:val="00D12EE8"/>
    <w:rsid w:val="00D15D80"/>
    <w:rsid w:val="00D16A92"/>
    <w:rsid w:val="00D205B6"/>
    <w:rsid w:val="00D2104F"/>
    <w:rsid w:val="00D21BF9"/>
    <w:rsid w:val="00D21F64"/>
    <w:rsid w:val="00D22C21"/>
    <w:rsid w:val="00D22CD8"/>
    <w:rsid w:val="00D23F87"/>
    <w:rsid w:val="00D248DC"/>
    <w:rsid w:val="00D25B09"/>
    <w:rsid w:val="00D26995"/>
    <w:rsid w:val="00D31399"/>
    <w:rsid w:val="00D34E73"/>
    <w:rsid w:val="00D351A4"/>
    <w:rsid w:val="00D3559A"/>
    <w:rsid w:val="00D377A2"/>
    <w:rsid w:val="00D37C3B"/>
    <w:rsid w:val="00D401BB"/>
    <w:rsid w:val="00D4084B"/>
    <w:rsid w:val="00D40BDF"/>
    <w:rsid w:val="00D40D3E"/>
    <w:rsid w:val="00D41F6A"/>
    <w:rsid w:val="00D42397"/>
    <w:rsid w:val="00D42C19"/>
    <w:rsid w:val="00D4403E"/>
    <w:rsid w:val="00D44870"/>
    <w:rsid w:val="00D448A7"/>
    <w:rsid w:val="00D4571A"/>
    <w:rsid w:val="00D459DD"/>
    <w:rsid w:val="00D468C9"/>
    <w:rsid w:val="00D50FA8"/>
    <w:rsid w:val="00D5228B"/>
    <w:rsid w:val="00D5429D"/>
    <w:rsid w:val="00D54A19"/>
    <w:rsid w:val="00D54B1A"/>
    <w:rsid w:val="00D55C16"/>
    <w:rsid w:val="00D562C0"/>
    <w:rsid w:val="00D56D59"/>
    <w:rsid w:val="00D57660"/>
    <w:rsid w:val="00D57B66"/>
    <w:rsid w:val="00D60682"/>
    <w:rsid w:val="00D637B4"/>
    <w:rsid w:val="00D64F3C"/>
    <w:rsid w:val="00D6508D"/>
    <w:rsid w:val="00D660D6"/>
    <w:rsid w:val="00D67B93"/>
    <w:rsid w:val="00D70A68"/>
    <w:rsid w:val="00D71226"/>
    <w:rsid w:val="00D719ED"/>
    <w:rsid w:val="00D72854"/>
    <w:rsid w:val="00D73E3E"/>
    <w:rsid w:val="00D744D4"/>
    <w:rsid w:val="00D7569B"/>
    <w:rsid w:val="00D757AA"/>
    <w:rsid w:val="00D77A3B"/>
    <w:rsid w:val="00D77EBD"/>
    <w:rsid w:val="00D81CDD"/>
    <w:rsid w:val="00D82062"/>
    <w:rsid w:val="00D83A54"/>
    <w:rsid w:val="00D844B1"/>
    <w:rsid w:val="00D8505B"/>
    <w:rsid w:val="00D85061"/>
    <w:rsid w:val="00D85899"/>
    <w:rsid w:val="00D85CCB"/>
    <w:rsid w:val="00D86156"/>
    <w:rsid w:val="00D91F52"/>
    <w:rsid w:val="00D9238E"/>
    <w:rsid w:val="00D925DE"/>
    <w:rsid w:val="00D93A60"/>
    <w:rsid w:val="00D95087"/>
    <w:rsid w:val="00D95953"/>
    <w:rsid w:val="00DA0173"/>
    <w:rsid w:val="00DA068E"/>
    <w:rsid w:val="00DA1E10"/>
    <w:rsid w:val="00DA2082"/>
    <w:rsid w:val="00DA4554"/>
    <w:rsid w:val="00DA662A"/>
    <w:rsid w:val="00DB05A5"/>
    <w:rsid w:val="00DB08AB"/>
    <w:rsid w:val="00DB0954"/>
    <w:rsid w:val="00DB50C5"/>
    <w:rsid w:val="00DB5A47"/>
    <w:rsid w:val="00DB6135"/>
    <w:rsid w:val="00DB7848"/>
    <w:rsid w:val="00DC194D"/>
    <w:rsid w:val="00DC1F5E"/>
    <w:rsid w:val="00DC33F0"/>
    <w:rsid w:val="00DC52E7"/>
    <w:rsid w:val="00DC6875"/>
    <w:rsid w:val="00DC6AAC"/>
    <w:rsid w:val="00DC6CD5"/>
    <w:rsid w:val="00DC77E4"/>
    <w:rsid w:val="00DC7998"/>
    <w:rsid w:val="00DD05AE"/>
    <w:rsid w:val="00DD09EC"/>
    <w:rsid w:val="00DD4210"/>
    <w:rsid w:val="00DD4D74"/>
    <w:rsid w:val="00DD6F1F"/>
    <w:rsid w:val="00DD7CC7"/>
    <w:rsid w:val="00DE0ADF"/>
    <w:rsid w:val="00DE0B13"/>
    <w:rsid w:val="00DE0B30"/>
    <w:rsid w:val="00DE0C4E"/>
    <w:rsid w:val="00DE0C63"/>
    <w:rsid w:val="00DE39C7"/>
    <w:rsid w:val="00DE3E04"/>
    <w:rsid w:val="00DE4950"/>
    <w:rsid w:val="00DE6CC4"/>
    <w:rsid w:val="00DE741B"/>
    <w:rsid w:val="00DE7CD9"/>
    <w:rsid w:val="00DF1BD1"/>
    <w:rsid w:val="00DF2A1C"/>
    <w:rsid w:val="00DF53F5"/>
    <w:rsid w:val="00DF776F"/>
    <w:rsid w:val="00E03C83"/>
    <w:rsid w:val="00E053C5"/>
    <w:rsid w:val="00E071CC"/>
    <w:rsid w:val="00E11047"/>
    <w:rsid w:val="00E114A0"/>
    <w:rsid w:val="00E11525"/>
    <w:rsid w:val="00E1169C"/>
    <w:rsid w:val="00E140A8"/>
    <w:rsid w:val="00E153AB"/>
    <w:rsid w:val="00E17213"/>
    <w:rsid w:val="00E17C23"/>
    <w:rsid w:val="00E20E9A"/>
    <w:rsid w:val="00E21B0D"/>
    <w:rsid w:val="00E22E48"/>
    <w:rsid w:val="00E2696B"/>
    <w:rsid w:val="00E3158E"/>
    <w:rsid w:val="00E31DB8"/>
    <w:rsid w:val="00E31F49"/>
    <w:rsid w:val="00E323FA"/>
    <w:rsid w:val="00E334AE"/>
    <w:rsid w:val="00E35291"/>
    <w:rsid w:val="00E3691D"/>
    <w:rsid w:val="00E36A34"/>
    <w:rsid w:val="00E3700C"/>
    <w:rsid w:val="00E37DF3"/>
    <w:rsid w:val="00E40C81"/>
    <w:rsid w:val="00E4182D"/>
    <w:rsid w:val="00E41A1C"/>
    <w:rsid w:val="00E42179"/>
    <w:rsid w:val="00E425D5"/>
    <w:rsid w:val="00E428AA"/>
    <w:rsid w:val="00E43672"/>
    <w:rsid w:val="00E47815"/>
    <w:rsid w:val="00E47C78"/>
    <w:rsid w:val="00E47DBA"/>
    <w:rsid w:val="00E505D2"/>
    <w:rsid w:val="00E51625"/>
    <w:rsid w:val="00E547A2"/>
    <w:rsid w:val="00E54B4B"/>
    <w:rsid w:val="00E57664"/>
    <w:rsid w:val="00E63C1A"/>
    <w:rsid w:val="00E64082"/>
    <w:rsid w:val="00E64CF2"/>
    <w:rsid w:val="00E64F0A"/>
    <w:rsid w:val="00E656F2"/>
    <w:rsid w:val="00E66D58"/>
    <w:rsid w:val="00E6735C"/>
    <w:rsid w:val="00E67DA8"/>
    <w:rsid w:val="00E727A6"/>
    <w:rsid w:val="00E72C4A"/>
    <w:rsid w:val="00E7423B"/>
    <w:rsid w:val="00E76E63"/>
    <w:rsid w:val="00E76EDC"/>
    <w:rsid w:val="00E7739C"/>
    <w:rsid w:val="00E7753A"/>
    <w:rsid w:val="00E813AE"/>
    <w:rsid w:val="00E820DA"/>
    <w:rsid w:val="00E82344"/>
    <w:rsid w:val="00E82CD2"/>
    <w:rsid w:val="00E838CC"/>
    <w:rsid w:val="00E9083F"/>
    <w:rsid w:val="00E91D9A"/>
    <w:rsid w:val="00E92A91"/>
    <w:rsid w:val="00E92B42"/>
    <w:rsid w:val="00E92E97"/>
    <w:rsid w:val="00E9316B"/>
    <w:rsid w:val="00E934CF"/>
    <w:rsid w:val="00E954E2"/>
    <w:rsid w:val="00E9591D"/>
    <w:rsid w:val="00E96400"/>
    <w:rsid w:val="00E968BF"/>
    <w:rsid w:val="00E96F9F"/>
    <w:rsid w:val="00EA1284"/>
    <w:rsid w:val="00EA1B77"/>
    <w:rsid w:val="00EA270D"/>
    <w:rsid w:val="00EA311F"/>
    <w:rsid w:val="00EA75B1"/>
    <w:rsid w:val="00EB06EF"/>
    <w:rsid w:val="00EB212F"/>
    <w:rsid w:val="00EB25A4"/>
    <w:rsid w:val="00EB3B01"/>
    <w:rsid w:val="00EB5381"/>
    <w:rsid w:val="00EB7E1A"/>
    <w:rsid w:val="00EC08A3"/>
    <w:rsid w:val="00EC1BFD"/>
    <w:rsid w:val="00EC2926"/>
    <w:rsid w:val="00EC2C31"/>
    <w:rsid w:val="00EC2CC0"/>
    <w:rsid w:val="00EC3922"/>
    <w:rsid w:val="00EC3AEB"/>
    <w:rsid w:val="00EC5097"/>
    <w:rsid w:val="00EC7CA2"/>
    <w:rsid w:val="00ED0680"/>
    <w:rsid w:val="00ED1445"/>
    <w:rsid w:val="00ED1883"/>
    <w:rsid w:val="00ED2761"/>
    <w:rsid w:val="00ED3948"/>
    <w:rsid w:val="00ED7FA1"/>
    <w:rsid w:val="00EE0190"/>
    <w:rsid w:val="00EE03CE"/>
    <w:rsid w:val="00EE0918"/>
    <w:rsid w:val="00EE1359"/>
    <w:rsid w:val="00EE50B1"/>
    <w:rsid w:val="00EE5129"/>
    <w:rsid w:val="00EE5C22"/>
    <w:rsid w:val="00EE63AA"/>
    <w:rsid w:val="00EF0EB8"/>
    <w:rsid w:val="00EF1DAC"/>
    <w:rsid w:val="00EF1DB8"/>
    <w:rsid w:val="00EF2207"/>
    <w:rsid w:val="00EF4F7C"/>
    <w:rsid w:val="00EF4FCD"/>
    <w:rsid w:val="00EF52AD"/>
    <w:rsid w:val="00EF5972"/>
    <w:rsid w:val="00EF5D59"/>
    <w:rsid w:val="00EF6B49"/>
    <w:rsid w:val="00EF7031"/>
    <w:rsid w:val="00EF7089"/>
    <w:rsid w:val="00EF7C2E"/>
    <w:rsid w:val="00F028FC"/>
    <w:rsid w:val="00F030A8"/>
    <w:rsid w:val="00F04275"/>
    <w:rsid w:val="00F0586B"/>
    <w:rsid w:val="00F05BF6"/>
    <w:rsid w:val="00F05F33"/>
    <w:rsid w:val="00F06F1B"/>
    <w:rsid w:val="00F102AE"/>
    <w:rsid w:val="00F10784"/>
    <w:rsid w:val="00F10ED8"/>
    <w:rsid w:val="00F1131E"/>
    <w:rsid w:val="00F1254F"/>
    <w:rsid w:val="00F134A9"/>
    <w:rsid w:val="00F14098"/>
    <w:rsid w:val="00F1560D"/>
    <w:rsid w:val="00F15E8C"/>
    <w:rsid w:val="00F175F4"/>
    <w:rsid w:val="00F17FA9"/>
    <w:rsid w:val="00F205F8"/>
    <w:rsid w:val="00F20C4F"/>
    <w:rsid w:val="00F22157"/>
    <w:rsid w:val="00F2243F"/>
    <w:rsid w:val="00F22CD3"/>
    <w:rsid w:val="00F2332E"/>
    <w:rsid w:val="00F24CDA"/>
    <w:rsid w:val="00F256C6"/>
    <w:rsid w:val="00F25A72"/>
    <w:rsid w:val="00F2642C"/>
    <w:rsid w:val="00F26A9D"/>
    <w:rsid w:val="00F26D34"/>
    <w:rsid w:val="00F27440"/>
    <w:rsid w:val="00F303B2"/>
    <w:rsid w:val="00F30A08"/>
    <w:rsid w:val="00F30E60"/>
    <w:rsid w:val="00F31B69"/>
    <w:rsid w:val="00F31F0F"/>
    <w:rsid w:val="00F337E3"/>
    <w:rsid w:val="00F343F7"/>
    <w:rsid w:val="00F345C0"/>
    <w:rsid w:val="00F355B5"/>
    <w:rsid w:val="00F37B69"/>
    <w:rsid w:val="00F4084A"/>
    <w:rsid w:val="00F43B3C"/>
    <w:rsid w:val="00F43C06"/>
    <w:rsid w:val="00F43C8B"/>
    <w:rsid w:val="00F45815"/>
    <w:rsid w:val="00F4758E"/>
    <w:rsid w:val="00F47F42"/>
    <w:rsid w:val="00F5121D"/>
    <w:rsid w:val="00F516CE"/>
    <w:rsid w:val="00F53290"/>
    <w:rsid w:val="00F54E93"/>
    <w:rsid w:val="00F54FFD"/>
    <w:rsid w:val="00F55CD7"/>
    <w:rsid w:val="00F56869"/>
    <w:rsid w:val="00F5749E"/>
    <w:rsid w:val="00F57504"/>
    <w:rsid w:val="00F57790"/>
    <w:rsid w:val="00F60EEF"/>
    <w:rsid w:val="00F61036"/>
    <w:rsid w:val="00F61DA1"/>
    <w:rsid w:val="00F62A7B"/>
    <w:rsid w:val="00F711E1"/>
    <w:rsid w:val="00F72095"/>
    <w:rsid w:val="00F7351B"/>
    <w:rsid w:val="00F745B1"/>
    <w:rsid w:val="00F75794"/>
    <w:rsid w:val="00F769E9"/>
    <w:rsid w:val="00F7774C"/>
    <w:rsid w:val="00F80D4C"/>
    <w:rsid w:val="00F81BC5"/>
    <w:rsid w:val="00F8259A"/>
    <w:rsid w:val="00F82768"/>
    <w:rsid w:val="00F83269"/>
    <w:rsid w:val="00F85A48"/>
    <w:rsid w:val="00F86EAD"/>
    <w:rsid w:val="00F95D71"/>
    <w:rsid w:val="00F9680A"/>
    <w:rsid w:val="00F96EAF"/>
    <w:rsid w:val="00F9701A"/>
    <w:rsid w:val="00F97336"/>
    <w:rsid w:val="00F97BE1"/>
    <w:rsid w:val="00FA165D"/>
    <w:rsid w:val="00FA1A85"/>
    <w:rsid w:val="00FA240D"/>
    <w:rsid w:val="00FA43A5"/>
    <w:rsid w:val="00FA5605"/>
    <w:rsid w:val="00FA572F"/>
    <w:rsid w:val="00FA5CD5"/>
    <w:rsid w:val="00FA643E"/>
    <w:rsid w:val="00FA6803"/>
    <w:rsid w:val="00FA6F27"/>
    <w:rsid w:val="00FA702B"/>
    <w:rsid w:val="00FB1A6C"/>
    <w:rsid w:val="00FB331E"/>
    <w:rsid w:val="00FB333B"/>
    <w:rsid w:val="00FB74D2"/>
    <w:rsid w:val="00FC008F"/>
    <w:rsid w:val="00FC0D86"/>
    <w:rsid w:val="00FC1C34"/>
    <w:rsid w:val="00FC1E56"/>
    <w:rsid w:val="00FC295C"/>
    <w:rsid w:val="00FC7298"/>
    <w:rsid w:val="00FD07A4"/>
    <w:rsid w:val="00FD0AD3"/>
    <w:rsid w:val="00FD1A9D"/>
    <w:rsid w:val="00FD305B"/>
    <w:rsid w:val="00FD3548"/>
    <w:rsid w:val="00FD4358"/>
    <w:rsid w:val="00FD4A49"/>
    <w:rsid w:val="00FD5F47"/>
    <w:rsid w:val="00FD6264"/>
    <w:rsid w:val="00FD6579"/>
    <w:rsid w:val="00FE01F2"/>
    <w:rsid w:val="00FE03A6"/>
    <w:rsid w:val="00FE2D5D"/>
    <w:rsid w:val="00FE3384"/>
    <w:rsid w:val="00FE3536"/>
    <w:rsid w:val="00FE478B"/>
    <w:rsid w:val="00FE4A9E"/>
    <w:rsid w:val="00FE54D7"/>
    <w:rsid w:val="00FE5CAE"/>
    <w:rsid w:val="00FE5E40"/>
    <w:rsid w:val="00FE6609"/>
    <w:rsid w:val="00FE66E3"/>
    <w:rsid w:val="00FE6A96"/>
    <w:rsid w:val="00FF007B"/>
    <w:rsid w:val="00FF1A66"/>
    <w:rsid w:val="00FF1C3D"/>
    <w:rsid w:val="00FF277A"/>
    <w:rsid w:val="00FF3468"/>
    <w:rsid w:val="00FF6620"/>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78FC6801"/>
  <w15:docId w15:val="{3ABF06A9-5641-41E8-9A4D-7487871AC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2E7"/>
    <w:rPr>
      <w:rFonts w:eastAsia="Times New Roman"/>
      <w:sz w:val="24"/>
      <w:szCs w:val="24"/>
      <w:lang w:val="de-CH" w:eastAsia="zh-CN"/>
    </w:rPr>
  </w:style>
  <w:style w:type="paragraph" w:styleId="Heading1">
    <w:name w:val="heading 1"/>
    <w:basedOn w:val="berschrift"/>
    <w:next w:val="BodyText"/>
    <w:qFormat/>
    <w:pPr>
      <w:numPr>
        <w:numId w:val="1"/>
      </w:numPr>
      <w:outlineLvl w:val="0"/>
    </w:pPr>
    <w:rPr>
      <w:b/>
      <w:bCs/>
      <w:sz w:val="36"/>
      <w:szCs w:val="36"/>
    </w:rPr>
  </w:style>
  <w:style w:type="paragraph" w:styleId="Heading2">
    <w:name w:val="heading 2"/>
    <w:basedOn w:val="berschrift"/>
    <w:next w:val="BodyText"/>
    <w:qFormat/>
    <w:pPr>
      <w:numPr>
        <w:ilvl w:val="1"/>
        <w:numId w:val="1"/>
      </w:numPr>
      <w:spacing w:before="200"/>
      <w:outlineLvl w:val="1"/>
    </w:pPr>
    <w:rPr>
      <w:b/>
      <w:bCs/>
      <w:sz w:val="32"/>
      <w:szCs w:val="32"/>
    </w:rPr>
  </w:style>
  <w:style w:type="paragraph" w:styleId="Heading3">
    <w:name w:val="heading 3"/>
    <w:basedOn w:val="berschrift"/>
    <w:next w:val="BodyText"/>
    <w:qFormat/>
    <w:pPr>
      <w:numPr>
        <w:ilvl w:val="2"/>
        <w:numId w:val="1"/>
      </w:numPr>
      <w:spacing w:before="140"/>
      <w:outlineLvl w:val="2"/>
    </w:pPr>
    <w:rPr>
      <w:b/>
      <w:bCs/>
      <w:color w:val="808080"/>
    </w:rPr>
  </w:style>
  <w:style w:type="paragraph" w:styleId="Heading4">
    <w:name w:val="heading 4"/>
    <w:basedOn w:val="Normal"/>
    <w:next w:val="Normal"/>
    <w:link w:val="Heading4Char"/>
    <w:uiPriority w:val="9"/>
    <w:semiHidden/>
    <w:unhideWhenUsed/>
    <w:qFormat/>
    <w:rsid w:val="00AC483E"/>
    <w:pPr>
      <w:keepNext/>
      <w:spacing w:before="240" w:after="60"/>
      <w:outlineLvl w:val="3"/>
    </w:pPr>
    <w:rPr>
      <w:rFonts w:ascii="Calibri" w:hAnsi="Calibri" w:cs="Mangal"/>
      <w:b/>
      <w:bCs/>
      <w:sz w:val="28"/>
      <w:szCs w:val="25"/>
    </w:rPr>
  </w:style>
  <w:style w:type="paragraph" w:styleId="Heading5">
    <w:name w:val="heading 5"/>
    <w:basedOn w:val="Normal"/>
    <w:next w:val="Normal"/>
    <w:link w:val="Heading5Char"/>
    <w:uiPriority w:val="9"/>
    <w:semiHidden/>
    <w:unhideWhenUsed/>
    <w:qFormat/>
    <w:rsid w:val="00AC483E"/>
    <w:pPr>
      <w:spacing w:before="240" w:after="60"/>
      <w:outlineLvl w:val="4"/>
    </w:pPr>
    <w:rPr>
      <w:rFonts w:ascii="Calibri" w:hAnsi="Calibri" w:cs="Mangal"/>
      <w:b/>
      <w:bCs/>
      <w:i/>
      <w:iCs/>
      <w:sz w:val="26"/>
      <w:szCs w:val="23"/>
    </w:rPr>
  </w:style>
  <w:style w:type="paragraph" w:styleId="Heading6">
    <w:name w:val="heading 6"/>
    <w:basedOn w:val="Normal"/>
    <w:next w:val="Normal"/>
    <w:link w:val="Heading6Char"/>
    <w:uiPriority w:val="9"/>
    <w:semiHidden/>
    <w:unhideWhenUsed/>
    <w:qFormat/>
    <w:rsid w:val="00AC483E"/>
    <w:pPr>
      <w:spacing w:before="240" w:after="60"/>
      <w:outlineLvl w:val="5"/>
    </w:pPr>
    <w:rPr>
      <w:rFonts w:ascii="Calibri" w:hAnsi="Calibri" w:cs="Mangal"/>
      <w:b/>
      <w:bCs/>
      <w:sz w:val="22"/>
      <w:szCs w:val="20"/>
    </w:rPr>
  </w:style>
  <w:style w:type="paragraph" w:styleId="Heading7">
    <w:name w:val="heading 7"/>
    <w:basedOn w:val="Normal"/>
    <w:next w:val="Normal"/>
    <w:link w:val="Heading7Char"/>
    <w:uiPriority w:val="9"/>
    <w:semiHidden/>
    <w:unhideWhenUsed/>
    <w:qFormat/>
    <w:rsid w:val="00AC483E"/>
    <w:pPr>
      <w:spacing w:before="240" w:after="60"/>
      <w:outlineLvl w:val="6"/>
    </w:pPr>
    <w:rPr>
      <w:rFonts w:ascii="Calibri" w:hAnsi="Calibri" w:cs="Mangal"/>
      <w:szCs w:val="21"/>
    </w:rPr>
  </w:style>
  <w:style w:type="paragraph" w:styleId="Heading8">
    <w:name w:val="heading 8"/>
    <w:basedOn w:val="Normal"/>
    <w:next w:val="Normal"/>
    <w:link w:val="Heading8Char"/>
    <w:uiPriority w:val="9"/>
    <w:semiHidden/>
    <w:unhideWhenUsed/>
    <w:qFormat/>
    <w:rsid w:val="00AC483E"/>
    <w:pPr>
      <w:spacing w:before="240" w:after="60"/>
      <w:outlineLvl w:val="7"/>
    </w:pPr>
    <w:rPr>
      <w:rFonts w:ascii="Calibri" w:hAnsi="Calibri" w:cs="Mangal"/>
      <w:i/>
      <w:iCs/>
      <w:szCs w:val="21"/>
    </w:rPr>
  </w:style>
  <w:style w:type="paragraph" w:styleId="Heading9">
    <w:name w:val="heading 9"/>
    <w:basedOn w:val="Normal"/>
    <w:next w:val="Normal"/>
    <w:link w:val="Heading9Char"/>
    <w:uiPriority w:val="9"/>
    <w:semiHidden/>
    <w:unhideWhenUsed/>
    <w:qFormat/>
    <w:rsid w:val="00AC483E"/>
    <w:pPr>
      <w:spacing w:before="240" w:after="60"/>
      <w:outlineLvl w:val="8"/>
    </w:pPr>
    <w:rPr>
      <w:rFonts w:ascii="Cambria" w:hAnsi="Cambria" w:cs="Mang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Followed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link w:val="BodyTextChar"/>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DE0ADF"/>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link w:val="FootnoteTextChar"/>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autoRedefine/>
    <w:rsid w:val="00C20D9B"/>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ootnoteTextChar">
    <w:name w:val="Footnote Text Char"/>
    <w:link w:val="Footnote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TOC1">
    <w:name w:val="toc 1"/>
    <w:basedOn w:val="Normal"/>
    <w:next w:val="Normal"/>
    <w:autoRedefine/>
    <w:uiPriority w:val="39"/>
    <w:unhideWhenUsed/>
    <w:rsid w:val="00B556E9"/>
    <w:pPr>
      <w:tabs>
        <w:tab w:val="right" w:leader="dot" w:pos="9628"/>
      </w:tabs>
    </w:pPr>
    <w:rPr>
      <w:rFonts w:cs="Mangal"/>
      <w:b/>
      <w:noProof/>
      <w:sz w:val="28"/>
      <w:szCs w:val="28"/>
      <w:lang w:val="en-GB"/>
    </w:rPr>
  </w:style>
  <w:style w:type="paragraph" w:styleId="TOC2">
    <w:name w:val="toc 2"/>
    <w:basedOn w:val="Normal"/>
    <w:next w:val="Normal"/>
    <w:autoRedefine/>
    <w:uiPriority w:val="39"/>
    <w:unhideWhenUsed/>
    <w:rsid w:val="00F745B1"/>
    <w:pPr>
      <w:tabs>
        <w:tab w:val="right" w:leader="dot" w:pos="9628"/>
      </w:tabs>
      <w:ind w:left="240"/>
    </w:pPr>
    <w:rPr>
      <w:rFonts w:cs="Mangal"/>
      <w:noProof/>
      <w:szCs w:val="21"/>
    </w:rPr>
  </w:style>
  <w:style w:type="paragraph" w:styleId="TOC3">
    <w:name w:val="toc 3"/>
    <w:basedOn w:val="Normal"/>
    <w:next w:val="Normal"/>
    <w:autoRedefine/>
    <w:uiPriority w:val="39"/>
    <w:unhideWhenUsed/>
    <w:rsid w:val="007F0AF1"/>
    <w:pPr>
      <w:ind w:left="480"/>
    </w:pPr>
    <w:rPr>
      <w:rFonts w:cs="Mangal"/>
      <w:szCs w:val="21"/>
    </w:rPr>
  </w:style>
  <w:style w:type="paragraph" w:styleId="TOCHeading">
    <w:name w:val="TOC Heading"/>
    <w:basedOn w:val="Heading1"/>
    <w:next w:val="Normal"/>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Normal"/>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Strong">
    <w:name w:val="Strong"/>
    <w:uiPriority w:val="22"/>
    <w:qFormat/>
    <w:rsid w:val="003F633D"/>
    <w:rPr>
      <w:b/>
      <w:bCs/>
    </w:rPr>
  </w:style>
  <w:style w:type="character" w:customStyle="1" w:styleId="figpopup-sensitive-area">
    <w:name w:val="figpopup-sensitive-area"/>
    <w:rsid w:val="005F1D18"/>
  </w:style>
  <w:style w:type="paragraph" w:styleId="TableofFigures">
    <w:name w:val="table of figures"/>
    <w:basedOn w:val="Normal"/>
    <w:next w:val="Normal"/>
    <w:uiPriority w:val="99"/>
    <w:semiHidden/>
    <w:unhideWhenUsed/>
    <w:rsid w:val="00AC483E"/>
    <w:rPr>
      <w:rFonts w:cs="Mangal"/>
      <w:szCs w:val="21"/>
    </w:rPr>
  </w:style>
  <w:style w:type="paragraph" w:styleId="Salutation">
    <w:name w:val="Salutation"/>
    <w:basedOn w:val="Normal"/>
    <w:next w:val="Normal"/>
    <w:link w:val="SalutationChar"/>
    <w:uiPriority w:val="99"/>
    <w:semiHidden/>
    <w:unhideWhenUsed/>
    <w:rsid w:val="00AC483E"/>
    <w:rPr>
      <w:rFonts w:cs="Mangal"/>
      <w:szCs w:val="21"/>
    </w:rPr>
  </w:style>
  <w:style w:type="character" w:customStyle="1" w:styleId="SalutationChar">
    <w:name w:val="Salutation Char"/>
    <w:link w:val="Salutation"/>
    <w:uiPriority w:val="99"/>
    <w:semiHidden/>
    <w:rsid w:val="00AC483E"/>
    <w:rPr>
      <w:rFonts w:eastAsia="Arial Unicode MS" w:cs="Mangal"/>
      <w:kern w:val="1"/>
      <w:sz w:val="24"/>
      <w:szCs w:val="21"/>
      <w:lang w:eastAsia="zh-CN" w:bidi="hi-IN"/>
    </w:rPr>
  </w:style>
  <w:style w:type="paragraph" w:styleId="ListBullet">
    <w:name w:val="List Bullet"/>
    <w:basedOn w:val="Normal"/>
    <w:uiPriority w:val="99"/>
    <w:semiHidden/>
    <w:unhideWhenUsed/>
    <w:rsid w:val="00AC483E"/>
    <w:pPr>
      <w:numPr>
        <w:numId w:val="4"/>
      </w:numPr>
      <w:contextualSpacing/>
    </w:pPr>
    <w:rPr>
      <w:rFonts w:cs="Mangal"/>
      <w:szCs w:val="21"/>
    </w:rPr>
  </w:style>
  <w:style w:type="paragraph" w:styleId="ListBullet2">
    <w:name w:val="List Bullet 2"/>
    <w:basedOn w:val="Normal"/>
    <w:uiPriority w:val="99"/>
    <w:semiHidden/>
    <w:unhideWhenUsed/>
    <w:rsid w:val="00AC483E"/>
    <w:pPr>
      <w:numPr>
        <w:numId w:val="5"/>
      </w:numPr>
      <w:contextualSpacing/>
    </w:pPr>
    <w:rPr>
      <w:rFonts w:cs="Mangal"/>
      <w:szCs w:val="21"/>
    </w:rPr>
  </w:style>
  <w:style w:type="paragraph" w:styleId="ListBullet3">
    <w:name w:val="List Bullet 3"/>
    <w:basedOn w:val="Normal"/>
    <w:uiPriority w:val="99"/>
    <w:semiHidden/>
    <w:unhideWhenUsed/>
    <w:rsid w:val="00AC483E"/>
    <w:pPr>
      <w:numPr>
        <w:numId w:val="6"/>
      </w:numPr>
      <w:contextualSpacing/>
    </w:pPr>
    <w:rPr>
      <w:rFonts w:cs="Mangal"/>
      <w:szCs w:val="21"/>
    </w:rPr>
  </w:style>
  <w:style w:type="paragraph" w:styleId="ListBullet4">
    <w:name w:val="List Bullet 4"/>
    <w:basedOn w:val="Normal"/>
    <w:uiPriority w:val="99"/>
    <w:semiHidden/>
    <w:unhideWhenUsed/>
    <w:rsid w:val="00AC483E"/>
    <w:pPr>
      <w:numPr>
        <w:numId w:val="7"/>
      </w:numPr>
      <w:contextualSpacing/>
    </w:pPr>
    <w:rPr>
      <w:rFonts w:cs="Mangal"/>
      <w:szCs w:val="21"/>
    </w:rPr>
  </w:style>
  <w:style w:type="paragraph" w:styleId="ListBullet5">
    <w:name w:val="List Bullet 5"/>
    <w:basedOn w:val="Normal"/>
    <w:uiPriority w:val="99"/>
    <w:semiHidden/>
    <w:unhideWhenUsed/>
    <w:rsid w:val="00AC483E"/>
    <w:pPr>
      <w:numPr>
        <w:numId w:val="8"/>
      </w:numPr>
      <w:contextualSpacing/>
    </w:pPr>
    <w:rPr>
      <w:rFonts w:cs="Mangal"/>
      <w:szCs w:val="21"/>
    </w:rPr>
  </w:style>
  <w:style w:type="paragraph" w:styleId="BlockText">
    <w:name w:val="Block Text"/>
    <w:basedOn w:val="Normal"/>
    <w:uiPriority w:val="99"/>
    <w:semiHidden/>
    <w:unhideWhenUsed/>
    <w:rsid w:val="00AC483E"/>
    <w:pPr>
      <w:spacing w:after="120"/>
      <w:ind w:left="1440" w:right="1440"/>
    </w:pPr>
    <w:rPr>
      <w:rFonts w:cs="Mangal"/>
      <w:szCs w:val="21"/>
    </w:rPr>
  </w:style>
  <w:style w:type="paragraph" w:styleId="Date">
    <w:name w:val="Date"/>
    <w:basedOn w:val="Normal"/>
    <w:next w:val="Normal"/>
    <w:link w:val="DateChar"/>
    <w:uiPriority w:val="99"/>
    <w:semiHidden/>
    <w:unhideWhenUsed/>
    <w:rsid w:val="00AC483E"/>
    <w:rPr>
      <w:rFonts w:cs="Mangal"/>
      <w:szCs w:val="21"/>
    </w:rPr>
  </w:style>
  <w:style w:type="character" w:customStyle="1" w:styleId="DateChar">
    <w:name w:val="Date Char"/>
    <w:link w:val="Date"/>
    <w:uiPriority w:val="99"/>
    <w:semiHidden/>
    <w:rsid w:val="00AC483E"/>
    <w:rPr>
      <w:rFonts w:eastAsia="Arial Unicode MS" w:cs="Mangal"/>
      <w:kern w:val="1"/>
      <w:sz w:val="24"/>
      <w:szCs w:val="21"/>
      <w:lang w:eastAsia="zh-CN" w:bidi="hi-IN"/>
    </w:rPr>
  </w:style>
  <w:style w:type="paragraph" w:styleId="DocumentMap">
    <w:name w:val="Document Map"/>
    <w:basedOn w:val="Normal"/>
    <w:link w:val="DocumentMapChar"/>
    <w:uiPriority w:val="99"/>
    <w:semiHidden/>
    <w:unhideWhenUsed/>
    <w:rsid w:val="00AC483E"/>
    <w:rPr>
      <w:rFonts w:ascii="Tahoma" w:hAnsi="Tahoma" w:cs="Mangal"/>
      <w:sz w:val="16"/>
      <w:szCs w:val="14"/>
    </w:rPr>
  </w:style>
  <w:style w:type="character" w:customStyle="1" w:styleId="DocumentMapChar">
    <w:name w:val="Document Map Char"/>
    <w:link w:val="DocumentMap"/>
    <w:uiPriority w:val="99"/>
    <w:semiHidden/>
    <w:rsid w:val="00AC483E"/>
    <w:rPr>
      <w:rFonts w:ascii="Tahoma" w:eastAsia="Arial Unicode MS" w:hAnsi="Tahoma" w:cs="Mangal"/>
      <w:kern w:val="1"/>
      <w:sz w:val="16"/>
      <w:szCs w:val="14"/>
      <w:lang w:eastAsia="zh-CN" w:bidi="hi-IN"/>
    </w:rPr>
  </w:style>
  <w:style w:type="paragraph" w:styleId="E-mailSignature">
    <w:name w:val="E-mail Signature"/>
    <w:basedOn w:val="Normal"/>
    <w:link w:val="E-mailSignatureChar"/>
    <w:uiPriority w:val="99"/>
    <w:semiHidden/>
    <w:unhideWhenUsed/>
    <w:rsid w:val="00AC483E"/>
    <w:rPr>
      <w:rFonts w:cs="Mangal"/>
      <w:szCs w:val="21"/>
    </w:rPr>
  </w:style>
  <w:style w:type="character" w:customStyle="1" w:styleId="E-mailSignatureChar">
    <w:name w:val="E-mail Signature Char"/>
    <w:link w:val="E-mailSignature"/>
    <w:uiPriority w:val="99"/>
    <w:semiHidden/>
    <w:rsid w:val="00AC483E"/>
    <w:rPr>
      <w:rFonts w:eastAsia="Arial Unicode MS" w:cs="Mangal"/>
      <w:kern w:val="1"/>
      <w:sz w:val="24"/>
      <w:szCs w:val="21"/>
      <w:lang w:eastAsia="zh-CN" w:bidi="hi-IN"/>
    </w:rPr>
  </w:style>
  <w:style w:type="paragraph" w:styleId="EndnoteText">
    <w:name w:val="endnote text"/>
    <w:basedOn w:val="Normal"/>
    <w:link w:val="EndnoteTextChar"/>
    <w:uiPriority w:val="99"/>
    <w:semiHidden/>
    <w:unhideWhenUsed/>
    <w:rsid w:val="00AC483E"/>
    <w:rPr>
      <w:rFonts w:cs="Mangal"/>
      <w:sz w:val="20"/>
      <w:szCs w:val="18"/>
    </w:rPr>
  </w:style>
  <w:style w:type="character" w:customStyle="1" w:styleId="EndnoteTextChar">
    <w:name w:val="Endnote Text Char"/>
    <w:link w:val="EndnoteText"/>
    <w:uiPriority w:val="99"/>
    <w:semiHidden/>
    <w:rsid w:val="00AC483E"/>
    <w:rPr>
      <w:rFonts w:eastAsia="Arial Unicode MS" w:cs="Mangal"/>
      <w:kern w:val="1"/>
      <w:szCs w:val="18"/>
      <w:lang w:eastAsia="zh-CN" w:bidi="hi-IN"/>
    </w:rPr>
  </w:style>
  <w:style w:type="paragraph" w:styleId="NoteHeading">
    <w:name w:val="Note Heading"/>
    <w:basedOn w:val="Normal"/>
    <w:next w:val="Normal"/>
    <w:link w:val="NoteHeadingChar"/>
    <w:uiPriority w:val="99"/>
    <w:semiHidden/>
    <w:unhideWhenUsed/>
    <w:rsid w:val="00AC483E"/>
    <w:rPr>
      <w:rFonts w:cs="Mangal"/>
      <w:szCs w:val="21"/>
    </w:rPr>
  </w:style>
  <w:style w:type="character" w:customStyle="1" w:styleId="NoteHeadingChar">
    <w:name w:val="Note Heading Char"/>
    <w:link w:val="NoteHeading"/>
    <w:uiPriority w:val="99"/>
    <w:semiHidden/>
    <w:rsid w:val="00AC483E"/>
    <w:rPr>
      <w:rFonts w:eastAsia="Arial Unicode MS" w:cs="Mangal"/>
      <w:kern w:val="1"/>
      <w:sz w:val="24"/>
      <w:szCs w:val="21"/>
      <w:lang w:eastAsia="zh-CN" w:bidi="hi-IN"/>
    </w:rPr>
  </w:style>
  <w:style w:type="paragraph" w:styleId="Closing">
    <w:name w:val="Closing"/>
    <w:basedOn w:val="Normal"/>
    <w:link w:val="ClosingChar"/>
    <w:uiPriority w:val="99"/>
    <w:semiHidden/>
    <w:unhideWhenUsed/>
    <w:rsid w:val="00AC483E"/>
    <w:pPr>
      <w:ind w:left="4252"/>
    </w:pPr>
    <w:rPr>
      <w:rFonts w:cs="Mangal"/>
      <w:szCs w:val="21"/>
    </w:rPr>
  </w:style>
  <w:style w:type="character" w:customStyle="1" w:styleId="ClosingChar">
    <w:name w:val="Closing Char"/>
    <w:link w:val="Closing"/>
    <w:uiPriority w:val="99"/>
    <w:semiHidden/>
    <w:rsid w:val="00AC483E"/>
    <w:rPr>
      <w:rFonts w:eastAsia="Arial Unicode MS" w:cs="Mangal"/>
      <w:kern w:val="1"/>
      <w:sz w:val="24"/>
      <w:szCs w:val="21"/>
      <w:lang w:eastAsia="zh-CN" w:bidi="hi-IN"/>
    </w:rPr>
  </w:style>
  <w:style w:type="paragraph" w:styleId="HTMLAddress">
    <w:name w:val="HTML Address"/>
    <w:basedOn w:val="Normal"/>
    <w:link w:val="HTMLAddressChar"/>
    <w:uiPriority w:val="99"/>
    <w:semiHidden/>
    <w:unhideWhenUsed/>
    <w:rsid w:val="00AC483E"/>
    <w:rPr>
      <w:rFonts w:cs="Mangal"/>
      <w:i/>
      <w:iCs/>
      <w:szCs w:val="21"/>
    </w:rPr>
  </w:style>
  <w:style w:type="character" w:customStyle="1" w:styleId="HTMLAddressChar">
    <w:name w:val="HTML Address Char"/>
    <w:link w:val="HTMLAddress"/>
    <w:uiPriority w:val="99"/>
    <w:semiHidden/>
    <w:rsid w:val="00AC483E"/>
    <w:rPr>
      <w:rFonts w:eastAsia="Arial Unicode MS" w:cs="Mangal"/>
      <w:i/>
      <w:iCs/>
      <w:kern w:val="1"/>
      <w:sz w:val="24"/>
      <w:szCs w:val="21"/>
      <w:lang w:eastAsia="zh-CN" w:bidi="hi-IN"/>
    </w:rPr>
  </w:style>
  <w:style w:type="paragraph" w:styleId="HTMLPreformatted">
    <w:name w:val="HTML Preformatted"/>
    <w:basedOn w:val="Normal"/>
    <w:link w:val="HTMLPreformattedChar"/>
    <w:uiPriority w:val="99"/>
    <w:semiHidden/>
    <w:unhideWhenUsed/>
    <w:rsid w:val="00AC483E"/>
    <w:rPr>
      <w:rFonts w:ascii="Courier New" w:hAnsi="Courier New" w:cs="Mangal"/>
      <w:sz w:val="20"/>
      <w:szCs w:val="18"/>
    </w:rPr>
  </w:style>
  <w:style w:type="character" w:customStyle="1" w:styleId="HTMLPreformattedChar">
    <w:name w:val="HTML Preformatted Char"/>
    <w:link w:val="HTMLPreformatted"/>
    <w:uiPriority w:val="99"/>
    <w:semiHidden/>
    <w:rsid w:val="00AC483E"/>
    <w:rPr>
      <w:rFonts w:ascii="Courier New" w:eastAsia="Arial Unicode MS" w:hAnsi="Courier New" w:cs="Mangal"/>
      <w:kern w:val="1"/>
      <w:szCs w:val="18"/>
      <w:lang w:eastAsia="zh-CN" w:bidi="hi-IN"/>
    </w:rPr>
  </w:style>
  <w:style w:type="paragraph" w:styleId="Index1">
    <w:name w:val="index 1"/>
    <w:basedOn w:val="Normal"/>
    <w:next w:val="Normal"/>
    <w:autoRedefine/>
    <w:uiPriority w:val="99"/>
    <w:semiHidden/>
    <w:unhideWhenUsed/>
    <w:rsid w:val="00AC483E"/>
    <w:pPr>
      <w:ind w:left="240" w:hanging="240"/>
    </w:pPr>
    <w:rPr>
      <w:rFonts w:cs="Mangal"/>
      <w:szCs w:val="21"/>
    </w:rPr>
  </w:style>
  <w:style w:type="paragraph" w:styleId="Index2">
    <w:name w:val="index 2"/>
    <w:basedOn w:val="Normal"/>
    <w:next w:val="Normal"/>
    <w:autoRedefine/>
    <w:uiPriority w:val="99"/>
    <w:semiHidden/>
    <w:unhideWhenUsed/>
    <w:rsid w:val="00AC483E"/>
    <w:pPr>
      <w:ind w:left="480" w:hanging="240"/>
    </w:pPr>
    <w:rPr>
      <w:rFonts w:cs="Mangal"/>
      <w:szCs w:val="21"/>
    </w:rPr>
  </w:style>
  <w:style w:type="paragraph" w:styleId="Index3">
    <w:name w:val="index 3"/>
    <w:basedOn w:val="Normal"/>
    <w:next w:val="Normal"/>
    <w:autoRedefine/>
    <w:uiPriority w:val="99"/>
    <w:semiHidden/>
    <w:unhideWhenUsed/>
    <w:rsid w:val="00AC483E"/>
    <w:pPr>
      <w:ind w:left="720" w:hanging="240"/>
    </w:pPr>
    <w:rPr>
      <w:rFonts w:cs="Mangal"/>
      <w:szCs w:val="21"/>
    </w:rPr>
  </w:style>
  <w:style w:type="paragraph" w:styleId="Index4">
    <w:name w:val="index 4"/>
    <w:basedOn w:val="Normal"/>
    <w:next w:val="Normal"/>
    <w:autoRedefine/>
    <w:uiPriority w:val="99"/>
    <w:semiHidden/>
    <w:unhideWhenUsed/>
    <w:rsid w:val="00AC483E"/>
    <w:pPr>
      <w:ind w:left="960" w:hanging="240"/>
    </w:pPr>
    <w:rPr>
      <w:rFonts w:cs="Mangal"/>
      <w:szCs w:val="21"/>
    </w:rPr>
  </w:style>
  <w:style w:type="paragraph" w:styleId="Index5">
    <w:name w:val="index 5"/>
    <w:basedOn w:val="Normal"/>
    <w:next w:val="Normal"/>
    <w:autoRedefine/>
    <w:uiPriority w:val="99"/>
    <w:semiHidden/>
    <w:unhideWhenUsed/>
    <w:rsid w:val="00AC483E"/>
    <w:pPr>
      <w:ind w:left="1200" w:hanging="240"/>
    </w:pPr>
    <w:rPr>
      <w:rFonts w:cs="Mangal"/>
      <w:szCs w:val="21"/>
    </w:rPr>
  </w:style>
  <w:style w:type="paragraph" w:styleId="Index6">
    <w:name w:val="index 6"/>
    <w:basedOn w:val="Normal"/>
    <w:next w:val="Normal"/>
    <w:autoRedefine/>
    <w:uiPriority w:val="99"/>
    <w:semiHidden/>
    <w:unhideWhenUsed/>
    <w:rsid w:val="00AC483E"/>
    <w:pPr>
      <w:ind w:left="1440" w:hanging="240"/>
    </w:pPr>
    <w:rPr>
      <w:rFonts w:cs="Mangal"/>
      <w:szCs w:val="21"/>
    </w:rPr>
  </w:style>
  <w:style w:type="paragraph" w:styleId="Index7">
    <w:name w:val="index 7"/>
    <w:basedOn w:val="Normal"/>
    <w:next w:val="Normal"/>
    <w:autoRedefine/>
    <w:uiPriority w:val="99"/>
    <w:semiHidden/>
    <w:unhideWhenUsed/>
    <w:rsid w:val="00AC483E"/>
    <w:pPr>
      <w:ind w:left="1680" w:hanging="240"/>
    </w:pPr>
    <w:rPr>
      <w:rFonts w:cs="Mangal"/>
      <w:szCs w:val="21"/>
    </w:rPr>
  </w:style>
  <w:style w:type="paragraph" w:styleId="Index8">
    <w:name w:val="index 8"/>
    <w:basedOn w:val="Normal"/>
    <w:next w:val="Normal"/>
    <w:autoRedefine/>
    <w:uiPriority w:val="99"/>
    <w:semiHidden/>
    <w:unhideWhenUsed/>
    <w:rsid w:val="00AC483E"/>
    <w:pPr>
      <w:ind w:left="1920" w:hanging="240"/>
    </w:pPr>
    <w:rPr>
      <w:rFonts w:cs="Mangal"/>
      <w:szCs w:val="21"/>
    </w:rPr>
  </w:style>
  <w:style w:type="paragraph" w:styleId="Index9">
    <w:name w:val="index 9"/>
    <w:basedOn w:val="Normal"/>
    <w:next w:val="Normal"/>
    <w:autoRedefine/>
    <w:uiPriority w:val="99"/>
    <w:semiHidden/>
    <w:unhideWhenUsed/>
    <w:rsid w:val="00AC483E"/>
    <w:pPr>
      <w:ind w:left="2160" w:hanging="240"/>
    </w:pPr>
    <w:rPr>
      <w:rFonts w:cs="Mangal"/>
      <w:szCs w:val="21"/>
    </w:rPr>
  </w:style>
  <w:style w:type="paragraph" w:styleId="IndexHeading">
    <w:name w:val="index heading"/>
    <w:basedOn w:val="Normal"/>
    <w:next w:val="Index1"/>
    <w:uiPriority w:val="99"/>
    <w:semiHidden/>
    <w:unhideWhenUsed/>
    <w:rsid w:val="00AC483E"/>
    <w:rPr>
      <w:rFonts w:ascii="Cambria" w:hAnsi="Cambria" w:cs="Mangal"/>
      <w:b/>
      <w:bCs/>
      <w:szCs w:val="21"/>
    </w:rPr>
  </w:style>
  <w:style w:type="paragraph" w:styleId="IntenseQuote">
    <w:name w:val="Intense Quote"/>
    <w:basedOn w:val="Normal"/>
    <w:next w:val="Normal"/>
    <w:link w:val="IntenseQuoteChar"/>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eQuoteChar">
    <w:name w:val="Intense Quote Char"/>
    <w:link w:val="IntenseQuote"/>
    <w:uiPriority w:val="30"/>
    <w:rsid w:val="00AC483E"/>
    <w:rPr>
      <w:rFonts w:eastAsia="Arial Unicode MS" w:cs="Mangal"/>
      <w:b/>
      <w:bCs/>
      <w:i/>
      <w:iCs/>
      <w:color w:val="4F81BD"/>
      <w:kern w:val="1"/>
      <w:sz w:val="24"/>
      <w:szCs w:val="21"/>
      <w:lang w:eastAsia="zh-CN" w:bidi="hi-IN"/>
    </w:rPr>
  </w:style>
  <w:style w:type="paragraph" w:styleId="NoSpacing">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CommentText">
    <w:name w:val="annotation text"/>
    <w:basedOn w:val="Normal"/>
    <w:link w:val="CommentTextChar"/>
    <w:uiPriority w:val="99"/>
    <w:semiHidden/>
    <w:unhideWhenUsed/>
    <w:rsid w:val="00AC483E"/>
    <w:rPr>
      <w:rFonts w:cs="Mangal"/>
      <w:sz w:val="20"/>
      <w:szCs w:val="18"/>
    </w:rPr>
  </w:style>
  <w:style w:type="character" w:customStyle="1" w:styleId="CommentTextChar">
    <w:name w:val="Comment Text Char"/>
    <w:link w:val="CommentText"/>
    <w:uiPriority w:val="99"/>
    <w:semiHidden/>
    <w:rsid w:val="00AC483E"/>
    <w:rPr>
      <w:rFonts w:eastAsia="Arial Unicode MS" w:cs="Mangal"/>
      <w:kern w:val="1"/>
      <w:szCs w:val="18"/>
      <w:lang w:eastAsia="zh-CN" w:bidi="hi-IN"/>
    </w:rPr>
  </w:style>
  <w:style w:type="paragraph" w:styleId="CommentSubject">
    <w:name w:val="annotation subject"/>
    <w:basedOn w:val="CommentText"/>
    <w:next w:val="CommentText"/>
    <w:link w:val="CommentSubjectChar"/>
    <w:uiPriority w:val="99"/>
    <w:semiHidden/>
    <w:unhideWhenUsed/>
    <w:rsid w:val="00AC483E"/>
    <w:rPr>
      <w:b/>
      <w:bCs/>
    </w:rPr>
  </w:style>
  <w:style w:type="character" w:customStyle="1" w:styleId="CommentSubjectChar">
    <w:name w:val="Comment Subject Char"/>
    <w:link w:val="CommentSubject"/>
    <w:uiPriority w:val="99"/>
    <w:semiHidden/>
    <w:rsid w:val="00AC483E"/>
    <w:rPr>
      <w:rFonts w:eastAsia="Arial Unicode MS" w:cs="Mangal"/>
      <w:b/>
      <w:bCs/>
      <w:kern w:val="1"/>
      <w:szCs w:val="18"/>
      <w:lang w:eastAsia="zh-CN" w:bidi="hi-IN"/>
    </w:rPr>
  </w:style>
  <w:style w:type="paragraph" w:styleId="List2">
    <w:name w:val="List 2"/>
    <w:basedOn w:val="Normal"/>
    <w:uiPriority w:val="99"/>
    <w:semiHidden/>
    <w:unhideWhenUsed/>
    <w:rsid w:val="00AC483E"/>
    <w:pPr>
      <w:ind w:left="566" w:hanging="283"/>
      <w:contextualSpacing/>
    </w:pPr>
    <w:rPr>
      <w:rFonts w:cs="Mangal"/>
      <w:szCs w:val="21"/>
    </w:rPr>
  </w:style>
  <w:style w:type="paragraph" w:styleId="List3">
    <w:name w:val="List 3"/>
    <w:basedOn w:val="Normal"/>
    <w:uiPriority w:val="99"/>
    <w:semiHidden/>
    <w:unhideWhenUsed/>
    <w:rsid w:val="00AC483E"/>
    <w:pPr>
      <w:ind w:left="849" w:hanging="283"/>
      <w:contextualSpacing/>
    </w:pPr>
    <w:rPr>
      <w:rFonts w:cs="Mangal"/>
      <w:szCs w:val="21"/>
    </w:rPr>
  </w:style>
  <w:style w:type="paragraph" w:styleId="List4">
    <w:name w:val="List 4"/>
    <w:basedOn w:val="Normal"/>
    <w:uiPriority w:val="99"/>
    <w:semiHidden/>
    <w:unhideWhenUsed/>
    <w:rsid w:val="00AC483E"/>
    <w:pPr>
      <w:ind w:left="1132" w:hanging="283"/>
      <w:contextualSpacing/>
    </w:pPr>
    <w:rPr>
      <w:rFonts w:cs="Mangal"/>
      <w:szCs w:val="21"/>
    </w:rPr>
  </w:style>
  <w:style w:type="paragraph" w:styleId="List5">
    <w:name w:val="List 5"/>
    <w:basedOn w:val="Normal"/>
    <w:uiPriority w:val="99"/>
    <w:semiHidden/>
    <w:unhideWhenUsed/>
    <w:rsid w:val="00AC483E"/>
    <w:pPr>
      <w:ind w:left="1415" w:hanging="283"/>
      <w:contextualSpacing/>
    </w:pPr>
    <w:rPr>
      <w:rFonts w:cs="Mangal"/>
      <w:szCs w:val="21"/>
    </w:rPr>
  </w:style>
  <w:style w:type="paragraph" w:styleId="ListParagraph">
    <w:name w:val="List Paragraph"/>
    <w:basedOn w:val="Normal"/>
    <w:uiPriority w:val="34"/>
    <w:qFormat/>
    <w:rsid w:val="00AC483E"/>
    <w:pPr>
      <w:ind w:left="709"/>
    </w:pPr>
    <w:rPr>
      <w:rFonts w:cs="Mangal"/>
      <w:szCs w:val="21"/>
    </w:rPr>
  </w:style>
  <w:style w:type="paragraph" w:styleId="ListContinue">
    <w:name w:val="List Continue"/>
    <w:basedOn w:val="Normal"/>
    <w:uiPriority w:val="99"/>
    <w:semiHidden/>
    <w:unhideWhenUsed/>
    <w:rsid w:val="00AC483E"/>
    <w:pPr>
      <w:spacing w:after="120"/>
      <w:ind w:left="283"/>
      <w:contextualSpacing/>
    </w:pPr>
    <w:rPr>
      <w:rFonts w:cs="Mangal"/>
      <w:szCs w:val="21"/>
    </w:rPr>
  </w:style>
  <w:style w:type="paragraph" w:styleId="ListContinue2">
    <w:name w:val="List Continue 2"/>
    <w:basedOn w:val="Normal"/>
    <w:uiPriority w:val="99"/>
    <w:semiHidden/>
    <w:unhideWhenUsed/>
    <w:rsid w:val="00AC483E"/>
    <w:pPr>
      <w:spacing w:after="120"/>
      <w:ind w:left="566"/>
      <w:contextualSpacing/>
    </w:pPr>
    <w:rPr>
      <w:rFonts w:cs="Mangal"/>
      <w:szCs w:val="21"/>
    </w:rPr>
  </w:style>
  <w:style w:type="paragraph" w:styleId="ListContinue3">
    <w:name w:val="List Continue 3"/>
    <w:basedOn w:val="Normal"/>
    <w:uiPriority w:val="99"/>
    <w:semiHidden/>
    <w:unhideWhenUsed/>
    <w:rsid w:val="00AC483E"/>
    <w:pPr>
      <w:spacing w:after="120"/>
      <w:ind w:left="849"/>
      <w:contextualSpacing/>
    </w:pPr>
    <w:rPr>
      <w:rFonts w:cs="Mangal"/>
      <w:szCs w:val="21"/>
    </w:rPr>
  </w:style>
  <w:style w:type="paragraph" w:styleId="ListContinue4">
    <w:name w:val="List Continue 4"/>
    <w:basedOn w:val="Normal"/>
    <w:uiPriority w:val="99"/>
    <w:semiHidden/>
    <w:unhideWhenUsed/>
    <w:rsid w:val="00AC483E"/>
    <w:pPr>
      <w:spacing w:after="120"/>
      <w:ind w:left="1132"/>
      <w:contextualSpacing/>
    </w:pPr>
    <w:rPr>
      <w:rFonts w:cs="Mangal"/>
      <w:szCs w:val="21"/>
    </w:rPr>
  </w:style>
  <w:style w:type="paragraph" w:styleId="ListContinue5">
    <w:name w:val="List Continue 5"/>
    <w:basedOn w:val="Normal"/>
    <w:uiPriority w:val="99"/>
    <w:semiHidden/>
    <w:unhideWhenUsed/>
    <w:rsid w:val="00AC483E"/>
    <w:pPr>
      <w:spacing w:after="120"/>
      <w:ind w:left="1415"/>
      <w:contextualSpacing/>
    </w:pPr>
    <w:rPr>
      <w:rFonts w:cs="Mangal"/>
      <w:szCs w:val="21"/>
    </w:rPr>
  </w:style>
  <w:style w:type="paragraph" w:styleId="ListNumber">
    <w:name w:val="List Number"/>
    <w:basedOn w:val="Normal"/>
    <w:uiPriority w:val="99"/>
    <w:semiHidden/>
    <w:unhideWhenUsed/>
    <w:rsid w:val="00AC483E"/>
    <w:pPr>
      <w:numPr>
        <w:numId w:val="9"/>
      </w:numPr>
      <w:contextualSpacing/>
    </w:pPr>
    <w:rPr>
      <w:rFonts w:cs="Mangal"/>
      <w:szCs w:val="21"/>
    </w:rPr>
  </w:style>
  <w:style w:type="paragraph" w:styleId="ListNumber2">
    <w:name w:val="List Number 2"/>
    <w:basedOn w:val="Normal"/>
    <w:uiPriority w:val="99"/>
    <w:semiHidden/>
    <w:unhideWhenUsed/>
    <w:rsid w:val="00AC483E"/>
    <w:pPr>
      <w:numPr>
        <w:numId w:val="10"/>
      </w:numPr>
      <w:contextualSpacing/>
    </w:pPr>
    <w:rPr>
      <w:rFonts w:cs="Mangal"/>
      <w:szCs w:val="21"/>
    </w:rPr>
  </w:style>
  <w:style w:type="paragraph" w:styleId="ListNumber3">
    <w:name w:val="List Number 3"/>
    <w:basedOn w:val="Normal"/>
    <w:uiPriority w:val="99"/>
    <w:semiHidden/>
    <w:unhideWhenUsed/>
    <w:rsid w:val="00AC483E"/>
    <w:pPr>
      <w:numPr>
        <w:numId w:val="11"/>
      </w:numPr>
      <w:contextualSpacing/>
    </w:pPr>
    <w:rPr>
      <w:rFonts w:cs="Mangal"/>
      <w:szCs w:val="21"/>
    </w:rPr>
  </w:style>
  <w:style w:type="paragraph" w:styleId="ListNumber4">
    <w:name w:val="List Number 4"/>
    <w:basedOn w:val="Normal"/>
    <w:uiPriority w:val="99"/>
    <w:semiHidden/>
    <w:unhideWhenUsed/>
    <w:rsid w:val="00AC483E"/>
    <w:pPr>
      <w:numPr>
        <w:numId w:val="12"/>
      </w:numPr>
      <w:contextualSpacing/>
    </w:pPr>
    <w:rPr>
      <w:rFonts w:cs="Mangal"/>
      <w:szCs w:val="21"/>
    </w:rPr>
  </w:style>
  <w:style w:type="paragraph" w:styleId="ListNumber5">
    <w:name w:val="List Number 5"/>
    <w:basedOn w:val="Normal"/>
    <w:uiPriority w:val="99"/>
    <w:semiHidden/>
    <w:unhideWhenUsed/>
    <w:rsid w:val="00AC483E"/>
    <w:pPr>
      <w:numPr>
        <w:numId w:val="13"/>
      </w:numPr>
      <w:contextualSpacing/>
    </w:pPr>
    <w:rPr>
      <w:rFonts w:cs="Mangal"/>
      <w:szCs w:val="21"/>
    </w:rPr>
  </w:style>
  <w:style w:type="paragraph" w:styleId="Bibliography">
    <w:name w:val="Bibliography"/>
    <w:basedOn w:val="Normal"/>
    <w:next w:val="Normal"/>
    <w:uiPriority w:val="37"/>
    <w:semiHidden/>
    <w:unhideWhenUsed/>
    <w:rsid w:val="00AC483E"/>
    <w:rPr>
      <w:rFonts w:cs="Mangal"/>
      <w:szCs w:val="21"/>
    </w:rPr>
  </w:style>
  <w:style w:type="paragraph" w:styleId="MacroText">
    <w:name w:val="macro"/>
    <w:link w:val="MacroTextChar"/>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croTextChar">
    <w:name w:val="Macro Text Char"/>
    <w:link w:val="MacroText"/>
    <w:uiPriority w:val="99"/>
    <w:semiHidden/>
    <w:rsid w:val="00AC483E"/>
    <w:rPr>
      <w:rFonts w:ascii="Courier New" w:eastAsia="Arial Unicode MS" w:hAnsi="Courier New" w:cs="Mangal"/>
      <w:kern w:val="1"/>
      <w:szCs w:val="18"/>
      <w:lang w:eastAsia="zh-CN" w:bidi="hi-IN"/>
    </w:rPr>
  </w:style>
  <w:style w:type="paragraph" w:styleId="MessageHeader">
    <w:name w:val="Message Header"/>
    <w:basedOn w:val="Normal"/>
    <w:link w:val="MessageHeaderChar"/>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MessageHeaderChar">
    <w:name w:val="Message Header Char"/>
    <w:link w:val="MessageHeader"/>
    <w:uiPriority w:val="99"/>
    <w:semiHidden/>
    <w:rsid w:val="00AC483E"/>
    <w:rPr>
      <w:rFonts w:ascii="Cambria" w:eastAsia="Times New Roman" w:hAnsi="Cambria" w:cs="Mangal"/>
      <w:kern w:val="1"/>
      <w:sz w:val="24"/>
      <w:szCs w:val="21"/>
      <w:shd w:val="pct20" w:color="auto" w:fill="auto"/>
      <w:lang w:eastAsia="zh-CN" w:bidi="hi-IN"/>
    </w:rPr>
  </w:style>
  <w:style w:type="paragraph" w:styleId="PlainText">
    <w:name w:val="Plain Text"/>
    <w:basedOn w:val="Normal"/>
    <w:link w:val="PlainTextChar"/>
    <w:uiPriority w:val="99"/>
    <w:semiHidden/>
    <w:unhideWhenUsed/>
    <w:rsid w:val="00AC483E"/>
    <w:rPr>
      <w:rFonts w:ascii="Courier New" w:hAnsi="Courier New" w:cs="Mangal"/>
      <w:sz w:val="20"/>
      <w:szCs w:val="18"/>
    </w:rPr>
  </w:style>
  <w:style w:type="character" w:customStyle="1" w:styleId="PlainTextChar">
    <w:name w:val="Plain Text Char"/>
    <w:link w:val="PlainText"/>
    <w:uiPriority w:val="99"/>
    <w:semiHidden/>
    <w:rsid w:val="00AC483E"/>
    <w:rPr>
      <w:rFonts w:ascii="Courier New" w:eastAsia="Arial Unicode MS" w:hAnsi="Courier New" w:cs="Mangal"/>
      <w:kern w:val="1"/>
      <w:szCs w:val="18"/>
      <w:lang w:eastAsia="zh-CN" w:bidi="hi-IN"/>
    </w:rPr>
  </w:style>
  <w:style w:type="paragraph" w:styleId="TableofAuthorities">
    <w:name w:val="table of authorities"/>
    <w:basedOn w:val="Normal"/>
    <w:next w:val="Normal"/>
    <w:uiPriority w:val="99"/>
    <w:semiHidden/>
    <w:unhideWhenUsed/>
    <w:rsid w:val="00AC483E"/>
    <w:pPr>
      <w:ind w:left="240" w:hanging="240"/>
    </w:pPr>
    <w:rPr>
      <w:rFonts w:cs="Mangal"/>
      <w:szCs w:val="21"/>
    </w:rPr>
  </w:style>
  <w:style w:type="paragraph" w:styleId="TOAHeading">
    <w:name w:val="toa heading"/>
    <w:basedOn w:val="Normal"/>
    <w:next w:val="Normal"/>
    <w:uiPriority w:val="99"/>
    <w:semiHidden/>
    <w:unhideWhenUsed/>
    <w:rsid w:val="00AC483E"/>
    <w:pPr>
      <w:spacing w:before="120"/>
    </w:pPr>
    <w:rPr>
      <w:rFonts w:ascii="Cambria" w:hAnsi="Cambria" w:cs="Mangal"/>
      <w:b/>
      <w:bCs/>
      <w:szCs w:val="21"/>
    </w:rPr>
  </w:style>
  <w:style w:type="paragraph" w:styleId="NormalWeb">
    <w:name w:val="Normal (Web)"/>
    <w:basedOn w:val="Normal"/>
    <w:uiPriority w:val="99"/>
    <w:semiHidden/>
    <w:unhideWhenUsed/>
    <w:rsid w:val="00AC483E"/>
    <w:rPr>
      <w:rFonts w:cs="Mangal"/>
      <w:szCs w:val="21"/>
    </w:rPr>
  </w:style>
  <w:style w:type="paragraph" w:styleId="NormalIndent">
    <w:name w:val="Normal Indent"/>
    <w:basedOn w:val="Normal"/>
    <w:uiPriority w:val="99"/>
    <w:semiHidden/>
    <w:unhideWhenUsed/>
    <w:rsid w:val="00AC483E"/>
    <w:pPr>
      <w:ind w:left="709"/>
    </w:pPr>
    <w:rPr>
      <w:rFonts w:cs="Mangal"/>
      <w:szCs w:val="21"/>
    </w:rPr>
  </w:style>
  <w:style w:type="paragraph" w:styleId="BodyText2">
    <w:name w:val="Body Text 2"/>
    <w:basedOn w:val="Normal"/>
    <w:link w:val="BodyText2Char"/>
    <w:uiPriority w:val="99"/>
    <w:semiHidden/>
    <w:unhideWhenUsed/>
    <w:rsid w:val="00AC483E"/>
    <w:pPr>
      <w:spacing w:after="120" w:line="480" w:lineRule="auto"/>
    </w:pPr>
    <w:rPr>
      <w:rFonts w:cs="Mangal"/>
      <w:szCs w:val="21"/>
    </w:rPr>
  </w:style>
  <w:style w:type="character" w:customStyle="1" w:styleId="BodyText2Char">
    <w:name w:val="Body Text 2 Char"/>
    <w:link w:val="BodyText2"/>
    <w:uiPriority w:val="99"/>
    <w:semiHidden/>
    <w:rsid w:val="00AC483E"/>
    <w:rPr>
      <w:rFonts w:eastAsia="Arial Unicode MS" w:cs="Mangal"/>
      <w:kern w:val="1"/>
      <w:sz w:val="24"/>
      <w:szCs w:val="21"/>
      <w:lang w:eastAsia="zh-CN" w:bidi="hi-IN"/>
    </w:rPr>
  </w:style>
  <w:style w:type="paragraph" w:styleId="BodyText3">
    <w:name w:val="Body Text 3"/>
    <w:basedOn w:val="Normal"/>
    <w:link w:val="BodyText3Char"/>
    <w:uiPriority w:val="99"/>
    <w:semiHidden/>
    <w:unhideWhenUsed/>
    <w:rsid w:val="00AC483E"/>
    <w:pPr>
      <w:spacing w:after="120"/>
    </w:pPr>
    <w:rPr>
      <w:rFonts w:cs="Mangal"/>
      <w:sz w:val="16"/>
      <w:szCs w:val="14"/>
    </w:rPr>
  </w:style>
  <w:style w:type="character" w:customStyle="1" w:styleId="BodyText3Char">
    <w:name w:val="Body Text 3 Char"/>
    <w:link w:val="BodyText3"/>
    <w:uiPriority w:val="99"/>
    <w:semiHidden/>
    <w:rsid w:val="00AC483E"/>
    <w:rPr>
      <w:rFonts w:eastAsia="Arial Unicode MS" w:cs="Mangal"/>
      <w:kern w:val="1"/>
      <w:sz w:val="16"/>
      <w:szCs w:val="14"/>
      <w:lang w:eastAsia="zh-CN" w:bidi="hi-IN"/>
    </w:rPr>
  </w:style>
  <w:style w:type="paragraph" w:styleId="BodyTextIndent2">
    <w:name w:val="Body Text Indent 2"/>
    <w:basedOn w:val="Normal"/>
    <w:link w:val="BodyTextIndent2Char"/>
    <w:uiPriority w:val="99"/>
    <w:semiHidden/>
    <w:unhideWhenUsed/>
    <w:rsid w:val="00AC483E"/>
    <w:pPr>
      <w:spacing w:after="120" w:line="480" w:lineRule="auto"/>
      <w:ind w:left="283"/>
    </w:pPr>
    <w:rPr>
      <w:rFonts w:cs="Mangal"/>
      <w:szCs w:val="21"/>
    </w:rPr>
  </w:style>
  <w:style w:type="character" w:customStyle="1" w:styleId="BodyTextIndent2Char">
    <w:name w:val="Body Text Indent 2 Char"/>
    <w:link w:val="BodyTextIndent2"/>
    <w:uiPriority w:val="99"/>
    <w:semiHidden/>
    <w:rsid w:val="00AC483E"/>
    <w:rPr>
      <w:rFonts w:eastAsia="Arial Unicode MS" w:cs="Mangal"/>
      <w:kern w:val="1"/>
      <w:sz w:val="24"/>
      <w:szCs w:val="21"/>
      <w:lang w:eastAsia="zh-CN" w:bidi="hi-IN"/>
    </w:rPr>
  </w:style>
  <w:style w:type="paragraph" w:styleId="BodyTextIndent3">
    <w:name w:val="Body Text Indent 3"/>
    <w:basedOn w:val="Normal"/>
    <w:link w:val="BodyTextIndent3Char"/>
    <w:uiPriority w:val="99"/>
    <w:semiHidden/>
    <w:unhideWhenUsed/>
    <w:rsid w:val="00AC483E"/>
    <w:pPr>
      <w:spacing w:after="120"/>
      <w:ind w:left="283"/>
    </w:pPr>
    <w:rPr>
      <w:rFonts w:cs="Mangal"/>
      <w:sz w:val="16"/>
      <w:szCs w:val="14"/>
    </w:rPr>
  </w:style>
  <w:style w:type="character" w:customStyle="1" w:styleId="BodyTextIndent3Char">
    <w:name w:val="Body Text Indent 3 Char"/>
    <w:link w:val="BodyTextIndent3"/>
    <w:uiPriority w:val="99"/>
    <w:semiHidden/>
    <w:rsid w:val="00AC483E"/>
    <w:rPr>
      <w:rFonts w:eastAsia="Arial Unicode MS" w:cs="Mangal"/>
      <w:kern w:val="1"/>
      <w:sz w:val="16"/>
      <w:szCs w:val="14"/>
      <w:lang w:eastAsia="zh-CN" w:bidi="hi-IN"/>
    </w:rPr>
  </w:style>
  <w:style w:type="paragraph" w:styleId="BodyTextFirstIndent">
    <w:name w:val="Body Text First Indent"/>
    <w:basedOn w:val="BodyText"/>
    <w:link w:val="BodyTextFirstIndentChar"/>
    <w:uiPriority w:val="99"/>
    <w:semiHidden/>
    <w:unhideWhenUsed/>
    <w:rsid w:val="00AC483E"/>
    <w:pPr>
      <w:spacing w:after="120" w:line="240" w:lineRule="auto"/>
      <w:ind w:firstLine="210"/>
    </w:pPr>
    <w:rPr>
      <w:rFonts w:cs="Mangal"/>
      <w:szCs w:val="21"/>
    </w:rPr>
  </w:style>
  <w:style w:type="character" w:customStyle="1" w:styleId="BodyTextChar">
    <w:name w:val="Body Text Char"/>
    <w:link w:val="BodyText"/>
    <w:rsid w:val="00AC483E"/>
    <w:rPr>
      <w:rFonts w:eastAsia="Arial Unicode MS" w:cs="Arial Unicode MS"/>
      <w:kern w:val="1"/>
      <w:sz w:val="24"/>
      <w:szCs w:val="24"/>
      <w:lang w:eastAsia="zh-CN" w:bidi="hi-IN"/>
    </w:rPr>
  </w:style>
  <w:style w:type="character" w:customStyle="1" w:styleId="BodyTextFirstIndentChar">
    <w:name w:val="Body Text First Indent Char"/>
    <w:link w:val="BodyTextFirstIndent"/>
    <w:uiPriority w:val="99"/>
    <w:semiHidden/>
    <w:rsid w:val="00AC483E"/>
    <w:rPr>
      <w:rFonts w:eastAsia="Arial Unicode MS" w:cs="Mangal"/>
      <w:kern w:val="1"/>
      <w:sz w:val="24"/>
      <w:szCs w:val="21"/>
      <w:lang w:eastAsia="zh-CN" w:bidi="hi-IN"/>
    </w:rPr>
  </w:style>
  <w:style w:type="paragraph" w:styleId="BodyTextIndent">
    <w:name w:val="Body Text Indent"/>
    <w:basedOn w:val="Normal"/>
    <w:link w:val="BodyTextIndentChar"/>
    <w:uiPriority w:val="99"/>
    <w:semiHidden/>
    <w:unhideWhenUsed/>
    <w:rsid w:val="00AC483E"/>
    <w:pPr>
      <w:spacing w:after="120"/>
      <w:ind w:left="283"/>
    </w:pPr>
    <w:rPr>
      <w:rFonts w:cs="Mangal"/>
      <w:szCs w:val="21"/>
    </w:rPr>
  </w:style>
  <w:style w:type="character" w:customStyle="1" w:styleId="BodyTextIndentChar">
    <w:name w:val="Body Text Indent Char"/>
    <w:link w:val="BodyTextIndent"/>
    <w:uiPriority w:val="99"/>
    <w:semiHidden/>
    <w:rsid w:val="00AC483E"/>
    <w:rPr>
      <w:rFonts w:eastAsia="Arial Unicode MS" w:cs="Mangal"/>
      <w:kern w:val="1"/>
      <w:sz w:val="24"/>
      <w:szCs w:val="21"/>
      <w:lang w:eastAsia="zh-CN" w:bidi="hi-IN"/>
    </w:rPr>
  </w:style>
  <w:style w:type="paragraph" w:styleId="BodyTextFirstIndent2">
    <w:name w:val="Body Text First Indent 2"/>
    <w:basedOn w:val="BodyTextIndent"/>
    <w:link w:val="BodyTextFirstIndent2Char"/>
    <w:uiPriority w:val="99"/>
    <w:semiHidden/>
    <w:unhideWhenUsed/>
    <w:rsid w:val="00AC483E"/>
    <w:pPr>
      <w:ind w:firstLine="210"/>
    </w:pPr>
  </w:style>
  <w:style w:type="character" w:customStyle="1" w:styleId="BodyTextFirstIndent2Char">
    <w:name w:val="Body Text First Indent 2 Char"/>
    <w:basedOn w:val="BodyTextIndentChar"/>
    <w:link w:val="BodyTextFirstIndent2"/>
    <w:uiPriority w:val="99"/>
    <w:semiHidden/>
    <w:rsid w:val="00AC483E"/>
    <w:rPr>
      <w:rFonts w:eastAsia="Arial Unicode MS" w:cs="Mangal"/>
      <w:kern w:val="1"/>
      <w:sz w:val="24"/>
      <w:szCs w:val="21"/>
      <w:lang w:eastAsia="zh-CN" w:bidi="hi-IN"/>
    </w:rPr>
  </w:style>
  <w:style w:type="character" w:customStyle="1" w:styleId="Heading4Char">
    <w:name w:val="Heading 4 Char"/>
    <w:link w:val="Heading4"/>
    <w:uiPriority w:val="9"/>
    <w:semiHidden/>
    <w:rsid w:val="00AC483E"/>
    <w:rPr>
      <w:rFonts w:ascii="Calibri" w:eastAsia="Times New Roman" w:hAnsi="Calibri" w:cs="Mangal"/>
      <w:b/>
      <w:bCs/>
      <w:kern w:val="1"/>
      <w:sz w:val="28"/>
      <w:szCs w:val="25"/>
      <w:lang w:eastAsia="zh-CN" w:bidi="hi-IN"/>
    </w:rPr>
  </w:style>
  <w:style w:type="character" w:customStyle="1" w:styleId="Heading5Char">
    <w:name w:val="Heading 5 Char"/>
    <w:link w:val="Heading5"/>
    <w:uiPriority w:val="9"/>
    <w:semiHidden/>
    <w:rsid w:val="00AC483E"/>
    <w:rPr>
      <w:rFonts w:ascii="Calibri" w:eastAsia="Times New Roman" w:hAnsi="Calibri" w:cs="Mangal"/>
      <w:b/>
      <w:bCs/>
      <w:i/>
      <w:iCs/>
      <w:kern w:val="1"/>
      <w:sz w:val="26"/>
      <w:szCs w:val="23"/>
      <w:lang w:eastAsia="zh-CN" w:bidi="hi-IN"/>
    </w:rPr>
  </w:style>
  <w:style w:type="character" w:customStyle="1" w:styleId="Heading6Char">
    <w:name w:val="Heading 6 Char"/>
    <w:link w:val="Heading6"/>
    <w:uiPriority w:val="9"/>
    <w:semiHidden/>
    <w:rsid w:val="00AC483E"/>
    <w:rPr>
      <w:rFonts w:ascii="Calibri" w:eastAsia="Times New Roman" w:hAnsi="Calibri" w:cs="Mangal"/>
      <w:b/>
      <w:bCs/>
      <w:kern w:val="1"/>
      <w:sz w:val="22"/>
      <w:lang w:eastAsia="zh-CN" w:bidi="hi-IN"/>
    </w:rPr>
  </w:style>
  <w:style w:type="character" w:customStyle="1" w:styleId="Heading7Char">
    <w:name w:val="Heading 7 Char"/>
    <w:link w:val="Heading7"/>
    <w:uiPriority w:val="9"/>
    <w:semiHidden/>
    <w:rsid w:val="00AC483E"/>
    <w:rPr>
      <w:rFonts w:ascii="Calibri" w:eastAsia="Times New Roman" w:hAnsi="Calibri" w:cs="Mangal"/>
      <w:kern w:val="1"/>
      <w:sz w:val="24"/>
      <w:szCs w:val="21"/>
      <w:lang w:eastAsia="zh-CN" w:bidi="hi-IN"/>
    </w:rPr>
  </w:style>
  <w:style w:type="character" w:customStyle="1" w:styleId="Heading8Char">
    <w:name w:val="Heading 8 Char"/>
    <w:link w:val="Heading8"/>
    <w:uiPriority w:val="9"/>
    <w:semiHidden/>
    <w:rsid w:val="00AC483E"/>
    <w:rPr>
      <w:rFonts w:ascii="Calibri" w:eastAsia="Times New Roman" w:hAnsi="Calibri" w:cs="Mangal"/>
      <w:i/>
      <w:iCs/>
      <w:kern w:val="1"/>
      <w:sz w:val="24"/>
      <w:szCs w:val="21"/>
      <w:lang w:eastAsia="zh-CN" w:bidi="hi-IN"/>
    </w:rPr>
  </w:style>
  <w:style w:type="character" w:customStyle="1" w:styleId="Heading9Char">
    <w:name w:val="Heading 9 Char"/>
    <w:link w:val="Heading9"/>
    <w:uiPriority w:val="9"/>
    <w:semiHidden/>
    <w:rsid w:val="00AC483E"/>
    <w:rPr>
      <w:rFonts w:ascii="Cambria" w:eastAsia="Times New Roman" w:hAnsi="Cambria" w:cs="Mangal"/>
      <w:kern w:val="1"/>
      <w:sz w:val="22"/>
      <w:lang w:eastAsia="zh-CN" w:bidi="hi-IN"/>
    </w:rPr>
  </w:style>
  <w:style w:type="paragraph" w:styleId="EnvelopeReturn">
    <w:name w:val="envelope return"/>
    <w:basedOn w:val="Normal"/>
    <w:uiPriority w:val="99"/>
    <w:semiHidden/>
    <w:unhideWhenUsed/>
    <w:rsid w:val="00AC483E"/>
    <w:rPr>
      <w:rFonts w:ascii="Cambria" w:hAnsi="Cambria" w:cs="Mangal"/>
      <w:sz w:val="20"/>
      <w:szCs w:val="18"/>
    </w:rPr>
  </w:style>
  <w:style w:type="paragraph" w:styleId="EnvelopeAddress">
    <w:name w:val="envelope address"/>
    <w:basedOn w:val="Normal"/>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Signature">
    <w:name w:val="Signature"/>
    <w:basedOn w:val="Normal"/>
    <w:link w:val="SignatureChar"/>
    <w:uiPriority w:val="99"/>
    <w:semiHidden/>
    <w:unhideWhenUsed/>
    <w:rsid w:val="00AC483E"/>
    <w:pPr>
      <w:ind w:left="4252"/>
    </w:pPr>
    <w:rPr>
      <w:rFonts w:cs="Mangal"/>
      <w:szCs w:val="21"/>
    </w:rPr>
  </w:style>
  <w:style w:type="character" w:customStyle="1" w:styleId="SignatureChar">
    <w:name w:val="Signature Char"/>
    <w:link w:val="Signature"/>
    <w:uiPriority w:val="99"/>
    <w:semiHidden/>
    <w:rsid w:val="00AC483E"/>
    <w:rPr>
      <w:rFonts w:eastAsia="Arial Unicode MS" w:cs="Mangal"/>
      <w:kern w:val="1"/>
      <w:sz w:val="24"/>
      <w:szCs w:val="21"/>
      <w:lang w:eastAsia="zh-CN" w:bidi="hi-IN"/>
    </w:rPr>
  </w:style>
  <w:style w:type="paragraph" w:styleId="TOC4">
    <w:name w:val="toc 4"/>
    <w:basedOn w:val="Normal"/>
    <w:next w:val="Normal"/>
    <w:autoRedefine/>
    <w:uiPriority w:val="39"/>
    <w:semiHidden/>
    <w:unhideWhenUsed/>
    <w:rsid w:val="00AC483E"/>
    <w:pPr>
      <w:ind w:left="720"/>
    </w:pPr>
    <w:rPr>
      <w:rFonts w:cs="Mangal"/>
      <w:szCs w:val="21"/>
    </w:rPr>
  </w:style>
  <w:style w:type="paragraph" w:styleId="TOC5">
    <w:name w:val="toc 5"/>
    <w:basedOn w:val="Normal"/>
    <w:next w:val="Normal"/>
    <w:autoRedefine/>
    <w:uiPriority w:val="39"/>
    <w:semiHidden/>
    <w:unhideWhenUsed/>
    <w:rsid w:val="00AC483E"/>
    <w:pPr>
      <w:ind w:left="960"/>
    </w:pPr>
    <w:rPr>
      <w:rFonts w:cs="Mangal"/>
      <w:szCs w:val="21"/>
    </w:rPr>
  </w:style>
  <w:style w:type="paragraph" w:styleId="TOC6">
    <w:name w:val="toc 6"/>
    <w:basedOn w:val="Normal"/>
    <w:next w:val="Normal"/>
    <w:autoRedefine/>
    <w:uiPriority w:val="39"/>
    <w:semiHidden/>
    <w:unhideWhenUsed/>
    <w:rsid w:val="00AC483E"/>
    <w:pPr>
      <w:ind w:left="1200"/>
    </w:pPr>
    <w:rPr>
      <w:rFonts w:cs="Mangal"/>
      <w:szCs w:val="21"/>
    </w:rPr>
  </w:style>
  <w:style w:type="paragraph" w:styleId="TOC7">
    <w:name w:val="toc 7"/>
    <w:basedOn w:val="Normal"/>
    <w:next w:val="Normal"/>
    <w:autoRedefine/>
    <w:uiPriority w:val="39"/>
    <w:semiHidden/>
    <w:unhideWhenUsed/>
    <w:rsid w:val="00AC483E"/>
    <w:pPr>
      <w:ind w:left="1440"/>
    </w:pPr>
    <w:rPr>
      <w:rFonts w:cs="Mangal"/>
      <w:szCs w:val="21"/>
    </w:rPr>
  </w:style>
  <w:style w:type="paragraph" w:styleId="TOC8">
    <w:name w:val="toc 8"/>
    <w:basedOn w:val="Normal"/>
    <w:next w:val="Normal"/>
    <w:autoRedefine/>
    <w:uiPriority w:val="39"/>
    <w:semiHidden/>
    <w:unhideWhenUsed/>
    <w:rsid w:val="00AC483E"/>
    <w:pPr>
      <w:ind w:left="1680"/>
    </w:pPr>
    <w:rPr>
      <w:rFonts w:cs="Mangal"/>
      <w:szCs w:val="21"/>
    </w:rPr>
  </w:style>
  <w:style w:type="paragraph" w:styleId="TOC9">
    <w:name w:val="toc 9"/>
    <w:basedOn w:val="Normal"/>
    <w:next w:val="Normal"/>
    <w:autoRedefine/>
    <w:uiPriority w:val="39"/>
    <w:semiHidden/>
    <w:unhideWhenUsed/>
    <w:rsid w:val="00AC483E"/>
    <w:pPr>
      <w:ind w:left="1920"/>
    </w:pPr>
    <w:rPr>
      <w:rFonts w:cs="Mangal"/>
      <w:szCs w:val="21"/>
    </w:rPr>
  </w:style>
  <w:style w:type="paragraph" w:styleId="Quote">
    <w:name w:val="Quote"/>
    <w:basedOn w:val="Normal"/>
    <w:next w:val="Normal"/>
    <w:link w:val="QuoteChar"/>
    <w:uiPriority w:val="29"/>
    <w:qFormat/>
    <w:rsid w:val="00AC483E"/>
    <w:rPr>
      <w:rFonts w:cs="Mangal"/>
      <w:i/>
      <w:iCs/>
      <w:color w:val="000000"/>
      <w:szCs w:val="21"/>
    </w:rPr>
  </w:style>
  <w:style w:type="character" w:customStyle="1" w:styleId="QuoteChar">
    <w:name w:val="Quote Char"/>
    <w:link w:val="Quote"/>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LightList-Accent3">
    <w:name w:val="Light List Accent 3"/>
    <w:basedOn w:val="TableNormal"/>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DefaultParagraphFont"/>
    <w:uiPriority w:val="99"/>
    <w:semiHidden/>
    <w:unhideWhenUsed/>
    <w:rsid w:val="00E053C5"/>
    <w:rPr>
      <w:color w:val="605E5C"/>
      <w:shd w:val="clear" w:color="auto" w:fill="E1DFDD"/>
    </w:rPr>
  </w:style>
  <w:style w:type="character" w:customStyle="1" w:styleId="NichtaufgelsteErwhnung2">
    <w:name w:val="Nicht aufgelöste Erwähnung2"/>
    <w:basedOn w:val="DefaultParagraphFont"/>
    <w:uiPriority w:val="99"/>
    <w:semiHidden/>
    <w:unhideWhenUsed/>
    <w:rsid w:val="00633054"/>
    <w:rPr>
      <w:color w:val="605E5C"/>
      <w:shd w:val="clear" w:color="auto" w:fill="E1DFDD"/>
    </w:rPr>
  </w:style>
  <w:style w:type="character" w:customStyle="1" w:styleId="NichtaufgelsteErwhnung3">
    <w:name w:val="Nicht aufgelöste Erwähnung3"/>
    <w:basedOn w:val="DefaultParagraphFont"/>
    <w:uiPriority w:val="99"/>
    <w:semiHidden/>
    <w:unhideWhenUsed/>
    <w:rsid w:val="00851C1F"/>
    <w:rPr>
      <w:color w:val="605E5C"/>
      <w:shd w:val="clear" w:color="auto" w:fill="E1DFDD"/>
    </w:rPr>
  </w:style>
  <w:style w:type="character" w:customStyle="1" w:styleId="NichtaufgelsteErwhnung4">
    <w:name w:val="Nicht aufgelöste Erwähnung4"/>
    <w:basedOn w:val="DefaultParagraphFont"/>
    <w:uiPriority w:val="99"/>
    <w:semiHidden/>
    <w:unhideWhenUsed/>
    <w:rsid w:val="00072ADE"/>
    <w:rPr>
      <w:color w:val="605E5C"/>
      <w:shd w:val="clear" w:color="auto" w:fill="E1DFDD"/>
    </w:rPr>
  </w:style>
  <w:style w:type="paragraph" w:customStyle="1" w:styleId="AbsatzConcludingObs">
    <w:name w:val="Absatz Concluding Obs"/>
    <w:basedOn w:val="absatzschattenbericht"/>
    <w:qFormat/>
    <w:rsid w:val="00A35CE4"/>
    <w:pPr>
      <w:shd w:val="clear" w:color="auto" w:fill="auto"/>
      <w:tabs>
        <w:tab w:val="left" w:pos="567"/>
        <w:tab w:val="left" w:pos="1134"/>
      </w:tabs>
    </w:pPr>
    <w:rPr>
      <w:i/>
      <w:iCs/>
      <w:lang w:val="fr-FR"/>
    </w:rPr>
  </w:style>
  <w:style w:type="character" w:customStyle="1" w:styleId="Funotenanker">
    <w:name w:val="Fußnotenanker"/>
    <w:rsid w:val="004C4581"/>
    <w:rPr>
      <w:vertAlign w:val="superscript"/>
    </w:rPr>
  </w:style>
  <w:style w:type="character" w:customStyle="1" w:styleId="UnresolvedMention1">
    <w:name w:val="Unresolved Mention1"/>
    <w:basedOn w:val="DefaultParagraphFont"/>
    <w:uiPriority w:val="99"/>
    <w:semiHidden/>
    <w:unhideWhenUsed/>
    <w:rsid w:val="00956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7941">
      <w:bodyDiv w:val="1"/>
      <w:marLeft w:val="0"/>
      <w:marRight w:val="0"/>
      <w:marTop w:val="0"/>
      <w:marBottom w:val="0"/>
      <w:divBdr>
        <w:top w:val="none" w:sz="0" w:space="0" w:color="auto"/>
        <w:left w:val="none" w:sz="0" w:space="0" w:color="auto"/>
        <w:bottom w:val="none" w:sz="0" w:space="0" w:color="auto"/>
        <w:right w:val="none" w:sz="0" w:space="0" w:color="auto"/>
      </w:divBdr>
    </w:div>
    <w:div w:id="61216194">
      <w:bodyDiv w:val="1"/>
      <w:marLeft w:val="0"/>
      <w:marRight w:val="0"/>
      <w:marTop w:val="0"/>
      <w:marBottom w:val="0"/>
      <w:divBdr>
        <w:top w:val="none" w:sz="0" w:space="0" w:color="auto"/>
        <w:left w:val="none" w:sz="0" w:space="0" w:color="auto"/>
        <w:bottom w:val="none" w:sz="0" w:space="0" w:color="auto"/>
        <w:right w:val="none" w:sz="0" w:space="0" w:color="auto"/>
      </w:divBdr>
      <w:divsChild>
        <w:div w:id="579828261">
          <w:marLeft w:val="0"/>
          <w:marRight w:val="0"/>
          <w:marTop w:val="0"/>
          <w:marBottom w:val="0"/>
          <w:divBdr>
            <w:top w:val="none" w:sz="0" w:space="0" w:color="auto"/>
            <w:left w:val="none" w:sz="0" w:space="0" w:color="auto"/>
            <w:bottom w:val="none" w:sz="0" w:space="0" w:color="auto"/>
            <w:right w:val="none" w:sz="0" w:space="0" w:color="auto"/>
          </w:divBdr>
          <w:divsChild>
            <w:div w:id="436366468">
              <w:marLeft w:val="0"/>
              <w:marRight w:val="0"/>
              <w:marTop w:val="0"/>
              <w:marBottom w:val="0"/>
              <w:divBdr>
                <w:top w:val="none" w:sz="0" w:space="0" w:color="auto"/>
                <w:left w:val="none" w:sz="0" w:space="0" w:color="auto"/>
                <w:bottom w:val="none" w:sz="0" w:space="0" w:color="auto"/>
                <w:right w:val="none" w:sz="0" w:space="0" w:color="auto"/>
              </w:divBdr>
              <w:divsChild>
                <w:div w:id="1278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4960851">
      <w:bodyDiv w:val="1"/>
      <w:marLeft w:val="0"/>
      <w:marRight w:val="0"/>
      <w:marTop w:val="0"/>
      <w:marBottom w:val="0"/>
      <w:divBdr>
        <w:top w:val="none" w:sz="0" w:space="0" w:color="auto"/>
        <w:left w:val="none" w:sz="0" w:space="0" w:color="auto"/>
        <w:bottom w:val="none" w:sz="0" w:space="0" w:color="auto"/>
        <w:right w:val="none" w:sz="0" w:space="0" w:color="auto"/>
      </w:divBdr>
      <w:divsChild>
        <w:div w:id="1687096651">
          <w:marLeft w:val="0"/>
          <w:marRight w:val="0"/>
          <w:marTop w:val="0"/>
          <w:marBottom w:val="0"/>
          <w:divBdr>
            <w:top w:val="none" w:sz="0" w:space="0" w:color="auto"/>
            <w:left w:val="none" w:sz="0" w:space="0" w:color="auto"/>
            <w:bottom w:val="none" w:sz="0" w:space="0" w:color="auto"/>
            <w:right w:val="none" w:sz="0" w:space="0" w:color="auto"/>
          </w:divBdr>
          <w:divsChild>
            <w:div w:id="1173380555">
              <w:marLeft w:val="0"/>
              <w:marRight w:val="0"/>
              <w:marTop w:val="0"/>
              <w:marBottom w:val="0"/>
              <w:divBdr>
                <w:top w:val="none" w:sz="0" w:space="0" w:color="auto"/>
                <w:left w:val="none" w:sz="0" w:space="0" w:color="auto"/>
                <w:bottom w:val="none" w:sz="0" w:space="0" w:color="auto"/>
                <w:right w:val="none" w:sz="0" w:space="0" w:color="auto"/>
              </w:divBdr>
              <w:divsChild>
                <w:div w:id="943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78867040">
      <w:bodyDiv w:val="1"/>
      <w:marLeft w:val="0"/>
      <w:marRight w:val="0"/>
      <w:marTop w:val="0"/>
      <w:marBottom w:val="0"/>
      <w:divBdr>
        <w:top w:val="none" w:sz="0" w:space="0" w:color="auto"/>
        <w:left w:val="none" w:sz="0" w:space="0" w:color="auto"/>
        <w:bottom w:val="none" w:sz="0" w:space="0" w:color="auto"/>
        <w:right w:val="none" w:sz="0" w:space="0" w:color="auto"/>
      </w:divBdr>
      <w:divsChild>
        <w:div w:id="1016418440">
          <w:marLeft w:val="0"/>
          <w:marRight w:val="0"/>
          <w:marTop w:val="0"/>
          <w:marBottom w:val="0"/>
          <w:divBdr>
            <w:top w:val="none" w:sz="0" w:space="0" w:color="auto"/>
            <w:left w:val="none" w:sz="0" w:space="0" w:color="auto"/>
            <w:bottom w:val="none" w:sz="0" w:space="0" w:color="auto"/>
            <w:right w:val="none" w:sz="0" w:space="0" w:color="auto"/>
          </w:divBdr>
          <w:divsChild>
            <w:div w:id="718667981">
              <w:marLeft w:val="0"/>
              <w:marRight w:val="0"/>
              <w:marTop w:val="0"/>
              <w:marBottom w:val="0"/>
              <w:divBdr>
                <w:top w:val="none" w:sz="0" w:space="0" w:color="auto"/>
                <w:left w:val="none" w:sz="0" w:space="0" w:color="auto"/>
                <w:bottom w:val="none" w:sz="0" w:space="0" w:color="auto"/>
                <w:right w:val="none" w:sz="0" w:space="0" w:color="auto"/>
              </w:divBdr>
              <w:divsChild>
                <w:div w:id="325401608">
                  <w:marLeft w:val="0"/>
                  <w:marRight w:val="0"/>
                  <w:marTop w:val="0"/>
                  <w:marBottom w:val="0"/>
                  <w:divBdr>
                    <w:top w:val="none" w:sz="0" w:space="0" w:color="auto"/>
                    <w:left w:val="none" w:sz="0" w:space="0" w:color="auto"/>
                    <w:bottom w:val="none" w:sz="0" w:space="0" w:color="auto"/>
                    <w:right w:val="none" w:sz="0" w:space="0" w:color="auto"/>
                  </w:divBdr>
                  <w:divsChild>
                    <w:div w:id="62103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03503621">
      <w:bodyDiv w:val="1"/>
      <w:marLeft w:val="0"/>
      <w:marRight w:val="0"/>
      <w:marTop w:val="0"/>
      <w:marBottom w:val="0"/>
      <w:divBdr>
        <w:top w:val="none" w:sz="0" w:space="0" w:color="auto"/>
        <w:left w:val="none" w:sz="0" w:space="0" w:color="auto"/>
        <w:bottom w:val="none" w:sz="0" w:space="0" w:color="auto"/>
        <w:right w:val="none" w:sz="0" w:space="0" w:color="auto"/>
      </w:divBdr>
      <w:divsChild>
        <w:div w:id="596448768">
          <w:marLeft w:val="0"/>
          <w:marRight w:val="0"/>
          <w:marTop w:val="0"/>
          <w:marBottom w:val="0"/>
          <w:divBdr>
            <w:top w:val="none" w:sz="0" w:space="0" w:color="auto"/>
            <w:left w:val="none" w:sz="0" w:space="0" w:color="auto"/>
            <w:bottom w:val="none" w:sz="0" w:space="0" w:color="auto"/>
            <w:right w:val="none" w:sz="0" w:space="0" w:color="auto"/>
          </w:divBdr>
          <w:divsChild>
            <w:div w:id="1447577259">
              <w:marLeft w:val="0"/>
              <w:marRight w:val="0"/>
              <w:marTop w:val="0"/>
              <w:marBottom w:val="0"/>
              <w:divBdr>
                <w:top w:val="none" w:sz="0" w:space="0" w:color="auto"/>
                <w:left w:val="none" w:sz="0" w:space="0" w:color="auto"/>
                <w:bottom w:val="none" w:sz="0" w:space="0" w:color="auto"/>
                <w:right w:val="none" w:sz="0" w:space="0" w:color="auto"/>
              </w:divBdr>
              <w:divsChild>
                <w:div w:id="13391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5482">
      <w:bodyDiv w:val="1"/>
      <w:marLeft w:val="0"/>
      <w:marRight w:val="0"/>
      <w:marTop w:val="0"/>
      <w:marBottom w:val="0"/>
      <w:divBdr>
        <w:top w:val="none" w:sz="0" w:space="0" w:color="auto"/>
        <w:left w:val="none" w:sz="0" w:space="0" w:color="auto"/>
        <w:bottom w:val="none" w:sz="0" w:space="0" w:color="auto"/>
        <w:right w:val="none" w:sz="0" w:space="0" w:color="auto"/>
      </w:divBdr>
      <w:divsChild>
        <w:div w:id="1923106174">
          <w:marLeft w:val="0"/>
          <w:marRight w:val="0"/>
          <w:marTop w:val="0"/>
          <w:marBottom w:val="0"/>
          <w:divBdr>
            <w:top w:val="none" w:sz="0" w:space="0" w:color="auto"/>
            <w:left w:val="none" w:sz="0" w:space="0" w:color="auto"/>
            <w:bottom w:val="none" w:sz="0" w:space="0" w:color="auto"/>
            <w:right w:val="none" w:sz="0" w:space="0" w:color="auto"/>
          </w:divBdr>
          <w:divsChild>
            <w:div w:id="84496646">
              <w:marLeft w:val="0"/>
              <w:marRight w:val="0"/>
              <w:marTop w:val="0"/>
              <w:marBottom w:val="0"/>
              <w:divBdr>
                <w:top w:val="none" w:sz="0" w:space="0" w:color="auto"/>
                <w:left w:val="none" w:sz="0" w:space="0" w:color="auto"/>
                <w:bottom w:val="none" w:sz="0" w:space="0" w:color="auto"/>
                <w:right w:val="none" w:sz="0" w:space="0" w:color="auto"/>
              </w:divBdr>
              <w:divsChild>
                <w:div w:id="90977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6212">
      <w:bodyDiv w:val="1"/>
      <w:marLeft w:val="0"/>
      <w:marRight w:val="0"/>
      <w:marTop w:val="0"/>
      <w:marBottom w:val="0"/>
      <w:divBdr>
        <w:top w:val="none" w:sz="0" w:space="0" w:color="auto"/>
        <w:left w:val="none" w:sz="0" w:space="0" w:color="auto"/>
        <w:bottom w:val="none" w:sz="0" w:space="0" w:color="auto"/>
        <w:right w:val="none" w:sz="0" w:space="0" w:color="auto"/>
      </w:divBdr>
      <w:divsChild>
        <w:div w:id="1101025166">
          <w:marLeft w:val="0"/>
          <w:marRight w:val="0"/>
          <w:marTop w:val="0"/>
          <w:marBottom w:val="0"/>
          <w:divBdr>
            <w:top w:val="none" w:sz="0" w:space="0" w:color="auto"/>
            <w:left w:val="none" w:sz="0" w:space="0" w:color="auto"/>
            <w:bottom w:val="none" w:sz="0" w:space="0" w:color="auto"/>
            <w:right w:val="none" w:sz="0" w:space="0" w:color="auto"/>
          </w:divBdr>
          <w:divsChild>
            <w:div w:id="934358715">
              <w:marLeft w:val="0"/>
              <w:marRight w:val="0"/>
              <w:marTop w:val="0"/>
              <w:marBottom w:val="0"/>
              <w:divBdr>
                <w:top w:val="none" w:sz="0" w:space="0" w:color="auto"/>
                <w:left w:val="none" w:sz="0" w:space="0" w:color="auto"/>
                <w:bottom w:val="none" w:sz="0" w:space="0" w:color="auto"/>
                <w:right w:val="none" w:sz="0" w:space="0" w:color="auto"/>
              </w:divBdr>
              <w:divsChild>
                <w:div w:id="50937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7514">
      <w:bodyDiv w:val="1"/>
      <w:marLeft w:val="0"/>
      <w:marRight w:val="0"/>
      <w:marTop w:val="0"/>
      <w:marBottom w:val="0"/>
      <w:divBdr>
        <w:top w:val="none" w:sz="0" w:space="0" w:color="auto"/>
        <w:left w:val="none" w:sz="0" w:space="0" w:color="auto"/>
        <w:bottom w:val="none" w:sz="0" w:space="0" w:color="auto"/>
        <w:right w:val="none" w:sz="0" w:space="0" w:color="auto"/>
      </w:divBdr>
      <w:divsChild>
        <w:div w:id="430973801">
          <w:marLeft w:val="0"/>
          <w:marRight w:val="0"/>
          <w:marTop w:val="0"/>
          <w:marBottom w:val="0"/>
          <w:divBdr>
            <w:top w:val="none" w:sz="0" w:space="0" w:color="auto"/>
            <w:left w:val="none" w:sz="0" w:space="0" w:color="auto"/>
            <w:bottom w:val="none" w:sz="0" w:space="0" w:color="auto"/>
            <w:right w:val="none" w:sz="0" w:space="0" w:color="auto"/>
          </w:divBdr>
          <w:divsChild>
            <w:div w:id="60758942">
              <w:marLeft w:val="0"/>
              <w:marRight w:val="0"/>
              <w:marTop w:val="0"/>
              <w:marBottom w:val="0"/>
              <w:divBdr>
                <w:top w:val="none" w:sz="0" w:space="0" w:color="auto"/>
                <w:left w:val="none" w:sz="0" w:space="0" w:color="auto"/>
                <w:bottom w:val="none" w:sz="0" w:space="0" w:color="auto"/>
                <w:right w:val="none" w:sz="0" w:space="0" w:color="auto"/>
              </w:divBdr>
              <w:divsChild>
                <w:div w:id="70571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20076">
      <w:bodyDiv w:val="1"/>
      <w:marLeft w:val="0"/>
      <w:marRight w:val="0"/>
      <w:marTop w:val="0"/>
      <w:marBottom w:val="0"/>
      <w:divBdr>
        <w:top w:val="none" w:sz="0" w:space="0" w:color="auto"/>
        <w:left w:val="none" w:sz="0" w:space="0" w:color="auto"/>
        <w:bottom w:val="none" w:sz="0" w:space="0" w:color="auto"/>
        <w:right w:val="none" w:sz="0" w:space="0" w:color="auto"/>
      </w:divBdr>
      <w:divsChild>
        <w:div w:id="492836596">
          <w:marLeft w:val="0"/>
          <w:marRight w:val="0"/>
          <w:marTop w:val="0"/>
          <w:marBottom w:val="0"/>
          <w:divBdr>
            <w:top w:val="none" w:sz="0" w:space="0" w:color="auto"/>
            <w:left w:val="none" w:sz="0" w:space="0" w:color="auto"/>
            <w:bottom w:val="none" w:sz="0" w:space="0" w:color="auto"/>
            <w:right w:val="none" w:sz="0" w:space="0" w:color="auto"/>
          </w:divBdr>
          <w:divsChild>
            <w:div w:id="1231310671">
              <w:marLeft w:val="0"/>
              <w:marRight w:val="0"/>
              <w:marTop w:val="0"/>
              <w:marBottom w:val="0"/>
              <w:divBdr>
                <w:top w:val="none" w:sz="0" w:space="0" w:color="auto"/>
                <w:left w:val="none" w:sz="0" w:space="0" w:color="auto"/>
                <w:bottom w:val="none" w:sz="0" w:space="0" w:color="auto"/>
                <w:right w:val="none" w:sz="0" w:space="0" w:color="auto"/>
              </w:divBdr>
              <w:divsChild>
                <w:div w:id="452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36061310">
      <w:bodyDiv w:val="1"/>
      <w:marLeft w:val="0"/>
      <w:marRight w:val="0"/>
      <w:marTop w:val="0"/>
      <w:marBottom w:val="0"/>
      <w:divBdr>
        <w:top w:val="none" w:sz="0" w:space="0" w:color="auto"/>
        <w:left w:val="none" w:sz="0" w:space="0" w:color="auto"/>
        <w:bottom w:val="none" w:sz="0" w:space="0" w:color="auto"/>
        <w:right w:val="none" w:sz="0" w:space="0" w:color="auto"/>
      </w:divBdr>
      <w:divsChild>
        <w:div w:id="987442940">
          <w:marLeft w:val="0"/>
          <w:marRight w:val="0"/>
          <w:marTop w:val="0"/>
          <w:marBottom w:val="0"/>
          <w:divBdr>
            <w:top w:val="none" w:sz="0" w:space="0" w:color="auto"/>
            <w:left w:val="none" w:sz="0" w:space="0" w:color="auto"/>
            <w:bottom w:val="none" w:sz="0" w:space="0" w:color="auto"/>
            <w:right w:val="none" w:sz="0" w:space="0" w:color="auto"/>
          </w:divBdr>
          <w:divsChild>
            <w:div w:id="11615458">
              <w:marLeft w:val="0"/>
              <w:marRight w:val="0"/>
              <w:marTop w:val="0"/>
              <w:marBottom w:val="0"/>
              <w:divBdr>
                <w:top w:val="none" w:sz="0" w:space="0" w:color="auto"/>
                <w:left w:val="none" w:sz="0" w:space="0" w:color="auto"/>
                <w:bottom w:val="none" w:sz="0" w:space="0" w:color="auto"/>
                <w:right w:val="none" w:sz="0" w:space="0" w:color="auto"/>
              </w:divBdr>
              <w:divsChild>
                <w:div w:id="3565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05569">
      <w:bodyDiv w:val="1"/>
      <w:marLeft w:val="0"/>
      <w:marRight w:val="0"/>
      <w:marTop w:val="0"/>
      <w:marBottom w:val="0"/>
      <w:divBdr>
        <w:top w:val="none" w:sz="0" w:space="0" w:color="auto"/>
        <w:left w:val="none" w:sz="0" w:space="0" w:color="auto"/>
        <w:bottom w:val="none" w:sz="0" w:space="0" w:color="auto"/>
        <w:right w:val="none" w:sz="0" w:space="0" w:color="auto"/>
      </w:divBdr>
      <w:divsChild>
        <w:div w:id="168177347">
          <w:marLeft w:val="0"/>
          <w:marRight w:val="0"/>
          <w:marTop w:val="0"/>
          <w:marBottom w:val="0"/>
          <w:divBdr>
            <w:top w:val="none" w:sz="0" w:space="0" w:color="auto"/>
            <w:left w:val="none" w:sz="0" w:space="0" w:color="auto"/>
            <w:bottom w:val="none" w:sz="0" w:space="0" w:color="auto"/>
            <w:right w:val="none" w:sz="0" w:space="0" w:color="auto"/>
          </w:divBdr>
          <w:divsChild>
            <w:div w:id="12152960">
              <w:marLeft w:val="0"/>
              <w:marRight w:val="0"/>
              <w:marTop w:val="0"/>
              <w:marBottom w:val="0"/>
              <w:divBdr>
                <w:top w:val="none" w:sz="0" w:space="0" w:color="auto"/>
                <w:left w:val="none" w:sz="0" w:space="0" w:color="auto"/>
                <w:bottom w:val="none" w:sz="0" w:space="0" w:color="auto"/>
                <w:right w:val="none" w:sz="0" w:space="0" w:color="auto"/>
              </w:divBdr>
              <w:divsChild>
                <w:div w:id="351610813">
                  <w:marLeft w:val="0"/>
                  <w:marRight w:val="0"/>
                  <w:marTop w:val="0"/>
                  <w:marBottom w:val="0"/>
                  <w:divBdr>
                    <w:top w:val="none" w:sz="0" w:space="0" w:color="auto"/>
                    <w:left w:val="none" w:sz="0" w:space="0" w:color="auto"/>
                    <w:bottom w:val="none" w:sz="0" w:space="0" w:color="auto"/>
                    <w:right w:val="none" w:sz="0" w:space="0" w:color="auto"/>
                  </w:divBdr>
                  <w:divsChild>
                    <w:div w:id="105423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636514">
      <w:bodyDiv w:val="1"/>
      <w:marLeft w:val="0"/>
      <w:marRight w:val="0"/>
      <w:marTop w:val="0"/>
      <w:marBottom w:val="0"/>
      <w:divBdr>
        <w:top w:val="none" w:sz="0" w:space="0" w:color="auto"/>
        <w:left w:val="none" w:sz="0" w:space="0" w:color="auto"/>
        <w:bottom w:val="none" w:sz="0" w:space="0" w:color="auto"/>
        <w:right w:val="none" w:sz="0" w:space="0" w:color="auto"/>
      </w:divBdr>
      <w:divsChild>
        <w:div w:id="148180476">
          <w:marLeft w:val="0"/>
          <w:marRight w:val="0"/>
          <w:marTop w:val="0"/>
          <w:marBottom w:val="0"/>
          <w:divBdr>
            <w:top w:val="none" w:sz="0" w:space="0" w:color="auto"/>
            <w:left w:val="none" w:sz="0" w:space="0" w:color="auto"/>
            <w:bottom w:val="none" w:sz="0" w:space="0" w:color="auto"/>
            <w:right w:val="none" w:sz="0" w:space="0" w:color="auto"/>
          </w:divBdr>
          <w:divsChild>
            <w:div w:id="1599218671">
              <w:marLeft w:val="0"/>
              <w:marRight w:val="0"/>
              <w:marTop w:val="0"/>
              <w:marBottom w:val="0"/>
              <w:divBdr>
                <w:top w:val="none" w:sz="0" w:space="0" w:color="auto"/>
                <w:left w:val="none" w:sz="0" w:space="0" w:color="auto"/>
                <w:bottom w:val="none" w:sz="0" w:space="0" w:color="auto"/>
                <w:right w:val="none" w:sz="0" w:space="0" w:color="auto"/>
              </w:divBdr>
              <w:divsChild>
                <w:div w:id="11302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755">
      <w:bodyDiv w:val="1"/>
      <w:marLeft w:val="0"/>
      <w:marRight w:val="0"/>
      <w:marTop w:val="0"/>
      <w:marBottom w:val="0"/>
      <w:divBdr>
        <w:top w:val="none" w:sz="0" w:space="0" w:color="auto"/>
        <w:left w:val="none" w:sz="0" w:space="0" w:color="auto"/>
        <w:bottom w:val="none" w:sz="0" w:space="0" w:color="auto"/>
        <w:right w:val="none" w:sz="0" w:space="0" w:color="auto"/>
      </w:divBdr>
    </w:div>
    <w:div w:id="301933642">
      <w:bodyDiv w:val="1"/>
      <w:marLeft w:val="0"/>
      <w:marRight w:val="0"/>
      <w:marTop w:val="0"/>
      <w:marBottom w:val="0"/>
      <w:divBdr>
        <w:top w:val="none" w:sz="0" w:space="0" w:color="auto"/>
        <w:left w:val="none" w:sz="0" w:space="0" w:color="auto"/>
        <w:bottom w:val="none" w:sz="0" w:space="0" w:color="auto"/>
        <w:right w:val="none" w:sz="0" w:space="0" w:color="auto"/>
      </w:divBdr>
      <w:divsChild>
        <w:div w:id="438527444">
          <w:marLeft w:val="0"/>
          <w:marRight w:val="0"/>
          <w:marTop w:val="0"/>
          <w:marBottom w:val="0"/>
          <w:divBdr>
            <w:top w:val="none" w:sz="0" w:space="0" w:color="auto"/>
            <w:left w:val="none" w:sz="0" w:space="0" w:color="auto"/>
            <w:bottom w:val="none" w:sz="0" w:space="0" w:color="auto"/>
            <w:right w:val="none" w:sz="0" w:space="0" w:color="auto"/>
          </w:divBdr>
          <w:divsChild>
            <w:div w:id="920719268">
              <w:marLeft w:val="0"/>
              <w:marRight w:val="0"/>
              <w:marTop w:val="0"/>
              <w:marBottom w:val="0"/>
              <w:divBdr>
                <w:top w:val="none" w:sz="0" w:space="0" w:color="auto"/>
                <w:left w:val="none" w:sz="0" w:space="0" w:color="auto"/>
                <w:bottom w:val="none" w:sz="0" w:space="0" w:color="auto"/>
                <w:right w:val="none" w:sz="0" w:space="0" w:color="auto"/>
              </w:divBdr>
              <w:divsChild>
                <w:div w:id="4980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70857">
      <w:bodyDiv w:val="1"/>
      <w:marLeft w:val="0"/>
      <w:marRight w:val="0"/>
      <w:marTop w:val="0"/>
      <w:marBottom w:val="0"/>
      <w:divBdr>
        <w:top w:val="none" w:sz="0" w:space="0" w:color="auto"/>
        <w:left w:val="none" w:sz="0" w:space="0" w:color="auto"/>
        <w:bottom w:val="none" w:sz="0" w:space="0" w:color="auto"/>
        <w:right w:val="none" w:sz="0" w:space="0" w:color="auto"/>
      </w:divBdr>
      <w:divsChild>
        <w:div w:id="1884556529">
          <w:marLeft w:val="0"/>
          <w:marRight w:val="0"/>
          <w:marTop w:val="0"/>
          <w:marBottom w:val="0"/>
          <w:divBdr>
            <w:top w:val="none" w:sz="0" w:space="0" w:color="auto"/>
            <w:left w:val="none" w:sz="0" w:space="0" w:color="auto"/>
            <w:bottom w:val="none" w:sz="0" w:space="0" w:color="auto"/>
            <w:right w:val="none" w:sz="0" w:space="0" w:color="auto"/>
          </w:divBdr>
          <w:divsChild>
            <w:div w:id="1608735510">
              <w:marLeft w:val="0"/>
              <w:marRight w:val="0"/>
              <w:marTop w:val="0"/>
              <w:marBottom w:val="0"/>
              <w:divBdr>
                <w:top w:val="none" w:sz="0" w:space="0" w:color="auto"/>
                <w:left w:val="none" w:sz="0" w:space="0" w:color="auto"/>
                <w:bottom w:val="none" w:sz="0" w:space="0" w:color="auto"/>
                <w:right w:val="none" w:sz="0" w:space="0" w:color="auto"/>
              </w:divBdr>
              <w:divsChild>
                <w:div w:id="2055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750990">
      <w:bodyDiv w:val="1"/>
      <w:marLeft w:val="0"/>
      <w:marRight w:val="0"/>
      <w:marTop w:val="0"/>
      <w:marBottom w:val="0"/>
      <w:divBdr>
        <w:top w:val="none" w:sz="0" w:space="0" w:color="auto"/>
        <w:left w:val="none" w:sz="0" w:space="0" w:color="auto"/>
        <w:bottom w:val="none" w:sz="0" w:space="0" w:color="auto"/>
        <w:right w:val="none" w:sz="0" w:space="0" w:color="auto"/>
      </w:divBdr>
      <w:divsChild>
        <w:div w:id="728311931">
          <w:marLeft w:val="0"/>
          <w:marRight w:val="0"/>
          <w:marTop w:val="0"/>
          <w:marBottom w:val="0"/>
          <w:divBdr>
            <w:top w:val="none" w:sz="0" w:space="0" w:color="auto"/>
            <w:left w:val="none" w:sz="0" w:space="0" w:color="auto"/>
            <w:bottom w:val="none" w:sz="0" w:space="0" w:color="auto"/>
            <w:right w:val="none" w:sz="0" w:space="0" w:color="auto"/>
          </w:divBdr>
          <w:divsChild>
            <w:div w:id="1361199290">
              <w:marLeft w:val="0"/>
              <w:marRight w:val="0"/>
              <w:marTop w:val="0"/>
              <w:marBottom w:val="0"/>
              <w:divBdr>
                <w:top w:val="none" w:sz="0" w:space="0" w:color="auto"/>
                <w:left w:val="none" w:sz="0" w:space="0" w:color="auto"/>
                <w:bottom w:val="none" w:sz="0" w:space="0" w:color="auto"/>
                <w:right w:val="none" w:sz="0" w:space="0" w:color="auto"/>
              </w:divBdr>
              <w:divsChild>
                <w:div w:id="184693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0003">
      <w:bodyDiv w:val="1"/>
      <w:marLeft w:val="0"/>
      <w:marRight w:val="0"/>
      <w:marTop w:val="0"/>
      <w:marBottom w:val="0"/>
      <w:divBdr>
        <w:top w:val="none" w:sz="0" w:space="0" w:color="auto"/>
        <w:left w:val="none" w:sz="0" w:space="0" w:color="auto"/>
        <w:bottom w:val="none" w:sz="0" w:space="0" w:color="auto"/>
        <w:right w:val="none" w:sz="0" w:space="0" w:color="auto"/>
      </w:divBdr>
      <w:divsChild>
        <w:div w:id="1172642421">
          <w:marLeft w:val="0"/>
          <w:marRight w:val="0"/>
          <w:marTop w:val="0"/>
          <w:marBottom w:val="0"/>
          <w:divBdr>
            <w:top w:val="none" w:sz="0" w:space="0" w:color="auto"/>
            <w:left w:val="none" w:sz="0" w:space="0" w:color="auto"/>
            <w:bottom w:val="none" w:sz="0" w:space="0" w:color="auto"/>
            <w:right w:val="none" w:sz="0" w:space="0" w:color="auto"/>
          </w:divBdr>
          <w:divsChild>
            <w:div w:id="2126195376">
              <w:marLeft w:val="0"/>
              <w:marRight w:val="0"/>
              <w:marTop w:val="0"/>
              <w:marBottom w:val="0"/>
              <w:divBdr>
                <w:top w:val="none" w:sz="0" w:space="0" w:color="auto"/>
                <w:left w:val="none" w:sz="0" w:space="0" w:color="auto"/>
                <w:bottom w:val="none" w:sz="0" w:space="0" w:color="auto"/>
                <w:right w:val="none" w:sz="0" w:space="0" w:color="auto"/>
              </w:divBdr>
              <w:divsChild>
                <w:div w:id="19157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9445">
      <w:bodyDiv w:val="1"/>
      <w:marLeft w:val="0"/>
      <w:marRight w:val="0"/>
      <w:marTop w:val="0"/>
      <w:marBottom w:val="0"/>
      <w:divBdr>
        <w:top w:val="none" w:sz="0" w:space="0" w:color="auto"/>
        <w:left w:val="none" w:sz="0" w:space="0" w:color="auto"/>
        <w:bottom w:val="none" w:sz="0" w:space="0" w:color="auto"/>
        <w:right w:val="none" w:sz="0" w:space="0" w:color="auto"/>
      </w:divBdr>
      <w:divsChild>
        <w:div w:id="1975484239">
          <w:marLeft w:val="0"/>
          <w:marRight w:val="0"/>
          <w:marTop w:val="0"/>
          <w:marBottom w:val="0"/>
          <w:divBdr>
            <w:top w:val="none" w:sz="0" w:space="0" w:color="auto"/>
            <w:left w:val="none" w:sz="0" w:space="0" w:color="auto"/>
            <w:bottom w:val="none" w:sz="0" w:space="0" w:color="auto"/>
            <w:right w:val="none" w:sz="0" w:space="0" w:color="auto"/>
          </w:divBdr>
          <w:divsChild>
            <w:div w:id="1054039516">
              <w:marLeft w:val="0"/>
              <w:marRight w:val="0"/>
              <w:marTop w:val="0"/>
              <w:marBottom w:val="0"/>
              <w:divBdr>
                <w:top w:val="none" w:sz="0" w:space="0" w:color="auto"/>
                <w:left w:val="none" w:sz="0" w:space="0" w:color="auto"/>
                <w:bottom w:val="none" w:sz="0" w:space="0" w:color="auto"/>
                <w:right w:val="none" w:sz="0" w:space="0" w:color="auto"/>
              </w:divBdr>
              <w:divsChild>
                <w:div w:id="1730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501834">
      <w:bodyDiv w:val="1"/>
      <w:marLeft w:val="0"/>
      <w:marRight w:val="0"/>
      <w:marTop w:val="0"/>
      <w:marBottom w:val="0"/>
      <w:divBdr>
        <w:top w:val="none" w:sz="0" w:space="0" w:color="auto"/>
        <w:left w:val="none" w:sz="0" w:space="0" w:color="auto"/>
        <w:bottom w:val="none" w:sz="0" w:space="0" w:color="auto"/>
        <w:right w:val="none" w:sz="0" w:space="0" w:color="auto"/>
      </w:divBdr>
      <w:divsChild>
        <w:div w:id="293801005">
          <w:marLeft w:val="0"/>
          <w:marRight w:val="0"/>
          <w:marTop w:val="0"/>
          <w:marBottom w:val="0"/>
          <w:divBdr>
            <w:top w:val="none" w:sz="0" w:space="0" w:color="auto"/>
            <w:left w:val="none" w:sz="0" w:space="0" w:color="auto"/>
            <w:bottom w:val="none" w:sz="0" w:space="0" w:color="auto"/>
            <w:right w:val="none" w:sz="0" w:space="0" w:color="auto"/>
          </w:divBdr>
          <w:divsChild>
            <w:div w:id="425155411">
              <w:marLeft w:val="0"/>
              <w:marRight w:val="0"/>
              <w:marTop w:val="0"/>
              <w:marBottom w:val="0"/>
              <w:divBdr>
                <w:top w:val="none" w:sz="0" w:space="0" w:color="auto"/>
                <w:left w:val="none" w:sz="0" w:space="0" w:color="auto"/>
                <w:bottom w:val="none" w:sz="0" w:space="0" w:color="auto"/>
                <w:right w:val="none" w:sz="0" w:space="0" w:color="auto"/>
              </w:divBdr>
              <w:divsChild>
                <w:div w:id="91883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42648684">
      <w:bodyDiv w:val="1"/>
      <w:marLeft w:val="0"/>
      <w:marRight w:val="0"/>
      <w:marTop w:val="0"/>
      <w:marBottom w:val="0"/>
      <w:divBdr>
        <w:top w:val="none" w:sz="0" w:space="0" w:color="auto"/>
        <w:left w:val="none" w:sz="0" w:space="0" w:color="auto"/>
        <w:bottom w:val="none" w:sz="0" w:space="0" w:color="auto"/>
        <w:right w:val="none" w:sz="0" w:space="0" w:color="auto"/>
      </w:divBdr>
      <w:divsChild>
        <w:div w:id="574246358">
          <w:marLeft w:val="0"/>
          <w:marRight w:val="0"/>
          <w:marTop w:val="0"/>
          <w:marBottom w:val="0"/>
          <w:divBdr>
            <w:top w:val="none" w:sz="0" w:space="0" w:color="auto"/>
            <w:left w:val="none" w:sz="0" w:space="0" w:color="auto"/>
            <w:bottom w:val="none" w:sz="0" w:space="0" w:color="auto"/>
            <w:right w:val="none" w:sz="0" w:space="0" w:color="auto"/>
          </w:divBdr>
          <w:divsChild>
            <w:div w:id="1407068587">
              <w:marLeft w:val="0"/>
              <w:marRight w:val="0"/>
              <w:marTop w:val="0"/>
              <w:marBottom w:val="0"/>
              <w:divBdr>
                <w:top w:val="none" w:sz="0" w:space="0" w:color="auto"/>
                <w:left w:val="none" w:sz="0" w:space="0" w:color="auto"/>
                <w:bottom w:val="none" w:sz="0" w:space="0" w:color="auto"/>
                <w:right w:val="none" w:sz="0" w:space="0" w:color="auto"/>
              </w:divBdr>
              <w:divsChild>
                <w:div w:id="116281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26674930">
      <w:bodyDiv w:val="1"/>
      <w:marLeft w:val="0"/>
      <w:marRight w:val="0"/>
      <w:marTop w:val="0"/>
      <w:marBottom w:val="0"/>
      <w:divBdr>
        <w:top w:val="none" w:sz="0" w:space="0" w:color="auto"/>
        <w:left w:val="none" w:sz="0" w:space="0" w:color="auto"/>
        <w:bottom w:val="none" w:sz="0" w:space="0" w:color="auto"/>
        <w:right w:val="none" w:sz="0" w:space="0" w:color="auto"/>
      </w:divBdr>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540023394">
      <w:bodyDiv w:val="1"/>
      <w:marLeft w:val="0"/>
      <w:marRight w:val="0"/>
      <w:marTop w:val="0"/>
      <w:marBottom w:val="0"/>
      <w:divBdr>
        <w:top w:val="none" w:sz="0" w:space="0" w:color="auto"/>
        <w:left w:val="none" w:sz="0" w:space="0" w:color="auto"/>
        <w:bottom w:val="none" w:sz="0" w:space="0" w:color="auto"/>
        <w:right w:val="none" w:sz="0" w:space="0" w:color="auto"/>
      </w:divBdr>
      <w:divsChild>
        <w:div w:id="1891570887">
          <w:marLeft w:val="0"/>
          <w:marRight w:val="0"/>
          <w:marTop w:val="0"/>
          <w:marBottom w:val="0"/>
          <w:divBdr>
            <w:top w:val="none" w:sz="0" w:space="0" w:color="auto"/>
            <w:left w:val="none" w:sz="0" w:space="0" w:color="auto"/>
            <w:bottom w:val="none" w:sz="0" w:space="0" w:color="auto"/>
            <w:right w:val="none" w:sz="0" w:space="0" w:color="auto"/>
          </w:divBdr>
          <w:divsChild>
            <w:div w:id="1388601477">
              <w:marLeft w:val="0"/>
              <w:marRight w:val="0"/>
              <w:marTop w:val="0"/>
              <w:marBottom w:val="0"/>
              <w:divBdr>
                <w:top w:val="none" w:sz="0" w:space="0" w:color="auto"/>
                <w:left w:val="none" w:sz="0" w:space="0" w:color="auto"/>
                <w:bottom w:val="none" w:sz="0" w:space="0" w:color="auto"/>
                <w:right w:val="none" w:sz="0" w:space="0" w:color="auto"/>
              </w:divBdr>
              <w:divsChild>
                <w:div w:id="149567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84271">
      <w:bodyDiv w:val="1"/>
      <w:marLeft w:val="0"/>
      <w:marRight w:val="0"/>
      <w:marTop w:val="0"/>
      <w:marBottom w:val="0"/>
      <w:divBdr>
        <w:top w:val="none" w:sz="0" w:space="0" w:color="auto"/>
        <w:left w:val="none" w:sz="0" w:space="0" w:color="auto"/>
        <w:bottom w:val="none" w:sz="0" w:space="0" w:color="auto"/>
        <w:right w:val="none" w:sz="0" w:space="0" w:color="auto"/>
      </w:divBdr>
    </w:div>
    <w:div w:id="546063017">
      <w:bodyDiv w:val="1"/>
      <w:marLeft w:val="0"/>
      <w:marRight w:val="0"/>
      <w:marTop w:val="0"/>
      <w:marBottom w:val="0"/>
      <w:divBdr>
        <w:top w:val="none" w:sz="0" w:space="0" w:color="auto"/>
        <w:left w:val="none" w:sz="0" w:space="0" w:color="auto"/>
        <w:bottom w:val="none" w:sz="0" w:space="0" w:color="auto"/>
        <w:right w:val="none" w:sz="0" w:space="0" w:color="auto"/>
      </w:divBdr>
      <w:divsChild>
        <w:div w:id="1075207949">
          <w:marLeft w:val="0"/>
          <w:marRight w:val="0"/>
          <w:marTop w:val="0"/>
          <w:marBottom w:val="0"/>
          <w:divBdr>
            <w:top w:val="none" w:sz="0" w:space="0" w:color="auto"/>
            <w:left w:val="none" w:sz="0" w:space="0" w:color="auto"/>
            <w:bottom w:val="none" w:sz="0" w:space="0" w:color="auto"/>
            <w:right w:val="none" w:sz="0" w:space="0" w:color="auto"/>
          </w:divBdr>
          <w:divsChild>
            <w:div w:id="1552573519">
              <w:marLeft w:val="0"/>
              <w:marRight w:val="0"/>
              <w:marTop w:val="0"/>
              <w:marBottom w:val="0"/>
              <w:divBdr>
                <w:top w:val="none" w:sz="0" w:space="0" w:color="auto"/>
                <w:left w:val="none" w:sz="0" w:space="0" w:color="auto"/>
                <w:bottom w:val="none" w:sz="0" w:space="0" w:color="auto"/>
                <w:right w:val="none" w:sz="0" w:space="0" w:color="auto"/>
              </w:divBdr>
              <w:divsChild>
                <w:div w:id="752774544">
                  <w:marLeft w:val="0"/>
                  <w:marRight w:val="0"/>
                  <w:marTop w:val="0"/>
                  <w:marBottom w:val="0"/>
                  <w:divBdr>
                    <w:top w:val="none" w:sz="0" w:space="0" w:color="auto"/>
                    <w:left w:val="none" w:sz="0" w:space="0" w:color="auto"/>
                    <w:bottom w:val="none" w:sz="0" w:space="0" w:color="auto"/>
                    <w:right w:val="none" w:sz="0" w:space="0" w:color="auto"/>
                  </w:divBdr>
                  <w:divsChild>
                    <w:div w:id="172690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781981">
      <w:bodyDiv w:val="1"/>
      <w:marLeft w:val="0"/>
      <w:marRight w:val="0"/>
      <w:marTop w:val="0"/>
      <w:marBottom w:val="0"/>
      <w:divBdr>
        <w:top w:val="none" w:sz="0" w:space="0" w:color="auto"/>
        <w:left w:val="none" w:sz="0" w:space="0" w:color="auto"/>
        <w:bottom w:val="none" w:sz="0" w:space="0" w:color="auto"/>
        <w:right w:val="none" w:sz="0" w:space="0" w:color="auto"/>
      </w:divBdr>
      <w:divsChild>
        <w:div w:id="1546911798">
          <w:marLeft w:val="0"/>
          <w:marRight w:val="0"/>
          <w:marTop w:val="0"/>
          <w:marBottom w:val="0"/>
          <w:divBdr>
            <w:top w:val="none" w:sz="0" w:space="0" w:color="auto"/>
            <w:left w:val="none" w:sz="0" w:space="0" w:color="auto"/>
            <w:bottom w:val="none" w:sz="0" w:space="0" w:color="auto"/>
            <w:right w:val="none" w:sz="0" w:space="0" w:color="auto"/>
          </w:divBdr>
          <w:divsChild>
            <w:div w:id="1089039573">
              <w:marLeft w:val="0"/>
              <w:marRight w:val="0"/>
              <w:marTop w:val="0"/>
              <w:marBottom w:val="0"/>
              <w:divBdr>
                <w:top w:val="none" w:sz="0" w:space="0" w:color="auto"/>
                <w:left w:val="none" w:sz="0" w:space="0" w:color="auto"/>
                <w:bottom w:val="none" w:sz="0" w:space="0" w:color="auto"/>
                <w:right w:val="none" w:sz="0" w:space="0" w:color="auto"/>
              </w:divBdr>
              <w:divsChild>
                <w:div w:id="5642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36578">
      <w:bodyDiv w:val="1"/>
      <w:marLeft w:val="0"/>
      <w:marRight w:val="0"/>
      <w:marTop w:val="0"/>
      <w:marBottom w:val="0"/>
      <w:divBdr>
        <w:top w:val="none" w:sz="0" w:space="0" w:color="auto"/>
        <w:left w:val="none" w:sz="0" w:space="0" w:color="auto"/>
        <w:bottom w:val="none" w:sz="0" w:space="0" w:color="auto"/>
        <w:right w:val="none" w:sz="0" w:space="0" w:color="auto"/>
      </w:divBdr>
      <w:divsChild>
        <w:div w:id="645400804">
          <w:marLeft w:val="0"/>
          <w:marRight w:val="0"/>
          <w:marTop w:val="0"/>
          <w:marBottom w:val="0"/>
          <w:divBdr>
            <w:top w:val="none" w:sz="0" w:space="0" w:color="auto"/>
            <w:left w:val="none" w:sz="0" w:space="0" w:color="auto"/>
            <w:bottom w:val="none" w:sz="0" w:space="0" w:color="auto"/>
            <w:right w:val="none" w:sz="0" w:space="0" w:color="auto"/>
          </w:divBdr>
          <w:divsChild>
            <w:div w:id="489099239">
              <w:marLeft w:val="0"/>
              <w:marRight w:val="0"/>
              <w:marTop w:val="0"/>
              <w:marBottom w:val="0"/>
              <w:divBdr>
                <w:top w:val="none" w:sz="0" w:space="0" w:color="auto"/>
                <w:left w:val="none" w:sz="0" w:space="0" w:color="auto"/>
                <w:bottom w:val="none" w:sz="0" w:space="0" w:color="auto"/>
                <w:right w:val="none" w:sz="0" w:space="0" w:color="auto"/>
              </w:divBdr>
              <w:divsChild>
                <w:div w:id="76500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78528">
      <w:bodyDiv w:val="1"/>
      <w:marLeft w:val="0"/>
      <w:marRight w:val="0"/>
      <w:marTop w:val="0"/>
      <w:marBottom w:val="0"/>
      <w:divBdr>
        <w:top w:val="none" w:sz="0" w:space="0" w:color="auto"/>
        <w:left w:val="none" w:sz="0" w:space="0" w:color="auto"/>
        <w:bottom w:val="none" w:sz="0" w:space="0" w:color="auto"/>
        <w:right w:val="none" w:sz="0" w:space="0" w:color="auto"/>
      </w:divBdr>
    </w:div>
    <w:div w:id="594482489">
      <w:bodyDiv w:val="1"/>
      <w:marLeft w:val="0"/>
      <w:marRight w:val="0"/>
      <w:marTop w:val="0"/>
      <w:marBottom w:val="0"/>
      <w:divBdr>
        <w:top w:val="none" w:sz="0" w:space="0" w:color="auto"/>
        <w:left w:val="none" w:sz="0" w:space="0" w:color="auto"/>
        <w:bottom w:val="none" w:sz="0" w:space="0" w:color="auto"/>
        <w:right w:val="none" w:sz="0" w:space="0" w:color="auto"/>
      </w:divBdr>
      <w:divsChild>
        <w:div w:id="1490249786">
          <w:marLeft w:val="0"/>
          <w:marRight w:val="0"/>
          <w:marTop w:val="0"/>
          <w:marBottom w:val="0"/>
          <w:divBdr>
            <w:top w:val="none" w:sz="0" w:space="0" w:color="auto"/>
            <w:left w:val="none" w:sz="0" w:space="0" w:color="auto"/>
            <w:bottom w:val="none" w:sz="0" w:space="0" w:color="auto"/>
            <w:right w:val="none" w:sz="0" w:space="0" w:color="auto"/>
          </w:divBdr>
          <w:divsChild>
            <w:div w:id="1332685642">
              <w:marLeft w:val="0"/>
              <w:marRight w:val="0"/>
              <w:marTop w:val="0"/>
              <w:marBottom w:val="0"/>
              <w:divBdr>
                <w:top w:val="none" w:sz="0" w:space="0" w:color="auto"/>
                <w:left w:val="none" w:sz="0" w:space="0" w:color="auto"/>
                <w:bottom w:val="none" w:sz="0" w:space="0" w:color="auto"/>
                <w:right w:val="none" w:sz="0" w:space="0" w:color="auto"/>
              </w:divBdr>
              <w:divsChild>
                <w:div w:id="19504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6340">
      <w:bodyDiv w:val="1"/>
      <w:marLeft w:val="0"/>
      <w:marRight w:val="0"/>
      <w:marTop w:val="0"/>
      <w:marBottom w:val="0"/>
      <w:divBdr>
        <w:top w:val="none" w:sz="0" w:space="0" w:color="auto"/>
        <w:left w:val="none" w:sz="0" w:space="0" w:color="auto"/>
        <w:bottom w:val="none" w:sz="0" w:space="0" w:color="auto"/>
        <w:right w:val="none" w:sz="0" w:space="0" w:color="auto"/>
      </w:divBdr>
    </w:div>
    <w:div w:id="600800665">
      <w:bodyDiv w:val="1"/>
      <w:marLeft w:val="0"/>
      <w:marRight w:val="0"/>
      <w:marTop w:val="0"/>
      <w:marBottom w:val="0"/>
      <w:divBdr>
        <w:top w:val="none" w:sz="0" w:space="0" w:color="auto"/>
        <w:left w:val="none" w:sz="0" w:space="0" w:color="auto"/>
        <w:bottom w:val="none" w:sz="0" w:space="0" w:color="auto"/>
        <w:right w:val="none" w:sz="0" w:space="0" w:color="auto"/>
      </w:divBdr>
    </w:div>
    <w:div w:id="625695715">
      <w:bodyDiv w:val="1"/>
      <w:marLeft w:val="0"/>
      <w:marRight w:val="0"/>
      <w:marTop w:val="0"/>
      <w:marBottom w:val="0"/>
      <w:divBdr>
        <w:top w:val="none" w:sz="0" w:space="0" w:color="auto"/>
        <w:left w:val="none" w:sz="0" w:space="0" w:color="auto"/>
        <w:bottom w:val="none" w:sz="0" w:space="0" w:color="auto"/>
        <w:right w:val="none" w:sz="0" w:space="0" w:color="auto"/>
      </w:divBdr>
    </w:div>
    <w:div w:id="632365003">
      <w:bodyDiv w:val="1"/>
      <w:marLeft w:val="0"/>
      <w:marRight w:val="0"/>
      <w:marTop w:val="0"/>
      <w:marBottom w:val="0"/>
      <w:divBdr>
        <w:top w:val="none" w:sz="0" w:space="0" w:color="auto"/>
        <w:left w:val="none" w:sz="0" w:space="0" w:color="auto"/>
        <w:bottom w:val="none" w:sz="0" w:space="0" w:color="auto"/>
        <w:right w:val="none" w:sz="0" w:space="0" w:color="auto"/>
      </w:divBdr>
      <w:divsChild>
        <w:div w:id="1124232714">
          <w:marLeft w:val="0"/>
          <w:marRight w:val="0"/>
          <w:marTop w:val="0"/>
          <w:marBottom w:val="0"/>
          <w:divBdr>
            <w:top w:val="none" w:sz="0" w:space="0" w:color="auto"/>
            <w:left w:val="none" w:sz="0" w:space="0" w:color="auto"/>
            <w:bottom w:val="none" w:sz="0" w:space="0" w:color="auto"/>
            <w:right w:val="none" w:sz="0" w:space="0" w:color="auto"/>
          </w:divBdr>
          <w:divsChild>
            <w:div w:id="239605019">
              <w:marLeft w:val="0"/>
              <w:marRight w:val="0"/>
              <w:marTop w:val="0"/>
              <w:marBottom w:val="0"/>
              <w:divBdr>
                <w:top w:val="none" w:sz="0" w:space="0" w:color="auto"/>
                <w:left w:val="none" w:sz="0" w:space="0" w:color="auto"/>
                <w:bottom w:val="none" w:sz="0" w:space="0" w:color="auto"/>
                <w:right w:val="none" w:sz="0" w:space="0" w:color="auto"/>
              </w:divBdr>
              <w:divsChild>
                <w:div w:id="67419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87597">
      <w:bodyDiv w:val="1"/>
      <w:marLeft w:val="0"/>
      <w:marRight w:val="0"/>
      <w:marTop w:val="0"/>
      <w:marBottom w:val="0"/>
      <w:divBdr>
        <w:top w:val="none" w:sz="0" w:space="0" w:color="auto"/>
        <w:left w:val="none" w:sz="0" w:space="0" w:color="auto"/>
        <w:bottom w:val="none" w:sz="0" w:space="0" w:color="auto"/>
        <w:right w:val="none" w:sz="0" w:space="0" w:color="auto"/>
      </w:divBdr>
      <w:divsChild>
        <w:div w:id="1635523560">
          <w:marLeft w:val="0"/>
          <w:marRight w:val="0"/>
          <w:marTop w:val="0"/>
          <w:marBottom w:val="0"/>
          <w:divBdr>
            <w:top w:val="none" w:sz="0" w:space="0" w:color="auto"/>
            <w:left w:val="none" w:sz="0" w:space="0" w:color="auto"/>
            <w:bottom w:val="none" w:sz="0" w:space="0" w:color="auto"/>
            <w:right w:val="none" w:sz="0" w:space="0" w:color="auto"/>
          </w:divBdr>
          <w:divsChild>
            <w:div w:id="1668706101">
              <w:marLeft w:val="0"/>
              <w:marRight w:val="0"/>
              <w:marTop w:val="0"/>
              <w:marBottom w:val="0"/>
              <w:divBdr>
                <w:top w:val="none" w:sz="0" w:space="0" w:color="auto"/>
                <w:left w:val="none" w:sz="0" w:space="0" w:color="auto"/>
                <w:bottom w:val="none" w:sz="0" w:space="0" w:color="auto"/>
                <w:right w:val="none" w:sz="0" w:space="0" w:color="auto"/>
              </w:divBdr>
              <w:divsChild>
                <w:div w:id="17152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59409">
      <w:bodyDiv w:val="1"/>
      <w:marLeft w:val="0"/>
      <w:marRight w:val="0"/>
      <w:marTop w:val="0"/>
      <w:marBottom w:val="0"/>
      <w:divBdr>
        <w:top w:val="none" w:sz="0" w:space="0" w:color="auto"/>
        <w:left w:val="none" w:sz="0" w:space="0" w:color="auto"/>
        <w:bottom w:val="none" w:sz="0" w:space="0" w:color="auto"/>
        <w:right w:val="none" w:sz="0" w:space="0" w:color="auto"/>
      </w:divBdr>
      <w:divsChild>
        <w:div w:id="2095086535">
          <w:marLeft w:val="0"/>
          <w:marRight w:val="0"/>
          <w:marTop w:val="0"/>
          <w:marBottom w:val="0"/>
          <w:divBdr>
            <w:top w:val="none" w:sz="0" w:space="0" w:color="auto"/>
            <w:left w:val="none" w:sz="0" w:space="0" w:color="auto"/>
            <w:bottom w:val="none" w:sz="0" w:space="0" w:color="auto"/>
            <w:right w:val="none" w:sz="0" w:space="0" w:color="auto"/>
          </w:divBdr>
          <w:divsChild>
            <w:div w:id="1386297678">
              <w:marLeft w:val="0"/>
              <w:marRight w:val="0"/>
              <w:marTop w:val="0"/>
              <w:marBottom w:val="0"/>
              <w:divBdr>
                <w:top w:val="none" w:sz="0" w:space="0" w:color="auto"/>
                <w:left w:val="none" w:sz="0" w:space="0" w:color="auto"/>
                <w:bottom w:val="none" w:sz="0" w:space="0" w:color="auto"/>
                <w:right w:val="none" w:sz="0" w:space="0" w:color="auto"/>
              </w:divBdr>
              <w:divsChild>
                <w:div w:id="995960053">
                  <w:marLeft w:val="0"/>
                  <w:marRight w:val="0"/>
                  <w:marTop w:val="0"/>
                  <w:marBottom w:val="0"/>
                  <w:divBdr>
                    <w:top w:val="none" w:sz="0" w:space="0" w:color="auto"/>
                    <w:left w:val="none" w:sz="0" w:space="0" w:color="auto"/>
                    <w:bottom w:val="none" w:sz="0" w:space="0" w:color="auto"/>
                    <w:right w:val="none" w:sz="0" w:space="0" w:color="auto"/>
                  </w:divBdr>
                  <w:divsChild>
                    <w:div w:id="20499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26556">
      <w:bodyDiv w:val="1"/>
      <w:marLeft w:val="0"/>
      <w:marRight w:val="0"/>
      <w:marTop w:val="0"/>
      <w:marBottom w:val="0"/>
      <w:divBdr>
        <w:top w:val="none" w:sz="0" w:space="0" w:color="auto"/>
        <w:left w:val="none" w:sz="0" w:space="0" w:color="auto"/>
        <w:bottom w:val="none" w:sz="0" w:space="0" w:color="auto"/>
        <w:right w:val="none" w:sz="0" w:space="0" w:color="auto"/>
      </w:divBdr>
    </w:div>
    <w:div w:id="652561936">
      <w:bodyDiv w:val="1"/>
      <w:marLeft w:val="0"/>
      <w:marRight w:val="0"/>
      <w:marTop w:val="0"/>
      <w:marBottom w:val="0"/>
      <w:divBdr>
        <w:top w:val="none" w:sz="0" w:space="0" w:color="auto"/>
        <w:left w:val="none" w:sz="0" w:space="0" w:color="auto"/>
        <w:bottom w:val="none" w:sz="0" w:space="0" w:color="auto"/>
        <w:right w:val="none" w:sz="0" w:space="0" w:color="auto"/>
      </w:divBdr>
      <w:divsChild>
        <w:div w:id="781916636">
          <w:marLeft w:val="0"/>
          <w:marRight w:val="0"/>
          <w:marTop w:val="0"/>
          <w:marBottom w:val="0"/>
          <w:divBdr>
            <w:top w:val="none" w:sz="0" w:space="0" w:color="auto"/>
            <w:left w:val="none" w:sz="0" w:space="0" w:color="auto"/>
            <w:bottom w:val="none" w:sz="0" w:space="0" w:color="auto"/>
            <w:right w:val="none" w:sz="0" w:space="0" w:color="auto"/>
          </w:divBdr>
          <w:divsChild>
            <w:div w:id="925070445">
              <w:marLeft w:val="0"/>
              <w:marRight w:val="0"/>
              <w:marTop w:val="0"/>
              <w:marBottom w:val="0"/>
              <w:divBdr>
                <w:top w:val="none" w:sz="0" w:space="0" w:color="auto"/>
                <w:left w:val="none" w:sz="0" w:space="0" w:color="auto"/>
                <w:bottom w:val="none" w:sz="0" w:space="0" w:color="auto"/>
                <w:right w:val="none" w:sz="0" w:space="0" w:color="auto"/>
              </w:divBdr>
              <w:divsChild>
                <w:div w:id="197467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665593203">
      <w:bodyDiv w:val="1"/>
      <w:marLeft w:val="0"/>
      <w:marRight w:val="0"/>
      <w:marTop w:val="0"/>
      <w:marBottom w:val="0"/>
      <w:divBdr>
        <w:top w:val="none" w:sz="0" w:space="0" w:color="auto"/>
        <w:left w:val="none" w:sz="0" w:space="0" w:color="auto"/>
        <w:bottom w:val="none" w:sz="0" w:space="0" w:color="auto"/>
        <w:right w:val="none" w:sz="0" w:space="0" w:color="auto"/>
      </w:divBdr>
    </w:div>
    <w:div w:id="671758011">
      <w:bodyDiv w:val="1"/>
      <w:marLeft w:val="0"/>
      <w:marRight w:val="0"/>
      <w:marTop w:val="0"/>
      <w:marBottom w:val="0"/>
      <w:divBdr>
        <w:top w:val="none" w:sz="0" w:space="0" w:color="auto"/>
        <w:left w:val="none" w:sz="0" w:space="0" w:color="auto"/>
        <w:bottom w:val="none" w:sz="0" w:space="0" w:color="auto"/>
        <w:right w:val="none" w:sz="0" w:space="0" w:color="auto"/>
      </w:divBdr>
    </w:div>
    <w:div w:id="680550315">
      <w:bodyDiv w:val="1"/>
      <w:marLeft w:val="0"/>
      <w:marRight w:val="0"/>
      <w:marTop w:val="0"/>
      <w:marBottom w:val="0"/>
      <w:divBdr>
        <w:top w:val="none" w:sz="0" w:space="0" w:color="auto"/>
        <w:left w:val="none" w:sz="0" w:space="0" w:color="auto"/>
        <w:bottom w:val="none" w:sz="0" w:space="0" w:color="auto"/>
        <w:right w:val="none" w:sz="0" w:space="0" w:color="auto"/>
      </w:divBdr>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2230">
      <w:bodyDiv w:val="1"/>
      <w:marLeft w:val="0"/>
      <w:marRight w:val="0"/>
      <w:marTop w:val="0"/>
      <w:marBottom w:val="0"/>
      <w:divBdr>
        <w:top w:val="none" w:sz="0" w:space="0" w:color="auto"/>
        <w:left w:val="none" w:sz="0" w:space="0" w:color="auto"/>
        <w:bottom w:val="none" w:sz="0" w:space="0" w:color="auto"/>
        <w:right w:val="none" w:sz="0" w:space="0" w:color="auto"/>
      </w:divBdr>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30494986">
      <w:bodyDiv w:val="1"/>
      <w:marLeft w:val="0"/>
      <w:marRight w:val="0"/>
      <w:marTop w:val="0"/>
      <w:marBottom w:val="0"/>
      <w:divBdr>
        <w:top w:val="none" w:sz="0" w:space="0" w:color="auto"/>
        <w:left w:val="none" w:sz="0" w:space="0" w:color="auto"/>
        <w:bottom w:val="none" w:sz="0" w:space="0" w:color="auto"/>
        <w:right w:val="none" w:sz="0" w:space="0" w:color="auto"/>
      </w:divBdr>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336487">
      <w:bodyDiv w:val="1"/>
      <w:marLeft w:val="0"/>
      <w:marRight w:val="0"/>
      <w:marTop w:val="0"/>
      <w:marBottom w:val="0"/>
      <w:divBdr>
        <w:top w:val="none" w:sz="0" w:space="0" w:color="auto"/>
        <w:left w:val="none" w:sz="0" w:space="0" w:color="auto"/>
        <w:bottom w:val="none" w:sz="0" w:space="0" w:color="auto"/>
        <w:right w:val="none" w:sz="0" w:space="0" w:color="auto"/>
      </w:divBdr>
      <w:divsChild>
        <w:div w:id="583534850">
          <w:marLeft w:val="0"/>
          <w:marRight w:val="0"/>
          <w:marTop w:val="0"/>
          <w:marBottom w:val="0"/>
          <w:divBdr>
            <w:top w:val="none" w:sz="0" w:space="0" w:color="auto"/>
            <w:left w:val="none" w:sz="0" w:space="0" w:color="auto"/>
            <w:bottom w:val="none" w:sz="0" w:space="0" w:color="auto"/>
            <w:right w:val="none" w:sz="0" w:space="0" w:color="auto"/>
          </w:divBdr>
          <w:divsChild>
            <w:div w:id="1537964695">
              <w:marLeft w:val="0"/>
              <w:marRight w:val="0"/>
              <w:marTop w:val="0"/>
              <w:marBottom w:val="0"/>
              <w:divBdr>
                <w:top w:val="none" w:sz="0" w:space="0" w:color="auto"/>
                <w:left w:val="none" w:sz="0" w:space="0" w:color="auto"/>
                <w:bottom w:val="none" w:sz="0" w:space="0" w:color="auto"/>
                <w:right w:val="none" w:sz="0" w:space="0" w:color="auto"/>
              </w:divBdr>
              <w:divsChild>
                <w:div w:id="125050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58231">
      <w:bodyDiv w:val="1"/>
      <w:marLeft w:val="0"/>
      <w:marRight w:val="0"/>
      <w:marTop w:val="0"/>
      <w:marBottom w:val="0"/>
      <w:divBdr>
        <w:top w:val="none" w:sz="0" w:space="0" w:color="auto"/>
        <w:left w:val="none" w:sz="0" w:space="0" w:color="auto"/>
        <w:bottom w:val="none" w:sz="0" w:space="0" w:color="auto"/>
        <w:right w:val="none" w:sz="0" w:space="0" w:color="auto"/>
      </w:divBdr>
    </w:div>
    <w:div w:id="794252922">
      <w:bodyDiv w:val="1"/>
      <w:marLeft w:val="0"/>
      <w:marRight w:val="0"/>
      <w:marTop w:val="0"/>
      <w:marBottom w:val="0"/>
      <w:divBdr>
        <w:top w:val="none" w:sz="0" w:space="0" w:color="auto"/>
        <w:left w:val="none" w:sz="0" w:space="0" w:color="auto"/>
        <w:bottom w:val="none" w:sz="0" w:space="0" w:color="auto"/>
        <w:right w:val="none" w:sz="0" w:space="0" w:color="auto"/>
      </w:divBdr>
    </w:div>
    <w:div w:id="810288631">
      <w:bodyDiv w:val="1"/>
      <w:marLeft w:val="0"/>
      <w:marRight w:val="0"/>
      <w:marTop w:val="0"/>
      <w:marBottom w:val="0"/>
      <w:divBdr>
        <w:top w:val="none" w:sz="0" w:space="0" w:color="auto"/>
        <w:left w:val="none" w:sz="0" w:space="0" w:color="auto"/>
        <w:bottom w:val="none" w:sz="0" w:space="0" w:color="auto"/>
        <w:right w:val="none" w:sz="0" w:space="0" w:color="auto"/>
      </w:divBdr>
      <w:divsChild>
        <w:div w:id="1176529902">
          <w:marLeft w:val="0"/>
          <w:marRight w:val="0"/>
          <w:marTop w:val="0"/>
          <w:marBottom w:val="0"/>
          <w:divBdr>
            <w:top w:val="none" w:sz="0" w:space="0" w:color="auto"/>
            <w:left w:val="none" w:sz="0" w:space="0" w:color="auto"/>
            <w:bottom w:val="none" w:sz="0" w:space="0" w:color="auto"/>
            <w:right w:val="none" w:sz="0" w:space="0" w:color="auto"/>
          </w:divBdr>
          <w:divsChild>
            <w:div w:id="1430470786">
              <w:marLeft w:val="0"/>
              <w:marRight w:val="0"/>
              <w:marTop w:val="0"/>
              <w:marBottom w:val="0"/>
              <w:divBdr>
                <w:top w:val="none" w:sz="0" w:space="0" w:color="auto"/>
                <w:left w:val="none" w:sz="0" w:space="0" w:color="auto"/>
                <w:bottom w:val="none" w:sz="0" w:space="0" w:color="auto"/>
                <w:right w:val="none" w:sz="0" w:space="0" w:color="auto"/>
              </w:divBdr>
              <w:divsChild>
                <w:div w:id="20438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57682">
      <w:bodyDiv w:val="1"/>
      <w:marLeft w:val="0"/>
      <w:marRight w:val="0"/>
      <w:marTop w:val="0"/>
      <w:marBottom w:val="0"/>
      <w:divBdr>
        <w:top w:val="none" w:sz="0" w:space="0" w:color="auto"/>
        <w:left w:val="none" w:sz="0" w:space="0" w:color="auto"/>
        <w:bottom w:val="none" w:sz="0" w:space="0" w:color="auto"/>
        <w:right w:val="none" w:sz="0" w:space="0" w:color="auto"/>
      </w:divBdr>
    </w:div>
    <w:div w:id="828255713">
      <w:bodyDiv w:val="1"/>
      <w:marLeft w:val="0"/>
      <w:marRight w:val="0"/>
      <w:marTop w:val="0"/>
      <w:marBottom w:val="0"/>
      <w:divBdr>
        <w:top w:val="none" w:sz="0" w:space="0" w:color="auto"/>
        <w:left w:val="none" w:sz="0" w:space="0" w:color="auto"/>
        <w:bottom w:val="none" w:sz="0" w:space="0" w:color="auto"/>
        <w:right w:val="none" w:sz="0" w:space="0" w:color="auto"/>
      </w:divBdr>
    </w:div>
    <w:div w:id="831917518">
      <w:bodyDiv w:val="1"/>
      <w:marLeft w:val="0"/>
      <w:marRight w:val="0"/>
      <w:marTop w:val="0"/>
      <w:marBottom w:val="0"/>
      <w:divBdr>
        <w:top w:val="none" w:sz="0" w:space="0" w:color="auto"/>
        <w:left w:val="none" w:sz="0" w:space="0" w:color="auto"/>
        <w:bottom w:val="none" w:sz="0" w:space="0" w:color="auto"/>
        <w:right w:val="none" w:sz="0" w:space="0" w:color="auto"/>
      </w:divBdr>
      <w:divsChild>
        <w:div w:id="1212961612">
          <w:marLeft w:val="0"/>
          <w:marRight w:val="0"/>
          <w:marTop w:val="0"/>
          <w:marBottom w:val="0"/>
          <w:divBdr>
            <w:top w:val="none" w:sz="0" w:space="0" w:color="auto"/>
            <w:left w:val="none" w:sz="0" w:space="0" w:color="auto"/>
            <w:bottom w:val="none" w:sz="0" w:space="0" w:color="auto"/>
            <w:right w:val="none" w:sz="0" w:space="0" w:color="auto"/>
          </w:divBdr>
          <w:divsChild>
            <w:div w:id="1055356441">
              <w:marLeft w:val="0"/>
              <w:marRight w:val="0"/>
              <w:marTop w:val="0"/>
              <w:marBottom w:val="0"/>
              <w:divBdr>
                <w:top w:val="none" w:sz="0" w:space="0" w:color="auto"/>
                <w:left w:val="none" w:sz="0" w:space="0" w:color="auto"/>
                <w:bottom w:val="none" w:sz="0" w:space="0" w:color="auto"/>
                <w:right w:val="none" w:sz="0" w:space="0" w:color="auto"/>
              </w:divBdr>
              <w:divsChild>
                <w:div w:id="66027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425807">
      <w:bodyDiv w:val="1"/>
      <w:marLeft w:val="0"/>
      <w:marRight w:val="0"/>
      <w:marTop w:val="0"/>
      <w:marBottom w:val="0"/>
      <w:divBdr>
        <w:top w:val="none" w:sz="0" w:space="0" w:color="auto"/>
        <w:left w:val="none" w:sz="0" w:space="0" w:color="auto"/>
        <w:bottom w:val="none" w:sz="0" w:space="0" w:color="auto"/>
        <w:right w:val="none" w:sz="0" w:space="0" w:color="auto"/>
      </w:divBdr>
      <w:divsChild>
        <w:div w:id="1863205213">
          <w:marLeft w:val="0"/>
          <w:marRight w:val="0"/>
          <w:marTop w:val="0"/>
          <w:marBottom w:val="0"/>
          <w:divBdr>
            <w:top w:val="none" w:sz="0" w:space="0" w:color="auto"/>
            <w:left w:val="none" w:sz="0" w:space="0" w:color="auto"/>
            <w:bottom w:val="none" w:sz="0" w:space="0" w:color="auto"/>
            <w:right w:val="none" w:sz="0" w:space="0" w:color="auto"/>
          </w:divBdr>
          <w:divsChild>
            <w:div w:id="1583098946">
              <w:marLeft w:val="0"/>
              <w:marRight w:val="0"/>
              <w:marTop w:val="0"/>
              <w:marBottom w:val="0"/>
              <w:divBdr>
                <w:top w:val="none" w:sz="0" w:space="0" w:color="auto"/>
                <w:left w:val="none" w:sz="0" w:space="0" w:color="auto"/>
                <w:bottom w:val="none" w:sz="0" w:space="0" w:color="auto"/>
                <w:right w:val="none" w:sz="0" w:space="0" w:color="auto"/>
              </w:divBdr>
              <w:divsChild>
                <w:div w:id="180076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890769146">
      <w:bodyDiv w:val="1"/>
      <w:marLeft w:val="0"/>
      <w:marRight w:val="0"/>
      <w:marTop w:val="0"/>
      <w:marBottom w:val="0"/>
      <w:divBdr>
        <w:top w:val="none" w:sz="0" w:space="0" w:color="auto"/>
        <w:left w:val="none" w:sz="0" w:space="0" w:color="auto"/>
        <w:bottom w:val="none" w:sz="0" w:space="0" w:color="auto"/>
        <w:right w:val="none" w:sz="0" w:space="0" w:color="auto"/>
      </w:divBdr>
      <w:divsChild>
        <w:div w:id="257711645">
          <w:marLeft w:val="0"/>
          <w:marRight w:val="0"/>
          <w:marTop w:val="0"/>
          <w:marBottom w:val="0"/>
          <w:divBdr>
            <w:top w:val="none" w:sz="0" w:space="0" w:color="auto"/>
            <w:left w:val="none" w:sz="0" w:space="0" w:color="auto"/>
            <w:bottom w:val="none" w:sz="0" w:space="0" w:color="auto"/>
            <w:right w:val="none" w:sz="0" w:space="0" w:color="auto"/>
          </w:divBdr>
          <w:divsChild>
            <w:div w:id="1338993665">
              <w:marLeft w:val="0"/>
              <w:marRight w:val="0"/>
              <w:marTop w:val="0"/>
              <w:marBottom w:val="0"/>
              <w:divBdr>
                <w:top w:val="none" w:sz="0" w:space="0" w:color="auto"/>
                <w:left w:val="none" w:sz="0" w:space="0" w:color="auto"/>
                <w:bottom w:val="none" w:sz="0" w:space="0" w:color="auto"/>
                <w:right w:val="none" w:sz="0" w:space="0" w:color="auto"/>
              </w:divBdr>
              <w:divsChild>
                <w:div w:id="1996058594">
                  <w:marLeft w:val="0"/>
                  <w:marRight w:val="0"/>
                  <w:marTop w:val="0"/>
                  <w:marBottom w:val="0"/>
                  <w:divBdr>
                    <w:top w:val="none" w:sz="0" w:space="0" w:color="auto"/>
                    <w:left w:val="none" w:sz="0" w:space="0" w:color="auto"/>
                    <w:bottom w:val="none" w:sz="0" w:space="0" w:color="auto"/>
                    <w:right w:val="none" w:sz="0" w:space="0" w:color="auto"/>
                  </w:divBdr>
                  <w:divsChild>
                    <w:div w:id="191084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936430">
      <w:bodyDiv w:val="1"/>
      <w:marLeft w:val="0"/>
      <w:marRight w:val="0"/>
      <w:marTop w:val="0"/>
      <w:marBottom w:val="0"/>
      <w:divBdr>
        <w:top w:val="none" w:sz="0" w:space="0" w:color="auto"/>
        <w:left w:val="none" w:sz="0" w:space="0" w:color="auto"/>
        <w:bottom w:val="none" w:sz="0" w:space="0" w:color="auto"/>
        <w:right w:val="none" w:sz="0" w:space="0" w:color="auto"/>
      </w:divBdr>
      <w:divsChild>
        <w:div w:id="811361652">
          <w:marLeft w:val="0"/>
          <w:marRight w:val="0"/>
          <w:marTop w:val="0"/>
          <w:marBottom w:val="0"/>
          <w:divBdr>
            <w:top w:val="none" w:sz="0" w:space="0" w:color="auto"/>
            <w:left w:val="none" w:sz="0" w:space="0" w:color="auto"/>
            <w:bottom w:val="none" w:sz="0" w:space="0" w:color="auto"/>
            <w:right w:val="none" w:sz="0" w:space="0" w:color="auto"/>
          </w:divBdr>
          <w:divsChild>
            <w:div w:id="138159248">
              <w:marLeft w:val="0"/>
              <w:marRight w:val="0"/>
              <w:marTop w:val="0"/>
              <w:marBottom w:val="0"/>
              <w:divBdr>
                <w:top w:val="none" w:sz="0" w:space="0" w:color="auto"/>
                <w:left w:val="none" w:sz="0" w:space="0" w:color="auto"/>
                <w:bottom w:val="none" w:sz="0" w:space="0" w:color="auto"/>
                <w:right w:val="none" w:sz="0" w:space="0" w:color="auto"/>
              </w:divBdr>
              <w:divsChild>
                <w:div w:id="769355797">
                  <w:marLeft w:val="0"/>
                  <w:marRight w:val="0"/>
                  <w:marTop w:val="0"/>
                  <w:marBottom w:val="0"/>
                  <w:divBdr>
                    <w:top w:val="none" w:sz="0" w:space="0" w:color="auto"/>
                    <w:left w:val="none" w:sz="0" w:space="0" w:color="auto"/>
                    <w:bottom w:val="none" w:sz="0" w:space="0" w:color="auto"/>
                    <w:right w:val="none" w:sz="0" w:space="0" w:color="auto"/>
                  </w:divBdr>
                  <w:divsChild>
                    <w:div w:id="1285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558362">
      <w:bodyDiv w:val="1"/>
      <w:marLeft w:val="0"/>
      <w:marRight w:val="0"/>
      <w:marTop w:val="0"/>
      <w:marBottom w:val="0"/>
      <w:divBdr>
        <w:top w:val="none" w:sz="0" w:space="0" w:color="auto"/>
        <w:left w:val="none" w:sz="0" w:space="0" w:color="auto"/>
        <w:bottom w:val="none" w:sz="0" w:space="0" w:color="auto"/>
        <w:right w:val="none" w:sz="0" w:space="0" w:color="auto"/>
      </w:divBdr>
      <w:divsChild>
        <w:div w:id="806557716">
          <w:marLeft w:val="0"/>
          <w:marRight w:val="0"/>
          <w:marTop w:val="0"/>
          <w:marBottom w:val="0"/>
          <w:divBdr>
            <w:top w:val="none" w:sz="0" w:space="0" w:color="auto"/>
            <w:left w:val="none" w:sz="0" w:space="0" w:color="auto"/>
            <w:bottom w:val="none" w:sz="0" w:space="0" w:color="auto"/>
            <w:right w:val="none" w:sz="0" w:space="0" w:color="auto"/>
          </w:divBdr>
          <w:divsChild>
            <w:div w:id="1378778943">
              <w:marLeft w:val="0"/>
              <w:marRight w:val="0"/>
              <w:marTop w:val="0"/>
              <w:marBottom w:val="0"/>
              <w:divBdr>
                <w:top w:val="none" w:sz="0" w:space="0" w:color="auto"/>
                <w:left w:val="none" w:sz="0" w:space="0" w:color="auto"/>
                <w:bottom w:val="none" w:sz="0" w:space="0" w:color="auto"/>
                <w:right w:val="none" w:sz="0" w:space="0" w:color="auto"/>
              </w:divBdr>
              <w:divsChild>
                <w:div w:id="12547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40435">
      <w:bodyDiv w:val="1"/>
      <w:marLeft w:val="0"/>
      <w:marRight w:val="0"/>
      <w:marTop w:val="0"/>
      <w:marBottom w:val="0"/>
      <w:divBdr>
        <w:top w:val="none" w:sz="0" w:space="0" w:color="auto"/>
        <w:left w:val="none" w:sz="0" w:space="0" w:color="auto"/>
        <w:bottom w:val="none" w:sz="0" w:space="0" w:color="auto"/>
        <w:right w:val="none" w:sz="0" w:space="0" w:color="auto"/>
      </w:divBdr>
      <w:divsChild>
        <w:div w:id="323551807">
          <w:marLeft w:val="0"/>
          <w:marRight w:val="0"/>
          <w:marTop w:val="0"/>
          <w:marBottom w:val="0"/>
          <w:divBdr>
            <w:top w:val="none" w:sz="0" w:space="0" w:color="auto"/>
            <w:left w:val="none" w:sz="0" w:space="0" w:color="auto"/>
            <w:bottom w:val="none" w:sz="0" w:space="0" w:color="auto"/>
            <w:right w:val="none" w:sz="0" w:space="0" w:color="auto"/>
          </w:divBdr>
          <w:divsChild>
            <w:div w:id="1156066337">
              <w:marLeft w:val="0"/>
              <w:marRight w:val="0"/>
              <w:marTop w:val="0"/>
              <w:marBottom w:val="0"/>
              <w:divBdr>
                <w:top w:val="none" w:sz="0" w:space="0" w:color="auto"/>
                <w:left w:val="none" w:sz="0" w:space="0" w:color="auto"/>
                <w:bottom w:val="none" w:sz="0" w:space="0" w:color="auto"/>
                <w:right w:val="none" w:sz="0" w:space="0" w:color="auto"/>
              </w:divBdr>
              <w:divsChild>
                <w:div w:id="196996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822173">
      <w:bodyDiv w:val="1"/>
      <w:marLeft w:val="0"/>
      <w:marRight w:val="0"/>
      <w:marTop w:val="0"/>
      <w:marBottom w:val="0"/>
      <w:divBdr>
        <w:top w:val="none" w:sz="0" w:space="0" w:color="auto"/>
        <w:left w:val="none" w:sz="0" w:space="0" w:color="auto"/>
        <w:bottom w:val="none" w:sz="0" w:space="0" w:color="auto"/>
        <w:right w:val="none" w:sz="0" w:space="0" w:color="auto"/>
      </w:divBdr>
      <w:divsChild>
        <w:div w:id="755632504">
          <w:marLeft w:val="0"/>
          <w:marRight w:val="0"/>
          <w:marTop w:val="0"/>
          <w:marBottom w:val="0"/>
          <w:divBdr>
            <w:top w:val="none" w:sz="0" w:space="0" w:color="auto"/>
            <w:left w:val="none" w:sz="0" w:space="0" w:color="auto"/>
            <w:bottom w:val="none" w:sz="0" w:space="0" w:color="auto"/>
            <w:right w:val="none" w:sz="0" w:space="0" w:color="auto"/>
          </w:divBdr>
          <w:divsChild>
            <w:div w:id="1686786608">
              <w:marLeft w:val="0"/>
              <w:marRight w:val="0"/>
              <w:marTop w:val="0"/>
              <w:marBottom w:val="0"/>
              <w:divBdr>
                <w:top w:val="none" w:sz="0" w:space="0" w:color="auto"/>
                <w:left w:val="none" w:sz="0" w:space="0" w:color="auto"/>
                <w:bottom w:val="none" w:sz="0" w:space="0" w:color="auto"/>
                <w:right w:val="none" w:sz="0" w:space="0" w:color="auto"/>
              </w:divBdr>
              <w:divsChild>
                <w:div w:id="9145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307">
      <w:bodyDiv w:val="1"/>
      <w:marLeft w:val="0"/>
      <w:marRight w:val="0"/>
      <w:marTop w:val="0"/>
      <w:marBottom w:val="0"/>
      <w:divBdr>
        <w:top w:val="none" w:sz="0" w:space="0" w:color="auto"/>
        <w:left w:val="none" w:sz="0" w:space="0" w:color="auto"/>
        <w:bottom w:val="none" w:sz="0" w:space="0" w:color="auto"/>
        <w:right w:val="none" w:sz="0" w:space="0" w:color="auto"/>
      </w:divBdr>
      <w:divsChild>
        <w:div w:id="660357373">
          <w:marLeft w:val="0"/>
          <w:marRight w:val="0"/>
          <w:marTop w:val="0"/>
          <w:marBottom w:val="0"/>
          <w:divBdr>
            <w:top w:val="none" w:sz="0" w:space="0" w:color="auto"/>
            <w:left w:val="none" w:sz="0" w:space="0" w:color="auto"/>
            <w:bottom w:val="none" w:sz="0" w:space="0" w:color="auto"/>
            <w:right w:val="none" w:sz="0" w:space="0" w:color="auto"/>
          </w:divBdr>
          <w:divsChild>
            <w:div w:id="996960851">
              <w:marLeft w:val="0"/>
              <w:marRight w:val="0"/>
              <w:marTop w:val="0"/>
              <w:marBottom w:val="0"/>
              <w:divBdr>
                <w:top w:val="none" w:sz="0" w:space="0" w:color="auto"/>
                <w:left w:val="none" w:sz="0" w:space="0" w:color="auto"/>
                <w:bottom w:val="none" w:sz="0" w:space="0" w:color="auto"/>
                <w:right w:val="none" w:sz="0" w:space="0" w:color="auto"/>
              </w:divBdr>
              <w:divsChild>
                <w:div w:id="8930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0312">
      <w:bodyDiv w:val="1"/>
      <w:marLeft w:val="0"/>
      <w:marRight w:val="0"/>
      <w:marTop w:val="0"/>
      <w:marBottom w:val="0"/>
      <w:divBdr>
        <w:top w:val="none" w:sz="0" w:space="0" w:color="auto"/>
        <w:left w:val="none" w:sz="0" w:space="0" w:color="auto"/>
        <w:bottom w:val="none" w:sz="0" w:space="0" w:color="auto"/>
        <w:right w:val="none" w:sz="0" w:space="0" w:color="auto"/>
      </w:divBdr>
      <w:divsChild>
        <w:div w:id="780685609">
          <w:marLeft w:val="0"/>
          <w:marRight w:val="0"/>
          <w:marTop w:val="0"/>
          <w:marBottom w:val="0"/>
          <w:divBdr>
            <w:top w:val="none" w:sz="0" w:space="0" w:color="auto"/>
            <w:left w:val="none" w:sz="0" w:space="0" w:color="auto"/>
            <w:bottom w:val="none" w:sz="0" w:space="0" w:color="auto"/>
            <w:right w:val="none" w:sz="0" w:space="0" w:color="auto"/>
          </w:divBdr>
          <w:divsChild>
            <w:div w:id="813596445">
              <w:marLeft w:val="0"/>
              <w:marRight w:val="0"/>
              <w:marTop w:val="0"/>
              <w:marBottom w:val="0"/>
              <w:divBdr>
                <w:top w:val="none" w:sz="0" w:space="0" w:color="auto"/>
                <w:left w:val="none" w:sz="0" w:space="0" w:color="auto"/>
                <w:bottom w:val="none" w:sz="0" w:space="0" w:color="auto"/>
                <w:right w:val="none" w:sz="0" w:space="0" w:color="auto"/>
              </w:divBdr>
              <w:divsChild>
                <w:div w:id="76541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696">
      <w:bodyDiv w:val="1"/>
      <w:marLeft w:val="0"/>
      <w:marRight w:val="0"/>
      <w:marTop w:val="0"/>
      <w:marBottom w:val="0"/>
      <w:divBdr>
        <w:top w:val="none" w:sz="0" w:space="0" w:color="auto"/>
        <w:left w:val="none" w:sz="0" w:space="0" w:color="auto"/>
        <w:bottom w:val="none" w:sz="0" w:space="0" w:color="auto"/>
        <w:right w:val="none" w:sz="0" w:space="0" w:color="auto"/>
      </w:divBdr>
    </w:div>
    <w:div w:id="1016686772">
      <w:bodyDiv w:val="1"/>
      <w:marLeft w:val="0"/>
      <w:marRight w:val="0"/>
      <w:marTop w:val="0"/>
      <w:marBottom w:val="0"/>
      <w:divBdr>
        <w:top w:val="none" w:sz="0" w:space="0" w:color="auto"/>
        <w:left w:val="none" w:sz="0" w:space="0" w:color="auto"/>
        <w:bottom w:val="none" w:sz="0" w:space="0" w:color="auto"/>
        <w:right w:val="none" w:sz="0" w:space="0" w:color="auto"/>
      </w:divBdr>
    </w:div>
    <w:div w:id="1023633681">
      <w:bodyDiv w:val="1"/>
      <w:marLeft w:val="0"/>
      <w:marRight w:val="0"/>
      <w:marTop w:val="0"/>
      <w:marBottom w:val="0"/>
      <w:divBdr>
        <w:top w:val="none" w:sz="0" w:space="0" w:color="auto"/>
        <w:left w:val="none" w:sz="0" w:space="0" w:color="auto"/>
        <w:bottom w:val="none" w:sz="0" w:space="0" w:color="auto"/>
        <w:right w:val="none" w:sz="0" w:space="0" w:color="auto"/>
      </w:divBdr>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62829810">
      <w:bodyDiv w:val="1"/>
      <w:marLeft w:val="0"/>
      <w:marRight w:val="0"/>
      <w:marTop w:val="0"/>
      <w:marBottom w:val="0"/>
      <w:divBdr>
        <w:top w:val="none" w:sz="0" w:space="0" w:color="auto"/>
        <w:left w:val="none" w:sz="0" w:space="0" w:color="auto"/>
        <w:bottom w:val="none" w:sz="0" w:space="0" w:color="auto"/>
        <w:right w:val="none" w:sz="0" w:space="0" w:color="auto"/>
      </w:divBdr>
      <w:divsChild>
        <w:div w:id="501748415">
          <w:marLeft w:val="0"/>
          <w:marRight w:val="0"/>
          <w:marTop w:val="0"/>
          <w:marBottom w:val="0"/>
          <w:divBdr>
            <w:top w:val="none" w:sz="0" w:space="0" w:color="auto"/>
            <w:left w:val="none" w:sz="0" w:space="0" w:color="auto"/>
            <w:bottom w:val="none" w:sz="0" w:space="0" w:color="auto"/>
            <w:right w:val="none" w:sz="0" w:space="0" w:color="auto"/>
          </w:divBdr>
          <w:divsChild>
            <w:div w:id="1160268562">
              <w:marLeft w:val="0"/>
              <w:marRight w:val="0"/>
              <w:marTop w:val="0"/>
              <w:marBottom w:val="0"/>
              <w:divBdr>
                <w:top w:val="none" w:sz="0" w:space="0" w:color="auto"/>
                <w:left w:val="none" w:sz="0" w:space="0" w:color="auto"/>
                <w:bottom w:val="none" w:sz="0" w:space="0" w:color="auto"/>
                <w:right w:val="none" w:sz="0" w:space="0" w:color="auto"/>
              </w:divBdr>
              <w:divsChild>
                <w:div w:id="168698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967789">
      <w:bodyDiv w:val="1"/>
      <w:marLeft w:val="0"/>
      <w:marRight w:val="0"/>
      <w:marTop w:val="0"/>
      <w:marBottom w:val="0"/>
      <w:divBdr>
        <w:top w:val="none" w:sz="0" w:space="0" w:color="auto"/>
        <w:left w:val="none" w:sz="0" w:space="0" w:color="auto"/>
        <w:bottom w:val="none" w:sz="0" w:space="0" w:color="auto"/>
        <w:right w:val="none" w:sz="0" w:space="0" w:color="auto"/>
      </w:divBdr>
    </w:div>
    <w:div w:id="1082995482">
      <w:bodyDiv w:val="1"/>
      <w:marLeft w:val="0"/>
      <w:marRight w:val="0"/>
      <w:marTop w:val="0"/>
      <w:marBottom w:val="0"/>
      <w:divBdr>
        <w:top w:val="none" w:sz="0" w:space="0" w:color="auto"/>
        <w:left w:val="none" w:sz="0" w:space="0" w:color="auto"/>
        <w:bottom w:val="none" w:sz="0" w:space="0" w:color="auto"/>
        <w:right w:val="none" w:sz="0" w:space="0" w:color="auto"/>
      </w:divBdr>
    </w:div>
    <w:div w:id="1104182119">
      <w:bodyDiv w:val="1"/>
      <w:marLeft w:val="0"/>
      <w:marRight w:val="0"/>
      <w:marTop w:val="0"/>
      <w:marBottom w:val="0"/>
      <w:divBdr>
        <w:top w:val="none" w:sz="0" w:space="0" w:color="auto"/>
        <w:left w:val="none" w:sz="0" w:space="0" w:color="auto"/>
        <w:bottom w:val="none" w:sz="0" w:space="0" w:color="auto"/>
        <w:right w:val="none" w:sz="0" w:space="0" w:color="auto"/>
      </w:divBdr>
      <w:divsChild>
        <w:div w:id="1823425129">
          <w:marLeft w:val="0"/>
          <w:marRight w:val="0"/>
          <w:marTop w:val="0"/>
          <w:marBottom w:val="0"/>
          <w:divBdr>
            <w:top w:val="none" w:sz="0" w:space="0" w:color="auto"/>
            <w:left w:val="none" w:sz="0" w:space="0" w:color="auto"/>
            <w:bottom w:val="none" w:sz="0" w:space="0" w:color="auto"/>
            <w:right w:val="none" w:sz="0" w:space="0" w:color="auto"/>
          </w:divBdr>
          <w:divsChild>
            <w:div w:id="1911381391">
              <w:marLeft w:val="0"/>
              <w:marRight w:val="0"/>
              <w:marTop w:val="0"/>
              <w:marBottom w:val="0"/>
              <w:divBdr>
                <w:top w:val="none" w:sz="0" w:space="0" w:color="auto"/>
                <w:left w:val="none" w:sz="0" w:space="0" w:color="auto"/>
                <w:bottom w:val="none" w:sz="0" w:space="0" w:color="auto"/>
                <w:right w:val="none" w:sz="0" w:space="0" w:color="auto"/>
              </w:divBdr>
              <w:divsChild>
                <w:div w:id="13812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9314">
      <w:bodyDiv w:val="1"/>
      <w:marLeft w:val="0"/>
      <w:marRight w:val="0"/>
      <w:marTop w:val="0"/>
      <w:marBottom w:val="0"/>
      <w:divBdr>
        <w:top w:val="none" w:sz="0" w:space="0" w:color="auto"/>
        <w:left w:val="none" w:sz="0" w:space="0" w:color="auto"/>
        <w:bottom w:val="none" w:sz="0" w:space="0" w:color="auto"/>
        <w:right w:val="none" w:sz="0" w:space="0" w:color="auto"/>
      </w:divBdr>
    </w:div>
    <w:div w:id="1164004242">
      <w:bodyDiv w:val="1"/>
      <w:marLeft w:val="0"/>
      <w:marRight w:val="0"/>
      <w:marTop w:val="0"/>
      <w:marBottom w:val="0"/>
      <w:divBdr>
        <w:top w:val="none" w:sz="0" w:space="0" w:color="auto"/>
        <w:left w:val="none" w:sz="0" w:space="0" w:color="auto"/>
        <w:bottom w:val="none" w:sz="0" w:space="0" w:color="auto"/>
        <w:right w:val="none" w:sz="0" w:space="0" w:color="auto"/>
      </w:divBdr>
      <w:divsChild>
        <w:div w:id="604385532">
          <w:marLeft w:val="0"/>
          <w:marRight w:val="0"/>
          <w:marTop w:val="0"/>
          <w:marBottom w:val="0"/>
          <w:divBdr>
            <w:top w:val="none" w:sz="0" w:space="0" w:color="auto"/>
            <w:left w:val="none" w:sz="0" w:space="0" w:color="auto"/>
            <w:bottom w:val="none" w:sz="0" w:space="0" w:color="auto"/>
            <w:right w:val="none" w:sz="0" w:space="0" w:color="auto"/>
          </w:divBdr>
          <w:divsChild>
            <w:div w:id="985934021">
              <w:marLeft w:val="0"/>
              <w:marRight w:val="0"/>
              <w:marTop w:val="0"/>
              <w:marBottom w:val="0"/>
              <w:divBdr>
                <w:top w:val="none" w:sz="0" w:space="0" w:color="auto"/>
                <w:left w:val="none" w:sz="0" w:space="0" w:color="auto"/>
                <w:bottom w:val="none" w:sz="0" w:space="0" w:color="auto"/>
                <w:right w:val="none" w:sz="0" w:space="0" w:color="auto"/>
              </w:divBdr>
              <w:divsChild>
                <w:div w:id="72627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81083">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18592793">
      <w:bodyDiv w:val="1"/>
      <w:marLeft w:val="0"/>
      <w:marRight w:val="0"/>
      <w:marTop w:val="0"/>
      <w:marBottom w:val="0"/>
      <w:divBdr>
        <w:top w:val="none" w:sz="0" w:space="0" w:color="auto"/>
        <w:left w:val="none" w:sz="0" w:space="0" w:color="auto"/>
        <w:bottom w:val="none" w:sz="0" w:space="0" w:color="auto"/>
        <w:right w:val="none" w:sz="0" w:space="0" w:color="auto"/>
      </w:divBdr>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51040732">
      <w:bodyDiv w:val="1"/>
      <w:marLeft w:val="0"/>
      <w:marRight w:val="0"/>
      <w:marTop w:val="0"/>
      <w:marBottom w:val="0"/>
      <w:divBdr>
        <w:top w:val="none" w:sz="0" w:space="0" w:color="auto"/>
        <w:left w:val="none" w:sz="0" w:space="0" w:color="auto"/>
        <w:bottom w:val="none" w:sz="0" w:space="0" w:color="auto"/>
        <w:right w:val="none" w:sz="0" w:space="0" w:color="auto"/>
      </w:divBdr>
      <w:divsChild>
        <w:div w:id="1642419027">
          <w:marLeft w:val="0"/>
          <w:marRight w:val="0"/>
          <w:marTop w:val="0"/>
          <w:marBottom w:val="0"/>
          <w:divBdr>
            <w:top w:val="none" w:sz="0" w:space="0" w:color="auto"/>
            <w:left w:val="none" w:sz="0" w:space="0" w:color="auto"/>
            <w:bottom w:val="none" w:sz="0" w:space="0" w:color="auto"/>
            <w:right w:val="none" w:sz="0" w:space="0" w:color="auto"/>
          </w:divBdr>
          <w:divsChild>
            <w:div w:id="1501893669">
              <w:marLeft w:val="0"/>
              <w:marRight w:val="0"/>
              <w:marTop w:val="0"/>
              <w:marBottom w:val="0"/>
              <w:divBdr>
                <w:top w:val="none" w:sz="0" w:space="0" w:color="auto"/>
                <w:left w:val="none" w:sz="0" w:space="0" w:color="auto"/>
                <w:bottom w:val="none" w:sz="0" w:space="0" w:color="auto"/>
                <w:right w:val="none" w:sz="0" w:space="0" w:color="auto"/>
              </w:divBdr>
              <w:divsChild>
                <w:div w:id="3625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718987">
      <w:bodyDiv w:val="1"/>
      <w:marLeft w:val="0"/>
      <w:marRight w:val="0"/>
      <w:marTop w:val="0"/>
      <w:marBottom w:val="0"/>
      <w:divBdr>
        <w:top w:val="none" w:sz="0" w:space="0" w:color="auto"/>
        <w:left w:val="none" w:sz="0" w:space="0" w:color="auto"/>
        <w:bottom w:val="none" w:sz="0" w:space="0" w:color="auto"/>
        <w:right w:val="none" w:sz="0" w:space="0" w:color="auto"/>
      </w:divBdr>
      <w:divsChild>
        <w:div w:id="1822846355">
          <w:marLeft w:val="0"/>
          <w:marRight w:val="0"/>
          <w:marTop w:val="0"/>
          <w:marBottom w:val="0"/>
          <w:divBdr>
            <w:top w:val="none" w:sz="0" w:space="0" w:color="auto"/>
            <w:left w:val="none" w:sz="0" w:space="0" w:color="auto"/>
            <w:bottom w:val="none" w:sz="0" w:space="0" w:color="auto"/>
            <w:right w:val="none" w:sz="0" w:space="0" w:color="auto"/>
          </w:divBdr>
          <w:divsChild>
            <w:div w:id="1321344151">
              <w:marLeft w:val="0"/>
              <w:marRight w:val="0"/>
              <w:marTop w:val="0"/>
              <w:marBottom w:val="0"/>
              <w:divBdr>
                <w:top w:val="none" w:sz="0" w:space="0" w:color="auto"/>
                <w:left w:val="none" w:sz="0" w:space="0" w:color="auto"/>
                <w:bottom w:val="none" w:sz="0" w:space="0" w:color="auto"/>
                <w:right w:val="none" w:sz="0" w:space="0" w:color="auto"/>
              </w:divBdr>
              <w:divsChild>
                <w:div w:id="13009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074">
      <w:bodyDiv w:val="1"/>
      <w:marLeft w:val="0"/>
      <w:marRight w:val="0"/>
      <w:marTop w:val="0"/>
      <w:marBottom w:val="0"/>
      <w:divBdr>
        <w:top w:val="none" w:sz="0" w:space="0" w:color="auto"/>
        <w:left w:val="none" w:sz="0" w:space="0" w:color="auto"/>
        <w:bottom w:val="none" w:sz="0" w:space="0" w:color="auto"/>
        <w:right w:val="none" w:sz="0" w:space="0" w:color="auto"/>
      </w:divBdr>
      <w:divsChild>
        <w:div w:id="1640720507">
          <w:marLeft w:val="0"/>
          <w:marRight w:val="0"/>
          <w:marTop w:val="0"/>
          <w:marBottom w:val="0"/>
          <w:divBdr>
            <w:top w:val="none" w:sz="0" w:space="0" w:color="auto"/>
            <w:left w:val="none" w:sz="0" w:space="0" w:color="auto"/>
            <w:bottom w:val="none" w:sz="0" w:space="0" w:color="auto"/>
            <w:right w:val="none" w:sz="0" w:space="0" w:color="auto"/>
          </w:divBdr>
          <w:divsChild>
            <w:div w:id="265501042">
              <w:marLeft w:val="0"/>
              <w:marRight w:val="0"/>
              <w:marTop w:val="0"/>
              <w:marBottom w:val="0"/>
              <w:divBdr>
                <w:top w:val="none" w:sz="0" w:space="0" w:color="auto"/>
                <w:left w:val="none" w:sz="0" w:space="0" w:color="auto"/>
                <w:bottom w:val="none" w:sz="0" w:space="0" w:color="auto"/>
                <w:right w:val="none" w:sz="0" w:space="0" w:color="auto"/>
              </w:divBdr>
              <w:divsChild>
                <w:div w:id="1859540384">
                  <w:marLeft w:val="0"/>
                  <w:marRight w:val="0"/>
                  <w:marTop w:val="0"/>
                  <w:marBottom w:val="0"/>
                  <w:divBdr>
                    <w:top w:val="none" w:sz="0" w:space="0" w:color="auto"/>
                    <w:left w:val="none" w:sz="0" w:space="0" w:color="auto"/>
                    <w:bottom w:val="none" w:sz="0" w:space="0" w:color="auto"/>
                    <w:right w:val="none" w:sz="0" w:space="0" w:color="auto"/>
                  </w:divBdr>
                  <w:divsChild>
                    <w:div w:id="7647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1740">
      <w:bodyDiv w:val="1"/>
      <w:marLeft w:val="0"/>
      <w:marRight w:val="0"/>
      <w:marTop w:val="0"/>
      <w:marBottom w:val="0"/>
      <w:divBdr>
        <w:top w:val="none" w:sz="0" w:space="0" w:color="auto"/>
        <w:left w:val="none" w:sz="0" w:space="0" w:color="auto"/>
        <w:bottom w:val="none" w:sz="0" w:space="0" w:color="auto"/>
        <w:right w:val="none" w:sz="0" w:space="0" w:color="auto"/>
      </w:divBdr>
      <w:divsChild>
        <w:div w:id="150145093">
          <w:marLeft w:val="0"/>
          <w:marRight w:val="0"/>
          <w:marTop w:val="0"/>
          <w:marBottom w:val="0"/>
          <w:divBdr>
            <w:top w:val="none" w:sz="0" w:space="0" w:color="auto"/>
            <w:left w:val="none" w:sz="0" w:space="0" w:color="auto"/>
            <w:bottom w:val="none" w:sz="0" w:space="0" w:color="auto"/>
            <w:right w:val="none" w:sz="0" w:space="0" w:color="auto"/>
          </w:divBdr>
          <w:divsChild>
            <w:div w:id="1012030200">
              <w:marLeft w:val="0"/>
              <w:marRight w:val="0"/>
              <w:marTop w:val="0"/>
              <w:marBottom w:val="0"/>
              <w:divBdr>
                <w:top w:val="none" w:sz="0" w:space="0" w:color="auto"/>
                <w:left w:val="none" w:sz="0" w:space="0" w:color="auto"/>
                <w:bottom w:val="none" w:sz="0" w:space="0" w:color="auto"/>
                <w:right w:val="none" w:sz="0" w:space="0" w:color="auto"/>
              </w:divBdr>
              <w:divsChild>
                <w:div w:id="16024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99381">
      <w:bodyDiv w:val="1"/>
      <w:marLeft w:val="0"/>
      <w:marRight w:val="0"/>
      <w:marTop w:val="0"/>
      <w:marBottom w:val="0"/>
      <w:divBdr>
        <w:top w:val="none" w:sz="0" w:space="0" w:color="auto"/>
        <w:left w:val="none" w:sz="0" w:space="0" w:color="auto"/>
        <w:bottom w:val="none" w:sz="0" w:space="0" w:color="auto"/>
        <w:right w:val="none" w:sz="0" w:space="0" w:color="auto"/>
      </w:divBdr>
    </w:div>
    <w:div w:id="1351763637">
      <w:bodyDiv w:val="1"/>
      <w:marLeft w:val="0"/>
      <w:marRight w:val="0"/>
      <w:marTop w:val="0"/>
      <w:marBottom w:val="0"/>
      <w:divBdr>
        <w:top w:val="none" w:sz="0" w:space="0" w:color="auto"/>
        <w:left w:val="none" w:sz="0" w:space="0" w:color="auto"/>
        <w:bottom w:val="none" w:sz="0" w:space="0" w:color="auto"/>
        <w:right w:val="none" w:sz="0" w:space="0" w:color="auto"/>
      </w:divBdr>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2773">
      <w:bodyDiv w:val="1"/>
      <w:marLeft w:val="0"/>
      <w:marRight w:val="0"/>
      <w:marTop w:val="0"/>
      <w:marBottom w:val="0"/>
      <w:divBdr>
        <w:top w:val="none" w:sz="0" w:space="0" w:color="auto"/>
        <w:left w:val="none" w:sz="0" w:space="0" w:color="auto"/>
        <w:bottom w:val="none" w:sz="0" w:space="0" w:color="auto"/>
        <w:right w:val="none" w:sz="0" w:space="0" w:color="auto"/>
      </w:divBdr>
    </w:div>
    <w:div w:id="1422023247">
      <w:bodyDiv w:val="1"/>
      <w:marLeft w:val="0"/>
      <w:marRight w:val="0"/>
      <w:marTop w:val="0"/>
      <w:marBottom w:val="0"/>
      <w:divBdr>
        <w:top w:val="none" w:sz="0" w:space="0" w:color="auto"/>
        <w:left w:val="none" w:sz="0" w:space="0" w:color="auto"/>
        <w:bottom w:val="none" w:sz="0" w:space="0" w:color="auto"/>
        <w:right w:val="none" w:sz="0" w:space="0" w:color="auto"/>
      </w:divBdr>
      <w:divsChild>
        <w:div w:id="23099563">
          <w:marLeft w:val="0"/>
          <w:marRight w:val="0"/>
          <w:marTop w:val="0"/>
          <w:marBottom w:val="0"/>
          <w:divBdr>
            <w:top w:val="none" w:sz="0" w:space="0" w:color="auto"/>
            <w:left w:val="none" w:sz="0" w:space="0" w:color="auto"/>
            <w:bottom w:val="none" w:sz="0" w:space="0" w:color="auto"/>
            <w:right w:val="none" w:sz="0" w:space="0" w:color="auto"/>
          </w:divBdr>
          <w:divsChild>
            <w:div w:id="562300058">
              <w:marLeft w:val="0"/>
              <w:marRight w:val="0"/>
              <w:marTop w:val="0"/>
              <w:marBottom w:val="0"/>
              <w:divBdr>
                <w:top w:val="none" w:sz="0" w:space="0" w:color="auto"/>
                <w:left w:val="none" w:sz="0" w:space="0" w:color="auto"/>
                <w:bottom w:val="none" w:sz="0" w:space="0" w:color="auto"/>
                <w:right w:val="none" w:sz="0" w:space="0" w:color="auto"/>
              </w:divBdr>
              <w:divsChild>
                <w:div w:id="10625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411145">
      <w:bodyDiv w:val="1"/>
      <w:marLeft w:val="0"/>
      <w:marRight w:val="0"/>
      <w:marTop w:val="0"/>
      <w:marBottom w:val="0"/>
      <w:divBdr>
        <w:top w:val="none" w:sz="0" w:space="0" w:color="auto"/>
        <w:left w:val="none" w:sz="0" w:space="0" w:color="auto"/>
        <w:bottom w:val="none" w:sz="0" w:space="0" w:color="auto"/>
        <w:right w:val="none" w:sz="0" w:space="0" w:color="auto"/>
      </w:divBdr>
      <w:divsChild>
        <w:div w:id="1901474238">
          <w:marLeft w:val="0"/>
          <w:marRight w:val="0"/>
          <w:marTop w:val="0"/>
          <w:marBottom w:val="0"/>
          <w:divBdr>
            <w:top w:val="none" w:sz="0" w:space="0" w:color="auto"/>
            <w:left w:val="none" w:sz="0" w:space="0" w:color="auto"/>
            <w:bottom w:val="none" w:sz="0" w:space="0" w:color="auto"/>
            <w:right w:val="none" w:sz="0" w:space="0" w:color="auto"/>
          </w:divBdr>
          <w:divsChild>
            <w:div w:id="2068187993">
              <w:marLeft w:val="0"/>
              <w:marRight w:val="0"/>
              <w:marTop w:val="0"/>
              <w:marBottom w:val="0"/>
              <w:divBdr>
                <w:top w:val="none" w:sz="0" w:space="0" w:color="auto"/>
                <w:left w:val="none" w:sz="0" w:space="0" w:color="auto"/>
                <w:bottom w:val="none" w:sz="0" w:space="0" w:color="auto"/>
                <w:right w:val="none" w:sz="0" w:space="0" w:color="auto"/>
              </w:divBdr>
              <w:divsChild>
                <w:div w:id="180650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85586079">
      <w:bodyDiv w:val="1"/>
      <w:marLeft w:val="0"/>
      <w:marRight w:val="0"/>
      <w:marTop w:val="0"/>
      <w:marBottom w:val="0"/>
      <w:divBdr>
        <w:top w:val="none" w:sz="0" w:space="0" w:color="auto"/>
        <w:left w:val="none" w:sz="0" w:space="0" w:color="auto"/>
        <w:bottom w:val="none" w:sz="0" w:space="0" w:color="auto"/>
        <w:right w:val="none" w:sz="0" w:space="0" w:color="auto"/>
      </w:divBdr>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6724989">
      <w:bodyDiv w:val="1"/>
      <w:marLeft w:val="0"/>
      <w:marRight w:val="0"/>
      <w:marTop w:val="0"/>
      <w:marBottom w:val="0"/>
      <w:divBdr>
        <w:top w:val="none" w:sz="0" w:space="0" w:color="auto"/>
        <w:left w:val="none" w:sz="0" w:space="0" w:color="auto"/>
        <w:bottom w:val="none" w:sz="0" w:space="0" w:color="auto"/>
        <w:right w:val="none" w:sz="0" w:space="0" w:color="auto"/>
      </w:divBdr>
    </w:div>
    <w:div w:id="1504081410">
      <w:bodyDiv w:val="1"/>
      <w:marLeft w:val="0"/>
      <w:marRight w:val="0"/>
      <w:marTop w:val="0"/>
      <w:marBottom w:val="0"/>
      <w:divBdr>
        <w:top w:val="none" w:sz="0" w:space="0" w:color="auto"/>
        <w:left w:val="none" w:sz="0" w:space="0" w:color="auto"/>
        <w:bottom w:val="none" w:sz="0" w:space="0" w:color="auto"/>
        <w:right w:val="none" w:sz="0" w:space="0" w:color="auto"/>
      </w:divBdr>
      <w:divsChild>
        <w:div w:id="126239127">
          <w:marLeft w:val="0"/>
          <w:marRight w:val="0"/>
          <w:marTop w:val="0"/>
          <w:marBottom w:val="0"/>
          <w:divBdr>
            <w:top w:val="none" w:sz="0" w:space="0" w:color="auto"/>
            <w:left w:val="none" w:sz="0" w:space="0" w:color="auto"/>
            <w:bottom w:val="none" w:sz="0" w:space="0" w:color="auto"/>
            <w:right w:val="none" w:sz="0" w:space="0" w:color="auto"/>
          </w:divBdr>
          <w:divsChild>
            <w:div w:id="960452107">
              <w:marLeft w:val="0"/>
              <w:marRight w:val="0"/>
              <w:marTop w:val="0"/>
              <w:marBottom w:val="0"/>
              <w:divBdr>
                <w:top w:val="none" w:sz="0" w:space="0" w:color="auto"/>
                <w:left w:val="none" w:sz="0" w:space="0" w:color="auto"/>
                <w:bottom w:val="none" w:sz="0" w:space="0" w:color="auto"/>
                <w:right w:val="none" w:sz="0" w:space="0" w:color="auto"/>
              </w:divBdr>
              <w:divsChild>
                <w:div w:id="4101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08473265">
      <w:bodyDiv w:val="1"/>
      <w:marLeft w:val="0"/>
      <w:marRight w:val="0"/>
      <w:marTop w:val="0"/>
      <w:marBottom w:val="0"/>
      <w:divBdr>
        <w:top w:val="none" w:sz="0" w:space="0" w:color="auto"/>
        <w:left w:val="none" w:sz="0" w:space="0" w:color="auto"/>
        <w:bottom w:val="none" w:sz="0" w:space="0" w:color="auto"/>
        <w:right w:val="none" w:sz="0" w:space="0" w:color="auto"/>
      </w:divBdr>
    </w:div>
    <w:div w:id="1563716965">
      <w:bodyDiv w:val="1"/>
      <w:marLeft w:val="0"/>
      <w:marRight w:val="0"/>
      <w:marTop w:val="0"/>
      <w:marBottom w:val="0"/>
      <w:divBdr>
        <w:top w:val="none" w:sz="0" w:space="0" w:color="auto"/>
        <w:left w:val="none" w:sz="0" w:space="0" w:color="auto"/>
        <w:bottom w:val="none" w:sz="0" w:space="0" w:color="auto"/>
        <w:right w:val="none" w:sz="0" w:space="0" w:color="auto"/>
      </w:divBdr>
      <w:divsChild>
        <w:div w:id="2037340582">
          <w:marLeft w:val="0"/>
          <w:marRight w:val="0"/>
          <w:marTop w:val="0"/>
          <w:marBottom w:val="0"/>
          <w:divBdr>
            <w:top w:val="none" w:sz="0" w:space="0" w:color="auto"/>
            <w:left w:val="none" w:sz="0" w:space="0" w:color="auto"/>
            <w:bottom w:val="none" w:sz="0" w:space="0" w:color="auto"/>
            <w:right w:val="none" w:sz="0" w:space="0" w:color="auto"/>
          </w:divBdr>
          <w:divsChild>
            <w:div w:id="806899097">
              <w:marLeft w:val="0"/>
              <w:marRight w:val="0"/>
              <w:marTop w:val="0"/>
              <w:marBottom w:val="0"/>
              <w:divBdr>
                <w:top w:val="none" w:sz="0" w:space="0" w:color="auto"/>
                <w:left w:val="none" w:sz="0" w:space="0" w:color="auto"/>
                <w:bottom w:val="none" w:sz="0" w:space="0" w:color="auto"/>
                <w:right w:val="none" w:sz="0" w:space="0" w:color="auto"/>
              </w:divBdr>
              <w:divsChild>
                <w:div w:id="124827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612861000">
      <w:bodyDiv w:val="1"/>
      <w:marLeft w:val="0"/>
      <w:marRight w:val="0"/>
      <w:marTop w:val="0"/>
      <w:marBottom w:val="0"/>
      <w:divBdr>
        <w:top w:val="none" w:sz="0" w:space="0" w:color="auto"/>
        <w:left w:val="none" w:sz="0" w:space="0" w:color="auto"/>
        <w:bottom w:val="none" w:sz="0" w:space="0" w:color="auto"/>
        <w:right w:val="none" w:sz="0" w:space="0" w:color="auto"/>
      </w:divBdr>
    </w:div>
    <w:div w:id="1620335357">
      <w:bodyDiv w:val="1"/>
      <w:marLeft w:val="0"/>
      <w:marRight w:val="0"/>
      <w:marTop w:val="0"/>
      <w:marBottom w:val="0"/>
      <w:divBdr>
        <w:top w:val="none" w:sz="0" w:space="0" w:color="auto"/>
        <w:left w:val="none" w:sz="0" w:space="0" w:color="auto"/>
        <w:bottom w:val="none" w:sz="0" w:space="0" w:color="auto"/>
        <w:right w:val="none" w:sz="0" w:space="0" w:color="auto"/>
      </w:divBdr>
      <w:divsChild>
        <w:div w:id="1959682387">
          <w:marLeft w:val="0"/>
          <w:marRight w:val="0"/>
          <w:marTop w:val="0"/>
          <w:marBottom w:val="0"/>
          <w:divBdr>
            <w:top w:val="none" w:sz="0" w:space="0" w:color="auto"/>
            <w:left w:val="none" w:sz="0" w:space="0" w:color="auto"/>
            <w:bottom w:val="none" w:sz="0" w:space="0" w:color="auto"/>
            <w:right w:val="none" w:sz="0" w:space="0" w:color="auto"/>
          </w:divBdr>
          <w:divsChild>
            <w:div w:id="86004995">
              <w:marLeft w:val="0"/>
              <w:marRight w:val="0"/>
              <w:marTop w:val="0"/>
              <w:marBottom w:val="0"/>
              <w:divBdr>
                <w:top w:val="none" w:sz="0" w:space="0" w:color="auto"/>
                <w:left w:val="none" w:sz="0" w:space="0" w:color="auto"/>
                <w:bottom w:val="none" w:sz="0" w:space="0" w:color="auto"/>
                <w:right w:val="none" w:sz="0" w:space="0" w:color="auto"/>
              </w:divBdr>
              <w:divsChild>
                <w:div w:id="17819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870751">
      <w:bodyDiv w:val="1"/>
      <w:marLeft w:val="0"/>
      <w:marRight w:val="0"/>
      <w:marTop w:val="0"/>
      <w:marBottom w:val="0"/>
      <w:divBdr>
        <w:top w:val="none" w:sz="0" w:space="0" w:color="auto"/>
        <w:left w:val="none" w:sz="0" w:space="0" w:color="auto"/>
        <w:bottom w:val="none" w:sz="0" w:space="0" w:color="auto"/>
        <w:right w:val="none" w:sz="0" w:space="0" w:color="auto"/>
      </w:divBdr>
      <w:divsChild>
        <w:div w:id="1475639180">
          <w:marLeft w:val="0"/>
          <w:marRight w:val="0"/>
          <w:marTop w:val="0"/>
          <w:marBottom w:val="0"/>
          <w:divBdr>
            <w:top w:val="none" w:sz="0" w:space="0" w:color="auto"/>
            <w:left w:val="none" w:sz="0" w:space="0" w:color="auto"/>
            <w:bottom w:val="none" w:sz="0" w:space="0" w:color="auto"/>
            <w:right w:val="none" w:sz="0" w:space="0" w:color="auto"/>
          </w:divBdr>
          <w:divsChild>
            <w:div w:id="2066299066">
              <w:marLeft w:val="0"/>
              <w:marRight w:val="0"/>
              <w:marTop w:val="0"/>
              <w:marBottom w:val="0"/>
              <w:divBdr>
                <w:top w:val="none" w:sz="0" w:space="0" w:color="auto"/>
                <w:left w:val="none" w:sz="0" w:space="0" w:color="auto"/>
                <w:bottom w:val="none" w:sz="0" w:space="0" w:color="auto"/>
                <w:right w:val="none" w:sz="0" w:space="0" w:color="auto"/>
              </w:divBdr>
              <w:divsChild>
                <w:div w:id="126114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734764">
      <w:bodyDiv w:val="1"/>
      <w:marLeft w:val="0"/>
      <w:marRight w:val="0"/>
      <w:marTop w:val="0"/>
      <w:marBottom w:val="0"/>
      <w:divBdr>
        <w:top w:val="none" w:sz="0" w:space="0" w:color="auto"/>
        <w:left w:val="none" w:sz="0" w:space="0" w:color="auto"/>
        <w:bottom w:val="none" w:sz="0" w:space="0" w:color="auto"/>
        <w:right w:val="none" w:sz="0" w:space="0" w:color="auto"/>
      </w:divBdr>
      <w:divsChild>
        <w:div w:id="1864517503">
          <w:marLeft w:val="0"/>
          <w:marRight w:val="0"/>
          <w:marTop w:val="0"/>
          <w:marBottom w:val="0"/>
          <w:divBdr>
            <w:top w:val="none" w:sz="0" w:space="0" w:color="auto"/>
            <w:left w:val="none" w:sz="0" w:space="0" w:color="auto"/>
            <w:bottom w:val="none" w:sz="0" w:space="0" w:color="auto"/>
            <w:right w:val="none" w:sz="0" w:space="0" w:color="auto"/>
          </w:divBdr>
        </w:div>
      </w:divsChild>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61733730">
      <w:bodyDiv w:val="1"/>
      <w:marLeft w:val="0"/>
      <w:marRight w:val="0"/>
      <w:marTop w:val="0"/>
      <w:marBottom w:val="0"/>
      <w:divBdr>
        <w:top w:val="none" w:sz="0" w:space="0" w:color="auto"/>
        <w:left w:val="none" w:sz="0" w:space="0" w:color="auto"/>
        <w:bottom w:val="none" w:sz="0" w:space="0" w:color="auto"/>
        <w:right w:val="none" w:sz="0" w:space="0" w:color="auto"/>
      </w:divBdr>
      <w:divsChild>
        <w:div w:id="1143275879">
          <w:marLeft w:val="0"/>
          <w:marRight w:val="0"/>
          <w:marTop w:val="0"/>
          <w:marBottom w:val="0"/>
          <w:divBdr>
            <w:top w:val="none" w:sz="0" w:space="0" w:color="auto"/>
            <w:left w:val="none" w:sz="0" w:space="0" w:color="auto"/>
            <w:bottom w:val="none" w:sz="0" w:space="0" w:color="auto"/>
            <w:right w:val="none" w:sz="0" w:space="0" w:color="auto"/>
          </w:divBdr>
          <w:divsChild>
            <w:div w:id="1708292773">
              <w:marLeft w:val="0"/>
              <w:marRight w:val="0"/>
              <w:marTop w:val="0"/>
              <w:marBottom w:val="0"/>
              <w:divBdr>
                <w:top w:val="none" w:sz="0" w:space="0" w:color="auto"/>
                <w:left w:val="none" w:sz="0" w:space="0" w:color="auto"/>
                <w:bottom w:val="none" w:sz="0" w:space="0" w:color="auto"/>
                <w:right w:val="none" w:sz="0" w:space="0" w:color="auto"/>
              </w:divBdr>
              <w:divsChild>
                <w:div w:id="7308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75260277">
      <w:bodyDiv w:val="1"/>
      <w:marLeft w:val="0"/>
      <w:marRight w:val="0"/>
      <w:marTop w:val="0"/>
      <w:marBottom w:val="0"/>
      <w:divBdr>
        <w:top w:val="none" w:sz="0" w:space="0" w:color="auto"/>
        <w:left w:val="none" w:sz="0" w:space="0" w:color="auto"/>
        <w:bottom w:val="none" w:sz="0" w:space="0" w:color="auto"/>
        <w:right w:val="none" w:sz="0" w:space="0" w:color="auto"/>
      </w:divBdr>
    </w:div>
    <w:div w:id="1677733340">
      <w:bodyDiv w:val="1"/>
      <w:marLeft w:val="0"/>
      <w:marRight w:val="0"/>
      <w:marTop w:val="0"/>
      <w:marBottom w:val="0"/>
      <w:divBdr>
        <w:top w:val="none" w:sz="0" w:space="0" w:color="auto"/>
        <w:left w:val="none" w:sz="0" w:space="0" w:color="auto"/>
        <w:bottom w:val="none" w:sz="0" w:space="0" w:color="auto"/>
        <w:right w:val="none" w:sz="0" w:space="0" w:color="auto"/>
      </w:divBdr>
    </w:div>
    <w:div w:id="1715108565">
      <w:bodyDiv w:val="1"/>
      <w:marLeft w:val="0"/>
      <w:marRight w:val="0"/>
      <w:marTop w:val="0"/>
      <w:marBottom w:val="0"/>
      <w:divBdr>
        <w:top w:val="none" w:sz="0" w:space="0" w:color="auto"/>
        <w:left w:val="none" w:sz="0" w:space="0" w:color="auto"/>
        <w:bottom w:val="none" w:sz="0" w:space="0" w:color="auto"/>
        <w:right w:val="none" w:sz="0" w:space="0" w:color="auto"/>
      </w:divBdr>
      <w:divsChild>
        <w:div w:id="97256110">
          <w:marLeft w:val="0"/>
          <w:marRight w:val="0"/>
          <w:marTop w:val="0"/>
          <w:marBottom w:val="0"/>
          <w:divBdr>
            <w:top w:val="none" w:sz="0" w:space="0" w:color="auto"/>
            <w:left w:val="none" w:sz="0" w:space="0" w:color="auto"/>
            <w:bottom w:val="none" w:sz="0" w:space="0" w:color="auto"/>
            <w:right w:val="none" w:sz="0" w:space="0" w:color="auto"/>
          </w:divBdr>
          <w:divsChild>
            <w:div w:id="1990329584">
              <w:marLeft w:val="0"/>
              <w:marRight w:val="0"/>
              <w:marTop w:val="0"/>
              <w:marBottom w:val="0"/>
              <w:divBdr>
                <w:top w:val="none" w:sz="0" w:space="0" w:color="auto"/>
                <w:left w:val="none" w:sz="0" w:space="0" w:color="auto"/>
                <w:bottom w:val="none" w:sz="0" w:space="0" w:color="auto"/>
                <w:right w:val="none" w:sz="0" w:space="0" w:color="auto"/>
              </w:divBdr>
              <w:divsChild>
                <w:div w:id="86822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18002">
      <w:bodyDiv w:val="1"/>
      <w:marLeft w:val="0"/>
      <w:marRight w:val="0"/>
      <w:marTop w:val="0"/>
      <w:marBottom w:val="0"/>
      <w:divBdr>
        <w:top w:val="none" w:sz="0" w:space="0" w:color="auto"/>
        <w:left w:val="none" w:sz="0" w:space="0" w:color="auto"/>
        <w:bottom w:val="none" w:sz="0" w:space="0" w:color="auto"/>
        <w:right w:val="none" w:sz="0" w:space="0" w:color="auto"/>
      </w:divBdr>
      <w:divsChild>
        <w:div w:id="1473863576">
          <w:marLeft w:val="0"/>
          <w:marRight w:val="0"/>
          <w:marTop w:val="0"/>
          <w:marBottom w:val="0"/>
          <w:divBdr>
            <w:top w:val="none" w:sz="0" w:space="0" w:color="auto"/>
            <w:left w:val="none" w:sz="0" w:space="0" w:color="auto"/>
            <w:bottom w:val="none" w:sz="0" w:space="0" w:color="auto"/>
            <w:right w:val="none" w:sz="0" w:space="0" w:color="auto"/>
          </w:divBdr>
          <w:divsChild>
            <w:div w:id="399715530">
              <w:marLeft w:val="0"/>
              <w:marRight w:val="0"/>
              <w:marTop w:val="0"/>
              <w:marBottom w:val="0"/>
              <w:divBdr>
                <w:top w:val="none" w:sz="0" w:space="0" w:color="auto"/>
                <w:left w:val="none" w:sz="0" w:space="0" w:color="auto"/>
                <w:bottom w:val="none" w:sz="0" w:space="0" w:color="auto"/>
                <w:right w:val="none" w:sz="0" w:space="0" w:color="auto"/>
              </w:divBdr>
              <w:divsChild>
                <w:div w:id="47966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09248">
      <w:bodyDiv w:val="1"/>
      <w:marLeft w:val="0"/>
      <w:marRight w:val="0"/>
      <w:marTop w:val="0"/>
      <w:marBottom w:val="0"/>
      <w:divBdr>
        <w:top w:val="none" w:sz="0" w:space="0" w:color="auto"/>
        <w:left w:val="none" w:sz="0" w:space="0" w:color="auto"/>
        <w:bottom w:val="none" w:sz="0" w:space="0" w:color="auto"/>
        <w:right w:val="none" w:sz="0" w:space="0" w:color="auto"/>
      </w:divBdr>
      <w:divsChild>
        <w:div w:id="56977908">
          <w:marLeft w:val="0"/>
          <w:marRight w:val="0"/>
          <w:marTop w:val="0"/>
          <w:marBottom w:val="0"/>
          <w:divBdr>
            <w:top w:val="none" w:sz="0" w:space="0" w:color="auto"/>
            <w:left w:val="none" w:sz="0" w:space="0" w:color="auto"/>
            <w:bottom w:val="none" w:sz="0" w:space="0" w:color="auto"/>
            <w:right w:val="none" w:sz="0" w:space="0" w:color="auto"/>
          </w:divBdr>
          <w:divsChild>
            <w:div w:id="1136874468">
              <w:marLeft w:val="0"/>
              <w:marRight w:val="0"/>
              <w:marTop w:val="0"/>
              <w:marBottom w:val="0"/>
              <w:divBdr>
                <w:top w:val="none" w:sz="0" w:space="0" w:color="auto"/>
                <w:left w:val="none" w:sz="0" w:space="0" w:color="auto"/>
                <w:bottom w:val="none" w:sz="0" w:space="0" w:color="auto"/>
                <w:right w:val="none" w:sz="0" w:space="0" w:color="auto"/>
              </w:divBdr>
              <w:divsChild>
                <w:div w:id="177539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849501">
      <w:bodyDiv w:val="1"/>
      <w:marLeft w:val="0"/>
      <w:marRight w:val="0"/>
      <w:marTop w:val="0"/>
      <w:marBottom w:val="0"/>
      <w:divBdr>
        <w:top w:val="none" w:sz="0" w:space="0" w:color="auto"/>
        <w:left w:val="none" w:sz="0" w:space="0" w:color="auto"/>
        <w:bottom w:val="none" w:sz="0" w:space="0" w:color="auto"/>
        <w:right w:val="none" w:sz="0" w:space="0" w:color="auto"/>
      </w:divBdr>
      <w:divsChild>
        <w:div w:id="1243298059">
          <w:marLeft w:val="0"/>
          <w:marRight w:val="0"/>
          <w:marTop w:val="0"/>
          <w:marBottom w:val="0"/>
          <w:divBdr>
            <w:top w:val="none" w:sz="0" w:space="0" w:color="auto"/>
            <w:left w:val="none" w:sz="0" w:space="0" w:color="auto"/>
            <w:bottom w:val="none" w:sz="0" w:space="0" w:color="auto"/>
            <w:right w:val="none" w:sz="0" w:space="0" w:color="auto"/>
          </w:divBdr>
          <w:divsChild>
            <w:div w:id="2008558617">
              <w:marLeft w:val="0"/>
              <w:marRight w:val="0"/>
              <w:marTop w:val="0"/>
              <w:marBottom w:val="0"/>
              <w:divBdr>
                <w:top w:val="none" w:sz="0" w:space="0" w:color="auto"/>
                <w:left w:val="none" w:sz="0" w:space="0" w:color="auto"/>
                <w:bottom w:val="none" w:sz="0" w:space="0" w:color="auto"/>
                <w:right w:val="none" w:sz="0" w:space="0" w:color="auto"/>
              </w:divBdr>
              <w:divsChild>
                <w:div w:id="20585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225944">
      <w:bodyDiv w:val="1"/>
      <w:marLeft w:val="0"/>
      <w:marRight w:val="0"/>
      <w:marTop w:val="0"/>
      <w:marBottom w:val="0"/>
      <w:divBdr>
        <w:top w:val="none" w:sz="0" w:space="0" w:color="auto"/>
        <w:left w:val="none" w:sz="0" w:space="0" w:color="auto"/>
        <w:bottom w:val="none" w:sz="0" w:space="0" w:color="auto"/>
        <w:right w:val="none" w:sz="0" w:space="0" w:color="auto"/>
      </w:divBdr>
      <w:divsChild>
        <w:div w:id="316156383">
          <w:marLeft w:val="0"/>
          <w:marRight w:val="0"/>
          <w:marTop w:val="0"/>
          <w:marBottom w:val="0"/>
          <w:divBdr>
            <w:top w:val="none" w:sz="0" w:space="0" w:color="auto"/>
            <w:left w:val="none" w:sz="0" w:space="0" w:color="auto"/>
            <w:bottom w:val="none" w:sz="0" w:space="0" w:color="auto"/>
            <w:right w:val="none" w:sz="0" w:space="0" w:color="auto"/>
          </w:divBdr>
          <w:divsChild>
            <w:div w:id="444234951">
              <w:marLeft w:val="0"/>
              <w:marRight w:val="0"/>
              <w:marTop w:val="0"/>
              <w:marBottom w:val="0"/>
              <w:divBdr>
                <w:top w:val="none" w:sz="0" w:space="0" w:color="auto"/>
                <w:left w:val="none" w:sz="0" w:space="0" w:color="auto"/>
                <w:bottom w:val="none" w:sz="0" w:space="0" w:color="auto"/>
                <w:right w:val="none" w:sz="0" w:space="0" w:color="auto"/>
              </w:divBdr>
              <w:divsChild>
                <w:div w:id="63926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08638">
      <w:bodyDiv w:val="1"/>
      <w:marLeft w:val="0"/>
      <w:marRight w:val="0"/>
      <w:marTop w:val="0"/>
      <w:marBottom w:val="0"/>
      <w:divBdr>
        <w:top w:val="none" w:sz="0" w:space="0" w:color="auto"/>
        <w:left w:val="none" w:sz="0" w:space="0" w:color="auto"/>
        <w:bottom w:val="none" w:sz="0" w:space="0" w:color="auto"/>
        <w:right w:val="none" w:sz="0" w:space="0" w:color="auto"/>
      </w:divBdr>
      <w:divsChild>
        <w:div w:id="996953076">
          <w:marLeft w:val="0"/>
          <w:marRight w:val="0"/>
          <w:marTop w:val="0"/>
          <w:marBottom w:val="0"/>
          <w:divBdr>
            <w:top w:val="none" w:sz="0" w:space="0" w:color="auto"/>
            <w:left w:val="none" w:sz="0" w:space="0" w:color="auto"/>
            <w:bottom w:val="none" w:sz="0" w:space="0" w:color="auto"/>
            <w:right w:val="none" w:sz="0" w:space="0" w:color="auto"/>
          </w:divBdr>
          <w:divsChild>
            <w:div w:id="1237013221">
              <w:marLeft w:val="0"/>
              <w:marRight w:val="0"/>
              <w:marTop w:val="0"/>
              <w:marBottom w:val="0"/>
              <w:divBdr>
                <w:top w:val="none" w:sz="0" w:space="0" w:color="auto"/>
                <w:left w:val="none" w:sz="0" w:space="0" w:color="auto"/>
                <w:bottom w:val="none" w:sz="0" w:space="0" w:color="auto"/>
                <w:right w:val="none" w:sz="0" w:space="0" w:color="auto"/>
              </w:divBdr>
              <w:divsChild>
                <w:div w:id="182642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876497658">
      <w:bodyDiv w:val="1"/>
      <w:marLeft w:val="0"/>
      <w:marRight w:val="0"/>
      <w:marTop w:val="0"/>
      <w:marBottom w:val="0"/>
      <w:divBdr>
        <w:top w:val="none" w:sz="0" w:space="0" w:color="auto"/>
        <w:left w:val="none" w:sz="0" w:space="0" w:color="auto"/>
        <w:bottom w:val="none" w:sz="0" w:space="0" w:color="auto"/>
        <w:right w:val="none" w:sz="0" w:space="0" w:color="auto"/>
      </w:divBdr>
      <w:divsChild>
        <w:div w:id="656760338">
          <w:marLeft w:val="0"/>
          <w:marRight w:val="0"/>
          <w:marTop w:val="0"/>
          <w:marBottom w:val="0"/>
          <w:divBdr>
            <w:top w:val="none" w:sz="0" w:space="0" w:color="auto"/>
            <w:left w:val="none" w:sz="0" w:space="0" w:color="auto"/>
            <w:bottom w:val="none" w:sz="0" w:space="0" w:color="auto"/>
            <w:right w:val="none" w:sz="0" w:space="0" w:color="auto"/>
          </w:divBdr>
          <w:divsChild>
            <w:div w:id="76486568">
              <w:marLeft w:val="0"/>
              <w:marRight w:val="0"/>
              <w:marTop w:val="0"/>
              <w:marBottom w:val="0"/>
              <w:divBdr>
                <w:top w:val="none" w:sz="0" w:space="0" w:color="auto"/>
                <w:left w:val="none" w:sz="0" w:space="0" w:color="auto"/>
                <w:bottom w:val="none" w:sz="0" w:space="0" w:color="auto"/>
                <w:right w:val="none" w:sz="0" w:space="0" w:color="auto"/>
              </w:divBdr>
              <w:divsChild>
                <w:div w:id="168027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694165">
      <w:bodyDiv w:val="1"/>
      <w:marLeft w:val="0"/>
      <w:marRight w:val="0"/>
      <w:marTop w:val="0"/>
      <w:marBottom w:val="0"/>
      <w:divBdr>
        <w:top w:val="none" w:sz="0" w:space="0" w:color="auto"/>
        <w:left w:val="none" w:sz="0" w:space="0" w:color="auto"/>
        <w:bottom w:val="none" w:sz="0" w:space="0" w:color="auto"/>
        <w:right w:val="none" w:sz="0" w:space="0" w:color="auto"/>
      </w:divBdr>
      <w:divsChild>
        <w:div w:id="1566916892">
          <w:marLeft w:val="0"/>
          <w:marRight w:val="0"/>
          <w:marTop w:val="0"/>
          <w:marBottom w:val="0"/>
          <w:divBdr>
            <w:top w:val="none" w:sz="0" w:space="0" w:color="auto"/>
            <w:left w:val="none" w:sz="0" w:space="0" w:color="auto"/>
            <w:bottom w:val="none" w:sz="0" w:space="0" w:color="auto"/>
            <w:right w:val="none" w:sz="0" w:space="0" w:color="auto"/>
          </w:divBdr>
          <w:divsChild>
            <w:div w:id="96096724">
              <w:marLeft w:val="0"/>
              <w:marRight w:val="0"/>
              <w:marTop w:val="0"/>
              <w:marBottom w:val="0"/>
              <w:divBdr>
                <w:top w:val="none" w:sz="0" w:space="0" w:color="auto"/>
                <w:left w:val="none" w:sz="0" w:space="0" w:color="auto"/>
                <w:bottom w:val="none" w:sz="0" w:space="0" w:color="auto"/>
                <w:right w:val="none" w:sz="0" w:space="0" w:color="auto"/>
              </w:divBdr>
              <w:divsChild>
                <w:div w:id="1972009919">
                  <w:marLeft w:val="0"/>
                  <w:marRight w:val="0"/>
                  <w:marTop w:val="0"/>
                  <w:marBottom w:val="0"/>
                  <w:divBdr>
                    <w:top w:val="none" w:sz="0" w:space="0" w:color="auto"/>
                    <w:left w:val="none" w:sz="0" w:space="0" w:color="auto"/>
                    <w:bottom w:val="none" w:sz="0" w:space="0" w:color="auto"/>
                    <w:right w:val="none" w:sz="0" w:space="0" w:color="auto"/>
                  </w:divBdr>
                  <w:divsChild>
                    <w:div w:id="16886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212858">
      <w:bodyDiv w:val="1"/>
      <w:marLeft w:val="0"/>
      <w:marRight w:val="0"/>
      <w:marTop w:val="0"/>
      <w:marBottom w:val="0"/>
      <w:divBdr>
        <w:top w:val="none" w:sz="0" w:space="0" w:color="auto"/>
        <w:left w:val="none" w:sz="0" w:space="0" w:color="auto"/>
        <w:bottom w:val="none" w:sz="0" w:space="0" w:color="auto"/>
        <w:right w:val="none" w:sz="0" w:space="0" w:color="auto"/>
      </w:divBdr>
      <w:divsChild>
        <w:div w:id="2013296508">
          <w:marLeft w:val="0"/>
          <w:marRight w:val="0"/>
          <w:marTop w:val="0"/>
          <w:marBottom w:val="0"/>
          <w:divBdr>
            <w:top w:val="none" w:sz="0" w:space="0" w:color="auto"/>
            <w:left w:val="none" w:sz="0" w:space="0" w:color="auto"/>
            <w:bottom w:val="none" w:sz="0" w:space="0" w:color="auto"/>
            <w:right w:val="none" w:sz="0" w:space="0" w:color="auto"/>
          </w:divBdr>
          <w:divsChild>
            <w:div w:id="306857738">
              <w:marLeft w:val="0"/>
              <w:marRight w:val="0"/>
              <w:marTop w:val="0"/>
              <w:marBottom w:val="0"/>
              <w:divBdr>
                <w:top w:val="none" w:sz="0" w:space="0" w:color="auto"/>
                <w:left w:val="none" w:sz="0" w:space="0" w:color="auto"/>
                <w:bottom w:val="none" w:sz="0" w:space="0" w:color="auto"/>
                <w:right w:val="none" w:sz="0" w:space="0" w:color="auto"/>
              </w:divBdr>
              <w:divsChild>
                <w:div w:id="376590058">
                  <w:marLeft w:val="0"/>
                  <w:marRight w:val="0"/>
                  <w:marTop w:val="0"/>
                  <w:marBottom w:val="0"/>
                  <w:divBdr>
                    <w:top w:val="none" w:sz="0" w:space="0" w:color="auto"/>
                    <w:left w:val="none" w:sz="0" w:space="0" w:color="auto"/>
                    <w:bottom w:val="none" w:sz="0" w:space="0" w:color="auto"/>
                    <w:right w:val="none" w:sz="0" w:space="0" w:color="auto"/>
                  </w:divBdr>
                  <w:divsChild>
                    <w:div w:id="1007320680">
                      <w:marLeft w:val="0"/>
                      <w:marRight w:val="0"/>
                      <w:marTop w:val="0"/>
                      <w:marBottom w:val="0"/>
                      <w:divBdr>
                        <w:top w:val="none" w:sz="0" w:space="0" w:color="auto"/>
                        <w:left w:val="none" w:sz="0" w:space="0" w:color="auto"/>
                        <w:bottom w:val="none" w:sz="0" w:space="0" w:color="auto"/>
                        <w:right w:val="none" w:sz="0" w:space="0" w:color="auto"/>
                      </w:divBdr>
                      <w:divsChild>
                        <w:div w:id="338897110">
                          <w:marLeft w:val="0"/>
                          <w:marRight w:val="0"/>
                          <w:marTop w:val="0"/>
                          <w:marBottom w:val="0"/>
                          <w:divBdr>
                            <w:top w:val="none" w:sz="0" w:space="0" w:color="auto"/>
                            <w:left w:val="none" w:sz="0" w:space="0" w:color="auto"/>
                            <w:bottom w:val="none" w:sz="0" w:space="0" w:color="auto"/>
                            <w:right w:val="none" w:sz="0" w:space="0" w:color="auto"/>
                          </w:divBdr>
                          <w:divsChild>
                            <w:div w:id="1665159965">
                              <w:marLeft w:val="0"/>
                              <w:marRight w:val="0"/>
                              <w:marTop w:val="0"/>
                              <w:marBottom w:val="0"/>
                              <w:divBdr>
                                <w:top w:val="none" w:sz="0" w:space="0" w:color="auto"/>
                                <w:left w:val="none" w:sz="0" w:space="0" w:color="auto"/>
                                <w:bottom w:val="none" w:sz="0" w:space="0" w:color="auto"/>
                                <w:right w:val="none" w:sz="0" w:space="0" w:color="auto"/>
                              </w:divBdr>
                              <w:divsChild>
                                <w:div w:id="1015419848">
                                  <w:marLeft w:val="0"/>
                                  <w:marRight w:val="0"/>
                                  <w:marTop w:val="0"/>
                                  <w:marBottom w:val="0"/>
                                  <w:divBdr>
                                    <w:top w:val="none" w:sz="0" w:space="0" w:color="auto"/>
                                    <w:left w:val="none" w:sz="0" w:space="0" w:color="auto"/>
                                    <w:bottom w:val="none" w:sz="0" w:space="0" w:color="auto"/>
                                    <w:right w:val="none" w:sz="0" w:space="0" w:color="auto"/>
                                  </w:divBdr>
                                  <w:divsChild>
                                    <w:div w:id="288633100">
                                      <w:marLeft w:val="0"/>
                                      <w:marRight w:val="0"/>
                                      <w:marTop w:val="0"/>
                                      <w:marBottom w:val="0"/>
                                      <w:divBdr>
                                        <w:top w:val="none" w:sz="0" w:space="0" w:color="auto"/>
                                        <w:left w:val="none" w:sz="0" w:space="0" w:color="auto"/>
                                        <w:bottom w:val="none" w:sz="0" w:space="0" w:color="auto"/>
                                        <w:right w:val="none" w:sz="0" w:space="0" w:color="auto"/>
                                      </w:divBdr>
                                      <w:divsChild>
                                        <w:div w:id="303392128">
                                          <w:marLeft w:val="0"/>
                                          <w:marRight w:val="0"/>
                                          <w:marTop w:val="0"/>
                                          <w:marBottom w:val="0"/>
                                          <w:divBdr>
                                            <w:top w:val="none" w:sz="0" w:space="0" w:color="auto"/>
                                            <w:left w:val="none" w:sz="0" w:space="0" w:color="auto"/>
                                            <w:bottom w:val="none" w:sz="0" w:space="0" w:color="auto"/>
                                            <w:right w:val="none" w:sz="0" w:space="0" w:color="auto"/>
                                          </w:divBdr>
                                          <w:divsChild>
                                            <w:div w:id="173134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313543">
          <w:marLeft w:val="0"/>
          <w:marRight w:val="0"/>
          <w:marTop w:val="0"/>
          <w:marBottom w:val="0"/>
          <w:divBdr>
            <w:top w:val="none" w:sz="0" w:space="0" w:color="auto"/>
            <w:left w:val="none" w:sz="0" w:space="0" w:color="auto"/>
            <w:bottom w:val="none" w:sz="0" w:space="0" w:color="auto"/>
            <w:right w:val="none" w:sz="0" w:space="0" w:color="auto"/>
          </w:divBdr>
          <w:divsChild>
            <w:div w:id="158156684">
              <w:marLeft w:val="0"/>
              <w:marRight w:val="0"/>
              <w:marTop w:val="0"/>
              <w:marBottom w:val="0"/>
              <w:divBdr>
                <w:top w:val="none" w:sz="0" w:space="0" w:color="auto"/>
                <w:left w:val="none" w:sz="0" w:space="0" w:color="auto"/>
                <w:bottom w:val="none" w:sz="0" w:space="0" w:color="auto"/>
                <w:right w:val="none" w:sz="0" w:space="0" w:color="auto"/>
              </w:divBdr>
              <w:divsChild>
                <w:div w:id="627855626">
                  <w:marLeft w:val="0"/>
                  <w:marRight w:val="0"/>
                  <w:marTop w:val="0"/>
                  <w:marBottom w:val="0"/>
                  <w:divBdr>
                    <w:top w:val="none" w:sz="0" w:space="0" w:color="auto"/>
                    <w:left w:val="none" w:sz="0" w:space="0" w:color="auto"/>
                    <w:bottom w:val="none" w:sz="0" w:space="0" w:color="auto"/>
                    <w:right w:val="none" w:sz="0" w:space="0" w:color="auto"/>
                  </w:divBdr>
                  <w:divsChild>
                    <w:div w:id="658509439">
                      <w:marLeft w:val="0"/>
                      <w:marRight w:val="0"/>
                      <w:marTop w:val="0"/>
                      <w:marBottom w:val="0"/>
                      <w:divBdr>
                        <w:top w:val="none" w:sz="0" w:space="0" w:color="auto"/>
                        <w:left w:val="none" w:sz="0" w:space="0" w:color="auto"/>
                        <w:bottom w:val="none" w:sz="0" w:space="0" w:color="auto"/>
                        <w:right w:val="none" w:sz="0" w:space="0" w:color="auto"/>
                      </w:divBdr>
                      <w:divsChild>
                        <w:div w:id="1332949517">
                          <w:marLeft w:val="0"/>
                          <w:marRight w:val="0"/>
                          <w:marTop w:val="0"/>
                          <w:marBottom w:val="0"/>
                          <w:divBdr>
                            <w:top w:val="none" w:sz="0" w:space="0" w:color="auto"/>
                            <w:left w:val="none" w:sz="0" w:space="0" w:color="auto"/>
                            <w:bottom w:val="none" w:sz="0" w:space="0" w:color="auto"/>
                            <w:right w:val="none" w:sz="0" w:space="0" w:color="auto"/>
                          </w:divBdr>
                          <w:divsChild>
                            <w:div w:id="177544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003856">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21569">
      <w:bodyDiv w:val="1"/>
      <w:marLeft w:val="0"/>
      <w:marRight w:val="0"/>
      <w:marTop w:val="0"/>
      <w:marBottom w:val="0"/>
      <w:divBdr>
        <w:top w:val="none" w:sz="0" w:space="0" w:color="auto"/>
        <w:left w:val="none" w:sz="0" w:space="0" w:color="auto"/>
        <w:bottom w:val="none" w:sz="0" w:space="0" w:color="auto"/>
        <w:right w:val="none" w:sz="0" w:space="0" w:color="auto"/>
      </w:divBdr>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2065831755">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90033292">
      <w:bodyDiv w:val="1"/>
      <w:marLeft w:val="0"/>
      <w:marRight w:val="0"/>
      <w:marTop w:val="0"/>
      <w:marBottom w:val="0"/>
      <w:divBdr>
        <w:top w:val="none" w:sz="0" w:space="0" w:color="auto"/>
        <w:left w:val="none" w:sz="0" w:space="0" w:color="auto"/>
        <w:bottom w:val="none" w:sz="0" w:space="0" w:color="auto"/>
        <w:right w:val="none" w:sz="0" w:space="0" w:color="auto"/>
      </w:divBdr>
      <w:divsChild>
        <w:div w:id="736822245">
          <w:marLeft w:val="0"/>
          <w:marRight w:val="0"/>
          <w:marTop w:val="0"/>
          <w:marBottom w:val="0"/>
          <w:divBdr>
            <w:top w:val="none" w:sz="0" w:space="0" w:color="auto"/>
            <w:left w:val="none" w:sz="0" w:space="0" w:color="auto"/>
            <w:bottom w:val="none" w:sz="0" w:space="0" w:color="auto"/>
            <w:right w:val="none" w:sz="0" w:space="0" w:color="auto"/>
          </w:divBdr>
          <w:divsChild>
            <w:div w:id="435826926">
              <w:marLeft w:val="0"/>
              <w:marRight w:val="0"/>
              <w:marTop w:val="0"/>
              <w:marBottom w:val="0"/>
              <w:divBdr>
                <w:top w:val="none" w:sz="0" w:space="0" w:color="auto"/>
                <w:left w:val="none" w:sz="0" w:space="0" w:color="auto"/>
                <w:bottom w:val="none" w:sz="0" w:space="0" w:color="auto"/>
                <w:right w:val="none" w:sz="0" w:space="0" w:color="auto"/>
              </w:divBdr>
              <w:divsChild>
                <w:div w:id="516505832">
                  <w:marLeft w:val="0"/>
                  <w:marRight w:val="0"/>
                  <w:marTop w:val="0"/>
                  <w:marBottom w:val="0"/>
                  <w:divBdr>
                    <w:top w:val="none" w:sz="0" w:space="0" w:color="auto"/>
                    <w:left w:val="none" w:sz="0" w:space="0" w:color="auto"/>
                    <w:bottom w:val="none" w:sz="0" w:space="0" w:color="auto"/>
                    <w:right w:val="none" w:sz="0" w:space="0" w:color="auto"/>
                  </w:divBdr>
                  <w:divsChild>
                    <w:div w:id="196538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753857">
      <w:bodyDiv w:val="1"/>
      <w:marLeft w:val="0"/>
      <w:marRight w:val="0"/>
      <w:marTop w:val="0"/>
      <w:marBottom w:val="0"/>
      <w:divBdr>
        <w:top w:val="none" w:sz="0" w:space="0" w:color="auto"/>
        <w:left w:val="none" w:sz="0" w:space="0" w:color="auto"/>
        <w:bottom w:val="none" w:sz="0" w:space="0" w:color="auto"/>
        <w:right w:val="none" w:sz="0" w:space="0" w:color="auto"/>
      </w:divBdr>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 w:id="2132895753">
      <w:bodyDiv w:val="1"/>
      <w:marLeft w:val="0"/>
      <w:marRight w:val="0"/>
      <w:marTop w:val="0"/>
      <w:marBottom w:val="0"/>
      <w:divBdr>
        <w:top w:val="none" w:sz="0" w:space="0" w:color="auto"/>
        <w:left w:val="none" w:sz="0" w:space="0" w:color="auto"/>
        <w:bottom w:val="none" w:sz="0" w:space="0" w:color="auto"/>
        <w:right w:val="none" w:sz="0" w:space="0" w:color="auto"/>
      </w:divBdr>
      <w:divsChild>
        <w:div w:id="366565889">
          <w:marLeft w:val="0"/>
          <w:marRight w:val="0"/>
          <w:marTop w:val="0"/>
          <w:marBottom w:val="0"/>
          <w:divBdr>
            <w:top w:val="none" w:sz="0" w:space="0" w:color="auto"/>
            <w:left w:val="none" w:sz="0" w:space="0" w:color="auto"/>
            <w:bottom w:val="none" w:sz="0" w:space="0" w:color="auto"/>
            <w:right w:val="none" w:sz="0" w:space="0" w:color="auto"/>
          </w:divBdr>
          <w:divsChild>
            <w:div w:id="914048085">
              <w:marLeft w:val="0"/>
              <w:marRight w:val="0"/>
              <w:marTop w:val="0"/>
              <w:marBottom w:val="0"/>
              <w:divBdr>
                <w:top w:val="none" w:sz="0" w:space="0" w:color="auto"/>
                <w:left w:val="none" w:sz="0" w:space="0" w:color="auto"/>
                <w:bottom w:val="none" w:sz="0" w:space="0" w:color="auto"/>
                <w:right w:val="none" w:sz="0" w:space="0" w:color="auto"/>
              </w:divBdr>
              <w:divsChild>
                <w:div w:id="87237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94473">
      <w:bodyDiv w:val="1"/>
      <w:marLeft w:val="0"/>
      <w:marRight w:val="0"/>
      <w:marTop w:val="0"/>
      <w:marBottom w:val="0"/>
      <w:divBdr>
        <w:top w:val="none" w:sz="0" w:space="0" w:color="auto"/>
        <w:left w:val="none" w:sz="0" w:space="0" w:color="auto"/>
        <w:bottom w:val="none" w:sz="0" w:space="0" w:color="auto"/>
        <w:right w:val="none" w:sz="0" w:space="0" w:color="auto"/>
      </w:divBdr>
      <w:divsChild>
        <w:div w:id="398334491">
          <w:marLeft w:val="0"/>
          <w:marRight w:val="0"/>
          <w:marTop w:val="0"/>
          <w:marBottom w:val="0"/>
          <w:divBdr>
            <w:top w:val="none" w:sz="0" w:space="0" w:color="auto"/>
            <w:left w:val="none" w:sz="0" w:space="0" w:color="auto"/>
            <w:bottom w:val="none" w:sz="0" w:space="0" w:color="auto"/>
            <w:right w:val="none" w:sz="0" w:space="0" w:color="auto"/>
          </w:divBdr>
          <w:divsChild>
            <w:div w:id="1259364376">
              <w:marLeft w:val="0"/>
              <w:marRight w:val="0"/>
              <w:marTop w:val="0"/>
              <w:marBottom w:val="0"/>
              <w:divBdr>
                <w:top w:val="none" w:sz="0" w:space="0" w:color="auto"/>
                <w:left w:val="none" w:sz="0" w:space="0" w:color="auto"/>
                <w:bottom w:val="none" w:sz="0" w:space="0" w:color="auto"/>
                <w:right w:val="none" w:sz="0" w:space="0" w:color="auto"/>
              </w:divBdr>
              <w:divsChild>
                <w:div w:id="3850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sChild>
        <w:div w:id="1725368481">
          <w:marLeft w:val="0"/>
          <w:marRight w:val="0"/>
          <w:marTop w:val="0"/>
          <w:marBottom w:val="0"/>
          <w:divBdr>
            <w:top w:val="none" w:sz="0" w:space="0" w:color="auto"/>
            <w:left w:val="none" w:sz="0" w:space="0" w:color="auto"/>
            <w:bottom w:val="none" w:sz="0" w:space="0" w:color="auto"/>
            <w:right w:val="none" w:sz="0" w:space="0" w:color="auto"/>
          </w:divBdr>
          <w:divsChild>
            <w:div w:id="559288754">
              <w:marLeft w:val="0"/>
              <w:marRight w:val="0"/>
              <w:marTop w:val="0"/>
              <w:marBottom w:val="0"/>
              <w:divBdr>
                <w:top w:val="none" w:sz="0" w:space="0" w:color="auto"/>
                <w:left w:val="none" w:sz="0" w:space="0" w:color="auto"/>
                <w:bottom w:val="none" w:sz="0" w:space="0" w:color="auto"/>
                <w:right w:val="none" w:sz="0" w:space="0" w:color="auto"/>
              </w:divBdr>
              <w:divsChild>
                <w:div w:id="14430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4-CAT-Finland-NGO-Intersex-StopIGM.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topIGM.or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lapsiasia.fi/documents/25250457/37287625/SmerEteneLausunto2015VenholaSavolainen-Copy.pdf" TargetMode="External"/><Relationship Id="rId21" Type="http://schemas.openxmlformats.org/officeDocument/2006/relationships/hyperlink" Target="https://lapsiasia.fi/-/-lapsiasiavaltuutettu-intersukupuolisten-lasten-oikeuksia-vahvistettava-" TargetMode="External"/><Relationship Id="rId42" Type="http://schemas.openxmlformats.org/officeDocument/2006/relationships/hyperlink" Target="https://d56bochluxqnz.cloudfront.net/documents/full-guideline/EAU-Guidelines-on-Paediatric-Urology-2023.pdf" TargetMode="External"/><Relationship Id="rId47" Type="http://schemas.openxmlformats.org/officeDocument/2006/relationships/hyperlink" Target="https://intersex.shadowreport.org/public/2016-CEDAW-France-NGO-Zwischengeschlecht-Intersex-IGM.pdf" TargetMode="External"/><Relationship Id="rId63" Type="http://schemas.openxmlformats.org/officeDocument/2006/relationships/hyperlink" Target="https://um.fi/documents/35732/0/IP1709011_STUDY_ON_THE_RIGHTS_AND_EXPERIENCES_sahkoinen_5.pdf" TargetMode="External"/><Relationship Id="rId68" Type="http://schemas.openxmlformats.org/officeDocument/2006/relationships/hyperlink" Target="https://mg.co.za/article/2018-01-24-00-intersex-babies-killed-at-birth-because-theyre-bad-omens" TargetMode="External"/><Relationship Id="rId84" Type="http://schemas.openxmlformats.org/officeDocument/2006/relationships/hyperlink" Target="https://stopigm.org/post/CRC67-Intersex-children-used-as-cannon-fodder-LGBT-Denmark" TargetMode="External"/><Relationship Id="rId89" Type="http://schemas.openxmlformats.org/officeDocument/2006/relationships/hyperlink" Target="https://stopigm.org/post/UN-Press-Release-calls-IGM-survivors-transsexual-children-CATArgentina-UNCAT60" TargetMode="External"/><Relationship Id="rId16" Type="http://schemas.openxmlformats.org/officeDocument/2006/relationships/hyperlink" Target="https://intersukupuolisuus.fi/?page_id=803" TargetMode="External"/><Relationship Id="rId11" Type="http://schemas.openxmlformats.org/officeDocument/2006/relationships/hyperlink" Target="https://stopigm.org/post/IAD-2016-Soon-20-UN-Reprimands-for-Intersex-Genital-Mutilations" TargetMode="External"/><Relationship Id="rId32" Type="http://schemas.openxmlformats.org/officeDocument/2006/relationships/hyperlink" Target="https://www.bmeia.gv.at/oev-genf/speeches/alle/2021/10/united-nations-human-rights-council-48th-session-joint-statement-on-the-human-rights-of-intersex-persons/" TargetMode="External"/><Relationship Id="rId37" Type="http://schemas.openxmlformats.org/officeDocument/2006/relationships/hyperlink" Target="https://uroweb.org/guidelines/endorsement/" TargetMode="External"/><Relationship Id="rId53" Type="http://schemas.openxmlformats.org/officeDocument/2006/relationships/hyperlink" Target="https://www.pirha.fi/palvelut/sairaalat-tays/lasten-ja-nuorten-sairaalapalvelut/lastenkirurgia" TargetMode="External"/><Relationship Id="rId58" Type="http://schemas.openxmlformats.org/officeDocument/2006/relationships/hyperlink" Target="https://etene.fi/documents/1429646/2056382/IS-raportti20160331.pdf/58bf2412-48a9-4521-b5ae-81a3ee3bc07b/IS-raportti20160331.pdf" TargetMode="External"/><Relationship Id="rId74" Type="http://schemas.openxmlformats.org/officeDocument/2006/relationships/hyperlink" Target="https://intersex.shadowreport.org/public/2015-CAT-Hong-Kong-China-NGO-BBKCI-Intersex.pdf" TargetMode="External"/><Relationship Id="rId79" Type="http://schemas.openxmlformats.org/officeDocument/2006/relationships/hyperlink" Target="http://web.archive.org/web/20160305152127/http://prenatal.tv/lecturas/world%20atlas%20of%20birth%20defects.pdf" TargetMode="External"/><Relationship Id="rId102" Type="http://schemas.openxmlformats.org/officeDocument/2006/relationships/hyperlink" Target="https://stopigm.org/post/Major-Setback-for-Intersex-Human-Rights-at-the-UN" TargetMode="External"/><Relationship Id="rId5" Type="http://schemas.openxmlformats.org/officeDocument/2006/relationships/hyperlink" Target="https://stopigm.org/post/IAD-2016-Soon-20-UN-Reprimands-for-Intersex-Genital-Mutilations" TargetMode="External"/><Relationship Id="rId90" Type="http://schemas.openxmlformats.org/officeDocument/2006/relationships/hyperlink" Target="https://stopigm.org/post/UN-Press-Release-mentions-genital-mutilation-of-intersex-children" TargetMode="External"/><Relationship Id="rId95" Type="http://schemas.openxmlformats.org/officeDocument/2006/relationships/hyperlink" Target="https://stopigm.org/post/CAT60-Argentina-to-be-Questioned-on-Intersex-Genital-Mutilation-by-UN-Committee-against-Torture" TargetMode="External"/><Relationship Id="rId22" Type="http://schemas.openxmlformats.org/officeDocument/2006/relationships/hyperlink" Target="https://tasa-arvo.fi/-/tasa-arvovaltuutettu-ja-lapsiasiavaltuutettu-intersukupuolisilla-lapsilla-on-oikeus-omaan-kehoonsa" TargetMode="External"/><Relationship Id="rId27" Type="http://schemas.openxmlformats.org/officeDocument/2006/relationships/hyperlink" Target="https://um.fi/documents/35732/0/IP1709011_STUDY_ON_THE_RIGHTS_AND_EXPERIENCES_sahkoinen_5.pdf" TargetMode="External"/><Relationship Id="rId43" Type="http://schemas.openxmlformats.org/officeDocument/2006/relationships/hyperlink" Target="https://www.espu.org/images/documents/ESPU_Open_Letter_to_COE_2018-01-26.pdf" TargetMode="External"/><Relationship Id="rId48" Type="http://schemas.openxmlformats.org/officeDocument/2006/relationships/hyperlink" Target="https://uroweb.org/guidelines/endorsement/" TargetMode="External"/><Relationship Id="rId64" Type="http://schemas.openxmlformats.org/officeDocument/2006/relationships/hyperlink" Target="https://intersex.shadowreport.org/public/2014-CRC-Swiss-NGO-Zwischengeschlecht-Intersex-IGM_v2.pdf" TargetMode="External"/><Relationship Id="rId69" Type="http://schemas.openxmlformats.org/officeDocument/2006/relationships/hyperlink" Target="https://stopigm.org/post/Africa-Intersex-Survey-Documents-Intersex-Genital-Mutilation-Infanticide-Abandonment-Expulsion-Uganda-Kenya-Rwanda" TargetMode="External"/><Relationship Id="rId80" Type="http://schemas.openxmlformats.org/officeDocument/2006/relationships/hyperlink" Target="https://stopigm.org/post/Racist-Roots-of-Intersex-Genital-Mutilations-IGM" TargetMode="External"/><Relationship Id="rId85" Type="http://schemas.openxmlformats.org/officeDocument/2006/relationships/hyperlink" Target="https://stopigm.org/post/Ukraine-Instrumentalising-Intersex-and-IGM-for-LGBT-and-Gender-Politics" TargetMode="External"/><Relationship Id="rId12" Type="http://schemas.openxmlformats.org/officeDocument/2006/relationships/hyperlink" Target="https://lapsiasia.fi/documents/25250457/37287625/SmerEteneLausunto2015VenholaSavolainen-Copy.pdf" TargetMode="External"/><Relationship Id="rId17" Type="http://schemas.openxmlformats.org/officeDocument/2006/relationships/hyperlink" Target="https://seta.fi/2019/05/10/seta-and-oii-europe-finnish-government-should-take-action-to-ensure-intersex-peoples-physical-integrity-and-self-determination/" TargetMode="External"/><Relationship Id="rId33" Type="http://schemas.openxmlformats.org/officeDocument/2006/relationships/hyperlink" Target="https://finlandabroad.fi/web/geneve/current-affairs/-/asset_publisher/h5w4iTUJhNne/content/general-debate-item-8/384951" TargetMode="External"/><Relationship Id="rId38" Type="http://schemas.openxmlformats.org/officeDocument/2006/relationships/hyperlink" Target="https://d56bochluxqnz.cloudfront.net/documents/full-guideline/EAU-Guidelines-on-Paediatric-Urology-2023.pdf" TargetMode="External"/><Relationship Id="rId59" Type="http://schemas.openxmlformats.org/officeDocument/2006/relationships/hyperlink" Target="https://www.espu.org/members/video-broadcast/319-lecture-dsd-at-the-crossroads-of-medicine-human-rights-and-politics-at-helsinki-congress-2018" TargetMode="External"/><Relationship Id="rId103" Type="http://schemas.openxmlformats.org/officeDocument/2006/relationships/hyperlink" Target="https://stopigm.org/post/Circular-7-step-back-for-intersex-human-rights-in-Chile" TargetMode="External"/><Relationship Id="rId20" Type="http://schemas.openxmlformats.org/officeDocument/2006/relationships/hyperlink" Target="https://lapsiasia.fi/-/-intersukupuoliset-lapset-ja-hoitokaytannot-" TargetMode="External"/><Relationship Id="rId41" Type="http://schemas.openxmlformats.org/officeDocument/2006/relationships/hyperlink" Target="https://uroweb.org/guidelines/endorsement/" TargetMode="External"/><Relationship Id="rId54" Type="http://schemas.openxmlformats.org/officeDocument/2006/relationships/hyperlink" Target="https://www.pirha.fi/palvelut/sairaalat-tays/lasten-ja-nuorten-sairaalapalvelut/lastenkirurgia/virtsaputken-alahalkio" TargetMode="External"/><Relationship Id="rId62" Type="http://schemas.openxmlformats.org/officeDocument/2006/relationships/hyperlink" Target="https://norden.diva-portal.org/smash/get/diva2:970547/FULLTEXT01.pdf" TargetMode="External"/><Relationship Id="rId70" Type="http://schemas.openxmlformats.org/officeDocument/2006/relationships/hyperlink" Target="https://intersex.shadowreport.org/public/Zwischengeschlecht_2015-CRC-Briefing_Intersex-IGM_web.pdf" TargetMode="External"/><Relationship Id="rId75" Type="http://schemas.openxmlformats.org/officeDocument/2006/relationships/hyperlink" Target="https://stopigm.org/post/Africa-Intersex-Survey-Documents-Intersex-Genital-Mutilation-Infanticide-Abandonment-Expulsion-Uganda-Kenya-Rwanda" TargetMode="External"/><Relationship Id="rId83" Type="http://schemas.openxmlformats.org/officeDocument/2006/relationships/hyperlink" Target="https://stopigm.org/post/IAD-2016-Soon-20-UN-Reprimands-for-Intersex-Genital-Mutilations" TargetMode="External"/><Relationship Id="rId88" Type="http://schemas.openxmlformats.org/officeDocument/2006/relationships/hyperlink" Target="https://www.knchr.org/Portals/0/GroupRightsReports/Equal%20In%20Dignity%20and%20Rights_Promoting%20The%20Rights%20Of%20Intersex%20Persons%20In%20Kenya.pdf?ver=2018-06-06-161118-323" TargetMode="External"/><Relationship Id="rId91" Type="http://schemas.openxmlformats.org/officeDocument/2006/relationships/hyperlink" Target="https://stopigm.org/post/UN-Press-Release-calls-IGM-survivors-transsexual-children-CRC-Denmark-UNCRC67" TargetMode="External"/><Relationship Id="rId96" Type="http://schemas.openxmlformats.org/officeDocument/2006/relationships/hyperlink" Target="https://stopigm.org/post/UK-Questioned-over-Intersex-Genital-Mutilations-by-UN-Committee-on-the-Rights-of-Persons-with-Disabilities-CRPD" TargetMode="External"/><Relationship Id="rId1" Type="http://schemas.openxmlformats.org/officeDocument/2006/relationships/hyperlink" Target="https://Zwischengeschlecht.org/" TargetMode="External"/><Relationship Id="rId6" Type="http://schemas.openxmlformats.org/officeDocument/2006/relationships/hyperlink" Target="https://intersukupuolisuus.fi/?page_id=1206" TargetMode="External"/><Relationship Id="rId15" Type="http://schemas.openxmlformats.org/officeDocument/2006/relationships/hyperlink" Target="https://www.euractiv.com/section/politics/short_news/ban-on-female-genital-mutilation-in-finland-to-receive-clarifications/" TargetMode="External"/><Relationship Id="rId23" Type="http://schemas.openxmlformats.org/officeDocument/2006/relationships/hyperlink" Target="https://tasa-arvo.fi/documents/25249985/49416869/Ombudsman+for+Equality's+Report+to+Parliament+2018+(PDF).pdf/63a9737d-c5a3-1e00-cc4c-5118b5780c1c/Ombudsman+for+Equality's+Report+to+Parliament+2018+(PDF).pdf" TargetMode="External"/><Relationship Id="rId28" Type="http://schemas.openxmlformats.org/officeDocument/2006/relationships/hyperlink" Target="https://julkaisut.valtioneuvosto.fi/bitstream/handle/10024/79849/OMML_25_2017.pdf" TargetMode="External"/><Relationship Id="rId36" Type="http://schemas.openxmlformats.org/officeDocument/2006/relationships/hyperlink" Target="https://intersex.shadowreport.org/public/2016-CEDAW-France-NGO-Zwischengeschlecht-Intersex-IGM.pdf" TargetMode="External"/><Relationship Id="rId49" Type="http://schemas.openxmlformats.org/officeDocument/2006/relationships/hyperlink" Target="https://d56bochluxqnz.cloudfront.net/documents/full-guideline/EAU-Guidelines-on-Paediatric-Urology-2023.pdf" TargetMode="External"/><Relationship Id="rId57" Type="http://schemas.openxmlformats.org/officeDocument/2006/relationships/hyperlink" Target="https://web.archive.org/web/20220120162115/https://www.forna.fi/images/PDF_tiedostot/Pinsetit/pinsetti_2012_3.pdf" TargetMode="External"/><Relationship Id="rId10" Type="http://schemas.openxmlformats.org/officeDocument/2006/relationships/hyperlink" Target="https://intersex.shadowreport.org/public/2023-CRC-Finland-NGO-Zwischengeschlecht-Intersex-IGM.pdf" TargetMode="External"/><Relationship Id="rId31" Type="http://schemas.openxmlformats.org/officeDocument/2006/relationships/hyperlink" Target="https://julkaisut.valtioneuvosto.fi/bitstream/handle/10024/162844/STM_2021_10_J.pdf" TargetMode="External"/><Relationship Id="rId44" Type="http://schemas.openxmlformats.org/officeDocument/2006/relationships/hyperlink" Target="https://www.orpha.net/data/patho/Pro/other/Synnynnainenlisamunuaistenhyperplasia-FifiAbs648.pdf" TargetMode="External"/><Relationship Id="rId52" Type="http://schemas.openxmlformats.org/officeDocument/2006/relationships/hyperlink" Target="https://www.hus.fi/en/treatments-and-examinations/pediatric-urology" TargetMode="External"/><Relationship Id="rId60" Type="http://schemas.openxmlformats.org/officeDocument/2006/relationships/hyperlink" Target="https://www.espu.org/images/documents/ESPU_Open_Letter_to_COE_2018-01-26.pdf" TargetMode="External"/><Relationship Id="rId65" Type="http://schemas.openxmlformats.org/officeDocument/2006/relationships/hyperlink" Target="https://intersex.shadowreport.org/public/2015-CAT-Austria-VIMOE-Zwischengeschlecht-Intersex-IGM.pdf" TargetMode="External"/><Relationship Id="rId73" Type="http://schemas.openxmlformats.org/officeDocument/2006/relationships/hyperlink" Target="https://stopigm.org/post/Africa-Intersex-Survey-Documents-Intersex-Genital-Mutilation-Infanticide-Abandonment-Expulsion-Uganda-Kenya-Rwanda" TargetMode="External"/><Relationship Id="rId78" Type="http://schemas.openxmlformats.org/officeDocument/2006/relationships/hyperlink" Target="https://intersex.shadowreport.org/public/2014-CRC-Swiss-NGO-Zwischengeschlecht-Intersex-IGM_v2.pdf" TargetMode="External"/><Relationship Id="rId81" Type="http://schemas.openxmlformats.org/officeDocument/2006/relationships/hyperlink" Target="https://intersex.shadowreport.org/public/2016-CEDAW-France-NGO-Zwischengeschlecht-Intersex-IGM.pdf" TargetMode="External"/><Relationship Id="rId86" Type="http://schemas.openxmlformats.org/officeDocument/2006/relationships/hyperlink" Target="https://intersex.shadowreport.org/public/2016-CEDAW-France-NGO-Zwischengeschlecht-Intersex-IGM.pdf" TargetMode="External"/><Relationship Id="rId94" Type="http://schemas.openxmlformats.org/officeDocument/2006/relationships/hyperlink" Target="https://stopigm.org/post/Geneva-UN-Committee-against-Torture-questions-Austria-over-Intersex-Genital-Mutilations" TargetMode="External"/><Relationship Id="rId99" Type="http://schemas.openxmlformats.org/officeDocument/2006/relationships/hyperlink" Target="https://stopigm.org/post/Instrumentalizing-Intersex-Georg-Klauda-2002" TargetMode="External"/><Relationship Id="rId101" Type="http://schemas.openxmlformats.org/officeDocument/2006/relationships/hyperlink" Target="https://stopigm.org/public/S3_Zwischengeschlecht_UN-Expert-Meeting-2015_web.pdf" TargetMode="External"/><Relationship Id="rId4" Type="http://schemas.openxmlformats.org/officeDocument/2006/relationships/hyperlink" Target="https://intersex.shadowreport.org" TargetMode="External"/><Relationship Id="rId9" Type="http://schemas.openxmlformats.org/officeDocument/2006/relationships/hyperlink" Target="https://lapsiasia.fi/documents/25250457/37287625/SmerEteneLausunto2015VenholaSavolainen-Copy.pdf" TargetMode="External"/><Relationship Id="rId13" Type="http://schemas.openxmlformats.org/officeDocument/2006/relationships/hyperlink" Target="http://eige.europa.eu/sites/default/files/documents/current_situation_and_trends_of_female_genital_mutilation_in_finland_en.pdf" TargetMode="External"/><Relationship Id="rId18" Type="http://schemas.openxmlformats.org/officeDocument/2006/relationships/hyperlink" Target="https://www.amnesty.fi/amnesty-internationals-statement-to-the-united-nations-human-rights-committee-on-the-occasion-of-the-review-of-finland/" TargetMode="External"/><Relationship Id="rId39" Type="http://schemas.openxmlformats.org/officeDocument/2006/relationships/hyperlink" Target="https://um.fi/documents/35732/0/IP1709011_STUDY_ON_THE_RIGHTS_AND_EXPERIENCES_sahkoinen_5.pdf" TargetMode="External"/><Relationship Id="rId34" Type="http://schemas.openxmlformats.org/officeDocument/2006/relationships/hyperlink" Target="https://etene.fi/documents/1429646/2056382/IS-raportti20160331.pdf/58bf2412-48a9-4521-b5ae-81a3ee3bc07b/IS-raportti20160331.pdf" TargetMode="External"/><Relationship Id="rId50" Type="http://schemas.openxmlformats.org/officeDocument/2006/relationships/hyperlink" Target="https://www.terveyskyla.fi/lastentalo/tietoa-lasten-sairauksista/lasten-ja-nuorten-urologia/virtsaputken-alahalkio-(hypospadia)-pojilla" TargetMode="External"/><Relationship Id="rId55" Type="http://schemas.openxmlformats.org/officeDocument/2006/relationships/hyperlink" Target="https://www.tyks.fi/hoidot-ja-tutkimukset/sukupuolielinten-synnynnaiset-hairiot" TargetMode="External"/><Relationship Id="rId76" Type="http://schemas.openxmlformats.org/officeDocument/2006/relationships/hyperlink" Target="https://stopigm.org/post/Denial-of-Needed-Health-Care-Intersex-in-Nepal-Pt-3" TargetMode="External"/><Relationship Id="rId97" Type="http://schemas.openxmlformats.org/officeDocument/2006/relationships/hyperlink" Target="https://intersex.shadowreport.org/public/2017-CRPD-UK-NGO-Coalition-Intersex-IGM.pdf" TargetMode="External"/><Relationship Id="rId104" Type="http://schemas.openxmlformats.org/officeDocument/2006/relationships/hyperlink" Target="http://intersex.shadowreport.org/public/2020-CRC-France-LOIPR-NGO-Intersex-IGM.pdf" TargetMode="External"/><Relationship Id="rId7" Type="http://schemas.openxmlformats.org/officeDocument/2006/relationships/hyperlink" Target="https://www.youtube.com/watch?v=riNtxjntqZE" TargetMode="External"/><Relationship Id="rId71" Type="http://schemas.openxmlformats.org/officeDocument/2006/relationships/hyperlink" Target="http://www.bbc.com/news/world-africa-39780214" TargetMode="External"/><Relationship Id="rId92" Type="http://schemas.openxmlformats.org/officeDocument/2006/relationships/hyperlink" Target="https://stopigm.org/post/NZ-to-be-Questioned-over-Intersex-Genital-Mutilations-by-UN-Committee-on-the-Rights-of-the-Child" TargetMode="External"/><Relationship Id="rId2" Type="http://schemas.openxmlformats.org/officeDocument/2006/relationships/hyperlink" Target="https://StopIGM.org" TargetMode="External"/><Relationship Id="rId29" Type="http://schemas.openxmlformats.org/officeDocument/2006/relationships/hyperlink" Target="https://web.archive.org/web/20230326112622/https://valtioneuvosto.fi/en/marin/government-programme/strengthening-the-rule-of-law" TargetMode="External"/><Relationship Id="rId24" Type="http://schemas.openxmlformats.org/officeDocument/2006/relationships/hyperlink" Target="https://www.youtube.com/watch?v=riNtxjntqZE" TargetMode="External"/><Relationship Id="rId40" Type="http://schemas.openxmlformats.org/officeDocument/2006/relationships/hyperlink" Target="https://intersex.shadowreport.org/public/2016-CEDAW-France-NGO-Zwischengeschlecht-Intersex-IGM.pdf" TargetMode="External"/><Relationship Id="rId45" Type="http://schemas.openxmlformats.org/officeDocument/2006/relationships/hyperlink" Target="http://laakarinkirja.info/tauti/congenitaalinen-lisamunuaisen-hyperplasia.html" TargetMode="External"/><Relationship Id="rId66" Type="http://schemas.openxmlformats.org/officeDocument/2006/relationships/hyperlink" Target="https://intersex.shadowreport.org/public/2018-CEDAW-Nepal-NGO-Intersex-IGM.pdf" TargetMode="External"/><Relationship Id="rId87" Type="http://schemas.openxmlformats.org/officeDocument/2006/relationships/hyperlink" Target="https://stopigm.org/post/ACHPR-African-Commissioner-warns-Stop-conflating-intersex-and-LGBT" TargetMode="External"/><Relationship Id="rId61" Type="http://schemas.openxmlformats.org/officeDocument/2006/relationships/hyperlink" Target="https://www.ncbi.nlm.nih.gov/pmc/articles/PMC5911703/pdf/ec-7-595.pdf" TargetMode="External"/><Relationship Id="rId82" Type="http://schemas.openxmlformats.org/officeDocument/2006/relationships/hyperlink" Target="http://www.ohchr.org/EN/NewsEvents/Pages/DisplayNews.aspx?NewsID=20739&amp;LangID=E" TargetMode="External"/><Relationship Id="rId19" Type="http://schemas.openxmlformats.org/officeDocument/2006/relationships/hyperlink" Target="https://etene.fi/documents/1429646/1561478/2016+POSITION+STATEMENT+intersex/77dc4b30-2a6d-4811-aa99-c30032f400b0/2016+POSITION+STATEMENT+intersex.pdf" TargetMode="External"/><Relationship Id="rId14" Type="http://schemas.openxmlformats.org/officeDocument/2006/relationships/hyperlink" Target="https://yle.fi/uutiset/osasto/news/parliament_votes_to_clarify_finlands_fgm_laws/11635308" TargetMode="External"/><Relationship Id="rId30" Type="http://schemas.openxmlformats.org/officeDocument/2006/relationships/hyperlink" Target="https://www.dfat.gov.au/international-relations/themes/human-rights/hrc-statements/45th-session-human-rights-council/joint-statement-led-austria-rights-intersex-persons" TargetMode="External"/><Relationship Id="rId35" Type="http://schemas.openxmlformats.org/officeDocument/2006/relationships/hyperlink" Target="https://um.fi/documents/35732/0/IP1709011_STUDY_ON_THE_RIGHTS_AND_EXPERIENCES_sahkoinen_5.pdf" TargetMode="External"/><Relationship Id="rId56" Type="http://schemas.openxmlformats.org/officeDocument/2006/relationships/hyperlink" Target="https://web.archive.org/web/20220120091626/https://www.psshp.fi/documents/7796350/7871976/Liite2.pdf/d76808ff-6526-484d-8e2b-16af91e70e88" TargetMode="External"/><Relationship Id="rId77" Type="http://schemas.openxmlformats.org/officeDocument/2006/relationships/hyperlink" Target="https://76crimes.com/2015/12/23/intersex-in-kenya-held-captive-beaten-hacked-dead/" TargetMode="External"/><Relationship Id="rId100" Type="http://schemas.openxmlformats.org/officeDocument/2006/relationships/hyperlink" Target="https://stopigm.org/post/Amnesty-Report-fails-Intersex-Children-and-IGM-Survivors" TargetMode="External"/><Relationship Id="rId105" Type="http://schemas.openxmlformats.org/officeDocument/2006/relationships/hyperlink" Target="https://intersex.shadowreport.org/public/2019-CRC-Austria-NGO-Zwischengeschlecht-Intersex-IGM.pdf" TargetMode="External"/><Relationship Id="rId8" Type="http://schemas.openxmlformats.org/officeDocument/2006/relationships/hyperlink" Target="https://ihra.org.au/7867/mika-venhola-video/" TargetMode="External"/><Relationship Id="rId51" Type="http://schemas.openxmlformats.org/officeDocument/2006/relationships/hyperlink" Target="https://um.fi/documents/35732/0/IP1709011_STUDY_ON_THE_RIGHTS_AND_EXPERIENCES_sahkoinen_5.pdf" TargetMode="External"/><Relationship Id="rId72" Type="http://schemas.openxmlformats.org/officeDocument/2006/relationships/hyperlink" Target="https://stopigm.org/post/CEDAW70-Mexico-Joint-Intersex-NGO-Statement-05-07-2018" TargetMode="External"/><Relationship Id="rId93" Type="http://schemas.openxmlformats.org/officeDocument/2006/relationships/hyperlink" Target="https://stopigm.org/post/Pinkwashing-of-Intersex-Genital-Mutilations-at-the-UN-CCPR120" TargetMode="External"/><Relationship Id="rId98" Type="http://schemas.openxmlformats.org/officeDocument/2006/relationships/hyperlink" Target="https://stopigm.org/post/UK-Questioned-over-Intersex-Genital-Mutilations-by-UN-Committee-on-the-Rights-of-Persons-with-Disabilities-CRPD" TargetMode="External"/><Relationship Id="rId3" Type="http://schemas.openxmlformats.org/officeDocument/2006/relationships/hyperlink" Target="https://zwischengeschlecht.org/post/Statuten" TargetMode="External"/><Relationship Id="rId25" Type="http://schemas.openxmlformats.org/officeDocument/2006/relationships/hyperlink" Target="https://ihra.org.au/7867/mika-venhola-video/" TargetMode="External"/><Relationship Id="rId46" Type="http://schemas.openxmlformats.org/officeDocument/2006/relationships/hyperlink" Target="https://www.utu.fi/sites/default/files/public%3A//media/file/EL_opas%202017-19_final%20-%20v1118.pdf" TargetMode="External"/><Relationship Id="rId67" Type="http://schemas.openxmlformats.org/officeDocument/2006/relationships/hyperlink" Target="https://intersex.shadowreport.org/public/2016-CRC-ZA-NGO-Zwischengeschlecht-Intersex-IGM.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D0A87-AD23-4C9A-A5E9-9046F1877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7972</Words>
  <Characters>45445</Characters>
  <Application>Microsoft Office Word</Application>
  <DocSecurity>4</DocSecurity>
  <Lines>378</Lines>
  <Paragraphs>106</Paragraphs>
  <ScaleCrop>false</ScaleCrop>
  <HeadingPairs>
    <vt:vector size="2" baseType="variant">
      <vt:variant>
        <vt:lpstr>Titel</vt:lpstr>
      </vt:variant>
      <vt:variant>
        <vt:i4>1</vt:i4>
      </vt:variant>
    </vt:vector>
  </HeadingPairs>
  <TitlesOfParts>
    <vt:vector size="1" baseType="lpstr">
      <vt:lpstr>Intersex Genital Mutilation - CAT Finland NGO Report 2024</vt:lpstr>
    </vt:vector>
  </TitlesOfParts>
  <Company>Microsoft</Company>
  <LinksUpToDate>false</LinksUpToDate>
  <CharactersWithSpaces>53311</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CAT Finland NGO Report 2024</dc:title>
  <dc:subject>NGO Report (for Session) to the 8th Report of Finland on the Convention against Torture (CAT)</dc:subject>
  <dc:creator>StopIGM.org / Zwischengeschlecht.org (Markus Bauer, Daniela Truffer)</dc:creator>
  <cp:lastModifiedBy>Youssef Hamdan</cp:lastModifiedBy>
  <cp:revision>2</cp:revision>
  <cp:lastPrinted>2019-08-16T04:46:00Z</cp:lastPrinted>
  <dcterms:created xsi:type="dcterms:W3CDTF">2024-03-21T11:03:00Z</dcterms:created>
  <dcterms:modified xsi:type="dcterms:W3CDTF">2024-03-21T11:03:00Z</dcterms:modified>
</cp:coreProperties>
</file>