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496802437" w:displacedByCustomXml="next"/>
    <w:bookmarkStart w:id="2" w:name="_Toc496802328" w:displacedByCustomXml="next"/>
    <w:sdt>
      <w:sdtPr>
        <w:rPr>
          <w:rFonts w:eastAsiaTheme="majorEastAsia" w:cstheme="majorBidi"/>
          <w:b/>
          <w:bCs/>
          <w:color w:val="B0050D"/>
          <w:sz w:val="28"/>
          <w:szCs w:val="28"/>
          <w:lang w:eastAsia="de-CH"/>
        </w:rPr>
        <w:id w:val="1365328086"/>
        <w:docPartObj>
          <w:docPartGallery w:val="Cover Pages"/>
          <w:docPartUnique/>
        </w:docPartObj>
      </w:sdtPr>
      <w:sdtEndPr>
        <w:rPr>
          <w:i/>
          <w:iCs/>
          <w:noProof/>
          <w:color w:val="auto"/>
          <w:sz w:val="24"/>
          <w:szCs w:val="20"/>
        </w:rPr>
      </w:sdtEndPr>
      <w:sdtContent>
        <w:p w14:paraId="323B3D5B" w14:textId="77777777" w:rsidR="00CC6722" w:rsidRPr="00F756DE" w:rsidRDefault="00CC6722" w:rsidP="00453053">
          <w:pPr>
            <w:pStyle w:val="BodyText"/>
            <w:tabs>
              <w:tab w:val="right" w:pos="9072"/>
            </w:tabs>
          </w:pPr>
          <w:r w:rsidRPr="00F756DE">
            <w:rPr>
              <w:noProof/>
              <w:lang w:val="en-GB" w:eastAsia="en-GB"/>
            </w:rPr>
            <w:drawing>
              <wp:inline distT="0" distB="0" distL="0" distR="0" wp14:anchorId="2A701B9A" wp14:editId="29DFB4FE">
                <wp:extent cx="1571844" cy="971686"/>
                <wp:effectExtent l="0" t="0" r="0" b="0"/>
                <wp:docPr id="3" name="Grafik 3" descr="Inclusion Handicap&#10;Mühlemattstrasse 14a&#10;3007 Bern&#10;info@inclusion-handicap.ch&#10;www.inclusion-handicpa.ch&#10;" title="Adresskopf von Inclusion Handi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eschäftsstelle Bern.png"/>
                        <pic:cNvPicPr/>
                      </pic:nvPicPr>
                      <pic:blipFill>
                        <a:blip r:embed="rId9">
                          <a:extLst>
                            <a:ext uri="{28A0092B-C50C-407E-A947-70E740481C1C}">
                              <a14:useLocalDpi xmlns:a14="http://schemas.microsoft.com/office/drawing/2010/main" val="0"/>
                            </a:ext>
                          </a:extLst>
                        </a:blip>
                        <a:stretch>
                          <a:fillRect/>
                        </a:stretch>
                      </pic:blipFill>
                      <pic:spPr>
                        <a:xfrm>
                          <a:off x="0" y="0"/>
                          <a:ext cx="1571844" cy="971686"/>
                        </a:xfrm>
                        <a:prstGeom prst="rect">
                          <a:avLst/>
                        </a:prstGeom>
                      </pic:spPr>
                    </pic:pic>
                  </a:graphicData>
                </a:graphic>
              </wp:inline>
            </w:drawing>
          </w:r>
          <w:r w:rsidR="008C2ED6" w:rsidRPr="00F756DE">
            <w:rPr>
              <w:noProof/>
              <w:lang w:val="en-GB" w:eastAsia="en-GB"/>
            </w:rPr>
            <w:drawing>
              <wp:anchor distT="0" distB="0" distL="114300" distR="114300" simplePos="0" relativeHeight="251658240" behindDoc="1" locked="0" layoutInCell="1" allowOverlap="1" wp14:anchorId="062F4A25" wp14:editId="5F3C270F">
                <wp:simplePos x="2486025" y="1076325"/>
                <wp:positionH relativeFrom="margin">
                  <wp:align>right</wp:align>
                </wp:positionH>
                <wp:positionV relativeFrom="margin">
                  <wp:align>top</wp:align>
                </wp:positionV>
                <wp:extent cx="1814195" cy="1738630"/>
                <wp:effectExtent l="0" t="0" r="0" b="0"/>
                <wp:wrapNone/>
                <wp:docPr id="5" name="Grafik 5" descr="Logo von Inclusion Handicap. Dachverband der Behindertenorganisationen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eutsch.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4195" cy="1738630"/>
                        </a:xfrm>
                        <a:prstGeom prst="rect">
                          <a:avLst/>
                        </a:prstGeom>
                      </pic:spPr>
                    </pic:pic>
                  </a:graphicData>
                </a:graphic>
              </wp:anchor>
            </w:drawing>
          </w:r>
        </w:p>
        <w:p w14:paraId="25ADA227" w14:textId="77777777" w:rsidR="00F756DE" w:rsidRPr="00F756DE" w:rsidRDefault="00F756DE" w:rsidP="00F756DE">
          <w:pPr>
            <w:pStyle w:val="Title"/>
            <w:spacing w:before="3120"/>
          </w:pPr>
          <w:bookmarkStart w:id="3" w:name="_Toc94689646"/>
          <w:bookmarkStart w:id="4" w:name="_Toc95500321"/>
          <w:bookmarkStart w:id="5" w:name="_Toc96287592"/>
          <w:r w:rsidRPr="00F756DE">
            <w:t>Rapport alternatif actualisé</w:t>
          </w:r>
          <w:bookmarkEnd w:id="3"/>
          <w:bookmarkEnd w:id="4"/>
          <w:bookmarkEnd w:id="5"/>
        </w:p>
        <w:p w14:paraId="113280B2" w14:textId="77777777" w:rsidR="00F756DE" w:rsidRPr="00F756DE" w:rsidRDefault="00F756DE" w:rsidP="00F756DE">
          <w:pPr>
            <w:pStyle w:val="Untertitel2"/>
            <w:rPr>
              <w:lang w:val="fr-CH"/>
            </w:rPr>
          </w:pPr>
          <w:r w:rsidRPr="00F756DE">
            <w:rPr>
              <w:lang w:val="fr-CH"/>
            </w:rPr>
            <w:t>Rapport de la société civile présenté à l’occasion de la première procédure de rapport des États devant le Comité des droits des personnes handicapées de l’ONU</w:t>
          </w:r>
        </w:p>
        <w:sdt>
          <w:sdtPr>
            <w:alias w:val="axesPDF - Artefakt"/>
            <w:tag w:val="axesPDF:FigureArtifact"/>
            <w:id w:val="-576823571"/>
            <w:placeholder>
              <w:docPart w:val="438D643B7505479B9DF7A77A3631C5AD"/>
            </w:placeholder>
          </w:sdtPr>
          <w:sdtEndPr/>
          <w:sdtContent>
            <w:p w14:paraId="597FEDED" w14:textId="77777777" w:rsidR="00CC6722" w:rsidRPr="00F756DE" w:rsidRDefault="00CC6722" w:rsidP="00126BDC">
              <w:pPr>
                <w:spacing w:before="2160"/>
                <w:jc w:val="center"/>
              </w:pPr>
              <w:r w:rsidRPr="00F756DE">
                <w:rPr>
                  <w:noProof/>
                  <w:lang w:val="en-GB" w:eastAsia="en-GB"/>
                </w:rPr>
                <w:drawing>
                  <wp:inline distT="0" distB="0" distL="0" distR="0" wp14:anchorId="21B35E71" wp14:editId="793ACF6B">
                    <wp:extent cx="1022400" cy="1072800"/>
                    <wp:effectExtent l="0" t="0" r="635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uadrat_gross.png"/>
                            <pic:cNvPicPr/>
                          </pic:nvPicPr>
                          <pic:blipFill>
                            <a:blip r:embed="rId11">
                              <a:extLst>
                                <a:ext uri="{28A0092B-C50C-407E-A947-70E740481C1C}">
                                  <a14:useLocalDpi xmlns:a14="http://schemas.microsoft.com/office/drawing/2010/main" val="0"/>
                                </a:ext>
                              </a:extLst>
                            </a:blip>
                            <a:stretch>
                              <a:fillRect/>
                            </a:stretch>
                          </pic:blipFill>
                          <pic:spPr>
                            <a:xfrm>
                              <a:off x="0" y="0"/>
                              <a:ext cx="1022400" cy="1072800"/>
                            </a:xfrm>
                            <a:prstGeom prst="rect">
                              <a:avLst/>
                            </a:prstGeom>
                          </pic:spPr>
                        </pic:pic>
                      </a:graphicData>
                    </a:graphic>
                  </wp:inline>
                </w:drawing>
              </w:r>
            </w:p>
          </w:sdtContent>
        </w:sdt>
        <w:p w14:paraId="1BD77EF5" w14:textId="3DA20929" w:rsidR="00CC6722" w:rsidRPr="006D1641" w:rsidRDefault="00102996" w:rsidP="00574550">
          <w:pPr>
            <w:pStyle w:val="Date"/>
            <w:rPr>
              <w:lang w:val="de-CH"/>
            </w:rPr>
          </w:pPr>
          <w:r w:rsidRPr="00DE7156">
            <w:rPr>
              <w:lang w:val="de-CH"/>
            </w:rPr>
            <w:t>Bern</w:t>
          </w:r>
          <w:r w:rsidR="00F756DE" w:rsidRPr="00DE7156">
            <w:rPr>
              <w:lang w:val="de-CH"/>
            </w:rPr>
            <w:t>e</w:t>
          </w:r>
          <w:r w:rsidRPr="00DE7156">
            <w:rPr>
              <w:lang w:val="de-CH"/>
            </w:rPr>
            <w:t xml:space="preserve">, </w:t>
          </w:r>
          <w:r w:rsidR="00DE7156" w:rsidRPr="00DE7156">
            <w:rPr>
              <w:lang w:val="de-CH"/>
            </w:rPr>
            <w:t xml:space="preserve">13 </w:t>
          </w:r>
          <w:r w:rsidR="00F756DE" w:rsidRPr="00DE7156">
            <w:rPr>
              <w:lang w:val="de-CH"/>
            </w:rPr>
            <w:t>février</w:t>
          </w:r>
          <w:r w:rsidRPr="00DE7156">
            <w:rPr>
              <w:lang w:val="de-CH"/>
            </w:rPr>
            <w:t xml:space="preserve"> 2022</w:t>
          </w:r>
        </w:p>
        <w:p w14:paraId="352E3906" w14:textId="02DC2F1B" w:rsidR="00C25235" w:rsidRPr="006D1641" w:rsidRDefault="00C25235" w:rsidP="00CC6722">
          <w:pPr>
            <w:pStyle w:val="BodyTextIndent2"/>
            <w:rPr>
              <w:noProof/>
              <w:lang w:val="de-CH"/>
            </w:rPr>
          </w:pPr>
        </w:p>
        <w:p w14:paraId="494E619D" w14:textId="77777777" w:rsidR="00585414" w:rsidRPr="00F756DE" w:rsidRDefault="00C25235" w:rsidP="00102996">
          <w:pPr>
            <w:pStyle w:val="Heading3"/>
            <w:numPr>
              <w:ilvl w:val="0"/>
              <w:numId w:val="0"/>
            </w:numPr>
            <w:rPr>
              <w:noProof/>
            </w:rPr>
          </w:pPr>
          <w:r w:rsidRPr="006D1641">
            <w:rPr>
              <w:noProof/>
              <w:lang w:val="de-CH"/>
            </w:rPr>
            <w:br w:type="page"/>
          </w:r>
        </w:p>
        <w:bookmarkEnd w:id="1" w:displacedByCustomXml="next"/>
        <w:bookmarkEnd w:id="2" w:displacedByCustomXml="next"/>
      </w:sdtContent>
    </w:sdt>
    <w:p w14:paraId="5F0393FB" w14:textId="66B50465" w:rsidR="00585414" w:rsidRPr="00F756DE" w:rsidRDefault="00255D49" w:rsidP="00F756DE">
      <w:pPr>
        <w:pStyle w:val="Heading2"/>
        <w:numPr>
          <w:ilvl w:val="0"/>
          <w:numId w:val="0"/>
        </w:numPr>
        <w:tabs>
          <w:tab w:val="left" w:pos="7671"/>
        </w:tabs>
        <w:ind w:left="340" w:hanging="340"/>
        <w:rPr>
          <w:noProof/>
        </w:rPr>
      </w:pPr>
      <w:bookmarkStart w:id="6" w:name="_Toc96287593"/>
      <w:r>
        <w:rPr>
          <w:noProof/>
        </w:rPr>
        <w:lastRenderedPageBreak/>
        <w:t>Sommaire</w:t>
      </w:r>
      <w:bookmarkEnd w:id="6"/>
    </w:p>
    <w:bookmarkStart w:id="7" w:name="_Toc94709288" w:displacedByCustomXml="next"/>
    <w:bookmarkStart w:id="8" w:name="_Toc94689648" w:displacedByCustomXml="next"/>
    <w:sdt>
      <w:sdtPr>
        <w:rPr>
          <w:b w:val="0"/>
          <w:color w:val="auto"/>
        </w:rPr>
        <w:id w:val="-352574653"/>
        <w:docPartObj>
          <w:docPartGallery w:val="Table of Contents"/>
          <w:docPartUnique/>
        </w:docPartObj>
      </w:sdtPr>
      <w:sdtEndPr>
        <w:rPr>
          <w:bCs/>
          <w:sz w:val="20"/>
          <w:szCs w:val="20"/>
        </w:rPr>
      </w:sdtEndPr>
      <w:sdtContent>
        <w:bookmarkEnd w:id="8" w:displacedByCustomXml="prev"/>
        <w:bookmarkEnd w:id="7" w:displacedByCustomXml="prev"/>
        <w:p w14:paraId="3E49B37E" w14:textId="21401167" w:rsidR="001A3756" w:rsidRDefault="00924B3D">
          <w:pPr>
            <w:pStyle w:val="TOC1"/>
            <w:rPr>
              <w:rFonts w:asciiTheme="minorHAnsi" w:eastAsiaTheme="minorEastAsia" w:hAnsiTheme="minorHAnsi" w:cstheme="minorBidi"/>
              <w:b w:val="0"/>
              <w:noProof/>
              <w:color w:val="auto"/>
              <w:sz w:val="22"/>
              <w:lang w:val="de-CH" w:eastAsia="de-CH"/>
            </w:rPr>
          </w:pPr>
          <w:r w:rsidRPr="00F756DE">
            <w:rPr>
              <w:sz w:val="20"/>
              <w:szCs w:val="20"/>
            </w:rPr>
            <w:fldChar w:fldCharType="begin"/>
          </w:r>
          <w:r w:rsidRPr="00F756DE">
            <w:rPr>
              <w:sz w:val="20"/>
              <w:szCs w:val="20"/>
            </w:rPr>
            <w:instrText xml:space="preserve"> TOC \o "1-3" \h \z \u </w:instrText>
          </w:r>
          <w:r w:rsidRPr="00F756DE">
            <w:rPr>
              <w:sz w:val="20"/>
              <w:szCs w:val="20"/>
            </w:rPr>
            <w:fldChar w:fldCharType="separate"/>
          </w:r>
          <w:hyperlink w:anchor="_Toc96287592" w:history="1">
            <w:r w:rsidR="001A3756" w:rsidRPr="001A3756">
              <w:rPr>
                <w:rStyle w:val="Hyperlink"/>
                <w:noProof/>
                <w:highlight w:val="magenta"/>
              </w:rPr>
              <w:t>Rapport alternatif actualisé</w:t>
            </w:r>
            <w:r w:rsidR="001A3756">
              <w:rPr>
                <w:noProof/>
                <w:webHidden/>
              </w:rPr>
              <w:tab/>
            </w:r>
            <w:r w:rsidR="001A3756">
              <w:rPr>
                <w:noProof/>
                <w:webHidden/>
              </w:rPr>
              <w:fldChar w:fldCharType="begin"/>
            </w:r>
            <w:r w:rsidR="001A3756">
              <w:rPr>
                <w:noProof/>
                <w:webHidden/>
              </w:rPr>
              <w:instrText xml:space="preserve"> PAGEREF _Toc96287592 \h </w:instrText>
            </w:r>
            <w:r w:rsidR="001A3756">
              <w:rPr>
                <w:noProof/>
                <w:webHidden/>
              </w:rPr>
            </w:r>
            <w:r w:rsidR="001A3756">
              <w:rPr>
                <w:noProof/>
                <w:webHidden/>
              </w:rPr>
              <w:fldChar w:fldCharType="separate"/>
            </w:r>
            <w:r w:rsidR="001A3756">
              <w:rPr>
                <w:noProof/>
                <w:webHidden/>
              </w:rPr>
              <w:t>0</w:t>
            </w:r>
            <w:r w:rsidR="001A3756">
              <w:rPr>
                <w:noProof/>
                <w:webHidden/>
              </w:rPr>
              <w:fldChar w:fldCharType="end"/>
            </w:r>
          </w:hyperlink>
        </w:p>
        <w:p w14:paraId="2C77C1B7" w14:textId="39C664EC" w:rsidR="001A3756" w:rsidRDefault="00620C58">
          <w:pPr>
            <w:pStyle w:val="TOC2"/>
            <w:rPr>
              <w:rFonts w:asciiTheme="minorHAnsi" w:eastAsiaTheme="minorEastAsia" w:hAnsiTheme="minorHAnsi" w:cstheme="minorBidi"/>
              <w:b w:val="0"/>
              <w:sz w:val="22"/>
              <w:lang w:val="de-CH" w:eastAsia="de-CH"/>
            </w:rPr>
          </w:pPr>
          <w:hyperlink w:anchor="_Toc96287593" w:history="1">
            <w:r w:rsidR="001A3756" w:rsidRPr="000422AF">
              <w:rPr>
                <w:rStyle w:val="Hyperlink"/>
              </w:rPr>
              <w:t>Sommaire</w:t>
            </w:r>
            <w:r w:rsidR="001A3756">
              <w:rPr>
                <w:webHidden/>
              </w:rPr>
              <w:tab/>
            </w:r>
            <w:r w:rsidR="001A3756">
              <w:rPr>
                <w:webHidden/>
              </w:rPr>
              <w:fldChar w:fldCharType="begin"/>
            </w:r>
            <w:r w:rsidR="001A3756">
              <w:rPr>
                <w:webHidden/>
              </w:rPr>
              <w:instrText xml:space="preserve"> PAGEREF _Toc96287593 \h </w:instrText>
            </w:r>
            <w:r w:rsidR="001A3756">
              <w:rPr>
                <w:webHidden/>
              </w:rPr>
            </w:r>
            <w:r w:rsidR="001A3756">
              <w:rPr>
                <w:webHidden/>
              </w:rPr>
              <w:fldChar w:fldCharType="separate"/>
            </w:r>
            <w:r w:rsidR="001A3756">
              <w:rPr>
                <w:webHidden/>
              </w:rPr>
              <w:t>1</w:t>
            </w:r>
            <w:r w:rsidR="001A3756">
              <w:rPr>
                <w:webHidden/>
              </w:rPr>
              <w:fldChar w:fldCharType="end"/>
            </w:r>
          </w:hyperlink>
        </w:p>
        <w:p w14:paraId="094F5443" w14:textId="13EDBDA3" w:rsidR="001A3756" w:rsidRDefault="00620C58">
          <w:pPr>
            <w:pStyle w:val="TOC2"/>
            <w:rPr>
              <w:rFonts w:asciiTheme="minorHAnsi" w:eastAsiaTheme="minorEastAsia" w:hAnsiTheme="minorHAnsi" w:cstheme="minorBidi"/>
              <w:b w:val="0"/>
              <w:sz w:val="22"/>
              <w:lang w:val="de-CH" w:eastAsia="de-CH"/>
            </w:rPr>
          </w:pPr>
          <w:hyperlink w:anchor="_Toc96287594" w:history="1">
            <w:r w:rsidR="001A3756" w:rsidRPr="000422AF">
              <w:rPr>
                <w:rStyle w:val="Hyperlink"/>
              </w:rPr>
              <w:t>1. Introduction</w:t>
            </w:r>
            <w:r w:rsidR="001A3756">
              <w:rPr>
                <w:webHidden/>
              </w:rPr>
              <w:tab/>
            </w:r>
            <w:r w:rsidR="001A3756">
              <w:rPr>
                <w:webHidden/>
              </w:rPr>
              <w:fldChar w:fldCharType="begin"/>
            </w:r>
            <w:r w:rsidR="001A3756">
              <w:rPr>
                <w:webHidden/>
              </w:rPr>
              <w:instrText xml:space="preserve"> PAGEREF _Toc96287594 \h </w:instrText>
            </w:r>
            <w:r w:rsidR="001A3756">
              <w:rPr>
                <w:webHidden/>
              </w:rPr>
            </w:r>
            <w:r w:rsidR="001A3756">
              <w:rPr>
                <w:webHidden/>
              </w:rPr>
              <w:fldChar w:fldCharType="separate"/>
            </w:r>
            <w:r w:rsidR="001A3756">
              <w:rPr>
                <w:webHidden/>
              </w:rPr>
              <w:t>3</w:t>
            </w:r>
            <w:r w:rsidR="001A3756">
              <w:rPr>
                <w:webHidden/>
              </w:rPr>
              <w:fldChar w:fldCharType="end"/>
            </w:r>
          </w:hyperlink>
        </w:p>
        <w:p w14:paraId="43604C75" w14:textId="2B1454C1" w:rsidR="001A3756" w:rsidRDefault="00620C58">
          <w:pPr>
            <w:pStyle w:val="TOC2"/>
            <w:rPr>
              <w:rFonts w:asciiTheme="minorHAnsi" w:eastAsiaTheme="minorEastAsia" w:hAnsiTheme="minorHAnsi" w:cstheme="minorBidi"/>
              <w:b w:val="0"/>
              <w:sz w:val="22"/>
              <w:lang w:val="de-CH" w:eastAsia="de-CH"/>
            </w:rPr>
          </w:pPr>
          <w:hyperlink w:anchor="_Toc96287595" w:history="1">
            <w:r w:rsidR="001A3756" w:rsidRPr="000422AF">
              <w:rPr>
                <w:rStyle w:val="Hyperlink"/>
              </w:rPr>
              <w:t>2. Appréciation générale</w:t>
            </w:r>
            <w:r w:rsidR="001A3756">
              <w:rPr>
                <w:webHidden/>
              </w:rPr>
              <w:tab/>
            </w:r>
            <w:r w:rsidR="001A3756">
              <w:rPr>
                <w:webHidden/>
              </w:rPr>
              <w:fldChar w:fldCharType="begin"/>
            </w:r>
            <w:r w:rsidR="001A3756">
              <w:rPr>
                <w:webHidden/>
              </w:rPr>
              <w:instrText xml:space="preserve"> PAGEREF _Toc96287595 \h </w:instrText>
            </w:r>
            <w:r w:rsidR="001A3756">
              <w:rPr>
                <w:webHidden/>
              </w:rPr>
            </w:r>
            <w:r w:rsidR="001A3756">
              <w:rPr>
                <w:webHidden/>
              </w:rPr>
              <w:fldChar w:fldCharType="separate"/>
            </w:r>
            <w:r w:rsidR="001A3756">
              <w:rPr>
                <w:webHidden/>
              </w:rPr>
              <w:t>4</w:t>
            </w:r>
            <w:r w:rsidR="001A3756">
              <w:rPr>
                <w:webHidden/>
              </w:rPr>
              <w:fldChar w:fldCharType="end"/>
            </w:r>
          </w:hyperlink>
        </w:p>
        <w:p w14:paraId="6061EE3B" w14:textId="2B2BE31E" w:rsidR="001A3756" w:rsidRDefault="00620C58">
          <w:pPr>
            <w:pStyle w:val="TOC2"/>
            <w:rPr>
              <w:rFonts w:asciiTheme="minorHAnsi" w:eastAsiaTheme="minorEastAsia" w:hAnsiTheme="minorHAnsi" w:cstheme="minorBidi"/>
              <w:b w:val="0"/>
              <w:sz w:val="22"/>
              <w:lang w:val="de-CH" w:eastAsia="de-CH"/>
            </w:rPr>
          </w:pPr>
          <w:hyperlink w:anchor="_Toc96287596" w:history="1">
            <w:r w:rsidR="001A3756" w:rsidRPr="000422AF">
              <w:rPr>
                <w:rStyle w:val="Hyperlink"/>
                <w:rFonts w:eastAsia="MS Gothic"/>
              </w:rPr>
              <w:t>3. Dispositions générales de la Convention: art. 1 à 4 CDPH</w:t>
            </w:r>
            <w:r w:rsidR="001A3756">
              <w:rPr>
                <w:webHidden/>
              </w:rPr>
              <w:tab/>
            </w:r>
            <w:r w:rsidR="001A3756">
              <w:rPr>
                <w:webHidden/>
              </w:rPr>
              <w:fldChar w:fldCharType="begin"/>
            </w:r>
            <w:r w:rsidR="001A3756">
              <w:rPr>
                <w:webHidden/>
              </w:rPr>
              <w:instrText xml:space="preserve"> PAGEREF _Toc96287596 \h </w:instrText>
            </w:r>
            <w:r w:rsidR="001A3756">
              <w:rPr>
                <w:webHidden/>
              </w:rPr>
            </w:r>
            <w:r w:rsidR="001A3756">
              <w:rPr>
                <w:webHidden/>
              </w:rPr>
              <w:fldChar w:fldCharType="separate"/>
            </w:r>
            <w:r w:rsidR="001A3756">
              <w:rPr>
                <w:webHidden/>
              </w:rPr>
              <w:t>6</w:t>
            </w:r>
            <w:r w:rsidR="001A3756">
              <w:rPr>
                <w:webHidden/>
              </w:rPr>
              <w:fldChar w:fldCharType="end"/>
            </w:r>
          </w:hyperlink>
        </w:p>
        <w:p w14:paraId="27FD4373" w14:textId="2D0DF1C6" w:rsidR="001A3756" w:rsidRDefault="00620C58">
          <w:pPr>
            <w:pStyle w:val="TOC2"/>
            <w:rPr>
              <w:rFonts w:asciiTheme="minorHAnsi" w:eastAsiaTheme="minorEastAsia" w:hAnsiTheme="minorHAnsi" w:cstheme="minorBidi"/>
              <w:b w:val="0"/>
              <w:sz w:val="22"/>
              <w:lang w:val="de-CH" w:eastAsia="de-CH"/>
            </w:rPr>
          </w:pPr>
          <w:hyperlink w:anchor="_Toc96287597" w:history="1">
            <w:r w:rsidR="001A3756" w:rsidRPr="000422AF">
              <w:rPr>
                <w:rStyle w:val="Hyperlink"/>
                <w:rFonts w:eastAsia="MS Gothic"/>
              </w:rPr>
              <w:t>4. Droits spécifiques</w:t>
            </w:r>
            <w:r w:rsidR="001A3756">
              <w:rPr>
                <w:webHidden/>
              </w:rPr>
              <w:tab/>
            </w:r>
            <w:r w:rsidR="001A3756">
              <w:rPr>
                <w:webHidden/>
              </w:rPr>
              <w:fldChar w:fldCharType="begin"/>
            </w:r>
            <w:r w:rsidR="001A3756">
              <w:rPr>
                <w:webHidden/>
              </w:rPr>
              <w:instrText xml:space="preserve"> PAGEREF _Toc96287597 \h </w:instrText>
            </w:r>
            <w:r w:rsidR="001A3756">
              <w:rPr>
                <w:webHidden/>
              </w:rPr>
            </w:r>
            <w:r w:rsidR="001A3756">
              <w:rPr>
                <w:webHidden/>
              </w:rPr>
              <w:fldChar w:fldCharType="separate"/>
            </w:r>
            <w:r w:rsidR="001A3756">
              <w:rPr>
                <w:webHidden/>
              </w:rPr>
              <w:t>10</w:t>
            </w:r>
            <w:r w:rsidR="001A3756">
              <w:rPr>
                <w:webHidden/>
              </w:rPr>
              <w:fldChar w:fldCharType="end"/>
            </w:r>
          </w:hyperlink>
        </w:p>
        <w:p w14:paraId="3A11497A" w14:textId="3F996B03" w:rsidR="001A3756" w:rsidRDefault="00620C58">
          <w:pPr>
            <w:pStyle w:val="TOC3"/>
            <w:rPr>
              <w:rFonts w:asciiTheme="minorHAnsi" w:eastAsiaTheme="minorEastAsia" w:hAnsiTheme="minorHAnsi" w:cstheme="minorBidi"/>
              <w:noProof/>
              <w:sz w:val="22"/>
              <w:lang w:val="de-CH" w:eastAsia="de-CH"/>
            </w:rPr>
          </w:pPr>
          <w:hyperlink w:anchor="_Toc96287598" w:history="1">
            <w:r w:rsidR="001A3756" w:rsidRPr="000422AF">
              <w:rPr>
                <w:rStyle w:val="Hyperlink"/>
                <w:noProof/>
              </w:rPr>
              <w:t>Art. 5 – Égalité et non-discrimination</w:t>
            </w:r>
            <w:r w:rsidR="001A3756">
              <w:rPr>
                <w:noProof/>
                <w:webHidden/>
              </w:rPr>
              <w:tab/>
            </w:r>
            <w:r w:rsidR="001A3756">
              <w:rPr>
                <w:noProof/>
                <w:webHidden/>
              </w:rPr>
              <w:fldChar w:fldCharType="begin"/>
            </w:r>
            <w:r w:rsidR="001A3756">
              <w:rPr>
                <w:noProof/>
                <w:webHidden/>
              </w:rPr>
              <w:instrText xml:space="preserve"> PAGEREF _Toc96287598 \h </w:instrText>
            </w:r>
            <w:r w:rsidR="001A3756">
              <w:rPr>
                <w:noProof/>
                <w:webHidden/>
              </w:rPr>
            </w:r>
            <w:r w:rsidR="001A3756">
              <w:rPr>
                <w:noProof/>
                <w:webHidden/>
              </w:rPr>
              <w:fldChar w:fldCharType="separate"/>
            </w:r>
            <w:r w:rsidR="001A3756">
              <w:rPr>
                <w:noProof/>
                <w:webHidden/>
              </w:rPr>
              <w:t>10</w:t>
            </w:r>
            <w:r w:rsidR="001A3756">
              <w:rPr>
                <w:noProof/>
                <w:webHidden/>
              </w:rPr>
              <w:fldChar w:fldCharType="end"/>
            </w:r>
          </w:hyperlink>
        </w:p>
        <w:p w14:paraId="443C97B9" w14:textId="6EF24FF4" w:rsidR="001A3756" w:rsidRDefault="00620C58">
          <w:pPr>
            <w:pStyle w:val="TOC3"/>
            <w:rPr>
              <w:rFonts w:asciiTheme="minorHAnsi" w:eastAsiaTheme="minorEastAsia" w:hAnsiTheme="minorHAnsi" w:cstheme="minorBidi"/>
              <w:noProof/>
              <w:sz w:val="22"/>
              <w:lang w:val="de-CH" w:eastAsia="de-CH"/>
            </w:rPr>
          </w:pPr>
          <w:hyperlink w:anchor="_Toc96287599" w:history="1">
            <w:r w:rsidR="001A3756" w:rsidRPr="000422AF">
              <w:rPr>
                <w:rStyle w:val="Hyperlink"/>
                <w:rFonts w:eastAsia="MS Gothic"/>
                <w:noProof/>
              </w:rPr>
              <w:t>Art. 6 – Femmes en situation de handicap</w:t>
            </w:r>
            <w:r w:rsidR="001A3756">
              <w:rPr>
                <w:noProof/>
                <w:webHidden/>
              </w:rPr>
              <w:tab/>
            </w:r>
            <w:r w:rsidR="001A3756">
              <w:rPr>
                <w:noProof/>
                <w:webHidden/>
              </w:rPr>
              <w:fldChar w:fldCharType="begin"/>
            </w:r>
            <w:r w:rsidR="001A3756">
              <w:rPr>
                <w:noProof/>
                <w:webHidden/>
              </w:rPr>
              <w:instrText xml:space="preserve"> PAGEREF _Toc96287599 \h </w:instrText>
            </w:r>
            <w:r w:rsidR="001A3756">
              <w:rPr>
                <w:noProof/>
                <w:webHidden/>
              </w:rPr>
            </w:r>
            <w:r w:rsidR="001A3756">
              <w:rPr>
                <w:noProof/>
                <w:webHidden/>
              </w:rPr>
              <w:fldChar w:fldCharType="separate"/>
            </w:r>
            <w:r w:rsidR="001A3756">
              <w:rPr>
                <w:noProof/>
                <w:webHidden/>
              </w:rPr>
              <w:t>12</w:t>
            </w:r>
            <w:r w:rsidR="001A3756">
              <w:rPr>
                <w:noProof/>
                <w:webHidden/>
              </w:rPr>
              <w:fldChar w:fldCharType="end"/>
            </w:r>
          </w:hyperlink>
        </w:p>
        <w:p w14:paraId="63957C35" w14:textId="4505768C" w:rsidR="001A3756" w:rsidRDefault="00620C58">
          <w:pPr>
            <w:pStyle w:val="TOC3"/>
            <w:rPr>
              <w:rFonts w:asciiTheme="minorHAnsi" w:eastAsiaTheme="minorEastAsia" w:hAnsiTheme="minorHAnsi" w:cstheme="minorBidi"/>
              <w:noProof/>
              <w:sz w:val="22"/>
              <w:lang w:val="de-CH" w:eastAsia="de-CH"/>
            </w:rPr>
          </w:pPr>
          <w:hyperlink w:anchor="_Toc96287600" w:history="1">
            <w:r w:rsidR="001A3756" w:rsidRPr="000422AF">
              <w:rPr>
                <w:rStyle w:val="Hyperlink"/>
                <w:rFonts w:eastAsia="MS Gothic"/>
                <w:noProof/>
              </w:rPr>
              <w:t>Art. 7 – Enfants en situation de handicap</w:t>
            </w:r>
            <w:r w:rsidR="001A3756">
              <w:rPr>
                <w:noProof/>
                <w:webHidden/>
              </w:rPr>
              <w:tab/>
            </w:r>
            <w:r w:rsidR="001A3756">
              <w:rPr>
                <w:noProof/>
                <w:webHidden/>
              </w:rPr>
              <w:fldChar w:fldCharType="begin"/>
            </w:r>
            <w:r w:rsidR="001A3756">
              <w:rPr>
                <w:noProof/>
                <w:webHidden/>
              </w:rPr>
              <w:instrText xml:space="preserve"> PAGEREF _Toc96287600 \h </w:instrText>
            </w:r>
            <w:r w:rsidR="001A3756">
              <w:rPr>
                <w:noProof/>
                <w:webHidden/>
              </w:rPr>
            </w:r>
            <w:r w:rsidR="001A3756">
              <w:rPr>
                <w:noProof/>
                <w:webHidden/>
              </w:rPr>
              <w:fldChar w:fldCharType="separate"/>
            </w:r>
            <w:r w:rsidR="001A3756">
              <w:rPr>
                <w:noProof/>
                <w:webHidden/>
              </w:rPr>
              <w:t>13</w:t>
            </w:r>
            <w:r w:rsidR="001A3756">
              <w:rPr>
                <w:noProof/>
                <w:webHidden/>
              </w:rPr>
              <w:fldChar w:fldCharType="end"/>
            </w:r>
          </w:hyperlink>
        </w:p>
        <w:p w14:paraId="78CADB96" w14:textId="421D0E7F" w:rsidR="001A3756" w:rsidRDefault="00620C58">
          <w:pPr>
            <w:pStyle w:val="TOC3"/>
            <w:rPr>
              <w:rFonts w:asciiTheme="minorHAnsi" w:eastAsiaTheme="minorEastAsia" w:hAnsiTheme="minorHAnsi" w:cstheme="minorBidi"/>
              <w:noProof/>
              <w:sz w:val="22"/>
              <w:lang w:val="de-CH" w:eastAsia="de-CH"/>
            </w:rPr>
          </w:pPr>
          <w:hyperlink w:anchor="_Toc96287601" w:history="1">
            <w:r w:rsidR="001A3756" w:rsidRPr="000422AF">
              <w:rPr>
                <w:rStyle w:val="Hyperlink"/>
                <w:rFonts w:eastAsia="MS Gothic"/>
                <w:noProof/>
              </w:rPr>
              <w:t>Art. 8 – Sensibilisation</w:t>
            </w:r>
            <w:r w:rsidR="001A3756">
              <w:rPr>
                <w:noProof/>
                <w:webHidden/>
              </w:rPr>
              <w:tab/>
            </w:r>
            <w:r w:rsidR="001A3756">
              <w:rPr>
                <w:noProof/>
                <w:webHidden/>
              </w:rPr>
              <w:fldChar w:fldCharType="begin"/>
            </w:r>
            <w:r w:rsidR="001A3756">
              <w:rPr>
                <w:noProof/>
                <w:webHidden/>
              </w:rPr>
              <w:instrText xml:space="preserve"> PAGEREF _Toc96287601 \h </w:instrText>
            </w:r>
            <w:r w:rsidR="001A3756">
              <w:rPr>
                <w:noProof/>
                <w:webHidden/>
              </w:rPr>
            </w:r>
            <w:r w:rsidR="001A3756">
              <w:rPr>
                <w:noProof/>
                <w:webHidden/>
              </w:rPr>
              <w:fldChar w:fldCharType="separate"/>
            </w:r>
            <w:r w:rsidR="001A3756">
              <w:rPr>
                <w:noProof/>
                <w:webHidden/>
              </w:rPr>
              <w:t>15</w:t>
            </w:r>
            <w:r w:rsidR="001A3756">
              <w:rPr>
                <w:noProof/>
                <w:webHidden/>
              </w:rPr>
              <w:fldChar w:fldCharType="end"/>
            </w:r>
          </w:hyperlink>
        </w:p>
        <w:p w14:paraId="1956FDA2" w14:textId="00B77376" w:rsidR="001A3756" w:rsidRDefault="00620C58">
          <w:pPr>
            <w:pStyle w:val="TOC3"/>
            <w:rPr>
              <w:rFonts w:asciiTheme="minorHAnsi" w:eastAsiaTheme="minorEastAsia" w:hAnsiTheme="minorHAnsi" w:cstheme="minorBidi"/>
              <w:noProof/>
              <w:sz w:val="22"/>
              <w:lang w:val="de-CH" w:eastAsia="de-CH"/>
            </w:rPr>
          </w:pPr>
          <w:hyperlink w:anchor="_Toc96287602" w:history="1">
            <w:r w:rsidR="001A3756" w:rsidRPr="000422AF">
              <w:rPr>
                <w:rStyle w:val="Hyperlink"/>
                <w:noProof/>
              </w:rPr>
              <w:t>Art. 9 – Accessibilité</w:t>
            </w:r>
            <w:r w:rsidR="001A3756">
              <w:rPr>
                <w:noProof/>
                <w:webHidden/>
              </w:rPr>
              <w:tab/>
            </w:r>
            <w:r w:rsidR="001A3756">
              <w:rPr>
                <w:noProof/>
                <w:webHidden/>
              </w:rPr>
              <w:fldChar w:fldCharType="begin"/>
            </w:r>
            <w:r w:rsidR="001A3756">
              <w:rPr>
                <w:noProof/>
                <w:webHidden/>
              </w:rPr>
              <w:instrText xml:space="preserve"> PAGEREF _Toc96287602 \h </w:instrText>
            </w:r>
            <w:r w:rsidR="001A3756">
              <w:rPr>
                <w:noProof/>
                <w:webHidden/>
              </w:rPr>
            </w:r>
            <w:r w:rsidR="001A3756">
              <w:rPr>
                <w:noProof/>
                <w:webHidden/>
              </w:rPr>
              <w:fldChar w:fldCharType="separate"/>
            </w:r>
            <w:r w:rsidR="001A3756">
              <w:rPr>
                <w:noProof/>
                <w:webHidden/>
              </w:rPr>
              <w:t>16</w:t>
            </w:r>
            <w:r w:rsidR="001A3756">
              <w:rPr>
                <w:noProof/>
                <w:webHidden/>
              </w:rPr>
              <w:fldChar w:fldCharType="end"/>
            </w:r>
          </w:hyperlink>
        </w:p>
        <w:p w14:paraId="394CF84F" w14:textId="42BCFC5E" w:rsidR="001A3756" w:rsidRDefault="00620C58">
          <w:pPr>
            <w:pStyle w:val="TOC3"/>
            <w:rPr>
              <w:rFonts w:asciiTheme="minorHAnsi" w:eastAsiaTheme="minorEastAsia" w:hAnsiTheme="minorHAnsi" w:cstheme="minorBidi"/>
              <w:noProof/>
              <w:sz w:val="22"/>
              <w:lang w:val="de-CH" w:eastAsia="de-CH"/>
            </w:rPr>
          </w:pPr>
          <w:hyperlink w:anchor="_Toc96287603" w:history="1">
            <w:r w:rsidR="001A3756" w:rsidRPr="000422AF">
              <w:rPr>
                <w:rStyle w:val="Hyperlink"/>
                <w:noProof/>
              </w:rPr>
              <w:t>Art. 10 – Droit à la vie</w:t>
            </w:r>
            <w:r w:rsidR="001A3756">
              <w:rPr>
                <w:noProof/>
                <w:webHidden/>
              </w:rPr>
              <w:tab/>
            </w:r>
            <w:r w:rsidR="001A3756">
              <w:rPr>
                <w:noProof/>
                <w:webHidden/>
              </w:rPr>
              <w:fldChar w:fldCharType="begin"/>
            </w:r>
            <w:r w:rsidR="001A3756">
              <w:rPr>
                <w:noProof/>
                <w:webHidden/>
              </w:rPr>
              <w:instrText xml:space="preserve"> PAGEREF _Toc96287603 \h </w:instrText>
            </w:r>
            <w:r w:rsidR="001A3756">
              <w:rPr>
                <w:noProof/>
                <w:webHidden/>
              </w:rPr>
            </w:r>
            <w:r w:rsidR="001A3756">
              <w:rPr>
                <w:noProof/>
                <w:webHidden/>
              </w:rPr>
              <w:fldChar w:fldCharType="separate"/>
            </w:r>
            <w:r w:rsidR="001A3756">
              <w:rPr>
                <w:noProof/>
                <w:webHidden/>
              </w:rPr>
              <w:t>19</w:t>
            </w:r>
            <w:r w:rsidR="001A3756">
              <w:rPr>
                <w:noProof/>
                <w:webHidden/>
              </w:rPr>
              <w:fldChar w:fldCharType="end"/>
            </w:r>
          </w:hyperlink>
        </w:p>
        <w:p w14:paraId="58DEBAFA" w14:textId="65D06470" w:rsidR="001A3756" w:rsidRDefault="00620C58">
          <w:pPr>
            <w:pStyle w:val="TOC3"/>
            <w:rPr>
              <w:rFonts w:asciiTheme="minorHAnsi" w:eastAsiaTheme="minorEastAsia" w:hAnsiTheme="minorHAnsi" w:cstheme="minorBidi"/>
              <w:noProof/>
              <w:sz w:val="22"/>
              <w:lang w:val="de-CH" w:eastAsia="de-CH"/>
            </w:rPr>
          </w:pPr>
          <w:hyperlink w:anchor="_Toc96287604" w:history="1">
            <w:r w:rsidR="001A3756" w:rsidRPr="000422AF">
              <w:rPr>
                <w:rStyle w:val="Hyperlink"/>
                <w:rFonts w:eastAsia="MS Gothic"/>
                <w:noProof/>
              </w:rPr>
              <w:t>Art. 11 – Situations de risque et situations d’urgence humanitaire</w:t>
            </w:r>
            <w:r w:rsidR="001A3756">
              <w:rPr>
                <w:noProof/>
                <w:webHidden/>
              </w:rPr>
              <w:tab/>
            </w:r>
            <w:r w:rsidR="001A3756">
              <w:rPr>
                <w:noProof/>
                <w:webHidden/>
              </w:rPr>
              <w:fldChar w:fldCharType="begin"/>
            </w:r>
            <w:r w:rsidR="001A3756">
              <w:rPr>
                <w:noProof/>
                <w:webHidden/>
              </w:rPr>
              <w:instrText xml:space="preserve"> PAGEREF _Toc96287604 \h </w:instrText>
            </w:r>
            <w:r w:rsidR="001A3756">
              <w:rPr>
                <w:noProof/>
                <w:webHidden/>
              </w:rPr>
            </w:r>
            <w:r w:rsidR="001A3756">
              <w:rPr>
                <w:noProof/>
                <w:webHidden/>
              </w:rPr>
              <w:fldChar w:fldCharType="separate"/>
            </w:r>
            <w:r w:rsidR="001A3756">
              <w:rPr>
                <w:noProof/>
                <w:webHidden/>
              </w:rPr>
              <w:t>21</w:t>
            </w:r>
            <w:r w:rsidR="001A3756">
              <w:rPr>
                <w:noProof/>
                <w:webHidden/>
              </w:rPr>
              <w:fldChar w:fldCharType="end"/>
            </w:r>
          </w:hyperlink>
        </w:p>
        <w:p w14:paraId="73B7DF36" w14:textId="45293F43" w:rsidR="001A3756" w:rsidRDefault="00620C58">
          <w:pPr>
            <w:pStyle w:val="TOC3"/>
            <w:rPr>
              <w:rFonts w:asciiTheme="minorHAnsi" w:eastAsiaTheme="minorEastAsia" w:hAnsiTheme="minorHAnsi" w:cstheme="minorBidi"/>
              <w:noProof/>
              <w:sz w:val="22"/>
              <w:lang w:val="de-CH" w:eastAsia="de-CH"/>
            </w:rPr>
          </w:pPr>
          <w:hyperlink w:anchor="_Toc96287605" w:history="1">
            <w:r w:rsidR="001A3756" w:rsidRPr="000422AF">
              <w:rPr>
                <w:rStyle w:val="Hyperlink"/>
                <w:noProof/>
              </w:rPr>
              <w:t>Art. 12 – Reconnaissance de la personnalité juridique dans des conditions d’égalité</w:t>
            </w:r>
            <w:r w:rsidR="001A3756">
              <w:rPr>
                <w:noProof/>
                <w:webHidden/>
              </w:rPr>
              <w:tab/>
            </w:r>
            <w:r w:rsidR="001A3756">
              <w:rPr>
                <w:noProof/>
                <w:webHidden/>
              </w:rPr>
              <w:fldChar w:fldCharType="begin"/>
            </w:r>
            <w:r w:rsidR="001A3756">
              <w:rPr>
                <w:noProof/>
                <w:webHidden/>
              </w:rPr>
              <w:instrText xml:space="preserve"> PAGEREF _Toc96287605 \h </w:instrText>
            </w:r>
            <w:r w:rsidR="001A3756">
              <w:rPr>
                <w:noProof/>
                <w:webHidden/>
              </w:rPr>
            </w:r>
            <w:r w:rsidR="001A3756">
              <w:rPr>
                <w:noProof/>
                <w:webHidden/>
              </w:rPr>
              <w:fldChar w:fldCharType="separate"/>
            </w:r>
            <w:r w:rsidR="001A3756">
              <w:rPr>
                <w:noProof/>
                <w:webHidden/>
              </w:rPr>
              <w:t>24</w:t>
            </w:r>
            <w:r w:rsidR="001A3756">
              <w:rPr>
                <w:noProof/>
                <w:webHidden/>
              </w:rPr>
              <w:fldChar w:fldCharType="end"/>
            </w:r>
          </w:hyperlink>
        </w:p>
        <w:p w14:paraId="6FFB0503" w14:textId="1986C85E" w:rsidR="001A3756" w:rsidRDefault="00620C58">
          <w:pPr>
            <w:pStyle w:val="TOC3"/>
            <w:rPr>
              <w:rFonts w:asciiTheme="minorHAnsi" w:eastAsiaTheme="minorEastAsia" w:hAnsiTheme="minorHAnsi" w:cstheme="minorBidi"/>
              <w:noProof/>
              <w:sz w:val="22"/>
              <w:lang w:val="de-CH" w:eastAsia="de-CH"/>
            </w:rPr>
          </w:pPr>
          <w:hyperlink w:anchor="_Toc96287606" w:history="1">
            <w:r w:rsidR="001A3756" w:rsidRPr="000422AF">
              <w:rPr>
                <w:rStyle w:val="Hyperlink"/>
                <w:noProof/>
              </w:rPr>
              <w:t>Art. 13 – Accès à la justice</w:t>
            </w:r>
            <w:r w:rsidR="001A3756">
              <w:rPr>
                <w:noProof/>
                <w:webHidden/>
              </w:rPr>
              <w:tab/>
            </w:r>
            <w:r w:rsidR="001A3756">
              <w:rPr>
                <w:noProof/>
                <w:webHidden/>
              </w:rPr>
              <w:fldChar w:fldCharType="begin"/>
            </w:r>
            <w:r w:rsidR="001A3756">
              <w:rPr>
                <w:noProof/>
                <w:webHidden/>
              </w:rPr>
              <w:instrText xml:space="preserve"> PAGEREF _Toc96287606 \h </w:instrText>
            </w:r>
            <w:r w:rsidR="001A3756">
              <w:rPr>
                <w:noProof/>
                <w:webHidden/>
              </w:rPr>
            </w:r>
            <w:r w:rsidR="001A3756">
              <w:rPr>
                <w:noProof/>
                <w:webHidden/>
              </w:rPr>
              <w:fldChar w:fldCharType="separate"/>
            </w:r>
            <w:r w:rsidR="001A3756">
              <w:rPr>
                <w:noProof/>
                <w:webHidden/>
              </w:rPr>
              <w:t>26</w:t>
            </w:r>
            <w:r w:rsidR="001A3756">
              <w:rPr>
                <w:noProof/>
                <w:webHidden/>
              </w:rPr>
              <w:fldChar w:fldCharType="end"/>
            </w:r>
          </w:hyperlink>
        </w:p>
        <w:p w14:paraId="0BFC4199" w14:textId="36BA248D" w:rsidR="001A3756" w:rsidRDefault="00620C58">
          <w:pPr>
            <w:pStyle w:val="TOC3"/>
            <w:rPr>
              <w:rFonts w:asciiTheme="minorHAnsi" w:eastAsiaTheme="minorEastAsia" w:hAnsiTheme="minorHAnsi" w:cstheme="minorBidi"/>
              <w:noProof/>
              <w:sz w:val="22"/>
              <w:lang w:val="de-CH" w:eastAsia="de-CH"/>
            </w:rPr>
          </w:pPr>
          <w:hyperlink w:anchor="_Toc96287607" w:history="1">
            <w:r w:rsidR="001A3756" w:rsidRPr="000422AF">
              <w:rPr>
                <w:rStyle w:val="Hyperlink"/>
                <w:noProof/>
              </w:rPr>
              <w:t>Art. 14 – Liberté et sécurité de la personne</w:t>
            </w:r>
            <w:r w:rsidR="001A3756">
              <w:rPr>
                <w:noProof/>
                <w:webHidden/>
              </w:rPr>
              <w:tab/>
            </w:r>
            <w:r w:rsidR="001A3756">
              <w:rPr>
                <w:noProof/>
                <w:webHidden/>
              </w:rPr>
              <w:fldChar w:fldCharType="begin"/>
            </w:r>
            <w:r w:rsidR="001A3756">
              <w:rPr>
                <w:noProof/>
                <w:webHidden/>
              </w:rPr>
              <w:instrText xml:space="preserve"> PAGEREF _Toc96287607 \h </w:instrText>
            </w:r>
            <w:r w:rsidR="001A3756">
              <w:rPr>
                <w:noProof/>
                <w:webHidden/>
              </w:rPr>
            </w:r>
            <w:r w:rsidR="001A3756">
              <w:rPr>
                <w:noProof/>
                <w:webHidden/>
              </w:rPr>
              <w:fldChar w:fldCharType="separate"/>
            </w:r>
            <w:r w:rsidR="001A3756">
              <w:rPr>
                <w:noProof/>
                <w:webHidden/>
              </w:rPr>
              <w:t>28</w:t>
            </w:r>
            <w:r w:rsidR="001A3756">
              <w:rPr>
                <w:noProof/>
                <w:webHidden/>
              </w:rPr>
              <w:fldChar w:fldCharType="end"/>
            </w:r>
          </w:hyperlink>
        </w:p>
        <w:p w14:paraId="676D47A6" w14:textId="400805A5" w:rsidR="001A3756" w:rsidRDefault="00620C58">
          <w:pPr>
            <w:pStyle w:val="TOC3"/>
            <w:rPr>
              <w:rFonts w:asciiTheme="minorHAnsi" w:eastAsiaTheme="minorEastAsia" w:hAnsiTheme="minorHAnsi" w:cstheme="minorBidi"/>
              <w:noProof/>
              <w:sz w:val="22"/>
              <w:lang w:val="de-CH" w:eastAsia="de-CH"/>
            </w:rPr>
          </w:pPr>
          <w:hyperlink w:anchor="_Toc96287608" w:history="1">
            <w:r w:rsidR="001A3756" w:rsidRPr="000422AF">
              <w:rPr>
                <w:rStyle w:val="Hyperlink"/>
                <w:noProof/>
              </w:rPr>
              <w:t>Art. 15 – Droit de ne pas être soumis à la torture ni à des peines ou traitements cruels, inhumains ou dégradants</w:t>
            </w:r>
            <w:r w:rsidR="001A3756">
              <w:rPr>
                <w:noProof/>
                <w:webHidden/>
              </w:rPr>
              <w:tab/>
            </w:r>
            <w:r w:rsidR="001A3756">
              <w:rPr>
                <w:noProof/>
                <w:webHidden/>
              </w:rPr>
              <w:fldChar w:fldCharType="begin"/>
            </w:r>
            <w:r w:rsidR="001A3756">
              <w:rPr>
                <w:noProof/>
                <w:webHidden/>
              </w:rPr>
              <w:instrText xml:space="preserve"> PAGEREF _Toc96287608 \h </w:instrText>
            </w:r>
            <w:r w:rsidR="001A3756">
              <w:rPr>
                <w:noProof/>
                <w:webHidden/>
              </w:rPr>
            </w:r>
            <w:r w:rsidR="001A3756">
              <w:rPr>
                <w:noProof/>
                <w:webHidden/>
              </w:rPr>
              <w:fldChar w:fldCharType="separate"/>
            </w:r>
            <w:r w:rsidR="001A3756">
              <w:rPr>
                <w:noProof/>
                <w:webHidden/>
              </w:rPr>
              <w:t>30</w:t>
            </w:r>
            <w:r w:rsidR="001A3756">
              <w:rPr>
                <w:noProof/>
                <w:webHidden/>
              </w:rPr>
              <w:fldChar w:fldCharType="end"/>
            </w:r>
          </w:hyperlink>
        </w:p>
        <w:p w14:paraId="66628691" w14:textId="76053C54" w:rsidR="001A3756" w:rsidRDefault="00620C58">
          <w:pPr>
            <w:pStyle w:val="TOC3"/>
            <w:rPr>
              <w:rFonts w:asciiTheme="minorHAnsi" w:eastAsiaTheme="minorEastAsia" w:hAnsiTheme="minorHAnsi" w:cstheme="minorBidi"/>
              <w:noProof/>
              <w:sz w:val="22"/>
              <w:lang w:val="de-CH" w:eastAsia="de-CH"/>
            </w:rPr>
          </w:pPr>
          <w:hyperlink w:anchor="_Toc96287609" w:history="1">
            <w:r w:rsidR="001A3756" w:rsidRPr="000422AF">
              <w:rPr>
                <w:rStyle w:val="Hyperlink"/>
                <w:rFonts w:eastAsia="MS Gothic"/>
                <w:noProof/>
              </w:rPr>
              <w:t>Art. 16 – Droit de ne pas être soumis à l’exploitation, à la violence et à la maltraitance</w:t>
            </w:r>
            <w:r w:rsidR="001A3756">
              <w:rPr>
                <w:noProof/>
                <w:webHidden/>
              </w:rPr>
              <w:tab/>
            </w:r>
            <w:r w:rsidR="001A3756">
              <w:rPr>
                <w:noProof/>
                <w:webHidden/>
              </w:rPr>
              <w:fldChar w:fldCharType="begin"/>
            </w:r>
            <w:r w:rsidR="001A3756">
              <w:rPr>
                <w:noProof/>
                <w:webHidden/>
              </w:rPr>
              <w:instrText xml:space="preserve"> PAGEREF _Toc96287609 \h </w:instrText>
            </w:r>
            <w:r w:rsidR="001A3756">
              <w:rPr>
                <w:noProof/>
                <w:webHidden/>
              </w:rPr>
            </w:r>
            <w:r w:rsidR="001A3756">
              <w:rPr>
                <w:noProof/>
                <w:webHidden/>
              </w:rPr>
              <w:fldChar w:fldCharType="separate"/>
            </w:r>
            <w:r w:rsidR="001A3756">
              <w:rPr>
                <w:noProof/>
                <w:webHidden/>
              </w:rPr>
              <w:t>32</w:t>
            </w:r>
            <w:r w:rsidR="001A3756">
              <w:rPr>
                <w:noProof/>
                <w:webHidden/>
              </w:rPr>
              <w:fldChar w:fldCharType="end"/>
            </w:r>
          </w:hyperlink>
        </w:p>
        <w:p w14:paraId="6CD14BA7" w14:textId="0A9BC48B" w:rsidR="001A3756" w:rsidRDefault="00620C58">
          <w:pPr>
            <w:pStyle w:val="TOC3"/>
            <w:rPr>
              <w:rFonts w:asciiTheme="minorHAnsi" w:eastAsiaTheme="minorEastAsia" w:hAnsiTheme="minorHAnsi" w:cstheme="minorBidi"/>
              <w:noProof/>
              <w:sz w:val="22"/>
              <w:lang w:val="de-CH" w:eastAsia="de-CH"/>
            </w:rPr>
          </w:pPr>
          <w:hyperlink w:anchor="_Toc96287610" w:history="1">
            <w:r w:rsidR="001A3756" w:rsidRPr="000422AF">
              <w:rPr>
                <w:rStyle w:val="Hyperlink"/>
                <w:noProof/>
              </w:rPr>
              <w:t>Art. 17 – Protection de l’intégrité de la personne</w:t>
            </w:r>
            <w:r w:rsidR="001A3756">
              <w:rPr>
                <w:noProof/>
                <w:webHidden/>
              </w:rPr>
              <w:tab/>
            </w:r>
            <w:r w:rsidR="001A3756">
              <w:rPr>
                <w:noProof/>
                <w:webHidden/>
              </w:rPr>
              <w:fldChar w:fldCharType="begin"/>
            </w:r>
            <w:r w:rsidR="001A3756">
              <w:rPr>
                <w:noProof/>
                <w:webHidden/>
              </w:rPr>
              <w:instrText xml:space="preserve"> PAGEREF _Toc96287610 \h </w:instrText>
            </w:r>
            <w:r w:rsidR="001A3756">
              <w:rPr>
                <w:noProof/>
                <w:webHidden/>
              </w:rPr>
            </w:r>
            <w:r w:rsidR="001A3756">
              <w:rPr>
                <w:noProof/>
                <w:webHidden/>
              </w:rPr>
              <w:fldChar w:fldCharType="separate"/>
            </w:r>
            <w:r w:rsidR="001A3756">
              <w:rPr>
                <w:noProof/>
                <w:webHidden/>
              </w:rPr>
              <w:t>36</w:t>
            </w:r>
            <w:r w:rsidR="001A3756">
              <w:rPr>
                <w:noProof/>
                <w:webHidden/>
              </w:rPr>
              <w:fldChar w:fldCharType="end"/>
            </w:r>
          </w:hyperlink>
        </w:p>
        <w:p w14:paraId="345043D9" w14:textId="010EE9C3" w:rsidR="001A3756" w:rsidRDefault="00620C58">
          <w:pPr>
            <w:pStyle w:val="TOC3"/>
            <w:rPr>
              <w:rFonts w:asciiTheme="minorHAnsi" w:eastAsiaTheme="minorEastAsia" w:hAnsiTheme="minorHAnsi" w:cstheme="minorBidi"/>
              <w:noProof/>
              <w:sz w:val="22"/>
              <w:lang w:val="de-CH" w:eastAsia="de-CH"/>
            </w:rPr>
          </w:pPr>
          <w:hyperlink w:anchor="_Toc96287611" w:history="1">
            <w:r w:rsidR="001A3756" w:rsidRPr="000422AF">
              <w:rPr>
                <w:rStyle w:val="Hyperlink"/>
                <w:rFonts w:eastAsia="MS Gothic"/>
                <w:noProof/>
              </w:rPr>
              <w:t>Art. 19 – Autonomie de vie</w:t>
            </w:r>
            <w:r w:rsidR="001A3756">
              <w:rPr>
                <w:noProof/>
                <w:webHidden/>
              </w:rPr>
              <w:tab/>
            </w:r>
            <w:r w:rsidR="001A3756">
              <w:rPr>
                <w:noProof/>
                <w:webHidden/>
              </w:rPr>
              <w:fldChar w:fldCharType="begin"/>
            </w:r>
            <w:r w:rsidR="001A3756">
              <w:rPr>
                <w:noProof/>
                <w:webHidden/>
              </w:rPr>
              <w:instrText xml:space="preserve"> PAGEREF _Toc96287611 \h </w:instrText>
            </w:r>
            <w:r w:rsidR="001A3756">
              <w:rPr>
                <w:noProof/>
                <w:webHidden/>
              </w:rPr>
            </w:r>
            <w:r w:rsidR="001A3756">
              <w:rPr>
                <w:noProof/>
                <w:webHidden/>
              </w:rPr>
              <w:fldChar w:fldCharType="separate"/>
            </w:r>
            <w:r w:rsidR="001A3756">
              <w:rPr>
                <w:noProof/>
                <w:webHidden/>
              </w:rPr>
              <w:t>37</w:t>
            </w:r>
            <w:r w:rsidR="001A3756">
              <w:rPr>
                <w:noProof/>
                <w:webHidden/>
              </w:rPr>
              <w:fldChar w:fldCharType="end"/>
            </w:r>
          </w:hyperlink>
        </w:p>
        <w:p w14:paraId="0647B12E" w14:textId="5F4F4B05" w:rsidR="001A3756" w:rsidRDefault="00620C58">
          <w:pPr>
            <w:pStyle w:val="TOC3"/>
            <w:rPr>
              <w:rFonts w:asciiTheme="minorHAnsi" w:eastAsiaTheme="minorEastAsia" w:hAnsiTheme="minorHAnsi" w:cstheme="minorBidi"/>
              <w:noProof/>
              <w:sz w:val="22"/>
              <w:lang w:val="de-CH" w:eastAsia="de-CH"/>
            </w:rPr>
          </w:pPr>
          <w:hyperlink w:anchor="_Toc96287612" w:history="1">
            <w:r w:rsidR="001A3756" w:rsidRPr="000422AF">
              <w:rPr>
                <w:rStyle w:val="Hyperlink"/>
                <w:noProof/>
              </w:rPr>
              <w:t>Art. 21 – Liberté d’expression et d’opinion et accès à l’information</w:t>
            </w:r>
            <w:r w:rsidR="001A3756">
              <w:rPr>
                <w:noProof/>
                <w:webHidden/>
              </w:rPr>
              <w:tab/>
            </w:r>
            <w:r w:rsidR="001A3756">
              <w:rPr>
                <w:noProof/>
                <w:webHidden/>
              </w:rPr>
              <w:fldChar w:fldCharType="begin"/>
            </w:r>
            <w:r w:rsidR="001A3756">
              <w:rPr>
                <w:noProof/>
                <w:webHidden/>
              </w:rPr>
              <w:instrText xml:space="preserve"> PAGEREF _Toc96287612 \h </w:instrText>
            </w:r>
            <w:r w:rsidR="001A3756">
              <w:rPr>
                <w:noProof/>
                <w:webHidden/>
              </w:rPr>
            </w:r>
            <w:r w:rsidR="001A3756">
              <w:rPr>
                <w:noProof/>
                <w:webHidden/>
              </w:rPr>
              <w:fldChar w:fldCharType="separate"/>
            </w:r>
            <w:r w:rsidR="001A3756">
              <w:rPr>
                <w:noProof/>
                <w:webHidden/>
              </w:rPr>
              <w:t>43</w:t>
            </w:r>
            <w:r w:rsidR="001A3756">
              <w:rPr>
                <w:noProof/>
                <w:webHidden/>
              </w:rPr>
              <w:fldChar w:fldCharType="end"/>
            </w:r>
          </w:hyperlink>
        </w:p>
        <w:p w14:paraId="0764E0EB" w14:textId="4C73F84D" w:rsidR="001A3756" w:rsidRDefault="00620C58">
          <w:pPr>
            <w:pStyle w:val="TOC3"/>
            <w:rPr>
              <w:rFonts w:asciiTheme="minorHAnsi" w:eastAsiaTheme="minorEastAsia" w:hAnsiTheme="minorHAnsi" w:cstheme="minorBidi"/>
              <w:noProof/>
              <w:sz w:val="22"/>
              <w:lang w:val="de-CH" w:eastAsia="de-CH"/>
            </w:rPr>
          </w:pPr>
          <w:hyperlink w:anchor="_Toc96287613" w:history="1">
            <w:r w:rsidR="001A3756" w:rsidRPr="000422AF">
              <w:rPr>
                <w:rStyle w:val="Hyperlink"/>
                <w:noProof/>
              </w:rPr>
              <w:t>Art. 22 – Respect de la vie privée</w:t>
            </w:r>
            <w:r w:rsidR="001A3756">
              <w:rPr>
                <w:noProof/>
                <w:webHidden/>
              </w:rPr>
              <w:tab/>
            </w:r>
            <w:r w:rsidR="001A3756">
              <w:rPr>
                <w:noProof/>
                <w:webHidden/>
              </w:rPr>
              <w:fldChar w:fldCharType="begin"/>
            </w:r>
            <w:r w:rsidR="001A3756">
              <w:rPr>
                <w:noProof/>
                <w:webHidden/>
              </w:rPr>
              <w:instrText xml:space="preserve"> PAGEREF _Toc96287613 \h </w:instrText>
            </w:r>
            <w:r w:rsidR="001A3756">
              <w:rPr>
                <w:noProof/>
                <w:webHidden/>
              </w:rPr>
            </w:r>
            <w:r w:rsidR="001A3756">
              <w:rPr>
                <w:noProof/>
                <w:webHidden/>
              </w:rPr>
              <w:fldChar w:fldCharType="separate"/>
            </w:r>
            <w:r w:rsidR="001A3756">
              <w:rPr>
                <w:noProof/>
                <w:webHidden/>
              </w:rPr>
              <w:t>44</w:t>
            </w:r>
            <w:r w:rsidR="001A3756">
              <w:rPr>
                <w:noProof/>
                <w:webHidden/>
              </w:rPr>
              <w:fldChar w:fldCharType="end"/>
            </w:r>
          </w:hyperlink>
        </w:p>
        <w:p w14:paraId="44155B7B" w14:textId="411E925F" w:rsidR="001A3756" w:rsidRDefault="00620C58">
          <w:pPr>
            <w:pStyle w:val="TOC3"/>
            <w:rPr>
              <w:rFonts w:asciiTheme="minorHAnsi" w:eastAsiaTheme="minorEastAsia" w:hAnsiTheme="minorHAnsi" w:cstheme="minorBidi"/>
              <w:noProof/>
              <w:sz w:val="22"/>
              <w:lang w:val="de-CH" w:eastAsia="de-CH"/>
            </w:rPr>
          </w:pPr>
          <w:hyperlink w:anchor="_Toc96287614" w:history="1">
            <w:r w:rsidR="001A3756" w:rsidRPr="000422AF">
              <w:rPr>
                <w:rStyle w:val="Hyperlink"/>
                <w:noProof/>
              </w:rPr>
              <w:t>Art. 23 – Respect du domicile et de la famille</w:t>
            </w:r>
            <w:r w:rsidR="001A3756">
              <w:rPr>
                <w:noProof/>
                <w:webHidden/>
              </w:rPr>
              <w:tab/>
            </w:r>
            <w:r w:rsidR="001A3756">
              <w:rPr>
                <w:noProof/>
                <w:webHidden/>
              </w:rPr>
              <w:fldChar w:fldCharType="begin"/>
            </w:r>
            <w:r w:rsidR="001A3756">
              <w:rPr>
                <w:noProof/>
                <w:webHidden/>
              </w:rPr>
              <w:instrText xml:space="preserve"> PAGEREF _Toc96287614 \h </w:instrText>
            </w:r>
            <w:r w:rsidR="001A3756">
              <w:rPr>
                <w:noProof/>
                <w:webHidden/>
              </w:rPr>
            </w:r>
            <w:r w:rsidR="001A3756">
              <w:rPr>
                <w:noProof/>
                <w:webHidden/>
              </w:rPr>
              <w:fldChar w:fldCharType="separate"/>
            </w:r>
            <w:r w:rsidR="001A3756">
              <w:rPr>
                <w:noProof/>
                <w:webHidden/>
              </w:rPr>
              <w:t>44</w:t>
            </w:r>
            <w:r w:rsidR="001A3756">
              <w:rPr>
                <w:noProof/>
                <w:webHidden/>
              </w:rPr>
              <w:fldChar w:fldCharType="end"/>
            </w:r>
          </w:hyperlink>
        </w:p>
        <w:p w14:paraId="02635BCC" w14:textId="1725CF38" w:rsidR="001A3756" w:rsidRDefault="00620C58">
          <w:pPr>
            <w:pStyle w:val="TOC3"/>
            <w:rPr>
              <w:rFonts w:asciiTheme="minorHAnsi" w:eastAsiaTheme="minorEastAsia" w:hAnsiTheme="minorHAnsi" w:cstheme="minorBidi"/>
              <w:noProof/>
              <w:sz w:val="22"/>
              <w:lang w:val="de-CH" w:eastAsia="de-CH"/>
            </w:rPr>
          </w:pPr>
          <w:hyperlink w:anchor="_Toc96287615" w:history="1">
            <w:r w:rsidR="001A3756" w:rsidRPr="000422AF">
              <w:rPr>
                <w:rStyle w:val="Hyperlink"/>
                <w:rFonts w:eastAsia="MS Gothic"/>
                <w:noProof/>
              </w:rPr>
              <w:t>Art. 24 – Formation</w:t>
            </w:r>
            <w:r w:rsidR="001A3756">
              <w:rPr>
                <w:noProof/>
                <w:webHidden/>
              </w:rPr>
              <w:tab/>
            </w:r>
            <w:r w:rsidR="001A3756">
              <w:rPr>
                <w:noProof/>
                <w:webHidden/>
              </w:rPr>
              <w:fldChar w:fldCharType="begin"/>
            </w:r>
            <w:r w:rsidR="001A3756">
              <w:rPr>
                <w:noProof/>
                <w:webHidden/>
              </w:rPr>
              <w:instrText xml:space="preserve"> PAGEREF _Toc96287615 \h </w:instrText>
            </w:r>
            <w:r w:rsidR="001A3756">
              <w:rPr>
                <w:noProof/>
                <w:webHidden/>
              </w:rPr>
            </w:r>
            <w:r w:rsidR="001A3756">
              <w:rPr>
                <w:noProof/>
                <w:webHidden/>
              </w:rPr>
              <w:fldChar w:fldCharType="separate"/>
            </w:r>
            <w:r w:rsidR="001A3756">
              <w:rPr>
                <w:noProof/>
                <w:webHidden/>
              </w:rPr>
              <w:t>46</w:t>
            </w:r>
            <w:r w:rsidR="001A3756">
              <w:rPr>
                <w:noProof/>
                <w:webHidden/>
              </w:rPr>
              <w:fldChar w:fldCharType="end"/>
            </w:r>
          </w:hyperlink>
        </w:p>
        <w:p w14:paraId="38C559FB" w14:textId="1C5499DC" w:rsidR="001A3756" w:rsidRDefault="00620C58">
          <w:pPr>
            <w:pStyle w:val="TOC3"/>
            <w:rPr>
              <w:rFonts w:asciiTheme="minorHAnsi" w:eastAsiaTheme="minorEastAsia" w:hAnsiTheme="minorHAnsi" w:cstheme="minorBidi"/>
              <w:noProof/>
              <w:sz w:val="22"/>
              <w:lang w:val="de-CH" w:eastAsia="de-CH"/>
            </w:rPr>
          </w:pPr>
          <w:hyperlink w:anchor="_Toc96287616" w:history="1">
            <w:r w:rsidR="001A3756" w:rsidRPr="000422AF">
              <w:rPr>
                <w:rStyle w:val="Hyperlink"/>
                <w:noProof/>
              </w:rPr>
              <w:t>Art. 25 – Santé</w:t>
            </w:r>
            <w:r w:rsidR="001A3756">
              <w:rPr>
                <w:noProof/>
                <w:webHidden/>
              </w:rPr>
              <w:tab/>
            </w:r>
            <w:r w:rsidR="001A3756">
              <w:rPr>
                <w:noProof/>
                <w:webHidden/>
              </w:rPr>
              <w:fldChar w:fldCharType="begin"/>
            </w:r>
            <w:r w:rsidR="001A3756">
              <w:rPr>
                <w:noProof/>
                <w:webHidden/>
              </w:rPr>
              <w:instrText xml:space="preserve"> PAGEREF _Toc96287616 \h </w:instrText>
            </w:r>
            <w:r w:rsidR="001A3756">
              <w:rPr>
                <w:noProof/>
                <w:webHidden/>
              </w:rPr>
            </w:r>
            <w:r w:rsidR="001A3756">
              <w:rPr>
                <w:noProof/>
                <w:webHidden/>
              </w:rPr>
              <w:fldChar w:fldCharType="separate"/>
            </w:r>
            <w:r w:rsidR="001A3756">
              <w:rPr>
                <w:noProof/>
                <w:webHidden/>
              </w:rPr>
              <w:t>51</w:t>
            </w:r>
            <w:r w:rsidR="001A3756">
              <w:rPr>
                <w:noProof/>
                <w:webHidden/>
              </w:rPr>
              <w:fldChar w:fldCharType="end"/>
            </w:r>
          </w:hyperlink>
        </w:p>
        <w:p w14:paraId="0619C6DC" w14:textId="1C2B9E17" w:rsidR="001A3756" w:rsidRDefault="00620C58">
          <w:pPr>
            <w:pStyle w:val="TOC3"/>
            <w:rPr>
              <w:rFonts w:asciiTheme="minorHAnsi" w:eastAsiaTheme="minorEastAsia" w:hAnsiTheme="minorHAnsi" w:cstheme="minorBidi"/>
              <w:noProof/>
              <w:sz w:val="22"/>
              <w:lang w:val="de-CH" w:eastAsia="de-CH"/>
            </w:rPr>
          </w:pPr>
          <w:hyperlink w:anchor="_Toc96287617" w:history="1">
            <w:r w:rsidR="001A3756" w:rsidRPr="000422AF">
              <w:rPr>
                <w:rStyle w:val="Hyperlink"/>
                <w:rFonts w:eastAsia="MS Gothic"/>
                <w:noProof/>
              </w:rPr>
              <w:t>Art. 27 – Travail et emploi</w:t>
            </w:r>
            <w:r w:rsidR="001A3756">
              <w:rPr>
                <w:noProof/>
                <w:webHidden/>
              </w:rPr>
              <w:tab/>
            </w:r>
            <w:r w:rsidR="001A3756">
              <w:rPr>
                <w:noProof/>
                <w:webHidden/>
              </w:rPr>
              <w:fldChar w:fldCharType="begin"/>
            </w:r>
            <w:r w:rsidR="001A3756">
              <w:rPr>
                <w:noProof/>
                <w:webHidden/>
              </w:rPr>
              <w:instrText xml:space="preserve"> PAGEREF _Toc96287617 \h </w:instrText>
            </w:r>
            <w:r w:rsidR="001A3756">
              <w:rPr>
                <w:noProof/>
                <w:webHidden/>
              </w:rPr>
            </w:r>
            <w:r w:rsidR="001A3756">
              <w:rPr>
                <w:noProof/>
                <w:webHidden/>
              </w:rPr>
              <w:fldChar w:fldCharType="separate"/>
            </w:r>
            <w:r w:rsidR="001A3756">
              <w:rPr>
                <w:noProof/>
                <w:webHidden/>
              </w:rPr>
              <w:t>55</w:t>
            </w:r>
            <w:r w:rsidR="001A3756">
              <w:rPr>
                <w:noProof/>
                <w:webHidden/>
              </w:rPr>
              <w:fldChar w:fldCharType="end"/>
            </w:r>
          </w:hyperlink>
        </w:p>
        <w:p w14:paraId="25EE93C8" w14:textId="0DEB0853" w:rsidR="001A3756" w:rsidRDefault="00620C58">
          <w:pPr>
            <w:pStyle w:val="TOC3"/>
            <w:rPr>
              <w:rFonts w:asciiTheme="minorHAnsi" w:eastAsiaTheme="minorEastAsia" w:hAnsiTheme="minorHAnsi" w:cstheme="minorBidi"/>
              <w:noProof/>
              <w:sz w:val="22"/>
              <w:lang w:val="de-CH" w:eastAsia="de-CH"/>
            </w:rPr>
          </w:pPr>
          <w:hyperlink w:anchor="_Toc96287618" w:history="1">
            <w:r w:rsidR="001A3756" w:rsidRPr="000422AF">
              <w:rPr>
                <w:rStyle w:val="Hyperlink"/>
                <w:noProof/>
              </w:rPr>
              <w:t>Art. 28 – Niveau de vie adéquat et protection sociale</w:t>
            </w:r>
            <w:r w:rsidR="001A3756">
              <w:rPr>
                <w:noProof/>
                <w:webHidden/>
              </w:rPr>
              <w:tab/>
            </w:r>
            <w:r w:rsidR="001A3756">
              <w:rPr>
                <w:noProof/>
                <w:webHidden/>
              </w:rPr>
              <w:fldChar w:fldCharType="begin"/>
            </w:r>
            <w:r w:rsidR="001A3756">
              <w:rPr>
                <w:noProof/>
                <w:webHidden/>
              </w:rPr>
              <w:instrText xml:space="preserve"> PAGEREF _Toc96287618 \h </w:instrText>
            </w:r>
            <w:r w:rsidR="001A3756">
              <w:rPr>
                <w:noProof/>
                <w:webHidden/>
              </w:rPr>
            </w:r>
            <w:r w:rsidR="001A3756">
              <w:rPr>
                <w:noProof/>
                <w:webHidden/>
              </w:rPr>
              <w:fldChar w:fldCharType="separate"/>
            </w:r>
            <w:r w:rsidR="001A3756">
              <w:rPr>
                <w:noProof/>
                <w:webHidden/>
              </w:rPr>
              <w:t>61</w:t>
            </w:r>
            <w:r w:rsidR="001A3756">
              <w:rPr>
                <w:noProof/>
                <w:webHidden/>
              </w:rPr>
              <w:fldChar w:fldCharType="end"/>
            </w:r>
          </w:hyperlink>
        </w:p>
        <w:p w14:paraId="4CA8196D" w14:textId="1906AFDF" w:rsidR="001A3756" w:rsidRDefault="00620C58">
          <w:pPr>
            <w:pStyle w:val="TOC3"/>
            <w:rPr>
              <w:rFonts w:asciiTheme="minorHAnsi" w:eastAsiaTheme="minorEastAsia" w:hAnsiTheme="minorHAnsi" w:cstheme="minorBidi"/>
              <w:noProof/>
              <w:sz w:val="22"/>
              <w:lang w:val="de-CH" w:eastAsia="de-CH"/>
            </w:rPr>
          </w:pPr>
          <w:hyperlink w:anchor="_Toc96287619" w:history="1">
            <w:r w:rsidR="001A3756" w:rsidRPr="000422AF">
              <w:rPr>
                <w:rStyle w:val="Hyperlink"/>
                <w:noProof/>
              </w:rPr>
              <w:t>Art. 29 – Participation à la vie politique et à la vie publique</w:t>
            </w:r>
            <w:r w:rsidR="001A3756">
              <w:rPr>
                <w:noProof/>
                <w:webHidden/>
              </w:rPr>
              <w:tab/>
            </w:r>
            <w:r w:rsidR="001A3756">
              <w:rPr>
                <w:noProof/>
                <w:webHidden/>
              </w:rPr>
              <w:fldChar w:fldCharType="begin"/>
            </w:r>
            <w:r w:rsidR="001A3756">
              <w:rPr>
                <w:noProof/>
                <w:webHidden/>
              </w:rPr>
              <w:instrText xml:space="preserve"> PAGEREF _Toc96287619 \h </w:instrText>
            </w:r>
            <w:r w:rsidR="001A3756">
              <w:rPr>
                <w:noProof/>
                <w:webHidden/>
              </w:rPr>
            </w:r>
            <w:r w:rsidR="001A3756">
              <w:rPr>
                <w:noProof/>
                <w:webHidden/>
              </w:rPr>
              <w:fldChar w:fldCharType="separate"/>
            </w:r>
            <w:r w:rsidR="001A3756">
              <w:rPr>
                <w:noProof/>
                <w:webHidden/>
              </w:rPr>
              <w:t>62</w:t>
            </w:r>
            <w:r w:rsidR="001A3756">
              <w:rPr>
                <w:noProof/>
                <w:webHidden/>
              </w:rPr>
              <w:fldChar w:fldCharType="end"/>
            </w:r>
          </w:hyperlink>
        </w:p>
        <w:p w14:paraId="67E44628" w14:textId="79485FC5" w:rsidR="001A3756" w:rsidRDefault="00620C58">
          <w:pPr>
            <w:pStyle w:val="TOC3"/>
            <w:rPr>
              <w:rFonts w:asciiTheme="minorHAnsi" w:eastAsiaTheme="minorEastAsia" w:hAnsiTheme="minorHAnsi" w:cstheme="minorBidi"/>
              <w:noProof/>
              <w:sz w:val="22"/>
              <w:lang w:val="de-CH" w:eastAsia="de-CH"/>
            </w:rPr>
          </w:pPr>
          <w:hyperlink w:anchor="_Toc96287620" w:history="1">
            <w:r w:rsidR="001A3756" w:rsidRPr="000422AF">
              <w:rPr>
                <w:rStyle w:val="Hyperlink"/>
                <w:noProof/>
              </w:rPr>
              <w:t>Art. 30 – Participation à la vie culturelle et récréative, aux loisirs et aux sports</w:t>
            </w:r>
            <w:r w:rsidR="001A3756">
              <w:rPr>
                <w:noProof/>
                <w:webHidden/>
              </w:rPr>
              <w:tab/>
            </w:r>
            <w:r w:rsidR="001A3756">
              <w:rPr>
                <w:noProof/>
                <w:webHidden/>
              </w:rPr>
              <w:fldChar w:fldCharType="begin"/>
            </w:r>
            <w:r w:rsidR="001A3756">
              <w:rPr>
                <w:noProof/>
                <w:webHidden/>
              </w:rPr>
              <w:instrText xml:space="preserve"> PAGEREF _Toc96287620 \h </w:instrText>
            </w:r>
            <w:r w:rsidR="001A3756">
              <w:rPr>
                <w:noProof/>
                <w:webHidden/>
              </w:rPr>
            </w:r>
            <w:r w:rsidR="001A3756">
              <w:rPr>
                <w:noProof/>
                <w:webHidden/>
              </w:rPr>
              <w:fldChar w:fldCharType="separate"/>
            </w:r>
            <w:r w:rsidR="001A3756">
              <w:rPr>
                <w:noProof/>
                <w:webHidden/>
              </w:rPr>
              <w:t>65</w:t>
            </w:r>
            <w:r w:rsidR="001A3756">
              <w:rPr>
                <w:noProof/>
                <w:webHidden/>
              </w:rPr>
              <w:fldChar w:fldCharType="end"/>
            </w:r>
          </w:hyperlink>
        </w:p>
        <w:p w14:paraId="3B646B63" w14:textId="50AC9232" w:rsidR="001A3756" w:rsidRDefault="00620C58">
          <w:pPr>
            <w:pStyle w:val="TOC2"/>
            <w:rPr>
              <w:rFonts w:asciiTheme="minorHAnsi" w:eastAsiaTheme="minorEastAsia" w:hAnsiTheme="minorHAnsi" w:cstheme="minorBidi"/>
              <w:b w:val="0"/>
              <w:sz w:val="22"/>
              <w:lang w:val="de-CH" w:eastAsia="de-CH"/>
            </w:rPr>
          </w:pPr>
          <w:hyperlink w:anchor="_Toc96287621" w:history="1">
            <w:r w:rsidR="001A3756" w:rsidRPr="000422AF">
              <w:rPr>
                <w:rStyle w:val="Hyperlink"/>
              </w:rPr>
              <w:t>5. Obligations spécifiques</w:t>
            </w:r>
            <w:r w:rsidR="001A3756">
              <w:rPr>
                <w:webHidden/>
              </w:rPr>
              <w:tab/>
            </w:r>
            <w:r w:rsidR="001A3756">
              <w:rPr>
                <w:webHidden/>
              </w:rPr>
              <w:fldChar w:fldCharType="begin"/>
            </w:r>
            <w:r w:rsidR="001A3756">
              <w:rPr>
                <w:webHidden/>
              </w:rPr>
              <w:instrText xml:space="preserve"> PAGEREF _Toc96287621 \h </w:instrText>
            </w:r>
            <w:r w:rsidR="001A3756">
              <w:rPr>
                <w:webHidden/>
              </w:rPr>
            </w:r>
            <w:r w:rsidR="001A3756">
              <w:rPr>
                <w:webHidden/>
              </w:rPr>
              <w:fldChar w:fldCharType="separate"/>
            </w:r>
            <w:r w:rsidR="001A3756">
              <w:rPr>
                <w:webHidden/>
              </w:rPr>
              <w:t>65</w:t>
            </w:r>
            <w:r w:rsidR="001A3756">
              <w:rPr>
                <w:webHidden/>
              </w:rPr>
              <w:fldChar w:fldCharType="end"/>
            </w:r>
          </w:hyperlink>
        </w:p>
        <w:p w14:paraId="16787C4D" w14:textId="22F1FBBD" w:rsidR="001A3756" w:rsidRDefault="00620C58">
          <w:pPr>
            <w:pStyle w:val="TOC3"/>
            <w:rPr>
              <w:rFonts w:asciiTheme="minorHAnsi" w:eastAsiaTheme="minorEastAsia" w:hAnsiTheme="minorHAnsi" w:cstheme="minorBidi"/>
              <w:noProof/>
              <w:sz w:val="22"/>
              <w:lang w:val="de-CH" w:eastAsia="de-CH"/>
            </w:rPr>
          </w:pPr>
          <w:hyperlink w:anchor="_Toc96287622" w:history="1">
            <w:r w:rsidR="001A3756" w:rsidRPr="000422AF">
              <w:rPr>
                <w:rStyle w:val="Hyperlink"/>
                <w:rFonts w:eastAsia="MS Gothic"/>
                <w:noProof/>
              </w:rPr>
              <w:t>Art. 31 – Statistique et collecte de données</w:t>
            </w:r>
            <w:r w:rsidR="001A3756">
              <w:rPr>
                <w:noProof/>
                <w:webHidden/>
              </w:rPr>
              <w:tab/>
            </w:r>
            <w:r w:rsidR="001A3756">
              <w:rPr>
                <w:noProof/>
                <w:webHidden/>
              </w:rPr>
              <w:fldChar w:fldCharType="begin"/>
            </w:r>
            <w:r w:rsidR="001A3756">
              <w:rPr>
                <w:noProof/>
                <w:webHidden/>
              </w:rPr>
              <w:instrText xml:space="preserve"> PAGEREF _Toc96287622 \h </w:instrText>
            </w:r>
            <w:r w:rsidR="001A3756">
              <w:rPr>
                <w:noProof/>
                <w:webHidden/>
              </w:rPr>
            </w:r>
            <w:r w:rsidR="001A3756">
              <w:rPr>
                <w:noProof/>
                <w:webHidden/>
              </w:rPr>
              <w:fldChar w:fldCharType="separate"/>
            </w:r>
            <w:r w:rsidR="001A3756">
              <w:rPr>
                <w:noProof/>
                <w:webHidden/>
              </w:rPr>
              <w:t>65</w:t>
            </w:r>
            <w:r w:rsidR="001A3756">
              <w:rPr>
                <w:noProof/>
                <w:webHidden/>
              </w:rPr>
              <w:fldChar w:fldCharType="end"/>
            </w:r>
          </w:hyperlink>
        </w:p>
        <w:p w14:paraId="27454674" w14:textId="6B6C6E69" w:rsidR="001A3756" w:rsidRDefault="00620C58">
          <w:pPr>
            <w:pStyle w:val="TOC3"/>
            <w:rPr>
              <w:rFonts w:asciiTheme="minorHAnsi" w:eastAsiaTheme="minorEastAsia" w:hAnsiTheme="minorHAnsi" w:cstheme="minorBidi"/>
              <w:noProof/>
              <w:sz w:val="22"/>
              <w:lang w:val="de-CH" w:eastAsia="de-CH"/>
            </w:rPr>
          </w:pPr>
          <w:hyperlink w:anchor="_Toc96287623" w:history="1">
            <w:r w:rsidR="001A3756" w:rsidRPr="000422AF">
              <w:rPr>
                <w:rStyle w:val="Hyperlink"/>
                <w:noProof/>
              </w:rPr>
              <w:t>Art. 33 – Application et suivi au niveau national</w:t>
            </w:r>
            <w:r w:rsidR="001A3756">
              <w:rPr>
                <w:noProof/>
                <w:webHidden/>
              </w:rPr>
              <w:tab/>
            </w:r>
            <w:r w:rsidR="001A3756">
              <w:rPr>
                <w:noProof/>
                <w:webHidden/>
              </w:rPr>
              <w:fldChar w:fldCharType="begin"/>
            </w:r>
            <w:r w:rsidR="001A3756">
              <w:rPr>
                <w:noProof/>
                <w:webHidden/>
              </w:rPr>
              <w:instrText xml:space="preserve"> PAGEREF _Toc96287623 \h </w:instrText>
            </w:r>
            <w:r w:rsidR="001A3756">
              <w:rPr>
                <w:noProof/>
                <w:webHidden/>
              </w:rPr>
            </w:r>
            <w:r w:rsidR="001A3756">
              <w:rPr>
                <w:noProof/>
                <w:webHidden/>
              </w:rPr>
              <w:fldChar w:fldCharType="separate"/>
            </w:r>
            <w:r w:rsidR="001A3756">
              <w:rPr>
                <w:noProof/>
                <w:webHidden/>
              </w:rPr>
              <w:t>67</w:t>
            </w:r>
            <w:r w:rsidR="001A3756">
              <w:rPr>
                <w:noProof/>
                <w:webHidden/>
              </w:rPr>
              <w:fldChar w:fldCharType="end"/>
            </w:r>
          </w:hyperlink>
        </w:p>
        <w:p w14:paraId="27AC97A0" w14:textId="2D04D1F3" w:rsidR="001A3756" w:rsidRDefault="00620C58">
          <w:pPr>
            <w:pStyle w:val="TOC2"/>
            <w:rPr>
              <w:rFonts w:asciiTheme="minorHAnsi" w:eastAsiaTheme="minorEastAsia" w:hAnsiTheme="minorHAnsi" w:cstheme="minorBidi"/>
              <w:b w:val="0"/>
              <w:sz w:val="22"/>
              <w:lang w:val="de-CH" w:eastAsia="de-CH"/>
            </w:rPr>
          </w:pPr>
          <w:hyperlink w:anchor="_Toc96287624" w:history="1">
            <w:r w:rsidR="001A3756" w:rsidRPr="000422AF">
              <w:rPr>
                <w:rStyle w:val="Hyperlink"/>
              </w:rPr>
              <w:t>Index des abréviations</w:t>
            </w:r>
            <w:r w:rsidR="001A3756">
              <w:rPr>
                <w:webHidden/>
              </w:rPr>
              <w:tab/>
            </w:r>
            <w:r w:rsidR="001A3756">
              <w:rPr>
                <w:webHidden/>
              </w:rPr>
              <w:fldChar w:fldCharType="begin"/>
            </w:r>
            <w:r w:rsidR="001A3756">
              <w:rPr>
                <w:webHidden/>
              </w:rPr>
              <w:instrText xml:space="preserve"> PAGEREF _Toc96287624 \h </w:instrText>
            </w:r>
            <w:r w:rsidR="001A3756">
              <w:rPr>
                <w:webHidden/>
              </w:rPr>
            </w:r>
            <w:r w:rsidR="001A3756">
              <w:rPr>
                <w:webHidden/>
              </w:rPr>
              <w:fldChar w:fldCharType="separate"/>
            </w:r>
            <w:r w:rsidR="001A3756">
              <w:rPr>
                <w:webHidden/>
              </w:rPr>
              <w:t>70</w:t>
            </w:r>
            <w:r w:rsidR="001A3756">
              <w:rPr>
                <w:webHidden/>
              </w:rPr>
              <w:fldChar w:fldCharType="end"/>
            </w:r>
          </w:hyperlink>
        </w:p>
        <w:p w14:paraId="102CC6C4" w14:textId="04CCC261" w:rsidR="00B644F9" w:rsidRPr="00B644F9" w:rsidRDefault="00924B3D" w:rsidP="00B644F9">
          <w:pPr>
            <w:rPr>
              <w:sz w:val="20"/>
              <w:szCs w:val="20"/>
            </w:rPr>
          </w:pPr>
          <w:r w:rsidRPr="00F756DE">
            <w:rPr>
              <w:b/>
              <w:bCs/>
              <w:sz w:val="20"/>
              <w:szCs w:val="20"/>
            </w:rPr>
            <w:fldChar w:fldCharType="end"/>
          </w:r>
        </w:p>
      </w:sdtContent>
    </w:sdt>
    <w:p w14:paraId="1CB60230" w14:textId="77777777" w:rsidR="00B644F9" w:rsidRDefault="00B644F9" w:rsidP="00B644F9">
      <w:pPr>
        <w:spacing w:before="6000"/>
        <w:jc w:val="left"/>
        <w:rPr>
          <w:b/>
          <w:sz w:val="22"/>
          <w:lang w:val="de-CH" w:eastAsia="de-CH"/>
        </w:rPr>
      </w:pPr>
    </w:p>
    <w:p w14:paraId="5E400085" w14:textId="371F1B85" w:rsidR="00B644F9" w:rsidRPr="00DE7156" w:rsidRDefault="00DE7156" w:rsidP="00B644F9">
      <w:pPr>
        <w:spacing w:before="6000"/>
        <w:jc w:val="left"/>
        <w:rPr>
          <w:b/>
          <w:sz w:val="22"/>
          <w:lang w:val="fr-FR" w:eastAsia="de-CH"/>
        </w:rPr>
      </w:pPr>
      <w:r w:rsidRPr="00DE7156">
        <w:rPr>
          <w:b/>
          <w:sz w:val="22"/>
          <w:lang w:val="fr-FR" w:eastAsia="de-CH"/>
        </w:rPr>
        <w:t>Rapport alternatif actualisé</w:t>
      </w:r>
    </w:p>
    <w:p w14:paraId="4643E1E6" w14:textId="77777777" w:rsidR="00DE7156" w:rsidRDefault="00DE7156" w:rsidP="00B644F9">
      <w:pPr>
        <w:spacing w:after="600"/>
        <w:jc w:val="left"/>
        <w:rPr>
          <w:sz w:val="22"/>
          <w:lang w:val="fr-FR" w:eastAsia="de-CH"/>
        </w:rPr>
      </w:pPr>
      <w:r w:rsidRPr="00DE7156">
        <w:rPr>
          <w:sz w:val="22"/>
          <w:lang w:val="fr-FR" w:eastAsia="de-CH"/>
        </w:rPr>
        <w:t>Rapport de la société civile présenté à l’occasion de la première procédure de rapport des États devant le Comité des droits des personnes handicapées de l’ONU</w:t>
      </w:r>
      <w:r>
        <w:rPr>
          <w:sz w:val="22"/>
          <w:lang w:val="fr-FR" w:eastAsia="de-CH"/>
        </w:rPr>
        <w:t xml:space="preserve"> </w:t>
      </w:r>
    </w:p>
    <w:p w14:paraId="14E58CF4" w14:textId="04945F58" w:rsidR="00B644F9" w:rsidRPr="00DE7156" w:rsidRDefault="00B644F9" w:rsidP="00B644F9">
      <w:pPr>
        <w:spacing w:after="600"/>
        <w:jc w:val="left"/>
        <w:rPr>
          <w:sz w:val="22"/>
          <w:lang w:val="fr-FR" w:eastAsia="de-CH"/>
        </w:rPr>
      </w:pPr>
      <w:r w:rsidRPr="00DE7156">
        <w:rPr>
          <w:sz w:val="22"/>
          <w:lang w:val="fr-FR" w:eastAsia="de-CH"/>
        </w:rPr>
        <w:t>Bern</w:t>
      </w:r>
      <w:r w:rsidR="00DE7156">
        <w:rPr>
          <w:sz w:val="22"/>
          <w:lang w:val="fr-FR" w:eastAsia="de-CH"/>
        </w:rPr>
        <w:t>e</w:t>
      </w:r>
      <w:r w:rsidRPr="00DE7156">
        <w:rPr>
          <w:sz w:val="22"/>
          <w:lang w:val="fr-FR" w:eastAsia="de-CH"/>
        </w:rPr>
        <w:t xml:space="preserve">, </w:t>
      </w:r>
      <w:r w:rsidR="00DE7156">
        <w:rPr>
          <w:sz w:val="22"/>
          <w:lang w:val="fr-FR" w:eastAsia="de-CH"/>
        </w:rPr>
        <w:t>février</w:t>
      </w:r>
      <w:r w:rsidRPr="00DE7156">
        <w:rPr>
          <w:sz w:val="22"/>
          <w:lang w:val="fr-FR" w:eastAsia="de-CH"/>
        </w:rPr>
        <w:t xml:space="preserve"> 2022</w:t>
      </w:r>
    </w:p>
    <w:p w14:paraId="455D38C5" w14:textId="762FF87A" w:rsidR="00B644F9" w:rsidRPr="00A611C2" w:rsidRDefault="00DE7156" w:rsidP="00B644F9">
      <w:pPr>
        <w:jc w:val="left"/>
        <w:rPr>
          <w:b/>
          <w:sz w:val="22"/>
          <w:lang w:val="fr-FR" w:eastAsia="de-CH"/>
        </w:rPr>
      </w:pPr>
      <w:r w:rsidRPr="00A611C2">
        <w:rPr>
          <w:b/>
          <w:sz w:val="22"/>
          <w:lang w:val="fr-FR" w:eastAsia="de-CH"/>
        </w:rPr>
        <w:lastRenderedPageBreak/>
        <w:t>Auteures du rapport</w:t>
      </w:r>
    </w:p>
    <w:p w14:paraId="2457A606" w14:textId="412900E9" w:rsidR="00B644F9" w:rsidRPr="00A611C2" w:rsidRDefault="00B644F9" w:rsidP="00B644F9">
      <w:pPr>
        <w:jc w:val="left"/>
        <w:rPr>
          <w:sz w:val="22"/>
          <w:lang w:val="fr-FR" w:eastAsia="de-CH"/>
        </w:rPr>
      </w:pPr>
      <w:r w:rsidRPr="00A611C2">
        <w:rPr>
          <w:sz w:val="22"/>
          <w:lang w:val="fr-FR" w:eastAsia="de-CH"/>
        </w:rPr>
        <w:t>Caroline Hess-Klein</w:t>
      </w:r>
      <w:r w:rsidR="00DE7156" w:rsidRPr="00A611C2">
        <w:rPr>
          <w:sz w:val="22"/>
          <w:lang w:val="fr-FR" w:eastAsia="de-CH"/>
        </w:rPr>
        <w:t>, Dr en droit</w:t>
      </w:r>
      <w:r w:rsidRPr="00A611C2">
        <w:rPr>
          <w:sz w:val="22"/>
          <w:lang w:val="fr-FR" w:eastAsia="de-CH"/>
        </w:rPr>
        <w:t>, Inclusion Handicap</w:t>
      </w:r>
    </w:p>
    <w:p w14:paraId="51890075" w14:textId="77777777" w:rsidR="00B644F9" w:rsidRDefault="00B644F9" w:rsidP="00B644F9">
      <w:pPr>
        <w:spacing w:after="360"/>
        <w:jc w:val="left"/>
        <w:rPr>
          <w:sz w:val="22"/>
          <w:lang w:val="en-GB" w:eastAsia="de-CH"/>
        </w:rPr>
      </w:pPr>
      <w:r w:rsidRPr="005F3816">
        <w:rPr>
          <w:sz w:val="22"/>
          <w:lang w:val="en-GB" w:eastAsia="de-CH"/>
        </w:rPr>
        <w:t>Eliane Scheibler, MLaw,</w:t>
      </w:r>
      <w:r>
        <w:rPr>
          <w:sz w:val="22"/>
          <w:lang w:val="en-GB" w:eastAsia="de-CH"/>
        </w:rPr>
        <w:t xml:space="preserve"> Inclusion Handicap</w:t>
      </w:r>
    </w:p>
    <w:p w14:paraId="0FE35EE6" w14:textId="02DEA5E9" w:rsidR="00B644F9" w:rsidRPr="00332E5D" w:rsidRDefault="00DE7156" w:rsidP="00B644F9">
      <w:pPr>
        <w:jc w:val="left"/>
        <w:rPr>
          <w:b/>
          <w:sz w:val="22"/>
          <w:lang w:val="en-GB" w:eastAsia="de-CH"/>
        </w:rPr>
      </w:pPr>
      <w:r>
        <w:rPr>
          <w:b/>
          <w:sz w:val="22"/>
          <w:lang w:val="en-GB" w:eastAsia="de-CH"/>
        </w:rPr>
        <w:t>Auteure</w:t>
      </w:r>
      <w:r w:rsidR="00B644F9" w:rsidRPr="00332E5D">
        <w:rPr>
          <w:b/>
          <w:sz w:val="22"/>
          <w:lang w:val="en-GB" w:eastAsia="de-CH"/>
        </w:rPr>
        <w:t xml:space="preserve"> Executive Summary</w:t>
      </w:r>
    </w:p>
    <w:p w14:paraId="20BC6198" w14:textId="589CFE81" w:rsidR="00B644F9" w:rsidRPr="00982D6C" w:rsidRDefault="00B644F9" w:rsidP="00B644F9">
      <w:pPr>
        <w:spacing w:after="360"/>
        <w:jc w:val="left"/>
        <w:rPr>
          <w:sz w:val="22"/>
          <w:lang w:val="de-CH" w:eastAsia="de-CH"/>
        </w:rPr>
      </w:pPr>
      <w:r w:rsidRPr="00982D6C">
        <w:rPr>
          <w:sz w:val="22"/>
          <w:lang w:val="de-CH" w:eastAsia="de-CH"/>
        </w:rPr>
        <w:t xml:space="preserve">Nuria Frei, </w:t>
      </w:r>
      <w:r>
        <w:rPr>
          <w:sz w:val="22"/>
          <w:lang w:val="de-CH" w:eastAsia="de-CH"/>
        </w:rPr>
        <w:t>lic. iur.</w:t>
      </w:r>
      <w:r w:rsidRPr="00982D6C">
        <w:rPr>
          <w:sz w:val="22"/>
          <w:lang w:val="de-CH" w:eastAsia="de-CH"/>
        </w:rPr>
        <w:t xml:space="preserve">, </w:t>
      </w:r>
      <w:r w:rsidR="00A611C2">
        <w:rPr>
          <w:sz w:val="22"/>
          <w:lang w:val="de-CH" w:eastAsia="de-CH"/>
        </w:rPr>
        <w:t>avocate</w:t>
      </w:r>
      <w:r w:rsidRPr="00982D6C">
        <w:rPr>
          <w:sz w:val="22"/>
          <w:lang w:val="de-CH" w:eastAsia="de-CH"/>
        </w:rPr>
        <w:t>, Inclusion Handicap</w:t>
      </w:r>
    </w:p>
    <w:p w14:paraId="1BA24DB8" w14:textId="56008835" w:rsidR="00B644F9" w:rsidRPr="00F452DF" w:rsidRDefault="0018342B" w:rsidP="00B644F9">
      <w:pPr>
        <w:jc w:val="left"/>
        <w:rPr>
          <w:b/>
          <w:sz w:val="22"/>
          <w:lang w:val="de-CH" w:eastAsia="de-CH"/>
        </w:rPr>
      </w:pPr>
      <w:r>
        <w:rPr>
          <w:b/>
          <w:sz w:val="22"/>
          <w:lang w:val="de-CH" w:eastAsia="de-CH"/>
        </w:rPr>
        <w:t>Format</w:t>
      </w:r>
      <w:r w:rsidR="00361304">
        <w:rPr>
          <w:b/>
          <w:sz w:val="22"/>
          <w:lang w:val="de-CH" w:eastAsia="de-CH"/>
        </w:rPr>
        <w:t>age</w:t>
      </w:r>
      <w:r>
        <w:rPr>
          <w:b/>
          <w:sz w:val="22"/>
          <w:lang w:val="de-CH" w:eastAsia="de-CH"/>
        </w:rPr>
        <w:t>/Accessibilité</w:t>
      </w:r>
    </w:p>
    <w:p w14:paraId="7BB646A7" w14:textId="21DFCC9B" w:rsidR="00924B3D" w:rsidRPr="00B644F9" w:rsidRDefault="00B644F9" w:rsidP="00B644F9">
      <w:pPr>
        <w:jc w:val="left"/>
        <w:rPr>
          <w:sz w:val="22"/>
          <w:lang w:val="de-CH" w:eastAsia="de-CH"/>
        </w:rPr>
      </w:pPr>
      <w:r w:rsidRPr="00F452DF">
        <w:rPr>
          <w:sz w:val="22"/>
          <w:lang w:val="de-CH" w:eastAsia="de-CH"/>
        </w:rPr>
        <w:t xml:space="preserve">Martina Hermann, MA </w:t>
      </w:r>
      <w:r w:rsidR="00A611C2">
        <w:rPr>
          <w:sz w:val="22"/>
          <w:lang w:val="de-CH" w:eastAsia="de-CH"/>
        </w:rPr>
        <w:t>Etudes socio-culturelles</w:t>
      </w:r>
      <w:r w:rsidRPr="00F452DF">
        <w:rPr>
          <w:sz w:val="22"/>
          <w:lang w:val="de-CH" w:eastAsia="de-CH"/>
        </w:rPr>
        <w:t>, Inclusion Handicap</w:t>
      </w:r>
    </w:p>
    <w:p w14:paraId="1AC17E77" w14:textId="77777777" w:rsidR="00102996" w:rsidRPr="00B644F9" w:rsidRDefault="00102996">
      <w:pPr>
        <w:jc w:val="left"/>
        <w:rPr>
          <w:lang w:val="de-CH" w:eastAsia="de-CH"/>
        </w:rPr>
      </w:pPr>
      <w:r w:rsidRPr="00B644F9">
        <w:rPr>
          <w:lang w:val="de-CH" w:eastAsia="de-CH"/>
        </w:rPr>
        <w:br w:type="page"/>
      </w:r>
    </w:p>
    <w:p w14:paraId="0C1D5035" w14:textId="5A2319BA" w:rsidR="00102996" w:rsidRDefault="00F756DE" w:rsidP="003640E6">
      <w:pPr>
        <w:pStyle w:val="Heading2"/>
      </w:pPr>
      <w:bookmarkStart w:id="9" w:name="_Toc96287594"/>
      <w:r>
        <w:lastRenderedPageBreak/>
        <w:t>Introduction</w:t>
      </w:r>
      <w:bookmarkEnd w:id="9"/>
    </w:p>
    <w:p w14:paraId="5B36D892" w14:textId="6B1B110A" w:rsidR="00E47AAD" w:rsidRPr="00BF3CDE" w:rsidRDefault="00E47AAD" w:rsidP="00E47AAD">
      <w:pPr>
        <w:pStyle w:val="BodyText"/>
        <w:rPr>
          <w:noProof/>
        </w:rPr>
      </w:pPr>
      <w:r w:rsidRPr="00BF3CDE">
        <w:rPr>
          <w:noProof/>
        </w:rPr>
        <w:t xml:space="preserve">Le présent document, élaboré par l’association faîtière suisse des personnes handicapées </w:t>
      </w:r>
      <w:r w:rsidRPr="00BF3CDE">
        <w:rPr>
          <w:b/>
          <w:noProof/>
        </w:rPr>
        <w:t>Inclusion Handicap</w:t>
      </w:r>
      <w:r w:rsidRPr="00BF3CDE">
        <w:rPr>
          <w:noProof/>
        </w:rPr>
        <w:t xml:space="preserve"> </w:t>
      </w:r>
      <w:r w:rsidRPr="00BF3CDE">
        <w:rPr>
          <w:b/>
          <w:noProof/>
        </w:rPr>
        <w:t>(IH)</w:t>
      </w:r>
      <w:r w:rsidRPr="00ED6F75">
        <w:rPr>
          <w:noProof/>
        </w:rPr>
        <w:t xml:space="preserve">, </w:t>
      </w:r>
      <w:r w:rsidRPr="00BF3CDE">
        <w:rPr>
          <w:noProof/>
        </w:rPr>
        <w:t>est destiné à soutenir le Comité des droits des personnes handicapées de l’ONU (Comité) lors de l’élaboration, dans le cadre de la première procédure de rapport étatique de la Suisse, de ses «Observations finales» à l’attention de la Suisse. Il se réfère en particulier au Premier rapport étatique de la Suisse</w:t>
      </w:r>
      <w:r w:rsidR="0028551B">
        <w:rPr>
          <w:noProof/>
        </w:rPr>
        <w:t xml:space="preserve"> (PRE)</w:t>
      </w:r>
      <w:r w:rsidRPr="00BF3CDE">
        <w:rPr>
          <w:noProof/>
        </w:rPr>
        <w:t>, à la Liste des points à traiter adressée à la Suisse ainsi qu’aux réponses que la Suisse y a apportées.</w:t>
      </w:r>
    </w:p>
    <w:p w14:paraId="621F3C64" w14:textId="77777777" w:rsidR="00E47AAD" w:rsidRPr="00BF3CDE" w:rsidRDefault="00E47AAD" w:rsidP="00E47AAD">
      <w:pPr>
        <w:pStyle w:val="BodyText"/>
      </w:pPr>
      <w:r w:rsidRPr="00BF3CDE">
        <w:t xml:space="preserve">IH s’engage en faveur des quelque </w:t>
      </w:r>
      <w:r w:rsidRPr="00BF3CDE">
        <w:rPr>
          <w:b/>
        </w:rPr>
        <w:t>1,8 million de femmes, d’hommes et d’enfants en situation de handicap vivant en Suisse</w:t>
      </w:r>
      <w:r w:rsidRPr="00BF3CDE">
        <w:t xml:space="preserve">. La faîtière œuvre pour une société inclusive qui garantisse à ces personnes une participation pleine et autonome à la vie en société. Les 22 organisations suivantes sont membres d’Inclusion Handicap: </w:t>
      </w:r>
    </w:p>
    <w:p w14:paraId="635CC2FC" w14:textId="77777777" w:rsidR="00E47AAD" w:rsidRPr="00BF3CDE" w:rsidRDefault="00E47AAD" w:rsidP="001A3756">
      <w:pPr>
        <w:pStyle w:val="BodyText"/>
        <w:numPr>
          <w:ilvl w:val="0"/>
          <w:numId w:val="9"/>
        </w:numPr>
      </w:pPr>
      <w:r w:rsidRPr="00BF3CDE">
        <w:t>ASPr-SVG (Association Suisse des Paralysés ι Polio.ch)</w:t>
      </w:r>
    </w:p>
    <w:p w14:paraId="78B124A5" w14:textId="12061BDF" w:rsidR="00E47AAD" w:rsidRPr="00BF3CDE" w:rsidRDefault="00620C58" w:rsidP="001A3756">
      <w:pPr>
        <w:pStyle w:val="BodyText"/>
        <w:numPr>
          <w:ilvl w:val="0"/>
          <w:numId w:val="9"/>
        </w:numPr>
      </w:pPr>
      <w:hyperlink r:id="rId12" w:tgtFrame="_blank" w:history="1">
        <w:r w:rsidR="00E47AAD" w:rsidRPr="00BF3CDE">
          <w:t>Asrimm (Association Suisse Romande Intervenant contre les Maladies neuro-Musculaires)</w:t>
        </w:r>
      </w:hyperlink>
    </w:p>
    <w:p w14:paraId="3ED7CBBF" w14:textId="0F67F283" w:rsidR="00E47AAD" w:rsidRPr="00BF3CDE" w:rsidRDefault="00620C58" w:rsidP="001A3756">
      <w:pPr>
        <w:pStyle w:val="BodyText"/>
        <w:numPr>
          <w:ilvl w:val="0"/>
          <w:numId w:val="9"/>
        </w:numPr>
      </w:pPr>
      <w:hyperlink r:id="rId13" w:tgtFrame="_blank" w:history="1">
        <w:r w:rsidR="00E47AAD" w:rsidRPr="00BF3CDE">
          <w:t>Autisme Suisse</w:t>
        </w:r>
      </w:hyperlink>
    </w:p>
    <w:p w14:paraId="77B03753" w14:textId="77777777" w:rsidR="00E47AAD" w:rsidRPr="00BF3CDE" w:rsidRDefault="00E47AAD" w:rsidP="001A3756">
      <w:pPr>
        <w:pStyle w:val="BodyText"/>
        <w:numPr>
          <w:ilvl w:val="0"/>
          <w:numId w:val="9"/>
        </w:numPr>
      </w:pPr>
      <w:r w:rsidRPr="00BF3CDE">
        <w:t>Mucoviscidose Suisse</w:t>
      </w:r>
    </w:p>
    <w:p w14:paraId="3E475C4B" w14:textId="21CF3D6B" w:rsidR="00E47AAD" w:rsidRPr="00BF3CDE" w:rsidRDefault="00620C58" w:rsidP="001A3756">
      <w:pPr>
        <w:pStyle w:val="BodyText"/>
        <w:numPr>
          <w:ilvl w:val="0"/>
          <w:numId w:val="9"/>
        </w:numPr>
      </w:pPr>
      <w:hyperlink r:id="rId14" w:tgtFrame="_blank" w:history="1">
        <w:r w:rsidR="00E47AAD" w:rsidRPr="00BF3CDE">
          <w:t>FRAGILE Suisse (Pour les personnes cérébrolésées et leurs proches)</w:t>
        </w:r>
      </w:hyperlink>
      <w:r w:rsidR="00E47AAD" w:rsidRPr="00BF3CDE">
        <w:t xml:space="preserve"> </w:t>
      </w:r>
    </w:p>
    <w:p w14:paraId="52AC8DE0" w14:textId="77777777" w:rsidR="00E47AAD" w:rsidRPr="00BF3CDE" w:rsidRDefault="00E47AAD" w:rsidP="001A3756">
      <w:pPr>
        <w:pStyle w:val="BodyText"/>
        <w:numPr>
          <w:ilvl w:val="0"/>
          <w:numId w:val="9"/>
        </w:numPr>
      </w:pPr>
      <w:r w:rsidRPr="00BF3CDE">
        <w:t>COLISA (Conférence nationale suisse des ligues de la santé)</w:t>
      </w:r>
    </w:p>
    <w:p w14:paraId="40CBA20B" w14:textId="267403B2" w:rsidR="00E47AAD" w:rsidRPr="00BF3CDE" w:rsidRDefault="00620C58" w:rsidP="001A3756">
      <w:pPr>
        <w:pStyle w:val="BodyText"/>
        <w:numPr>
          <w:ilvl w:val="0"/>
          <w:numId w:val="9"/>
        </w:numPr>
      </w:pPr>
      <w:hyperlink r:id="rId15" w:tgtFrame="_blank" w:history="1">
        <w:r w:rsidR="00E47AAD" w:rsidRPr="00BF3CDE">
          <w:t>inclusione andicap ticino</w:t>
        </w:r>
      </w:hyperlink>
    </w:p>
    <w:p w14:paraId="5F144767" w14:textId="4BBE84A0" w:rsidR="00E47AAD" w:rsidRPr="00BF3CDE" w:rsidRDefault="00620C58" w:rsidP="001A3756">
      <w:pPr>
        <w:pStyle w:val="BodyText"/>
        <w:numPr>
          <w:ilvl w:val="0"/>
          <w:numId w:val="9"/>
        </w:numPr>
      </w:pPr>
      <w:hyperlink r:id="rId16" w:tgtFrame="_blank" w:history="1">
        <w:r w:rsidR="00E47AAD" w:rsidRPr="00BF3CDE">
          <w:t>insieme</w:t>
        </w:r>
      </w:hyperlink>
      <w:r w:rsidR="00E47AAD" w:rsidRPr="00BF3CDE">
        <w:t xml:space="preserve"> Suisse</w:t>
      </w:r>
    </w:p>
    <w:p w14:paraId="2804183B" w14:textId="66F2DA78" w:rsidR="00E47AAD" w:rsidRPr="00BF3CDE" w:rsidRDefault="00620C58" w:rsidP="001A3756">
      <w:pPr>
        <w:pStyle w:val="BodyText"/>
        <w:numPr>
          <w:ilvl w:val="0"/>
          <w:numId w:val="9"/>
        </w:numPr>
      </w:pPr>
      <w:hyperlink r:id="rId17" w:tgtFrame="_blank" w:history="1">
        <w:r w:rsidR="00E47AAD" w:rsidRPr="00BF3CDE">
          <w:t xml:space="preserve">PluSport </w:t>
        </w:r>
      </w:hyperlink>
    </w:p>
    <w:p w14:paraId="402252CB" w14:textId="0DB42076" w:rsidR="00E47AAD" w:rsidRPr="00BF3CDE" w:rsidRDefault="00620C58" w:rsidP="001A3756">
      <w:pPr>
        <w:pStyle w:val="BodyText"/>
        <w:numPr>
          <w:ilvl w:val="0"/>
          <w:numId w:val="9"/>
        </w:numPr>
      </w:pPr>
      <w:hyperlink r:id="rId18" w:tgtFrame="_blank" w:history="1">
        <w:r w:rsidR="00E47AAD" w:rsidRPr="00BF3CDE">
          <w:t xml:space="preserve">Pro audito </w:t>
        </w:r>
      </w:hyperlink>
      <w:r w:rsidR="00E47AAD" w:rsidRPr="00BF3CDE">
        <w:t>Suisse</w:t>
      </w:r>
    </w:p>
    <w:p w14:paraId="7FCF1AE5" w14:textId="524E13CD" w:rsidR="00E47AAD" w:rsidRPr="00BF3CDE" w:rsidRDefault="00620C58" w:rsidP="001A3756">
      <w:pPr>
        <w:pStyle w:val="BodyText"/>
        <w:numPr>
          <w:ilvl w:val="0"/>
          <w:numId w:val="9"/>
        </w:numPr>
      </w:pPr>
      <w:hyperlink r:id="rId19" w:tgtFrame="_blank" w:history="1">
        <w:r w:rsidR="00E47AAD" w:rsidRPr="00BF3CDE">
          <w:t>Procap</w:t>
        </w:r>
      </w:hyperlink>
    </w:p>
    <w:p w14:paraId="4747CBA3" w14:textId="185A7D83" w:rsidR="00E47AAD" w:rsidRPr="00BF3CDE" w:rsidRDefault="00620C58" w:rsidP="001A3756">
      <w:pPr>
        <w:pStyle w:val="BodyText"/>
        <w:numPr>
          <w:ilvl w:val="0"/>
          <w:numId w:val="9"/>
        </w:numPr>
      </w:pPr>
      <w:hyperlink r:id="rId20" w:tgtFrame="_blank" w:history="1">
        <w:r w:rsidR="00E47AAD" w:rsidRPr="00BF3CDE">
          <w:t>Pro Infirmis</w:t>
        </w:r>
      </w:hyperlink>
    </w:p>
    <w:p w14:paraId="285BFD37" w14:textId="628DBC7E" w:rsidR="00E47AAD" w:rsidRPr="00BF3CDE" w:rsidRDefault="00620C58" w:rsidP="001A3756">
      <w:pPr>
        <w:pStyle w:val="BodyText"/>
        <w:numPr>
          <w:ilvl w:val="0"/>
          <w:numId w:val="9"/>
        </w:numPr>
      </w:pPr>
      <w:hyperlink r:id="rId21" w:tgtFrame="_blank" w:history="1">
        <w:r w:rsidR="00E47AAD" w:rsidRPr="00BF3CDE">
          <w:t>Pro Mente Sana</w:t>
        </w:r>
      </w:hyperlink>
    </w:p>
    <w:p w14:paraId="6C0DE804" w14:textId="72850690" w:rsidR="00E47AAD" w:rsidRPr="00BF3CDE" w:rsidRDefault="00620C58" w:rsidP="001A3756">
      <w:pPr>
        <w:pStyle w:val="BodyText"/>
        <w:numPr>
          <w:ilvl w:val="0"/>
          <w:numId w:val="9"/>
        </w:numPr>
      </w:pPr>
      <w:hyperlink r:id="rId22" w:tgtFrame="_blank" w:history="1">
        <w:r w:rsidR="00E47AAD" w:rsidRPr="00BF3CDE">
          <w:t>Société suisse de la sclérose en plaques</w:t>
        </w:r>
      </w:hyperlink>
      <w:r w:rsidR="00E47AAD" w:rsidRPr="00BF3CDE">
        <w:t xml:space="preserve"> </w:t>
      </w:r>
    </w:p>
    <w:p w14:paraId="6C8AD4C4" w14:textId="77777777" w:rsidR="00E47AAD" w:rsidRPr="00BF3CDE" w:rsidRDefault="00E47AAD" w:rsidP="001A3756">
      <w:pPr>
        <w:pStyle w:val="BodyText"/>
        <w:numPr>
          <w:ilvl w:val="0"/>
          <w:numId w:val="9"/>
        </w:numPr>
      </w:pPr>
      <w:r w:rsidRPr="00BF3CDE">
        <w:t>Fédération suisse des aveugles et malvoyants FSA</w:t>
      </w:r>
    </w:p>
    <w:p w14:paraId="25115206" w14:textId="7459A584" w:rsidR="00E47AAD" w:rsidRPr="00BF3CDE" w:rsidRDefault="00E47AAD" w:rsidP="001A3756">
      <w:pPr>
        <w:pStyle w:val="BodyText"/>
        <w:numPr>
          <w:ilvl w:val="0"/>
          <w:numId w:val="9"/>
        </w:numPr>
      </w:pPr>
      <w:r w:rsidRPr="00BF3CDE">
        <w:t>Fédération Suisse des Sourds</w:t>
      </w:r>
      <w:hyperlink r:id="rId23" w:tgtFrame="_blank" w:history="1">
        <w:r w:rsidRPr="00BF3CDE">
          <w:t xml:space="preserve"> FSS</w:t>
        </w:r>
      </w:hyperlink>
    </w:p>
    <w:p w14:paraId="24847C89" w14:textId="2E2FA5AD" w:rsidR="00E47AAD" w:rsidRPr="00BF3CDE" w:rsidRDefault="00E47AAD" w:rsidP="001A3756">
      <w:pPr>
        <w:pStyle w:val="BodyText"/>
        <w:numPr>
          <w:ilvl w:val="0"/>
          <w:numId w:val="9"/>
        </w:numPr>
      </w:pPr>
      <w:r w:rsidRPr="00BF3CDE">
        <w:t>Union centrale suisse pour le bien des aveugles</w:t>
      </w:r>
      <w:hyperlink r:id="rId24" w:tgtFrame="_blank" w:history="1">
        <w:r w:rsidRPr="00BF3CDE">
          <w:t xml:space="preserve"> UCBA</w:t>
        </w:r>
      </w:hyperlink>
    </w:p>
    <w:p w14:paraId="09AA4AC5" w14:textId="74F3A6E6" w:rsidR="00E47AAD" w:rsidRPr="00BF3CDE" w:rsidRDefault="00620C58" w:rsidP="001A3756">
      <w:pPr>
        <w:pStyle w:val="BodyText"/>
        <w:numPr>
          <w:ilvl w:val="0"/>
          <w:numId w:val="9"/>
        </w:numPr>
      </w:pPr>
      <w:hyperlink r:id="rId25" w:tgtFrame="_blank" w:history="1">
        <w:r w:rsidR="00E47AAD" w:rsidRPr="00BF3CDE">
          <w:t>Association suisse des paraplégiques ASP</w:t>
        </w:r>
      </w:hyperlink>
    </w:p>
    <w:p w14:paraId="6503277A" w14:textId="4256C994" w:rsidR="00E47AAD" w:rsidRPr="00BF3CDE" w:rsidRDefault="00620C58" w:rsidP="001A3756">
      <w:pPr>
        <w:pStyle w:val="BodyText"/>
        <w:numPr>
          <w:ilvl w:val="0"/>
          <w:numId w:val="9"/>
        </w:numPr>
      </w:pPr>
      <w:hyperlink r:id="rId26" w:tgtFrame="_blank" w:history="1">
        <w:r w:rsidR="00E47AAD" w:rsidRPr="00BF3CDE">
          <w:t>Fondation suisse en faveur de l</w:t>
        </w:r>
        <w:r w:rsidR="00C254B5">
          <w:t>’</w:t>
        </w:r>
        <w:r w:rsidR="00E47AAD" w:rsidRPr="00BF3CDE">
          <w:t>enfant infirme moteur cérébral</w:t>
        </w:r>
      </w:hyperlink>
    </w:p>
    <w:p w14:paraId="450E7133" w14:textId="16800EB5" w:rsidR="00E47AAD" w:rsidRPr="00BF3CDE" w:rsidRDefault="00620C58" w:rsidP="001A3756">
      <w:pPr>
        <w:pStyle w:val="BodyText"/>
        <w:numPr>
          <w:ilvl w:val="0"/>
          <w:numId w:val="9"/>
        </w:numPr>
      </w:pPr>
      <w:hyperlink r:id="rId27" w:tgtFrame="_blank" w:history="1">
        <w:r w:rsidR="00E47AAD" w:rsidRPr="00BF3CDE">
          <w:t>Sonos (Association suisse des organisations de sourds et malentendants</w:t>
        </w:r>
      </w:hyperlink>
    </w:p>
    <w:p w14:paraId="5619915C" w14:textId="49C0E45C" w:rsidR="00E47AAD" w:rsidRPr="00BF3CDE" w:rsidRDefault="00620C58" w:rsidP="001A3756">
      <w:pPr>
        <w:pStyle w:val="BodyText"/>
        <w:numPr>
          <w:ilvl w:val="0"/>
          <w:numId w:val="9"/>
        </w:numPr>
      </w:pPr>
      <w:hyperlink r:id="rId28" w:tgtFrame="_blank" w:history="1">
        <w:r w:rsidR="00E47AAD" w:rsidRPr="00BF3CDE">
          <w:t>Association Dyslexie Suisse</w:t>
        </w:r>
      </w:hyperlink>
      <w:r w:rsidR="006D1641">
        <w:t xml:space="preserve"> romande/</w:t>
      </w:r>
      <w:r w:rsidR="006D1641" w:rsidRPr="006D1641">
        <w:t>Verband Dyslexie Schweiz</w:t>
      </w:r>
      <w:r w:rsidR="00E47AAD" w:rsidRPr="006D1641">
        <w:t xml:space="preserve"> </w:t>
      </w:r>
    </w:p>
    <w:p w14:paraId="2DEA5C7A" w14:textId="08057684" w:rsidR="00E47AAD" w:rsidRPr="00C254B5" w:rsidRDefault="00620C58" w:rsidP="001A3756">
      <w:pPr>
        <w:pStyle w:val="BodyText"/>
        <w:numPr>
          <w:ilvl w:val="0"/>
          <w:numId w:val="9"/>
        </w:numPr>
        <w:rPr>
          <w:bCs/>
          <w:kern w:val="32"/>
          <w:sz w:val="28"/>
          <w:szCs w:val="32"/>
        </w:rPr>
      </w:pPr>
      <w:hyperlink r:id="rId29" w:tgtFrame="_blank" w:history="1">
        <w:r w:rsidR="00E47AAD" w:rsidRPr="00BF3CDE">
          <w:t>Association Cerebral Suisse</w:t>
        </w:r>
      </w:hyperlink>
    </w:p>
    <w:p w14:paraId="12EA76EF" w14:textId="77777777" w:rsidR="00E47AAD" w:rsidRPr="00BF3CDE" w:rsidRDefault="00E47AAD" w:rsidP="00E47AAD">
      <w:pPr>
        <w:spacing w:before="120"/>
      </w:pPr>
      <w:r w:rsidRPr="00BF3CDE">
        <w:t xml:space="preserve">Les organisations suivantes ont également participé à l’élaboration du présent rapport: </w:t>
      </w:r>
    </w:p>
    <w:p w14:paraId="47E174A8" w14:textId="77777777" w:rsidR="00E47AAD" w:rsidRPr="00BF3CDE" w:rsidRDefault="00E47AAD" w:rsidP="001A3756">
      <w:pPr>
        <w:pStyle w:val="BodyText"/>
        <w:numPr>
          <w:ilvl w:val="0"/>
          <w:numId w:val="10"/>
        </w:numPr>
      </w:pPr>
      <w:r w:rsidRPr="00BF3CDE">
        <w:lastRenderedPageBreak/>
        <w:t>AGILE.CH (Les organisations de personnes avec handicap)</w:t>
      </w:r>
    </w:p>
    <w:p w14:paraId="2F4535F6" w14:textId="77777777" w:rsidR="00E47AAD" w:rsidRPr="00BF3CDE" w:rsidRDefault="00E47AAD" w:rsidP="001A3756">
      <w:pPr>
        <w:pStyle w:val="BodyText"/>
        <w:numPr>
          <w:ilvl w:val="0"/>
          <w:numId w:val="10"/>
        </w:numPr>
      </w:pPr>
      <w:r w:rsidRPr="00BF3CDE">
        <w:t>avanti donne (réseau des femmes et des filles en situation de handicap)</w:t>
      </w:r>
    </w:p>
    <w:p w14:paraId="0D33EB8C" w14:textId="77777777" w:rsidR="00E47AAD" w:rsidRPr="00BF3CDE" w:rsidRDefault="00E47AAD" w:rsidP="001A3756">
      <w:pPr>
        <w:pStyle w:val="BodyText"/>
        <w:numPr>
          <w:ilvl w:val="0"/>
          <w:numId w:val="10"/>
        </w:numPr>
      </w:pPr>
      <w:r w:rsidRPr="00BF3CDE">
        <w:t>Behindertenforum (Association faîtière des organisations cantonales de personnes handicapées Bâle-Ville et Bâle-Campagne)</w:t>
      </w:r>
    </w:p>
    <w:p w14:paraId="1BE010C9" w14:textId="77777777" w:rsidR="00E47AAD" w:rsidRPr="00BF3CDE" w:rsidRDefault="00E47AAD" w:rsidP="001A3756">
      <w:pPr>
        <w:pStyle w:val="BodyText"/>
        <w:numPr>
          <w:ilvl w:val="0"/>
          <w:numId w:val="10"/>
        </w:numPr>
      </w:pPr>
      <w:r w:rsidRPr="00BF3CDE">
        <w:t>INSOS (Association de branche des prestataires de services pour les personnes en situation de handicap)</w:t>
      </w:r>
    </w:p>
    <w:p w14:paraId="7DF0A7F6" w14:textId="77777777" w:rsidR="00E47AAD" w:rsidRPr="00BF3CDE" w:rsidRDefault="00E47AAD" w:rsidP="001A3756">
      <w:pPr>
        <w:pStyle w:val="BodyText"/>
        <w:numPr>
          <w:ilvl w:val="0"/>
          <w:numId w:val="10"/>
        </w:numPr>
      </w:pPr>
      <w:r w:rsidRPr="00BF3CDE">
        <w:t>Integras (Association professionnelle pour l’éducation sociale et la pédagogie spécialisée)</w:t>
      </w:r>
    </w:p>
    <w:p w14:paraId="14688A5F" w14:textId="77777777" w:rsidR="00E47AAD" w:rsidRPr="00BF3CDE" w:rsidRDefault="00E47AAD" w:rsidP="001A3756">
      <w:pPr>
        <w:pStyle w:val="BodyText"/>
        <w:numPr>
          <w:ilvl w:val="0"/>
          <w:numId w:val="10"/>
        </w:numPr>
      </w:pPr>
      <w:r w:rsidRPr="00BF3CDE">
        <w:t>Mensch zuerst (association de personnes ayant des difficultés d’apprentissage)</w:t>
      </w:r>
    </w:p>
    <w:p w14:paraId="39B9A37F" w14:textId="255BB476" w:rsidR="00E47AAD" w:rsidRPr="00FD46B4" w:rsidRDefault="00E47AAD" w:rsidP="001A3756">
      <w:pPr>
        <w:pStyle w:val="BodyText"/>
        <w:numPr>
          <w:ilvl w:val="0"/>
          <w:numId w:val="10"/>
        </w:numPr>
        <w:rPr>
          <w:lang w:val="en-US"/>
        </w:rPr>
      </w:pPr>
      <w:r w:rsidRPr="00FD46B4">
        <w:rPr>
          <w:lang w:val="en-US"/>
        </w:rPr>
        <w:t>SSHID (Swiss Society for Health in Intellectual Disability)</w:t>
      </w:r>
    </w:p>
    <w:p w14:paraId="5B7E3FCD" w14:textId="71673DD5" w:rsidR="003640E6" w:rsidRDefault="00F756DE" w:rsidP="003640E6">
      <w:pPr>
        <w:pStyle w:val="Heading2"/>
      </w:pPr>
      <w:bookmarkStart w:id="10" w:name="_Toc96287595"/>
      <w:r>
        <w:t>Appréciation générale</w:t>
      </w:r>
      <w:bookmarkEnd w:id="10"/>
    </w:p>
    <w:p w14:paraId="362EB894" w14:textId="155010F2" w:rsidR="00E47AAD" w:rsidRPr="00BF3CDE" w:rsidRDefault="00E47AAD" w:rsidP="00E47AAD">
      <w:pPr>
        <w:pStyle w:val="BodyText"/>
      </w:pPr>
      <w:r w:rsidRPr="00BF3CDE">
        <w:t>Au cours de la procédure de ratification de la Convention, le Conseil fédéral (CF) a jugé que la Suisse remplissait déjà dans une large mesure les exigences de la Convention.</w:t>
      </w:r>
      <w:bookmarkStart w:id="11" w:name="_Ref95897990"/>
      <w:r w:rsidRPr="00BF3CDE">
        <w:rPr>
          <w:rStyle w:val="FootnoteReference"/>
        </w:rPr>
        <w:footnoteReference w:id="1"/>
      </w:r>
      <w:bookmarkEnd w:id="11"/>
      <w:r w:rsidRPr="00BF3CDE">
        <w:t xml:space="preserve"> Ce faisant, il a </w:t>
      </w:r>
      <w:r w:rsidR="00824D5B">
        <w:rPr>
          <w:b/>
        </w:rPr>
        <w:lastRenderedPageBreak/>
        <w:t>grandement</w:t>
      </w:r>
      <w:r w:rsidRPr="00BF3CDE">
        <w:rPr>
          <w:b/>
        </w:rPr>
        <w:t xml:space="preserve"> sous-estimé l’ampleur et la portée des obligations imposées par la CDPH, de même que les défis qui en résultent pour la Suisse</w:t>
      </w:r>
      <w:r w:rsidRPr="00BF3CDE">
        <w:t xml:space="preserve">. </w:t>
      </w:r>
    </w:p>
    <w:p w14:paraId="15627132" w14:textId="01DC070E" w:rsidR="00F756DE" w:rsidRPr="00F756DE" w:rsidRDefault="00E47AAD" w:rsidP="00E47AAD">
      <w:pPr>
        <w:pStyle w:val="BodyText"/>
        <w:rPr>
          <w:lang w:eastAsia="de-CH"/>
        </w:rPr>
      </w:pPr>
      <w:r w:rsidRPr="00BF3CDE">
        <w:t xml:space="preserve">De par sa Constitution fédérale (Cst.), son régime des assurances sociales et sa législation sur l’égalité des personnes handicapées, la Suisse dispose de bonnes bases lui permettant – du moins partiellement – de satisfaire aux exigences de la CDPH. Cependant, même </w:t>
      </w:r>
      <w:r w:rsidRPr="00BF3CDE">
        <w:rPr>
          <w:b/>
          <w:bCs/>
        </w:rPr>
        <w:t>près de huit ans après la ratification de la CDPH</w:t>
      </w:r>
      <w:r w:rsidRPr="00BF3CDE">
        <w:t xml:space="preserve">, elle n’a ni repris ni appliqué de façon systématique - pas plus à l’échelon de la Confédération qu’à celui des cantons et des communes - les principes ancrés aux art. 1 à 4 CDPH. </w:t>
      </w:r>
      <w:r w:rsidRPr="00BF3CDE">
        <w:rPr>
          <w:b/>
          <w:bCs/>
        </w:rPr>
        <w:t>Aussi, les expériences issues de la pratique font-elles ressortir des lacunes en partie graves tant dans la législation que dans l’exécution de celle-ci, aux échelons fédéral, cantonal et communal</w:t>
      </w:r>
      <w:r w:rsidRPr="00BF3CDE">
        <w:rPr>
          <w:rFonts w:eastAsia="Cambria" w:cs="Times New Roman"/>
          <w:b/>
        </w:rPr>
        <w:t>.</w:t>
      </w:r>
      <w:bookmarkStart w:id="12" w:name="_Ref95740315"/>
      <w:r w:rsidRPr="00BF3CDE">
        <w:rPr>
          <w:rStyle w:val="FootnoteReference"/>
        </w:rPr>
        <w:footnoteReference w:id="2"/>
      </w:r>
      <w:bookmarkEnd w:id="12"/>
      <w:r w:rsidRPr="00BF3CDE">
        <w:rPr>
          <w:rFonts w:eastAsia="Cambria" w:cs="Times New Roman"/>
        </w:rPr>
        <w:t xml:space="preserve"> Ce constat n’est pas suffisamment reflété ni par le Premier rapport étatique (PRE) de la Suisse ni par les réponses de la Suisse à la LoI; contrairement à ce qui est affirmé dans son introduction, le PRE ne donne aucunement </w:t>
      </w:r>
      <w:r w:rsidRPr="00BF3CDE">
        <w:t>„une image de la situation réelle en matière de protection des droits des personnes handicapées, qui va [aille] au-delà de la description de l’ordre juridique et de la législation“ (PRE, para. 2)</w:t>
      </w:r>
      <w:r w:rsidR="00824D5B">
        <w:t>.</w:t>
      </w:r>
    </w:p>
    <w:p w14:paraId="7C9D36D8" w14:textId="77777777" w:rsidR="003640E6" w:rsidRPr="00F756DE" w:rsidRDefault="003640E6" w:rsidP="00997A2D">
      <w:pPr>
        <w:pStyle w:val="Fussnote"/>
      </w:pPr>
      <w:r w:rsidRPr="00F756DE">
        <w:br w:type="page"/>
      </w:r>
    </w:p>
    <w:p w14:paraId="364DF8B3" w14:textId="77777777" w:rsidR="00AA0F94" w:rsidRPr="00F756DE" w:rsidRDefault="00F756DE" w:rsidP="00F756DE">
      <w:pPr>
        <w:spacing w:before="240" w:after="240" w:line="420" w:lineRule="exact"/>
        <w:jc w:val="center"/>
        <w:rPr>
          <w:lang w:eastAsia="de-CH"/>
        </w:rPr>
      </w:pPr>
      <w:r w:rsidRPr="00F756DE">
        <w:rPr>
          <w:noProof/>
          <w:lang w:val="en-GB" w:eastAsia="en-GB"/>
        </w:rPr>
        <w:lastRenderedPageBreak/>
        <mc:AlternateContent>
          <mc:Choice Requires="wps">
            <w:drawing>
              <wp:anchor distT="0" distB="0" distL="114300" distR="114300" simplePos="0" relativeHeight="251662336" behindDoc="0" locked="0" layoutInCell="1" allowOverlap="1" wp14:anchorId="624FFC62" wp14:editId="31922301">
                <wp:simplePos x="0" y="0"/>
                <wp:positionH relativeFrom="margin">
                  <wp:posOffset>2675890</wp:posOffset>
                </wp:positionH>
                <wp:positionV relativeFrom="paragraph">
                  <wp:posOffset>4121199</wp:posOffset>
                </wp:positionV>
                <wp:extent cx="3889375" cy="1310005"/>
                <wp:effectExtent l="0" t="0" r="15875" b="23495"/>
                <wp:wrapNone/>
                <wp:docPr id="7" name="Abgerundetes Rechteck 7" descr="Boîte violette avec le contenu suivant :&#10;&#10;Travail et emploi – art. 27 CDPH&#10;Absence de marché du travail inclusif; pas de protection contre la discrimination au travail dans le secteur privé. (p. 59 ss.)&#10;" title="Boîte avec le cinquième des 8 lacunes principales"/>
                <wp:cNvGraphicFramePr/>
                <a:graphic xmlns:a="http://schemas.openxmlformats.org/drawingml/2006/main">
                  <a:graphicData uri="http://schemas.microsoft.com/office/word/2010/wordprocessingShape">
                    <wps:wsp>
                      <wps:cNvSpPr/>
                      <wps:spPr>
                        <a:xfrm>
                          <a:off x="0" y="0"/>
                          <a:ext cx="3889375" cy="1310005"/>
                        </a:xfrm>
                        <a:prstGeom prst="roundRect">
                          <a:avLst/>
                        </a:prstGeom>
                        <a:solidFill>
                          <a:srgbClr val="CC99FF"/>
                        </a:solidFill>
                        <a:ln>
                          <a:solidFill>
                            <a:srgbClr val="CC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68260C" w14:textId="77777777" w:rsidR="00E77057" w:rsidRPr="00D83D7B" w:rsidRDefault="00E77057" w:rsidP="00F756DE">
                            <w:pPr>
                              <w:jc w:val="center"/>
                              <w:rPr>
                                <w:rFonts w:cs="Times New Roman"/>
                                <w:b/>
                                <w:color w:val="000000" w:themeColor="text1"/>
                                <w:sz w:val="28"/>
                                <w:szCs w:val="28"/>
                              </w:rPr>
                            </w:pPr>
                            <w:r w:rsidRPr="00D83D7B">
                              <w:rPr>
                                <w:rFonts w:cs="Times New Roman"/>
                                <w:b/>
                                <w:color w:val="000000" w:themeColor="text1"/>
                                <w:sz w:val="28"/>
                                <w:szCs w:val="28"/>
                              </w:rPr>
                              <w:t>Travail et emploi – art. 27 CDPH</w:t>
                            </w:r>
                          </w:p>
                          <w:p w14:paraId="68887C4A" w14:textId="0D4FFF56" w:rsidR="00E77057" w:rsidRPr="00F756DE" w:rsidRDefault="00E77057" w:rsidP="00F756DE">
                            <w:pPr>
                              <w:jc w:val="center"/>
                              <w:rPr>
                                <w:rFonts w:cs="Times New Roman"/>
                                <w:color w:val="000000" w:themeColor="text1"/>
                                <w:lang w:val="de-CH"/>
                              </w:rPr>
                            </w:pPr>
                            <w:r w:rsidRPr="00F67E6A">
                              <w:rPr>
                                <w:rFonts w:cs="Times New Roman"/>
                                <w:color w:val="000000" w:themeColor="text1"/>
                              </w:rPr>
                              <w:t xml:space="preserve">Absence de </w:t>
                            </w:r>
                            <w:r w:rsidRPr="00F67E6A">
                              <w:rPr>
                                <w:rFonts w:cs="Times New Roman"/>
                                <w:b/>
                                <w:color w:val="000000" w:themeColor="text1"/>
                              </w:rPr>
                              <w:t>marché du travail inclusif</w:t>
                            </w:r>
                            <w:r w:rsidRPr="00F67E6A">
                              <w:rPr>
                                <w:rFonts w:cs="Times New Roman"/>
                                <w:color w:val="000000" w:themeColor="text1"/>
                              </w:rPr>
                              <w:t xml:space="preserve">; pas de </w:t>
                            </w:r>
                            <w:r w:rsidRPr="00F67E6A">
                              <w:rPr>
                                <w:rFonts w:cs="Times New Roman"/>
                                <w:b/>
                                <w:color w:val="000000" w:themeColor="text1"/>
                              </w:rPr>
                              <w:t>protection contre la discrimination</w:t>
                            </w:r>
                            <w:r w:rsidRPr="00F67E6A">
                              <w:rPr>
                                <w:rFonts w:cs="Times New Roman"/>
                                <w:color w:val="000000" w:themeColor="text1"/>
                              </w:rPr>
                              <w:t xml:space="preserve"> a</w:t>
                            </w:r>
                            <w:r>
                              <w:rPr>
                                <w:rFonts w:cs="Times New Roman"/>
                                <w:color w:val="000000" w:themeColor="text1"/>
                              </w:rPr>
                              <w:t>u travail dans le secteur privé</w:t>
                            </w:r>
                            <w:r w:rsidRPr="00F67E6A">
                              <w:rPr>
                                <w:rFonts w:cs="Times New Roman"/>
                                <w:color w:val="000000" w:themeColor="text1"/>
                              </w:rPr>
                              <w:t xml:space="preserve">. </w:t>
                            </w:r>
                            <w:r w:rsidRPr="00523243">
                              <w:rPr>
                                <w:rFonts w:cs="Times New Roman"/>
                                <w:color w:val="000000" w:themeColor="text1"/>
                                <w:lang w:val="de-CH"/>
                              </w:rPr>
                              <w:t>(</w:t>
                            </w:r>
                            <w:r>
                              <w:rPr>
                                <w:rFonts w:cs="Times New Roman"/>
                                <w:color w:val="000000" w:themeColor="text1"/>
                                <w:lang w:val="de-CH"/>
                              </w:rPr>
                              <w:t>p</w:t>
                            </w:r>
                            <w:r w:rsidRPr="00523243">
                              <w:rPr>
                                <w:rFonts w:cs="Times New Roman"/>
                                <w:color w:val="000000" w:themeColor="text1"/>
                                <w:lang w:val="de-CH"/>
                              </w:rPr>
                              <w:t xml:space="preserve">. </w:t>
                            </w:r>
                            <w:r>
                              <w:rPr>
                                <w:rFonts w:cs="Times New Roman"/>
                                <w:color w:val="000000" w:themeColor="text1"/>
                                <w:highlight w:val="red"/>
                                <w:lang w:val="de-CH"/>
                              </w:rPr>
                              <w:fldChar w:fldCharType="begin"/>
                            </w:r>
                            <w:r>
                              <w:rPr>
                                <w:rFonts w:cs="Times New Roman"/>
                                <w:color w:val="000000" w:themeColor="text1"/>
                                <w:lang w:val="de-CH"/>
                              </w:rPr>
                              <w:instrText xml:space="preserve"> PAGEREF _Ref95737639 \h </w:instrText>
                            </w:r>
                            <w:r>
                              <w:rPr>
                                <w:rFonts w:cs="Times New Roman"/>
                                <w:color w:val="000000" w:themeColor="text1"/>
                                <w:highlight w:val="red"/>
                                <w:lang w:val="de-CH"/>
                              </w:rPr>
                            </w:r>
                            <w:r>
                              <w:rPr>
                                <w:rFonts w:cs="Times New Roman"/>
                                <w:color w:val="000000" w:themeColor="text1"/>
                                <w:highlight w:val="red"/>
                                <w:lang w:val="de-CH"/>
                              </w:rPr>
                              <w:fldChar w:fldCharType="separate"/>
                            </w:r>
                            <w:r>
                              <w:rPr>
                                <w:rFonts w:cs="Times New Roman"/>
                                <w:noProof/>
                                <w:color w:val="000000" w:themeColor="text1"/>
                                <w:lang w:val="de-CH"/>
                              </w:rPr>
                              <w:t>57</w:t>
                            </w:r>
                            <w:r>
                              <w:rPr>
                                <w:rFonts w:cs="Times New Roman"/>
                                <w:color w:val="000000" w:themeColor="text1"/>
                                <w:highlight w:val="red"/>
                                <w:lang w:val="de-CH"/>
                              </w:rPr>
                              <w:fldChar w:fldCharType="end"/>
                            </w:r>
                            <w:r>
                              <w:rPr>
                                <w:rFonts w:cs="Times New Roman"/>
                                <w:color w:val="000000" w:themeColor="text1"/>
                                <w:lang w:val="de-CH"/>
                              </w:rPr>
                              <w:t xml:space="preserve"> ss.</w:t>
                            </w:r>
                            <w:r w:rsidRPr="00523243">
                              <w:rPr>
                                <w:rFonts w:cs="Times New Roman"/>
                                <w:color w:val="000000" w:themeColor="text1"/>
                                <w:lang w:val="de-CH"/>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624FFC62" id="Abgerundetes Rechteck 7" o:spid="_x0000_s1026" alt="Titel: Boîte avec le cinquième des 8 lacunes principales - Beschreibung: Boîte violette avec le contenu suivant :&#10;&#10;Travail et emploi – art. 27 CDPH&#10;Absence de marché du travail inclusif; pas de protection contre la discrimination au travail dans le secteur privé. (p. 59 ss.)&#10;" style="position:absolute;left:0;text-align:left;margin-left:210.7pt;margin-top:324.5pt;width:306.25pt;height:103.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" fillcolor="#c9f" strokecolor="#c9f" strokeweight="1pt">
                <v:stroke joinstyle="miter"/>
                <v:textbox>
                  <w:txbxContent>
                    <w:p w14:paraId="5A68260C" w14:textId="77777777" w:rsidR="00E77057" w:rsidRPr="00D83D7B" w:rsidRDefault="00E77057" w:rsidP="00F756DE">
                      <w:pPr>
                        <w:jc w:val="center"/>
                        <w:rPr>
                          <w:rFonts w:cs="Times New Roman"/>
                          <w:b/>
                          <w:color w:val="000000" w:themeColor="text1"/>
                          <w:sz w:val="28"/>
                          <w:szCs w:val="28"/>
                        </w:rPr>
                      </w:pPr>
                      <w:r w:rsidRPr="00D83D7B">
                        <w:rPr>
                          <w:rFonts w:cs="Times New Roman"/>
                          <w:b/>
                          <w:color w:val="000000" w:themeColor="text1"/>
                          <w:sz w:val="28"/>
                          <w:szCs w:val="28"/>
                        </w:rPr>
                        <w:t>Travail et emploi – art. 27 CDPH</w:t>
                      </w:r>
                    </w:p>
                    <w:p w14:paraId="68887C4A" w14:textId="0D4FFF56" w:rsidR="00E77057" w:rsidRPr="00F756DE" w:rsidRDefault="00E77057" w:rsidP="00F756DE">
                      <w:pPr>
                        <w:jc w:val="center"/>
                        <w:rPr>
                          <w:rFonts w:cs="Times New Roman"/>
                          <w:color w:val="000000" w:themeColor="text1"/>
                          <w:lang w:val="de-CH"/>
                        </w:rPr>
                      </w:pPr>
                      <w:r w:rsidRPr="00F67E6A">
                        <w:rPr>
                          <w:rFonts w:cs="Times New Roman"/>
                          <w:color w:val="000000" w:themeColor="text1"/>
                        </w:rPr>
                        <w:t xml:space="preserve">Absence de </w:t>
                      </w:r>
                      <w:r w:rsidRPr="00F67E6A">
                        <w:rPr>
                          <w:rFonts w:cs="Times New Roman"/>
                          <w:b/>
                          <w:color w:val="000000" w:themeColor="text1"/>
                        </w:rPr>
                        <w:t>marché du travail inclusif</w:t>
                      </w:r>
                      <w:r w:rsidRPr="00F67E6A">
                        <w:rPr>
                          <w:rFonts w:cs="Times New Roman"/>
                          <w:color w:val="000000" w:themeColor="text1"/>
                        </w:rPr>
                        <w:t xml:space="preserve">; pas de </w:t>
                      </w:r>
                      <w:r w:rsidRPr="00F67E6A">
                        <w:rPr>
                          <w:rFonts w:cs="Times New Roman"/>
                          <w:b/>
                          <w:color w:val="000000" w:themeColor="text1"/>
                        </w:rPr>
                        <w:t>protection contre la discrimination</w:t>
                      </w:r>
                      <w:r w:rsidRPr="00F67E6A">
                        <w:rPr>
                          <w:rFonts w:cs="Times New Roman"/>
                          <w:color w:val="000000" w:themeColor="text1"/>
                        </w:rPr>
                        <w:t xml:space="preserve"> a</w:t>
                      </w:r>
                      <w:r>
                        <w:rPr>
                          <w:rFonts w:cs="Times New Roman"/>
                          <w:color w:val="000000" w:themeColor="text1"/>
                        </w:rPr>
                        <w:t>u travail dans le secteur privé</w:t>
                      </w:r>
                      <w:r w:rsidRPr="00F67E6A">
                        <w:rPr>
                          <w:rFonts w:cs="Times New Roman"/>
                          <w:color w:val="000000" w:themeColor="text1"/>
                        </w:rPr>
                        <w:t xml:space="preserve">. </w:t>
                      </w:r>
                      <w:r w:rsidRPr="00523243">
                        <w:rPr>
                          <w:rFonts w:cs="Times New Roman"/>
                          <w:color w:val="000000" w:themeColor="text1"/>
                          <w:lang w:val="de-CH"/>
                        </w:rPr>
                        <w:t>(</w:t>
                      </w:r>
                      <w:r>
                        <w:rPr>
                          <w:rFonts w:cs="Times New Roman"/>
                          <w:color w:val="000000" w:themeColor="text1"/>
                          <w:lang w:val="de-CH"/>
                        </w:rPr>
                        <w:t>p</w:t>
                      </w:r>
                      <w:r w:rsidRPr="00523243">
                        <w:rPr>
                          <w:rFonts w:cs="Times New Roman"/>
                          <w:color w:val="000000" w:themeColor="text1"/>
                          <w:lang w:val="de-CH"/>
                        </w:rPr>
                        <w:t xml:space="preserve">. </w:t>
                      </w:r>
                      <w:r>
                        <w:rPr>
                          <w:rFonts w:cs="Times New Roman"/>
                          <w:color w:val="000000" w:themeColor="text1"/>
                          <w:highlight w:val="red"/>
                          <w:lang w:val="de-CH"/>
                        </w:rPr>
                        <w:fldChar w:fldCharType="begin"/>
                      </w:r>
                      <w:r>
                        <w:rPr>
                          <w:rFonts w:cs="Times New Roman"/>
                          <w:color w:val="000000" w:themeColor="text1"/>
                          <w:lang w:val="de-CH"/>
                        </w:rPr>
                        <w:instrText xml:space="preserve"> PAGEREF _Ref95737639 \h </w:instrText>
                      </w:r>
                      <w:r>
                        <w:rPr>
                          <w:rFonts w:cs="Times New Roman"/>
                          <w:color w:val="000000" w:themeColor="text1"/>
                          <w:highlight w:val="red"/>
                          <w:lang w:val="de-CH"/>
                        </w:rPr>
                      </w:r>
                      <w:r>
                        <w:rPr>
                          <w:rFonts w:cs="Times New Roman"/>
                          <w:color w:val="000000" w:themeColor="text1"/>
                          <w:highlight w:val="red"/>
                          <w:lang w:val="de-CH"/>
                        </w:rPr>
                        <w:fldChar w:fldCharType="separate"/>
                      </w:r>
                      <w:r>
                        <w:rPr>
                          <w:rFonts w:cs="Times New Roman"/>
                          <w:noProof/>
                          <w:color w:val="000000" w:themeColor="text1"/>
                          <w:lang w:val="de-CH"/>
                        </w:rPr>
                        <w:t>57</w:t>
                      </w:r>
                      <w:r>
                        <w:rPr>
                          <w:rFonts w:cs="Times New Roman"/>
                          <w:color w:val="000000" w:themeColor="text1"/>
                          <w:highlight w:val="red"/>
                          <w:lang w:val="de-CH"/>
                        </w:rPr>
                        <w:fldChar w:fldCharType="end"/>
                      </w:r>
                      <w:r>
                        <w:rPr>
                          <w:rFonts w:cs="Times New Roman"/>
                          <w:color w:val="000000" w:themeColor="text1"/>
                          <w:lang w:val="de-CH"/>
                        </w:rPr>
                        <w:t xml:space="preserve"> ss.</w:t>
                      </w:r>
                      <w:r w:rsidRPr="00523243">
                        <w:rPr>
                          <w:rFonts w:cs="Times New Roman"/>
                          <w:color w:val="000000" w:themeColor="text1"/>
                          <w:lang w:val="de-CH"/>
                        </w:rPr>
                        <w:t>)</w:t>
                      </w:r>
                    </w:p>
                  </w:txbxContent>
                </v:textbox>
                <w10:wrap anchorx="margin"/>
              </v:roundrect>
            </w:pict>
          </mc:Fallback>
        </mc:AlternateContent>
      </w:r>
      <w:r w:rsidRPr="00F756DE">
        <w:rPr>
          <w:noProof/>
          <w:lang w:val="en-GB" w:eastAsia="en-GB"/>
        </w:rPr>
        <mc:AlternateContent>
          <mc:Choice Requires="wps">
            <w:drawing>
              <wp:anchor distT="0" distB="0" distL="114300" distR="114300" simplePos="0" relativeHeight="251664384" behindDoc="0" locked="0" layoutInCell="1" allowOverlap="1" wp14:anchorId="1225BA98" wp14:editId="4C740B6C">
                <wp:simplePos x="0" y="0"/>
                <wp:positionH relativeFrom="page">
                  <wp:posOffset>3938905</wp:posOffset>
                </wp:positionH>
                <wp:positionV relativeFrom="paragraph">
                  <wp:posOffset>2158707</wp:posOffset>
                </wp:positionV>
                <wp:extent cx="3275965" cy="1743075"/>
                <wp:effectExtent l="0" t="0" r="19685" b="28575"/>
                <wp:wrapNone/>
                <wp:docPr id="9" name="Abgerundetes Rechteck 9" descr="Boîte mente avec le contenu suivant :&#10;&#10;Autonomie de vie – art. 19 CDPH&#10;Pas de vie en société en ayant la même liberté de choix pour de nombreuses personnes handicapées qui ont besoin d’assistance, entre autres restriction du libre choix du lieu de résidence et des modalités de logement. (p. 40 ss.)&#10;" title="Kasten Boîte avec le troisième des 8 lacunes principales3. von 8 wichtigsten Mängel"/>
                <wp:cNvGraphicFramePr/>
                <a:graphic xmlns:a="http://schemas.openxmlformats.org/drawingml/2006/main">
                  <a:graphicData uri="http://schemas.microsoft.com/office/word/2010/wordprocessingShape">
                    <wps:wsp>
                      <wps:cNvSpPr/>
                      <wps:spPr>
                        <a:xfrm>
                          <a:off x="0" y="0"/>
                          <a:ext cx="3275965" cy="1743075"/>
                        </a:xfrm>
                        <a:prstGeom prst="roundRect">
                          <a:avLst/>
                        </a:prstGeom>
                        <a:solidFill>
                          <a:schemeClr val="accent6">
                            <a:lumMod val="20000"/>
                            <a:lumOff val="80000"/>
                          </a:schemeClr>
                        </a:solidFill>
                        <a:ln>
                          <a:solidFill>
                            <a:schemeClr val="accent6">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14:paraId="2ECFE1E9" w14:textId="77777777" w:rsidR="00E77057" w:rsidRPr="00D83D7B" w:rsidRDefault="00E77057" w:rsidP="00F756DE">
                            <w:pPr>
                              <w:jc w:val="center"/>
                              <w:rPr>
                                <w:rFonts w:cs="Times New Roman"/>
                                <w:b/>
                                <w:sz w:val="28"/>
                                <w:szCs w:val="28"/>
                              </w:rPr>
                            </w:pPr>
                            <w:r w:rsidRPr="00D83D7B">
                              <w:rPr>
                                <w:rFonts w:cs="Times New Roman"/>
                                <w:b/>
                                <w:sz w:val="28"/>
                                <w:szCs w:val="28"/>
                              </w:rPr>
                              <w:t>Autonomie de vie – art. 19 CDPH</w:t>
                            </w:r>
                          </w:p>
                          <w:p w14:paraId="27D2D2AA" w14:textId="0279C8A7" w:rsidR="00E77057" w:rsidRDefault="00E77057" w:rsidP="00625CB1">
                            <w:pPr>
                              <w:jc w:val="center"/>
                            </w:pPr>
                            <w:r w:rsidRPr="00457FE4">
                              <w:rPr>
                                <w:rFonts w:cs="Times New Roman"/>
                              </w:rPr>
                              <w:t xml:space="preserve">Pas de vie en société en ayant la </w:t>
                            </w:r>
                            <w:r w:rsidRPr="00457FE4">
                              <w:rPr>
                                <w:rFonts w:cs="Times New Roman"/>
                                <w:b/>
                              </w:rPr>
                              <w:t>même liberté de choix</w:t>
                            </w:r>
                            <w:r w:rsidRPr="00457FE4">
                              <w:rPr>
                                <w:rFonts w:cs="Times New Roman"/>
                              </w:rPr>
                              <w:t xml:space="preserve"> pour de nombreuses personnes handicapées qui ont besoin d’</w:t>
                            </w:r>
                            <w:r>
                              <w:rPr>
                                <w:rFonts w:cs="Times New Roman"/>
                              </w:rPr>
                              <w:t>assistance,</w:t>
                            </w:r>
                            <w:r w:rsidRPr="00457FE4">
                              <w:rPr>
                                <w:rFonts w:cs="Times New Roman"/>
                              </w:rPr>
                              <w:t xml:space="preserve"> </w:t>
                            </w:r>
                            <w:r>
                              <w:rPr>
                                <w:rFonts w:cs="Times New Roman"/>
                              </w:rPr>
                              <w:t>entre autres restriction du</w:t>
                            </w:r>
                            <w:r w:rsidRPr="00457FE4">
                              <w:rPr>
                                <w:rFonts w:cs="Times New Roman"/>
                              </w:rPr>
                              <w:t xml:space="preserve"> </w:t>
                            </w:r>
                            <w:r>
                              <w:rPr>
                                <w:rFonts w:cs="Times New Roman"/>
                                <w:b/>
                                <w:bCs/>
                              </w:rPr>
                              <w:t>libre c</w:t>
                            </w:r>
                            <w:r w:rsidRPr="00457FE4">
                              <w:rPr>
                                <w:rFonts w:cs="Times New Roman"/>
                                <w:b/>
                                <w:bCs/>
                              </w:rPr>
                              <w:t>hoix</w:t>
                            </w:r>
                            <w:r>
                              <w:rPr>
                                <w:rFonts w:cs="Times New Roman"/>
                                <w:b/>
                                <w:bCs/>
                              </w:rPr>
                              <w:t xml:space="preserve"> du lieu de résidence</w:t>
                            </w:r>
                            <w:r w:rsidRPr="00457FE4">
                              <w:rPr>
                                <w:rFonts w:cs="Times New Roman"/>
                              </w:rPr>
                              <w:t xml:space="preserve"> </w:t>
                            </w:r>
                            <w:r>
                              <w:rPr>
                                <w:rFonts w:cs="Times New Roman"/>
                              </w:rPr>
                              <w:t>et</w:t>
                            </w:r>
                            <w:r w:rsidRPr="00457FE4">
                              <w:rPr>
                                <w:rFonts w:cs="Times New Roman"/>
                              </w:rPr>
                              <w:t xml:space="preserve"> d</w:t>
                            </w:r>
                            <w:r>
                              <w:rPr>
                                <w:rFonts w:cs="Times New Roman"/>
                              </w:rPr>
                              <w:t xml:space="preserve">es </w:t>
                            </w:r>
                            <w:r>
                              <w:rPr>
                                <w:rFonts w:cs="Times New Roman"/>
                                <w:b/>
                              </w:rPr>
                              <w:t>modalités de logement</w:t>
                            </w:r>
                            <w:r w:rsidRPr="00457FE4">
                              <w:rPr>
                                <w:rFonts w:cs="Times New Roman"/>
                              </w:rPr>
                              <w:t xml:space="preserve">. </w:t>
                            </w:r>
                            <w:r w:rsidRPr="00F67E6A">
                              <w:rPr>
                                <w:rFonts w:cs="Times New Roman"/>
                              </w:rPr>
                              <w:t>(</w:t>
                            </w:r>
                            <w:r>
                              <w:rPr>
                                <w:rFonts w:cs="Times New Roman"/>
                              </w:rPr>
                              <w:t>p.</w:t>
                            </w:r>
                            <w:r w:rsidRPr="008A0D90">
                              <w:rPr>
                                <w:rFonts w:cs="Times New Roman"/>
                              </w:rPr>
                              <w:t xml:space="preserve"> </w:t>
                            </w:r>
                            <w:r>
                              <w:rPr>
                                <w:rFonts w:cs="Times New Roman"/>
                                <w:highlight w:val="red"/>
                              </w:rPr>
                              <w:fldChar w:fldCharType="begin"/>
                            </w:r>
                            <w:r>
                              <w:rPr>
                                <w:rFonts w:cs="Times New Roman"/>
                              </w:rPr>
                              <w:instrText xml:space="preserve"> PAGEREF _Ref95737626 \h </w:instrText>
                            </w:r>
                            <w:r>
                              <w:rPr>
                                <w:rFonts w:cs="Times New Roman"/>
                                <w:highlight w:val="red"/>
                              </w:rPr>
                            </w:r>
                            <w:r>
                              <w:rPr>
                                <w:rFonts w:cs="Times New Roman"/>
                                <w:highlight w:val="red"/>
                              </w:rPr>
                              <w:fldChar w:fldCharType="separate"/>
                            </w:r>
                            <w:r>
                              <w:rPr>
                                <w:rFonts w:cs="Times New Roman"/>
                                <w:noProof/>
                              </w:rPr>
                              <w:t>39</w:t>
                            </w:r>
                            <w:r>
                              <w:rPr>
                                <w:rFonts w:cs="Times New Roman"/>
                                <w:highlight w:val="red"/>
                              </w:rPr>
                              <w:fldChar w:fldCharType="end"/>
                            </w:r>
                            <w:r w:rsidRPr="008A0D90">
                              <w:rPr>
                                <w:rFonts w:cs="Times New Roman"/>
                              </w:rPr>
                              <w:t xml:space="preserve"> ss.</w:t>
                            </w:r>
                            <w:r w:rsidRPr="00F67E6A">
                              <w:rPr>
                                <w:rFonts w:cs="Times New Roma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225BA98" id="Abgerundetes Rechteck 9" o:spid="_x0000_s1027" alt="Titel: Kasten Boîte avec le troisième des 8 lacunes principales3. von 8 wichtigsten Mängel - Beschreibung: Boîte mente avec le contenu suivant :&#10;&#10;Autonomie de vie – art. 19 CDPH&#10;Pas de vie en société en ayant la même liberté de choix pour de nombreuses personnes handicapées qui ont besoin d’assistance, entre autres restriction du libre choix du lieu de résidence et des modalités de logement. (p. 40 ss.)&#10;" style="position:absolute;left:0;text-align:left;margin-left:310.15pt;margin-top:170pt;width:257.95pt;height:137.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" fillcolor="#e2efd9 [665]" strokecolor="#c5e0b3 [1305]" strokeweight="1pt">
                <v:stroke joinstyle="miter"/>
                <v:textbox>
                  <w:txbxContent>
                    <w:p w14:paraId="2ECFE1E9" w14:textId="77777777" w:rsidR="00E77057" w:rsidRPr="00D83D7B" w:rsidRDefault="00E77057" w:rsidP="00F756DE">
                      <w:pPr>
                        <w:jc w:val="center"/>
                        <w:rPr>
                          <w:rFonts w:cs="Times New Roman"/>
                          <w:b/>
                          <w:sz w:val="28"/>
                          <w:szCs w:val="28"/>
                        </w:rPr>
                      </w:pPr>
                      <w:r w:rsidRPr="00D83D7B">
                        <w:rPr>
                          <w:rFonts w:cs="Times New Roman"/>
                          <w:b/>
                          <w:sz w:val="28"/>
                          <w:szCs w:val="28"/>
                        </w:rPr>
                        <w:t>Autonomie de vie – art. 19 CDPH</w:t>
                      </w:r>
                    </w:p>
                    <w:p w14:paraId="27D2D2AA" w14:textId="0279C8A7" w:rsidR="00E77057" w:rsidRDefault="00E77057" w:rsidP="00625CB1">
                      <w:pPr>
                        <w:jc w:val="center"/>
                      </w:pPr>
                      <w:r w:rsidRPr="00457FE4">
                        <w:rPr>
                          <w:rFonts w:cs="Times New Roman"/>
                        </w:rPr>
                        <w:t xml:space="preserve">Pas de vie en société en ayant la </w:t>
                      </w:r>
                      <w:r w:rsidRPr="00457FE4">
                        <w:rPr>
                          <w:rFonts w:cs="Times New Roman"/>
                          <w:b/>
                        </w:rPr>
                        <w:t>même liberté de choix</w:t>
                      </w:r>
                      <w:r w:rsidRPr="00457FE4">
                        <w:rPr>
                          <w:rFonts w:cs="Times New Roman"/>
                        </w:rPr>
                        <w:t xml:space="preserve"> pour de nombreuses personnes handicapées qui ont besoin d’</w:t>
                      </w:r>
                      <w:r>
                        <w:rPr>
                          <w:rFonts w:cs="Times New Roman"/>
                        </w:rPr>
                        <w:t>assistance,</w:t>
                      </w:r>
                      <w:r w:rsidRPr="00457FE4">
                        <w:rPr>
                          <w:rFonts w:cs="Times New Roman"/>
                        </w:rPr>
                        <w:t xml:space="preserve"> </w:t>
                      </w:r>
                      <w:r>
                        <w:rPr>
                          <w:rFonts w:cs="Times New Roman"/>
                        </w:rPr>
                        <w:t>entre autres restriction du</w:t>
                      </w:r>
                      <w:r w:rsidRPr="00457FE4">
                        <w:rPr>
                          <w:rFonts w:cs="Times New Roman"/>
                        </w:rPr>
                        <w:t xml:space="preserve"> </w:t>
                      </w:r>
                      <w:r>
                        <w:rPr>
                          <w:rFonts w:cs="Times New Roman"/>
                          <w:b/>
                          <w:bCs/>
                        </w:rPr>
                        <w:t>libre c</w:t>
                      </w:r>
                      <w:r w:rsidRPr="00457FE4">
                        <w:rPr>
                          <w:rFonts w:cs="Times New Roman"/>
                          <w:b/>
                          <w:bCs/>
                        </w:rPr>
                        <w:t>hoix</w:t>
                      </w:r>
                      <w:r>
                        <w:rPr>
                          <w:rFonts w:cs="Times New Roman"/>
                          <w:b/>
                          <w:bCs/>
                        </w:rPr>
                        <w:t xml:space="preserve"> du lieu de résidence</w:t>
                      </w:r>
                      <w:r w:rsidRPr="00457FE4">
                        <w:rPr>
                          <w:rFonts w:cs="Times New Roman"/>
                        </w:rPr>
                        <w:t xml:space="preserve"> </w:t>
                      </w:r>
                      <w:r>
                        <w:rPr>
                          <w:rFonts w:cs="Times New Roman"/>
                        </w:rPr>
                        <w:t>et</w:t>
                      </w:r>
                      <w:r w:rsidRPr="00457FE4">
                        <w:rPr>
                          <w:rFonts w:cs="Times New Roman"/>
                        </w:rPr>
                        <w:t xml:space="preserve"> d</w:t>
                      </w:r>
                      <w:r>
                        <w:rPr>
                          <w:rFonts w:cs="Times New Roman"/>
                        </w:rPr>
                        <w:t xml:space="preserve">es </w:t>
                      </w:r>
                      <w:r>
                        <w:rPr>
                          <w:rFonts w:cs="Times New Roman"/>
                          <w:b/>
                        </w:rPr>
                        <w:t>modalités de logement</w:t>
                      </w:r>
                      <w:r w:rsidRPr="00457FE4">
                        <w:rPr>
                          <w:rFonts w:cs="Times New Roman"/>
                        </w:rPr>
                        <w:t xml:space="preserve">. </w:t>
                      </w:r>
                      <w:r w:rsidRPr="00F67E6A">
                        <w:rPr>
                          <w:rFonts w:cs="Times New Roman"/>
                        </w:rPr>
                        <w:t>(</w:t>
                      </w:r>
                      <w:r>
                        <w:rPr>
                          <w:rFonts w:cs="Times New Roman"/>
                        </w:rPr>
                        <w:t>p.</w:t>
                      </w:r>
                      <w:r w:rsidRPr="008A0D90">
                        <w:rPr>
                          <w:rFonts w:cs="Times New Roman"/>
                        </w:rPr>
                        <w:t xml:space="preserve"> </w:t>
                      </w:r>
                      <w:r>
                        <w:rPr>
                          <w:rFonts w:cs="Times New Roman"/>
                          <w:highlight w:val="red"/>
                        </w:rPr>
                        <w:fldChar w:fldCharType="begin"/>
                      </w:r>
                      <w:r>
                        <w:rPr>
                          <w:rFonts w:cs="Times New Roman"/>
                        </w:rPr>
                        <w:instrText xml:space="preserve"> PAGEREF _Ref95737626 \h </w:instrText>
                      </w:r>
                      <w:r>
                        <w:rPr>
                          <w:rFonts w:cs="Times New Roman"/>
                          <w:highlight w:val="red"/>
                        </w:rPr>
                      </w:r>
                      <w:r>
                        <w:rPr>
                          <w:rFonts w:cs="Times New Roman"/>
                          <w:highlight w:val="red"/>
                        </w:rPr>
                        <w:fldChar w:fldCharType="separate"/>
                      </w:r>
                      <w:r>
                        <w:rPr>
                          <w:rFonts w:cs="Times New Roman"/>
                          <w:noProof/>
                        </w:rPr>
                        <w:t>39</w:t>
                      </w:r>
                      <w:r>
                        <w:rPr>
                          <w:rFonts w:cs="Times New Roman"/>
                          <w:highlight w:val="red"/>
                        </w:rPr>
                        <w:fldChar w:fldCharType="end"/>
                      </w:r>
                      <w:r w:rsidRPr="008A0D90">
                        <w:rPr>
                          <w:rFonts w:cs="Times New Roman"/>
                        </w:rPr>
                        <w:t xml:space="preserve"> ss.</w:t>
                      </w:r>
                      <w:r w:rsidRPr="00F67E6A">
                        <w:rPr>
                          <w:rFonts w:cs="Times New Roman"/>
                        </w:rPr>
                        <w:t>)</w:t>
                      </w:r>
                    </w:p>
                  </w:txbxContent>
                </v:textbox>
                <w10:wrap anchorx="page"/>
              </v:roundrect>
            </w:pict>
          </mc:Fallback>
        </mc:AlternateContent>
      </w:r>
      <w:r w:rsidRPr="00F756DE">
        <w:rPr>
          <w:noProof/>
          <w:lang w:val="en-GB" w:eastAsia="en-GB"/>
        </w:rPr>
        <mc:AlternateContent>
          <mc:Choice Requires="wps">
            <w:drawing>
              <wp:anchor distT="0" distB="0" distL="114300" distR="114300" simplePos="0" relativeHeight="251665408" behindDoc="0" locked="0" layoutInCell="1" allowOverlap="1" wp14:anchorId="1AE6FC89" wp14:editId="2A72E67E">
                <wp:simplePos x="0" y="0"/>
                <wp:positionH relativeFrom="margin">
                  <wp:posOffset>-697865</wp:posOffset>
                </wp:positionH>
                <wp:positionV relativeFrom="paragraph">
                  <wp:posOffset>2153285</wp:posOffset>
                </wp:positionV>
                <wp:extent cx="3457819" cy="1837592"/>
                <wp:effectExtent l="0" t="0" r="28575" b="10795"/>
                <wp:wrapNone/>
                <wp:docPr id="11" name="Abgerundetes Rechteck 11" descr="Boîte rose avec le contenu suivant :&#10;&#10;Reconnaissance de la personnalité juridique dans des conditions d’égalité – art. 12 CDPH&#10;Système de décision par substitution toujours en vigueur; pas de projet visant à analyser l’actuelle législation fédérale à la lumière de la CDPH et de l’aligner. (p. 26 ss.)" title="Kasten mit 2. Boîte avec le deuxième des 8 lacunes principales8 wichtigsten Mängel"/>
                <wp:cNvGraphicFramePr/>
                <a:graphic xmlns:a="http://schemas.openxmlformats.org/drawingml/2006/main">
                  <a:graphicData uri="http://schemas.microsoft.com/office/word/2010/wordprocessingShape">
                    <wps:wsp>
                      <wps:cNvSpPr/>
                      <wps:spPr>
                        <a:xfrm>
                          <a:off x="0" y="0"/>
                          <a:ext cx="3457819" cy="1837592"/>
                        </a:xfrm>
                        <a:prstGeom prst="roundRect">
                          <a:avLst/>
                        </a:prstGeom>
                        <a:solidFill>
                          <a:schemeClr val="accent2">
                            <a:lumMod val="20000"/>
                            <a:lumOff val="80000"/>
                          </a:schemeClr>
                        </a:solidFill>
                        <a:ln>
                          <a:solidFill>
                            <a:schemeClr val="accent2">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3FDBC94A" w14:textId="77777777" w:rsidR="00E77057" w:rsidRPr="00D35E90" w:rsidRDefault="00E77057" w:rsidP="00F756DE">
                            <w:pPr>
                              <w:jc w:val="center"/>
                              <w:rPr>
                                <w:rFonts w:cs="Times New Roman"/>
                                <w:b/>
                                <w:color w:val="000000" w:themeColor="text1"/>
                                <w:sz w:val="28"/>
                                <w:szCs w:val="28"/>
                              </w:rPr>
                            </w:pPr>
                            <w:r w:rsidRPr="00D35E90">
                              <w:rPr>
                                <w:rFonts w:cs="Times New Roman"/>
                                <w:b/>
                                <w:color w:val="000000" w:themeColor="text1"/>
                                <w:sz w:val="28"/>
                                <w:szCs w:val="28"/>
                              </w:rPr>
                              <w:t xml:space="preserve">Reconnaissance de la personnalité juridique </w:t>
                            </w:r>
                            <w:r>
                              <w:rPr>
                                <w:rFonts w:cs="Times New Roman"/>
                                <w:b/>
                                <w:color w:val="000000" w:themeColor="text1"/>
                                <w:sz w:val="28"/>
                                <w:szCs w:val="28"/>
                              </w:rPr>
                              <w:t xml:space="preserve">dans des conditions d’égalité </w:t>
                            </w:r>
                            <w:r w:rsidRPr="00D35E90">
                              <w:rPr>
                                <w:rFonts w:cs="Times New Roman"/>
                                <w:b/>
                                <w:color w:val="000000" w:themeColor="text1"/>
                                <w:sz w:val="28"/>
                                <w:szCs w:val="28"/>
                              </w:rPr>
                              <w:t xml:space="preserve">– </w:t>
                            </w:r>
                            <w:r>
                              <w:rPr>
                                <w:rFonts w:cs="Times New Roman"/>
                                <w:b/>
                                <w:color w:val="000000" w:themeColor="text1"/>
                                <w:sz w:val="28"/>
                                <w:szCs w:val="28"/>
                              </w:rPr>
                              <w:t>a</w:t>
                            </w:r>
                            <w:r w:rsidRPr="00D35E90">
                              <w:rPr>
                                <w:rFonts w:cs="Times New Roman"/>
                                <w:b/>
                                <w:color w:val="000000" w:themeColor="text1"/>
                                <w:sz w:val="28"/>
                                <w:szCs w:val="28"/>
                              </w:rPr>
                              <w:t xml:space="preserve">rt. 12 </w:t>
                            </w:r>
                            <w:r>
                              <w:rPr>
                                <w:rFonts w:cs="Times New Roman"/>
                                <w:b/>
                                <w:color w:val="000000" w:themeColor="text1"/>
                                <w:sz w:val="28"/>
                                <w:szCs w:val="28"/>
                              </w:rPr>
                              <w:t>CDPH</w:t>
                            </w:r>
                          </w:p>
                          <w:p w14:paraId="6DC5EFE0" w14:textId="211C747A" w:rsidR="00E77057" w:rsidRDefault="00E77057" w:rsidP="00F756DE">
                            <w:pPr>
                              <w:jc w:val="center"/>
                            </w:pPr>
                            <w:r w:rsidRPr="008D13B2">
                              <w:rPr>
                                <w:rFonts w:cs="Times New Roman"/>
                                <w:color w:val="000000" w:themeColor="text1"/>
                              </w:rPr>
                              <w:t xml:space="preserve">Système de </w:t>
                            </w:r>
                            <w:r w:rsidRPr="008D13B2">
                              <w:rPr>
                                <w:rFonts w:cs="Times New Roman"/>
                                <w:b/>
                                <w:color w:val="000000" w:themeColor="text1"/>
                              </w:rPr>
                              <w:t>décision par substitution</w:t>
                            </w:r>
                            <w:r w:rsidRPr="008D13B2">
                              <w:rPr>
                                <w:rFonts w:cs="Times New Roman"/>
                                <w:color w:val="000000" w:themeColor="text1"/>
                              </w:rPr>
                              <w:t xml:space="preserve"> toujours en vigueur; pas de </w:t>
                            </w:r>
                            <w:r>
                              <w:rPr>
                                <w:rFonts w:cs="Times New Roman"/>
                                <w:color w:val="000000" w:themeColor="text1"/>
                              </w:rPr>
                              <w:t>projet visant à analyser l’actuelle législation fédérale à la lumière de la CDPH et de l’aligner.</w:t>
                            </w:r>
                            <w:r w:rsidRPr="008D13B2">
                              <w:rPr>
                                <w:rFonts w:cs="Times New Roman"/>
                              </w:rPr>
                              <w:t xml:space="preserve"> </w:t>
                            </w:r>
                            <w:r w:rsidRPr="0068412A">
                              <w:rPr>
                                <w:rFonts w:cs="Times New Roman"/>
                              </w:rPr>
                              <w:t>(</w:t>
                            </w:r>
                            <w:r>
                              <w:rPr>
                                <w:rFonts w:cs="Times New Roman"/>
                              </w:rPr>
                              <w:t xml:space="preserve">p. </w:t>
                            </w:r>
                            <w:r>
                              <w:rPr>
                                <w:rFonts w:cs="Times New Roman"/>
                              </w:rPr>
                              <w:fldChar w:fldCharType="begin"/>
                            </w:r>
                            <w:r>
                              <w:rPr>
                                <w:rFonts w:cs="Times New Roman"/>
                              </w:rPr>
                              <w:instrText xml:space="preserve"> PAGEREF _Ref95896352 \h </w:instrText>
                            </w:r>
                            <w:r>
                              <w:rPr>
                                <w:rFonts w:cs="Times New Roman"/>
                              </w:rPr>
                            </w:r>
                            <w:r>
                              <w:rPr>
                                <w:rFonts w:cs="Times New Roman"/>
                              </w:rPr>
                              <w:fldChar w:fldCharType="separate"/>
                            </w:r>
                            <w:r>
                              <w:rPr>
                                <w:rFonts w:cs="Times New Roman"/>
                                <w:noProof/>
                              </w:rPr>
                              <w:t>25</w:t>
                            </w:r>
                            <w:r>
                              <w:rPr>
                                <w:rFonts w:cs="Times New Roman"/>
                              </w:rPr>
                              <w:fldChar w:fldCharType="end"/>
                            </w:r>
                            <w:r>
                              <w:rPr>
                                <w:rFonts w:cs="Times New Roman"/>
                              </w:rPr>
                              <w:t xml:space="preserve"> 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AE6FC89" id="Abgerundetes Rechteck 11" o:spid="_x0000_s1028" alt="Titel: Kasten mit 2. Boîte avec le deuxième des 8 lacunes principales8 wichtigsten Mängel - Beschreibung: Boîte rose avec le contenu suivant :&#10;&#10;Reconnaissance de la personnalité juridique dans des conditions d’égalité – art. 12 CDPH&#10;Système de décision par substitution toujours en vigueur; pas de projet visant à analyser l’actuelle législation fédérale à la lumière de la CDPH et de l’aligner. (p. 26 ss.)" style="position:absolute;left:0;text-align:left;margin-left:-54.95pt;margin-top:169.55pt;width:272.25pt;height:144.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" fillcolor="#fbe4d5 [661]" strokecolor="#f7caac [1301]" strokeweight="1pt">
                <v:stroke joinstyle="miter"/>
                <v:textbox>
                  <w:txbxContent>
                    <w:p w14:paraId="3FDBC94A" w14:textId="77777777" w:rsidR="00E77057" w:rsidRPr="00D35E90" w:rsidRDefault="00E77057" w:rsidP="00F756DE">
                      <w:pPr>
                        <w:jc w:val="center"/>
                        <w:rPr>
                          <w:rFonts w:cs="Times New Roman"/>
                          <w:b/>
                          <w:color w:val="000000" w:themeColor="text1"/>
                          <w:sz w:val="28"/>
                          <w:szCs w:val="28"/>
                        </w:rPr>
                      </w:pPr>
                      <w:r w:rsidRPr="00D35E90">
                        <w:rPr>
                          <w:rFonts w:cs="Times New Roman"/>
                          <w:b/>
                          <w:color w:val="000000" w:themeColor="text1"/>
                          <w:sz w:val="28"/>
                          <w:szCs w:val="28"/>
                        </w:rPr>
                        <w:t xml:space="preserve">Reconnaissance de la personnalité juridique </w:t>
                      </w:r>
                      <w:r>
                        <w:rPr>
                          <w:rFonts w:cs="Times New Roman"/>
                          <w:b/>
                          <w:color w:val="000000" w:themeColor="text1"/>
                          <w:sz w:val="28"/>
                          <w:szCs w:val="28"/>
                        </w:rPr>
                        <w:t xml:space="preserve">dans des conditions d’égalité </w:t>
                      </w:r>
                      <w:r w:rsidRPr="00D35E90">
                        <w:rPr>
                          <w:rFonts w:cs="Times New Roman"/>
                          <w:b/>
                          <w:color w:val="000000" w:themeColor="text1"/>
                          <w:sz w:val="28"/>
                          <w:szCs w:val="28"/>
                        </w:rPr>
                        <w:t xml:space="preserve">– </w:t>
                      </w:r>
                      <w:r>
                        <w:rPr>
                          <w:rFonts w:cs="Times New Roman"/>
                          <w:b/>
                          <w:color w:val="000000" w:themeColor="text1"/>
                          <w:sz w:val="28"/>
                          <w:szCs w:val="28"/>
                        </w:rPr>
                        <w:t>a</w:t>
                      </w:r>
                      <w:r w:rsidRPr="00D35E90">
                        <w:rPr>
                          <w:rFonts w:cs="Times New Roman"/>
                          <w:b/>
                          <w:color w:val="000000" w:themeColor="text1"/>
                          <w:sz w:val="28"/>
                          <w:szCs w:val="28"/>
                        </w:rPr>
                        <w:t xml:space="preserve">rt. 12 </w:t>
                      </w:r>
                      <w:r>
                        <w:rPr>
                          <w:rFonts w:cs="Times New Roman"/>
                          <w:b/>
                          <w:color w:val="000000" w:themeColor="text1"/>
                          <w:sz w:val="28"/>
                          <w:szCs w:val="28"/>
                        </w:rPr>
                        <w:t>CDPH</w:t>
                      </w:r>
                    </w:p>
                    <w:p w14:paraId="6DC5EFE0" w14:textId="211C747A" w:rsidR="00E77057" w:rsidRDefault="00E77057" w:rsidP="00F756DE">
                      <w:pPr>
                        <w:jc w:val="center"/>
                      </w:pPr>
                      <w:r w:rsidRPr="008D13B2">
                        <w:rPr>
                          <w:rFonts w:cs="Times New Roman"/>
                          <w:color w:val="000000" w:themeColor="text1"/>
                        </w:rPr>
                        <w:t xml:space="preserve">Système de </w:t>
                      </w:r>
                      <w:r w:rsidRPr="008D13B2">
                        <w:rPr>
                          <w:rFonts w:cs="Times New Roman"/>
                          <w:b/>
                          <w:color w:val="000000" w:themeColor="text1"/>
                        </w:rPr>
                        <w:t>décision par substitution</w:t>
                      </w:r>
                      <w:r w:rsidRPr="008D13B2">
                        <w:rPr>
                          <w:rFonts w:cs="Times New Roman"/>
                          <w:color w:val="000000" w:themeColor="text1"/>
                        </w:rPr>
                        <w:t xml:space="preserve"> toujours en vigueur; pas de </w:t>
                      </w:r>
                      <w:r>
                        <w:rPr>
                          <w:rFonts w:cs="Times New Roman"/>
                          <w:color w:val="000000" w:themeColor="text1"/>
                        </w:rPr>
                        <w:t>projet visant à analyser l’actuelle législation fédérale à la lumière de la CDPH et de l’aligner.</w:t>
                      </w:r>
                      <w:r w:rsidRPr="008D13B2">
                        <w:rPr>
                          <w:rFonts w:cs="Times New Roman"/>
                        </w:rPr>
                        <w:t xml:space="preserve"> </w:t>
                      </w:r>
                      <w:r w:rsidRPr="0068412A">
                        <w:rPr>
                          <w:rFonts w:cs="Times New Roman"/>
                        </w:rPr>
                        <w:t>(</w:t>
                      </w:r>
                      <w:r>
                        <w:rPr>
                          <w:rFonts w:cs="Times New Roman"/>
                        </w:rPr>
                        <w:t xml:space="preserve">p. </w:t>
                      </w:r>
                      <w:r>
                        <w:rPr>
                          <w:rFonts w:cs="Times New Roman"/>
                        </w:rPr>
                        <w:fldChar w:fldCharType="begin"/>
                      </w:r>
                      <w:r>
                        <w:rPr>
                          <w:rFonts w:cs="Times New Roman"/>
                        </w:rPr>
                        <w:instrText xml:space="preserve"> PAGEREF _Ref95896352 \h </w:instrText>
                      </w:r>
                      <w:r>
                        <w:rPr>
                          <w:rFonts w:cs="Times New Roman"/>
                        </w:rPr>
                      </w:r>
                      <w:r>
                        <w:rPr>
                          <w:rFonts w:cs="Times New Roman"/>
                        </w:rPr>
                        <w:fldChar w:fldCharType="separate"/>
                      </w:r>
                      <w:r>
                        <w:rPr>
                          <w:rFonts w:cs="Times New Roman"/>
                          <w:noProof/>
                        </w:rPr>
                        <w:t>25</w:t>
                      </w:r>
                      <w:r>
                        <w:rPr>
                          <w:rFonts w:cs="Times New Roman"/>
                        </w:rPr>
                        <w:fldChar w:fldCharType="end"/>
                      </w:r>
                      <w:r>
                        <w:rPr>
                          <w:rFonts w:cs="Times New Roman"/>
                        </w:rPr>
                        <w:t xml:space="preserve"> ss.)</w:t>
                      </w:r>
                    </w:p>
                  </w:txbxContent>
                </v:textbox>
                <w10:wrap anchorx="margin"/>
              </v:roundrect>
            </w:pict>
          </mc:Fallback>
        </mc:AlternateContent>
      </w:r>
      <w:r w:rsidRPr="00F756DE">
        <w:rPr>
          <w:rFonts w:cs="Times New Roman"/>
          <w:noProof/>
          <w:lang w:val="en-GB" w:eastAsia="en-GB"/>
        </w:rPr>
        <mc:AlternateContent>
          <mc:Choice Requires="wps">
            <w:drawing>
              <wp:anchor distT="0" distB="0" distL="114300" distR="114300" simplePos="0" relativeHeight="251660288" behindDoc="0" locked="0" layoutInCell="1" allowOverlap="1" wp14:anchorId="150137A2" wp14:editId="6ABFFCBE">
                <wp:simplePos x="0" y="0"/>
                <wp:positionH relativeFrom="column">
                  <wp:posOffset>1113008</wp:posOffset>
                </wp:positionH>
                <wp:positionV relativeFrom="paragraph">
                  <wp:posOffset>530469</wp:posOffset>
                </wp:positionV>
                <wp:extent cx="3667125" cy="1485900"/>
                <wp:effectExtent l="0" t="0" r="28575" b="19050"/>
                <wp:wrapNone/>
                <wp:docPr id="4" name="Abgerundetes Rechteck 4" descr="Boîte orange avec le contenu suivant :&#10;Mise en œuvre – art. 4 et 33 CDPH&#10;Absence de stratégie globale et cohérente de mise en œuvre de la CDPH qui tienne compte des structures fédéralistes de la Suisse. Manque d’implication des PH. Absence de monitorage indépendant (cf. p. 7 ss. et 72 ss.)" title="Boîte avec le premier des 8 lacunes principales"/>
                <wp:cNvGraphicFramePr/>
                <a:graphic xmlns:a="http://schemas.openxmlformats.org/drawingml/2006/main">
                  <a:graphicData uri="http://schemas.microsoft.com/office/word/2010/wordprocessingShape">
                    <wps:wsp>
                      <wps:cNvSpPr/>
                      <wps:spPr>
                        <a:xfrm>
                          <a:off x="0" y="0"/>
                          <a:ext cx="3667125" cy="1485900"/>
                        </a:xfrm>
                        <a:prstGeom prst="roundRect">
                          <a:avLst/>
                        </a:prstGeom>
                        <a:solidFill>
                          <a:srgbClr val="FFCC00"/>
                        </a:solidFill>
                        <a:ln>
                          <a:solidFill>
                            <a:srgbClr val="FFCC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CB1A21" w14:textId="77777777" w:rsidR="00E77057" w:rsidRPr="005706AB" w:rsidRDefault="00E77057" w:rsidP="00F756DE">
                            <w:pPr>
                              <w:spacing w:after="0"/>
                              <w:jc w:val="center"/>
                              <w:rPr>
                                <w:rFonts w:cs="Times New Roman"/>
                                <w:b/>
                                <w:color w:val="000000" w:themeColor="text1"/>
                                <w:sz w:val="28"/>
                                <w:szCs w:val="28"/>
                              </w:rPr>
                            </w:pPr>
                            <w:r w:rsidRPr="005706AB">
                              <w:rPr>
                                <w:rFonts w:cs="Times New Roman"/>
                                <w:b/>
                                <w:color w:val="000000" w:themeColor="text1"/>
                                <w:sz w:val="28"/>
                                <w:szCs w:val="28"/>
                              </w:rPr>
                              <w:t xml:space="preserve">Mise en </w:t>
                            </w:r>
                            <w:r>
                              <w:rPr>
                                <w:rFonts w:cs="Times New Roman"/>
                                <w:b/>
                                <w:color w:val="000000" w:themeColor="text1"/>
                                <w:sz w:val="28"/>
                                <w:szCs w:val="28"/>
                              </w:rPr>
                              <w:t xml:space="preserve">œuvre </w:t>
                            </w:r>
                            <w:r w:rsidRPr="005706AB">
                              <w:rPr>
                                <w:rFonts w:cs="Times New Roman"/>
                                <w:b/>
                                <w:color w:val="000000" w:themeColor="text1"/>
                                <w:sz w:val="28"/>
                                <w:szCs w:val="28"/>
                              </w:rPr>
                              <w:t xml:space="preserve">– </w:t>
                            </w:r>
                            <w:r>
                              <w:rPr>
                                <w:rFonts w:cs="Times New Roman"/>
                                <w:b/>
                                <w:color w:val="000000" w:themeColor="text1"/>
                                <w:sz w:val="28"/>
                                <w:szCs w:val="28"/>
                              </w:rPr>
                              <w:t>a</w:t>
                            </w:r>
                            <w:r w:rsidRPr="005706AB">
                              <w:rPr>
                                <w:rFonts w:cs="Times New Roman"/>
                                <w:b/>
                                <w:color w:val="000000" w:themeColor="text1"/>
                                <w:sz w:val="28"/>
                                <w:szCs w:val="28"/>
                              </w:rPr>
                              <w:t>rt. 4 et 33 CDPH</w:t>
                            </w:r>
                          </w:p>
                          <w:p w14:paraId="0BB64A45" w14:textId="785DD7BE" w:rsidR="00E77057" w:rsidRPr="00AD3D7A" w:rsidRDefault="00E77057" w:rsidP="00F756DE">
                            <w:pPr>
                              <w:spacing w:after="0"/>
                              <w:jc w:val="center"/>
                              <w:rPr>
                                <w:color w:val="000000" w:themeColor="text1"/>
                              </w:rPr>
                            </w:pPr>
                            <w:r>
                              <w:rPr>
                                <w:rFonts w:cs="Times New Roman"/>
                                <w:color w:val="000000" w:themeColor="text1"/>
                              </w:rPr>
                              <w:t>Absence</w:t>
                            </w:r>
                            <w:r w:rsidRPr="00527396">
                              <w:rPr>
                                <w:rFonts w:cs="Times New Roman"/>
                                <w:color w:val="000000" w:themeColor="text1"/>
                              </w:rPr>
                              <w:t xml:space="preserve"> de </w:t>
                            </w:r>
                            <w:r w:rsidRPr="00527396">
                              <w:rPr>
                                <w:rFonts w:cs="Times New Roman"/>
                                <w:b/>
                                <w:bCs/>
                                <w:color w:val="000000" w:themeColor="text1"/>
                              </w:rPr>
                              <w:t>stratégie</w:t>
                            </w:r>
                            <w:r w:rsidRPr="00527396">
                              <w:rPr>
                                <w:rFonts w:cs="Times New Roman"/>
                                <w:color w:val="000000" w:themeColor="text1"/>
                              </w:rPr>
                              <w:t xml:space="preserve"> globale et cohérente de mise en </w:t>
                            </w:r>
                            <w:r>
                              <w:rPr>
                                <w:rFonts w:cs="Times New Roman"/>
                                <w:color w:val="000000" w:themeColor="text1"/>
                              </w:rPr>
                              <w:t xml:space="preserve">œuvre </w:t>
                            </w:r>
                            <w:r w:rsidRPr="00527396">
                              <w:rPr>
                                <w:rFonts w:cs="Times New Roman"/>
                                <w:color w:val="000000" w:themeColor="text1"/>
                              </w:rPr>
                              <w:t xml:space="preserve">de la CDPH </w:t>
                            </w:r>
                            <w:r>
                              <w:rPr>
                                <w:rFonts w:cs="Times New Roman"/>
                                <w:color w:val="000000" w:themeColor="text1"/>
                              </w:rPr>
                              <w:t xml:space="preserve">qui tienne </w:t>
                            </w:r>
                            <w:r w:rsidRPr="00527396">
                              <w:rPr>
                                <w:rFonts w:cs="Times New Roman"/>
                                <w:color w:val="000000" w:themeColor="text1"/>
                              </w:rPr>
                              <w:t>co</w:t>
                            </w:r>
                            <w:r>
                              <w:rPr>
                                <w:rFonts w:cs="Times New Roman"/>
                                <w:color w:val="000000" w:themeColor="text1"/>
                              </w:rPr>
                              <w:t>mpte des structures fédéralistes de la Suisse</w:t>
                            </w:r>
                            <w:r w:rsidRPr="00527396">
                              <w:rPr>
                                <w:rFonts w:cs="Times New Roman"/>
                                <w:color w:val="000000" w:themeColor="text1"/>
                              </w:rPr>
                              <w:t xml:space="preserve">. </w:t>
                            </w:r>
                            <w:r w:rsidRPr="0009547B">
                              <w:rPr>
                                <w:rFonts w:cs="Times New Roman"/>
                                <w:color w:val="000000" w:themeColor="text1"/>
                              </w:rPr>
                              <w:t xml:space="preserve">Manque d’implication des </w:t>
                            </w:r>
                            <w:r>
                              <w:rPr>
                                <w:rFonts w:cs="Times New Roman"/>
                                <w:color w:val="000000" w:themeColor="text1"/>
                              </w:rPr>
                              <w:t>PH</w:t>
                            </w:r>
                            <w:r w:rsidRPr="0009547B">
                              <w:rPr>
                                <w:rFonts w:cs="Times New Roman"/>
                                <w:color w:val="000000" w:themeColor="text1"/>
                              </w:rPr>
                              <w:t xml:space="preserve">. Absence de </w:t>
                            </w:r>
                            <w:r>
                              <w:rPr>
                                <w:rFonts w:cs="Times New Roman"/>
                                <w:b/>
                                <w:color w:val="000000" w:themeColor="text1"/>
                              </w:rPr>
                              <w:t>mo</w:t>
                            </w:r>
                            <w:r w:rsidRPr="00D85B63">
                              <w:rPr>
                                <w:rFonts w:cs="Times New Roman"/>
                                <w:b/>
                                <w:color w:val="000000" w:themeColor="text1"/>
                              </w:rPr>
                              <w:t>nitor</w:t>
                            </w:r>
                            <w:r>
                              <w:rPr>
                                <w:rFonts w:cs="Times New Roman"/>
                                <w:b/>
                                <w:color w:val="000000" w:themeColor="text1"/>
                              </w:rPr>
                              <w:t>age indépendant</w:t>
                            </w:r>
                            <w:r>
                              <w:rPr>
                                <w:rFonts w:cs="Times New Roman"/>
                                <w:color w:val="000000" w:themeColor="text1"/>
                              </w:rPr>
                              <w:t xml:space="preserve"> (cf. p. </w:t>
                            </w:r>
                            <w:r>
                              <w:rPr>
                                <w:rFonts w:cs="Times New Roman"/>
                                <w:color w:val="000000" w:themeColor="text1"/>
                              </w:rPr>
                              <w:fldChar w:fldCharType="begin"/>
                            </w:r>
                            <w:r>
                              <w:rPr>
                                <w:rFonts w:cs="Times New Roman"/>
                                <w:color w:val="000000" w:themeColor="text1"/>
                              </w:rPr>
                              <w:instrText xml:space="preserve"> PAGEREF _Ref95896375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7</w:t>
                            </w:r>
                            <w:r>
                              <w:rPr>
                                <w:rFonts w:cs="Times New Roman"/>
                                <w:color w:val="000000" w:themeColor="text1"/>
                              </w:rPr>
                              <w:fldChar w:fldCharType="end"/>
                            </w:r>
                            <w:r>
                              <w:rPr>
                                <w:rFonts w:cs="Times New Roman"/>
                                <w:color w:val="000000" w:themeColor="text1"/>
                              </w:rPr>
                              <w:t xml:space="preserve"> ss. et </w:t>
                            </w:r>
                            <w:r>
                              <w:rPr>
                                <w:rFonts w:cs="Times New Roman"/>
                                <w:color w:val="000000" w:themeColor="text1"/>
                              </w:rPr>
                              <w:fldChar w:fldCharType="begin"/>
                            </w:r>
                            <w:r>
                              <w:rPr>
                                <w:rFonts w:cs="Times New Roman"/>
                                <w:color w:val="000000" w:themeColor="text1"/>
                              </w:rPr>
                              <w:instrText xml:space="preserve"> PAGEREF _Ref95896393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69</w:t>
                            </w:r>
                            <w:r>
                              <w:rPr>
                                <w:rFonts w:cs="Times New Roman"/>
                                <w:color w:val="000000" w:themeColor="text1"/>
                              </w:rPr>
                              <w:fldChar w:fldCharType="end"/>
                            </w:r>
                            <w:r>
                              <w:rPr>
                                <w:rFonts w:cs="Times New Roman"/>
                                <w:color w:val="000000" w:themeColor="text1"/>
                              </w:rPr>
                              <w:t xml:space="preserve"> 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50137A2" id="Abgerundetes Rechteck 4" o:spid="_x0000_s1029" alt="Titel: Boîte avec le premier des 8 lacunes principales - Beschreibung: Boîte orange avec le contenu suivant :&#10;Mise en œuvre – art. 4 et 33 CDPH&#10;Absence de stratégie globale et cohérente de mise en œuvre de la CDPH qui tienne compte des structures fédéralistes de la Suisse. Manque d’implication des PH. Absence de monitorage indépendant (cf. p. 7 ss. et 72 ss.)" style="position:absolute;left:0;text-align:left;margin-left:87.65pt;margin-top:41.75pt;width:288.7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" fillcolor="#fc0" strokecolor="#fc0" strokeweight="1pt">
                <v:stroke joinstyle="miter"/>
                <v:textbox>
                  <w:txbxContent>
                    <w:p w14:paraId="75CB1A21" w14:textId="77777777" w:rsidR="00E77057" w:rsidRPr="005706AB" w:rsidRDefault="00E77057" w:rsidP="00F756DE">
                      <w:pPr>
                        <w:spacing w:after="0"/>
                        <w:jc w:val="center"/>
                        <w:rPr>
                          <w:rFonts w:cs="Times New Roman"/>
                          <w:b/>
                          <w:color w:val="000000" w:themeColor="text1"/>
                          <w:sz w:val="28"/>
                          <w:szCs w:val="28"/>
                        </w:rPr>
                      </w:pPr>
                      <w:r w:rsidRPr="005706AB">
                        <w:rPr>
                          <w:rFonts w:cs="Times New Roman"/>
                          <w:b/>
                          <w:color w:val="000000" w:themeColor="text1"/>
                          <w:sz w:val="28"/>
                          <w:szCs w:val="28"/>
                        </w:rPr>
                        <w:t xml:space="preserve">Mise en </w:t>
                      </w:r>
                      <w:r>
                        <w:rPr>
                          <w:rFonts w:cs="Times New Roman"/>
                          <w:b/>
                          <w:color w:val="000000" w:themeColor="text1"/>
                          <w:sz w:val="28"/>
                          <w:szCs w:val="28"/>
                        </w:rPr>
                        <w:t xml:space="preserve">œuvre </w:t>
                      </w:r>
                      <w:r w:rsidRPr="005706AB">
                        <w:rPr>
                          <w:rFonts w:cs="Times New Roman"/>
                          <w:b/>
                          <w:color w:val="000000" w:themeColor="text1"/>
                          <w:sz w:val="28"/>
                          <w:szCs w:val="28"/>
                        </w:rPr>
                        <w:t xml:space="preserve">– </w:t>
                      </w:r>
                      <w:r>
                        <w:rPr>
                          <w:rFonts w:cs="Times New Roman"/>
                          <w:b/>
                          <w:color w:val="000000" w:themeColor="text1"/>
                          <w:sz w:val="28"/>
                          <w:szCs w:val="28"/>
                        </w:rPr>
                        <w:t>a</w:t>
                      </w:r>
                      <w:r w:rsidRPr="005706AB">
                        <w:rPr>
                          <w:rFonts w:cs="Times New Roman"/>
                          <w:b/>
                          <w:color w:val="000000" w:themeColor="text1"/>
                          <w:sz w:val="28"/>
                          <w:szCs w:val="28"/>
                        </w:rPr>
                        <w:t>rt. 4 et 33 CDPH</w:t>
                      </w:r>
                    </w:p>
                    <w:p w14:paraId="0BB64A45" w14:textId="785DD7BE" w:rsidR="00E77057" w:rsidRPr="00AD3D7A" w:rsidRDefault="00E77057" w:rsidP="00F756DE">
                      <w:pPr>
                        <w:spacing w:after="0"/>
                        <w:jc w:val="center"/>
                        <w:rPr>
                          <w:color w:val="000000" w:themeColor="text1"/>
                        </w:rPr>
                      </w:pPr>
                      <w:r>
                        <w:rPr>
                          <w:rFonts w:cs="Times New Roman"/>
                          <w:color w:val="000000" w:themeColor="text1"/>
                        </w:rPr>
                        <w:t>Absence</w:t>
                      </w:r>
                      <w:r w:rsidRPr="00527396">
                        <w:rPr>
                          <w:rFonts w:cs="Times New Roman"/>
                          <w:color w:val="000000" w:themeColor="text1"/>
                        </w:rPr>
                        <w:t xml:space="preserve"> de </w:t>
                      </w:r>
                      <w:r w:rsidRPr="00527396">
                        <w:rPr>
                          <w:rFonts w:cs="Times New Roman"/>
                          <w:b/>
                          <w:bCs/>
                          <w:color w:val="000000" w:themeColor="text1"/>
                        </w:rPr>
                        <w:t>stratégie</w:t>
                      </w:r>
                      <w:r w:rsidRPr="00527396">
                        <w:rPr>
                          <w:rFonts w:cs="Times New Roman"/>
                          <w:color w:val="000000" w:themeColor="text1"/>
                        </w:rPr>
                        <w:t xml:space="preserve"> globale et cohérente de mise en </w:t>
                      </w:r>
                      <w:r>
                        <w:rPr>
                          <w:rFonts w:cs="Times New Roman"/>
                          <w:color w:val="000000" w:themeColor="text1"/>
                        </w:rPr>
                        <w:t xml:space="preserve">œuvre </w:t>
                      </w:r>
                      <w:r w:rsidRPr="00527396">
                        <w:rPr>
                          <w:rFonts w:cs="Times New Roman"/>
                          <w:color w:val="000000" w:themeColor="text1"/>
                        </w:rPr>
                        <w:t xml:space="preserve">de la CDPH </w:t>
                      </w:r>
                      <w:r>
                        <w:rPr>
                          <w:rFonts w:cs="Times New Roman"/>
                          <w:color w:val="000000" w:themeColor="text1"/>
                        </w:rPr>
                        <w:t xml:space="preserve">qui tienne </w:t>
                      </w:r>
                      <w:r w:rsidRPr="00527396">
                        <w:rPr>
                          <w:rFonts w:cs="Times New Roman"/>
                          <w:color w:val="000000" w:themeColor="text1"/>
                        </w:rPr>
                        <w:t>co</w:t>
                      </w:r>
                      <w:r>
                        <w:rPr>
                          <w:rFonts w:cs="Times New Roman"/>
                          <w:color w:val="000000" w:themeColor="text1"/>
                        </w:rPr>
                        <w:t>mpte des structures fédéralistes de la Suisse</w:t>
                      </w:r>
                      <w:r w:rsidRPr="00527396">
                        <w:rPr>
                          <w:rFonts w:cs="Times New Roman"/>
                          <w:color w:val="000000" w:themeColor="text1"/>
                        </w:rPr>
                        <w:t xml:space="preserve">. </w:t>
                      </w:r>
                      <w:r w:rsidRPr="0009547B">
                        <w:rPr>
                          <w:rFonts w:cs="Times New Roman"/>
                          <w:color w:val="000000" w:themeColor="text1"/>
                        </w:rPr>
                        <w:t xml:space="preserve">Manque d’implication des </w:t>
                      </w:r>
                      <w:r>
                        <w:rPr>
                          <w:rFonts w:cs="Times New Roman"/>
                          <w:color w:val="000000" w:themeColor="text1"/>
                        </w:rPr>
                        <w:t>PH</w:t>
                      </w:r>
                      <w:r w:rsidRPr="0009547B">
                        <w:rPr>
                          <w:rFonts w:cs="Times New Roman"/>
                          <w:color w:val="000000" w:themeColor="text1"/>
                        </w:rPr>
                        <w:t xml:space="preserve">. Absence de </w:t>
                      </w:r>
                      <w:r>
                        <w:rPr>
                          <w:rFonts w:cs="Times New Roman"/>
                          <w:b/>
                          <w:color w:val="000000" w:themeColor="text1"/>
                        </w:rPr>
                        <w:t>mo</w:t>
                      </w:r>
                      <w:r w:rsidRPr="00D85B63">
                        <w:rPr>
                          <w:rFonts w:cs="Times New Roman"/>
                          <w:b/>
                          <w:color w:val="000000" w:themeColor="text1"/>
                        </w:rPr>
                        <w:t>nitor</w:t>
                      </w:r>
                      <w:r>
                        <w:rPr>
                          <w:rFonts w:cs="Times New Roman"/>
                          <w:b/>
                          <w:color w:val="000000" w:themeColor="text1"/>
                        </w:rPr>
                        <w:t>age indépendant</w:t>
                      </w:r>
                      <w:r>
                        <w:rPr>
                          <w:rFonts w:cs="Times New Roman"/>
                          <w:color w:val="000000" w:themeColor="text1"/>
                        </w:rPr>
                        <w:t xml:space="preserve"> (cf. p. </w:t>
                      </w:r>
                      <w:r>
                        <w:rPr>
                          <w:rFonts w:cs="Times New Roman"/>
                          <w:color w:val="000000" w:themeColor="text1"/>
                        </w:rPr>
                        <w:fldChar w:fldCharType="begin"/>
                      </w:r>
                      <w:r>
                        <w:rPr>
                          <w:rFonts w:cs="Times New Roman"/>
                          <w:color w:val="000000" w:themeColor="text1"/>
                        </w:rPr>
                        <w:instrText xml:space="preserve"> PAGEREF _Ref95896375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7</w:t>
                      </w:r>
                      <w:r>
                        <w:rPr>
                          <w:rFonts w:cs="Times New Roman"/>
                          <w:color w:val="000000" w:themeColor="text1"/>
                        </w:rPr>
                        <w:fldChar w:fldCharType="end"/>
                      </w:r>
                      <w:r>
                        <w:rPr>
                          <w:rFonts w:cs="Times New Roman"/>
                          <w:color w:val="000000" w:themeColor="text1"/>
                        </w:rPr>
                        <w:t xml:space="preserve"> ss. et </w:t>
                      </w:r>
                      <w:r>
                        <w:rPr>
                          <w:rFonts w:cs="Times New Roman"/>
                          <w:color w:val="000000" w:themeColor="text1"/>
                        </w:rPr>
                        <w:fldChar w:fldCharType="begin"/>
                      </w:r>
                      <w:r>
                        <w:rPr>
                          <w:rFonts w:cs="Times New Roman"/>
                          <w:color w:val="000000" w:themeColor="text1"/>
                        </w:rPr>
                        <w:instrText xml:space="preserve"> PAGEREF _Ref95896393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69</w:t>
                      </w:r>
                      <w:r>
                        <w:rPr>
                          <w:rFonts w:cs="Times New Roman"/>
                          <w:color w:val="000000" w:themeColor="text1"/>
                        </w:rPr>
                        <w:fldChar w:fldCharType="end"/>
                      </w:r>
                      <w:r>
                        <w:rPr>
                          <w:rFonts w:cs="Times New Roman"/>
                          <w:color w:val="000000" w:themeColor="text1"/>
                        </w:rPr>
                        <w:t xml:space="preserve"> ss.)</w:t>
                      </w:r>
                    </w:p>
                  </w:txbxContent>
                </v:textbox>
              </v:roundrect>
            </w:pict>
          </mc:Fallback>
        </mc:AlternateContent>
      </w:r>
      <w:r w:rsidRPr="00F756DE">
        <w:rPr>
          <w:noProof/>
          <w:lang w:val="en-GB" w:eastAsia="en-GB"/>
        </w:rPr>
        <mc:AlternateContent>
          <mc:Choice Requires="wps">
            <w:drawing>
              <wp:anchor distT="0" distB="0" distL="114300" distR="114300" simplePos="0" relativeHeight="251663360" behindDoc="0" locked="0" layoutInCell="1" allowOverlap="1" wp14:anchorId="148AF81F" wp14:editId="325D66D9">
                <wp:simplePos x="0" y="0"/>
                <wp:positionH relativeFrom="margin">
                  <wp:posOffset>-548640</wp:posOffset>
                </wp:positionH>
                <wp:positionV relativeFrom="paragraph">
                  <wp:posOffset>4196422</wp:posOffset>
                </wp:positionV>
                <wp:extent cx="3136900" cy="1406769"/>
                <wp:effectExtent l="0" t="0" r="25400" b="22225"/>
                <wp:wrapNone/>
                <wp:docPr id="8" name="Abgerundetes Rechteck 8" descr="Boîte jaune avec le contenu suivant :&#10;Éducation – art. 24 CDPH&#10;Absence de système éducatif basé sur une approche inclusive, entre autres absence de système de formation professionnelle basé sur une approche inclusive. (p. 49 ss.)" title="Boîte avec le quatrième des 8 lacunes principales"/>
                <wp:cNvGraphicFramePr/>
                <a:graphic xmlns:a="http://schemas.openxmlformats.org/drawingml/2006/main">
                  <a:graphicData uri="http://schemas.microsoft.com/office/word/2010/wordprocessingShape">
                    <wps:wsp>
                      <wps:cNvSpPr/>
                      <wps:spPr>
                        <a:xfrm>
                          <a:off x="0" y="0"/>
                          <a:ext cx="3136900" cy="1406769"/>
                        </a:xfrm>
                        <a:prstGeom prst="roundRect">
                          <a:avLst/>
                        </a:prstGeom>
                        <a:solidFill>
                          <a:srgbClr val="FFFFCC"/>
                        </a:solidFill>
                        <a:ln>
                          <a:solidFill>
                            <a:srgbClr val="FFFF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831C1B" w14:textId="77777777"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Éducation</w:t>
                            </w:r>
                            <w:r w:rsidRPr="000A09BA">
                              <w:rPr>
                                <w:rFonts w:cs="Times New Roman"/>
                                <w:b/>
                                <w:color w:val="000000" w:themeColor="text1"/>
                                <w:sz w:val="28"/>
                                <w:szCs w:val="28"/>
                              </w:rPr>
                              <w:t xml:space="preserve"> – </w:t>
                            </w:r>
                            <w:r>
                              <w:rPr>
                                <w:rFonts w:cs="Times New Roman"/>
                                <w:b/>
                                <w:color w:val="000000" w:themeColor="text1"/>
                                <w:sz w:val="28"/>
                                <w:szCs w:val="28"/>
                              </w:rPr>
                              <w:t>a</w:t>
                            </w:r>
                            <w:r w:rsidRPr="000A09BA">
                              <w:rPr>
                                <w:rFonts w:cs="Times New Roman"/>
                                <w:b/>
                                <w:color w:val="000000" w:themeColor="text1"/>
                                <w:sz w:val="28"/>
                                <w:szCs w:val="28"/>
                              </w:rPr>
                              <w:t xml:space="preserve">rt. 24 </w:t>
                            </w:r>
                            <w:r>
                              <w:rPr>
                                <w:rFonts w:cs="Times New Roman"/>
                                <w:b/>
                                <w:color w:val="000000" w:themeColor="text1"/>
                                <w:sz w:val="28"/>
                                <w:szCs w:val="28"/>
                              </w:rPr>
                              <w:t>CDPH</w:t>
                            </w:r>
                          </w:p>
                          <w:p w14:paraId="09DA2E80" w14:textId="530C8C3F" w:rsidR="00E77057" w:rsidRPr="00AD3D7A" w:rsidRDefault="00E77057" w:rsidP="00F756DE">
                            <w:pPr>
                              <w:jc w:val="center"/>
                              <w:rPr>
                                <w:rFonts w:cs="Times New Roman"/>
                                <w:b/>
                                <w:color w:val="000000" w:themeColor="text1"/>
                              </w:rPr>
                            </w:pPr>
                            <w:r>
                              <w:rPr>
                                <w:rFonts w:cs="Times New Roman"/>
                                <w:color w:val="000000" w:themeColor="text1"/>
                              </w:rPr>
                              <w:t>Absence de</w:t>
                            </w:r>
                            <w:r w:rsidRPr="00AD3D7A">
                              <w:rPr>
                                <w:rFonts w:cs="Times New Roman"/>
                                <w:color w:val="000000" w:themeColor="text1"/>
                              </w:rPr>
                              <w:t xml:space="preserve"> </w:t>
                            </w:r>
                            <w:r w:rsidRPr="00D85B63">
                              <w:rPr>
                                <w:rFonts w:cs="Times New Roman"/>
                                <w:b/>
                                <w:color w:val="000000" w:themeColor="text1"/>
                              </w:rPr>
                              <w:t>s</w:t>
                            </w:r>
                            <w:r>
                              <w:rPr>
                                <w:rFonts w:cs="Times New Roman"/>
                                <w:b/>
                                <w:color w:val="000000" w:themeColor="text1"/>
                              </w:rPr>
                              <w:t>ystème éducatif basé sur une approche inclusive</w:t>
                            </w:r>
                            <w:r w:rsidRPr="00AD3D7A">
                              <w:rPr>
                                <w:rFonts w:cs="Times New Roman"/>
                                <w:color w:val="000000" w:themeColor="text1"/>
                              </w:rPr>
                              <w:t xml:space="preserve">, </w:t>
                            </w:r>
                            <w:r>
                              <w:rPr>
                                <w:rFonts w:cs="Times New Roman"/>
                                <w:color w:val="000000" w:themeColor="text1"/>
                              </w:rPr>
                              <w:t xml:space="preserve">entre autres absence de </w:t>
                            </w:r>
                            <w:r w:rsidRPr="00523243">
                              <w:rPr>
                                <w:rFonts w:cs="Times New Roman"/>
                                <w:b/>
                                <w:bCs/>
                                <w:color w:val="000000" w:themeColor="text1"/>
                              </w:rPr>
                              <w:t>système de formation professionnelle basé sur une approche inclusive</w:t>
                            </w:r>
                            <w:r w:rsidRPr="00AD3D7A">
                              <w:rPr>
                                <w:rFonts w:cs="Times New Roman"/>
                                <w:color w:val="000000" w:themeColor="text1"/>
                              </w:rPr>
                              <w:t>.</w:t>
                            </w:r>
                            <w:r>
                              <w:rPr>
                                <w:rFonts w:cs="Times New Roman"/>
                                <w:color w:val="000000" w:themeColor="text1"/>
                              </w:rPr>
                              <w:t xml:space="preserve"> (</w:t>
                            </w:r>
                            <w:r w:rsidRPr="00CF1480">
                              <w:rPr>
                                <w:rFonts w:cs="Times New Roman"/>
                                <w:color w:val="000000" w:themeColor="text1"/>
                              </w:rPr>
                              <w:t>p</w:t>
                            </w:r>
                            <w:r w:rsidRPr="006B4C20">
                              <w:rPr>
                                <w:rFonts w:cs="Times New Roman"/>
                                <w:color w:val="000000" w:themeColor="text1"/>
                              </w:rPr>
                              <w:t xml:space="preserve">. </w:t>
                            </w:r>
                            <w:r w:rsidRPr="006B4C20">
                              <w:rPr>
                                <w:rFonts w:cs="Times New Roman"/>
                                <w:color w:val="000000" w:themeColor="text1"/>
                              </w:rPr>
                              <w:fldChar w:fldCharType="begin"/>
                            </w:r>
                            <w:r w:rsidRPr="006B4C20">
                              <w:rPr>
                                <w:rFonts w:cs="Times New Roman"/>
                                <w:color w:val="000000" w:themeColor="text1"/>
                              </w:rPr>
                              <w:instrText xml:space="preserve"> PAGEREF _Ref95737655 \h </w:instrText>
                            </w:r>
                            <w:r w:rsidRPr="006B4C20">
                              <w:rPr>
                                <w:rFonts w:cs="Times New Roman"/>
                                <w:color w:val="000000" w:themeColor="text1"/>
                              </w:rPr>
                            </w:r>
                            <w:r w:rsidRPr="006B4C20">
                              <w:rPr>
                                <w:rFonts w:cs="Times New Roman"/>
                                <w:color w:val="000000" w:themeColor="text1"/>
                              </w:rPr>
                              <w:fldChar w:fldCharType="separate"/>
                            </w:r>
                            <w:r>
                              <w:rPr>
                                <w:rFonts w:cs="Times New Roman"/>
                                <w:noProof/>
                                <w:color w:val="000000" w:themeColor="text1"/>
                              </w:rPr>
                              <w:t>47</w:t>
                            </w:r>
                            <w:r w:rsidRPr="006B4C20">
                              <w:rPr>
                                <w:rFonts w:cs="Times New Roman"/>
                                <w:color w:val="000000" w:themeColor="text1"/>
                              </w:rPr>
                              <w:fldChar w:fldCharType="end"/>
                            </w:r>
                            <w:r w:rsidRPr="00CF1480">
                              <w:rPr>
                                <w:rFonts w:cs="Times New Roman"/>
                                <w:color w:val="000000" w:themeColor="text1"/>
                              </w:rPr>
                              <w:t xml:space="preserve"> ss.</w:t>
                            </w:r>
                            <w:r>
                              <w:rPr>
                                <w:rFonts w:cs="Times New Roman"/>
                                <w:color w:val="000000" w:themeColor="text1"/>
                              </w:rPr>
                              <w:t>)</w:t>
                            </w:r>
                          </w:p>
                          <w:p w14:paraId="12368D30" w14:textId="77777777" w:rsidR="00E77057" w:rsidRDefault="00E77057" w:rsidP="00AA0F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48AF81F" id="Abgerundetes Rechteck 8" o:spid="_x0000_s1030" alt="Titel: Boîte avec le quatrième des 8 lacunes principales - Beschreibung: Boîte jaune avec le contenu suivant :&#10;Éducation – art. 24 CDPH&#10;Absence de système éducatif basé sur une approche inclusive, entre autres absence de système de formation professionnelle basé sur une approche inclusive. (p. 49 ss.)" style="position:absolute;left:0;text-align:left;margin-left:-43.2pt;margin-top:330.45pt;width:247pt;height:110.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" fillcolor="#ffc" strokecolor="#ff6" strokeweight="1pt">
                <v:stroke joinstyle="miter"/>
                <v:textbox>
                  <w:txbxContent>
                    <w:p w14:paraId="5D831C1B" w14:textId="77777777"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Éducation</w:t>
                      </w:r>
                      <w:r w:rsidRPr="000A09BA">
                        <w:rPr>
                          <w:rFonts w:cs="Times New Roman"/>
                          <w:b/>
                          <w:color w:val="000000" w:themeColor="text1"/>
                          <w:sz w:val="28"/>
                          <w:szCs w:val="28"/>
                        </w:rPr>
                        <w:t xml:space="preserve"> – </w:t>
                      </w:r>
                      <w:r>
                        <w:rPr>
                          <w:rFonts w:cs="Times New Roman"/>
                          <w:b/>
                          <w:color w:val="000000" w:themeColor="text1"/>
                          <w:sz w:val="28"/>
                          <w:szCs w:val="28"/>
                        </w:rPr>
                        <w:t>a</w:t>
                      </w:r>
                      <w:r w:rsidRPr="000A09BA">
                        <w:rPr>
                          <w:rFonts w:cs="Times New Roman"/>
                          <w:b/>
                          <w:color w:val="000000" w:themeColor="text1"/>
                          <w:sz w:val="28"/>
                          <w:szCs w:val="28"/>
                        </w:rPr>
                        <w:t xml:space="preserve">rt. 24 </w:t>
                      </w:r>
                      <w:r>
                        <w:rPr>
                          <w:rFonts w:cs="Times New Roman"/>
                          <w:b/>
                          <w:color w:val="000000" w:themeColor="text1"/>
                          <w:sz w:val="28"/>
                          <w:szCs w:val="28"/>
                        </w:rPr>
                        <w:t>CDPH</w:t>
                      </w:r>
                    </w:p>
                    <w:p w14:paraId="09DA2E80" w14:textId="530C8C3F" w:rsidR="00E77057" w:rsidRPr="00AD3D7A" w:rsidRDefault="00E77057" w:rsidP="00F756DE">
                      <w:pPr>
                        <w:jc w:val="center"/>
                        <w:rPr>
                          <w:rFonts w:cs="Times New Roman"/>
                          <w:b/>
                          <w:color w:val="000000" w:themeColor="text1"/>
                        </w:rPr>
                      </w:pPr>
                      <w:r>
                        <w:rPr>
                          <w:rFonts w:cs="Times New Roman"/>
                          <w:color w:val="000000" w:themeColor="text1"/>
                        </w:rPr>
                        <w:t>Absence de</w:t>
                      </w:r>
                      <w:r w:rsidRPr="00AD3D7A">
                        <w:rPr>
                          <w:rFonts w:cs="Times New Roman"/>
                          <w:color w:val="000000" w:themeColor="text1"/>
                        </w:rPr>
                        <w:t xml:space="preserve"> </w:t>
                      </w:r>
                      <w:r w:rsidRPr="00D85B63">
                        <w:rPr>
                          <w:rFonts w:cs="Times New Roman"/>
                          <w:b/>
                          <w:color w:val="000000" w:themeColor="text1"/>
                        </w:rPr>
                        <w:t>s</w:t>
                      </w:r>
                      <w:r>
                        <w:rPr>
                          <w:rFonts w:cs="Times New Roman"/>
                          <w:b/>
                          <w:color w:val="000000" w:themeColor="text1"/>
                        </w:rPr>
                        <w:t>ystème éducatif basé sur une approche inclusive</w:t>
                      </w:r>
                      <w:r w:rsidRPr="00AD3D7A">
                        <w:rPr>
                          <w:rFonts w:cs="Times New Roman"/>
                          <w:color w:val="000000" w:themeColor="text1"/>
                        </w:rPr>
                        <w:t xml:space="preserve">, </w:t>
                      </w:r>
                      <w:r>
                        <w:rPr>
                          <w:rFonts w:cs="Times New Roman"/>
                          <w:color w:val="000000" w:themeColor="text1"/>
                        </w:rPr>
                        <w:t xml:space="preserve">entre autres absence de </w:t>
                      </w:r>
                      <w:r w:rsidRPr="00523243">
                        <w:rPr>
                          <w:rFonts w:cs="Times New Roman"/>
                          <w:b/>
                          <w:bCs/>
                          <w:color w:val="000000" w:themeColor="text1"/>
                        </w:rPr>
                        <w:t>système de formation professionnelle basé sur une approche inclusive</w:t>
                      </w:r>
                      <w:r w:rsidRPr="00AD3D7A">
                        <w:rPr>
                          <w:rFonts w:cs="Times New Roman"/>
                          <w:color w:val="000000" w:themeColor="text1"/>
                        </w:rPr>
                        <w:t>.</w:t>
                      </w:r>
                      <w:r>
                        <w:rPr>
                          <w:rFonts w:cs="Times New Roman"/>
                          <w:color w:val="000000" w:themeColor="text1"/>
                        </w:rPr>
                        <w:t xml:space="preserve"> (</w:t>
                      </w:r>
                      <w:r w:rsidRPr="00CF1480">
                        <w:rPr>
                          <w:rFonts w:cs="Times New Roman"/>
                          <w:color w:val="000000" w:themeColor="text1"/>
                        </w:rPr>
                        <w:t>p</w:t>
                      </w:r>
                      <w:r w:rsidRPr="006B4C20">
                        <w:rPr>
                          <w:rFonts w:cs="Times New Roman"/>
                          <w:color w:val="000000" w:themeColor="text1"/>
                        </w:rPr>
                        <w:t xml:space="preserve">. </w:t>
                      </w:r>
                      <w:r w:rsidRPr="006B4C20">
                        <w:rPr>
                          <w:rFonts w:cs="Times New Roman"/>
                          <w:color w:val="000000" w:themeColor="text1"/>
                        </w:rPr>
                        <w:fldChar w:fldCharType="begin"/>
                      </w:r>
                      <w:r w:rsidRPr="006B4C20">
                        <w:rPr>
                          <w:rFonts w:cs="Times New Roman"/>
                          <w:color w:val="000000" w:themeColor="text1"/>
                        </w:rPr>
                        <w:instrText xml:space="preserve"> PAGEREF _Ref95737655 \h </w:instrText>
                      </w:r>
                      <w:r w:rsidRPr="006B4C20">
                        <w:rPr>
                          <w:rFonts w:cs="Times New Roman"/>
                          <w:color w:val="000000" w:themeColor="text1"/>
                        </w:rPr>
                      </w:r>
                      <w:r w:rsidRPr="006B4C20">
                        <w:rPr>
                          <w:rFonts w:cs="Times New Roman"/>
                          <w:color w:val="000000" w:themeColor="text1"/>
                        </w:rPr>
                        <w:fldChar w:fldCharType="separate"/>
                      </w:r>
                      <w:r>
                        <w:rPr>
                          <w:rFonts w:cs="Times New Roman"/>
                          <w:noProof/>
                          <w:color w:val="000000" w:themeColor="text1"/>
                        </w:rPr>
                        <w:t>47</w:t>
                      </w:r>
                      <w:r w:rsidRPr="006B4C20">
                        <w:rPr>
                          <w:rFonts w:cs="Times New Roman"/>
                          <w:color w:val="000000" w:themeColor="text1"/>
                        </w:rPr>
                        <w:fldChar w:fldCharType="end"/>
                      </w:r>
                      <w:r w:rsidRPr="00CF1480">
                        <w:rPr>
                          <w:rFonts w:cs="Times New Roman"/>
                          <w:color w:val="000000" w:themeColor="text1"/>
                        </w:rPr>
                        <w:t xml:space="preserve"> ss.</w:t>
                      </w:r>
                      <w:r>
                        <w:rPr>
                          <w:rFonts w:cs="Times New Roman"/>
                          <w:color w:val="000000" w:themeColor="text1"/>
                        </w:rPr>
                        <w:t>)</w:t>
                      </w:r>
                    </w:p>
                    <w:p w14:paraId="12368D30" w14:textId="77777777" w:rsidR="00E77057" w:rsidRDefault="00E77057" w:rsidP="00AA0F94">
                      <w:pPr>
                        <w:jc w:val="center"/>
                      </w:pPr>
                    </w:p>
                  </w:txbxContent>
                </v:textbox>
                <w10:wrap anchorx="margin"/>
              </v:roundrect>
            </w:pict>
          </mc:Fallback>
        </mc:AlternateContent>
      </w:r>
      <w:r w:rsidRPr="00F756DE">
        <w:rPr>
          <w:noProof/>
          <w:lang w:val="en-GB" w:eastAsia="en-GB"/>
        </w:rPr>
        <mc:AlternateContent>
          <mc:Choice Requires="wps">
            <w:drawing>
              <wp:anchor distT="0" distB="0" distL="114300" distR="114300" simplePos="0" relativeHeight="251666432" behindDoc="0" locked="0" layoutInCell="1" allowOverlap="1" wp14:anchorId="443F6567" wp14:editId="4F2200B3">
                <wp:simplePos x="0" y="0"/>
                <wp:positionH relativeFrom="margin">
                  <wp:posOffset>-634658</wp:posOffset>
                </wp:positionH>
                <wp:positionV relativeFrom="paragraph">
                  <wp:posOffset>5725404</wp:posOffset>
                </wp:positionV>
                <wp:extent cx="3308350" cy="1765300"/>
                <wp:effectExtent l="0" t="0" r="25400" b="25400"/>
                <wp:wrapNone/>
                <wp:docPr id="12" name="Abgerundetes Rechteck 12" descr="Boîte verte avec le contenu suivant :&#10;&#10;Droits politiques – art. 29 CDPH&#10;Pas de droits politiques pour les personnes ayant des handicaps psychiques ou intellectuels placées sous curatelle de portée générale ou sous curatelle de représentation. (p. 67 ss.)" title="Boîte avec le sixième des 8 lacunes principales"/>
                <wp:cNvGraphicFramePr/>
                <a:graphic xmlns:a="http://schemas.openxmlformats.org/drawingml/2006/main">
                  <a:graphicData uri="http://schemas.microsoft.com/office/word/2010/wordprocessingShape">
                    <wps:wsp>
                      <wps:cNvSpPr/>
                      <wps:spPr>
                        <a:xfrm>
                          <a:off x="0" y="0"/>
                          <a:ext cx="3308350" cy="1765300"/>
                        </a:xfrm>
                        <a:prstGeom prst="roundRect">
                          <a:avLst/>
                        </a:prstGeom>
                        <a:solidFill>
                          <a:srgbClr val="99FFCC"/>
                        </a:solidFill>
                        <a:ln>
                          <a:solidFill>
                            <a:srgbClr val="00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3ECCA9" w14:textId="77777777" w:rsidR="00E77057" w:rsidRPr="00D83D7B" w:rsidRDefault="00E77057" w:rsidP="00F756DE">
                            <w:pPr>
                              <w:jc w:val="center"/>
                              <w:rPr>
                                <w:rFonts w:cs="Times New Roman"/>
                                <w:b/>
                                <w:color w:val="000000" w:themeColor="text1"/>
                                <w:sz w:val="28"/>
                                <w:szCs w:val="28"/>
                              </w:rPr>
                            </w:pPr>
                            <w:r w:rsidRPr="00D83D7B">
                              <w:rPr>
                                <w:rFonts w:cs="Times New Roman"/>
                                <w:b/>
                                <w:color w:val="000000" w:themeColor="text1"/>
                                <w:sz w:val="28"/>
                                <w:szCs w:val="28"/>
                              </w:rPr>
                              <w:t>Droits politiques – art. 29 CDPH</w:t>
                            </w:r>
                          </w:p>
                          <w:p w14:paraId="553E2066" w14:textId="315EB21C" w:rsidR="00E77057" w:rsidRPr="00AD3D7A" w:rsidRDefault="00E77057" w:rsidP="00F756DE">
                            <w:pPr>
                              <w:jc w:val="center"/>
                              <w:rPr>
                                <w:color w:val="000000" w:themeColor="text1"/>
                              </w:rPr>
                            </w:pPr>
                            <w:r w:rsidRPr="00F67E6A">
                              <w:rPr>
                                <w:rFonts w:cs="Times New Roman"/>
                                <w:color w:val="000000" w:themeColor="text1"/>
                              </w:rPr>
                              <w:t xml:space="preserve">Pas de </w:t>
                            </w:r>
                            <w:r w:rsidRPr="00F67E6A">
                              <w:rPr>
                                <w:rFonts w:cs="Times New Roman"/>
                                <w:b/>
                                <w:color w:val="000000" w:themeColor="text1"/>
                              </w:rPr>
                              <w:t>droits politiques pour les personnes ayant des handicaps psychiques ou intellectuels</w:t>
                            </w:r>
                            <w:r w:rsidRPr="00F67E6A">
                              <w:rPr>
                                <w:rFonts w:cs="Times New Roman"/>
                                <w:color w:val="000000" w:themeColor="text1"/>
                              </w:rPr>
                              <w:t xml:space="preserve"> placées sous curatelle de portée générale ou</w:t>
                            </w:r>
                            <w:r>
                              <w:rPr>
                                <w:rFonts w:cs="Times New Roman"/>
                                <w:color w:val="000000" w:themeColor="text1"/>
                              </w:rPr>
                              <w:t xml:space="preserve"> sous curatelle de représentation.</w:t>
                            </w:r>
                            <w:r w:rsidRPr="00F67E6A">
                              <w:rPr>
                                <w:rFonts w:cs="Times New Roman"/>
                                <w:color w:val="000000" w:themeColor="text1"/>
                              </w:rPr>
                              <w:t xml:space="preserve"> </w:t>
                            </w:r>
                            <w:r w:rsidRPr="00CF1480">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_Ref95896175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64</w:t>
                            </w:r>
                            <w:r>
                              <w:rPr>
                                <w:rFonts w:cs="Times New Roman"/>
                                <w:color w:val="000000" w:themeColor="text1"/>
                              </w:rPr>
                              <w:fldChar w:fldCharType="end"/>
                            </w:r>
                            <w:r>
                              <w:rPr>
                                <w:rFonts w:cs="Times New Roman"/>
                                <w:color w:val="000000" w:themeColor="text1"/>
                              </w:rPr>
                              <w:t xml:space="preserve"> ss.</w:t>
                            </w:r>
                            <w:r w:rsidRPr="00CF1480">
                              <w:rPr>
                                <w:rFonts w:cs="Times New Roman"/>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443F6567" id="Abgerundetes Rechteck 12" o:spid="_x0000_s1031" alt="Titel: Boîte avec le sixième des 8 lacunes principales - Beschreibung: Boîte verte avec le contenu suivant :&#10;&#10;Droits politiques – art. 29 CDPH&#10;Pas de droits politiques pour les personnes ayant des handicaps psychiques ou intellectuels placées sous curatelle de portée générale ou sous curatelle de représentation. (p. 67 ss.)" style="position:absolute;left:0;text-align:left;margin-left:-49.95pt;margin-top:450.8pt;width:260.5pt;height:13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" fillcolor="#9fc" strokecolor="#0f9" strokeweight="1pt">
                <v:stroke joinstyle="miter"/>
                <v:textbox>
                  <w:txbxContent>
                    <w:p w14:paraId="053ECCA9" w14:textId="77777777" w:rsidR="00E77057" w:rsidRPr="00D83D7B" w:rsidRDefault="00E77057" w:rsidP="00F756DE">
                      <w:pPr>
                        <w:jc w:val="center"/>
                        <w:rPr>
                          <w:rFonts w:cs="Times New Roman"/>
                          <w:b/>
                          <w:color w:val="000000" w:themeColor="text1"/>
                          <w:sz w:val="28"/>
                          <w:szCs w:val="28"/>
                        </w:rPr>
                      </w:pPr>
                      <w:r w:rsidRPr="00D83D7B">
                        <w:rPr>
                          <w:rFonts w:cs="Times New Roman"/>
                          <w:b/>
                          <w:color w:val="000000" w:themeColor="text1"/>
                          <w:sz w:val="28"/>
                          <w:szCs w:val="28"/>
                        </w:rPr>
                        <w:t>Droits politiques – art. 29 CDPH</w:t>
                      </w:r>
                    </w:p>
                    <w:p w14:paraId="553E2066" w14:textId="315EB21C" w:rsidR="00E77057" w:rsidRPr="00AD3D7A" w:rsidRDefault="00E77057" w:rsidP="00F756DE">
                      <w:pPr>
                        <w:jc w:val="center"/>
                        <w:rPr>
                          <w:color w:val="000000" w:themeColor="text1"/>
                        </w:rPr>
                      </w:pPr>
                      <w:r w:rsidRPr="00F67E6A">
                        <w:rPr>
                          <w:rFonts w:cs="Times New Roman"/>
                          <w:color w:val="000000" w:themeColor="text1"/>
                        </w:rPr>
                        <w:t xml:space="preserve">Pas de </w:t>
                      </w:r>
                      <w:r w:rsidRPr="00F67E6A">
                        <w:rPr>
                          <w:rFonts w:cs="Times New Roman"/>
                          <w:b/>
                          <w:color w:val="000000" w:themeColor="text1"/>
                        </w:rPr>
                        <w:t>droits politiques pour les personnes ayant des handicaps psychiques ou intellectuels</w:t>
                      </w:r>
                      <w:r w:rsidRPr="00F67E6A">
                        <w:rPr>
                          <w:rFonts w:cs="Times New Roman"/>
                          <w:color w:val="000000" w:themeColor="text1"/>
                        </w:rPr>
                        <w:t xml:space="preserve"> placées sous curatelle de portée générale ou</w:t>
                      </w:r>
                      <w:r>
                        <w:rPr>
                          <w:rFonts w:cs="Times New Roman"/>
                          <w:color w:val="000000" w:themeColor="text1"/>
                        </w:rPr>
                        <w:t xml:space="preserve"> sous curatelle de représentation.</w:t>
                      </w:r>
                      <w:r w:rsidRPr="00F67E6A">
                        <w:rPr>
                          <w:rFonts w:cs="Times New Roman"/>
                          <w:color w:val="000000" w:themeColor="text1"/>
                        </w:rPr>
                        <w:t xml:space="preserve"> </w:t>
                      </w:r>
                      <w:r w:rsidRPr="00CF1480">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_Ref95896175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64</w:t>
                      </w:r>
                      <w:r>
                        <w:rPr>
                          <w:rFonts w:cs="Times New Roman"/>
                          <w:color w:val="000000" w:themeColor="text1"/>
                        </w:rPr>
                        <w:fldChar w:fldCharType="end"/>
                      </w:r>
                      <w:r>
                        <w:rPr>
                          <w:rFonts w:cs="Times New Roman"/>
                          <w:color w:val="000000" w:themeColor="text1"/>
                        </w:rPr>
                        <w:t xml:space="preserve"> ss.</w:t>
                      </w:r>
                      <w:r w:rsidRPr="00CF1480">
                        <w:rPr>
                          <w:rFonts w:cs="Times New Roman"/>
                          <w:color w:val="000000" w:themeColor="text1"/>
                        </w:rPr>
                        <w:t>)</w:t>
                      </w:r>
                    </w:p>
                  </w:txbxContent>
                </v:textbox>
                <w10:wrap anchorx="margin"/>
              </v:roundrect>
            </w:pict>
          </mc:Fallback>
        </mc:AlternateContent>
      </w:r>
      <w:r w:rsidRPr="00F756DE">
        <w:rPr>
          <w:noProof/>
          <w:lang w:val="en-GB" w:eastAsia="en-GB"/>
        </w:rPr>
        <mc:AlternateContent>
          <mc:Choice Requires="wps">
            <w:drawing>
              <wp:anchor distT="0" distB="0" distL="114300" distR="114300" simplePos="0" relativeHeight="251668480" behindDoc="0" locked="0" layoutInCell="1" allowOverlap="1" wp14:anchorId="6681BC86" wp14:editId="1A2A574B">
                <wp:simplePos x="0" y="0"/>
                <wp:positionH relativeFrom="page">
                  <wp:posOffset>3833495</wp:posOffset>
                </wp:positionH>
                <wp:positionV relativeFrom="paragraph">
                  <wp:posOffset>5670208</wp:posOffset>
                </wp:positionV>
                <wp:extent cx="3199765" cy="1873250"/>
                <wp:effectExtent l="0" t="0" r="19685" b="12700"/>
                <wp:wrapNone/>
                <wp:docPr id="1" name="Abgerundetes Rechteck 1" descr="Boîte citron avec le contenu suivant :&#10;&#10;Accès à la justice – art. 13 CDPH&#10;Procédure administrative et judiciaire souvent inaccessible; discrimination des personnes «incapables de discernement»; grand risque financier en cas de procès; pas de recours possible devant le Comité (Protocole facultatif). (p. 28 ss.)" title="Boîte avec le septième des 8 lacunes principales"/>
                <wp:cNvGraphicFramePr/>
                <a:graphic xmlns:a="http://schemas.openxmlformats.org/drawingml/2006/main">
                  <a:graphicData uri="http://schemas.microsoft.com/office/word/2010/wordprocessingShape">
                    <wps:wsp>
                      <wps:cNvSpPr/>
                      <wps:spPr>
                        <a:xfrm>
                          <a:off x="0" y="0"/>
                          <a:ext cx="3199765" cy="1873250"/>
                        </a:xfrm>
                        <a:prstGeom prst="roundRect">
                          <a:avLst/>
                        </a:prstGeom>
                        <a:solidFill>
                          <a:srgbClr val="CCFF33">
                            <a:alpha val="69804"/>
                          </a:srgbClr>
                        </a:solidFill>
                        <a:ln>
                          <a:solidFill>
                            <a:srgbClr val="CCFF3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7DAEC" w14:textId="77777777"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Accès à la justice – a</w:t>
                            </w:r>
                            <w:r w:rsidRPr="000A09BA">
                              <w:rPr>
                                <w:rFonts w:cs="Times New Roman"/>
                                <w:b/>
                                <w:color w:val="000000" w:themeColor="text1"/>
                                <w:sz w:val="28"/>
                                <w:szCs w:val="28"/>
                              </w:rPr>
                              <w:t xml:space="preserve">rt. 13 </w:t>
                            </w:r>
                            <w:r>
                              <w:rPr>
                                <w:rFonts w:cs="Times New Roman"/>
                                <w:b/>
                                <w:color w:val="000000" w:themeColor="text1"/>
                                <w:sz w:val="28"/>
                                <w:szCs w:val="28"/>
                              </w:rPr>
                              <w:t>CDPH</w:t>
                            </w:r>
                          </w:p>
                          <w:p w14:paraId="7E46903C" w14:textId="6FE7A3FF" w:rsidR="00E77057" w:rsidRPr="0043061B" w:rsidRDefault="00E77057" w:rsidP="00F756DE">
                            <w:pPr>
                              <w:jc w:val="center"/>
                              <w:rPr>
                                <w:rFonts w:cs="Times New Roman"/>
                                <w:color w:val="000000" w:themeColor="text1"/>
                              </w:rPr>
                            </w:pPr>
                            <w:r w:rsidRPr="00D37D16">
                              <w:rPr>
                                <w:rFonts w:cs="Times New Roman"/>
                                <w:b/>
                                <w:color w:val="000000" w:themeColor="text1"/>
                              </w:rPr>
                              <w:t>Procédure administrative et judiciaire</w:t>
                            </w:r>
                            <w:r w:rsidRPr="00D37D16">
                              <w:rPr>
                                <w:rFonts w:cs="Times New Roman"/>
                                <w:color w:val="000000" w:themeColor="text1"/>
                              </w:rPr>
                              <w:t xml:space="preserve"> souvent inaccessible; </w:t>
                            </w:r>
                            <w:r w:rsidRPr="00D37D16">
                              <w:rPr>
                                <w:rFonts w:cs="Times New Roman"/>
                                <w:b/>
                                <w:color w:val="000000" w:themeColor="text1"/>
                              </w:rPr>
                              <w:t>discrimination</w:t>
                            </w:r>
                            <w:r w:rsidRPr="00D37D16">
                              <w:rPr>
                                <w:rFonts w:cs="Times New Roman"/>
                                <w:color w:val="000000" w:themeColor="text1"/>
                              </w:rPr>
                              <w:t xml:space="preserve"> des personnes «incapables de discerne</w:t>
                            </w:r>
                            <w:r>
                              <w:rPr>
                                <w:rFonts w:cs="Times New Roman"/>
                                <w:color w:val="000000" w:themeColor="text1"/>
                              </w:rPr>
                              <w:t>ment</w:t>
                            </w:r>
                            <w:r w:rsidRPr="00D37D16">
                              <w:rPr>
                                <w:rFonts w:cs="Times New Roman"/>
                                <w:color w:val="000000" w:themeColor="text1"/>
                              </w:rPr>
                              <w:t>»;</w:t>
                            </w:r>
                            <w:r>
                              <w:rPr>
                                <w:rFonts w:cs="Times New Roman"/>
                                <w:color w:val="000000" w:themeColor="text1"/>
                              </w:rPr>
                              <w:t xml:space="preserve"> grand</w:t>
                            </w:r>
                            <w:r w:rsidRPr="00D37D16">
                              <w:rPr>
                                <w:rFonts w:cs="Times New Roman"/>
                                <w:color w:val="000000" w:themeColor="text1"/>
                              </w:rPr>
                              <w:t xml:space="preserve"> </w:t>
                            </w:r>
                            <w:r>
                              <w:rPr>
                                <w:rFonts w:cs="Times New Roman"/>
                                <w:b/>
                                <w:color w:val="000000" w:themeColor="text1"/>
                              </w:rPr>
                              <w:t>risque financier</w:t>
                            </w:r>
                            <w:r>
                              <w:rPr>
                                <w:rFonts w:cs="Times New Roman"/>
                                <w:color w:val="000000" w:themeColor="text1"/>
                              </w:rPr>
                              <w:t xml:space="preserve"> </w:t>
                            </w:r>
                            <w:r w:rsidRPr="008A25B1">
                              <w:rPr>
                                <w:rFonts w:cs="Times New Roman"/>
                                <w:color w:val="000000" w:themeColor="text1"/>
                              </w:rPr>
                              <w:t>en cas de procès</w:t>
                            </w:r>
                            <w:r w:rsidRPr="00D37D16">
                              <w:rPr>
                                <w:rFonts w:cs="Times New Roman"/>
                                <w:color w:val="000000" w:themeColor="text1"/>
                              </w:rPr>
                              <w:t xml:space="preserve">; </w:t>
                            </w:r>
                            <w:r>
                              <w:rPr>
                                <w:rFonts w:cs="Times New Roman"/>
                                <w:color w:val="000000" w:themeColor="text1"/>
                              </w:rPr>
                              <w:t xml:space="preserve">pas de recours possible devant le Comité </w:t>
                            </w:r>
                            <w:r w:rsidRPr="00D37D16">
                              <w:rPr>
                                <w:rFonts w:cs="Times New Roman"/>
                                <w:color w:val="000000" w:themeColor="text1"/>
                              </w:rPr>
                              <w:t>(</w:t>
                            </w:r>
                            <w:r>
                              <w:rPr>
                                <w:rFonts w:cs="Times New Roman"/>
                                <w:color w:val="000000" w:themeColor="text1"/>
                              </w:rPr>
                              <w:t>Protocole facultatif</w:t>
                            </w:r>
                            <w:r w:rsidRPr="00D37D16">
                              <w:rPr>
                                <w:rFonts w:cs="Times New Roman"/>
                                <w:color w:val="000000" w:themeColor="text1"/>
                              </w:rPr>
                              <w:t xml:space="preserve">). </w:t>
                            </w:r>
                            <w:r w:rsidRPr="00881374">
                              <w:rPr>
                                <w:rFonts w:cs="Times New Roman"/>
                                <w:color w:val="000000" w:themeColor="text1"/>
                              </w:rPr>
                              <w:t>(</w:t>
                            </w:r>
                            <w:r w:rsidRPr="0043061B">
                              <w:rPr>
                                <w:rFonts w:cs="Times New Roman"/>
                                <w:color w:val="000000" w:themeColor="text1"/>
                              </w:rPr>
                              <w:t>p</w:t>
                            </w:r>
                            <w:r>
                              <w:rPr>
                                <w:rFonts w:cs="Times New Roman"/>
                                <w:color w:val="000000" w:themeColor="text1"/>
                              </w:rPr>
                              <w:t xml:space="preserve">. </w:t>
                            </w:r>
                            <w:r>
                              <w:rPr>
                                <w:rFonts w:cs="Times New Roman"/>
                                <w:color w:val="000000" w:themeColor="text1"/>
                              </w:rPr>
                              <w:fldChar w:fldCharType="begin"/>
                            </w:r>
                            <w:r>
                              <w:rPr>
                                <w:rFonts w:cs="Times New Roman"/>
                                <w:color w:val="000000" w:themeColor="text1"/>
                              </w:rPr>
                              <w:instrText xml:space="preserve"> PAGEREF _Ref95896310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27</w:t>
                            </w:r>
                            <w:r>
                              <w:rPr>
                                <w:rFonts w:cs="Times New Roman"/>
                                <w:color w:val="000000" w:themeColor="text1"/>
                              </w:rPr>
                              <w:fldChar w:fldCharType="end"/>
                            </w:r>
                            <w:r w:rsidRPr="0043061B">
                              <w:rPr>
                                <w:rFonts w:cs="Times New Roman"/>
                                <w:color w:val="000000" w:themeColor="text1"/>
                              </w:rPr>
                              <w:t xml:space="preserve"> ss.)</w:t>
                            </w:r>
                          </w:p>
                          <w:p w14:paraId="74183B6A" w14:textId="77777777" w:rsidR="00E77057" w:rsidRPr="000C0621" w:rsidRDefault="00E77057" w:rsidP="00AA0F94">
                            <w:pPr>
                              <w:jc w:val="center"/>
                              <w:rPr>
                                <w:rFonts w:cs="Times New Roman"/>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6681BC86" id="Abgerundetes Rechteck 1" o:spid="_x0000_s1032" alt="Titel: Boîte avec le septième des 8 lacunes principales - Beschreibung: Boîte citron avec le contenu suivant :&#10;&#10;Accès à la justice – art. 13 CDPH&#10;Procédure administrative et judiciaire souvent inaccessible; discrimination des personnes «incapables de discernement»; grand risque financier en cas de procès; pas de recours possible devant le Comité (Protocole facultatif). (p. 28 ss.)" style="position:absolute;left:0;text-align:left;margin-left:301.85pt;margin-top:446.45pt;width:251.95pt;height:14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" fillcolor="#cf3" strokecolor="#cf3" strokeweight="1pt">
                <v:fill opacity="45746f"/>
                <v:stroke joinstyle="miter"/>
                <v:textbox>
                  <w:txbxContent>
                    <w:p w14:paraId="6F67DAEC" w14:textId="77777777"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Accès à la justice – a</w:t>
                      </w:r>
                      <w:r w:rsidRPr="000A09BA">
                        <w:rPr>
                          <w:rFonts w:cs="Times New Roman"/>
                          <w:b/>
                          <w:color w:val="000000" w:themeColor="text1"/>
                          <w:sz w:val="28"/>
                          <w:szCs w:val="28"/>
                        </w:rPr>
                        <w:t xml:space="preserve">rt. 13 </w:t>
                      </w:r>
                      <w:r>
                        <w:rPr>
                          <w:rFonts w:cs="Times New Roman"/>
                          <w:b/>
                          <w:color w:val="000000" w:themeColor="text1"/>
                          <w:sz w:val="28"/>
                          <w:szCs w:val="28"/>
                        </w:rPr>
                        <w:t>CDPH</w:t>
                      </w:r>
                    </w:p>
                    <w:p w14:paraId="7E46903C" w14:textId="6FE7A3FF" w:rsidR="00E77057" w:rsidRPr="0043061B" w:rsidRDefault="00E77057" w:rsidP="00F756DE">
                      <w:pPr>
                        <w:jc w:val="center"/>
                        <w:rPr>
                          <w:rFonts w:cs="Times New Roman"/>
                          <w:color w:val="000000" w:themeColor="text1"/>
                        </w:rPr>
                      </w:pPr>
                      <w:r w:rsidRPr="00D37D16">
                        <w:rPr>
                          <w:rFonts w:cs="Times New Roman"/>
                          <w:b/>
                          <w:color w:val="000000" w:themeColor="text1"/>
                        </w:rPr>
                        <w:t>Procédure administrative et judiciaire</w:t>
                      </w:r>
                      <w:r w:rsidRPr="00D37D16">
                        <w:rPr>
                          <w:rFonts w:cs="Times New Roman"/>
                          <w:color w:val="000000" w:themeColor="text1"/>
                        </w:rPr>
                        <w:t xml:space="preserve"> souvent inaccessible; </w:t>
                      </w:r>
                      <w:r w:rsidRPr="00D37D16">
                        <w:rPr>
                          <w:rFonts w:cs="Times New Roman"/>
                          <w:b/>
                          <w:color w:val="000000" w:themeColor="text1"/>
                        </w:rPr>
                        <w:t>discrimination</w:t>
                      </w:r>
                      <w:r w:rsidRPr="00D37D16">
                        <w:rPr>
                          <w:rFonts w:cs="Times New Roman"/>
                          <w:color w:val="000000" w:themeColor="text1"/>
                        </w:rPr>
                        <w:t xml:space="preserve"> des personnes «incapables de discerne</w:t>
                      </w:r>
                      <w:r>
                        <w:rPr>
                          <w:rFonts w:cs="Times New Roman"/>
                          <w:color w:val="000000" w:themeColor="text1"/>
                        </w:rPr>
                        <w:t>ment</w:t>
                      </w:r>
                      <w:r w:rsidRPr="00D37D16">
                        <w:rPr>
                          <w:rFonts w:cs="Times New Roman"/>
                          <w:color w:val="000000" w:themeColor="text1"/>
                        </w:rPr>
                        <w:t>»;</w:t>
                      </w:r>
                      <w:r>
                        <w:rPr>
                          <w:rFonts w:cs="Times New Roman"/>
                          <w:color w:val="000000" w:themeColor="text1"/>
                        </w:rPr>
                        <w:t xml:space="preserve"> grand</w:t>
                      </w:r>
                      <w:r w:rsidRPr="00D37D16">
                        <w:rPr>
                          <w:rFonts w:cs="Times New Roman"/>
                          <w:color w:val="000000" w:themeColor="text1"/>
                        </w:rPr>
                        <w:t xml:space="preserve"> </w:t>
                      </w:r>
                      <w:r>
                        <w:rPr>
                          <w:rFonts w:cs="Times New Roman"/>
                          <w:b/>
                          <w:color w:val="000000" w:themeColor="text1"/>
                        </w:rPr>
                        <w:t>risque financier</w:t>
                      </w:r>
                      <w:r>
                        <w:rPr>
                          <w:rFonts w:cs="Times New Roman"/>
                          <w:color w:val="000000" w:themeColor="text1"/>
                        </w:rPr>
                        <w:t xml:space="preserve"> </w:t>
                      </w:r>
                      <w:r w:rsidRPr="008A25B1">
                        <w:rPr>
                          <w:rFonts w:cs="Times New Roman"/>
                          <w:color w:val="000000" w:themeColor="text1"/>
                        </w:rPr>
                        <w:t>en cas de procès</w:t>
                      </w:r>
                      <w:r w:rsidRPr="00D37D16">
                        <w:rPr>
                          <w:rFonts w:cs="Times New Roman"/>
                          <w:color w:val="000000" w:themeColor="text1"/>
                        </w:rPr>
                        <w:t xml:space="preserve">; </w:t>
                      </w:r>
                      <w:r>
                        <w:rPr>
                          <w:rFonts w:cs="Times New Roman"/>
                          <w:color w:val="000000" w:themeColor="text1"/>
                        </w:rPr>
                        <w:t xml:space="preserve">pas de recours possible devant le Comité </w:t>
                      </w:r>
                      <w:r w:rsidRPr="00D37D16">
                        <w:rPr>
                          <w:rFonts w:cs="Times New Roman"/>
                          <w:color w:val="000000" w:themeColor="text1"/>
                        </w:rPr>
                        <w:t>(</w:t>
                      </w:r>
                      <w:r>
                        <w:rPr>
                          <w:rFonts w:cs="Times New Roman"/>
                          <w:color w:val="000000" w:themeColor="text1"/>
                        </w:rPr>
                        <w:t>Protocole facultatif</w:t>
                      </w:r>
                      <w:r w:rsidRPr="00D37D16">
                        <w:rPr>
                          <w:rFonts w:cs="Times New Roman"/>
                          <w:color w:val="000000" w:themeColor="text1"/>
                        </w:rPr>
                        <w:t xml:space="preserve">). </w:t>
                      </w:r>
                      <w:r w:rsidRPr="00881374">
                        <w:rPr>
                          <w:rFonts w:cs="Times New Roman"/>
                          <w:color w:val="000000" w:themeColor="text1"/>
                        </w:rPr>
                        <w:t>(</w:t>
                      </w:r>
                      <w:r w:rsidRPr="0043061B">
                        <w:rPr>
                          <w:rFonts w:cs="Times New Roman"/>
                          <w:color w:val="000000" w:themeColor="text1"/>
                        </w:rPr>
                        <w:t>p</w:t>
                      </w:r>
                      <w:r>
                        <w:rPr>
                          <w:rFonts w:cs="Times New Roman"/>
                          <w:color w:val="000000" w:themeColor="text1"/>
                        </w:rPr>
                        <w:t xml:space="preserve">. </w:t>
                      </w:r>
                      <w:r>
                        <w:rPr>
                          <w:rFonts w:cs="Times New Roman"/>
                          <w:color w:val="000000" w:themeColor="text1"/>
                        </w:rPr>
                        <w:fldChar w:fldCharType="begin"/>
                      </w:r>
                      <w:r>
                        <w:rPr>
                          <w:rFonts w:cs="Times New Roman"/>
                          <w:color w:val="000000" w:themeColor="text1"/>
                        </w:rPr>
                        <w:instrText xml:space="preserve"> PAGEREF _Ref95896310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27</w:t>
                      </w:r>
                      <w:r>
                        <w:rPr>
                          <w:rFonts w:cs="Times New Roman"/>
                          <w:color w:val="000000" w:themeColor="text1"/>
                        </w:rPr>
                        <w:fldChar w:fldCharType="end"/>
                      </w:r>
                      <w:r w:rsidRPr="0043061B">
                        <w:rPr>
                          <w:rFonts w:cs="Times New Roman"/>
                          <w:color w:val="000000" w:themeColor="text1"/>
                        </w:rPr>
                        <w:t xml:space="preserve"> ss.)</w:t>
                      </w:r>
                    </w:p>
                    <w:p w14:paraId="74183B6A" w14:textId="77777777" w:rsidR="00E77057" w:rsidRPr="000C0621" w:rsidRDefault="00E77057" w:rsidP="00AA0F94">
                      <w:pPr>
                        <w:jc w:val="center"/>
                        <w:rPr>
                          <w:rFonts w:cs="Times New Roman"/>
                          <w:color w:val="000000" w:themeColor="text1"/>
                        </w:rPr>
                      </w:pPr>
                    </w:p>
                  </w:txbxContent>
                </v:textbox>
                <w10:wrap anchorx="page"/>
              </v:roundrect>
            </w:pict>
          </mc:Fallback>
        </mc:AlternateContent>
      </w:r>
      <w:r w:rsidRPr="00F756DE">
        <w:rPr>
          <w:noProof/>
          <w:lang w:val="en-GB" w:eastAsia="en-GB"/>
        </w:rPr>
        <mc:AlternateContent>
          <mc:Choice Requires="wps">
            <w:drawing>
              <wp:anchor distT="0" distB="0" distL="114300" distR="114300" simplePos="0" relativeHeight="251667456" behindDoc="0" locked="0" layoutInCell="1" allowOverlap="1" wp14:anchorId="6563A053" wp14:editId="3A0A8651">
                <wp:simplePos x="0" y="0"/>
                <wp:positionH relativeFrom="margin">
                  <wp:posOffset>1034415</wp:posOffset>
                </wp:positionH>
                <wp:positionV relativeFrom="paragraph">
                  <wp:posOffset>7688287</wp:posOffset>
                </wp:positionV>
                <wp:extent cx="3746500" cy="1295400"/>
                <wp:effectExtent l="0" t="0" r="25400" b="19050"/>
                <wp:wrapNone/>
                <wp:docPr id="10" name="Abgerundetes Rechteck 10" descr="Boîte citron avec le contenu suivant :&#10;&#10;Protection contre la discrimination –art. 5 CDPH&#10;Protection insuffisante des personnes handicapées contre les discriminations par des privés. (p. 11 ss.)&#10;" title="Boîte avec le huitième des 8 lacunes principales"/>
                <wp:cNvGraphicFramePr/>
                <a:graphic xmlns:a="http://schemas.openxmlformats.org/drawingml/2006/main">
                  <a:graphicData uri="http://schemas.microsoft.com/office/word/2010/wordprocessingShape">
                    <wps:wsp>
                      <wps:cNvSpPr/>
                      <wps:spPr>
                        <a:xfrm>
                          <a:off x="0" y="0"/>
                          <a:ext cx="3746500" cy="1295400"/>
                        </a:xfrm>
                        <a:prstGeom prst="roundRect">
                          <a:avLst/>
                        </a:prstGeom>
                        <a:solidFill>
                          <a:srgbClr val="CCECFF"/>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A9EA92" w14:textId="002A0D49"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Protection contre la discrimination – a</w:t>
                            </w:r>
                            <w:r w:rsidRPr="000A09BA">
                              <w:rPr>
                                <w:rFonts w:cs="Times New Roman"/>
                                <w:b/>
                                <w:color w:val="000000" w:themeColor="text1"/>
                                <w:sz w:val="28"/>
                                <w:szCs w:val="28"/>
                              </w:rPr>
                              <w:t xml:space="preserve">rt. 5 </w:t>
                            </w:r>
                            <w:r>
                              <w:rPr>
                                <w:rFonts w:cs="Times New Roman"/>
                                <w:b/>
                                <w:color w:val="000000" w:themeColor="text1"/>
                                <w:sz w:val="28"/>
                                <w:szCs w:val="28"/>
                              </w:rPr>
                              <w:t>CDPH</w:t>
                            </w:r>
                          </w:p>
                          <w:p w14:paraId="5098CB43" w14:textId="2F73F35F" w:rsidR="00E77057" w:rsidRPr="00881374" w:rsidRDefault="00E77057" w:rsidP="00F756DE">
                            <w:pPr>
                              <w:jc w:val="center"/>
                              <w:rPr>
                                <w:color w:val="000000" w:themeColor="text1"/>
                                <w:lang w:val="de-CH"/>
                              </w:rPr>
                            </w:pPr>
                            <w:r w:rsidRPr="00881374">
                              <w:rPr>
                                <w:rFonts w:cs="Times New Roman"/>
                                <w:color w:val="000000" w:themeColor="text1"/>
                              </w:rPr>
                              <w:t xml:space="preserve">Protection insuffisante des personnes handicapées contre les </w:t>
                            </w:r>
                            <w:r w:rsidRPr="00881374">
                              <w:rPr>
                                <w:rFonts w:cs="Times New Roman"/>
                                <w:b/>
                                <w:color w:val="000000" w:themeColor="text1"/>
                              </w:rPr>
                              <w:t>dis</w:t>
                            </w:r>
                            <w:r>
                              <w:rPr>
                                <w:rFonts w:cs="Times New Roman"/>
                                <w:b/>
                                <w:color w:val="000000" w:themeColor="text1"/>
                              </w:rPr>
                              <w:t>c</w:t>
                            </w:r>
                            <w:r w:rsidRPr="00881374">
                              <w:rPr>
                                <w:rFonts w:cs="Times New Roman"/>
                                <w:b/>
                                <w:color w:val="000000" w:themeColor="text1"/>
                              </w:rPr>
                              <w:t>rimin</w:t>
                            </w:r>
                            <w:r>
                              <w:rPr>
                                <w:rFonts w:cs="Times New Roman"/>
                                <w:b/>
                                <w:color w:val="000000" w:themeColor="text1"/>
                              </w:rPr>
                              <w:t>ations</w:t>
                            </w:r>
                            <w:r w:rsidRPr="00881374">
                              <w:rPr>
                                <w:rFonts w:cs="Times New Roman"/>
                                <w:b/>
                                <w:color w:val="000000" w:themeColor="text1"/>
                              </w:rPr>
                              <w:t xml:space="preserve"> </w:t>
                            </w:r>
                            <w:r>
                              <w:rPr>
                                <w:rFonts w:cs="Times New Roman"/>
                                <w:b/>
                                <w:color w:val="000000" w:themeColor="text1"/>
                              </w:rPr>
                              <w:t>par des privés</w:t>
                            </w:r>
                            <w:r w:rsidRPr="00881374">
                              <w:rPr>
                                <w:rFonts w:cs="Times New Roman"/>
                                <w:color w:val="000000" w:themeColor="text1"/>
                              </w:rPr>
                              <w:t xml:space="preserve">. </w:t>
                            </w:r>
                            <w:r w:rsidRPr="00881374">
                              <w:rPr>
                                <w:rFonts w:cs="Times New Roman"/>
                                <w:color w:val="000000" w:themeColor="text1"/>
                                <w:lang w:val="de-CH"/>
                              </w:rPr>
                              <w:t>(</w:t>
                            </w:r>
                            <w:r w:rsidRPr="00CF1480">
                              <w:rPr>
                                <w:rFonts w:cs="Times New Roman"/>
                                <w:color w:val="000000" w:themeColor="text1"/>
                                <w:lang w:val="de-CH"/>
                              </w:rPr>
                              <w:t>p. </w:t>
                            </w:r>
                            <w:r>
                              <w:rPr>
                                <w:rFonts w:cs="Times New Roman"/>
                                <w:color w:val="000000" w:themeColor="text1"/>
                                <w:lang w:val="de-CH"/>
                              </w:rPr>
                              <w:fldChar w:fldCharType="begin"/>
                            </w:r>
                            <w:r>
                              <w:rPr>
                                <w:rFonts w:cs="Times New Roman"/>
                                <w:color w:val="000000" w:themeColor="text1"/>
                                <w:lang w:val="de-CH"/>
                              </w:rPr>
                              <w:instrText xml:space="preserve"> PAGEREF _Ref15829389 \h </w:instrText>
                            </w:r>
                            <w:r>
                              <w:rPr>
                                <w:rFonts w:cs="Times New Roman"/>
                                <w:color w:val="000000" w:themeColor="text1"/>
                                <w:lang w:val="de-CH"/>
                              </w:rPr>
                            </w:r>
                            <w:r>
                              <w:rPr>
                                <w:rFonts w:cs="Times New Roman"/>
                                <w:color w:val="000000" w:themeColor="text1"/>
                                <w:lang w:val="de-CH"/>
                              </w:rPr>
                              <w:fldChar w:fldCharType="separate"/>
                            </w:r>
                            <w:r>
                              <w:rPr>
                                <w:rFonts w:cs="Times New Roman"/>
                                <w:noProof/>
                                <w:color w:val="000000" w:themeColor="text1"/>
                                <w:lang w:val="de-CH"/>
                              </w:rPr>
                              <w:t>10</w:t>
                            </w:r>
                            <w:r>
                              <w:rPr>
                                <w:rFonts w:cs="Times New Roman"/>
                                <w:color w:val="000000" w:themeColor="text1"/>
                                <w:lang w:val="de-CH"/>
                              </w:rPr>
                              <w:fldChar w:fldCharType="end"/>
                            </w:r>
                            <w:r w:rsidRPr="00CF1480">
                              <w:rPr>
                                <w:rFonts w:cs="Times New Roman"/>
                                <w:color w:val="000000" w:themeColor="text1"/>
                              </w:rPr>
                              <w:t xml:space="preserve"> s</w:t>
                            </w:r>
                            <w:r>
                              <w:rPr>
                                <w:rFonts w:cs="Times New Roman"/>
                                <w:color w:val="000000" w:themeColor="text1"/>
                              </w:rPr>
                              <w:t>s</w:t>
                            </w:r>
                            <w:r w:rsidRPr="00CF1480">
                              <w:rPr>
                                <w:rFonts w:cs="Times New Roman"/>
                                <w:color w:val="000000" w:themeColor="text1"/>
                                <w:lang w:val="de-CH"/>
                              </w:rPr>
                              <w:t>.)</w:t>
                            </w:r>
                          </w:p>
                          <w:p w14:paraId="10BABC95" w14:textId="77777777" w:rsidR="00E77057" w:rsidRPr="00FD7D21" w:rsidRDefault="00E77057" w:rsidP="00AA0F9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6563A053" id="Abgerundetes Rechteck 10" o:spid="_x0000_s1033" alt="Titel: Boîte avec le huitième des 8 lacunes principales - Beschreibung: Boîte citron avec le contenu suivant :&#10;&#10;Protection contre la discrimination –art. 5 CDPH&#10;Protection insuffisante des personnes handicapées contre les discriminations par des privés. (p. 11 ss.)&#10;" style="position:absolute;left:0;text-align:left;margin-left:81.45pt;margin-top:605.4pt;width:295pt;height:10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" fillcolor="#ccecff" strokecolor="#bdd6ee [1300]" strokeweight="1pt">
                <v:stroke joinstyle="miter"/>
                <v:textbox>
                  <w:txbxContent>
                    <w:p w14:paraId="4BA9EA92" w14:textId="002A0D49" w:rsidR="00E77057" w:rsidRPr="000A09BA" w:rsidRDefault="00E77057" w:rsidP="00F756DE">
                      <w:pPr>
                        <w:jc w:val="center"/>
                        <w:rPr>
                          <w:rFonts w:cs="Times New Roman"/>
                          <w:b/>
                          <w:color w:val="000000" w:themeColor="text1"/>
                          <w:sz w:val="28"/>
                          <w:szCs w:val="28"/>
                        </w:rPr>
                      </w:pPr>
                      <w:r>
                        <w:rPr>
                          <w:rFonts w:cs="Times New Roman"/>
                          <w:b/>
                          <w:color w:val="000000" w:themeColor="text1"/>
                          <w:sz w:val="28"/>
                          <w:szCs w:val="28"/>
                        </w:rPr>
                        <w:t>Protection contre la discrimination – a</w:t>
                      </w:r>
                      <w:r w:rsidRPr="000A09BA">
                        <w:rPr>
                          <w:rFonts w:cs="Times New Roman"/>
                          <w:b/>
                          <w:color w:val="000000" w:themeColor="text1"/>
                          <w:sz w:val="28"/>
                          <w:szCs w:val="28"/>
                        </w:rPr>
                        <w:t xml:space="preserve">rt. 5 </w:t>
                      </w:r>
                      <w:r>
                        <w:rPr>
                          <w:rFonts w:cs="Times New Roman"/>
                          <w:b/>
                          <w:color w:val="000000" w:themeColor="text1"/>
                          <w:sz w:val="28"/>
                          <w:szCs w:val="28"/>
                        </w:rPr>
                        <w:t>CDPH</w:t>
                      </w:r>
                    </w:p>
                    <w:p w14:paraId="5098CB43" w14:textId="2F73F35F" w:rsidR="00E77057" w:rsidRPr="00881374" w:rsidRDefault="00E77057" w:rsidP="00F756DE">
                      <w:pPr>
                        <w:jc w:val="center"/>
                        <w:rPr>
                          <w:color w:val="000000" w:themeColor="text1"/>
                          <w:lang w:val="de-CH"/>
                        </w:rPr>
                      </w:pPr>
                      <w:r w:rsidRPr="00881374">
                        <w:rPr>
                          <w:rFonts w:cs="Times New Roman"/>
                          <w:color w:val="000000" w:themeColor="text1"/>
                        </w:rPr>
                        <w:t xml:space="preserve">Protection insuffisante des personnes handicapées contre les </w:t>
                      </w:r>
                      <w:r w:rsidRPr="00881374">
                        <w:rPr>
                          <w:rFonts w:cs="Times New Roman"/>
                          <w:b/>
                          <w:color w:val="000000" w:themeColor="text1"/>
                        </w:rPr>
                        <w:t>dis</w:t>
                      </w:r>
                      <w:r>
                        <w:rPr>
                          <w:rFonts w:cs="Times New Roman"/>
                          <w:b/>
                          <w:color w:val="000000" w:themeColor="text1"/>
                        </w:rPr>
                        <w:t>c</w:t>
                      </w:r>
                      <w:r w:rsidRPr="00881374">
                        <w:rPr>
                          <w:rFonts w:cs="Times New Roman"/>
                          <w:b/>
                          <w:color w:val="000000" w:themeColor="text1"/>
                        </w:rPr>
                        <w:t>rimin</w:t>
                      </w:r>
                      <w:r>
                        <w:rPr>
                          <w:rFonts w:cs="Times New Roman"/>
                          <w:b/>
                          <w:color w:val="000000" w:themeColor="text1"/>
                        </w:rPr>
                        <w:t>ations</w:t>
                      </w:r>
                      <w:r w:rsidRPr="00881374">
                        <w:rPr>
                          <w:rFonts w:cs="Times New Roman"/>
                          <w:b/>
                          <w:color w:val="000000" w:themeColor="text1"/>
                        </w:rPr>
                        <w:t xml:space="preserve"> </w:t>
                      </w:r>
                      <w:r>
                        <w:rPr>
                          <w:rFonts w:cs="Times New Roman"/>
                          <w:b/>
                          <w:color w:val="000000" w:themeColor="text1"/>
                        </w:rPr>
                        <w:t>par des privés</w:t>
                      </w:r>
                      <w:r w:rsidRPr="00881374">
                        <w:rPr>
                          <w:rFonts w:cs="Times New Roman"/>
                          <w:color w:val="000000" w:themeColor="text1"/>
                        </w:rPr>
                        <w:t xml:space="preserve">. </w:t>
                      </w:r>
                      <w:r w:rsidRPr="00881374">
                        <w:rPr>
                          <w:rFonts w:cs="Times New Roman"/>
                          <w:color w:val="000000" w:themeColor="text1"/>
                          <w:lang w:val="de-CH"/>
                        </w:rPr>
                        <w:t>(</w:t>
                      </w:r>
                      <w:r w:rsidRPr="00CF1480">
                        <w:rPr>
                          <w:rFonts w:cs="Times New Roman"/>
                          <w:color w:val="000000" w:themeColor="text1"/>
                          <w:lang w:val="de-CH"/>
                        </w:rPr>
                        <w:t>p. </w:t>
                      </w:r>
                      <w:r>
                        <w:rPr>
                          <w:rFonts w:cs="Times New Roman"/>
                          <w:color w:val="000000" w:themeColor="text1"/>
                          <w:lang w:val="de-CH"/>
                        </w:rPr>
                        <w:fldChar w:fldCharType="begin"/>
                      </w:r>
                      <w:r>
                        <w:rPr>
                          <w:rFonts w:cs="Times New Roman"/>
                          <w:color w:val="000000" w:themeColor="text1"/>
                          <w:lang w:val="de-CH"/>
                        </w:rPr>
                        <w:instrText xml:space="preserve"> PAGEREF _Ref15829389 \h </w:instrText>
                      </w:r>
                      <w:r>
                        <w:rPr>
                          <w:rFonts w:cs="Times New Roman"/>
                          <w:color w:val="000000" w:themeColor="text1"/>
                          <w:lang w:val="de-CH"/>
                        </w:rPr>
                      </w:r>
                      <w:r>
                        <w:rPr>
                          <w:rFonts w:cs="Times New Roman"/>
                          <w:color w:val="000000" w:themeColor="text1"/>
                          <w:lang w:val="de-CH"/>
                        </w:rPr>
                        <w:fldChar w:fldCharType="separate"/>
                      </w:r>
                      <w:r>
                        <w:rPr>
                          <w:rFonts w:cs="Times New Roman"/>
                          <w:noProof/>
                          <w:color w:val="000000" w:themeColor="text1"/>
                          <w:lang w:val="de-CH"/>
                        </w:rPr>
                        <w:t>10</w:t>
                      </w:r>
                      <w:r>
                        <w:rPr>
                          <w:rFonts w:cs="Times New Roman"/>
                          <w:color w:val="000000" w:themeColor="text1"/>
                          <w:lang w:val="de-CH"/>
                        </w:rPr>
                        <w:fldChar w:fldCharType="end"/>
                      </w:r>
                      <w:r w:rsidRPr="00CF1480">
                        <w:rPr>
                          <w:rFonts w:cs="Times New Roman"/>
                          <w:color w:val="000000" w:themeColor="text1"/>
                        </w:rPr>
                        <w:t xml:space="preserve"> s</w:t>
                      </w:r>
                      <w:r>
                        <w:rPr>
                          <w:rFonts w:cs="Times New Roman"/>
                          <w:color w:val="000000" w:themeColor="text1"/>
                        </w:rPr>
                        <w:t>s</w:t>
                      </w:r>
                      <w:r w:rsidRPr="00CF1480">
                        <w:rPr>
                          <w:rFonts w:cs="Times New Roman"/>
                          <w:color w:val="000000" w:themeColor="text1"/>
                          <w:lang w:val="de-CH"/>
                        </w:rPr>
                        <w:t>.)</w:t>
                      </w:r>
                    </w:p>
                    <w:p w14:paraId="10BABC95" w14:textId="77777777" w:rsidR="00E77057" w:rsidRPr="00FD7D21" w:rsidRDefault="00E77057" w:rsidP="00AA0F94">
                      <w:pPr>
                        <w:jc w:val="center"/>
                        <w:rPr>
                          <w:color w:val="000000" w:themeColor="text1"/>
                        </w:rPr>
                      </w:pPr>
                    </w:p>
                  </w:txbxContent>
                </v:textbox>
                <w10:wrap anchorx="margin"/>
              </v:roundrect>
            </w:pict>
          </mc:Fallback>
        </mc:AlternateContent>
      </w:r>
      <w:r w:rsidRPr="00BF3CDE">
        <w:rPr>
          <w:rFonts w:eastAsia="Cambria" w:cs="Times New Roman"/>
          <w:b/>
          <w:sz w:val="36"/>
          <w:szCs w:val="36"/>
        </w:rPr>
        <w:t>Aperçu des principales lacune</w:t>
      </w:r>
      <w:r>
        <w:rPr>
          <w:rFonts w:eastAsia="Cambria" w:cs="Times New Roman"/>
          <w:b/>
          <w:sz w:val="36"/>
          <w:szCs w:val="36"/>
        </w:rPr>
        <w:t>s</w:t>
      </w:r>
      <w:r w:rsidR="00AA0F94" w:rsidRPr="00F756DE">
        <w:rPr>
          <w:lang w:eastAsia="de-CH"/>
        </w:rPr>
        <w:br w:type="page"/>
      </w:r>
    </w:p>
    <w:p w14:paraId="684ACB29" w14:textId="77777777" w:rsidR="00A06B92" w:rsidRPr="00BF3CDE" w:rsidRDefault="00A06B92" w:rsidP="00A06B92">
      <w:pPr>
        <w:pStyle w:val="Heading2"/>
        <w:rPr>
          <w:rFonts w:eastAsia="MS Gothic"/>
        </w:rPr>
      </w:pPr>
      <w:bookmarkStart w:id="13" w:name="_Toc89024637"/>
      <w:bookmarkStart w:id="14" w:name="_Ref89611725"/>
      <w:bookmarkStart w:id="15" w:name="_Toc93765635"/>
      <w:bookmarkStart w:id="16" w:name="_Toc95500326"/>
      <w:bookmarkStart w:id="17" w:name="_Ref95756578"/>
      <w:bookmarkStart w:id="18" w:name="_Ref95758161"/>
      <w:bookmarkStart w:id="19" w:name="_Ref95896375"/>
      <w:bookmarkStart w:id="20" w:name="_Ref95899283"/>
      <w:bookmarkStart w:id="21" w:name="_Ref96281166"/>
      <w:bookmarkStart w:id="22" w:name="_Toc96287596"/>
      <w:r w:rsidRPr="00BF3CDE">
        <w:rPr>
          <w:rFonts w:eastAsia="MS Gothic"/>
        </w:rPr>
        <w:lastRenderedPageBreak/>
        <w:t>Dispositions générales de la Convention: art. 1 à 4 CDPH</w:t>
      </w:r>
      <w:bookmarkEnd w:id="13"/>
      <w:bookmarkEnd w:id="14"/>
      <w:bookmarkEnd w:id="15"/>
      <w:bookmarkEnd w:id="16"/>
      <w:bookmarkEnd w:id="17"/>
      <w:bookmarkEnd w:id="18"/>
      <w:bookmarkEnd w:id="19"/>
      <w:bookmarkEnd w:id="20"/>
      <w:bookmarkEnd w:id="21"/>
      <w:bookmarkEnd w:id="22"/>
    </w:p>
    <w:p w14:paraId="1860BF76" w14:textId="1DF9A541" w:rsidR="00A06B92" w:rsidRDefault="00A06B92" w:rsidP="00A06B92">
      <w:pPr>
        <w:pStyle w:val="Subtitle"/>
        <w:rPr>
          <w:rFonts w:eastAsia="Cambria"/>
        </w:rPr>
      </w:pPr>
      <w:r w:rsidRPr="00BF3CDE">
        <w:rPr>
          <w:rFonts w:eastAsia="Cambria"/>
        </w:rPr>
        <w:t>Absence de stratégie</w:t>
      </w:r>
    </w:p>
    <w:p w14:paraId="5BB619BD" w14:textId="187C814A" w:rsidR="00E47AAD" w:rsidRPr="00BF3CDE" w:rsidRDefault="00E47AAD" w:rsidP="00E47AAD">
      <w:pPr>
        <w:pStyle w:val="BodyText"/>
      </w:pPr>
      <w:r w:rsidRPr="00BF3CDE">
        <w:t>Le 9 mai 2018, le CF a adopté un rapport sur la «politique en faveur des personnes handicapées».</w:t>
      </w:r>
      <w:bookmarkStart w:id="23" w:name="_Ref95737744"/>
      <w:r w:rsidR="00A40AF5" w:rsidRPr="00BF3CDE">
        <w:rPr>
          <w:rStyle w:val="FootnoteReference"/>
        </w:rPr>
        <w:footnoteReference w:id="3"/>
      </w:r>
      <w:bookmarkEnd w:id="23"/>
      <w:r w:rsidRPr="00BF3CDE">
        <w:t xml:space="preserve"> Celui-ci se focalis</w:t>
      </w:r>
      <w:r w:rsidR="004C69BA">
        <w:t>e</w:t>
      </w:r>
      <w:r w:rsidRPr="00BF3CDE">
        <w:t xml:space="preserve">, dans le cadre de </w:t>
      </w:r>
      <w:r w:rsidRPr="00BF3CDE">
        <w:rPr>
          <w:b/>
          <w:bCs/>
        </w:rPr>
        <w:t>thèmes prioritaires</w:t>
      </w:r>
      <w:r w:rsidRPr="00BF3CDE">
        <w:rPr>
          <w:b/>
        </w:rPr>
        <w:t xml:space="preserve"> pour la période 2018 – 2021</w:t>
      </w:r>
      <w:r w:rsidRPr="00BF3CDE">
        <w:rPr>
          <w:rStyle w:val="FootnoteReference"/>
        </w:rPr>
        <w:footnoteReference w:id="4"/>
      </w:r>
      <w:r w:rsidRPr="00FE3D39">
        <w:t>,</w:t>
      </w:r>
      <w:r w:rsidRPr="00BF3CDE">
        <w:t xml:space="preserve"> sur:</w:t>
      </w:r>
    </w:p>
    <w:p w14:paraId="7406586D" w14:textId="77777777" w:rsidR="00E47AAD" w:rsidRPr="00BF3CDE" w:rsidRDefault="00E47AAD" w:rsidP="001A3756">
      <w:pPr>
        <w:pStyle w:val="BodyText"/>
        <w:numPr>
          <w:ilvl w:val="0"/>
          <w:numId w:val="11"/>
        </w:numPr>
      </w:pPr>
      <w:r w:rsidRPr="00BF3CDE">
        <w:t>la consolidation de la coordination à l’échelon fédéral et de la collaboration entre Confédération et cantons</w:t>
      </w:r>
    </w:p>
    <w:p w14:paraId="327B3599" w14:textId="77777777" w:rsidR="00E47AAD" w:rsidRPr="00BF3CDE" w:rsidRDefault="00E47AAD" w:rsidP="001A3756">
      <w:pPr>
        <w:pStyle w:val="BodyText"/>
        <w:numPr>
          <w:ilvl w:val="0"/>
          <w:numId w:val="11"/>
        </w:numPr>
      </w:pPr>
      <w:r w:rsidRPr="00BF3CDE">
        <w:t xml:space="preserve">le fait de «donner des impulsions» dans trois champs d’action prioritaires (programme «Égalité et travail»; programme «Autonomie»; «Accessibilité et numérisation») </w:t>
      </w:r>
    </w:p>
    <w:p w14:paraId="6B306125" w14:textId="15AB32D4" w:rsidR="00E47AAD" w:rsidRPr="00E47AAD" w:rsidRDefault="00E47AAD" w:rsidP="001A3756">
      <w:pPr>
        <w:pStyle w:val="BodyText"/>
        <w:numPr>
          <w:ilvl w:val="0"/>
          <w:numId w:val="11"/>
        </w:numPr>
      </w:pPr>
      <w:r w:rsidRPr="00BF3CDE">
        <w:t xml:space="preserve">l’élaboration d’un état des lieux et d’un monitorage. </w:t>
      </w:r>
    </w:p>
    <w:p w14:paraId="3A0BB71C" w14:textId="77777777" w:rsidR="00E47AAD" w:rsidRPr="00BF3CDE" w:rsidRDefault="00E47AAD" w:rsidP="00E47AAD">
      <w:pPr>
        <w:pStyle w:val="BodyText"/>
      </w:pPr>
      <w:r w:rsidRPr="00BF3CDE">
        <w:t xml:space="preserve">Sur le </w:t>
      </w:r>
      <w:r w:rsidRPr="00BF3CDE">
        <w:rPr>
          <w:b/>
        </w:rPr>
        <w:t>plan institutionnel</w:t>
      </w:r>
      <w:r w:rsidRPr="00BF3CDE">
        <w:t xml:space="preserve">, de </w:t>
      </w:r>
      <w:r w:rsidRPr="00BF3CDE">
        <w:rPr>
          <w:b/>
          <w:bCs/>
        </w:rPr>
        <w:t>nouveaux organismes</w:t>
      </w:r>
      <w:r w:rsidRPr="00BF3CDE">
        <w:t xml:space="preserve"> sont créés dans le but d’assurer la coordination à l’échelon fédéral ainsi qu’entre la Confédération et les cantons.</w:t>
      </w:r>
      <w:r w:rsidRPr="00BF3CDE">
        <w:rPr>
          <w:rStyle w:val="FootnoteReference"/>
        </w:rPr>
        <w:footnoteReference w:id="5"/>
      </w:r>
      <w:r w:rsidRPr="00BF3CDE">
        <w:t xml:space="preserve"> </w:t>
      </w:r>
    </w:p>
    <w:p w14:paraId="6E7C91F3" w14:textId="6D93A049" w:rsidR="00E47AAD" w:rsidRPr="00BF3CDE" w:rsidRDefault="00E47AAD" w:rsidP="00E47AAD">
      <w:pPr>
        <w:pStyle w:val="BodyText"/>
        <w:rPr>
          <w:rFonts w:eastAsia="Cambria"/>
        </w:rPr>
      </w:pPr>
      <w:r w:rsidRPr="00BF3CDE">
        <w:t xml:space="preserve">Au niveau cantonal, plusieurs cantons se sont attelés à la mise en œuvre de la CDPH par le biais de la procédure législative. Le 1.1.2021, le </w:t>
      </w:r>
      <w:r w:rsidRPr="00BF3CDE">
        <w:rPr>
          <w:b/>
        </w:rPr>
        <w:t>canton de Bâle-Ville</w:t>
      </w:r>
      <w:r w:rsidRPr="00BF3CDE">
        <w:t xml:space="preserve"> a mis en vigueur une loi sur les droits des </w:t>
      </w:r>
      <w:r>
        <w:t>PH</w:t>
      </w:r>
      <w:r w:rsidRPr="00BF3CDE">
        <w:t xml:space="preserve"> qui avait été unanimement adoptée par le Parlement en 2019.</w:t>
      </w:r>
      <w:bookmarkStart w:id="24" w:name="_Ref96099141"/>
      <w:r w:rsidR="00A40AF5" w:rsidRPr="00BF3CDE">
        <w:rPr>
          <w:rStyle w:val="FootnoteReference"/>
        </w:rPr>
        <w:footnoteReference w:id="6"/>
      </w:r>
      <w:bookmarkEnd w:id="24"/>
      <w:r w:rsidRPr="00BF3CDE">
        <w:t xml:space="preserve"> Au printemps 2021, le Parlement du </w:t>
      </w:r>
      <w:r w:rsidRPr="00BF3CDE">
        <w:rPr>
          <w:b/>
        </w:rPr>
        <w:t>canton du Valais</w:t>
      </w:r>
      <w:r w:rsidRPr="00BF3CDE">
        <w:t xml:space="preserve"> </w:t>
      </w:r>
      <w:r w:rsidRPr="00BF3CDE">
        <w:lastRenderedPageBreak/>
        <w:t>a lui aussi adopté à l’unanimité une telle loi, entrée en vigueur le 1.1.2022.</w:t>
      </w:r>
      <w:bookmarkStart w:id="25" w:name="_Ref95758381"/>
      <w:r w:rsidRPr="00BF3CDE">
        <w:rPr>
          <w:rStyle w:val="FootnoteReference"/>
        </w:rPr>
        <w:footnoteReference w:id="7"/>
      </w:r>
      <w:bookmarkEnd w:id="25"/>
      <w:r w:rsidRPr="00BF3CDE">
        <w:t xml:space="preserve"> Ces deux lois sont les premières à accorder, au niveau cantonal, des droits subjectifs aux PH et à leurs organisations.</w:t>
      </w:r>
      <w:r w:rsidRPr="00BF3CDE">
        <w:rPr>
          <w:rStyle w:val="FootnoteReference"/>
        </w:rPr>
        <w:footnoteReference w:id="8"/>
      </w:r>
      <w:r w:rsidRPr="00BF3CDE">
        <w:t xml:space="preserve"> </w:t>
      </w:r>
      <w:r w:rsidR="0022738C" w:rsidRPr="0022738C">
        <w:t xml:space="preserve">Le Grand Conseil du </w:t>
      </w:r>
      <w:r w:rsidR="0022738C" w:rsidRPr="0022738C">
        <w:rPr>
          <w:b/>
        </w:rPr>
        <w:t>canton de Neuchâtel</w:t>
      </w:r>
      <w:r w:rsidR="0022738C" w:rsidRPr="0022738C">
        <w:t xml:space="preserve"> a adopté une loi sur l</w:t>
      </w:r>
      <w:r w:rsidR="0022738C">
        <w:t>’</w:t>
      </w:r>
      <w:r w:rsidR="0022738C" w:rsidRPr="0022738C">
        <w:t>inclusion en novembre 2021</w:t>
      </w:r>
      <w:r w:rsidR="0022738C" w:rsidRPr="00BF3CDE">
        <w:t>.</w:t>
      </w:r>
      <w:r w:rsidR="0022738C" w:rsidRPr="00BF3CDE">
        <w:rPr>
          <w:rStyle w:val="FootnoteReference"/>
        </w:rPr>
        <w:footnoteReference w:id="9"/>
      </w:r>
      <w:r w:rsidR="0022738C" w:rsidRPr="00BF3CDE">
        <w:t xml:space="preserve"> </w:t>
      </w:r>
      <w:r w:rsidRPr="00BF3CDE">
        <w:t xml:space="preserve">Dans le </w:t>
      </w:r>
      <w:r w:rsidRPr="00BF3CDE">
        <w:rPr>
          <w:b/>
        </w:rPr>
        <w:t>canton de Bâle-Campagne</w:t>
      </w:r>
      <w:r w:rsidRPr="00BF3CDE">
        <w:t xml:space="preserve">, un projet de loi sur les droits des </w:t>
      </w:r>
      <w:r>
        <w:t>PH</w:t>
      </w:r>
      <w:r w:rsidRPr="00BF3CDE">
        <w:t xml:space="preserve"> est en préparation à l’intention du Parlement.</w:t>
      </w:r>
      <w:bookmarkStart w:id="26" w:name="_Ref95758411"/>
      <w:r w:rsidRPr="00BF3CDE">
        <w:rPr>
          <w:rStyle w:val="FootnoteReference"/>
        </w:rPr>
        <w:footnoteReference w:id="10"/>
      </w:r>
      <w:bookmarkEnd w:id="26"/>
      <w:r w:rsidRPr="00BF3CDE">
        <w:t xml:space="preserve"> Dans le </w:t>
      </w:r>
      <w:r w:rsidRPr="00BF3CDE">
        <w:rPr>
          <w:b/>
        </w:rPr>
        <w:t>canton de Genève</w:t>
      </w:r>
      <w:r w:rsidRPr="00BF3CDE">
        <w:t xml:space="preserve">, les bases en vue de la mise en place d’une politique du handicap globale et inclusive sont actuellement élaborées, entre autres une loi sur les droits des PH. Dans les </w:t>
      </w:r>
      <w:r w:rsidRPr="00BF3CDE">
        <w:rPr>
          <w:b/>
        </w:rPr>
        <w:t>cantons de Vaud</w:t>
      </w:r>
      <w:r w:rsidRPr="00BF3CDE">
        <w:rPr>
          <w:rStyle w:val="FootnoteReference"/>
        </w:rPr>
        <w:footnoteReference w:id="11"/>
      </w:r>
      <w:r w:rsidRPr="00BF3CDE">
        <w:t xml:space="preserve"> et du </w:t>
      </w:r>
      <w:r w:rsidRPr="00BF3CDE">
        <w:rPr>
          <w:b/>
        </w:rPr>
        <w:t>Jura</w:t>
      </w:r>
      <w:r w:rsidRPr="00BF3CDE">
        <w:rPr>
          <w:rStyle w:val="FootnoteReference"/>
        </w:rPr>
        <w:footnoteReference w:id="12"/>
      </w:r>
      <w:r w:rsidRPr="00BF3CDE">
        <w:t xml:space="preserve">, des interventions parlementaires ont été adoptées demandant la création d’une loi cantonale relative aux droits des PH. </w:t>
      </w:r>
      <w:r w:rsidRPr="00BF3CDE">
        <w:rPr>
          <w:rFonts w:eastAsia="Cambria"/>
        </w:rPr>
        <w:t xml:space="preserve">Le </w:t>
      </w:r>
      <w:r w:rsidRPr="00BF3CDE">
        <w:rPr>
          <w:rFonts w:eastAsia="Cambria"/>
          <w:b/>
        </w:rPr>
        <w:t>canton de Zurich</w:t>
      </w:r>
      <w:r w:rsidRPr="00BF3CDE">
        <w:rPr>
          <w:rFonts w:eastAsia="Cambria"/>
        </w:rPr>
        <w:t xml:space="preserve"> a analysé sa législation à la lumière de la CDPH</w:t>
      </w:r>
      <w:r w:rsidRPr="00BF3CDE">
        <w:rPr>
          <w:rStyle w:val="FootnoteReference"/>
        </w:rPr>
        <w:footnoteReference w:id="13"/>
      </w:r>
      <w:r w:rsidRPr="00BF3CDE">
        <w:rPr>
          <w:rFonts w:eastAsia="Cambria"/>
        </w:rPr>
        <w:t xml:space="preserve"> et institué un nouvel organe de coordination; il prévoit d’établir un plan d’action relatif à </w:t>
      </w:r>
      <w:r w:rsidRPr="00BF3CDE">
        <w:rPr>
          <w:rFonts w:eastAsia="Cambria"/>
        </w:rPr>
        <w:lastRenderedPageBreak/>
        <w:t>la mise en œuvre de la Convention.</w:t>
      </w:r>
      <w:r w:rsidRPr="00BF3CDE">
        <w:rPr>
          <w:rStyle w:val="FootnoteReference"/>
        </w:rPr>
        <w:footnoteReference w:id="14"/>
      </w:r>
      <w:r w:rsidRPr="00BF3CDE">
        <w:t xml:space="preserve"> Le Parlement cantonal zurichois traite actuellement d’une «loi sur l’autodétermination», laquelle accordera pour la première fois aux PH concernées ayant besoin d’assistance, la possibilité, dès 2024, de décider elles-mêmes de leur lieu de vie</w:t>
      </w:r>
      <w:r w:rsidRPr="00BF3CDE">
        <w:rPr>
          <w:rStyle w:val="FootnoteReference"/>
        </w:rPr>
        <w:footnoteReference w:id="15"/>
      </w:r>
      <w:r w:rsidRPr="00BF3CDE">
        <w:t>. Le</w:t>
      </w:r>
      <w:r w:rsidR="0022738C">
        <w:t xml:space="preserve"> </w:t>
      </w:r>
      <w:r w:rsidRPr="00BF3CDE">
        <w:t xml:space="preserve">1.10.2021, le </w:t>
      </w:r>
      <w:r w:rsidRPr="00BF3CDE">
        <w:rPr>
          <w:b/>
        </w:rPr>
        <w:t>canton de Glaris</w:t>
      </w:r>
      <w:r w:rsidRPr="00BF3CDE">
        <w:t xml:space="preserve"> a annoncé vouloir édicter une loi sur l’intégration des PH afin d’aligner sa politique sur la CDPH</w:t>
      </w:r>
      <w:r w:rsidRPr="00BF3CDE">
        <w:rPr>
          <w:rStyle w:val="FootnoteReference"/>
        </w:rPr>
        <w:footnoteReference w:id="16"/>
      </w:r>
      <w:r w:rsidRPr="00BF3CDE">
        <w:t xml:space="preserve">. </w:t>
      </w:r>
      <w:r w:rsidR="00E6793C" w:rsidRPr="00E6793C">
        <w:t xml:space="preserve">En janvier 2022, le </w:t>
      </w:r>
      <w:r w:rsidR="00E6793C" w:rsidRPr="0022738C">
        <w:rPr>
          <w:b/>
        </w:rPr>
        <w:t>canton de Saint-Gall</w:t>
      </w:r>
      <w:r w:rsidR="00E6793C" w:rsidRPr="00E6793C">
        <w:t xml:space="preserve"> a </w:t>
      </w:r>
      <w:r w:rsidR="0031184F">
        <w:t>communiqué</w:t>
      </w:r>
      <w:r w:rsidR="00E6793C" w:rsidRPr="00E6793C">
        <w:t xml:space="preserve"> son intention de réviser sa législation concernant les </w:t>
      </w:r>
      <w:r w:rsidR="0031184F">
        <w:t>PH</w:t>
      </w:r>
      <w:r w:rsidR="00E6793C" w:rsidRPr="00E6793C">
        <w:t xml:space="preserve"> dans le but de renforcer leur autodétermination.</w:t>
      </w:r>
      <w:r w:rsidR="0010056D">
        <w:rPr>
          <w:rStyle w:val="FootnoteReference"/>
        </w:rPr>
        <w:footnoteReference w:id="17"/>
      </w:r>
      <w:r w:rsidR="00E6793C" w:rsidRPr="00E6793C">
        <w:t xml:space="preserve"> </w:t>
      </w:r>
      <w:r w:rsidRPr="00BF3CDE">
        <w:t>S’ajoutent à cela les efforts menés par plusieurs cantons afin d’adapter leurs législations spéciales.</w:t>
      </w:r>
      <w:r w:rsidRPr="00BF3CDE">
        <w:rPr>
          <w:rStyle w:val="FootnoteReference"/>
        </w:rPr>
        <w:footnoteReference w:id="18"/>
      </w:r>
    </w:p>
    <w:p w14:paraId="3BF7FCE1" w14:textId="77777777" w:rsidR="00E47AAD" w:rsidRPr="00BF3CDE" w:rsidRDefault="00E47AAD" w:rsidP="00E47AAD">
      <w:pPr>
        <w:pStyle w:val="BodyText"/>
        <w:rPr>
          <w:rFonts w:cs="Times New Roman"/>
        </w:rPr>
      </w:pPr>
      <w:r w:rsidRPr="00BF3CDE">
        <w:t>Malgré ces récents développements positifs au niveau fédéral et, quoique de manière encore très isolée, sur le plan cantonal, la Suisse ne dispose toujours pas d’une quelconque politique globale en faveur des PH</w:t>
      </w:r>
      <w:r w:rsidRPr="00BF3CDE">
        <w:rPr>
          <w:rStyle w:val="FootnoteReference"/>
        </w:rPr>
        <w:footnoteReference w:id="19"/>
      </w:r>
      <w:r w:rsidRPr="00BF3CDE">
        <w:rPr>
          <w:rFonts w:cs="Times New Roman"/>
        </w:rPr>
        <w:t xml:space="preserve"> ni d’une</w:t>
      </w:r>
      <w:r w:rsidRPr="00BF3CDE">
        <w:rPr>
          <w:rFonts w:cs="Times New Roman"/>
          <w:b/>
        </w:rPr>
        <w:t xml:space="preserve"> stratégie globale et cohérente en matière de mise en œuvre de la CDPH</w:t>
      </w:r>
      <w:r w:rsidRPr="00BF3CDE">
        <w:rPr>
          <w:rFonts w:cs="Times New Roman"/>
        </w:rPr>
        <w:t xml:space="preserve"> qui: </w:t>
      </w:r>
    </w:p>
    <w:p w14:paraId="33AD2944" w14:textId="77777777" w:rsidR="00E47AAD" w:rsidRPr="00BF3CDE" w:rsidRDefault="00E47AAD" w:rsidP="001A3756">
      <w:pPr>
        <w:pStyle w:val="BodyText"/>
        <w:numPr>
          <w:ilvl w:val="0"/>
          <w:numId w:val="12"/>
        </w:numPr>
      </w:pPr>
      <w:r w:rsidRPr="00BF3CDE">
        <w:t xml:space="preserve">reprenne les obligations découlant de la CDPH dans l’ensemble du système fédéraliste et les applique sous la forme </w:t>
      </w:r>
      <w:r w:rsidRPr="00BF3CDE">
        <w:lastRenderedPageBreak/>
        <w:t xml:space="preserve">d’un </w:t>
      </w:r>
      <w:r w:rsidRPr="00BF3CDE">
        <w:rPr>
          <w:b/>
        </w:rPr>
        <w:t>plan d’action concret</w:t>
      </w:r>
      <w:r w:rsidRPr="00BF3CDE">
        <w:t xml:space="preserve"> fixant des objectifs clairs et </w:t>
      </w:r>
      <w:r w:rsidRPr="009E5F84">
        <w:t>vérifiables</w:t>
      </w:r>
      <w:r w:rsidRPr="00BF3CDE">
        <w:t xml:space="preserve"> pour tous les échelons de la collectivité; </w:t>
      </w:r>
    </w:p>
    <w:p w14:paraId="1514F444" w14:textId="77777777" w:rsidR="00E47AAD" w:rsidRPr="00BF3CDE" w:rsidRDefault="00E47AAD" w:rsidP="001A3756">
      <w:pPr>
        <w:pStyle w:val="BodyText"/>
        <w:numPr>
          <w:ilvl w:val="0"/>
          <w:numId w:val="12"/>
        </w:numPr>
        <w:rPr>
          <w:rFonts w:ascii="Calibri" w:hAnsi="Calibri"/>
        </w:rPr>
      </w:pPr>
      <w:r w:rsidRPr="00BF3CDE">
        <w:t xml:space="preserve">réexamine et, au besoin, rectifie, complète et coordonne mieux les </w:t>
      </w:r>
      <w:r w:rsidRPr="00BF3CDE">
        <w:rPr>
          <w:b/>
        </w:rPr>
        <w:t>lois et mesures existantes</w:t>
      </w:r>
      <w:r w:rsidRPr="00BF3CDE">
        <w:t xml:space="preserve"> qui influent sur les conditions de vie des PH, et cela dans tous les domaines; </w:t>
      </w:r>
    </w:p>
    <w:p w14:paraId="5FEB9105" w14:textId="77777777" w:rsidR="00E47AAD" w:rsidRPr="00BF3CDE" w:rsidRDefault="00E47AAD" w:rsidP="001A3756">
      <w:pPr>
        <w:pStyle w:val="BodyText"/>
        <w:numPr>
          <w:ilvl w:val="0"/>
          <w:numId w:val="12"/>
        </w:numPr>
        <w:rPr>
          <w:rFonts w:ascii="Calibri" w:hAnsi="Calibri"/>
        </w:rPr>
      </w:pPr>
      <w:r w:rsidRPr="00BF3CDE">
        <w:t xml:space="preserve">mette en place les </w:t>
      </w:r>
      <w:r w:rsidRPr="00BF3CDE">
        <w:rPr>
          <w:b/>
        </w:rPr>
        <w:t>structures propres à garantir une application rigoureuse</w:t>
      </w:r>
      <w:r w:rsidRPr="00BF3CDE">
        <w:t xml:space="preserve"> à tous les échelons de la collectivité, ainsi que son réexamen à intervalles réguliers et en toute indépendance (cf. à ce propos l’art. 33). </w:t>
      </w:r>
    </w:p>
    <w:p w14:paraId="6B274F1F" w14:textId="77777777" w:rsidR="00E47AAD" w:rsidRPr="00BF3CDE" w:rsidRDefault="00E47AAD" w:rsidP="009E5F84">
      <w:pPr>
        <w:pStyle w:val="BodyText"/>
      </w:pPr>
      <w:r w:rsidRPr="00BF3CDE">
        <w:t>Depuis plus d’un demi-siècle, la «politique du handicap» de la Suisse est fortement marquée de l’empreinte des assurances sociales de la Confédération, en particulier de «l’assurance-invalidité»</w:t>
      </w:r>
      <w:r w:rsidRPr="00BF3CDE">
        <w:rPr>
          <w:rStyle w:val="FootnoteReference"/>
        </w:rPr>
        <w:footnoteReference w:id="20"/>
      </w:r>
      <w:r w:rsidRPr="00BF3CDE">
        <w:t xml:space="preserve">, fondée sur une </w:t>
      </w:r>
      <w:r w:rsidRPr="00BF3CDE">
        <w:rPr>
          <w:b/>
        </w:rPr>
        <w:t>conception médicale du handicap qui met l’accent sur la déficience</w:t>
      </w:r>
      <w:r w:rsidRPr="00BF3CDE">
        <w:t xml:space="preserve">. Aussi, sur le fond et du point de vue institutionnel, le thème du handicap est-il principalement traité sous les angles de la politique sociale et de l’assistance. Quant au concept de </w:t>
      </w:r>
      <w:r w:rsidRPr="00BF3CDE">
        <w:rPr>
          <w:b/>
        </w:rPr>
        <w:t>l’inclusion, il n’est ni repris systématiquement ni concrétisé, pas plus à l’échelon de la Confédération qu’à celui des cantons et des communes, ni même au niveau des organisations ou des institutions pour PH</w:t>
      </w:r>
      <w:r w:rsidRPr="00BF3CDE">
        <w:t>.</w:t>
      </w:r>
    </w:p>
    <w:p w14:paraId="5E133E16" w14:textId="70011D48" w:rsidR="00E47AAD" w:rsidRPr="00BF3CDE" w:rsidRDefault="00E47AAD" w:rsidP="009E5F84">
      <w:pPr>
        <w:pStyle w:val="BodyText"/>
        <w:rPr>
          <w:rFonts w:eastAsia="Cambria"/>
        </w:rPr>
      </w:pPr>
      <w:r w:rsidRPr="00BF3CDE">
        <w:t xml:space="preserve">Il en résulte par exemple la conséquence que la Suisse ne remplit pas pleinement les obligations que lui impose </w:t>
      </w:r>
      <w:r w:rsidRPr="00BF3CDE">
        <w:rPr>
          <w:b/>
          <w:bCs/>
        </w:rPr>
        <w:t>l’art. 4 al. 1 let. a-c CDPH</w:t>
      </w:r>
      <w:r w:rsidRPr="00BF3CDE">
        <w:rPr>
          <w:rFonts w:eastAsia="Cambria"/>
        </w:rPr>
        <w:t>. L’énoncé du mandat constitutionnel selon l’art. 8 al. 4 Cst. qui, depuis l’année 2000 déjà, exige de la Confédération, des can</w:t>
      </w:r>
      <w:r w:rsidRPr="00BF3CDE">
        <w:rPr>
          <w:rFonts w:eastAsia="Cambria"/>
        </w:rPr>
        <w:lastRenderedPageBreak/>
        <w:t>tons et communes d’édicter les bases légales nécessaires, est formulé de manière trop étroite («éliminer les inégalités qui frappent les personnes handicapées», et non «égalité des personnes handicapées»</w:t>
      </w:r>
      <w:r w:rsidRPr="00BF3CDE">
        <w:rPr>
          <w:rStyle w:val="FootnoteReference"/>
        </w:rPr>
        <w:footnoteReference w:id="21"/>
      </w:r>
      <w:r w:rsidRPr="00BF3CDE">
        <w:rPr>
          <w:rFonts w:eastAsia="Cambria"/>
        </w:rPr>
        <w:t xml:space="preserve">) et n’a été en aucune manière pleinement appliqué. S’ajoute à cela que la plupart des lois et des stratégies politiques à tous les échelons de la collectivité sont édictées et révisées </w:t>
      </w:r>
      <w:r w:rsidRPr="00BF3CDE">
        <w:rPr>
          <w:rFonts w:eastAsia="Cambria"/>
          <w:b/>
        </w:rPr>
        <w:t>sans la participation des PH et sans prise en compte de leurs revendications ni de leurs besoins</w:t>
      </w:r>
      <w:r w:rsidRPr="00BF3CDE">
        <w:rPr>
          <w:rFonts w:eastAsia="Cambria"/>
        </w:rPr>
        <w:t>.</w:t>
      </w:r>
      <w:r w:rsidRPr="00BF3CDE">
        <w:rPr>
          <w:rFonts w:eastAsia="Cambria"/>
          <w:vertAlign w:val="superscript"/>
        </w:rPr>
        <w:footnoteReference w:id="22"/>
      </w:r>
      <w:r w:rsidRPr="00BF3CDE">
        <w:rPr>
          <w:rFonts w:eastAsia="Cambria"/>
        </w:rPr>
        <w:t xml:space="preserve"> Même lorsqu’il s’est agi de déterminer la suite de la planification du thème prioritaire «Autonomie» dans le cadre de la politique du handicap pour les années 2022-2026, la faîtière Inclusion Handicap n’y a été associée dans un premier temps qu’à court terme, sans permettre </w:t>
      </w:r>
      <w:r>
        <w:rPr>
          <w:rFonts w:eastAsia="Cambria"/>
        </w:rPr>
        <w:t xml:space="preserve">de </w:t>
      </w:r>
      <w:r w:rsidRPr="00BF3CDE">
        <w:rPr>
          <w:rFonts w:eastAsia="Cambria"/>
        </w:rPr>
        <w:t>consult</w:t>
      </w:r>
      <w:r>
        <w:rPr>
          <w:rFonts w:eastAsia="Cambria"/>
        </w:rPr>
        <w:t>er l</w:t>
      </w:r>
      <w:r w:rsidRPr="00BF3CDE">
        <w:rPr>
          <w:rFonts w:eastAsia="Cambria"/>
        </w:rPr>
        <w:t xml:space="preserve">es personnes concernées </w:t>
      </w:r>
      <w:r>
        <w:rPr>
          <w:rFonts w:eastAsia="Cambria"/>
        </w:rPr>
        <w:t xml:space="preserve">ou de  recenser </w:t>
      </w:r>
      <w:r w:rsidRPr="00BF3CDE">
        <w:rPr>
          <w:rFonts w:eastAsia="Cambria"/>
        </w:rPr>
        <w:t>leurs besoins. Entretemps, le BFEH y fait participer les organisations de PH plus étroitement.</w:t>
      </w:r>
    </w:p>
    <w:p w14:paraId="0D455E46" w14:textId="2341CC81" w:rsidR="00E47AAD" w:rsidRPr="00E47AAD" w:rsidRDefault="00E47AAD" w:rsidP="009E5F84">
      <w:pPr>
        <w:pStyle w:val="BodyText"/>
      </w:pPr>
      <w:r w:rsidRPr="00BF3CDE">
        <w:t xml:space="preserve">La </w:t>
      </w:r>
      <w:r w:rsidRPr="00BF3CDE">
        <w:rPr>
          <w:b/>
          <w:bCs/>
        </w:rPr>
        <w:t>procédure de consultation</w:t>
      </w:r>
      <w:r w:rsidRPr="00BF3CDE">
        <w:t xml:space="preserve"> mentionnée par la Suisse dans sa réponse à la LoI (para. 2) constitue certes un instrument éprouvé visant à associer la société civile en Suisse. Or, elle intervient à un moment où le projet législatif est d’ores et déjà trop avancé sur le plan conceptuel (</w:t>
      </w:r>
      <w:r w:rsidRPr="009E5F84">
        <w:t>le</w:t>
      </w:r>
      <w:r w:rsidRPr="00BF3CDE">
        <w:t xml:space="preserve"> plus souvent sans prise en compte des revendications des PH) pour permettre de procéder aux adaptations es</w:t>
      </w:r>
      <w:r w:rsidRPr="00BF3CDE">
        <w:lastRenderedPageBreak/>
        <w:t>sentielles sans qu’il n’en résulte de retards notables. C’est pourquoi la procédure de consultation n’est pas un instrument approprié à la prise en compte véritable des besoins des PH au sens de l’art. 4 al. 3 CDPH.</w:t>
      </w:r>
    </w:p>
    <w:p w14:paraId="529DC3FE" w14:textId="03152DAD" w:rsidR="00A06B92" w:rsidRDefault="00A06B92" w:rsidP="00A06B92">
      <w:pPr>
        <w:pStyle w:val="Subtitle"/>
        <w:rPr>
          <w:rFonts w:eastAsia="Cambria"/>
        </w:rPr>
      </w:pPr>
      <w:r w:rsidRPr="00BF3CDE">
        <w:rPr>
          <w:rFonts w:eastAsia="Cambria"/>
        </w:rPr>
        <w:t>Protocole facultatif à la CDPH (PF-CDPH) non ratifié</w:t>
      </w:r>
      <w:r w:rsidR="009E5F84">
        <w:rPr>
          <w:rFonts w:eastAsia="Cambria"/>
        </w:rPr>
        <w:t xml:space="preserve"> </w:t>
      </w:r>
      <w:r w:rsidR="009E5F84" w:rsidRPr="006D1641">
        <w:rPr>
          <w:lang w:val="fr-FR"/>
        </w:rPr>
        <w:t>(LoI, 1d)</w:t>
      </w:r>
    </w:p>
    <w:p w14:paraId="077EE9D9" w14:textId="77777777" w:rsidR="009E5F84" w:rsidRPr="00BF3CDE" w:rsidRDefault="009E5F84" w:rsidP="009E5F84">
      <w:pPr>
        <w:pStyle w:val="BodyText"/>
      </w:pPr>
      <w:r w:rsidRPr="00BF3CDE">
        <w:t xml:space="preserve">Cela fait longtemps que la Suisse </w:t>
      </w:r>
      <w:r>
        <w:t>a</w:t>
      </w:r>
      <w:r w:rsidRPr="00BF3CDE">
        <w:t xml:space="preserve"> conscien</w:t>
      </w:r>
      <w:r>
        <w:t>c</w:t>
      </w:r>
      <w:r w:rsidRPr="00BF3CDE">
        <w:t>e de l’importance que revêtent</w:t>
      </w:r>
      <w:r>
        <w:t>,</w:t>
      </w:r>
      <w:r w:rsidRPr="00DC5951">
        <w:t xml:space="preserve"> </w:t>
      </w:r>
      <w:r w:rsidRPr="00BF3CDE">
        <w:t>en termes d’application effective des droits humains</w:t>
      </w:r>
      <w:r>
        <w:t>,</w:t>
      </w:r>
      <w:r w:rsidRPr="00BF3CDE">
        <w:t xml:space="preserve"> les procédures de recours devant les organes de l’ONU chargés des droits de l’homme. Elle reconnaît la compétence en matière d’examen des recours individuels qui revient aux </w:t>
      </w:r>
      <w:r>
        <w:t>C</w:t>
      </w:r>
      <w:r w:rsidRPr="00BF3CDE">
        <w:t>omités contre la torture, contre la discrimination raciale, pour les droits de la femme ainsi que des droits de l’enfant.</w:t>
      </w:r>
      <w:r w:rsidRPr="00BF3CDE">
        <w:rPr>
          <w:rStyle w:val="FootnoteReference"/>
        </w:rPr>
        <w:footnoteReference w:id="23"/>
      </w:r>
      <w:r w:rsidRPr="00BF3CDE">
        <w:t xml:space="preserve"> Malgré cela, elle a </w:t>
      </w:r>
      <w:r w:rsidRPr="00BF3CDE">
        <w:rPr>
          <w:b/>
          <w:bCs/>
        </w:rPr>
        <w:t>une nouvelle fois rejeté, début 2</w:t>
      </w:r>
      <w:r w:rsidRPr="00BF3CDE">
        <w:rPr>
          <w:b/>
        </w:rPr>
        <w:t xml:space="preserve">018, </w:t>
      </w:r>
      <w:r w:rsidRPr="00BF3CDE">
        <w:t>du moins à titre provisoire,</w:t>
      </w:r>
      <w:r w:rsidRPr="00BF3CDE">
        <w:rPr>
          <w:b/>
        </w:rPr>
        <w:t xml:space="preserve"> la ratification du PF-CDPH</w:t>
      </w:r>
      <w:r w:rsidRPr="00BF3CDE">
        <w:t xml:space="preserve"> dans le contexte des recommandations de l’EPU</w:t>
      </w:r>
      <w:r w:rsidRPr="00BF3CDE">
        <w:rPr>
          <w:rStyle w:val="FootnoteReference"/>
        </w:rPr>
        <w:footnoteReference w:id="24"/>
      </w:r>
      <w:r w:rsidRPr="00BF3CDE">
        <w:t xml:space="preserve">. Le </w:t>
      </w:r>
      <w:r w:rsidRPr="00BF3CDE">
        <w:rPr>
          <w:b/>
        </w:rPr>
        <w:t>CF en a fait autant en 2020</w:t>
      </w:r>
      <w:r w:rsidRPr="00BF3CDE">
        <w:t xml:space="preserve"> dans sa réponse à une motion parlementaire</w:t>
      </w:r>
      <w:r w:rsidRPr="00BF3CDE">
        <w:rPr>
          <w:rStyle w:val="FootnoteReference"/>
        </w:rPr>
        <w:footnoteReference w:id="25"/>
      </w:r>
      <w:r w:rsidRPr="00BF3CDE">
        <w:t>. Il s’est toutefois dit prêt à procéder à des clarifications afin de déterminer les conséquences d’une rati</w:t>
      </w:r>
      <w:r w:rsidRPr="00BF3CDE">
        <w:lastRenderedPageBreak/>
        <w:t>fication du PF-CDPH dès que les remarques finales du Comité relatives au Premier rapport étatique de la Suisse seront disponibles (cf. à ce sujet également la réponse de la Suisse LoI, para. 4).</w:t>
      </w:r>
    </w:p>
    <w:p w14:paraId="2ADDF104" w14:textId="124A140A" w:rsidR="009E5F84" w:rsidRPr="00BF3CDE" w:rsidRDefault="009E5F84" w:rsidP="009E5F84">
      <w:pPr>
        <w:pStyle w:val="BodyText"/>
      </w:pPr>
      <w:r w:rsidRPr="00BF3CDE">
        <w:t xml:space="preserve">Pour </w:t>
      </w:r>
      <w:r w:rsidRPr="00BF3CDE">
        <w:rPr>
          <w:b/>
          <w:bCs/>
        </w:rPr>
        <w:t>deux raisons</w:t>
      </w:r>
      <w:r w:rsidRPr="00BF3CDE">
        <w:t xml:space="preserve">, la ratification du PF-CDPH par la Suisse apparaît comme </w:t>
      </w:r>
      <w:r w:rsidRPr="00BF3CDE">
        <w:rPr>
          <w:b/>
        </w:rPr>
        <w:t>particulièrement importante</w:t>
      </w:r>
      <w:r w:rsidRPr="00BF3CDE">
        <w:t xml:space="preserve"> pour garantir le droit d’accès des PH à la justice: 1) Actuellement, les recours fondés sur les droits garantis par la CDPH et portant sur la violation de ceux-ci sont jugés en dernière instance par le Tribunal fédéral. </w:t>
      </w:r>
      <w:r w:rsidRPr="00BF3CDE">
        <w:rPr>
          <w:b/>
        </w:rPr>
        <w:t>Or, le Tribunal fédéral a jusqu’à ce jour nié la justiciabilité directe des droits économiques, culturels et sociaux au sens du Pacte I de l’ONU, raison pour laquelle la CDPH, invoquée dans le cadre d’une procédure judiciaire, risque de ne déployer que des effets limités</w:t>
      </w:r>
      <w:r w:rsidRPr="00BF3CDE">
        <w:t>. 2) S’ajoute à cela qu’en raison de l’art. 190 Cst. (</w:t>
      </w:r>
      <w:r w:rsidR="0031184F">
        <w:rPr>
          <w:b/>
        </w:rPr>
        <w:t>absence de</w:t>
      </w:r>
      <w:r w:rsidRPr="00BF3CDE">
        <w:rPr>
          <w:b/>
        </w:rPr>
        <w:t xml:space="preserve"> juridiction constitutionnelle</w:t>
      </w:r>
      <w:r w:rsidRPr="00BF3CDE">
        <w:t xml:space="preserve">), les lois fédérales qui enfreignent les droits des PH peuvent néanmoins s’appliquer: le Tribunal fédéral peut certes attirer l’attention sur leur inconstitutionnalité, mais sans pour autant pouvoir déclarer la loi fédérale non valable. </w:t>
      </w:r>
    </w:p>
    <w:p w14:paraId="621B04EF" w14:textId="77777777" w:rsidR="00A06B92" w:rsidRDefault="00A06B92" w:rsidP="00A06B92">
      <w:pPr>
        <w:pStyle w:val="Subtitle"/>
        <w:rPr>
          <w:rFonts w:eastAsia="Cambria"/>
        </w:rPr>
      </w:pPr>
      <w:r w:rsidRPr="00BF3CDE">
        <w:rPr>
          <w:rFonts w:eastAsia="Cambria"/>
        </w:rPr>
        <w:t>Notion de handicap</w:t>
      </w:r>
    </w:p>
    <w:p w14:paraId="51E2C97A" w14:textId="77777777" w:rsidR="009E5F84" w:rsidRPr="00BF3CDE" w:rsidRDefault="009E5F84" w:rsidP="009E5F84">
      <w:pPr>
        <w:pStyle w:val="BodyText"/>
      </w:pPr>
      <w:r w:rsidRPr="00BF3CDE">
        <w:t xml:space="preserve">Dans la Cst., on rencontre, outre la notion de handicap dans l’art. 8 al. 2 et 4, également la </w:t>
      </w:r>
      <w:r w:rsidRPr="00BF3CDE">
        <w:rPr>
          <w:b/>
        </w:rPr>
        <w:t>notion d’«invalidité»</w:t>
      </w:r>
      <w:r w:rsidRPr="00BF3CDE">
        <w:rPr>
          <w:vertAlign w:val="superscript"/>
        </w:rPr>
        <w:footnoteReference w:id="26"/>
      </w:r>
      <w:r w:rsidRPr="00BF3CDE">
        <w:t xml:space="preserve"> (art. 41 al. 2 Cst.) qui se fonde encore entièrement sur une conception médicale du handicap focalisée sur la déficience</w:t>
      </w:r>
      <w:r w:rsidRPr="00BF3CDE">
        <w:rPr>
          <w:rStyle w:val="FootnoteReference"/>
        </w:rPr>
        <w:footnoteReference w:id="27"/>
      </w:r>
      <w:r w:rsidRPr="00BF3CDE">
        <w:t xml:space="preserve">. Par ailleurs, la loi utilise, </w:t>
      </w:r>
      <w:r w:rsidRPr="00BF3CDE">
        <w:lastRenderedPageBreak/>
        <w:t>s’agissant de PH, également le terme d’</w:t>
      </w:r>
      <w:r w:rsidRPr="00BF3CDE">
        <w:rPr>
          <w:b/>
        </w:rPr>
        <w:t>«allocation pour impotent»</w:t>
      </w:r>
      <w:r w:rsidRPr="00BF3CDE">
        <w:rPr>
          <w:vertAlign w:val="superscript"/>
        </w:rPr>
        <w:footnoteReference w:id="28"/>
      </w:r>
      <w:r w:rsidRPr="00BF3CDE">
        <w:t xml:space="preserve">. </w:t>
      </w:r>
    </w:p>
    <w:p w14:paraId="2D39AEE7" w14:textId="77777777" w:rsidR="00A06B92" w:rsidRDefault="00A06B92" w:rsidP="00A06B92">
      <w:pPr>
        <w:pStyle w:val="Subtitle"/>
        <w:rPr>
          <w:rFonts w:eastAsia="Cambria"/>
        </w:rPr>
      </w:pPr>
      <w:r w:rsidRPr="00BF3CDE">
        <w:rPr>
          <w:rFonts w:eastAsia="Cambria"/>
        </w:rPr>
        <w:t>Pandémie du coronavirus</w:t>
      </w:r>
    </w:p>
    <w:p w14:paraId="2298B39A" w14:textId="77777777" w:rsidR="009E5F84" w:rsidRPr="00BF3CDE" w:rsidRDefault="009E5F84" w:rsidP="009E5F84">
      <w:pPr>
        <w:pStyle w:val="BodyText"/>
      </w:pPr>
      <w:r w:rsidRPr="00BF3CDE">
        <w:t xml:space="preserve">La pandémie du coronavirus a touché les PH de manière particulièrement sévère également en Suisse: </w:t>
      </w:r>
    </w:p>
    <w:p w14:paraId="572EE858" w14:textId="77777777" w:rsidR="009E5F84" w:rsidRPr="00BF3CDE" w:rsidRDefault="009E5F84" w:rsidP="001A3756">
      <w:pPr>
        <w:pStyle w:val="ListParagraph"/>
        <w:numPr>
          <w:ilvl w:val="0"/>
          <w:numId w:val="7"/>
        </w:numPr>
        <w:spacing w:after="60" w:line="280" w:lineRule="exact"/>
        <w:ind w:left="357" w:hanging="357"/>
        <w:contextualSpacing w:val="0"/>
      </w:pPr>
      <w:r w:rsidRPr="00BF3CDE">
        <w:t xml:space="preserve">Contrairement aux affirmations de la Suisse dans sa réponse à la LoI (para. 92), l’administration n’a pas </w:t>
      </w:r>
      <w:r w:rsidRPr="00BF3CDE">
        <w:rPr>
          <w:b/>
          <w:bCs/>
        </w:rPr>
        <w:t xml:space="preserve">communiqué </w:t>
      </w:r>
      <w:r w:rsidRPr="00BF3CDE">
        <w:t xml:space="preserve">sur la pandémie du coronavirus dès le début sous une forme accessible à toutes les PH. À titre d’exemple, les conférences de presse hebdomadaires, resp. parfois bi-hebdomadaires du CF, n’ont pas été traduites en langue des signes pendant plus d’un mois, resp. n’ont été traduites que suite à l’intervention des organisations des PH. </w:t>
      </w:r>
    </w:p>
    <w:p w14:paraId="3D946A29" w14:textId="77777777" w:rsidR="009E5F84" w:rsidRPr="00BF3CDE" w:rsidRDefault="009E5F84" w:rsidP="001A3756">
      <w:pPr>
        <w:pStyle w:val="ListParagraph"/>
        <w:numPr>
          <w:ilvl w:val="0"/>
          <w:numId w:val="7"/>
        </w:numPr>
        <w:spacing w:after="60" w:line="280" w:lineRule="exact"/>
        <w:ind w:left="357" w:hanging="357"/>
        <w:contextualSpacing w:val="0"/>
      </w:pPr>
      <w:r w:rsidRPr="00BF3CDE">
        <w:t xml:space="preserve">Au printemps 2020, l’Office fédéral de la santé publique OFSP a recommandé aux résidences pour personnes âgées et handicapées de décréter des </w:t>
      </w:r>
      <w:r w:rsidRPr="00BF3CDE">
        <w:rPr>
          <w:b/>
        </w:rPr>
        <w:t>interdictions de sorties et de visites</w:t>
      </w:r>
      <w:r w:rsidRPr="00BF3CDE">
        <w:t>. Il en a résulté que même les personnes n’étant pas  considérées comme spécialement vulnérables face à la maladie liée au coronavirus ont été privées, en partie pendant plusieurs semaines, des contacts habituels avec leur famille et amis</w:t>
      </w:r>
      <w:r w:rsidRPr="00BF3CDE">
        <w:rPr>
          <w:rStyle w:val="FootnoteReference"/>
        </w:rPr>
        <w:footnoteReference w:id="29"/>
      </w:r>
      <w:r w:rsidRPr="00BF3CDE">
        <w:t>.</w:t>
      </w:r>
    </w:p>
    <w:p w14:paraId="01B979D8" w14:textId="77777777" w:rsidR="009E5F84" w:rsidRPr="00BF3CDE" w:rsidRDefault="009E5F84" w:rsidP="001A3756">
      <w:pPr>
        <w:pStyle w:val="ListParagraph"/>
        <w:numPr>
          <w:ilvl w:val="0"/>
          <w:numId w:val="7"/>
        </w:numPr>
        <w:spacing w:after="60" w:line="280" w:lineRule="exact"/>
        <w:ind w:left="357" w:hanging="357"/>
        <w:contextualSpacing w:val="0"/>
      </w:pPr>
      <w:r w:rsidRPr="00BF3CDE">
        <w:lastRenderedPageBreak/>
        <w:t>En 2020, l’Académie suisse des sciences médicales</w:t>
      </w:r>
      <w:r w:rsidRPr="00BF3CDE">
        <w:rPr>
          <w:rStyle w:val="FootnoteReference"/>
        </w:rPr>
        <w:footnoteReference w:id="30"/>
      </w:r>
      <w:r w:rsidRPr="00BF3CDE">
        <w:t xml:space="preserve"> a publié une nouvelle directive sur la question du </w:t>
      </w:r>
      <w:r w:rsidRPr="00BF3CDE">
        <w:rPr>
          <w:b/>
          <w:bCs/>
        </w:rPr>
        <w:t>triage des traitements de soins intensifs en cas de pénurie des ressources</w:t>
      </w:r>
      <w:r w:rsidRPr="00BF3CDE">
        <w:rPr>
          <w:rStyle w:val="FootnoteReference"/>
        </w:rPr>
        <w:footnoteReference w:id="31"/>
      </w:r>
      <w:r w:rsidRPr="00BF3CDE">
        <w:t xml:space="preserve"> qui s’est avérée discriminatoire à l’égard des PH (car basée sur une échelle de fragilité clinique). Suite à l’intervention des organisations de PH (non pas de la Confédération), cette discrimination a été éliminée par l’ASSM. Or, il n’existe toujours pas de base légale visant à protéger les PH contre les discriminations en cas de décisions de triage.</w:t>
      </w:r>
      <w:r w:rsidRPr="00BF3CDE">
        <w:rPr>
          <w:rStyle w:val="FootnoteReference"/>
        </w:rPr>
        <w:footnoteReference w:id="32"/>
      </w:r>
    </w:p>
    <w:p w14:paraId="438409DE" w14:textId="77777777" w:rsidR="009E5F84" w:rsidRPr="00BF3CDE" w:rsidRDefault="009E5F84" w:rsidP="001A3756">
      <w:pPr>
        <w:pStyle w:val="ListParagraph"/>
        <w:numPr>
          <w:ilvl w:val="0"/>
          <w:numId w:val="7"/>
        </w:numPr>
        <w:spacing w:after="60" w:line="280" w:lineRule="exact"/>
        <w:ind w:left="357" w:hanging="357"/>
        <w:contextualSpacing w:val="0"/>
      </w:pPr>
      <w:r w:rsidRPr="00BF3CDE">
        <w:t xml:space="preserve">Quant aux </w:t>
      </w:r>
      <w:r w:rsidRPr="00BF3CDE">
        <w:rPr>
          <w:b/>
        </w:rPr>
        <w:t>exemptions de l’obligation de porter un masque</w:t>
      </w:r>
      <w:r w:rsidRPr="00BF3CDE">
        <w:t xml:space="preserve"> pour les personnes qui, pour des raisons liées à un handicap, ne peuvent porter un masque, les organisations de PH ont dû également les exiger de l’OFSP.</w:t>
      </w:r>
      <w:r w:rsidRPr="00BF3CDE">
        <w:rPr>
          <w:rStyle w:val="FootnoteReference"/>
        </w:rPr>
        <w:footnoteReference w:id="33"/>
      </w:r>
      <w:r w:rsidRPr="00BF3CDE">
        <w:t xml:space="preserve"> </w:t>
      </w:r>
    </w:p>
    <w:p w14:paraId="3B7B5E8C" w14:textId="77777777" w:rsidR="009E5F84" w:rsidRPr="00BF3CDE" w:rsidRDefault="009E5F84" w:rsidP="001A3756">
      <w:pPr>
        <w:pStyle w:val="ListParagraph"/>
        <w:numPr>
          <w:ilvl w:val="0"/>
          <w:numId w:val="7"/>
        </w:numPr>
        <w:spacing w:after="60" w:line="280" w:lineRule="exact"/>
        <w:ind w:left="357" w:hanging="357"/>
        <w:contextualSpacing w:val="0"/>
      </w:pPr>
      <w:r w:rsidRPr="00BF3CDE">
        <w:t xml:space="preserve">La situation des PH durant la pandémie du coronavirus ne fait l’objet d’aucune </w:t>
      </w:r>
      <w:r w:rsidRPr="00BF3CDE">
        <w:rPr>
          <w:b/>
        </w:rPr>
        <w:t>étude</w:t>
      </w:r>
      <w:r w:rsidRPr="00BF3CDE">
        <w:t>.</w:t>
      </w:r>
      <w:r w:rsidRPr="00BF3CDE">
        <w:rPr>
          <w:rStyle w:val="FootnoteReference"/>
        </w:rPr>
        <w:footnoteReference w:id="34"/>
      </w:r>
      <w:r w:rsidRPr="00BF3CDE">
        <w:t xml:space="preserve"> </w:t>
      </w:r>
    </w:p>
    <w:p w14:paraId="18F79329" w14:textId="0E1BA585" w:rsidR="00A06B92" w:rsidRPr="00A06B92" w:rsidRDefault="009E5F84" w:rsidP="009E5F84">
      <w:pPr>
        <w:pStyle w:val="BodyText"/>
      </w:pPr>
      <w:r w:rsidRPr="00BF3CDE">
        <w:rPr>
          <w:bCs/>
        </w:rPr>
        <w:t xml:space="preserve">Un </w:t>
      </w:r>
      <w:r w:rsidRPr="00BF3CDE">
        <w:rPr>
          <w:b/>
        </w:rPr>
        <w:t>élément positif</w:t>
      </w:r>
      <w:r w:rsidRPr="00BF3CDE">
        <w:t xml:space="preserve"> réside dans le fait que dans l’intervalle, la </w:t>
      </w:r>
      <w:r w:rsidRPr="00BF3CDE">
        <w:rPr>
          <w:b/>
          <w:bCs/>
        </w:rPr>
        <w:t>collaboration entre OFSP/BFEH et IH</w:t>
      </w:r>
      <w:r w:rsidRPr="00BF3CDE">
        <w:t xml:space="preserve"> relative à la pandémie du co</w:t>
      </w:r>
      <w:r w:rsidRPr="00BF3CDE">
        <w:lastRenderedPageBreak/>
        <w:t xml:space="preserve">ronavirus s’est désormais bien établie et que l’OFSP réagit </w:t>
      </w:r>
      <w:r>
        <w:t>à présent</w:t>
      </w:r>
      <w:r w:rsidRPr="00BF3CDE">
        <w:t xml:space="preserve"> rapidement lorsque les organisations de PH lui signalent des problèmes.</w:t>
      </w:r>
    </w:p>
    <w:p w14:paraId="6CD54B0F" w14:textId="77777777" w:rsidR="000C5392" w:rsidRDefault="00A06B92" w:rsidP="000B5897">
      <w:pPr>
        <w:pStyle w:val="SBEmpfehlungen"/>
        <w:numPr>
          <w:ilvl w:val="0"/>
          <w:numId w:val="0"/>
        </w:numPr>
        <w:ind w:left="357" w:hanging="357"/>
        <w:rPr>
          <w:b/>
        </w:rPr>
      </w:pPr>
      <w:r w:rsidRPr="000B5897">
        <w:rPr>
          <w:b/>
        </w:rPr>
        <w:t>Propositions de recommandations</w:t>
      </w:r>
      <w:r w:rsidR="000C5392" w:rsidRPr="000B5897">
        <w:rPr>
          <w:b/>
        </w:rPr>
        <w:t>:</w:t>
      </w:r>
    </w:p>
    <w:p w14:paraId="6035AB36" w14:textId="77777777" w:rsidR="009E5F84" w:rsidRPr="00BF3CDE" w:rsidRDefault="009E5F84" w:rsidP="009E5F84">
      <w:pPr>
        <w:pStyle w:val="SBEmpfehlungen"/>
      </w:pPr>
      <w:r w:rsidRPr="00BF3CDE">
        <w:rPr>
          <w:b/>
        </w:rPr>
        <w:t xml:space="preserve">La Confédération et les cantons </w:t>
      </w:r>
      <w:r w:rsidRPr="00BF3CDE">
        <w:t>travaillent à l’élaboration d’un</w:t>
      </w:r>
      <w:r w:rsidRPr="00BF3CDE">
        <w:rPr>
          <w:b/>
        </w:rPr>
        <w:t xml:space="preserve"> plan d’action national à grande échelle</w:t>
      </w:r>
      <w:r w:rsidRPr="00BF3CDE">
        <w:t xml:space="preserve"> qui engage l’ensemble des acteurs importants à tous les échelons fédéraux à prendre des mesures visant à réaliser l’intégralité des dispositions de la CDPH, ainsi qu’à établir un calendrier relatif à leur mise en œuvre et à la publication de données concernant le contrôle de leur efficacité (y compris indicateurs et monitorage continu). </w:t>
      </w:r>
    </w:p>
    <w:p w14:paraId="05F61209" w14:textId="77777777" w:rsidR="009E5F84" w:rsidRPr="00BF3CDE" w:rsidRDefault="009E5F84" w:rsidP="009E5F84">
      <w:pPr>
        <w:pStyle w:val="SBEmpfehlungen"/>
      </w:pPr>
      <w:r w:rsidRPr="00BF3CDE">
        <w:rPr>
          <w:b/>
        </w:rPr>
        <w:t>Confédération: l’administration fédérale, le CF et le Parlement fédéral</w:t>
      </w:r>
      <w:r w:rsidRPr="00BF3CDE">
        <w:t xml:space="preserve"> analysent systématiquement les bases légales à la lumière de la CDPH. </w:t>
      </w:r>
      <w:r w:rsidRPr="00BF3CDE">
        <w:rPr>
          <w:b/>
        </w:rPr>
        <w:t>Cantons</w:t>
      </w:r>
      <w:r w:rsidRPr="00BF3CDE">
        <w:t xml:space="preserve">: les </w:t>
      </w:r>
      <w:r w:rsidRPr="00BF3CDE">
        <w:rPr>
          <w:b/>
        </w:rPr>
        <w:t>cantons</w:t>
      </w:r>
      <w:r w:rsidRPr="00BF3CDE">
        <w:t xml:space="preserve"> n’ayant pas encore impulsé d’évolution en ce sens élaborent une législation ainsi qu’une politique visant à garantir l’égalité des PH.</w:t>
      </w:r>
    </w:p>
    <w:p w14:paraId="4C1E8776" w14:textId="77777777" w:rsidR="009E5F84" w:rsidRPr="00BF3CDE" w:rsidRDefault="009E5F84" w:rsidP="009E5F84">
      <w:pPr>
        <w:pStyle w:val="SBEmpfehlungen"/>
      </w:pPr>
      <w:r w:rsidRPr="00BF3CDE">
        <w:t xml:space="preserve">La Confédération et les cantons veillent à assurer que la question de la </w:t>
      </w:r>
      <w:r w:rsidRPr="00BF3CDE">
        <w:rPr>
          <w:b/>
        </w:rPr>
        <w:t>justiciabilité des droits découlant de la CDPH</w:t>
      </w:r>
      <w:r w:rsidRPr="00BF3CDE">
        <w:t xml:space="preserve"> ne soit pas traitée par les tribunaux de manière restrictive.</w:t>
      </w:r>
    </w:p>
    <w:p w14:paraId="4A3F8971" w14:textId="77777777" w:rsidR="009E5F84" w:rsidRPr="00BF3CDE" w:rsidRDefault="009E5F84" w:rsidP="009E5F84">
      <w:pPr>
        <w:pStyle w:val="SBEmpfehlungen"/>
      </w:pPr>
      <w:r w:rsidRPr="00BF3CDE">
        <w:t>Les législateurs de la Confédération et des cantons éliminent les termes d’</w:t>
      </w:r>
      <w:r w:rsidRPr="00BF3CDE">
        <w:rPr>
          <w:b/>
        </w:rPr>
        <w:t>invalidité et d’impotence</w:t>
      </w:r>
      <w:r w:rsidRPr="00BF3CDE">
        <w:t xml:space="preserve"> du droit suisse et les remplacent par une terminologie compatible avec les exigences découlant de la CDPH.</w:t>
      </w:r>
    </w:p>
    <w:p w14:paraId="02888A26" w14:textId="77777777" w:rsidR="009E5F84" w:rsidRPr="00BF3CDE" w:rsidRDefault="009E5F84" w:rsidP="009E5F84">
      <w:pPr>
        <w:pStyle w:val="SBEmpfehlungen"/>
      </w:pPr>
      <w:r w:rsidRPr="00BF3CDE">
        <w:t>Le CF et le Parlement fédéral entreprennent les démarches nécessaires à la ratification du PF-CDPH.</w:t>
      </w:r>
    </w:p>
    <w:p w14:paraId="4DAD5D02" w14:textId="0284312D" w:rsidR="000B5897" w:rsidRPr="009E5F84" w:rsidRDefault="009E5F84" w:rsidP="009E5F84">
      <w:pPr>
        <w:pStyle w:val="SBEmpfehlungen"/>
      </w:pPr>
      <w:r w:rsidRPr="00BF3CDE">
        <w:lastRenderedPageBreak/>
        <w:t>L’OFS, le BFEH et le FNS assurent qu’il soit tenu compte, dans le cadre de l’étude scientifique de la pandémie du coronavirus, de la situation particulière des PH et que les enseignements qui en sont tirés soient publiés.</w:t>
      </w:r>
    </w:p>
    <w:p w14:paraId="0ED5F88F" w14:textId="77777777" w:rsidR="000B5897" w:rsidRPr="00BF3CDE" w:rsidRDefault="000B5897" w:rsidP="000B5897">
      <w:pPr>
        <w:pStyle w:val="Heading2"/>
        <w:rPr>
          <w:rFonts w:eastAsia="MS Gothic"/>
        </w:rPr>
      </w:pPr>
      <w:bookmarkStart w:id="27" w:name="_Toc93900203"/>
      <w:bookmarkStart w:id="28" w:name="_Toc95500327"/>
      <w:bookmarkStart w:id="29" w:name="_Toc96287597"/>
      <w:r w:rsidRPr="00BF3CDE">
        <w:rPr>
          <w:rFonts w:eastAsia="MS Gothic"/>
        </w:rPr>
        <w:t>Droits spécifiques</w:t>
      </w:r>
      <w:bookmarkEnd w:id="27"/>
      <w:bookmarkEnd w:id="28"/>
      <w:bookmarkEnd w:id="29"/>
    </w:p>
    <w:p w14:paraId="41AD4FD4" w14:textId="7BB0BC9E" w:rsidR="000B5897" w:rsidRDefault="000B5897" w:rsidP="000B5897">
      <w:pPr>
        <w:pStyle w:val="Heading3"/>
        <w:numPr>
          <w:ilvl w:val="0"/>
          <w:numId w:val="0"/>
        </w:numPr>
        <w:ind w:left="737" w:hanging="737"/>
      </w:pPr>
      <w:bookmarkStart w:id="30" w:name="_Ref15829389"/>
      <w:bookmarkStart w:id="31" w:name="_Ref15830367"/>
      <w:bookmarkStart w:id="32" w:name="_Toc93900204"/>
      <w:bookmarkStart w:id="33" w:name="_Toc95500328"/>
      <w:bookmarkStart w:id="34" w:name="_Toc96287598"/>
      <w:r w:rsidRPr="00BF3CDE">
        <w:t>Art. 5 – Égalité et non-discrimination</w:t>
      </w:r>
      <w:bookmarkEnd w:id="30"/>
      <w:bookmarkEnd w:id="31"/>
      <w:bookmarkEnd w:id="32"/>
      <w:bookmarkEnd w:id="33"/>
      <w:bookmarkEnd w:id="34"/>
      <w:r w:rsidRPr="00BF3CDE">
        <w:t xml:space="preserve"> </w:t>
      </w:r>
    </w:p>
    <w:p w14:paraId="7B0DA001" w14:textId="77777777" w:rsidR="009E5F84" w:rsidRPr="00BF3CDE" w:rsidRDefault="009E5F84" w:rsidP="009E5F84">
      <w:pPr>
        <w:pStyle w:val="BodyText"/>
      </w:pPr>
      <w:r w:rsidRPr="00BF3CDE">
        <w:t xml:space="preserve">Dans ses réponses à la LoI (para. 5), la Suisse précise que „le droit en vigueur et la jurisprudence associée offrent une protection suffisante contre la discrimination et que les instruments juridiques disponibles permettent aux victimes de se défendre.“ Cette affirmation doit être </w:t>
      </w:r>
      <w:r w:rsidRPr="00BF3CDE">
        <w:rPr>
          <w:b/>
          <w:bCs/>
        </w:rPr>
        <w:t>résolument démentie</w:t>
      </w:r>
      <w:r w:rsidRPr="00BF3CDE">
        <w:t xml:space="preserve">: </w:t>
      </w:r>
    </w:p>
    <w:p w14:paraId="54C02E83" w14:textId="77777777" w:rsidR="009E5F84" w:rsidRPr="00BF3CDE" w:rsidRDefault="009E5F84" w:rsidP="009E5F84">
      <w:pPr>
        <w:pStyle w:val="BodyText"/>
      </w:pPr>
      <w:r w:rsidRPr="00BF3CDE">
        <w:t xml:space="preserve">L’art. 8 al. 2 Cst. protège certes les personnes contre les </w:t>
      </w:r>
      <w:r w:rsidRPr="00BF3CDE">
        <w:rPr>
          <w:b/>
        </w:rPr>
        <w:t xml:space="preserve">discriminations étatiques </w:t>
      </w:r>
      <w:r w:rsidRPr="00BF3CDE">
        <w:t xml:space="preserve">du fait de leur handicap; or, la jurisprudence ne correspond nullement aux exigences découlant de l’art. 5 al. 3 CDPH à la </w:t>
      </w:r>
      <w:r w:rsidRPr="009E5F84">
        <w:t>lumière</w:t>
      </w:r>
      <w:r w:rsidRPr="00BF3CDE">
        <w:t xml:space="preserve"> de l’OG n° 6. Le Tribunal fédéral précise bien davantage dans sa jurisprudence constante que l’art. 8 al. 2 C</w:t>
      </w:r>
      <w:r>
        <w:t>s</w:t>
      </w:r>
      <w:r w:rsidRPr="00BF3CDE">
        <w:t xml:space="preserve">t. ne prévoit </w:t>
      </w:r>
      <w:r w:rsidRPr="00BF3CDE">
        <w:rPr>
          <w:b/>
        </w:rPr>
        <w:t>aucun droit à l’établissement d’une égalité dans les faits</w:t>
      </w:r>
      <w:r w:rsidRPr="00BF3CDE">
        <w:t>.</w:t>
      </w:r>
      <w:r w:rsidRPr="00BF3CDE">
        <w:rPr>
          <w:rStyle w:val="FootnoteReference"/>
        </w:rPr>
        <w:footnoteReference w:id="35"/>
      </w:r>
      <w:r w:rsidRPr="00BF3CDE">
        <w:t xml:space="preserve"> Que l’interdiction de la discrimination donne lieu à l’obligation de prendre les mesures nécessaires et adéquates pour permettre à une PH l’exercice effectif d’un droit n’est pas admis. La LHand ne donne explicitement le droit aux PH de demander l’élimination d’une inégalité dans le cas d’espèce que dans les do</w:t>
      </w:r>
      <w:r w:rsidRPr="00BF3CDE">
        <w:lastRenderedPageBreak/>
        <w:t>maines de la construction, des transports publics et des prestations fournies par l’État ainsi que des entreprises concessionnaires.</w:t>
      </w:r>
      <w:r w:rsidRPr="00BF3CDE">
        <w:rPr>
          <w:rStyle w:val="FootnoteReference"/>
        </w:rPr>
        <w:footnoteReference w:id="36"/>
      </w:r>
      <w:r w:rsidRPr="00BF3CDE">
        <w:t xml:space="preserve"> </w:t>
      </w:r>
    </w:p>
    <w:p w14:paraId="6BC54402" w14:textId="77777777" w:rsidR="009E5F84" w:rsidRPr="00BF3CDE" w:rsidRDefault="009E5F84" w:rsidP="009E5F84">
      <w:pPr>
        <w:pStyle w:val="BodyText"/>
        <w:rPr>
          <w:b/>
        </w:rPr>
      </w:pPr>
      <w:r w:rsidRPr="00BF3CDE">
        <w:t xml:space="preserve">Quant aux </w:t>
      </w:r>
      <w:r w:rsidRPr="00BF3CDE">
        <w:rPr>
          <w:b/>
        </w:rPr>
        <w:t>discriminations du fait de particuliers</w:t>
      </w:r>
      <w:r w:rsidRPr="00BF3CDE">
        <w:t>, la Suisse contredit dans sa réponse aux questions de la LoI concernant l’art. 5 CDPH son propre PRE: se référant à un rapport du Conseil fédéral</w:t>
      </w:r>
      <w:r w:rsidRPr="00BF3CDE">
        <w:rPr>
          <w:rStyle w:val="FootnoteReference"/>
        </w:rPr>
        <w:footnoteReference w:id="37"/>
      </w:r>
      <w:r w:rsidRPr="00BF3CDE">
        <w:t>, elle avait encore reconnu la nécessité d’agir</w:t>
      </w:r>
      <w:r w:rsidRPr="00BF3CDE">
        <w:rPr>
          <w:rStyle w:val="FootnoteReference"/>
        </w:rPr>
        <w:footnoteReference w:id="38"/>
      </w:r>
      <w:r w:rsidRPr="00BF3CDE">
        <w:t xml:space="preserve"> </w:t>
      </w:r>
      <w:r w:rsidRPr="00BF3CDE">
        <w:rPr>
          <w:b/>
        </w:rPr>
        <w:t xml:space="preserve">dans son principe </w:t>
      </w:r>
      <w:r w:rsidRPr="00BF3CDE">
        <w:t>(PRE, para. 33).</w:t>
      </w:r>
      <w:r w:rsidRPr="00BF3CDE">
        <w:rPr>
          <w:rStyle w:val="FootnoteReference"/>
        </w:rPr>
        <w:footnoteReference w:id="39"/>
      </w:r>
      <w:r w:rsidRPr="00BF3CDE">
        <w:t xml:space="preserve"> Elle avait annoncé vouloir examiner les possibilités d’améliorer la protection contre la discrimination dans son Rapport sur la «Politique en faveur des personnes handicapées» (PRE, para. 33). Ce rapport, paru depuis lors en mai 2018, ne contient </w:t>
      </w:r>
      <w:r w:rsidRPr="00BF3CDE">
        <w:rPr>
          <w:b/>
        </w:rPr>
        <w:t>aucune mesure visant à renforcer la protection légale contre la discrimination du fait de particuliers</w:t>
      </w:r>
      <w:r w:rsidRPr="00BF3CDE">
        <w:t>. Nonobstant, elle affirme dans ses réponses à la LoI (para. 8) que «le droit civil actuel offre une protection suffisante contre la discrimination» - de surcroît en se référant au même rapport dans lequel une action requise avait été constatée (cf. PRE, N 12 et réponse LoI, N 4).</w:t>
      </w:r>
    </w:p>
    <w:p w14:paraId="09CEFA90" w14:textId="412FA786" w:rsidR="009E5F84" w:rsidRPr="0031184F" w:rsidRDefault="0031184F" w:rsidP="009E5F84">
      <w:pPr>
        <w:pStyle w:val="BodyText"/>
      </w:pPr>
      <w:r>
        <w:rPr>
          <w:bCs/>
        </w:rPr>
        <w:lastRenderedPageBreak/>
        <w:t>La</w:t>
      </w:r>
      <w:r w:rsidR="009E5F84" w:rsidRPr="00BF3CDE">
        <w:rPr>
          <w:bCs/>
        </w:rPr>
        <w:t xml:space="preserve"> protection garantie par la LHand en cas de discriminations </w:t>
      </w:r>
      <w:r w:rsidR="009E5F84" w:rsidRPr="00BF3CDE">
        <w:rPr>
          <w:b/>
        </w:rPr>
        <w:t>du fait de particuliers offrant des services accessibles au public</w:t>
      </w:r>
      <w:r w:rsidR="009E5F84" w:rsidRPr="00BF3CDE">
        <w:t xml:space="preserve"> (y compris les offres en ligne</w:t>
      </w:r>
      <w:r>
        <w:t xml:space="preserve">) </w:t>
      </w:r>
      <w:r w:rsidR="009E5F84" w:rsidRPr="0031184F">
        <w:t xml:space="preserve">est </w:t>
      </w:r>
      <w:r w:rsidR="009E5F84" w:rsidRPr="0031184F">
        <w:rPr>
          <w:bCs/>
        </w:rPr>
        <w:t>clairement insuffisante</w:t>
      </w:r>
      <w:r w:rsidR="009E5F84" w:rsidRPr="0031184F">
        <w:t xml:space="preserve">: </w:t>
      </w:r>
    </w:p>
    <w:p w14:paraId="646F2746" w14:textId="77777777" w:rsidR="009E5F84" w:rsidRPr="00BF3CDE" w:rsidRDefault="009E5F84" w:rsidP="009E5F84">
      <w:pPr>
        <w:pStyle w:val="BodyText"/>
        <w:rPr>
          <w:b/>
        </w:rPr>
      </w:pPr>
      <w:r w:rsidRPr="00BF3CDE">
        <w:t xml:space="preserve">Le Tribunal fédéral interprète la </w:t>
      </w:r>
      <w:r w:rsidRPr="00BF3CDE">
        <w:rPr>
          <w:b/>
        </w:rPr>
        <w:t>notion de discrimination</w:t>
      </w:r>
      <w:r w:rsidRPr="00BF3CDE">
        <w:t xml:space="preserve"> au sens de l’art. 6 LHand et de l’art. 2 al. 2 OHand de manière très restrictive. Il la limite aux cas ayant pour intention, et non pas pour conséquence, la </w:t>
      </w:r>
      <w:r w:rsidRPr="00BF3CDE">
        <w:rPr>
          <w:b/>
        </w:rPr>
        <w:t xml:space="preserve">dépréciation ou la marginalisation </w:t>
      </w:r>
      <w:r w:rsidRPr="00BF3CDE">
        <w:t>d’une personne handicapée. Dans un cas concernant une personne en fauteuil roulant s’étant vu refuser l’accès à un cinéma</w:t>
      </w:r>
      <w:r w:rsidRPr="00BF3CDE">
        <w:rPr>
          <w:rFonts w:cs="Times New Roman"/>
        </w:rPr>
        <w:t xml:space="preserve">, le Tribunal fédéral a nié l’existence d’une discrimination. Selon lui, il était compréhensible que le gérant du cinéma redoute de s’attirer des reproches si un accident devait se produire. Il a estimé que l’interdiction d’accès ne pouvait donc pas être considérée </w:t>
      </w:r>
      <w:r w:rsidRPr="009E5F84">
        <w:t>comme</w:t>
      </w:r>
      <w:r w:rsidRPr="00BF3CDE">
        <w:rPr>
          <w:rFonts w:cs="Times New Roman"/>
        </w:rPr>
        <w:t xml:space="preserve"> particulièrement choquante, que cela ne procédait ni d’un manque de tolérance ni de l’intention de bannir de l’établissement les personnes en fauteuil roulant.</w:t>
      </w:r>
      <w:r w:rsidRPr="00BF3CDE">
        <w:rPr>
          <w:rStyle w:val="FootnoteReference"/>
        </w:rPr>
        <w:footnoteReference w:id="40"/>
      </w:r>
      <w:r w:rsidRPr="00BF3CDE">
        <w:rPr>
          <w:rFonts w:cs="Times New Roman"/>
        </w:rPr>
        <w:t xml:space="preserve"> Le 18 juillet 2019, la </w:t>
      </w:r>
      <w:r w:rsidRPr="00BF3CDE">
        <w:rPr>
          <w:b/>
        </w:rPr>
        <w:t>CrEDH</w:t>
      </w:r>
      <w:r w:rsidRPr="00BF3CDE">
        <w:t xml:space="preserve"> a soutenu dans son principe l’art. 6 LHand ainsi que la jurisprudence du Tribunal fédéral dans </w:t>
      </w:r>
      <w:r w:rsidRPr="00BF3CDE">
        <w:rPr>
          <w:b/>
          <w:bCs/>
        </w:rPr>
        <w:t xml:space="preserve">l’arrêt Glaisen v. </w:t>
      </w:r>
      <w:r w:rsidRPr="00BF3CDE">
        <w:rPr>
          <w:b/>
        </w:rPr>
        <w:t>Suisse</w:t>
      </w:r>
      <w:r w:rsidRPr="00BF3CDE">
        <w:rPr>
          <w:rStyle w:val="FootnoteReference"/>
        </w:rPr>
        <w:footnoteReference w:id="41"/>
      </w:r>
      <w:r w:rsidRPr="00BF3CDE">
        <w:t xml:space="preserve">, ce qui a encore davantage aggravé la situation. </w:t>
      </w:r>
      <w:r w:rsidRPr="00BF3CDE">
        <w:rPr>
          <w:rFonts w:cs="Times New Roman"/>
        </w:rPr>
        <w:t>Son évaluation de la situation légale et de la pratique suisses sous l’angle de l’art. 8 CEDH n’est en effet pas compatible avec les art. 2, 5 et 9 CDPH.</w:t>
      </w:r>
    </w:p>
    <w:p w14:paraId="4640F1A9" w14:textId="174294C7" w:rsidR="009E5F84" w:rsidRPr="009E5F84" w:rsidRDefault="009E5F84" w:rsidP="009E5F84">
      <w:pPr>
        <w:pStyle w:val="BodyText"/>
        <w:rPr>
          <w:lang w:eastAsia="de-CH"/>
        </w:rPr>
      </w:pPr>
      <w:r w:rsidRPr="00BF3CDE">
        <w:t>La</w:t>
      </w:r>
      <w:r w:rsidRPr="00BF3CDE">
        <w:rPr>
          <w:b/>
        </w:rPr>
        <w:t xml:space="preserve"> présentation des droits dans le PRE (para. 50) est fausse</w:t>
      </w:r>
      <w:r w:rsidRPr="00BF3CDE">
        <w:t xml:space="preserve">: une personne privée qui agit devant un tribunal pour discrimination peut uniquement </w:t>
      </w:r>
      <w:r w:rsidRPr="009E5F84">
        <w:t>demander</w:t>
      </w:r>
      <w:r w:rsidRPr="00BF3CDE">
        <w:t xml:space="preserve"> une indemnité de CHF 5000.- (cf. par ailleurs la réponse à la LoI, para. 6). Elle ne peut pas demander </w:t>
      </w:r>
      <w:r w:rsidRPr="00BF3CDE">
        <w:lastRenderedPageBreak/>
        <w:t>que le prestataire s’abstienne de l’inégalité ou qu’il l’élimine en prenant les dispositions adéquates. Dans de tels cas, les associations de PH disposent uniquement d’un</w:t>
      </w:r>
      <w:r w:rsidRPr="00BF3CDE">
        <w:rPr>
          <w:rFonts w:cs="Times New Roman"/>
        </w:rPr>
        <w:t xml:space="preserve"> </w:t>
      </w:r>
      <w:r w:rsidRPr="00BF3CDE">
        <w:rPr>
          <w:rFonts w:cs="Times New Roman"/>
          <w:b/>
        </w:rPr>
        <w:t>droit en constatation de la discrimination</w:t>
      </w:r>
      <w:r w:rsidRPr="00BF3CDE">
        <w:rPr>
          <w:rFonts w:cs="Times New Roman"/>
        </w:rPr>
        <w:t xml:space="preserve"> (art. 9 al. 3 let. a LHand).</w:t>
      </w:r>
      <w:r w:rsidRPr="00BF3CDE">
        <w:t xml:space="preserve"> Jusqu’à ce jour, une seule plainte a été admise</w:t>
      </w:r>
      <w:r w:rsidRPr="00BF3CDE">
        <w:rPr>
          <w:rFonts w:cs="Times New Roman"/>
        </w:rPr>
        <w:t xml:space="preserve"> – en mars 2017 – invoquant l’art. 6 LHand.</w:t>
      </w:r>
      <w:r w:rsidRPr="00BF3CDE">
        <w:rPr>
          <w:rStyle w:val="FootnoteReference"/>
        </w:rPr>
        <w:footnoteReference w:id="42"/>
      </w:r>
    </w:p>
    <w:p w14:paraId="30DC559A" w14:textId="77777777" w:rsidR="0006109B" w:rsidRDefault="000B5897" w:rsidP="000B5897">
      <w:pPr>
        <w:shd w:val="clear" w:color="auto" w:fill="FFFFCC"/>
        <w:spacing w:before="240" w:after="0"/>
        <w:rPr>
          <w:rFonts w:eastAsia="Cambria"/>
          <w:b/>
        </w:rPr>
      </w:pPr>
      <w:r>
        <w:rPr>
          <w:rFonts w:eastAsia="Cambria"/>
          <w:b/>
        </w:rPr>
        <w:t>Propositions de recommandations</w:t>
      </w:r>
      <w:r w:rsidR="0006109B" w:rsidRPr="00F756DE">
        <w:rPr>
          <w:rFonts w:eastAsia="Cambria"/>
          <w:b/>
        </w:rPr>
        <w:t>:</w:t>
      </w:r>
    </w:p>
    <w:p w14:paraId="686478E4" w14:textId="77777777" w:rsidR="00D118EE" w:rsidRPr="00BF3CDE" w:rsidRDefault="00D118EE" w:rsidP="00D118EE">
      <w:pPr>
        <w:pStyle w:val="SBEmpfehlungen"/>
      </w:pPr>
      <w:r w:rsidRPr="00BF3CDE">
        <w:t xml:space="preserve">Le </w:t>
      </w:r>
      <w:r w:rsidRPr="0031184F">
        <w:rPr>
          <w:b/>
        </w:rPr>
        <w:t>Conseil fédéral</w:t>
      </w:r>
      <w:r w:rsidRPr="00BF3CDE">
        <w:t xml:space="preserve"> et le </w:t>
      </w:r>
      <w:r w:rsidRPr="0031184F">
        <w:rPr>
          <w:b/>
        </w:rPr>
        <w:t>Parlement fédéral</w:t>
      </w:r>
      <w:r w:rsidRPr="00BF3CDE">
        <w:t xml:space="preserve"> adaptent la notion de discrimination dans la LHand et la OHand aux art. 2 et 5 CDPH; le droit des PH à des mesures adéquates également dans l’accès aux prestations de particuliers accessibles au public doit être expressément inscrit dans la LHand.</w:t>
      </w:r>
    </w:p>
    <w:p w14:paraId="0FCCC9C4" w14:textId="3B1E64D7" w:rsidR="000B5897" w:rsidRPr="00D118EE" w:rsidRDefault="00D118EE" w:rsidP="00D118EE">
      <w:pPr>
        <w:pStyle w:val="SBEmpfehlungen"/>
      </w:pPr>
      <w:r w:rsidRPr="00BF3CDE">
        <w:t xml:space="preserve">La </w:t>
      </w:r>
      <w:r w:rsidRPr="0031184F">
        <w:rPr>
          <w:b/>
        </w:rPr>
        <w:t>Confédération</w:t>
      </w:r>
      <w:r w:rsidRPr="00BF3CDE">
        <w:t xml:space="preserve"> et les </w:t>
      </w:r>
      <w:r w:rsidRPr="0031184F">
        <w:rPr>
          <w:b/>
        </w:rPr>
        <w:t>cantons</w:t>
      </w:r>
      <w:r w:rsidRPr="00BF3CDE">
        <w:t xml:space="preserve"> garantissent que les tribunaux </w:t>
      </w:r>
      <w:r w:rsidRPr="0031184F">
        <w:rPr>
          <w:b/>
        </w:rPr>
        <w:t>reconnaissent</w:t>
      </w:r>
      <w:r w:rsidRPr="00BF3CDE">
        <w:t xml:space="preserve"> le </w:t>
      </w:r>
      <w:r w:rsidRPr="0031184F">
        <w:rPr>
          <w:b/>
        </w:rPr>
        <w:t>refus de mesures adéquates</w:t>
      </w:r>
      <w:r w:rsidRPr="00BF3CDE">
        <w:t xml:space="preserve"> dans tous les domaines de la vie comme une </w:t>
      </w:r>
      <w:r w:rsidRPr="0031184F">
        <w:rPr>
          <w:b/>
        </w:rPr>
        <w:t>forme de discrimination</w:t>
      </w:r>
      <w:r w:rsidRPr="00BF3CDE">
        <w:t>, qui donne droit aux PH d’en demander l’élimination; ils garantissent que les tribunaux ne réduisent pas la notion de discrimination aux seules inégalités obéissant à des motifs pernicieux.</w:t>
      </w:r>
    </w:p>
    <w:p w14:paraId="3E652F5B" w14:textId="11DB6E15" w:rsidR="000B5897" w:rsidRDefault="000B5897" w:rsidP="00D118EE">
      <w:pPr>
        <w:pStyle w:val="Heading3"/>
        <w:numPr>
          <w:ilvl w:val="0"/>
          <w:numId w:val="0"/>
        </w:numPr>
        <w:tabs>
          <w:tab w:val="left" w:pos="5469"/>
        </w:tabs>
        <w:ind w:left="737" w:hanging="737"/>
        <w:rPr>
          <w:rFonts w:eastAsia="MS Gothic"/>
        </w:rPr>
      </w:pPr>
      <w:bookmarkStart w:id="35" w:name="_Toc91237777"/>
      <w:bookmarkStart w:id="36" w:name="_Toc93596133"/>
      <w:bookmarkStart w:id="37" w:name="_Toc93900205"/>
      <w:bookmarkStart w:id="38" w:name="_Toc95500329"/>
      <w:bookmarkStart w:id="39" w:name="_Toc96287599"/>
      <w:r w:rsidRPr="00BF3CDE">
        <w:rPr>
          <w:rFonts w:eastAsia="MS Gothic"/>
        </w:rPr>
        <w:t>Art. 6 – Femmes en situation de handicap</w:t>
      </w:r>
      <w:bookmarkEnd w:id="35"/>
      <w:bookmarkEnd w:id="36"/>
      <w:bookmarkEnd w:id="37"/>
      <w:bookmarkEnd w:id="38"/>
      <w:bookmarkEnd w:id="39"/>
    </w:p>
    <w:p w14:paraId="782FC727" w14:textId="77777777" w:rsidR="00D118EE" w:rsidRPr="00BF3CDE" w:rsidRDefault="00D118EE" w:rsidP="00D118EE">
      <w:pPr>
        <w:pStyle w:val="BodyText"/>
      </w:pPr>
      <w:r w:rsidRPr="00BF3CDE">
        <w:t xml:space="preserve">Il est regrettable que l’obligation faite à l’État par l’art. 5 al. 1 LHand de prendre en compte les besoins spécifiques des femmes handicapées n’a aucunement été mise en œuvre dans la pratique; il en est de même en ce qui concerne les nombreuses recommandations formulées dans le dossier thématique de 2013. La LEg ne </w:t>
      </w:r>
      <w:r w:rsidRPr="00BF3CDE">
        <w:lastRenderedPageBreak/>
        <w:t>prend pas en compte, elle non plus, les discriminations multiples des femmes handicapées dans la vie professionnelle (PRE para. 192 s.). Ni le BFEG ni le BFEH ne sont investis d’un mandat clair et institutionnalisé visant à éliminer les discriminations spécifiques intersectionnelles auxquelles sont exposées les femmes en situation de handicap; il suffit en effet de consulter la nouvelle Stratégie nationale en matière d’égalité entre les femmes et les hommes (</w:t>
      </w:r>
      <w:r w:rsidRPr="00BF3CDE">
        <w:rPr>
          <w:b/>
        </w:rPr>
        <w:t>Stratégie en matière d’égalité</w:t>
      </w:r>
      <w:r w:rsidRPr="00BF3CDE">
        <w:t>)</w:t>
      </w:r>
      <w:r w:rsidRPr="00BF3CDE">
        <w:rPr>
          <w:rFonts w:eastAsia="Cambria" w:cs="Times New Roman"/>
          <w:bCs/>
          <w:vertAlign w:val="superscript"/>
        </w:rPr>
        <w:footnoteReference w:id="43"/>
      </w:r>
      <w:r w:rsidRPr="00BF3CDE">
        <w:t xml:space="preserve"> pour se rendre compte que les efforts annoncés en vue d’une meilleure approche intégrée de leurs droits</w:t>
      </w:r>
      <w:r w:rsidRPr="00BF3CDE">
        <w:rPr>
          <w:rFonts w:eastAsia="Cambria" w:cs="Times New Roman"/>
          <w:vertAlign w:val="superscript"/>
        </w:rPr>
        <w:footnoteReference w:id="44"/>
      </w:r>
      <w:r w:rsidRPr="00BF3CDE">
        <w:t xml:space="preserve"> font cruellement défaut. Les critiques claires et constructives de la part des rares ONG ayant eu l’occasion de se prononcer sur le projet, et ayant formulé le grief selon lequel celui-ci ignore </w:t>
      </w:r>
      <w:r w:rsidRPr="00BF3CDE">
        <w:rPr>
          <w:b/>
        </w:rPr>
        <w:t xml:space="preserve">l’intersectionnalité </w:t>
      </w:r>
      <w:r w:rsidRPr="00BF3CDE">
        <w:t>de la discrimination et de la violence fondées sur le sexe,</w:t>
      </w:r>
      <w:r w:rsidRPr="00BF3CDE">
        <w:rPr>
          <w:rFonts w:eastAsia="Cambria" w:cs="Times New Roman"/>
          <w:vertAlign w:val="superscript"/>
        </w:rPr>
        <w:footnoteReference w:id="45"/>
      </w:r>
      <w:r w:rsidRPr="00BF3CDE">
        <w:t xml:space="preserve"> n’ont manifestement eu aucun effet. Ainsi, le </w:t>
      </w:r>
      <w:r w:rsidRPr="00BF3CDE">
        <w:rPr>
          <w:b/>
        </w:rPr>
        <w:t>plan d’action</w:t>
      </w:r>
      <w:r w:rsidRPr="00BF3CDE">
        <w:t xml:space="preserve"> mentionné contient tout juste une mesure qui traite de la situation des femmes handicapées (cf. art. 16 CDPH). </w:t>
      </w:r>
    </w:p>
    <w:p w14:paraId="5BF82A43" w14:textId="77777777" w:rsidR="00D118EE" w:rsidRPr="00BF3CDE" w:rsidRDefault="00D118EE" w:rsidP="00D118EE">
      <w:pPr>
        <w:pStyle w:val="BodyText"/>
      </w:pPr>
      <w:r w:rsidRPr="00BF3CDE">
        <w:t xml:space="preserve">Une approche systématique en vue d’éliminer ces discriminations continuera donc de faire défaut à l’avenir, bien que celles-ci soient imputables à de nombreuses </w:t>
      </w:r>
      <w:r w:rsidRPr="00BF3CDE">
        <w:rPr>
          <w:b/>
        </w:rPr>
        <w:t>causes structurelles</w:t>
      </w:r>
      <w:r w:rsidRPr="00BF3CDE">
        <w:t>. Faute d’approche intégrée, le fait que les femmes handicapées ne soient ni prises en compte, ni recensées ou «inclues» dans le développement de mesures politiques (même spécifiquement destinées aux femmes) est un phénomène omniprésent.</w:t>
      </w:r>
      <w:bookmarkStart w:id="40" w:name="_Ref96097552"/>
      <w:r w:rsidRPr="00BF3CDE">
        <w:rPr>
          <w:vertAlign w:val="superscript"/>
        </w:rPr>
        <w:footnoteReference w:id="46"/>
      </w:r>
      <w:bookmarkEnd w:id="40"/>
      <w:r w:rsidRPr="00BF3CDE">
        <w:t xml:space="preserve"> D’autre part, il existe </w:t>
      </w:r>
      <w:r w:rsidRPr="00BF3CDE">
        <w:lastRenderedPageBreak/>
        <w:t xml:space="preserve">des bases juridiques indirectement discriminatoires (p. ex. sécurité sociale) et des stéréotypes manifestes (p. ex. présentation dans les médias). Lors de l’attribution de mesures de soutien individuelles, notamment, il se peut également que certaines images traditionnelles plus subtiles des sexes ainsi que des rôles dévolus au genre </w:t>
      </w:r>
      <w:r w:rsidRPr="00880995">
        <w:t>se fassent sentir</w:t>
      </w:r>
      <w:r w:rsidRPr="00BF3CDE">
        <w:t>.</w:t>
      </w:r>
      <w:bookmarkStart w:id="41" w:name="_Ref95754020"/>
      <w:r w:rsidRPr="00BF3CDE">
        <w:rPr>
          <w:rFonts w:eastAsia="Cambria" w:cs="Times New Roman"/>
          <w:vertAlign w:val="superscript"/>
        </w:rPr>
        <w:footnoteReference w:id="47"/>
      </w:r>
      <w:bookmarkEnd w:id="41"/>
      <w:r w:rsidRPr="00BF3CDE">
        <w:t xml:space="preserve"> </w:t>
      </w:r>
    </w:p>
    <w:p w14:paraId="33FFD340" w14:textId="3602ADDB" w:rsidR="00D118EE" w:rsidRPr="00D118EE" w:rsidRDefault="00D118EE" w:rsidP="00D118EE">
      <w:pPr>
        <w:pStyle w:val="BodyText"/>
      </w:pPr>
      <w:r w:rsidRPr="00BF3CDE">
        <w:t xml:space="preserve">Quant à l’ordonnance contre la violence à l’égard des femmes et la violence domestique (réponse à la LoI, para. 9), elle sert avant tout de base à des </w:t>
      </w:r>
      <w:r w:rsidRPr="00BF3CDE">
        <w:rPr>
          <w:i/>
          <w:iCs/>
        </w:rPr>
        <w:t xml:space="preserve">aides financières </w:t>
      </w:r>
      <w:r w:rsidRPr="00BF3CDE">
        <w:t xml:space="preserve">en vue de </w:t>
      </w:r>
      <w:r w:rsidRPr="00BF3CDE">
        <w:rPr>
          <w:i/>
          <w:iCs/>
        </w:rPr>
        <w:t>mesures de prévention</w:t>
      </w:r>
      <w:r w:rsidRPr="00BF3CDE">
        <w:t xml:space="preserve"> et ne constitue en aucun cas une directive relative au contenu destinée à la mise en œuvre de la Convention d’Istanbul (CI). Le BFEH de son côté ne mène à bien que trois programmes prioritaires, dont aucun ne traite de l’application de la CI. Il existe en Suisse d’importantes lacunes notamment en ce qui concerne </w:t>
      </w:r>
      <w:r w:rsidR="006F739C">
        <w:rPr>
          <w:bCs/>
        </w:rPr>
        <w:t>s</w:t>
      </w:r>
      <w:r w:rsidRPr="00BF3CDE">
        <w:rPr>
          <w:bCs/>
        </w:rPr>
        <w:t xml:space="preserve">a </w:t>
      </w:r>
      <w:r w:rsidRPr="00BF3CDE">
        <w:rPr>
          <w:b/>
        </w:rPr>
        <w:t>mise en œuvre inclusive</w:t>
      </w:r>
      <w:r w:rsidRPr="00BF3CDE">
        <w:t xml:space="preserve"> (cf. art. 16 CDPH). </w:t>
      </w:r>
    </w:p>
    <w:p w14:paraId="4AD69704" w14:textId="77777777" w:rsidR="0006109B" w:rsidRPr="00F756DE" w:rsidRDefault="000B5897" w:rsidP="0006109B">
      <w:pPr>
        <w:shd w:val="clear" w:color="auto" w:fill="FFFFCC"/>
        <w:spacing w:before="240"/>
        <w:rPr>
          <w:rFonts w:eastAsia="Calibri"/>
          <w:b/>
        </w:rPr>
      </w:pPr>
      <w:r>
        <w:rPr>
          <w:rFonts w:eastAsia="Calibri"/>
          <w:b/>
        </w:rPr>
        <w:t>Propositions de recommandations</w:t>
      </w:r>
      <w:r w:rsidR="0006109B" w:rsidRPr="00F756DE">
        <w:rPr>
          <w:rFonts w:eastAsia="Calibri"/>
          <w:b/>
        </w:rPr>
        <w:t>:</w:t>
      </w:r>
    </w:p>
    <w:p w14:paraId="5AE5E152" w14:textId="535263CF" w:rsidR="00D118EE" w:rsidRPr="00BF3CDE" w:rsidRDefault="00D118EE" w:rsidP="00D118EE">
      <w:pPr>
        <w:pStyle w:val="SBEmpfehlungen"/>
      </w:pPr>
      <w:r w:rsidRPr="00BF3CDE">
        <w:t xml:space="preserve">Afin de garantir la </w:t>
      </w:r>
      <w:r w:rsidRPr="00BF3CDE">
        <w:rPr>
          <w:b/>
        </w:rPr>
        <w:t xml:space="preserve">non-discrimination </w:t>
      </w:r>
      <w:r w:rsidRPr="00BF3CDE">
        <w:t xml:space="preserve">des femmes en situation de handicap lors de la planification et de la mise en œuvre plus détaillées des mesures formulées dans la Stratégie égalité 2030 resp. du plan d’action, le </w:t>
      </w:r>
      <w:r w:rsidRPr="00BF3CDE">
        <w:rPr>
          <w:b/>
        </w:rPr>
        <w:t>BFEG</w:t>
      </w:r>
      <w:r w:rsidRPr="00BF3CDE">
        <w:t xml:space="preserve"> prévoit d’y associer les organisations de femmes </w:t>
      </w:r>
      <w:r w:rsidR="006F739C">
        <w:t>en situation de handicap</w:t>
      </w:r>
      <w:r w:rsidRPr="00BF3CDE">
        <w:t xml:space="preserve"> en temps opportun et de façon efficace.</w:t>
      </w:r>
    </w:p>
    <w:p w14:paraId="4001EE1E" w14:textId="77777777" w:rsidR="00D118EE" w:rsidRPr="00BF3CDE" w:rsidRDefault="00D118EE" w:rsidP="00D118EE">
      <w:pPr>
        <w:pStyle w:val="SBEmpfehlungen"/>
      </w:pPr>
      <w:r w:rsidRPr="00BF3CDE">
        <w:lastRenderedPageBreak/>
        <w:t xml:space="preserve">En complément de la Stratégie égalité 2030, le CF mandate une </w:t>
      </w:r>
      <w:r w:rsidRPr="00BF3CDE">
        <w:rPr>
          <w:b/>
        </w:rPr>
        <w:t>instance fédérale</w:t>
      </w:r>
      <w:r w:rsidRPr="00BF3CDE">
        <w:t xml:space="preserve"> (BFEH/BFEG) explicitement pour </w:t>
      </w:r>
      <w:r w:rsidRPr="00BF3CDE">
        <w:rPr>
          <w:b/>
        </w:rPr>
        <w:t>l’application de l’art. 6 CDPH</w:t>
      </w:r>
      <w:r w:rsidRPr="00BF3CDE">
        <w:t xml:space="preserve"> ainsi que de l’Observation générale n° 3, et y attribue les ressources nécessaires (selon un budget fondé).</w:t>
      </w:r>
    </w:p>
    <w:p w14:paraId="256C4FF1" w14:textId="20CBB2A6" w:rsidR="0006109B" w:rsidRPr="00F756DE" w:rsidRDefault="00D118EE" w:rsidP="00D118EE">
      <w:pPr>
        <w:pStyle w:val="SBEmpfehlungen"/>
      </w:pPr>
      <w:r w:rsidRPr="00BF3CDE">
        <w:t xml:space="preserve">Le </w:t>
      </w:r>
      <w:r w:rsidRPr="00BF3CDE">
        <w:rPr>
          <w:b/>
        </w:rPr>
        <w:t xml:space="preserve">BFEG </w:t>
      </w:r>
      <w:r w:rsidRPr="00BF3CDE">
        <w:t xml:space="preserve">veille lors de l’élaboration du plan d’action </w:t>
      </w:r>
      <w:r w:rsidR="0022738C">
        <w:t xml:space="preserve">national </w:t>
      </w:r>
      <w:r w:rsidRPr="00BF3CDE">
        <w:t xml:space="preserve">en vue de la </w:t>
      </w:r>
      <w:r w:rsidRPr="00BF3CDE">
        <w:rPr>
          <w:b/>
          <w:bCs/>
        </w:rPr>
        <w:t xml:space="preserve">mise en œuvre de la Convention d’Istanbul </w:t>
      </w:r>
      <w:r w:rsidRPr="00BF3CDE">
        <w:t>(</w:t>
      </w:r>
      <w:r w:rsidR="0022738C">
        <w:t>cf. art. 16 CDPH)</w:t>
      </w:r>
      <w:r w:rsidRPr="00BF3CDE">
        <w:t xml:space="preserve"> à la pleine </w:t>
      </w:r>
      <w:r w:rsidRPr="00BF3CDE">
        <w:rPr>
          <w:b/>
          <w:bCs/>
        </w:rPr>
        <w:t>inclusivité</w:t>
      </w:r>
      <w:r w:rsidRPr="00BF3CDE">
        <w:t xml:space="preserve"> de toutes les mesures envisagées, en y associant systématiquement les organisations de femmes en situation de handicap dès sa mise au point et jusqu’au contrôle de son efficacité (monitorage).</w:t>
      </w:r>
    </w:p>
    <w:p w14:paraId="4743A213" w14:textId="1323730A" w:rsidR="000B5897" w:rsidRDefault="000B5897" w:rsidP="000B5897">
      <w:pPr>
        <w:pStyle w:val="Heading3"/>
        <w:numPr>
          <w:ilvl w:val="0"/>
          <w:numId w:val="0"/>
        </w:numPr>
        <w:ind w:left="737" w:hanging="737"/>
        <w:rPr>
          <w:rFonts w:eastAsia="MS Gothic"/>
        </w:rPr>
      </w:pPr>
      <w:bookmarkStart w:id="42" w:name="_Toc91237778"/>
      <w:bookmarkStart w:id="43" w:name="_Toc93596134"/>
      <w:bookmarkStart w:id="44" w:name="_Toc93900206"/>
      <w:bookmarkStart w:id="45" w:name="_Toc95500330"/>
      <w:bookmarkStart w:id="46" w:name="_Toc96287600"/>
      <w:r w:rsidRPr="00BF3CDE">
        <w:rPr>
          <w:rFonts w:eastAsia="MS Gothic"/>
        </w:rPr>
        <w:t>Art. 7 – Enfants en situation de handicap</w:t>
      </w:r>
      <w:bookmarkEnd w:id="42"/>
      <w:bookmarkEnd w:id="43"/>
      <w:bookmarkEnd w:id="44"/>
      <w:bookmarkEnd w:id="45"/>
      <w:bookmarkEnd w:id="46"/>
    </w:p>
    <w:p w14:paraId="05D03466" w14:textId="77777777" w:rsidR="00D118EE" w:rsidRPr="00BF3CDE" w:rsidRDefault="00D118EE" w:rsidP="00D118EE">
      <w:pPr>
        <w:pStyle w:val="BodyText"/>
      </w:pPr>
      <w:r w:rsidRPr="00BF3CDE">
        <w:t xml:space="preserve">La </w:t>
      </w:r>
      <w:r w:rsidRPr="00BF3CDE">
        <w:rPr>
          <w:b/>
        </w:rPr>
        <w:t>LEEJ</w:t>
      </w:r>
      <w:r w:rsidRPr="00BF3CDE">
        <w:t xml:space="preserve"> (PRE para. 199) est en premier lieu une </w:t>
      </w:r>
      <w:r w:rsidRPr="00BF3CDE">
        <w:rPr>
          <w:b/>
        </w:rPr>
        <w:t>loi sur les aides financières sans exigences quant au contenu</w:t>
      </w:r>
      <w:r w:rsidRPr="00BF3CDE">
        <w:t xml:space="preserve"> de l’aménagement d’une politique de l’enfance et de la jeunesse. Les lois et politiques sont insuffisantes également à l’échelon (inter)cantonal. En l’état actuel des choses, aucune démarche n’a été entreprise afin d’améliorer l’approche intégrée des revendications des enfants handicapés.</w:t>
      </w:r>
      <w:r w:rsidRPr="00BF3CDE">
        <w:rPr>
          <w:rFonts w:eastAsia="Cambria" w:cs="Times New Roman"/>
          <w:vertAlign w:val="superscript"/>
        </w:rPr>
        <w:footnoteReference w:id="48"/>
      </w:r>
      <w:r w:rsidRPr="00BF3CDE">
        <w:t xml:space="preserve"> Il existe des carences concrètes entre autres au niveau des prestations générales et spécifiques au handicap (p. ex. prise en charge insuffisante lors de la détection et du soutien précoces, cf. en outre les art. 23 et 25 CDPH).</w:t>
      </w:r>
    </w:p>
    <w:p w14:paraId="1F76EBB2" w14:textId="77777777" w:rsidR="00D118EE" w:rsidRPr="00BF3CDE" w:rsidRDefault="00D118EE" w:rsidP="00D118EE">
      <w:pPr>
        <w:pStyle w:val="BodyText"/>
        <w:rPr>
          <w:i/>
          <w:iCs/>
        </w:rPr>
      </w:pPr>
      <w:r w:rsidRPr="00BF3CDE">
        <w:t xml:space="preserve">Des </w:t>
      </w:r>
      <w:r w:rsidRPr="00BF3CDE">
        <w:rPr>
          <w:b/>
        </w:rPr>
        <w:t>mécanismes spécifiques destinés à protéger les droits</w:t>
      </w:r>
      <w:r w:rsidRPr="00BF3CDE">
        <w:t xml:space="preserve"> des enfants en situation de handicap font défaut (LoI para. 4a). En revanche, il est réjouissant dans ce contexte qu’il soit prévu de </w:t>
      </w:r>
      <w:r w:rsidRPr="00BF3CDE">
        <w:lastRenderedPageBreak/>
        <w:t>créer un service de médiation de droit public dédié aux droits de l’enfant</w:t>
      </w:r>
      <w:r w:rsidRPr="00BF3CDE">
        <w:rPr>
          <w:iCs/>
        </w:rPr>
        <w:t>.</w:t>
      </w:r>
    </w:p>
    <w:p w14:paraId="303CDFCF" w14:textId="16599674" w:rsidR="00D118EE" w:rsidRPr="00BF3CDE" w:rsidRDefault="00D118EE" w:rsidP="00D118EE">
      <w:pPr>
        <w:pStyle w:val="BodyText"/>
      </w:pPr>
      <w:r w:rsidRPr="00BF3CDE">
        <w:t xml:space="preserve">Divers éléments </w:t>
      </w:r>
      <w:r w:rsidR="006F739C">
        <w:t>au niveau du droit et de la politique</w:t>
      </w:r>
      <w:r w:rsidRPr="00BF3CDE">
        <w:t xml:space="preserve"> conduisent à une </w:t>
      </w:r>
      <w:r w:rsidRPr="00BF3CDE">
        <w:rPr>
          <w:b/>
        </w:rPr>
        <w:t xml:space="preserve">discrimination multiple </w:t>
      </w:r>
      <w:r w:rsidRPr="00BF3CDE">
        <w:t xml:space="preserve">des enfants </w:t>
      </w:r>
      <w:r w:rsidR="00EE366E">
        <w:t>en situation de handicap</w:t>
      </w:r>
      <w:r w:rsidRPr="00BF3CDE">
        <w:t xml:space="preserve"> dont les familles ont </w:t>
      </w:r>
      <w:r w:rsidRPr="00BF3CDE">
        <w:rPr>
          <w:b/>
        </w:rPr>
        <w:t xml:space="preserve">immigré </w:t>
      </w:r>
      <w:r w:rsidRPr="00BF3CDE">
        <w:t xml:space="preserve">en Suisse. Cela concerne en particulier leurs droits à l’encouragement précoce et durable, l’accès aux prestations de l’État en matière de santé (psychique et physique) et de sécurité sociale (notamment l’AI), l’enseignement de base inclusif, la participation et </w:t>
      </w:r>
      <w:r w:rsidRPr="005C310E">
        <w:t>la prise en compte en tant que sujets agissants, la vie au sein de leur famille et la n</w:t>
      </w:r>
      <w:r w:rsidRPr="00BF3CDE">
        <w:t xml:space="preserve">aturalisation. </w:t>
      </w:r>
      <w:r w:rsidRPr="00BF3CDE">
        <w:rPr>
          <w:b/>
        </w:rPr>
        <w:t>Les requérants d’asile ainsi que les enfants et adolescents sans papiers en situation de handicap</w:t>
      </w:r>
      <w:r w:rsidRPr="00BF3CDE">
        <w:t xml:space="preserve"> sont tout particulièrement exposés à des violations de leurs droits.</w:t>
      </w:r>
      <w:r w:rsidRPr="00BF3CDE">
        <w:rPr>
          <w:rFonts w:eastAsia="Cambria" w:cs="Times New Roman"/>
          <w:vertAlign w:val="superscript"/>
        </w:rPr>
        <w:footnoteReference w:id="49"/>
      </w:r>
      <w:r w:rsidRPr="00BF3CDE">
        <w:t xml:space="preserve"> Il est regrettable que les recommandations de la CDAS destinées aux MNA (réponse à la LoI, para. 11) ne prennent en compte que marginalement les enfants concernés en situation de handicap.</w:t>
      </w:r>
    </w:p>
    <w:p w14:paraId="2A62E15E" w14:textId="77777777" w:rsidR="00D118EE" w:rsidRPr="00BF3CDE" w:rsidRDefault="00D118EE" w:rsidP="00D118EE">
      <w:pPr>
        <w:pStyle w:val="BodyText"/>
      </w:pPr>
      <w:r w:rsidRPr="00BF3CDE">
        <w:t>Récemment, le Comité des droits de l’enfant (CRC) a par ailleurs constaté une fois de plus que le concept du «</w:t>
      </w:r>
      <w:r w:rsidRPr="00BF3CDE">
        <w:rPr>
          <w:b/>
        </w:rPr>
        <w:t>bien de l’enfant</w:t>
      </w:r>
      <w:r w:rsidRPr="00BF3CDE">
        <w:t xml:space="preserve">» relevant du droit suisse ne concorde dans son principe pas avec la notion d’«intérêt supérieur de l’enfant», et qu’il est la cause d’une prise en compte insuffisante de celui-ci lors de décisions qui concernent les enfants (CRC/C/CHE/CO/5-6, para. 19). Des lignes directrices concernant la définition de «l’intérêt supérieur» </w:t>
      </w:r>
      <w:r w:rsidRPr="00BF3CDE">
        <w:lastRenderedPageBreak/>
        <w:t xml:space="preserve">de l’enfant font défaut, notamment aussi dans le cadre de la procédure d’asile (para. 43a) et de l’enseignement intégratif (cf. art. 24 CDPH). </w:t>
      </w:r>
    </w:p>
    <w:p w14:paraId="5200F098" w14:textId="4ABB4568" w:rsidR="00D118EE" w:rsidRPr="00D118EE" w:rsidRDefault="00D118EE" w:rsidP="00D118EE">
      <w:pPr>
        <w:pStyle w:val="BodyText"/>
      </w:pPr>
      <w:r w:rsidRPr="00BF3CDE">
        <w:t xml:space="preserve">En ce qui concerne la </w:t>
      </w:r>
      <w:r w:rsidRPr="00BF3CDE">
        <w:rPr>
          <w:b/>
        </w:rPr>
        <w:t>participation aux décisions les concernant</w:t>
      </w:r>
      <w:r w:rsidRPr="00BF3CDE">
        <w:t xml:space="preserve"> (LoI para. 4b), les enfants </w:t>
      </w:r>
      <w:r w:rsidR="00EE366E">
        <w:t>en situation de handicap</w:t>
      </w:r>
      <w:r w:rsidRPr="00BF3CDE">
        <w:t xml:space="preserve"> sont particulièrement désavantagés dans l’exercice de leurs </w:t>
      </w:r>
      <w:r w:rsidRPr="001D58B4">
        <w:rPr>
          <w:b/>
        </w:rPr>
        <w:t>droits de procédure</w:t>
      </w:r>
      <w:r w:rsidRPr="00BF3CDE">
        <w:t xml:space="preserve">. </w:t>
      </w:r>
      <w:r w:rsidR="001D58B4" w:rsidRPr="001D58B4">
        <w:t>Comme pour les adultes, la capacité d</w:t>
      </w:r>
      <w:r w:rsidR="001D58B4">
        <w:t>’</w:t>
      </w:r>
      <w:r w:rsidR="001D58B4" w:rsidRPr="001D58B4">
        <w:t xml:space="preserve">ester en justice et de témoigner est liée à leur </w:t>
      </w:r>
      <w:r w:rsidR="001D58B4">
        <w:t>«</w:t>
      </w:r>
      <w:r w:rsidR="001D58B4" w:rsidRPr="001D58B4">
        <w:t>capacité de discernement</w:t>
      </w:r>
      <w:r w:rsidR="001D58B4">
        <w:t>»</w:t>
      </w:r>
      <w:r w:rsidR="001D58B4" w:rsidRPr="001D58B4">
        <w:t>, sans qu</w:t>
      </w:r>
      <w:r w:rsidR="001D58B4">
        <w:t>’</w:t>
      </w:r>
      <w:r w:rsidR="001D58B4" w:rsidRPr="001D58B4">
        <w:t xml:space="preserve">une prise de décision assistée ne leur soit accordée; en plus de la </w:t>
      </w:r>
      <w:r w:rsidR="001D58B4" w:rsidRPr="001D58B4">
        <w:rPr>
          <w:b/>
        </w:rPr>
        <w:t>formation continue, des aménagements raisonnables et de l’assistance</w:t>
      </w:r>
      <w:r w:rsidR="001D58B4" w:rsidRPr="001D58B4">
        <w:t>, l</w:t>
      </w:r>
      <w:r w:rsidR="001D58B4">
        <w:t>’</w:t>
      </w:r>
      <w:r w:rsidR="001D58B4" w:rsidRPr="001D58B4">
        <w:t>accessibilité aux infrastructures, aux formes de communication et au matériel d</w:t>
      </w:r>
      <w:r w:rsidR="001D58B4">
        <w:t>’</w:t>
      </w:r>
      <w:r w:rsidR="001D58B4" w:rsidRPr="001D58B4">
        <w:t>information fait défaut (cf. art. 13 CDPH).</w:t>
      </w:r>
      <w:r w:rsidR="001D58B4">
        <w:t xml:space="preserve"> </w:t>
      </w:r>
      <w:r w:rsidRPr="00BF3CDE">
        <w:t>Une étude sur le droit des enfants à la participation a mis en lumière que l’approche selon les besoins (p. ex. «l’audition de l’enfant qualifiée de contrainte») reste de manière générale souvent prédominante en Suisse, en lieu et place d’une approche basée sur les droits de l’enfant qui accorde à ce dernier par principe et sans réserve, de par sa qualité d’être humain et d’enfant, le droit à la participation.</w:t>
      </w:r>
      <w:r w:rsidRPr="00BF3CDE">
        <w:rPr>
          <w:rFonts w:eastAsia="Cambria" w:cs="Times New Roman"/>
          <w:vertAlign w:val="superscript"/>
        </w:rPr>
        <w:footnoteReference w:id="50"/>
      </w:r>
      <w:r w:rsidRPr="00BF3CDE">
        <w:t xml:space="preserve"> Dans la pratique, le </w:t>
      </w:r>
      <w:r w:rsidRPr="001D58B4">
        <w:rPr>
          <w:b/>
        </w:rPr>
        <w:t>handicap</w:t>
      </w:r>
      <w:r w:rsidRPr="00BF3CDE">
        <w:t xml:space="preserve"> d’un enfant peut être invoqué, en référence à des clauses générales du CC et du CP</w:t>
      </w:r>
      <w:r w:rsidRPr="00BF3CDE">
        <w:rPr>
          <w:rFonts w:eastAsia="Cambria" w:cs="Times New Roman"/>
          <w:vertAlign w:val="superscript"/>
        </w:rPr>
        <w:footnoteReference w:id="51"/>
      </w:r>
      <w:r w:rsidRPr="00BF3CDE">
        <w:t xml:space="preserve">, comme justification pour ne </w:t>
      </w:r>
      <w:r w:rsidRPr="001D58B4">
        <w:rPr>
          <w:b/>
        </w:rPr>
        <w:t>pas l’auditionner</w:t>
      </w:r>
      <w:r w:rsidRPr="00BF3CDE">
        <w:t xml:space="preserve"> dans le cas d’espèce. Les enfants ayant un handicap intellectuel sont particulièrement exposés à des actes discriminatoires de la part d’autori</w:t>
      </w:r>
      <w:r w:rsidRPr="00BF3CDE">
        <w:lastRenderedPageBreak/>
        <w:t>tés et de tribunaux. Les carences s</w:t>
      </w:r>
      <w:r w:rsidR="00EE366E">
        <w:t>e</w:t>
      </w:r>
      <w:r w:rsidRPr="00BF3CDE">
        <w:t xml:space="preserve"> situent non seulement au niveau de la formation continue, des mesures adéquates et de l’assistance, mais aussi de l’accessibilité des infrastructures, des modes de communication et du matériel d’information.</w:t>
      </w:r>
    </w:p>
    <w:p w14:paraId="08AD7E5C" w14:textId="77777777" w:rsidR="0006109B" w:rsidRPr="00F756DE" w:rsidRDefault="000B5897" w:rsidP="0006109B">
      <w:pPr>
        <w:shd w:val="clear" w:color="auto" w:fill="FFFFCC"/>
        <w:spacing w:before="240"/>
        <w:rPr>
          <w:b/>
        </w:rPr>
      </w:pPr>
      <w:r>
        <w:rPr>
          <w:b/>
        </w:rPr>
        <w:t>Propositions de recommandations</w:t>
      </w:r>
      <w:r w:rsidR="0006109B" w:rsidRPr="00F756DE">
        <w:rPr>
          <w:b/>
        </w:rPr>
        <w:t>:</w:t>
      </w:r>
    </w:p>
    <w:p w14:paraId="3E30CA71" w14:textId="42846FAF" w:rsidR="00D118EE" w:rsidRPr="00BF3CDE" w:rsidRDefault="00D118EE" w:rsidP="00D118EE">
      <w:pPr>
        <w:pStyle w:val="SBEmpfehlungen"/>
      </w:pPr>
      <w:r w:rsidRPr="00BF3CDE">
        <w:t>La Conférence pour la politique de l</w:t>
      </w:r>
      <w:r w:rsidR="00EE366E">
        <w:t>’</w:t>
      </w:r>
      <w:r w:rsidRPr="00BF3CDE">
        <w:t xml:space="preserve">enfance et de la jeunesse </w:t>
      </w:r>
      <w:r w:rsidRPr="00BF3CDE">
        <w:rPr>
          <w:b/>
          <w:bCs/>
        </w:rPr>
        <w:t>CPEJ</w:t>
      </w:r>
      <w:r w:rsidRPr="00BF3CDE">
        <w:t xml:space="preserve"> développe des </w:t>
      </w:r>
      <w:r w:rsidRPr="00BF3CDE">
        <w:rPr>
          <w:b/>
        </w:rPr>
        <w:t xml:space="preserve">processus et critères en vue de la définition de «l’intérêt supérieur de l’enfant» </w:t>
      </w:r>
      <w:r w:rsidRPr="00BF3CDE">
        <w:t xml:space="preserve">en accord avec l’art. </w:t>
      </w:r>
      <w:r w:rsidR="001D58B4">
        <w:t>7</w:t>
      </w:r>
      <w:r w:rsidRPr="00BF3CDE">
        <w:t xml:space="preserve"> CDPH et destinés à tous les spécialistes concernés, en prenant spécifiquement en compte les droits des enfants </w:t>
      </w:r>
      <w:r w:rsidR="00EE366E">
        <w:t>en situation de handicap</w:t>
      </w:r>
      <w:r w:rsidRPr="00BF3CDE">
        <w:t xml:space="preserve"> exposés à des discriminations multiples. </w:t>
      </w:r>
    </w:p>
    <w:p w14:paraId="70D31695" w14:textId="77777777" w:rsidR="00D118EE" w:rsidRPr="00BF3CDE" w:rsidRDefault="00D118EE" w:rsidP="00D118EE">
      <w:pPr>
        <w:pStyle w:val="SBEmpfehlungen"/>
      </w:pPr>
      <w:r w:rsidRPr="00BF3CDE">
        <w:t xml:space="preserve">Les </w:t>
      </w:r>
      <w:r w:rsidRPr="00BF3CDE">
        <w:rPr>
          <w:b/>
        </w:rPr>
        <w:t>cantons</w:t>
      </w:r>
      <w:r w:rsidRPr="00BF3CDE">
        <w:t xml:space="preserve"> veillent à former toutes les collaboratrices et tous les collaborateurs des autorités et des tribunaux, dont les décisions concernent régulièrement (aussi) des enfants, dans l’</w:t>
      </w:r>
      <w:r w:rsidRPr="00BF3CDE">
        <w:rPr>
          <w:b/>
          <w:bCs/>
        </w:rPr>
        <w:t>application non discriminatoire des dispositions du droit de procédure</w:t>
      </w:r>
      <w:r w:rsidRPr="00BF3CDE">
        <w:t xml:space="preserve"> ainsi que dans l’</w:t>
      </w:r>
      <w:r w:rsidRPr="00BF3CDE">
        <w:rPr>
          <w:b/>
        </w:rPr>
        <w:t>octroi d’aménagements et d’assistance nécessaires</w:t>
      </w:r>
      <w:r w:rsidRPr="00BF3CDE">
        <w:t xml:space="preserve"> aux enfants en situation de handicap. </w:t>
      </w:r>
    </w:p>
    <w:p w14:paraId="02D53F88" w14:textId="59BB2C7F" w:rsidR="0006109B" w:rsidRPr="00F756DE" w:rsidRDefault="00D118EE" w:rsidP="00D118EE">
      <w:pPr>
        <w:pStyle w:val="SBEmpfehlungen"/>
      </w:pPr>
      <w:r w:rsidRPr="00BF3CDE">
        <w:t xml:space="preserve">La </w:t>
      </w:r>
      <w:r w:rsidRPr="00BF3CDE">
        <w:rPr>
          <w:b/>
        </w:rPr>
        <w:t>Confédération</w:t>
      </w:r>
      <w:r w:rsidRPr="00BF3CDE">
        <w:t xml:space="preserve"> garantit que le futur </w:t>
      </w:r>
      <w:r w:rsidRPr="00BF3CDE">
        <w:rPr>
          <w:b/>
          <w:bCs/>
        </w:rPr>
        <w:t>service de médiation pour les droits de l’enfant</w:t>
      </w:r>
      <w:r w:rsidRPr="00BF3CDE">
        <w:t xml:space="preserve"> soit </w:t>
      </w:r>
      <w:r w:rsidRPr="00BF3CDE">
        <w:rPr>
          <w:b/>
          <w:bCs/>
        </w:rPr>
        <w:t xml:space="preserve">entièrement accessible de façon inclusive </w:t>
      </w:r>
      <w:r w:rsidRPr="00BF3CDE">
        <w:t xml:space="preserve">à tous les enfants </w:t>
      </w:r>
      <w:r w:rsidR="00EE366E">
        <w:t>en situation de handicap</w:t>
      </w:r>
      <w:r w:rsidRPr="00BF3CDE">
        <w:t>.</w:t>
      </w:r>
    </w:p>
    <w:p w14:paraId="49F2E90C" w14:textId="77777777" w:rsidR="000B5897" w:rsidRPr="00BF3CDE" w:rsidRDefault="000B5897" w:rsidP="000B5897">
      <w:pPr>
        <w:pStyle w:val="Heading3"/>
        <w:numPr>
          <w:ilvl w:val="0"/>
          <w:numId w:val="0"/>
        </w:numPr>
        <w:ind w:left="737" w:hanging="737"/>
        <w:rPr>
          <w:rFonts w:eastAsia="MS Gothic"/>
        </w:rPr>
      </w:pPr>
      <w:bookmarkStart w:id="47" w:name="_Toc91237779"/>
      <w:bookmarkStart w:id="48" w:name="_Toc93596135"/>
      <w:bookmarkStart w:id="49" w:name="_Toc93900207"/>
      <w:bookmarkStart w:id="50" w:name="_Toc95500331"/>
      <w:bookmarkStart w:id="51" w:name="_Toc96287601"/>
      <w:r w:rsidRPr="00BF3CDE">
        <w:rPr>
          <w:rFonts w:eastAsia="MS Gothic"/>
        </w:rPr>
        <w:t>Art. 8 – Sensibilisation</w:t>
      </w:r>
      <w:bookmarkEnd w:id="47"/>
      <w:bookmarkEnd w:id="48"/>
      <w:bookmarkEnd w:id="49"/>
      <w:bookmarkEnd w:id="50"/>
      <w:bookmarkEnd w:id="51"/>
      <w:r w:rsidRPr="00BF3CDE">
        <w:rPr>
          <w:rFonts w:eastAsia="MS Gothic"/>
        </w:rPr>
        <w:t xml:space="preserve"> </w:t>
      </w:r>
    </w:p>
    <w:p w14:paraId="488545A8" w14:textId="455E6EA7" w:rsidR="00D118EE" w:rsidRPr="00BF3CDE" w:rsidRDefault="00D118EE" w:rsidP="00D118EE">
      <w:pPr>
        <w:pStyle w:val="BodyText"/>
      </w:pPr>
      <w:r w:rsidRPr="00BF3CDE">
        <w:t xml:space="preserve">Les professionnels de la pédagogie spécialisée (réponse LoI, para. 13) ne sont malheureusement pas tous sensibilisés à la </w:t>
      </w:r>
      <w:r w:rsidRPr="00BF3CDE">
        <w:rPr>
          <w:b/>
        </w:rPr>
        <w:t>nature juridique</w:t>
      </w:r>
      <w:r w:rsidRPr="00BF3CDE">
        <w:t xml:space="preserve"> </w:t>
      </w:r>
      <w:r w:rsidR="00EE366E">
        <w:t>du</w:t>
      </w:r>
      <w:r w:rsidRPr="00BF3CDE">
        <w:t xml:space="preserve"> droit à l’enseignement inclusif. Les «enseignant-</w:t>
      </w:r>
      <w:r w:rsidRPr="00BF3CDE">
        <w:lastRenderedPageBreak/>
        <w:t xml:space="preserve">e-s ordinaires», à plus forte raison, conçoivent l’inclusion uniquement comme un principe théorique, une tendance, une utopie ou un «droit mou» non contraignant, ou la mettent sur le même plan que l’intégration. Durant leur </w:t>
      </w:r>
      <w:r w:rsidRPr="00BF3CDE">
        <w:rPr>
          <w:b/>
          <w:bCs/>
        </w:rPr>
        <w:t>formation</w:t>
      </w:r>
      <w:r w:rsidRPr="00BF3CDE">
        <w:t>, ils n’acquièrent que peu de compétences fondées en vue de donner concrètement une forme inclusive à l’enseignement. Des professionnels de la pédagogie spécialisée rapportent qu’ils traitent certes du sujet de la CDPH durant leur formation, mais qu’ils se heurtent ensuite souvent, sur le terrain, à des structures (institutionnelles) ne permettant guère la mise en pratique d’une approche inclusive. Le manque de connaissance ou le désintérêt à l’égard des principes et contenus de droit international ainsi que des stéréotypes profondément ancrés amènent parfois même les spécialistes du droit, y compris les juges, à ne pas respecter les droits (cf. également les art. 13, 16, 24 CDPH). Les autorités, quant à elles, ne sont en général pas suffisamment informées de la CDPH.</w:t>
      </w:r>
      <w:r w:rsidRPr="00BF3CDE">
        <w:rPr>
          <w:rFonts w:eastAsia="Cambria" w:cs="Times New Roman"/>
          <w:vertAlign w:val="superscript"/>
        </w:rPr>
        <w:footnoteReference w:id="52"/>
      </w:r>
      <w:r w:rsidRPr="00BF3CDE">
        <w:t xml:space="preserve"> Dans l’ensemble, aucun </w:t>
      </w:r>
      <w:r w:rsidRPr="00BF3CDE">
        <w:rPr>
          <w:b/>
          <w:bCs/>
        </w:rPr>
        <w:t xml:space="preserve">cursus de formation ou de formation postgrade </w:t>
      </w:r>
      <w:r w:rsidRPr="00BF3CDE">
        <w:t xml:space="preserve">ne prévoit  – jusqu’à ce jour – de dispenser une connaissance approfondie des droits des PH de façon suffisamment contraignante et nuancée. </w:t>
      </w:r>
    </w:p>
    <w:p w14:paraId="3BCE0CA2" w14:textId="77777777" w:rsidR="00D118EE" w:rsidRPr="00BF3CDE" w:rsidRDefault="00D118EE" w:rsidP="00D118EE">
      <w:pPr>
        <w:pStyle w:val="BodyText"/>
      </w:pPr>
      <w:r w:rsidRPr="00BF3CDE">
        <w:t xml:space="preserve">D’autre part, de nombreuses </w:t>
      </w:r>
      <w:r w:rsidRPr="00BF3CDE">
        <w:rPr>
          <w:rFonts w:eastAsia="Calibri"/>
          <w:b/>
          <w:color w:val="000000"/>
        </w:rPr>
        <w:t>PH</w:t>
      </w:r>
      <w:r w:rsidRPr="00BF3CDE">
        <w:t xml:space="preserve"> et leurs proches n’ont pas conscience de leurs droits, et le financement d’actions </w:t>
      </w:r>
      <w:r>
        <w:t>menées à bien</w:t>
      </w:r>
      <w:r w:rsidRPr="00BF3CDE">
        <w:t xml:space="preserve"> dans ce domaine par les organisations de PH (réponse à la LoI para. 14) est actuellement remis en cause par une révision de la loi. </w:t>
      </w:r>
    </w:p>
    <w:p w14:paraId="6AC76B15" w14:textId="35860ED6" w:rsidR="00D118EE" w:rsidRPr="00BF3CDE" w:rsidRDefault="00D118EE" w:rsidP="00D118EE">
      <w:pPr>
        <w:pStyle w:val="BodyText"/>
        <w:rPr>
          <w:sz w:val="20"/>
          <w:szCs w:val="20"/>
        </w:rPr>
      </w:pPr>
      <w:r w:rsidRPr="00BF3CDE">
        <w:lastRenderedPageBreak/>
        <w:t xml:space="preserve">Selon des enquêtes réalisées auprès de la population, les actions de sensibilisation mentionnées par la Suisse ne semblent malheureusement pas avoir réduit les </w:t>
      </w:r>
      <w:r w:rsidRPr="00BF3CDE">
        <w:rPr>
          <w:b/>
        </w:rPr>
        <w:t>stéréotypes et préjugés</w:t>
      </w:r>
      <w:r w:rsidRPr="00BF3CDE">
        <w:t xml:space="preserve"> (LoI, para. 5.b) à l’égard des PH. Au contraire: ces dernières années, leur stigmatisation sociétale a eu plutôt tendance à s’accentuer; les handicaps psychiques, notamment, sont souvent tabouisés.</w:t>
      </w:r>
      <w:r w:rsidRPr="00BF3CDE">
        <w:rPr>
          <w:rFonts w:eastAsia="Cambria" w:cs="Times New Roman"/>
          <w:vertAlign w:val="superscript"/>
        </w:rPr>
        <w:footnoteReference w:id="53"/>
      </w:r>
      <w:r w:rsidRPr="00BF3CDE">
        <w:t xml:space="preserve"> Dans le cadre du référendum sur la surveillance des personnes au bénéfice de prestations sociales (art. 22 CDPH), une propagande virulente a été menée à l’encontre des «fraudeuses et fraudeurs à l’assurance». </w:t>
      </w:r>
    </w:p>
    <w:p w14:paraId="7F63E25C" w14:textId="77777777" w:rsidR="00D118EE" w:rsidRPr="00BF3CDE" w:rsidRDefault="00D118EE" w:rsidP="00D118EE">
      <w:pPr>
        <w:pStyle w:val="BodyText"/>
      </w:pPr>
      <w:r w:rsidRPr="00BF3CDE">
        <w:t xml:space="preserve">De manière générale, des attitudes discriminatoires s’observent notamment en ce qui concerne le droit à l’autodétermination, le choix des modalités de logement, la formation et la fondation d’une famille pour les personnes ayant des handicaps intellectuels et psychiques ainsi que le droit à la scolarisation inclusive des enfants  </w:t>
      </w:r>
      <w:r>
        <w:t>présentant</w:t>
      </w:r>
      <w:r w:rsidRPr="00BF3CDE">
        <w:t xml:space="preserve"> des handicaps intellectuels et des troubles du comportement.</w:t>
      </w:r>
      <w:r w:rsidRPr="00BF3CDE">
        <w:rPr>
          <w:rFonts w:eastAsia="Cambria" w:cs="Times New Roman"/>
          <w:vertAlign w:val="superscript"/>
        </w:rPr>
        <w:footnoteReference w:id="54"/>
      </w:r>
      <w:r w:rsidRPr="00BF3CDE">
        <w:t xml:space="preserve"> En Suisse, la conscience à l’égard du capacitisme (</w:t>
      </w:r>
      <w:r>
        <w:t xml:space="preserve">ou </w:t>
      </w:r>
      <w:r w:rsidRPr="00BF3CDE">
        <w:t>«validisme»</w:t>
      </w:r>
      <w:r>
        <w:t>, terme utilisé en France</w:t>
      </w:r>
      <w:r w:rsidRPr="00BF3CDE">
        <w:t>) et de ses mécanismes n’est guère développée,</w:t>
      </w:r>
      <w:r w:rsidRPr="00BF3CDE">
        <w:rPr>
          <w:vertAlign w:val="superscript"/>
        </w:rPr>
        <w:footnoteReference w:id="55"/>
      </w:r>
      <w:r w:rsidRPr="00BF3CDE">
        <w:t xml:space="preserve"> pas plus qu’en matière de langage non discriminatoire à l’égard des </w:t>
      </w:r>
      <w:r>
        <w:t>PH</w:t>
      </w:r>
      <w:r w:rsidRPr="00BF3CDE">
        <w:t xml:space="preserve"> (à la différence du langage non sexiste). </w:t>
      </w:r>
    </w:p>
    <w:p w14:paraId="35EFEC9E" w14:textId="77777777" w:rsidR="00D118EE" w:rsidRPr="00BF3CDE" w:rsidRDefault="00D118EE" w:rsidP="00D118EE">
      <w:pPr>
        <w:pStyle w:val="BodyText"/>
      </w:pPr>
      <w:r w:rsidRPr="00BF3CDE">
        <w:t>L’</w:t>
      </w:r>
      <w:r w:rsidRPr="00BF3CDE">
        <w:rPr>
          <w:b/>
        </w:rPr>
        <w:t>intérêt des médias</w:t>
      </w:r>
      <w:r w:rsidRPr="00BF3CDE">
        <w:t xml:space="preserve"> à l’égard des conditions de vie des PH, et en partie de leurs droits, a certes légèrement augmenté ces dernières années. Or, l’intérêt ne porte souvent que sur un nombre </w:t>
      </w:r>
      <w:r w:rsidRPr="00BF3CDE">
        <w:lastRenderedPageBreak/>
        <w:t>limité de types de handicaps et les femmes y sont sous-représentées. On constate également qu’il est fréquent de thématiser des «destins», au lieu d’évoquer les déficits structurels.</w:t>
      </w:r>
    </w:p>
    <w:p w14:paraId="06E34463" w14:textId="5055335A" w:rsidR="0006109B" w:rsidRPr="00F756DE" w:rsidRDefault="00D118EE" w:rsidP="00D118EE">
      <w:pPr>
        <w:pStyle w:val="BodyText"/>
      </w:pPr>
      <w:r w:rsidRPr="00BF3CDE">
        <w:t>Pour parvenir à combattre systématiquement ces stéréotypes et préjugés, le financement «passif» de projets de sensibilisation par le BFEH (réponse à la LoI, para. 14) semble insuffisant à lui seul.</w:t>
      </w:r>
    </w:p>
    <w:p w14:paraId="57C337F8" w14:textId="77777777" w:rsidR="0006109B" w:rsidRDefault="000B5897" w:rsidP="000B5897">
      <w:pPr>
        <w:shd w:val="clear" w:color="auto" w:fill="FFFFCC"/>
        <w:autoSpaceDE w:val="0"/>
        <w:autoSpaceDN w:val="0"/>
        <w:adjustRightInd w:val="0"/>
        <w:spacing w:before="240" w:after="0"/>
        <w:rPr>
          <w:rFonts w:eastAsia="Calibri"/>
          <w:b/>
          <w:color w:val="000000"/>
        </w:rPr>
      </w:pPr>
      <w:r>
        <w:rPr>
          <w:rFonts w:eastAsia="Calibri"/>
          <w:b/>
          <w:color w:val="000000"/>
        </w:rPr>
        <w:t>Propositions de recommandations</w:t>
      </w:r>
      <w:r w:rsidR="0006109B" w:rsidRPr="00F756DE">
        <w:rPr>
          <w:rFonts w:eastAsia="Calibri"/>
          <w:b/>
          <w:color w:val="000000"/>
        </w:rPr>
        <w:t>:</w:t>
      </w:r>
    </w:p>
    <w:p w14:paraId="2DA75C30" w14:textId="77777777" w:rsidR="00D118EE" w:rsidRPr="00BF3CDE" w:rsidRDefault="00D118EE" w:rsidP="00D118EE">
      <w:pPr>
        <w:pStyle w:val="SBEmpfehlungen"/>
        <w:rPr>
          <w:b/>
        </w:rPr>
      </w:pPr>
      <w:r w:rsidRPr="00BF3CDE">
        <w:rPr>
          <w:b/>
        </w:rPr>
        <w:t>La Confédération et les cantons</w:t>
      </w:r>
      <w:r w:rsidRPr="00BF3CDE">
        <w:t xml:space="preserve"> développent des </w:t>
      </w:r>
      <w:r w:rsidRPr="00BF3CDE">
        <w:rPr>
          <w:b/>
        </w:rPr>
        <w:t>standards contraignants et nuancés</w:t>
      </w:r>
      <w:r w:rsidRPr="00BF3CDE">
        <w:t xml:space="preserve"> pour la transmission du savoir en matière de droits liés à la CDPH, et ce à l’intention des cursus de formation et de formation postgrade des catégories professionnelles concernées.</w:t>
      </w:r>
    </w:p>
    <w:p w14:paraId="77471329" w14:textId="2B41BD42" w:rsidR="000B5897" w:rsidRPr="00D118EE" w:rsidRDefault="00D118EE" w:rsidP="00D118EE">
      <w:pPr>
        <w:pStyle w:val="SBEmpfehlungen"/>
        <w:rPr>
          <w:b/>
        </w:rPr>
      </w:pPr>
      <w:r w:rsidRPr="00BF3CDE">
        <w:t xml:space="preserve">Le </w:t>
      </w:r>
      <w:r w:rsidRPr="00BF3CDE">
        <w:rPr>
          <w:b/>
        </w:rPr>
        <w:t>BFEH</w:t>
      </w:r>
      <w:r w:rsidRPr="00BF3CDE">
        <w:t xml:space="preserve"> s’oriente, lors du financement de campagnes d’information, d’actions de sensibilisation, etc. davantage selon une </w:t>
      </w:r>
      <w:r w:rsidRPr="00BF3CDE">
        <w:rPr>
          <w:b/>
        </w:rPr>
        <w:t>approche systématique et coordonnée en vue de combattre les préjugés</w:t>
      </w:r>
      <w:r w:rsidRPr="00BF3CDE">
        <w:t xml:space="preserve"> dans les différents domaines de la vie.</w:t>
      </w:r>
    </w:p>
    <w:p w14:paraId="7CB70593" w14:textId="77777777" w:rsidR="000B5897" w:rsidRPr="00BF3CDE" w:rsidRDefault="000B5897" w:rsidP="000B5897">
      <w:pPr>
        <w:pStyle w:val="Heading3"/>
        <w:numPr>
          <w:ilvl w:val="0"/>
          <w:numId w:val="0"/>
        </w:numPr>
        <w:ind w:left="737" w:hanging="737"/>
      </w:pPr>
      <w:bookmarkStart w:id="52" w:name="_Toc93900208"/>
      <w:bookmarkStart w:id="53" w:name="_Toc95500332"/>
      <w:bookmarkStart w:id="54" w:name="_Ref95898270"/>
      <w:bookmarkStart w:id="55" w:name="_Ref96099056"/>
      <w:bookmarkStart w:id="56" w:name="_Ref96099072"/>
      <w:bookmarkStart w:id="57" w:name="_Toc96287602"/>
      <w:r w:rsidRPr="00BF3CDE">
        <w:t>Art. 9 – Accessibilité</w:t>
      </w:r>
      <w:bookmarkEnd w:id="52"/>
      <w:bookmarkEnd w:id="53"/>
      <w:bookmarkEnd w:id="54"/>
      <w:bookmarkEnd w:id="55"/>
      <w:bookmarkEnd w:id="56"/>
      <w:bookmarkEnd w:id="57"/>
      <w:r w:rsidRPr="00BF3CDE">
        <w:t xml:space="preserve"> </w:t>
      </w:r>
    </w:p>
    <w:p w14:paraId="145DD802" w14:textId="77777777" w:rsidR="0006109B" w:rsidRPr="00F756DE" w:rsidRDefault="000B5897" w:rsidP="000B5897">
      <w:pPr>
        <w:pStyle w:val="Subtitle"/>
        <w:rPr>
          <w:lang w:eastAsia="de-CH"/>
        </w:rPr>
      </w:pPr>
      <w:r w:rsidRPr="000B5897">
        <w:t>Généralités</w:t>
      </w:r>
    </w:p>
    <w:p w14:paraId="6F348516" w14:textId="71CA2561" w:rsidR="0006109B" w:rsidRPr="00F756DE" w:rsidRDefault="00D118EE" w:rsidP="00D118EE">
      <w:r w:rsidRPr="00BF3CDE">
        <w:t xml:space="preserve">À la question du Comité (LoI, para. 6a) concernant un </w:t>
      </w:r>
      <w:r w:rsidRPr="00BF3CDE">
        <w:rPr>
          <w:b/>
        </w:rPr>
        <w:t>plan national en faveur de l’accessibilité entre autres dans les domaines des transports, de la construction ainsi que de la communication et de l’information à tous les échelons fédéraux, assorti d’un calendrier,</w:t>
      </w:r>
      <w:r w:rsidRPr="00BF3CDE">
        <w:rPr>
          <w:bCs/>
        </w:rPr>
        <w:t xml:space="preserve"> la Suisse se contente de se référer à la LHand comme</w:t>
      </w:r>
      <w:r w:rsidRPr="00BF3CDE">
        <w:t xml:space="preserve"> «fondement de toutes les actions entreprises dans le but de garantir ou d’améliorer l’accessibilité en Suisse» </w:t>
      </w:r>
      <w:r w:rsidRPr="00BF3CDE">
        <w:lastRenderedPageBreak/>
        <w:t xml:space="preserve">(réponse à la LoI, para. 15). Ces arguments ne sont pas recevables: il n’existe </w:t>
      </w:r>
      <w:r>
        <w:t xml:space="preserve">en effet </w:t>
      </w:r>
      <w:r w:rsidRPr="00BF3CDE">
        <w:t xml:space="preserve">pas de tel plan visant l’application de l’art. 9 CDPH en Suisse. La LHand, en vigueur depuis 2004, est une loi qui exige </w:t>
      </w:r>
      <w:r w:rsidRPr="00BF3CDE">
        <w:rPr>
          <w:b/>
          <w:bCs/>
        </w:rPr>
        <w:t>l’élimination d’obstacles à l’accès</w:t>
      </w:r>
      <w:r w:rsidRPr="00BF3CDE">
        <w:t xml:space="preserve"> dans certains domaines choisis et qui a tout à fait permis d’améliorer la situation, notamment dans le domaine des TP; or à l’exception de ce domaine</w:t>
      </w:r>
      <w:r w:rsidRPr="00BF3CDE">
        <w:rPr>
          <w:rStyle w:val="FootnoteReference"/>
        </w:rPr>
        <w:footnoteReference w:id="56"/>
      </w:r>
      <w:r w:rsidRPr="00BF3CDE">
        <w:t xml:space="preserve">, elle ne prévoit ni calendrier ni délais. De plus, </w:t>
      </w:r>
      <w:r>
        <w:rPr>
          <w:b/>
          <w:bCs/>
        </w:rPr>
        <w:t>la LHand</w:t>
      </w:r>
      <w:r w:rsidRPr="00BF3CDE">
        <w:rPr>
          <w:b/>
          <w:bCs/>
        </w:rPr>
        <w:t xml:space="preserve"> </w:t>
      </w:r>
      <w:r>
        <w:rPr>
          <w:b/>
          <w:bCs/>
        </w:rPr>
        <w:t>ignore complètement l’ensemble des</w:t>
      </w:r>
      <w:r w:rsidRPr="00BF3CDE">
        <w:rPr>
          <w:b/>
          <w:bCs/>
        </w:rPr>
        <w:t xml:space="preserve"> services fournis par les cantons et communes</w:t>
      </w:r>
      <w:r w:rsidRPr="00BF3CDE">
        <w:t xml:space="preserve">. S’ajoutent à cela les </w:t>
      </w:r>
      <w:r w:rsidRPr="00BF3CDE">
        <w:rPr>
          <w:b/>
        </w:rPr>
        <w:t xml:space="preserve">problèmes </w:t>
      </w:r>
      <w:r w:rsidRPr="00BF3CDE">
        <w:rPr>
          <w:bCs/>
        </w:rPr>
        <w:t xml:space="preserve">suivants </w:t>
      </w:r>
      <w:r w:rsidRPr="00BF3CDE">
        <w:rPr>
          <w:b/>
        </w:rPr>
        <w:t>en partie gravissimes qui sont spécifiques à certains domaines</w:t>
      </w:r>
      <w:r w:rsidRPr="00BF3CDE">
        <w:t>:</w:t>
      </w:r>
    </w:p>
    <w:p w14:paraId="4CE29E51" w14:textId="77777777" w:rsidR="000B5897" w:rsidRPr="00BF3CDE" w:rsidRDefault="000B5897" w:rsidP="000B5897">
      <w:pPr>
        <w:pStyle w:val="Subtitle"/>
      </w:pPr>
      <w:r w:rsidRPr="00BF3CDE">
        <w:t xml:space="preserve">Constructions et installations </w:t>
      </w:r>
    </w:p>
    <w:p w14:paraId="1C998AE3" w14:textId="7D2C1188" w:rsidR="00D118EE" w:rsidRPr="00BF3CDE" w:rsidRDefault="00D118EE" w:rsidP="00D118EE">
      <w:pPr>
        <w:pStyle w:val="BodyText"/>
      </w:pPr>
      <w:r w:rsidRPr="00BF3CDE">
        <w:t xml:space="preserve">Les </w:t>
      </w:r>
      <w:r w:rsidRPr="00BF3CDE">
        <w:rPr>
          <w:b/>
        </w:rPr>
        <w:t>constructions et installations existantes</w:t>
      </w:r>
      <w:r w:rsidRPr="00BF3CDE">
        <w:t xml:space="preserve"> ne f</w:t>
      </w:r>
      <w:r>
        <w:t>aisant</w:t>
      </w:r>
      <w:r w:rsidRPr="00BF3CDE">
        <w:t xml:space="preserve"> pas l’objet de travaux de transformation</w:t>
      </w:r>
      <w:r w:rsidRPr="00BF3CDE">
        <w:rPr>
          <w:bCs/>
        </w:rPr>
        <w:t xml:space="preserve"> ne sont de fait pas visées par l’obligation</w:t>
      </w:r>
      <w:r w:rsidRPr="00BF3CDE">
        <w:rPr>
          <w:b/>
        </w:rPr>
        <w:t xml:space="preserve"> </w:t>
      </w:r>
      <w:r w:rsidRPr="00BF3CDE">
        <w:t xml:space="preserve">de respecter les règles en matière de constructions sans obstacles </w:t>
      </w:r>
      <w:r>
        <w:t>au sens de</w:t>
      </w:r>
      <w:r w:rsidRPr="00BF3CDE">
        <w:t xml:space="preserve"> l’art. 3 let. a LHand.</w:t>
      </w:r>
      <w:r w:rsidR="00EE366E" w:rsidRPr="00BF3CDE">
        <w:rPr>
          <w:rStyle w:val="FootnoteReference"/>
        </w:rPr>
        <w:footnoteReference w:id="57"/>
      </w:r>
      <w:r w:rsidRPr="00BF3CDE">
        <w:t xml:space="preserve"> Les compétences spécifiques nécessaires à la mise en œuvre de cette disposition font trop souvent défaut aux autorités (le plus souvent communales) chargées de délivrer les permis de construire; l’application de l’art. 9 CDPH n’est en effet pas systématiquement contrôlée durant la procédure d’octroi du permis de construire. Dans le domaine de la construction de logements, la LHand (art. 3 let. c) ne déploie quasi aucun effet, notamment en zone rurale, en raison de </w:t>
      </w:r>
      <w:r w:rsidRPr="00BF3CDE">
        <w:lastRenderedPageBreak/>
        <w:t>la limite minimale élevée de 8 unités de logements qu’elle impose.</w:t>
      </w:r>
      <w:r w:rsidRPr="00BF3CDE">
        <w:rPr>
          <w:rStyle w:val="FootnoteReference"/>
          <w:rFonts w:eastAsia="MS Gothic"/>
        </w:rPr>
        <w:footnoteReference w:id="58"/>
      </w:r>
      <w:r w:rsidRPr="00BF3CDE">
        <w:t xml:space="preserve"> </w:t>
      </w:r>
    </w:p>
    <w:p w14:paraId="4971EED8" w14:textId="77777777" w:rsidR="00D118EE" w:rsidRPr="00BF3CDE" w:rsidRDefault="00D118EE" w:rsidP="00D118EE">
      <w:r w:rsidRPr="00BF3CDE">
        <w:t>La Suisse défend le point de vue (réponse à la LoI para. 18) que la norme SIA 500 «constitue la base de l’évaluation de l’accessibilité des immeubles d’habitation et commerciaux dans tous les cantons», en soulignant de manière détaillée que les immeubles promus par la Confédération</w:t>
      </w:r>
      <w:r w:rsidRPr="00BF3CDE">
        <w:rPr>
          <w:rStyle w:val="FootnoteReference"/>
        </w:rPr>
        <w:footnoteReference w:id="59"/>
      </w:r>
      <w:r w:rsidRPr="00BF3CDE">
        <w:t xml:space="preserve"> doivent satisfaire à cette norme. Elle fait toutefois l’impasse sur le fait: </w:t>
      </w:r>
    </w:p>
    <w:p w14:paraId="32E4C024" w14:textId="77777777" w:rsidR="00D118EE" w:rsidRPr="00BF3CDE" w:rsidRDefault="00D118EE" w:rsidP="00E77057">
      <w:pPr>
        <w:pStyle w:val="BaukastenAufzaehlung"/>
      </w:pPr>
      <w:r w:rsidRPr="00BF3CDE">
        <w:t xml:space="preserve">que cette norme n’est </w:t>
      </w:r>
      <w:r w:rsidRPr="00EE366E">
        <w:rPr>
          <w:b/>
        </w:rPr>
        <w:t>juridiquement contraignante</w:t>
      </w:r>
      <w:r w:rsidRPr="00BF3CDE">
        <w:t xml:space="preserve"> pour l’ensemble des constructions et installations restantes que si ces dernières sont la </w:t>
      </w:r>
      <w:r w:rsidRPr="00EE366E">
        <w:rPr>
          <w:b/>
        </w:rPr>
        <w:t>propriété de la Confédération</w:t>
      </w:r>
      <w:r w:rsidRPr="00BF3CDE">
        <w:rPr>
          <w:rStyle w:val="FootnoteReference"/>
        </w:rPr>
        <w:footnoteReference w:id="60"/>
      </w:r>
      <w:r w:rsidRPr="00BF3CDE">
        <w:t xml:space="preserve"> ou que les </w:t>
      </w:r>
      <w:r w:rsidRPr="00EE366E">
        <w:rPr>
          <w:b/>
        </w:rPr>
        <w:t>cantons s’y réfèrent explicitement dans leur législation</w:t>
      </w:r>
      <w:r w:rsidRPr="00BF3CDE">
        <w:t>, ce qui n’est pas toujours le cas;</w:t>
      </w:r>
    </w:p>
    <w:p w14:paraId="2CE0770C" w14:textId="24508859" w:rsidR="0006109B" w:rsidRPr="00D118EE" w:rsidRDefault="00D118EE" w:rsidP="00E77057">
      <w:pPr>
        <w:pStyle w:val="BaukastenAufzaehlung"/>
      </w:pPr>
      <w:r w:rsidRPr="00BF3CDE">
        <w:t xml:space="preserve">que la norme VSS SN 640 075, qui est très importante en matière </w:t>
      </w:r>
      <w:r w:rsidRPr="00586637">
        <w:rPr>
          <w:b/>
          <w:bCs/>
        </w:rPr>
        <w:t>d’accessibilité de l’espace public</w:t>
      </w:r>
      <w:r w:rsidRPr="00BF3CDE">
        <w:t xml:space="preserve">, ne revêt de loin pas un caractère contraignant dans tous les cantons. </w:t>
      </w:r>
    </w:p>
    <w:p w14:paraId="3A43D73C" w14:textId="77777777" w:rsidR="000B5897" w:rsidRDefault="000B5897" w:rsidP="000B5897">
      <w:pPr>
        <w:pStyle w:val="Subtitle"/>
      </w:pPr>
      <w:r w:rsidRPr="00BF3CDE">
        <w:t>Transports publics</w:t>
      </w:r>
    </w:p>
    <w:p w14:paraId="01973312" w14:textId="77777777" w:rsidR="00D118EE" w:rsidRPr="00BF3CDE" w:rsidRDefault="00D118EE" w:rsidP="00D118EE">
      <w:pPr>
        <w:pStyle w:val="BodyText"/>
      </w:pPr>
      <w:r>
        <w:t>Dans le R</w:t>
      </w:r>
      <w:r w:rsidRPr="00BF3CDE">
        <w:t>apport sur la politique en faveur des PH de 2018</w:t>
      </w:r>
      <w:r>
        <w:t xml:space="preserve">, </w:t>
      </w:r>
      <w:r w:rsidRPr="00BF3CDE">
        <w:t xml:space="preserve">un </w:t>
      </w:r>
      <w:r w:rsidRPr="00BF3CDE">
        <w:rPr>
          <w:b/>
          <w:bCs/>
        </w:rPr>
        <w:t>concept global</w:t>
      </w:r>
      <w:r w:rsidRPr="00BF3CDE">
        <w:t>, coordonné selon une conception universelle</w:t>
      </w:r>
      <w:r>
        <w:t xml:space="preserve"> et</w:t>
      </w:r>
      <w:r w:rsidRPr="00BF3CDE">
        <w:t xml:space="preserve"> </w:t>
      </w:r>
      <w:r w:rsidRPr="00BF3CDE">
        <w:rPr>
          <w:b/>
          <w:bCs/>
        </w:rPr>
        <w:t xml:space="preserve">visant à garantir l’accessibilité des TP au sens de l’art. 9 </w:t>
      </w:r>
      <w:r w:rsidRPr="00BF3CDE">
        <w:rPr>
          <w:b/>
          <w:bCs/>
        </w:rPr>
        <w:lastRenderedPageBreak/>
        <w:t xml:space="preserve">CDPH par les acteurs en charge </w:t>
      </w:r>
      <w:r w:rsidRPr="00BF3CDE">
        <w:t>de ce secteur</w:t>
      </w:r>
      <w:r>
        <w:t>, fait toujours défaut</w:t>
      </w:r>
      <w:r w:rsidRPr="00BF3CDE">
        <w:t xml:space="preserve">. </w:t>
      </w:r>
      <w:r>
        <w:t>Entretemps,</w:t>
      </w:r>
      <w:r w:rsidRPr="00BF3CDE">
        <w:t xml:space="preserve"> il est incontesté que le délai de 20 ans prévu dans l’art. 22 al. 1 LHand (échéance fin 2023), selon lequel les constructions, installations et véhicules des TP devraient être rendus accessibles,</w:t>
      </w:r>
      <w:r>
        <w:t xml:space="preserve"> </w:t>
      </w:r>
      <w:r w:rsidRPr="00BF3CDE">
        <w:t xml:space="preserve">ne sera pas tenu. Il existe certes un instrument de planification en vue de la mise en œuvre des exigences découlant de la LHand, mais il s’applique </w:t>
      </w:r>
      <w:r w:rsidRPr="00BF3CDE">
        <w:rPr>
          <w:b/>
        </w:rPr>
        <w:t>au seul domaine du trafic ferroviaire</w:t>
      </w:r>
      <w:r w:rsidRPr="00BF3CDE">
        <w:t xml:space="preserve">, et ce </w:t>
      </w:r>
      <w:r w:rsidRPr="00BF3CDE">
        <w:rPr>
          <w:b/>
        </w:rPr>
        <w:t>uniquement à compter de 2018</w:t>
      </w:r>
      <w:r w:rsidRPr="00BF3CDE">
        <w:t>.</w:t>
      </w:r>
      <w:r w:rsidRPr="00BF3CDE">
        <w:rPr>
          <w:rStyle w:val="FootnoteReference"/>
        </w:rPr>
        <w:footnoteReference w:id="61"/>
      </w:r>
      <w:r w:rsidRPr="00BF3CDE">
        <w:t xml:space="preserve"> </w:t>
      </w:r>
    </w:p>
    <w:p w14:paraId="208EE47A" w14:textId="77777777" w:rsidR="00D118EE" w:rsidRPr="00BF3CDE" w:rsidRDefault="00D118EE" w:rsidP="00D118EE">
      <w:pPr>
        <w:pStyle w:val="BodyText"/>
      </w:pPr>
      <w:r w:rsidRPr="00BF3CDE">
        <w:t>Les chiffres mentionnés dans le PRE concernant le domaine des transports publics ne reflètent que très partiellement la réalité en matière de mise en œuvre de l’art. 9 CDPH.</w:t>
      </w:r>
      <w:r w:rsidRPr="00BF3CDE">
        <w:rPr>
          <w:rStyle w:val="FootnoteReference"/>
        </w:rPr>
        <w:footnoteReference w:id="62"/>
      </w:r>
      <w:r w:rsidRPr="00BF3CDE">
        <w:t xml:space="preserve"> D’après des estimations, </w:t>
      </w:r>
      <w:r w:rsidRPr="00BF3CDE">
        <w:rPr>
          <w:b/>
        </w:rPr>
        <w:t>plus de 90% des arrêts de bus en Suisse restent inaccessibles aux PH</w:t>
      </w:r>
      <w:r w:rsidRPr="00BF3CDE">
        <w:t>.</w:t>
      </w:r>
      <w:r w:rsidRPr="00BF3CDE">
        <w:rPr>
          <w:rStyle w:val="FootnoteReference"/>
          <w:rFonts w:eastAsia="MS Gothic"/>
        </w:rPr>
        <w:footnoteReference w:id="63"/>
      </w:r>
      <w:r w:rsidRPr="00BF3CDE">
        <w:t xml:space="preserve"> L’affirmation selon laquelle 80% à 90% des systèmes de communication et d’émission de billets auraient été </w:t>
      </w:r>
      <w:r w:rsidRPr="00BF3CDE">
        <w:lastRenderedPageBreak/>
        <w:t xml:space="preserve">adaptés jusqu’à l’échéance du délai en 2013 doit être </w:t>
      </w:r>
      <w:r>
        <w:t>fortement</w:t>
      </w:r>
      <w:r w:rsidRPr="00BF3CDE">
        <w:t xml:space="preserve"> relativisée</w:t>
      </w:r>
      <w:r w:rsidRPr="00BF3CDE">
        <w:rPr>
          <w:rStyle w:val="FootnoteReference"/>
        </w:rPr>
        <w:footnoteReference w:id="64"/>
      </w:r>
      <w:r w:rsidRPr="00BF3CDE">
        <w:t xml:space="preserve">. Si tant est que cette affirmation soit véridique, elle ne saurait concerner que le trafic ferroviaire. </w:t>
      </w:r>
    </w:p>
    <w:p w14:paraId="24DFD2DF" w14:textId="77777777" w:rsidR="00D118EE" w:rsidRPr="00BF3CDE" w:rsidRDefault="00D118EE" w:rsidP="00D118EE">
      <w:r w:rsidRPr="00BF3CDE">
        <w:t xml:space="preserve">S’ajoutent à cela deux </w:t>
      </w:r>
      <w:r w:rsidRPr="00BF3CDE">
        <w:rPr>
          <w:b/>
        </w:rPr>
        <w:t>nouveaux développements préoccupants</w:t>
      </w:r>
      <w:r w:rsidRPr="00BF3CDE">
        <w:t xml:space="preserve">: </w:t>
      </w:r>
    </w:p>
    <w:p w14:paraId="39A97CFB" w14:textId="77777777" w:rsidR="00D118EE" w:rsidRPr="00BF3CDE" w:rsidRDefault="00D118EE" w:rsidP="001A3756">
      <w:pPr>
        <w:pStyle w:val="BodyText"/>
        <w:numPr>
          <w:ilvl w:val="0"/>
          <w:numId w:val="13"/>
        </w:numPr>
      </w:pPr>
      <w:r w:rsidRPr="00BF3CDE">
        <w:t>En novembre 2018, le Tribunal administratif fédéral a jugé un cas portant sur de nouveaux véhicules des Chemins de fer suisses (CFF).</w:t>
      </w:r>
      <w:r w:rsidRPr="00BF3CDE">
        <w:rPr>
          <w:rStyle w:val="FootnoteReference"/>
        </w:rPr>
        <w:footnoteReference w:id="65"/>
      </w:r>
      <w:r w:rsidRPr="00BF3CDE">
        <w:t xml:space="preserve"> Il a statué que s’agissant de la </w:t>
      </w:r>
      <w:r w:rsidRPr="00BF3CDE">
        <w:rPr>
          <w:b/>
          <w:bCs/>
        </w:rPr>
        <w:t>construction de trains, aucun droit à l’accès autonome aux TP ne pouvait être déduit de la CDPH, de la Cst. et de la LHand</w:t>
      </w:r>
      <w:r w:rsidRPr="00BF3CDE">
        <w:t xml:space="preserve">. Selon lui, seule la </w:t>
      </w:r>
      <w:r w:rsidRPr="00BF3CDE">
        <w:rPr>
          <w:b/>
          <w:bCs/>
        </w:rPr>
        <w:t>norme européenne STI-PMR</w:t>
      </w:r>
      <w:r w:rsidRPr="00BF3CDE">
        <w:t>, applicable également en Suisse, est pertinente.</w:t>
      </w:r>
      <w:r w:rsidRPr="00BF3CDE">
        <w:rPr>
          <w:rStyle w:val="FootnoteReference"/>
        </w:rPr>
        <w:footnoteReference w:id="66"/>
      </w:r>
      <w:r w:rsidRPr="00BF3CDE">
        <w:t xml:space="preserve"> S’il est vrai que les normes STI-PMR se réfèrent de manière générale à la CDPH</w:t>
      </w:r>
      <w:r w:rsidRPr="00BF3CDE">
        <w:rPr>
          <w:rStyle w:val="FootnoteReference"/>
        </w:rPr>
        <w:footnoteReference w:id="67"/>
      </w:r>
      <w:r w:rsidRPr="00BF3CDE">
        <w:t xml:space="preserve">, il n’en demeure pas moins qu’elles </w:t>
      </w:r>
      <w:r w:rsidRPr="00BF3CDE">
        <w:rPr>
          <w:b/>
          <w:bCs/>
        </w:rPr>
        <w:t>sont incompatibles avec l’obligation d’assurer l’accessibilité pour toutes les PH selon l’art. 9 CDPH dans la mesure où elles mettent sur le même plan l’accès autonome pour ces personnes et l’accès moyennant l’aide de tiers</w:t>
      </w:r>
      <w:r w:rsidRPr="00BF3CDE">
        <w:t>.</w:t>
      </w:r>
      <w:r w:rsidRPr="00BF3CDE">
        <w:rPr>
          <w:rStyle w:val="FootnoteReference"/>
        </w:rPr>
        <w:footnoteReference w:id="68"/>
      </w:r>
      <w:r w:rsidRPr="00BF3CDE">
        <w:t xml:space="preserve"> Aussi les normes STI-PMR autorisent-elles, également pour les nouveaux trains, p. ex. des rampes d’accès </w:t>
      </w:r>
      <w:r w:rsidRPr="00BF3CDE">
        <w:lastRenderedPageBreak/>
        <w:t>au véhicule qui présentent une inclinaison de 15%.</w:t>
      </w:r>
      <w:r w:rsidRPr="00BF3CDE">
        <w:rPr>
          <w:rStyle w:val="FootnoteReference"/>
        </w:rPr>
        <w:footnoteReference w:id="69"/>
      </w:r>
      <w:r w:rsidRPr="00BF3CDE">
        <w:t xml:space="preserve"> Même la construction de marches est autorisée</w:t>
      </w:r>
      <w:r w:rsidRPr="00BF3CDE">
        <w:rPr>
          <w:rStyle w:val="FootnoteReference"/>
        </w:rPr>
        <w:footnoteReference w:id="70"/>
      </w:r>
      <w:r w:rsidRPr="00BF3CDE">
        <w:t>, et ce pas uniquement à titre de solution transitoire pour le cas où l’accessibilité au sens de l’art. 9 CDPH n’aurait pas encore pu être concrétisée.</w:t>
      </w:r>
    </w:p>
    <w:p w14:paraId="362C81B6" w14:textId="77777777" w:rsidR="00D118EE" w:rsidRPr="00BF3CDE" w:rsidRDefault="00D118EE" w:rsidP="001A3756">
      <w:pPr>
        <w:pStyle w:val="BodyText"/>
        <w:numPr>
          <w:ilvl w:val="0"/>
          <w:numId w:val="13"/>
        </w:numPr>
      </w:pPr>
      <w:r w:rsidRPr="00BF3CDE">
        <w:t xml:space="preserve">La mise en œuvre de l’art. 9 CDPH en Suisse est rendue encore plus difficile par le fait qu’il n’incombe </w:t>
      </w:r>
      <w:r w:rsidRPr="00BF3CDE">
        <w:rPr>
          <w:b/>
          <w:bCs/>
        </w:rPr>
        <w:t>désormais plus à l’OFT mais à l’UE</w:t>
      </w:r>
      <w:r w:rsidRPr="00BF3CDE">
        <w:rPr>
          <w:rStyle w:val="FootnoteReference"/>
          <w:b/>
          <w:bCs/>
        </w:rPr>
        <w:footnoteReference w:id="71"/>
      </w:r>
      <w:r w:rsidRPr="00BF3CDE">
        <w:rPr>
          <w:b/>
          <w:bCs/>
        </w:rPr>
        <w:t xml:space="preserve"> d’autoriser les véhicules interopérables suisses</w:t>
      </w:r>
      <w:r w:rsidRPr="00BF3CDE">
        <w:t xml:space="preserve"> – ce sur la base des normes STI-PMR et par conséquent </w:t>
      </w:r>
      <w:r w:rsidRPr="00BF3CDE">
        <w:rPr>
          <w:b/>
          <w:bCs/>
        </w:rPr>
        <w:t>sans possibilité de contrôle ni d’intervention de la part des organisations de PH suisses</w:t>
      </w:r>
      <w:r w:rsidRPr="00BF3CDE">
        <w:t>.</w:t>
      </w:r>
      <w:r w:rsidRPr="00BF3CDE">
        <w:rPr>
          <w:rStyle w:val="FootnoteReference"/>
        </w:rPr>
        <w:footnoteReference w:id="72"/>
      </w:r>
      <w:r w:rsidRPr="00BF3CDE">
        <w:t xml:space="preserve"> </w:t>
      </w:r>
    </w:p>
    <w:p w14:paraId="57A4E466" w14:textId="501DF377" w:rsidR="000B5897" w:rsidRPr="000B5897" w:rsidRDefault="00D118EE" w:rsidP="00D118EE">
      <w:pPr>
        <w:pStyle w:val="BodyText"/>
      </w:pPr>
      <w:r w:rsidRPr="00BF3CDE">
        <w:t xml:space="preserve">Dans ce contexte, l’affirmation de la Suisse selon laquelle l’OFT a déterminé, dans son «plan national de mise en œuvre dans le cadre des exigences de la STI-PMR» que «la LHand et ses ordonnances remplissent le rôle de plan national» (réponse à la LoI, para. 16), est incompréhensible. Elle ne constitue en tout cas </w:t>
      </w:r>
      <w:r w:rsidRPr="00BF3CDE">
        <w:rPr>
          <w:b/>
        </w:rPr>
        <w:t>pas une réponse à la question relative à une stratégie de mise en œuvre de l’art. 9 CDPH</w:t>
      </w:r>
      <w:r w:rsidRPr="00BF3CDE">
        <w:t>: il convient bien davantage de constater que suite à la jurisprudence mentionnée et aux nouvelles compétences conférées aux autorités européennes en matière d’accréditation d</w:t>
      </w:r>
      <w:r>
        <w:t>u</w:t>
      </w:r>
      <w:r w:rsidRPr="00BF3CDE">
        <w:t xml:space="preserve"> matériel roulant suisse, les </w:t>
      </w:r>
      <w:r w:rsidRPr="00BF3CDE">
        <w:rPr>
          <w:b/>
        </w:rPr>
        <w:t xml:space="preserve">STI-PMR non conformes </w:t>
      </w:r>
      <w:r w:rsidRPr="00BF3CDE">
        <w:rPr>
          <w:b/>
        </w:rPr>
        <w:lastRenderedPageBreak/>
        <w:t>à la CDPH</w:t>
      </w:r>
      <w:r w:rsidRPr="00BF3CDE">
        <w:t xml:space="preserve"> dictent les règles, du moins dans le domaine du trafic ferroviaire, également en Suisse.</w:t>
      </w:r>
    </w:p>
    <w:p w14:paraId="6BDB0175" w14:textId="77777777" w:rsidR="0006109B" w:rsidRDefault="000B5897" w:rsidP="000B5897">
      <w:pPr>
        <w:pStyle w:val="Subtitle"/>
      </w:pPr>
      <w:r w:rsidRPr="000B5897">
        <w:t>Prestations</w:t>
      </w:r>
    </w:p>
    <w:p w14:paraId="4BD3CEA1" w14:textId="7316C350" w:rsidR="000B5897" w:rsidRPr="000B5897" w:rsidRDefault="00D118EE" w:rsidP="00D118EE">
      <w:pPr>
        <w:pStyle w:val="BodyText"/>
      </w:pPr>
      <w:r w:rsidRPr="00BF3CDE">
        <w:t xml:space="preserve">Dans l’accès aux services fournis par des prestataires privés, les PH rencontrent de nombreux obstacles. Ceux-ci résultent notamment du fait que les </w:t>
      </w:r>
      <w:r w:rsidRPr="00BF3CDE">
        <w:rPr>
          <w:b/>
        </w:rPr>
        <w:t xml:space="preserve">prestataires privés ne sont pas tenus d’en assurer l’accessibilité au sens de l’art. 9 CDPH </w:t>
      </w:r>
      <w:r w:rsidRPr="00BF3CDE">
        <w:t xml:space="preserve">(ni </w:t>
      </w:r>
      <w:r w:rsidRPr="00BF3CDE">
        <w:rPr>
          <w:i/>
        </w:rPr>
        <w:t>ex ante</w:t>
      </w:r>
      <w:r w:rsidRPr="00BF3CDE">
        <w:t xml:space="preserve"> ni </w:t>
      </w:r>
      <w:r w:rsidRPr="00BF3CDE">
        <w:rPr>
          <w:i/>
        </w:rPr>
        <w:t>ex nunc</w:t>
      </w:r>
      <w:r w:rsidRPr="00BF3CDE">
        <w:t>).</w:t>
      </w:r>
      <w:r w:rsidRPr="00BF3CDE">
        <w:rPr>
          <w:rStyle w:val="FootnoteReference"/>
        </w:rPr>
        <w:footnoteReference w:id="73"/>
      </w:r>
      <w:r w:rsidRPr="00BF3CDE">
        <w:t xml:space="preserve"> Un très grand nombre de sites Web, d’applications mobiles et de bureau, d’e-services ainsi que de documents électroniques sont par conséquent insuffisamment, voire pas accessibles du tout pour les </w:t>
      </w:r>
      <w:r w:rsidRPr="00BF3CDE">
        <w:rPr>
          <w:b/>
        </w:rPr>
        <w:t>personnes aveugles et malvoyantes</w:t>
      </w:r>
      <w:r w:rsidRPr="00BF3CDE">
        <w:t>.</w:t>
      </w:r>
      <w:r w:rsidRPr="00BF3CDE">
        <w:rPr>
          <w:rStyle w:val="FootnoteReference"/>
        </w:rPr>
        <w:footnoteReference w:id="74"/>
      </w:r>
      <w:r w:rsidRPr="00BF3CDE">
        <w:t xml:space="preserve"> Il en va de même p. ex. pour les bancomats, les distributeurs de billets et de nourriture ainsi que les caisses en libre service. Les </w:t>
      </w:r>
      <w:r w:rsidRPr="00EE366E">
        <w:rPr>
          <w:b/>
        </w:rPr>
        <w:t>personnes sourdes</w:t>
      </w:r>
      <w:r w:rsidRPr="00BF3CDE">
        <w:t xml:space="preserve"> sont désavantagées notamment par le manque d’accessibilité visuelle des services et informations. D’autre part, l’absence d’obligation légale de la part des prestataires privés (entre autres aussi des médecins) de prendre en charge, si besoin, les frais d’interprétation en langue des signes, constitue une grave lacune.</w:t>
      </w:r>
      <w:bookmarkStart w:id="58" w:name="_Ref96280854"/>
      <w:r w:rsidRPr="00BF3CDE">
        <w:rPr>
          <w:rStyle w:val="FootnoteReference"/>
        </w:rPr>
        <w:footnoteReference w:id="75"/>
      </w:r>
      <w:bookmarkEnd w:id="58"/>
    </w:p>
    <w:p w14:paraId="17AACA56" w14:textId="77777777" w:rsidR="0006109B" w:rsidRDefault="000B5897" w:rsidP="000B5897">
      <w:pPr>
        <w:shd w:val="clear" w:color="auto" w:fill="FFFFCC"/>
        <w:autoSpaceDE w:val="0"/>
        <w:autoSpaceDN w:val="0"/>
        <w:adjustRightInd w:val="0"/>
        <w:spacing w:before="240" w:after="0"/>
        <w:rPr>
          <w:rFonts w:eastAsia="Cambria"/>
          <w:b/>
        </w:rPr>
      </w:pPr>
      <w:r>
        <w:rPr>
          <w:rFonts w:eastAsia="Cambria"/>
          <w:b/>
        </w:rPr>
        <w:lastRenderedPageBreak/>
        <w:t>Propositions de recommandations</w:t>
      </w:r>
      <w:r w:rsidR="0006109B" w:rsidRPr="00F756DE">
        <w:rPr>
          <w:rFonts w:eastAsia="Cambria"/>
          <w:b/>
        </w:rPr>
        <w:t>:</w:t>
      </w:r>
    </w:p>
    <w:p w14:paraId="477C5B23" w14:textId="77777777" w:rsidR="00D118EE" w:rsidRPr="00BF3CDE" w:rsidRDefault="00D118EE" w:rsidP="00D118EE">
      <w:pPr>
        <w:pStyle w:val="SBEmpfehlungen"/>
      </w:pPr>
      <w:r w:rsidRPr="00BF3CDE">
        <w:rPr>
          <w:b/>
        </w:rPr>
        <w:t>Constructions/installations</w:t>
      </w:r>
      <w:r w:rsidRPr="00BF3CDE">
        <w:t xml:space="preserve">: </w:t>
      </w:r>
      <w:r>
        <w:t>l</w:t>
      </w:r>
      <w:r w:rsidRPr="00BF3CDE">
        <w:t xml:space="preserve">e </w:t>
      </w:r>
      <w:r w:rsidRPr="00BF3CDE">
        <w:rPr>
          <w:b/>
        </w:rPr>
        <w:t>Parlement fédéral</w:t>
      </w:r>
      <w:r w:rsidRPr="00BF3CDE">
        <w:t xml:space="preserve"> élargit le champ d’application de la LHand (art. 3) désormais aux constructions existantes, indépendamment d’une rénovation, ainsi qu’aux immeubles d’habitation comptant moins de 9 unités de logements. Les </w:t>
      </w:r>
      <w:r w:rsidRPr="00BF3CDE">
        <w:rPr>
          <w:b/>
        </w:rPr>
        <w:t>cantons</w:t>
      </w:r>
      <w:r w:rsidRPr="00BF3CDE">
        <w:t xml:space="preserve"> révisent leurs lois sur la construction à la lumière de l’art. 9 CDPH.</w:t>
      </w:r>
    </w:p>
    <w:p w14:paraId="08C12144" w14:textId="77777777" w:rsidR="00D118EE" w:rsidRPr="00BF3CDE" w:rsidRDefault="00D118EE" w:rsidP="00D118EE">
      <w:pPr>
        <w:pStyle w:val="SBEmpfehlungen"/>
      </w:pPr>
      <w:r w:rsidRPr="00BF3CDE">
        <w:rPr>
          <w:b/>
        </w:rPr>
        <w:t>TP</w:t>
      </w:r>
      <w:r w:rsidRPr="00BF3CDE">
        <w:t xml:space="preserve">: </w:t>
      </w:r>
      <w:r>
        <w:rPr>
          <w:b/>
          <w:bCs/>
        </w:rPr>
        <w:t>la</w:t>
      </w:r>
      <w:r w:rsidRPr="00BF3CDE">
        <w:rPr>
          <w:b/>
          <w:bCs/>
        </w:rPr>
        <w:t xml:space="preserve"> Confédération et les cantons</w:t>
      </w:r>
      <w:r w:rsidRPr="00BF3CDE">
        <w:t xml:space="preserve"> garantissent que les autorités et les tribunaux assurent </w:t>
      </w:r>
      <w:r w:rsidRPr="00BF3CDE">
        <w:rPr>
          <w:b/>
        </w:rPr>
        <w:t>l’accès autonome</w:t>
      </w:r>
      <w:r w:rsidRPr="00BF3CDE">
        <w:t xml:space="preserve"> aux réseaux de TP; ils interprètent les bases légales et normes systématiquement à la lumière de l’art. 9 CDPH et de l’OG n° 2. Pour ce qui concerne le </w:t>
      </w:r>
      <w:r w:rsidRPr="00BF3CDE">
        <w:rPr>
          <w:b/>
          <w:bCs/>
        </w:rPr>
        <w:t>trafic de bus</w:t>
      </w:r>
      <w:r w:rsidRPr="00BF3CDE">
        <w:t xml:space="preserve">, la </w:t>
      </w:r>
      <w:r w:rsidRPr="00BF3CDE">
        <w:rPr>
          <w:b/>
        </w:rPr>
        <w:t>Conférence des directrices et directeurs cantonaux des transports publics</w:t>
      </w:r>
      <w:r w:rsidRPr="00BF3CDE">
        <w:t xml:space="preserve"> élabore un </w:t>
      </w:r>
      <w:r w:rsidRPr="00BF3CDE">
        <w:rPr>
          <w:b/>
        </w:rPr>
        <w:t>plan d’action, y compris</w:t>
      </w:r>
      <w:r>
        <w:rPr>
          <w:b/>
        </w:rPr>
        <w:t xml:space="preserve"> </w:t>
      </w:r>
      <w:r w:rsidRPr="00BF3CDE">
        <w:rPr>
          <w:b/>
        </w:rPr>
        <w:t>calendrier et financement</w:t>
      </w:r>
      <w:r w:rsidRPr="00BF3CDE">
        <w:t>.</w:t>
      </w:r>
    </w:p>
    <w:p w14:paraId="0E210289" w14:textId="5ED8226B" w:rsidR="000B5897" w:rsidRPr="00D118EE" w:rsidRDefault="00D118EE" w:rsidP="00D118EE">
      <w:pPr>
        <w:pStyle w:val="SBEmpfehlungen"/>
        <w:rPr>
          <w:rFonts w:eastAsiaTheme="minorHAnsi"/>
        </w:rPr>
      </w:pPr>
      <w:r w:rsidRPr="00BF3CDE">
        <w:rPr>
          <w:b/>
        </w:rPr>
        <w:t>Prestations</w:t>
      </w:r>
      <w:r w:rsidRPr="00BF3CDE">
        <w:t xml:space="preserve">: </w:t>
      </w:r>
      <w:r>
        <w:t>l</w:t>
      </w:r>
      <w:r w:rsidRPr="00BF3CDE">
        <w:t xml:space="preserve">e </w:t>
      </w:r>
      <w:r w:rsidRPr="00BF3CDE">
        <w:rPr>
          <w:b/>
        </w:rPr>
        <w:t>Parlement fédéral</w:t>
      </w:r>
      <w:r w:rsidRPr="00BF3CDE">
        <w:t xml:space="preserve"> inscrit nouvellement dans la LHand une obligation d’assurer l’accès également aux services fournis par des prestataires privés. Il élabore en outre un </w:t>
      </w:r>
      <w:r w:rsidRPr="00BF3CDE">
        <w:rPr>
          <w:b/>
        </w:rPr>
        <w:t>système de prise en charge des frais d’interprétariat en langue des signes,</w:t>
      </w:r>
      <w:r w:rsidRPr="00BF3CDE">
        <w:t xml:space="preserve"> permettant ainsi la participation effective des personnes sourdes à la vie en société. Les </w:t>
      </w:r>
      <w:r w:rsidRPr="00BF3CDE">
        <w:rPr>
          <w:b/>
        </w:rPr>
        <w:t>cantons</w:t>
      </w:r>
      <w:r w:rsidRPr="00BF3CDE">
        <w:t xml:space="preserve"> inscrivent dans leur législation l’obligation d’assurer l’accès des services fournis par les cantons et communes.</w:t>
      </w:r>
    </w:p>
    <w:p w14:paraId="236B0B93" w14:textId="77777777" w:rsidR="000B5897" w:rsidRDefault="000B5897" w:rsidP="000B5897">
      <w:pPr>
        <w:pStyle w:val="Heading3"/>
        <w:numPr>
          <w:ilvl w:val="0"/>
          <w:numId w:val="0"/>
        </w:numPr>
        <w:ind w:left="737" w:hanging="737"/>
      </w:pPr>
      <w:bookmarkStart w:id="59" w:name="_Toc93900209"/>
      <w:bookmarkStart w:id="60" w:name="_Toc95500333"/>
      <w:bookmarkStart w:id="61" w:name="_Toc96287603"/>
      <w:r w:rsidRPr="00BF3CDE">
        <w:t>Art. 10 – Droit à la vie</w:t>
      </w:r>
      <w:bookmarkEnd w:id="59"/>
      <w:bookmarkEnd w:id="60"/>
      <w:bookmarkEnd w:id="61"/>
    </w:p>
    <w:p w14:paraId="10C4943A" w14:textId="77777777" w:rsidR="00D118EE" w:rsidRPr="00BF3CDE" w:rsidRDefault="00D118EE" w:rsidP="00D118EE">
      <w:r w:rsidRPr="00BF3CDE">
        <w:t>Dans la LoI, le Comité a mis l’accent sur l’assistance au suicide. Il n’y a rien à ajouter à la réponse de la Suisse. En revanche, il con</w:t>
      </w:r>
      <w:r w:rsidRPr="00BF3CDE">
        <w:lastRenderedPageBreak/>
        <w:t xml:space="preserve">vient de mettre en exergue </w:t>
      </w:r>
      <w:r w:rsidRPr="00BF3CDE">
        <w:rPr>
          <w:b/>
        </w:rPr>
        <w:t>deux problématiques préoccupantes</w:t>
      </w:r>
      <w:r w:rsidRPr="00BF3CDE">
        <w:t xml:space="preserve"> auxquelles Inclusion Handicap a récemment été rendue attentive: </w:t>
      </w:r>
    </w:p>
    <w:p w14:paraId="60771D74" w14:textId="77777777" w:rsidR="00D118EE" w:rsidRPr="00BF3CDE" w:rsidRDefault="00D118EE" w:rsidP="001A3756">
      <w:pPr>
        <w:pStyle w:val="BodyText"/>
        <w:numPr>
          <w:ilvl w:val="0"/>
          <w:numId w:val="14"/>
        </w:numPr>
      </w:pPr>
      <w:r w:rsidRPr="00BF3CDE">
        <w:t xml:space="preserve">En 2021, </w:t>
      </w:r>
      <w:r w:rsidRPr="00BF3CDE">
        <w:rPr>
          <w:b/>
          <w:bCs/>
        </w:rPr>
        <w:t>l’ASSM</w:t>
      </w:r>
      <w:r w:rsidRPr="00BF3CDE">
        <w:t xml:space="preserve"> a publié des </w:t>
      </w:r>
      <w:r w:rsidRPr="00BF3CDE">
        <w:rPr>
          <w:b/>
        </w:rPr>
        <w:t>directives</w:t>
      </w:r>
      <w:r w:rsidRPr="00BF3CDE">
        <w:t xml:space="preserve"> concernant les  «</w:t>
      </w:r>
      <w:r w:rsidRPr="00BF3CDE">
        <w:rPr>
          <w:b/>
        </w:rPr>
        <w:t>décisions de réanimation</w:t>
      </w:r>
      <w:r w:rsidRPr="00BF3CDE">
        <w:t>».</w:t>
      </w:r>
      <w:r w:rsidRPr="00BF3CDE">
        <w:rPr>
          <w:rStyle w:val="FootnoteReference"/>
        </w:rPr>
        <w:footnoteReference w:id="76"/>
      </w:r>
      <w:r w:rsidRPr="00BF3CDE">
        <w:t xml:space="preserve"> Celles-ci contiennent entre autre</w:t>
      </w:r>
      <w:r>
        <w:t>s</w:t>
      </w:r>
      <w:r w:rsidRPr="00BF3CDE">
        <w:t xml:space="preserve"> un chapitre sur les patientes et patients en situation de handicap (ch. 5.3.4.). Dans le dernier paragraphe de ce chapitre, on peut lire au sujet de</w:t>
      </w:r>
      <w:r>
        <w:t xml:space="preserve"> la </w:t>
      </w:r>
      <w:r w:rsidRPr="00BF3CDE">
        <w:t>patient</w:t>
      </w:r>
      <w:r>
        <w:t>èle</w:t>
      </w:r>
      <w:r w:rsidRPr="00BF3CDE">
        <w:t xml:space="preserve"> atteint</w:t>
      </w:r>
      <w:r>
        <w:t>e</w:t>
      </w:r>
      <w:r w:rsidRPr="00BF3CDE">
        <w:t xml:space="preserve"> de handicaps graves ou multiples et </w:t>
      </w:r>
      <w:r>
        <w:t>présentant</w:t>
      </w:r>
      <w:r w:rsidRPr="00BF3CDE">
        <w:t xml:space="preserve"> également de</w:t>
      </w:r>
      <w:r>
        <w:t>s</w:t>
      </w:r>
      <w:r w:rsidRPr="00BF3CDE">
        <w:t xml:space="preserve"> troubles cognitifs sévères (CPC 5 – CPC 3)</w:t>
      </w:r>
      <w:r w:rsidRPr="00BF3CDE">
        <w:rPr>
          <w:rStyle w:val="FootnoteReference"/>
        </w:rPr>
        <w:footnoteReference w:id="77"/>
      </w:r>
      <w:r w:rsidRPr="00BF3CDE">
        <w:t xml:space="preserve">, </w:t>
      </w:r>
      <w:r w:rsidRPr="00BF3CDE">
        <w:rPr>
          <w:b/>
        </w:rPr>
        <w:t>et ce de façon indifférenciée, sans référence à d’éventuelles sources scientifiques</w:t>
      </w:r>
      <w:r w:rsidRPr="00BF3CDE">
        <w:rPr>
          <w:bCs/>
        </w:rPr>
        <w:t xml:space="preserve">, </w:t>
      </w:r>
      <w:r w:rsidRPr="00056090">
        <w:rPr>
          <w:b/>
          <w:bCs/>
        </w:rPr>
        <w:t xml:space="preserve">«[qu’elle encourt] un </w:t>
      </w:r>
      <w:r w:rsidRPr="00BF3CDE">
        <w:rPr>
          <w:b/>
          <w:bCs/>
        </w:rPr>
        <w:t>risque de limitations neurologiques supplémentaires</w:t>
      </w:r>
      <w:r w:rsidRPr="00BF3CDE">
        <w:t xml:space="preserve">. La situation est aggravée par le fait que ces patients sont généralement incapables d’exprimer leur volonté de manière autonome, respectivement sans soutien. </w:t>
      </w:r>
      <w:r w:rsidRPr="00BF3CDE">
        <w:rPr>
          <w:b/>
        </w:rPr>
        <w:t>Dans une telle situation, la réanimation est rarement une mesure utile au bien-être du patient</w:t>
      </w:r>
      <w:r w:rsidRPr="00BF3CDE">
        <w:t xml:space="preserve">.» </w:t>
      </w:r>
    </w:p>
    <w:p w14:paraId="54B1E7AC" w14:textId="60C336BF" w:rsidR="00D118EE" w:rsidRPr="00BF3CDE" w:rsidRDefault="00D118EE" w:rsidP="001A3756">
      <w:pPr>
        <w:pStyle w:val="BodyText"/>
        <w:ind w:left="720"/>
      </w:pPr>
      <w:r w:rsidRPr="00BF3CDE">
        <w:t xml:space="preserve">Cette phrase signifie que la décision concernant la mise en œuvre d’une réanimation chez les patientes et patients </w:t>
      </w:r>
      <w:r w:rsidR="002C10B1">
        <w:t>en situation de handicap</w:t>
      </w:r>
      <w:r w:rsidRPr="00BF3CDE">
        <w:t xml:space="preserve"> concernés est dans une certaine mesure d’emblée anticipée, au lieu que des critères médicaux en vue d’une prise de décision soient fournis </w:t>
      </w:r>
      <w:r w:rsidR="002C10B1">
        <w:t>pour le cas d’espèce</w:t>
      </w:r>
      <w:r w:rsidRPr="00BF3CDE">
        <w:t xml:space="preserve">. </w:t>
      </w:r>
      <w:r>
        <w:t>À cela s’ajoute que parmi les</w:t>
      </w:r>
      <w:r w:rsidRPr="00BF3CDE">
        <w:t xml:space="preserve"> </w:t>
      </w:r>
      <w:r>
        <w:t xml:space="preserve">divers </w:t>
      </w:r>
      <w:r w:rsidRPr="00BF3CDE">
        <w:t xml:space="preserve">groupes de </w:t>
      </w:r>
      <w:r w:rsidRPr="00BF3CDE">
        <w:lastRenderedPageBreak/>
        <w:t>patient</w:t>
      </w:r>
      <w:r>
        <w:t>èle</w:t>
      </w:r>
      <w:r w:rsidRPr="00BF3CDE">
        <w:t xml:space="preserve"> cités </w:t>
      </w:r>
      <w:r>
        <w:t>séparément</w:t>
      </w:r>
      <w:r w:rsidRPr="00BF3CDE">
        <w:t xml:space="preserve">, le </w:t>
      </w:r>
      <w:r w:rsidRPr="00BF3CDE">
        <w:rPr>
          <w:b/>
        </w:rPr>
        <w:t>bien-être de la patiente ou du patient</w:t>
      </w:r>
      <w:r w:rsidRPr="00BF3CDE">
        <w:t xml:space="preserve"> n’est explicitement mentionné </w:t>
      </w:r>
      <w:r w:rsidRPr="001D6EC8">
        <w:rPr>
          <w:b/>
          <w:bCs/>
        </w:rPr>
        <w:t xml:space="preserve">que </w:t>
      </w:r>
      <w:r>
        <w:rPr>
          <w:b/>
          <w:bCs/>
        </w:rPr>
        <w:t>s’agissant</w:t>
      </w:r>
      <w:r w:rsidRPr="001D6EC8">
        <w:rPr>
          <w:b/>
          <w:bCs/>
        </w:rPr>
        <w:t xml:space="preserve"> </w:t>
      </w:r>
      <w:r>
        <w:rPr>
          <w:b/>
          <w:bCs/>
        </w:rPr>
        <w:t>du</w:t>
      </w:r>
      <w:r w:rsidRPr="001D6EC8">
        <w:rPr>
          <w:b/>
          <w:bCs/>
        </w:rPr>
        <w:t xml:space="preserve"> groupe </w:t>
      </w:r>
      <w:r w:rsidRPr="00BF3CDE">
        <w:rPr>
          <w:b/>
          <w:bCs/>
        </w:rPr>
        <w:t>a</w:t>
      </w:r>
      <w:r>
        <w:rPr>
          <w:b/>
          <w:bCs/>
        </w:rPr>
        <w:t>yant un</w:t>
      </w:r>
      <w:r w:rsidRPr="00BF3CDE">
        <w:rPr>
          <w:b/>
          <w:bCs/>
        </w:rPr>
        <w:t xml:space="preserve"> handicap</w:t>
      </w:r>
      <w:r w:rsidRPr="00BF3CDE">
        <w:t xml:space="preserve">. </w:t>
      </w:r>
      <w:r>
        <w:t xml:space="preserve">Sinon </w:t>
      </w:r>
      <w:r w:rsidRPr="00BF3CDE">
        <w:t xml:space="preserve">le bien-être est cité </w:t>
      </w:r>
      <w:r>
        <w:t>uniquement</w:t>
      </w:r>
      <w:r w:rsidRPr="00BF3CDE">
        <w:t xml:space="preserve"> dans le chapitre concern</w:t>
      </w:r>
      <w:r>
        <w:t>ant</w:t>
      </w:r>
      <w:r w:rsidRPr="00BF3CDE">
        <w:t xml:space="preserve"> l’ensemble des groupes de patient</w:t>
      </w:r>
      <w:r>
        <w:t>èle</w:t>
      </w:r>
      <w:r w:rsidRPr="00BF3CDE">
        <w:t xml:space="preserve"> </w:t>
      </w:r>
      <w:r>
        <w:t>au sujet d</w:t>
      </w:r>
      <w:r w:rsidRPr="00BF3CDE">
        <w:t>es principes éthiques (ch. 3). Ces directives font naître la crainte, s’agissant de personnes ayant des handicaps cognitifs sévères associés à d’autres atteintes à la santé, qu’il soit renoncé plus souvent, en comparaison avec d’autres personnes, à des mesures de réanimation.</w:t>
      </w:r>
    </w:p>
    <w:p w14:paraId="5CA7DD05" w14:textId="481186FA" w:rsidR="000B5897" w:rsidRPr="000B5897" w:rsidRDefault="00D118EE" w:rsidP="001A3756">
      <w:pPr>
        <w:pStyle w:val="BodyText"/>
        <w:numPr>
          <w:ilvl w:val="0"/>
          <w:numId w:val="14"/>
        </w:numPr>
        <w:rPr>
          <w:lang w:eastAsia="de-CH"/>
        </w:rPr>
      </w:pPr>
      <w:r w:rsidRPr="00BF3CDE">
        <w:t>Selon des comptes rendus des médias parus assez récemment</w:t>
      </w:r>
      <w:r w:rsidRPr="00BF3CDE">
        <w:rPr>
          <w:rStyle w:val="FootnoteReference"/>
        </w:rPr>
        <w:footnoteReference w:id="78"/>
      </w:r>
      <w:r w:rsidRPr="00BF3CDE">
        <w:t xml:space="preserve">, il est à redouter que dans les prisons, la </w:t>
      </w:r>
      <w:r w:rsidRPr="00BF3CDE">
        <w:rPr>
          <w:b/>
        </w:rPr>
        <w:t>nécessité d’une prise en charge psychiatrique en raison d’un handicap</w:t>
      </w:r>
      <w:r w:rsidRPr="00BF3CDE">
        <w:t xml:space="preserve"> et en particulier les mesures de </w:t>
      </w:r>
      <w:r w:rsidRPr="00BF3CDE">
        <w:rPr>
          <w:b/>
        </w:rPr>
        <w:t>prévention du suicide</w:t>
      </w:r>
      <w:r w:rsidRPr="00BF3CDE">
        <w:t xml:space="preserve"> destinées aux personnes détenues </w:t>
      </w:r>
      <w:r>
        <w:t xml:space="preserve">présentant </w:t>
      </w:r>
      <w:r w:rsidRPr="00BF3CDE">
        <w:t>des handicaps psychiques, ne soient pas respectées. La prise en charge psychiatrique resp. la prévention du suicide sont du reste régulièrement thématisées par la CNPT à l’occasion de ses visites dans les établissements pénitentiaires</w:t>
      </w:r>
      <w:r w:rsidRPr="00BF3CDE">
        <w:rPr>
          <w:rStyle w:val="FootnoteReference"/>
        </w:rPr>
        <w:footnoteReference w:id="79"/>
      </w:r>
      <w:r w:rsidRPr="00BF3CDE">
        <w:t>.</w:t>
      </w:r>
    </w:p>
    <w:p w14:paraId="2ED6E1C2" w14:textId="77777777" w:rsidR="0006109B" w:rsidRDefault="000B5897" w:rsidP="000B5897">
      <w:pPr>
        <w:shd w:val="clear" w:color="auto" w:fill="FFFFCC"/>
        <w:autoSpaceDE w:val="0"/>
        <w:autoSpaceDN w:val="0"/>
        <w:adjustRightInd w:val="0"/>
        <w:spacing w:before="240" w:after="0"/>
        <w:rPr>
          <w:rFonts w:eastAsia="Cambria"/>
          <w:b/>
        </w:rPr>
      </w:pPr>
      <w:r>
        <w:rPr>
          <w:rFonts w:eastAsia="Cambria"/>
          <w:b/>
        </w:rPr>
        <w:lastRenderedPageBreak/>
        <w:t>Propositions de recommandations</w:t>
      </w:r>
      <w:r w:rsidRPr="00F756DE">
        <w:rPr>
          <w:rFonts w:eastAsia="Cambria"/>
          <w:b/>
        </w:rPr>
        <w:t>:</w:t>
      </w:r>
    </w:p>
    <w:p w14:paraId="5E2D13D1" w14:textId="77777777" w:rsidR="00A40724" w:rsidRPr="00BF3CDE" w:rsidRDefault="00A40724" w:rsidP="00A40724">
      <w:pPr>
        <w:pStyle w:val="SBEmpfehlungen"/>
      </w:pPr>
      <w:r w:rsidRPr="00BF3CDE">
        <w:t>La Confédération veille à ce que l’</w:t>
      </w:r>
      <w:r w:rsidRPr="00BF3CDE">
        <w:rPr>
          <w:b/>
          <w:bCs/>
        </w:rPr>
        <w:t>ASSM</w:t>
      </w:r>
      <w:r w:rsidRPr="00BF3CDE">
        <w:t xml:space="preserve"> adapte ses directives concernant les décisions de réanimation de sorte à garantir la </w:t>
      </w:r>
      <w:r w:rsidRPr="00BF3CDE">
        <w:rPr>
          <w:b/>
        </w:rPr>
        <w:t>protection de toutes les PH contre les discriminations lors</w:t>
      </w:r>
      <w:r>
        <w:rPr>
          <w:b/>
        </w:rPr>
        <w:t xml:space="preserve"> de la prise de</w:t>
      </w:r>
      <w:r w:rsidRPr="00BF3CDE">
        <w:rPr>
          <w:b/>
        </w:rPr>
        <w:t xml:space="preserve"> décisions de réanimation</w:t>
      </w:r>
      <w:r w:rsidRPr="00BF3CDE">
        <w:t>.</w:t>
      </w:r>
    </w:p>
    <w:p w14:paraId="049F9A42" w14:textId="52FE6FE7" w:rsidR="000B5897" w:rsidRPr="00A40724" w:rsidRDefault="00A40724" w:rsidP="00A40724">
      <w:pPr>
        <w:pStyle w:val="SBEmpfehlungen"/>
        <w:rPr>
          <w:rFonts w:eastAsiaTheme="minorHAnsi"/>
        </w:rPr>
      </w:pPr>
      <w:r w:rsidRPr="00BF3CDE">
        <w:rPr>
          <w:b/>
        </w:rPr>
        <w:t>Les cantons</w:t>
      </w:r>
      <w:r w:rsidRPr="00BF3CDE">
        <w:t xml:space="preserve"> garantissent que l’ensemble des </w:t>
      </w:r>
      <w:r w:rsidRPr="00BF3CDE">
        <w:rPr>
          <w:b/>
          <w:bCs/>
        </w:rPr>
        <w:t>lieux de détention</w:t>
      </w:r>
      <w:r w:rsidRPr="00BF3CDE">
        <w:t xml:space="preserve"> prévoient et appliquent </w:t>
      </w:r>
      <w:r w:rsidRPr="00BF3CDE">
        <w:rPr>
          <w:b/>
        </w:rPr>
        <w:t>des mesures visant à prévenir le suicide des personnes ayant des handicaps psychiques</w:t>
      </w:r>
      <w:r w:rsidRPr="00BF3CDE">
        <w:t xml:space="preserve">. Ces mesures portent p. ex. sur l’identification des facteurs de risque, la sensibilisation et la formation du personnel à cette thématique ainsi que la </w:t>
      </w:r>
      <w:r>
        <w:t>manière</w:t>
      </w:r>
      <w:r w:rsidRPr="00BF3CDE">
        <w:t xml:space="preserve"> de procéder dans une situation d’urgence.</w:t>
      </w:r>
    </w:p>
    <w:p w14:paraId="79ED9417" w14:textId="77777777" w:rsidR="000B5897" w:rsidRPr="00BF3CDE" w:rsidRDefault="000B5897" w:rsidP="000B5897">
      <w:pPr>
        <w:pStyle w:val="Heading3"/>
        <w:numPr>
          <w:ilvl w:val="0"/>
          <w:numId w:val="0"/>
        </w:numPr>
        <w:ind w:left="737" w:hanging="737"/>
        <w:rPr>
          <w:rFonts w:eastAsia="MS Gothic"/>
        </w:rPr>
      </w:pPr>
      <w:bookmarkStart w:id="62" w:name="_Toc93596137"/>
      <w:bookmarkStart w:id="63" w:name="_Toc93900210"/>
      <w:bookmarkStart w:id="64" w:name="_Toc95500334"/>
      <w:bookmarkStart w:id="65" w:name="_Toc96287604"/>
      <w:r w:rsidRPr="00BF3CDE">
        <w:rPr>
          <w:rFonts w:eastAsia="MS Gothic"/>
        </w:rPr>
        <w:t>Art. 11 – Situations de risque et situations d’urgence humanitaire</w:t>
      </w:r>
      <w:bookmarkEnd w:id="62"/>
      <w:bookmarkEnd w:id="63"/>
      <w:bookmarkEnd w:id="64"/>
      <w:bookmarkEnd w:id="65"/>
      <w:r w:rsidRPr="00BF3CDE">
        <w:rPr>
          <w:rFonts w:eastAsia="MS Gothic"/>
        </w:rPr>
        <w:t xml:space="preserve"> </w:t>
      </w:r>
    </w:p>
    <w:p w14:paraId="2A572673" w14:textId="06CB94E7" w:rsidR="000B5897" w:rsidRPr="00BF3CDE" w:rsidRDefault="000B5897" w:rsidP="000B5897">
      <w:pPr>
        <w:pStyle w:val="Subtitle"/>
        <w:rPr>
          <w:rFonts w:eastAsia="Cambria"/>
        </w:rPr>
      </w:pPr>
      <w:r w:rsidRPr="00BF3CDE">
        <w:rPr>
          <w:rFonts w:eastAsia="Cambria"/>
        </w:rPr>
        <w:t>Manque d’inclusivité au niveau de la protection contr</w:t>
      </w:r>
      <w:r w:rsidR="002C10B1">
        <w:rPr>
          <w:rFonts w:eastAsia="Cambria"/>
        </w:rPr>
        <w:t xml:space="preserve">e des situations de risque (LoI, </w:t>
      </w:r>
      <w:r w:rsidRPr="00BF3CDE">
        <w:rPr>
          <w:rFonts w:eastAsia="Cambria"/>
        </w:rPr>
        <w:t>8a)</w:t>
      </w:r>
    </w:p>
    <w:p w14:paraId="07AF926A" w14:textId="77777777" w:rsidR="00A40724" w:rsidRPr="00BF3CDE" w:rsidRDefault="00A40724" w:rsidP="00A40724">
      <w:pPr>
        <w:pStyle w:val="BodyText"/>
      </w:pPr>
      <w:r w:rsidRPr="00BF3CDE">
        <w:t xml:space="preserve">La protection de la population suisse contre des </w:t>
      </w:r>
      <w:r w:rsidRPr="00BF3CDE">
        <w:rPr>
          <w:b/>
        </w:rPr>
        <w:t>situations de risque</w:t>
      </w:r>
      <w:r w:rsidRPr="00BF3CDE">
        <w:t xml:space="preserve"> et des situations d’urgence humanitaire est réglée dans la LPPCi. La Confédération assure des fonctions coordinatrices et transversales (p. ex. la maintenance et le développement de systèmes d’alarme), tandis que les cantons et communes sont responsables en termes de création et d’exploitation de systèmes de protection opérationnels dans leur périmètre de compétence. </w:t>
      </w:r>
    </w:p>
    <w:p w14:paraId="7590AC0B" w14:textId="77777777" w:rsidR="00A40724" w:rsidRPr="00BF3CDE" w:rsidRDefault="00A40724" w:rsidP="00A40724">
      <w:pPr>
        <w:autoSpaceDE w:val="0"/>
        <w:autoSpaceDN w:val="0"/>
        <w:adjustRightInd w:val="0"/>
        <w:rPr>
          <w:rFonts w:eastAsia="Calibri"/>
          <w:color w:val="000000"/>
        </w:rPr>
      </w:pPr>
      <w:r w:rsidRPr="00BF3CDE">
        <w:rPr>
          <w:rFonts w:eastAsia="Calibri"/>
          <w:color w:val="000000"/>
        </w:rPr>
        <w:lastRenderedPageBreak/>
        <w:t xml:space="preserve">La signature par la Suisse de la Charte pour l’inclusion des PH dans l’action humanitaire est une démarche positive (para. 22); reste cependant la question de savoir quelles </w:t>
      </w:r>
      <w:r w:rsidRPr="00BF3CDE">
        <w:rPr>
          <w:rFonts w:eastAsia="Calibri"/>
          <w:b/>
          <w:color w:val="000000"/>
        </w:rPr>
        <w:t>mesures concrètes</w:t>
      </w:r>
      <w:r w:rsidRPr="00BF3CDE">
        <w:rPr>
          <w:rFonts w:eastAsia="Calibri"/>
          <w:color w:val="000000"/>
        </w:rPr>
        <w:t xml:space="preserve"> s’en suivront. Concernant sa mise en œuvre dans l’aide humanitaire internationale, il est fait référence ici au Rapport alternatif du SDDC.</w:t>
      </w:r>
    </w:p>
    <w:p w14:paraId="4A252366" w14:textId="77777777" w:rsidR="00A40724" w:rsidRPr="00BF3CDE" w:rsidRDefault="00A40724" w:rsidP="00A40724">
      <w:pPr>
        <w:pStyle w:val="BodyText"/>
      </w:pPr>
      <w:r w:rsidRPr="00BF3CDE">
        <w:t>Sur le plan national, il est réjouissant que la Confédération se charge désormais de l’obligation légale qui consiste à assurer l’accessibilité des systèmes d’alerte et d’information de la population aux PH (art. 9 al. 5 LPPCi). Cette obligation s’applique également dans l’hypothèse d’une future alerte par diffusion cellulaire</w:t>
      </w:r>
      <w:r w:rsidRPr="00BF3CDE">
        <w:rPr>
          <w:vertAlign w:val="superscript"/>
        </w:rPr>
        <w:footnoteReference w:id="80"/>
      </w:r>
      <w:r w:rsidRPr="00BF3CDE">
        <w:t xml:space="preserve"> </w:t>
      </w:r>
      <w:r>
        <w:t xml:space="preserve">qui, comparée à </w:t>
      </w:r>
      <w:r w:rsidRPr="00BF3CDE">
        <w:t>l’application Alertswiss</w:t>
      </w:r>
      <w:r>
        <w:t xml:space="preserve">, </w:t>
      </w:r>
      <w:r w:rsidRPr="00BF3CDE">
        <w:t xml:space="preserve">permet d’atteindre un nombre nettement supérieur de personnes. </w:t>
      </w:r>
    </w:p>
    <w:p w14:paraId="0DCBCE35" w14:textId="77777777" w:rsidR="00A40724" w:rsidRPr="00BF3CDE" w:rsidRDefault="00A40724" w:rsidP="00A40724">
      <w:pPr>
        <w:pStyle w:val="BodyText"/>
      </w:pPr>
      <w:r w:rsidRPr="00BF3CDE">
        <w:t xml:space="preserve">Par ailleurs, l’alarme à l’attention des PH et leur </w:t>
      </w:r>
      <w:r w:rsidRPr="00BF3CDE">
        <w:rPr>
          <w:b/>
          <w:bCs/>
        </w:rPr>
        <w:t>évacuation</w:t>
      </w:r>
      <w:r w:rsidRPr="00BF3CDE">
        <w:t xml:space="preserve"> relève, également en Suisse, de la nouvelle norme </w:t>
      </w:r>
      <w:r w:rsidRPr="00A40724">
        <w:t>européenne</w:t>
      </w:r>
      <w:r w:rsidRPr="00BF3CDE">
        <w:t xml:space="preserve"> relative à la construction sans obstacles.</w:t>
      </w:r>
      <w:r w:rsidRPr="00BF3CDE">
        <w:rPr>
          <w:rFonts w:eastAsia="Cambria" w:cs="Times New Roman"/>
          <w:vertAlign w:val="superscript"/>
        </w:rPr>
        <w:footnoteReference w:id="81"/>
      </w:r>
      <w:r w:rsidRPr="00BF3CDE">
        <w:t xml:space="preserve"> Selon une évaluation d’expert-e-s, il s’avère toutefois que p. ex. de nombreux tunnels ne satisfont pas à ces exigences. Après l’évacuation par les services de secours et de sécurité, les personnes en quête de protection sont confiées aux services de protection civile pour y recevoir de l’</w:t>
      </w:r>
      <w:r w:rsidRPr="00BF3CDE">
        <w:rPr>
          <w:b/>
        </w:rPr>
        <w:t>assistance</w:t>
      </w:r>
      <w:r w:rsidRPr="00BF3CDE">
        <w:t>. Selon l’OFPP, les membres de ces services ont reçu une formation dans des conditions proches de la pratique pour pouvoir répondre aux besoins des PH en termes de soutien et de communication.</w:t>
      </w:r>
      <w:r w:rsidRPr="00BF3CDE">
        <w:rPr>
          <w:rFonts w:eastAsia="Cambria" w:cs="Times New Roman"/>
          <w:vertAlign w:val="superscript"/>
        </w:rPr>
        <w:footnoteReference w:id="82"/>
      </w:r>
      <w:r w:rsidRPr="00BF3CDE">
        <w:t xml:space="preserve"> Au besoin, ces personnes sont ensuite accueillies dans des </w:t>
      </w:r>
      <w:r w:rsidRPr="00BF3CDE">
        <w:rPr>
          <w:b/>
          <w:bCs/>
        </w:rPr>
        <w:t>ouvrages de protection</w:t>
      </w:r>
      <w:r w:rsidRPr="00BF3CDE">
        <w:t xml:space="preserve"> pour lesquels l’OFPP </w:t>
      </w:r>
      <w:r w:rsidRPr="00BF3CDE">
        <w:lastRenderedPageBreak/>
        <w:t xml:space="preserve">élabore les bases techniques. Apparemment, celles-ci ne prévoient actuellement </w:t>
      </w:r>
      <w:r w:rsidRPr="00BF3CDE">
        <w:rPr>
          <w:b/>
        </w:rPr>
        <w:t>pas de concrétisation</w:t>
      </w:r>
      <w:r w:rsidRPr="00BF3CDE">
        <w:t xml:space="preserve"> des conditions d’accessibilité. On connaît cependant des cas issus de la pratique concernant des caves privées qui, destinées à servir d’abris en cas d’urgence, se sont révélées inaccessibles.</w:t>
      </w:r>
    </w:p>
    <w:p w14:paraId="6C6AD96C" w14:textId="74659B14" w:rsidR="00924B3D" w:rsidRPr="00A40724" w:rsidRDefault="00A40724" w:rsidP="00A40724">
      <w:pPr>
        <w:pStyle w:val="BodyText"/>
      </w:pPr>
      <w:r w:rsidRPr="00BF3CDE">
        <w:t xml:space="preserve">On ne peut que se réjouir du mandat conféré au Conseil fédéral en vue de l’élaboration de bases légales qui permettront la numérisation des </w:t>
      </w:r>
      <w:r w:rsidRPr="00BF3CDE">
        <w:rPr>
          <w:b/>
          <w:bCs/>
        </w:rPr>
        <w:t>appels d’urgence</w:t>
      </w:r>
      <w:r w:rsidRPr="00BF3CDE">
        <w:t xml:space="preserve"> suisses, de sorte que ces derniers soient rendus pleinement accessibles également aux personnes sourdes et malentendantes.</w:t>
      </w:r>
      <w:r w:rsidRPr="00BF3CDE">
        <w:rPr>
          <w:rFonts w:eastAsia="Cambria" w:cs="Times New Roman"/>
          <w:vertAlign w:val="superscript"/>
        </w:rPr>
        <w:footnoteReference w:id="83"/>
      </w:r>
      <w:r w:rsidRPr="00BF3CDE">
        <w:t xml:space="preserve"> </w:t>
      </w:r>
    </w:p>
    <w:p w14:paraId="5A2407A8" w14:textId="30140F05" w:rsidR="000B5897" w:rsidRPr="00BF3CDE" w:rsidRDefault="000B5897" w:rsidP="000B5897">
      <w:pPr>
        <w:pStyle w:val="Subtitle"/>
        <w:rPr>
          <w:rFonts w:eastAsia="Cambria"/>
        </w:rPr>
      </w:pPr>
      <w:r w:rsidRPr="00BF3CDE">
        <w:rPr>
          <w:rFonts w:eastAsia="Cambria"/>
        </w:rPr>
        <w:t xml:space="preserve">Politiques/programmes destinés aux personnes réfugiées en situation </w:t>
      </w:r>
      <w:r w:rsidR="002C10B1">
        <w:rPr>
          <w:rFonts w:eastAsia="Cambria"/>
        </w:rPr>
        <w:t xml:space="preserve">de handicap (LoI, </w:t>
      </w:r>
      <w:r w:rsidRPr="00BF3CDE">
        <w:rPr>
          <w:rFonts w:eastAsia="Cambria"/>
        </w:rPr>
        <w:t>8b)</w:t>
      </w:r>
    </w:p>
    <w:p w14:paraId="546F31D8" w14:textId="08202F9D" w:rsidR="00A40724" w:rsidRPr="00BF3CDE" w:rsidRDefault="00A40724" w:rsidP="00A40724">
      <w:pPr>
        <w:pStyle w:val="BodyText"/>
      </w:pPr>
      <w:r w:rsidRPr="00BF3CDE">
        <w:t xml:space="preserve">La responsabilité en matière de </w:t>
      </w:r>
      <w:r w:rsidRPr="00BF3CDE">
        <w:rPr>
          <w:b/>
          <w:bCs/>
        </w:rPr>
        <w:t>procédure de demande d’asile</w:t>
      </w:r>
      <w:r w:rsidRPr="00BF3CDE">
        <w:t xml:space="preserve"> incombe à la Confédération. Depuis 2019, la majorité des procédures font l’objet d’une décision entrée en force dans un délai de 3 à 4 mois (procédures dites accélérées et procédures de Dublin). Durant cette période, les requérantes et requérants d’asile vivent dans des centres </w:t>
      </w:r>
      <w:r>
        <w:t xml:space="preserve">fédéraux </w:t>
      </w:r>
      <w:r w:rsidRPr="00BF3CDE">
        <w:t>d’asile (C</w:t>
      </w:r>
      <w:r>
        <w:t>FA</w:t>
      </w:r>
      <w:r w:rsidRPr="00BF3CDE">
        <w:t>); le SEM mandate des entreprises privées (poursuivant pour certaines un but lucratif) chargées d’assurer leur prise en charge et leur sécurité. Si, pendant la procédure d’asile, des mesures d’instruction complémentaires s’imposent (procédure dite étendue), il incombe aux cantons et le cas échéant aux communes de veiller à ce que l</w:t>
      </w:r>
      <w:r>
        <w:t>es</w:t>
      </w:r>
      <w:r w:rsidRPr="00BF3CDE">
        <w:t xml:space="preserve"> personne</w:t>
      </w:r>
      <w:r>
        <w:t>s</w:t>
      </w:r>
      <w:r w:rsidRPr="00BF3CDE">
        <w:t xml:space="preserve"> requérante</w:t>
      </w:r>
      <w:r>
        <w:t>s</w:t>
      </w:r>
      <w:r w:rsidRPr="00BF3CDE">
        <w:t xml:space="preserve"> qui leur </w:t>
      </w:r>
      <w:r>
        <w:t>ont</w:t>
      </w:r>
      <w:r w:rsidRPr="00BF3CDE">
        <w:t xml:space="preserve"> été attribuée</w:t>
      </w:r>
      <w:r>
        <w:t>s</w:t>
      </w:r>
      <w:r w:rsidRPr="00BF3CDE">
        <w:t xml:space="preserve"> bénéficie</w:t>
      </w:r>
      <w:r>
        <w:t>nt</w:t>
      </w:r>
      <w:r w:rsidRPr="00BF3CDE">
        <w:t xml:space="preserve"> d’une place d’hébergement, d’un encadrement et de prestations de l’aide sociale. Si ces personnes sont finalement reconnues comme réfugiées ou </w:t>
      </w:r>
      <w:r w:rsidRPr="00BF3CDE">
        <w:lastRenderedPageBreak/>
        <w:t>admises à titre provisoire, intervient le mandat d’intégration des cantons. Les personnes requérantes dont la demande est rejetée ne touchent, jusqu’à exécution de leur expulsion, plus qu’une a</w:t>
      </w:r>
      <w:r>
        <w:t>ide</w:t>
      </w:r>
      <w:r w:rsidRPr="00BF3CDE">
        <w:t xml:space="preserve"> d’urgence; elles </w:t>
      </w:r>
      <w:r w:rsidR="00765DBC" w:rsidRPr="00765DBC">
        <w:t>sont placé</w:t>
      </w:r>
      <w:r w:rsidR="00765DBC">
        <w:t>e</w:t>
      </w:r>
      <w:r w:rsidR="00765DBC" w:rsidRPr="00765DBC">
        <w:t>s dans des centres de renvoi, voire en détention</w:t>
      </w:r>
      <w:r w:rsidR="00765DBC">
        <w:t xml:space="preserve"> en vue du renvoi, selon le cas</w:t>
      </w:r>
      <w:r w:rsidRPr="00BF3CDE">
        <w:t xml:space="preserve">. </w:t>
      </w:r>
    </w:p>
    <w:p w14:paraId="48D81C03" w14:textId="089FCA51" w:rsidR="00A40724" w:rsidRPr="00BF3CDE" w:rsidRDefault="00A40724" w:rsidP="00A40724">
      <w:pPr>
        <w:pStyle w:val="BodyText"/>
        <w:rPr>
          <w:sz w:val="20"/>
          <w:szCs w:val="20"/>
        </w:rPr>
      </w:pPr>
      <w:r w:rsidRPr="00BF3CDE">
        <w:t xml:space="preserve">La manière de traiter les personnes requérantes d’asile (notamment </w:t>
      </w:r>
      <w:r>
        <w:t>au stade initial</w:t>
      </w:r>
      <w:r w:rsidRPr="00BF3CDE">
        <w:t xml:space="preserve"> et après des décisions négatives) témoigne de la politique restrictive de la Suisse en matière asile, qui se caractérise par le </w:t>
      </w:r>
      <w:r w:rsidRPr="00BF3CDE">
        <w:rPr>
          <w:b/>
        </w:rPr>
        <w:t>peu voire l’absence de démarches</w:t>
      </w:r>
      <w:r w:rsidRPr="00BF3CDE">
        <w:t xml:space="preserve"> qui sont entreprises en vue de l’intégration et de la garantie de bonnes conditions de vie pour ces personnes, parfois dans le but de ne «pas compromettre» une (éventuelle) exécution de renvoi. En conséquence, les </w:t>
      </w:r>
      <w:r w:rsidRPr="00BF3CDE">
        <w:rPr>
          <w:b/>
        </w:rPr>
        <w:t>ressources financières</w:t>
      </w:r>
      <w:r w:rsidRPr="00BF3CDE">
        <w:t xml:space="preserve"> accordées sont </w:t>
      </w:r>
      <w:r w:rsidRPr="00BF3CDE">
        <w:rPr>
          <w:b/>
          <w:bCs/>
        </w:rPr>
        <w:t>quasiment nulles</w:t>
      </w:r>
      <w:r w:rsidRPr="00BF3CDE">
        <w:t xml:space="preserve">. Un aspect particulièrement préoccupant concerne le </w:t>
      </w:r>
      <w:r w:rsidRPr="00BF3CDE">
        <w:rPr>
          <w:b/>
        </w:rPr>
        <w:t>manque</w:t>
      </w:r>
      <w:r w:rsidRPr="00BF3CDE">
        <w:rPr>
          <w:bCs/>
        </w:rPr>
        <w:t xml:space="preserve"> criant </w:t>
      </w:r>
      <w:r w:rsidRPr="00BF3CDE">
        <w:rPr>
          <w:b/>
        </w:rPr>
        <w:t>de personnel</w:t>
      </w:r>
      <w:r w:rsidRPr="00BF3CDE">
        <w:t xml:space="preserve"> dans les CFA (ratio d’encadrement allant jusqu’à 3:300), notamment de personnel suffisamment qualifié, l</w:t>
      </w:r>
      <w:r>
        <w:t>es carences dans l</w:t>
      </w:r>
      <w:r w:rsidRPr="00BF3CDE">
        <w:t xml:space="preserve">a </w:t>
      </w:r>
      <w:r w:rsidRPr="00BF3CDE">
        <w:rPr>
          <w:b/>
          <w:bCs/>
        </w:rPr>
        <w:t>prise en charge médicale</w:t>
      </w:r>
      <w:r w:rsidRPr="00BF3CDE">
        <w:t xml:space="preserve"> ainsi que l’utilisation disproportionnée de la violence par le personnel chargé de la sécurité.</w:t>
      </w:r>
      <w:bookmarkStart w:id="66" w:name="_Ref95897716"/>
      <w:r w:rsidRPr="00BF3CDE">
        <w:rPr>
          <w:rFonts w:cs="Times New Roman"/>
          <w:vertAlign w:val="superscript"/>
        </w:rPr>
        <w:footnoteReference w:id="84"/>
      </w:r>
      <w:bookmarkEnd w:id="66"/>
      <w:r w:rsidRPr="00BF3CDE">
        <w:t xml:space="preserve"> Dans ces conditions généralement précaires, les requérantes et requérants d’asile </w:t>
      </w:r>
      <w:r w:rsidR="002C10B1">
        <w:t>en situation de handicap</w:t>
      </w:r>
      <w:r w:rsidRPr="00BF3CDE">
        <w:t xml:space="preserve"> rencontrent des obstacles supplémentaires:</w:t>
      </w:r>
    </w:p>
    <w:p w14:paraId="25B77230" w14:textId="77777777" w:rsidR="00A40724" w:rsidRPr="00BF3CDE" w:rsidRDefault="00A40724" w:rsidP="001A3756">
      <w:pPr>
        <w:pStyle w:val="BodyText"/>
        <w:numPr>
          <w:ilvl w:val="0"/>
          <w:numId w:val="14"/>
        </w:numPr>
      </w:pPr>
      <w:r w:rsidRPr="00BF3CDE">
        <w:rPr>
          <w:b/>
        </w:rPr>
        <w:lastRenderedPageBreak/>
        <w:t>Identification/détection précoce</w:t>
      </w:r>
      <w:r w:rsidRPr="00BF3CDE">
        <w:t>: notamment les personnes ayant des handicaps invisibles et leurs besoins ne sont très souvent pas identifiés.</w:t>
      </w:r>
      <w:r w:rsidRPr="00BF3CDE">
        <w:rPr>
          <w:rFonts w:cs="Times New Roman"/>
          <w:vertAlign w:val="superscript"/>
        </w:rPr>
        <w:footnoteReference w:id="85"/>
      </w:r>
      <w:r w:rsidRPr="00BF3CDE">
        <w:t xml:space="preserve"> </w:t>
      </w:r>
    </w:p>
    <w:p w14:paraId="09A45FC7" w14:textId="1C353D6B" w:rsidR="00A40724" w:rsidRPr="00BF3CDE" w:rsidRDefault="00A40724" w:rsidP="001A3756">
      <w:pPr>
        <w:pStyle w:val="BodyText"/>
        <w:numPr>
          <w:ilvl w:val="0"/>
          <w:numId w:val="14"/>
        </w:numPr>
      </w:pPr>
      <w:r w:rsidRPr="00BF3CDE">
        <w:t xml:space="preserve">Manque de </w:t>
      </w:r>
      <w:r w:rsidRPr="00BF3CDE">
        <w:rPr>
          <w:b/>
        </w:rPr>
        <w:t>capacités en termes de personnel</w:t>
      </w:r>
      <w:r w:rsidRPr="00BF3CDE">
        <w:t xml:space="preserve"> afin d’assurer des prestations de soutien individuel, d’assistance ainsi que la prise de dispositions appropriées</w:t>
      </w:r>
      <w:r w:rsidR="002C10B1">
        <w:t>.</w:t>
      </w:r>
    </w:p>
    <w:p w14:paraId="01FAFB96" w14:textId="77777777" w:rsidR="00A40724" w:rsidRPr="00BF3CDE" w:rsidRDefault="00A40724" w:rsidP="001A3756">
      <w:pPr>
        <w:pStyle w:val="BodyText"/>
        <w:numPr>
          <w:ilvl w:val="0"/>
          <w:numId w:val="14"/>
        </w:numPr>
      </w:pPr>
      <w:r>
        <w:t>Les</w:t>
      </w:r>
      <w:r w:rsidRPr="00BF3CDE">
        <w:t xml:space="preserve"> services de santé spécialement requis en raison d’un handicap </w:t>
      </w:r>
      <w:r>
        <w:t>sont inaccessibles</w:t>
      </w:r>
      <w:r w:rsidRPr="00BF3CDE">
        <w:t xml:space="preserve">, ou </w:t>
      </w:r>
      <w:r>
        <w:t xml:space="preserve">accessibles </w:t>
      </w:r>
      <w:r w:rsidRPr="00BF3CDE">
        <w:t xml:space="preserve">seulement </w:t>
      </w:r>
      <w:r>
        <w:t>lorsque</w:t>
      </w:r>
      <w:r w:rsidRPr="00BF3CDE">
        <w:rPr>
          <w:b/>
        </w:rPr>
        <w:t xml:space="preserve"> </w:t>
      </w:r>
      <w:r>
        <w:rPr>
          <w:b/>
        </w:rPr>
        <w:t>l</w:t>
      </w:r>
      <w:r w:rsidRPr="00BF3CDE">
        <w:rPr>
          <w:b/>
        </w:rPr>
        <w:t xml:space="preserve">e mauvais état de santé </w:t>
      </w:r>
      <w:r>
        <w:rPr>
          <w:b/>
        </w:rPr>
        <w:t xml:space="preserve">arrive en phase </w:t>
      </w:r>
      <w:r w:rsidRPr="00BF3CDE">
        <w:rPr>
          <w:b/>
        </w:rPr>
        <w:t>aigü</w:t>
      </w:r>
      <w:r>
        <w:rPr>
          <w:b/>
        </w:rPr>
        <w:t>e</w:t>
      </w:r>
      <w:r w:rsidRPr="00BF3CDE">
        <w:t xml:space="preserve">. Cela concerne en particulier la prise en charge </w:t>
      </w:r>
      <w:r w:rsidRPr="00BF3CDE">
        <w:rPr>
          <w:b/>
        </w:rPr>
        <w:t>psychiatrique-psychothérapeutique</w:t>
      </w:r>
      <w:r w:rsidRPr="00BF3CDE">
        <w:t xml:space="preserve"> (thérapie souvent reportée jusqu’à l’attribution </w:t>
      </w:r>
      <w:r>
        <w:t xml:space="preserve">de la personne </w:t>
      </w:r>
      <w:r w:rsidRPr="00BF3CDE">
        <w:t xml:space="preserve">au canton; </w:t>
      </w:r>
      <w:r w:rsidRPr="00BF3CDE">
        <w:rPr>
          <w:b/>
        </w:rPr>
        <w:t>pénurie criante en offres spécialisées</w:t>
      </w:r>
      <w:r w:rsidRPr="00BF3CDE">
        <w:t>, longs délais d’attente</w:t>
      </w:r>
      <w:r>
        <w:t>)</w:t>
      </w:r>
      <w:r w:rsidRPr="00BF3CDE">
        <w:t>, mais aussi la prise en charge somatique.</w:t>
      </w:r>
      <w:r w:rsidRPr="00BF3CDE">
        <w:rPr>
          <w:rFonts w:cs="Times New Roman"/>
          <w:vertAlign w:val="superscript"/>
        </w:rPr>
        <w:footnoteReference w:id="86"/>
      </w:r>
    </w:p>
    <w:p w14:paraId="14925601" w14:textId="1B4F3A8B" w:rsidR="00A40724" w:rsidRPr="00BF3CDE" w:rsidRDefault="00A40724" w:rsidP="001A3756">
      <w:pPr>
        <w:pStyle w:val="BodyText"/>
        <w:numPr>
          <w:ilvl w:val="0"/>
          <w:numId w:val="14"/>
        </w:numPr>
      </w:pPr>
      <w:r w:rsidRPr="00BF3CDE">
        <w:t>Accès aux infrastructures resp. à des mesures appropriées: de nombreux CFA ne sont pas accessibles aux PH, souvent manque d’espace très important</w:t>
      </w:r>
      <w:r w:rsidR="002C10B1">
        <w:t>.</w:t>
      </w:r>
    </w:p>
    <w:p w14:paraId="4CFA13CB" w14:textId="7FE1EEB2" w:rsidR="00A40724" w:rsidRPr="00BF3CDE" w:rsidRDefault="00A40724" w:rsidP="001A3756">
      <w:pPr>
        <w:pStyle w:val="BodyText"/>
        <w:numPr>
          <w:ilvl w:val="0"/>
          <w:numId w:val="15"/>
        </w:numPr>
      </w:pPr>
      <w:r w:rsidRPr="00BF3CDE">
        <w:t>Accessibilité en termes de communication/d’aménagements: manque de communication adaptée, absence d’offres complètes de cours de langues et de langue des signes</w:t>
      </w:r>
      <w:r w:rsidR="002C10B1">
        <w:t>.</w:t>
      </w:r>
    </w:p>
    <w:p w14:paraId="30D642C4" w14:textId="50CE7B5F" w:rsidR="00A40724" w:rsidRPr="00BF3CDE" w:rsidRDefault="00A40724" w:rsidP="001A3756">
      <w:pPr>
        <w:pStyle w:val="BodyText"/>
        <w:numPr>
          <w:ilvl w:val="0"/>
          <w:numId w:val="15"/>
        </w:numPr>
      </w:pPr>
      <w:r w:rsidRPr="00BF3CDE">
        <w:rPr>
          <w:b/>
        </w:rPr>
        <w:lastRenderedPageBreak/>
        <w:t>Accès à l’éducation, au travail</w:t>
      </w:r>
      <w:r w:rsidRPr="00BF3CDE">
        <w:t>/structures de jour, loisirs: absence de conception universelle, d’adaptation aux besoins (y compris financement) et d’inclusivité</w:t>
      </w:r>
      <w:r w:rsidR="002C10B1">
        <w:t>.</w:t>
      </w:r>
      <w:r w:rsidRPr="00BF3CDE">
        <w:t xml:space="preserve"> </w:t>
      </w:r>
    </w:p>
    <w:p w14:paraId="26CC21E3" w14:textId="5ECF7F29" w:rsidR="00A40724" w:rsidRPr="00BF3CDE" w:rsidRDefault="00A40724" w:rsidP="001A3756">
      <w:pPr>
        <w:pStyle w:val="BodyText"/>
        <w:numPr>
          <w:ilvl w:val="0"/>
          <w:numId w:val="15"/>
        </w:numPr>
      </w:pPr>
      <w:r w:rsidRPr="00BF3CDE">
        <w:t xml:space="preserve">Manque de </w:t>
      </w:r>
      <w:r w:rsidRPr="00BF3CDE">
        <w:rPr>
          <w:b/>
        </w:rPr>
        <w:t>mesures de financement appropriées</w:t>
      </w:r>
      <w:r w:rsidRPr="00BF3CDE">
        <w:t xml:space="preserve"> (moyen</w:t>
      </w:r>
      <w:r>
        <w:t>s</w:t>
      </w:r>
      <w:r w:rsidRPr="00BF3CDE">
        <w:t xml:space="preserve"> auxiliaires, interprètes en langue des signes, assistance, etc.), </w:t>
      </w:r>
      <w:r>
        <w:t>vu que ces personnes n’ont pas</w:t>
      </w:r>
      <w:r w:rsidRPr="00BF3CDE">
        <w:t xml:space="preserve"> droit aux prestations de l’AI (obligation de cotisation non remplie; handicaps survenus dans le pays d’origine)</w:t>
      </w:r>
      <w:r w:rsidR="006B22BE">
        <w:t xml:space="preserve"> (cf. art. 28 CDPH).</w:t>
      </w:r>
    </w:p>
    <w:p w14:paraId="003CBC4A" w14:textId="1B1A1F96" w:rsidR="00A40724" w:rsidRPr="00BF3CDE" w:rsidRDefault="00A40724" w:rsidP="001A3756">
      <w:pPr>
        <w:pStyle w:val="BodyText"/>
        <w:numPr>
          <w:ilvl w:val="0"/>
          <w:numId w:val="15"/>
        </w:numPr>
      </w:pPr>
      <w:r w:rsidRPr="00BF3CDE">
        <w:rPr>
          <w:b/>
        </w:rPr>
        <w:t>Accès aux procédures</w:t>
      </w:r>
      <w:r w:rsidRPr="00BF3CDE">
        <w:t>/mesures: des adaptations en termes de communication, d’organisation etc. ne sont pas systématiquement garanties ni financées</w:t>
      </w:r>
      <w:r w:rsidR="002C10B1">
        <w:t>.</w:t>
      </w:r>
    </w:p>
    <w:p w14:paraId="3510068D" w14:textId="77777777" w:rsidR="00A40724" w:rsidRPr="00BF3CDE" w:rsidRDefault="00A40724" w:rsidP="001A3756">
      <w:pPr>
        <w:pStyle w:val="BodyText"/>
        <w:numPr>
          <w:ilvl w:val="0"/>
          <w:numId w:val="15"/>
        </w:numPr>
      </w:pPr>
      <w:r w:rsidRPr="00BF3CDE">
        <w:t xml:space="preserve">La </w:t>
      </w:r>
      <w:r w:rsidRPr="00FF207C">
        <w:rPr>
          <w:b/>
        </w:rPr>
        <w:t>persécution fondée spécifiquement sur le handicap</w:t>
      </w:r>
      <w:r w:rsidRPr="00BF3CDE">
        <w:t xml:space="preserve">, invoquée comme </w:t>
      </w:r>
      <w:r w:rsidRPr="00BF3CDE">
        <w:rPr>
          <w:b/>
          <w:bCs/>
        </w:rPr>
        <w:t>motif de la demande d’asile</w:t>
      </w:r>
      <w:r w:rsidRPr="00BF3CDE">
        <w:rPr>
          <w:vertAlign w:val="superscript"/>
        </w:rPr>
        <w:footnoteReference w:id="87"/>
      </w:r>
      <w:r w:rsidRPr="00BF3CDE">
        <w:t xml:space="preserve"> resp. comme motif de non-exigibilité de l’exécution du renvoi n’est ni reconnue ni analysée; manque de prise en compte des besoins en cas d’«aide au retour». </w:t>
      </w:r>
    </w:p>
    <w:p w14:paraId="42D81462" w14:textId="77777777" w:rsidR="00A40724" w:rsidRPr="00BF3CDE" w:rsidRDefault="00A40724" w:rsidP="00A40724">
      <w:pPr>
        <w:pStyle w:val="BodyText"/>
      </w:pPr>
      <w:r w:rsidRPr="00BF3CDE">
        <w:t>Même si certains déficits sont particulièrement marquants durant le séjour en centres d’hébergement collectifs, bon nombre d’entre eux subsistent également après l’admission définitive des personnes concernées. La prise en compte des besoins spécifiques des personnes réfugiées en situation de handicap</w:t>
      </w:r>
      <w:r>
        <w:t xml:space="preserve"> </w:t>
      </w:r>
      <w:r w:rsidRPr="00BF3CDE">
        <w:t>n’est pas non plus suffisante dans le cadre de l’</w:t>
      </w:r>
      <w:r w:rsidRPr="00BF3CDE">
        <w:rPr>
          <w:b/>
          <w:bCs/>
        </w:rPr>
        <w:t xml:space="preserve">Agenda Intégration </w:t>
      </w:r>
      <w:r w:rsidRPr="00BF3CDE">
        <w:rPr>
          <w:b/>
          <w:bCs/>
        </w:rPr>
        <w:lastRenderedPageBreak/>
        <w:t>Suisse</w:t>
      </w:r>
      <w:r w:rsidRPr="00BF3CDE">
        <w:t>/p</w:t>
      </w:r>
      <w:r>
        <w:t>lans</w:t>
      </w:r>
      <w:r w:rsidRPr="00BF3CDE">
        <w:t xml:space="preserve"> d’intégration (réponse à la LoI, para. 25). Exemples: pour accéder à des mesures de réinsertion de l’AI, une durée minimale de résidence s’applique également aux personnes ayant un statut de réfugiées reconnues, ou des mesures d’intégration cantonales leur sont refusées (p. ex. </w:t>
      </w:r>
      <w:r>
        <w:t xml:space="preserve">le recours à des </w:t>
      </w:r>
      <w:r w:rsidRPr="00BF3CDE">
        <w:t>interprètes en langue des signes).</w:t>
      </w:r>
    </w:p>
    <w:p w14:paraId="3346A8F3" w14:textId="68DEE7F0" w:rsidR="00924B3D" w:rsidRPr="00F756DE" w:rsidRDefault="00A40724" w:rsidP="00A40724">
      <w:pPr>
        <w:pStyle w:val="BodyText"/>
        <w:rPr>
          <w:rFonts w:eastAsia="Cambria"/>
        </w:rPr>
      </w:pPr>
      <w:r w:rsidRPr="00BF3CDE">
        <w:t xml:space="preserve">Un aspect réjouissant concerne l’actuelle élaboration, par le SEM, d’un </w:t>
      </w:r>
      <w:r w:rsidRPr="00BF3CDE">
        <w:rPr>
          <w:b/>
        </w:rPr>
        <w:t>guide</w:t>
      </w:r>
      <w:r w:rsidRPr="00BF3CDE">
        <w:t xml:space="preserve"> concernant les </w:t>
      </w:r>
      <w:r w:rsidRPr="00BF3CDE">
        <w:rPr>
          <w:b/>
        </w:rPr>
        <w:t>personnes «ayant des besoins particuliers»</w:t>
      </w:r>
      <w:r w:rsidRPr="00BF3CDE">
        <w:t xml:space="preserve"> et, dans ce contexte, la création d’un SPOC dans l’ensemble des </w:t>
      </w:r>
      <w:r w:rsidRPr="00BF3CDE">
        <w:rPr>
          <w:b/>
        </w:rPr>
        <w:t>CFA</w:t>
      </w:r>
      <w:r w:rsidRPr="00BF3CDE">
        <w:t>. L’intervention d’associations de PH dans le cadre d’une consultation préalable a été, à ce stade, bien accueillie.</w:t>
      </w:r>
    </w:p>
    <w:p w14:paraId="38CC41DA" w14:textId="77777777" w:rsidR="00924B3D" w:rsidRPr="00F756DE" w:rsidRDefault="000B5897" w:rsidP="00924B3D">
      <w:pPr>
        <w:shd w:val="clear" w:color="auto" w:fill="FFFFCC"/>
        <w:spacing w:before="240"/>
        <w:rPr>
          <w:rFonts w:eastAsia="Cambria"/>
          <w:b/>
        </w:rPr>
      </w:pPr>
      <w:r>
        <w:rPr>
          <w:rFonts w:eastAsia="Cambria"/>
          <w:b/>
        </w:rPr>
        <w:t>Propositions de recommandations</w:t>
      </w:r>
      <w:r w:rsidR="00924B3D" w:rsidRPr="00F756DE">
        <w:rPr>
          <w:rFonts w:eastAsia="Cambria"/>
          <w:b/>
        </w:rPr>
        <w:t>:</w:t>
      </w:r>
    </w:p>
    <w:p w14:paraId="0FC70999" w14:textId="77777777" w:rsidR="00A40724" w:rsidRPr="00BF3CDE" w:rsidRDefault="00A40724" w:rsidP="00A40724">
      <w:pPr>
        <w:pStyle w:val="SBEmpfehlungen"/>
      </w:pPr>
      <w:r w:rsidRPr="00BF3CDE">
        <w:t>L’</w:t>
      </w:r>
      <w:r w:rsidRPr="00BF3CDE">
        <w:rPr>
          <w:b/>
        </w:rPr>
        <w:t>OFPP et les cantons</w:t>
      </w:r>
      <w:r w:rsidRPr="00BF3CDE">
        <w:t xml:space="preserve"> élaborent et mettent en œuvre une </w:t>
      </w:r>
      <w:r w:rsidRPr="00BF3CDE">
        <w:rPr>
          <w:b/>
          <w:bCs/>
        </w:rPr>
        <w:t>stratégie globale</w:t>
      </w:r>
      <w:r w:rsidRPr="00BF3CDE">
        <w:t xml:space="preserve"> visant à assurer la pleine protection des PH contre des situations dangereuses, notamment aussi lors de leur hébergement.</w:t>
      </w:r>
    </w:p>
    <w:p w14:paraId="61C7DB0B" w14:textId="77777777" w:rsidR="00A40724" w:rsidRPr="00BF3CDE" w:rsidRDefault="00A40724" w:rsidP="00A40724">
      <w:pPr>
        <w:pStyle w:val="SBEmpfehlungen"/>
      </w:pPr>
      <w:r w:rsidRPr="00BF3CDE">
        <w:t xml:space="preserve">Dans le Guide « Requérant-e-s d’asile ayant des besoins particuliers dans les </w:t>
      </w:r>
      <w:r w:rsidRPr="00BF3CDE">
        <w:rPr>
          <w:b/>
          <w:bCs/>
        </w:rPr>
        <w:t>CFA</w:t>
      </w:r>
      <w:r w:rsidRPr="00BF3CDE">
        <w:t xml:space="preserve">», le SEM formule, en collaboration avec les associations de personnes handicapées, des </w:t>
      </w:r>
      <w:r w:rsidRPr="00BF3CDE">
        <w:rPr>
          <w:b/>
          <w:bCs/>
        </w:rPr>
        <w:t>standards contraignants</w:t>
      </w:r>
      <w:r w:rsidRPr="00BF3CDE">
        <w:t xml:space="preserve"> destinés à l’intervention auprès de requérant-e-s d’asile en situation de handicap; il veille à la formation systématique du personnel à cet effet et met à disposition les </w:t>
      </w:r>
      <w:r w:rsidRPr="00BF3CDE">
        <w:rPr>
          <w:b/>
          <w:bCs/>
        </w:rPr>
        <w:t>ressources</w:t>
      </w:r>
      <w:r w:rsidRPr="00BF3CDE">
        <w:t xml:space="preserve"> financières et personnelles nécessaires à une mise en œuvre effective. </w:t>
      </w:r>
    </w:p>
    <w:p w14:paraId="0F071E4B" w14:textId="45D577C8" w:rsidR="00FE29BD" w:rsidRPr="00F756DE" w:rsidRDefault="00A40724" w:rsidP="00A40724">
      <w:pPr>
        <w:pStyle w:val="SBEmpfehlungen"/>
      </w:pPr>
      <w:r w:rsidRPr="00BF3CDE">
        <w:lastRenderedPageBreak/>
        <w:t xml:space="preserve">Le SEM et les cantons assurent, en collaboration avec les associations de PH, le développement et le financement de </w:t>
      </w:r>
      <w:r w:rsidRPr="000D1289">
        <w:rPr>
          <w:b/>
        </w:rPr>
        <w:t xml:space="preserve">mesures concrètes en faveur de l’égalité des personnes réfugiées </w:t>
      </w:r>
      <w:r w:rsidR="002C10B1">
        <w:rPr>
          <w:b/>
        </w:rPr>
        <w:t>en situation de handicap</w:t>
      </w:r>
      <w:r w:rsidRPr="00BF3CDE">
        <w:t xml:space="preserve">, à tous les stades de la procédure d’asile jusqu’à leur intégration durable, et ce en particulier concernant la </w:t>
      </w:r>
      <w:r w:rsidRPr="00BF3CDE">
        <w:rPr>
          <w:b/>
        </w:rPr>
        <w:t xml:space="preserve">prise en charge médicale </w:t>
      </w:r>
      <w:r w:rsidRPr="00BF3CDE">
        <w:t xml:space="preserve">et le </w:t>
      </w:r>
      <w:r w:rsidRPr="00BF3CDE">
        <w:rPr>
          <w:b/>
        </w:rPr>
        <w:t>financement de mesures appropriées</w:t>
      </w:r>
      <w:r w:rsidRPr="00BF3CDE">
        <w:t xml:space="preserve">. </w:t>
      </w:r>
    </w:p>
    <w:p w14:paraId="1F21CB69" w14:textId="77777777" w:rsidR="000B5897" w:rsidRPr="00BF3CDE" w:rsidRDefault="000B5897" w:rsidP="000B5897">
      <w:pPr>
        <w:pStyle w:val="Heading3"/>
        <w:numPr>
          <w:ilvl w:val="0"/>
          <w:numId w:val="0"/>
        </w:numPr>
        <w:rPr>
          <w:rFonts w:asciiTheme="minorHAnsi" w:hAnsiTheme="minorHAnsi" w:cstheme="minorBidi"/>
        </w:rPr>
      </w:pPr>
      <w:bookmarkStart w:id="67" w:name="_Toc93906732"/>
      <w:bookmarkStart w:id="68" w:name="_Toc95500335"/>
      <w:bookmarkStart w:id="69" w:name="_Ref95896352"/>
      <w:bookmarkStart w:id="70" w:name="_Toc96287605"/>
      <w:r w:rsidRPr="00BF3CDE">
        <w:t>Art. 12 – Reconnaissance de la personnalité juridique dans des conditions d’égalité</w:t>
      </w:r>
      <w:bookmarkEnd w:id="67"/>
      <w:bookmarkEnd w:id="68"/>
      <w:bookmarkEnd w:id="69"/>
      <w:bookmarkEnd w:id="70"/>
    </w:p>
    <w:tbl>
      <w:tblPr>
        <w:tblStyle w:val="Tabellenraster1"/>
        <w:tblW w:w="0" w:type="auto"/>
        <w:tblLook w:val="04A0" w:firstRow="1" w:lastRow="0" w:firstColumn="1" w:lastColumn="0" w:noHBand="0" w:noVBand="1"/>
      </w:tblPr>
      <w:tblGrid>
        <w:gridCol w:w="2794"/>
        <w:gridCol w:w="1595"/>
        <w:gridCol w:w="4671"/>
      </w:tblGrid>
      <w:tr w:rsidR="00A717CC" w:rsidRPr="00A717CC" w14:paraId="160EA6C0" w14:textId="77777777" w:rsidTr="00255D49">
        <w:trPr>
          <w:trHeight w:val="592"/>
        </w:trPr>
        <w:tc>
          <w:tcPr>
            <w:tcW w:w="0" w:type="auto"/>
            <w:gridSpan w:val="3"/>
            <w:shd w:val="clear" w:color="auto" w:fill="DEEAF6" w:themeFill="accent1" w:themeFillTint="33"/>
          </w:tcPr>
          <w:p w14:paraId="6E853C68" w14:textId="77777777" w:rsidR="00A717CC" w:rsidRPr="00A717CC" w:rsidRDefault="00A717CC" w:rsidP="00A717CC">
            <w:pPr>
              <w:spacing w:line="220" w:lineRule="exact"/>
              <w:jc w:val="center"/>
              <w:rPr>
                <w:b/>
                <w:sz w:val="20"/>
                <w:szCs w:val="20"/>
              </w:rPr>
            </w:pPr>
            <w:r w:rsidRPr="00A717CC">
              <w:rPr>
                <w:b/>
                <w:sz w:val="20"/>
                <w:szCs w:val="20"/>
              </w:rPr>
              <w:t>Le droit de protection de l’adulte</w:t>
            </w:r>
          </w:p>
          <w:p w14:paraId="086B43A4" w14:textId="77777777" w:rsidR="00A717CC" w:rsidRPr="00A717CC" w:rsidRDefault="00A717CC" w:rsidP="00A717CC">
            <w:pPr>
              <w:spacing w:line="220" w:lineRule="exact"/>
              <w:jc w:val="center"/>
              <w:rPr>
                <w:sz w:val="20"/>
                <w:szCs w:val="20"/>
              </w:rPr>
            </w:pPr>
            <w:r w:rsidRPr="00A717CC">
              <w:rPr>
                <w:b/>
                <w:sz w:val="20"/>
                <w:szCs w:val="20"/>
              </w:rPr>
              <w:t xml:space="preserve">Les curatelles en un coup d’œil </w:t>
            </w:r>
          </w:p>
        </w:tc>
      </w:tr>
      <w:tr w:rsidR="00A717CC" w:rsidRPr="00A717CC" w14:paraId="1D7C90EF" w14:textId="77777777" w:rsidTr="00255D49">
        <w:trPr>
          <w:trHeight w:val="549"/>
        </w:trPr>
        <w:tc>
          <w:tcPr>
            <w:tcW w:w="2795" w:type="dxa"/>
            <w:shd w:val="clear" w:color="auto" w:fill="DEEAF6" w:themeFill="accent1" w:themeFillTint="33"/>
          </w:tcPr>
          <w:p w14:paraId="4B1FC1C1" w14:textId="77777777" w:rsidR="00A717CC" w:rsidRPr="00A717CC" w:rsidRDefault="00A717CC" w:rsidP="00A717CC">
            <w:pPr>
              <w:spacing w:line="220" w:lineRule="exact"/>
              <w:jc w:val="left"/>
              <w:rPr>
                <w:sz w:val="20"/>
                <w:szCs w:val="20"/>
              </w:rPr>
            </w:pPr>
            <w:r w:rsidRPr="00A717CC">
              <w:rPr>
                <w:b/>
                <w:sz w:val="20"/>
                <w:szCs w:val="20"/>
              </w:rPr>
              <w:t>Curatelle d’accompagnement</w:t>
            </w:r>
          </w:p>
        </w:tc>
        <w:tc>
          <w:tcPr>
            <w:tcW w:w="1595" w:type="dxa"/>
            <w:shd w:val="clear" w:color="auto" w:fill="DEEAF6" w:themeFill="accent1" w:themeFillTint="33"/>
          </w:tcPr>
          <w:p w14:paraId="1C58F72F" w14:textId="77777777" w:rsidR="00A717CC" w:rsidRPr="00A717CC" w:rsidRDefault="00A717CC" w:rsidP="00A717CC">
            <w:pPr>
              <w:spacing w:line="220" w:lineRule="exact"/>
              <w:jc w:val="left"/>
              <w:rPr>
                <w:sz w:val="20"/>
                <w:szCs w:val="20"/>
              </w:rPr>
            </w:pPr>
            <w:r w:rsidRPr="00A717CC">
              <w:rPr>
                <w:sz w:val="20"/>
                <w:szCs w:val="20"/>
              </w:rPr>
              <w:t>Art. 393 CC</w:t>
            </w:r>
          </w:p>
        </w:tc>
        <w:tc>
          <w:tcPr>
            <w:tcW w:w="4672" w:type="dxa"/>
            <w:shd w:val="clear" w:color="auto" w:fill="DEEAF6" w:themeFill="accent1" w:themeFillTint="33"/>
          </w:tcPr>
          <w:p w14:paraId="1C0F9966" w14:textId="77777777" w:rsidR="00A717CC" w:rsidRPr="00A717CC" w:rsidRDefault="00A717CC" w:rsidP="00A717CC">
            <w:pPr>
              <w:spacing w:line="220" w:lineRule="exact"/>
              <w:jc w:val="left"/>
              <w:rPr>
                <w:sz w:val="20"/>
                <w:szCs w:val="20"/>
              </w:rPr>
            </w:pPr>
            <w:r w:rsidRPr="00A717CC">
              <w:rPr>
                <w:sz w:val="20"/>
                <w:szCs w:val="20"/>
              </w:rPr>
              <w:t xml:space="preserve">Exercice des droits civils </w:t>
            </w:r>
            <w:r w:rsidRPr="00A717CC">
              <w:rPr>
                <w:b/>
                <w:sz w:val="20"/>
                <w:szCs w:val="20"/>
              </w:rPr>
              <w:t>non limités</w:t>
            </w:r>
            <w:r w:rsidRPr="00A717CC">
              <w:rPr>
                <w:sz w:val="20"/>
                <w:szCs w:val="20"/>
              </w:rPr>
              <w:t xml:space="preserve"> (art. 393 al. 2 CC)</w:t>
            </w:r>
          </w:p>
        </w:tc>
      </w:tr>
      <w:tr w:rsidR="00A717CC" w:rsidRPr="00A717CC" w14:paraId="518E1BC7" w14:textId="77777777" w:rsidTr="00255D49">
        <w:trPr>
          <w:trHeight w:val="243"/>
        </w:trPr>
        <w:tc>
          <w:tcPr>
            <w:tcW w:w="2795" w:type="dxa"/>
            <w:vMerge w:val="restart"/>
            <w:shd w:val="clear" w:color="auto" w:fill="BDD6EE" w:themeFill="accent1" w:themeFillTint="66"/>
          </w:tcPr>
          <w:p w14:paraId="4ED0E11D" w14:textId="77777777" w:rsidR="00A717CC" w:rsidRPr="00A717CC" w:rsidRDefault="00A717CC" w:rsidP="00A717CC">
            <w:pPr>
              <w:spacing w:line="220" w:lineRule="exact"/>
              <w:jc w:val="left"/>
              <w:rPr>
                <w:sz w:val="20"/>
                <w:szCs w:val="20"/>
              </w:rPr>
            </w:pPr>
            <w:r w:rsidRPr="00A717CC">
              <w:rPr>
                <w:b/>
                <w:sz w:val="20"/>
                <w:szCs w:val="20"/>
              </w:rPr>
              <w:t>Curatelle de représentation</w:t>
            </w:r>
          </w:p>
        </w:tc>
        <w:tc>
          <w:tcPr>
            <w:tcW w:w="1595" w:type="dxa"/>
            <w:shd w:val="clear" w:color="auto" w:fill="BDD6EE" w:themeFill="accent1" w:themeFillTint="66"/>
          </w:tcPr>
          <w:p w14:paraId="3E58E988" w14:textId="77777777" w:rsidR="00A717CC" w:rsidRPr="00A717CC" w:rsidRDefault="00A717CC" w:rsidP="00A717CC">
            <w:pPr>
              <w:spacing w:line="220" w:lineRule="exact"/>
              <w:jc w:val="left"/>
              <w:rPr>
                <w:sz w:val="20"/>
                <w:szCs w:val="20"/>
              </w:rPr>
            </w:pPr>
            <w:r w:rsidRPr="00A717CC">
              <w:rPr>
                <w:sz w:val="20"/>
                <w:szCs w:val="20"/>
              </w:rPr>
              <w:t>Art. 394 al. 1; Art. 395 CC</w:t>
            </w:r>
          </w:p>
        </w:tc>
        <w:tc>
          <w:tcPr>
            <w:tcW w:w="4672" w:type="dxa"/>
            <w:shd w:val="clear" w:color="auto" w:fill="BDD6EE" w:themeFill="accent1" w:themeFillTint="66"/>
          </w:tcPr>
          <w:p w14:paraId="7403D1A2" w14:textId="77777777" w:rsidR="00A717CC" w:rsidRPr="00A717CC" w:rsidRDefault="00A717CC" w:rsidP="00A717CC">
            <w:pPr>
              <w:spacing w:line="220" w:lineRule="exact"/>
              <w:jc w:val="left"/>
              <w:rPr>
                <w:sz w:val="20"/>
                <w:szCs w:val="20"/>
              </w:rPr>
            </w:pPr>
            <w:r w:rsidRPr="00A717CC">
              <w:rPr>
                <w:sz w:val="20"/>
                <w:szCs w:val="20"/>
              </w:rPr>
              <w:t xml:space="preserve">Curatelle de représentation </w:t>
            </w:r>
            <w:r w:rsidRPr="00A717CC">
              <w:rPr>
                <w:b/>
                <w:bCs/>
                <w:sz w:val="20"/>
                <w:szCs w:val="20"/>
              </w:rPr>
              <w:t>sans limitation de l’exercice des droits civils</w:t>
            </w:r>
            <w:r w:rsidRPr="00A717CC">
              <w:rPr>
                <w:sz w:val="20"/>
                <w:szCs w:val="20"/>
              </w:rPr>
              <w:t>. La personne concernée est liée par les actes de sa curatrice ou de son curateur. (Art. 394 al. 3 CC)</w:t>
            </w:r>
          </w:p>
        </w:tc>
      </w:tr>
      <w:tr w:rsidR="00A717CC" w:rsidRPr="00A717CC" w14:paraId="64DA2CC6" w14:textId="77777777" w:rsidTr="00255D49">
        <w:trPr>
          <w:trHeight w:val="889"/>
        </w:trPr>
        <w:tc>
          <w:tcPr>
            <w:tcW w:w="2795" w:type="dxa"/>
            <w:vMerge/>
            <w:shd w:val="clear" w:color="auto" w:fill="BDD6EE" w:themeFill="accent1" w:themeFillTint="66"/>
          </w:tcPr>
          <w:p w14:paraId="53CC78BC" w14:textId="77777777" w:rsidR="00A717CC" w:rsidRPr="00A717CC" w:rsidRDefault="00A717CC" w:rsidP="00A717CC">
            <w:pPr>
              <w:spacing w:line="220" w:lineRule="exact"/>
              <w:jc w:val="left"/>
              <w:rPr>
                <w:sz w:val="20"/>
                <w:szCs w:val="20"/>
              </w:rPr>
            </w:pPr>
          </w:p>
        </w:tc>
        <w:tc>
          <w:tcPr>
            <w:tcW w:w="1595" w:type="dxa"/>
            <w:shd w:val="clear" w:color="auto" w:fill="BDD6EE" w:themeFill="accent1" w:themeFillTint="66"/>
          </w:tcPr>
          <w:p w14:paraId="66409D29" w14:textId="77777777" w:rsidR="00A717CC" w:rsidRPr="00A717CC" w:rsidRDefault="00A717CC" w:rsidP="00A717CC">
            <w:pPr>
              <w:spacing w:line="220" w:lineRule="exact"/>
              <w:jc w:val="left"/>
              <w:rPr>
                <w:sz w:val="20"/>
                <w:szCs w:val="20"/>
              </w:rPr>
            </w:pPr>
            <w:r w:rsidRPr="00A717CC">
              <w:rPr>
                <w:sz w:val="20"/>
                <w:szCs w:val="20"/>
              </w:rPr>
              <w:t>Art. 394 al. 2 CC (év. en liaison avec art. 395 CC)</w:t>
            </w:r>
          </w:p>
        </w:tc>
        <w:tc>
          <w:tcPr>
            <w:tcW w:w="4672" w:type="dxa"/>
            <w:shd w:val="clear" w:color="auto" w:fill="BDD6EE" w:themeFill="accent1" w:themeFillTint="66"/>
          </w:tcPr>
          <w:p w14:paraId="57DA1811" w14:textId="77777777" w:rsidR="00A717CC" w:rsidRPr="00A717CC" w:rsidRDefault="00A717CC" w:rsidP="00A717CC">
            <w:pPr>
              <w:spacing w:line="220" w:lineRule="exact"/>
              <w:jc w:val="left"/>
              <w:rPr>
                <w:sz w:val="20"/>
                <w:szCs w:val="20"/>
              </w:rPr>
            </w:pPr>
            <w:r w:rsidRPr="00A717CC">
              <w:rPr>
                <w:sz w:val="20"/>
                <w:szCs w:val="20"/>
              </w:rPr>
              <w:t xml:space="preserve">Curatelle de représentation </w:t>
            </w:r>
            <w:r w:rsidRPr="00A717CC">
              <w:rPr>
                <w:b/>
                <w:sz w:val="20"/>
                <w:szCs w:val="20"/>
              </w:rPr>
              <w:t>avec limitation des droits civils</w:t>
            </w:r>
          </w:p>
        </w:tc>
      </w:tr>
      <w:tr w:rsidR="00A717CC" w:rsidRPr="00A717CC" w14:paraId="74C027A7" w14:textId="77777777" w:rsidTr="00255D49">
        <w:trPr>
          <w:trHeight w:val="524"/>
        </w:trPr>
        <w:tc>
          <w:tcPr>
            <w:tcW w:w="2795" w:type="dxa"/>
            <w:shd w:val="clear" w:color="auto" w:fill="9CC2E5" w:themeFill="accent1" w:themeFillTint="99"/>
          </w:tcPr>
          <w:p w14:paraId="20F497A6" w14:textId="77777777" w:rsidR="00A717CC" w:rsidRPr="00A717CC" w:rsidRDefault="00A717CC" w:rsidP="00A717CC">
            <w:pPr>
              <w:spacing w:line="220" w:lineRule="exact"/>
              <w:jc w:val="left"/>
              <w:rPr>
                <w:sz w:val="20"/>
                <w:szCs w:val="20"/>
              </w:rPr>
            </w:pPr>
            <w:r w:rsidRPr="00A717CC">
              <w:rPr>
                <w:b/>
                <w:sz w:val="20"/>
                <w:szCs w:val="20"/>
              </w:rPr>
              <w:t>Curatelle de coopération</w:t>
            </w:r>
          </w:p>
        </w:tc>
        <w:tc>
          <w:tcPr>
            <w:tcW w:w="1595" w:type="dxa"/>
            <w:shd w:val="clear" w:color="auto" w:fill="9CC2E5" w:themeFill="accent1" w:themeFillTint="99"/>
          </w:tcPr>
          <w:p w14:paraId="626A8E79" w14:textId="77777777" w:rsidR="00A717CC" w:rsidRPr="00A717CC" w:rsidRDefault="00A717CC" w:rsidP="00A717CC">
            <w:pPr>
              <w:spacing w:line="220" w:lineRule="exact"/>
              <w:jc w:val="left"/>
              <w:rPr>
                <w:sz w:val="20"/>
                <w:szCs w:val="20"/>
              </w:rPr>
            </w:pPr>
            <w:r w:rsidRPr="00A717CC">
              <w:rPr>
                <w:sz w:val="20"/>
                <w:szCs w:val="20"/>
              </w:rPr>
              <w:t xml:space="preserve">Art. 396 CC </w:t>
            </w:r>
          </w:p>
        </w:tc>
        <w:tc>
          <w:tcPr>
            <w:tcW w:w="4672" w:type="dxa"/>
            <w:shd w:val="clear" w:color="auto" w:fill="9CC2E5" w:themeFill="accent1" w:themeFillTint="99"/>
          </w:tcPr>
          <w:p w14:paraId="2CE8A9A0" w14:textId="77777777" w:rsidR="00A717CC" w:rsidRPr="00A717CC" w:rsidRDefault="00A717CC" w:rsidP="00A717CC">
            <w:pPr>
              <w:spacing w:line="220" w:lineRule="exact"/>
              <w:jc w:val="left"/>
              <w:rPr>
                <w:sz w:val="20"/>
                <w:szCs w:val="20"/>
              </w:rPr>
            </w:pPr>
            <w:r w:rsidRPr="00A717CC">
              <w:rPr>
                <w:sz w:val="20"/>
                <w:szCs w:val="20"/>
              </w:rPr>
              <w:t xml:space="preserve">Exercice des droits civils </w:t>
            </w:r>
            <w:r w:rsidRPr="00A717CC">
              <w:rPr>
                <w:b/>
                <w:bCs/>
                <w:sz w:val="20"/>
                <w:szCs w:val="20"/>
              </w:rPr>
              <w:t>limité</w:t>
            </w:r>
            <w:r w:rsidRPr="00A717CC">
              <w:rPr>
                <w:sz w:val="20"/>
                <w:szCs w:val="20"/>
              </w:rPr>
              <w:t xml:space="preserve"> (pour les actes soumis à l’exigence du consentement de la curatrice ou du curateur) (art. 396 al. 2 CC)</w:t>
            </w:r>
          </w:p>
        </w:tc>
      </w:tr>
      <w:tr w:rsidR="00A717CC" w:rsidRPr="00A717CC" w14:paraId="7DB24500" w14:textId="77777777" w:rsidTr="00255D49">
        <w:trPr>
          <w:trHeight w:val="524"/>
        </w:trPr>
        <w:tc>
          <w:tcPr>
            <w:tcW w:w="2795" w:type="dxa"/>
            <w:shd w:val="clear" w:color="auto" w:fill="2E74B5" w:themeFill="accent1" w:themeFillShade="BF"/>
          </w:tcPr>
          <w:p w14:paraId="0ABE2B48" w14:textId="77777777" w:rsidR="00A717CC" w:rsidRPr="00A717CC" w:rsidRDefault="00A717CC" w:rsidP="00A717CC">
            <w:pPr>
              <w:spacing w:line="220" w:lineRule="exact"/>
              <w:jc w:val="left"/>
              <w:rPr>
                <w:b/>
                <w:bCs/>
                <w:sz w:val="20"/>
                <w:szCs w:val="20"/>
              </w:rPr>
            </w:pPr>
            <w:r w:rsidRPr="00A717CC">
              <w:rPr>
                <w:b/>
                <w:bCs/>
                <w:sz w:val="20"/>
                <w:szCs w:val="20"/>
              </w:rPr>
              <w:t>Curatelle de portée générale</w:t>
            </w:r>
          </w:p>
        </w:tc>
        <w:tc>
          <w:tcPr>
            <w:tcW w:w="1595" w:type="dxa"/>
            <w:shd w:val="clear" w:color="auto" w:fill="2E74B5" w:themeFill="accent1" w:themeFillShade="BF"/>
          </w:tcPr>
          <w:p w14:paraId="3C8F1524" w14:textId="77777777" w:rsidR="00A717CC" w:rsidRPr="00A717CC" w:rsidRDefault="00A717CC" w:rsidP="00A717CC">
            <w:pPr>
              <w:spacing w:line="220" w:lineRule="exact"/>
              <w:jc w:val="left"/>
              <w:rPr>
                <w:sz w:val="20"/>
                <w:szCs w:val="20"/>
              </w:rPr>
            </w:pPr>
            <w:r w:rsidRPr="00A717CC">
              <w:rPr>
                <w:sz w:val="20"/>
                <w:szCs w:val="20"/>
              </w:rPr>
              <w:t>Art. 398 CC</w:t>
            </w:r>
          </w:p>
        </w:tc>
        <w:tc>
          <w:tcPr>
            <w:tcW w:w="4672" w:type="dxa"/>
            <w:shd w:val="clear" w:color="auto" w:fill="2E74B5" w:themeFill="accent1" w:themeFillShade="BF"/>
          </w:tcPr>
          <w:p w14:paraId="582AD174" w14:textId="0BF88673" w:rsidR="00A717CC" w:rsidRPr="00A717CC" w:rsidRDefault="00A717CC" w:rsidP="00A717CC">
            <w:pPr>
              <w:spacing w:line="220" w:lineRule="exact"/>
              <w:jc w:val="left"/>
              <w:rPr>
                <w:sz w:val="20"/>
                <w:szCs w:val="20"/>
              </w:rPr>
            </w:pPr>
            <w:r w:rsidRPr="00A717CC">
              <w:rPr>
                <w:b/>
                <w:bCs/>
                <w:sz w:val="20"/>
                <w:szCs w:val="20"/>
              </w:rPr>
              <w:t>La personne concernée est privée de plein droit de l’exercice des droits civils</w:t>
            </w:r>
            <w:r w:rsidRPr="00A717CC">
              <w:rPr>
                <w:sz w:val="20"/>
                <w:szCs w:val="20"/>
              </w:rPr>
              <w:t>. La curatelle couvre tous les domaines de l’assistance personnelle, de la gestion du patrimoine et des rapports juridique</w:t>
            </w:r>
            <w:r w:rsidR="002C10B1">
              <w:rPr>
                <w:sz w:val="20"/>
                <w:szCs w:val="20"/>
              </w:rPr>
              <w:t>s</w:t>
            </w:r>
            <w:r w:rsidRPr="00A717CC">
              <w:rPr>
                <w:sz w:val="20"/>
                <w:szCs w:val="20"/>
              </w:rPr>
              <w:t xml:space="preserve"> avec des tiers.</w:t>
            </w:r>
          </w:p>
        </w:tc>
      </w:tr>
    </w:tbl>
    <w:p w14:paraId="3B0E067D" w14:textId="77777777" w:rsidR="00924B3D" w:rsidRDefault="00924B3D" w:rsidP="00924B3D">
      <w:pPr>
        <w:pStyle w:val="BodyText"/>
        <w:rPr>
          <w:lang w:eastAsia="de-CH"/>
        </w:rPr>
      </w:pPr>
    </w:p>
    <w:tbl>
      <w:tblPr>
        <w:tblStyle w:val="TableGrid"/>
        <w:tblW w:w="0" w:type="auto"/>
        <w:tblLook w:val="04A0" w:firstRow="1" w:lastRow="0" w:firstColumn="1" w:lastColumn="0" w:noHBand="0" w:noVBand="1"/>
      </w:tblPr>
      <w:tblGrid>
        <w:gridCol w:w="846"/>
        <w:gridCol w:w="8214"/>
      </w:tblGrid>
      <w:tr w:rsidR="00A717CC" w:rsidRPr="00BF3CDE" w14:paraId="411F649F" w14:textId="77777777" w:rsidTr="00255D49">
        <w:trPr>
          <w:trHeight w:val="495"/>
        </w:trPr>
        <w:tc>
          <w:tcPr>
            <w:tcW w:w="0" w:type="auto"/>
            <w:gridSpan w:val="2"/>
            <w:shd w:val="clear" w:color="auto" w:fill="E2EFD9" w:themeFill="accent6" w:themeFillTint="33"/>
          </w:tcPr>
          <w:p w14:paraId="241BBC0F" w14:textId="77777777" w:rsidR="00A717CC" w:rsidRPr="00BF3CDE" w:rsidRDefault="00A717CC" w:rsidP="00255D49">
            <w:pPr>
              <w:spacing w:line="220" w:lineRule="exact"/>
              <w:jc w:val="center"/>
              <w:rPr>
                <w:b/>
                <w:sz w:val="20"/>
                <w:szCs w:val="20"/>
              </w:rPr>
            </w:pPr>
            <w:r w:rsidRPr="00BF3CDE">
              <w:rPr>
                <w:b/>
                <w:sz w:val="20"/>
                <w:szCs w:val="20"/>
              </w:rPr>
              <w:t>L’exercice des droits civils au sens du Code civil suisse</w:t>
            </w:r>
          </w:p>
          <w:p w14:paraId="570A4C56" w14:textId="77777777" w:rsidR="00A717CC" w:rsidRPr="00BF3CDE" w:rsidRDefault="00A717CC" w:rsidP="00255D49">
            <w:pPr>
              <w:spacing w:line="220" w:lineRule="exact"/>
              <w:jc w:val="center"/>
              <w:rPr>
                <w:b/>
                <w:sz w:val="20"/>
                <w:szCs w:val="20"/>
              </w:rPr>
            </w:pPr>
            <w:r w:rsidRPr="00BF3CDE">
              <w:rPr>
                <w:b/>
                <w:sz w:val="20"/>
                <w:szCs w:val="20"/>
              </w:rPr>
              <w:t>Les principales dispositions</w:t>
            </w:r>
          </w:p>
        </w:tc>
      </w:tr>
      <w:tr w:rsidR="00A717CC" w:rsidRPr="00BF3CDE" w14:paraId="7D99A04F" w14:textId="77777777" w:rsidTr="00A40724">
        <w:trPr>
          <w:trHeight w:val="701"/>
        </w:trPr>
        <w:tc>
          <w:tcPr>
            <w:tcW w:w="846" w:type="dxa"/>
            <w:shd w:val="clear" w:color="auto" w:fill="C5E0B3" w:themeFill="accent6" w:themeFillTint="66"/>
          </w:tcPr>
          <w:p w14:paraId="6C63F862" w14:textId="77777777" w:rsidR="00A717CC" w:rsidRPr="00BF3CDE" w:rsidRDefault="00A717CC" w:rsidP="00255D49">
            <w:pPr>
              <w:spacing w:line="220" w:lineRule="exact"/>
              <w:jc w:val="left"/>
              <w:rPr>
                <w:b/>
                <w:sz w:val="20"/>
                <w:szCs w:val="20"/>
              </w:rPr>
            </w:pPr>
            <w:r w:rsidRPr="00BF3CDE">
              <w:rPr>
                <w:b/>
                <w:sz w:val="20"/>
                <w:szCs w:val="20"/>
              </w:rPr>
              <w:lastRenderedPageBreak/>
              <w:t xml:space="preserve">Art. 12 </w:t>
            </w:r>
          </w:p>
        </w:tc>
        <w:tc>
          <w:tcPr>
            <w:tcW w:w="8214" w:type="dxa"/>
            <w:shd w:val="clear" w:color="auto" w:fill="C5E0B3" w:themeFill="accent6" w:themeFillTint="66"/>
          </w:tcPr>
          <w:p w14:paraId="523CB286" w14:textId="77777777" w:rsidR="00A717CC" w:rsidRPr="00BF3CDE" w:rsidRDefault="00A717CC" w:rsidP="00255D49">
            <w:pPr>
              <w:spacing w:line="220" w:lineRule="exact"/>
              <w:jc w:val="left"/>
              <w:rPr>
                <w:sz w:val="20"/>
                <w:szCs w:val="20"/>
              </w:rPr>
            </w:pPr>
            <w:r w:rsidRPr="00BF3CDE">
              <w:rPr>
                <w:sz w:val="20"/>
                <w:szCs w:val="20"/>
              </w:rPr>
              <w:t xml:space="preserve">Quiconque a l’exercice des droits civils est </w:t>
            </w:r>
            <w:r w:rsidRPr="00BF3CDE">
              <w:rPr>
                <w:b/>
                <w:bCs/>
                <w:sz w:val="20"/>
                <w:szCs w:val="20"/>
              </w:rPr>
              <w:t>capable d’acquérir et de s’obliger</w:t>
            </w:r>
            <w:r w:rsidRPr="00BF3CDE">
              <w:rPr>
                <w:sz w:val="20"/>
                <w:szCs w:val="20"/>
              </w:rPr>
              <w:t>.</w:t>
            </w:r>
          </w:p>
        </w:tc>
      </w:tr>
      <w:tr w:rsidR="00A717CC" w:rsidRPr="00BF3CDE" w14:paraId="11FA7308" w14:textId="77777777" w:rsidTr="00A40724">
        <w:trPr>
          <w:trHeight w:val="414"/>
        </w:trPr>
        <w:tc>
          <w:tcPr>
            <w:tcW w:w="846" w:type="dxa"/>
            <w:shd w:val="clear" w:color="auto" w:fill="C5E0B3" w:themeFill="accent6" w:themeFillTint="66"/>
          </w:tcPr>
          <w:p w14:paraId="09A7EA8B" w14:textId="77777777" w:rsidR="00A717CC" w:rsidRPr="00BF3CDE" w:rsidRDefault="00A717CC" w:rsidP="00255D49">
            <w:pPr>
              <w:spacing w:line="220" w:lineRule="exact"/>
              <w:jc w:val="left"/>
              <w:rPr>
                <w:b/>
                <w:sz w:val="20"/>
                <w:szCs w:val="20"/>
              </w:rPr>
            </w:pPr>
            <w:r w:rsidRPr="00BF3CDE">
              <w:rPr>
                <w:b/>
                <w:sz w:val="20"/>
                <w:szCs w:val="20"/>
              </w:rPr>
              <w:t xml:space="preserve">Art. 13 </w:t>
            </w:r>
          </w:p>
        </w:tc>
        <w:tc>
          <w:tcPr>
            <w:tcW w:w="8214" w:type="dxa"/>
            <w:shd w:val="clear" w:color="auto" w:fill="C5E0B3" w:themeFill="accent6" w:themeFillTint="66"/>
          </w:tcPr>
          <w:p w14:paraId="09DD8315" w14:textId="77777777" w:rsidR="00A717CC" w:rsidRPr="00BF3CDE" w:rsidRDefault="00A717CC" w:rsidP="00255D49">
            <w:pPr>
              <w:spacing w:line="220" w:lineRule="exact"/>
              <w:jc w:val="left"/>
              <w:rPr>
                <w:sz w:val="20"/>
                <w:szCs w:val="20"/>
              </w:rPr>
            </w:pPr>
            <w:r w:rsidRPr="00BF3CDE">
              <w:rPr>
                <w:sz w:val="20"/>
                <w:szCs w:val="20"/>
              </w:rPr>
              <w:t xml:space="preserve">Toute personne majeure et </w:t>
            </w:r>
            <w:r w:rsidRPr="00BF3CDE">
              <w:rPr>
                <w:b/>
                <w:bCs/>
                <w:sz w:val="20"/>
                <w:szCs w:val="20"/>
              </w:rPr>
              <w:t>capable de discernement</w:t>
            </w:r>
            <w:r w:rsidRPr="00BF3CDE">
              <w:rPr>
                <w:sz w:val="20"/>
                <w:szCs w:val="20"/>
              </w:rPr>
              <w:t xml:space="preserve"> a l’exercice des droits civils.</w:t>
            </w:r>
          </w:p>
        </w:tc>
      </w:tr>
      <w:tr w:rsidR="00A717CC" w:rsidRPr="00BF3CDE" w14:paraId="0287BC0A" w14:textId="77777777" w:rsidTr="00A40724">
        <w:trPr>
          <w:trHeight w:val="845"/>
        </w:trPr>
        <w:tc>
          <w:tcPr>
            <w:tcW w:w="846" w:type="dxa"/>
            <w:shd w:val="clear" w:color="auto" w:fill="C5E0B3" w:themeFill="accent6" w:themeFillTint="66"/>
          </w:tcPr>
          <w:p w14:paraId="501BA870" w14:textId="77777777" w:rsidR="00A717CC" w:rsidRPr="00BF3CDE" w:rsidRDefault="00A717CC" w:rsidP="00255D49">
            <w:pPr>
              <w:spacing w:line="220" w:lineRule="exact"/>
              <w:jc w:val="left"/>
              <w:rPr>
                <w:b/>
                <w:sz w:val="20"/>
                <w:szCs w:val="20"/>
              </w:rPr>
            </w:pPr>
            <w:r w:rsidRPr="00BF3CDE">
              <w:rPr>
                <w:b/>
                <w:sz w:val="20"/>
                <w:szCs w:val="20"/>
              </w:rPr>
              <w:t xml:space="preserve">Art. 16 </w:t>
            </w:r>
          </w:p>
        </w:tc>
        <w:tc>
          <w:tcPr>
            <w:tcW w:w="8214" w:type="dxa"/>
            <w:shd w:val="clear" w:color="auto" w:fill="C5E0B3" w:themeFill="accent6" w:themeFillTint="66"/>
          </w:tcPr>
          <w:p w14:paraId="5019A2CF" w14:textId="77777777" w:rsidR="00A717CC" w:rsidRPr="00BF3CDE" w:rsidRDefault="00A717CC" w:rsidP="00255D49">
            <w:pPr>
              <w:spacing w:line="220" w:lineRule="exact"/>
              <w:jc w:val="left"/>
              <w:rPr>
                <w:sz w:val="20"/>
                <w:szCs w:val="20"/>
              </w:rPr>
            </w:pPr>
            <w:r w:rsidRPr="00BF3CDE">
              <w:rPr>
                <w:b/>
                <w:sz w:val="20"/>
                <w:szCs w:val="20"/>
              </w:rPr>
              <w:t xml:space="preserve">Toute personne qui n’est pas privée de la faculté d’agir raisonnablement </w:t>
            </w:r>
            <w:r w:rsidRPr="00BF3CDE">
              <w:rPr>
                <w:bCs/>
                <w:sz w:val="20"/>
                <w:szCs w:val="20"/>
              </w:rPr>
              <w:t xml:space="preserve">en raison de son jeune âge, </w:t>
            </w:r>
            <w:r w:rsidRPr="00BF3CDE">
              <w:rPr>
                <w:b/>
                <w:sz w:val="20"/>
                <w:szCs w:val="20"/>
              </w:rPr>
              <w:t xml:space="preserve">de déficience mentale, de troubles psychiques, </w:t>
            </w:r>
            <w:r w:rsidRPr="00BF3CDE">
              <w:rPr>
                <w:bCs/>
                <w:sz w:val="20"/>
                <w:szCs w:val="20"/>
              </w:rPr>
              <w:t>d’ivresse ou d’autres causes semblables</w:t>
            </w:r>
            <w:r w:rsidRPr="00BF3CDE">
              <w:rPr>
                <w:b/>
                <w:sz w:val="20"/>
                <w:szCs w:val="20"/>
              </w:rPr>
              <w:t xml:space="preserve"> est capable de discernement au sens de la présente loi</w:t>
            </w:r>
            <w:r w:rsidRPr="00BF3CDE">
              <w:rPr>
                <w:sz w:val="20"/>
                <w:szCs w:val="20"/>
              </w:rPr>
              <w:t>.</w:t>
            </w:r>
          </w:p>
        </w:tc>
      </w:tr>
      <w:tr w:rsidR="00A717CC" w:rsidRPr="00BF3CDE" w14:paraId="6F6984EB" w14:textId="77777777" w:rsidTr="00A40724">
        <w:trPr>
          <w:trHeight w:val="559"/>
        </w:trPr>
        <w:tc>
          <w:tcPr>
            <w:tcW w:w="846" w:type="dxa"/>
            <w:shd w:val="clear" w:color="auto" w:fill="C5E0B3" w:themeFill="accent6" w:themeFillTint="66"/>
          </w:tcPr>
          <w:p w14:paraId="2C458122" w14:textId="77777777" w:rsidR="00A717CC" w:rsidRPr="00BF3CDE" w:rsidRDefault="00A717CC" w:rsidP="00255D49">
            <w:pPr>
              <w:spacing w:line="220" w:lineRule="exact"/>
              <w:jc w:val="left"/>
              <w:rPr>
                <w:b/>
                <w:sz w:val="20"/>
                <w:szCs w:val="20"/>
              </w:rPr>
            </w:pPr>
            <w:r w:rsidRPr="00BF3CDE">
              <w:rPr>
                <w:b/>
                <w:sz w:val="20"/>
                <w:szCs w:val="20"/>
              </w:rPr>
              <w:t xml:space="preserve">Art. 17 </w:t>
            </w:r>
          </w:p>
          <w:p w14:paraId="0177C35C" w14:textId="77777777" w:rsidR="00A717CC" w:rsidRPr="00BF3CDE" w:rsidRDefault="00A717CC" w:rsidP="00255D49">
            <w:pPr>
              <w:spacing w:line="220" w:lineRule="exact"/>
              <w:jc w:val="left"/>
              <w:rPr>
                <w:sz w:val="20"/>
                <w:szCs w:val="20"/>
              </w:rPr>
            </w:pPr>
          </w:p>
        </w:tc>
        <w:tc>
          <w:tcPr>
            <w:tcW w:w="8214" w:type="dxa"/>
            <w:shd w:val="clear" w:color="auto" w:fill="C5E0B3" w:themeFill="accent6" w:themeFillTint="66"/>
          </w:tcPr>
          <w:p w14:paraId="6A8E47E8" w14:textId="77777777" w:rsidR="00A717CC" w:rsidRPr="00BF3CDE" w:rsidRDefault="00A717CC" w:rsidP="00255D49">
            <w:pPr>
              <w:spacing w:line="220" w:lineRule="exact"/>
              <w:jc w:val="left"/>
              <w:rPr>
                <w:sz w:val="20"/>
                <w:szCs w:val="20"/>
              </w:rPr>
            </w:pPr>
            <w:r w:rsidRPr="00BF3CDE">
              <w:rPr>
                <w:b/>
                <w:sz w:val="20"/>
                <w:szCs w:val="20"/>
              </w:rPr>
              <w:t>Les personnes incapables de discernement,</w:t>
            </w:r>
            <w:r w:rsidRPr="00BF3CDE">
              <w:rPr>
                <w:bCs/>
                <w:sz w:val="20"/>
                <w:szCs w:val="20"/>
              </w:rPr>
              <w:t xml:space="preserve"> les mineurs et les </w:t>
            </w:r>
            <w:r w:rsidRPr="00BF3CDE">
              <w:rPr>
                <w:b/>
                <w:sz w:val="20"/>
                <w:szCs w:val="20"/>
              </w:rPr>
              <w:t>personnes sous curatelle de portée générale n’ont pas l’exercice des droits civils</w:t>
            </w:r>
            <w:r w:rsidRPr="00BF3CDE">
              <w:rPr>
                <w:sz w:val="20"/>
                <w:szCs w:val="20"/>
              </w:rPr>
              <w:t>.</w:t>
            </w:r>
          </w:p>
        </w:tc>
      </w:tr>
    </w:tbl>
    <w:p w14:paraId="523DFADB" w14:textId="14F3CBCD" w:rsidR="00A40724" w:rsidRPr="00BF3CDE" w:rsidRDefault="00A40724" w:rsidP="00A40724">
      <w:pPr>
        <w:spacing w:before="120"/>
      </w:pPr>
      <w:r w:rsidRPr="00BF3CDE">
        <w:t xml:space="preserve">Dans un rapport de 2017 sur les premières expériences avec le droit de la protection de l’adulte, en vigueur depuis 2013, </w:t>
      </w:r>
      <w:r w:rsidRPr="00BF3CDE">
        <w:rPr>
          <w:b/>
          <w:bCs/>
        </w:rPr>
        <w:t>le CF avait déjà admis</w:t>
      </w:r>
      <w:r>
        <w:rPr>
          <w:b/>
          <w:bCs/>
        </w:rPr>
        <w:t>, se référant à la pratique du Comité,</w:t>
      </w:r>
      <w:r w:rsidRPr="00BF3CDE">
        <w:rPr>
          <w:b/>
          <w:bCs/>
        </w:rPr>
        <w:t xml:space="preserve"> que les curatelles de représentation étaient incompatibles avec l’a</w:t>
      </w:r>
      <w:r w:rsidRPr="00BF3CDE">
        <w:rPr>
          <w:b/>
        </w:rPr>
        <w:t>rt. 12 CDPH</w:t>
      </w:r>
      <w:r w:rsidRPr="00BF3CDE">
        <w:t xml:space="preserve">. Il </w:t>
      </w:r>
      <w:r>
        <w:t xml:space="preserve">s’est dit </w:t>
      </w:r>
      <w:r w:rsidRPr="00BF3CDE">
        <w:t xml:space="preserve"> intér</w:t>
      </w:r>
      <w:r>
        <w:t>essé</w:t>
      </w:r>
      <w:r w:rsidRPr="00BF3CDE">
        <w:t xml:space="preserve"> </w:t>
      </w:r>
      <w:r>
        <w:t>à</w:t>
      </w:r>
      <w:r w:rsidRPr="00BF3CDE">
        <w:t xml:space="preserve"> suivre de près les débats en Suisse et à l’étranger et à décider, lorsque d’éventuelles recommandations du Comité seront disponibles, de la suite des démarches.</w:t>
      </w:r>
      <w:r w:rsidRPr="00BF3CDE">
        <w:rPr>
          <w:rStyle w:val="FootnoteReference"/>
        </w:rPr>
        <w:footnoteReference w:id="88"/>
      </w:r>
      <w:r w:rsidRPr="00BF3CDE">
        <w:t xml:space="preserve"> La réponse de la Suisse à la LoI s’articule donc en conséquence (réponse à la LoI, para. 26).</w:t>
      </w:r>
    </w:p>
    <w:p w14:paraId="2ECD8484" w14:textId="77777777" w:rsidR="00A40724" w:rsidRPr="00BF3CDE" w:rsidRDefault="00A40724" w:rsidP="00A40724">
      <w:pPr>
        <w:pStyle w:val="BodyText"/>
      </w:pPr>
      <w:r w:rsidRPr="00BF3CDE">
        <w:t xml:space="preserve">La raison de </w:t>
      </w:r>
      <w:r w:rsidRPr="00BF3CDE">
        <w:rPr>
          <w:b/>
          <w:bCs/>
        </w:rPr>
        <w:t>l’attentisme</w:t>
      </w:r>
      <w:r w:rsidRPr="00BF3CDE">
        <w:t xml:space="preserve"> de la Suisse à ce propos, alors qu’elle a admis le problème depuis longtemps et que les recommandations du Comité concernant l’art. 12 CDPH sont prévisibles, est difficilement compréhensible. La </w:t>
      </w:r>
      <w:r w:rsidRPr="00BF3CDE">
        <w:rPr>
          <w:b/>
        </w:rPr>
        <w:t>dichotomie</w:t>
      </w:r>
      <w:r w:rsidRPr="00BF3CDE">
        <w:t xml:space="preserve"> entre le système des curatelles et l’art. 12 CDPH est </w:t>
      </w:r>
      <w:r w:rsidRPr="00BF3CDE">
        <w:rPr>
          <w:b/>
        </w:rPr>
        <w:t>évidente</w:t>
      </w:r>
      <w:r w:rsidRPr="00BF3CDE">
        <w:t xml:space="preserve">: </w:t>
      </w:r>
      <w:r w:rsidRPr="00BF3CDE">
        <w:rPr>
          <w:b/>
          <w:bCs/>
        </w:rPr>
        <w:t>l’exercice des droits civils</w:t>
      </w:r>
      <w:r w:rsidRPr="00BF3CDE">
        <w:t xml:space="preserve"> peut être limitée par des </w:t>
      </w:r>
      <w:r w:rsidRPr="00BF3CDE">
        <w:rPr>
          <w:b/>
        </w:rPr>
        <w:t>mesures de protection de l’adulte</w:t>
      </w:r>
      <w:r w:rsidRPr="00BF3CDE">
        <w:t xml:space="preserve"> (art. 388-439 CC). La </w:t>
      </w:r>
      <w:r w:rsidRPr="00BF3CDE">
        <w:rPr>
          <w:b/>
        </w:rPr>
        <w:t>curatelle</w:t>
      </w:r>
      <w:r w:rsidRPr="00BF3CDE">
        <w:t xml:space="preserve"> (art. 390-425 CC) part d’un «état de faiblesse» de la personne concernée qui l’empêche, partiellement ou totalement, d’assurer elle-même la sauveg</w:t>
      </w:r>
      <w:r>
        <w:t>arde</w:t>
      </w:r>
      <w:r w:rsidRPr="00BF3CDE">
        <w:t xml:space="preserve"> de ses intérêts. Selon la loi, de tels «état de faiblesse» durables </w:t>
      </w:r>
      <w:r w:rsidRPr="00BF3CDE">
        <w:lastRenderedPageBreak/>
        <w:t xml:space="preserve">résultent notamment d’une </w:t>
      </w:r>
      <w:r w:rsidRPr="00BF3CDE">
        <w:rPr>
          <w:b/>
          <w:bCs/>
        </w:rPr>
        <w:t>déficience mentale</w:t>
      </w:r>
      <w:r w:rsidRPr="00BF3CDE">
        <w:t xml:space="preserve"> ou de </w:t>
      </w:r>
      <w:r w:rsidRPr="00BF3CDE">
        <w:rPr>
          <w:b/>
        </w:rPr>
        <w:t>troubles psychiques</w:t>
      </w:r>
      <w:r w:rsidRPr="00BF3CDE">
        <w:t xml:space="preserve"> (art. 390 al. 1 ch. 1 CC). </w:t>
      </w:r>
    </w:p>
    <w:p w14:paraId="1D619771" w14:textId="77777777" w:rsidR="00A40724" w:rsidRPr="00BF3CDE" w:rsidRDefault="00A40724" w:rsidP="00A40724">
      <w:pPr>
        <w:pStyle w:val="BodyText"/>
      </w:pPr>
      <w:r w:rsidRPr="00BF3CDE">
        <w:t xml:space="preserve">Les </w:t>
      </w:r>
      <w:r w:rsidRPr="00BF3CDE">
        <w:rPr>
          <w:b/>
        </w:rPr>
        <w:t>actes de représentation, qui restent dominants,</w:t>
      </w:r>
      <w:r w:rsidRPr="00BF3CDE">
        <w:t xml:space="preserve"> ont pour conséquence de perpétuer un </w:t>
      </w:r>
      <w:r w:rsidRPr="00BF3CDE">
        <w:rPr>
          <w:b/>
          <w:bCs/>
        </w:rPr>
        <w:t xml:space="preserve">système de décision par substitution </w:t>
      </w:r>
      <w:r w:rsidRPr="00BF3CDE">
        <w:t xml:space="preserve">et de limiter ou de retirer </w:t>
      </w:r>
      <w:r>
        <w:t xml:space="preserve">à la personne </w:t>
      </w:r>
      <w:r w:rsidRPr="00BF3CDE">
        <w:t>l’exercice de</w:t>
      </w:r>
      <w:r>
        <w:t xml:space="preserve"> se</w:t>
      </w:r>
      <w:r w:rsidRPr="00BF3CDE">
        <w:t>s droits civils.</w:t>
      </w:r>
      <w:r w:rsidRPr="00BF3CDE">
        <w:rPr>
          <w:rStyle w:val="FootnoteReference"/>
        </w:rPr>
        <w:footnoteReference w:id="89"/>
      </w:r>
      <w:r w:rsidRPr="00BF3CDE">
        <w:t xml:space="preserve"> Ainsi, la </w:t>
      </w:r>
      <w:r w:rsidRPr="00BF3CDE">
        <w:rPr>
          <w:b/>
        </w:rPr>
        <w:t>curatelle d’accompagnement aux seules fins d’assistance reste exclue en cas d’incapacité de discernement ou d’incapacité civile</w:t>
      </w:r>
      <w:r w:rsidRPr="00BF3CDE">
        <w:t>.</w:t>
      </w:r>
      <w:bookmarkStart w:id="71" w:name="_Ref95898126"/>
      <w:r w:rsidRPr="00BF3CDE">
        <w:rPr>
          <w:rStyle w:val="FootnoteReference"/>
        </w:rPr>
        <w:footnoteReference w:id="90"/>
      </w:r>
      <w:bookmarkEnd w:id="71"/>
      <w:r w:rsidRPr="00BF3CDE">
        <w:t xml:space="preserve"> La question de savoir si une personne </w:t>
      </w:r>
      <w:r w:rsidRPr="00BF3CDE">
        <w:rPr>
          <w:b/>
          <w:bCs/>
        </w:rPr>
        <w:t xml:space="preserve">pourrait agir raisonnablement </w:t>
      </w:r>
      <w:r w:rsidRPr="00BF3CDE">
        <w:t xml:space="preserve">en étant aidée n’est pas prise en compte lors de la détermination de sa capacité de discernement; la capacité de discernement </w:t>
      </w:r>
      <w:r w:rsidRPr="00BF3CDE">
        <w:rPr>
          <w:b/>
          <w:bCs/>
        </w:rPr>
        <w:t>présuppose certaines capacités i</w:t>
      </w:r>
      <w:r w:rsidRPr="00BF3CDE">
        <w:rPr>
          <w:b/>
        </w:rPr>
        <w:t>ndividuelles propres à la personne concernée</w:t>
      </w:r>
      <w:r w:rsidRPr="00BF3CDE">
        <w:rPr>
          <w:rStyle w:val="FootnoteReference"/>
        </w:rPr>
        <w:footnoteReference w:id="91"/>
      </w:r>
      <w:r w:rsidRPr="00BF3CDE">
        <w:t xml:space="preserve"> et elle est clairement centrée sur la volonté. La </w:t>
      </w:r>
      <w:r w:rsidRPr="00BF3CDE">
        <w:rPr>
          <w:b/>
        </w:rPr>
        <w:t>curatelle de portée générale</w:t>
      </w:r>
      <w:r w:rsidRPr="00BF3CDE">
        <w:t xml:space="preserve"> prévoit une </w:t>
      </w:r>
      <w:r w:rsidRPr="00BF3CDE">
        <w:rPr>
          <w:b/>
        </w:rPr>
        <w:t>représentation dans tous les domaines</w:t>
      </w:r>
      <w:r w:rsidRPr="00BF3CDE">
        <w:t xml:space="preserve">; quant à la curatelle de représentation, elle porte sur une représentation partielle – le cas échéant étendue – des actes de représentation; tandis que la curatelle de coopération est soumise au consentement du curateur ou de la curatrice. </w:t>
      </w:r>
      <w:r w:rsidRPr="00BF3CDE">
        <w:rPr>
          <w:b/>
          <w:bCs/>
        </w:rPr>
        <w:t>Dans la curatelle de portée générale, l’exercice des droits civils est entièrement annulée</w:t>
      </w:r>
      <w:r w:rsidRPr="00BF3CDE">
        <w:t xml:space="preserve">, tandis qu’elle l’est partiellement, selon le choix, dans la </w:t>
      </w:r>
      <w:r w:rsidRPr="00BF3CDE">
        <w:lastRenderedPageBreak/>
        <w:t xml:space="preserve">curatelle de représentation; dans la curatelle de coopération, elle est restreinte de par la loi. </w:t>
      </w:r>
    </w:p>
    <w:p w14:paraId="43FB9B93" w14:textId="77777777" w:rsidR="00A40724" w:rsidRPr="00BF3CDE" w:rsidRDefault="00A40724" w:rsidP="00A40724">
      <w:pPr>
        <w:pStyle w:val="BodyText"/>
      </w:pPr>
      <w:r w:rsidRPr="00BF3CDE">
        <w:t xml:space="preserve">Le curateur/la curatrice remplit ses tâches </w:t>
      </w:r>
      <w:r w:rsidRPr="00BF3CDE">
        <w:rPr>
          <w:b/>
        </w:rPr>
        <w:t>dans l’intérêt de la personne concernée</w:t>
      </w:r>
      <w:r w:rsidRPr="00BF3CDE">
        <w:t xml:space="preserve"> et tient compte de son avis uniquement </w:t>
      </w:r>
      <w:r w:rsidRPr="00BF3CDE">
        <w:rPr>
          <w:b/>
        </w:rPr>
        <w:t>«dans la mesure du possible»</w:t>
      </w:r>
      <w:r w:rsidRPr="00BF3CDE">
        <w:t xml:space="preserve">, en respectant sa volonté (art. 406 al. 1 CC). Cette disposition exprime une </w:t>
      </w:r>
      <w:r w:rsidRPr="00BF3CDE">
        <w:rPr>
          <w:b/>
        </w:rPr>
        <w:t>attitude paternaliste et des velléités de surveillance directive</w:t>
      </w:r>
      <w:r w:rsidRPr="00BF3CDE">
        <w:rPr>
          <w:rStyle w:val="FootnoteReference"/>
        </w:rPr>
        <w:footnoteReference w:id="92"/>
      </w:r>
      <w:r w:rsidRPr="00BF3CDE">
        <w:t xml:space="preserve">. </w:t>
      </w:r>
      <w:r w:rsidRPr="00BF3CDE">
        <w:rPr>
          <w:b/>
          <w:bCs/>
        </w:rPr>
        <w:t>Il n’est donc pas suffisamment garanti que le soutien repose effectivement sur la volonté et les préférences de la personne concernée, et non pas sur son bien-être objectif («best inte</w:t>
      </w:r>
      <w:r w:rsidRPr="00BF3CDE">
        <w:rPr>
          <w:b/>
        </w:rPr>
        <w:t>rests»)</w:t>
      </w:r>
      <w:r w:rsidRPr="00BF3CDE">
        <w:t>.</w:t>
      </w:r>
    </w:p>
    <w:p w14:paraId="3E1D176B" w14:textId="12059893" w:rsidR="00924B3D" w:rsidRPr="00F756DE" w:rsidRDefault="00A40724" w:rsidP="00E73087">
      <w:pPr>
        <w:pStyle w:val="BodyText"/>
      </w:pPr>
      <w:r w:rsidRPr="00BF3CDE">
        <w:t xml:space="preserve">Dans les années </w:t>
      </w:r>
      <w:r w:rsidRPr="00BF3CDE">
        <w:rPr>
          <w:b/>
        </w:rPr>
        <w:t>2018-2020</w:t>
      </w:r>
      <w:r w:rsidRPr="00BF3CDE">
        <w:t xml:space="preserve">, les </w:t>
      </w:r>
      <w:r w:rsidRPr="00BF3CDE">
        <w:rPr>
          <w:b/>
          <w:bCs/>
        </w:rPr>
        <w:t>curatelles de représentation</w:t>
      </w:r>
      <w:r w:rsidRPr="00BF3CDE">
        <w:t xml:space="preserve"> constituaient une nouvelle fois la </w:t>
      </w:r>
      <w:r w:rsidRPr="00BF3CDE">
        <w:rPr>
          <w:b/>
          <w:bCs/>
        </w:rPr>
        <w:t>part clairement majoritaire</w:t>
      </w:r>
      <w:r w:rsidRPr="00BF3CDE">
        <w:t xml:space="preserve"> de toutes les curatelles, les curatelles de coopération la plus petite part. Durant ces années, </w:t>
      </w:r>
      <w:r w:rsidRPr="00BF3CDE">
        <w:rPr>
          <w:b/>
          <w:bCs/>
        </w:rPr>
        <w:t>env. 1</w:t>
      </w:r>
      <w:r w:rsidRPr="00BF3CDE">
        <w:rPr>
          <w:b/>
        </w:rPr>
        <w:t>6.3% (2018) resp. 15.4% (2019) et 14.4% (2020) de toutes les curatelles étaient des curatelles de portée générale</w:t>
      </w:r>
      <w:r w:rsidRPr="00BF3CDE">
        <w:t>.</w:t>
      </w:r>
      <w:r w:rsidRPr="00BF3CDE">
        <w:rPr>
          <w:rStyle w:val="FootnoteReference"/>
        </w:rPr>
        <w:footnoteReference w:id="93"/>
      </w:r>
      <w:r w:rsidRPr="00BF3CDE">
        <w:t xml:space="preserve"> </w:t>
      </w:r>
    </w:p>
    <w:p w14:paraId="7D183B02" w14:textId="77777777" w:rsidR="00924B3D" w:rsidRPr="00F756DE" w:rsidRDefault="00A717CC" w:rsidP="00924B3D">
      <w:pPr>
        <w:shd w:val="clear" w:color="auto" w:fill="FFFFCC"/>
        <w:spacing w:before="240"/>
        <w:rPr>
          <w:rFonts w:eastAsia="Cambria"/>
          <w:b/>
        </w:rPr>
      </w:pPr>
      <w:r>
        <w:rPr>
          <w:rFonts w:eastAsia="Cambria"/>
          <w:b/>
        </w:rPr>
        <w:t>Propositions de recommandations</w:t>
      </w:r>
      <w:r w:rsidR="00924B3D" w:rsidRPr="00F756DE">
        <w:rPr>
          <w:rFonts w:eastAsia="Cambria"/>
          <w:b/>
        </w:rPr>
        <w:t>:</w:t>
      </w:r>
    </w:p>
    <w:p w14:paraId="5A225F4A" w14:textId="77777777" w:rsidR="00E73087" w:rsidRPr="00BF3CDE" w:rsidRDefault="00E73087" w:rsidP="00E73087">
      <w:pPr>
        <w:pStyle w:val="SBEmpfehlungen"/>
      </w:pPr>
      <w:r w:rsidRPr="00BF3CDE">
        <w:lastRenderedPageBreak/>
        <w:t xml:space="preserve">La </w:t>
      </w:r>
      <w:r w:rsidRPr="00E73087">
        <w:rPr>
          <w:b/>
        </w:rPr>
        <w:t>Confédération</w:t>
      </w:r>
      <w:r w:rsidRPr="00BF3CDE">
        <w:t xml:space="preserve"> adapte les </w:t>
      </w:r>
      <w:r w:rsidRPr="00E73087">
        <w:rPr>
          <w:b/>
        </w:rPr>
        <w:t>dispositions du CC relatives aux curatelles</w:t>
      </w:r>
      <w:r w:rsidRPr="00BF3CDE">
        <w:t xml:space="preserve"> (art. 390-425 CC). Il </w:t>
      </w:r>
      <w:r w:rsidRPr="00E73087">
        <w:rPr>
          <w:b/>
        </w:rPr>
        <w:t>supprime notamment la curatelle de portée générale</w:t>
      </w:r>
      <w:r w:rsidRPr="00BF3CDE">
        <w:t xml:space="preserve"> (art. 398 CC) et </w:t>
      </w:r>
      <w:r w:rsidRPr="00E73087">
        <w:rPr>
          <w:b/>
        </w:rPr>
        <w:t>développe un système basé sur la prise de décision assistée</w:t>
      </w:r>
      <w:r w:rsidRPr="00BF3CDE">
        <w:t xml:space="preserve"> </w:t>
      </w:r>
      <w:r w:rsidRPr="00BF3CDE">
        <w:rPr>
          <w:bCs/>
        </w:rPr>
        <w:t>pour toutes les PH.</w:t>
      </w:r>
      <w:r w:rsidRPr="00BF3CDE">
        <w:t xml:space="preserve"> </w:t>
      </w:r>
    </w:p>
    <w:p w14:paraId="259CC572" w14:textId="2800EBCE" w:rsidR="00924B3D" w:rsidRPr="00F756DE" w:rsidRDefault="00E73087" w:rsidP="00E73087">
      <w:pPr>
        <w:pStyle w:val="SBEmpfehlungen"/>
      </w:pPr>
      <w:r w:rsidRPr="00BF3CDE">
        <w:t xml:space="preserve">Les </w:t>
      </w:r>
      <w:r w:rsidRPr="00E73087">
        <w:rPr>
          <w:b/>
          <w:bCs/>
        </w:rPr>
        <w:t>structures et mécanismes de l’aide à la prise de décision</w:t>
      </w:r>
      <w:r w:rsidRPr="00BF3CDE">
        <w:t xml:space="preserve"> sont développés de sorte à être compatibles avec </w:t>
      </w:r>
      <w:r w:rsidRPr="00E73087">
        <w:rPr>
          <w:b/>
        </w:rPr>
        <w:t>l’</w:t>
      </w:r>
      <w:r w:rsidRPr="00E73087">
        <w:rPr>
          <w:b/>
          <w:bCs/>
        </w:rPr>
        <w:t xml:space="preserve">OG n° </w:t>
      </w:r>
      <w:r w:rsidRPr="00E73087">
        <w:rPr>
          <w:b/>
        </w:rPr>
        <w:t>1 (2014)</w:t>
      </w:r>
      <w:r w:rsidRPr="00BF3CDE">
        <w:t xml:space="preserve"> du Comité et garantissent le respect de la dignité, de l’autonomie, de la volonté et des préférences de toutes les PH dans l’exercice de leurs droits civils.</w:t>
      </w:r>
    </w:p>
    <w:p w14:paraId="0A4F7ADD" w14:textId="2C647A27" w:rsidR="00A717CC" w:rsidRPr="00BF3CDE" w:rsidRDefault="00A717CC" w:rsidP="006B4C20">
      <w:pPr>
        <w:pStyle w:val="Heading3"/>
        <w:numPr>
          <w:ilvl w:val="0"/>
          <w:numId w:val="0"/>
        </w:numPr>
        <w:ind w:left="737" w:hanging="737"/>
      </w:pPr>
      <w:bookmarkStart w:id="72" w:name="_Toc95500336"/>
      <w:bookmarkStart w:id="73" w:name="_Ref95896310"/>
      <w:bookmarkStart w:id="74" w:name="_Toc96287606"/>
      <w:r w:rsidRPr="00BF3CDE">
        <w:t>Art. 13 – Accès à la justice</w:t>
      </w:r>
      <w:bookmarkEnd w:id="72"/>
      <w:bookmarkEnd w:id="73"/>
      <w:bookmarkEnd w:id="74"/>
    </w:p>
    <w:p w14:paraId="09E3F49A" w14:textId="77777777" w:rsidR="00E73087" w:rsidRPr="00BF3CDE" w:rsidRDefault="00E73087" w:rsidP="00E73087">
      <w:pPr>
        <w:rPr>
          <w:rFonts w:eastAsia="Cambria"/>
        </w:rPr>
      </w:pPr>
      <w:r w:rsidRPr="00BF3CDE">
        <w:rPr>
          <w:rFonts w:eastAsia="Cambria"/>
          <w:b/>
          <w:bCs/>
        </w:rPr>
        <w:t>La Suisse ne répond pas</w:t>
      </w:r>
      <w:r w:rsidRPr="00BF3CDE">
        <w:rPr>
          <w:rFonts w:eastAsia="Cambria"/>
        </w:rPr>
        <w:t xml:space="preserve"> à la question du Comité quant aux </w:t>
      </w:r>
      <w:r w:rsidRPr="00BF3CDE">
        <w:rPr>
          <w:rFonts w:eastAsia="Cambria"/>
          <w:b/>
          <w:bCs/>
        </w:rPr>
        <w:t>mesures concrètes</w:t>
      </w:r>
      <w:r w:rsidRPr="00BF3CDE">
        <w:rPr>
          <w:rFonts w:eastAsia="Cambria"/>
        </w:rPr>
        <w:t xml:space="preserve"> qui ont été prises afin de permettre à toutes les PH, </w:t>
      </w:r>
      <w:r w:rsidRPr="00BF3CDE">
        <w:rPr>
          <w:rFonts w:eastAsia="Cambria"/>
          <w:b/>
        </w:rPr>
        <w:t>en particulier aux personnes ayant des handicaps intellectuels et psychiques</w:t>
      </w:r>
      <w:r w:rsidRPr="00BF3CDE">
        <w:rPr>
          <w:rFonts w:eastAsia="Cambria"/>
        </w:rPr>
        <w:t>, d’accéder à la justice:</w:t>
      </w:r>
    </w:p>
    <w:p w14:paraId="092B6521" w14:textId="77777777" w:rsidR="00E73087" w:rsidRPr="00BF3CDE" w:rsidRDefault="00E73087" w:rsidP="001A3756">
      <w:pPr>
        <w:pStyle w:val="BodyText"/>
        <w:numPr>
          <w:ilvl w:val="0"/>
          <w:numId w:val="16"/>
        </w:numPr>
        <w:rPr>
          <w:szCs w:val="20"/>
        </w:rPr>
      </w:pPr>
      <w:r w:rsidRPr="00BF3CDE">
        <w:t xml:space="preserve">Elle affirme que les administrations investissent dans l’accessibilité à tous les niveaux et que l’accès aux bâtiments administratifs existants a été simplifié. </w:t>
      </w:r>
      <w:r>
        <w:t>Elle</w:t>
      </w:r>
      <w:r w:rsidRPr="00BF3CDE">
        <w:t xml:space="preserve"> ajoute que les nouveaux bâtiments doivent être accessibles en vertu de la LHand (réponse à la LoI, para. 27). À noter à ce propos: en Suisse, </w:t>
      </w:r>
      <w:r w:rsidRPr="00BF3CDE">
        <w:rPr>
          <w:b/>
        </w:rPr>
        <w:t>l’accessibilité des bâtiments administratifs et des tribunaux</w:t>
      </w:r>
      <w:r w:rsidRPr="00BF3CDE">
        <w:t xml:space="preserve"> n’a jamais été étudiée et elle ne fait pas l’objet de </w:t>
      </w:r>
      <w:r w:rsidRPr="00BF3CDE">
        <w:rPr>
          <w:b/>
          <w:bCs/>
        </w:rPr>
        <w:t>statistiques.</w:t>
      </w:r>
      <w:r w:rsidRPr="00BF3CDE">
        <w:t xml:space="preserve"> La LHand ne s’applique qu’en cas de rénovation et de nouvelles constructions</w:t>
      </w:r>
      <w:r w:rsidRPr="00BF3CDE">
        <w:rPr>
          <w:rStyle w:val="FootnoteReference"/>
        </w:rPr>
        <w:footnoteReference w:id="94"/>
      </w:r>
      <w:r w:rsidRPr="00BF3CDE">
        <w:t>. Les autres bâtiments ne doivent pas être rendus accessibles.</w:t>
      </w:r>
    </w:p>
    <w:p w14:paraId="60D36AC5" w14:textId="77777777" w:rsidR="00E73087" w:rsidRPr="00BF3CDE" w:rsidRDefault="00E73087" w:rsidP="001A3756">
      <w:pPr>
        <w:pStyle w:val="BodyText"/>
        <w:numPr>
          <w:ilvl w:val="0"/>
          <w:numId w:val="16"/>
        </w:numPr>
      </w:pPr>
      <w:r w:rsidRPr="00BF3CDE">
        <w:lastRenderedPageBreak/>
        <w:t xml:space="preserve">D’autre part, </w:t>
      </w:r>
      <w:r>
        <w:t>il n’apparaît pas clairement</w:t>
      </w:r>
      <w:r w:rsidRPr="00BF3CDE">
        <w:t xml:space="preserve"> comment la Suisse peut prétendre que les obstacles ont également été levés dans le secteur de l’information. La «liste d’interprètes en langue des signes accrédités» que tient le canton de Zurich</w:t>
      </w:r>
      <w:r w:rsidRPr="00BF3CDE">
        <w:rPr>
          <w:rStyle w:val="FootnoteReference"/>
          <w:szCs w:val="20"/>
        </w:rPr>
        <w:footnoteReference w:id="95"/>
      </w:r>
      <w:r w:rsidRPr="00BF3CDE">
        <w:t xml:space="preserve">, et les «informations importantes sur le système judiciaire lui-même ainsi que sur les procédures pénales» qui seraient, selon elle, traduites en langue facile à lire, </w:t>
      </w:r>
      <w:r w:rsidRPr="00BF3CDE">
        <w:rPr>
          <w:b/>
        </w:rPr>
        <w:t>ne sauraient en aucun cas remplacer l’adaptation des diverses règles de procédure au niveau fédéral et cantonal</w:t>
      </w:r>
      <w:r w:rsidRPr="00BF3CDE">
        <w:t>, qui est nécessaire afin de garantir l’accessibilité de toutes les procédures pour l’ensemble des PH. Jusqu’à présent, rien n’a été fait en ce sens.</w:t>
      </w:r>
      <w:r w:rsidRPr="00BF3CDE">
        <w:rPr>
          <w:rStyle w:val="FootnoteReference"/>
        </w:rPr>
        <w:footnoteReference w:id="96"/>
      </w:r>
      <w:r w:rsidRPr="00BF3CDE">
        <w:t xml:space="preserve"> </w:t>
      </w:r>
    </w:p>
    <w:p w14:paraId="29B3E1DB" w14:textId="77777777" w:rsidR="00E73087" w:rsidRPr="00BF3CDE" w:rsidRDefault="00E73087" w:rsidP="001A3756">
      <w:pPr>
        <w:pStyle w:val="BodyText"/>
        <w:numPr>
          <w:ilvl w:val="0"/>
          <w:numId w:val="16"/>
        </w:numPr>
        <w:rPr>
          <w:szCs w:val="20"/>
        </w:rPr>
      </w:pPr>
      <w:r w:rsidRPr="00BF3CDE">
        <w:t xml:space="preserve">Le </w:t>
      </w:r>
      <w:r w:rsidRPr="00BF3CDE">
        <w:rPr>
          <w:b/>
        </w:rPr>
        <w:t xml:space="preserve">renvoi à la révision du CPC en relation avec les dispositions </w:t>
      </w:r>
      <w:r>
        <w:rPr>
          <w:b/>
        </w:rPr>
        <w:t>sur les</w:t>
      </w:r>
      <w:r w:rsidRPr="00BF3CDE">
        <w:rPr>
          <w:b/>
        </w:rPr>
        <w:t xml:space="preserve"> avances de frais porte à confusion</w:t>
      </w:r>
      <w:r w:rsidRPr="00BF3CDE">
        <w:t xml:space="preserve">: dans le contexte de la mise en œuvre des droits découlant de la CDPH, la révision ne permet en effet pas d’améliorer l’accès à la justice. </w:t>
      </w:r>
      <w:r w:rsidRPr="00BF3CDE">
        <w:rPr>
          <w:b/>
          <w:bCs/>
        </w:rPr>
        <w:t>Premièrement</w:t>
      </w:r>
      <w:r w:rsidRPr="00BF3CDE">
        <w:t xml:space="preserve">, il s’agit </w:t>
      </w:r>
      <w:r w:rsidRPr="00BF3CDE">
        <w:rPr>
          <w:b/>
          <w:bCs/>
        </w:rPr>
        <w:t>uniquement</w:t>
      </w:r>
      <w:r w:rsidRPr="00BF3CDE">
        <w:t xml:space="preserve"> de </w:t>
      </w:r>
      <w:r w:rsidRPr="00BF3CDE">
        <w:rPr>
          <w:b/>
          <w:bCs/>
        </w:rPr>
        <w:t>procédures de droit civil</w:t>
      </w:r>
      <w:r w:rsidRPr="00BF3CDE">
        <w:t xml:space="preserve">; toutes les autres procédures ne sont pas concernées. </w:t>
      </w:r>
      <w:r w:rsidRPr="00BF3CDE">
        <w:rPr>
          <w:b/>
        </w:rPr>
        <w:t>Deuxièmement, la gratuité des procédures est prévue déjà aujourd’hui selon la LHand</w:t>
      </w:r>
      <w:r w:rsidRPr="00BF3CDE">
        <w:t xml:space="preserve"> </w:t>
      </w:r>
      <w:r w:rsidRPr="00BF3CDE">
        <w:lastRenderedPageBreak/>
        <w:t xml:space="preserve">(art. 10 LHand) – il n’y a donc pas d’avances de frais à payer. </w:t>
      </w:r>
      <w:r w:rsidRPr="00BF3CDE">
        <w:rPr>
          <w:b/>
        </w:rPr>
        <w:t>Troisièmement,</w:t>
      </w:r>
      <w:r w:rsidRPr="00BF3CDE">
        <w:t xml:space="preserve"> il s’agit uniquement des dispositions sur les </w:t>
      </w:r>
      <w:r w:rsidRPr="00BF3CDE">
        <w:rPr>
          <w:b/>
          <w:bCs/>
        </w:rPr>
        <w:t>avances</w:t>
      </w:r>
      <w:r w:rsidRPr="00BF3CDE">
        <w:t xml:space="preserve"> de frais; les </w:t>
      </w:r>
      <w:r w:rsidRPr="00BF3CDE">
        <w:rPr>
          <w:b/>
        </w:rPr>
        <w:t>frais de procédure resp. les frais liés à l’indemnisation des parties ne sont pas concernés</w:t>
      </w:r>
      <w:r w:rsidRPr="00BF3CDE">
        <w:t xml:space="preserve">. </w:t>
      </w:r>
    </w:p>
    <w:p w14:paraId="74EC63AD" w14:textId="56B3EBE6" w:rsidR="00E73087" w:rsidRPr="00BF3CDE" w:rsidRDefault="00E73087" w:rsidP="001A3756">
      <w:pPr>
        <w:pStyle w:val="BodyText"/>
        <w:ind w:left="720"/>
        <w:rPr>
          <w:szCs w:val="20"/>
        </w:rPr>
      </w:pPr>
      <w:r w:rsidRPr="00BF3CDE">
        <w:t>La réalité réside bien davantage dans le fait que dans deux domaines juridiques particulièrement importants pour l’application de la CDPH, l’accès à la justice reste</w:t>
      </w:r>
      <w:r w:rsidRPr="00BF3CDE">
        <w:rPr>
          <w:szCs w:val="20"/>
        </w:rPr>
        <w:t xml:space="preserve"> </w:t>
      </w:r>
      <w:r w:rsidRPr="00BF3CDE">
        <w:rPr>
          <w:b/>
          <w:szCs w:val="20"/>
        </w:rPr>
        <w:t>lié à un risque financier considérable</w:t>
      </w:r>
      <w:r w:rsidRPr="00BF3CDE">
        <w:rPr>
          <w:szCs w:val="20"/>
        </w:rPr>
        <w:t xml:space="preserve">: en </w:t>
      </w:r>
      <w:r w:rsidRPr="00BF3CDE">
        <w:rPr>
          <w:b/>
          <w:szCs w:val="20"/>
        </w:rPr>
        <w:t>droit de l’égalité des PH,</w:t>
      </w:r>
      <w:r w:rsidRPr="00BF3CDE">
        <w:rPr>
          <w:szCs w:val="20"/>
        </w:rPr>
        <w:t xml:space="preserve"> les recourants et recourantes ne bénéficiant pas d’une assistance judiciaire ou d’une représentation légale gratuites doivent payer, en cas de rejet de leurs recours, les </w:t>
      </w:r>
      <w:r w:rsidRPr="00BF3CDE">
        <w:rPr>
          <w:b/>
          <w:szCs w:val="20"/>
        </w:rPr>
        <w:t>frais d’avocat de la partie adverse</w:t>
      </w:r>
      <w:r w:rsidRPr="00BF3CDE">
        <w:rPr>
          <w:szCs w:val="20"/>
        </w:rPr>
        <w:t>.</w:t>
      </w:r>
      <w:r w:rsidRPr="00BF3CDE">
        <w:rPr>
          <w:rStyle w:val="FootnoteReference"/>
          <w:szCs w:val="20"/>
        </w:rPr>
        <w:footnoteReference w:id="97"/>
      </w:r>
      <w:r w:rsidRPr="00BF3CDE">
        <w:rPr>
          <w:szCs w:val="20"/>
        </w:rPr>
        <w:t xml:space="preserve"> À noter que la procédure AI de première instance – contrairement à d’autres secteurs du </w:t>
      </w:r>
      <w:r w:rsidRPr="00BF3CDE">
        <w:rPr>
          <w:b/>
          <w:szCs w:val="20"/>
        </w:rPr>
        <w:t xml:space="preserve">droit des assurances sociales </w:t>
      </w:r>
      <w:r w:rsidRPr="00BF3CDE">
        <w:rPr>
          <w:szCs w:val="20"/>
        </w:rPr>
        <w:t>–</w:t>
      </w:r>
      <w:r w:rsidR="006B22BE">
        <w:rPr>
          <w:szCs w:val="20"/>
        </w:rPr>
        <w:t xml:space="preserve"> </w:t>
      </w:r>
      <w:r w:rsidRPr="00BF3CDE">
        <w:rPr>
          <w:szCs w:val="20"/>
        </w:rPr>
        <w:t xml:space="preserve">est </w:t>
      </w:r>
      <w:r w:rsidRPr="00BF3CDE">
        <w:rPr>
          <w:b/>
          <w:bCs/>
          <w:szCs w:val="20"/>
        </w:rPr>
        <w:t>en principe payante</w:t>
      </w:r>
      <w:r w:rsidRPr="00BF3CDE">
        <w:rPr>
          <w:szCs w:val="20"/>
        </w:rPr>
        <w:t xml:space="preserve"> (art. 69 al. 1bis LAI).</w:t>
      </w:r>
      <w:r w:rsidRPr="00BF3CDE">
        <w:rPr>
          <w:rStyle w:val="FootnoteReference"/>
          <w:szCs w:val="20"/>
        </w:rPr>
        <w:footnoteReference w:id="98"/>
      </w:r>
      <w:r w:rsidRPr="00BF3CDE">
        <w:rPr>
          <w:szCs w:val="20"/>
        </w:rPr>
        <w:t xml:space="preserve"> Les demandes d’as</w:t>
      </w:r>
      <w:r w:rsidRPr="00BF3CDE">
        <w:rPr>
          <w:szCs w:val="20"/>
        </w:rPr>
        <w:lastRenderedPageBreak/>
        <w:t>sistance judiciaire gratuite sont souvent rejetées sous prétexte que la cause est vouée à l’échec</w:t>
      </w:r>
      <w:r w:rsidRPr="00BF3CDE">
        <w:rPr>
          <w:rStyle w:val="FootnoteReference"/>
          <w:szCs w:val="20"/>
        </w:rPr>
        <w:footnoteReference w:id="99"/>
      </w:r>
      <w:r w:rsidRPr="00BF3CDE">
        <w:rPr>
          <w:szCs w:val="20"/>
        </w:rPr>
        <w:t>; ce malgré le fait que les personnes concernées ne disposent pas des moyens nécessaires et qu’il s’agit d’une matière très complexe.</w:t>
      </w:r>
    </w:p>
    <w:p w14:paraId="2BB8CAE0" w14:textId="51959920" w:rsidR="00E73087" w:rsidRPr="00BF3CDE" w:rsidRDefault="00E73087" w:rsidP="00E73087">
      <w:pPr>
        <w:pStyle w:val="BodyText"/>
        <w:rPr>
          <w:rFonts w:eastAsia="MS Gothic"/>
          <w:szCs w:val="20"/>
        </w:rPr>
      </w:pPr>
      <w:r w:rsidRPr="00BF3CDE">
        <w:rPr>
          <w:rFonts w:eastAsia="MS Gothic"/>
          <w:szCs w:val="20"/>
        </w:rPr>
        <w:t xml:space="preserve">Dans ce contexte, l’affirmation dans le PRE selon laquelle, en Suisse, </w:t>
      </w:r>
      <w:r w:rsidRPr="00BF3CDE">
        <w:t xml:space="preserve">«un accès non discriminatoire aux procédures est garanti à tous les individus, y compris aux personnes handicapées» (PRE, para. 63), </w:t>
      </w:r>
      <w:r w:rsidRPr="00BF3CDE">
        <w:rPr>
          <w:b/>
        </w:rPr>
        <w:t xml:space="preserve">doit être clairement </w:t>
      </w:r>
      <w:r>
        <w:rPr>
          <w:b/>
        </w:rPr>
        <w:t>démentie</w:t>
      </w:r>
      <w:r w:rsidRPr="00BF3CDE">
        <w:rPr>
          <w:rFonts w:eastAsia="Cambria"/>
        </w:rPr>
        <w:t xml:space="preserve">. S’agissant de </w:t>
      </w:r>
      <w:r w:rsidRPr="00BF3CDE">
        <w:rPr>
          <w:rFonts w:eastAsia="Cambria"/>
          <w:b/>
          <w:bCs/>
        </w:rPr>
        <w:t xml:space="preserve">personnes ayant des handicaps </w:t>
      </w:r>
      <w:r w:rsidRPr="00BF3CDE">
        <w:rPr>
          <w:rFonts w:eastAsia="Cambria"/>
          <w:b/>
        </w:rPr>
        <w:t>psychiques ou intellectuels</w:t>
      </w:r>
      <w:r w:rsidRPr="00BF3CDE">
        <w:rPr>
          <w:rFonts w:eastAsia="Cambria"/>
        </w:rPr>
        <w:t xml:space="preserve">, il convient en outre de mentionner l’inégalité suivante: les </w:t>
      </w:r>
      <w:r w:rsidRPr="00BF3CDE">
        <w:rPr>
          <w:rFonts w:eastAsia="Cambria"/>
          <w:b/>
          <w:bCs/>
        </w:rPr>
        <w:t xml:space="preserve">dispositions concernant la capacité des </w:t>
      </w:r>
      <w:r w:rsidRPr="00BF3CDE">
        <w:rPr>
          <w:rFonts w:eastAsia="MS Gothic"/>
          <w:b/>
          <w:szCs w:val="20"/>
        </w:rPr>
        <w:t>«personnes incapables de discernement»</w:t>
      </w:r>
      <w:r w:rsidRPr="00BF3CDE">
        <w:rPr>
          <w:rFonts w:eastAsia="Cambria"/>
          <w:b/>
          <w:bCs/>
        </w:rPr>
        <w:t xml:space="preserve"> d’ester en justice et de témoigner</w:t>
      </w:r>
      <w:r w:rsidRPr="00BF3CDE">
        <w:rPr>
          <w:rFonts w:eastAsia="MS Gothic"/>
          <w:szCs w:val="20"/>
        </w:rPr>
        <w:t xml:space="preserve"> ne respectent pas, lors de l’évaluation de la capacité de discernement, le modèle de la prise de décision assistée exigé par les art. 12 et 13 CDPH. Et enfin, </w:t>
      </w:r>
      <w:r w:rsidRPr="00BF3CDE">
        <w:rPr>
          <w:rFonts w:eastAsia="MS Gothic"/>
          <w:b/>
          <w:szCs w:val="20"/>
        </w:rPr>
        <w:t xml:space="preserve">l’accès </w:t>
      </w:r>
      <w:r w:rsidR="006B22BE">
        <w:rPr>
          <w:rFonts w:eastAsia="MS Gothic"/>
          <w:b/>
          <w:szCs w:val="20"/>
        </w:rPr>
        <w:t xml:space="preserve">à la justice </w:t>
      </w:r>
      <w:r w:rsidRPr="00BF3CDE">
        <w:rPr>
          <w:rFonts w:eastAsia="MS Gothic"/>
          <w:b/>
          <w:szCs w:val="20"/>
        </w:rPr>
        <w:t xml:space="preserve">des personnes </w:t>
      </w:r>
      <w:r>
        <w:rPr>
          <w:rFonts w:eastAsia="MS Gothic"/>
          <w:b/>
          <w:szCs w:val="20"/>
        </w:rPr>
        <w:t>ayant</w:t>
      </w:r>
      <w:r w:rsidRPr="00BF3CDE">
        <w:rPr>
          <w:rFonts w:eastAsia="MS Gothic"/>
          <w:b/>
          <w:szCs w:val="20"/>
        </w:rPr>
        <w:t xml:space="preserve"> des handicaps cognitifs vivant en institutions</w:t>
      </w:r>
      <w:r w:rsidRPr="00BF3CDE">
        <w:rPr>
          <w:rFonts w:eastAsia="MS Gothic"/>
          <w:szCs w:val="20"/>
        </w:rPr>
        <w:t xml:space="preserve"> n’est pas garanti.</w:t>
      </w:r>
      <w:r w:rsidRPr="00BF3CDE">
        <w:rPr>
          <w:rStyle w:val="FootnoteReference"/>
          <w:szCs w:val="20"/>
        </w:rPr>
        <w:footnoteReference w:id="100"/>
      </w:r>
    </w:p>
    <w:p w14:paraId="26291899" w14:textId="4C7C0229" w:rsidR="00FE29BD" w:rsidRPr="00E73087" w:rsidRDefault="00E73087" w:rsidP="00E73087">
      <w:pPr>
        <w:pStyle w:val="BodyText"/>
      </w:pPr>
      <w:r w:rsidRPr="00BF3CDE">
        <w:t xml:space="preserve">Par ailleurs, la réponse de la Suisse à la question du Comité concernant la </w:t>
      </w:r>
      <w:r w:rsidRPr="00BF3CDE">
        <w:rPr>
          <w:b/>
        </w:rPr>
        <w:t>formation des magistrats</w:t>
      </w:r>
      <w:r w:rsidRPr="00BF3CDE">
        <w:t xml:space="preserve"> (réponse à la LoI, ch. 28) ne parvient pas non plus à convaincre. Une telle formation en matière de CDPH serait </w:t>
      </w:r>
      <w:r>
        <w:t xml:space="preserve">en effet </w:t>
      </w:r>
      <w:r w:rsidRPr="00BF3CDE">
        <w:t xml:space="preserve">totalement passée au-dessus de la tête d’IH. Jusqu’à présent, la Faculté de droit de l’Université de Bâle </w:t>
      </w:r>
      <w:r w:rsidRPr="00BF3CDE">
        <w:lastRenderedPageBreak/>
        <w:t xml:space="preserve">est la seule en Suisse à proposer annuellement </w:t>
      </w:r>
      <w:r w:rsidR="006B22BE">
        <w:t>un cours</w:t>
      </w:r>
      <w:r w:rsidRPr="00BF3CDE">
        <w:t xml:space="preserve"> sur le thème du droit de l’égalité des PH (y c. CDPH); elle s’adresse toutefois aux étudiantes et étudiants en Master, et non pas aux </w:t>
      </w:r>
      <w:r>
        <w:t>juges</w:t>
      </w:r>
      <w:r w:rsidRPr="00BF3CDE">
        <w:t xml:space="preserve">. Ce qui frappe bien davantage, c’est la manière </w:t>
      </w:r>
      <w:r w:rsidRPr="00BF3CDE">
        <w:rPr>
          <w:b/>
          <w:bCs/>
        </w:rPr>
        <w:t>superficielle</w:t>
      </w:r>
      <w:r w:rsidRPr="00BF3CDE">
        <w:t xml:space="preserve"> dont les tribunaux suisses – parmi lesquels également le Tribunal fédéral – </w:t>
      </w:r>
      <w:r w:rsidRPr="00BF3CDE">
        <w:rPr>
          <w:b/>
          <w:bCs/>
        </w:rPr>
        <w:t>abordent</w:t>
      </w:r>
      <w:r w:rsidRPr="00BF3CDE">
        <w:t xml:space="preserve"> jusqu’à présent</w:t>
      </w:r>
      <w:r w:rsidRPr="00BF3CDE">
        <w:rPr>
          <w:b/>
        </w:rPr>
        <w:t xml:space="preserve"> la CDPH</w:t>
      </w:r>
      <w:r w:rsidRPr="00BF3CDE">
        <w:t>. Leur pratique n’indique en tout cas pas qu’ils disposeraient de connaissances spécifiques dans ce domaine.</w:t>
      </w:r>
      <w:r w:rsidR="006D30F6">
        <w:rPr>
          <w:rStyle w:val="FootnoteReference"/>
        </w:rPr>
        <w:footnoteReference w:id="101"/>
      </w:r>
      <w:r w:rsidR="006D30F6">
        <w:t xml:space="preserve"> </w:t>
      </w:r>
      <w:r w:rsidRPr="00BF3CDE">
        <w:t>Ce constat est d’autant plus pesant pour les PH qu’elles n’ont aucune possibilité, faute de ratification du Protocole facultatif relatif à la CDPH, de porter leur recours devant le Comité CDPH.</w:t>
      </w:r>
      <w:r w:rsidR="00162120">
        <w:rPr>
          <w:rStyle w:val="FootnoteReference"/>
        </w:rPr>
        <w:footnoteReference w:id="102"/>
      </w:r>
      <w:r w:rsidR="00162120" w:rsidRPr="00162120">
        <w:rPr>
          <w:rStyle w:val="FootnoteReference"/>
          <w:szCs w:val="20"/>
        </w:rPr>
        <w:t xml:space="preserve"> </w:t>
      </w:r>
    </w:p>
    <w:p w14:paraId="11A174C9" w14:textId="77777777" w:rsidR="00924B3D" w:rsidRPr="00F756DE" w:rsidRDefault="00A717CC" w:rsidP="00924B3D">
      <w:pPr>
        <w:shd w:val="clear" w:color="auto" w:fill="FFFFCC"/>
        <w:spacing w:before="240"/>
        <w:rPr>
          <w:rFonts w:eastAsia="Cambria"/>
          <w:b/>
        </w:rPr>
      </w:pPr>
      <w:r>
        <w:rPr>
          <w:rFonts w:eastAsia="Cambria"/>
          <w:b/>
        </w:rPr>
        <w:t>Propositions de recommandations</w:t>
      </w:r>
      <w:r w:rsidR="00924B3D" w:rsidRPr="00F756DE">
        <w:rPr>
          <w:rFonts w:eastAsia="Cambria"/>
          <w:b/>
        </w:rPr>
        <w:t>:</w:t>
      </w:r>
    </w:p>
    <w:p w14:paraId="423919BC" w14:textId="77777777" w:rsidR="00E73087" w:rsidRPr="00BF3CDE" w:rsidRDefault="00E73087" w:rsidP="00E73087">
      <w:pPr>
        <w:pStyle w:val="SBEmpfehlungen"/>
      </w:pPr>
      <w:r w:rsidRPr="00BF3CDE">
        <w:t xml:space="preserve">La </w:t>
      </w:r>
      <w:r w:rsidRPr="00BF3CDE">
        <w:rPr>
          <w:b/>
        </w:rPr>
        <w:t xml:space="preserve">Confédération </w:t>
      </w:r>
      <w:r w:rsidRPr="00BF3CDE">
        <w:t xml:space="preserve">adapte les dispositions du CPC et du CPP concernant la </w:t>
      </w:r>
      <w:r w:rsidRPr="00BF3CDE">
        <w:rPr>
          <w:b/>
        </w:rPr>
        <w:t xml:space="preserve">capacité d’ester en justice et de témoigner des «personnes incapables de discernement» </w:t>
      </w:r>
      <w:r w:rsidRPr="00BF3CDE">
        <w:t>à la lumière des art. 12 et 13 CDPH; ce faisant, elle tient compte notamment du modèle de prise de décision assistée.</w:t>
      </w:r>
    </w:p>
    <w:p w14:paraId="239D1F8F" w14:textId="6641D06F" w:rsidR="00E73087" w:rsidRPr="00BF3CDE" w:rsidRDefault="00E73087" w:rsidP="00E73087">
      <w:pPr>
        <w:pStyle w:val="SBEmpfehlungen"/>
      </w:pPr>
      <w:r w:rsidRPr="00BF3CDE">
        <w:rPr>
          <w:b/>
        </w:rPr>
        <w:t>La Confédération et les cantons</w:t>
      </w:r>
      <w:r w:rsidRPr="00BF3CDE">
        <w:t xml:space="preserve"> introduisent dans leurs codes de procédure des mécanismes accordant aux PH, en fonction de leur âge, des mesures pendant toute la durée de la procédure judiciaire dans l’ensemble des domaines du droit et à tous les échelons de la justice. Ils </w:t>
      </w:r>
      <w:r>
        <w:t>assurent</w:t>
      </w:r>
      <w:r w:rsidRPr="00BF3CDE">
        <w:t xml:space="preserve"> que les PH ne s</w:t>
      </w:r>
      <w:r>
        <w:t>ubissent</w:t>
      </w:r>
      <w:r w:rsidRPr="00BF3CDE">
        <w:t xml:space="preserve"> pas </w:t>
      </w:r>
      <w:r>
        <w:t xml:space="preserve">de </w:t>
      </w:r>
      <w:r w:rsidRPr="00BF3CDE">
        <w:t>discrimin</w:t>
      </w:r>
      <w:r>
        <w:t>ations</w:t>
      </w:r>
      <w:r w:rsidRPr="00BF3CDE">
        <w:t xml:space="preserve"> dans l’accès à la justice, entre </w:t>
      </w:r>
      <w:r w:rsidRPr="00BF3CDE">
        <w:lastRenderedPageBreak/>
        <w:t xml:space="preserve">autres lorsque la </w:t>
      </w:r>
      <w:r w:rsidRPr="00BF3CDE">
        <w:rPr>
          <w:b/>
          <w:bCs/>
        </w:rPr>
        <w:t>langue des signes, l’écriture en Bra</w:t>
      </w:r>
      <w:r w:rsidRPr="00BF3CDE">
        <w:rPr>
          <w:b/>
        </w:rPr>
        <w:t>ille ou la langue facile à comprendre</w:t>
      </w:r>
      <w:r w:rsidRPr="00BF3CDE">
        <w:t xml:space="preserve"> leur sont nécessaires.</w:t>
      </w:r>
    </w:p>
    <w:p w14:paraId="5DD077C1" w14:textId="77777777" w:rsidR="00E73087" w:rsidRPr="00BF3CDE" w:rsidRDefault="00E73087" w:rsidP="00E73087">
      <w:pPr>
        <w:pStyle w:val="SBEmpfehlungen"/>
      </w:pPr>
      <w:r w:rsidRPr="00BF3CDE">
        <w:t xml:space="preserve">La </w:t>
      </w:r>
      <w:r w:rsidRPr="00BF3CDE">
        <w:rPr>
          <w:b/>
        </w:rPr>
        <w:t>Confédération</w:t>
      </w:r>
      <w:r w:rsidRPr="00BF3CDE">
        <w:t xml:space="preserve"> procède à des adaptations des lois pertinentes relevant du droit des assurances sociales et du droit de l’égalité des PH afin de garantir que les personnes concernées et leurs organisations ne soient pas privées d’accès à la justice pour des </w:t>
      </w:r>
      <w:r w:rsidRPr="00BF3CDE">
        <w:rPr>
          <w:b/>
          <w:bCs/>
        </w:rPr>
        <w:t>raisons financières</w:t>
      </w:r>
      <w:r w:rsidRPr="00BF3CDE">
        <w:t>.</w:t>
      </w:r>
    </w:p>
    <w:p w14:paraId="218F19E8" w14:textId="77777777" w:rsidR="00E73087" w:rsidRPr="00BF3CDE" w:rsidRDefault="00E73087" w:rsidP="00E73087">
      <w:pPr>
        <w:pStyle w:val="SBEmpfehlungen"/>
      </w:pPr>
      <w:r w:rsidRPr="00BF3CDE">
        <w:t xml:space="preserve">Le </w:t>
      </w:r>
      <w:r w:rsidRPr="00BF3CDE">
        <w:rPr>
          <w:b/>
        </w:rPr>
        <w:t>BFEH</w:t>
      </w:r>
      <w:r w:rsidRPr="00BF3CDE">
        <w:t xml:space="preserve"> développe ou soutient des </w:t>
      </w:r>
      <w:r w:rsidRPr="00BF3CDE">
        <w:rPr>
          <w:b/>
        </w:rPr>
        <w:t>programmes visant à renforcer les compétences des acteurs de la justice en matière d’obligations découlant de la CDPH</w:t>
      </w:r>
      <w:r w:rsidRPr="00BF3CDE">
        <w:t>.</w:t>
      </w:r>
    </w:p>
    <w:p w14:paraId="7A09F644" w14:textId="62CAE2A1" w:rsidR="00924B3D" w:rsidRPr="00F756DE" w:rsidRDefault="00E73087" w:rsidP="00E73087">
      <w:pPr>
        <w:pStyle w:val="SBEmpfehlungen"/>
      </w:pPr>
      <w:r w:rsidRPr="00BF3CDE">
        <w:t xml:space="preserve">Lors de ses visites d’institutions pour PH, la </w:t>
      </w:r>
      <w:r w:rsidRPr="00BF3CDE">
        <w:rPr>
          <w:b/>
        </w:rPr>
        <w:t>CNPT</w:t>
      </w:r>
      <w:r w:rsidRPr="00BF3CDE">
        <w:t xml:space="preserve"> examine également la question de l’accès à la justice et </w:t>
      </w:r>
      <w:r w:rsidRPr="00BF3CDE">
        <w:rPr>
          <w:b/>
        </w:rPr>
        <w:t>élabore des propositions</w:t>
      </w:r>
      <w:r w:rsidRPr="00BF3CDE">
        <w:t xml:space="preserve"> à cet égard.</w:t>
      </w:r>
    </w:p>
    <w:p w14:paraId="6B399832" w14:textId="77777777" w:rsidR="00A717CC" w:rsidRPr="00BF3CDE" w:rsidRDefault="00A717CC" w:rsidP="00A717CC">
      <w:pPr>
        <w:pStyle w:val="Heading3"/>
        <w:numPr>
          <w:ilvl w:val="0"/>
          <w:numId w:val="0"/>
        </w:numPr>
        <w:ind w:left="737" w:hanging="737"/>
      </w:pPr>
      <w:bookmarkStart w:id="75" w:name="_Toc95500337"/>
      <w:bookmarkStart w:id="76" w:name="_Ref95901058"/>
      <w:bookmarkStart w:id="77" w:name="_Ref95901064"/>
      <w:bookmarkStart w:id="78" w:name="_Toc96287607"/>
      <w:r w:rsidRPr="00BF3CDE">
        <w:t>Art. 14 – Liberté et sécurité de la personne</w:t>
      </w:r>
      <w:bookmarkEnd w:id="75"/>
      <w:bookmarkEnd w:id="76"/>
      <w:bookmarkEnd w:id="77"/>
      <w:bookmarkEnd w:id="78"/>
    </w:p>
    <w:p w14:paraId="526DA56B" w14:textId="0B87D2A4" w:rsidR="00E73087" w:rsidRDefault="00E73087" w:rsidP="00E73087">
      <w:pPr>
        <w:pStyle w:val="BodyText"/>
      </w:pPr>
      <w:r w:rsidRPr="00BF3CDE">
        <w:t xml:space="preserve">La Suisse répond ouvertement à la question de savoir quelles ont été les mesures prises jusqu’à présent afin de supprimer les lois autorisant les privations de liberté dues à un handicap. Elle admet que les </w:t>
      </w:r>
      <w:r w:rsidRPr="00BF3CDE">
        <w:rPr>
          <w:b/>
        </w:rPr>
        <w:t>dispositions relatives aux placements à des fins d’assistance (PAFA) font l’objet de critiques au niveau national</w:t>
      </w:r>
      <w:r w:rsidRPr="00BF3CDE">
        <w:t xml:space="preserve"> (réponse à la LoI, ch. 29).</w:t>
      </w:r>
      <w:r w:rsidR="00162120" w:rsidRPr="00BF3CDE">
        <w:rPr>
          <w:rStyle w:val="FootnoteReference"/>
          <w:szCs w:val="20"/>
        </w:rPr>
        <w:footnoteReference w:id="103"/>
      </w:r>
      <w:r w:rsidR="00162120">
        <w:t xml:space="preserve"> </w:t>
      </w:r>
      <w:r w:rsidRPr="00BF3CDE">
        <w:t xml:space="preserve">Le rapport d’évaluation établi sur </w:t>
      </w:r>
      <w:r w:rsidRPr="00BF3CDE">
        <w:lastRenderedPageBreak/>
        <w:t>mandat de la Confédération (OFJ), annoncé pour octobre 2021, sera publié, selon l’information de l’OFJ, au plus tôt durant le second semestre 2022. En conséquence, une</w:t>
      </w:r>
      <w:r w:rsidRPr="00BF3CDE">
        <w:rPr>
          <w:b/>
        </w:rPr>
        <w:t xml:space="preserve"> adaptation de la législation en matière de PAFA n’a pas encore eu lieu</w:t>
      </w:r>
      <w:r w:rsidRPr="00BF3CDE">
        <w:t xml:space="preserve">, pas plus qu’il n’existe par ailleurs une planification à ce sujet. Concernant </w:t>
      </w:r>
      <w:r w:rsidRPr="00BF3CDE">
        <w:rPr>
          <w:b/>
          <w:bCs/>
        </w:rPr>
        <w:t>la mise au concours du projet</w:t>
      </w:r>
      <w:r w:rsidRPr="00BF3CDE">
        <w:t xml:space="preserve"> du 9.7.2020</w:t>
      </w:r>
      <w:bookmarkStart w:id="79" w:name="_Ref94202307"/>
      <w:r w:rsidR="002A47BE" w:rsidRPr="00BF3CDE">
        <w:rPr>
          <w:rStyle w:val="FootnoteReference"/>
          <w:szCs w:val="20"/>
        </w:rPr>
        <w:footnoteReference w:id="104"/>
      </w:r>
      <w:bookmarkEnd w:id="79"/>
      <w:r w:rsidRPr="00BF3CDE">
        <w:t xml:space="preserve">, il est frappant de constater qu’il </w:t>
      </w:r>
      <w:r w:rsidRPr="00BF3CDE">
        <w:rPr>
          <w:b/>
          <w:bCs/>
        </w:rPr>
        <w:t>ne fait nullement mention de la CDPH comme base légale</w:t>
      </w:r>
      <w:r w:rsidRPr="00BF3CDE">
        <w:t xml:space="preserve">. Il est donc à craindre que dans le cadre de cette évaluation, les PAFA ne soient </w:t>
      </w:r>
      <w:r w:rsidRPr="00BF3CDE">
        <w:rPr>
          <w:b/>
          <w:bCs/>
        </w:rPr>
        <w:t>pas examinés spécifiquement quant à leur compatibilité avec la CDPH</w:t>
      </w:r>
      <w:r w:rsidRPr="00BF3CDE">
        <w:t>. La liste de questions est en soi complète, assortie de remarques explicatives et en partie critiques, fournissant ainsi d’emblée une bonne vue d’ensemble des problèmes très graves inhérents à une PAFA</w:t>
      </w:r>
      <w:r w:rsidR="002A47BE">
        <w:t>.</w:t>
      </w:r>
      <w:r w:rsidR="002A47BE" w:rsidRPr="00BF3CDE">
        <w:rPr>
          <w:rStyle w:val="FootnoteReference"/>
        </w:rPr>
        <w:footnoteReference w:id="105"/>
      </w:r>
      <w:r w:rsidRPr="00BF3CDE">
        <w:t xml:space="preserve"> Il manque néanmoins le renvoi aux obligations découlant de la CDPH, p. ex. la création de modèles de prise de décision assistée, entre autres lors de l’évaluation de la «capacité de discernement». En outre, le </w:t>
      </w:r>
      <w:r w:rsidRPr="00BF3CDE">
        <w:rPr>
          <w:b/>
          <w:bCs/>
        </w:rPr>
        <w:t>PAFA de personnes mineures</w:t>
      </w:r>
      <w:r w:rsidRPr="00BF3CDE">
        <w:t xml:space="preserve"> n’est pas concerné par cette évaluation – à ce sujet, la mise au concours du projet</w:t>
      </w:r>
      <w:r w:rsidRPr="00BF3CDE">
        <w:rPr>
          <w:rStyle w:val="FootnoteReference"/>
        </w:rPr>
        <w:footnoteReference w:id="106"/>
      </w:r>
      <w:r w:rsidRPr="00BF3CDE">
        <w:t xml:space="preserve"> ainsi que la </w:t>
      </w:r>
      <w:r w:rsidRPr="00BF3CDE">
        <w:lastRenderedPageBreak/>
        <w:t>réponse de la Suisse à la LoI renvoient vaguement à une évaluation supplémentaire</w:t>
      </w:r>
      <w:r>
        <w:t xml:space="preserve"> de cette thématique</w:t>
      </w:r>
      <w:r w:rsidRPr="00BF3CDE">
        <w:t>.</w:t>
      </w:r>
      <w:r w:rsidR="00025C6C" w:rsidRPr="00BF3CDE">
        <w:rPr>
          <w:rStyle w:val="FootnoteReference"/>
        </w:rPr>
        <w:footnoteReference w:id="107"/>
      </w:r>
      <w:r w:rsidRPr="00BF3CDE">
        <w:t xml:space="preserve"> </w:t>
      </w:r>
    </w:p>
    <w:p w14:paraId="536FD5A8" w14:textId="0D87F410" w:rsidR="00E73087" w:rsidRPr="00BF3CDE" w:rsidRDefault="00E73087" w:rsidP="00E73087">
      <w:pPr>
        <w:pStyle w:val="BodyText"/>
      </w:pPr>
      <w:r w:rsidRPr="00BF3CDE">
        <w:t xml:space="preserve">La Suisse admet également qu’il n’existe </w:t>
      </w:r>
      <w:r w:rsidRPr="00BF3CDE">
        <w:rPr>
          <w:b/>
          <w:bCs/>
        </w:rPr>
        <w:t>pas de statistique globale au niveau suisse</w:t>
      </w:r>
      <w:r w:rsidRPr="00BF3CDE">
        <w:rPr>
          <w:b/>
        </w:rPr>
        <w:t xml:space="preserve"> </w:t>
      </w:r>
      <w:r w:rsidRPr="00BF3CDE">
        <w:t xml:space="preserve">sur les PAFA – en conséquence, les </w:t>
      </w:r>
      <w:r w:rsidRPr="00BF3CDE">
        <w:rPr>
          <w:b/>
          <w:bCs/>
        </w:rPr>
        <w:t>chiffres</w:t>
      </w:r>
      <w:r w:rsidRPr="00BF3CDE">
        <w:t xml:space="preserve"> qu’elle mentionne sont à considérer comme un </w:t>
      </w:r>
      <w:r w:rsidRPr="00BF3CDE">
        <w:rPr>
          <w:b/>
          <w:bCs/>
        </w:rPr>
        <w:t>minimum</w:t>
      </w:r>
      <w:r w:rsidRPr="00BF3CDE">
        <w:t xml:space="preserve"> (réponse à la LoI, para. 30). La maigre base statistique </w:t>
      </w:r>
      <w:r>
        <w:t xml:space="preserve">existante </w:t>
      </w:r>
      <w:r w:rsidRPr="00BF3CDE">
        <w:t>ne fait pas l’objet de l’évaluation citée; il est prévu qu’elle soit abordée par un groupe de travail de l’OFSP «Chiffres nationaux concernant le placement à des fins d’assistance en Suisse»</w:t>
      </w:r>
      <w:r w:rsidRPr="00BF3CDE">
        <w:rPr>
          <w:rStyle w:val="FootnoteReference"/>
        </w:rPr>
        <w:footnoteReference w:id="108"/>
      </w:r>
      <w:r w:rsidRPr="00BF3CDE">
        <w:t xml:space="preserve"> créé en 2020, sur lequel aucune information ne semble avoir été publiée jusqu’ici. Les chiffres disponibles, qui sont lacunaires, indiquent en tout cas une </w:t>
      </w:r>
      <w:r w:rsidRPr="00BF3CDE">
        <w:rPr>
          <w:b/>
          <w:bCs/>
        </w:rPr>
        <w:t>hausse constante du nombre de personnes</w:t>
      </w:r>
      <w:r w:rsidRPr="00BF3CDE">
        <w:rPr>
          <w:b/>
        </w:rPr>
        <w:t xml:space="preserve"> ayant été placées, en violation de l’art. 14 CDPH</w:t>
      </w:r>
      <w:r w:rsidRPr="00BF3CDE">
        <w:rPr>
          <w:rStyle w:val="FootnoteReference"/>
        </w:rPr>
        <w:footnoteReference w:id="109"/>
      </w:r>
      <w:r w:rsidRPr="00BF3CDE">
        <w:rPr>
          <w:b/>
        </w:rPr>
        <w:t>, «à des fins d’assistance»</w:t>
      </w:r>
      <w:r w:rsidRPr="00BF3CDE">
        <w:t>: 2020: 15’982; 2019: 14’561; 2018: 13’768</w:t>
      </w:r>
      <w:bookmarkStart w:id="80" w:name="_Ref94207217"/>
      <w:r w:rsidRPr="00BF3CDE">
        <w:rPr>
          <w:rStyle w:val="FootnoteReference"/>
        </w:rPr>
        <w:footnoteReference w:id="110"/>
      </w:r>
      <w:bookmarkEnd w:id="80"/>
      <w:r w:rsidRPr="00BF3CDE">
        <w:t>.</w:t>
      </w:r>
    </w:p>
    <w:p w14:paraId="04647B6E" w14:textId="77777777" w:rsidR="00E73087" w:rsidRPr="00BF3CDE" w:rsidRDefault="00E73087" w:rsidP="00E73087">
      <w:pPr>
        <w:pStyle w:val="BodyText"/>
      </w:pPr>
      <w:r w:rsidRPr="00BF3CDE">
        <w:lastRenderedPageBreak/>
        <w:t xml:space="preserve">Les deux problèmes suivants doivent être soulignés en complément: </w:t>
      </w:r>
    </w:p>
    <w:p w14:paraId="1DDFE5EF" w14:textId="77777777" w:rsidR="00E73087" w:rsidRPr="00BF3CDE" w:rsidRDefault="00E73087" w:rsidP="001A3756">
      <w:pPr>
        <w:pStyle w:val="BodyText"/>
        <w:numPr>
          <w:ilvl w:val="0"/>
          <w:numId w:val="17"/>
        </w:numPr>
      </w:pPr>
      <w:r w:rsidRPr="00BF3CDE">
        <w:t>Il n’existe pas d’</w:t>
      </w:r>
      <w:r w:rsidRPr="00BF3CDE">
        <w:rPr>
          <w:b/>
        </w:rPr>
        <w:t>offres ni de mesures appropriées destinées aux PH</w:t>
      </w:r>
      <w:r w:rsidRPr="00BF3CDE">
        <w:t xml:space="preserve"> dans le but de prévenir des situations invoquées pour justifier un PAFA. Bon nombre de cantons et de régions présentent de graves carences dans le domaine du traitement de proximité et ambulatoire.</w:t>
      </w:r>
      <w:r w:rsidRPr="00BF3CDE">
        <w:rPr>
          <w:vertAlign w:val="superscript"/>
        </w:rPr>
        <w:footnoteReference w:id="111"/>
      </w:r>
      <w:r w:rsidRPr="00BF3CDE">
        <w:t xml:space="preserve"> </w:t>
      </w:r>
    </w:p>
    <w:p w14:paraId="23C10F32" w14:textId="1E094E09" w:rsidR="00E73087" w:rsidRDefault="00E73087" w:rsidP="001A3756">
      <w:pPr>
        <w:pStyle w:val="BodyText"/>
        <w:numPr>
          <w:ilvl w:val="0"/>
          <w:numId w:val="17"/>
        </w:numPr>
      </w:pPr>
      <w:r w:rsidRPr="00BF3CDE">
        <w:t>Selon des études plus récentes</w:t>
      </w:r>
      <w:r w:rsidRPr="00BF3CDE">
        <w:rPr>
          <w:rStyle w:val="FootnoteReference"/>
        </w:rPr>
        <w:footnoteReference w:id="112"/>
      </w:r>
      <w:r w:rsidRPr="00BF3CDE">
        <w:t xml:space="preserve">, les </w:t>
      </w:r>
      <w:r w:rsidRPr="00BF3CDE">
        <w:rPr>
          <w:b/>
          <w:bCs/>
        </w:rPr>
        <w:t>foyers pour PH</w:t>
      </w:r>
      <w:r w:rsidRPr="00BF3CDE">
        <w:t xml:space="preserve">, notamment pour personnes ayant des handicaps intellectuels, prennent eux aussi des mesures limitatives de liberté (p. ex. enfermement, </w:t>
      </w:r>
      <w:r>
        <w:t>immobilisation</w:t>
      </w:r>
      <w:r w:rsidRPr="00BF3CDE">
        <w:t>). Celles-ci ne sont pas suffisamment réglementées ni évaluées.</w:t>
      </w:r>
    </w:p>
    <w:p w14:paraId="0910932A" w14:textId="159A8E00" w:rsidR="00E73087" w:rsidRPr="00E73087" w:rsidRDefault="00E73087" w:rsidP="00E73087">
      <w:pPr>
        <w:pStyle w:val="SBEmpfehlungen"/>
        <w:numPr>
          <w:ilvl w:val="0"/>
          <w:numId w:val="0"/>
        </w:numPr>
        <w:spacing w:before="120"/>
        <w:rPr>
          <w:b/>
        </w:rPr>
      </w:pPr>
      <w:r w:rsidRPr="00E73087">
        <w:rPr>
          <w:b/>
        </w:rPr>
        <w:t>Propositions de recommandations:</w:t>
      </w:r>
    </w:p>
    <w:p w14:paraId="4EB9A18F" w14:textId="77777777" w:rsidR="00E73087" w:rsidRPr="00BF3CDE" w:rsidRDefault="00E73087" w:rsidP="00E73087">
      <w:pPr>
        <w:pStyle w:val="SBEmpfehlungen"/>
      </w:pPr>
      <w:r w:rsidRPr="00BF3CDE">
        <w:t xml:space="preserve">La </w:t>
      </w:r>
      <w:r w:rsidRPr="00BF3CDE">
        <w:rPr>
          <w:b/>
        </w:rPr>
        <w:t>Confédération</w:t>
      </w:r>
      <w:r w:rsidRPr="00BF3CDE">
        <w:t xml:space="preserve"> interprète les résultats de l’évaluation PAFA à la lumière des art. 12 et 14 CDPH et </w:t>
      </w:r>
      <w:r w:rsidRPr="00BF3CDE">
        <w:rPr>
          <w:b/>
        </w:rPr>
        <w:t>supprime les prescriptions légales</w:t>
      </w:r>
      <w:r w:rsidRPr="00BF3CDE">
        <w:t xml:space="preserve"> autorisant la privation de liberté non volontaire </w:t>
      </w:r>
      <w:r w:rsidRPr="00BF3CDE">
        <w:lastRenderedPageBreak/>
        <w:t>en raison de troubles psychiques ou d’une déficience mentale (art. 426-439 CC).</w:t>
      </w:r>
    </w:p>
    <w:p w14:paraId="4277D426" w14:textId="77777777" w:rsidR="00E73087" w:rsidRPr="00BF3CDE" w:rsidRDefault="00E73087" w:rsidP="00E73087">
      <w:pPr>
        <w:pStyle w:val="SBEmpfehlungen"/>
      </w:pPr>
      <w:r w:rsidRPr="00BF3CDE">
        <w:rPr>
          <w:b/>
        </w:rPr>
        <w:t>La Confédération et les cantons</w:t>
      </w:r>
      <w:r w:rsidRPr="00BF3CDE">
        <w:t xml:space="preserve"> prennent des mesures visant à poursuivre le développement du système de prise en charge psychiatrique, par la </w:t>
      </w:r>
      <w:r w:rsidRPr="00BF3CDE">
        <w:rPr>
          <w:b/>
          <w:bCs/>
        </w:rPr>
        <w:t>création / l</w:t>
      </w:r>
      <w:r w:rsidRPr="00BF3CDE">
        <w:rPr>
          <w:b/>
        </w:rPr>
        <w:t>’élargissement d’équipes mobiles d’intervention de crise</w:t>
      </w:r>
      <w:r w:rsidRPr="00BF3CDE">
        <w:rPr>
          <w:vertAlign w:val="superscript"/>
        </w:rPr>
        <w:footnoteReference w:id="113"/>
      </w:r>
      <w:r w:rsidRPr="00BF3CDE">
        <w:t xml:space="preserve"> mis à disposition des personnes concernées à proximité de leur commune.</w:t>
      </w:r>
    </w:p>
    <w:p w14:paraId="3D1CF5CD" w14:textId="551A3AA4" w:rsidR="00E73087" w:rsidRPr="00F756DE" w:rsidRDefault="00E73087" w:rsidP="00E73087">
      <w:pPr>
        <w:pStyle w:val="SBEmpfehlungen"/>
      </w:pPr>
      <w:r w:rsidRPr="00BF3CDE">
        <w:t xml:space="preserve">Lors de ses visites de foyers pour PH, la </w:t>
      </w:r>
      <w:r w:rsidRPr="00BF3CDE">
        <w:rPr>
          <w:b/>
          <w:bCs/>
        </w:rPr>
        <w:t>CNPT</w:t>
      </w:r>
      <w:r w:rsidRPr="00BF3CDE">
        <w:t xml:space="preserve"> examine </w:t>
      </w:r>
      <w:r w:rsidRPr="00BF3CDE">
        <w:rPr>
          <w:b/>
          <w:bCs/>
        </w:rPr>
        <w:t>en priorité le recours à des mesures de privation de liberté</w:t>
      </w:r>
      <w:r w:rsidRPr="00BF3CDE">
        <w:t xml:space="preserve">. Elle publie ses résultats et recommande des mesures dont la mise en œuvre est régulièrement vérifiée par les </w:t>
      </w:r>
      <w:r w:rsidRPr="00BF3CDE">
        <w:rPr>
          <w:b/>
          <w:bCs/>
        </w:rPr>
        <w:t>cantons</w:t>
      </w:r>
      <w:r w:rsidRPr="00BF3CDE">
        <w:t xml:space="preserve"> lors de visites de surveillance effectuées sans préavis. </w:t>
      </w:r>
    </w:p>
    <w:p w14:paraId="15BD336C" w14:textId="77777777" w:rsidR="00A717CC" w:rsidRPr="00BF3CDE" w:rsidRDefault="00A717CC" w:rsidP="00A717CC">
      <w:pPr>
        <w:pStyle w:val="Heading3"/>
        <w:numPr>
          <w:ilvl w:val="0"/>
          <w:numId w:val="0"/>
        </w:numPr>
        <w:ind w:left="737" w:hanging="737"/>
      </w:pPr>
      <w:bookmarkStart w:id="81" w:name="_Toc95500338"/>
      <w:bookmarkStart w:id="82" w:name="_Toc96287608"/>
      <w:r w:rsidRPr="00BF3CDE">
        <w:t>Art. 15 – Droit de ne pas être soumis à la torture ni à des peines ou traitements cruels, inhumains ou dégradants</w:t>
      </w:r>
      <w:bookmarkEnd w:id="81"/>
      <w:bookmarkEnd w:id="82"/>
    </w:p>
    <w:p w14:paraId="166A690A" w14:textId="77777777" w:rsidR="00A717CC" w:rsidRDefault="00A717CC" w:rsidP="00A717CC">
      <w:pPr>
        <w:pStyle w:val="Subtitle"/>
        <w:rPr>
          <w:rFonts w:eastAsia="Cambria"/>
        </w:rPr>
      </w:pPr>
      <w:r w:rsidRPr="00BF3CDE">
        <w:rPr>
          <w:rFonts w:eastAsia="Cambria"/>
        </w:rPr>
        <w:t>Traitement médical forcé (LoI, 12a)</w:t>
      </w:r>
    </w:p>
    <w:p w14:paraId="6C74CA07" w14:textId="77777777" w:rsidR="003507E1" w:rsidRPr="00BF3CDE" w:rsidRDefault="003507E1" w:rsidP="003507E1">
      <w:pPr>
        <w:pStyle w:val="BodyText"/>
      </w:pPr>
      <w:r w:rsidRPr="00BF3CDE">
        <w:t xml:space="preserve">Comme le précise la Suisse (réponse à la LoI, para. 33), la réglementation actuelle en matière de traitement médical forcé est certes </w:t>
      </w:r>
      <w:r w:rsidRPr="00BF3CDE">
        <w:rPr>
          <w:b/>
          <w:bCs/>
        </w:rPr>
        <w:t>en cours d’évaluation</w:t>
      </w:r>
      <w:r w:rsidRPr="00BF3CDE">
        <w:t xml:space="preserve">; or, la </w:t>
      </w:r>
      <w:r w:rsidRPr="00BF3CDE">
        <w:rPr>
          <w:b/>
          <w:bCs/>
        </w:rPr>
        <w:t>mise au concours de l’éval</w:t>
      </w:r>
      <w:r w:rsidRPr="00BF3CDE">
        <w:rPr>
          <w:b/>
        </w:rPr>
        <w:t>uation ne portait pas explicitement sur la CDPH</w:t>
      </w:r>
      <w:r w:rsidRPr="00BF3CDE">
        <w:t>.</w:t>
      </w:r>
      <w:r w:rsidRPr="00BF3CDE">
        <w:rPr>
          <w:rStyle w:val="FootnoteReference"/>
        </w:rPr>
        <w:footnoteReference w:id="114"/>
      </w:r>
      <w:r w:rsidRPr="00BF3CDE">
        <w:t xml:space="preserve"> La Suisse n’a </w:t>
      </w:r>
      <w:r w:rsidRPr="00BF3CDE">
        <w:rPr>
          <w:b/>
          <w:bCs/>
        </w:rPr>
        <w:t>jusqu’à présent pas adapté</w:t>
      </w:r>
      <w:r w:rsidRPr="00BF3CDE">
        <w:t xml:space="preserve"> ses dispositions concernant les </w:t>
      </w:r>
      <w:r w:rsidRPr="00BF3CDE">
        <w:lastRenderedPageBreak/>
        <w:t xml:space="preserve">mesures de contrainte </w:t>
      </w:r>
      <w:r w:rsidRPr="00BF3CDE">
        <w:rPr>
          <w:b/>
          <w:bCs/>
        </w:rPr>
        <w:t>aux exigences de la CDPH</w:t>
      </w:r>
      <w:r w:rsidRPr="00BF3CDE">
        <w:t xml:space="preserve">. Les aspects suivants sont particulièrement problématiques: </w:t>
      </w:r>
    </w:p>
    <w:p w14:paraId="5777702B" w14:textId="3A66309A" w:rsidR="003507E1" w:rsidRPr="00BF3CDE" w:rsidRDefault="003507E1" w:rsidP="001A3756">
      <w:pPr>
        <w:pStyle w:val="BodyText"/>
        <w:numPr>
          <w:ilvl w:val="0"/>
          <w:numId w:val="18"/>
        </w:numPr>
      </w:pPr>
      <w:r w:rsidRPr="00BF3CDE">
        <w:rPr>
          <w:b/>
        </w:rPr>
        <w:t>Lors d’un PAFA</w:t>
      </w:r>
      <w:r w:rsidRPr="00BF3CDE">
        <w:t xml:space="preserve"> (art. 426-439 CC), l’art. 434 CC prévoit que des mesures médicales peuvent être effectuées, sous des conditions strictes, </w:t>
      </w:r>
      <w:r w:rsidRPr="00BF3CDE">
        <w:rPr>
          <w:b/>
          <w:bCs/>
        </w:rPr>
        <w:t>sans le consentement de la personne concernée</w:t>
      </w:r>
      <w:r w:rsidRPr="00BF3CDE">
        <w:t xml:space="preserve"> en cas de «troubles psychiques».</w:t>
      </w:r>
      <w:r w:rsidR="0040018A" w:rsidRPr="00BF3CDE">
        <w:rPr>
          <w:rStyle w:val="FootnoteReference"/>
        </w:rPr>
        <w:footnoteReference w:id="115"/>
      </w:r>
      <w:r w:rsidRPr="00BF3CDE">
        <w:t xml:space="preserve"> D’autres traitements autorisés sont </w:t>
      </w:r>
      <w:r w:rsidRPr="00BF3CDE">
        <w:rPr>
          <w:b/>
          <w:bCs/>
        </w:rPr>
        <w:t>l’administration de médicaments, l’observation du rythme quotidien, les entretiens ainsi que l’alimentation forcée</w:t>
      </w:r>
      <w:r w:rsidRPr="00BF3CDE">
        <w:t>. Les interventions chirurgicales sont expressément exclues.</w:t>
      </w:r>
      <w:r w:rsidRPr="00BF3CDE">
        <w:rPr>
          <w:vertAlign w:val="superscript"/>
        </w:rPr>
        <w:footnoteReference w:id="116"/>
      </w:r>
      <w:r w:rsidRPr="00BF3CDE">
        <w:t xml:space="preserve"> À l’inverse de l’art. 372 al. 2 CC, selon lequel le médecin est tenu de </w:t>
      </w:r>
      <w:r w:rsidRPr="00BF3CDE">
        <w:rPr>
          <w:b/>
          <w:bCs/>
        </w:rPr>
        <w:t>respecter les directives anticipées du patient</w:t>
      </w:r>
      <w:r w:rsidRPr="00BF3CDE">
        <w:t>, il suffit</w:t>
      </w:r>
      <w:r>
        <w:t>, en cas de traitement médical</w:t>
      </w:r>
      <w:r w:rsidRPr="00BF3CDE">
        <w:t xml:space="preserve"> d’une personne n’ayant «</w:t>
      </w:r>
      <w:r w:rsidRPr="00BF3CDE">
        <w:rPr>
          <w:b/>
        </w:rPr>
        <w:t>pas la capacité de discernement»</w:t>
      </w:r>
      <w:r w:rsidRPr="00BF3CDE">
        <w:t xml:space="preserve"> dans le cadre d’un PAFA</w:t>
      </w:r>
      <w:r>
        <w:t>,</w:t>
      </w:r>
      <w:r w:rsidRPr="00BF3CDE">
        <w:t xml:space="preserve"> d</w:t>
      </w:r>
      <w:r>
        <w:t xml:space="preserve">’une </w:t>
      </w:r>
      <w:r w:rsidRPr="00BF3CDE">
        <w:t>prise en considération d’éventuelles directives anticipées du patient par le médecin (art. 433 al. 3 CC).</w:t>
      </w:r>
      <w:r w:rsidRPr="00BF3CDE">
        <w:rPr>
          <w:rStyle w:val="FootnoteReference"/>
        </w:rPr>
        <w:footnoteReference w:id="117"/>
      </w:r>
    </w:p>
    <w:p w14:paraId="1C1704C1" w14:textId="77777777" w:rsidR="003507E1" w:rsidRPr="00BF3CDE" w:rsidRDefault="003507E1" w:rsidP="001A3756">
      <w:pPr>
        <w:pStyle w:val="BodyText"/>
        <w:numPr>
          <w:ilvl w:val="0"/>
          <w:numId w:val="18"/>
        </w:numPr>
      </w:pPr>
      <w:r w:rsidRPr="00BF3CDE">
        <w:t>Selon l’</w:t>
      </w:r>
      <w:r w:rsidRPr="00BF3CDE">
        <w:rPr>
          <w:b/>
        </w:rPr>
        <w:t>art. 378 CC,</w:t>
      </w:r>
      <w:r w:rsidRPr="00BF3CDE">
        <w:t xml:space="preserve"> les femmes et hommes «incapables de discernement» peuvent être représentés par différentes personnes en vue du consentement à des traitements ambulatoires ou en milieu institutionnel (art. 378 al. 1 CC).</w:t>
      </w:r>
      <w:r w:rsidRPr="00BF3CDE">
        <w:rPr>
          <w:vertAlign w:val="superscript"/>
        </w:rPr>
        <w:footnoteReference w:id="118"/>
      </w:r>
      <w:r w:rsidRPr="00BF3CDE">
        <w:t xml:space="preserve"> La personne habilitée à les représenter doit prendre des </w:t>
      </w:r>
      <w:r w:rsidRPr="00BF3CDE">
        <w:lastRenderedPageBreak/>
        <w:t>décisions conformément à la «volonté présumée » et aux «intérêts» de la personne «incapable de discernement» (art. 378 al. 3 CC).</w:t>
      </w:r>
    </w:p>
    <w:p w14:paraId="0B4C5DF5" w14:textId="3A1E1F81" w:rsidR="00A717CC" w:rsidRPr="00A717CC" w:rsidRDefault="003507E1" w:rsidP="001A3756">
      <w:pPr>
        <w:pStyle w:val="BodyText"/>
        <w:numPr>
          <w:ilvl w:val="0"/>
          <w:numId w:val="18"/>
        </w:numPr>
      </w:pPr>
      <w:r w:rsidRPr="00BF3CDE">
        <w:t xml:space="preserve">En Suisse, des </w:t>
      </w:r>
      <w:r w:rsidRPr="00BF3CDE">
        <w:rPr>
          <w:b/>
          <w:bCs/>
        </w:rPr>
        <w:t>enquêtes sur les mesures de contrainte font jusqu’à présent défaut</w:t>
      </w:r>
      <w:r w:rsidRPr="00BF3CDE">
        <w:t>. Les médias font cependant état de situations problématiques dans des établissements de soins.</w:t>
      </w:r>
      <w:r w:rsidRPr="00BF3CDE">
        <w:rPr>
          <w:vertAlign w:val="superscript"/>
        </w:rPr>
        <w:footnoteReference w:id="119"/>
      </w:r>
    </w:p>
    <w:p w14:paraId="0BBD31C3" w14:textId="77777777" w:rsidR="00A717CC" w:rsidRPr="00BF3CDE" w:rsidRDefault="00A717CC" w:rsidP="00A717CC">
      <w:pPr>
        <w:pStyle w:val="Subtitle"/>
        <w:rPr>
          <w:rFonts w:eastAsia="Cambria"/>
        </w:rPr>
      </w:pPr>
      <w:r w:rsidRPr="00BF3CDE">
        <w:rPr>
          <w:rFonts w:eastAsia="Cambria"/>
        </w:rPr>
        <w:t>CNPT (LoI, 12b)</w:t>
      </w:r>
    </w:p>
    <w:p w14:paraId="15FB5D9E" w14:textId="77777777" w:rsidR="003507E1" w:rsidRPr="00BF3CDE" w:rsidRDefault="003507E1" w:rsidP="003507E1">
      <w:pPr>
        <w:pStyle w:val="BodyText"/>
      </w:pPr>
      <w:r>
        <w:t>Cela fait déjà un certain temps que l</w:t>
      </w:r>
      <w:r w:rsidRPr="00BF3CDE">
        <w:t xml:space="preserve">a CNPT procède à la vérification d’établissements psychiatriques dans lesquels se pratiquent des </w:t>
      </w:r>
      <w:r w:rsidRPr="00BF3CDE">
        <w:rPr>
          <w:b/>
        </w:rPr>
        <w:t>mesures de privation de liberté à l’</w:t>
      </w:r>
      <w:r>
        <w:rPr>
          <w:b/>
        </w:rPr>
        <w:t>encontre</w:t>
      </w:r>
      <w:r w:rsidRPr="00BF3CDE">
        <w:rPr>
          <w:b/>
        </w:rPr>
        <w:t xml:space="preserve"> de personnes ayant des handicaps psychiques</w:t>
      </w:r>
      <w:r w:rsidRPr="00BF3CDE">
        <w:t xml:space="preserve"> (traitements sans consentement et mesures limitant la liberté de mouvement).</w:t>
      </w:r>
      <w:r w:rsidRPr="00BF3CDE">
        <w:rPr>
          <w:rStyle w:val="FootnoteReference"/>
        </w:rPr>
        <w:footnoteReference w:id="120"/>
      </w:r>
      <w:r w:rsidRPr="00BF3CDE">
        <w:t xml:space="preserve"> Elle a p. ex. critiqué à plusieurs reprises le fait que le</w:t>
      </w:r>
      <w:r w:rsidRPr="00BF3CDE">
        <w:rPr>
          <w:b/>
          <w:bCs/>
        </w:rPr>
        <w:t xml:space="preserve"> personnel de sécurité de telles institutions</w:t>
      </w:r>
      <w:r w:rsidRPr="00BF3CDE">
        <w:t xml:space="preserve"> est équipé de </w:t>
      </w:r>
      <w:r>
        <w:rPr>
          <w:b/>
        </w:rPr>
        <w:t>bâtons de défense</w:t>
      </w:r>
      <w:r w:rsidRPr="00BF3CDE">
        <w:rPr>
          <w:b/>
        </w:rPr>
        <w:t>, de menottes et de gel au poivre</w:t>
      </w:r>
      <w:r w:rsidRPr="00BF3CDE">
        <w:t>.</w:t>
      </w:r>
      <w:r w:rsidRPr="00BF3CDE">
        <w:rPr>
          <w:rStyle w:val="FootnoteReference"/>
        </w:rPr>
        <w:footnoteReference w:id="121"/>
      </w:r>
      <w:r w:rsidRPr="00BF3CDE">
        <w:t xml:space="preserve"> Dans le rapport d’activité de la CNPT, la CDPH est certes ponctuellement citée comme base</w:t>
      </w:r>
      <w:r w:rsidRPr="00BF3CDE">
        <w:rPr>
          <w:rStyle w:val="FootnoteReference"/>
        </w:rPr>
        <w:footnoteReference w:id="122"/>
      </w:r>
      <w:r w:rsidRPr="00BF3CDE">
        <w:t xml:space="preserve">; mais ses exigences quant au </w:t>
      </w:r>
      <w:r>
        <w:t>fond</w:t>
      </w:r>
      <w:r w:rsidRPr="00BF3CDE">
        <w:t xml:space="preserve">, p. ex. concernant des mécanismes de prise de décision assistée, ne sont pas incluses de manière visible dans l’évaluation de la CNPT. À ce sujet, la Suisse </w:t>
      </w:r>
      <w:r w:rsidRPr="00BF3CDE">
        <w:lastRenderedPageBreak/>
        <w:t xml:space="preserve">renvoie de manière générale aux «droits de l’homme» (réponse à la LoI, para. 34). </w:t>
      </w:r>
    </w:p>
    <w:p w14:paraId="742AAA54" w14:textId="0BA6916F" w:rsidR="00A717CC" w:rsidRDefault="003507E1" w:rsidP="00A717CC">
      <w:pPr>
        <w:pStyle w:val="BodyText"/>
      </w:pPr>
      <w:r w:rsidRPr="00BF3CDE">
        <w:t xml:space="preserve">Dans son </w:t>
      </w:r>
      <w:r w:rsidRPr="00BF3CDE">
        <w:rPr>
          <w:b/>
        </w:rPr>
        <w:t>rapport d’activité 2020</w:t>
      </w:r>
      <w:r w:rsidRPr="00BF3CDE">
        <w:rPr>
          <w:rStyle w:val="FootnoteReference"/>
        </w:rPr>
        <w:footnoteReference w:id="123"/>
      </w:r>
      <w:r w:rsidRPr="0040018A">
        <w:t>,</w:t>
      </w:r>
      <w:r w:rsidRPr="00BF3CDE">
        <w:rPr>
          <w:b/>
        </w:rPr>
        <w:t xml:space="preserve"> la CNPT </w:t>
      </w:r>
      <w:r w:rsidRPr="00BF3CDE">
        <w:rPr>
          <w:bCs/>
        </w:rPr>
        <w:t xml:space="preserve">a annoncé </w:t>
      </w:r>
      <w:r w:rsidRPr="00BF3CDE">
        <w:t xml:space="preserve">avoir pris </w:t>
      </w:r>
      <w:r>
        <w:t xml:space="preserve">une première série </w:t>
      </w:r>
      <w:r w:rsidRPr="00BF3CDE">
        <w:t xml:space="preserve">de dispositions pour mettre en place de nouvelles activités, en complément à ses visites d’établissement d’exécution des peines, du secteur de l’asile et de la psychiatrie, </w:t>
      </w:r>
      <w:r w:rsidRPr="00BF3CDE">
        <w:rPr>
          <w:b/>
        </w:rPr>
        <w:t>notamment dans le domaine des institutions pour personnes âgées et handicapées</w:t>
      </w:r>
      <w:r w:rsidRPr="00BF3CDE">
        <w:t xml:space="preserve">. Depuis l’été 2021, la CNPT a ajouté ces institutions à son champ d’activité et dispose par ailleurs pour ce faire de moyens supplémentaires. La CNPT entend </w:t>
      </w:r>
      <w:r w:rsidRPr="00BF3CDE">
        <w:rPr>
          <w:b/>
        </w:rPr>
        <w:t>impliquer Inclusion Handicap</w:t>
      </w:r>
      <w:r w:rsidRPr="00BF3CDE">
        <w:t xml:space="preserve"> dans cette nouvelle mission.</w:t>
      </w:r>
      <w:r w:rsidRPr="00BF3CDE">
        <w:rPr>
          <w:rStyle w:val="FootnoteReference"/>
        </w:rPr>
        <w:footnoteReference w:id="124"/>
      </w:r>
      <w:r w:rsidRPr="00BF3CDE">
        <w:t xml:space="preserve"> </w:t>
      </w:r>
    </w:p>
    <w:p w14:paraId="23D543F7" w14:textId="77777777" w:rsidR="00A717CC" w:rsidRDefault="00A717CC" w:rsidP="00A717CC">
      <w:pPr>
        <w:pStyle w:val="Subtitle"/>
        <w:rPr>
          <w:rFonts w:eastAsia="Cambria"/>
        </w:rPr>
      </w:pPr>
      <w:r w:rsidRPr="00BF3CDE">
        <w:rPr>
          <w:rFonts w:eastAsia="Cambria"/>
        </w:rPr>
        <w:t>Loi relative à la recherche sur l’être humain (LoI, 12c)</w:t>
      </w:r>
    </w:p>
    <w:p w14:paraId="1A489BE4" w14:textId="77777777" w:rsidR="003507E1" w:rsidRPr="00BF3CDE" w:rsidRDefault="003507E1" w:rsidP="003507E1">
      <w:pPr>
        <w:pStyle w:val="BodyText"/>
      </w:pPr>
      <w:r w:rsidRPr="00BF3CDE">
        <w:t xml:space="preserve">À la question du Comité quant aux mesures prises afin de faire concorder la </w:t>
      </w:r>
      <w:r w:rsidRPr="00BF3CDE">
        <w:rPr>
          <w:b/>
        </w:rPr>
        <w:t>LRH avec les exigences découlant de l’art. 15 CDPH</w:t>
      </w:r>
      <w:r w:rsidRPr="00BF3CDE">
        <w:t>, la Suisse répond par un renvoi à une évaluation de cette loi réalisée entre 2017 et 2019 ainsi qu’à la révision des ordonnances y relatives (réponse à la LoI, para. 35). L’</w:t>
      </w:r>
      <w:r w:rsidRPr="00BF3CDE">
        <w:rPr>
          <w:b/>
          <w:bCs/>
        </w:rPr>
        <w:t>impression</w:t>
      </w:r>
      <w:r w:rsidRPr="00BF3CDE">
        <w:t xml:space="preserve"> qui est donnée, à savoir que la </w:t>
      </w:r>
      <w:r w:rsidRPr="00BF3CDE">
        <w:rPr>
          <w:b/>
        </w:rPr>
        <w:t xml:space="preserve">législation du domaine de la recherche sur l’être humain aurait été analysée et adaptée à la lumière de la CDPH, </w:t>
      </w:r>
      <w:r w:rsidRPr="00BF3CDE">
        <w:t xml:space="preserve">doit être clairement </w:t>
      </w:r>
      <w:r w:rsidRPr="00BF3CDE">
        <w:rPr>
          <w:b/>
        </w:rPr>
        <w:t>contredite</w:t>
      </w:r>
      <w:r w:rsidRPr="00BF3CDE">
        <w:t xml:space="preserve">: le rapport d’évaluation publié en 2019 souligne certes expressément que les </w:t>
      </w:r>
      <w:r w:rsidRPr="00BF3CDE">
        <w:rPr>
          <w:b/>
        </w:rPr>
        <w:t>règlements suisses</w:t>
      </w:r>
      <w:r w:rsidRPr="00BF3CDE">
        <w:rPr>
          <w:bCs/>
        </w:rPr>
        <w:t xml:space="preserve"> en rapport avec les </w:t>
      </w:r>
      <w:r w:rsidRPr="00BF3CDE">
        <w:rPr>
          <w:b/>
        </w:rPr>
        <w:t>personnes «incapables de discernement» sont moins stricts que ceux de l’UE</w:t>
      </w:r>
      <w:r w:rsidRPr="00BF3CDE">
        <w:rPr>
          <w:rStyle w:val="FootnoteReference"/>
        </w:rPr>
        <w:footnoteReference w:id="125"/>
      </w:r>
      <w:r w:rsidRPr="00BF3CDE">
        <w:rPr>
          <w:b/>
        </w:rPr>
        <w:t>;</w:t>
      </w:r>
      <w:r w:rsidRPr="00BF3CDE">
        <w:t xml:space="preserve"> </w:t>
      </w:r>
      <w:r w:rsidRPr="00BF3CDE">
        <w:rPr>
          <w:b/>
          <w:bCs/>
        </w:rPr>
        <w:t xml:space="preserve">or, </w:t>
      </w:r>
      <w:r w:rsidRPr="00BF3CDE">
        <w:rPr>
          <w:b/>
          <w:bCs/>
        </w:rPr>
        <w:lastRenderedPageBreak/>
        <w:t>cette évaluation de la LRH ne portait pas sur la question de sa compatibilité avec la CDPH</w:t>
      </w:r>
      <w:r w:rsidRPr="00BF3CDE">
        <w:t xml:space="preserve">. Le </w:t>
      </w:r>
      <w:r w:rsidRPr="00BF3CDE">
        <w:rPr>
          <w:b/>
        </w:rPr>
        <w:t>rapport de l’OFSP sur cette évaluation</w:t>
      </w:r>
      <w:r w:rsidRPr="00BF3CDE">
        <w:t xml:space="preserve"> ne se réfère lui non plus à la question de la recherche sur des personnes «incapables de discernement»; </w:t>
      </w:r>
      <w:r w:rsidRPr="00BF3CDE">
        <w:rPr>
          <w:b/>
          <w:bCs/>
        </w:rPr>
        <w:t xml:space="preserve">il </w:t>
      </w:r>
      <w:r w:rsidRPr="00BF3CDE">
        <w:rPr>
          <w:b/>
        </w:rPr>
        <w:t>ne fait en effet nullement mention de la CDPH</w:t>
      </w:r>
      <w:r w:rsidRPr="00BF3CDE">
        <w:t>.</w:t>
      </w:r>
      <w:r w:rsidRPr="00BF3CDE">
        <w:rPr>
          <w:rStyle w:val="FootnoteReference"/>
        </w:rPr>
        <w:footnoteReference w:id="126"/>
      </w:r>
      <w:r w:rsidRPr="00BF3CDE">
        <w:t xml:space="preserve"> </w:t>
      </w:r>
    </w:p>
    <w:p w14:paraId="479D207D" w14:textId="204ECB8D" w:rsidR="00A717CC" w:rsidRPr="00A717CC" w:rsidRDefault="003507E1" w:rsidP="003507E1">
      <w:pPr>
        <w:pStyle w:val="BodyText"/>
      </w:pPr>
      <w:r w:rsidRPr="00BF3CDE">
        <w:t xml:space="preserve">Les </w:t>
      </w:r>
      <w:r w:rsidRPr="00BF3CDE">
        <w:rPr>
          <w:b/>
        </w:rPr>
        <w:t>adaptations des ordonnances relatives à la LRH,</w:t>
      </w:r>
      <w:r w:rsidRPr="00BF3CDE">
        <w:rPr>
          <w:bCs/>
        </w:rPr>
        <w:t xml:space="preserve"> entrées en vigueur en 2021,</w:t>
      </w:r>
      <w:r w:rsidRPr="00BF3CDE">
        <w:rPr>
          <w:b/>
        </w:rPr>
        <w:t xml:space="preserve"> </w:t>
      </w:r>
      <w:r w:rsidRPr="00BF3CDE">
        <w:rPr>
          <w:bCs/>
        </w:rPr>
        <w:t xml:space="preserve">n’ont </w:t>
      </w:r>
      <w:r w:rsidRPr="00BF3CDE">
        <w:t xml:space="preserve">pas clarifié les prescriptions concernant la </w:t>
      </w:r>
      <w:r w:rsidRPr="00BF3CDE">
        <w:rPr>
          <w:b/>
        </w:rPr>
        <w:t>recherche sur des personnes «incapables de discernement»</w:t>
      </w:r>
      <w:r w:rsidRPr="00BF3CDE">
        <w:t xml:space="preserve"> (art. 22 al. 3 let. b, 23 al. 2 let. b, 24 al. 1 let. c LRH). L’occasion a été manquée de concrétiser, à la lumière des art. 12, 15 et 17 CDPH, les dispositions selon lesquelles un projet de recherche sur des </w:t>
      </w:r>
      <w:r w:rsidRPr="00BF3CDE">
        <w:rPr>
          <w:b/>
          <w:bCs/>
        </w:rPr>
        <w:t>personnes «</w:t>
      </w:r>
      <w:r w:rsidRPr="00BF3CDE">
        <w:rPr>
          <w:b/>
        </w:rPr>
        <w:t>incapables de discernement»</w:t>
      </w:r>
      <w:r w:rsidRPr="00BF3CDE">
        <w:t xml:space="preserve"> ne peut être réalisé que si l’adulte, l’adolescent-e ou l’enfant concerné </w:t>
      </w:r>
      <w:r w:rsidRPr="00BF3CDE">
        <w:rPr>
          <w:b/>
          <w:bCs/>
        </w:rPr>
        <w:t>ne refuse pas l’acte de recherche de façon manifeste, par ses propos ou un comportement allant dans ce sens</w:t>
      </w:r>
      <w:r w:rsidRPr="00BF3CDE">
        <w:t>.</w:t>
      </w:r>
      <w:r w:rsidRPr="00BF3CDE">
        <w:rPr>
          <w:rStyle w:val="FootnoteReference"/>
        </w:rPr>
        <w:footnoteReference w:id="127"/>
      </w:r>
      <w:r w:rsidRPr="00BF3CDE">
        <w:t xml:space="preserve"> </w:t>
      </w:r>
    </w:p>
    <w:p w14:paraId="71F4395E" w14:textId="77777777" w:rsidR="00A717CC" w:rsidRDefault="00A717CC" w:rsidP="00A717CC">
      <w:pPr>
        <w:pStyle w:val="Subtitle"/>
        <w:rPr>
          <w:rFonts w:eastAsia="Cambria"/>
        </w:rPr>
      </w:pPr>
      <w:r w:rsidRPr="00BF3CDE">
        <w:rPr>
          <w:rFonts w:eastAsia="Cambria"/>
        </w:rPr>
        <w:t>Recours contre les stérilisations contre la volonté d’une personne (LoI, 12e)</w:t>
      </w:r>
    </w:p>
    <w:p w14:paraId="4149C2CF" w14:textId="53484DF2" w:rsidR="00A717CC" w:rsidRPr="003507E1" w:rsidRDefault="003507E1" w:rsidP="003507E1">
      <w:pPr>
        <w:pStyle w:val="BodyText"/>
        <w:rPr>
          <w:highlight w:val="yellow"/>
        </w:rPr>
      </w:pPr>
      <w:r w:rsidRPr="00BF3CDE">
        <w:rPr>
          <w:b/>
          <w:bCs/>
        </w:rPr>
        <w:lastRenderedPageBreak/>
        <w:t>La Suisse ne répond pas, malgré des propos détaillés (réponse à la LoI, para.</w:t>
      </w:r>
      <w:r>
        <w:rPr>
          <w:b/>
          <w:bCs/>
        </w:rPr>
        <w:t xml:space="preserve"> </w:t>
      </w:r>
      <w:r w:rsidRPr="00BF3CDE">
        <w:rPr>
          <w:b/>
          <w:bCs/>
        </w:rPr>
        <w:t xml:space="preserve">37) </w:t>
      </w:r>
      <w:r w:rsidRPr="00BF3CDE">
        <w:t>à la question du Comité quant au droit de recours en cas de stérilisations non consenties. Il convient bien davantage de noter que selon le droit suisse, il est</w:t>
      </w:r>
      <w:r w:rsidRPr="00BF3CDE">
        <w:rPr>
          <w:b/>
        </w:rPr>
        <w:t xml:space="preserve"> autorisé, sous certaines conditions, de stériliser une personne «incapable de discernement» même contre sa volonté</w:t>
      </w:r>
      <w:r w:rsidRPr="00BF3CDE">
        <w:t>.</w:t>
      </w:r>
      <w:r w:rsidRPr="00BF3CDE">
        <w:rPr>
          <w:rStyle w:val="FootnoteReference"/>
        </w:rPr>
        <w:footnoteReference w:id="128"/>
      </w:r>
      <w:r w:rsidRPr="00BF3CDE">
        <w:t xml:space="preserve"> La personne «incapable de discernement» concernée peut certes se saisir de la voie de droit; or, si les conditions prévues à l’art. 7 al. 2 de la loi sur la stérilisation ne sont pas remplies, il s’agit d’un acte autorisé par la loi au sens de l’art. 14 CP et non d’une lésion corporelle punissable à ce titre. Faute d’illicéité, la personne n’a dans ce cas pas droit à des dommages-intérêts ou à la réparation morale.</w:t>
      </w:r>
    </w:p>
    <w:p w14:paraId="45C35C2F" w14:textId="4ABEC966" w:rsidR="00C177BB" w:rsidRDefault="00A717CC" w:rsidP="00C177BB">
      <w:pPr>
        <w:shd w:val="clear" w:color="auto" w:fill="FFFFCC"/>
        <w:spacing w:before="240"/>
        <w:rPr>
          <w:rFonts w:eastAsia="Cambria"/>
          <w:b/>
        </w:rPr>
      </w:pPr>
      <w:r>
        <w:rPr>
          <w:rFonts w:eastAsia="Cambria"/>
          <w:b/>
        </w:rPr>
        <w:t>Propositions de recommandation</w:t>
      </w:r>
      <w:r w:rsidR="00C177BB" w:rsidRPr="00F756DE">
        <w:rPr>
          <w:rFonts w:eastAsia="Cambria"/>
          <w:b/>
        </w:rPr>
        <w:t>:</w:t>
      </w:r>
    </w:p>
    <w:p w14:paraId="6EC2D6C0" w14:textId="7B5386B1" w:rsidR="003507E1" w:rsidRPr="00BF3CDE" w:rsidRDefault="003507E1" w:rsidP="003507E1">
      <w:pPr>
        <w:pStyle w:val="SBEmpfehlungen"/>
      </w:pPr>
      <w:r w:rsidRPr="00BF3CDE">
        <w:t xml:space="preserve">La </w:t>
      </w:r>
      <w:r w:rsidRPr="003507E1">
        <w:rPr>
          <w:b/>
          <w:bCs/>
        </w:rPr>
        <w:t xml:space="preserve">Confédération supprime les prescriptions légales sur les traitements forcés de personnes </w:t>
      </w:r>
      <w:r w:rsidRPr="003507E1">
        <w:rPr>
          <w:b/>
        </w:rPr>
        <w:t>«incapables de discernement» (art. 378, 433 et 434</w:t>
      </w:r>
      <w:r w:rsidR="0040018A">
        <w:rPr>
          <w:b/>
        </w:rPr>
        <w:t xml:space="preserve"> CC</w:t>
      </w:r>
      <w:r w:rsidRPr="003507E1">
        <w:rPr>
          <w:b/>
        </w:rPr>
        <w:t>).</w:t>
      </w:r>
      <w:r w:rsidRPr="00BF3CDE">
        <w:t xml:space="preserve"> Elle les remplace par un système de </w:t>
      </w:r>
      <w:r w:rsidRPr="003507E1">
        <w:rPr>
          <w:b/>
        </w:rPr>
        <w:t>prise de décision assistée</w:t>
      </w:r>
      <w:r w:rsidRPr="00BF3CDE">
        <w:t xml:space="preserve"> au sens de l’art. 12 CDPH.</w:t>
      </w:r>
    </w:p>
    <w:p w14:paraId="43B588D3" w14:textId="77777777" w:rsidR="003507E1" w:rsidRPr="00BF3CDE" w:rsidRDefault="003507E1" w:rsidP="003507E1">
      <w:pPr>
        <w:pStyle w:val="SBEmpfehlungen"/>
      </w:pPr>
      <w:r w:rsidRPr="00BF3CDE">
        <w:t xml:space="preserve">La </w:t>
      </w:r>
      <w:r w:rsidRPr="003507E1">
        <w:rPr>
          <w:b/>
        </w:rPr>
        <w:t>Confédération</w:t>
      </w:r>
      <w:r w:rsidRPr="00BF3CDE">
        <w:t xml:space="preserve"> adapte la </w:t>
      </w:r>
      <w:r w:rsidRPr="003507E1">
        <w:rPr>
          <w:b/>
        </w:rPr>
        <w:t>législation relative à la recherche sur l’être humain</w:t>
      </w:r>
      <w:r w:rsidRPr="00BF3CDE">
        <w:t>; elle concrétise en particulier la possibilité donnée aux personnes «incapables de discernement» de refuser la recherche, à la lumière des art. 12, 15 et 17 CDPH.</w:t>
      </w:r>
    </w:p>
    <w:p w14:paraId="144118D6" w14:textId="606FE5ED" w:rsidR="003507E1" w:rsidRPr="003507E1" w:rsidRDefault="003507E1" w:rsidP="003507E1">
      <w:pPr>
        <w:pStyle w:val="SBEmpfehlungen"/>
        <w:rPr>
          <w:rFonts w:eastAsiaTheme="minorHAnsi"/>
        </w:rPr>
      </w:pPr>
      <w:r>
        <w:t>L</w:t>
      </w:r>
      <w:r w:rsidRPr="00BF3CDE">
        <w:t>ors de ses visites dans des établissements psychiatriques ainsi que dans des foyers pour PH</w:t>
      </w:r>
      <w:r>
        <w:t>,</w:t>
      </w:r>
      <w:r w:rsidRPr="00BF3CDE">
        <w:t xml:space="preserve"> </w:t>
      </w:r>
      <w:r>
        <w:t>l</w:t>
      </w:r>
      <w:r w:rsidRPr="00BF3CDE">
        <w:t xml:space="preserve">a </w:t>
      </w:r>
      <w:r w:rsidRPr="003507E1">
        <w:rPr>
          <w:b/>
          <w:bCs/>
        </w:rPr>
        <w:t>CNPT</w:t>
      </w:r>
      <w:r w:rsidRPr="00BF3CDE">
        <w:t xml:space="preserve"> examine </w:t>
      </w:r>
      <w:r w:rsidRPr="003507E1">
        <w:rPr>
          <w:b/>
        </w:rPr>
        <w:t>prioritairement le recours à des mesures de privation de liberté</w:t>
      </w:r>
      <w:r w:rsidRPr="00BF3CDE">
        <w:t xml:space="preserve"> </w:t>
      </w:r>
      <w:r w:rsidRPr="00BF3CDE">
        <w:lastRenderedPageBreak/>
        <w:t xml:space="preserve">en se basant sur la CDPH (entre autres art. 12, 14 et 15). Elle publie ses résultats et recommande des mesures dont la mise en œuvre est ensuite contrôlée par les </w:t>
      </w:r>
      <w:r w:rsidRPr="003507E1">
        <w:rPr>
          <w:b/>
          <w:bCs/>
        </w:rPr>
        <w:t>cantons</w:t>
      </w:r>
      <w:r w:rsidRPr="00BF3CDE">
        <w:t xml:space="preserve"> à l’occasion de visites de surveillance sans préavis. </w:t>
      </w:r>
    </w:p>
    <w:p w14:paraId="72B460DF" w14:textId="77777777" w:rsidR="00A717CC" w:rsidRPr="00BF3CDE" w:rsidRDefault="00A717CC" w:rsidP="00A717CC">
      <w:pPr>
        <w:pStyle w:val="Heading3"/>
        <w:numPr>
          <w:ilvl w:val="0"/>
          <w:numId w:val="0"/>
        </w:numPr>
        <w:ind w:left="737" w:hanging="737"/>
        <w:rPr>
          <w:rFonts w:eastAsia="MS Gothic"/>
        </w:rPr>
      </w:pPr>
      <w:bookmarkStart w:id="83" w:name="_Toc95500339"/>
      <w:bookmarkStart w:id="84" w:name="_Toc96287609"/>
      <w:r w:rsidRPr="00BF3CDE">
        <w:rPr>
          <w:rFonts w:eastAsia="MS Gothic"/>
        </w:rPr>
        <w:t>Art. 16 – Droit de ne pas être soumis à l’exploitation, à la violence et à la maltraitance</w:t>
      </w:r>
      <w:bookmarkEnd w:id="83"/>
      <w:bookmarkEnd w:id="84"/>
    </w:p>
    <w:p w14:paraId="0CF53723" w14:textId="4E184C07" w:rsidR="00A717CC" w:rsidRDefault="00A717CC" w:rsidP="00A717CC">
      <w:pPr>
        <w:pStyle w:val="Subtitle"/>
      </w:pPr>
      <w:r w:rsidRPr="00BF3CDE">
        <w:t>Données actuelles (LoI para. 13d)</w:t>
      </w:r>
    </w:p>
    <w:p w14:paraId="6A01CF6E" w14:textId="59A6D6B3" w:rsidR="003507E1" w:rsidRPr="00BF3CDE" w:rsidRDefault="003507E1" w:rsidP="003507E1">
      <w:pPr>
        <w:pStyle w:val="BodyText"/>
      </w:pPr>
      <w:r w:rsidRPr="00BF3CDE">
        <w:t xml:space="preserve">En Suisse, des </w:t>
      </w:r>
      <w:r w:rsidRPr="00BF3CDE">
        <w:rPr>
          <w:b/>
          <w:bCs/>
        </w:rPr>
        <w:t>données</w:t>
      </w:r>
      <w:r w:rsidRPr="00BF3CDE">
        <w:t xml:space="preserve"> sur la problématique des violences subies par les enfants et adultes handicapés </w:t>
      </w:r>
      <w:r w:rsidRPr="00BF3CDE">
        <w:rPr>
          <w:b/>
          <w:bCs/>
        </w:rPr>
        <w:t>font cruellement défaut</w:t>
      </w:r>
      <w:r w:rsidRPr="00BF3CDE">
        <w:t>.</w:t>
      </w:r>
      <w:r w:rsidRPr="00BF3CDE">
        <w:rPr>
          <w:rFonts w:eastAsia="Cambria" w:cs="Times New Roman"/>
          <w:vertAlign w:val="superscript"/>
        </w:rPr>
        <w:footnoteReference w:id="129"/>
      </w:r>
      <w:r w:rsidRPr="00BF3CDE">
        <w:t xml:space="preserve"> Un postulat (cf. réponse à la LoI, para. 44) charge à présent le CF d’analyser dans quelle mesure les PH sont victimes de violences et </w:t>
      </w:r>
      <w:r>
        <w:t>comment</w:t>
      </w:r>
      <w:r w:rsidRPr="00BF3CDE">
        <w:t xml:space="preserve"> les cas peuvent être mieux identifiés, les victimes mieux prises en charge et suivies, et la prévention renforcée.</w:t>
      </w:r>
      <w:r w:rsidRPr="00BF3CDE">
        <w:rPr>
          <w:rFonts w:eastAsia="Cambria" w:cs="Times New Roman"/>
          <w:vertAlign w:val="superscript"/>
        </w:rPr>
        <w:footnoteReference w:id="130"/>
      </w:r>
      <w:r w:rsidRPr="00BF3CDE">
        <w:t xml:space="preserve"> </w:t>
      </w:r>
      <w:r w:rsidR="004324D2">
        <w:t>Cette tâche</w:t>
      </w:r>
      <w:r w:rsidR="004324D2" w:rsidRPr="004324D2">
        <w:t xml:space="preserve"> a été intégrée en tant que mesure dans le plan d</w:t>
      </w:r>
      <w:r w:rsidR="004324D2">
        <w:t>’</w:t>
      </w:r>
      <w:r w:rsidR="004324D2" w:rsidRPr="004324D2">
        <w:t xml:space="preserve">action Égalité 2030 (cf. art. 6 </w:t>
      </w:r>
      <w:r w:rsidR="004324D2">
        <w:t>CDPH</w:t>
      </w:r>
      <w:r w:rsidR="004324D2" w:rsidRPr="004324D2">
        <w:t>), mais sans aucun budget</w:t>
      </w:r>
      <w:r w:rsidRPr="00BF3CDE">
        <w:t>.</w:t>
      </w:r>
      <w:bookmarkStart w:id="85" w:name="_Ref96097623"/>
      <w:r w:rsidRPr="00BF3CDE">
        <w:rPr>
          <w:rFonts w:eastAsia="Cambria" w:cs="Times New Roman"/>
          <w:vertAlign w:val="superscript"/>
        </w:rPr>
        <w:footnoteReference w:id="131"/>
      </w:r>
      <w:bookmarkEnd w:id="85"/>
      <w:r w:rsidRPr="00BF3CDE">
        <w:t xml:space="preserve"> Le BFEH, mandaté pour mettre en œuvre le rapport en réponse au postulat, a uniquement mis au concours un mandat de recherche visant à analyser  </w:t>
      </w:r>
      <w:r w:rsidRPr="00BF3CDE">
        <w:rPr>
          <w:b/>
        </w:rPr>
        <w:t>l’accessibilité d’offres de soutien existantes</w:t>
      </w:r>
      <w:r w:rsidRPr="00BF3CDE">
        <w:t xml:space="preserve"> destinées aux PH victimes de violence. Au lieu de réaliser une étude sur la prévalence en Suisse, on se base sur des résultats issus de la recherche dans des pays voisins. Or, des ONG les ont étudiés depuis longtemps et mis en lumière les en</w:t>
      </w:r>
      <w:r w:rsidRPr="00BF3CDE">
        <w:lastRenderedPageBreak/>
        <w:t xml:space="preserve">seignements qui peuvent en être tirés concernant le risque de violence (qui est multiplié pour les PH par rapport aux personnes non handicapées; plus important pour les femmes que pour les hommes </w:t>
      </w:r>
      <w:r w:rsidR="0040018A">
        <w:t>en situation de handicap</w:t>
      </w:r>
      <w:r w:rsidRPr="00BF3CDE">
        <w:t>).</w:t>
      </w:r>
      <w:r w:rsidRPr="00BF3CDE">
        <w:rPr>
          <w:vertAlign w:val="superscript"/>
        </w:rPr>
        <w:footnoteReference w:id="132"/>
      </w:r>
    </w:p>
    <w:p w14:paraId="15298861" w14:textId="5757E483" w:rsidR="003507E1" w:rsidRPr="003507E1" w:rsidRDefault="003507E1" w:rsidP="003507E1">
      <w:pPr>
        <w:pStyle w:val="BodyText"/>
      </w:pPr>
      <w:r w:rsidRPr="00BF3CDE">
        <w:t>La référence à des études réalisées à l’étranger ne remplace aucunement une recherche concernant la prévalence en Suisse, qui apparaît comme très importante en particulier pour envisager des mesures préventives ciblées. Il est tout simplement incompréhensible pourquoi l’on ne prévoi</w:t>
      </w:r>
      <w:r w:rsidR="00920B7E">
        <w:t>t</w:t>
      </w:r>
      <w:r w:rsidRPr="00BF3CDE">
        <w:t xml:space="preserve"> pas d’intégrer les PH comme </w:t>
      </w:r>
      <w:r w:rsidRPr="00BF3CDE">
        <w:rPr>
          <w:b/>
          <w:bCs/>
        </w:rPr>
        <w:t>groupe de personnes vulnérables</w:t>
      </w:r>
      <w:r w:rsidRPr="00BF3CDE">
        <w:t xml:space="preserve"> dans l’</w:t>
      </w:r>
      <w:r w:rsidRPr="00BF3CDE">
        <w:rPr>
          <w:b/>
          <w:bCs/>
        </w:rPr>
        <w:t>étude de prévalence</w:t>
      </w:r>
      <w:r w:rsidRPr="00BF3CDE">
        <w:t xml:space="preserve"> détaillée au sujet de la violence faite aux femmes et la violence domestique (mesure 3.2.7, budget 1.4 mio. CHF</w:t>
      </w:r>
      <w:bookmarkStart w:id="86" w:name="_Ref95742497"/>
      <w:r w:rsidRPr="00BF3CDE">
        <w:rPr>
          <w:rFonts w:eastAsia="Cambria" w:cs="Times New Roman"/>
          <w:vertAlign w:val="superscript"/>
        </w:rPr>
        <w:footnoteReference w:id="133"/>
      </w:r>
      <w:bookmarkEnd w:id="86"/>
      <w:r w:rsidRPr="00BF3CDE">
        <w:t>) selon renseignements pris auprès du BFEH et de l’OFS.</w:t>
      </w:r>
    </w:p>
    <w:p w14:paraId="3650F163" w14:textId="77777777" w:rsidR="00A717CC" w:rsidRPr="00BF3CDE" w:rsidRDefault="00A717CC" w:rsidP="00A717CC">
      <w:pPr>
        <w:pStyle w:val="Subtitle"/>
      </w:pPr>
      <w:r w:rsidRPr="00BF3CDE">
        <w:t>Interdiction de toutes les formes de violence (LoI para. 13a)</w:t>
      </w:r>
    </w:p>
    <w:p w14:paraId="609E63CF" w14:textId="77777777" w:rsidR="003507E1" w:rsidRPr="00BF3CDE" w:rsidRDefault="003507E1" w:rsidP="003507E1">
      <w:pPr>
        <w:pStyle w:val="BodyText"/>
      </w:pPr>
      <w:r w:rsidRPr="00BF3CDE">
        <w:t xml:space="preserve">Le droit pénal suisse prévoit des interdictions des actes de violence contre les PH allant au-delà des normes pénales générales (cf. réponse à la LoI, para. 39) à deux égards. D’abord, les victimes handicapées présentent des caractéristiques personnelles resp. des relations auteur-victime parfois plus fréquentes qui sont des </w:t>
      </w:r>
      <w:r w:rsidRPr="00BF3CDE">
        <w:lastRenderedPageBreak/>
        <w:t xml:space="preserve">éléments constitutifs de l’infraction dans le cadre de certaines </w:t>
      </w:r>
      <w:r w:rsidRPr="00BF3CDE">
        <w:rPr>
          <w:b/>
          <w:bCs/>
        </w:rPr>
        <w:t>infractions particulières</w:t>
      </w:r>
      <w:r w:rsidRPr="00BF3CDE">
        <w:t xml:space="preserve"> à l’intégrité sexuelle.</w:t>
      </w:r>
      <w:r w:rsidRPr="00BF3CDE">
        <w:rPr>
          <w:rFonts w:eastAsia="Cambria" w:cs="Times New Roman"/>
          <w:vertAlign w:val="superscript"/>
        </w:rPr>
        <w:footnoteReference w:id="134"/>
      </w:r>
      <w:r w:rsidRPr="00BF3CDE">
        <w:t xml:space="preserve"> D’ordinaire, il en résulte des </w:t>
      </w:r>
      <w:r w:rsidRPr="00BF3CDE">
        <w:rPr>
          <w:b/>
          <w:bCs/>
        </w:rPr>
        <w:t>peines</w:t>
      </w:r>
      <w:r w:rsidRPr="00BF3CDE">
        <w:t xml:space="preserve"> plus lourdes par rapport aux infractions d’ordre général. Les stérilisations et interruptions de grossesse forcées sont en principe également punissables.</w:t>
      </w:r>
      <w:r w:rsidRPr="00BF3CDE">
        <w:rPr>
          <w:rFonts w:eastAsia="Cambria" w:cs="Times New Roman"/>
          <w:vertAlign w:val="superscript"/>
        </w:rPr>
        <w:footnoteReference w:id="135"/>
      </w:r>
      <w:r w:rsidRPr="00BF3CDE">
        <w:t xml:space="preserve"> </w:t>
      </w:r>
    </w:p>
    <w:p w14:paraId="5A493B3B" w14:textId="3020E009" w:rsidR="00C177BB" w:rsidRPr="00F756DE" w:rsidRDefault="003507E1" w:rsidP="003507E1">
      <w:pPr>
        <w:pStyle w:val="BodyText"/>
      </w:pPr>
      <w:r w:rsidRPr="00BF3CDE">
        <w:t xml:space="preserve">Ensuite, partant de la </w:t>
      </w:r>
      <w:r w:rsidRPr="00BF3CDE">
        <w:rPr>
          <w:b/>
        </w:rPr>
        <w:t>faute de l’auteur</w:t>
      </w:r>
      <w:r w:rsidRPr="00BF3CDE">
        <w:t xml:space="preserve"> (notamment de la gravité de la lésion du bien juridique, des motifs, du caractère répréhensible de l’acte), il existe, dans le cadre des peines applicables, une marge d’appréciation concernant l’</w:t>
      </w:r>
      <w:r w:rsidRPr="00BF3CDE">
        <w:rPr>
          <w:b/>
          <w:bCs/>
        </w:rPr>
        <w:t>étendue de la peine</w:t>
      </w:r>
      <w:r w:rsidRPr="00BF3CDE">
        <w:t xml:space="preserve">. Si la victime présente un </w:t>
      </w:r>
      <w:r w:rsidRPr="00BF3CDE">
        <w:rPr>
          <w:b/>
          <w:bCs/>
        </w:rPr>
        <w:t>handicap</w:t>
      </w:r>
      <w:r w:rsidRPr="00BF3CDE">
        <w:t>, cela peut constituer un élément aggravant (selon notamment la doctrine juridique). Dans la pratique cependant, on constate aussi que la marge d’appréciation s’exerce de façon pervertissante</w:t>
      </w:r>
      <w:r>
        <w:t>,</w:t>
      </w:r>
      <w:r w:rsidRPr="00BF3CDE">
        <w:t xml:space="preserve"> aboutissant à des circonstances atténuantes, ce qui conduit à considérer les actes de violence en particulier à l’encontre de personnes ayant des handicap</w:t>
      </w:r>
      <w:r>
        <w:t>s</w:t>
      </w:r>
      <w:r w:rsidRPr="00BF3CDE">
        <w:t xml:space="preserve"> intellectuels comme moins graves.</w:t>
      </w:r>
      <w:r w:rsidRPr="00BF3CDE">
        <w:rPr>
          <w:rFonts w:eastAsia="Cambria" w:cs="Times New Roman"/>
          <w:vertAlign w:val="superscript"/>
        </w:rPr>
        <w:footnoteReference w:id="136"/>
      </w:r>
      <w:r w:rsidRPr="00BF3CDE">
        <w:t xml:space="preserve"> On peut en effet douter de la pleine compatibilité du droit matériel et de la pratique judiciaire </w:t>
      </w:r>
      <w:r>
        <w:t>suisse</w:t>
      </w:r>
      <w:r w:rsidRPr="00BF3CDE">
        <w:t xml:space="preserve"> avec les exigences liées à l’art. 16 CDPH et à la CI.</w:t>
      </w:r>
    </w:p>
    <w:p w14:paraId="46721F39" w14:textId="3225C521" w:rsidR="00A717CC" w:rsidRDefault="00A717CC" w:rsidP="00A717CC">
      <w:pPr>
        <w:pStyle w:val="Subtitle"/>
      </w:pPr>
      <w:r w:rsidRPr="00BF3CDE">
        <w:lastRenderedPageBreak/>
        <w:t>Prévention et protection contre la violence (LoI para. 13b)</w:t>
      </w:r>
    </w:p>
    <w:p w14:paraId="08AEB9A1" w14:textId="77777777" w:rsidR="003507E1" w:rsidRPr="00BF3CDE" w:rsidRDefault="003507E1" w:rsidP="003507E1">
      <w:pPr>
        <w:pStyle w:val="BodyText"/>
      </w:pPr>
      <w:r w:rsidRPr="00BF3CDE">
        <w:t>Dans l’actuel Rapport alternatif à l’intention d</w:t>
      </w:r>
      <w:r>
        <w:t>u</w:t>
      </w:r>
      <w:r w:rsidRPr="00BF3CDE">
        <w:t xml:space="preserve"> GREVIO</w:t>
      </w:r>
      <w:r w:rsidRPr="00BF3CDE">
        <w:rPr>
          <w:rFonts w:eastAsia="Cambria" w:cs="Times New Roman"/>
          <w:vertAlign w:val="superscript"/>
        </w:rPr>
        <w:footnoteReference w:id="137"/>
      </w:r>
      <w:r w:rsidRPr="00BF3CDE">
        <w:t xml:space="preserve">, les lacunes dans la mise en œuvre de la CI concernant les PH sont analysées de façon approfondie par un groupe d’expertes et d’experts. Ci-après quelques </w:t>
      </w:r>
      <w:r w:rsidRPr="00BF3CDE">
        <w:rPr>
          <w:b/>
          <w:bCs/>
        </w:rPr>
        <w:t>enseignements centraux</w:t>
      </w:r>
      <w:r w:rsidRPr="00BF3CDE">
        <w:t xml:space="preserve"> </w:t>
      </w:r>
      <w:r>
        <w:t xml:space="preserve">qui en </w:t>
      </w:r>
      <w:r w:rsidRPr="00BF3CDE">
        <w:t xml:space="preserve">sont tirés concernant les </w:t>
      </w:r>
      <w:r w:rsidRPr="00BF3CDE">
        <w:rPr>
          <w:b/>
          <w:bCs/>
        </w:rPr>
        <w:t>obstacles</w:t>
      </w:r>
      <w:r w:rsidRPr="00BF3CDE">
        <w:t>, en mots-clés :</w:t>
      </w:r>
    </w:p>
    <w:p w14:paraId="321412EE" w14:textId="77777777" w:rsidR="003507E1" w:rsidRPr="00BF3CDE" w:rsidRDefault="003507E1" w:rsidP="003507E1">
      <w:pPr>
        <w:spacing w:after="60"/>
        <w:rPr>
          <w:rFonts w:eastAsia="Calibri"/>
          <w:b/>
        </w:rPr>
      </w:pPr>
      <w:r w:rsidRPr="00BF3CDE">
        <w:rPr>
          <w:rFonts w:eastAsia="Calibri"/>
          <w:b/>
        </w:rPr>
        <w:t>Prévention</w:t>
      </w:r>
    </w:p>
    <w:p w14:paraId="47270C34" w14:textId="0AF2F47B" w:rsidR="003507E1" w:rsidRPr="00BF3CDE" w:rsidRDefault="003507E1" w:rsidP="00AA6BE7">
      <w:pPr>
        <w:pStyle w:val="BodyText"/>
        <w:numPr>
          <w:ilvl w:val="0"/>
          <w:numId w:val="19"/>
        </w:numPr>
      </w:pPr>
      <w:r w:rsidRPr="00BF3CDE">
        <w:t xml:space="preserve">manque de </w:t>
      </w:r>
      <w:r w:rsidRPr="00920B7E">
        <w:rPr>
          <w:b/>
        </w:rPr>
        <w:t xml:space="preserve">mesures de prévention </w:t>
      </w:r>
      <w:r w:rsidR="0057493F" w:rsidRPr="00920B7E">
        <w:rPr>
          <w:b/>
        </w:rPr>
        <w:t xml:space="preserve">étatiques </w:t>
      </w:r>
      <w:r w:rsidRPr="00920B7E">
        <w:rPr>
          <w:b/>
        </w:rPr>
        <w:t>ciblées</w:t>
      </w:r>
      <w:r w:rsidRPr="00BF3CDE">
        <w:t xml:space="preserve"> </w:t>
      </w:r>
      <w:r w:rsidR="0057493F">
        <w:t>à l’attention des différents cercles de personnes.</w:t>
      </w:r>
    </w:p>
    <w:p w14:paraId="400BF544" w14:textId="36905110" w:rsidR="003507E1" w:rsidRPr="00BF3CDE" w:rsidRDefault="003507E1" w:rsidP="00AA6BE7">
      <w:pPr>
        <w:pStyle w:val="BodyText"/>
        <w:numPr>
          <w:ilvl w:val="0"/>
          <w:numId w:val="19"/>
        </w:numPr>
      </w:pPr>
      <w:r w:rsidRPr="00BF3CDE">
        <w:t xml:space="preserve">on n’a pas connaissance de </w:t>
      </w:r>
      <w:r w:rsidRPr="00920B7E">
        <w:rPr>
          <w:b/>
        </w:rPr>
        <w:t>campagnes/programmes de sensibilisation réguliers</w:t>
      </w:r>
      <w:r w:rsidRPr="00BF3CDE">
        <w:t xml:space="preserve"> qui thématisent/intègrent la violence contre les PH</w:t>
      </w:r>
      <w:r w:rsidR="00F402C5">
        <w:t>.</w:t>
      </w:r>
    </w:p>
    <w:p w14:paraId="53A4D087" w14:textId="77777777" w:rsidR="00AA6BE7" w:rsidRDefault="003507E1" w:rsidP="00E77057">
      <w:pPr>
        <w:pStyle w:val="BodyText"/>
        <w:numPr>
          <w:ilvl w:val="0"/>
          <w:numId w:val="19"/>
        </w:numPr>
      </w:pPr>
      <w:r w:rsidRPr="00BF3CDE">
        <w:t xml:space="preserve">pas de </w:t>
      </w:r>
      <w:r w:rsidRPr="00920B7E">
        <w:t>sensibilisation systématique</w:t>
      </w:r>
      <w:r w:rsidRPr="00BF3CDE">
        <w:t xml:space="preserve"> dans </w:t>
      </w:r>
      <w:r w:rsidRPr="00920B7E">
        <w:t>l’éducation sexuelle</w:t>
      </w:r>
      <w:r w:rsidR="00F402C5">
        <w:t>.</w:t>
      </w:r>
      <w:r w:rsidR="00AA6BE7">
        <w:t xml:space="preserve"> </w:t>
      </w:r>
    </w:p>
    <w:p w14:paraId="7E9405E9" w14:textId="77777777" w:rsidR="00AA6BE7" w:rsidRDefault="003507E1" w:rsidP="00E77057">
      <w:pPr>
        <w:pStyle w:val="BodyText"/>
        <w:numPr>
          <w:ilvl w:val="0"/>
          <w:numId w:val="19"/>
        </w:numPr>
      </w:pPr>
      <w:r w:rsidRPr="00BF3CDE">
        <w:t xml:space="preserve">manque de </w:t>
      </w:r>
      <w:r w:rsidRPr="00AA6BE7">
        <w:rPr>
          <w:b/>
        </w:rPr>
        <w:t>sensibilisation aux stéréotypes/préjugés</w:t>
      </w:r>
      <w:r w:rsidRPr="00BF3CDE">
        <w:t xml:space="preserve"> et de </w:t>
      </w:r>
      <w:r w:rsidRPr="00AA6BE7">
        <w:rPr>
          <w:b/>
        </w:rPr>
        <w:t>transmission de connaissances</w:t>
      </w:r>
      <w:r w:rsidRPr="00BF3CDE">
        <w:t xml:space="preserve"> dans les formations et les formations postgrade des groupes professionnels concernés</w:t>
      </w:r>
      <w:r w:rsidR="00F402C5">
        <w:t>.</w:t>
      </w:r>
      <w:r w:rsidRPr="00BF3CDE">
        <w:rPr>
          <w:rFonts w:eastAsia="Cambria" w:cs="Times New Roman"/>
          <w:vertAlign w:val="superscript"/>
        </w:rPr>
        <w:footnoteReference w:id="138"/>
      </w:r>
      <w:r w:rsidR="00AA6BE7">
        <w:t xml:space="preserve"> </w:t>
      </w:r>
    </w:p>
    <w:p w14:paraId="0E7B99D1" w14:textId="77777777" w:rsidR="00AA6BE7" w:rsidRDefault="003507E1" w:rsidP="00E77057">
      <w:pPr>
        <w:pStyle w:val="BodyText"/>
        <w:numPr>
          <w:ilvl w:val="0"/>
          <w:numId w:val="19"/>
        </w:numPr>
      </w:pPr>
      <w:r w:rsidRPr="00BF3CDE">
        <w:lastRenderedPageBreak/>
        <w:t>man</w:t>
      </w:r>
      <w:r w:rsidR="00DD02CA">
        <w:t xml:space="preserve">que d’efforts/de soutien visant la </w:t>
      </w:r>
      <w:r w:rsidR="00DD02CA" w:rsidRPr="00AA6BE7">
        <w:rPr>
          <w:b/>
        </w:rPr>
        <w:t>prise de décisions et la conduite d’une vie autonomes</w:t>
      </w:r>
      <w:r w:rsidR="00DD02CA" w:rsidRPr="00DD02CA">
        <w:t>, y compris le libre choix du type de logement et des personnes de soutien</w:t>
      </w:r>
      <w:r w:rsidR="00F402C5">
        <w:t>.</w:t>
      </w:r>
      <w:r w:rsidR="00AA6BE7">
        <w:t xml:space="preserve"> </w:t>
      </w:r>
    </w:p>
    <w:p w14:paraId="652B7C1B" w14:textId="77777777" w:rsidR="00AA6BE7" w:rsidRDefault="003507E1" w:rsidP="00E77057">
      <w:pPr>
        <w:pStyle w:val="BodyText"/>
        <w:numPr>
          <w:ilvl w:val="0"/>
          <w:numId w:val="19"/>
        </w:numPr>
      </w:pPr>
      <w:r w:rsidRPr="00BF3CDE">
        <w:t xml:space="preserve">à rendre les personnes concernées capables de </w:t>
      </w:r>
      <w:r w:rsidRPr="00AA6BE7">
        <w:rPr>
          <w:b/>
        </w:rPr>
        <w:t>choisir librement leur modalités de logement</w:t>
      </w:r>
      <w:r w:rsidR="00F402C5">
        <w:t>.</w:t>
      </w:r>
      <w:r w:rsidR="00AA6BE7">
        <w:t xml:space="preserve"> </w:t>
      </w:r>
    </w:p>
    <w:p w14:paraId="46C5B7BC" w14:textId="77777777" w:rsidR="00AA6BE7" w:rsidRDefault="003507E1" w:rsidP="00E77057">
      <w:pPr>
        <w:pStyle w:val="BodyText"/>
        <w:numPr>
          <w:ilvl w:val="0"/>
          <w:numId w:val="19"/>
        </w:numPr>
      </w:pPr>
      <w:r w:rsidRPr="00BF3CDE">
        <w:t xml:space="preserve">présentation distorsive des PH dans les </w:t>
      </w:r>
      <w:r w:rsidRPr="00AA6BE7">
        <w:rPr>
          <w:b/>
        </w:rPr>
        <w:t>médias</w:t>
      </w:r>
      <w:r w:rsidR="00F402C5">
        <w:t>.</w:t>
      </w:r>
      <w:r w:rsidR="00AA6BE7">
        <w:t xml:space="preserve"> </w:t>
      </w:r>
    </w:p>
    <w:p w14:paraId="389D9F5D" w14:textId="77777777" w:rsidR="00AA6BE7" w:rsidRDefault="003507E1" w:rsidP="00E77057">
      <w:pPr>
        <w:pStyle w:val="BodyText"/>
        <w:numPr>
          <w:ilvl w:val="0"/>
          <w:numId w:val="19"/>
        </w:numPr>
      </w:pPr>
      <w:r w:rsidRPr="00BF3CDE">
        <w:t xml:space="preserve">élaboration de principes de prévention par des institutions/prestataires de services, mais </w:t>
      </w:r>
      <w:r w:rsidRPr="00AA6BE7">
        <w:rPr>
          <w:b/>
        </w:rPr>
        <w:t>peu de</w:t>
      </w:r>
      <w:r w:rsidRPr="00BF3CDE">
        <w:t xml:space="preserve"> </w:t>
      </w:r>
      <w:r w:rsidRPr="00AA6BE7">
        <w:rPr>
          <w:b/>
        </w:rPr>
        <w:t xml:space="preserve">codes de conduite </w:t>
      </w:r>
      <w:r w:rsidRPr="00BF3CDE">
        <w:t>visant à les concrétiser et à les préciser</w:t>
      </w:r>
      <w:r w:rsidR="00F402C5">
        <w:t>.</w:t>
      </w:r>
    </w:p>
    <w:p w14:paraId="15302996" w14:textId="77777777" w:rsidR="00AA6BE7" w:rsidRDefault="003507E1" w:rsidP="00E77057">
      <w:pPr>
        <w:pStyle w:val="BodyText"/>
        <w:numPr>
          <w:ilvl w:val="0"/>
          <w:numId w:val="19"/>
        </w:numPr>
      </w:pPr>
      <w:r w:rsidRPr="00BF3CDE">
        <w:t>manque de r</w:t>
      </w:r>
      <w:r w:rsidRPr="00920B7E">
        <w:t>églementation claire de la qualification et de l’examen du personnel encadrant</w:t>
      </w:r>
      <w:r w:rsidR="00F402C5">
        <w:t>.</w:t>
      </w:r>
      <w:r w:rsidRPr="00BF3CDE">
        <w:rPr>
          <w:rFonts w:eastAsia="Cambria" w:cs="Times New Roman"/>
          <w:vertAlign w:val="superscript"/>
        </w:rPr>
        <w:footnoteReference w:id="139"/>
      </w:r>
    </w:p>
    <w:p w14:paraId="43479883" w14:textId="40CD0B1D" w:rsidR="003507E1" w:rsidRPr="00BF3CDE" w:rsidRDefault="003507E1" w:rsidP="00E77057">
      <w:pPr>
        <w:pStyle w:val="BodyText"/>
        <w:numPr>
          <w:ilvl w:val="0"/>
          <w:numId w:val="19"/>
        </w:numPr>
      </w:pPr>
      <w:r w:rsidRPr="00BF3CDE">
        <w:t xml:space="preserve">les cantons ne remplissent pas suffisamment leur </w:t>
      </w:r>
      <w:r w:rsidRPr="00AA6BE7">
        <w:rPr>
          <w:b/>
          <w:bCs/>
        </w:rPr>
        <w:t>obligation de surveillance</w:t>
      </w:r>
      <w:r w:rsidRPr="00AA6BE7">
        <w:rPr>
          <w:b/>
        </w:rPr>
        <w:t xml:space="preserve"> à l’égard des institutions</w:t>
      </w:r>
      <w:r w:rsidRPr="00BF3CDE">
        <w:t xml:space="preserve"> (p. ex. accent mis sur les questions d’hygiène et d’ordre administratif)</w:t>
      </w:r>
      <w:r w:rsidR="00F402C5">
        <w:t>.</w:t>
      </w:r>
      <w:r w:rsidRPr="00BF3CDE">
        <w:rPr>
          <w:rFonts w:eastAsia="Cambria" w:cs="Times New Roman"/>
          <w:vertAlign w:val="superscript"/>
        </w:rPr>
        <w:footnoteReference w:id="140"/>
      </w:r>
      <w:r w:rsidRPr="00BF3CDE">
        <w:t xml:space="preserve"> </w:t>
      </w:r>
    </w:p>
    <w:p w14:paraId="2CB2AAF7" w14:textId="77777777" w:rsidR="003507E1" w:rsidRPr="00BF3CDE" w:rsidRDefault="003507E1" w:rsidP="003507E1">
      <w:pPr>
        <w:tabs>
          <w:tab w:val="left" w:pos="1395"/>
        </w:tabs>
        <w:spacing w:after="60"/>
        <w:rPr>
          <w:rFonts w:eastAsia="Calibri"/>
          <w:b/>
        </w:rPr>
      </w:pPr>
      <w:r w:rsidRPr="00BF3CDE">
        <w:rPr>
          <w:rFonts w:eastAsia="Calibri"/>
          <w:b/>
        </w:rPr>
        <w:t>Accès à la protection et au soutien</w:t>
      </w:r>
    </w:p>
    <w:p w14:paraId="5D55833F" w14:textId="1F221C19" w:rsidR="003507E1" w:rsidRDefault="00F402C5" w:rsidP="00AA6BE7">
      <w:pPr>
        <w:pStyle w:val="BodyText"/>
        <w:numPr>
          <w:ilvl w:val="0"/>
          <w:numId w:val="19"/>
        </w:numPr>
      </w:pPr>
      <w:r>
        <w:t>manque</w:t>
      </w:r>
      <w:r w:rsidR="003507E1" w:rsidRPr="00BF3CDE">
        <w:t xml:space="preserve"> d’accès aux </w:t>
      </w:r>
      <w:r w:rsidR="003507E1" w:rsidRPr="00091B45">
        <w:rPr>
          <w:b/>
        </w:rPr>
        <w:t>informations sans obstacles</w:t>
      </w:r>
      <w:r w:rsidR="003507E1" w:rsidRPr="00BF3CDE">
        <w:t xml:space="preserve"> sur les services d’aide/moyens de déclaration disponibles</w:t>
      </w:r>
      <w:r>
        <w:t>.</w:t>
      </w:r>
    </w:p>
    <w:p w14:paraId="4821ECA1" w14:textId="05F79422" w:rsidR="00F402C5" w:rsidRPr="00BF3CDE" w:rsidRDefault="00F402C5" w:rsidP="00AA6BE7">
      <w:pPr>
        <w:pStyle w:val="BodyText"/>
        <w:numPr>
          <w:ilvl w:val="0"/>
          <w:numId w:val="19"/>
        </w:numPr>
      </w:pPr>
      <w:r w:rsidRPr="00091B45">
        <w:rPr>
          <w:b/>
        </w:rPr>
        <w:t>compréhension étroite de la «violence domestique»</w:t>
      </w:r>
      <w:r w:rsidRPr="00F402C5">
        <w:t xml:space="preserve"> (famille/partenariat) rend difficile des mesures de protection sur mesure (p. ex. vis-à-vis de la personne de soutien)</w:t>
      </w:r>
      <w:r>
        <w:t>.</w:t>
      </w:r>
    </w:p>
    <w:p w14:paraId="3498E699" w14:textId="710389B1" w:rsidR="003507E1" w:rsidRPr="00BF3CDE" w:rsidRDefault="003507E1" w:rsidP="00AA6BE7">
      <w:pPr>
        <w:pStyle w:val="BodyText"/>
        <w:numPr>
          <w:ilvl w:val="0"/>
          <w:numId w:val="19"/>
        </w:numPr>
      </w:pPr>
      <w:r w:rsidRPr="00091B45">
        <w:rPr>
          <w:b/>
        </w:rPr>
        <w:lastRenderedPageBreak/>
        <w:t>obligation de tiers de déclarer</w:t>
      </w:r>
      <w:r w:rsidRPr="00BF3CDE">
        <w:t xml:space="preserve"> uniquement dans le cadre d’une fonction officielle</w:t>
      </w:r>
      <w:r w:rsidR="00F402C5">
        <w:t>.</w:t>
      </w:r>
    </w:p>
    <w:p w14:paraId="68D345D5" w14:textId="77777777" w:rsidR="003507E1" w:rsidRPr="00BF3CDE" w:rsidRDefault="003507E1" w:rsidP="00AA6BE7">
      <w:pPr>
        <w:pStyle w:val="BodyText"/>
        <w:numPr>
          <w:ilvl w:val="0"/>
          <w:numId w:val="19"/>
        </w:numPr>
      </w:pPr>
      <w:r w:rsidRPr="00BF3CDE">
        <w:t>mise en cause de la crédibilité des déclarations faites par les personnes concernées, entre autres traitement dépréciateur; le cas échéant renoncement à des mesures de protection, mauvaises décisions dans le cadre de poursuites pénales et par la justice.</w:t>
      </w:r>
    </w:p>
    <w:p w14:paraId="0C2AFCCF" w14:textId="77777777" w:rsidR="003507E1" w:rsidRPr="00BF3CDE" w:rsidRDefault="003507E1" w:rsidP="003507E1">
      <w:pPr>
        <w:tabs>
          <w:tab w:val="left" w:pos="1395"/>
        </w:tabs>
        <w:spacing w:after="60"/>
        <w:rPr>
          <w:rFonts w:eastAsia="Calibri"/>
          <w:b/>
        </w:rPr>
      </w:pPr>
      <w:r w:rsidRPr="00BF3CDE">
        <w:rPr>
          <w:rFonts w:eastAsia="Calibri"/>
          <w:b/>
        </w:rPr>
        <w:t>Conception de la protection et du soutien en fonction des besoins</w:t>
      </w:r>
    </w:p>
    <w:p w14:paraId="68315169" w14:textId="7F9C18E6" w:rsidR="003507E1" w:rsidRPr="00BF3CDE" w:rsidRDefault="003507E1" w:rsidP="00AA6BE7">
      <w:pPr>
        <w:pStyle w:val="BodyText"/>
        <w:numPr>
          <w:ilvl w:val="0"/>
          <w:numId w:val="19"/>
        </w:numPr>
      </w:pPr>
      <w:r w:rsidRPr="00BF3CDE">
        <w:t xml:space="preserve">services d’aide aux victimes selon la LAVI: encore peu de </w:t>
      </w:r>
      <w:r w:rsidRPr="00BF3CDE">
        <w:rPr>
          <w:b/>
          <w:bCs/>
        </w:rPr>
        <w:t xml:space="preserve">connaissances </w:t>
      </w:r>
      <w:r w:rsidRPr="00BF3CDE">
        <w:t xml:space="preserve">disponibles </w:t>
      </w:r>
      <w:r w:rsidRPr="00BF3CDE">
        <w:rPr>
          <w:b/>
          <w:bCs/>
        </w:rPr>
        <w:t>spécifiquement au sujet du handicap</w:t>
      </w:r>
      <w:r w:rsidRPr="00BF3CDE">
        <w:t>, manque d’accessibilité/de mesures appropriées en termes d’information et de communication; se considèrent p. ex. comme «non compétents» en cas de violence dans les institutions; pas joignables 24h/24</w:t>
      </w:r>
      <w:r w:rsidR="00091B45">
        <w:t>.</w:t>
      </w:r>
    </w:p>
    <w:p w14:paraId="470D1C89" w14:textId="77777777" w:rsidR="003507E1" w:rsidRPr="00BF3CDE" w:rsidRDefault="003507E1" w:rsidP="00AA6BE7">
      <w:pPr>
        <w:pStyle w:val="BodyText"/>
        <w:numPr>
          <w:ilvl w:val="0"/>
          <w:numId w:val="19"/>
        </w:numPr>
      </w:pPr>
      <w:r w:rsidRPr="00BF3CDE">
        <w:t>manque de sensibilisation/de savoir spécialisé, d’accessibilité et de mesures appropriées de la part des APEA, de la police et des autorités judiciaires</w:t>
      </w:r>
    </w:p>
    <w:p w14:paraId="5D0C831E" w14:textId="2F54E2B5" w:rsidR="003507E1" w:rsidRPr="00BF3CDE" w:rsidRDefault="003507E1" w:rsidP="00AA6BE7">
      <w:pPr>
        <w:pStyle w:val="BodyText"/>
        <w:numPr>
          <w:ilvl w:val="0"/>
          <w:numId w:val="19"/>
        </w:numPr>
      </w:pPr>
      <w:r w:rsidRPr="00BF3CDE">
        <w:rPr>
          <w:b/>
        </w:rPr>
        <w:t>système de signalement</w:t>
      </w:r>
      <w:r w:rsidRPr="00BF3CDE">
        <w:t xml:space="preserve"> des cas de violence en </w:t>
      </w:r>
      <w:r w:rsidRPr="00BF3CDE">
        <w:rPr>
          <w:b/>
        </w:rPr>
        <w:t>institutions</w:t>
      </w:r>
      <w:r w:rsidRPr="00BF3CDE">
        <w:t xml:space="preserve"> (premier point de contact, </w:t>
      </w:r>
      <w:r>
        <w:t>instance d’accueil</w:t>
      </w:r>
      <w:r w:rsidRPr="00BF3CDE">
        <w:t xml:space="preserve"> [au sein de l’institution] et en externe): pas accessible en tout temps, indépendance non garantie</w:t>
      </w:r>
      <w:r w:rsidR="00091B45">
        <w:t>.</w:t>
      </w:r>
    </w:p>
    <w:p w14:paraId="440EFD73" w14:textId="631AAF2B" w:rsidR="003507E1" w:rsidRPr="00BF3CDE" w:rsidRDefault="003507E1" w:rsidP="00AA6BE7">
      <w:pPr>
        <w:pStyle w:val="BodyText"/>
        <w:numPr>
          <w:ilvl w:val="0"/>
          <w:numId w:val="19"/>
        </w:numPr>
        <w:rPr>
          <w:lang w:eastAsia="de-CH"/>
        </w:rPr>
      </w:pPr>
      <w:r w:rsidRPr="00BF3CDE">
        <w:rPr>
          <w:b/>
          <w:lang w:eastAsia="de-CH"/>
        </w:rPr>
        <w:t>lieux d’hébergement protégés</w:t>
      </w:r>
      <w:r w:rsidRPr="00BF3CDE">
        <w:rPr>
          <w:lang w:eastAsia="de-CH"/>
        </w:rPr>
        <w:t xml:space="preserve"> (foyers pour femmes): manque de connaissances </w:t>
      </w:r>
      <w:r w:rsidRPr="00BF3CDE">
        <w:t>spécifiques, d’accessibilité et de mesures appropriées</w:t>
      </w:r>
      <w:r w:rsidR="00091B45">
        <w:t>.</w:t>
      </w:r>
    </w:p>
    <w:p w14:paraId="6E085FAC" w14:textId="63B9EF05" w:rsidR="003507E1" w:rsidRPr="003507E1" w:rsidRDefault="003507E1" w:rsidP="003507E1">
      <w:pPr>
        <w:pStyle w:val="BodyText"/>
        <w:rPr>
          <w:iCs/>
        </w:rPr>
      </w:pPr>
      <w:r w:rsidRPr="00BF3CDE">
        <w:rPr>
          <w:bCs/>
        </w:rPr>
        <w:t xml:space="preserve">Des </w:t>
      </w:r>
      <w:r w:rsidRPr="00BF3CDE">
        <w:rPr>
          <w:b/>
        </w:rPr>
        <w:t xml:space="preserve">exemples positifs </w:t>
      </w:r>
      <w:r w:rsidRPr="00BF3CDE">
        <w:t xml:space="preserve">sont à mentionner entre autres dans le domaine de la sensibilisation générale (p. ex. par un festival du </w:t>
      </w:r>
      <w:r w:rsidRPr="00BF3CDE">
        <w:lastRenderedPageBreak/>
        <w:t xml:space="preserve">film) et des offres de formations continue spécialisée. </w:t>
      </w:r>
      <w:r w:rsidR="00916EC1" w:rsidRPr="00916EC1">
        <w:t xml:space="preserve">Le site web </w:t>
      </w:r>
      <w:r w:rsidR="00916EC1" w:rsidRPr="00BF3CDE">
        <w:t xml:space="preserve">aide-aux-victimes </w:t>
      </w:r>
      <w:r w:rsidR="00916EC1">
        <w:t>est proche de l’</w:t>
      </w:r>
      <w:r w:rsidR="00916EC1" w:rsidRPr="00916EC1">
        <w:t xml:space="preserve">accessibilité </w:t>
      </w:r>
      <w:r w:rsidR="00916EC1" w:rsidRPr="00BF3CDE">
        <w:t>(contrairement à de nombreux sites Web cantonaux dont les liens y figurent)</w:t>
      </w:r>
      <w:r w:rsidR="00916EC1" w:rsidRPr="00916EC1">
        <w:t xml:space="preserve">; il manque toutefois des informations en </w:t>
      </w:r>
      <w:r w:rsidR="00957A77">
        <w:t>langue facile à lire</w:t>
      </w:r>
      <w:r w:rsidR="00916EC1" w:rsidRPr="00916EC1">
        <w:t>.</w:t>
      </w:r>
      <w:r w:rsidR="00916EC1">
        <w:t xml:space="preserve"> </w:t>
      </w:r>
      <w:r w:rsidRPr="00BF3CDE">
        <w:t>Le site Web est exempt de barrières. D’autre part, le foyer pour femmes des Grisons semble disposer d’une infrastructure accessible et offrir en principe une protection aux femmes et enfants ayant tous types de handicaps</w:t>
      </w:r>
      <w:r w:rsidRPr="00BF3CDE">
        <w:rPr>
          <w:iCs/>
        </w:rPr>
        <w:t xml:space="preserve">. La mise en place prévue, à l’échelon national, d’un </w:t>
      </w:r>
      <w:r w:rsidRPr="00BF3CDE">
        <w:rPr>
          <w:b/>
          <w:bCs/>
          <w:iCs/>
        </w:rPr>
        <w:t>réseau de permanences accessibles 24h/24</w:t>
      </w:r>
      <w:r w:rsidRPr="00BF3CDE">
        <w:rPr>
          <w:iCs/>
        </w:rPr>
        <w:t xml:space="preserve"> destinées aux victimes d’actes de violence, faisant suite à plusieurs motions parlementaires qui demandent explicitement qu’elles soient </w:t>
      </w:r>
      <w:r w:rsidRPr="008B5600">
        <w:rPr>
          <w:b/>
          <w:iCs/>
        </w:rPr>
        <w:t xml:space="preserve">accessibles </w:t>
      </w:r>
      <w:r w:rsidRPr="00BF3CDE">
        <w:rPr>
          <w:iCs/>
        </w:rPr>
        <w:t>aux PH, est particulièrement réjouissante.</w:t>
      </w:r>
      <w:r w:rsidRPr="00BF3CDE">
        <w:rPr>
          <w:rFonts w:eastAsia="Cambria" w:cs="Times New Roman"/>
          <w:iCs/>
          <w:vertAlign w:val="superscript"/>
        </w:rPr>
        <w:footnoteReference w:id="141"/>
      </w:r>
    </w:p>
    <w:p w14:paraId="2324B0EA" w14:textId="77777777" w:rsidR="00A717CC" w:rsidRDefault="00A717CC" w:rsidP="00A717CC">
      <w:pPr>
        <w:pStyle w:val="Subtitle"/>
      </w:pPr>
      <w:r w:rsidRPr="00BF3CDE">
        <w:t>Stratégie contre la violence fondée sur le sexe (LoI para. 13c)</w:t>
      </w:r>
    </w:p>
    <w:p w14:paraId="51A3C75D" w14:textId="26F575A5" w:rsidR="00A717CC" w:rsidRPr="00A717CC" w:rsidRDefault="003507E1" w:rsidP="003507E1">
      <w:pPr>
        <w:pStyle w:val="BodyText"/>
      </w:pPr>
      <w:r w:rsidRPr="00BF3CDE">
        <w:t xml:space="preserve">Comme mentionné, l’élaboration d’un </w:t>
      </w:r>
      <w:r w:rsidRPr="00BF3CDE">
        <w:rPr>
          <w:b/>
          <w:bCs/>
        </w:rPr>
        <w:t>PAN pour la mise en œuvre de la CI</w:t>
      </w:r>
      <w:r w:rsidRPr="00BF3CDE">
        <w:t xml:space="preserve"> est prévue dans le </w:t>
      </w:r>
      <w:r>
        <w:t>p</w:t>
      </w:r>
      <w:r w:rsidRPr="00BF3CDE">
        <w:t xml:space="preserve">lan d’action </w:t>
      </w:r>
      <w:r>
        <w:t>«É</w:t>
      </w:r>
      <w:r w:rsidRPr="00BF3CDE">
        <w:t>galité 2030</w:t>
      </w:r>
      <w:r>
        <w:t>»</w:t>
      </w:r>
      <w:r w:rsidRPr="00BF3CDE">
        <w:t xml:space="preserve"> (mesure 3.2.3; cf. proposition relative à une recommandation sous l’art. 6 CDPH).</w:t>
      </w:r>
      <w:r w:rsidR="00C74B69" w:rsidRPr="004B0FA9">
        <w:rPr>
          <w:rFonts w:eastAsia="Cambria" w:cs="Times New Roman"/>
          <w:iCs/>
          <w:vertAlign w:val="superscript"/>
          <w:lang w:val="de-CH"/>
        </w:rPr>
        <w:footnoteReference w:id="142"/>
      </w:r>
      <w:r w:rsidRPr="00BF3CDE">
        <w:t xml:space="preserve"> La Confédération et les cantons prévoient de déterminer, sous la conduite du BFEG, des mesures d’application et les responsabilités, leur priorisation et leur financement ainsi qu’un calendrier. L’adoption par le CF est prévue en juin 2022. </w:t>
      </w:r>
      <w:r w:rsidR="00485090" w:rsidRPr="00485090">
        <w:t>La société civile a été consultée jusqu</w:t>
      </w:r>
      <w:r w:rsidR="00091B45">
        <w:t>’</w:t>
      </w:r>
      <w:r w:rsidR="00485090" w:rsidRPr="00485090">
        <w:t>à présent par le biais d</w:t>
      </w:r>
      <w:r w:rsidR="00B57277">
        <w:t>’</w:t>
      </w:r>
      <w:r w:rsidR="00485090" w:rsidRPr="00485090">
        <w:t>un questionnaire et d</w:t>
      </w:r>
      <w:r w:rsidR="00B57277">
        <w:t>’</w:t>
      </w:r>
      <w:r w:rsidR="00C74B69">
        <w:t>une table ronde</w:t>
      </w:r>
      <w:r w:rsidR="00485090" w:rsidRPr="00485090">
        <w:t>; on ne sait pas encore dans quelle mesure ses avis seront pris en compte dans le PAN.</w:t>
      </w:r>
      <w:r w:rsidR="00485090">
        <w:t xml:space="preserve"> </w:t>
      </w:r>
      <w:r w:rsidRPr="00BF3CDE">
        <w:t xml:space="preserve">Par ailleurs, </w:t>
      </w:r>
      <w:r w:rsidRPr="00BF3CDE">
        <w:rPr>
          <w:b/>
          <w:bCs/>
        </w:rPr>
        <w:t>une feuille de route contre la violence domestique</w:t>
      </w:r>
      <w:r w:rsidRPr="00BF3CDE">
        <w:t xml:space="preserve"> </w:t>
      </w:r>
      <w:r w:rsidRPr="00BF3CDE">
        <w:lastRenderedPageBreak/>
        <w:t>(mesure 3.2.1 du plan d’action; responsabilité OFJ) a d’ores et déjà été adoptée par la Confédération et les cantons.</w:t>
      </w:r>
      <w:r w:rsidR="00C74B69">
        <w:rPr>
          <w:rStyle w:val="FootnoteReference"/>
        </w:rPr>
        <w:footnoteReference w:id="143"/>
      </w:r>
      <w:r w:rsidRPr="00BF3CDE">
        <w:t xml:space="preserve"> Or, parmi les champs d’action et mesures qu’elle mentionne en vue d’une </w:t>
      </w:r>
      <w:r w:rsidRPr="00BF3CDE">
        <w:rPr>
          <w:b/>
          <w:bCs/>
        </w:rPr>
        <w:t>meilleure protection des victimes</w:t>
      </w:r>
      <w:r w:rsidRPr="00BF3CDE">
        <w:t>, on cherche malheureusement en vain les besoins des femmes en situation de handicap.</w:t>
      </w:r>
      <w:r w:rsidRPr="00BF3CDE">
        <w:rPr>
          <w:vertAlign w:val="superscript"/>
        </w:rPr>
        <w:footnoteReference w:id="144"/>
      </w:r>
      <w:r w:rsidRPr="00BF3CDE">
        <w:t xml:space="preserve"> </w:t>
      </w:r>
    </w:p>
    <w:p w14:paraId="13242A22" w14:textId="77777777" w:rsidR="00C177BB" w:rsidRPr="00F756DE" w:rsidRDefault="00A717CC" w:rsidP="00C177BB">
      <w:pPr>
        <w:shd w:val="clear" w:color="auto" w:fill="FFFFCC"/>
        <w:rPr>
          <w:rFonts w:eastAsia="Calibri"/>
          <w:b/>
        </w:rPr>
      </w:pPr>
      <w:r>
        <w:rPr>
          <w:rFonts w:eastAsia="Calibri"/>
          <w:b/>
        </w:rPr>
        <w:t>Propositions de recommandations :</w:t>
      </w:r>
    </w:p>
    <w:p w14:paraId="35F65A46" w14:textId="77777777" w:rsidR="003507E1" w:rsidRPr="00BF3CDE" w:rsidRDefault="003507E1" w:rsidP="003507E1">
      <w:pPr>
        <w:pStyle w:val="SBEmpfehlungen"/>
        <w:rPr>
          <w:b/>
        </w:rPr>
      </w:pPr>
      <w:bookmarkStart w:id="87" w:name="_Toc91237782"/>
      <w:bookmarkStart w:id="88" w:name="_Toc93596143"/>
      <w:bookmarkStart w:id="89" w:name="_Ref94602844"/>
      <w:bookmarkStart w:id="90" w:name="_Ref94602860"/>
      <w:bookmarkStart w:id="91" w:name="_Toc94605096"/>
      <w:r w:rsidRPr="00BF3CDE">
        <w:t xml:space="preserve">Conformément à ses obligations découlant des art. 6, 16 et 31 CDPH ainsi que de l’art. 11 CI, la </w:t>
      </w:r>
      <w:r w:rsidRPr="00BF3CDE">
        <w:rPr>
          <w:b/>
        </w:rPr>
        <w:t>Confédération</w:t>
      </w:r>
      <w:r w:rsidRPr="00BF3CDE">
        <w:t xml:space="preserve"> garantit avec effet immédiat que la </w:t>
      </w:r>
      <w:r w:rsidRPr="00BF3CDE">
        <w:rPr>
          <w:b/>
        </w:rPr>
        <w:t xml:space="preserve">violence subie par les PH </w:t>
      </w:r>
      <w:r w:rsidRPr="00BF3CDE">
        <w:t xml:space="preserve">fasse l’objet d’une analyse approfondie dans le cadre d’une étude de prévalence sur la violence faite aux femmes et la violence domestique, ou sous forme d’un mandat de recherche scientifique </w:t>
      </w:r>
      <w:r>
        <w:t>indépendant</w:t>
      </w:r>
      <w:r w:rsidRPr="00BF3CDE">
        <w:t xml:space="preserve"> et disposant d’un financement adéquat.</w:t>
      </w:r>
    </w:p>
    <w:p w14:paraId="46F20320" w14:textId="77777777" w:rsidR="003507E1" w:rsidRPr="00BF3CDE" w:rsidRDefault="003507E1" w:rsidP="003507E1">
      <w:pPr>
        <w:pStyle w:val="SBEmpfehlungen"/>
        <w:rPr>
          <w:b/>
        </w:rPr>
      </w:pPr>
      <w:r w:rsidRPr="00BF3CDE">
        <w:rPr>
          <w:rFonts w:eastAsia="Calibri"/>
          <w:b/>
        </w:rPr>
        <w:t>La Confédération et les cantons</w:t>
      </w:r>
      <w:r w:rsidRPr="00BF3CDE">
        <w:rPr>
          <w:rFonts w:eastAsia="Calibri"/>
        </w:rPr>
        <w:t xml:space="preserve"> intègrent aux PAN relatifs à la CI, des mesures </w:t>
      </w:r>
      <w:r w:rsidRPr="00BF3CDE">
        <w:rPr>
          <w:rFonts w:eastAsia="Calibri"/>
          <w:b/>
          <w:bCs/>
        </w:rPr>
        <w:t>ciblées et vérifiables</w:t>
      </w:r>
      <w:r w:rsidRPr="00BF3CDE">
        <w:rPr>
          <w:rFonts w:eastAsia="Calibri"/>
        </w:rPr>
        <w:t xml:space="preserve"> en vue de la </w:t>
      </w:r>
      <w:r w:rsidRPr="00BF3CDE">
        <w:rPr>
          <w:rFonts w:eastAsia="Calibri"/>
          <w:b/>
        </w:rPr>
        <w:t xml:space="preserve">prévention de la violence </w:t>
      </w:r>
      <w:r w:rsidRPr="00BF3CDE">
        <w:rPr>
          <w:rFonts w:eastAsia="Calibri"/>
        </w:rPr>
        <w:t>également à l’égard des PH, de même que des campagnes et programmes de sensibilisation réalisés par l’État.</w:t>
      </w:r>
    </w:p>
    <w:p w14:paraId="4D6EB858" w14:textId="77777777" w:rsidR="003507E1" w:rsidRPr="00BF3CDE" w:rsidRDefault="003507E1" w:rsidP="003507E1">
      <w:pPr>
        <w:pStyle w:val="SBEmpfehlungen"/>
        <w:rPr>
          <w:b/>
        </w:rPr>
      </w:pPr>
      <w:r w:rsidRPr="00BF3CDE">
        <w:rPr>
          <w:rFonts w:eastAsia="Calibri"/>
          <w:b/>
        </w:rPr>
        <w:t>Chaque canton</w:t>
      </w:r>
      <w:r w:rsidRPr="00BF3CDE">
        <w:rPr>
          <w:rFonts w:eastAsia="Calibri"/>
        </w:rPr>
        <w:t xml:space="preserve"> établit une stratégie, dotée d’un calendrier, dans le but de rendre pleinement accessible aux PH, sur son territoire, l’ensemble des </w:t>
      </w:r>
      <w:r w:rsidRPr="00BF3CDE">
        <w:rPr>
          <w:rFonts w:eastAsia="Calibri"/>
          <w:b/>
        </w:rPr>
        <w:t>services de consultation</w:t>
      </w:r>
      <w:r w:rsidRPr="00BF3CDE">
        <w:rPr>
          <w:rFonts w:eastAsia="Calibri"/>
        </w:rPr>
        <w:t xml:space="preserve"> et </w:t>
      </w:r>
      <w:r w:rsidRPr="00BF3CDE">
        <w:rPr>
          <w:rFonts w:eastAsia="Calibri"/>
          <w:b/>
        </w:rPr>
        <w:t>lieux d’accueil protégés</w:t>
      </w:r>
      <w:r w:rsidRPr="00BF3CDE">
        <w:rPr>
          <w:rFonts w:eastAsia="Calibri"/>
        </w:rPr>
        <w:t xml:space="preserve"> traditionnels destinés aux victimes de violences, en veillant à la formation des professionnels compé</w:t>
      </w:r>
      <w:r w:rsidRPr="00BF3CDE">
        <w:rPr>
          <w:rFonts w:eastAsia="Calibri"/>
        </w:rPr>
        <w:lastRenderedPageBreak/>
        <w:t xml:space="preserve">tents; information, communication et infrastructures accessibles; accès facile garanti pour les personnes vivant en institutions (procédure de signalement confidentielle). </w:t>
      </w:r>
    </w:p>
    <w:p w14:paraId="6D710AAE" w14:textId="410B3B75" w:rsidR="00A717CC" w:rsidRPr="003507E1" w:rsidRDefault="003507E1" w:rsidP="003507E1">
      <w:pPr>
        <w:pStyle w:val="SBEmpfehlungen"/>
        <w:rPr>
          <w:b/>
        </w:rPr>
      </w:pPr>
      <w:r w:rsidRPr="00BF3CDE">
        <w:rPr>
          <w:rFonts w:eastAsia="Calibri"/>
        </w:rPr>
        <w:t xml:space="preserve">Dans le cadre de </w:t>
      </w:r>
      <w:r w:rsidRPr="00BF3CDE">
        <w:rPr>
          <w:rFonts w:eastAsia="Calibri"/>
          <w:b/>
          <w:bCs/>
        </w:rPr>
        <w:t>visites de surveillance</w:t>
      </w:r>
      <w:r w:rsidRPr="00BF3CDE">
        <w:rPr>
          <w:rFonts w:eastAsia="Calibri"/>
        </w:rPr>
        <w:t xml:space="preserve"> régulières et sans préavis, les </w:t>
      </w:r>
      <w:r w:rsidRPr="00BF3CDE">
        <w:rPr>
          <w:rFonts w:eastAsia="Calibri"/>
          <w:b/>
        </w:rPr>
        <w:t>cantons</w:t>
      </w:r>
      <w:r w:rsidRPr="00BF3CDE">
        <w:rPr>
          <w:rFonts w:eastAsia="Calibri"/>
        </w:rPr>
        <w:t xml:space="preserve"> vérifient prioritairement la mise en œuvre concrète, </w:t>
      </w:r>
      <w:r w:rsidRPr="00BF3CDE">
        <w:rPr>
          <w:rFonts w:eastAsia="Calibri"/>
          <w:b/>
          <w:bCs/>
        </w:rPr>
        <w:t>par les institutions</w:t>
      </w:r>
      <w:r w:rsidRPr="00BF3CDE">
        <w:rPr>
          <w:rFonts w:eastAsia="Calibri"/>
        </w:rPr>
        <w:t>, de concepts et de codes de conduite relatifs à la prévention de la violence et à la protection contre les actes de violence.</w:t>
      </w:r>
    </w:p>
    <w:p w14:paraId="24B3951F" w14:textId="77777777" w:rsidR="00A717CC" w:rsidRDefault="00A717CC" w:rsidP="00A717CC">
      <w:pPr>
        <w:pStyle w:val="Heading3"/>
        <w:numPr>
          <w:ilvl w:val="0"/>
          <w:numId w:val="0"/>
        </w:numPr>
        <w:ind w:left="737" w:hanging="737"/>
      </w:pPr>
      <w:bookmarkStart w:id="92" w:name="_Toc95500340"/>
      <w:bookmarkStart w:id="93" w:name="_Ref95904638"/>
      <w:bookmarkStart w:id="94" w:name="_Ref95904643"/>
      <w:bookmarkStart w:id="95" w:name="_Toc96287610"/>
      <w:bookmarkEnd w:id="87"/>
      <w:bookmarkEnd w:id="88"/>
      <w:bookmarkEnd w:id="89"/>
      <w:bookmarkEnd w:id="90"/>
      <w:bookmarkEnd w:id="91"/>
      <w:r w:rsidRPr="00BF3CDE">
        <w:t>Art. 17 – Protection de l’intégrité de la personne</w:t>
      </w:r>
      <w:bookmarkEnd w:id="92"/>
      <w:bookmarkEnd w:id="93"/>
      <w:bookmarkEnd w:id="94"/>
      <w:bookmarkEnd w:id="95"/>
    </w:p>
    <w:p w14:paraId="779FCFC7" w14:textId="4F44175B" w:rsidR="004128B3" w:rsidRPr="004128B3" w:rsidRDefault="004128B3" w:rsidP="004128B3">
      <w:pPr>
        <w:pStyle w:val="BodyText"/>
        <w:rPr>
          <w:rFonts w:eastAsia="Cambria"/>
        </w:rPr>
      </w:pPr>
      <w:r w:rsidRPr="004128B3">
        <w:rPr>
          <w:rFonts w:eastAsia="Cambria"/>
        </w:rPr>
        <w:t xml:space="preserve">Comme mentionné plus haut (art. 15 </w:t>
      </w:r>
      <w:r>
        <w:rPr>
          <w:rFonts w:eastAsia="Cambria"/>
        </w:rPr>
        <w:t>CDPH</w:t>
      </w:r>
      <w:r w:rsidRPr="004128B3">
        <w:rPr>
          <w:rFonts w:eastAsia="Cambria"/>
        </w:rPr>
        <w:t>), la loi sur la stérilisation n'interdit nullement les stérilisations effectuées contre la volonté ou sans le consentement/l</w:t>
      </w:r>
      <w:r>
        <w:rPr>
          <w:rFonts w:eastAsia="Cambria"/>
        </w:rPr>
        <w:t>’</w:t>
      </w:r>
      <w:r w:rsidRPr="004128B3">
        <w:rPr>
          <w:rFonts w:eastAsia="Cambria"/>
        </w:rPr>
        <w:t>autorisation préalable et éclairé (PIC) d</w:t>
      </w:r>
      <w:r>
        <w:rPr>
          <w:rFonts w:eastAsia="Cambria"/>
        </w:rPr>
        <w:t>’</w:t>
      </w:r>
      <w:r w:rsidRPr="004128B3">
        <w:rPr>
          <w:rFonts w:eastAsia="Cambria"/>
        </w:rPr>
        <w:t xml:space="preserve">une </w:t>
      </w:r>
      <w:r w:rsidRPr="004128B3">
        <w:rPr>
          <w:rFonts w:eastAsia="Cambria"/>
          <w:b/>
        </w:rPr>
        <w:t>personne «incapable de discernement»</w:t>
      </w:r>
      <w:r w:rsidRPr="004128B3">
        <w:rPr>
          <w:rFonts w:eastAsia="Cambria"/>
        </w:rPr>
        <w:t xml:space="preserve"> de plus de 16 ans; dans sa réponse LoI</w:t>
      </w:r>
      <w:r w:rsidR="00434D71">
        <w:rPr>
          <w:rFonts w:eastAsia="Cambria"/>
        </w:rPr>
        <w:t xml:space="preserve"> (para. 46)</w:t>
      </w:r>
      <w:r w:rsidRPr="004128B3">
        <w:rPr>
          <w:rFonts w:eastAsia="Cambria"/>
        </w:rPr>
        <w:t>, la Suisse semble d</w:t>
      </w:r>
      <w:r>
        <w:rPr>
          <w:rFonts w:eastAsia="Cambria"/>
        </w:rPr>
        <w:t>’</w:t>
      </w:r>
      <w:r w:rsidRPr="004128B3">
        <w:rPr>
          <w:rFonts w:eastAsia="Cambria"/>
        </w:rPr>
        <w:t xml:space="preserve">ailleurs </w:t>
      </w:r>
      <w:r>
        <w:rPr>
          <w:rFonts w:eastAsia="Cambria"/>
        </w:rPr>
        <w:t xml:space="preserve">se distancer de son affirmation faite dans le </w:t>
      </w:r>
      <w:r w:rsidR="00434D71">
        <w:rPr>
          <w:rFonts w:eastAsia="Cambria"/>
        </w:rPr>
        <w:t>PRE</w:t>
      </w:r>
      <w:r>
        <w:rPr>
          <w:rFonts w:eastAsia="Cambria"/>
        </w:rPr>
        <w:t xml:space="preserve"> (para. 86). </w:t>
      </w:r>
      <w:r w:rsidRPr="004128B3">
        <w:rPr>
          <w:rFonts w:eastAsia="Cambria"/>
        </w:rPr>
        <w:t>Selon le</w:t>
      </w:r>
      <w:r w:rsidR="00434D71">
        <w:rPr>
          <w:rFonts w:eastAsia="Cambria"/>
        </w:rPr>
        <w:t xml:space="preserve"> droit en vigueur, la </w:t>
      </w:r>
      <w:r w:rsidR="00434D71" w:rsidRPr="00434D71">
        <w:rPr>
          <w:rFonts w:eastAsia="Cambria"/>
          <w:b/>
        </w:rPr>
        <w:t>volonté d’</w:t>
      </w:r>
      <w:r w:rsidRPr="00434D71">
        <w:rPr>
          <w:rFonts w:eastAsia="Cambria"/>
          <w:b/>
        </w:rPr>
        <w:t xml:space="preserve">une personne </w:t>
      </w:r>
      <w:r w:rsidR="00434D71" w:rsidRPr="00434D71">
        <w:rPr>
          <w:rFonts w:eastAsia="Cambria"/>
          <w:b/>
        </w:rPr>
        <w:t>«</w:t>
      </w:r>
      <w:r w:rsidRPr="00434D71">
        <w:rPr>
          <w:rFonts w:eastAsia="Cambria"/>
          <w:b/>
        </w:rPr>
        <w:t>incapable de discernement</w:t>
      </w:r>
      <w:r w:rsidR="007E3683">
        <w:rPr>
          <w:rFonts w:eastAsia="Cambria"/>
          <w:b/>
        </w:rPr>
        <w:t>»</w:t>
      </w:r>
      <w:r w:rsidR="00434D71">
        <w:rPr>
          <w:rFonts w:eastAsia="Cambria"/>
        </w:rPr>
        <w:t xml:space="preserve"> n’</w:t>
      </w:r>
      <w:r w:rsidRPr="004128B3">
        <w:rPr>
          <w:rFonts w:eastAsia="Cambria"/>
        </w:rPr>
        <w:t xml:space="preserve">a </w:t>
      </w:r>
      <w:r w:rsidRPr="00434D71">
        <w:rPr>
          <w:rFonts w:eastAsia="Cambria"/>
          <w:b/>
        </w:rPr>
        <w:t>aucune pertinence juridique</w:t>
      </w:r>
      <w:r w:rsidRPr="004128B3">
        <w:rPr>
          <w:rFonts w:eastAsia="Cambria"/>
        </w:rPr>
        <w:t xml:space="preserve">. Selon </w:t>
      </w:r>
      <w:r w:rsidR="008206B4">
        <w:rPr>
          <w:rFonts w:eastAsia="Cambria"/>
        </w:rPr>
        <w:t>l’</w:t>
      </w:r>
      <w:r w:rsidRPr="004128B3">
        <w:rPr>
          <w:rFonts w:eastAsia="Cambria"/>
        </w:rPr>
        <w:t>art. 7, al. 2, let. a, de la loi sur la stérilisation, ce qui est déterminant, c</w:t>
      </w:r>
      <w:r w:rsidR="008206B4">
        <w:rPr>
          <w:rFonts w:eastAsia="Cambria"/>
        </w:rPr>
        <w:t>’</w:t>
      </w:r>
      <w:r w:rsidRPr="004128B3">
        <w:rPr>
          <w:rFonts w:eastAsia="Cambria"/>
        </w:rPr>
        <w:t>est que l</w:t>
      </w:r>
      <w:r w:rsidR="008206B4">
        <w:rPr>
          <w:rFonts w:eastAsia="Cambria"/>
        </w:rPr>
        <w:t>’</w:t>
      </w:r>
      <w:r w:rsidRPr="004128B3">
        <w:rPr>
          <w:rFonts w:eastAsia="Cambria"/>
        </w:rPr>
        <w:t xml:space="preserve">intervention </w:t>
      </w:r>
      <w:r w:rsidR="008206B4">
        <w:rPr>
          <w:rFonts w:eastAsia="Cambria"/>
        </w:rPr>
        <w:t>«</w:t>
      </w:r>
      <w:r w:rsidRPr="004128B3">
        <w:rPr>
          <w:rFonts w:eastAsia="Cambria"/>
        </w:rPr>
        <w:t>soit pratiquée dans l</w:t>
      </w:r>
      <w:r w:rsidR="008206B4">
        <w:rPr>
          <w:rFonts w:eastAsia="Cambria"/>
        </w:rPr>
        <w:t>’</w:t>
      </w:r>
      <w:r w:rsidRPr="004128B3">
        <w:rPr>
          <w:rFonts w:eastAsia="Cambria"/>
        </w:rPr>
        <w:t>intérêt de la personne concernée, compte tenu de l</w:t>
      </w:r>
      <w:r w:rsidR="008206B4">
        <w:rPr>
          <w:rFonts w:eastAsia="Cambria"/>
        </w:rPr>
        <w:t>’</w:t>
      </w:r>
      <w:r w:rsidRPr="004128B3">
        <w:rPr>
          <w:rFonts w:eastAsia="Cambria"/>
        </w:rPr>
        <w:t>ensemble des circonstances</w:t>
      </w:r>
      <w:r w:rsidR="008206B4">
        <w:rPr>
          <w:rFonts w:eastAsia="Cambria"/>
        </w:rPr>
        <w:t> »</w:t>
      </w:r>
      <w:r w:rsidRPr="004128B3">
        <w:rPr>
          <w:rFonts w:eastAsia="Cambria"/>
        </w:rPr>
        <w:t xml:space="preserve"> et que l</w:t>
      </w:r>
      <w:r w:rsidR="008206B4">
        <w:rPr>
          <w:rFonts w:eastAsia="Cambria"/>
        </w:rPr>
        <w:t>’</w:t>
      </w:r>
      <w:r w:rsidRPr="004128B3">
        <w:rPr>
          <w:rFonts w:eastAsia="Cambria"/>
        </w:rPr>
        <w:t>autorité de protection de l</w:t>
      </w:r>
      <w:r w:rsidR="008206B4">
        <w:rPr>
          <w:rFonts w:eastAsia="Cambria"/>
        </w:rPr>
        <w:t>’</w:t>
      </w:r>
      <w:r w:rsidRPr="004128B3">
        <w:rPr>
          <w:rFonts w:eastAsia="Cambria"/>
        </w:rPr>
        <w:t>adulte donne son accord.</w:t>
      </w:r>
      <w:r w:rsidR="008206B4" w:rsidRPr="00BF3CDE">
        <w:rPr>
          <w:rStyle w:val="FootnoteReference"/>
          <w:szCs w:val="24"/>
        </w:rPr>
        <w:footnoteReference w:id="145"/>
      </w:r>
      <w:r w:rsidRPr="004128B3">
        <w:rPr>
          <w:rFonts w:eastAsia="Cambria"/>
        </w:rPr>
        <w:t xml:space="preserve"> </w:t>
      </w:r>
      <w:r w:rsidR="007008AB" w:rsidRPr="00BF3CDE">
        <w:rPr>
          <w:rFonts w:eastAsia="Cambria"/>
          <w:szCs w:val="24"/>
        </w:rPr>
        <w:t xml:space="preserve">Dans sa </w:t>
      </w:r>
      <w:r w:rsidR="007008AB" w:rsidRPr="00BF3CDE">
        <w:rPr>
          <w:rFonts w:eastAsia="Cambria"/>
          <w:szCs w:val="24"/>
        </w:rPr>
        <w:lastRenderedPageBreak/>
        <w:t>réponse à une interpellation parlementaire, elle a toutefois exprimé l’avis que lesdites dispositions de la loi sur la stérilisation étaient compatibles avec la CDPH – malgré la pratique contraire citée du Comité.</w:t>
      </w:r>
      <w:r w:rsidR="007008AB" w:rsidRPr="00BF3CDE">
        <w:rPr>
          <w:rFonts w:eastAsia="Cambria"/>
          <w:szCs w:val="24"/>
          <w:vertAlign w:val="superscript"/>
        </w:rPr>
        <w:footnoteReference w:id="146"/>
      </w:r>
      <w:r w:rsidR="007008AB" w:rsidRPr="00BF3CDE">
        <w:rPr>
          <w:rFonts w:eastAsia="Cambria"/>
          <w:szCs w:val="24"/>
        </w:rPr>
        <w:t xml:space="preserve"> Cette affirmation doit être contredite avec force. </w:t>
      </w:r>
      <w:r w:rsidRPr="004128B3">
        <w:rPr>
          <w:rFonts w:eastAsia="Cambria"/>
        </w:rPr>
        <w:t xml:space="preserve">Une interruption de grossesse non punissable chez une femme </w:t>
      </w:r>
      <w:r w:rsidR="007008AB">
        <w:rPr>
          <w:rFonts w:eastAsia="Cambria"/>
        </w:rPr>
        <w:t>«</w:t>
      </w:r>
      <w:r w:rsidRPr="004128B3">
        <w:rPr>
          <w:rFonts w:eastAsia="Cambria"/>
        </w:rPr>
        <w:t>incapable de discernement</w:t>
      </w:r>
      <w:r w:rsidR="007008AB">
        <w:rPr>
          <w:rFonts w:eastAsia="Cambria"/>
        </w:rPr>
        <w:t>»</w:t>
      </w:r>
      <w:r w:rsidRPr="004128B3">
        <w:rPr>
          <w:rFonts w:eastAsia="Cambria"/>
        </w:rPr>
        <w:t xml:space="preserve"> est également possible sur la base d</w:t>
      </w:r>
      <w:r w:rsidR="007008AB">
        <w:rPr>
          <w:rFonts w:eastAsia="Cambria"/>
        </w:rPr>
        <w:t>’</w:t>
      </w:r>
      <w:r w:rsidRPr="004128B3">
        <w:rPr>
          <w:rFonts w:eastAsia="Cambria"/>
        </w:rPr>
        <w:t>un consentement remplacé, conformément à l</w:t>
      </w:r>
      <w:r w:rsidR="007008AB">
        <w:rPr>
          <w:rFonts w:eastAsia="Cambria"/>
        </w:rPr>
        <w:t>’</w:t>
      </w:r>
      <w:r w:rsidRPr="004128B3">
        <w:rPr>
          <w:rFonts w:eastAsia="Cambria"/>
        </w:rPr>
        <w:t>art. 119 al. 1 - 3 CP.</w:t>
      </w:r>
    </w:p>
    <w:p w14:paraId="20EB75FE" w14:textId="5909112E" w:rsidR="003507E1" w:rsidRPr="00BF3CDE" w:rsidRDefault="003507E1" w:rsidP="003507E1">
      <w:pPr>
        <w:pStyle w:val="BodyText"/>
        <w:rPr>
          <w:rFonts w:eastAsia="Cambria"/>
          <w:szCs w:val="24"/>
        </w:rPr>
      </w:pPr>
      <w:r w:rsidRPr="00BF3CDE">
        <w:rPr>
          <w:rFonts w:eastAsia="Cambria"/>
          <w:szCs w:val="24"/>
        </w:rPr>
        <w:t xml:space="preserve">En ce qui concerne la </w:t>
      </w:r>
      <w:r w:rsidRPr="00BF3CDE">
        <w:rPr>
          <w:rFonts w:eastAsia="Cambria"/>
          <w:b/>
          <w:szCs w:val="24"/>
        </w:rPr>
        <w:t xml:space="preserve">pratique </w:t>
      </w:r>
      <w:r w:rsidRPr="00BF3CDE">
        <w:rPr>
          <w:rFonts w:eastAsia="Cambria"/>
          <w:szCs w:val="24"/>
        </w:rPr>
        <w:t>de stérilisations forcées, la Suisse a allégué, là aussi sans justification aucune</w:t>
      </w:r>
      <w:r w:rsidRPr="00BF3CDE">
        <w:rPr>
          <w:rStyle w:val="FootnoteReference"/>
          <w:szCs w:val="24"/>
        </w:rPr>
        <w:footnoteReference w:id="147"/>
      </w:r>
      <w:r w:rsidRPr="00BF3CDE">
        <w:rPr>
          <w:rFonts w:eastAsia="Cambria"/>
          <w:szCs w:val="24"/>
        </w:rPr>
        <w:t xml:space="preserve"> et en opposition aux indices qui ressortent de lignes directrices médico-éthiques</w:t>
      </w:r>
      <w:r w:rsidRPr="00BF3CDE">
        <w:rPr>
          <w:szCs w:val="24"/>
        </w:rPr>
        <w:t>,</w:t>
      </w:r>
      <w:r w:rsidRPr="00BF3CDE">
        <w:rPr>
          <w:rStyle w:val="FootnoteReference"/>
          <w:szCs w:val="24"/>
        </w:rPr>
        <w:footnoteReference w:id="148"/>
      </w:r>
      <w:r w:rsidRPr="00BF3CDE">
        <w:rPr>
          <w:rFonts w:eastAsia="Cambria"/>
          <w:szCs w:val="24"/>
        </w:rPr>
        <w:t xml:space="preserve"> que </w:t>
      </w:r>
      <w:r w:rsidR="00C70B96">
        <w:rPr>
          <w:rFonts w:eastAsia="Cambria"/>
          <w:szCs w:val="24"/>
        </w:rPr>
        <w:t>«</w:t>
      </w:r>
      <w:r w:rsidRPr="00BF3CDE">
        <w:rPr>
          <w:rFonts w:eastAsia="Cambria"/>
          <w:szCs w:val="24"/>
        </w:rPr>
        <w:t>ce sujet</w:t>
      </w:r>
      <w:r w:rsidR="00C70B96">
        <w:rPr>
          <w:rFonts w:eastAsia="Cambria"/>
          <w:szCs w:val="24"/>
        </w:rPr>
        <w:t>»</w:t>
      </w:r>
      <w:r w:rsidRPr="00BF3CDE">
        <w:rPr>
          <w:rFonts w:eastAsia="Cambria"/>
          <w:szCs w:val="24"/>
        </w:rPr>
        <w:t xml:space="preserve"> n’était plus d’actualité en Suisse. Or, il ressort des renseignements pris auprès de plusieurs autorités de protection de l’adulte relevant aussi bien </w:t>
      </w:r>
      <w:r w:rsidR="0067149F">
        <w:rPr>
          <w:rFonts w:eastAsia="Cambria"/>
          <w:szCs w:val="24"/>
        </w:rPr>
        <w:t>par</w:t>
      </w:r>
      <w:r w:rsidRPr="00BF3CDE">
        <w:rPr>
          <w:rFonts w:eastAsia="Cambria"/>
          <w:szCs w:val="24"/>
        </w:rPr>
        <w:t xml:space="preserve"> la société civile que </w:t>
      </w:r>
      <w:r w:rsidR="0067149F">
        <w:rPr>
          <w:rFonts w:eastAsia="Cambria"/>
          <w:szCs w:val="24"/>
        </w:rPr>
        <w:t>par</w:t>
      </w:r>
      <w:r w:rsidRPr="00BF3CDE">
        <w:rPr>
          <w:rFonts w:eastAsia="Cambria"/>
          <w:szCs w:val="24"/>
        </w:rPr>
        <w:t xml:space="preserve"> l’État que celles-ci avaient donné leur consentement à des stérilisations, du moins dans certains cas.</w:t>
      </w:r>
      <w:r w:rsidRPr="00BF3CDE">
        <w:rPr>
          <w:rStyle w:val="FootnoteReference"/>
          <w:szCs w:val="24"/>
        </w:rPr>
        <w:footnoteReference w:id="149"/>
      </w:r>
      <w:r w:rsidRPr="00BF3CDE">
        <w:rPr>
          <w:rFonts w:eastAsia="Cambria"/>
          <w:szCs w:val="24"/>
        </w:rPr>
        <w:t xml:space="preserve"> L’interpellation mentionnée ainsi que la réponse du CF contiennent de surcroît des indices au sujet de </w:t>
      </w:r>
      <w:r w:rsidRPr="00BF3CDE">
        <w:rPr>
          <w:rFonts w:eastAsia="Cambria"/>
          <w:b/>
          <w:bCs/>
          <w:szCs w:val="24"/>
        </w:rPr>
        <w:t>pratiques extrêmement problématiques</w:t>
      </w:r>
      <w:r w:rsidRPr="00BF3CDE">
        <w:rPr>
          <w:rFonts w:eastAsia="Cambria"/>
          <w:szCs w:val="24"/>
        </w:rPr>
        <w:t xml:space="preserve"> </w:t>
      </w:r>
      <w:r w:rsidRPr="00BF3CDE">
        <w:rPr>
          <w:rFonts w:eastAsia="Cambria"/>
        </w:rPr>
        <w:t xml:space="preserve">(stérilisations suite à des «comportements blessants à caractère sexuel»; deux fois </w:t>
      </w:r>
      <w:r w:rsidRPr="00BF3CDE">
        <w:rPr>
          <w:rFonts w:eastAsia="Cambria"/>
        </w:rPr>
        <w:lastRenderedPageBreak/>
        <w:t xml:space="preserve">plus de stérilisations de femmes que d’hommes; avant l’entrée en institution, </w:t>
      </w:r>
      <w:r>
        <w:rPr>
          <w:rFonts w:eastAsia="Cambria"/>
        </w:rPr>
        <w:t>incitation</w:t>
      </w:r>
      <w:r w:rsidRPr="00BF3CDE">
        <w:rPr>
          <w:rFonts w:eastAsia="Cambria"/>
        </w:rPr>
        <w:t xml:space="preserve"> informel</w:t>
      </w:r>
      <w:r>
        <w:rPr>
          <w:rFonts w:eastAsia="Cambria"/>
        </w:rPr>
        <w:t>le</w:t>
      </w:r>
      <w:r w:rsidRPr="00BF3CDE">
        <w:rPr>
          <w:rFonts w:eastAsia="Cambria"/>
        </w:rPr>
        <w:t xml:space="preserve"> des proches à faire pratiquer une stérilisation).</w:t>
      </w:r>
    </w:p>
    <w:p w14:paraId="041A528A" w14:textId="77777777" w:rsidR="003507E1" w:rsidRPr="00BF3CDE" w:rsidRDefault="003507E1" w:rsidP="003507E1">
      <w:pPr>
        <w:pStyle w:val="BodyText"/>
      </w:pPr>
      <w:r w:rsidRPr="00BF3CDE">
        <w:rPr>
          <w:szCs w:val="24"/>
        </w:rPr>
        <w:t xml:space="preserve">La Suisse ne conteste pas le </w:t>
      </w:r>
      <w:r w:rsidRPr="00BF3CDE">
        <w:rPr>
          <w:b/>
          <w:bCs/>
          <w:szCs w:val="24"/>
        </w:rPr>
        <w:t>manque</w:t>
      </w:r>
      <w:r w:rsidRPr="00BF3CDE">
        <w:rPr>
          <w:szCs w:val="24"/>
        </w:rPr>
        <w:t xml:space="preserve"> criant </w:t>
      </w:r>
      <w:r w:rsidRPr="00BF3CDE">
        <w:rPr>
          <w:b/>
          <w:bCs/>
          <w:szCs w:val="24"/>
        </w:rPr>
        <w:t>de données</w:t>
      </w:r>
      <w:r w:rsidRPr="00BF3CDE">
        <w:rPr>
          <w:szCs w:val="24"/>
        </w:rPr>
        <w:t xml:space="preserve"> sur la pratique de la stérilisation chez les PH </w:t>
      </w:r>
      <w:r w:rsidRPr="00BF3CDE">
        <w:t xml:space="preserve">(réponse à la LoI, para. 46), mais malgré cela, elle n’a jusqu’à présent pas pris de mesures dans le but </w:t>
      </w:r>
      <w:r w:rsidRPr="003507E1">
        <w:t>d’y</w:t>
      </w:r>
      <w:r w:rsidRPr="00BF3CDE">
        <w:t xml:space="preserve"> remédier. Il n’existe par ailleurs pas davantage d’informations sur les interruptions de grossesse chez des femmes «incapables de discernement». </w:t>
      </w:r>
    </w:p>
    <w:p w14:paraId="186C8CEC" w14:textId="2E30813C" w:rsidR="00A717CC" w:rsidRDefault="003507E1" w:rsidP="00A717CC">
      <w:pPr>
        <w:pStyle w:val="BodyText"/>
      </w:pPr>
      <w:r w:rsidRPr="00BF3CDE">
        <w:t xml:space="preserve">Pour ce qui concerne les </w:t>
      </w:r>
      <w:r w:rsidRPr="003507E1">
        <w:t>traitements</w:t>
      </w:r>
      <w:r w:rsidRPr="00BF3CDE">
        <w:t xml:space="preserve"> médica</w:t>
      </w:r>
      <w:r>
        <w:t>ux</w:t>
      </w:r>
      <w:r w:rsidRPr="00BF3CDE">
        <w:t>/chirurgica</w:t>
      </w:r>
      <w:r>
        <w:t>ux</w:t>
      </w:r>
      <w:r w:rsidRPr="00BF3CDE">
        <w:t xml:space="preserve"> </w:t>
      </w:r>
      <w:r>
        <w:t>sur</w:t>
      </w:r>
      <w:r w:rsidRPr="00BF3CDE">
        <w:t xml:space="preserve"> des enfants intersexes, nous renvoyons à l’intervention d’Intersex.ch.</w:t>
      </w:r>
    </w:p>
    <w:p w14:paraId="15DA9671" w14:textId="42D8648B" w:rsidR="00AA6BE7" w:rsidRDefault="00AA6BE7">
      <w:pPr>
        <w:jc w:val="left"/>
      </w:pPr>
      <w:r>
        <w:br w:type="page"/>
      </w:r>
    </w:p>
    <w:p w14:paraId="1766F83A" w14:textId="77777777" w:rsidR="00C177BB" w:rsidRDefault="00A717CC" w:rsidP="00C177BB">
      <w:pPr>
        <w:pStyle w:val="BodyText"/>
        <w:shd w:val="clear" w:color="auto" w:fill="FFFFCC"/>
        <w:spacing w:before="240"/>
        <w:rPr>
          <w:b/>
        </w:rPr>
      </w:pPr>
      <w:r>
        <w:rPr>
          <w:rFonts w:eastAsia="Calibri"/>
          <w:b/>
        </w:rPr>
        <w:lastRenderedPageBreak/>
        <w:t>Propositions de recommandations </w:t>
      </w:r>
      <w:r w:rsidR="00C177BB" w:rsidRPr="00F756DE">
        <w:rPr>
          <w:b/>
        </w:rPr>
        <w:t>:</w:t>
      </w:r>
    </w:p>
    <w:p w14:paraId="5BC5B864" w14:textId="77777777" w:rsidR="003507E1" w:rsidRPr="00BF3CDE" w:rsidRDefault="003507E1" w:rsidP="003507E1">
      <w:pPr>
        <w:pStyle w:val="SBEmpfehlungen"/>
      </w:pPr>
      <w:r w:rsidRPr="00BF3CDE">
        <w:rPr>
          <w:b/>
          <w:bCs/>
        </w:rPr>
        <w:t>La Confédération supprime, sans remplacement</w:t>
      </w:r>
      <w:r w:rsidRPr="00BF3CDE">
        <w:t xml:space="preserve">, les dispositions légales qui permettent les stérilisations et interruptions de grossesse forcées </w:t>
      </w:r>
      <w:r w:rsidRPr="00BF3CDE">
        <w:rPr>
          <w:b/>
          <w:bCs/>
        </w:rPr>
        <w:t>sur la base d’un consentement de substitution</w:t>
      </w:r>
      <w:r w:rsidRPr="00BF3CDE">
        <w:t xml:space="preserve">. </w:t>
      </w:r>
    </w:p>
    <w:p w14:paraId="4B3FB908" w14:textId="07D45789" w:rsidR="003507E1" w:rsidRPr="00BF3CDE" w:rsidRDefault="003507E1" w:rsidP="003507E1">
      <w:pPr>
        <w:pStyle w:val="SBEmpfehlungen"/>
      </w:pPr>
      <w:r w:rsidRPr="00BF3CDE">
        <w:t xml:space="preserve">Les cantons mettent à disposition des femmes </w:t>
      </w:r>
      <w:r w:rsidR="0067149F">
        <w:t>en situation de handicap</w:t>
      </w:r>
      <w:r w:rsidRPr="00BF3CDE">
        <w:t xml:space="preserve"> une </w:t>
      </w:r>
      <w:r w:rsidRPr="00C70B96">
        <w:rPr>
          <w:b/>
        </w:rPr>
        <w:t>assistance</w:t>
      </w:r>
      <w:r w:rsidRPr="00BF3CDE">
        <w:t xml:space="preserve"> professionnelle et indépendante leur permettant d’exercer leurs droits civils, de même que des services complets et inclusifs concernant la santé et les droits sexuels et génésiques, y compris de planning familial et de parentalité assistée.</w:t>
      </w:r>
    </w:p>
    <w:p w14:paraId="644D8F47" w14:textId="19A5BD4B" w:rsidR="00A717CC" w:rsidRPr="003507E1" w:rsidRDefault="003507E1" w:rsidP="003507E1">
      <w:pPr>
        <w:pStyle w:val="SBEmpfehlungen"/>
      </w:pPr>
      <w:r w:rsidRPr="00BF3CDE">
        <w:t xml:space="preserve">La </w:t>
      </w:r>
      <w:r w:rsidRPr="00C70B96">
        <w:rPr>
          <w:b/>
        </w:rPr>
        <w:t>Confédération</w:t>
      </w:r>
      <w:r w:rsidRPr="00BF3CDE">
        <w:t xml:space="preserve"> garantit que dans le cadre d’un </w:t>
      </w:r>
      <w:r w:rsidRPr="00C70B96">
        <w:rPr>
          <w:b/>
        </w:rPr>
        <w:t>mandat de recherche</w:t>
      </w:r>
      <w:r w:rsidRPr="00BF3CDE">
        <w:t xml:space="preserve"> sur la violence à l’</w:t>
      </w:r>
      <w:r>
        <w:t>encontre</w:t>
      </w:r>
      <w:r w:rsidRPr="00BF3CDE">
        <w:t xml:space="preserve"> des PH (cf. art. 16 CDPH), une analyse approfondie porte également sur la </w:t>
      </w:r>
      <w:r w:rsidRPr="00C70B96">
        <w:rPr>
          <w:b/>
        </w:rPr>
        <w:t>pratique de stérilisations et d’interruptions de grossesse</w:t>
      </w:r>
      <w:r w:rsidRPr="00BF3CDE">
        <w:t xml:space="preserve"> chez des personnes resp. des femmes en situation de handicap en Suisse. </w:t>
      </w:r>
    </w:p>
    <w:p w14:paraId="0E7E7834" w14:textId="77777777" w:rsidR="00A717CC" w:rsidRDefault="00A717CC" w:rsidP="00A717CC">
      <w:pPr>
        <w:pStyle w:val="Heading3"/>
        <w:numPr>
          <w:ilvl w:val="0"/>
          <w:numId w:val="0"/>
        </w:numPr>
        <w:ind w:left="737" w:hanging="737"/>
        <w:rPr>
          <w:rFonts w:eastAsia="MS Gothic"/>
        </w:rPr>
      </w:pPr>
      <w:bookmarkStart w:id="96" w:name="_Ref479169284"/>
      <w:bookmarkStart w:id="97" w:name="_Ref479171356"/>
      <w:bookmarkStart w:id="98" w:name="_Toc91237783"/>
      <w:bookmarkStart w:id="99" w:name="_Toc93596144"/>
      <w:bookmarkStart w:id="100" w:name="_Toc95500341"/>
      <w:bookmarkStart w:id="101" w:name="_Ref95737626"/>
      <w:bookmarkStart w:id="102" w:name="_Ref96099224"/>
      <w:bookmarkStart w:id="103" w:name="_Toc96287611"/>
      <w:r w:rsidRPr="00BF3CDE">
        <w:rPr>
          <w:rFonts w:eastAsia="MS Gothic"/>
        </w:rPr>
        <w:t>Art. 19 – Autonomie</w:t>
      </w:r>
      <w:bookmarkEnd w:id="96"/>
      <w:bookmarkEnd w:id="97"/>
      <w:bookmarkEnd w:id="98"/>
      <w:bookmarkEnd w:id="99"/>
      <w:r w:rsidRPr="00BF3CDE">
        <w:rPr>
          <w:rFonts w:eastAsia="MS Gothic"/>
        </w:rPr>
        <w:t xml:space="preserve"> de vie</w:t>
      </w:r>
      <w:bookmarkEnd w:id="100"/>
      <w:bookmarkEnd w:id="101"/>
      <w:bookmarkEnd w:id="102"/>
      <w:bookmarkEnd w:id="103"/>
    </w:p>
    <w:p w14:paraId="32A83706" w14:textId="4B76C274" w:rsidR="003507E1" w:rsidRPr="00BF3CDE" w:rsidRDefault="003507E1" w:rsidP="003507E1">
      <w:pPr>
        <w:pStyle w:val="BodyText"/>
      </w:pPr>
      <w:r w:rsidRPr="00BF3CDE">
        <w:t>Dans le contexte de la RPT</w:t>
      </w:r>
      <w:r w:rsidRPr="00BF3CDE">
        <w:rPr>
          <w:b/>
        </w:rPr>
        <w:t xml:space="preserve"> </w:t>
      </w:r>
      <w:r w:rsidRPr="00BF3CDE">
        <w:t xml:space="preserve">2008, la Confédération (AI) a maintenu le domaine des «mesures de réadaptation individuelles» dans son champ de compétence. </w:t>
      </w:r>
      <w:r>
        <w:t>Elle</w:t>
      </w:r>
      <w:r w:rsidRPr="00BF3CDE">
        <w:t xml:space="preserve"> a transféré la responsabilité en termes de financement de la construction et de l’exploitation de «</w:t>
      </w:r>
      <w:r w:rsidRPr="00A01AEA">
        <w:rPr>
          <w:b/>
        </w:rPr>
        <w:t>homes, ateliers et centres de jour</w:t>
      </w:r>
      <w:r w:rsidRPr="00BF3CDE">
        <w:t>» aux cantons.</w:t>
      </w:r>
      <w:r w:rsidRPr="00BF3CDE">
        <w:rPr>
          <w:rFonts w:eastAsia="Cambria" w:cs="Times New Roman"/>
          <w:vertAlign w:val="superscript"/>
        </w:rPr>
        <w:footnoteReference w:id="150"/>
      </w:r>
      <w:r w:rsidRPr="00BF3CDE">
        <w:t xml:space="preserve"> Comme loi-cadre, </w:t>
      </w:r>
      <w:r>
        <w:t>elle</w:t>
      </w:r>
      <w:r w:rsidRPr="00BF3CDE">
        <w:t xml:space="preserve"> a édicté la LIPPI dans le but de garantir «à toutes les personnes invalides qui en ont besoin et qui le souhaitent», une </w:t>
      </w:r>
      <w:r w:rsidRPr="00BF3CDE">
        <w:lastRenderedPageBreak/>
        <w:t xml:space="preserve">place dans une institution. «L’intégration» telle que l’entend la LIPPI couvre le logement, le travail, l’occupation et d’autres activités pratiquées la journée </w:t>
      </w:r>
      <w:r w:rsidRPr="00A01AEA">
        <w:rPr>
          <w:b/>
        </w:rPr>
        <w:t>dans une</w:t>
      </w:r>
      <w:r w:rsidRPr="00A01AEA">
        <w:rPr>
          <w:b/>
          <w:i/>
        </w:rPr>
        <w:t xml:space="preserve"> </w:t>
      </w:r>
      <w:r w:rsidRPr="00A01AEA">
        <w:rPr>
          <w:b/>
        </w:rPr>
        <w:t>communauté</w:t>
      </w:r>
      <w:r w:rsidRPr="00BF3CDE">
        <w:t xml:space="preserve"> («</w:t>
      </w:r>
      <w:r w:rsidRPr="00A01AEA">
        <w:rPr>
          <w:b/>
        </w:rPr>
        <w:t>intégration en milieu résidentiel</w:t>
      </w:r>
      <w:r w:rsidRPr="00BF3CDE">
        <w:t>»); la réglementation de «</w:t>
      </w:r>
      <w:r w:rsidRPr="00A01AEA">
        <w:rPr>
          <w:b/>
        </w:rPr>
        <w:t>l’intégration ambulatoire</w:t>
      </w:r>
      <w:r w:rsidRPr="00BF3CDE">
        <w:t>» est de la compétence des cantons. En vue de la mise en œuvre de la LIPPI, les cantons devaient élaborer desdits plans stratégiques visant à promouvoir l’intégration des personnes invalides et, le cas échéant, adapter leurs bases légales.</w:t>
      </w:r>
      <w:r w:rsidRPr="00BF3CDE">
        <w:rPr>
          <w:rFonts w:eastAsia="Cambria" w:cs="Times New Roman"/>
          <w:vertAlign w:val="superscript"/>
        </w:rPr>
        <w:footnoteReference w:id="151"/>
      </w:r>
      <w:r w:rsidRPr="00BF3CDE">
        <w:t xml:space="preserve"> Sur le plan intercantonal, ils étaient accompagnés par la CDAS qui a institué la CDQH, une plateforme d’information et d’échange sur des thèmes spécifiques. </w:t>
      </w:r>
    </w:p>
    <w:p w14:paraId="24D61B77" w14:textId="1F525903" w:rsidR="00A717CC" w:rsidRPr="00A717CC" w:rsidRDefault="003507E1" w:rsidP="00127AD3">
      <w:pPr>
        <w:pStyle w:val="BodyText"/>
      </w:pPr>
      <w:r w:rsidRPr="00BF3CDE">
        <w:t xml:space="preserve">Dans le cadre du </w:t>
      </w:r>
      <w:r w:rsidRPr="00BF3CDE">
        <w:rPr>
          <w:b/>
        </w:rPr>
        <w:t>système</w:t>
      </w:r>
      <w:r w:rsidRPr="00BF3CDE">
        <w:t xml:space="preserve"> ainsi mis en place, de nombreuses PH en Suisse restent jusqu’à aujourd’hui </w:t>
      </w:r>
      <w:r w:rsidRPr="00BF3CDE">
        <w:rPr>
          <w:b/>
          <w:bCs/>
        </w:rPr>
        <w:t>privées de la possibilité de mener une vie autodéterminée</w:t>
      </w:r>
      <w:r>
        <w:t>.</w:t>
      </w:r>
      <w:r w:rsidRPr="003507E1">
        <w:t xml:space="preserve"> </w:t>
      </w:r>
    </w:p>
    <w:p w14:paraId="44E85D07" w14:textId="1E14D6B9" w:rsidR="00A717CC" w:rsidRPr="00BF3CDE" w:rsidRDefault="00A717CC" w:rsidP="00A717CC">
      <w:pPr>
        <w:pStyle w:val="Subtitle"/>
      </w:pPr>
      <w:r w:rsidRPr="00BF3CDE">
        <w:t>Manque de mesures/stratégie d</w:t>
      </w:r>
      <w:r w:rsidR="00E77057">
        <w:t xml:space="preserve">e désinstitutionnalisation (LoI, </w:t>
      </w:r>
      <w:r w:rsidRPr="00BF3CDE">
        <w:t>15b)</w:t>
      </w:r>
    </w:p>
    <w:p w14:paraId="57917396" w14:textId="7EBDAA7F" w:rsidR="00127AD3" w:rsidRPr="00BF3CDE" w:rsidRDefault="00127AD3" w:rsidP="00127AD3">
      <w:pPr>
        <w:pStyle w:val="BodyText"/>
      </w:pPr>
      <w:r w:rsidRPr="00BF3CDE">
        <w:t xml:space="preserve">Au niveau fédéral resp. intercantonal, le </w:t>
      </w:r>
      <w:r>
        <w:rPr>
          <w:b/>
        </w:rPr>
        <w:t>p</w:t>
      </w:r>
      <w:r w:rsidRPr="00BF3CDE">
        <w:rPr>
          <w:b/>
        </w:rPr>
        <w:t>rogramme «Autonomie»</w:t>
      </w:r>
      <w:r w:rsidRPr="00BF3CDE">
        <w:t xml:space="preserve"> (2018-2021) devait permettre d’acquérir une vue d’ensemble des offres en matière de domicile, de connaissances sur les modalités de logement autonome et de financement ainsi que sur la réalisation de projets pilote.</w:t>
      </w:r>
      <w:r w:rsidRPr="00BF3CDE">
        <w:rPr>
          <w:rFonts w:eastAsia="Cambria" w:cs="Times New Roman"/>
          <w:vertAlign w:val="superscript"/>
        </w:rPr>
        <w:footnoteReference w:id="152"/>
      </w:r>
      <w:r w:rsidRPr="00BF3CDE">
        <w:t xml:space="preserve"> Les éléments mis en œuvre sont notamment un état des lieux de l’offre en matière de logements </w:t>
      </w:r>
      <w:r w:rsidRPr="00BF3CDE">
        <w:lastRenderedPageBreak/>
        <w:t>pour PH ainsi qu’une évaluation (supplémentaire) de la contribution d’assistance de l’AI.</w:t>
      </w:r>
      <w:bookmarkStart w:id="104" w:name="_Ref95745106"/>
      <w:r w:rsidRPr="00BF3CDE">
        <w:rPr>
          <w:rFonts w:eastAsia="Cambria" w:cs="Times New Roman"/>
          <w:vertAlign w:val="superscript"/>
        </w:rPr>
        <w:footnoteReference w:id="153"/>
      </w:r>
      <w:bookmarkEnd w:id="104"/>
      <w:r w:rsidRPr="00BF3CDE">
        <w:t xml:space="preserve"> Malgré divers défauts</w:t>
      </w:r>
      <w:bookmarkStart w:id="105" w:name="_Ref95744995"/>
      <w:r w:rsidRPr="00BF3CDE">
        <w:rPr>
          <w:rFonts w:eastAsia="Cambria" w:cs="Times New Roman"/>
          <w:vertAlign w:val="superscript"/>
        </w:rPr>
        <w:footnoteReference w:id="154"/>
      </w:r>
      <w:bookmarkEnd w:id="105"/>
      <w:r w:rsidRPr="00BF3CDE">
        <w:t xml:space="preserve">, l’état des lieux fournit une certaine base </w:t>
      </w:r>
      <w:r w:rsidR="0067149F">
        <w:t>pour</w:t>
      </w:r>
      <w:r w:rsidRPr="00BF3CDE">
        <w:t xml:space="preserve"> déterminer des mesures en vue d’une deuxième phase du programme; une étude de suivi sur les flux financiers est en cours d’élaboration. Via la CDAS, les cantons ont en outre formulé un </w:t>
      </w:r>
      <w:r w:rsidRPr="00BF3CDE">
        <w:rPr>
          <w:b/>
          <w:bCs/>
        </w:rPr>
        <w:t>bref document</w:t>
      </w:r>
      <w:r w:rsidRPr="00BF3CDE">
        <w:t xml:space="preserve"> qui présente une </w:t>
      </w:r>
      <w:r w:rsidRPr="00BF3CDE">
        <w:rPr>
          <w:b/>
          <w:bCs/>
        </w:rPr>
        <w:t>vision commune</w:t>
      </w:r>
      <w:r w:rsidRPr="00BF3CDE">
        <w:t xml:space="preserve"> concernant la liberté de choix du lieu de résidence d’ici 2030.</w:t>
      </w:r>
      <w:r w:rsidRPr="00BF3CDE">
        <w:rPr>
          <w:rFonts w:eastAsia="Cambria" w:cs="Times New Roman"/>
          <w:vertAlign w:val="superscript"/>
        </w:rPr>
        <w:footnoteReference w:id="155"/>
      </w:r>
    </w:p>
    <w:p w14:paraId="020C2BA2" w14:textId="6D024C4E" w:rsidR="00127AD3" w:rsidRPr="00BF3CDE" w:rsidRDefault="00127AD3" w:rsidP="00127AD3">
      <w:pPr>
        <w:pStyle w:val="BodyText"/>
      </w:pPr>
      <w:r w:rsidRPr="00BF3CDE">
        <w:t xml:space="preserve">Ni le programme </w:t>
      </w:r>
      <w:r>
        <w:t>«</w:t>
      </w:r>
      <w:r w:rsidRPr="00BF3CDE">
        <w:t>Autonomie</w:t>
      </w:r>
      <w:r>
        <w:t>»</w:t>
      </w:r>
      <w:r w:rsidRPr="00BF3CDE">
        <w:t xml:space="preserve"> ni la vision de la CDAS ne peuvent être qualifiés de stratégie de </w:t>
      </w:r>
      <w:r w:rsidRPr="00BF3CDE">
        <w:rPr>
          <w:b/>
        </w:rPr>
        <w:t>désinstitutionnalisation</w:t>
      </w:r>
      <w:r w:rsidRPr="00BF3CDE">
        <w:t xml:space="preserve"> au sens de l’OG n° 5</w:t>
      </w:r>
      <w:r w:rsidR="0067149F">
        <w:t>.</w:t>
      </w:r>
      <w:r w:rsidRPr="00BF3CDE">
        <w:rPr>
          <w:rFonts w:eastAsia="Cambria" w:cs="Times New Roman"/>
          <w:vertAlign w:val="superscript"/>
        </w:rPr>
        <w:footnoteReference w:id="156"/>
      </w:r>
      <w:r w:rsidRPr="00BF3CDE">
        <w:t xml:space="preserve"> Au contraire: la Confédération et les cantons écartent consciemment </w:t>
      </w:r>
      <w:r>
        <w:t>la</w:t>
      </w:r>
      <w:r w:rsidRPr="00BF3CDE">
        <w:t xml:space="preserve"> dimension d’un processus de transition. </w:t>
      </w:r>
      <w:r w:rsidRPr="00BF3CDE">
        <w:rPr>
          <w:b/>
          <w:bCs/>
        </w:rPr>
        <w:t xml:space="preserve">Aucune mention </w:t>
      </w:r>
      <w:r w:rsidRPr="00BF3CDE">
        <w:t xml:space="preserve">n’y figure sur </w:t>
      </w:r>
      <w:r w:rsidRPr="00BF3CDE">
        <w:rPr>
          <w:b/>
        </w:rPr>
        <w:t xml:space="preserve">l’abandon/le remplacement graduel </w:t>
      </w:r>
      <w:r w:rsidRPr="00BF3CDE">
        <w:t xml:space="preserve">des formes d’habitat institutionnelles, sur le transfert systématique des ressources et l’adaptation des planifications des besoins. Par ailleurs, </w:t>
      </w:r>
      <w:r>
        <w:t xml:space="preserve">il manque à ce jour également </w:t>
      </w:r>
      <w:r w:rsidRPr="00BF3CDE">
        <w:t xml:space="preserve">un plan relatif au développement et à la nouvelle conception des </w:t>
      </w:r>
      <w:r w:rsidRPr="00BF3CDE">
        <w:rPr>
          <w:b/>
        </w:rPr>
        <w:t>prestations de soutien</w:t>
      </w:r>
      <w:r w:rsidRPr="00BF3CDE">
        <w:t>.</w:t>
      </w:r>
    </w:p>
    <w:p w14:paraId="27F29176" w14:textId="5274E9D0" w:rsidR="00127AD3" w:rsidRPr="00BF3CDE" w:rsidRDefault="00127AD3" w:rsidP="00127AD3">
      <w:pPr>
        <w:pStyle w:val="BodyText"/>
      </w:pPr>
      <w:r w:rsidRPr="00BF3CDE">
        <w:lastRenderedPageBreak/>
        <w:t xml:space="preserve">Il en va de même pour les bases légales et plans stratégiques </w:t>
      </w:r>
      <w:r w:rsidRPr="00BF3CDE">
        <w:rPr>
          <w:b/>
        </w:rPr>
        <w:t>cantonaux</w:t>
      </w:r>
      <w:r w:rsidRPr="00BF3CDE">
        <w:t xml:space="preserve">. Ils mettent l’accent sur des offres </w:t>
      </w:r>
      <w:r w:rsidRPr="00BF3CDE">
        <w:rPr>
          <w:b/>
        </w:rPr>
        <w:t>institutionnelles</w:t>
      </w:r>
      <w:r w:rsidRPr="00BF3CDE">
        <w:t>, tandis que des modalités de logement ambulatoires restent largement ignorées. L’</w:t>
      </w:r>
      <w:r w:rsidRPr="00BF3CDE">
        <w:rPr>
          <w:b/>
        </w:rPr>
        <w:t>analyse et la planification des besoins</w:t>
      </w:r>
      <w:r w:rsidRPr="00BF3CDE">
        <w:t xml:space="preserve"> se limite</w:t>
      </w:r>
      <w:r w:rsidR="0067149F">
        <w:t>nt</w:t>
      </w:r>
      <w:r w:rsidRPr="00BF3CDE">
        <w:t xml:space="preserve"> en règle générale aux places en institutions financées par le canton via des contrats de prestations. Une </w:t>
      </w:r>
      <w:r w:rsidRPr="00BF3CDE">
        <w:rPr>
          <w:b/>
        </w:rPr>
        <w:t xml:space="preserve">incitation négative </w:t>
      </w:r>
      <w:r w:rsidRPr="00BF3CDE">
        <w:rPr>
          <w:bCs/>
        </w:rPr>
        <w:t>réside dans le fait que les institutions encourent des pertes en cas de remplissage insuffisant</w:t>
      </w:r>
      <w:r w:rsidRPr="00BF3CDE">
        <w:t xml:space="preserve">. Il est certes vrai que quelques cantons tentent actuellement d’opérer une transition d’un mode de financement par objet vers un </w:t>
      </w:r>
      <w:r w:rsidRPr="00BF3CDE">
        <w:rPr>
          <w:b/>
          <w:bCs/>
        </w:rPr>
        <w:t>financement par sujet</w:t>
      </w:r>
      <w:r w:rsidRPr="00BF3CDE">
        <w:t>. Les contributions financières doivent parvenir directement aux personnes concernées et être utilisées par elles pour des prestations de soutien. Or, la cimentation du domaine de l’habitat dans les structures RPT rendent un tel changement de paradigme extrêmement difficile.</w:t>
      </w:r>
      <w:r w:rsidRPr="00BF3CDE">
        <w:rPr>
          <w:vertAlign w:val="superscript"/>
        </w:rPr>
        <w:footnoteReference w:id="157"/>
      </w:r>
      <w:r w:rsidRPr="00BF3CDE">
        <w:t xml:space="preserve">  </w:t>
      </w:r>
    </w:p>
    <w:p w14:paraId="1FC32AC5" w14:textId="77777777" w:rsidR="00127AD3" w:rsidRPr="00BF3CDE" w:rsidRDefault="00127AD3" w:rsidP="00127AD3">
      <w:pPr>
        <w:pStyle w:val="BodyText"/>
        <w:rPr>
          <w:bCs/>
        </w:rPr>
      </w:pPr>
      <w:r w:rsidRPr="00BF3CDE">
        <w:t xml:space="preserve">Dans des cantons de plus grande envergure a eu lieu ces dernières années une certaine </w:t>
      </w:r>
      <w:r w:rsidRPr="00BF3CDE">
        <w:rPr>
          <w:b/>
        </w:rPr>
        <w:t>diversification de l’offre institutionnelle en matière de logement</w:t>
      </w:r>
      <w:r w:rsidRPr="0067149F">
        <w:t>;</w:t>
      </w:r>
      <w:r w:rsidRPr="00BF3CDE">
        <w:t xml:space="preserve"> des institutions gèrent en partie des unités de logement plus petites ou louent des appartements. Parallèlement, la taille moyenne des institutions s’est agrandie à 41 places. Quant à l’étendue des entraves à la liberté par les règlements, les temps de présence et le manque de possibilités de choix, il existe de nettes différences d’une institution à l’autre.</w:t>
      </w:r>
      <w:r w:rsidRPr="00BF3CDE">
        <w:rPr>
          <w:vertAlign w:val="superscript"/>
        </w:rPr>
        <w:footnoteReference w:id="158"/>
      </w:r>
      <w:r w:rsidRPr="00BF3CDE">
        <w:t xml:space="preserve"> Selon leur «plan d’action CDPH», les associations de branche nationales œuvrent en faveur de la flexibilisation et </w:t>
      </w:r>
      <w:r w:rsidRPr="00BF3CDE">
        <w:rPr>
          <w:bCs/>
        </w:rPr>
        <w:t xml:space="preserve">individualisation </w:t>
      </w:r>
      <w:r w:rsidRPr="00BF3CDE">
        <w:rPr>
          <w:bCs/>
        </w:rPr>
        <w:lastRenderedPageBreak/>
        <w:t>des offres de soutien et de l’aide aux personnes concernées à l’autonomisation.</w:t>
      </w:r>
      <w:r w:rsidRPr="00BF3CDE">
        <w:rPr>
          <w:rFonts w:eastAsia="Cambria" w:cs="Times New Roman"/>
          <w:bCs/>
          <w:vertAlign w:val="superscript"/>
        </w:rPr>
        <w:footnoteReference w:id="159"/>
      </w:r>
      <w:r w:rsidRPr="00BF3CDE">
        <w:rPr>
          <w:bCs/>
        </w:rPr>
        <w:t xml:space="preserve"> </w:t>
      </w:r>
    </w:p>
    <w:p w14:paraId="2145A33F" w14:textId="504AD8BE" w:rsidR="00C177BB" w:rsidRPr="00F756DE" w:rsidRDefault="00127AD3" w:rsidP="00127AD3">
      <w:pPr>
        <w:pStyle w:val="BodyText"/>
      </w:pPr>
      <w:r w:rsidRPr="00BF3CDE">
        <w:t xml:space="preserve">Le concept du programme </w:t>
      </w:r>
      <w:r>
        <w:t>«</w:t>
      </w:r>
      <w:r w:rsidRPr="00BF3CDE">
        <w:t>Autonomie 2023-2026</w:t>
      </w:r>
      <w:r>
        <w:t>»</w:t>
      </w:r>
      <w:r w:rsidRPr="00BF3CDE">
        <w:t xml:space="preserve"> devrait être adopté mi-mai 2022. Jusqu’à présent, les organisations de PH n’y ont été associées que dans une faible mesure, les expert-e-s internationaux pas du tout; la précision avec laquelle les objectifs ont été formulés doit être saluée.</w:t>
      </w:r>
    </w:p>
    <w:p w14:paraId="517D9E97" w14:textId="77777777" w:rsidR="00127AD3" w:rsidRDefault="009515C5" w:rsidP="009515C5">
      <w:pPr>
        <w:pStyle w:val="Subtitle"/>
        <w:rPr>
          <w:bCs/>
        </w:rPr>
      </w:pPr>
      <w:r w:rsidRPr="00BF3CDE">
        <w:t xml:space="preserve">Insuffisance des prestations d’aide pour un mode d’habitat autonome </w:t>
      </w:r>
      <w:r w:rsidRPr="00BF3CDE">
        <w:rPr>
          <w:bCs/>
        </w:rPr>
        <w:t>(LoI 15.b)</w:t>
      </w:r>
    </w:p>
    <w:p w14:paraId="314356E1" w14:textId="77777777" w:rsidR="00127AD3" w:rsidRPr="00BF3CDE" w:rsidRDefault="00127AD3" w:rsidP="00127AD3">
      <w:pPr>
        <w:pStyle w:val="BodyText"/>
      </w:pPr>
      <w:r w:rsidRPr="00BF3CDE">
        <w:t xml:space="preserve">Jusqu’à présent, les PH touchent (en plus d’une rente) </w:t>
      </w:r>
      <w:r w:rsidRPr="00BF3CDE">
        <w:rPr>
          <w:b/>
          <w:bCs/>
        </w:rPr>
        <w:t>avant tout de l’AI</w:t>
      </w:r>
      <w:r w:rsidRPr="00BF3CDE">
        <w:t xml:space="preserve"> certaines aides financières destinées à leur permettre de vivre chez elles de façon autonome (cf. liste dans PRE para. 94 s., réponse à la LoI para. </w:t>
      </w:r>
      <w:r w:rsidRPr="008B7864">
        <w:t>15a/b).</w:t>
      </w:r>
      <w:r w:rsidRPr="00BF3CDE">
        <w:t xml:space="preserve"> L’</w:t>
      </w:r>
      <w:r>
        <w:t>é</w:t>
      </w:r>
      <w:r w:rsidRPr="00BF3CDE">
        <w:t xml:space="preserve">tat des lieux mentionné montre que seul un </w:t>
      </w:r>
      <w:r w:rsidRPr="00BF3CDE">
        <w:rPr>
          <w:b/>
          <w:bCs/>
        </w:rPr>
        <w:t>nombre proportionnellement faible de personnes</w:t>
      </w:r>
      <w:r w:rsidRPr="00BF3CDE">
        <w:t xml:space="preserve"> touche – hormis ladite allocation pour impotence (ApI)</w:t>
      </w:r>
      <w:r w:rsidRPr="00BF3CDE">
        <w:rPr>
          <w:rFonts w:eastAsia="Cambria" w:cs="Times New Roman"/>
          <w:bCs/>
          <w:vertAlign w:val="superscript"/>
        </w:rPr>
        <w:footnoteReference w:id="160"/>
      </w:r>
      <w:r w:rsidRPr="00BF3CDE">
        <w:t xml:space="preserve"> – ces contributions fortement fragmentées.</w:t>
      </w:r>
      <w:r w:rsidRPr="00BF3CDE">
        <w:rPr>
          <w:rFonts w:eastAsia="Cambria" w:cs="Times New Roman"/>
          <w:bCs/>
          <w:vertAlign w:val="superscript"/>
        </w:rPr>
        <w:footnoteReference w:id="161"/>
      </w:r>
      <w:r w:rsidRPr="00BF3CDE">
        <w:rPr>
          <w:bCs/>
        </w:rPr>
        <w:t xml:space="preserve"> Il en va de même </w:t>
      </w:r>
      <w:r w:rsidRPr="00BF3CDE">
        <w:rPr>
          <w:bCs/>
        </w:rPr>
        <w:lastRenderedPageBreak/>
        <w:t>notamment en ce qui concerne la contribution d’assistance de l’AI</w:t>
      </w:r>
      <w:r w:rsidRPr="00BF3CDE">
        <w:t xml:space="preserve">. Le </w:t>
      </w:r>
      <w:r w:rsidRPr="00F16321">
        <w:rPr>
          <w:b/>
          <w:iCs/>
        </w:rPr>
        <w:t>développement</w:t>
      </w:r>
      <w:r w:rsidRPr="00BF3CDE">
        <w:rPr>
          <w:b/>
        </w:rPr>
        <w:t xml:space="preserve"> effectif </w:t>
      </w:r>
      <w:r w:rsidRPr="00BF3CDE">
        <w:t>de prestations remonte à très lo</w:t>
      </w:r>
      <w:r>
        <w:t>in</w:t>
      </w:r>
      <w:r w:rsidRPr="00BF3CDE">
        <w:t>.</w:t>
      </w:r>
      <w:r w:rsidRPr="00BF3CDE">
        <w:rPr>
          <w:vertAlign w:val="superscript"/>
        </w:rPr>
        <w:footnoteReference w:id="162"/>
      </w:r>
    </w:p>
    <w:p w14:paraId="7F68B8A5" w14:textId="77777777" w:rsidR="00127AD3" w:rsidRPr="00BF3CDE" w:rsidRDefault="00127AD3" w:rsidP="00127AD3">
      <w:pPr>
        <w:pStyle w:val="BodyText"/>
      </w:pPr>
      <w:r w:rsidRPr="00BF3CDE">
        <w:t xml:space="preserve">Parallèlement, </w:t>
      </w:r>
      <w:r w:rsidRPr="00BF3CDE">
        <w:rPr>
          <w:b/>
        </w:rPr>
        <w:t>plusieurs cantons</w:t>
      </w:r>
      <w:r w:rsidRPr="00BF3CDE">
        <w:t xml:space="preserve"> s’efforcent de développer les modalités de logement autonomes moyennant un «cofinancement pragmatique dans le cas d’espèce» et le lancement de projets pilote, mais en particulier aussi par des </w:t>
      </w:r>
      <w:r w:rsidRPr="00BF3CDE">
        <w:rPr>
          <w:b/>
          <w:bCs/>
        </w:rPr>
        <w:t>prestations ambulatoires définies par la loi</w:t>
      </w:r>
      <w:r w:rsidRPr="00BF3CDE">
        <w:t xml:space="preserve"> (BS, BL, ZG, TG, ZH).</w:t>
      </w:r>
      <w:r w:rsidRPr="00BF3CDE">
        <w:rPr>
          <w:rFonts w:eastAsia="Cambria" w:cs="Times New Roman"/>
          <w:vertAlign w:val="superscript"/>
        </w:rPr>
        <w:footnoteReference w:id="163"/>
      </w:r>
      <w:r w:rsidRPr="00BF3CDE">
        <w:t xml:space="preserve"> </w:t>
      </w:r>
    </w:p>
    <w:p w14:paraId="6F809A02" w14:textId="3980B5E4" w:rsidR="00127AD3" w:rsidRDefault="00127AD3" w:rsidP="00127AD3">
      <w:pPr>
        <w:pStyle w:val="BodyText"/>
      </w:pPr>
      <w:r w:rsidRPr="00BF3CDE">
        <w:t xml:space="preserve">Par rapport à l’OG </w:t>
      </w:r>
      <w:r w:rsidR="00F16321">
        <w:t>n</w:t>
      </w:r>
      <w:r w:rsidR="00F16321" w:rsidRPr="00F16321">
        <w:rPr>
          <w:vertAlign w:val="superscript"/>
        </w:rPr>
        <w:t>o</w:t>
      </w:r>
      <w:r w:rsidR="00F16321">
        <w:t xml:space="preserve"> 5</w:t>
      </w:r>
      <w:r w:rsidRPr="00BF3CDE">
        <w:rPr>
          <w:rFonts w:eastAsia="Cambria" w:cs="Times New Roman"/>
          <w:vertAlign w:val="superscript"/>
        </w:rPr>
        <w:footnoteReference w:id="164"/>
      </w:r>
      <w:r w:rsidRPr="00BF3CDE">
        <w:t xml:space="preserve">, les </w:t>
      </w:r>
      <w:r w:rsidRPr="00BF3CDE">
        <w:rPr>
          <w:b/>
        </w:rPr>
        <w:t>défauts</w:t>
      </w:r>
      <w:r w:rsidRPr="00BF3CDE">
        <w:t xml:space="preserve"> suivants caractérisent </w:t>
      </w:r>
      <w:r w:rsidRPr="00BF3CDE">
        <w:rPr>
          <w:b/>
        </w:rPr>
        <w:t>l’ensemble des contributions d’aide existantes</w:t>
      </w:r>
      <w:r w:rsidRPr="00BF3CDE">
        <w:t>:</w:t>
      </w:r>
    </w:p>
    <w:p w14:paraId="4AF6FEBE" w14:textId="77777777" w:rsidR="00127AD3" w:rsidRPr="00BF3CDE" w:rsidRDefault="00127AD3" w:rsidP="00B857BD">
      <w:pPr>
        <w:pStyle w:val="BodyText"/>
        <w:numPr>
          <w:ilvl w:val="0"/>
          <w:numId w:val="19"/>
        </w:numPr>
      </w:pPr>
      <w:r w:rsidRPr="00BF3CDE">
        <w:t>forte fragmentation dans l’ensemble des branches d’assurances sociales (LAI, LAA, LAVS, LAMal) et à l’intérieur d’une branche (notamment LAI); manque de lisibilité; incohérence resp. manque de coordination</w:t>
      </w:r>
      <w:r w:rsidRPr="00BF3CDE">
        <w:rPr>
          <w:rFonts w:eastAsia="Cambria" w:cs="Times New Roman"/>
          <w:vertAlign w:val="superscript"/>
        </w:rPr>
        <w:footnoteReference w:id="165"/>
      </w:r>
    </w:p>
    <w:p w14:paraId="00978D67" w14:textId="77777777" w:rsidR="00127AD3" w:rsidRPr="00BF3CDE" w:rsidRDefault="00127AD3" w:rsidP="00B857BD">
      <w:pPr>
        <w:pStyle w:val="BodyText"/>
        <w:numPr>
          <w:ilvl w:val="0"/>
          <w:numId w:val="19"/>
        </w:numPr>
      </w:pPr>
      <w:r w:rsidRPr="00BF3CDE">
        <w:t>des règles figées excluant certains types de handicaps du fait des conditions d’accès, des échelons de besoins et des plafonds</w:t>
      </w:r>
    </w:p>
    <w:p w14:paraId="51185BBE" w14:textId="77777777" w:rsidR="00127AD3" w:rsidRPr="00BF3CDE" w:rsidRDefault="00127AD3" w:rsidP="00B857BD">
      <w:pPr>
        <w:pStyle w:val="BodyText"/>
        <w:numPr>
          <w:ilvl w:val="0"/>
          <w:numId w:val="19"/>
        </w:numPr>
      </w:pPr>
      <w:r w:rsidRPr="00BF3CDE">
        <w:lastRenderedPageBreak/>
        <w:t>instruments inappropriés de recensement des besoins, manque d</w:t>
      </w:r>
      <w:r>
        <w:t>’</w:t>
      </w:r>
      <w:r w:rsidRPr="00BF3CDE">
        <w:t xml:space="preserve">instances d’évaluation indépendantes </w:t>
      </w:r>
    </w:p>
    <w:p w14:paraId="2E847220" w14:textId="77777777" w:rsidR="00127AD3" w:rsidRPr="00BF3CDE" w:rsidRDefault="00127AD3" w:rsidP="00B857BD">
      <w:pPr>
        <w:pStyle w:val="BodyText"/>
        <w:numPr>
          <w:ilvl w:val="0"/>
          <w:numId w:val="19"/>
        </w:numPr>
      </w:pPr>
      <w:r w:rsidRPr="00BF3CDE">
        <w:t>démarches compliquées et surformalisées pour faire valoir ses droits</w:t>
      </w:r>
    </w:p>
    <w:p w14:paraId="2A1AFC5C" w14:textId="77777777" w:rsidR="00127AD3" w:rsidRPr="00BF3CDE" w:rsidRDefault="00127AD3" w:rsidP="00B857BD">
      <w:pPr>
        <w:pStyle w:val="BodyText"/>
        <w:numPr>
          <w:ilvl w:val="0"/>
          <w:numId w:val="19"/>
        </w:numPr>
      </w:pPr>
      <w:r w:rsidRPr="00BF3CDE">
        <w:t>offre trop faible en matière de services d’accompagnement à domicile</w:t>
      </w:r>
      <w:r w:rsidRPr="00BF3CDE">
        <w:rPr>
          <w:rFonts w:eastAsia="Cambria" w:cs="Times New Roman"/>
          <w:vertAlign w:val="superscript"/>
        </w:rPr>
        <w:footnoteReference w:id="166"/>
      </w:r>
    </w:p>
    <w:p w14:paraId="68501AE1" w14:textId="77777777" w:rsidR="00127AD3" w:rsidRPr="00BF3CDE" w:rsidRDefault="00127AD3" w:rsidP="00127AD3">
      <w:pPr>
        <w:pStyle w:val="BodyText"/>
      </w:pPr>
      <w:r w:rsidRPr="00BF3CDE">
        <w:t xml:space="preserve">En raison de ces </w:t>
      </w:r>
      <w:r>
        <w:t>carences</w:t>
      </w:r>
      <w:r w:rsidRPr="00BF3CDE">
        <w:t xml:space="preserve">, de nombreuses personnes ne peuvent </w:t>
      </w:r>
      <w:r w:rsidRPr="00BF3CDE">
        <w:rPr>
          <w:b/>
          <w:bCs/>
        </w:rPr>
        <w:t>pas recourir à l’assistance personnelle</w:t>
      </w:r>
      <w:r w:rsidRPr="00BF3CDE">
        <w:t xml:space="preserve"> au sens du para. 16d OG n° 5. </w:t>
      </w:r>
    </w:p>
    <w:p w14:paraId="64241230" w14:textId="4FCF8C2A" w:rsidR="00127AD3" w:rsidRPr="00BF3CDE" w:rsidRDefault="00127AD3" w:rsidP="00127AD3">
      <w:pPr>
        <w:pStyle w:val="BodyText"/>
      </w:pPr>
      <w:r w:rsidRPr="00BF3CDE">
        <w:t xml:space="preserve">Si l’on regarde, à titre d’exemple, la </w:t>
      </w:r>
      <w:r w:rsidRPr="00BF3CDE">
        <w:rPr>
          <w:b/>
          <w:bCs/>
        </w:rPr>
        <w:t>contribution d’assistance de l</w:t>
      </w:r>
      <w:r w:rsidR="00F16321">
        <w:rPr>
          <w:b/>
          <w:bCs/>
        </w:rPr>
        <w:t>’</w:t>
      </w:r>
      <w:r w:rsidRPr="00BF3CDE">
        <w:rPr>
          <w:b/>
          <w:bCs/>
        </w:rPr>
        <w:t>AI</w:t>
      </w:r>
      <w:r w:rsidRPr="00BF3CDE">
        <w:t>, l’évaluation a mis en évidence que trois quarts des bénéficiaires interrogés en sont en principe (très) satisfaits pour ce qui est de l’amélioration de leur qualité de vie et de leur autonomie. En même temps, ils ont critiqué les processus administratifs compliqués et pas toujours entièrement accessibles, un besoin d’aide sous-évalué</w:t>
      </w:r>
      <w:r w:rsidRPr="00BF3CDE">
        <w:rPr>
          <w:rFonts w:eastAsia="Cambria" w:cs="Times New Roman"/>
          <w:vertAlign w:val="superscript"/>
        </w:rPr>
        <w:footnoteReference w:id="167"/>
      </w:r>
      <w:r w:rsidRPr="00BF3CDE">
        <w:t xml:space="preserve"> et l’impossibilité d’engager des membres de la famille et les partenaires (ou conjoint-e-s) comme assistant-e-s.</w:t>
      </w:r>
      <w:r w:rsidRPr="00BF3CDE">
        <w:rPr>
          <w:rFonts w:eastAsia="Cambria" w:cs="Times New Roman"/>
          <w:vertAlign w:val="superscript"/>
        </w:rPr>
        <w:footnoteReference w:id="168"/>
      </w:r>
      <w:r w:rsidRPr="00BF3CDE">
        <w:t xml:space="preserve"> Les </w:t>
      </w:r>
      <w:r w:rsidRPr="00BF3CDE">
        <w:rPr>
          <w:b/>
          <w:bCs/>
        </w:rPr>
        <w:t>obstacles</w:t>
      </w:r>
      <w:r w:rsidRPr="00BF3CDE">
        <w:t xml:space="preserve"> considérables </w:t>
      </w:r>
      <w:r w:rsidRPr="00BF3CDE">
        <w:rPr>
          <w:b/>
          <w:bCs/>
        </w:rPr>
        <w:t xml:space="preserve">dans </w:t>
      </w:r>
      <w:r w:rsidRPr="00F16321">
        <w:rPr>
          <w:b/>
          <w:bCs/>
          <w:iCs/>
        </w:rPr>
        <w:t>l’accès</w:t>
      </w:r>
      <w:r w:rsidRPr="00BF3CDE">
        <w:t xml:space="preserve"> à la contribution d’assistance, critiqués unanimement par les expert-e-s, n’ont pas été étudiés. Ainsi, l’une des </w:t>
      </w:r>
      <w:r w:rsidRPr="00BF3CDE">
        <w:rPr>
          <w:b/>
          <w:bCs/>
        </w:rPr>
        <w:t>conditions d’octroi</w:t>
      </w:r>
      <w:r w:rsidRPr="00BF3CDE">
        <w:t xml:space="preserve"> à remplir de façon cumulative réside dans le fait de toucher une ApI; les personnes qui ne remplissent pas les critères ApI, notamment celles ayant </w:t>
      </w:r>
      <w:r w:rsidRPr="00BF3CDE">
        <w:lastRenderedPageBreak/>
        <w:t xml:space="preserve">des handicaps psychiques, ne se voient pas accorder de contribution d’assistance. Des conditions d’octroi supplémentaires en cas d’«exercice limité des droits civils» ainsi que le manque d’offres de soutien dans l’exercice du rôle d’employeur ont pour effet d’exclure avant tout les personnes ayant des handicaps intellectuels. Pour des raisons relevant du droit des assurances sociales, les personnes présentant des handicaps dus à un accident ou à l’âge n’ont, quant à elles, pas droit à cette prestation. S’ajoute à cela que </w:t>
      </w:r>
      <w:r w:rsidRPr="00BF3CDE">
        <w:rPr>
          <w:b/>
          <w:bCs/>
        </w:rPr>
        <w:t>l’évaluation des besoins</w:t>
      </w:r>
      <w:r w:rsidRPr="00BF3CDE">
        <w:t xml:space="preserve"> est </w:t>
      </w:r>
      <w:r>
        <w:t>calquée</w:t>
      </w:r>
      <w:r w:rsidRPr="00BF3CDE">
        <w:t xml:space="preserve"> sur des personnes ayant des handicaps physiques. Enfin, les personnes dont le besoin d’aide est important ne parviennent pas à </w:t>
      </w:r>
      <w:r w:rsidRPr="00BF3CDE">
        <w:rPr>
          <w:b/>
          <w:bCs/>
        </w:rPr>
        <w:t>couvrir les frais</w:t>
      </w:r>
      <w:r w:rsidRPr="00BF3CDE">
        <w:t>.</w:t>
      </w:r>
    </w:p>
    <w:p w14:paraId="56DA9D38" w14:textId="77777777" w:rsidR="00127AD3" w:rsidRPr="00BF3CDE" w:rsidRDefault="00127AD3" w:rsidP="00127AD3">
      <w:pPr>
        <w:pStyle w:val="BodyText"/>
      </w:pPr>
      <w:r w:rsidRPr="00BF3CDE">
        <w:t>Des lacunes analogues (différences entre les assurances sociales, effet limitant des mécanismes de financement et des pratiques en matière d’octroi</w:t>
      </w:r>
      <w:r w:rsidRPr="00BF3CDE">
        <w:rPr>
          <w:bCs/>
        </w:rPr>
        <w:t>, etc.)</w:t>
      </w:r>
      <w:r w:rsidRPr="00BF3CDE">
        <w:t xml:space="preserve"> existent aussi dans d’autres prestations d’aide visant à favoriser l’autonomie de vie, p. ex. les </w:t>
      </w:r>
      <w:r w:rsidRPr="00BF3CDE">
        <w:rPr>
          <w:b/>
        </w:rPr>
        <w:t xml:space="preserve">moyens auxiliaires </w:t>
      </w:r>
      <w:r w:rsidRPr="00BF3CDE">
        <w:t>ou les mesures à des fins de réadaptation</w:t>
      </w:r>
      <w:r w:rsidRPr="00BF3CDE">
        <w:rPr>
          <w:bCs/>
        </w:rPr>
        <w:t>.</w:t>
      </w:r>
      <w:r w:rsidRPr="00BF3CDE">
        <w:rPr>
          <w:rStyle w:val="FootnoteReference"/>
        </w:rPr>
        <w:footnoteReference w:id="169"/>
      </w:r>
      <w:r w:rsidRPr="00BF3CDE">
        <w:rPr>
          <w:bCs/>
        </w:rPr>
        <w:t xml:space="preserve"> Quant aux </w:t>
      </w:r>
      <w:r w:rsidRPr="00BF3CDE">
        <w:rPr>
          <w:b/>
        </w:rPr>
        <w:t>contributions d’aide/d’assistance cantonales</w:t>
      </w:r>
      <w:r w:rsidRPr="00BF3CDE">
        <w:t xml:space="preserve">, elles présentent avant tout des obstacles au niveau des échelons de besoins et des plafonds de coûts. </w:t>
      </w:r>
    </w:p>
    <w:p w14:paraId="5B08A8D4" w14:textId="42B79BD1" w:rsidR="00127AD3" w:rsidRPr="00BF3CDE" w:rsidRDefault="00127AD3" w:rsidP="00127AD3">
      <w:pPr>
        <w:spacing w:after="240"/>
      </w:pPr>
      <w:r w:rsidRPr="00BF3CDE">
        <w:t xml:space="preserve">En résumé, on ne peut nullement parler de libre choix en ce qui concerne la résidence dans une institution (cf. réponse à la LoI, para. </w:t>
      </w:r>
      <w:r w:rsidR="00F903FF">
        <w:t>49</w:t>
      </w:r>
      <w:r w:rsidRPr="00BF3CDE">
        <w:t xml:space="preserve">). </w:t>
      </w:r>
      <w:r w:rsidR="00F903FF" w:rsidRPr="00F903FF">
        <w:t>A cela s</w:t>
      </w:r>
      <w:r w:rsidR="00F903FF">
        <w:t>’</w:t>
      </w:r>
      <w:r w:rsidR="00F903FF" w:rsidRPr="00F903FF">
        <w:t xml:space="preserve">ajoute, selon </w:t>
      </w:r>
      <w:r w:rsidR="00F903FF">
        <w:t>des témoignages récoltés dans les cantons</w:t>
      </w:r>
      <w:r w:rsidR="00F903FF" w:rsidRPr="00F903FF">
        <w:t xml:space="preserve">, le </w:t>
      </w:r>
      <w:r w:rsidR="00F903FF">
        <w:t>fait que de très nombreuses per</w:t>
      </w:r>
      <w:r w:rsidR="00F903FF" w:rsidRPr="00F903FF">
        <w:t>sonnes concernées ne sont pas informées de leur droit au libre choix de la forme de logement et des options concrètes qui s</w:t>
      </w:r>
      <w:r w:rsidR="00F903FF">
        <w:t>’</w:t>
      </w:r>
      <w:r w:rsidR="00F903FF" w:rsidRPr="00F903FF">
        <w:t>offrent à elles. Par conséquent, un nombre non négligeable de personnes ne nécessitant que très peu d</w:t>
      </w:r>
      <w:r w:rsidR="00F903FF">
        <w:t>’</w:t>
      </w:r>
      <w:r w:rsidR="00F903FF" w:rsidRPr="00F903FF">
        <w:t>encadrement (</w:t>
      </w:r>
      <w:r w:rsidR="00F903FF">
        <w:t>«</w:t>
      </w:r>
      <w:r w:rsidR="00F903FF" w:rsidRPr="00F903FF">
        <w:t>Besoin d</w:t>
      </w:r>
      <w:r w:rsidR="00F903FF">
        <w:t>’</w:t>
      </w:r>
      <w:r w:rsidR="00F903FF" w:rsidRPr="00F903FF">
        <w:t xml:space="preserve">encadrement individuel </w:t>
      </w:r>
      <w:r w:rsidR="00F903FF" w:rsidRPr="00F903FF">
        <w:lastRenderedPageBreak/>
        <w:t>0</w:t>
      </w:r>
      <w:r w:rsidR="00F903FF">
        <w:t>»</w:t>
      </w:r>
      <w:r w:rsidR="00F903FF" w:rsidRPr="00F903FF">
        <w:t>) vivent dans des institutions. Il n</w:t>
      </w:r>
      <w:r w:rsidR="006F41A3">
        <w:t>’</w:t>
      </w:r>
      <w:r w:rsidR="00F903FF" w:rsidRPr="00F903FF">
        <w:t>existe pratiquement pas de services de conseil indépendants.</w:t>
      </w:r>
      <w:r w:rsidR="006F41A3" w:rsidRPr="006F41A3">
        <w:rPr>
          <w:vertAlign w:val="superscript"/>
          <w:lang w:val="de-CH"/>
        </w:rPr>
        <w:footnoteReference w:id="170"/>
      </w:r>
      <w:r w:rsidR="00F903FF" w:rsidRPr="00F903FF">
        <w:t xml:space="preserve"> Il est en revanche réjouissant de constater la création </w:t>
      </w:r>
      <w:r w:rsidR="006F41A3">
        <w:t>de</w:t>
      </w:r>
      <w:r w:rsidRPr="00932A19">
        <w:t xml:space="preserve"> </w:t>
      </w:r>
      <w:r w:rsidRPr="00BF3CDE">
        <w:t xml:space="preserve">plusieurs associations de PH qui font valoir leur </w:t>
      </w:r>
      <w:r w:rsidRPr="00BF3CDE">
        <w:rPr>
          <w:b/>
          <w:bCs/>
        </w:rPr>
        <w:t>droit à l’assistance</w:t>
      </w:r>
      <w:r w:rsidRPr="00BF3CDE">
        <w:t>.</w:t>
      </w:r>
      <w:r w:rsidRPr="00BF3CDE">
        <w:rPr>
          <w:rFonts w:eastAsia="Cambria" w:cs="Times New Roman"/>
          <w:vertAlign w:val="superscript"/>
        </w:rPr>
        <w:footnoteReference w:id="171"/>
      </w:r>
    </w:p>
    <w:p w14:paraId="63959888" w14:textId="655037E8" w:rsidR="009515C5" w:rsidRPr="00BF3CDE" w:rsidRDefault="009515C5" w:rsidP="009515C5">
      <w:pPr>
        <w:pStyle w:val="Subtitle"/>
      </w:pPr>
      <w:r w:rsidRPr="00BF3CDE">
        <w:t>Manque d’inclusivité des prestations d’ordre général (LoI para. 15b)</w:t>
      </w:r>
    </w:p>
    <w:p w14:paraId="006AD477" w14:textId="77777777" w:rsidR="00127AD3" w:rsidRPr="00BF3CDE" w:rsidRDefault="00127AD3" w:rsidP="00127AD3">
      <w:r w:rsidRPr="00BF3CDE">
        <w:t xml:space="preserve">L’implication des PH dans l’environnement social proche est trop peu reconnue comme un aspect essentiel d’une vie autonome. Cela vaut également pour les situations où les personnes concernées touchent une contribution d’aide au logement autonome. C’est pourquoi celle-ci doit également porter sur la participation sociale de proximité promue conjointement par les autorités et organisations locales. </w:t>
      </w:r>
    </w:p>
    <w:p w14:paraId="1D6589F0" w14:textId="77777777" w:rsidR="00127AD3" w:rsidRPr="00BF3CDE" w:rsidRDefault="00127AD3" w:rsidP="00127AD3">
      <w:r w:rsidRPr="00BF3CDE">
        <w:t xml:space="preserve">Dans le PRE (para. 104), la Suisse admet que l’accès aux services n’est toujours pas garanti dans de nombreux domaines, et mentionne les données de la statistique </w:t>
      </w:r>
      <w:r>
        <w:t xml:space="preserve">correspondante </w:t>
      </w:r>
      <w:r w:rsidRPr="00BF3CDE">
        <w:t xml:space="preserve">sur l’égalité. Les services qu’elle y recense sont en règle générale pratiquement tous utilisés dans l’environnement social proche. </w:t>
      </w:r>
    </w:p>
    <w:p w14:paraId="5B697236" w14:textId="77777777" w:rsidR="00127AD3" w:rsidRPr="00BF3CDE" w:rsidRDefault="00127AD3" w:rsidP="00127AD3">
      <w:pPr>
        <w:spacing w:after="240"/>
      </w:pPr>
      <w:r w:rsidRPr="00BF3CDE">
        <w:t>Souvent il existe un manque d’appartements aux loyers abordables et accessibles aux PH. Une analyse a mis en évidence qu’en 2016, seul chaque trentième appartement de ville a paru dans une annonce comme étant «praticable en fauteuil roulant».</w:t>
      </w:r>
      <w:r w:rsidRPr="00BF3CDE">
        <w:rPr>
          <w:rFonts w:eastAsia="Cambria" w:cs="Times New Roman"/>
          <w:vertAlign w:val="superscript"/>
        </w:rPr>
        <w:footnoteReference w:id="172"/>
      </w:r>
      <w:r w:rsidRPr="00BF3CDE">
        <w:t xml:space="preserve"> Le label LEA n’est pas de nature à pouvoir remédier à </w:t>
      </w:r>
      <w:r w:rsidRPr="00BF3CDE">
        <w:lastRenderedPageBreak/>
        <w:t>cette lacune. S’y ajoutent des préjugés stéréotypés de gérances immobilières et de bailleurs envers les locataires en situation de handicap.</w:t>
      </w:r>
    </w:p>
    <w:p w14:paraId="6F40A1ED" w14:textId="77777777" w:rsidR="009515C5" w:rsidRPr="00BF3CDE" w:rsidRDefault="009515C5" w:rsidP="009515C5">
      <w:pPr>
        <w:pStyle w:val="Subtitle"/>
      </w:pPr>
      <w:r w:rsidRPr="00BF3CDE">
        <w:t>Données statistiques (</w:t>
      </w:r>
      <w:r>
        <w:t xml:space="preserve">entre autres </w:t>
      </w:r>
      <w:r w:rsidRPr="00BF3CDE">
        <w:t xml:space="preserve">LoI para. 15c) </w:t>
      </w:r>
    </w:p>
    <w:p w14:paraId="7CB675C8" w14:textId="160D180C" w:rsidR="009A4719" w:rsidRDefault="00127AD3" w:rsidP="00127AD3">
      <w:pPr>
        <w:pStyle w:val="BodyText"/>
      </w:pPr>
      <w:r w:rsidRPr="00BF3CDE">
        <w:t xml:space="preserve">En raison de la précarité des données concernant le domaine de l’habitat, il n’est pas possible de connaître </w:t>
      </w:r>
      <w:r w:rsidR="00A97204">
        <w:t xml:space="preserve">précisément </w:t>
      </w:r>
      <w:r w:rsidRPr="00BF3CDE">
        <w:t xml:space="preserve">le nombre effectif d’enfants et d’adultes </w:t>
      </w:r>
      <w:r w:rsidR="00F16321">
        <w:t>en situation de handicap</w:t>
      </w:r>
      <w:r w:rsidRPr="00BF3CDE">
        <w:t xml:space="preserve"> qui vivent actuellement en Suisse dans telle ou telle forme de logement. </w:t>
      </w:r>
    </w:p>
    <w:p w14:paraId="3E6EEBE7" w14:textId="5269B7E2" w:rsidR="00FC0A8B" w:rsidRPr="00FC0A8B" w:rsidRDefault="00FC0A8B" w:rsidP="0067791C">
      <w:pPr>
        <w:pStyle w:val="BodyText"/>
      </w:pPr>
      <w:r w:rsidRPr="00FC0A8B">
        <w:t xml:space="preserve">En se basant sur la dernière statistique SOMED de 2015 (!) et sur des sources de données un peu plus récentes, mais très fragmentées, on peut estimer à </w:t>
      </w:r>
      <w:r w:rsidRPr="00283ABF">
        <w:rPr>
          <w:b/>
        </w:rPr>
        <w:t>25’000 – 30’000</w:t>
      </w:r>
      <w:r w:rsidRPr="00FC0A8B">
        <w:t xml:space="preserve"> le nombre de personnes handicapées âgées de moins de 64 ans vivant en institution</w:t>
      </w:r>
      <w:r w:rsidRPr="00E35116">
        <w:t>.</w:t>
      </w:r>
      <w:r w:rsidR="00E35116" w:rsidRPr="00E35116">
        <w:rPr>
          <w:vertAlign w:val="superscript"/>
          <w:lang w:val="de-CH"/>
        </w:rPr>
        <w:footnoteReference w:id="173"/>
      </w:r>
      <w:r w:rsidRPr="00E35116">
        <w:t xml:space="preserve"> E</w:t>
      </w:r>
      <w:r w:rsidRPr="00FC0A8B">
        <w:t xml:space="preserve">n 2017, un peu plus de </w:t>
      </w:r>
      <w:r w:rsidRPr="00283ABF">
        <w:rPr>
          <w:b/>
        </w:rPr>
        <w:t>1</w:t>
      </w:r>
      <w:r w:rsidR="004557AA" w:rsidRPr="00283ABF">
        <w:rPr>
          <w:b/>
        </w:rPr>
        <w:t>’</w:t>
      </w:r>
      <w:r w:rsidRPr="00283ABF">
        <w:rPr>
          <w:b/>
        </w:rPr>
        <w:t>600</w:t>
      </w:r>
      <w:r w:rsidRPr="00FC0A8B">
        <w:t xml:space="preserve"> enfants sur environ 7</w:t>
      </w:r>
      <w:r w:rsidR="004557AA">
        <w:t>’</w:t>
      </w:r>
      <w:r w:rsidRPr="00FC0A8B">
        <w:t xml:space="preserve">000 </w:t>
      </w:r>
      <w:r w:rsidR="004557AA">
        <w:t>avec</w:t>
      </w:r>
      <w:r w:rsidRPr="00FC0A8B">
        <w:t xml:space="preserve"> </w:t>
      </w:r>
      <w:r w:rsidR="0067791C">
        <w:t>un handicap grave</w:t>
      </w:r>
      <w:r w:rsidRPr="00FC0A8B">
        <w:t xml:space="preserve"> et âgés de 0 à 14 ans vivaient</w:t>
      </w:r>
      <w:r w:rsidR="0067791C">
        <w:t>,</w:t>
      </w:r>
      <w:r w:rsidRPr="00FC0A8B">
        <w:t xml:space="preserve"> </w:t>
      </w:r>
      <w:r w:rsidR="0067791C" w:rsidRPr="00BF3CDE">
        <w:t>toute l’année ou seulement pendant une partie de l’année, dans des institutions spécialisées</w:t>
      </w:r>
      <w:r w:rsidRPr="00283ABF">
        <w:t>.</w:t>
      </w:r>
      <w:r w:rsidR="0067791C" w:rsidRPr="00283ABF">
        <w:rPr>
          <w:vertAlign w:val="superscript"/>
          <w:lang w:val="de-CH"/>
        </w:rPr>
        <w:footnoteReference w:id="174"/>
      </w:r>
    </w:p>
    <w:p w14:paraId="23D10BB4" w14:textId="7EFF07A5" w:rsidR="00127AD3" w:rsidRPr="00BF3CDE" w:rsidRDefault="00127AD3" w:rsidP="00127AD3">
      <w:pPr>
        <w:pStyle w:val="BodyText"/>
      </w:pPr>
      <w:r w:rsidRPr="00BF3CDE">
        <w:t xml:space="preserve">Parmi le groupe de personnes étudiées dans l’état des lieux et bénéficiant de prestations de l’AI (18 à 64 ans), le nombre de personnes qui, en 2017, vivaient dans une </w:t>
      </w:r>
      <w:r w:rsidRPr="00BF3CDE">
        <w:rPr>
          <w:b/>
          <w:bCs/>
        </w:rPr>
        <w:t>forme d’habitat institutionnelle</w:t>
      </w:r>
      <w:r w:rsidRPr="00BF3CDE">
        <w:t xml:space="preserve"> était légèrement supérieur à celui des personnes vivant </w:t>
      </w:r>
      <w:r w:rsidRPr="00BF3CDE">
        <w:lastRenderedPageBreak/>
        <w:t>dans un</w:t>
      </w:r>
      <w:r w:rsidRPr="00BF3CDE">
        <w:rPr>
          <w:b/>
          <w:bCs/>
        </w:rPr>
        <w:t xml:space="preserve"> appartement personnel </w:t>
      </w:r>
      <w:r w:rsidRPr="00BF3CDE">
        <w:t xml:space="preserve">avec </w:t>
      </w:r>
      <w:r w:rsidR="00D41221">
        <w:t>de l’aide</w:t>
      </w:r>
      <w:r w:rsidRPr="00BF3CDE">
        <w:rPr>
          <w:vertAlign w:val="superscript"/>
        </w:rPr>
        <w:footnoteReference w:id="175"/>
      </w:r>
      <w:r w:rsidRPr="00BF3CDE">
        <w:t>. Il est réjouissant que la part des personnes vivant de manière autonome a</w:t>
      </w:r>
      <w:r>
        <w:t>it</w:t>
      </w:r>
      <w:r w:rsidRPr="00BF3CDE">
        <w:t xml:space="preserve"> proportionnellement plus fortement augmenté depuis 2011.</w:t>
      </w:r>
      <w:r w:rsidRPr="00BF3CDE">
        <w:rPr>
          <w:vertAlign w:val="superscript"/>
        </w:rPr>
        <w:footnoteReference w:id="176"/>
      </w:r>
      <w:r w:rsidRPr="00BF3CDE">
        <w:t xml:space="preserve"> </w:t>
      </w:r>
    </w:p>
    <w:p w14:paraId="1D90F3F7" w14:textId="0B3450CA" w:rsidR="00C177BB" w:rsidRPr="00F756DE" w:rsidRDefault="00127AD3" w:rsidP="00127AD3">
      <w:pPr>
        <w:pStyle w:val="BodyText"/>
      </w:pPr>
      <w:r w:rsidRPr="00BF3CDE">
        <w:t xml:space="preserve">Quant aux modalités de logement, </w:t>
      </w:r>
      <w:r>
        <w:t>il</w:t>
      </w:r>
      <w:r w:rsidRPr="00BF3CDE">
        <w:t xml:space="preserve"> existe de nettes </w:t>
      </w:r>
      <w:r w:rsidRPr="00D41221">
        <w:rPr>
          <w:b/>
        </w:rPr>
        <w:t>différences</w:t>
      </w:r>
      <w:r w:rsidRPr="00BF3CDE">
        <w:t xml:space="preserve"> selon les </w:t>
      </w:r>
      <w:r w:rsidRPr="00BF3CDE">
        <w:rPr>
          <w:b/>
          <w:bCs/>
        </w:rPr>
        <w:t>types de handicaps</w:t>
      </w:r>
      <w:r w:rsidRPr="00BF3CDE">
        <w:t>: les personnes ayant des handicaps intellectuels ou psychiques (55% resp. 27% de toutes les personnes résidant en milieu institutionnel</w:t>
      </w:r>
      <w:r w:rsidRPr="00BF3CDE">
        <w:rPr>
          <w:vertAlign w:val="superscript"/>
        </w:rPr>
        <w:footnoteReference w:id="177"/>
      </w:r>
      <w:r w:rsidRPr="00BF3CDE">
        <w:t>) ainsi que des handicaps multiples vivent plutôt dans des institutions, tandis que celles dont les handicaps sont d’ordre physique vivent dans leurs propres logements.</w:t>
      </w:r>
      <w:r w:rsidRPr="00BF3CDE">
        <w:rPr>
          <w:vertAlign w:val="superscript"/>
        </w:rPr>
        <w:footnoteReference w:id="178"/>
      </w:r>
    </w:p>
    <w:p w14:paraId="5CEC0FBD" w14:textId="77777777" w:rsidR="00C177BB" w:rsidRDefault="009515C5" w:rsidP="00C177BB">
      <w:pPr>
        <w:shd w:val="clear" w:color="auto" w:fill="FFFFCC"/>
        <w:rPr>
          <w:b/>
        </w:rPr>
      </w:pPr>
      <w:r>
        <w:rPr>
          <w:b/>
        </w:rPr>
        <w:t>Propositions de recommandations</w:t>
      </w:r>
      <w:r w:rsidR="00C177BB" w:rsidRPr="00F756DE">
        <w:rPr>
          <w:b/>
        </w:rPr>
        <w:t>:</w:t>
      </w:r>
    </w:p>
    <w:p w14:paraId="5990DB99" w14:textId="77777777" w:rsidR="00127AD3" w:rsidRPr="00BF3CDE" w:rsidRDefault="00127AD3" w:rsidP="00127AD3">
      <w:pPr>
        <w:pStyle w:val="SBEmpfehlungen"/>
      </w:pPr>
      <w:r w:rsidRPr="00BF3CDE">
        <w:rPr>
          <w:b/>
          <w:bCs/>
        </w:rPr>
        <w:t>Le BFEH, l’OFAS et la CDAS</w:t>
      </w:r>
      <w:r w:rsidRPr="00BF3CDE">
        <w:t xml:space="preserve"> élaborent, accompagnés par des expertes et experts internationaux et avec l’implication systématique des PH et de leurs organisations, pour le champ d’action 1 du programme </w:t>
      </w:r>
      <w:r>
        <w:t>«</w:t>
      </w:r>
      <w:r w:rsidRPr="00BF3CDE">
        <w:t>Autonomie 2023-2026</w:t>
      </w:r>
      <w:r>
        <w:t>»</w:t>
      </w:r>
      <w:r w:rsidRPr="00BF3CDE">
        <w:t xml:space="preserve">, un </w:t>
      </w:r>
      <w:r w:rsidRPr="00BF3CDE">
        <w:rPr>
          <w:b/>
          <w:bCs/>
        </w:rPr>
        <w:t>plan d’action</w:t>
      </w:r>
      <w:r w:rsidRPr="00BF3CDE">
        <w:t xml:space="preserve"> qui porte sur les mesures actuellement les plus urgentes à prendre en vue d’un </w:t>
      </w:r>
      <w:r w:rsidRPr="00BF3CDE">
        <w:rPr>
          <w:b/>
          <w:bCs/>
        </w:rPr>
        <w:t>processus de transition des formes d’habitat institutionnelles vers des modalités de logement autonomes</w:t>
      </w:r>
      <w:r w:rsidRPr="00BF3CDE">
        <w:t xml:space="preserve">, qui comprenne également le remplacement de la LIPPI par une loi garantissant cette transformation systémique ainsi que sur un plan visant à désenchevêtrer la </w:t>
      </w:r>
      <w:r w:rsidRPr="00BF3CDE">
        <w:lastRenderedPageBreak/>
        <w:t xml:space="preserve">répartition des tâches entre la Confédération et les cantons dans le domaine ambulatoire. </w:t>
      </w:r>
    </w:p>
    <w:p w14:paraId="25455AB2" w14:textId="77777777" w:rsidR="00127AD3" w:rsidRPr="00BF3CDE" w:rsidRDefault="00127AD3" w:rsidP="00127AD3">
      <w:pPr>
        <w:pStyle w:val="SBEmpfehlungen"/>
      </w:pPr>
      <w:r w:rsidRPr="00BF3CDE">
        <w:rPr>
          <w:b/>
        </w:rPr>
        <w:t xml:space="preserve">Le BFEH, l’OFAS et la CDAS </w:t>
      </w:r>
      <w:r w:rsidRPr="00BF3CDE">
        <w:t xml:space="preserve">développent conjointement un </w:t>
      </w:r>
      <w:r w:rsidRPr="00BF3CDE">
        <w:rPr>
          <w:b/>
          <w:bCs/>
        </w:rPr>
        <w:t>modèle d’assistance cohérent, souple et simple</w:t>
      </w:r>
      <w:r w:rsidRPr="00BF3CDE">
        <w:t xml:space="preserve"> en remplacement des contributions d’aide jusqu’ici en vigueur, qui ouvre l’accès, pour toutes les PH, à l’assistance au sens du para. 16.d de l’OG n°5, et déterminent son financement.</w:t>
      </w:r>
    </w:p>
    <w:p w14:paraId="70B51788" w14:textId="77777777" w:rsidR="00127AD3" w:rsidRPr="00BF3CDE" w:rsidRDefault="00127AD3" w:rsidP="00127AD3">
      <w:pPr>
        <w:pStyle w:val="SBEmpfehlungen"/>
      </w:pPr>
      <w:r w:rsidRPr="00BF3CDE">
        <w:t xml:space="preserve">Sous la conduite de la </w:t>
      </w:r>
      <w:r w:rsidRPr="00F16321">
        <w:rPr>
          <w:b/>
        </w:rPr>
        <w:t>CDAS</w:t>
      </w:r>
      <w:r w:rsidRPr="00BF3CDE">
        <w:t xml:space="preserve">, les </w:t>
      </w:r>
      <w:r w:rsidRPr="00F16321">
        <w:rPr>
          <w:b/>
        </w:rPr>
        <w:t>cantons</w:t>
      </w:r>
      <w:r w:rsidRPr="00BF3CDE">
        <w:t xml:space="preserve"> révisent leurs </w:t>
      </w:r>
      <w:r w:rsidRPr="00F16321">
        <w:rPr>
          <w:b/>
        </w:rPr>
        <w:t>plans stratégiques en faveur de l’intégration des PH</w:t>
      </w:r>
      <w:r w:rsidRPr="00BF3CDE">
        <w:t xml:space="preserve"> – y c. le plan d’action en vue du </w:t>
      </w:r>
      <w:r w:rsidRPr="00F16321">
        <w:rPr>
          <w:b/>
        </w:rPr>
        <w:t>transfert systématique des ressources en matière de services liés au logement relevant d’un mode institutionnel vers un mode ambulatoire</w:t>
      </w:r>
      <w:r w:rsidRPr="00BF3CDE">
        <w:t xml:space="preserve"> –, revoient leurs bases légales en ce sens et adaptent les planifications des besoins. </w:t>
      </w:r>
    </w:p>
    <w:p w14:paraId="6E54B770" w14:textId="77777777" w:rsidR="00127AD3" w:rsidRPr="00BF3CDE" w:rsidRDefault="00127AD3" w:rsidP="00127AD3">
      <w:pPr>
        <w:pStyle w:val="SBEmpfehlungen"/>
      </w:pPr>
      <w:r w:rsidRPr="00BF3CDE">
        <w:t xml:space="preserve">Les cantons créent des </w:t>
      </w:r>
      <w:r w:rsidRPr="00BF3CDE">
        <w:rPr>
          <w:b/>
        </w:rPr>
        <w:t>services spécialisés indépendants chargés du conseil, de l’information et de l’évaluation des besoins des PH</w:t>
      </w:r>
      <w:r w:rsidRPr="00BF3CDE">
        <w:t>, en particulier en rapport avec la transition d’un mode d’habitat institutionnel vers des modalités autonomes, et encouragent le développement de l’offre en matière de services ambulatoires liés au logement.</w:t>
      </w:r>
    </w:p>
    <w:p w14:paraId="6724AAA9" w14:textId="1045F6D0" w:rsidR="009515C5" w:rsidRPr="00127AD3" w:rsidRDefault="00127AD3" w:rsidP="00A76B02">
      <w:pPr>
        <w:pStyle w:val="SBEmpfehlungen"/>
      </w:pPr>
      <w:r w:rsidRPr="00BF3CDE">
        <w:t xml:space="preserve">Les </w:t>
      </w:r>
      <w:r w:rsidRPr="000A3116">
        <w:rPr>
          <w:b/>
        </w:rPr>
        <w:t>cantons</w:t>
      </w:r>
      <w:r w:rsidRPr="00BF3CDE">
        <w:t xml:space="preserve"> complètent leurs </w:t>
      </w:r>
      <w:r w:rsidRPr="000A3116">
        <w:rPr>
          <w:b/>
        </w:rPr>
        <w:t>contrats de prestations avec les institutions résidentielles</w:t>
      </w:r>
      <w:r w:rsidRPr="00BF3CDE">
        <w:t xml:space="preserve"> par des </w:t>
      </w:r>
      <w:r w:rsidRPr="000A3116">
        <w:rPr>
          <w:b/>
        </w:rPr>
        <w:t>standards</w:t>
      </w:r>
      <w:r w:rsidRPr="00BF3CDE">
        <w:t xml:space="preserve"> contraignants et vérifiables </w:t>
      </w:r>
      <w:r w:rsidRPr="000A3116">
        <w:rPr>
          <w:b/>
        </w:rPr>
        <w:t>relatifs au développement de l’autonomie et de la participation</w:t>
      </w:r>
      <w:r w:rsidRPr="00BF3CDE">
        <w:t>, effectuent des visites sans préavis pour en contrôler la mise en œuvre et soutiennent les institutions lors du processus de transformation de leurs prestations</w:t>
      </w:r>
      <w:r w:rsidR="00A76B02">
        <w:t xml:space="preserve">, </w:t>
      </w:r>
      <w:r w:rsidR="00A76B02" w:rsidRPr="00A76B02">
        <w:t>y compris la révision des outils d</w:t>
      </w:r>
      <w:r w:rsidR="00A76B02">
        <w:t>’</w:t>
      </w:r>
      <w:r w:rsidR="00A76B02" w:rsidRPr="00A76B02">
        <w:t>évaluation des besoins</w:t>
      </w:r>
      <w:r w:rsidRPr="00BF3CDE">
        <w:t xml:space="preserve">. </w:t>
      </w:r>
    </w:p>
    <w:p w14:paraId="04B40FE8" w14:textId="77777777" w:rsidR="009515C5" w:rsidRPr="00BF3CDE" w:rsidRDefault="009515C5" w:rsidP="009515C5">
      <w:pPr>
        <w:pStyle w:val="Heading3"/>
        <w:numPr>
          <w:ilvl w:val="0"/>
          <w:numId w:val="0"/>
        </w:numPr>
        <w:ind w:left="737" w:hanging="737"/>
      </w:pPr>
      <w:bookmarkStart w:id="106" w:name="_Ref478725236"/>
      <w:bookmarkStart w:id="107" w:name="_Toc94189856"/>
      <w:bookmarkStart w:id="108" w:name="_Toc95500342"/>
      <w:bookmarkStart w:id="109" w:name="_Toc96287612"/>
      <w:r w:rsidRPr="00BF3CDE">
        <w:lastRenderedPageBreak/>
        <w:t>Art. 21 – Liberté d’expression et d’opinion et accès à l’information</w:t>
      </w:r>
      <w:bookmarkEnd w:id="106"/>
      <w:bookmarkEnd w:id="107"/>
      <w:bookmarkEnd w:id="108"/>
      <w:bookmarkEnd w:id="109"/>
    </w:p>
    <w:p w14:paraId="0DE8E8E4" w14:textId="4F46A56C" w:rsidR="00127AD3" w:rsidRPr="00BF3CDE" w:rsidRDefault="00127AD3" w:rsidP="00127AD3">
      <w:pPr>
        <w:pStyle w:val="BodyText"/>
      </w:pPr>
      <w:r w:rsidRPr="00BF3CDE">
        <w:t xml:space="preserve">Les </w:t>
      </w:r>
      <w:r w:rsidRPr="00BF3CDE">
        <w:rPr>
          <w:b/>
        </w:rPr>
        <w:t>mesures</w:t>
      </w:r>
      <w:r w:rsidRPr="00BF3CDE">
        <w:t xml:space="preserve"> prises </w:t>
      </w:r>
      <w:r w:rsidR="00373AF1">
        <w:t xml:space="preserve">(LoI, para. 16a) </w:t>
      </w:r>
      <w:r w:rsidRPr="00BF3CDE">
        <w:t xml:space="preserve">aussi bien par la Confédération que par la SSR afin </w:t>
      </w:r>
      <w:r w:rsidRPr="00BF3CDE">
        <w:rPr>
          <w:b/>
          <w:bCs/>
        </w:rPr>
        <w:t>de rendre accessible leur information</w:t>
      </w:r>
      <w:r w:rsidRPr="00BF3CDE">
        <w:t xml:space="preserve"> (réponse à la LoI, para. 53 s.) doivent être </w:t>
      </w:r>
      <w:r w:rsidRPr="00BF3CDE">
        <w:rPr>
          <w:b/>
          <w:bCs/>
        </w:rPr>
        <w:t>vivement saluées</w:t>
      </w:r>
      <w:r w:rsidRPr="00BF3CDE">
        <w:t xml:space="preserve">. De nombreux contenus de </w:t>
      </w:r>
      <w:r w:rsidRPr="00BF3CDE">
        <w:rPr>
          <w:b/>
          <w:bCs/>
        </w:rPr>
        <w:t>sites Internet des pouvoirs publics</w:t>
      </w:r>
      <w:r w:rsidRPr="00BF3CDE">
        <w:t xml:space="preserve"> (Confédération, cantons et communes) ou d’</w:t>
      </w:r>
      <w:r w:rsidRPr="00BF3CDE">
        <w:rPr>
          <w:b/>
        </w:rPr>
        <w:t xml:space="preserve">entreprises titulaires d’une concession </w:t>
      </w:r>
      <w:r w:rsidRPr="00BF3CDE">
        <w:rPr>
          <w:bCs/>
        </w:rPr>
        <w:t>contiennent cependant toujours des barrières et ne sont de ce fait pas ou que partiellement accessibles aux PH</w:t>
      </w:r>
      <w:r w:rsidRPr="00BF3CDE">
        <w:t>.</w:t>
      </w:r>
      <w:bookmarkStart w:id="110" w:name="_Ref96098777"/>
      <w:r w:rsidRPr="00BF3CDE">
        <w:rPr>
          <w:rStyle w:val="FootnoteReference"/>
        </w:rPr>
        <w:footnoteReference w:id="179"/>
      </w:r>
      <w:bookmarkEnd w:id="110"/>
      <w:r w:rsidRPr="00BF3CDE">
        <w:t xml:space="preserve"> Selon un rapport d’évaluation de 2018, la Confédération fait certes meilleure figure en matière d’accessibilité que les autres niveaux de l’État. Elle a par ailleurs établi l’accessibilité comme l’un de ses thèmes prioritaires et met en œuvre des activités dans ce domaine.</w:t>
      </w:r>
      <w:r w:rsidRPr="00BF3CDE">
        <w:rPr>
          <w:rStyle w:val="FootnoteReference"/>
        </w:rPr>
        <w:footnoteReference w:id="180"/>
      </w:r>
      <w:r w:rsidRPr="00BF3CDE">
        <w:t xml:space="preserve"> </w:t>
      </w:r>
      <w:r w:rsidRPr="00BF3CDE">
        <w:rPr>
          <w:b/>
          <w:bCs/>
        </w:rPr>
        <w:t xml:space="preserve">Ses propres sites </w:t>
      </w:r>
      <w:r w:rsidRPr="00BF3CDE">
        <w:rPr>
          <w:b/>
        </w:rPr>
        <w:t>Web ne respectent toutefois pas encore les prescriptions légales</w:t>
      </w:r>
      <w:r w:rsidRPr="00BF3CDE">
        <w:t>.</w:t>
      </w:r>
      <w:r w:rsidRPr="00BF3CDE">
        <w:rPr>
          <w:rStyle w:val="FootnoteReference"/>
        </w:rPr>
        <w:footnoteReference w:id="181"/>
      </w:r>
      <w:r w:rsidRPr="00BF3CDE">
        <w:t xml:space="preserve"> L’accès aux informations en langue facile à </w:t>
      </w:r>
      <w:r>
        <w:t>lire</w:t>
      </w:r>
      <w:r w:rsidRPr="00BF3CDE">
        <w:t xml:space="preserve"> et en langue des signes n’est pas assuré. Souvent les vidéos et fichiers sous forme audio ne sont disponibles ni dans d’autres formats ni munis de sous-titres. Il existe en outre des carences au niveau de l’accès aux informa</w:t>
      </w:r>
      <w:r w:rsidRPr="00BF3CDE">
        <w:lastRenderedPageBreak/>
        <w:t xml:space="preserve">tions sur Internet en format PDF. Quant aux </w:t>
      </w:r>
      <w:r w:rsidRPr="00BF3CDE">
        <w:rPr>
          <w:b/>
        </w:rPr>
        <w:t>sites Web des entreprises privées</w:t>
      </w:r>
      <w:r w:rsidRPr="00BF3CDE">
        <w:t>, ceux-ci ne répondent généralement pas non plus aux critères d’accessibilité.</w:t>
      </w:r>
      <w:r w:rsidRPr="00BF3CDE">
        <w:rPr>
          <w:rStyle w:val="FootnoteReference"/>
        </w:rPr>
        <w:footnoteReference w:id="182"/>
      </w:r>
      <w:r w:rsidRPr="00BF3CDE">
        <w:t xml:space="preserve"> </w:t>
      </w:r>
    </w:p>
    <w:p w14:paraId="586B0750" w14:textId="32CB5F6D" w:rsidR="00C177BB" w:rsidRPr="00F756DE" w:rsidRDefault="00127AD3" w:rsidP="00127AD3">
      <w:pPr>
        <w:pStyle w:val="BodyText"/>
      </w:pPr>
      <w:r w:rsidRPr="00BF3CDE">
        <w:t xml:space="preserve">La grande majorité des </w:t>
      </w:r>
      <w:r w:rsidRPr="00BF3CDE">
        <w:rPr>
          <w:b/>
        </w:rPr>
        <w:t>cantons</w:t>
      </w:r>
      <w:r w:rsidRPr="00BF3CDE">
        <w:rPr>
          <w:rStyle w:val="FootnoteReference"/>
        </w:rPr>
        <w:footnoteReference w:id="183"/>
      </w:r>
      <w:r w:rsidRPr="00BF3CDE">
        <w:t xml:space="preserve"> </w:t>
      </w:r>
      <w:r w:rsidRPr="00BF3CDE">
        <w:rPr>
          <w:b/>
          <w:bCs/>
        </w:rPr>
        <w:t>n’ont pas concrétisé dans leur législation ni encore mis en œuvre</w:t>
      </w:r>
      <w:r w:rsidRPr="00BF3CDE">
        <w:t xml:space="preserve"> l’obligation découlant de l’art. 21 CDPH de rendre accessibles leurs informations (entre autre aussi numériques) ainsi que leur communication avec les PH.</w:t>
      </w:r>
    </w:p>
    <w:p w14:paraId="4BEA8F90" w14:textId="23B182BD" w:rsidR="00C177BB" w:rsidRPr="00F756DE" w:rsidRDefault="00127AD3" w:rsidP="00127AD3">
      <w:pPr>
        <w:pStyle w:val="BodyText"/>
      </w:pPr>
      <w:r w:rsidRPr="00BF3CDE">
        <w:t xml:space="preserve">Malgré les </w:t>
      </w:r>
      <w:r w:rsidRPr="00BF3CDE">
        <w:rPr>
          <w:b/>
        </w:rPr>
        <w:t>mesures prises à l’échelon fédéral</w:t>
      </w:r>
      <w:r w:rsidRPr="00BF3CDE">
        <w:t xml:space="preserve"> (réponse à la LoI, para. 55 s.) dont on peut se féliciter, les PH sont nombreuses à rencontrer des inégalités lors de la </w:t>
      </w:r>
      <w:r w:rsidRPr="00BF3CDE">
        <w:rPr>
          <w:b/>
        </w:rPr>
        <w:t>communication directe avec les autorités</w:t>
      </w:r>
      <w:r w:rsidR="00E23F44">
        <w:t xml:space="preserve"> (LoI, para. 16b)</w:t>
      </w:r>
      <w:r w:rsidRPr="00BF3CDE">
        <w:t xml:space="preserve">. Il arrive p. ex. que des décisions soient rendues dont les destinataires malvoyants ne peuvent prendre connaissance de façon autonome. Selon l’expérience des services juridiques des organisations de PH, il n’est pas rare que la prise en charge des frais liés à la traduction en langue des signes ou à la transcription d’une conversation avec une autorité soit refusée. </w:t>
      </w:r>
    </w:p>
    <w:p w14:paraId="009272C4" w14:textId="77777777" w:rsidR="00C177BB" w:rsidRDefault="009515C5" w:rsidP="00C177BB">
      <w:pPr>
        <w:shd w:val="clear" w:color="auto" w:fill="FFFFCC"/>
        <w:spacing w:before="240"/>
        <w:rPr>
          <w:rFonts w:eastAsia="Cambria"/>
          <w:b/>
        </w:rPr>
      </w:pPr>
      <w:r>
        <w:rPr>
          <w:rFonts w:eastAsia="Cambria"/>
          <w:b/>
        </w:rPr>
        <w:t>Propositions de recommandations</w:t>
      </w:r>
      <w:r w:rsidR="00C177BB" w:rsidRPr="00F756DE">
        <w:rPr>
          <w:rFonts w:eastAsia="Cambria"/>
          <w:b/>
        </w:rPr>
        <w:t>:</w:t>
      </w:r>
    </w:p>
    <w:p w14:paraId="276CA53D" w14:textId="77777777" w:rsidR="00127AD3" w:rsidRPr="00BF3CDE" w:rsidRDefault="00127AD3" w:rsidP="00127AD3">
      <w:pPr>
        <w:pStyle w:val="SBEmpfehlungen"/>
        <w:rPr>
          <w:lang w:eastAsia="de-CH"/>
        </w:rPr>
      </w:pPr>
      <w:r w:rsidRPr="00BF3CDE">
        <w:rPr>
          <w:lang w:eastAsia="de-CH"/>
        </w:rPr>
        <w:t xml:space="preserve">Les </w:t>
      </w:r>
      <w:r w:rsidRPr="00337A0A">
        <w:rPr>
          <w:b/>
          <w:lang w:eastAsia="de-CH"/>
        </w:rPr>
        <w:t>cantons</w:t>
      </w:r>
      <w:r w:rsidRPr="00BF3CDE">
        <w:rPr>
          <w:lang w:eastAsia="de-CH"/>
        </w:rPr>
        <w:t xml:space="preserve"> et </w:t>
      </w:r>
      <w:r w:rsidRPr="00337A0A">
        <w:rPr>
          <w:b/>
          <w:lang w:eastAsia="de-CH"/>
        </w:rPr>
        <w:t>communes</w:t>
      </w:r>
      <w:r w:rsidRPr="00BF3CDE">
        <w:rPr>
          <w:lang w:eastAsia="de-CH"/>
        </w:rPr>
        <w:t xml:space="preserve"> inscrivent dans leurs législations l’obligation de </w:t>
      </w:r>
      <w:r w:rsidRPr="00337A0A">
        <w:rPr>
          <w:b/>
          <w:lang w:eastAsia="de-CH"/>
        </w:rPr>
        <w:t>rendre accessibles aux PH leurs informations</w:t>
      </w:r>
      <w:r w:rsidRPr="00BF3CDE">
        <w:rPr>
          <w:lang w:eastAsia="de-CH"/>
        </w:rPr>
        <w:t xml:space="preserve"> ainsi que de </w:t>
      </w:r>
      <w:r w:rsidRPr="00337A0A">
        <w:rPr>
          <w:b/>
          <w:lang w:eastAsia="de-CH"/>
        </w:rPr>
        <w:t>garantir l’accessibilité de la communication avec les PH</w:t>
      </w:r>
      <w:r w:rsidRPr="00BF3CDE">
        <w:rPr>
          <w:lang w:eastAsia="de-CH"/>
        </w:rPr>
        <w:t xml:space="preserve">, et prévoient les ressources nécessaires à sa mise en œuvre. Ils assurent l’accessibilité de la communication </w:t>
      </w:r>
      <w:r w:rsidRPr="00BF3CDE">
        <w:rPr>
          <w:lang w:eastAsia="de-CH"/>
        </w:rPr>
        <w:lastRenderedPageBreak/>
        <w:t>entre autres par l’écriture Braille, la langue des signes, la langue facile à lire ainsi que des boucles d’induction.</w:t>
      </w:r>
    </w:p>
    <w:p w14:paraId="0D496874" w14:textId="57FDDBDE" w:rsidR="009515C5" w:rsidRPr="00127AD3" w:rsidRDefault="00127AD3" w:rsidP="00127AD3">
      <w:pPr>
        <w:pStyle w:val="SBEmpfehlungen"/>
        <w:rPr>
          <w:rFonts w:eastAsiaTheme="minorHAnsi"/>
          <w:lang w:eastAsia="de-CH"/>
        </w:rPr>
      </w:pPr>
      <w:r w:rsidRPr="00BF3CDE">
        <w:rPr>
          <w:lang w:eastAsia="de-CH"/>
        </w:rPr>
        <w:t>Lors de l’</w:t>
      </w:r>
      <w:r w:rsidRPr="00F16321">
        <w:rPr>
          <w:b/>
          <w:lang w:eastAsia="de-CH"/>
        </w:rPr>
        <w:t>attribution de mandats publics à des particuliers</w:t>
      </w:r>
      <w:r w:rsidRPr="00BF3CDE">
        <w:rPr>
          <w:lang w:eastAsia="de-CH"/>
        </w:rPr>
        <w:t>, la Confédération et les cantons fixent comme condition l’accessibilité des TIC pour les PH.</w:t>
      </w:r>
    </w:p>
    <w:p w14:paraId="5438D3CD" w14:textId="77777777" w:rsidR="009515C5" w:rsidRPr="009515C5" w:rsidRDefault="009515C5" w:rsidP="009515C5">
      <w:pPr>
        <w:pStyle w:val="Heading3"/>
        <w:numPr>
          <w:ilvl w:val="0"/>
          <w:numId w:val="0"/>
        </w:numPr>
        <w:ind w:left="737" w:hanging="737"/>
        <w:rPr>
          <w:rStyle w:val="Strong"/>
          <w:b/>
          <w:bCs/>
        </w:rPr>
      </w:pPr>
      <w:bookmarkStart w:id="111" w:name="_Ref479079474"/>
      <w:bookmarkStart w:id="112" w:name="_Toc94189857"/>
      <w:bookmarkStart w:id="113" w:name="_Toc95500343"/>
      <w:bookmarkStart w:id="114" w:name="_Toc96287613"/>
      <w:r w:rsidRPr="009515C5">
        <w:rPr>
          <w:rStyle w:val="Strong"/>
          <w:b/>
        </w:rPr>
        <w:t>Art. 22 – Respect de la vie privée</w:t>
      </w:r>
      <w:bookmarkEnd w:id="111"/>
      <w:bookmarkEnd w:id="112"/>
      <w:bookmarkEnd w:id="113"/>
      <w:bookmarkEnd w:id="114"/>
    </w:p>
    <w:p w14:paraId="487FD285" w14:textId="6B9215D6" w:rsidR="00127AD3" w:rsidRPr="00BF3CDE" w:rsidRDefault="00127AD3" w:rsidP="00127AD3">
      <w:pPr>
        <w:pStyle w:val="BodyText"/>
        <w:rPr>
          <w:rStyle w:val="Strong"/>
          <w:rFonts w:eastAsia="MS Gothic"/>
          <w:b w:val="0"/>
          <w:bCs w:val="0"/>
        </w:rPr>
      </w:pPr>
      <w:r w:rsidRPr="00BF3CDE">
        <w:rPr>
          <w:rStyle w:val="Strong"/>
          <w:rFonts w:eastAsia="MS Gothic"/>
          <w:b w:val="0"/>
          <w:bCs w:val="0"/>
        </w:rPr>
        <w:t>Par son renvoi à la législation fédérale dans les domaines de la protection des données et de la statistique, la Suisse ne répond pas à la question du Comité</w:t>
      </w:r>
      <w:r w:rsidR="00337A0A">
        <w:rPr>
          <w:rStyle w:val="Strong"/>
          <w:rFonts w:eastAsia="MS Gothic"/>
          <w:b w:val="0"/>
          <w:bCs w:val="0"/>
        </w:rPr>
        <w:t xml:space="preserve"> relative aux mesures de protection dans le cadre de la collecte de données (LoI, para. 17a)</w:t>
      </w:r>
      <w:r w:rsidRPr="00BF3CDE">
        <w:rPr>
          <w:rStyle w:val="Strong"/>
          <w:rFonts w:eastAsia="MS Gothic"/>
          <w:b w:val="0"/>
          <w:bCs w:val="0"/>
        </w:rPr>
        <w:t xml:space="preserve">. Dans le contexte du respect de la sphère privée, les PH </w:t>
      </w:r>
      <w:r w:rsidRPr="00BF3CDE">
        <w:rPr>
          <w:rStyle w:val="Strong"/>
          <w:rFonts w:eastAsia="MS Gothic"/>
        </w:rPr>
        <w:t>nécessitent une protection particulière</w:t>
      </w:r>
      <w:r w:rsidRPr="00BF3CDE">
        <w:rPr>
          <w:rStyle w:val="Strong"/>
          <w:rFonts w:eastAsia="MS Gothic"/>
          <w:b w:val="0"/>
          <w:bCs w:val="0"/>
        </w:rPr>
        <w:t xml:space="preserve"> en ce qui concerne leur sphère privée, dont il n’est actuellement pas suffisamment tenu compte au niveau des bases légales et de leur mise en œuvre. Cela concerne notamment les </w:t>
      </w:r>
      <w:r w:rsidRPr="00BF3CDE">
        <w:rPr>
          <w:rStyle w:val="Strong"/>
          <w:rFonts w:eastAsia="MS Gothic"/>
        </w:rPr>
        <w:t>personnes vivant en institutions</w:t>
      </w:r>
      <w:r w:rsidRPr="00BF3CDE">
        <w:rPr>
          <w:rStyle w:val="Strong"/>
          <w:rFonts w:eastAsia="MS Gothic"/>
          <w:b w:val="0"/>
          <w:bCs w:val="0"/>
        </w:rPr>
        <w:t>. Généralement, les PH qui demandent des prestations relevant du droit des assurances sociales ou du domaine de la pédagogie curative doivent dévoiler de nombreuses données (éminemment) personnelles</w:t>
      </w:r>
      <w:r w:rsidR="00F16321">
        <w:rPr>
          <w:rStyle w:val="Strong"/>
          <w:rFonts w:eastAsia="MS Gothic"/>
          <w:b w:val="0"/>
          <w:bCs w:val="0"/>
        </w:rPr>
        <w:t>.</w:t>
      </w:r>
      <w:r w:rsidRPr="00072A72">
        <w:rPr>
          <w:rStyle w:val="FootnoteReference"/>
          <w:bCs/>
        </w:rPr>
        <w:footnoteReference w:id="184"/>
      </w:r>
      <w:r w:rsidRPr="00BF3CDE">
        <w:rPr>
          <w:rStyle w:val="Strong"/>
          <w:rFonts w:eastAsia="MS Gothic"/>
          <w:b w:val="0"/>
          <w:bCs w:val="0"/>
        </w:rPr>
        <w:t xml:space="preserve"> Dans le cadre de son activité de conseils juridiques, Inclusion Handicap a été rendue attentive à la </w:t>
      </w:r>
      <w:r w:rsidRPr="00BF3CDE">
        <w:rPr>
          <w:rStyle w:val="Strong"/>
          <w:rFonts w:eastAsia="MS Gothic"/>
        </w:rPr>
        <w:t>vulnérabilité particulière des PH en matière de protection des données</w:t>
      </w:r>
      <w:r w:rsidRPr="00072A72">
        <w:rPr>
          <w:rStyle w:val="FootnoteReference"/>
          <w:bCs/>
        </w:rPr>
        <w:footnoteReference w:id="185"/>
      </w:r>
      <w:r w:rsidRPr="00BF3CDE">
        <w:rPr>
          <w:rStyle w:val="Strong"/>
          <w:rFonts w:eastAsia="MS Gothic"/>
          <w:b w:val="0"/>
          <w:bCs w:val="0"/>
        </w:rPr>
        <w:t xml:space="preserve">: il ne semble en effet nullement garanti que les informations demandées aux PH </w:t>
      </w:r>
      <w:r w:rsidRPr="00BF3CDE">
        <w:rPr>
          <w:rStyle w:val="Strong"/>
          <w:rFonts w:eastAsia="MS Gothic"/>
          <w:b w:val="0"/>
          <w:bCs w:val="0"/>
        </w:rPr>
        <w:lastRenderedPageBreak/>
        <w:t>portent toujours uniquement sur les données réellement nécessaires à la détermination du droit aux prestations et du montant de celles-ci.</w:t>
      </w:r>
      <w:r w:rsidRPr="00072A72">
        <w:rPr>
          <w:rStyle w:val="FootnoteReference"/>
          <w:bCs/>
        </w:rPr>
        <w:footnoteReference w:id="186"/>
      </w:r>
    </w:p>
    <w:p w14:paraId="74AB406F" w14:textId="196692F6" w:rsidR="00C177BB" w:rsidRPr="00127AD3" w:rsidRDefault="00127AD3" w:rsidP="00127AD3">
      <w:pPr>
        <w:pStyle w:val="BodyText"/>
        <w:rPr>
          <w:rStyle w:val="Strong"/>
          <w:rFonts w:eastAsia="MS Gothic"/>
          <w:b w:val="0"/>
          <w:bCs w:val="0"/>
        </w:rPr>
      </w:pPr>
      <w:r w:rsidRPr="00BF3CDE">
        <w:rPr>
          <w:rStyle w:val="Strong"/>
          <w:rFonts w:eastAsia="MS Gothic"/>
          <w:b w:val="0"/>
          <w:bCs w:val="0"/>
        </w:rPr>
        <w:t xml:space="preserve">L’affirmation de la Suisse (réponse à la LoI, para. 57) selon laquelle l’art. 8 LHand permet à toute personne qui subit une inégalité d’une collectivité publique de demander au tribunal ou à l’autorité administrative d’ordonner que le prestataire élimine l’inégalité ou s’en abstienne, n’est pas exacte en ces termes. </w:t>
      </w:r>
      <w:r w:rsidRPr="00BF3CDE">
        <w:rPr>
          <w:rStyle w:val="Strong"/>
          <w:rFonts w:eastAsia="MS Gothic"/>
        </w:rPr>
        <w:t>Suite à la répartition des compétences entre la Confédération et les cantons, la LHand ne s’applique pas aux prestations fournies par les cantons et communes</w:t>
      </w:r>
      <w:r w:rsidRPr="00BF3CDE">
        <w:rPr>
          <w:rStyle w:val="Strong"/>
          <w:rFonts w:eastAsia="MS Gothic"/>
          <w:b w:val="0"/>
          <w:bCs w:val="0"/>
        </w:rPr>
        <w:t>. En conséquence, les droits selon l’art. 8 al. 1 LHand ne sont pas applicables à leur égard.</w:t>
      </w:r>
    </w:p>
    <w:p w14:paraId="68D3E346" w14:textId="77777777" w:rsidR="00C177BB" w:rsidRDefault="009515C5" w:rsidP="00C177BB">
      <w:pPr>
        <w:shd w:val="clear" w:color="auto" w:fill="FFFFCC"/>
        <w:spacing w:before="240"/>
        <w:rPr>
          <w:rFonts w:eastAsia="Cambria"/>
          <w:b/>
        </w:rPr>
      </w:pPr>
      <w:r>
        <w:rPr>
          <w:rFonts w:eastAsia="Cambria"/>
          <w:b/>
        </w:rPr>
        <w:t>Propositions de recommandations</w:t>
      </w:r>
      <w:r w:rsidR="00C177BB" w:rsidRPr="00F756DE">
        <w:rPr>
          <w:rFonts w:eastAsia="Cambria"/>
          <w:b/>
        </w:rPr>
        <w:t>:</w:t>
      </w:r>
    </w:p>
    <w:p w14:paraId="3FE03D63" w14:textId="77777777" w:rsidR="00127AD3" w:rsidRPr="00BF3CDE" w:rsidRDefault="00127AD3" w:rsidP="00127AD3">
      <w:pPr>
        <w:pStyle w:val="SBEmpfehlungen"/>
      </w:pPr>
      <w:r w:rsidRPr="00BF3CDE">
        <w:t xml:space="preserve">La </w:t>
      </w:r>
      <w:r w:rsidRPr="00127AD3">
        <w:rPr>
          <w:b/>
        </w:rPr>
        <w:t>Confédération et les cantons</w:t>
      </w:r>
      <w:r w:rsidRPr="00BF3CDE">
        <w:t xml:space="preserve"> </w:t>
      </w:r>
      <w:r w:rsidRPr="00BF3CDE">
        <w:rPr>
          <w:bCs/>
        </w:rPr>
        <w:t>garantissent dans leur</w:t>
      </w:r>
      <w:r w:rsidRPr="00BF3CDE">
        <w:t xml:space="preserve"> </w:t>
      </w:r>
      <w:r w:rsidRPr="00127AD3">
        <w:rPr>
          <w:b/>
        </w:rPr>
        <w:t>législation</w:t>
      </w:r>
      <w:r w:rsidRPr="00BF3CDE">
        <w:t xml:space="preserve"> et sa mise en œuvre que la </w:t>
      </w:r>
      <w:r w:rsidRPr="00127AD3">
        <w:rPr>
          <w:b/>
          <w:bCs/>
        </w:rPr>
        <w:t>collecte de données se limite aux données réellement nécessaires</w:t>
      </w:r>
      <w:r w:rsidRPr="00BF3CDE">
        <w:t xml:space="preserve">. Ils assurent en outre que les </w:t>
      </w:r>
      <w:r w:rsidRPr="00127AD3">
        <w:rPr>
          <w:b/>
          <w:bCs/>
        </w:rPr>
        <w:t>données (strictement) personnelles</w:t>
      </w:r>
      <w:r w:rsidRPr="00BF3CDE">
        <w:t xml:space="preserve"> ne soient transmises à des tiers qu’avec le </w:t>
      </w:r>
      <w:r w:rsidRPr="00127AD3">
        <w:rPr>
          <w:b/>
          <w:bCs/>
        </w:rPr>
        <w:t>consentement de la personne concernée</w:t>
      </w:r>
      <w:r w:rsidRPr="00BF3CDE">
        <w:t xml:space="preserve">. La protection des données doit s’appliquer en particulier aux personnes vivant et/ou travaillant en </w:t>
      </w:r>
      <w:r w:rsidRPr="00127AD3">
        <w:rPr>
          <w:b/>
          <w:bCs/>
        </w:rPr>
        <w:t>institutions</w:t>
      </w:r>
      <w:r w:rsidRPr="00BF3CDE">
        <w:t>.</w:t>
      </w:r>
    </w:p>
    <w:p w14:paraId="23C2E580" w14:textId="35226B30" w:rsidR="009515C5" w:rsidRPr="00127AD3" w:rsidRDefault="00127AD3" w:rsidP="00127AD3">
      <w:pPr>
        <w:pStyle w:val="SBEmpfehlungen"/>
        <w:rPr>
          <w:rFonts w:eastAsiaTheme="minorHAnsi"/>
        </w:rPr>
      </w:pPr>
      <w:r w:rsidRPr="00BF3CDE">
        <w:t xml:space="preserve">Dans le cadre de leur </w:t>
      </w:r>
      <w:r w:rsidRPr="00127AD3">
        <w:rPr>
          <w:b/>
        </w:rPr>
        <w:t>fonction de surveillance</w:t>
      </w:r>
      <w:r w:rsidRPr="00BF3CDE">
        <w:t xml:space="preserve">, les </w:t>
      </w:r>
      <w:r w:rsidRPr="00127AD3">
        <w:rPr>
          <w:b/>
        </w:rPr>
        <w:t>cantons</w:t>
      </w:r>
      <w:r w:rsidRPr="00BF3CDE">
        <w:rPr>
          <w:bCs/>
        </w:rPr>
        <w:t xml:space="preserve"> contrôlent </w:t>
      </w:r>
      <w:r w:rsidRPr="00127AD3">
        <w:rPr>
          <w:b/>
        </w:rPr>
        <w:t xml:space="preserve">l’utilisation des données sensibles/(strictement) </w:t>
      </w:r>
      <w:r w:rsidRPr="00127AD3">
        <w:rPr>
          <w:b/>
        </w:rPr>
        <w:lastRenderedPageBreak/>
        <w:t>personnelles concernant les résidantes et résidants de homes</w:t>
      </w:r>
      <w:r w:rsidRPr="00BF3CDE">
        <w:rPr>
          <w:bCs/>
        </w:rPr>
        <w:t xml:space="preserve"> à la lumière de l’art. 22 CDPH</w:t>
      </w:r>
      <w:r w:rsidRPr="00BF3CDE">
        <w:t>.</w:t>
      </w:r>
    </w:p>
    <w:p w14:paraId="06EB16A7" w14:textId="77777777" w:rsidR="009515C5" w:rsidRPr="00BF3CDE" w:rsidRDefault="009515C5" w:rsidP="009515C5">
      <w:pPr>
        <w:pStyle w:val="Heading3"/>
        <w:numPr>
          <w:ilvl w:val="0"/>
          <w:numId w:val="0"/>
        </w:numPr>
        <w:ind w:left="737" w:hanging="737"/>
      </w:pPr>
      <w:bookmarkStart w:id="115" w:name="_Toc95500344"/>
      <w:bookmarkStart w:id="116" w:name="_Toc96287614"/>
      <w:r w:rsidRPr="00BF3CDE">
        <w:t>Art. 23 – Respect du domicile et de la famille</w:t>
      </w:r>
      <w:bookmarkEnd w:id="115"/>
      <w:bookmarkEnd w:id="116"/>
    </w:p>
    <w:p w14:paraId="215DB7B5" w14:textId="589E77BE" w:rsidR="00127AD3" w:rsidRPr="00BF3CDE" w:rsidRDefault="00127AD3" w:rsidP="00127AD3">
      <w:pPr>
        <w:pStyle w:val="BodyText"/>
      </w:pPr>
      <w:r w:rsidRPr="00BF3CDE">
        <w:t xml:space="preserve">On peut être d’accord avec l’avis de la Suisse (réponse à la LoI, para. 60-62) en ce sens que l’AI fournit diverses </w:t>
      </w:r>
      <w:r w:rsidRPr="00BF3CDE">
        <w:rPr>
          <w:b/>
        </w:rPr>
        <w:t>prestations essentielles</w:t>
      </w:r>
      <w:r w:rsidRPr="00BF3CDE">
        <w:t xml:space="preserve"> afin de soutenir financièrement les </w:t>
      </w:r>
      <w:r w:rsidRPr="00BF3CDE">
        <w:rPr>
          <w:b/>
        </w:rPr>
        <w:t>adultes handicapés</w:t>
      </w:r>
      <w:r w:rsidRPr="00BF3CDE">
        <w:t xml:space="preserve"> ainsi que les </w:t>
      </w:r>
      <w:r w:rsidRPr="00BF3CDE">
        <w:rPr>
          <w:b/>
        </w:rPr>
        <w:t>parents d’enfants handicapés</w:t>
      </w:r>
      <w:r w:rsidRPr="00BF3CDE">
        <w:t xml:space="preserve">. La situation des </w:t>
      </w:r>
      <w:r w:rsidRPr="00BF3CDE">
        <w:rPr>
          <w:b/>
        </w:rPr>
        <w:t>parents</w:t>
      </w:r>
      <w:r w:rsidRPr="00BF3CDE">
        <w:rPr>
          <w:bCs/>
        </w:rPr>
        <w:t xml:space="preserve"> qui assument la </w:t>
      </w:r>
      <w:r w:rsidRPr="00BF3CDE">
        <w:rPr>
          <w:b/>
        </w:rPr>
        <w:t>prise en charge et les soins à domicile de leurs enfants lourdement handicapés</w:t>
      </w:r>
      <w:r w:rsidRPr="00BF3CDE">
        <w:t xml:space="preserve"> a été nettement améliorée par les révisions de la</w:t>
      </w:r>
      <w:r w:rsidR="005B6BB2">
        <w:t xml:space="preserve"> </w:t>
      </w:r>
      <w:r w:rsidRPr="00BF3CDE">
        <w:t>législation fédérale entrées en vigueur en 2018 resp. 2021.</w:t>
      </w:r>
      <w:r w:rsidRPr="00BF3CDE">
        <w:rPr>
          <w:rStyle w:val="FootnoteReference"/>
        </w:rPr>
        <w:footnoteReference w:id="187"/>
      </w:r>
      <w:r w:rsidRPr="00BF3CDE">
        <w:t xml:space="preserve"> Aussi ces avancées ont-elles été vivement saluées par les organisations de PH.</w:t>
      </w:r>
      <w:r w:rsidRPr="00BF3CDE">
        <w:rPr>
          <w:rStyle w:val="FootnoteReference"/>
        </w:rPr>
        <w:footnoteReference w:id="188"/>
      </w:r>
    </w:p>
    <w:p w14:paraId="235D6323" w14:textId="77777777" w:rsidR="00127AD3" w:rsidRPr="00BF3CDE" w:rsidRDefault="00127AD3" w:rsidP="005B6BB2">
      <w:pPr>
        <w:pStyle w:val="BodyText"/>
      </w:pPr>
      <w:r w:rsidRPr="00BF3CDE">
        <w:t xml:space="preserve">Les PH continuent cependant de rencontrer des problèmes parfois graves dans </w:t>
      </w:r>
      <w:r w:rsidRPr="00BF3CDE">
        <w:rPr>
          <w:b/>
          <w:bCs/>
        </w:rPr>
        <w:t>l’exercice de leur droit à une famille et à la sexualité</w:t>
      </w:r>
      <w:r w:rsidRPr="00BF3CDE">
        <w:t xml:space="preserve">. Cela concerne tout particulièrement les </w:t>
      </w:r>
      <w:r w:rsidRPr="00BF3CDE">
        <w:rPr>
          <w:b/>
        </w:rPr>
        <w:t>femmes</w:t>
      </w:r>
      <w:r w:rsidRPr="00BF3CDE">
        <w:t xml:space="preserve"> (et parmi elles notamment les </w:t>
      </w:r>
      <w:r w:rsidRPr="00BF3CDE">
        <w:rPr>
          <w:b/>
        </w:rPr>
        <w:t>femmes ayant un handicap intellectuel</w:t>
      </w:r>
      <w:r w:rsidRPr="00BF3CDE">
        <w:t xml:space="preserve">) ainsi que les </w:t>
      </w:r>
      <w:r w:rsidRPr="00BF3CDE">
        <w:rPr>
          <w:b/>
          <w:bCs/>
        </w:rPr>
        <w:t>résidantes de homes</w:t>
      </w:r>
      <w:r w:rsidRPr="00BF3CDE">
        <w:t xml:space="preserve">. </w:t>
      </w:r>
    </w:p>
    <w:p w14:paraId="50B0FB06" w14:textId="77777777" w:rsidR="00127AD3" w:rsidRPr="00BF3CDE" w:rsidRDefault="00127AD3" w:rsidP="00B857BD">
      <w:pPr>
        <w:pStyle w:val="BodyText"/>
        <w:numPr>
          <w:ilvl w:val="0"/>
          <w:numId w:val="19"/>
        </w:numPr>
      </w:pPr>
      <w:r w:rsidRPr="00BF3CDE">
        <w:t xml:space="preserve">Le soutien spécifique destiné aux </w:t>
      </w:r>
      <w:r w:rsidRPr="00BF3CDE">
        <w:rPr>
          <w:b/>
        </w:rPr>
        <w:t>parents en situation de handicap</w:t>
      </w:r>
      <w:r w:rsidRPr="00BF3CDE">
        <w:t xml:space="preserve">, notamment en vue de permettre aux enfants de </w:t>
      </w:r>
      <w:r w:rsidRPr="00BF3CDE">
        <w:lastRenderedPageBreak/>
        <w:t xml:space="preserve">grandir auprès de leurs parents, reste </w:t>
      </w:r>
      <w:r w:rsidRPr="00BF3CDE">
        <w:rPr>
          <w:b/>
          <w:bCs/>
        </w:rPr>
        <w:t>très rare</w:t>
      </w:r>
      <w:r w:rsidRPr="00BF3CDE">
        <w:t xml:space="preserve"> et son </w:t>
      </w:r>
      <w:r w:rsidRPr="00BF3CDE">
        <w:rPr>
          <w:b/>
          <w:bCs/>
        </w:rPr>
        <w:t>financement est insuffisant</w:t>
      </w:r>
      <w:r w:rsidRPr="00BF3CDE">
        <w:t>. Les services de soutien habituels qui sont amenés à aider les mères et pères handicapés s’avèrent souvent dépassés.</w:t>
      </w:r>
    </w:p>
    <w:p w14:paraId="309AEFB2" w14:textId="77777777" w:rsidR="00127AD3" w:rsidRPr="00BF3CDE" w:rsidRDefault="00127AD3" w:rsidP="00B857BD">
      <w:pPr>
        <w:pStyle w:val="BodyText"/>
        <w:numPr>
          <w:ilvl w:val="0"/>
          <w:numId w:val="19"/>
        </w:numPr>
      </w:pPr>
      <w:r w:rsidRPr="00BF3CDE">
        <w:rPr>
          <w:b/>
          <w:lang w:eastAsia="de-CH"/>
        </w:rPr>
        <w:t>Les parents d’enfants handicapés</w:t>
      </w:r>
      <w:r w:rsidRPr="00BF3CDE">
        <w:rPr>
          <w:lang w:eastAsia="de-CH"/>
        </w:rPr>
        <w:t xml:space="preserve"> se voient confrontés à de nombreuses carences, </w:t>
      </w:r>
      <w:r w:rsidRPr="00BF3CDE">
        <w:t>malgré</w:t>
      </w:r>
      <w:r w:rsidRPr="00BF3CDE">
        <w:rPr>
          <w:lang w:eastAsia="de-CH"/>
        </w:rPr>
        <w:t xml:space="preserve"> les prestations de l’AI mentionnées. Ces carences se situent au niveau des prestations en général et de celles spécifiquement liées au handicap</w:t>
      </w:r>
      <w:r w:rsidRPr="00BF3CDE">
        <w:t>: manque d’inclusivité et d’offres en accueil extrafamilial</w:t>
      </w:r>
      <w:r w:rsidRPr="00BF3CDE">
        <w:rPr>
          <w:rStyle w:val="FootnoteReference"/>
        </w:rPr>
        <w:footnoteReference w:id="189"/>
      </w:r>
      <w:r w:rsidRPr="00BF3CDE">
        <w:t>; pénurie dans les domaines de la détection précoce/du soutien pédagogique précoce ainsi que de la psychiatrie/psychothérapie</w:t>
      </w:r>
      <w:r w:rsidRPr="00BF3CDE">
        <w:rPr>
          <w:rStyle w:val="FootnoteReference"/>
        </w:rPr>
        <w:footnoteReference w:id="190"/>
      </w:r>
      <w:r w:rsidRPr="00BF3CDE">
        <w:t xml:space="preserve">). C’est une des raisons pour lesquelles de </w:t>
      </w:r>
      <w:r w:rsidRPr="00BF3CDE">
        <w:rPr>
          <w:b/>
        </w:rPr>
        <w:t>nombreux enfants handicapés vivent toujours dans des institutions</w:t>
      </w:r>
      <w:r w:rsidRPr="00BF3CDE">
        <w:t>.</w:t>
      </w:r>
      <w:r w:rsidRPr="00BF3CDE">
        <w:rPr>
          <w:rStyle w:val="FootnoteReference"/>
        </w:rPr>
        <w:footnoteReference w:id="191"/>
      </w:r>
      <w:r w:rsidRPr="00BF3CDE">
        <w:t xml:space="preserve"> </w:t>
      </w:r>
    </w:p>
    <w:p w14:paraId="42EA4353" w14:textId="10D53CED" w:rsidR="00127AD3" w:rsidRPr="00BF3CDE" w:rsidRDefault="00127AD3" w:rsidP="00B857BD">
      <w:pPr>
        <w:pStyle w:val="BodyText"/>
        <w:numPr>
          <w:ilvl w:val="0"/>
          <w:numId w:val="19"/>
        </w:numPr>
      </w:pPr>
      <w:r w:rsidRPr="00BF3CDE">
        <w:t xml:space="preserve">Dans la société, le thème </w:t>
      </w:r>
      <w:r w:rsidRPr="00BF3CDE">
        <w:rPr>
          <w:b/>
        </w:rPr>
        <w:t>sexualité et handicap</w:t>
      </w:r>
      <w:r w:rsidRPr="00BF3CDE">
        <w:t xml:space="preserve"> est largement considéré comme un </w:t>
      </w:r>
      <w:r w:rsidRPr="00BF3CDE">
        <w:rPr>
          <w:b/>
          <w:bCs/>
        </w:rPr>
        <w:t>tabou</w:t>
      </w:r>
      <w:r w:rsidRPr="00BF3CDE">
        <w:t>.</w:t>
      </w:r>
      <w:r w:rsidRPr="00BF3CDE">
        <w:rPr>
          <w:rStyle w:val="FootnoteReference"/>
        </w:rPr>
        <w:footnoteReference w:id="192"/>
      </w:r>
      <w:r w:rsidRPr="00BF3CDE">
        <w:t xml:space="preserve"> Les personnes concernées n’ont que rarement accès à l’éducation.</w:t>
      </w:r>
      <w:r w:rsidRPr="00BF3CDE">
        <w:rPr>
          <w:rStyle w:val="FootnoteReference"/>
        </w:rPr>
        <w:t>.</w:t>
      </w:r>
      <w:r w:rsidRPr="00BF3CDE">
        <w:t xml:space="preserve">De plus, les informations, les conseils, l’aide et le soutien ainsi que les services médicaux en matière de sexualité autodéterminée et de planning familial ne sont </w:t>
      </w:r>
      <w:r w:rsidRPr="00BF3CDE">
        <w:rPr>
          <w:b/>
          <w:bCs/>
        </w:rPr>
        <w:t>pas inclusifs</w:t>
      </w:r>
      <w:r w:rsidRPr="00BF3CDE">
        <w:t>.</w:t>
      </w:r>
    </w:p>
    <w:p w14:paraId="03D0AC29" w14:textId="618D044C" w:rsidR="00C177BB" w:rsidRPr="005B6BB2" w:rsidRDefault="00127AD3" w:rsidP="00B857BD">
      <w:pPr>
        <w:pStyle w:val="BodyText"/>
        <w:numPr>
          <w:ilvl w:val="0"/>
          <w:numId w:val="19"/>
        </w:numPr>
      </w:pPr>
      <w:r w:rsidRPr="00BF3CDE">
        <w:lastRenderedPageBreak/>
        <w:t xml:space="preserve">Enfin, la situation des personnes qui s’occupent de </w:t>
      </w:r>
      <w:r w:rsidRPr="00BF3CDE">
        <w:rPr>
          <w:b/>
          <w:bCs/>
        </w:rPr>
        <w:t>proches adultes handicapés dans le cadre familial</w:t>
      </w:r>
      <w:r w:rsidRPr="00BF3CDE">
        <w:t xml:space="preserve"> reste difficile. Les révisions de lois mentionnées par la Suisse</w:t>
      </w:r>
      <w:r w:rsidRPr="00BF3CDE">
        <w:rPr>
          <w:rFonts w:eastAsia="Times New Roman"/>
          <w:lang w:eastAsia="de-CH"/>
        </w:rPr>
        <w:t xml:space="preserve"> (réponse à la LoI, para. 61 s.) n’améliorent pas leur situation. Il en résulte une </w:t>
      </w:r>
      <w:r w:rsidRPr="00BF3CDE">
        <w:rPr>
          <w:rFonts w:eastAsia="Times New Roman"/>
          <w:b/>
          <w:lang w:eastAsia="de-CH"/>
        </w:rPr>
        <w:t xml:space="preserve">surcharge des </w:t>
      </w:r>
      <w:r>
        <w:rPr>
          <w:rFonts w:eastAsia="Times New Roman"/>
          <w:b/>
          <w:lang w:eastAsia="de-CH"/>
        </w:rPr>
        <w:t xml:space="preserve">personnes </w:t>
      </w:r>
      <w:r w:rsidRPr="00BF3CDE">
        <w:rPr>
          <w:rFonts w:eastAsia="Times New Roman"/>
          <w:b/>
          <w:lang w:eastAsia="de-CH"/>
        </w:rPr>
        <w:t>soignantes</w:t>
      </w:r>
      <w:r w:rsidRPr="00BF3CDE">
        <w:rPr>
          <w:rFonts w:eastAsia="Times New Roman"/>
          <w:lang w:eastAsia="de-CH"/>
        </w:rPr>
        <w:t xml:space="preserve"> qui risquent de se retrouver e</w:t>
      </w:r>
      <w:r>
        <w:rPr>
          <w:rFonts w:eastAsia="Times New Roman"/>
          <w:lang w:eastAsia="de-CH"/>
        </w:rPr>
        <w:t>lles</w:t>
      </w:r>
      <w:r w:rsidRPr="00BF3CDE">
        <w:rPr>
          <w:rFonts w:eastAsia="Times New Roman"/>
          <w:lang w:eastAsia="de-CH"/>
        </w:rPr>
        <w:t>-mêmes en proie à des problèmes de santé ou d’être tenté</w:t>
      </w:r>
      <w:r>
        <w:rPr>
          <w:rFonts w:eastAsia="Times New Roman"/>
          <w:lang w:eastAsia="de-CH"/>
        </w:rPr>
        <w:t>e</w:t>
      </w:r>
      <w:r w:rsidRPr="00BF3CDE">
        <w:rPr>
          <w:rFonts w:eastAsia="Times New Roman"/>
          <w:lang w:eastAsia="de-CH"/>
        </w:rPr>
        <w:t xml:space="preserve">s de démissionner de façon précipitée, causant ainsi des </w:t>
      </w:r>
      <w:r w:rsidRPr="00BF3CDE">
        <w:rPr>
          <w:rFonts w:eastAsia="Times New Roman"/>
          <w:b/>
          <w:lang w:eastAsia="de-CH"/>
        </w:rPr>
        <w:t>problèmes financiers</w:t>
      </w:r>
      <w:r w:rsidRPr="00BF3CDE">
        <w:rPr>
          <w:rFonts w:eastAsia="Times New Roman"/>
          <w:lang w:eastAsia="de-CH"/>
        </w:rPr>
        <w:t xml:space="preserve"> à toute leur famille.</w:t>
      </w:r>
      <w:r w:rsidRPr="00BF3CDE">
        <w:rPr>
          <w:rStyle w:val="FootnoteReference"/>
        </w:rPr>
        <w:footnoteReference w:id="193"/>
      </w:r>
      <w:r w:rsidRPr="00BF3CDE">
        <w:t xml:space="preserve"> </w:t>
      </w:r>
    </w:p>
    <w:p w14:paraId="776949CD" w14:textId="4B5066C6" w:rsidR="00C177BB" w:rsidRPr="00F756DE" w:rsidRDefault="009515C5" w:rsidP="00C177BB">
      <w:pPr>
        <w:shd w:val="clear" w:color="auto" w:fill="FFFFCC"/>
        <w:spacing w:before="240"/>
        <w:rPr>
          <w:rFonts w:eastAsia="Cambria"/>
          <w:b/>
        </w:rPr>
      </w:pPr>
      <w:r>
        <w:rPr>
          <w:rFonts w:eastAsia="Cambria"/>
          <w:b/>
        </w:rPr>
        <w:t>Propositions de recommandations</w:t>
      </w:r>
      <w:r w:rsidR="005B6BB2">
        <w:rPr>
          <w:rFonts w:eastAsia="Cambria"/>
          <w:b/>
        </w:rPr>
        <w:t> :</w:t>
      </w:r>
    </w:p>
    <w:p w14:paraId="64355DFF" w14:textId="266F6A59" w:rsidR="005B6BB2" w:rsidRPr="00BF3CDE" w:rsidRDefault="005B6BB2" w:rsidP="005B6BB2">
      <w:pPr>
        <w:pStyle w:val="SBEmpfehlungen"/>
      </w:pPr>
      <w:r w:rsidRPr="00BF3CDE">
        <w:t xml:space="preserve">Les </w:t>
      </w:r>
      <w:r w:rsidRPr="00BF3CDE">
        <w:rPr>
          <w:b/>
        </w:rPr>
        <w:t>cantons</w:t>
      </w:r>
      <w:r w:rsidRPr="00BF3CDE">
        <w:t xml:space="preserve"> assurent la mise en place de </w:t>
      </w:r>
      <w:r w:rsidRPr="00BF3CDE">
        <w:rPr>
          <w:b/>
        </w:rPr>
        <w:t xml:space="preserve">services de soutien spécifiquement destinés aux familles </w:t>
      </w:r>
      <w:r w:rsidR="00B27BDF">
        <w:rPr>
          <w:b/>
        </w:rPr>
        <w:t>avec parents ou</w:t>
      </w:r>
      <w:r w:rsidRPr="00BF3CDE">
        <w:rPr>
          <w:b/>
        </w:rPr>
        <w:t xml:space="preserve"> enfants handicapés</w:t>
      </w:r>
      <w:r w:rsidRPr="00BF3CDE">
        <w:t xml:space="preserve">, dans le but de permettre à ces enfants de vivre au sein de leurs familles. Ils garantissent en outre, par des </w:t>
      </w:r>
      <w:r w:rsidRPr="00BF3CDE">
        <w:rPr>
          <w:b/>
          <w:bCs/>
        </w:rPr>
        <w:t>offres d’encadrement inclusives et la prise en charge par la collectivité des frais supplémentaires dus au handicap</w:t>
      </w:r>
      <w:r w:rsidRPr="00BF3CDE">
        <w:t>, que les enfants, avec ou sans handicap, aient le même accès au système d’accueil extrafamilial.</w:t>
      </w:r>
    </w:p>
    <w:p w14:paraId="1D41446C" w14:textId="0AEEC705" w:rsidR="00C177BB" w:rsidRPr="00F756DE" w:rsidRDefault="005B6BB2" w:rsidP="009515C5">
      <w:pPr>
        <w:pStyle w:val="SBEmpfehlungen"/>
      </w:pPr>
      <w:r w:rsidRPr="00BF3CDE">
        <w:t xml:space="preserve">Les </w:t>
      </w:r>
      <w:r w:rsidRPr="00BF3CDE">
        <w:rPr>
          <w:b/>
        </w:rPr>
        <w:t>cantons</w:t>
      </w:r>
      <w:r w:rsidRPr="00BF3CDE">
        <w:t xml:space="preserve"> assurent l’inclusivité systématique des </w:t>
      </w:r>
      <w:r w:rsidRPr="00BF3CDE">
        <w:rPr>
          <w:b/>
        </w:rPr>
        <w:t>services du domaine de la santé sexuelle et génésique</w:t>
      </w:r>
      <w:r w:rsidRPr="00BF3CDE">
        <w:t xml:space="preserve"> et leur accès </w:t>
      </w:r>
      <w:r w:rsidRPr="00BF3CDE">
        <w:lastRenderedPageBreak/>
        <w:t xml:space="preserve">pour toutes les femmes handicapées; ils développent notamment les offres de parentalité assistée et veillent au financement approprié de ces services. </w:t>
      </w:r>
    </w:p>
    <w:p w14:paraId="6BEA9BF4" w14:textId="77777777" w:rsidR="009515C5" w:rsidRPr="00BF3CDE" w:rsidRDefault="009515C5" w:rsidP="009515C5">
      <w:pPr>
        <w:pStyle w:val="Heading3"/>
        <w:numPr>
          <w:ilvl w:val="0"/>
          <w:numId w:val="0"/>
        </w:numPr>
        <w:ind w:left="737" w:hanging="737"/>
        <w:rPr>
          <w:rFonts w:eastAsia="MS Gothic"/>
        </w:rPr>
      </w:pPr>
      <w:bookmarkStart w:id="117" w:name="_Toc91237784"/>
      <w:bookmarkStart w:id="118" w:name="_Ref91239956"/>
      <w:bookmarkStart w:id="119" w:name="_Toc93596148"/>
      <w:bookmarkStart w:id="120" w:name="_Toc95500345"/>
      <w:bookmarkStart w:id="121" w:name="_Ref95737655"/>
      <w:bookmarkStart w:id="122" w:name="_Toc96287615"/>
      <w:r w:rsidRPr="00BF3CDE">
        <w:rPr>
          <w:rFonts w:eastAsia="MS Gothic"/>
        </w:rPr>
        <w:t>Art. 24 – Formation</w:t>
      </w:r>
      <w:r w:rsidRPr="006F7F53">
        <w:rPr>
          <w:rFonts w:eastAsia="Cambria" w:cs="Times New Roman"/>
          <w:b w:val="0"/>
          <w:vertAlign w:val="superscript"/>
        </w:rPr>
        <w:footnoteReference w:id="194"/>
      </w:r>
      <w:bookmarkEnd w:id="117"/>
      <w:bookmarkEnd w:id="118"/>
      <w:bookmarkEnd w:id="119"/>
      <w:bookmarkEnd w:id="120"/>
      <w:bookmarkEnd w:id="121"/>
      <w:bookmarkEnd w:id="122"/>
    </w:p>
    <w:p w14:paraId="226DCCBD" w14:textId="77777777" w:rsidR="009515C5" w:rsidRPr="00BF3CDE" w:rsidRDefault="009515C5" w:rsidP="009515C5">
      <w:pPr>
        <w:pStyle w:val="Subtitle"/>
        <w:rPr>
          <w:i/>
        </w:rPr>
      </w:pPr>
      <w:r w:rsidRPr="00BF3CDE">
        <w:t>Développement et mode de fonctionnement du système d’enseignement de base intégratif</w:t>
      </w:r>
    </w:p>
    <w:p w14:paraId="0C27D60F" w14:textId="126A8FE0" w:rsidR="005B6BB2" w:rsidRPr="00BF3CDE" w:rsidRDefault="005B6BB2" w:rsidP="005B6BB2">
      <w:pPr>
        <w:pStyle w:val="BodyText"/>
      </w:pPr>
      <w:r w:rsidRPr="00BF3CDE">
        <w:t xml:space="preserve">La RPT a donné lieu, en Suisse, à un changement de système de l’enseignement de base destiné aux enfants et aux </w:t>
      </w:r>
      <w:r>
        <w:t>jeunes</w:t>
      </w:r>
      <w:r w:rsidRPr="00BF3CDE">
        <w:t xml:space="preserve"> </w:t>
      </w:r>
      <w:r>
        <w:t xml:space="preserve">en situation de </w:t>
      </w:r>
      <w:r w:rsidRPr="00BF3CDE">
        <w:t>handicap. Au lieu de l’AI, ce sont à présent les cantons qui en assument la responsabilité (art. 62 al. 3 Cst.), et l’obligation de motiver les raisons pour lesquelles l’école régulière constitue la meilleure solution pour un enfant handicapé a cédé la place à l’obligation de justifier pourquoi c’est l’école spécialisée qui apparaît comme la meilleure solution.</w:t>
      </w:r>
      <w:r w:rsidRPr="00BF3CDE">
        <w:rPr>
          <w:vertAlign w:val="superscript"/>
        </w:rPr>
        <w:footnoteReference w:id="195"/>
      </w:r>
      <w:r w:rsidRPr="00BF3CDE">
        <w:t xml:space="preserve"> Cette </w:t>
      </w:r>
      <w:r w:rsidRPr="00BF3CDE">
        <w:rPr>
          <w:b/>
        </w:rPr>
        <w:t>primauté conditionnelle de l’enseignement intégratif</w:t>
      </w:r>
      <w:r w:rsidRPr="00BF3CDE">
        <w:t xml:space="preserve"> a été fixée par les cantons dans l’</w:t>
      </w:r>
      <w:r w:rsidRPr="00BF3CDE">
        <w:rPr>
          <w:b/>
        </w:rPr>
        <w:t xml:space="preserve">Accord sur la pédagogie spécialisée </w:t>
      </w:r>
      <w:r w:rsidRPr="00BF3CDE">
        <w:t>(ci-après «Concordat»)</w:t>
      </w:r>
      <w:r w:rsidRPr="00BF3CDE">
        <w:rPr>
          <w:rFonts w:cs="Times New Roman"/>
          <w:vertAlign w:val="superscript"/>
        </w:rPr>
        <w:footnoteReference w:id="196"/>
      </w:r>
      <w:r w:rsidRPr="00BF3CDE">
        <w:t xml:space="preserve"> (art. 2 let. b, accentuations ajoutées; voir également l’art. 20 al. 2 LHand qui est similaire): «Les solutions intégratives sont préférées aux solutions séparatives, ceci dans le respect du </w:t>
      </w:r>
      <w:r w:rsidRPr="00BF3CDE">
        <w:rPr>
          <w:b/>
          <w:bCs/>
        </w:rPr>
        <w:t>bien-être</w:t>
      </w:r>
      <w:r w:rsidRPr="00BF3CDE">
        <w:t xml:space="preserve"> et des possibilités de développement de l’enfant ou du jeune </w:t>
      </w:r>
      <w:r w:rsidRPr="00BF3CDE">
        <w:lastRenderedPageBreak/>
        <w:t xml:space="preserve">concerné et en tenant compte de l’environnement et de </w:t>
      </w:r>
      <w:r w:rsidRPr="00BF3CDE">
        <w:rPr>
          <w:b/>
          <w:bCs/>
        </w:rPr>
        <w:t>l’organisation scolaire</w:t>
      </w:r>
      <w:r w:rsidRPr="00BF3CDE">
        <w:t xml:space="preserve">.» L’aménagement concret de ces «solutions» par le biais de </w:t>
      </w:r>
      <w:r w:rsidRPr="006F7F53">
        <w:rPr>
          <w:b/>
        </w:rPr>
        <w:t xml:space="preserve">concepts relatifs </w:t>
      </w:r>
      <w:r w:rsidR="001E6B57">
        <w:rPr>
          <w:b/>
        </w:rPr>
        <w:t xml:space="preserve">à la </w:t>
      </w:r>
      <w:r w:rsidR="006F7F53" w:rsidRPr="006F7F53">
        <w:rPr>
          <w:b/>
        </w:rPr>
        <w:t>pédagogi</w:t>
      </w:r>
      <w:r w:rsidR="001E6B57">
        <w:rPr>
          <w:b/>
        </w:rPr>
        <w:t>e</w:t>
      </w:r>
      <w:r w:rsidR="006F7F53" w:rsidRPr="006F7F53">
        <w:rPr>
          <w:b/>
        </w:rPr>
        <w:t xml:space="preserve"> </w:t>
      </w:r>
      <w:r w:rsidRPr="006F7F53">
        <w:rPr>
          <w:b/>
        </w:rPr>
        <w:t>spécialisé</w:t>
      </w:r>
      <w:r w:rsidR="001E6B57">
        <w:rPr>
          <w:b/>
        </w:rPr>
        <w:t>e</w:t>
      </w:r>
      <w:r w:rsidRPr="00BF3CDE">
        <w:t xml:space="preserve"> et de modifications de la loi a été laissé à l’appréciation des différents cantons.</w:t>
      </w:r>
      <w:r w:rsidRPr="00BF3CDE">
        <w:rPr>
          <w:rFonts w:cs="Times New Roman"/>
          <w:vertAlign w:val="superscript"/>
        </w:rPr>
        <w:footnoteReference w:id="197"/>
      </w:r>
      <w:r w:rsidRPr="00BF3CDE">
        <w:t xml:space="preserve"> </w:t>
      </w:r>
    </w:p>
    <w:p w14:paraId="6954341E" w14:textId="1ACACF8F" w:rsidR="00B30BCF" w:rsidRDefault="005B6BB2" w:rsidP="005B6BB2">
      <w:pPr>
        <w:pStyle w:val="BodyText"/>
      </w:pPr>
      <w:r w:rsidRPr="00BF3CDE">
        <w:t xml:space="preserve">L’abandon du système d’assurance et l’inversion de la chaîne d’argumentation concernant les thèmes de l’intégration/séparation méritaient d’être salués dans leur principe, mais ils étaient encore loin de créer une </w:t>
      </w:r>
      <w:r w:rsidRPr="00BF3CDE">
        <w:rPr>
          <w:b/>
        </w:rPr>
        <w:t>base en vue d’un système scolaire inclusif</w:t>
      </w:r>
      <w:r w:rsidRPr="00BF3CDE">
        <w:t>. En analogie aux normes espagnoles</w:t>
      </w:r>
      <w:r w:rsidRPr="00BF3CDE">
        <w:rPr>
          <w:rFonts w:cs="Times New Roman"/>
          <w:vertAlign w:val="superscript"/>
        </w:rPr>
        <w:footnoteReference w:id="198"/>
      </w:r>
      <w:r w:rsidRPr="00BF3CDE">
        <w:t xml:space="preserve">, l’art. 2 let. b du Concordat et les dispositions cantonales correspondantes agissent en effet comme une </w:t>
      </w:r>
      <w:r w:rsidRPr="00BF3CDE">
        <w:rPr>
          <w:b/>
        </w:rPr>
        <w:t>«machine à séparer»</w:t>
      </w:r>
      <w:r w:rsidRPr="00BF3CDE">
        <w:t xml:space="preserve"> notamment pour les élèves ayant des handicaps intellectuels et psychosociaux. La justification habituellement invoquée dans le cas d’espèce est que </w:t>
      </w:r>
      <w:r w:rsidRPr="00D706B2">
        <w:rPr>
          <w:b/>
        </w:rPr>
        <w:t xml:space="preserve">l’école régulière </w:t>
      </w:r>
      <w:r w:rsidRPr="00BF3CDE">
        <w:t xml:space="preserve">ne peut </w:t>
      </w:r>
      <w:r w:rsidRPr="00D706B2">
        <w:rPr>
          <w:b/>
          <w:iCs/>
        </w:rPr>
        <w:t>pas assurer</w:t>
      </w:r>
      <w:r w:rsidRPr="00BF3CDE">
        <w:rPr>
          <w:i/>
          <w:iCs/>
        </w:rPr>
        <w:t xml:space="preserve"> </w:t>
      </w:r>
      <w:r w:rsidRPr="00BF3CDE">
        <w:t xml:space="preserve">le développement adéquat et «les mêmes chances» de l’enfant concerné, raison pour laquelle il est affecté </w:t>
      </w:r>
      <w:r w:rsidRPr="00D706B2">
        <w:rPr>
          <w:b/>
          <w:iCs/>
        </w:rPr>
        <w:t>pour son bien</w:t>
      </w:r>
      <w:r w:rsidRPr="00BF3CDE">
        <w:t xml:space="preserve"> à l’enseignement spécialisé. Par ailleurs, les art. 62 al. 3 en liaison avec l’art. 19 Cst. donn</w:t>
      </w:r>
      <w:r w:rsidR="00D706B2">
        <w:t>er</w:t>
      </w:r>
      <w:r w:rsidRPr="00BF3CDE">
        <w:t xml:space="preserve">aient uniquement droit à un enseignement de base </w:t>
      </w:r>
      <w:r w:rsidRPr="00BF3CDE">
        <w:rPr>
          <w:b/>
        </w:rPr>
        <w:t>suffisant,</w:t>
      </w:r>
      <w:r w:rsidRPr="00BF3CDE">
        <w:t xml:space="preserve"> et non pas, compte tenu des «capacités contributives limitées de l’État», à un </w:t>
      </w:r>
      <w:r w:rsidRPr="00BF3CDE">
        <w:lastRenderedPageBreak/>
        <w:t>enseignement de base «optimal».</w:t>
      </w:r>
      <w:r w:rsidRPr="00BF3CDE">
        <w:rPr>
          <w:rFonts w:cs="Times New Roman"/>
          <w:vertAlign w:val="superscript"/>
        </w:rPr>
        <w:footnoteReference w:id="199"/>
      </w:r>
      <w:r w:rsidRPr="00BF3CDE">
        <w:t xml:space="preserve"> Selon la longue expérience des services de conseil</w:t>
      </w:r>
      <w:r>
        <w:t>s</w:t>
      </w:r>
      <w:r w:rsidRPr="00BF3CDE">
        <w:t xml:space="preserve"> juridique</w:t>
      </w:r>
      <w:r>
        <w:t>s</w:t>
      </w:r>
      <w:r w:rsidRPr="00BF3CDE">
        <w:t xml:space="preserve">, il n’arrive quasiment jamais, lors de la </w:t>
      </w:r>
      <w:r w:rsidRPr="00BF3CDE">
        <w:rPr>
          <w:b/>
          <w:bCs/>
        </w:rPr>
        <w:t>procédure d’évaluation standardisée</w:t>
      </w:r>
      <w:r w:rsidRPr="00BF3CDE">
        <w:t xml:space="preserve"> (PES) préalablement mise en œuvre, que les besoins de l’enfant soient déterminés par des professionnels disposant de connaissances spécialisées concernant son handicap; un élément décisif réside en outre dans le statu quo au sein de l’école régulière en question, des connaissances en pédagogie inclusive ne sont pas sollicitées. Le fait que parallèlement, aucune démarche n’est entreprise sur le plan politique en vue de transformer les écoles régulières en écoles inclusives (cf. ci-après) facilite l’argumentation selon laquelle l’enseignement intégratif serait dans certains cas antinomique avec «le bien de l’enfant». </w:t>
      </w:r>
      <w:r w:rsidR="00D706B2">
        <w:t>O</w:t>
      </w:r>
      <w:r w:rsidR="00D706B2" w:rsidRPr="00BF3CDE">
        <w:t xml:space="preserve">n préfère fermer les yeux </w:t>
      </w:r>
      <w:r w:rsidR="00D706B2">
        <w:t>devant le fait</w:t>
      </w:r>
      <w:r w:rsidRPr="00BF3CDE">
        <w:t xml:space="preserve"> que la scolarisation séparative dans des écoles spécialisées est le plus souvent irréversible</w:t>
      </w:r>
      <w:r w:rsidRPr="00BF3CDE">
        <w:rPr>
          <w:vertAlign w:val="superscript"/>
        </w:rPr>
        <w:footnoteReference w:id="200"/>
      </w:r>
      <w:r w:rsidRPr="00BF3CDE">
        <w:t xml:space="preserve"> et conduit à une </w:t>
      </w:r>
      <w:r w:rsidRPr="00BF3CDE">
        <w:rPr>
          <w:b/>
          <w:bCs/>
        </w:rPr>
        <w:t>vie dans des conditions de ségrégation</w:t>
      </w:r>
      <w:r w:rsidRPr="00BF3CDE">
        <w:t xml:space="preserve"> (modal</w:t>
      </w:r>
      <w:r w:rsidR="00D706B2">
        <w:t>ités de logement et de travail)</w:t>
      </w:r>
      <w:r w:rsidRPr="00BF3CDE">
        <w:t>.</w:t>
      </w:r>
    </w:p>
    <w:p w14:paraId="7189583F" w14:textId="0E5CC278" w:rsidR="00B857BD" w:rsidRDefault="00B857BD">
      <w:pPr>
        <w:jc w:val="left"/>
      </w:pPr>
      <w:r>
        <w:br w:type="page"/>
      </w:r>
    </w:p>
    <w:p w14:paraId="5E604B59" w14:textId="77777777" w:rsidR="009515C5" w:rsidRDefault="009515C5" w:rsidP="009515C5">
      <w:pPr>
        <w:pStyle w:val="Subtitle"/>
        <w:rPr>
          <w:rFonts w:eastAsia="Calibri"/>
        </w:rPr>
      </w:pPr>
      <w:r w:rsidRPr="00BF3CDE">
        <w:rPr>
          <w:rFonts w:eastAsia="Calibri"/>
        </w:rPr>
        <w:lastRenderedPageBreak/>
        <w:t>Rôle de la justice, de l’administration, de la politique et de la société civile</w:t>
      </w:r>
    </w:p>
    <w:p w14:paraId="19DE98EA" w14:textId="77777777" w:rsidR="005B6BB2" w:rsidRPr="00BF3CDE" w:rsidRDefault="005B6BB2" w:rsidP="005B6BB2">
      <w:pPr>
        <w:pStyle w:val="BodyText"/>
      </w:pPr>
      <w:r w:rsidRPr="00BF3CDE">
        <w:t xml:space="preserve">Ces dernières années, les </w:t>
      </w:r>
      <w:r w:rsidRPr="00BF3CDE">
        <w:rPr>
          <w:b/>
        </w:rPr>
        <w:t>instances de recours et les tribunaux</w:t>
      </w:r>
      <w:r w:rsidRPr="00BF3CDE">
        <w:t xml:space="preserve"> ayant traité des cas ponctuels de recours contre des décisions de scolarisation séparative ont eu plutôt tendance à reculer. Tel un moulin à prières, ils ont répété l’allégation  – en particulier aussi le Tribunal fédéral – selon laquelle l’enseignement inclusif au sens de l’art. 24 CDPH ne dépasse pas les garanties relevant du droit fédéral et ne confère aux élèves «aucun droit absolu» resp. </w:t>
      </w:r>
      <w:r w:rsidRPr="00BF3CDE">
        <w:rPr>
          <w:b/>
        </w:rPr>
        <w:t>aucun droit à l’enseignement intégratif</w:t>
      </w:r>
      <w:r w:rsidRPr="00BF3CDE">
        <w:t>.</w:t>
      </w:r>
      <w:r w:rsidRPr="00BF3CDE">
        <w:rPr>
          <w:vertAlign w:val="superscript"/>
        </w:rPr>
        <w:footnoteReference w:id="201"/>
      </w:r>
      <w:r w:rsidRPr="00BF3CDE">
        <w:t xml:space="preserve"> Comme déjà expliqué dans notre commentaire sur l’art. 5 CDPH, la jurisprudence ne reconnaît pas la nature discriminatoire d’un refus de mesures appropriées.</w:t>
      </w:r>
    </w:p>
    <w:p w14:paraId="0B9CF78B" w14:textId="74E45569" w:rsidR="005B6BB2" w:rsidRPr="00BF3CDE" w:rsidRDefault="005B6BB2" w:rsidP="005B6BB2">
      <w:pPr>
        <w:pStyle w:val="BodyText"/>
      </w:pPr>
      <w:r w:rsidRPr="00BF3CDE">
        <w:t xml:space="preserve">À la question concernant une </w:t>
      </w:r>
      <w:r w:rsidRPr="00BF3CDE">
        <w:rPr>
          <w:b/>
        </w:rPr>
        <w:t>stratégie relative à un système de formation inclusif,</w:t>
      </w:r>
      <w:r w:rsidRPr="00BF3CDE">
        <w:t xml:space="preserve"> (LoI para. 19a), la Suisse se contente de répondre par un renvoi aux </w:t>
      </w:r>
      <w:r w:rsidRPr="00D706B2">
        <w:rPr>
          <w:b/>
        </w:rPr>
        <w:t xml:space="preserve">bases </w:t>
      </w:r>
      <w:r w:rsidRPr="00D706B2">
        <w:rPr>
          <w:b/>
          <w:iCs/>
        </w:rPr>
        <w:t>légales</w:t>
      </w:r>
      <w:r w:rsidRPr="00BF3CDE">
        <w:t xml:space="preserve"> mentionnées (anciennes de 15 à 20 ans) qui sont, outre le Concordat, notamment la Cst. et la LHand (réponse à la LoI para. 64). Elle ne dit rien ni sur la mission ni sur l’agenda de la réforme de l’art. 24 CDPH et ne mentionne même pas les concepts cantonaux relatifs à la pédagogie spécialisée.  Quant à la politique et à l’administration, elles ont simplement </w:t>
      </w:r>
      <w:r w:rsidRPr="00BF3CDE">
        <w:rPr>
          <w:b/>
          <w:bCs/>
        </w:rPr>
        <w:t>omis</w:t>
      </w:r>
      <w:r w:rsidRPr="00BF3CDE">
        <w:t xml:space="preserve">, elles aussi, de prendre une quelconque mesure visant à développer une </w:t>
      </w:r>
      <w:r w:rsidRPr="00BF3CDE">
        <w:rPr>
          <w:b/>
          <w:bCs/>
        </w:rPr>
        <w:t>stratégie politique</w:t>
      </w:r>
      <w:r w:rsidRPr="00BF3CDE">
        <w:t xml:space="preserve"> en vue d’élaborer un système scolaire inclusif. Des démarches telles que l’élaboration de standards pour un système scolaire à visée inclusive par l’Association professionnelle d’éducation sociale et de pédagogie spécialisée Integras</w:t>
      </w:r>
      <w:r w:rsidRPr="00BF3CDE">
        <w:rPr>
          <w:rFonts w:cs="Times New Roman"/>
          <w:vertAlign w:val="superscript"/>
        </w:rPr>
        <w:footnoteReference w:id="202"/>
      </w:r>
      <w:r w:rsidRPr="00BF3CDE">
        <w:rPr>
          <w:i/>
          <w:iCs/>
        </w:rPr>
        <w:t xml:space="preserve"> </w:t>
      </w:r>
      <w:r w:rsidRPr="00BF3CDE">
        <w:t xml:space="preserve">n’ont à ce jour </w:t>
      </w:r>
      <w:r w:rsidRPr="005B6BB2">
        <w:t>donné</w:t>
      </w:r>
      <w:r w:rsidRPr="00BF3CDE">
        <w:t xml:space="preserve"> lieu, dans aucun canton, au développement d’un plan en faveur de réformes légales et systémiques approfondies. Dans le canton de Bâle-Ville, où la primauté de l’intégration est appliquée de façon comparativement plus rigoureuse, un comité d’enseignant-e-s a lancé récemment une initiative populaire visant à réintroduire des classes spéciales et à développer les écoles spécialisées.</w:t>
      </w:r>
      <w:r w:rsidRPr="00BF3CDE">
        <w:rPr>
          <w:rFonts w:cs="Times New Roman"/>
          <w:vertAlign w:val="superscript"/>
        </w:rPr>
        <w:footnoteReference w:id="203"/>
      </w:r>
      <w:r w:rsidRPr="00BF3CDE">
        <w:t xml:space="preserve"> Les écoles intégratives sont pour la plupart confrontées à une grave pénurie de ressources et de personnel; plusieurs cantons ont interrompu des mesures favorisant l’intégration pour des raisons d’économies.</w:t>
      </w:r>
      <w:r w:rsidRPr="00BF3CDE">
        <w:rPr>
          <w:rFonts w:cs="Times New Roman"/>
          <w:vertAlign w:val="superscript"/>
        </w:rPr>
        <w:footnoteReference w:id="204"/>
      </w:r>
      <w:r w:rsidRPr="00BF3CDE">
        <w:t xml:space="preserve"> Les </w:t>
      </w:r>
      <w:r w:rsidRPr="00BF3CDE">
        <w:rPr>
          <w:b/>
          <w:bCs/>
        </w:rPr>
        <w:t>ressources</w:t>
      </w:r>
      <w:r w:rsidRPr="00BF3CDE">
        <w:t xml:space="preserve">, au lieu d’être systématiquement </w:t>
      </w:r>
      <w:r w:rsidRPr="00BF3CDE">
        <w:rPr>
          <w:b/>
          <w:bCs/>
        </w:rPr>
        <w:t>transférées</w:t>
      </w:r>
      <w:r w:rsidRPr="00BF3CDE">
        <w:t xml:space="preserve"> des écoles spécialisées vers les écoles régulières, continuent invariablement à servir au financement des écoles spécialisées</w:t>
      </w:r>
      <w:r>
        <w:t xml:space="preserve"> qui</w:t>
      </w:r>
      <w:r w:rsidRPr="00BF3CDE">
        <w:t xml:space="preserve"> sont alimentées en élèves via des décisions favora</w:t>
      </w:r>
      <w:r>
        <w:t>bles à une approche séparative.</w:t>
      </w:r>
    </w:p>
    <w:p w14:paraId="2F37771D" w14:textId="04BE45B8" w:rsidR="009515C5" w:rsidRPr="009515C5" w:rsidRDefault="005B6BB2" w:rsidP="005B6BB2">
      <w:pPr>
        <w:pStyle w:val="BodyText"/>
      </w:pPr>
      <w:r w:rsidRPr="00BF3CDE">
        <w:t>La CDIP, quant à elle, se contente d’administrer la mise en œuvre du Concordat; la Confédération ne s’estime pas compétente et s’abstient «de prendre des mesures visant à soutenir les cantons.»</w:t>
      </w:r>
      <w:r w:rsidRPr="00BF3CDE">
        <w:rPr>
          <w:vertAlign w:val="superscript"/>
        </w:rPr>
        <w:footnoteReference w:id="205"/>
      </w:r>
      <w:r w:rsidRPr="00BF3CDE">
        <w:t xml:space="preserve"> Selon l’art. 61a Cst., la </w:t>
      </w:r>
      <w:r w:rsidRPr="00BF3CDE">
        <w:rPr>
          <w:b/>
        </w:rPr>
        <w:t>Confédération et les cantons</w:t>
      </w:r>
      <w:r w:rsidRPr="00BF3CDE">
        <w:t xml:space="preserve"> ont toutefois l’obligation, «dans la limite de leurs compétences respectives», de veiller ensemble à la </w:t>
      </w:r>
      <w:r w:rsidRPr="00D706B2">
        <w:rPr>
          <w:b/>
          <w:iCs/>
        </w:rPr>
        <w:t>qualité</w:t>
      </w:r>
      <w:r w:rsidRPr="00BF3CDE">
        <w:t xml:space="preserve"> et à la </w:t>
      </w:r>
      <w:r w:rsidRPr="00D706B2">
        <w:rPr>
          <w:b/>
          <w:iCs/>
        </w:rPr>
        <w:t>perméabilité</w:t>
      </w:r>
      <w:r w:rsidRPr="00BF3CDE">
        <w:t xml:space="preserve"> de </w:t>
      </w:r>
      <w:r w:rsidRPr="00BF3CDE">
        <w:rPr>
          <w:b/>
          <w:bCs/>
        </w:rPr>
        <w:t>l’espace suisse de formation</w:t>
      </w:r>
      <w:r w:rsidRPr="00BF3CDE">
        <w:t>». Pour ce faire, ils déterminent périodiquement des objectifs et mesures communs et procèdent à un monitorage de l’éducation destiné à permettre la prise de décisions politiques fondées sur des données factuelles. Dans le cadre du monitorage a paru, en 2021, un état des lieux du domaine de la pédagogie spécialisée.</w:t>
      </w:r>
      <w:r w:rsidRPr="00BF3CDE">
        <w:rPr>
          <w:rFonts w:cs="Times New Roman"/>
          <w:vertAlign w:val="superscript"/>
        </w:rPr>
        <w:footnoteReference w:id="206"/>
      </w:r>
    </w:p>
    <w:p w14:paraId="7DE16EF2" w14:textId="77777777" w:rsidR="009515C5" w:rsidRDefault="009515C5" w:rsidP="009515C5">
      <w:pPr>
        <w:pStyle w:val="Subtitle"/>
        <w:rPr>
          <w:rFonts w:eastAsia="Calibri"/>
        </w:rPr>
      </w:pPr>
      <w:r w:rsidRPr="00BF3CDE">
        <w:rPr>
          <w:rFonts w:eastAsia="Calibri"/>
        </w:rPr>
        <w:t>Manque d’inclusivité du système d’enseignement primaire</w:t>
      </w:r>
    </w:p>
    <w:p w14:paraId="47E08C06" w14:textId="03B3214C" w:rsidR="005B6BB2" w:rsidRPr="00BF3CDE" w:rsidRDefault="005B6BB2" w:rsidP="005B6BB2">
      <w:pPr>
        <w:pStyle w:val="BodyText"/>
      </w:pPr>
      <w:r w:rsidRPr="00BF3CDE">
        <w:t xml:space="preserve">Dans le contexte tel que décrit, le </w:t>
      </w:r>
      <w:r w:rsidRPr="00BF3CDE">
        <w:rPr>
          <w:b/>
          <w:bCs/>
        </w:rPr>
        <w:t>taux de scolarisation en école spécialisée</w:t>
      </w:r>
      <w:r w:rsidRPr="00BF3CDE">
        <w:t xml:space="preserve">, qui reste encore élevé (LoI para. 20.b), n’a rien de surprenant. Durant l’année scolaire 2017/2018 au niveau national, un peu moins de la </w:t>
      </w:r>
      <w:r w:rsidRPr="00BF3CDE">
        <w:rPr>
          <w:b/>
          <w:bCs/>
        </w:rPr>
        <w:t>moitié</w:t>
      </w:r>
      <w:r w:rsidRPr="00BF3CDE">
        <w:t xml:space="preserve"> des élèves du primaire ont été scolarisés dans des </w:t>
      </w:r>
      <w:r w:rsidRPr="00BF3CDE">
        <w:rPr>
          <w:b/>
          <w:bCs/>
        </w:rPr>
        <w:t>classes séparatives</w:t>
      </w:r>
      <w:r w:rsidRPr="00BF3CDE">
        <w:t xml:space="preserve"> en faisant l’objet de mesures de pédagogie spécialisée renforcées.</w:t>
      </w:r>
      <w:r w:rsidRPr="00BF3CDE">
        <w:rPr>
          <w:vertAlign w:val="superscript"/>
        </w:rPr>
        <w:footnoteReference w:id="207"/>
      </w:r>
      <w:r w:rsidRPr="00BF3CDE">
        <w:t xml:space="preserve"> En 2020, dans le canton de Berne, les élèves «ayant des besoins éducatifs particuliers» placés en classes intégratives ne représentaient même que le 20% des effectifs, les 80% restants étant scolarisés en classes séparatives.</w:t>
      </w:r>
      <w:r w:rsidRPr="00BF3CDE">
        <w:rPr>
          <w:vertAlign w:val="superscript"/>
        </w:rPr>
        <w:footnoteReference w:id="208"/>
      </w:r>
    </w:p>
    <w:p w14:paraId="0C688F0F" w14:textId="77777777" w:rsidR="005B6BB2" w:rsidRPr="00BF3CDE" w:rsidRDefault="005B6BB2" w:rsidP="005B6BB2">
      <w:pPr>
        <w:pStyle w:val="BodyText"/>
        <w:rPr>
          <w:rFonts w:eastAsia="Calibri"/>
        </w:rPr>
      </w:pPr>
      <w:r w:rsidRPr="00BF3CDE">
        <w:t xml:space="preserve">Les actuelles </w:t>
      </w:r>
      <w:r w:rsidRPr="00BF3CDE">
        <w:rPr>
          <w:b/>
          <w:bCs/>
        </w:rPr>
        <w:t>structures intégratives</w:t>
      </w:r>
      <w:r w:rsidRPr="00BF3CDE">
        <w:t xml:space="preserve"> au sein des écoles régulières se basent parfois également sur le Concordat et sont très loin de correspondre à une </w:t>
      </w:r>
      <w:r w:rsidRPr="00BF3CDE">
        <w:rPr>
          <w:b/>
        </w:rPr>
        <w:t>école inclusive</w:t>
      </w:r>
      <w:r w:rsidRPr="00BF3CDE">
        <w:t xml:space="preserve">. En ce qui concerne les formes de soutien individuel dans l’enseignement de base, le </w:t>
      </w:r>
      <w:r w:rsidRPr="00BF3CDE">
        <w:rPr>
          <w:b/>
          <w:bCs/>
        </w:rPr>
        <w:t>Concordat</w:t>
      </w:r>
      <w:r w:rsidRPr="00BF3CDE">
        <w:rPr>
          <w:bCs/>
        </w:rPr>
        <w:t xml:space="preserve"> distingue entre</w:t>
      </w:r>
      <w:r w:rsidRPr="00BF3CDE">
        <w:rPr>
          <w:rFonts w:eastAsia="Calibri"/>
        </w:rPr>
        <w:t xml:space="preserve"> </w:t>
      </w:r>
      <w:r w:rsidRPr="00D706B2">
        <w:rPr>
          <w:rFonts w:eastAsia="Calibri"/>
          <w:b/>
        </w:rPr>
        <w:t>mesures ordinaires</w:t>
      </w:r>
      <w:r w:rsidRPr="00BF3CDE">
        <w:rPr>
          <w:rFonts w:eastAsia="Calibri"/>
          <w:i/>
        </w:rPr>
        <w:t xml:space="preserve"> </w:t>
      </w:r>
      <w:r w:rsidRPr="00BF3CDE">
        <w:rPr>
          <w:rFonts w:eastAsia="Calibri"/>
        </w:rPr>
        <w:t xml:space="preserve">et </w:t>
      </w:r>
      <w:r w:rsidRPr="00D706B2">
        <w:rPr>
          <w:rFonts w:eastAsia="Calibri"/>
          <w:b/>
        </w:rPr>
        <w:t>mesures renforcées</w:t>
      </w:r>
      <w:r w:rsidRPr="00BF3CDE">
        <w:rPr>
          <w:rFonts w:eastAsia="Calibri"/>
        </w:rPr>
        <w:t xml:space="preserve">. </w:t>
      </w:r>
      <w:r w:rsidRPr="00BF3CDE">
        <w:rPr>
          <w:rFonts w:eastAsia="Calibri"/>
          <w:b/>
        </w:rPr>
        <w:t>Les mesures ordinaires</w:t>
      </w:r>
      <w:r w:rsidRPr="00BF3CDE">
        <w:rPr>
          <w:rFonts w:eastAsia="Calibri"/>
        </w:rPr>
        <w:t xml:space="preserve"> sont p. ex. des mesures de soutien en pédagogie spécialisée, de logopédie ou d’aide à l’apprentissage de faible intensité. Font partie des </w:t>
      </w:r>
      <w:r w:rsidRPr="00BF3CDE">
        <w:rPr>
          <w:rFonts w:eastAsia="Calibri"/>
          <w:b/>
        </w:rPr>
        <w:t>mesures renforcées</w:t>
      </w:r>
      <w:r w:rsidRPr="00BF3CDE">
        <w:rPr>
          <w:rFonts w:eastAsia="Calibri"/>
        </w:rPr>
        <w:t xml:space="preserve"> notamment le soutien en pédagogie spécialisée ou socio-éducative intense et de longue durée ainsi que l’accompagnement individuel. Ces mesures sont déterminées au moyen d’une PES et souvent assorties d’</w:t>
      </w:r>
      <w:r w:rsidRPr="00D706B2">
        <w:rPr>
          <w:rFonts w:eastAsia="Calibri"/>
          <w:b/>
          <w:iCs/>
        </w:rPr>
        <w:t xml:space="preserve">objectifs d’apprentissage individuel revus à la </w:t>
      </w:r>
      <w:r w:rsidRPr="00BF3CDE">
        <w:rPr>
          <w:rFonts w:eastAsia="Calibri"/>
          <w:i/>
          <w:iCs/>
        </w:rPr>
        <w:t>baisse</w:t>
      </w:r>
      <w:r w:rsidRPr="00BF3CDE">
        <w:rPr>
          <w:rFonts w:eastAsia="Calibri"/>
        </w:rPr>
        <w:t xml:space="preserve"> (ci-après OAI réduits) (adaptations de la matière enseignée). Selon le </w:t>
      </w:r>
      <w:r w:rsidRPr="00BF3CDE">
        <w:rPr>
          <w:rFonts w:eastAsia="Calibri"/>
          <w:b/>
          <w:bCs/>
        </w:rPr>
        <w:t>droit de l’égalité des PH</w:t>
      </w:r>
      <w:r w:rsidRPr="00BF3CDE">
        <w:rPr>
          <w:rFonts w:eastAsia="Calibri"/>
        </w:rPr>
        <w:t xml:space="preserve">, une adaptation supplémentaire peut être demandée sous forme d’une </w:t>
      </w:r>
      <w:r w:rsidRPr="00BF3CDE">
        <w:rPr>
          <w:rFonts w:eastAsia="Calibri"/>
          <w:b/>
          <w:bCs/>
        </w:rPr>
        <w:t>compensation des désavantages</w:t>
      </w:r>
      <w:r w:rsidRPr="00BF3CDE">
        <w:rPr>
          <w:rFonts w:eastAsia="Calibri"/>
        </w:rPr>
        <w:t xml:space="preserve"> (uniquement des adaptations formelles, p. ex. l’octroi de temps supplémentaire lors d’examens). Lors de la mise en œuvre de mesures ordinaires et d’une compensation des désavantages, le programme d’enseignement est appliqué avec des objectifs uniformes et, s’agissant d’OAI réduits, avec des objectifs différenciés.</w:t>
      </w:r>
      <w:r w:rsidRPr="00BF3CDE">
        <w:rPr>
          <w:rFonts w:eastAsia="Calibri" w:cs="Times New Roman"/>
          <w:vertAlign w:val="superscript"/>
        </w:rPr>
        <w:footnoteReference w:id="209"/>
      </w:r>
      <w:r w:rsidRPr="00BF3CDE">
        <w:rPr>
          <w:rFonts w:eastAsia="Calibri"/>
        </w:rPr>
        <w:t xml:space="preserve"> Les OAI réduits ont un effet encourageant ou inhibant, selon l’accompagnement concret de l’apprentissage; lors du passage vers une formation postobligatoire, ils causent des problèmes de poursuite du parcours scolaire, et ce notamment du fait que les mesures d’adaptation matérielle ne sont alors plus accordées.</w:t>
      </w:r>
    </w:p>
    <w:p w14:paraId="2244F3DD" w14:textId="77777777" w:rsidR="005B6BB2" w:rsidRPr="00BF3CDE" w:rsidRDefault="005B6BB2" w:rsidP="005B6BB2">
      <w:r w:rsidRPr="00BF3CDE">
        <w:t xml:space="preserve">Dans les écoles régulières, les élèves ayant des </w:t>
      </w:r>
      <w:r w:rsidRPr="00BF3CDE">
        <w:rPr>
          <w:b/>
          <w:bCs/>
        </w:rPr>
        <w:t>handicaps de l’ouïe</w:t>
      </w:r>
      <w:r w:rsidRPr="00BF3CDE">
        <w:t xml:space="preserve"> sont accompagnés par lesdits services audio-pédagogiques au sens du </w:t>
      </w:r>
      <w:r w:rsidRPr="00BF3CDE">
        <w:rPr>
          <w:b/>
          <w:bCs/>
        </w:rPr>
        <w:t>Concordat</w:t>
      </w:r>
      <w:r w:rsidRPr="00BF3CDE">
        <w:t>. Ceux-ci soutiennent les élèves dans l’apprentissage de la lecture labiale et du langage parlé</w:t>
      </w:r>
      <w:r w:rsidRPr="00BF3CDE">
        <w:rPr>
          <w:iCs/>
        </w:rPr>
        <w:t xml:space="preserve">, mais ne disposent que rarement – au même titre que le personnel enseignant en école régulière – de connaissances en langue des signes. Il en découle une pénurie </w:t>
      </w:r>
      <w:r w:rsidRPr="00BF3CDE">
        <w:rPr>
          <w:b/>
          <w:iCs/>
        </w:rPr>
        <w:t>d’offres de formations bilingues intégratives</w:t>
      </w:r>
      <w:r w:rsidRPr="00BF3CDE">
        <w:rPr>
          <w:iCs/>
        </w:rPr>
        <w:t xml:space="preserve"> en particulier au niveau primaire.</w:t>
      </w:r>
    </w:p>
    <w:p w14:paraId="4C6A2AD5" w14:textId="345EFE80" w:rsidR="009515C5" w:rsidRPr="009515C5" w:rsidRDefault="005B6BB2" w:rsidP="005B6BB2">
      <w:pPr>
        <w:pStyle w:val="BodyText"/>
      </w:pPr>
      <w:r>
        <w:t xml:space="preserve">Tandis que rien que </w:t>
      </w:r>
      <w:r w:rsidRPr="00BF3CDE">
        <w:t>l’accès à une mesure de compensation des désavantages et à une assistance ne s’obtient souvent que de haute lutte</w:t>
      </w:r>
      <w:r w:rsidRPr="00BF3CDE">
        <w:rPr>
          <w:rFonts w:cs="Times New Roman"/>
          <w:vertAlign w:val="superscript"/>
        </w:rPr>
        <w:footnoteReference w:id="210"/>
      </w:r>
      <w:r w:rsidRPr="00BF3CDE">
        <w:t xml:space="preserve">, </w:t>
      </w:r>
      <w:r w:rsidRPr="00BA1485">
        <w:t xml:space="preserve">il existe un manque fondamental de ressources destinées aux </w:t>
      </w:r>
      <w:r w:rsidRPr="00BA1485">
        <w:rPr>
          <w:b/>
        </w:rPr>
        <w:t>mesures renforcées</w:t>
      </w:r>
      <w:r w:rsidRPr="00BA1485">
        <w:t xml:space="preserve"> dans les </w:t>
      </w:r>
      <w:r w:rsidRPr="00BA1485">
        <w:rPr>
          <w:b/>
        </w:rPr>
        <w:t>écoles régulières</w:t>
      </w:r>
      <w:r w:rsidRPr="00BA1485">
        <w:t xml:space="preserve">. L’encadrement des élèves en école régulière est </w:t>
      </w:r>
      <w:r w:rsidRPr="00BA1485">
        <w:rPr>
          <w:b/>
          <w:iCs/>
        </w:rPr>
        <w:t>troi</w:t>
      </w:r>
      <w:r w:rsidRPr="00BF3CDE">
        <w:rPr>
          <w:b/>
          <w:iCs/>
        </w:rPr>
        <w:t>s fois moins intense</w:t>
      </w:r>
      <w:r w:rsidRPr="00BF3CDE">
        <w:rPr>
          <w:iCs/>
        </w:rPr>
        <w:t xml:space="preserve"> qu’en école spécialisée, et il existe en moyenne un poste à plein temps en pédagogie spécialisée scolaire pour 150 élèves. Or, même ces postes-là ne peuvent être pourvus, faute de spécialistes disposant d’une formation adéquate en pédagogie spécialisée</w:t>
      </w:r>
      <w:r w:rsidRPr="00BF3CDE">
        <w:t>.</w:t>
      </w:r>
      <w:r w:rsidRPr="00BF3CDE">
        <w:rPr>
          <w:rFonts w:cs="Times New Roman"/>
          <w:iCs/>
          <w:vertAlign w:val="superscript"/>
        </w:rPr>
        <w:footnoteReference w:id="211"/>
      </w:r>
      <w:r w:rsidRPr="00BF3CDE">
        <w:t xml:space="preserve"> Mais malgré cela, les cantons ne couvrent pas la demande en places d’études.</w:t>
      </w:r>
      <w:r w:rsidRPr="00BF3CDE">
        <w:rPr>
          <w:rFonts w:cs="Times New Roman"/>
          <w:vertAlign w:val="superscript"/>
        </w:rPr>
        <w:footnoteReference w:id="212"/>
      </w:r>
      <w:r w:rsidRPr="00BF3CDE">
        <w:t xml:space="preserve"> De plus, le personnel scolaire, en particulier les directrices et directeurs d’écoles, manquent de </w:t>
      </w:r>
      <w:r w:rsidRPr="00BF3CDE">
        <w:rPr>
          <w:b/>
          <w:bCs/>
        </w:rPr>
        <w:t>connaissances spécialisées</w:t>
      </w:r>
      <w:r w:rsidRPr="00BF3CDE">
        <w:t xml:space="preserve"> et parfois aussi d’engagement</w:t>
      </w:r>
      <w:r w:rsidRPr="00BF3CDE">
        <w:rPr>
          <w:rFonts w:cs="Times New Roman"/>
          <w:vertAlign w:val="superscript"/>
        </w:rPr>
        <w:footnoteReference w:id="213"/>
      </w:r>
      <w:r w:rsidRPr="00BF3CDE">
        <w:t xml:space="preserve">, et une </w:t>
      </w:r>
      <w:r w:rsidRPr="00BF3CDE">
        <w:rPr>
          <w:b/>
        </w:rPr>
        <w:t>conception universelle</w:t>
      </w:r>
      <w:r w:rsidRPr="00BF3CDE">
        <w:t xml:space="preserve"> (aménagement des locaux, formes d’enseignement, méthodes pédagogiques et de communication, matériel pédagogique, technologies de soutien, moyens auxiliaires, etc.) fait défaut. C’est à juste titre que le PRE pose la question de savoir si le personnel enseignant bénéficie d’une formation qui le prépare de manière satisfaisante au travail dans les structures intégratives (para. 145).</w:t>
      </w:r>
    </w:p>
    <w:p w14:paraId="1FF9FD08" w14:textId="4BDB6DD9" w:rsidR="00B30BCF" w:rsidRDefault="009515C5" w:rsidP="00B30BCF">
      <w:pPr>
        <w:pStyle w:val="Subtitle"/>
      </w:pPr>
      <w:r w:rsidRPr="00BF3CDE">
        <w:t>Formation postobligatoire, notamment</w:t>
      </w:r>
      <w:r w:rsidR="00D706B2">
        <w:t xml:space="preserve"> formation professionnelle (LoI, 22 a/</w:t>
      </w:r>
      <w:r w:rsidRPr="00BF3CDE">
        <w:t>20.a)</w:t>
      </w:r>
    </w:p>
    <w:p w14:paraId="7269F207" w14:textId="5C5FD76A" w:rsidR="005B6BB2" w:rsidRPr="00BF3CDE" w:rsidRDefault="005B6BB2" w:rsidP="005B6BB2">
      <w:pPr>
        <w:pStyle w:val="BodyText"/>
      </w:pPr>
      <w:r w:rsidRPr="00BF3CDE">
        <w:t>Les cursus de formation générale relèvent de la responsabilité des cantons, alors que les formations professionnelles dépendent desdits partenaires de la formation professionnelle qui sont la Confédération, les cantons et les organisations du monde du travail.</w:t>
      </w:r>
      <w:r w:rsidRPr="00BF3CDE">
        <w:rPr>
          <w:rFonts w:eastAsia="Cambria" w:cs="Times New Roman"/>
          <w:vertAlign w:val="superscript"/>
        </w:rPr>
        <w:footnoteReference w:id="214"/>
      </w:r>
      <w:r w:rsidRPr="00BF3CDE">
        <w:t xml:space="preserve"> Jusqu’à présent, la vision de la </w:t>
      </w:r>
      <w:r w:rsidRPr="00BF3CDE">
        <w:rPr>
          <w:b/>
        </w:rPr>
        <w:t>«Formation professionnelle 2030»</w:t>
      </w:r>
      <w:r w:rsidRPr="00BF3CDE">
        <w:t xml:space="preserve"> n’a quasiment pas fait mention des </w:t>
      </w:r>
      <w:r>
        <w:t xml:space="preserve">élèves et étudiants </w:t>
      </w:r>
      <w:r w:rsidR="00D706B2">
        <w:t>en situation de handicap</w:t>
      </w:r>
      <w:r w:rsidRPr="00BF3CDE">
        <w:t>. Mais désormais, les (auto-)représentant-e-s des associations de PH peuvent échanger dans le cadre du «</w:t>
      </w:r>
      <w:r w:rsidRPr="00BF3CDE">
        <w:rPr>
          <w:color w:val="252525"/>
        </w:rPr>
        <w:t>Forum de dialogue OrTra-Employé-e-s</w:t>
      </w:r>
      <w:r w:rsidRPr="00BF3CDE">
        <w:t>» avec les organes compétents et faire des propositions.</w:t>
      </w:r>
      <w:r w:rsidRPr="00BF3CDE">
        <w:rPr>
          <w:rFonts w:eastAsia="Cambria" w:cs="Times New Roman"/>
          <w:vertAlign w:val="superscript"/>
        </w:rPr>
        <w:footnoteReference w:id="215"/>
      </w:r>
      <w:r w:rsidRPr="00BF3CDE">
        <w:t xml:space="preserve"> </w:t>
      </w:r>
    </w:p>
    <w:p w14:paraId="6576DD58" w14:textId="77777777" w:rsidR="005B6BB2" w:rsidRPr="00BF3CDE" w:rsidRDefault="005B6BB2" w:rsidP="005B6BB2">
      <w:pPr>
        <w:pStyle w:val="BodyText"/>
      </w:pPr>
      <w:r w:rsidRPr="00BF3CDE">
        <w:t xml:space="preserve">De manière analogue avec l’école de base, les jeunes en situation de handicap qui suivent des formations postobligatoires dans un contexte régulier peuvent demander une </w:t>
      </w:r>
      <w:r w:rsidRPr="00BF3CDE">
        <w:rPr>
          <w:b/>
          <w:bCs/>
        </w:rPr>
        <w:t>compensation des désavantages et une assistance</w:t>
      </w:r>
      <w:r w:rsidRPr="00BF3CDE">
        <w:t xml:space="preserve"> resp. un «encadrement individuel spécialisé» (en cas de difficultés d’apprentissage), mais ils se heurtent à des compétences qui ne sont pas clairement réglées, à des processus compliqués et à une pratique restrictive en matière d’octroi.</w:t>
      </w:r>
      <w:r w:rsidRPr="00BF3CDE">
        <w:rPr>
          <w:rFonts w:eastAsia="Cambria" w:cs="Times New Roman"/>
          <w:vertAlign w:val="superscript"/>
        </w:rPr>
        <w:footnoteReference w:id="216"/>
      </w:r>
      <w:r w:rsidRPr="00BF3CDE">
        <w:t xml:space="preserve"> Les mesures d’adaptations dont ils ont besoin sont rapidement qualifiées de «</w:t>
      </w:r>
      <w:r w:rsidRPr="00BF3CDE">
        <w:rPr>
          <w:b/>
        </w:rPr>
        <w:t>matérielles</w:t>
      </w:r>
      <w:r w:rsidRPr="00BF3CDE">
        <w:t xml:space="preserve">» et de par ce fait </w:t>
      </w:r>
      <w:r w:rsidRPr="00BF3CDE">
        <w:rPr>
          <w:b/>
        </w:rPr>
        <w:t>non autorisées</w:t>
      </w:r>
      <w:r w:rsidRPr="00BF3CDE">
        <w:t>, si bien qu’ils sont en partie d’emblée empêchés de commencer la formation souhaitée. L’importance effective d’une compétence pour exercer ultérieurement une profession ou commencer des études ne semble alors jouer aucun rôle.</w:t>
      </w:r>
      <w:r w:rsidRPr="00BF3CDE">
        <w:rPr>
          <w:vertAlign w:val="superscript"/>
        </w:rPr>
        <w:footnoteReference w:id="217"/>
      </w:r>
    </w:p>
    <w:p w14:paraId="1C165AE7" w14:textId="77777777" w:rsidR="005B6BB2" w:rsidRPr="00BF3CDE" w:rsidRDefault="005B6BB2" w:rsidP="005B6BB2">
      <w:pPr>
        <w:pStyle w:val="BodyText"/>
      </w:pPr>
      <w:r w:rsidRPr="00BF3CDE">
        <w:t xml:space="preserve">Les jeunes </w:t>
      </w:r>
      <w:r>
        <w:t>qui ont</w:t>
      </w:r>
      <w:r w:rsidRPr="00BF3CDE">
        <w:t xml:space="preserve"> besoin d’</w:t>
      </w:r>
      <w:r w:rsidRPr="00BF3CDE">
        <w:rPr>
          <w:b/>
          <w:bCs/>
        </w:rPr>
        <w:t>adaptations plus étendues</w:t>
      </w:r>
      <w:r w:rsidRPr="00BF3CDE">
        <w:t xml:space="preserve">, en particulier ceux ayant des handicaps cognitifs et psychosociaux, sont de par ce fait souvent d’emblée </w:t>
      </w:r>
      <w:r w:rsidRPr="00BF3CDE">
        <w:rPr>
          <w:b/>
          <w:bCs/>
        </w:rPr>
        <w:t>privés d’accès à une formation professionnelle certifiante</w:t>
      </w:r>
      <w:r w:rsidRPr="00BF3CDE">
        <w:t>.</w:t>
      </w:r>
      <w:r w:rsidRPr="00BF3CDE">
        <w:rPr>
          <w:rFonts w:eastAsia="Cambria" w:cs="Times New Roman"/>
          <w:vertAlign w:val="superscript"/>
        </w:rPr>
        <w:footnoteReference w:id="218"/>
      </w:r>
      <w:r w:rsidRPr="00BF3CDE">
        <w:t xml:space="preserve"> Ainsi, 42% des jeunes ayant quitté l’école avec des OAI réduits n’ont pas commencé une telle formation dans les années suivantes.</w:t>
      </w:r>
      <w:r w:rsidRPr="00BF3CDE">
        <w:rPr>
          <w:vertAlign w:val="superscript"/>
        </w:rPr>
        <w:footnoteReference w:id="219"/>
      </w:r>
      <w:r w:rsidRPr="00BF3CDE">
        <w:t xml:space="preserve"> D’autre part, des formations plus faciles d’accès</w:t>
      </w:r>
      <w:r w:rsidRPr="00BF3CDE">
        <w:rPr>
          <w:rFonts w:eastAsia="Cambria" w:cs="Times New Roman"/>
          <w:vertAlign w:val="superscript"/>
        </w:rPr>
        <w:footnoteReference w:id="220"/>
      </w:r>
      <w:r w:rsidRPr="00BF3CDE">
        <w:t xml:space="preserve"> ne sont </w:t>
      </w:r>
      <w:r w:rsidRPr="00BF3CDE">
        <w:rPr>
          <w:b/>
          <w:bCs/>
        </w:rPr>
        <w:t>plus reconnues par la LFPr</w:t>
      </w:r>
      <w:r w:rsidRPr="00BF3CDE">
        <w:t>.</w:t>
      </w:r>
      <w:r w:rsidRPr="00BF3CDE">
        <w:rPr>
          <w:rFonts w:eastAsia="Cambria" w:cs="Times New Roman"/>
          <w:vertAlign w:val="superscript"/>
        </w:rPr>
        <w:footnoteReference w:id="221"/>
      </w:r>
      <w:r w:rsidRPr="00BF3CDE">
        <w:t xml:space="preserve"> L’AI les finance uniquement dans la perspective d’un certain revenu minimal et elles sont dispensées (au même titre que les offres passerelle de pédagogie spécialisée) pour la plupart dans des </w:t>
      </w:r>
      <w:r w:rsidRPr="00BF3CDE">
        <w:rPr>
          <w:b/>
        </w:rPr>
        <w:t>contextes séparatifs</w:t>
      </w:r>
      <w:r w:rsidRPr="00BF3CDE">
        <w:t>.</w:t>
      </w:r>
      <w:r w:rsidRPr="00BF3CDE">
        <w:rPr>
          <w:rFonts w:eastAsia="Cambria" w:cs="Times New Roman"/>
          <w:vertAlign w:val="superscript"/>
        </w:rPr>
        <w:footnoteReference w:id="222"/>
      </w:r>
      <w:r w:rsidRPr="00BF3CDE">
        <w:t xml:space="preserve"> </w:t>
      </w:r>
    </w:p>
    <w:p w14:paraId="546CD29A" w14:textId="20AA12E8" w:rsidR="00B30BCF" w:rsidRPr="00F756DE" w:rsidRDefault="005B6BB2" w:rsidP="005B6BB2">
      <w:pPr>
        <w:pStyle w:val="BodyText"/>
      </w:pPr>
      <w:r w:rsidRPr="00BF3CDE">
        <w:t xml:space="preserve">Parmi les aspects positifs, il convient </w:t>
      </w:r>
      <w:r>
        <w:t xml:space="preserve">p. ex. </w:t>
      </w:r>
      <w:r w:rsidRPr="00BF3CDE">
        <w:t>de mentionner les nouveautés dans la loi ayant vocation à améliorer l’insertion professionnelle des jeunes en situation de handicap,</w:t>
      </w:r>
      <w:r w:rsidRPr="00BF3CDE">
        <w:rPr>
          <w:rFonts w:eastAsia="Cambria" w:cs="Times New Roman"/>
          <w:vertAlign w:val="superscript"/>
        </w:rPr>
        <w:footnoteReference w:id="223"/>
      </w:r>
      <w:r w:rsidRPr="00BF3CDE">
        <w:t xml:space="preserve"> ou la possibilité d’une attestation individuelle de compétences (AIC) pour une formation avec attestation fédérale.</w:t>
      </w:r>
    </w:p>
    <w:p w14:paraId="6DD84EB6" w14:textId="77777777" w:rsidR="009515C5" w:rsidRDefault="009515C5" w:rsidP="009515C5">
      <w:pPr>
        <w:pStyle w:val="Subtitle"/>
      </w:pPr>
      <w:r w:rsidRPr="00BF3CDE">
        <w:t>Formation supérieure et formation continue</w:t>
      </w:r>
    </w:p>
    <w:p w14:paraId="1E50841F" w14:textId="0E369CBF" w:rsidR="009515C5" w:rsidRPr="009515C5" w:rsidRDefault="005B6BB2" w:rsidP="005B6BB2">
      <w:pPr>
        <w:pStyle w:val="BodyText"/>
      </w:pPr>
      <w:r w:rsidRPr="00BF3CDE">
        <w:t>Malgré la création de certains postes et réseaux spécialisés (PRE para. 140), une conception universelle fait encore défaut à maints égards, également dans les Hautes écoles (spécialisées). Déjà rien que des mesures d’adaptation purement formelles sont régulièrement refusées aux étudiantes et étudiants handicapés et des mesures d’ordre matériel ne sont d’emblée pas prises en considération. La part qu’ils représentent parmi l’ensemble des étudiantes et étudiants est faible en conséquence.</w:t>
      </w:r>
      <w:r w:rsidRPr="00BF3CDE">
        <w:rPr>
          <w:rFonts w:cs="Times New Roman"/>
          <w:vertAlign w:val="superscript"/>
        </w:rPr>
        <w:footnoteReference w:id="224"/>
      </w:r>
      <w:r w:rsidRPr="00BF3CDE">
        <w:t xml:space="preserve"> Il existe des Hautes écoles de pédagogie qui refusent régulièrement</w:t>
      </w:r>
      <w:r>
        <w:t>,</w:t>
      </w:r>
      <w:r w:rsidRPr="00BF3CDE">
        <w:t xml:space="preserve"> sur la base d’un «examen d’aptitude de santé»</w:t>
      </w:r>
      <w:r>
        <w:t xml:space="preserve">, </w:t>
      </w:r>
      <w:r w:rsidRPr="00BF3CDE">
        <w:t xml:space="preserve">l’accès aux études de candidates et candidats ayant certains handicaps. </w:t>
      </w:r>
      <w:r>
        <w:t>Enfin, d</w:t>
      </w:r>
      <w:r w:rsidRPr="00BF3CDE">
        <w:t>es offres ordinaires de formation générale et de formation continue ne sont pas non plus accessibles aux PH.</w:t>
      </w:r>
    </w:p>
    <w:p w14:paraId="11E9513C" w14:textId="77777777" w:rsidR="00B30BCF" w:rsidRDefault="009515C5" w:rsidP="00B30BCF">
      <w:pPr>
        <w:shd w:val="clear" w:color="auto" w:fill="FFFFCC"/>
        <w:spacing w:before="240"/>
        <w:ind w:left="357" w:hanging="357"/>
        <w:rPr>
          <w:b/>
        </w:rPr>
      </w:pPr>
      <w:r>
        <w:rPr>
          <w:b/>
        </w:rPr>
        <w:t>Propositions de recommandations</w:t>
      </w:r>
      <w:r w:rsidR="00B30BCF" w:rsidRPr="00F756DE">
        <w:rPr>
          <w:b/>
        </w:rPr>
        <w:t>:</w:t>
      </w:r>
    </w:p>
    <w:p w14:paraId="43F0E1EC" w14:textId="77777777" w:rsidR="005B6BB2" w:rsidRPr="00BF3CDE" w:rsidRDefault="005B6BB2" w:rsidP="005B6BB2">
      <w:pPr>
        <w:pStyle w:val="SBEmpfehlungen"/>
      </w:pPr>
      <w:r w:rsidRPr="00BF3CDE">
        <w:rPr>
          <w:b/>
        </w:rPr>
        <w:t>Le DEFR et la CDIP</w:t>
      </w:r>
      <w:r w:rsidRPr="00BF3CDE">
        <w:t xml:space="preserve"> reconnaissent l</w:t>
      </w:r>
      <w:r>
        <w:t>’</w:t>
      </w:r>
      <w:r w:rsidRPr="00BF3CDE">
        <w:t xml:space="preserve">obligation légale </w:t>
      </w:r>
      <w:r>
        <w:t xml:space="preserve">que leur confère </w:t>
      </w:r>
      <w:r w:rsidRPr="00BF3CDE">
        <w:t>l’art. 24 CDPH concernant l’élaboration progressive d’un système de formation suisse axé sur l’inclusion; ils l’intègrent comme but dans l</w:t>
      </w:r>
      <w:r>
        <w:t>eur</w:t>
      </w:r>
      <w:r w:rsidRPr="00BF3CDE">
        <w:t xml:space="preserve"> prochaine </w:t>
      </w:r>
      <w:r w:rsidRPr="00BF3CDE">
        <w:rPr>
          <w:b/>
        </w:rPr>
        <w:t xml:space="preserve">déclaration des objectifs politiques communs concernant l’espace suisse de formation </w:t>
      </w:r>
      <w:r w:rsidRPr="00BF3CDE">
        <w:t xml:space="preserve">et élaborent un calendrier de réforme à long terme; dans son prochain programme d’activité, la </w:t>
      </w:r>
      <w:r w:rsidRPr="00BF3CDE">
        <w:rPr>
          <w:b/>
        </w:rPr>
        <w:t xml:space="preserve">CDIP </w:t>
      </w:r>
      <w:r w:rsidRPr="00BF3CDE">
        <w:t>tient compte de l’objectif visant à réformer le Concordat et détermine à cette fin des mesures concrètes.</w:t>
      </w:r>
      <w:r w:rsidRPr="00BF3CDE">
        <w:rPr>
          <w:rFonts w:cs="Times New Roman"/>
          <w:vertAlign w:val="superscript"/>
        </w:rPr>
        <w:footnoteReference w:id="225"/>
      </w:r>
    </w:p>
    <w:p w14:paraId="0B17FC98" w14:textId="77777777" w:rsidR="005B6BB2" w:rsidRPr="00BF3CDE" w:rsidRDefault="005B6BB2" w:rsidP="005B6BB2">
      <w:pPr>
        <w:pStyle w:val="SBEmpfehlungen"/>
      </w:pPr>
      <w:r w:rsidRPr="00BF3CDE">
        <w:t xml:space="preserve">Les </w:t>
      </w:r>
      <w:r w:rsidRPr="00BF3CDE">
        <w:rPr>
          <w:b/>
          <w:bCs/>
        </w:rPr>
        <w:t xml:space="preserve">cantons révisent, </w:t>
      </w:r>
      <w:r w:rsidRPr="00BF3CDE">
        <w:t xml:space="preserve">sous la </w:t>
      </w:r>
      <w:r w:rsidRPr="00BF3CDE">
        <w:rPr>
          <w:b/>
          <w:bCs/>
        </w:rPr>
        <w:t xml:space="preserve">conduite </w:t>
      </w:r>
      <w:r w:rsidRPr="00BF3CDE">
        <w:rPr>
          <w:b/>
        </w:rPr>
        <w:t xml:space="preserve">de la CDIP, </w:t>
      </w:r>
      <w:r w:rsidRPr="00BF3CDE">
        <w:t xml:space="preserve">leurs </w:t>
      </w:r>
      <w:r w:rsidRPr="00BF3CDE">
        <w:rPr>
          <w:b/>
        </w:rPr>
        <w:t>«concepts de pédagogie spécialisée»</w:t>
      </w:r>
      <w:r w:rsidRPr="00BF3CDE">
        <w:t xml:space="preserve">, y compris le plan d’action en vue d’un transfert systématique des ressources des écoles spécialisées vers les écoles régulières ainsi </w:t>
      </w:r>
      <w:r w:rsidRPr="00D706B2">
        <w:t>qu’un</w:t>
      </w:r>
      <w:r w:rsidRPr="00BF3CDE">
        <w:t xml:space="preserve"> </w:t>
      </w:r>
      <w:r w:rsidRPr="00D706B2">
        <w:rPr>
          <w:b/>
        </w:rPr>
        <w:t>budget global</w:t>
      </w:r>
      <w:r w:rsidRPr="00BF3CDE">
        <w:t xml:space="preserve">; ils prévoient les réformes structurelles de l’école régulière et la révision des lois cantonales sur l’école publique; ils créent des bases en vue du développement de contextes d’apprentissage de la langue des signes au sein d’écoles bilingues. </w:t>
      </w:r>
    </w:p>
    <w:p w14:paraId="3EDE3893" w14:textId="7AD2A857" w:rsidR="009515C5" w:rsidRDefault="005B6BB2" w:rsidP="005B6BB2">
      <w:pPr>
        <w:pStyle w:val="SBEmpfehlungen"/>
      </w:pPr>
      <w:r w:rsidRPr="00BF3CDE">
        <w:t xml:space="preserve">La </w:t>
      </w:r>
      <w:r w:rsidRPr="00BF3CDE">
        <w:rPr>
          <w:b/>
        </w:rPr>
        <w:t>Confédération</w:t>
      </w:r>
      <w:r w:rsidRPr="00BF3CDE">
        <w:t xml:space="preserve"> introduit un </w:t>
      </w:r>
      <w:r w:rsidRPr="00BF3CDE">
        <w:rPr>
          <w:b/>
        </w:rPr>
        <w:t>droit constitutionnel à l’enseignement de base inclusif</w:t>
      </w:r>
      <w:r w:rsidRPr="00BF3CDE">
        <w:t xml:space="preserve">; </w:t>
      </w:r>
      <w:r w:rsidRPr="00BF3CDE">
        <w:rPr>
          <w:b/>
          <w:bCs/>
        </w:rPr>
        <w:t xml:space="preserve">à titre transitoire, </w:t>
      </w:r>
      <w:r w:rsidR="00887956">
        <w:rPr>
          <w:b/>
          <w:bCs/>
        </w:rPr>
        <w:t>la Confédération</w:t>
      </w:r>
      <w:r w:rsidRPr="00BF3CDE">
        <w:rPr>
          <w:b/>
          <w:bCs/>
        </w:rPr>
        <w:t xml:space="preserve"> </w:t>
      </w:r>
      <w:r w:rsidRPr="00BF3CDE">
        <w:t>et les</w:t>
      </w:r>
      <w:r w:rsidRPr="00BF3CDE">
        <w:rPr>
          <w:b/>
          <w:bCs/>
        </w:rPr>
        <w:t xml:space="preserve"> cantons</w:t>
      </w:r>
      <w:r w:rsidRPr="00BF3CDE">
        <w:t xml:space="preserve"> garantissent dans toute la mesure du possible, par le biais de la formation systématique des instances d’évaluation, de décision et de recours concernant l’art. 24 CDPH, </w:t>
      </w:r>
      <w:r w:rsidRPr="00BF3CDE">
        <w:rPr>
          <w:b/>
        </w:rPr>
        <w:t>l’interprétation conforme au droit international</w:t>
      </w:r>
      <w:r w:rsidRPr="00BF3CDE">
        <w:t xml:space="preserve"> de certains termes juridiques («bien de l’enfant», «organisation scolaire», «suffisant», etc.).</w:t>
      </w:r>
    </w:p>
    <w:p w14:paraId="077BA4E7" w14:textId="77777777" w:rsidR="009121B5" w:rsidRPr="00BF3CDE" w:rsidRDefault="009121B5" w:rsidP="009121B5">
      <w:pPr>
        <w:pStyle w:val="SBEmpfehlungen"/>
      </w:pPr>
      <w:r w:rsidRPr="00BF3CDE">
        <w:rPr>
          <w:b/>
        </w:rPr>
        <w:t>La Confédération et les cantons</w:t>
      </w:r>
      <w:r w:rsidRPr="00BF3CDE">
        <w:t xml:space="preserve"> élaborent un </w:t>
      </w:r>
      <w:r w:rsidRPr="00BF3CDE">
        <w:rPr>
          <w:b/>
        </w:rPr>
        <w:t>plan de réforme de la formation de tout le personnel enseignant (général et spécialisé)</w:t>
      </w:r>
      <w:r w:rsidRPr="00BF3CDE">
        <w:t xml:space="preserve"> afin de le rendre apte à l’enseignement de haute qualité au sein d’institutions de formation inclusives.</w:t>
      </w:r>
      <w:r w:rsidRPr="00BF3CDE">
        <w:rPr>
          <w:rFonts w:cs="Times New Roman"/>
          <w:vertAlign w:val="superscript"/>
        </w:rPr>
        <w:footnoteReference w:id="226"/>
      </w:r>
    </w:p>
    <w:p w14:paraId="360FDA0B" w14:textId="309B6A3A" w:rsidR="009121B5" w:rsidRPr="009121B5" w:rsidRDefault="009121B5" w:rsidP="009121B5">
      <w:pPr>
        <w:pStyle w:val="SBEmpfehlungen"/>
      </w:pPr>
      <w:r w:rsidRPr="009121B5">
        <w:t xml:space="preserve">Le </w:t>
      </w:r>
      <w:r w:rsidRPr="009121B5">
        <w:rPr>
          <w:b/>
        </w:rPr>
        <w:t>SEFRI</w:t>
      </w:r>
      <w:r w:rsidRPr="009121B5">
        <w:t xml:space="preserve"> réforme, conjointement avec la </w:t>
      </w:r>
      <w:r w:rsidRPr="009121B5">
        <w:rPr>
          <w:b/>
        </w:rPr>
        <w:t>CDIP</w:t>
      </w:r>
      <w:r w:rsidRPr="009121B5">
        <w:t xml:space="preserve"> et les </w:t>
      </w:r>
      <w:r w:rsidRPr="009121B5">
        <w:rPr>
          <w:b/>
        </w:rPr>
        <w:t>organisations du monde du travail</w:t>
      </w:r>
      <w:r w:rsidRPr="009121B5">
        <w:t xml:space="preserve">, les </w:t>
      </w:r>
      <w:r w:rsidRPr="009121B5">
        <w:rPr>
          <w:b/>
        </w:rPr>
        <w:t>formations professionnelles selon la LFPr</w:t>
      </w:r>
      <w:r w:rsidRPr="009121B5">
        <w:t xml:space="preserve"> de sorte à garantir que </w:t>
      </w:r>
      <w:r w:rsidRPr="009121B5">
        <w:rPr>
          <w:b/>
        </w:rPr>
        <w:t>toutes les personnes aient accès à une formation professionnelle de base certifiante dans un système de formation inclusif</w:t>
      </w:r>
      <w:r w:rsidRPr="009121B5">
        <w:t>, y compris les plans de formation et attestations des compétences adaptables individuellement</w:t>
      </w:r>
      <w:r w:rsidRPr="00887956">
        <w:rPr>
          <w:rFonts w:cs="Times New Roman"/>
          <w:vertAlign w:val="superscript"/>
        </w:rPr>
        <w:footnoteReference w:id="227"/>
      </w:r>
      <w:r w:rsidRPr="009121B5">
        <w:t>; à cette fin, les formations existantes sans certification formelle et facilement accessibles sont dans un premier temps reconnues par la LFPr (proposition du Forum de dialogue Formation professionnelle 2030).</w:t>
      </w:r>
    </w:p>
    <w:p w14:paraId="6E2D27B5" w14:textId="77777777" w:rsidR="009515C5" w:rsidRPr="00BF3CDE" w:rsidRDefault="009515C5" w:rsidP="009515C5">
      <w:pPr>
        <w:pStyle w:val="Heading3"/>
        <w:numPr>
          <w:ilvl w:val="0"/>
          <w:numId w:val="0"/>
        </w:numPr>
        <w:ind w:left="737" w:hanging="737"/>
      </w:pPr>
      <w:bookmarkStart w:id="123" w:name="_Toc95500346"/>
      <w:bookmarkStart w:id="124" w:name="_Ref96099209"/>
      <w:bookmarkStart w:id="125" w:name="_Toc96287616"/>
      <w:r w:rsidRPr="00BF3CDE">
        <w:t>Art. 25 – Santé</w:t>
      </w:r>
      <w:bookmarkEnd w:id="123"/>
      <w:bookmarkEnd w:id="124"/>
      <w:bookmarkEnd w:id="125"/>
    </w:p>
    <w:p w14:paraId="6AD1196C" w14:textId="77777777" w:rsidR="005B6BB2" w:rsidRPr="00BF3CDE" w:rsidRDefault="005B6BB2" w:rsidP="005B6BB2">
      <w:pPr>
        <w:pStyle w:val="BodyText"/>
      </w:pPr>
      <w:r w:rsidRPr="00BF3CDE">
        <w:t xml:space="preserve">En Suisse, </w:t>
      </w:r>
      <w:r w:rsidRPr="00BF3CDE">
        <w:rPr>
          <w:b/>
          <w:bCs/>
        </w:rPr>
        <w:t>chaque cant</w:t>
      </w:r>
      <w:r w:rsidRPr="00BF3CDE">
        <w:rPr>
          <w:b/>
        </w:rPr>
        <w:t>on</w:t>
      </w:r>
      <w:r w:rsidRPr="00BF3CDE">
        <w:t xml:space="preserve"> dispose de sa propre loi sur la santé et garantit l’accès de sa population aux soins. L’accès aux prestations est assuré par l’</w:t>
      </w:r>
      <w:r w:rsidRPr="00BF3CDE">
        <w:rPr>
          <w:b/>
          <w:bCs/>
        </w:rPr>
        <w:t>assurance obligatoire des soins</w:t>
      </w:r>
      <w:r w:rsidRPr="00BF3CDE">
        <w:t xml:space="preserve"> réglée par le droit fédéral (AOS). Elle couvre la plupart des prestations et médicaments proposés/ordonnés par les médecins, les prestations plus étendues nécessitent des assurances complémentaires. La Confédération règle en outre la formation/formation </w:t>
      </w:r>
      <w:r>
        <w:t>postgrade</w:t>
      </w:r>
      <w:r w:rsidRPr="00BF3CDE">
        <w:t xml:space="preserve"> du personnel de santé et les aspects de la santé publique.</w:t>
      </w:r>
      <w:r w:rsidRPr="00BF3CDE">
        <w:rPr>
          <w:rStyle w:val="FootnoteReference"/>
        </w:rPr>
        <w:footnoteReference w:id="228"/>
      </w:r>
      <w:r w:rsidRPr="00BF3CDE">
        <w:rPr>
          <w:rFonts w:cstheme="minorBidi"/>
        </w:rPr>
        <w:t xml:space="preserve"> Les</w:t>
      </w:r>
      <w:r w:rsidRPr="00BF3CDE">
        <w:t xml:space="preserve"> </w:t>
      </w:r>
      <w:r w:rsidRPr="00BF3CDE">
        <w:rPr>
          <w:b/>
        </w:rPr>
        <w:t>tarifs des prestations</w:t>
      </w:r>
      <w:r w:rsidRPr="00BF3CDE">
        <w:t xml:space="preserve"> sont en règle générale convenus entre les associations d’assureurs et les prestataires et doivent être approuvés par l’autorité fédérale. Malgré l’existence d’une collaboration intercantonale via la CDS, les </w:t>
      </w:r>
      <w:r w:rsidRPr="00BF3CDE">
        <w:rPr>
          <w:b/>
          <w:bCs/>
        </w:rPr>
        <w:t>différences cantonales</w:t>
      </w:r>
      <w:r w:rsidRPr="00BF3CDE">
        <w:t xml:space="preserve"> en matière de prise en charge sanitaire des PH sont importantes</w:t>
      </w:r>
      <w:r w:rsidRPr="00BF3CDE">
        <w:rPr>
          <w:rFonts w:cstheme="minorBidi"/>
        </w:rPr>
        <w:t xml:space="preserve">. Les </w:t>
      </w:r>
      <w:r w:rsidRPr="00BF3CDE">
        <w:rPr>
          <w:rFonts w:cstheme="minorBidi"/>
          <w:b/>
          <w:bCs/>
        </w:rPr>
        <w:t>conséquences</w:t>
      </w:r>
      <w:r w:rsidRPr="00BF3CDE">
        <w:rPr>
          <w:rFonts w:cstheme="minorBidi"/>
        </w:rPr>
        <w:t xml:space="preserve"> des inégalités peuvent parfois être</w:t>
      </w:r>
      <w:r w:rsidRPr="00BF3CDE">
        <w:rPr>
          <w:rFonts w:cstheme="minorBidi"/>
          <w:b/>
          <w:bCs/>
        </w:rPr>
        <w:t xml:space="preserve"> fatales</w:t>
      </w:r>
      <w:r w:rsidRPr="00BF3CDE">
        <w:rPr>
          <w:rFonts w:cstheme="minorBidi"/>
        </w:rPr>
        <w:t>: le taux de suicide des personnes ayant un handicap de l’ouïe est multiplié par cinq,</w:t>
      </w:r>
      <w:bookmarkStart w:id="126" w:name="_Ref95757012"/>
      <w:r w:rsidRPr="00BF3CDE">
        <w:rPr>
          <w:rFonts w:cstheme="minorBidi"/>
          <w:vertAlign w:val="superscript"/>
        </w:rPr>
        <w:footnoteReference w:id="229"/>
      </w:r>
      <w:bookmarkEnd w:id="126"/>
      <w:r w:rsidRPr="00BF3CDE">
        <w:rPr>
          <w:rFonts w:cstheme="minorBidi"/>
        </w:rPr>
        <w:t xml:space="preserve"> les troubles psychiques sont également associés à une hausse de la mortalité due à des maladies somatiques.</w:t>
      </w:r>
      <w:r w:rsidRPr="00BF3CDE">
        <w:rPr>
          <w:rFonts w:cstheme="minorBidi"/>
          <w:vertAlign w:val="superscript"/>
        </w:rPr>
        <w:footnoteReference w:id="230"/>
      </w:r>
    </w:p>
    <w:p w14:paraId="55592F75" w14:textId="0303CDC7" w:rsidR="00B30BCF" w:rsidRPr="00F756DE" w:rsidRDefault="005B6BB2" w:rsidP="005B6BB2">
      <w:pPr>
        <w:pStyle w:val="BodyText"/>
      </w:pPr>
      <w:r w:rsidRPr="00BF3CDE">
        <w:t xml:space="preserve">Un processus de </w:t>
      </w:r>
      <w:r w:rsidRPr="00BF3CDE">
        <w:rPr>
          <w:b/>
        </w:rPr>
        <w:t>développement de stratégies inclusives</w:t>
      </w:r>
      <w:r w:rsidRPr="00BF3CDE">
        <w:t xml:space="preserve"> (LoI para. 20a) n’a pas lieu. La stratégie </w:t>
      </w:r>
      <w:r w:rsidRPr="00BF3CDE">
        <w:rPr>
          <w:b/>
        </w:rPr>
        <w:t>«Santé 2030»</w:t>
      </w:r>
      <w:r w:rsidRPr="00BF3CDE">
        <w:t xml:space="preserve"> mentionne certes à titre exemplaire que les conditions de vie diffèrent entre les PH et les autres, mais ne prévoit </w:t>
      </w:r>
      <w:r w:rsidRPr="00BF3CDE">
        <w:rPr>
          <w:b/>
        </w:rPr>
        <w:t>aucune mesure</w:t>
      </w:r>
      <w:r w:rsidRPr="00BF3CDE">
        <w:t xml:space="preserve"> visant à réduire les inégalités structurelles.</w:t>
      </w:r>
      <w:r w:rsidRPr="00BF3CDE">
        <w:rPr>
          <w:rStyle w:val="FootnoteReference"/>
          <w:color w:val="000000"/>
        </w:rPr>
        <w:footnoteReference w:id="231"/>
      </w:r>
      <w:r w:rsidRPr="00BF3CDE">
        <w:t xml:space="preserve"> Quant aux soins palliatifs, des mesures ont bel et bien été élaborées,</w:t>
      </w:r>
      <w:bookmarkStart w:id="127" w:name="_Ref95756901"/>
      <w:r w:rsidRPr="00BF3CDE">
        <w:rPr>
          <w:vertAlign w:val="superscript"/>
        </w:rPr>
        <w:footnoteReference w:id="232"/>
      </w:r>
      <w:bookmarkEnd w:id="127"/>
      <w:r w:rsidRPr="00BF3CDE">
        <w:t xml:space="preserve"> mais malgré leur caractère urgent reconnu</w:t>
      </w:r>
      <w:r w:rsidRPr="00BF3CDE">
        <w:rPr>
          <w:rFonts w:ascii="DINPro-Regular" w:hAnsi="DINPro-Regular" w:cs="DINPro-Regular"/>
          <w:vertAlign w:val="superscript"/>
        </w:rPr>
        <w:footnoteReference w:id="233"/>
      </w:r>
      <w:r w:rsidRPr="00BF3CDE">
        <w:t xml:space="preserve">, elles n’ont pas été </w:t>
      </w:r>
      <w:r w:rsidRPr="00BF3CDE">
        <w:rPr>
          <w:b/>
          <w:bCs/>
        </w:rPr>
        <w:t>classées parmi les priorités</w:t>
      </w:r>
      <w:r w:rsidRPr="00BF3CDE">
        <w:t>.</w:t>
      </w:r>
      <w:r w:rsidRPr="00BF3CDE">
        <w:rPr>
          <w:rStyle w:val="FootnoteReference"/>
          <w:color w:val="000000"/>
        </w:rPr>
        <w:footnoteReference w:id="234"/>
      </w:r>
      <w:r w:rsidRPr="00BF3CDE">
        <w:t xml:space="preserve"> Un </w:t>
      </w:r>
      <w:r w:rsidRPr="00BF3CDE">
        <w:rPr>
          <w:b/>
          <w:bCs/>
        </w:rPr>
        <w:t>suivi politique</w:t>
      </w:r>
      <w:r w:rsidRPr="00BF3CDE">
        <w:t xml:space="preserve"> suffisant des recommandations formulées dans des études et des rapports fait fondamentalement défaut.</w:t>
      </w:r>
    </w:p>
    <w:p w14:paraId="597E7A23" w14:textId="77777777" w:rsidR="00150661" w:rsidRPr="00ED2DD9" w:rsidRDefault="009515C5" w:rsidP="005B5851">
      <w:pPr>
        <w:pStyle w:val="BodyText"/>
        <w:spacing w:before="240"/>
        <w:ind w:left="284"/>
        <w:jc w:val="center"/>
        <w:rPr>
          <w:rStyle w:val="IntenseReference"/>
          <w:color w:val="000000" w:themeColor="text1"/>
        </w:rPr>
      </w:pPr>
      <w:r w:rsidRPr="00ED2DD9">
        <w:rPr>
          <w:rStyle w:val="IntenseReference"/>
          <w:color w:val="000000" w:themeColor="text1"/>
        </w:rPr>
        <w:t>Soins de santé pour PH en Suisse : exemples de cas figure</w:t>
      </w:r>
    </w:p>
    <w:p w14:paraId="39797063" w14:textId="45DFDD86" w:rsidR="00ED2DD9" w:rsidRPr="00D706B2" w:rsidRDefault="00ED2DD9" w:rsidP="001A3756">
      <w:pPr>
        <w:pStyle w:val="BodyText"/>
        <w:numPr>
          <w:ilvl w:val="0"/>
          <w:numId w:val="8"/>
        </w:numPr>
        <w:shd w:val="clear" w:color="auto" w:fill="D9D9D9" w:themeFill="background1" w:themeFillShade="D9"/>
      </w:pPr>
      <w:r w:rsidRPr="006723AE">
        <w:rPr>
          <w:bCs/>
          <w:iCs/>
          <w:color w:val="000000" w:themeColor="text1"/>
        </w:rPr>
        <w:t>U</w:t>
      </w:r>
      <w:r w:rsidRPr="006723AE">
        <w:rPr>
          <w:color w:val="000000" w:themeColor="text1"/>
        </w:rPr>
        <w:t xml:space="preserve">ne femme sourde se retrouve en clinique psychiatrique après une tentative de </w:t>
      </w:r>
      <w:r w:rsidRPr="006723AE">
        <w:t>suicide. Les services d’interprétariat en langue des signes sont financés uniquement pour un entretien hebdomadaire avec la psychiatre</w:t>
      </w:r>
    </w:p>
    <w:p w14:paraId="4D031FF8" w14:textId="152EA4EA" w:rsidR="00926EF9" w:rsidRPr="00D706B2" w:rsidRDefault="00926EF9" w:rsidP="001A3756">
      <w:pPr>
        <w:pStyle w:val="BodyText"/>
        <w:numPr>
          <w:ilvl w:val="0"/>
          <w:numId w:val="8"/>
        </w:numPr>
        <w:shd w:val="clear" w:color="auto" w:fill="D9D9D9" w:themeFill="background1" w:themeFillShade="D9"/>
      </w:pPr>
      <w:r w:rsidRPr="00D706B2">
        <w:t xml:space="preserve">En raison de la durée de consultation que le médecin traitant est contraint de limiter ainsi que de son déroulement (information imprécise concernant </w:t>
      </w:r>
      <w:r w:rsidR="00467EE2" w:rsidRPr="00D706B2">
        <w:t>l’heure du</w:t>
      </w:r>
      <w:r w:rsidRPr="00D706B2">
        <w:t xml:space="preserve"> rendez-vous, salles d’attente, exclusion des accompagnant-e-s), une personne présentant des TSA renonce à une visite médicale. </w:t>
      </w:r>
    </w:p>
    <w:p w14:paraId="0BEE534D" w14:textId="77777777" w:rsidR="00926EF9" w:rsidRPr="00D706B2" w:rsidRDefault="00926EF9" w:rsidP="001A3756">
      <w:pPr>
        <w:pStyle w:val="BodyText"/>
        <w:numPr>
          <w:ilvl w:val="0"/>
          <w:numId w:val="8"/>
        </w:numPr>
        <w:shd w:val="clear" w:color="auto" w:fill="D9D9D9" w:themeFill="background1" w:themeFillShade="D9"/>
      </w:pPr>
      <w:r w:rsidRPr="00D706B2">
        <w:t>Une jeune femme ayant un grave handicap visuel se rend dans un hôpital après avoir été droguée au GHB et abusée sexuellement. Au lieu de l’examiner sérieusement, on lui fait le procès d’intention «d’imaginer des histoires». Deux jours plus tard, un examen met en évidence de graves lésions.</w:t>
      </w:r>
      <w:r w:rsidRPr="00D706B2">
        <w:rPr>
          <w:sz w:val="20"/>
          <w:szCs w:val="20"/>
        </w:rPr>
        <w:t xml:space="preserve"> </w:t>
      </w:r>
    </w:p>
    <w:p w14:paraId="50FE5B28" w14:textId="77777777" w:rsidR="00926EF9" w:rsidRPr="00D706B2" w:rsidRDefault="00926EF9" w:rsidP="001A3756">
      <w:pPr>
        <w:pStyle w:val="BodyText"/>
        <w:numPr>
          <w:ilvl w:val="0"/>
          <w:numId w:val="8"/>
        </w:numPr>
        <w:shd w:val="clear" w:color="auto" w:fill="D9D9D9" w:themeFill="background1" w:themeFillShade="D9"/>
      </w:pPr>
      <w:r w:rsidRPr="00D706B2">
        <w:t>Une femme paraplégique souhaitant faire un examen gynécologique ne trouve quasiment pas de cabinet médical qui dispose d’un fauteuil d’examen gynécologique adaptable.</w:t>
      </w:r>
    </w:p>
    <w:p w14:paraId="48FBF17C" w14:textId="77777777" w:rsidR="00926EF9" w:rsidRPr="00926EF9" w:rsidRDefault="00926EF9" w:rsidP="001A3756">
      <w:pPr>
        <w:pStyle w:val="BodyText"/>
        <w:numPr>
          <w:ilvl w:val="0"/>
          <w:numId w:val="8"/>
        </w:numPr>
        <w:shd w:val="clear" w:color="auto" w:fill="D9D9D9" w:themeFill="background1" w:themeFillShade="D9"/>
      </w:pPr>
      <w:r>
        <w:t>Un jeune homme ayant un handicap intellectuel et tombé psychiquement malade ne trouve pas de clinique psychiatrique dans laquelle il pourrait bénéficier d’un accompagnement compétent.</w:t>
      </w:r>
    </w:p>
    <w:p w14:paraId="046C07BB" w14:textId="216DD168" w:rsidR="00926EF9" w:rsidRDefault="00926EF9" w:rsidP="001A3756">
      <w:pPr>
        <w:pStyle w:val="BodyText"/>
        <w:numPr>
          <w:ilvl w:val="0"/>
          <w:numId w:val="8"/>
        </w:numPr>
        <w:shd w:val="clear" w:color="auto" w:fill="D9D9D9" w:themeFill="background1" w:themeFillShade="D9"/>
      </w:pPr>
      <w:r>
        <w:t>À mesure que la durée de la pandémie s’allonge, les troubles anorexiques d’une adolescente s’aggravent de plus en plus et elle commence à s’automutiler. Un séjour en clinique n’est toutefois pas possible: toutes les places sont prises et il y a de longues listes d’attente. Ce n’est que six mois plus tard qu’un premier entretien préliminaire a lieu.</w:t>
      </w:r>
      <w:r w:rsidR="009121B5">
        <w:rPr>
          <w:rStyle w:val="FootnoteReference"/>
        </w:rPr>
        <w:footnoteReference w:id="235"/>
      </w:r>
      <w:r>
        <w:t xml:space="preserve"> </w:t>
      </w:r>
    </w:p>
    <w:p w14:paraId="1979B89B" w14:textId="26688493" w:rsidR="005B6BB2" w:rsidRPr="00BF3CDE" w:rsidRDefault="005B6BB2" w:rsidP="005B6BB2">
      <w:pPr>
        <w:pStyle w:val="BodyText"/>
      </w:pPr>
      <w:r w:rsidRPr="00BF3CDE">
        <w:t xml:space="preserve">Le système de santé suisse a lui aussi été poussé à la limite de ses capacités, ou au-delà, par la crise du Covid-19 (voir au sujet des mesures visant à lutter contre la pandémie et la prise en charge médicale </w:t>
      </w:r>
      <w:r w:rsidR="00F31454">
        <w:t>[</w:t>
      </w:r>
      <w:r w:rsidRPr="00BF3CDE">
        <w:t>en médecine intensive</w:t>
      </w:r>
      <w:r w:rsidR="00F31454">
        <w:t>]</w:t>
      </w:r>
      <w:r w:rsidRPr="00BF3CDE">
        <w:t xml:space="preserve"> </w:t>
      </w:r>
      <w:r w:rsidR="00467EE2">
        <w:t xml:space="preserve">Point 3, p. </w:t>
      </w:r>
      <w:r w:rsidR="00467EE2">
        <w:rPr>
          <w:highlight w:val="yellow"/>
        </w:rPr>
        <w:fldChar w:fldCharType="begin"/>
      </w:r>
      <w:r w:rsidR="00467EE2">
        <w:instrText xml:space="preserve"> PAGEREF _Ref95756578 \h </w:instrText>
      </w:r>
      <w:r w:rsidR="00467EE2">
        <w:rPr>
          <w:highlight w:val="yellow"/>
        </w:rPr>
      </w:r>
      <w:r w:rsidR="00467EE2">
        <w:rPr>
          <w:highlight w:val="yellow"/>
        </w:rPr>
        <w:fldChar w:fldCharType="separate"/>
      </w:r>
      <w:r w:rsidR="001A3756">
        <w:rPr>
          <w:noProof/>
        </w:rPr>
        <w:t>6</w:t>
      </w:r>
      <w:r w:rsidR="00467EE2">
        <w:rPr>
          <w:highlight w:val="yellow"/>
        </w:rPr>
        <w:fldChar w:fldCharType="end"/>
      </w:r>
      <w:r w:rsidR="00467EE2">
        <w:t xml:space="preserve"> ss. ci-dessus</w:t>
      </w:r>
      <w:r w:rsidRPr="00BF3CDE">
        <w:t xml:space="preserve">). Il en a résulté une accentuation des carences préexistantes au niveau des soins de santé destinés aux PH. Il y a plusieurs années déjà, des </w:t>
      </w:r>
      <w:r w:rsidRPr="00BF3CDE">
        <w:rPr>
          <w:b/>
          <w:bCs/>
        </w:rPr>
        <w:t>déficits</w:t>
      </w:r>
      <w:r w:rsidRPr="00BF3CDE">
        <w:t xml:space="preserve"> ont été constatés dans le domaine de la </w:t>
      </w:r>
      <w:r w:rsidRPr="00BF3CDE">
        <w:rPr>
          <w:b/>
          <w:bCs/>
        </w:rPr>
        <w:t xml:space="preserve">prise en charge psychiatrique-psychothérapeutique, </w:t>
      </w:r>
      <w:r w:rsidRPr="00BF3CDE">
        <w:t xml:space="preserve">notamment de celle des enfants et des jeunes; au cours de la pandémie, cette situation s’est </w:t>
      </w:r>
      <w:r w:rsidRPr="00BF3CDE">
        <w:rPr>
          <w:b/>
          <w:bCs/>
        </w:rPr>
        <w:t>radicalement aggravée</w:t>
      </w:r>
      <w:r w:rsidRPr="00BF3CDE">
        <w:rPr>
          <w:b/>
        </w:rPr>
        <w:t xml:space="preserve">. </w:t>
      </w:r>
      <w:r w:rsidRPr="00BF3CDE">
        <w:t xml:space="preserve">Les personnes concernées attendent en général </w:t>
      </w:r>
      <w:r w:rsidRPr="00BF3CDE">
        <w:rPr>
          <w:b/>
          <w:bCs/>
        </w:rPr>
        <w:t>plusieurs mois</w:t>
      </w:r>
      <w:r w:rsidRPr="00BF3CDE">
        <w:t xml:space="preserve"> (jusqu’à 18 mois !) avant d’être prises en charge par un traitement ambulatoire.</w:t>
      </w:r>
      <w:bookmarkStart w:id="128" w:name="_Ref95756651"/>
      <w:r w:rsidRPr="00BF3CDE">
        <w:rPr>
          <w:rStyle w:val="FootnoteReference"/>
        </w:rPr>
        <w:footnoteReference w:id="236"/>
      </w:r>
      <w:bookmarkEnd w:id="128"/>
      <w:r w:rsidRPr="00BF3CDE">
        <w:t xml:space="preserve"> De la même manière, les personnes ayant des </w:t>
      </w:r>
      <w:r w:rsidRPr="00BF3CDE">
        <w:rPr>
          <w:b/>
          <w:bCs/>
        </w:rPr>
        <w:t>handicaps psychiques</w:t>
      </w:r>
      <w:r w:rsidRPr="00BF3CDE">
        <w:t xml:space="preserve"> préexistants présentent nettement plus souvent des symptômes graves que les autres (34 c. 14%).</w:t>
      </w:r>
      <w:r w:rsidRPr="00BF3CDE">
        <w:rPr>
          <w:rStyle w:val="FootnoteReference"/>
        </w:rPr>
        <w:footnoteReference w:id="237"/>
      </w:r>
      <w:r w:rsidRPr="00BF3CDE">
        <w:t xml:space="preserve"> D’après des thérapeutes, la prise en charge ambulatoire des adultes n’est souvent pas assurée non plus. En revanche, les mesures facilitant la rémunération des consultations orales à distance</w:t>
      </w:r>
      <w:r w:rsidRPr="00BF3CDE">
        <w:rPr>
          <w:rStyle w:val="FootnoteReference"/>
        </w:rPr>
        <w:footnoteReference w:id="238"/>
      </w:r>
      <w:r w:rsidRPr="00BF3CDE">
        <w:t xml:space="preserve"> et l’accès à la psychothérapie psychologique sont considérées comme efficaces.</w:t>
      </w:r>
      <w:r w:rsidRPr="00BF3CDE">
        <w:rPr>
          <w:rStyle w:val="FootnoteReference"/>
        </w:rPr>
        <w:footnoteReference w:id="239"/>
      </w:r>
      <w:r w:rsidRPr="00BF3CDE">
        <w:t xml:space="preserve"> </w:t>
      </w:r>
    </w:p>
    <w:p w14:paraId="6DABD8BD" w14:textId="07D12FD2" w:rsidR="005B6BB2" w:rsidRPr="00BF3CDE" w:rsidRDefault="005B6BB2" w:rsidP="005B6BB2">
      <w:pPr>
        <w:pStyle w:val="BodyText"/>
      </w:pPr>
      <w:r w:rsidRPr="00BF3CDE">
        <w:t xml:space="preserve">Les cas de figure présentés ci-dessus révèlent diverses autres </w:t>
      </w:r>
      <w:r w:rsidRPr="00BF3CDE">
        <w:rPr>
          <w:b/>
        </w:rPr>
        <w:t xml:space="preserve">carences dans la prise en charge sanitaire des PH </w:t>
      </w:r>
      <w:r w:rsidRPr="00BF3CDE">
        <w:t>au plan cantonal. Lors du recours à des prestations de santé générales</w:t>
      </w:r>
      <w:r w:rsidRPr="00BF3CDE">
        <w:rPr>
          <w:b/>
        </w:rPr>
        <w:t xml:space="preserve"> </w:t>
      </w:r>
      <w:r w:rsidRPr="00BF3CDE">
        <w:t xml:space="preserve">(art. 25a CDPH), il existe </w:t>
      </w:r>
      <w:r>
        <w:t xml:space="preserve">un manque </w:t>
      </w:r>
      <w:r w:rsidRPr="00BF3CDE">
        <w:t xml:space="preserve">en termes </w:t>
      </w:r>
      <w:r>
        <w:t>d’</w:t>
      </w:r>
      <w:r w:rsidRPr="00BF3CDE">
        <w:rPr>
          <w:b/>
          <w:bCs/>
        </w:rPr>
        <w:t>accessibilité</w:t>
      </w:r>
      <w:r w:rsidRPr="00BF3CDE">
        <w:rPr>
          <w:b/>
        </w:rPr>
        <w:t xml:space="preserve">, de mesures adéquates </w:t>
      </w:r>
      <w:r w:rsidRPr="00BF3CDE">
        <w:t xml:space="preserve">et </w:t>
      </w:r>
      <w:r w:rsidRPr="00BF3CDE">
        <w:rPr>
          <w:b/>
          <w:bCs/>
        </w:rPr>
        <w:t>d’absence de préjugés</w:t>
      </w:r>
      <w:r w:rsidRPr="00BF3CDE">
        <w:rPr>
          <w:b/>
        </w:rPr>
        <w:t xml:space="preserve">, </w:t>
      </w:r>
      <w:r w:rsidRPr="00BF3CDE">
        <w:t xml:space="preserve">et ce dans tous les domaines médicaux spécialisés. En outre, d’importants déficits sont constatés au niveau de la prise en charge des personnes </w:t>
      </w:r>
      <w:r w:rsidR="00F31454">
        <w:rPr>
          <w:b/>
        </w:rPr>
        <w:t>avec un polyhandicap</w:t>
      </w:r>
      <w:r w:rsidRPr="00BF3CDE">
        <w:rPr>
          <w:b/>
        </w:rPr>
        <w:t xml:space="preserve"> </w:t>
      </w:r>
      <w:r w:rsidRPr="00BF3CDE">
        <w:t>(traitement psychiatrique des personnes ayant des handicaps intellectuels; coordination spatiale/prise en charge institutionnelle intégrée des personnes ayant des handicaps psychiques et des maladies somatiques chroniques;</w:t>
      </w:r>
      <w:r w:rsidRPr="00BF3CDE">
        <w:rPr>
          <w:rStyle w:val="FootnoteReference"/>
        </w:rPr>
        <w:footnoteReference w:id="240"/>
      </w:r>
      <w:r w:rsidRPr="00BF3CDE">
        <w:t xml:space="preserve"> offres de consultations de liaison et intermédiaires </w:t>
      </w:r>
      <w:r w:rsidRPr="00BF3CDE">
        <w:rPr>
          <w:b/>
        </w:rPr>
        <w:t>à domicile</w:t>
      </w:r>
      <w:r w:rsidRPr="00BF3CDE">
        <w:t>; soins/assistance lors de séjours à l’hôpital quelle que soit l’atteinte à la santé).</w:t>
      </w:r>
    </w:p>
    <w:p w14:paraId="74A6C0F8" w14:textId="77777777" w:rsidR="005B6BB2" w:rsidRPr="00BF3CDE" w:rsidRDefault="005B6BB2" w:rsidP="005B6BB2">
      <w:pPr>
        <w:pStyle w:val="BodyText"/>
      </w:pPr>
      <w:r w:rsidRPr="00BF3CDE">
        <w:t xml:space="preserve">Pour assurer une prise en charge adéquate des PH, les cantons devraient doter leur politique sanitaire d’une </w:t>
      </w:r>
      <w:r w:rsidRPr="00BF3CDE">
        <w:rPr>
          <w:b/>
          <w:bCs/>
        </w:rPr>
        <w:t>planification</w:t>
      </w:r>
      <w:r w:rsidRPr="00BF3CDE">
        <w:t xml:space="preserve"> et d’un </w:t>
      </w:r>
      <w:r w:rsidRPr="00BF3CDE">
        <w:rPr>
          <w:b/>
          <w:bCs/>
        </w:rPr>
        <w:t>budg</w:t>
      </w:r>
      <w:r>
        <w:rPr>
          <w:b/>
          <w:bCs/>
        </w:rPr>
        <w:t>et</w:t>
      </w:r>
      <w:r w:rsidRPr="00BF3CDE">
        <w:t xml:space="preserve"> à cet égard. Un autre facteur d’une importance centrale consisterait à adapter le </w:t>
      </w:r>
      <w:r w:rsidRPr="00BF3CDE">
        <w:rPr>
          <w:b/>
          <w:bCs/>
        </w:rPr>
        <w:t>système tarifaire</w:t>
      </w:r>
      <w:r w:rsidRPr="00BF3CDE">
        <w:t xml:space="preserve"> de sorte que les prestataires puissent à l’avenir se faire indemniser le surcroît de travail qui s’avère souvent inhérent au traitement médical de PH. Par ailleurs, des </w:t>
      </w:r>
      <w:r w:rsidRPr="00BF3CDE">
        <w:rPr>
          <w:b/>
          <w:bCs/>
        </w:rPr>
        <w:t>directives cantonales</w:t>
      </w:r>
      <w:r w:rsidRPr="00BF3CDE">
        <w:t xml:space="preserve"> concernant des adaptations infrastructurelles, communicatives ou organisationnelles par les prestataires font défaut, et en ce qui concerne la qualité des prestations, il n’existe pas de </w:t>
      </w:r>
      <w:r w:rsidRPr="00BF3CDE">
        <w:rPr>
          <w:b/>
        </w:rPr>
        <w:t>standards</w:t>
      </w:r>
      <w:r w:rsidRPr="00BF3CDE">
        <w:t xml:space="preserve"> relatifs à la diagnostique, au traitement, à l’encadrement et à l’évaluation des besoins de soins qui sont souvent complexes. </w:t>
      </w:r>
    </w:p>
    <w:p w14:paraId="3C45E31A" w14:textId="77777777" w:rsidR="005B6BB2" w:rsidRPr="00BF3CDE" w:rsidRDefault="005B6BB2" w:rsidP="005B6BB2">
      <w:pPr>
        <w:pStyle w:val="BodyText"/>
      </w:pPr>
      <w:r w:rsidRPr="00BF3CDE">
        <w:t>Des exemples de bonnes pratiques dans le domaine stratégies/planification sanitaire</w:t>
      </w:r>
      <w:r w:rsidRPr="00BF3CDE">
        <w:rPr>
          <w:rStyle w:val="FootnoteReference"/>
        </w:rPr>
        <w:footnoteReference w:id="241"/>
      </w:r>
      <w:r w:rsidRPr="00BF3CDE">
        <w:t>, des mesures et l’accessibilité appropriées des prestations générales</w:t>
      </w:r>
      <w:r w:rsidRPr="00BF3CDE">
        <w:rPr>
          <w:rStyle w:val="FootnoteReference"/>
        </w:rPr>
        <w:footnoteReference w:id="242"/>
      </w:r>
      <w:r w:rsidRPr="00BF3CDE">
        <w:t>, des offres spécialisées et intégrées</w:t>
      </w:r>
      <w:r w:rsidRPr="00BF3CDE">
        <w:rPr>
          <w:rStyle w:val="FootnoteReference"/>
        </w:rPr>
        <w:footnoteReference w:id="243"/>
      </w:r>
      <w:r w:rsidRPr="00BF3CDE">
        <w:t xml:space="preserve"> existent ponctuellement mais n’ont jusqu’à présent pas été multipliées de manière systématique.</w:t>
      </w:r>
    </w:p>
    <w:p w14:paraId="602643C5" w14:textId="77777777" w:rsidR="005B6BB2" w:rsidRPr="00BF3CDE" w:rsidRDefault="005B6BB2" w:rsidP="005B6BB2">
      <w:pPr>
        <w:pStyle w:val="BodyText"/>
        <w:rPr>
          <w:highlight w:val="magenta"/>
        </w:rPr>
      </w:pPr>
      <w:r w:rsidRPr="00BF3CDE">
        <w:t xml:space="preserve">En ce qui concerne la </w:t>
      </w:r>
      <w:r w:rsidRPr="00BF3CDE">
        <w:rPr>
          <w:b/>
          <w:bCs/>
        </w:rPr>
        <w:t>formation et la formation postgrade</w:t>
      </w:r>
      <w:r w:rsidRPr="00BF3CDE">
        <w:t xml:space="preserve"> du personnel de santé (LoI para. 21c), les expertes et experts relèvent, malgré des exemples de bonnes pratiques</w:t>
      </w:r>
      <w:r w:rsidRPr="00BF3CDE">
        <w:rPr>
          <w:rStyle w:val="FootnoteReference"/>
        </w:rPr>
        <w:footnoteReference w:id="244"/>
      </w:r>
      <w:r w:rsidRPr="00BF3CDE">
        <w:t xml:space="preserve">, de graves lacunes en matière de </w:t>
      </w:r>
      <w:r w:rsidRPr="00BF3CDE">
        <w:rPr>
          <w:b/>
          <w:bCs/>
        </w:rPr>
        <w:t>connaissances spécifiques en matière de handicaps</w:t>
      </w:r>
      <w:r w:rsidRPr="00BF3CDE">
        <w:t xml:space="preserve"> et (s’agissant de handicaps multiples) de connaissances plurisectorielles. Le soutien par des pairs mérite également d’être plus largement établi. </w:t>
      </w:r>
    </w:p>
    <w:p w14:paraId="3F7130B4" w14:textId="158A4A66" w:rsidR="00926EF9" w:rsidRPr="00926EF9" w:rsidRDefault="005B6BB2" w:rsidP="00926EF9">
      <w:pPr>
        <w:pStyle w:val="BodyText"/>
      </w:pPr>
      <w:r w:rsidRPr="00BF3CDE">
        <w:t xml:space="preserve">Contrairement aux propos de la Suisse dans le PRE (para. 148), les critères d’adéquation, d’économicité et d’efficacité sur lesquels repose la </w:t>
      </w:r>
      <w:r w:rsidRPr="00BF3CDE">
        <w:rPr>
          <w:b/>
          <w:bCs/>
        </w:rPr>
        <w:t>prise en charge des coûts par l’AOS</w:t>
      </w:r>
      <w:r w:rsidRPr="00BF3CDE">
        <w:t xml:space="preserve"> recèlent bel et bien un </w:t>
      </w:r>
      <w:r w:rsidRPr="00BF3CDE">
        <w:rPr>
          <w:b/>
          <w:bCs/>
        </w:rPr>
        <w:t>potentiel de discrimination</w:t>
      </w:r>
      <w:r w:rsidRPr="00BF3CDE">
        <w:t xml:space="preserve"> pour les PH. De plus, suivant le handicap, certaines prestations, dont les coûts ne sont pris en charge que par </w:t>
      </w:r>
      <w:r w:rsidRPr="00BF3CDE">
        <w:rPr>
          <w:b/>
          <w:bCs/>
        </w:rPr>
        <w:t>des assurances complémentaires</w:t>
      </w:r>
      <w:r w:rsidRPr="00BF3CDE">
        <w:t>, revêtent une grande importance. Or, ces dernières rejettent souvent les demandes des PH en se fondant sur la liberté de contracter, ou elles prévoient des clauses d’exclusion des risques liés au handicap. Ce constat ne semble en effet guère compatible avec l’a</w:t>
      </w:r>
      <w:r w:rsidRPr="00BF3CDE">
        <w:rPr>
          <w:color w:val="000000"/>
        </w:rPr>
        <w:t xml:space="preserve">rt. 25 phrase 2 let. e CDPH </w:t>
      </w:r>
      <w:r>
        <w:rPr>
          <w:color w:val="000000"/>
        </w:rPr>
        <w:t>ni</w:t>
      </w:r>
      <w:r w:rsidRPr="00BF3CDE">
        <w:rPr>
          <w:color w:val="000000"/>
        </w:rPr>
        <w:t xml:space="preserve"> avec l’interdiction de la discrimination.</w:t>
      </w:r>
    </w:p>
    <w:p w14:paraId="746643D4" w14:textId="77777777" w:rsidR="00B30BCF" w:rsidRDefault="00926EF9" w:rsidP="00B30BCF">
      <w:pPr>
        <w:pStyle w:val="BodyText"/>
        <w:shd w:val="clear" w:color="auto" w:fill="FFFFCC"/>
        <w:spacing w:after="60"/>
        <w:rPr>
          <w:b/>
          <w:szCs w:val="24"/>
        </w:rPr>
      </w:pPr>
      <w:r>
        <w:rPr>
          <w:b/>
          <w:szCs w:val="24"/>
        </w:rPr>
        <w:t>Propositions de recommandations :</w:t>
      </w:r>
    </w:p>
    <w:p w14:paraId="0B03B6DF" w14:textId="77777777" w:rsidR="005B6BB2" w:rsidRPr="00BF3CDE" w:rsidRDefault="005B6BB2" w:rsidP="005B6BB2">
      <w:pPr>
        <w:pStyle w:val="SBEmpfehlungen"/>
      </w:pPr>
      <w:r w:rsidRPr="00BF3CDE">
        <w:t xml:space="preserve">La Confédération et les cantons prennent </w:t>
      </w:r>
      <w:r w:rsidRPr="00BF3CDE">
        <w:rPr>
          <w:b/>
          <w:bCs/>
        </w:rPr>
        <w:t>sans tarder</w:t>
      </w:r>
      <w:r w:rsidRPr="00BF3CDE">
        <w:t xml:space="preserve"> des mesures visant à développer de manière substantielle les offres de points d’accueil et de conseils facilement accessibles ainsi que de prise en charge ambulatoire et résidentielle des enfants et des jeunes ayant des </w:t>
      </w:r>
      <w:r w:rsidRPr="00BF3CDE">
        <w:rPr>
          <w:b/>
          <w:bCs/>
        </w:rPr>
        <w:t>maladies psychiques</w:t>
      </w:r>
      <w:r w:rsidRPr="00F31454">
        <w:rPr>
          <w:bCs/>
        </w:rPr>
        <w:t>,</w:t>
      </w:r>
      <w:r w:rsidRPr="00BF3CDE">
        <w:t xml:space="preserve"> en assurant le financement de ces offres, à titre temporaire également en dehors des règlements en vigueur. </w:t>
      </w:r>
    </w:p>
    <w:p w14:paraId="288B3898" w14:textId="77777777" w:rsidR="005B6BB2" w:rsidRPr="00BF3CDE" w:rsidRDefault="005B6BB2" w:rsidP="005B6BB2">
      <w:pPr>
        <w:pStyle w:val="SBEmpfehlungen"/>
      </w:pPr>
      <w:r w:rsidRPr="00BF3CDE">
        <w:t xml:space="preserve">Chaque canton élabore, sous la conduite de la CDS, un plan d’action visant à améliorer la </w:t>
      </w:r>
      <w:r w:rsidRPr="00BF3CDE">
        <w:rPr>
          <w:b/>
          <w:bCs/>
        </w:rPr>
        <w:t>prise en charge sanitaire</w:t>
      </w:r>
      <w:r w:rsidRPr="00BF3CDE">
        <w:t xml:space="preserve"> des PH en vue de mettre en place d</w:t>
      </w:r>
      <w:r>
        <w:t xml:space="preserve">es </w:t>
      </w:r>
      <w:r w:rsidRPr="00BF3CDE">
        <w:t>offres aussi bien générales que spécifiquement requises en raison d’un handicap.</w:t>
      </w:r>
    </w:p>
    <w:p w14:paraId="0006DFD0" w14:textId="77777777" w:rsidR="005B6BB2" w:rsidRPr="00BF3CDE" w:rsidRDefault="005B6BB2" w:rsidP="005B6BB2">
      <w:pPr>
        <w:pStyle w:val="SBEmpfehlungen"/>
      </w:pPr>
      <w:r w:rsidRPr="00BF3CDE">
        <w:t xml:space="preserve">Afin d’améliorer les traitements médicaux (objectif 5.2 «Santé 2030»), l’OFSP lance, dans le plan d’action, une initiative </w:t>
      </w:r>
      <w:r>
        <w:t>pour une</w:t>
      </w:r>
      <w:r w:rsidRPr="00BF3CDE">
        <w:t xml:space="preserve"> </w:t>
      </w:r>
      <w:r w:rsidRPr="00BF3CDE">
        <w:rPr>
          <w:b/>
          <w:bCs/>
        </w:rPr>
        <w:t xml:space="preserve">formation et </w:t>
      </w:r>
      <w:r>
        <w:rPr>
          <w:b/>
          <w:bCs/>
        </w:rPr>
        <w:t>une</w:t>
      </w:r>
      <w:r w:rsidRPr="00BF3CDE">
        <w:rPr>
          <w:b/>
          <w:bCs/>
        </w:rPr>
        <w:t xml:space="preserve"> formation postgrade</w:t>
      </w:r>
      <w:r w:rsidRPr="00BF3CDE">
        <w:t xml:space="preserve"> systématiques du personnel de santé axées sur les droits et les besoins médicaux des PH, ainsi que </w:t>
      </w:r>
      <w:r>
        <w:t xml:space="preserve">pour </w:t>
      </w:r>
      <w:r w:rsidRPr="00BF3CDE">
        <w:t>l’élaboration de standards de diagnostic et de traitements nuancés.</w:t>
      </w:r>
    </w:p>
    <w:p w14:paraId="1244FF13" w14:textId="22C4D1B5" w:rsidR="00926EF9" w:rsidRPr="00F756DE" w:rsidRDefault="005B6BB2" w:rsidP="005B6BB2">
      <w:pPr>
        <w:pStyle w:val="SBEmpfehlungen"/>
        <w:rPr>
          <w:b/>
        </w:rPr>
      </w:pPr>
      <w:r w:rsidRPr="00BF3CDE">
        <w:t xml:space="preserve">L’OFSP intègre au plan d’action «Santé 2030» des mesures efficaces en vue d’éliminer les </w:t>
      </w:r>
      <w:r w:rsidRPr="00BF3CDE">
        <w:rPr>
          <w:b/>
          <w:bCs/>
        </w:rPr>
        <w:t>limitations tarifaires</w:t>
      </w:r>
      <w:r w:rsidRPr="00BF3CDE">
        <w:t xml:space="preserve"> empêchant la rémunération des frais supplémentaires dus au handicap, mesures qui font partie intégrante du domaine d’action «Chances de vivre en bonne santé».</w:t>
      </w:r>
    </w:p>
    <w:p w14:paraId="7BFA3478" w14:textId="77777777" w:rsidR="00926EF9" w:rsidRPr="00BF3CDE" w:rsidRDefault="00926EF9" w:rsidP="00926EF9">
      <w:pPr>
        <w:pStyle w:val="Heading3"/>
        <w:numPr>
          <w:ilvl w:val="0"/>
          <w:numId w:val="0"/>
        </w:numPr>
        <w:ind w:left="737" w:hanging="737"/>
        <w:rPr>
          <w:rFonts w:eastAsia="MS Gothic"/>
        </w:rPr>
      </w:pPr>
      <w:bookmarkStart w:id="129" w:name="_Toc95500347"/>
      <w:bookmarkStart w:id="130" w:name="_Ref95737639"/>
      <w:bookmarkStart w:id="131" w:name="_Toc96287617"/>
      <w:r w:rsidRPr="00BF3CDE">
        <w:rPr>
          <w:rFonts w:eastAsia="MS Gothic"/>
        </w:rPr>
        <w:t>Art. 27 – Travail et emploi</w:t>
      </w:r>
      <w:bookmarkEnd w:id="129"/>
      <w:bookmarkEnd w:id="130"/>
      <w:bookmarkEnd w:id="131"/>
    </w:p>
    <w:p w14:paraId="48BBE51E" w14:textId="77AA0614" w:rsidR="00B30BCF" w:rsidRPr="00F756DE" w:rsidRDefault="005B6BB2" w:rsidP="005B6BB2">
      <w:pPr>
        <w:pStyle w:val="BodyText"/>
        <w:rPr>
          <w:i/>
        </w:rPr>
      </w:pPr>
      <w:r w:rsidRPr="00BF3CDE">
        <w:rPr>
          <w:bCs/>
        </w:rPr>
        <w:t>Depuis la RPT, les cantons versent,</w:t>
      </w:r>
      <w:r w:rsidRPr="00BF3CDE">
        <w:rPr>
          <w:b/>
        </w:rPr>
        <w:t xml:space="preserve"> de manière analogue au domaine du logement,</w:t>
      </w:r>
      <w:r w:rsidRPr="00BF3CDE">
        <w:t xml:space="preserve"> des contributions aux institutions pour «personnes invalides» qui proposent des emplois. En font partie, selon la LIPPI, les </w:t>
      </w:r>
      <w:r w:rsidRPr="00BF3CDE">
        <w:rPr>
          <w:b/>
          <w:bCs/>
        </w:rPr>
        <w:t>ateliers</w:t>
      </w:r>
      <w:r w:rsidRPr="00BF3CDE">
        <w:t xml:space="preserve"> pour personnes invalides «ne pouvant exercer aucune activité lucrative dans des conditions ordinaires» ainsi que les </w:t>
      </w:r>
      <w:r w:rsidRPr="00BF3CDE">
        <w:rPr>
          <w:b/>
          <w:bCs/>
        </w:rPr>
        <w:t>centres de jour</w:t>
      </w:r>
      <w:r w:rsidRPr="00BF3CDE">
        <w:t xml:space="preserve">. Les «conditions ordinaires» se réfèrent au </w:t>
      </w:r>
      <w:r w:rsidRPr="00BF3CDE">
        <w:rPr>
          <w:b/>
        </w:rPr>
        <w:t xml:space="preserve">marché régulier du travail </w:t>
      </w:r>
      <w:r w:rsidRPr="00BF3CDE">
        <w:t xml:space="preserve">pratiquant des salaires conformes au marché et des exigences de performance spécifiques. Un marché du travail protégé et </w:t>
      </w:r>
      <w:r w:rsidRPr="00BF3CDE">
        <w:rPr>
          <w:b/>
          <w:bCs/>
        </w:rPr>
        <w:t>soutenu par l’État</w:t>
      </w:r>
      <w:r w:rsidRPr="00BF3CDE">
        <w:t xml:space="preserve"> s’est développé au fil des ans. Les cantons règlent et pilotent, comme ils le font dans le domaine du logement en milieu institutionnel, ce marché du travail par le biais de plans stratégiques visant à promouvoir l’intégration des PH, de leurs bases légales cantonales, de la reconnaissance des institutions et de la signature de contrats de prestations avec celles-ci. Sur le plan intercantonal, la compétence en revient à la CDAS resp. à la CDQH.</w:t>
      </w:r>
    </w:p>
    <w:p w14:paraId="6B517DBF" w14:textId="5785247F" w:rsidR="00926EF9" w:rsidRPr="00BF3CDE" w:rsidRDefault="00926EF9" w:rsidP="00926EF9">
      <w:pPr>
        <w:pStyle w:val="Subtitle"/>
        <w:rPr>
          <w:rFonts w:eastAsia="Times New Roman"/>
        </w:rPr>
      </w:pPr>
      <w:r w:rsidRPr="00BF3CDE">
        <w:rPr>
          <w:rFonts w:eastAsia="Times New Roman"/>
        </w:rPr>
        <w:t xml:space="preserve">Exclusion de PH </w:t>
      </w:r>
      <w:r w:rsidR="00F31454">
        <w:rPr>
          <w:rFonts w:eastAsia="Times New Roman"/>
        </w:rPr>
        <w:t xml:space="preserve">du marché libre du travail (LoI, </w:t>
      </w:r>
      <w:r w:rsidRPr="00BF3CDE">
        <w:rPr>
          <w:rFonts w:eastAsia="Times New Roman"/>
        </w:rPr>
        <w:t>21 c)</w:t>
      </w:r>
    </w:p>
    <w:p w14:paraId="7243B7A1" w14:textId="0E03C45D" w:rsidR="005B6BB2" w:rsidRPr="00BF3CDE" w:rsidRDefault="005B6BB2" w:rsidP="005B6BB2">
      <w:pPr>
        <w:pStyle w:val="BodyText"/>
      </w:pPr>
      <w:r w:rsidRPr="00BF3CDE">
        <w:t xml:space="preserve">Le </w:t>
      </w:r>
      <w:r w:rsidRPr="00BF3CDE">
        <w:rPr>
          <w:b/>
        </w:rPr>
        <w:t xml:space="preserve">nombre </w:t>
      </w:r>
      <w:r w:rsidRPr="00BF3CDE">
        <w:t xml:space="preserve">de PH travaillant dans des </w:t>
      </w:r>
      <w:r w:rsidRPr="00BF3CDE">
        <w:rPr>
          <w:b/>
        </w:rPr>
        <w:t>ateliers protégés</w:t>
      </w:r>
      <w:r w:rsidR="003523E7">
        <w:rPr>
          <w:b/>
        </w:rPr>
        <w:t xml:space="preserve"> </w:t>
      </w:r>
      <w:r w:rsidR="003523E7" w:rsidRPr="003523E7">
        <w:rPr>
          <w:b/>
        </w:rPr>
        <w:t>rattachés à des foyers d</w:t>
      </w:r>
      <w:r w:rsidR="003523E7">
        <w:rPr>
          <w:b/>
        </w:rPr>
        <w:t>’</w:t>
      </w:r>
      <w:r w:rsidR="003523E7" w:rsidRPr="003523E7">
        <w:rPr>
          <w:b/>
        </w:rPr>
        <w:t>hébergement</w:t>
      </w:r>
      <w:r w:rsidRPr="00BF3CDE">
        <w:t xml:space="preserve"> a été recensé par l’OFS pour la dernière fois en 2015 (!). Il a augmenté, entre 2007 et 2013, de 14’252 à 18’122 personnes; près de la moitié d’entre elles étaient des personnes ayant des handicaps intellectuels</w:t>
      </w:r>
      <w:r w:rsidR="003523E7">
        <w:t xml:space="preserve"> </w:t>
      </w:r>
      <w:r w:rsidR="003523E7" w:rsidRPr="003523E7">
        <w:rPr>
          <w:lang w:val="fr-FR"/>
        </w:rPr>
        <w:t>(</w:t>
      </w:r>
      <w:r w:rsidR="003523E7" w:rsidRPr="00225974">
        <w:rPr>
          <w:lang w:val="fr-FR"/>
        </w:rPr>
        <w:t xml:space="preserve">voir </w:t>
      </w:r>
      <w:r w:rsidR="00225974" w:rsidRPr="00225974">
        <w:rPr>
          <w:lang w:val="fr-FR"/>
        </w:rPr>
        <w:t>PRE</w:t>
      </w:r>
      <w:r w:rsidR="003523E7" w:rsidRPr="00225974">
        <w:rPr>
          <w:lang w:val="fr-FR"/>
        </w:rPr>
        <w:t xml:space="preserve"> para</w:t>
      </w:r>
      <w:r w:rsidR="003523E7" w:rsidRPr="003523E7">
        <w:rPr>
          <w:lang w:val="fr-FR"/>
        </w:rPr>
        <w:t>. 160)</w:t>
      </w:r>
      <w:r w:rsidRPr="003523E7">
        <w:t>.</w:t>
      </w:r>
      <w:r w:rsidRPr="00BF3CDE">
        <w:t xml:space="preserve"> </w:t>
      </w:r>
      <w:r w:rsidR="003523E7" w:rsidRPr="003523E7">
        <w:t>Les relevés actuels de l</w:t>
      </w:r>
      <w:r w:rsidR="003523E7">
        <w:t>’</w:t>
      </w:r>
      <w:r w:rsidR="003523E7" w:rsidRPr="003523E7">
        <w:t>association de branche des prestataires de services pour les personnes en situation de handicap INSOS concernant l</w:t>
      </w:r>
      <w:r w:rsidR="003523E7">
        <w:t>’</w:t>
      </w:r>
      <w:r w:rsidR="003523E7" w:rsidRPr="003523E7">
        <w:t xml:space="preserve">ensemble de </w:t>
      </w:r>
      <w:r w:rsidR="003523E7" w:rsidRPr="003523E7">
        <w:rPr>
          <w:b/>
        </w:rPr>
        <w:t>ses</w:t>
      </w:r>
      <w:r w:rsidR="003523E7" w:rsidRPr="003523E7">
        <w:t xml:space="preserve"> ateliers (également en dehors des foyers d</w:t>
      </w:r>
      <w:r w:rsidR="003523E7">
        <w:t>’</w:t>
      </w:r>
      <w:r w:rsidR="003523E7" w:rsidRPr="003523E7">
        <w:t>hébergement) montrent également une augmentation des emplois disponibles (2020 : 23 792).</w:t>
      </w:r>
      <w:r w:rsidRPr="00BF3CDE">
        <w:t xml:space="preserve"> S’ajoutent à ce chiffre </w:t>
      </w:r>
      <w:r w:rsidRPr="00BF3CDE">
        <w:rPr>
          <w:b/>
        </w:rPr>
        <w:t>10'034 places</w:t>
      </w:r>
      <w:r w:rsidRPr="00BF3CDE">
        <w:t xml:space="preserve"> dans des </w:t>
      </w:r>
      <w:r w:rsidRPr="00BF3CDE">
        <w:rPr>
          <w:b/>
          <w:bCs/>
        </w:rPr>
        <w:t>centres de jour</w:t>
      </w:r>
      <w:r w:rsidRPr="00BF3CDE">
        <w:t xml:space="preserve"> INSOS.</w:t>
      </w:r>
      <w:r w:rsidRPr="00BF3CDE">
        <w:rPr>
          <w:vertAlign w:val="superscript"/>
        </w:rPr>
        <w:footnoteReference w:id="245"/>
      </w:r>
      <w:r w:rsidRPr="00BF3CDE">
        <w:t xml:space="preserve"> </w:t>
      </w:r>
    </w:p>
    <w:p w14:paraId="2AE89540" w14:textId="2252B77F" w:rsidR="005B6BB2" w:rsidRPr="00BF3CDE" w:rsidRDefault="005B6BB2" w:rsidP="005B6BB2">
      <w:pPr>
        <w:pStyle w:val="BodyText"/>
      </w:pPr>
      <w:r w:rsidRPr="00BF3CDE">
        <w:t>Du point de vue juridique, les rapports de travail en milieu protégé relèvent en principe du droit du travail régulier.</w:t>
      </w:r>
      <w:r w:rsidRPr="00BF3CDE">
        <w:rPr>
          <w:rFonts w:eastAsia="Cambria" w:cs="Times New Roman"/>
          <w:vertAlign w:val="superscript"/>
        </w:rPr>
        <w:footnoteReference w:id="246"/>
      </w:r>
      <w:r w:rsidRPr="00BF3CDE">
        <w:t xml:space="preserve"> Selon les indications d’INSOS, les inspections du travail cantonales procèdent à une vérification annuelle des ateliers. Cependant, les personnes qui y travaillent sont presque toutes considérées par le système d’assurances sociales comme étant </w:t>
      </w:r>
      <w:r w:rsidRPr="00BF3CDE">
        <w:rPr>
          <w:b/>
        </w:rPr>
        <w:t>«en incapacité de gain»</w:t>
      </w:r>
      <w:r w:rsidRPr="00BF3CDE">
        <w:t xml:space="preserve"> ou «en capacité de gain limitée». </w:t>
      </w:r>
      <w:r w:rsidR="00DF5AF1">
        <w:t>Elles</w:t>
      </w:r>
      <w:r w:rsidR="00DF5AF1" w:rsidRPr="00DF5AF1">
        <w:t xml:space="preserve"> ne peuvent pas subvenir à leurs besoins en travaillant comme les </w:t>
      </w:r>
      <w:r w:rsidR="00DF5AF1">
        <w:t>«</w:t>
      </w:r>
      <w:r w:rsidR="00DF5AF1" w:rsidRPr="00DF5AF1">
        <w:t>personnes capables de travailler</w:t>
      </w:r>
      <w:r w:rsidR="00DF5AF1">
        <w:t>»</w:t>
      </w:r>
      <w:r w:rsidRPr="00BF3CDE">
        <w:rPr>
          <w:vertAlign w:val="superscript"/>
        </w:rPr>
        <w:footnoteReference w:id="247"/>
      </w:r>
      <w:r w:rsidR="00DF5AF1">
        <w:t xml:space="preserve">. Elles perçoivent bien plutôt </w:t>
      </w:r>
      <w:r w:rsidRPr="00BF3CDE">
        <w:t xml:space="preserve">un «revenu de remplacement» visant à couvrir la perte de gain sous forme d’une rente de l’AI ou de PC. </w:t>
      </w:r>
      <w:r w:rsidR="000F4801">
        <w:t xml:space="preserve">Pour leur travail effectué en atelier, ces derniers </w:t>
      </w:r>
      <w:r w:rsidRPr="00BF3CDE">
        <w:t xml:space="preserve">leur versent, en quelque sorte à titre de revenu supplémentaire, une rémunération </w:t>
      </w:r>
      <w:r w:rsidRPr="00F31454">
        <w:t xml:space="preserve">– </w:t>
      </w:r>
      <w:r w:rsidRPr="00BF3CDE">
        <w:rPr>
          <w:b/>
        </w:rPr>
        <w:t>généralement très faible</w:t>
      </w:r>
      <w:r w:rsidRPr="00BF3CDE">
        <w:t>.</w:t>
      </w:r>
      <w:bookmarkStart w:id="132" w:name="_Ref95824811"/>
      <w:r w:rsidRPr="00BF3CDE">
        <w:rPr>
          <w:vertAlign w:val="superscript"/>
        </w:rPr>
        <w:footnoteReference w:id="248"/>
      </w:r>
      <w:bookmarkEnd w:id="132"/>
      <w:r w:rsidRPr="00BF3CDE">
        <w:t xml:space="preserve"> Même si une collaboratrice touche à la fois une rente de l’AI, des PC et une rémunération de l’atelier, son revenu est générale</w:t>
      </w:r>
      <w:r>
        <w:t>ment</w:t>
      </w:r>
      <w:r w:rsidRPr="00BF3CDE">
        <w:t xml:space="preserve"> </w:t>
      </w:r>
      <w:r w:rsidRPr="00724856">
        <w:rPr>
          <w:b/>
        </w:rPr>
        <w:t xml:space="preserve">inférieur </w:t>
      </w:r>
      <w:r w:rsidRPr="00724856">
        <w:t>aux</w:t>
      </w:r>
      <w:r w:rsidRPr="00724856">
        <w:rPr>
          <w:b/>
        </w:rPr>
        <w:t xml:space="preserve"> salaires minimaux </w:t>
      </w:r>
      <w:r w:rsidRPr="00724856">
        <w:t>(les plus bas)</w:t>
      </w:r>
      <w:r w:rsidRPr="00BF3CDE">
        <w:t>.</w:t>
      </w:r>
      <w:r w:rsidRPr="00BF3CDE">
        <w:rPr>
          <w:vertAlign w:val="superscript"/>
        </w:rPr>
        <w:footnoteReference w:id="249"/>
      </w:r>
      <w:r w:rsidRPr="00BF3CDE">
        <w:t xml:space="preserve"> Si, à l’inverse, son salaire dépasse un certain montant, les autorités examinent la question d’une réduction des PC et de la rente. Le faible niveau de salaires constitue un des points les plus critiqués par les personnes occupées en ateliers</w:t>
      </w:r>
      <w:r w:rsidRPr="00BF3CDE">
        <w:rPr>
          <w:vertAlign w:val="superscript"/>
        </w:rPr>
        <w:footnoteReference w:id="250"/>
      </w:r>
      <w:r w:rsidRPr="00BF3CDE">
        <w:t xml:space="preserve"> et fait également l’objet de griefs de la part du Comité </w:t>
      </w:r>
      <w:r w:rsidRPr="00EE72F1">
        <w:t>CESCR.</w:t>
      </w:r>
      <w:r w:rsidRPr="00BF3CDE">
        <w:rPr>
          <w:vertAlign w:val="superscript"/>
        </w:rPr>
        <w:footnoteReference w:id="251"/>
      </w:r>
      <w:r w:rsidRPr="00BF3CDE">
        <w:t xml:space="preserve"> </w:t>
      </w:r>
      <w:r>
        <w:t>Ainsi l</w:t>
      </w:r>
      <w:r w:rsidRPr="00BF3CDE">
        <w:t xml:space="preserve">e système en vigueur perpétue la </w:t>
      </w:r>
      <w:r w:rsidRPr="00BF3CDE">
        <w:rPr>
          <w:b/>
        </w:rPr>
        <w:t xml:space="preserve">dépendance </w:t>
      </w:r>
      <w:r w:rsidRPr="00BF3CDE">
        <w:t>des PH qui travaillent à l’égard des prestations sociales allouées par l’État,</w:t>
      </w:r>
      <w:r w:rsidRPr="00BF3CDE">
        <w:rPr>
          <w:vertAlign w:val="superscript"/>
        </w:rPr>
        <w:footnoteReference w:id="252"/>
      </w:r>
      <w:r w:rsidRPr="00BF3CDE">
        <w:t xml:space="preserve"> voire aussi </w:t>
      </w:r>
      <w:r>
        <w:t xml:space="preserve">à l’égard </w:t>
      </w:r>
      <w:r w:rsidRPr="00BF3CDE">
        <w:t>de l’obligation permanente de rendre des comptes et de divulguer des informations, ainsi qu</w:t>
      </w:r>
      <w:r>
        <w:t>e</w:t>
      </w:r>
      <w:r w:rsidRPr="00BF3CDE">
        <w:t xml:space="preserve"> du risque de faire l’objet de décisions injustifiées des autorités et, le cas échéant, d’expertises médicales arbitraires. </w:t>
      </w:r>
    </w:p>
    <w:p w14:paraId="37B2722C" w14:textId="77777777" w:rsidR="005B6BB2" w:rsidRPr="00BF3CDE" w:rsidRDefault="005B6BB2" w:rsidP="005B6BB2">
      <w:pPr>
        <w:pStyle w:val="BodyText"/>
      </w:pPr>
      <w:r w:rsidRPr="00BF3CDE">
        <w:t xml:space="preserve">Des enquêtes ont mis en évidence que seules quelques rares institutions offraient des </w:t>
      </w:r>
      <w:r w:rsidRPr="00BF3CDE">
        <w:rPr>
          <w:b/>
          <w:bCs/>
        </w:rPr>
        <w:t>possibilités de promotion</w:t>
      </w:r>
      <w:r w:rsidRPr="00BF3CDE">
        <w:t xml:space="preserve"> à leur </w:t>
      </w:r>
      <w:r>
        <w:t>personnel</w:t>
      </w:r>
      <w:r w:rsidRPr="00BF3CDE">
        <w:t xml:space="preserve"> handicapé, et que ce</w:t>
      </w:r>
      <w:r>
        <w:t>lui</w:t>
      </w:r>
      <w:r w:rsidRPr="00BF3CDE">
        <w:t>-ci était encore peu informé et consulté.</w:t>
      </w:r>
      <w:r w:rsidRPr="00BF3CDE">
        <w:rPr>
          <w:rFonts w:eastAsia="Cambria" w:cs="Times New Roman"/>
          <w:vertAlign w:val="superscript"/>
        </w:rPr>
        <w:footnoteReference w:id="253"/>
      </w:r>
      <w:r w:rsidRPr="00BF3CDE">
        <w:t xml:space="preserve"> C’est pourquoi on peut se féliciter de l’initiative d’INSOS visant à établir dans les ateliers des </w:t>
      </w:r>
      <w:r w:rsidRPr="00BF3CDE">
        <w:rPr>
          <w:b/>
          <w:bCs/>
        </w:rPr>
        <w:t>représentations du personnel</w:t>
      </w:r>
      <w:r w:rsidRPr="00BF3CDE">
        <w:t xml:space="preserve"> dans le but de promouvoir </w:t>
      </w:r>
      <w:r>
        <w:t>s</w:t>
      </w:r>
      <w:r w:rsidRPr="00BF3CDE">
        <w:t xml:space="preserve">a participation au sein de l’entreprise. </w:t>
      </w:r>
    </w:p>
    <w:p w14:paraId="3051FE07" w14:textId="084567E6" w:rsidR="00B30BCF" w:rsidRPr="00F756DE" w:rsidRDefault="005B6BB2" w:rsidP="005B6BB2">
      <w:pPr>
        <w:pStyle w:val="BodyText"/>
      </w:pPr>
      <w:r w:rsidRPr="00BF3CDE">
        <w:t xml:space="preserve">Sur le marché du travail ouvert, on constate que les PH sont nettement </w:t>
      </w:r>
      <w:r w:rsidRPr="00BF3CDE">
        <w:rPr>
          <w:b/>
          <w:bCs/>
        </w:rPr>
        <w:t>moins nombreuses à exercer une activité lucrative</w:t>
      </w:r>
      <w:r w:rsidRPr="00BF3CDE">
        <w:t xml:space="preserve"> et à être </w:t>
      </w:r>
      <w:r w:rsidRPr="00BF3CDE">
        <w:rPr>
          <w:b/>
          <w:bCs/>
        </w:rPr>
        <w:t>sans revenus</w:t>
      </w:r>
      <w:r w:rsidRPr="00BF3CDE">
        <w:t xml:space="preserve"> que les PnH. En 2019, 68% des PH vivant au sein de ménages privés exerçaient une activité lucrative, 4.5% étaient sans activité lucrative et cherchaient du travail. Chez les PnH, ces proportions étaient de 84% et 3%, et chez les PH «fortement limitées» de 39% et 7.5%.</w:t>
      </w:r>
      <w:r w:rsidRPr="00BF3CDE">
        <w:rPr>
          <w:rFonts w:eastAsia="Cambria" w:cs="Times New Roman"/>
          <w:vertAlign w:val="superscript"/>
          <w:lang w:eastAsia="de-CH"/>
        </w:rPr>
        <w:footnoteReference w:id="254"/>
      </w:r>
      <w:r w:rsidRPr="00BF3CDE">
        <w:rPr>
          <w:lang w:eastAsia="de-CH"/>
        </w:rPr>
        <w:t xml:space="preserve"> Un projet de recherche a permis d’établir que parmi environ 100 personnes ayant des troubles du spectre autistique, toutes celles présentant un autisme précoce et </w:t>
      </w:r>
      <w:r w:rsidRPr="00BF3CDE">
        <w:t xml:space="preserve">45% de celles avec un </w:t>
      </w:r>
      <w:r w:rsidR="00F31454">
        <w:t>autisme d’</w:t>
      </w:r>
      <w:r w:rsidRPr="00BF3CDE">
        <w:t>Asperger travaillaient en milieu protégé ou étaient inactives.</w:t>
      </w:r>
      <w:r w:rsidRPr="00BF3CDE">
        <w:rPr>
          <w:vertAlign w:val="superscript"/>
        </w:rPr>
        <w:footnoteReference w:id="255"/>
      </w:r>
    </w:p>
    <w:p w14:paraId="548B0CE9" w14:textId="5FDB5371" w:rsidR="00926EF9" w:rsidRPr="00BF3CDE" w:rsidRDefault="00926EF9" w:rsidP="00926EF9">
      <w:pPr>
        <w:pStyle w:val="Subtitle"/>
        <w:rPr>
          <w:rFonts w:eastAsia="Times New Roman"/>
        </w:rPr>
      </w:pPr>
      <w:r w:rsidRPr="00BF3CDE">
        <w:rPr>
          <w:rFonts w:eastAsia="Times New Roman"/>
        </w:rPr>
        <w:t>Pas de stratégies pour une réforme systémique (LoI</w:t>
      </w:r>
      <w:r w:rsidR="00F31454">
        <w:rPr>
          <w:rFonts w:eastAsia="Times New Roman"/>
        </w:rPr>
        <w:t xml:space="preserve">, </w:t>
      </w:r>
      <w:r w:rsidRPr="00BF3CDE">
        <w:rPr>
          <w:rFonts w:eastAsia="Times New Roman"/>
        </w:rPr>
        <w:t>22a)</w:t>
      </w:r>
    </w:p>
    <w:p w14:paraId="757B3396" w14:textId="5AF7845D" w:rsidR="00B30BCF" w:rsidRPr="00F756DE" w:rsidRDefault="005B6BB2" w:rsidP="001527A4">
      <w:pPr>
        <w:pStyle w:val="BodyText"/>
        <w:rPr>
          <w:lang w:eastAsia="de-CH"/>
        </w:rPr>
      </w:pPr>
      <w:r w:rsidRPr="00BF3CDE">
        <w:t>L’intégration professionnelle ne tombe pas dans le champ d’application de la LIPPI, mais est régie par l’AI.</w:t>
      </w:r>
      <w:r w:rsidRPr="00BF3CDE">
        <w:rPr>
          <w:rFonts w:eastAsia="Cambria" w:cs="Times New Roman"/>
          <w:vertAlign w:val="superscript"/>
        </w:rPr>
        <w:footnoteReference w:id="256"/>
      </w:r>
      <w:r w:rsidRPr="00BF3CDE">
        <w:t xml:space="preserve"> Selon les propos de la Suisse, l’intégration est un objectif central de l’AI (réponse à la LoI, para. 73). Mais en règle générale, s’agissant de personnes bénéficiant d’une rente AI, l’AI ne finance des mesures en vue de leur </w:t>
      </w:r>
      <w:r w:rsidR="00D612B8">
        <w:t>«</w:t>
      </w:r>
      <w:r w:rsidRPr="00BF3CDE">
        <w:rPr>
          <w:b/>
        </w:rPr>
        <w:t>nouvelle réadaptation</w:t>
      </w:r>
      <w:r w:rsidR="00D612B8">
        <w:rPr>
          <w:b/>
        </w:rPr>
        <w:t>»</w:t>
      </w:r>
      <w:r w:rsidRPr="00BF3CDE">
        <w:t xml:space="preserve"> dans le marché libre du travail que si elles ont des chances d’obtenir un salaire permettant de réduire leur rente.</w:t>
      </w:r>
      <w:r w:rsidRPr="00BF3CDE">
        <w:rPr>
          <w:rFonts w:eastAsia="Cambria" w:cs="Times New Roman"/>
          <w:vertAlign w:val="superscript"/>
        </w:rPr>
        <w:footnoteReference w:id="257"/>
      </w:r>
      <w:r w:rsidRPr="00BF3CDE">
        <w:t xml:space="preserve"> Ces dernières années, les nouvelles réadaptations représentaient</w:t>
      </w:r>
      <w:r w:rsidRPr="00BF3CDE">
        <w:rPr>
          <w:b/>
          <w:bCs/>
        </w:rPr>
        <w:t xml:space="preserve"> uniquement 2 à 3% des réadaptations</w:t>
      </w:r>
      <w:r w:rsidRPr="00BF3CDE">
        <w:t xml:space="preserve">. En revanche, plus de la moitié </w:t>
      </w:r>
      <w:r w:rsidR="00195327">
        <w:t xml:space="preserve">de toutes les réadaptations </w:t>
      </w:r>
      <w:r w:rsidRPr="00BF3CDE">
        <w:t>visaient le maintien au poste de travail après un accident ou une maladie, près d’un tiers un changement d’emploi.</w:t>
      </w:r>
      <w:r w:rsidRPr="00BF3CDE">
        <w:rPr>
          <w:rFonts w:eastAsia="Cambria" w:cs="Times New Roman"/>
          <w:vertAlign w:val="superscript"/>
        </w:rPr>
        <w:footnoteReference w:id="258"/>
      </w:r>
      <w:r w:rsidRPr="00BF3CDE">
        <w:t xml:space="preserve"> Un contrôle systématique et à long terme des mesures de réadaptation fait défaut</w:t>
      </w:r>
      <w:r w:rsidRPr="00BF3CDE">
        <w:rPr>
          <w:lang w:eastAsia="de-CH"/>
        </w:rPr>
        <w:t>. Des études ponctuelles ont démontré que la réussite des réadaptations notamment de personnes ayant des handicaps psychiques était faible</w:t>
      </w:r>
      <w:r w:rsidR="00F31454" w:rsidRPr="00BF3CDE">
        <w:rPr>
          <w:vertAlign w:val="superscript"/>
          <w:lang w:eastAsia="de-CH"/>
        </w:rPr>
        <w:footnoteReference w:id="259"/>
      </w:r>
      <w:r w:rsidRPr="00BF3CDE">
        <w:rPr>
          <w:lang w:eastAsia="de-CH"/>
        </w:rPr>
        <w:t xml:space="preserve">; les personnes </w:t>
      </w:r>
      <w:r>
        <w:rPr>
          <w:lang w:eastAsia="de-CH"/>
        </w:rPr>
        <w:t xml:space="preserve">présentant </w:t>
      </w:r>
      <w:r w:rsidRPr="00BF3CDE">
        <w:rPr>
          <w:lang w:eastAsia="de-CH"/>
        </w:rPr>
        <w:t>des handicaps cognitifs, qui se voient accorder plutôt rarement des mesures</w:t>
      </w:r>
      <w:r w:rsidR="00F31454" w:rsidRPr="00BF3CDE">
        <w:rPr>
          <w:vertAlign w:val="superscript"/>
          <w:lang w:eastAsia="de-CH"/>
        </w:rPr>
        <w:footnoteReference w:id="260"/>
      </w:r>
      <w:r w:rsidRPr="00BF3CDE">
        <w:rPr>
          <w:lang w:eastAsia="de-CH"/>
        </w:rPr>
        <w:t>,</w:t>
      </w:r>
      <w:r w:rsidR="001527A4">
        <w:rPr>
          <w:lang w:eastAsia="de-CH"/>
        </w:rPr>
        <w:t xml:space="preserve"> n’ont pas été recensées. </w:t>
      </w:r>
    </w:p>
    <w:p w14:paraId="127705BE" w14:textId="7FAF2C8C" w:rsidR="0078374B" w:rsidRPr="00F31454" w:rsidRDefault="00926EF9" w:rsidP="00F31454">
      <w:pPr>
        <w:pStyle w:val="BodyText"/>
        <w:shd w:val="clear" w:color="auto" w:fill="D9D9D9" w:themeFill="background1" w:themeFillShade="D9"/>
        <w:ind w:left="709"/>
        <w:rPr>
          <w:rStyle w:val="BookTitle"/>
          <w:bCs w:val="0"/>
          <w:iCs w:val="0"/>
        </w:rPr>
      </w:pPr>
      <w:r w:rsidRPr="00F31454">
        <w:t>Dans le système de l’AI, l’intégration au travail n’est pas effectuée dans le but de l’inclusion, mais en première ligne à des fins d’économies. Cette orientation du système est en contradiction fondamentale avec l’art. 27 CDPH</w:t>
      </w:r>
      <w:r w:rsidR="00F31454" w:rsidRPr="00F31454">
        <w:t>.</w:t>
      </w:r>
    </w:p>
    <w:p w14:paraId="550D55C7" w14:textId="77777777" w:rsidR="001527A4" w:rsidRPr="00BF3CDE" w:rsidRDefault="001527A4" w:rsidP="001527A4">
      <w:pPr>
        <w:pStyle w:val="BodyText"/>
      </w:pPr>
      <w:r w:rsidRPr="00BF3CDE">
        <w:t xml:space="preserve">Aucune révision de la LAI n’a modifié cette </w:t>
      </w:r>
      <w:r w:rsidRPr="00BF3CDE">
        <w:rPr>
          <w:b/>
        </w:rPr>
        <w:t>fausse orientation</w:t>
      </w:r>
      <w:r w:rsidRPr="00BF3CDE">
        <w:t xml:space="preserve">, et encore moins la Conférence nationale en faveur de l’intégration des PH de 2017 (réponse à la LoI, para. 69). De manière analogue au domaine du logement, la répartition des tâches entre la Confédération et les cantons, </w:t>
      </w:r>
      <w:r w:rsidRPr="001527A4">
        <w:t>cimentée</w:t>
      </w:r>
      <w:r w:rsidRPr="00BF3CDE">
        <w:t xml:space="preserve"> dans la </w:t>
      </w:r>
      <w:r w:rsidRPr="00BF3CDE">
        <w:rPr>
          <w:b/>
        </w:rPr>
        <w:t xml:space="preserve">LIPPI, </w:t>
      </w:r>
      <w:r w:rsidRPr="00BF3CDE">
        <w:rPr>
          <w:bCs/>
        </w:rPr>
        <w:t>pose</w:t>
      </w:r>
      <w:r w:rsidRPr="00BF3CDE">
        <w:t xml:space="preserve"> un obstacle considérable à une transition vers des prestations de soutien ambulatoires dans le marché libre du travail. La </w:t>
      </w:r>
      <w:r w:rsidRPr="00BF3CDE">
        <w:rPr>
          <w:b/>
        </w:rPr>
        <w:t xml:space="preserve">CDAS et les cantons </w:t>
      </w:r>
      <w:r w:rsidRPr="00BF3CDE">
        <w:rPr>
          <w:bCs/>
        </w:rPr>
        <w:t>n’entreprennent pas grand-chose à ce propos</w:t>
      </w:r>
      <w:r w:rsidRPr="00BF3CDE">
        <w:t xml:space="preserve">. Même si l’un des objectifs du programme </w:t>
      </w:r>
      <w:r>
        <w:t>«</w:t>
      </w:r>
      <w:r w:rsidRPr="00BF3CDE">
        <w:t>Autonomie</w:t>
      </w:r>
      <w:r>
        <w:t>»</w:t>
      </w:r>
      <w:r w:rsidRPr="00BF3CDE">
        <w:t xml:space="preserve"> réside dans le libre choix des PH concernant la structure de leurs journées, il n’en demeure pas moins qu’aucune activité prévue par le projet n’a jusqu’ici été mise en œuvre.</w:t>
      </w:r>
      <w:r w:rsidRPr="00BF3CDE">
        <w:rPr>
          <w:rFonts w:eastAsia="Cambria" w:cs="Times New Roman"/>
          <w:vertAlign w:val="superscript"/>
        </w:rPr>
        <w:footnoteReference w:id="261"/>
      </w:r>
    </w:p>
    <w:p w14:paraId="7BA0A63B" w14:textId="62176EF7" w:rsidR="001527A4" w:rsidRDefault="001527A4" w:rsidP="001527A4">
      <w:pPr>
        <w:pStyle w:val="BodyText"/>
      </w:pPr>
      <w:r w:rsidRPr="00BF3CDE">
        <w:rPr>
          <w:lang w:eastAsia="de-CH"/>
        </w:rPr>
        <w:t xml:space="preserve">L’une des entraves majeures réside dans la </w:t>
      </w:r>
      <w:r w:rsidRPr="00BF3CDE">
        <w:rPr>
          <w:b/>
          <w:bCs/>
          <w:lang w:eastAsia="de-CH"/>
        </w:rPr>
        <w:t>pression</w:t>
      </w:r>
      <w:r w:rsidRPr="00BF3CDE">
        <w:rPr>
          <w:lang w:eastAsia="de-CH"/>
        </w:rPr>
        <w:t xml:space="preserve"> que subissent les </w:t>
      </w:r>
      <w:r w:rsidRPr="00BF3CDE">
        <w:rPr>
          <w:b/>
          <w:bCs/>
          <w:lang w:eastAsia="de-CH"/>
        </w:rPr>
        <w:t>ateliers</w:t>
      </w:r>
      <w:r w:rsidRPr="00BF3CDE">
        <w:rPr>
          <w:lang w:eastAsia="de-CH"/>
        </w:rPr>
        <w:t xml:space="preserve"> en matière de </w:t>
      </w:r>
      <w:r w:rsidRPr="00BF3CDE">
        <w:rPr>
          <w:b/>
          <w:bCs/>
          <w:lang w:eastAsia="de-CH"/>
        </w:rPr>
        <w:t>rentabilité</w:t>
      </w:r>
      <w:r w:rsidRPr="00BF3CDE">
        <w:rPr>
          <w:lang w:eastAsia="de-CH"/>
        </w:rPr>
        <w:t xml:space="preserve">. </w:t>
      </w:r>
      <w:r w:rsidRPr="00BF3CDE">
        <w:t>Il se trouve tout de même que 60 des</w:t>
      </w:r>
      <w:r w:rsidRPr="00BF3CDE">
        <w:rPr>
          <w:lang w:eastAsia="de-CH"/>
        </w:rPr>
        <w:t xml:space="preserve"> 100 institutions interrogées ont </w:t>
      </w:r>
      <w:r w:rsidRPr="00BF3CDE">
        <w:t>«placé des PH sur le marché libre du travail», la moitié d’entre elles travaille avec des job coaches.</w:t>
      </w:r>
      <w:r w:rsidRPr="00BF3CDE">
        <w:rPr>
          <w:rFonts w:eastAsia="Cambria" w:cs="Times New Roman"/>
          <w:vertAlign w:val="superscript"/>
        </w:rPr>
        <w:footnoteReference w:id="262"/>
      </w:r>
      <w:r w:rsidRPr="00BF3CDE">
        <w:t xml:space="preserve"> Les associations de </w:t>
      </w:r>
      <w:r w:rsidRPr="001527A4">
        <w:t>branche</w:t>
      </w:r>
      <w:r w:rsidRPr="00BF3CDE">
        <w:t xml:space="preserve"> s’engagent afin que le soutien à la formation et l’emploi assisté deviennent parties intégrantes des contrats de prestations; il est en outre prévu de poursuivre le développement de systèmes de location de services.</w:t>
      </w:r>
      <w:r w:rsidRPr="00BF3CDE">
        <w:rPr>
          <w:rFonts w:eastAsia="Cambria" w:cs="Times New Roman"/>
          <w:vertAlign w:val="superscript"/>
        </w:rPr>
        <w:footnoteReference w:id="263"/>
      </w:r>
      <w:r w:rsidRPr="00BF3CDE">
        <w:t xml:space="preserve"> Ces derniers sont parfois vus d’un œil critique lorsqu’il s’agit de missions de travail temporaire effectuées par des groupes de PH mises à l’écart dans un local séparé de l’entreprise. </w:t>
      </w:r>
    </w:p>
    <w:p w14:paraId="3808EA20" w14:textId="00073A47" w:rsidR="00D10A21" w:rsidRPr="00BF3CDE" w:rsidRDefault="00D10A21" w:rsidP="001527A4">
      <w:pPr>
        <w:pStyle w:val="BodyText"/>
      </w:pPr>
      <w:r w:rsidRPr="00D10A21">
        <w:t xml:space="preserve">Il existe certes quelques organisations qui proposent des </w:t>
      </w:r>
      <w:r w:rsidRPr="00D10A21">
        <w:rPr>
          <w:b/>
        </w:rPr>
        <w:t>conseils indépendants</w:t>
      </w:r>
      <w:r w:rsidRPr="00D10A21">
        <w:t xml:space="preserve"> aux personnes intéressées pour accéder au marché du travail ouvert. Elles ne sont toutefois financées que de manière très restrictive par l</w:t>
      </w:r>
      <w:r>
        <w:t>’</w:t>
      </w:r>
      <w:r w:rsidRPr="00D10A21">
        <w:t>Etat.</w:t>
      </w:r>
      <w:r>
        <w:t xml:space="preserve"> </w:t>
      </w:r>
    </w:p>
    <w:p w14:paraId="5D1617B3" w14:textId="7DF9C9B9" w:rsidR="001527A4" w:rsidRPr="00BF3CDE" w:rsidRDefault="001527A4" w:rsidP="001527A4">
      <w:pPr>
        <w:pStyle w:val="BodyText"/>
        <w:rPr>
          <w:lang w:eastAsia="de-CH"/>
        </w:rPr>
      </w:pPr>
      <w:r w:rsidRPr="00BF3CDE">
        <w:t xml:space="preserve">Le développement des </w:t>
      </w:r>
      <w:r w:rsidRPr="00BF3CDE">
        <w:rPr>
          <w:b/>
          <w:bCs/>
        </w:rPr>
        <w:t>contributions cantonales de soutien</w:t>
      </w:r>
      <w:r w:rsidRPr="00BF3CDE">
        <w:t xml:space="preserve"> à l’emploi assisté semble très prometteur</w:t>
      </w:r>
      <w:r w:rsidR="00F31454" w:rsidRPr="00BF3CDE">
        <w:rPr>
          <w:rFonts w:eastAsia="Cambria" w:cs="Times New Roman"/>
          <w:vertAlign w:val="superscript"/>
        </w:rPr>
        <w:footnoteReference w:id="264"/>
      </w:r>
      <w:r w:rsidRPr="00BF3CDE">
        <w:t xml:space="preserve">, de manière analogue au domaine du logement; une marche à suivre planifiée et coordonnée fait en revanche défaut. Par ailleurs, </w:t>
      </w:r>
      <w:r w:rsidR="0032502A">
        <w:t xml:space="preserve">pratiquement </w:t>
      </w:r>
      <w:r w:rsidRPr="00BF3CDE">
        <w:t xml:space="preserve">aucun canton n’envisage actuellement d’entamer, parallèlement au développement du soutien, le processus de </w:t>
      </w:r>
      <w:r w:rsidRPr="00BF3CDE">
        <w:rPr>
          <w:b/>
          <w:bCs/>
        </w:rPr>
        <w:t>transformation systémique</w:t>
      </w:r>
      <w:r w:rsidRPr="00BF3CDE">
        <w:t xml:space="preserve"> des offres d’emploi en milieu institutionnel, telle qu’exigée. Selon les données disponibles, il est rare qu’un passage ait lieu entre le marché du travail protégé vers le marché libre du travail</w:t>
      </w:r>
      <w:r w:rsidRPr="00BF3CDE">
        <w:rPr>
          <w:lang w:eastAsia="de-CH"/>
        </w:rPr>
        <w:t>.</w:t>
      </w:r>
      <w:r w:rsidRPr="00BF3CDE">
        <w:rPr>
          <w:rFonts w:eastAsia="Cambria" w:cs="Times New Roman"/>
          <w:vertAlign w:val="superscript"/>
          <w:lang w:eastAsia="de-CH"/>
        </w:rPr>
        <w:footnoteReference w:id="265"/>
      </w:r>
      <w:r w:rsidRPr="00BF3CDE">
        <w:rPr>
          <w:lang w:eastAsia="de-CH"/>
        </w:rPr>
        <w:t xml:space="preserve"> </w:t>
      </w:r>
    </w:p>
    <w:p w14:paraId="33980804" w14:textId="3D7FC889" w:rsidR="001527A4" w:rsidRPr="00BF3CDE" w:rsidRDefault="001527A4" w:rsidP="001527A4">
      <w:pPr>
        <w:pStyle w:val="BodyText"/>
        <w:rPr>
          <w:lang w:eastAsia="de-CH"/>
        </w:rPr>
      </w:pPr>
      <w:r w:rsidRPr="00BF3CDE">
        <w:t xml:space="preserve">Dans le cadre du </w:t>
      </w:r>
      <w:r w:rsidR="0032502A">
        <w:t>projet</w:t>
      </w:r>
      <w:r w:rsidRPr="00BF3CDE">
        <w:t xml:space="preserve"> </w:t>
      </w:r>
      <w:r w:rsidRPr="00BF3CDE">
        <w:rPr>
          <w:b/>
        </w:rPr>
        <w:t>Avenir des ateliers,</w:t>
      </w:r>
      <w:r w:rsidRPr="00BF3CDE">
        <w:t xml:space="preserve"> INSOS souhaite trouver, en coopération avec la CDAS, les cantons et les représentations d</w:t>
      </w:r>
      <w:r>
        <w:t>u personnel</w:t>
      </w:r>
      <w:r w:rsidRPr="00BF3CDE">
        <w:t>, les</w:t>
      </w:r>
      <w:r w:rsidRPr="00BF3CDE">
        <w:rPr>
          <w:bCs/>
        </w:rPr>
        <w:t xml:space="preserve"> modèles commerciaux «les plus appropriés».</w:t>
      </w:r>
      <w:r w:rsidRPr="00BF3CDE">
        <w:rPr>
          <w:rFonts w:eastAsia="Cambria" w:cs="Times New Roman"/>
          <w:bCs/>
          <w:vertAlign w:val="superscript"/>
        </w:rPr>
        <w:footnoteReference w:id="266"/>
      </w:r>
      <w:r w:rsidRPr="00BF3CDE">
        <w:rPr>
          <w:bCs/>
        </w:rPr>
        <w:t xml:space="preserve"> Jusqu’à présent, l’État a omis de </w:t>
      </w:r>
      <w:r w:rsidRPr="00BF3CDE">
        <w:rPr>
          <w:b/>
        </w:rPr>
        <w:t>faire participer activement</w:t>
      </w:r>
      <w:r w:rsidRPr="00BF3CDE">
        <w:rPr>
          <w:bCs/>
        </w:rPr>
        <w:t xml:space="preserve"> les PH et leurs organisations à ce processus, comme l’exige l’art. 4 al. 3 CDPH. </w:t>
      </w:r>
    </w:p>
    <w:p w14:paraId="7B24146D" w14:textId="2F47BE1B" w:rsidR="00B30BCF" w:rsidRPr="00F756DE" w:rsidRDefault="001527A4" w:rsidP="001527A4">
      <w:pPr>
        <w:pStyle w:val="BodyText"/>
      </w:pPr>
      <w:r w:rsidRPr="00BF3CDE">
        <w:t xml:space="preserve">Même si une transformation des prestations avait lieu, il ne peut pas émerger de marché du travail inclusif tant que les </w:t>
      </w:r>
      <w:r w:rsidRPr="00BF3CDE">
        <w:rPr>
          <w:b/>
          <w:bCs/>
        </w:rPr>
        <w:t>employeurs ne créent quasiment pas de postes adaptés</w:t>
      </w:r>
      <w:r w:rsidRPr="00BF3CDE">
        <w:t>. Il s’agit là d’une erreur supplémentaire inhérente au système:</w:t>
      </w:r>
    </w:p>
    <w:p w14:paraId="32308199" w14:textId="77777777" w:rsidR="0017517D" w:rsidRPr="00926EF9" w:rsidRDefault="00926EF9" w:rsidP="00F31454">
      <w:pPr>
        <w:pStyle w:val="BodyText"/>
        <w:shd w:val="clear" w:color="auto" w:fill="D9D9D9" w:themeFill="background1" w:themeFillShade="D9"/>
        <w:ind w:left="709"/>
      </w:pPr>
      <w:r w:rsidRPr="00926EF9">
        <w:t>Sur le marché libre du travail suisse, aucun employeur n’est tenu par la loi d’occuper</w:t>
      </w:r>
      <w:r>
        <w:t xml:space="preserve"> des PH</w:t>
      </w:r>
      <w:r w:rsidR="0017517D" w:rsidRPr="00F756DE">
        <w:t>.</w:t>
      </w:r>
    </w:p>
    <w:p w14:paraId="4EBE0436" w14:textId="64569216" w:rsidR="001527A4" w:rsidRPr="00BF3CDE" w:rsidRDefault="001527A4" w:rsidP="001527A4">
      <w:pPr>
        <w:pStyle w:val="BodyText"/>
      </w:pPr>
      <w:r w:rsidRPr="00BF3CDE">
        <w:t>Certains employeurs et leurs associations</w:t>
      </w:r>
      <w:r w:rsidRPr="00BF3CDE">
        <w:rPr>
          <w:rStyle w:val="FootnoteReference"/>
          <w:szCs w:val="24"/>
        </w:rPr>
        <w:footnoteReference w:id="267"/>
      </w:r>
      <w:r w:rsidRPr="00BF3CDE">
        <w:t xml:space="preserve"> sont certes disposés à s’engager jusqu’à un certain point à titre volontaire et ne voient pas l’utilité des prescriptions légales ou des incitations financières. Il existe bel et bien des entreprises qui s’engagent concrètement; or, dans la pratique, l’efficacité des </w:t>
      </w:r>
      <w:r w:rsidRPr="00BF3CDE">
        <w:rPr>
          <w:b/>
          <w:bCs/>
        </w:rPr>
        <w:t>engagements volontaires</w:t>
      </w:r>
      <w:r w:rsidRPr="00BF3CDE">
        <w:t xml:space="preserve"> est globalement peu perceptible. La disponibilité des employeurs à e</w:t>
      </w:r>
      <w:r>
        <w:t>mbaucher</w:t>
      </w:r>
      <w:r w:rsidRPr="00BF3CDE">
        <w:t xml:space="preserve"> </w:t>
      </w:r>
      <w:r w:rsidRPr="00F31454">
        <w:rPr>
          <w:b/>
          <w:iCs/>
        </w:rPr>
        <w:t>nouvellement</w:t>
      </w:r>
      <w:r w:rsidRPr="00BF3CDE">
        <w:t xml:space="preserve"> des PH est particulièrement faible.</w:t>
      </w:r>
      <w:r w:rsidRPr="00BF3CDE">
        <w:rPr>
          <w:vertAlign w:val="superscript"/>
        </w:rPr>
        <w:footnoteReference w:id="268"/>
      </w:r>
      <w:r w:rsidRPr="00BF3CDE">
        <w:t xml:space="preserve"> Des professionnels font état de la manière dont les </w:t>
      </w:r>
      <w:r w:rsidRPr="00BF3CDE">
        <w:rPr>
          <w:b/>
          <w:bCs/>
        </w:rPr>
        <w:t>emplois inclusifs ont été continuellement réduits</w:t>
      </w:r>
      <w:r w:rsidRPr="00BF3CDE">
        <w:t>. L’administration fédérale, quant à elle, a augmenté son objectif 2020</w:t>
      </w:r>
      <w:r w:rsidR="0032502A">
        <w:t xml:space="preserve"> en ce qui concerne l’embauche de personnes handicapées</w:t>
      </w:r>
      <w:r w:rsidRPr="00BF3CDE">
        <w:t>, qui est déjà modeste, de 1.5 à 2.5%, mais sans pour autant l’atteindre.</w:t>
      </w:r>
      <w:r w:rsidRPr="00BF3CDE">
        <w:rPr>
          <w:rFonts w:eastAsia="Cambria" w:cs="Times New Roman"/>
          <w:vertAlign w:val="superscript"/>
        </w:rPr>
        <w:footnoteReference w:id="269"/>
      </w:r>
      <w:r w:rsidRPr="00BF3CDE">
        <w:t xml:space="preserve"> Le programme «Égalité et travail» du BFEH mise sur l’information des entreprises </w:t>
      </w:r>
      <w:r>
        <w:t>concernant les</w:t>
      </w:r>
      <w:r w:rsidRPr="00BF3CDE">
        <w:t xml:space="preserve"> mesures pour favoriser l’égalité/l’intégration ainsi que sur leur mise en œuvre volontaire, entre autres par l’attribution de labels privés (l’attribution par l’État a été refusée).</w:t>
      </w:r>
      <w:r w:rsidRPr="00BF3CDE">
        <w:rPr>
          <w:vertAlign w:val="superscript"/>
        </w:rPr>
        <w:footnoteReference w:id="270"/>
      </w:r>
      <w:r w:rsidRPr="00BF3CDE">
        <w:t xml:space="preserve"> </w:t>
      </w:r>
    </w:p>
    <w:p w14:paraId="09E8A8EC" w14:textId="68DE2A17" w:rsidR="00B30BCF" w:rsidRPr="00F756DE" w:rsidRDefault="001527A4" w:rsidP="001527A4">
      <w:pPr>
        <w:pStyle w:val="BodyText"/>
      </w:pPr>
      <w:r w:rsidRPr="00BF3CDE">
        <w:t xml:space="preserve">Enfin, un obstacle structurel supplémentaire réside dans la </w:t>
      </w:r>
      <w:r w:rsidRPr="00BF3CDE">
        <w:rPr>
          <w:b/>
          <w:bCs/>
        </w:rPr>
        <w:t>protection insuffisante contre la discrimination</w:t>
      </w:r>
      <w:r w:rsidRPr="00BF3CDE">
        <w:t xml:space="preserve"> des PH dans la vie professionnelle (LoI para. 21b). </w:t>
      </w:r>
    </w:p>
    <w:p w14:paraId="3DA50D26" w14:textId="07C65B77" w:rsidR="0017517D" w:rsidRDefault="00680FC7" w:rsidP="00F31454">
      <w:pPr>
        <w:pStyle w:val="BodyText"/>
        <w:shd w:val="clear" w:color="auto" w:fill="D9D9D9" w:themeFill="background1" w:themeFillShade="D9"/>
        <w:ind w:left="709"/>
      </w:pPr>
      <w:r w:rsidRPr="00680FC7">
        <w:t>L’interdiction de la discrimination au sens de la LHand n’est pas applicable – contrairement à celle de la LEg – aux rapp</w:t>
      </w:r>
      <w:r>
        <w:t>orts de travail de droit privé</w:t>
      </w:r>
      <w:r w:rsidR="0017517D" w:rsidRPr="00F756DE">
        <w:t>.</w:t>
      </w:r>
    </w:p>
    <w:p w14:paraId="1DD4C38F" w14:textId="75D7780B" w:rsidR="00141397" w:rsidRDefault="00141397" w:rsidP="001527A4">
      <w:pPr>
        <w:pStyle w:val="BodyText"/>
      </w:pPr>
      <w:r w:rsidRPr="00141397">
        <w:t xml:space="preserve">Comme indiqué </w:t>
      </w:r>
      <w:r>
        <w:t>en lien avec l’art. 5</w:t>
      </w:r>
      <w:r w:rsidRPr="00141397">
        <w:t xml:space="preserve"> CDPH, le Conseil fédéral a reconnu dans un rapport de postulat de 2016 la nécessité d</w:t>
      </w:r>
      <w:r>
        <w:t>’</w:t>
      </w:r>
      <w:r w:rsidRPr="00141397">
        <w:t xml:space="preserve">agir en matière de protection contre la discrimination par des particuliers, y compris dans la vie professionnelle. Dans le cadre du programme </w:t>
      </w:r>
      <w:r>
        <w:t>« </w:t>
      </w:r>
      <w:r w:rsidRPr="00141397">
        <w:t>Égalité et travail</w:t>
      </w:r>
      <w:r>
        <w:t> »</w:t>
      </w:r>
      <w:r w:rsidRPr="00141397">
        <w:t>, ce même rapport du Conseil fédéral a toutefois été utilisé pour justifier le fait qu</w:t>
      </w:r>
      <w:r>
        <w:t>’</w:t>
      </w:r>
      <w:r w:rsidRPr="00141397">
        <w:t>une extension de la protection juridique n</w:t>
      </w:r>
      <w:r>
        <w:t>’</w:t>
      </w:r>
      <w:r w:rsidRPr="00141397">
        <w:t xml:space="preserve">était </w:t>
      </w:r>
      <w:r>
        <w:t>« </w:t>
      </w:r>
      <w:r w:rsidRPr="00141397">
        <w:t>pas prioritaire ».</w:t>
      </w:r>
      <w:r w:rsidRPr="00141397">
        <w:rPr>
          <w:rStyle w:val="FootnoteReference"/>
          <w:lang w:val="de-CH"/>
        </w:rPr>
        <w:footnoteReference w:id="271"/>
      </w:r>
    </w:p>
    <w:p w14:paraId="5A344510" w14:textId="05C52572" w:rsidR="005A404C" w:rsidRDefault="001527A4" w:rsidP="001527A4">
      <w:pPr>
        <w:pStyle w:val="BodyText"/>
        <w:rPr>
          <w:lang w:eastAsia="de-CH"/>
        </w:rPr>
      </w:pPr>
      <w:r w:rsidRPr="00BF3CDE">
        <w:t xml:space="preserve">Les dispositions de droit privé mentionnées dans le para. 70 de la réponse à la LoI ont jusqu’à ce jour été invoquées majoritairement sans succès par les PH. Elles ne disposent en effet pas de moyens de recours efficaces contre les discriminations dans la procédure de candidature, lors de </w:t>
      </w:r>
      <w:r w:rsidRPr="001527A4">
        <w:t>l’engagement</w:t>
      </w:r>
      <w:r w:rsidRPr="00BF3CDE">
        <w:rPr>
          <w:lang w:eastAsia="de-CH"/>
        </w:rPr>
        <w:t>, durant le rapport de travail et lors de sa résiliation</w:t>
      </w:r>
      <w:r w:rsidRPr="00BF3CDE">
        <w:rPr>
          <w:rFonts w:eastAsia="Cambria" w:cs="Times New Roman"/>
          <w:vertAlign w:val="superscript"/>
          <w:lang w:eastAsia="de-CH"/>
        </w:rPr>
        <w:footnoteReference w:id="272"/>
      </w:r>
      <w:r w:rsidRPr="00BF3CDE">
        <w:rPr>
          <w:lang w:eastAsia="de-CH"/>
        </w:rPr>
        <w:t xml:space="preserve"> - en particulier aussi sous forme d’un </w:t>
      </w:r>
      <w:r w:rsidRPr="00BF3CDE">
        <w:rPr>
          <w:b/>
          <w:bCs/>
          <w:lang w:eastAsia="de-CH"/>
        </w:rPr>
        <w:t>refus de mesures adéquates</w:t>
      </w:r>
      <w:r w:rsidRPr="00BF3CDE">
        <w:rPr>
          <w:lang w:eastAsia="de-CH"/>
        </w:rPr>
        <w:t>. Le degré de satisfaction des PH au poste de travail était nettement inférieur en 201</w:t>
      </w:r>
      <w:r w:rsidR="005A404C">
        <w:rPr>
          <w:lang w:eastAsia="de-CH"/>
        </w:rPr>
        <w:t>9</w:t>
      </w:r>
      <w:r w:rsidRPr="00BF3CDE">
        <w:rPr>
          <w:lang w:eastAsia="de-CH"/>
        </w:rPr>
        <w:t xml:space="preserve"> à celui des PnH. Les PH étaient davantage confrontées à des inégalités ou de la violence</w:t>
      </w:r>
      <w:r w:rsidRPr="00BF3CDE">
        <w:rPr>
          <w:rFonts w:eastAsia="Cambria" w:cs="Times New Roman"/>
          <w:vertAlign w:val="superscript"/>
          <w:lang w:eastAsia="de-CH"/>
        </w:rPr>
        <w:footnoteReference w:id="273"/>
      </w:r>
      <w:r w:rsidRPr="00BF3CDE">
        <w:rPr>
          <w:lang w:eastAsia="de-CH"/>
        </w:rPr>
        <w:t xml:space="preserve"> et, en 2014, elles travaillaient plus rarement à plein temps et </w:t>
      </w:r>
      <w:r>
        <w:rPr>
          <w:lang w:eastAsia="de-CH"/>
        </w:rPr>
        <w:t>dans des postes supérieurs</w:t>
      </w:r>
      <w:r w:rsidRPr="00BF3CDE">
        <w:rPr>
          <w:lang w:eastAsia="de-CH"/>
        </w:rPr>
        <w:t>, mais plus souvent dans des situations de travail précaires.</w:t>
      </w:r>
      <w:r w:rsidRPr="00BF3CDE">
        <w:rPr>
          <w:rFonts w:eastAsia="Cambria" w:cs="Times New Roman"/>
          <w:vertAlign w:val="superscript"/>
          <w:lang w:eastAsia="de-CH"/>
        </w:rPr>
        <w:footnoteReference w:id="274"/>
      </w:r>
      <w:r w:rsidRPr="00BF3CDE">
        <w:rPr>
          <w:lang w:eastAsia="de-CH"/>
        </w:rPr>
        <w:t xml:space="preserve"> </w:t>
      </w:r>
    </w:p>
    <w:p w14:paraId="7FF6331B" w14:textId="77777777" w:rsidR="00680FC7" w:rsidRPr="00BF3CDE" w:rsidRDefault="00680FC7" w:rsidP="00680FC7">
      <w:pPr>
        <w:pStyle w:val="Subtitle"/>
        <w:rPr>
          <w:rFonts w:eastAsia="Times New Roman"/>
        </w:rPr>
      </w:pPr>
      <w:r w:rsidRPr="00BF3CDE">
        <w:rPr>
          <w:rFonts w:eastAsia="Times New Roman"/>
        </w:rPr>
        <w:t>Insuffisance des mesures de soutien individuelles</w:t>
      </w:r>
    </w:p>
    <w:p w14:paraId="374A7070" w14:textId="05F006FC" w:rsidR="001527A4" w:rsidRPr="00BF3CDE" w:rsidRDefault="00CF2A08" w:rsidP="001527A4">
      <w:pPr>
        <w:pStyle w:val="BodyText"/>
        <w:rPr>
          <w:lang w:eastAsia="de-CH"/>
        </w:rPr>
      </w:pPr>
      <w:r>
        <w:rPr>
          <w:lang w:eastAsia="de-CH"/>
        </w:rPr>
        <w:t xml:space="preserve">Dans les cas de nouvelles réadaptations, les conditions d’octroi sont définies </w:t>
      </w:r>
      <w:r w:rsidRPr="00BF3CDE">
        <w:rPr>
          <w:lang w:eastAsia="de-CH"/>
        </w:rPr>
        <w:t>de manière étroite dans la loi</w:t>
      </w:r>
      <w:r>
        <w:rPr>
          <w:lang w:eastAsia="de-CH"/>
        </w:rPr>
        <w:t>,</w:t>
      </w:r>
      <w:r w:rsidRPr="00BF3CDE">
        <w:rPr>
          <w:lang w:eastAsia="de-CH"/>
        </w:rPr>
        <w:t xml:space="preserve"> de même que dans les directives d’application de l’OFAS</w:t>
      </w:r>
      <w:r>
        <w:rPr>
          <w:lang w:eastAsia="de-CH"/>
        </w:rPr>
        <w:t>. A</w:t>
      </w:r>
      <w:r w:rsidRPr="00BF3CDE">
        <w:rPr>
          <w:lang w:eastAsia="de-CH"/>
        </w:rPr>
        <w:t xml:space="preserve">u niveau des mesures de réadaptation et de soutien </w:t>
      </w:r>
      <w:r w:rsidRPr="00BF3CDE">
        <w:rPr>
          <w:b/>
          <w:bCs/>
          <w:lang w:eastAsia="de-CH"/>
        </w:rPr>
        <w:t>de l’AI</w:t>
      </w:r>
      <w:r w:rsidRPr="00BF3CDE">
        <w:rPr>
          <w:lang w:eastAsia="de-CH"/>
        </w:rPr>
        <w:t xml:space="preserve"> </w:t>
      </w:r>
      <w:r>
        <w:rPr>
          <w:lang w:eastAsia="de-CH"/>
        </w:rPr>
        <w:t xml:space="preserve">en général, les </w:t>
      </w:r>
      <w:r w:rsidR="001527A4" w:rsidRPr="00BF3CDE">
        <w:rPr>
          <w:lang w:eastAsia="de-CH"/>
        </w:rPr>
        <w:t>lacunes suivantes subsistent dans la LAI révisée:</w:t>
      </w:r>
    </w:p>
    <w:p w14:paraId="4663D5A0" w14:textId="0CF81FA5"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 xml:space="preserve">grandes différences cantonales lors de </w:t>
      </w:r>
      <w:r w:rsidR="00CF2A08">
        <w:t>l’octroi</w:t>
      </w:r>
      <w:r w:rsidRPr="00BF3CDE">
        <w:t xml:space="preserve"> </w:t>
      </w:r>
    </w:p>
    <w:p w14:paraId="7F0727FF" w14:textId="77777777"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plafonds de coûts / contingentement des moyens auxiliaires/prestations</w:t>
      </w:r>
    </w:p>
    <w:p w14:paraId="50966FC6" w14:textId="77777777"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contribution d’assistance dans le quotidien professionnel: faibles montants, accès difficile (art. 19 CDPH)</w:t>
      </w:r>
    </w:p>
    <w:p w14:paraId="364AEECC" w14:textId="77777777"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pas de job coaching à long terme / conseil et accompagnement (max. 3 ans</w:t>
      </w:r>
      <w:r w:rsidRPr="00BF3CDE">
        <w:rPr>
          <w:rFonts w:eastAsia="Cambria" w:cs="Times New Roman"/>
          <w:vertAlign w:val="superscript"/>
        </w:rPr>
        <w:footnoteReference w:id="275"/>
      </w:r>
      <w:r w:rsidRPr="00BF3CDE">
        <w:t>)</w:t>
      </w:r>
    </w:p>
    <w:p w14:paraId="73B7E937" w14:textId="77777777"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 xml:space="preserve">reclassements insuffisants et stéréotypés, pratiquement pas de formations continues </w:t>
      </w:r>
    </w:p>
    <w:p w14:paraId="717ACC67" w14:textId="77777777" w:rsidR="001527A4" w:rsidRPr="00BF3CDE" w:rsidRDefault="001527A4" w:rsidP="00FC734F">
      <w:pPr>
        <w:pStyle w:val="BodyText"/>
        <w:numPr>
          <w:ilvl w:val="0"/>
          <w:numId w:val="20"/>
        </w:numPr>
        <w:rPr>
          <w:rFonts w:ascii="Helvetica" w:hAnsi="Helvetica" w:cs="Helvetica"/>
          <w:color w:val="000000"/>
          <w:shd w:val="clear" w:color="auto" w:fill="FFFFFF"/>
        </w:rPr>
      </w:pPr>
      <w:r w:rsidRPr="00BF3CDE">
        <w:t xml:space="preserve">manque de soutien actif et à long terme des personnes en recherche d’emploi </w:t>
      </w:r>
    </w:p>
    <w:p w14:paraId="0F007B24" w14:textId="32876078" w:rsidR="001527A4" w:rsidRPr="00BF3CDE" w:rsidRDefault="003563CB" w:rsidP="00FC734F">
      <w:pPr>
        <w:pStyle w:val="BodyText"/>
        <w:numPr>
          <w:ilvl w:val="0"/>
          <w:numId w:val="20"/>
        </w:numPr>
        <w:rPr>
          <w:rFonts w:ascii="Helvetica" w:hAnsi="Helvetica" w:cs="Helvetica"/>
          <w:color w:val="000000"/>
          <w:shd w:val="clear" w:color="auto" w:fill="FFFFFF"/>
        </w:rPr>
      </w:pPr>
      <w:r w:rsidRPr="003563CB">
        <w:t>pas de subventions salariales aux employeurs pour compenser une augmentation du temps de travail effectif due à un handicap</w:t>
      </w:r>
      <w:r w:rsidR="00A27389">
        <w:t>.</w:t>
      </w:r>
      <w:r>
        <w:rPr>
          <w:rStyle w:val="FootnoteReference"/>
        </w:rPr>
        <w:footnoteReference w:id="276"/>
      </w:r>
    </w:p>
    <w:p w14:paraId="23139DE1" w14:textId="7524D0E4" w:rsidR="00B30BCF" w:rsidRPr="00F756DE" w:rsidRDefault="001527A4" w:rsidP="001527A4">
      <w:pPr>
        <w:pStyle w:val="BodyText"/>
        <w:rPr>
          <w:lang w:eastAsia="de-CH"/>
        </w:rPr>
      </w:pPr>
      <w:r w:rsidRPr="00BF3CDE">
        <w:rPr>
          <w:lang w:eastAsia="de-CH"/>
        </w:rPr>
        <w:t xml:space="preserve">Des restrictions analogues à celles pratiquées dans le domaine du logement s’appliquent aux </w:t>
      </w:r>
      <w:r w:rsidRPr="00BF3CDE">
        <w:rPr>
          <w:b/>
          <w:lang w:eastAsia="de-CH"/>
        </w:rPr>
        <w:t>contributions de soutien cantonales</w:t>
      </w:r>
      <w:r w:rsidRPr="00BF3CDE">
        <w:rPr>
          <w:lang w:eastAsia="de-CH"/>
        </w:rPr>
        <w:t xml:space="preserve"> dans le domaine du travail. Leurs montants sont en outre faibles – de même que la contribution d’assistance de l’AI.</w:t>
      </w:r>
    </w:p>
    <w:p w14:paraId="429C7902" w14:textId="77777777" w:rsidR="00680FC7" w:rsidRPr="00BF3CDE" w:rsidRDefault="00680FC7" w:rsidP="00680FC7">
      <w:pPr>
        <w:pStyle w:val="Subtitle"/>
        <w:rPr>
          <w:rFonts w:eastAsia="Times New Roman"/>
          <w:lang w:eastAsia="de-CH"/>
        </w:rPr>
      </w:pPr>
      <w:r w:rsidRPr="00BF3CDE">
        <w:rPr>
          <w:rFonts w:eastAsia="Times New Roman"/>
          <w:lang w:eastAsia="de-CH"/>
        </w:rPr>
        <w:t>Femmes en situation de handicap (LoI para. 21.d)</w:t>
      </w:r>
    </w:p>
    <w:p w14:paraId="4C61F538" w14:textId="65D495B4" w:rsidR="001527A4" w:rsidRPr="00BF3CDE" w:rsidRDefault="0022423C" w:rsidP="001527A4">
      <w:pPr>
        <w:pStyle w:val="BodyText"/>
        <w:rPr>
          <w:lang w:eastAsia="de-CH"/>
        </w:rPr>
      </w:pPr>
      <w:r w:rsidRPr="0022423C">
        <w:rPr>
          <w:lang w:eastAsia="de-CH"/>
        </w:rPr>
        <w:t xml:space="preserve">La proportion de personnes vivant dans des ménages privés qui participent au </w:t>
      </w:r>
      <w:r w:rsidRPr="00480CCA">
        <w:rPr>
          <w:b/>
          <w:lang w:eastAsia="de-CH"/>
        </w:rPr>
        <w:t>marché du travail</w:t>
      </w:r>
      <w:r w:rsidRPr="0022423C">
        <w:rPr>
          <w:lang w:eastAsia="de-CH"/>
        </w:rPr>
        <w:t xml:space="preserve"> est </w:t>
      </w:r>
      <w:r w:rsidRPr="00480CCA">
        <w:rPr>
          <w:b/>
          <w:lang w:eastAsia="de-CH"/>
        </w:rPr>
        <w:t>nettement plus faible</w:t>
      </w:r>
      <w:r w:rsidRPr="0022423C">
        <w:rPr>
          <w:lang w:eastAsia="de-CH"/>
        </w:rPr>
        <w:t xml:space="preserve"> chez les femmes </w:t>
      </w:r>
      <w:r w:rsidR="0012544C">
        <w:rPr>
          <w:lang w:eastAsia="de-CH"/>
        </w:rPr>
        <w:t>en situation de handicap</w:t>
      </w:r>
      <w:r w:rsidRPr="0022423C">
        <w:rPr>
          <w:lang w:eastAsia="de-CH"/>
        </w:rPr>
        <w:t xml:space="preserve"> que chez les hommes </w:t>
      </w:r>
      <w:r w:rsidR="0012544C">
        <w:rPr>
          <w:lang w:eastAsia="de-CH"/>
        </w:rPr>
        <w:t>en situation de handicap</w:t>
      </w:r>
      <w:r w:rsidRPr="0022423C">
        <w:rPr>
          <w:lang w:eastAsia="de-CH"/>
        </w:rPr>
        <w:t xml:space="preserve"> et les femmes non handicapées.</w:t>
      </w:r>
      <w:r w:rsidR="001527A4" w:rsidRPr="00BF3CDE">
        <w:rPr>
          <w:rFonts w:eastAsia="Calibri" w:cs="Times New Roman"/>
          <w:vertAlign w:val="superscript"/>
          <w:lang w:eastAsia="de-CH"/>
        </w:rPr>
        <w:footnoteReference w:id="277"/>
      </w:r>
      <w:r w:rsidR="001527A4" w:rsidRPr="00BF3CDE">
        <w:rPr>
          <w:lang w:eastAsia="de-CH"/>
        </w:rPr>
        <w:t xml:space="preserve"> Par rapport au travail à plein temps</w:t>
      </w:r>
      <w:r w:rsidR="001527A4" w:rsidRPr="00BF3CDE">
        <w:rPr>
          <w:rFonts w:eastAsia="MS Gothic" w:cs="Times New Roman"/>
          <w:vertAlign w:val="superscript"/>
          <w:lang w:eastAsia="de-CH"/>
        </w:rPr>
        <w:footnoteReference w:id="278"/>
      </w:r>
      <w:r w:rsidR="001527A4" w:rsidRPr="00BF3CDE">
        <w:rPr>
          <w:lang w:eastAsia="de-CH"/>
        </w:rPr>
        <w:t xml:space="preserve"> et aux postes avec supervision, </w:t>
      </w:r>
      <w:r w:rsidR="001527A4">
        <w:rPr>
          <w:lang w:eastAsia="de-CH"/>
        </w:rPr>
        <w:t xml:space="preserve">aux </w:t>
      </w:r>
      <w:r w:rsidR="001527A4" w:rsidRPr="00BF3CDE">
        <w:rPr>
          <w:lang w:eastAsia="de-CH"/>
        </w:rPr>
        <w:t>conditions de travail précaires</w:t>
      </w:r>
      <w:r w:rsidR="001527A4" w:rsidRPr="00BF3CDE">
        <w:rPr>
          <w:rFonts w:eastAsia="Cambria" w:cs="Times New Roman"/>
          <w:vertAlign w:val="superscript"/>
          <w:lang w:eastAsia="de-CH"/>
        </w:rPr>
        <w:footnoteReference w:id="279"/>
      </w:r>
      <w:r w:rsidR="001527A4" w:rsidRPr="00BF3CDE">
        <w:rPr>
          <w:lang w:eastAsia="de-CH"/>
        </w:rPr>
        <w:t xml:space="preserve"> ainsi qu’à la discrimination/violence au travail</w:t>
      </w:r>
      <w:r w:rsidR="001527A4" w:rsidRPr="00BF3CDE">
        <w:rPr>
          <w:rFonts w:eastAsia="Calibri" w:cs="Times New Roman"/>
          <w:vertAlign w:val="superscript"/>
          <w:lang w:eastAsia="de-CH"/>
        </w:rPr>
        <w:footnoteReference w:id="280"/>
      </w:r>
      <w:r w:rsidR="001527A4" w:rsidRPr="00BF3CDE">
        <w:rPr>
          <w:lang w:eastAsia="de-CH"/>
        </w:rPr>
        <w:t xml:space="preserve">, les femmes </w:t>
      </w:r>
      <w:r w:rsidR="0012544C">
        <w:rPr>
          <w:lang w:eastAsia="de-CH"/>
        </w:rPr>
        <w:t>en situation de handicap</w:t>
      </w:r>
      <w:r w:rsidR="001527A4" w:rsidRPr="00BF3CDE">
        <w:rPr>
          <w:lang w:eastAsia="de-CH"/>
        </w:rPr>
        <w:t xml:space="preserve"> sont </w:t>
      </w:r>
      <w:r w:rsidR="001527A4">
        <w:rPr>
          <w:lang w:eastAsia="de-CH"/>
        </w:rPr>
        <w:t xml:space="preserve">là aussi </w:t>
      </w:r>
      <w:r w:rsidR="001527A4" w:rsidRPr="00BF3CDE">
        <w:rPr>
          <w:lang w:eastAsia="de-CH"/>
        </w:rPr>
        <w:t>comparativement les moins bien loties. Les bas salaires et le travail à temps partiel entraînent des inégalités au niveau de la prévoyance professionnelle.</w:t>
      </w:r>
      <w:r w:rsidR="001527A4" w:rsidRPr="00BF3CDE">
        <w:rPr>
          <w:rFonts w:eastAsia="Calibri" w:cs="Times New Roman"/>
          <w:vertAlign w:val="superscript"/>
          <w:lang w:eastAsia="de-CH"/>
        </w:rPr>
        <w:footnoteReference w:id="281"/>
      </w:r>
      <w:r w:rsidR="001527A4" w:rsidRPr="00BF3CDE">
        <w:rPr>
          <w:lang w:eastAsia="de-CH"/>
        </w:rPr>
        <w:t xml:space="preserve"> </w:t>
      </w:r>
    </w:p>
    <w:p w14:paraId="65093896" w14:textId="68C59CB0" w:rsidR="001527A4" w:rsidRPr="00BF3CDE" w:rsidRDefault="001527A4" w:rsidP="001527A4">
      <w:pPr>
        <w:pStyle w:val="BodyText"/>
        <w:rPr>
          <w:lang w:eastAsia="de-CH"/>
        </w:rPr>
      </w:pPr>
      <w:r w:rsidRPr="00BF3CDE">
        <w:rPr>
          <w:lang w:eastAsia="de-CH"/>
        </w:rPr>
        <w:t>Malgré le nombre supérieur de femmes parmi les PH en âge d’exercer une activité lucrative</w:t>
      </w:r>
      <w:r w:rsidRPr="00BF3CDE">
        <w:rPr>
          <w:rFonts w:eastAsia="Cambria" w:cs="Times New Roman"/>
          <w:vertAlign w:val="superscript"/>
          <w:lang w:eastAsia="de-CH"/>
        </w:rPr>
        <w:footnoteReference w:id="282"/>
      </w:r>
      <w:r w:rsidRPr="00BF3CDE">
        <w:rPr>
          <w:lang w:eastAsia="de-CH"/>
        </w:rPr>
        <w:t xml:space="preserve"> et malgré un besoin impératif de mesures</w:t>
      </w:r>
      <w:r w:rsidRPr="00BF3CDE">
        <w:rPr>
          <w:rFonts w:eastAsia="Calibri" w:cs="Times New Roman"/>
          <w:vertAlign w:val="superscript"/>
          <w:lang w:eastAsia="de-CH"/>
        </w:rPr>
        <w:footnoteReference w:id="283"/>
      </w:r>
      <w:r w:rsidRPr="00BF3CDE">
        <w:rPr>
          <w:lang w:eastAsia="de-CH"/>
        </w:rPr>
        <w:t xml:space="preserve">, </w:t>
      </w:r>
      <w:r w:rsidR="00B74E6C" w:rsidRPr="00B74E6C">
        <w:rPr>
          <w:lang w:eastAsia="de-CH"/>
        </w:rPr>
        <w:t xml:space="preserve">les femmes ont reçu </w:t>
      </w:r>
      <w:r w:rsidR="00B74E6C" w:rsidRPr="00480CCA">
        <w:rPr>
          <w:b/>
          <w:lang w:eastAsia="de-CH"/>
        </w:rPr>
        <w:t>massivement moins de financement pour la formation professionnelle</w:t>
      </w:r>
      <w:r w:rsidR="00B74E6C" w:rsidRPr="00B74E6C">
        <w:rPr>
          <w:lang w:eastAsia="de-CH"/>
        </w:rPr>
        <w:t xml:space="preserve"> en 2018.</w:t>
      </w:r>
      <w:r w:rsidRPr="00BF3CDE">
        <w:rPr>
          <w:rFonts w:eastAsia="Calibri" w:cs="Times New Roman"/>
          <w:vertAlign w:val="superscript"/>
          <w:lang w:eastAsia="de-CH"/>
        </w:rPr>
        <w:footnoteReference w:id="284"/>
      </w:r>
      <w:r w:rsidRPr="00BF3CDE">
        <w:rPr>
          <w:lang w:eastAsia="de-CH"/>
        </w:rPr>
        <w:t xml:space="preserve"> Des statistiques </w:t>
      </w:r>
      <w:r>
        <w:rPr>
          <w:lang w:eastAsia="de-CH"/>
        </w:rPr>
        <w:t xml:space="preserve">suffisamment </w:t>
      </w:r>
      <w:r w:rsidRPr="00BF3CDE">
        <w:rPr>
          <w:lang w:eastAsia="de-CH"/>
        </w:rPr>
        <w:t xml:space="preserve">nuancées sur la participation au marché du travail des femmes ayant </w:t>
      </w:r>
      <w:r>
        <w:rPr>
          <w:lang w:eastAsia="de-CH"/>
        </w:rPr>
        <w:t>différents</w:t>
      </w:r>
      <w:r w:rsidRPr="00BF3CDE">
        <w:rPr>
          <w:lang w:eastAsia="de-CH"/>
        </w:rPr>
        <w:t xml:space="preserve"> handicaps font cependant défaut. Contrairement à l’invitation du Comité, la Suisse ne fournit, dans sa réponse à la LoI, aucune information sur les mesures de nouvelle réadaptation des femmes en situation de handicap (para. 73). </w:t>
      </w:r>
    </w:p>
    <w:p w14:paraId="07DB2B61" w14:textId="17F1616A" w:rsidR="00B30BCF" w:rsidRPr="00F756DE" w:rsidRDefault="001527A4" w:rsidP="00680FC7">
      <w:pPr>
        <w:pStyle w:val="BodyText"/>
        <w:rPr>
          <w:lang w:eastAsia="de-CH"/>
        </w:rPr>
      </w:pPr>
      <w:r w:rsidRPr="00BF3CDE">
        <w:rPr>
          <w:lang w:eastAsia="de-CH"/>
        </w:rPr>
        <w:t xml:space="preserve">La Suisse n’a pas répondu à la question portant sur des </w:t>
      </w:r>
      <w:r w:rsidRPr="00480CCA">
        <w:rPr>
          <w:b/>
          <w:lang w:eastAsia="de-CH"/>
        </w:rPr>
        <w:t>mesures ciblées visant à créer des possibilités de travail</w:t>
      </w:r>
      <w:r w:rsidRPr="00BF3CDE">
        <w:rPr>
          <w:lang w:eastAsia="de-CH"/>
        </w:rPr>
        <w:t xml:space="preserve"> pour les femmes </w:t>
      </w:r>
      <w:r w:rsidR="00FB3753">
        <w:rPr>
          <w:lang w:eastAsia="de-CH"/>
        </w:rPr>
        <w:t>en situation de handicap</w:t>
      </w:r>
      <w:r w:rsidRPr="00BF3CDE">
        <w:rPr>
          <w:lang w:eastAsia="de-CH"/>
        </w:rPr>
        <w:t xml:space="preserve"> au sens de la recommandation du CEDEF, vu qu’il n’en existe pas. Même les mesures envisagées il y a 20 ans en matière de recherche et de sensibilisation n’ont jamais été réalisées comme prévu.</w:t>
      </w:r>
      <w:r w:rsidRPr="00BF3CDE">
        <w:rPr>
          <w:rFonts w:eastAsia="MS Gothic" w:cs="Times New Roman"/>
          <w:vertAlign w:val="superscript"/>
          <w:lang w:eastAsia="de-CH"/>
        </w:rPr>
        <w:footnoteReference w:id="285"/>
      </w:r>
      <w:r w:rsidRPr="00BF3CDE">
        <w:rPr>
          <w:lang w:eastAsia="de-CH"/>
        </w:rPr>
        <w:t xml:space="preserve"> Seul le BFEH a financé un projet concernant la vision stéréotypée des professions et le choix professionnel autodéterminé des femmes </w:t>
      </w:r>
      <w:r w:rsidR="00012F8E">
        <w:rPr>
          <w:lang w:eastAsia="de-CH"/>
        </w:rPr>
        <w:t>en situation de handicap</w:t>
      </w:r>
      <w:r w:rsidRPr="00BF3CDE">
        <w:rPr>
          <w:lang w:eastAsia="de-CH"/>
        </w:rPr>
        <w:t>, mais il ne l’a pas autrement suivi.</w:t>
      </w:r>
      <w:r w:rsidRPr="00BF3CDE">
        <w:rPr>
          <w:rFonts w:eastAsia="Cambria" w:cs="Times New Roman"/>
          <w:vertAlign w:val="superscript"/>
          <w:lang w:eastAsia="de-CH"/>
        </w:rPr>
        <w:footnoteReference w:id="286"/>
      </w:r>
      <w:r w:rsidRPr="00BF3CDE">
        <w:rPr>
          <w:lang w:eastAsia="de-CH"/>
        </w:rPr>
        <w:t xml:space="preserve"> </w:t>
      </w:r>
    </w:p>
    <w:p w14:paraId="7E1BE00E" w14:textId="77777777" w:rsidR="00B30BCF" w:rsidRDefault="00680FC7" w:rsidP="00B30BCF">
      <w:pPr>
        <w:shd w:val="clear" w:color="auto" w:fill="FFFFCC"/>
        <w:rPr>
          <w:b/>
        </w:rPr>
      </w:pPr>
      <w:r>
        <w:rPr>
          <w:b/>
        </w:rPr>
        <w:t>Propositions de recommandations :</w:t>
      </w:r>
    </w:p>
    <w:p w14:paraId="179A52A2" w14:textId="52BA2532" w:rsidR="001527A4" w:rsidRPr="00BF3CDE" w:rsidRDefault="001527A4" w:rsidP="005201C8">
      <w:pPr>
        <w:pStyle w:val="SBEmpfehlungen"/>
      </w:pPr>
      <w:r w:rsidRPr="00BF3CDE">
        <w:t xml:space="preserve">Le </w:t>
      </w:r>
      <w:r w:rsidRPr="00FD3E6A">
        <w:rPr>
          <w:b/>
        </w:rPr>
        <w:t>BFEH, l’OFAS, la CDAS et le SECO</w:t>
      </w:r>
      <w:r w:rsidRPr="00BF3CDE">
        <w:t xml:space="preserve"> élaborent un </w:t>
      </w:r>
      <w:r w:rsidRPr="00FD3E6A">
        <w:rPr>
          <w:b/>
        </w:rPr>
        <w:t>plan d’action</w:t>
      </w:r>
      <w:r w:rsidRPr="00BF3CDE">
        <w:t xml:space="preserve"> pour le </w:t>
      </w:r>
      <w:r w:rsidRPr="00FD3E6A">
        <w:rPr>
          <w:b/>
        </w:rPr>
        <w:t>programme «Autonomie 2023-2026»</w:t>
      </w:r>
      <w:r w:rsidRPr="00BF3CDE">
        <w:t xml:space="preserve"> qui englobe les mesures actuellement les plus urgentes en vue du </w:t>
      </w:r>
      <w:r w:rsidRPr="00FD3E6A">
        <w:rPr>
          <w:b/>
        </w:rPr>
        <w:t>processus de transition du travail en milieu institutionnel vers le travail assisté sur le marché libre de l’emploi</w:t>
      </w:r>
      <w:r w:rsidR="005201C8">
        <w:t>. Ce plan d’action comprend</w:t>
      </w:r>
      <w:r w:rsidRPr="00BF3CDE">
        <w:t xml:space="preserve"> le remplacement de la LIPPI par une loi qui assure cette transformation systémique</w:t>
      </w:r>
      <w:r w:rsidR="005201C8">
        <w:t xml:space="preserve"> </w:t>
      </w:r>
      <w:r w:rsidR="005201C8" w:rsidRPr="005201C8">
        <w:t>ainsi qu</w:t>
      </w:r>
      <w:r w:rsidR="005201C8">
        <w:t>’</w:t>
      </w:r>
      <w:r w:rsidR="005201C8" w:rsidRPr="005201C8">
        <w:t>un plan de désenchevêtrement de la répartition des tâches entre la Confédération et les cantons dans le domaine ambulatoire</w:t>
      </w:r>
      <w:r w:rsidR="005201C8">
        <w:t xml:space="preserve">. L’élaboration </w:t>
      </w:r>
      <w:r w:rsidR="00E8591C">
        <w:t>du plan d’action est</w:t>
      </w:r>
      <w:r w:rsidR="005201C8" w:rsidRPr="00BF3CDE">
        <w:t xml:space="preserve"> accompagné</w:t>
      </w:r>
      <w:r w:rsidR="00E8591C">
        <w:t>e</w:t>
      </w:r>
      <w:r w:rsidR="005201C8" w:rsidRPr="00BF3CDE">
        <w:t xml:space="preserve"> par des expertes et experts internationaux</w:t>
      </w:r>
      <w:r w:rsidR="00E8591C">
        <w:t xml:space="preserve">. Les </w:t>
      </w:r>
      <w:r w:rsidR="005201C8" w:rsidRPr="00BF3CDE">
        <w:t>PH et leurs organisations</w:t>
      </w:r>
      <w:r w:rsidR="00E8591C">
        <w:t xml:space="preserve"> y sont associées systématiquement.</w:t>
      </w:r>
    </w:p>
    <w:p w14:paraId="1660D5A3" w14:textId="77777777" w:rsidR="001527A4" w:rsidRPr="00BF3CDE" w:rsidRDefault="001527A4" w:rsidP="001527A4">
      <w:pPr>
        <w:pStyle w:val="SBEmpfehlungen"/>
      </w:pPr>
      <w:r w:rsidRPr="00BF3CDE">
        <w:t xml:space="preserve">Dans une </w:t>
      </w:r>
      <w:r w:rsidRPr="00BF3CDE">
        <w:rPr>
          <w:b/>
          <w:bCs/>
        </w:rPr>
        <w:t>deuxième phase du programme «Égalité et travail»</w:t>
      </w:r>
      <w:r w:rsidRPr="00BF3CDE">
        <w:t xml:space="preserve">, le </w:t>
      </w:r>
      <w:r w:rsidRPr="00BF3CDE">
        <w:rPr>
          <w:b/>
          <w:bCs/>
        </w:rPr>
        <w:t>BFEH</w:t>
      </w:r>
      <w:r w:rsidRPr="00BF3CDE">
        <w:t xml:space="preserve"> se consacre à l’objectif visant à </w:t>
      </w:r>
      <w:r w:rsidRPr="00BF3CDE">
        <w:rPr>
          <w:b/>
          <w:bCs/>
        </w:rPr>
        <w:t>introduire, au niveau national, des quotas/objectifs contraignants à destination des employeurs privés en vue de l’</w:t>
      </w:r>
      <w:r>
        <w:rPr>
          <w:b/>
          <w:bCs/>
        </w:rPr>
        <w:t>embauche</w:t>
      </w:r>
      <w:r w:rsidRPr="00BF3CDE">
        <w:rPr>
          <w:b/>
          <w:bCs/>
        </w:rPr>
        <w:t xml:space="preserve"> de PH et de la création de postes pour PH, </w:t>
      </w:r>
      <w:r w:rsidRPr="00FD3E6A">
        <w:rPr>
          <w:bCs/>
        </w:rPr>
        <w:t>ainsi qu’à</w:t>
      </w:r>
      <w:r w:rsidRPr="00BF3CDE">
        <w:rPr>
          <w:b/>
          <w:bCs/>
        </w:rPr>
        <w:t xml:space="preserve"> élargir le champ d’application de la LHand aux rapports de travail de droit privé</w:t>
      </w:r>
      <w:r w:rsidRPr="00BF3CDE">
        <w:t>.</w:t>
      </w:r>
    </w:p>
    <w:p w14:paraId="1BF09E51" w14:textId="6CAE6D9A" w:rsidR="001527A4" w:rsidRPr="00BF3CDE" w:rsidRDefault="001527A4" w:rsidP="001527A4">
      <w:pPr>
        <w:pStyle w:val="SBEmpfehlungen"/>
      </w:pPr>
      <w:r w:rsidRPr="00BF3CDE">
        <w:t xml:space="preserve">Le </w:t>
      </w:r>
      <w:r w:rsidRPr="00BF3CDE">
        <w:rPr>
          <w:b/>
          <w:bCs/>
        </w:rPr>
        <w:t>BFEH, l’OFAS, la CDAS et le SECO</w:t>
      </w:r>
      <w:r w:rsidRPr="00BF3CDE">
        <w:t xml:space="preserve"> introduisent, conjointement avec le </w:t>
      </w:r>
      <w:r w:rsidRPr="00BF3CDE">
        <w:rPr>
          <w:b/>
          <w:bCs/>
        </w:rPr>
        <w:t>BFEG</w:t>
      </w:r>
      <w:r w:rsidRPr="00BF3CDE">
        <w:t xml:space="preserve">, des mesures ciblées et vérifiables dans la perspective d’une </w:t>
      </w:r>
      <w:r w:rsidRPr="00BB1ECF">
        <w:rPr>
          <w:b/>
          <w:bCs/>
        </w:rPr>
        <w:t>«</w:t>
      </w:r>
      <w:r w:rsidRPr="00BB1ECF">
        <w:rPr>
          <w:b/>
          <w:bCs/>
          <w:iCs/>
        </w:rPr>
        <w:t>a</w:t>
      </w:r>
      <w:r w:rsidRPr="00BF3CDE">
        <w:rPr>
          <w:b/>
          <w:bCs/>
          <w:iCs/>
        </w:rPr>
        <w:t>ction affirmative</w:t>
      </w:r>
      <w:r>
        <w:rPr>
          <w:b/>
          <w:bCs/>
          <w:iCs/>
        </w:rPr>
        <w:t>»</w:t>
      </w:r>
      <w:r w:rsidRPr="00BF3CDE">
        <w:t xml:space="preserve"> visant à permettre aux </w:t>
      </w:r>
      <w:r w:rsidRPr="00BF3CDE">
        <w:rPr>
          <w:b/>
          <w:bCs/>
        </w:rPr>
        <w:t xml:space="preserve">femmes </w:t>
      </w:r>
      <w:r w:rsidR="00EB3ED8">
        <w:rPr>
          <w:b/>
          <w:bCs/>
        </w:rPr>
        <w:t>en situation de handicap</w:t>
      </w:r>
      <w:r w:rsidRPr="00BF3CDE">
        <w:t xml:space="preserve"> d’accéder à un travail rémunéré de façon appropriée sur le marché libre de l’emploi.</w:t>
      </w:r>
    </w:p>
    <w:p w14:paraId="78F64391" w14:textId="719ABC64" w:rsidR="001527A4" w:rsidRPr="00BF3CDE" w:rsidRDefault="001527A4" w:rsidP="001527A4">
      <w:pPr>
        <w:pStyle w:val="SBEmpfehlungen"/>
      </w:pPr>
      <w:r w:rsidRPr="00BF3CDE">
        <w:t xml:space="preserve">Sous la </w:t>
      </w:r>
      <w:r w:rsidRPr="00BF3CDE">
        <w:rPr>
          <w:b/>
          <w:bCs/>
        </w:rPr>
        <w:t>conduite de la CDAS</w:t>
      </w:r>
      <w:r w:rsidRPr="00BF3CDE">
        <w:t xml:space="preserve">, les </w:t>
      </w:r>
      <w:r w:rsidRPr="00BF3CDE">
        <w:rPr>
          <w:b/>
          <w:bCs/>
        </w:rPr>
        <w:t>cantons</w:t>
      </w:r>
      <w:r w:rsidRPr="00BF3CDE">
        <w:t xml:space="preserve"> révisent leurs </w:t>
      </w:r>
      <w:r w:rsidRPr="00BF3CDE">
        <w:rPr>
          <w:b/>
          <w:bCs/>
        </w:rPr>
        <w:t>plans stratégiques en faveur des PH</w:t>
      </w:r>
      <w:r w:rsidRPr="00BF3CDE">
        <w:t xml:space="preserve"> – y compris le plan d’action visant à transférer les ressources de manière systématique des prestations de soutien institutionnelles vers des prestations de soutien ambulatoires sur le marché libre du travail – ainsi que leurs bases légales, et procèdent à l’adaptation des modèles de financement et de planification des besoins ainsi que des contrats de prestations.</w:t>
      </w:r>
    </w:p>
    <w:p w14:paraId="0E6F85A8" w14:textId="6D5B59AD" w:rsidR="00680FC7" w:rsidRPr="001527A4" w:rsidRDefault="001527A4" w:rsidP="001527A4">
      <w:pPr>
        <w:pStyle w:val="SBEmpfehlungen"/>
      </w:pPr>
      <w:r w:rsidRPr="00BF3CDE">
        <w:rPr>
          <w:b/>
          <w:bCs/>
        </w:rPr>
        <w:t>La Confédération et les cantons</w:t>
      </w:r>
      <w:r w:rsidRPr="00BF3CDE">
        <w:t xml:space="preserve"> créent </w:t>
      </w:r>
      <w:r w:rsidRPr="00BF3CDE">
        <w:rPr>
          <w:b/>
          <w:bCs/>
        </w:rPr>
        <w:t>les conditions pour une rémunération des PH correspondant au salaire minimum</w:t>
      </w:r>
      <w:r w:rsidRPr="00BF3CDE">
        <w:t>, en introduisant des subventions aux coûts salariaux versées aux employeurs en lieu et place de prestations des assurances sociales fragmentées.</w:t>
      </w:r>
    </w:p>
    <w:p w14:paraId="67672837" w14:textId="7DD6F195" w:rsidR="00680FC7" w:rsidRPr="00BF3CDE" w:rsidRDefault="00680FC7" w:rsidP="00680FC7">
      <w:pPr>
        <w:pStyle w:val="Heading3"/>
        <w:numPr>
          <w:ilvl w:val="0"/>
          <w:numId w:val="0"/>
        </w:numPr>
        <w:ind w:left="737" w:hanging="737"/>
      </w:pPr>
      <w:bookmarkStart w:id="133" w:name="_Toc95500348"/>
      <w:bookmarkStart w:id="134" w:name="_Toc96287618"/>
      <w:r w:rsidRPr="00BF3CDE">
        <w:t>Art. 28 – Niveau de vie adéquat et protection sociale</w:t>
      </w:r>
      <w:bookmarkEnd w:id="133"/>
      <w:bookmarkEnd w:id="134"/>
    </w:p>
    <w:p w14:paraId="666310EF" w14:textId="77777777" w:rsidR="001527A4" w:rsidRPr="00BF3CDE" w:rsidRDefault="001527A4" w:rsidP="001527A4">
      <w:pPr>
        <w:pStyle w:val="BodyText"/>
      </w:pPr>
      <w:r w:rsidRPr="00BF3CDE">
        <w:t xml:space="preserve">Bien que, en comparaison internationale, les prestations fournies par les assurances sociales suisses garantissent globalement une </w:t>
      </w:r>
      <w:r w:rsidRPr="00BF3CDE">
        <w:rPr>
          <w:b/>
          <w:bCs/>
        </w:rPr>
        <w:t>protection sociale satisfaisante aux PH</w:t>
      </w:r>
      <w:r w:rsidRPr="00BF3CDE">
        <w:t xml:space="preserve">, les prestations dont bénéficient certains groupes de population – en particulier les </w:t>
      </w:r>
      <w:r w:rsidRPr="00BF3CDE">
        <w:rPr>
          <w:b/>
          <w:bCs/>
        </w:rPr>
        <w:t>personnes ayant un handicap congénital ou précoce</w:t>
      </w:r>
      <w:r w:rsidRPr="00BF3CDE">
        <w:t xml:space="preserve"> – sont comparativement modestes vu le contexte d’un pays au niveau de vie, mais aussi aux coûts élevés.</w:t>
      </w:r>
      <w:r w:rsidRPr="00BF3CDE">
        <w:rPr>
          <w:rStyle w:val="FootnoteReference"/>
        </w:rPr>
        <w:footnoteReference w:id="287"/>
      </w:r>
      <w:r w:rsidRPr="00BF3CDE">
        <w:t xml:space="preserve"> S’ajoute à cela la </w:t>
      </w:r>
      <w:r w:rsidRPr="00BF3CDE">
        <w:rPr>
          <w:b/>
        </w:rPr>
        <w:t>longue durée des procédures en vue d’obtenir des prestations de l’AI</w:t>
      </w:r>
      <w:r w:rsidRPr="00BF3CDE">
        <w:rPr>
          <w:rStyle w:val="FootnoteReference"/>
        </w:rPr>
        <w:footnoteReference w:id="288"/>
      </w:r>
      <w:r w:rsidRPr="00BF3CDE">
        <w:t xml:space="preserve">, durant lesquelles les personnes concernées dépendent de l’aide sociale. </w:t>
      </w:r>
      <w:r w:rsidRPr="00BF3CDE">
        <w:rPr>
          <w:bCs/>
        </w:rPr>
        <w:t xml:space="preserve">Il est </w:t>
      </w:r>
      <w:r w:rsidRPr="00BF3CDE">
        <w:rPr>
          <w:b/>
        </w:rPr>
        <w:t xml:space="preserve">alarmant </w:t>
      </w:r>
      <w:r w:rsidRPr="00BF3CDE">
        <w:rPr>
          <w:bCs/>
        </w:rPr>
        <w:t xml:space="preserve">que les PH soient, également en Suisse, </w:t>
      </w:r>
      <w:r w:rsidRPr="00BF3CDE">
        <w:rPr>
          <w:b/>
        </w:rPr>
        <w:t>plus fortement exposées au risque de pauvreté que les PnH</w:t>
      </w:r>
      <w:r w:rsidRPr="00BF3CDE">
        <w:t xml:space="preserve">. En </w:t>
      </w:r>
      <w:r w:rsidRPr="00BF3CDE">
        <w:rPr>
          <w:b/>
        </w:rPr>
        <w:t>2018</w:t>
      </w:r>
      <w:r w:rsidRPr="00BF3CDE">
        <w:t xml:space="preserve">, </w:t>
      </w:r>
      <w:r w:rsidRPr="00BF3CDE">
        <w:rPr>
          <w:b/>
        </w:rPr>
        <w:t>16,1%</w:t>
      </w:r>
      <w:r w:rsidRPr="00BF3CDE">
        <w:t xml:space="preserve"> des PH resp. </w:t>
      </w:r>
      <w:r w:rsidRPr="00BF3CDE">
        <w:rPr>
          <w:b/>
        </w:rPr>
        <w:t>27,8%</w:t>
      </w:r>
      <w:r w:rsidRPr="00BF3CDE">
        <w:t xml:space="preserve"> des PH «fortement limitées» étaient menacées par la pauvreté</w:t>
      </w:r>
      <w:r w:rsidRPr="00BF3CDE">
        <w:rPr>
          <w:rStyle w:val="FootnoteReference"/>
        </w:rPr>
        <w:footnoteReference w:id="289"/>
      </w:r>
      <w:r w:rsidRPr="00BF3CDE">
        <w:t xml:space="preserve">. Cette proportion se situait à près de </w:t>
      </w:r>
      <w:r w:rsidRPr="00BF3CDE">
        <w:rPr>
          <w:b/>
        </w:rPr>
        <w:t xml:space="preserve">10,3% </w:t>
      </w:r>
      <w:r w:rsidRPr="00BF3CDE">
        <w:rPr>
          <w:bCs/>
        </w:rPr>
        <w:t>parmi le reste de la population</w:t>
      </w:r>
      <w:r w:rsidRPr="00BF3CDE">
        <w:t>.</w:t>
      </w:r>
      <w:r w:rsidRPr="00BF3CDE">
        <w:rPr>
          <w:rStyle w:val="FootnoteReference"/>
        </w:rPr>
        <w:footnoteReference w:id="290"/>
      </w:r>
      <w:r w:rsidRPr="00BF3CDE">
        <w:t xml:space="preserve"> </w:t>
      </w:r>
      <w:r w:rsidRPr="00BF3CDE">
        <w:rPr>
          <w:b/>
        </w:rPr>
        <w:t>Le Conseil fédéral a certes admis cette réalité</w:t>
      </w:r>
      <w:r w:rsidRPr="00BF3CDE">
        <w:t>.</w:t>
      </w:r>
      <w:r w:rsidRPr="00BF3CDE">
        <w:rPr>
          <w:rStyle w:val="FootnoteReference"/>
        </w:rPr>
        <w:footnoteReference w:id="291"/>
      </w:r>
      <w:r w:rsidRPr="00BF3CDE">
        <w:t xml:space="preserve"> Or malgré cela, le plan de réalisation des </w:t>
      </w:r>
      <w:r w:rsidRPr="00BF3CDE">
        <w:rPr>
          <w:b/>
          <w:bCs/>
        </w:rPr>
        <w:t>mesures de lutte contre la pauvreté 20</w:t>
      </w:r>
      <w:r w:rsidRPr="00BF3CDE">
        <w:rPr>
          <w:b/>
        </w:rPr>
        <w:t>19-2024</w:t>
      </w:r>
      <w:r w:rsidRPr="00BF3CDE">
        <w:rPr>
          <w:rStyle w:val="FootnoteReference"/>
        </w:rPr>
        <w:footnoteReference w:id="292"/>
      </w:r>
      <w:r w:rsidRPr="00BF3CDE">
        <w:t xml:space="preserve"> </w:t>
      </w:r>
      <w:r w:rsidRPr="00BF3CDE">
        <w:rPr>
          <w:b/>
        </w:rPr>
        <w:t>ne semble ni mentionner</w:t>
      </w:r>
      <w:r w:rsidRPr="00BF3CDE">
        <w:rPr>
          <w:bCs/>
        </w:rPr>
        <w:t xml:space="preserve"> ni mettre en exergue </w:t>
      </w:r>
      <w:r w:rsidRPr="00BF3CDE">
        <w:rPr>
          <w:b/>
        </w:rPr>
        <w:t>les PH d’une quelconque manière</w:t>
      </w:r>
      <w:r w:rsidRPr="00BF3CDE">
        <w:t>.</w:t>
      </w:r>
    </w:p>
    <w:p w14:paraId="018D8442" w14:textId="262A8A0C" w:rsidR="001527A4" w:rsidRPr="00BF3CDE" w:rsidRDefault="001527A4" w:rsidP="001527A4">
      <w:pPr>
        <w:pStyle w:val="BodyText"/>
        <w:rPr>
          <w:b/>
        </w:rPr>
      </w:pPr>
      <w:r w:rsidRPr="00BF3CDE">
        <w:t xml:space="preserve">Dans sa réponse à la question concernant la proportion de personnes assurées et non assurées (réponse à la LoI, ch. 74), la Suisse n’esquisse que le </w:t>
      </w:r>
      <w:r w:rsidR="007F772E">
        <w:rPr>
          <w:b/>
        </w:rPr>
        <w:t>verre à moitié plein:</w:t>
      </w:r>
    </w:p>
    <w:p w14:paraId="2D178CE1" w14:textId="0C72F0B5" w:rsidR="001527A4" w:rsidRPr="00BF3CDE" w:rsidRDefault="001527A4" w:rsidP="00FC734F">
      <w:pPr>
        <w:pStyle w:val="BodyText"/>
        <w:numPr>
          <w:ilvl w:val="0"/>
          <w:numId w:val="20"/>
        </w:numPr>
      </w:pPr>
      <w:r w:rsidRPr="00BF3CDE">
        <w:t xml:space="preserve">Au sujet de la </w:t>
      </w:r>
      <w:r w:rsidRPr="00BF3CDE">
        <w:rPr>
          <w:b/>
        </w:rPr>
        <w:t>couverture d’une perte de gain en cas de maladie</w:t>
      </w:r>
      <w:r w:rsidRPr="00BF3CDE">
        <w:t xml:space="preserve">, elle constate que celle-ci dépend du statut professionnel et des conditions de travail. Or, cette réponse n’en revient qu’à effleurer le véritable problème: en Suisse, une </w:t>
      </w:r>
      <w:r w:rsidRPr="00BF3CDE">
        <w:rPr>
          <w:b/>
        </w:rPr>
        <w:t xml:space="preserve">assurance obligatoire qui couvre la perte de gain suite à une maladie </w:t>
      </w:r>
      <w:r w:rsidRPr="00BF3CDE">
        <w:t xml:space="preserve">continue de faire défaut. Même si les employeurs ont conclu en grande majorité une assurance d’indemnités journalières en cas de maladie pour leur propre personnel, il n’en demeure pas moins qu’une partie considérable des employé-e-s ne dispose pas d’une telle protection. </w:t>
      </w:r>
      <w:r w:rsidRPr="00BF3CDE">
        <w:rPr>
          <w:b/>
        </w:rPr>
        <w:t>S’ajoute à cela que les prestations destinées aux personnes présentant déjà certaines atteintes à la santé au moment de leur entrée en fonction sont souvent exclues ou fortement réduites dans leur durée, même si l’employeur est affilié à une assurance d’indemnités journalières en cas de maladie</w:t>
      </w:r>
      <w:r w:rsidRPr="00BF3CDE">
        <w:t>.</w:t>
      </w:r>
      <w:r w:rsidRPr="00BF3CDE">
        <w:rPr>
          <w:rStyle w:val="FootnoteReference"/>
        </w:rPr>
        <w:footnoteReference w:id="293"/>
      </w:r>
    </w:p>
    <w:p w14:paraId="7B84505A" w14:textId="77777777" w:rsidR="001527A4" w:rsidRPr="00BF3CDE" w:rsidRDefault="001527A4" w:rsidP="00FC734F">
      <w:pPr>
        <w:pStyle w:val="BodyText"/>
        <w:numPr>
          <w:ilvl w:val="0"/>
          <w:numId w:val="20"/>
        </w:numPr>
      </w:pPr>
      <w:r w:rsidRPr="00BF3CDE">
        <w:t xml:space="preserve">De plus, tout rapport de travail ne donne pas </w:t>
      </w:r>
      <w:r w:rsidRPr="00BF3CDE">
        <w:rPr>
          <w:b/>
          <w:bCs/>
        </w:rPr>
        <w:t>accès à la prévoyance professionnelle</w:t>
      </w:r>
      <w:r w:rsidRPr="00BF3CDE">
        <w:t xml:space="preserve">. </w:t>
      </w:r>
      <w:r>
        <w:t>En effet, s</w:t>
      </w:r>
      <w:r w:rsidRPr="00BF3CDE">
        <w:t>eules les personnes qui atteignent ledit seuil d’entrée avec un revenu annuel d’au moins CHF 21’510 sont assurées.</w:t>
      </w:r>
      <w:r w:rsidRPr="00BF3CDE">
        <w:rPr>
          <w:rStyle w:val="FootnoteReference"/>
        </w:rPr>
        <w:footnoteReference w:id="294"/>
      </w:r>
      <w:r w:rsidRPr="00BF3CDE">
        <w:t xml:space="preserve"> Vu que les PH </w:t>
      </w:r>
      <w:r w:rsidRPr="00BF3CDE">
        <w:rPr>
          <w:b/>
          <w:bCs/>
        </w:rPr>
        <w:t>travaillent souvent à temps partiel</w:t>
      </w:r>
      <w:r w:rsidRPr="00BF3CDE">
        <w:t xml:space="preserve"> ou </w:t>
      </w:r>
      <w:r w:rsidRPr="00BF3CDE">
        <w:rPr>
          <w:b/>
          <w:bCs/>
        </w:rPr>
        <w:t>dans des branches à faibles revenus</w:t>
      </w:r>
      <w:r w:rsidRPr="00BF3CDE">
        <w:t xml:space="preserve">, elles n’atteignent pas ce </w:t>
      </w:r>
      <w:r w:rsidRPr="00BF3CDE">
        <w:rPr>
          <w:b/>
        </w:rPr>
        <w:t>seuil d’entrée élevé</w:t>
      </w:r>
      <w:r w:rsidRPr="00BF3CDE">
        <w:t xml:space="preserve">. C’est pourquoi elles ne disposent </w:t>
      </w:r>
      <w:r w:rsidRPr="00BF3CDE">
        <w:rPr>
          <w:b/>
        </w:rPr>
        <w:t>pas de couverture de la prévoyance professionnelle</w:t>
      </w:r>
      <w:r w:rsidRPr="00BF3CDE">
        <w:t>. Ce seuil d’entrée n’est réduit qu’</w:t>
      </w:r>
      <w:r w:rsidRPr="00BF3CDE">
        <w:rPr>
          <w:b/>
        </w:rPr>
        <w:t>à partir d’un certain taux d’invalidité</w:t>
      </w:r>
      <w:r w:rsidRPr="00BF3CDE">
        <w:t xml:space="preserve">. De nombreuses personnes ne sont </w:t>
      </w:r>
      <w:r w:rsidRPr="00BF3CDE">
        <w:rPr>
          <w:b/>
        </w:rPr>
        <w:t>«pas assez handicapées» pour être considérées comme «invalides» par le système d’assurances sociales</w:t>
      </w:r>
      <w:r w:rsidRPr="00BF3CDE">
        <w:t xml:space="preserve">, tout en n’étant </w:t>
      </w:r>
      <w:r w:rsidRPr="00BF3CDE">
        <w:rPr>
          <w:b/>
          <w:bCs/>
        </w:rPr>
        <w:t>pas en mesure</w:t>
      </w:r>
      <w:r w:rsidRPr="00BF3CDE">
        <w:t xml:space="preserve">, en raison de leur handicap, </w:t>
      </w:r>
      <w:r w:rsidRPr="00BF3CDE">
        <w:rPr>
          <w:b/>
          <w:bCs/>
        </w:rPr>
        <w:t>d’obtenir un salaire qui leur donnerait accès à la prévoyance professionnelle</w:t>
      </w:r>
      <w:r w:rsidRPr="00BF3CDE">
        <w:t xml:space="preserve">. </w:t>
      </w:r>
    </w:p>
    <w:p w14:paraId="7B7EA9EE" w14:textId="64E46290" w:rsidR="00B30BCF" w:rsidRPr="00F756DE" w:rsidRDefault="001527A4" w:rsidP="00FC734F">
      <w:pPr>
        <w:pStyle w:val="BodyText"/>
        <w:numPr>
          <w:ilvl w:val="0"/>
          <w:numId w:val="20"/>
        </w:numPr>
      </w:pPr>
      <w:r w:rsidRPr="00BF3CDE">
        <w:t xml:space="preserve">Enfin, à noter que seules les personnes qui, au moment de la survenance de leur «invalidité», ont </w:t>
      </w:r>
      <w:r w:rsidRPr="00BF3CDE">
        <w:rPr>
          <w:b/>
          <w:bCs/>
        </w:rPr>
        <w:t xml:space="preserve">cotisé à l’assurance pendant au moins trois ans </w:t>
      </w:r>
      <w:r w:rsidRPr="00EA2476">
        <w:t xml:space="preserve">peuvent </w:t>
      </w:r>
      <w:r>
        <w:t xml:space="preserve">prétendre </w:t>
      </w:r>
      <w:r w:rsidRPr="00BF3CDE">
        <w:t>au versement d’une rente ordinaire de l’assurance-invalidité</w:t>
      </w:r>
      <w:r w:rsidR="009C3B79">
        <w:t>.</w:t>
      </w:r>
      <w:r w:rsidRPr="00BF3CDE">
        <w:rPr>
          <w:rStyle w:val="FootnoteReference"/>
        </w:rPr>
        <w:footnoteReference w:id="295"/>
      </w:r>
      <w:r w:rsidRPr="00BF3CDE">
        <w:t xml:space="preserve"> </w:t>
      </w:r>
      <w:r>
        <w:t>Les</w:t>
      </w:r>
      <w:r w:rsidRPr="00BF3CDE">
        <w:t xml:space="preserve"> ressortissant-e-s de la Suisse et des pays de l’UE resp. de l’AELE s</w:t>
      </w:r>
      <w:r>
        <w:t xml:space="preserve">e voient aussi </w:t>
      </w:r>
      <w:r w:rsidRPr="00BF3CDE">
        <w:t>applique</w:t>
      </w:r>
      <w:r>
        <w:t>r</w:t>
      </w:r>
      <w:r w:rsidRPr="00BF3CDE">
        <w:t xml:space="preserve"> des périodes d’assurance</w:t>
      </w:r>
      <w:r w:rsidRPr="00BF3CDE">
        <w:rPr>
          <w:rStyle w:val="FootnoteReference"/>
        </w:rPr>
        <w:footnoteReference w:id="296"/>
      </w:r>
      <w:r w:rsidRPr="00BF3CDE">
        <w:t xml:space="preserve"> accomplies dans un pays de l’UE resp. de l’AELE</w:t>
      </w:r>
      <w:r>
        <w:t>, mais</w:t>
      </w:r>
      <w:r w:rsidRPr="00BF3CDE">
        <w:t xml:space="preserve"> </w:t>
      </w:r>
      <w:r>
        <w:t>c</w:t>
      </w:r>
      <w:r w:rsidRPr="00BF3CDE">
        <w:t xml:space="preserve">es personnes doivent elles aussi </w:t>
      </w:r>
      <w:r w:rsidRPr="00BF3CDE">
        <w:rPr>
          <w:b/>
          <w:bCs/>
        </w:rPr>
        <w:t>compter</w:t>
      </w:r>
      <w:r w:rsidRPr="00BF3CDE">
        <w:t>, lors de la survenue de l’invalidité,</w:t>
      </w:r>
      <w:r w:rsidRPr="00BF3CDE">
        <w:rPr>
          <w:b/>
          <w:bCs/>
        </w:rPr>
        <w:t xml:space="preserve"> au moins une année de cotisations en Suisse</w:t>
      </w:r>
      <w:r w:rsidRPr="00BF3CDE">
        <w:t xml:space="preserve">. Cela signifie que les </w:t>
      </w:r>
      <w:r w:rsidRPr="00BF3CDE">
        <w:rPr>
          <w:b/>
        </w:rPr>
        <w:t>PH qui entrent en Suisse en étant déjà en incapacité de travail ne touchent pas de rente ordinaire de l’assurance-invalidité</w:t>
      </w:r>
      <w:r w:rsidRPr="00BF3CDE">
        <w:t>.</w:t>
      </w:r>
    </w:p>
    <w:p w14:paraId="454A1B80" w14:textId="77777777" w:rsidR="00B30BCF" w:rsidRPr="00F756DE" w:rsidRDefault="00680FC7" w:rsidP="00B30BCF">
      <w:pPr>
        <w:shd w:val="clear" w:color="auto" w:fill="FFFFCC"/>
        <w:spacing w:before="240"/>
        <w:rPr>
          <w:rFonts w:eastAsia="Cambria"/>
          <w:b/>
        </w:rPr>
      </w:pPr>
      <w:r>
        <w:rPr>
          <w:rFonts w:eastAsia="Cambria"/>
          <w:b/>
        </w:rPr>
        <w:t>Propositions de recommandations</w:t>
      </w:r>
      <w:r w:rsidR="00B30BCF" w:rsidRPr="00F756DE">
        <w:rPr>
          <w:rFonts w:eastAsia="Cambria"/>
          <w:b/>
        </w:rPr>
        <w:t>:</w:t>
      </w:r>
    </w:p>
    <w:p w14:paraId="0EFDFE26" w14:textId="77777777" w:rsidR="001527A4" w:rsidRPr="00BF3CDE" w:rsidRDefault="001527A4" w:rsidP="001527A4">
      <w:pPr>
        <w:pStyle w:val="SBEmpfehlungen"/>
      </w:pPr>
      <w:r w:rsidRPr="00BF3CDE">
        <w:rPr>
          <w:b/>
        </w:rPr>
        <w:t>La Confédération, les cantons et les communes</w:t>
      </w:r>
      <w:r w:rsidRPr="00BF3CDE">
        <w:t xml:space="preserve"> élaborent, dans le cadre de la </w:t>
      </w:r>
      <w:r w:rsidRPr="00BF3CDE">
        <w:rPr>
          <w:b/>
        </w:rPr>
        <w:t>lutte contre la pauvreté 2019-2024</w:t>
      </w:r>
      <w:r w:rsidRPr="00BF3CDE">
        <w:t>, des mesures spécifiques visant à éliminer le risque particulier qu’encourent les PH de tomber dans la pauvreté.</w:t>
      </w:r>
    </w:p>
    <w:p w14:paraId="410BA656" w14:textId="77777777" w:rsidR="001527A4" w:rsidRPr="00BF3CDE" w:rsidRDefault="001527A4" w:rsidP="001527A4">
      <w:pPr>
        <w:pStyle w:val="SBEmpfehlungen"/>
      </w:pPr>
      <w:r w:rsidRPr="00BF3CDE">
        <w:t xml:space="preserve">La </w:t>
      </w:r>
      <w:r w:rsidRPr="00BF3CDE">
        <w:rPr>
          <w:b/>
        </w:rPr>
        <w:t>Confédération</w:t>
      </w:r>
      <w:r w:rsidRPr="00BF3CDE">
        <w:t xml:space="preserve"> complète le droit des assurances sociales par l’introduction d’une </w:t>
      </w:r>
      <w:r w:rsidRPr="00BF3CDE">
        <w:rPr>
          <w:b/>
        </w:rPr>
        <w:t>assurance obligatoire d’indemnités journalières en cas de maladie</w:t>
      </w:r>
      <w:r w:rsidRPr="00BF3CDE">
        <w:t>.</w:t>
      </w:r>
    </w:p>
    <w:p w14:paraId="470DEA12" w14:textId="2123724D" w:rsidR="00B30BCF" w:rsidRPr="00F756DE" w:rsidRDefault="001527A4" w:rsidP="001527A4">
      <w:pPr>
        <w:pStyle w:val="SBEmpfehlungen"/>
      </w:pPr>
      <w:r w:rsidRPr="00BF3CDE">
        <w:t xml:space="preserve">La </w:t>
      </w:r>
      <w:r w:rsidRPr="00BF3CDE">
        <w:rPr>
          <w:b/>
        </w:rPr>
        <w:t xml:space="preserve">Confédération </w:t>
      </w:r>
      <w:r w:rsidRPr="00BF3CDE">
        <w:t>adapte le</w:t>
      </w:r>
      <w:r w:rsidRPr="00BF3CDE">
        <w:rPr>
          <w:b/>
        </w:rPr>
        <w:t xml:space="preserve"> seuil d’entrée dans la prévoyance professionnelle </w:t>
      </w:r>
      <w:r w:rsidRPr="00BF3CDE">
        <w:t>de sorte que les PH y aient également accès.</w:t>
      </w:r>
    </w:p>
    <w:p w14:paraId="7BD995F1" w14:textId="77777777" w:rsidR="00680FC7" w:rsidRPr="00BF3CDE" w:rsidRDefault="00680FC7" w:rsidP="00680FC7">
      <w:pPr>
        <w:pStyle w:val="Heading3"/>
        <w:numPr>
          <w:ilvl w:val="0"/>
          <w:numId w:val="0"/>
        </w:numPr>
        <w:ind w:left="737" w:hanging="737"/>
      </w:pPr>
      <w:bookmarkStart w:id="135" w:name="_Toc95500349"/>
      <w:bookmarkStart w:id="136" w:name="_Ref95896175"/>
      <w:bookmarkStart w:id="137" w:name="_Toc96287619"/>
      <w:r w:rsidRPr="00BF3CDE">
        <w:t>Art. 29 – Participation à la vie politique et à la vie publique</w:t>
      </w:r>
      <w:bookmarkEnd w:id="135"/>
      <w:bookmarkEnd w:id="136"/>
      <w:bookmarkEnd w:id="137"/>
    </w:p>
    <w:p w14:paraId="655A43D9" w14:textId="405EC334" w:rsidR="00B30BCF" w:rsidRDefault="00680FC7" w:rsidP="00B30BCF">
      <w:pPr>
        <w:pStyle w:val="Subtitle"/>
      </w:pPr>
      <w:r w:rsidRPr="00BF3CDE">
        <w:t>Exclusion des droits politiques (LoI, 23b)</w:t>
      </w:r>
    </w:p>
    <w:p w14:paraId="6EC4D940" w14:textId="03CB309D" w:rsidR="001527A4" w:rsidRPr="00BF3CDE" w:rsidRDefault="00E9135B" w:rsidP="001527A4">
      <w:pPr>
        <w:pStyle w:val="BodyText"/>
      </w:pPr>
      <w:r>
        <w:t>L’a</w:t>
      </w:r>
      <w:r w:rsidR="001527A4" w:rsidRPr="00BF3CDE">
        <w:t xml:space="preserve">rt. 136 Cst. continue de </w:t>
      </w:r>
      <w:r w:rsidR="001527A4">
        <w:t>disposer</w:t>
      </w:r>
      <w:r w:rsidR="001527A4" w:rsidRPr="00BF3CDE">
        <w:t xml:space="preserve"> que les personnes «interdites pour cause de </w:t>
      </w:r>
      <w:r w:rsidR="001527A4" w:rsidRPr="00BF3CDE">
        <w:rPr>
          <w:b/>
          <w:bCs/>
        </w:rPr>
        <w:t>maladie mentale ou de faiblesse d’esprit</w:t>
      </w:r>
      <w:r w:rsidR="001527A4" w:rsidRPr="00BF3CDE">
        <w:t xml:space="preserve">» </w:t>
      </w:r>
      <w:r w:rsidR="001527A4" w:rsidRPr="00BF3CDE">
        <w:rPr>
          <w:b/>
          <w:bCs/>
        </w:rPr>
        <w:t>n’ont pas les droits politiques</w:t>
      </w:r>
      <w:r w:rsidR="001527A4" w:rsidRPr="00BF3CDE">
        <w:t>.</w:t>
      </w:r>
      <w:r w:rsidR="001527A4" w:rsidRPr="00BF3CDE">
        <w:rPr>
          <w:rStyle w:val="FootnoteReference"/>
        </w:rPr>
        <w:footnoteReference w:id="297"/>
      </w:r>
      <w:r w:rsidR="001527A4" w:rsidRPr="00BF3CDE">
        <w:t xml:space="preserve"> La LDP concrétise le cercle des personnes exclues de droit de vote et d’élection: il s’agit de personnes qui, «en raison d’une incapacité durable de discernement, sont protégées par une curatelle de portée générale ou par un mandat pour cause d’inaptitude.</w:t>
      </w:r>
      <w:r w:rsidR="001527A4" w:rsidRPr="00BF3CDE">
        <w:rPr>
          <w:rStyle w:val="FootnoteReference"/>
        </w:rPr>
        <w:footnoteReference w:id="298"/>
      </w:r>
      <w:r w:rsidR="001527A4" w:rsidRPr="00BF3CDE">
        <w:t xml:space="preserve"> Sont concernées en particulier les personnes ayant des handicaps psychiques et cognitifs. Le PRE et le rapport sur la politique en faveur des </w:t>
      </w:r>
      <w:r w:rsidR="001527A4">
        <w:t>PH</w:t>
      </w:r>
      <w:r w:rsidR="001527A4" w:rsidRPr="00BF3CDE">
        <w:rPr>
          <w:rStyle w:val="FootnoteReference"/>
        </w:rPr>
        <w:footnoteReference w:id="299"/>
      </w:r>
      <w:r w:rsidR="001527A4" w:rsidRPr="00BF3CDE">
        <w:t xml:space="preserve"> sont muets sur l’incompatibilité de cette disposition avec les art. 29 et 12 CDPH. Il n’existe certes pas de statistique centralisée concernant le nombre de personnes exclues du droit de vote (réponse à la LoI, para. 76). Or, la COPMA publie chaque année les chiffres concernant le nombre de personnes placées sous curatelle de portée générale par canton.</w:t>
      </w:r>
      <w:r w:rsidR="001527A4" w:rsidRPr="00BF3CDE">
        <w:rPr>
          <w:rStyle w:val="FootnoteReference"/>
        </w:rPr>
        <w:footnoteReference w:id="300"/>
      </w:r>
      <w:r w:rsidR="001527A4" w:rsidRPr="00BF3CDE">
        <w:t xml:space="preserve"> En 2020, elles étaient </w:t>
      </w:r>
      <w:r w:rsidR="001527A4" w:rsidRPr="00BF3CDE">
        <w:rPr>
          <w:b/>
        </w:rPr>
        <w:t>14’050 dans toute la Suisse</w:t>
      </w:r>
      <w:r w:rsidR="001527A4" w:rsidRPr="00BF3CDE">
        <w:t xml:space="preserve">, avec de </w:t>
      </w:r>
      <w:r w:rsidR="001527A4" w:rsidRPr="00BF3CDE">
        <w:rPr>
          <w:b/>
        </w:rPr>
        <w:t>grandes différences cantonales</w:t>
      </w:r>
      <w:r w:rsidR="001527A4" w:rsidRPr="00BF3CDE">
        <w:t>.</w:t>
      </w:r>
      <w:bookmarkStart w:id="138" w:name="_Ref95898252"/>
      <w:r w:rsidR="001527A4" w:rsidRPr="00BF3CDE">
        <w:rPr>
          <w:rStyle w:val="FootnoteReference"/>
        </w:rPr>
        <w:footnoteReference w:id="301"/>
      </w:r>
      <w:bookmarkEnd w:id="138"/>
      <w:r w:rsidR="001527A4" w:rsidRPr="00BF3CDE">
        <w:t xml:space="preserve"> </w:t>
      </w:r>
      <w:r w:rsidR="001527A4" w:rsidRPr="00BF3CDE">
        <w:rPr>
          <w:b/>
          <w:bCs/>
        </w:rPr>
        <w:t>S’ajoute à cela</w:t>
      </w:r>
      <w:r w:rsidR="001527A4" w:rsidRPr="00BF3CDE">
        <w:rPr>
          <w:b/>
        </w:rPr>
        <w:t xml:space="preserve"> le</w:t>
      </w:r>
      <w:r w:rsidR="001527A4" w:rsidRPr="00BF3CDE">
        <w:t xml:space="preserve"> </w:t>
      </w:r>
      <w:r w:rsidR="001527A4" w:rsidRPr="00BF3CDE">
        <w:rPr>
          <w:b/>
        </w:rPr>
        <w:t xml:space="preserve">nombre de personnes non recensées </w:t>
      </w:r>
      <w:r w:rsidR="001527A4" w:rsidRPr="00BF3CDE">
        <w:rPr>
          <w:bCs/>
        </w:rPr>
        <w:t>qui sont représentées par une</w:t>
      </w:r>
      <w:r w:rsidR="001527A4" w:rsidRPr="00BF3CDE">
        <w:rPr>
          <w:b/>
        </w:rPr>
        <w:t xml:space="preserve"> personne mandatée</w:t>
      </w:r>
      <w:r w:rsidR="001527A4" w:rsidRPr="00BF3CDE">
        <w:t>.</w:t>
      </w:r>
    </w:p>
    <w:p w14:paraId="52E9BB11" w14:textId="2D9CEC1E" w:rsidR="00B30BCF" w:rsidRPr="00F756DE" w:rsidRDefault="001527A4" w:rsidP="001527A4">
      <w:pPr>
        <w:pStyle w:val="BodyText"/>
      </w:pPr>
      <w:r w:rsidRPr="00BF3CDE">
        <w:rPr>
          <w:bCs/>
        </w:rPr>
        <w:t>Dans ce domaine,</w:t>
      </w:r>
      <w:r w:rsidRPr="00BF3CDE">
        <w:rPr>
          <w:b/>
        </w:rPr>
        <w:t xml:space="preserve"> on peut se féliciter des nouveaux développements</w:t>
      </w:r>
      <w:r w:rsidRPr="00BF3CDE">
        <w:rPr>
          <w:bCs/>
        </w:rPr>
        <w:t xml:space="preserve"> suivants</w:t>
      </w:r>
      <w:r w:rsidRPr="00BF3CDE">
        <w:t>: le 29 novembre 2020, les Genevoises et Genevois ont approuvé, par près de 75% des voix, une modification de la Constitution (art. 48 al. 1 Cst. cant./GE) qui confère désormais le droit d’élection et de vote à toutes les PH, sans restrictions. Suivant l’exemple genevois, des interventions parlementaires visant à garantir les droits politiques à l’ensemble des PH</w:t>
      </w:r>
      <w:r w:rsidRPr="00BF3CDE">
        <w:rPr>
          <w:b/>
        </w:rPr>
        <w:t xml:space="preserve"> </w:t>
      </w:r>
      <w:r w:rsidRPr="00BF3CDE">
        <w:rPr>
          <w:bCs/>
        </w:rPr>
        <w:t xml:space="preserve">ont été adoptées dans </w:t>
      </w:r>
      <w:r w:rsidRPr="00BF3CDE">
        <w:rPr>
          <w:b/>
        </w:rPr>
        <w:t>plusieurs cantons</w:t>
      </w:r>
      <w:r w:rsidRPr="00BF3CDE">
        <w:t>.</w:t>
      </w:r>
      <w:r w:rsidRPr="00BF3CDE">
        <w:rPr>
          <w:rStyle w:val="FootnoteReference"/>
        </w:rPr>
        <w:footnoteReference w:id="302"/>
      </w:r>
      <w:r w:rsidRPr="00BF3CDE">
        <w:t xml:space="preserve"> En mars 2021, deux interventions parlementaires ont été déposées au </w:t>
      </w:r>
      <w:r w:rsidRPr="00BF3CDE">
        <w:rPr>
          <w:b/>
        </w:rPr>
        <w:t>niveau fédéral</w:t>
      </w:r>
      <w:r w:rsidRPr="00BF3CDE">
        <w:t xml:space="preserve"> sur le thème des droits politiques des PH.</w:t>
      </w:r>
      <w:r w:rsidRPr="00BF3CDE">
        <w:rPr>
          <w:rStyle w:val="FootnoteReference"/>
        </w:rPr>
        <w:footnoteReference w:id="303"/>
      </w:r>
      <w:r w:rsidRPr="00BF3CDE">
        <w:t xml:space="preserve"> En réaction à ces développements, la Chancellerie fédérale élabore actuellement un rapport à ce sujet.</w:t>
      </w:r>
    </w:p>
    <w:p w14:paraId="6BBA4FD8" w14:textId="77777777" w:rsidR="00680FC7" w:rsidRDefault="00680FC7" w:rsidP="00680FC7">
      <w:pPr>
        <w:pStyle w:val="Subtitle"/>
      </w:pPr>
      <w:r w:rsidRPr="00BF3CDE">
        <w:t>Inégalités dans l’exercice des droits politiques (LoI 23a)</w:t>
      </w:r>
    </w:p>
    <w:p w14:paraId="46525050" w14:textId="77777777" w:rsidR="001527A4" w:rsidRPr="00BF3CDE" w:rsidRDefault="001527A4" w:rsidP="001527A4">
      <w:pPr>
        <w:pStyle w:val="BodyText"/>
      </w:pPr>
      <w:r w:rsidRPr="00BF3CDE">
        <w:t xml:space="preserve">Même si la </w:t>
      </w:r>
      <w:r w:rsidRPr="00162522">
        <w:rPr>
          <w:b/>
        </w:rPr>
        <w:t>Confédération</w:t>
      </w:r>
      <w:r w:rsidRPr="00BF3CDE">
        <w:t xml:space="preserve"> a fait des </w:t>
      </w:r>
      <w:r w:rsidRPr="00162522">
        <w:rPr>
          <w:b/>
          <w:bCs/>
        </w:rPr>
        <w:t>avancées en vue de la mise à disposition du matériel de vote/d’élection</w:t>
      </w:r>
      <w:r w:rsidRPr="00162522">
        <w:rPr>
          <w:b/>
        </w:rPr>
        <w:t xml:space="preserve"> et des informations sous une forme accessible</w:t>
      </w:r>
      <w:r w:rsidRPr="00BF3CDE">
        <w:rPr>
          <w:bCs/>
        </w:rPr>
        <w:t xml:space="preserve"> aux PH</w:t>
      </w:r>
      <w:r w:rsidRPr="00BF3CDE">
        <w:rPr>
          <w:rStyle w:val="FootnoteReference"/>
        </w:rPr>
        <w:footnoteReference w:id="304"/>
      </w:r>
      <w:r w:rsidRPr="00BF3CDE">
        <w:rPr>
          <w:bCs/>
        </w:rPr>
        <w:t>, il n’en demeure pas moins que</w:t>
      </w:r>
      <w:r w:rsidRPr="00BF3CDE">
        <w:t xml:space="preserve"> les personnes </w:t>
      </w:r>
      <w:r w:rsidRPr="00162522">
        <w:rPr>
          <w:b/>
        </w:rPr>
        <w:t>aveugles et malvoyantes</w:t>
      </w:r>
      <w:r w:rsidRPr="00BF3CDE">
        <w:t xml:space="preserve"> sont actuellement toujours privées </w:t>
      </w:r>
      <w:r w:rsidRPr="001527A4">
        <w:t>de</w:t>
      </w:r>
      <w:r w:rsidRPr="00BF3CDE">
        <w:t xml:space="preserve"> </w:t>
      </w:r>
      <w:r w:rsidRPr="00162522">
        <w:rPr>
          <w:b/>
          <w:bCs/>
        </w:rPr>
        <w:t xml:space="preserve">l’exercice autonome </w:t>
      </w:r>
      <w:r w:rsidRPr="00162522">
        <w:rPr>
          <w:b/>
        </w:rPr>
        <w:t>de leur droit d’élection et de vote</w:t>
      </w:r>
      <w:r w:rsidRPr="00BF3CDE">
        <w:t xml:space="preserve">; pour l’exercer, elles dépendent de l’aide d’autrui. Le </w:t>
      </w:r>
      <w:r w:rsidRPr="00162522">
        <w:rPr>
          <w:b/>
        </w:rPr>
        <w:t>système de vote électronique</w:t>
      </w:r>
      <w:r w:rsidRPr="00BF3CDE">
        <w:t xml:space="preserve"> qui leur permet (de même qu’à d’autres PH) de voter et d’élire en préservant leur secret de vote, </w:t>
      </w:r>
      <w:r w:rsidRPr="00BF3CDE">
        <w:rPr>
          <w:bCs/>
        </w:rPr>
        <w:t xml:space="preserve">a été </w:t>
      </w:r>
      <w:r w:rsidRPr="00162522">
        <w:rPr>
          <w:b/>
          <w:bCs/>
        </w:rPr>
        <w:t>suspendu en</w:t>
      </w:r>
      <w:r w:rsidRPr="00162522">
        <w:rPr>
          <w:b/>
        </w:rPr>
        <w:t xml:space="preserve"> 2019</w:t>
      </w:r>
      <w:r w:rsidRPr="00BF3CDE">
        <w:t xml:space="preserve"> dans une dizaine de cantons après une longue phase de test.</w:t>
      </w:r>
      <w:r w:rsidRPr="00BF3CDE">
        <w:rPr>
          <w:rStyle w:val="FootnoteReference"/>
        </w:rPr>
        <w:footnoteReference w:id="305"/>
      </w:r>
      <w:r w:rsidRPr="00BF3CDE">
        <w:t xml:space="preserve"> En 2021, des propositions visant à adapter la législation fédérale ont été mises une nouvelle fois en consultation dans le but de créer un nouveau fondement en vue de la phase d’essai de vote électronique.</w:t>
      </w:r>
      <w:r w:rsidRPr="00BF3CDE">
        <w:rPr>
          <w:rStyle w:val="FootnoteReference"/>
        </w:rPr>
        <w:footnoteReference w:id="306"/>
      </w:r>
      <w:r w:rsidRPr="00BF3CDE">
        <w:t xml:space="preserve"> Un essai pilote portant sur des explications concernant la votation en langue facile à lire a en revanche été rejeté.</w:t>
      </w:r>
      <w:r w:rsidRPr="00BF3CDE">
        <w:rPr>
          <w:rStyle w:val="FootnoteReference"/>
        </w:rPr>
        <w:footnoteReference w:id="307"/>
      </w:r>
    </w:p>
    <w:p w14:paraId="6595F50C" w14:textId="4C0302E2" w:rsidR="00680FC7" w:rsidRPr="00680FC7" w:rsidRDefault="001527A4" w:rsidP="001527A4">
      <w:pPr>
        <w:pStyle w:val="BodyText"/>
      </w:pPr>
      <w:r w:rsidRPr="00BF3CDE">
        <w:t xml:space="preserve">Des cas ont été signalés aux </w:t>
      </w:r>
      <w:r w:rsidRPr="00BF3CDE">
        <w:rPr>
          <w:b/>
        </w:rPr>
        <w:t>Services juridiques d’Inclusion Handicap</w:t>
      </w:r>
      <w:r w:rsidRPr="00BF3CDE">
        <w:t xml:space="preserve"> relatant que les documents de vote de </w:t>
      </w:r>
      <w:r w:rsidRPr="00BF3CDE">
        <w:rPr>
          <w:b/>
          <w:bCs/>
        </w:rPr>
        <w:t>PH résidant dans des institutions</w:t>
      </w:r>
      <w:r w:rsidRPr="00BF3CDE">
        <w:t xml:space="preserve"> ont été tout simplement détruits, sans que les personnes concernées n’aient été interrogées </w:t>
      </w:r>
      <w:r w:rsidR="005534CA">
        <w:t>sur le volonté de participer aux</w:t>
      </w:r>
      <w:r w:rsidRPr="00BF3CDE">
        <w:t xml:space="preserve"> élections/votations en question.</w:t>
      </w:r>
    </w:p>
    <w:p w14:paraId="44E6B6A2" w14:textId="77777777" w:rsidR="00680FC7" w:rsidRDefault="00680FC7" w:rsidP="00680FC7">
      <w:pPr>
        <w:pStyle w:val="Subtitle"/>
      </w:pPr>
      <w:r w:rsidRPr="00BF3CDE">
        <w:t>Inégalités dans le droit de vote passif (LoI 23 d)</w:t>
      </w:r>
    </w:p>
    <w:p w14:paraId="61F9468E" w14:textId="66F5DC87" w:rsidR="00680FC7" w:rsidRPr="00680FC7" w:rsidRDefault="00181D45" w:rsidP="00181D45">
      <w:pPr>
        <w:pStyle w:val="BodyText"/>
      </w:pPr>
      <w:r w:rsidRPr="00BF3CDE">
        <w:t xml:space="preserve">Les PH sont </w:t>
      </w:r>
      <w:r w:rsidRPr="00BF3CDE">
        <w:rPr>
          <w:b/>
          <w:bCs/>
        </w:rPr>
        <w:t>fortement sous-représentées</w:t>
      </w:r>
      <w:r w:rsidRPr="00BF3CDE">
        <w:t xml:space="preserve"> dans la politique suisse.</w:t>
      </w:r>
      <w:r w:rsidRPr="00BF3CDE">
        <w:rPr>
          <w:rStyle w:val="FootnoteReference"/>
        </w:rPr>
        <w:footnoteReference w:id="308"/>
      </w:r>
      <w:r w:rsidRPr="00BF3CDE">
        <w:t xml:space="preserve"> L’Université de Zurich a publié, fin 2021, les résultats d’une étude «Disabled in Politics».</w:t>
      </w:r>
      <w:r w:rsidRPr="00BF3CDE">
        <w:rPr>
          <w:rStyle w:val="FootnoteReference"/>
        </w:rPr>
        <w:footnoteReference w:id="309"/>
      </w:r>
      <w:r w:rsidRPr="00BF3CDE">
        <w:t xml:space="preserve"> Celle-ci a examiné la question de savoir par quels moyens la participation politique des PH, en particulier au sein d’organes politiques, peut être améliorée quantitativement et à tous les échelons de l’État. Elle a identifié les obstacles, entre autres au niveau des structures politiques, des attitudes à l’égard des PH, des ressources financières, du soutien individuel ainsi que de l’accessibilité, et a formulé des mesures.</w:t>
      </w:r>
      <w:r w:rsidRPr="00BF3CDE">
        <w:rPr>
          <w:rStyle w:val="FootnoteReference"/>
        </w:rPr>
        <w:footnoteReference w:id="310"/>
      </w:r>
    </w:p>
    <w:p w14:paraId="3314B065" w14:textId="77777777" w:rsidR="00B30BCF" w:rsidRDefault="00680FC7" w:rsidP="00B30BCF">
      <w:pPr>
        <w:shd w:val="clear" w:color="auto" w:fill="FFFFCC"/>
        <w:spacing w:before="240"/>
        <w:ind w:left="357" w:hanging="357"/>
        <w:rPr>
          <w:rFonts w:eastAsia="Cambria"/>
          <w:b/>
        </w:rPr>
      </w:pPr>
      <w:r>
        <w:rPr>
          <w:rFonts w:eastAsia="Cambria"/>
          <w:b/>
        </w:rPr>
        <w:t>Propositions de recommandations</w:t>
      </w:r>
      <w:r w:rsidR="00B30BCF" w:rsidRPr="00F756DE">
        <w:rPr>
          <w:rFonts w:eastAsia="Cambria"/>
          <w:b/>
        </w:rPr>
        <w:t>:</w:t>
      </w:r>
    </w:p>
    <w:p w14:paraId="71B54DC0" w14:textId="77777777" w:rsidR="00181D45" w:rsidRPr="00BF3CDE" w:rsidRDefault="00181D45" w:rsidP="00181D45">
      <w:pPr>
        <w:pStyle w:val="SBEmpfehlungen"/>
      </w:pPr>
      <w:r w:rsidRPr="00BF3CDE">
        <w:rPr>
          <w:b/>
        </w:rPr>
        <w:t>La Confédération et les cantons</w:t>
      </w:r>
      <w:r w:rsidRPr="00BF3CDE">
        <w:t xml:space="preserve"> suppriment toutes les dispositions constitutionnelles et légales sur la base desquelles les PH se voient refuser le droit d’élire et de voter. Ils mettent en place des </w:t>
      </w:r>
      <w:r w:rsidRPr="00BF3CDE">
        <w:rPr>
          <w:b/>
          <w:bCs/>
        </w:rPr>
        <w:t>structures professionnelles</w:t>
      </w:r>
      <w:r w:rsidRPr="00BF3CDE">
        <w:t xml:space="preserve"> visant à leur permettre d’exercer leurs droits politiques moyennant une </w:t>
      </w:r>
      <w:r w:rsidRPr="00BF3CDE">
        <w:rPr>
          <w:b/>
          <w:bCs/>
        </w:rPr>
        <w:t>prise de décision assistée</w:t>
      </w:r>
      <w:r w:rsidRPr="00BF3CDE">
        <w:t>.</w:t>
      </w:r>
    </w:p>
    <w:p w14:paraId="5374C09A" w14:textId="1095F618" w:rsidR="00181D45" w:rsidRPr="00BF3CDE" w:rsidRDefault="00181D45" w:rsidP="00181D45">
      <w:pPr>
        <w:pStyle w:val="SBEmpfehlungen"/>
      </w:pPr>
      <w:r w:rsidRPr="00BF3CDE">
        <w:rPr>
          <w:b/>
        </w:rPr>
        <w:t>La Confédération et les cantons</w:t>
      </w:r>
      <w:r w:rsidRPr="00BF3CDE">
        <w:t xml:space="preserve"> garantissent que les </w:t>
      </w:r>
      <w:r w:rsidRPr="00BF3CDE">
        <w:rPr>
          <w:b/>
        </w:rPr>
        <w:t>procédures d’élection et de vote</w:t>
      </w:r>
      <w:r w:rsidRPr="00BF3CDE">
        <w:rPr>
          <w:bCs/>
        </w:rPr>
        <w:t xml:space="preserve"> ainsi que </w:t>
      </w:r>
      <w:r w:rsidRPr="00BF3CDE">
        <w:rPr>
          <w:b/>
        </w:rPr>
        <w:t>les installations et le matériel de vote en ligne ou imprimé</w:t>
      </w:r>
      <w:r w:rsidRPr="00BF3CDE">
        <w:t xml:space="preserve"> soient utilisables par toutes les PH, dans le respect du secret de vote. Ils assurent entre autres que lors de la </w:t>
      </w:r>
      <w:r w:rsidRPr="00BF3CDE">
        <w:rPr>
          <w:b/>
        </w:rPr>
        <w:t>restructuration de la phase d’essai du vote électronique, ce système soit rendu accessible à toutes les PH</w:t>
      </w:r>
      <w:r w:rsidRPr="00BF3CDE">
        <w:t xml:space="preserve"> au plus tard </w:t>
      </w:r>
      <w:r>
        <w:t xml:space="preserve">d’ici </w:t>
      </w:r>
      <w:r w:rsidRPr="00BF3CDE">
        <w:t xml:space="preserve">aux élections fédérales de 2023. Cela concerne le </w:t>
      </w:r>
      <w:r w:rsidRPr="00BF3CDE">
        <w:rPr>
          <w:b/>
        </w:rPr>
        <w:t>déroulement des votations dans son ensemble</w:t>
      </w:r>
      <w:r w:rsidRPr="00BF3CDE">
        <w:t xml:space="preserve"> et </w:t>
      </w:r>
      <w:r w:rsidRPr="00BF3CDE">
        <w:rPr>
          <w:b/>
        </w:rPr>
        <w:t>l’inscription</w:t>
      </w:r>
      <w:r w:rsidRPr="00BF3CDE">
        <w:t xml:space="preserve"> au vote électronique, les </w:t>
      </w:r>
      <w:r w:rsidRPr="00BF3CDE">
        <w:rPr>
          <w:b/>
          <w:bCs/>
        </w:rPr>
        <w:t>documents de vote</w:t>
      </w:r>
      <w:r w:rsidRPr="00BF3CDE">
        <w:t xml:space="preserve"> ainsi que l’</w:t>
      </w:r>
      <w:r w:rsidRPr="00BF3CDE">
        <w:rPr>
          <w:b/>
          <w:bCs/>
        </w:rPr>
        <w:t>information</w:t>
      </w:r>
      <w:r w:rsidRPr="00BF3CDE">
        <w:t xml:space="preserve">. </w:t>
      </w:r>
    </w:p>
    <w:p w14:paraId="410DA58B" w14:textId="77777777" w:rsidR="00181D45" w:rsidRPr="00BF3CDE" w:rsidRDefault="00181D45" w:rsidP="00181D45">
      <w:pPr>
        <w:pStyle w:val="SBEmpfehlungen"/>
      </w:pPr>
      <w:r w:rsidRPr="00BF3CDE">
        <w:rPr>
          <w:b/>
        </w:rPr>
        <w:t xml:space="preserve">La Confédération, les cantons et communes </w:t>
      </w:r>
      <w:r w:rsidRPr="00BF3CDE">
        <w:t xml:space="preserve">ainsi que les </w:t>
      </w:r>
      <w:r w:rsidRPr="00BF3CDE">
        <w:rPr>
          <w:b/>
        </w:rPr>
        <w:t>partis politiques</w:t>
      </w:r>
      <w:r w:rsidRPr="00BF3CDE">
        <w:t xml:space="preserve"> créent les structures et prennent les mesures nécessaires pour permettre aux PH de </w:t>
      </w:r>
      <w:r w:rsidRPr="00BF3CDE">
        <w:rPr>
          <w:b/>
        </w:rPr>
        <w:t>s’engager politiquement</w:t>
      </w:r>
      <w:r w:rsidRPr="00BF3CDE">
        <w:t xml:space="preserve"> et en particulier de faire usage de leur </w:t>
      </w:r>
      <w:r w:rsidRPr="00BF3CDE">
        <w:rPr>
          <w:b/>
          <w:bCs/>
        </w:rPr>
        <w:t>droit d’éligibilité</w:t>
      </w:r>
      <w:r w:rsidRPr="00BF3CDE">
        <w:t xml:space="preserve">. </w:t>
      </w:r>
    </w:p>
    <w:p w14:paraId="3BBFE15E" w14:textId="5335FFB2" w:rsidR="00680FC7" w:rsidRPr="00F756DE" w:rsidRDefault="00181D45" w:rsidP="00181D45">
      <w:pPr>
        <w:pStyle w:val="SBEmpfehlungen"/>
      </w:pPr>
      <w:r w:rsidRPr="00BF3CDE">
        <w:t xml:space="preserve">Dans le cadre de leur </w:t>
      </w:r>
      <w:r w:rsidRPr="00BF3CDE">
        <w:rPr>
          <w:b/>
        </w:rPr>
        <w:t xml:space="preserve">fonction de surveillance, </w:t>
      </w:r>
      <w:r w:rsidRPr="00BF3CDE">
        <w:t xml:space="preserve">les </w:t>
      </w:r>
      <w:r w:rsidRPr="00BF3CDE">
        <w:rPr>
          <w:b/>
          <w:bCs/>
        </w:rPr>
        <w:t>cantons</w:t>
      </w:r>
      <w:r w:rsidRPr="00BF3CDE">
        <w:t xml:space="preserve"> garantissent que les </w:t>
      </w:r>
      <w:r w:rsidRPr="00BF3CDE">
        <w:rPr>
          <w:b/>
        </w:rPr>
        <w:t>PH résidant dans des institutions</w:t>
      </w:r>
      <w:r w:rsidRPr="00BF3CDE">
        <w:t xml:space="preserve"> puissent réellement exercer leurs droits politiques. </w:t>
      </w:r>
    </w:p>
    <w:p w14:paraId="4B35A259" w14:textId="77777777" w:rsidR="00B30BCF" w:rsidRDefault="00680FC7" w:rsidP="00680FC7">
      <w:pPr>
        <w:pStyle w:val="Heading3"/>
        <w:numPr>
          <w:ilvl w:val="0"/>
          <w:numId w:val="0"/>
        </w:numPr>
        <w:ind w:left="737" w:hanging="737"/>
      </w:pPr>
      <w:bookmarkStart w:id="139" w:name="_Toc95500350"/>
      <w:bookmarkStart w:id="140" w:name="_Toc96287620"/>
      <w:r w:rsidRPr="00BF3CDE">
        <w:t>Art. 30 – Participation à la vie culturelle et récréative, aux loisirs et aux sports</w:t>
      </w:r>
      <w:bookmarkEnd w:id="139"/>
      <w:bookmarkEnd w:id="140"/>
    </w:p>
    <w:p w14:paraId="63A209F2" w14:textId="14853AE3" w:rsidR="00680FC7" w:rsidRPr="00680FC7" w:rsidRDefault="00181D45" w:rsidP="00680FC7">
      <w:pPr>
        <w:pStyle w:val="BodyText"/>
      </w:pPr>
      <w:r w:rsidRPr="00BF3CDE">
        <w:t>Dans son rapport «Possibilités de reconnaissance des langues des signes suisses»</w:t>
      </w:r>
      <w:r w:rsidRPr="00BF3CDE">
        <w:rPr>
          <w:rStyle w:val="FootnoteReference"/>
        </w:rPr>
        <w:footnoteReference w:id="311"/>
      </w:r>
      <w:r w:rsidRPr="00BF3CDE">
        <w:t xml:space="preserve"> publié en 2021, le Conseil fédéral défend le point de vue que la </w:t>
      </w:r>
      <w:r w:rsidRPr="00BF3CDE">
        <w:rPr>
          <w:b/>
        </w:rPr>
        <w:t>reconnaissance des langues des signes suisses ne constitue pas une condition impérative pour continuer à encourager et améliorer la participation des personnes sourdes et malentendantes à la vie de la société</w:t>
      </w:r>
      <w:r w:rsidRPr="00BF3CDE">
        <w:t xml:space="preserve">. En conséquence, il renonce à tout programme politique, plan d’action ou à toute stratégie visant à reconnaître juridiquement la langue des signes en Suisse et à promouvoir la culture des personnes sourdes. </w:t>
      </w:r>
      <w:r w:rsidRPr="00BF3CDE">
        <w:rPr>
          <w:b/>
        </w:rPr>
        <w:t>La Confédération veut bien davantage surveiller les réglementations et mesures existantes</w:t>
      </w:r>
      <w:r w:rsidRPr="00BF3CDE">
        <w:t xml:space="preserve"> et, le cas échéant, continuer à suivre cette thématique dans le cadre du rapport «Politique en faveur des PH».</w:t>
      </w:r>
      <w:r w:rsidR="00BA2230" w:rsidRPr="00BF3CDE">
        <w:rPr>
          <w:rStyle w:val="FootnoteReference"/>
        </w:rPr>
        <w:footnoteReference w:id="312"/>
      </w:r>
      <w:r w:rsidRPr="00BF3CDE">
        <w:t xml:space="preserve"> Malgré les mesures fédérales et cantonales applicables, les personnes sourdes et malentendantes subissent quotidiennement des discriminations en Suisse.</w:t>
      </w:r>
      <w:r w:rsidRPr="00BF3CDE">
        <w:rPr>
          <w:rStyle w:val="FootnoteReference"/>
        </w:rPr>
        <w:footnoteReference w:id="313"/>
      </w:r>
      <w:r w:rsidRPr="00BF3CDE">
        <w:t xml:space="preserve"> De par son attitude, la Suisse méconnaît </w:t>
      </w:r>
      <w:r w:rsidR="00BA2230">
        <w:t>leur</w:t>
      </w:r>
      <w:r w:rsidRPr="00BF3CDE">
        <w:t xml:space="preserve"> situation singulière et par conséquent aussi ses obligations selon l’art. 30 CDPH.</w:t>
      </w:r>
    </w:p>
    <w:p w14:paraId="5A646C0B" w14:textId="77777777" w:rsidR="00B30BCF" w:rsidRDefault="00680FC7" w:rsidP="00B30BCF">
      <w:pPr>
        <w:shd w:val="clear" w:color="auto" w:fill="FFFFCC"/>
        <w:spacing w:before="240"/>
        <w:rPr>
          <w:rFonts w:eastAsia="Cambria"/>
          <w:b/>
        </w:rPr>
      </w:pPr>
      <w:r>
        <w:rPr>
          <w:rFonts w:eastAsia="Cambria"/>
          <w:b/>
        </w:rPr>
        <w:t>Propositions de recommandations </w:t>
      </w:r>
      <w:r w:rsidR="00B30BCF" w:rsidRPr="00F756DE">
        <w:rPr>
          <w:rFonts w:eastAsia="Cambria"/>
          <w:b/>
        </w:rPr>
        <w:t>:</w:t>
      </w:r>
    </w:p>
    <w:p w14:paraId="5991C7BF" w14:textId="0F40E8D1" w:rsidR="00680FC7" w:rsidRPr="00181D45" w:rsidRDefault="00181D45" w:rsidP="00181D45">
      <w:pPr>
        <w:pStyle w:val="SBEmpfehlungen"/>
        <w:rPr>
          <w:rFonts w:eastAsia="MS Gothic"/>
          <w:lang w:eastAsia="de-CH"/>
        </w:rPr>
      </w:pPr>
      <w:r w:rsidRPr="00BF3CDE">
        <w:t xml:space="preserve">La </w:t>
      </w:r>
      <w:r w:rsidRPr="00BF3CDE">
        <w:rPr>
          <w:b/>
        </w:rPr>
        <w:t>Confédération</w:t>
      </w:r>
      <w:r w:rsidRPr="00BF3CDE">
        <w:t xml:space="preserve"> élabore une </w:t>
      </w:r>
      <w:r w:rsidRPr="00BF3CDE">
        <w:rPr>
          <w:b/>
        </w:rPr>
        <w:t>loi</w:t>
      </w:r>
      <w:r w:rsidRPr="00BF3CDE">
        <w:t xml:space="preserve"> qui </w:t>
      </w:r>
      <w:r w:rsidRPr="00BF3CDE">
        <w:rPr>
          <w:b/>
          <w:bCs/>
        </w:rPr>
        <w:t>reconnaisse juridiquement les tr</w:t>
      </w:r>
      <w:r w:rsidRPr="00BF3CDE">
        <w:rPr>
          <w:b/>
        </w:rPr>
        <w:t xml:space="preserve">ois langues des signes suisses </w:t>
      </w:r>
      <w:r w:rsidRPr="00BF3CDE">
        <w:t xml:space="preserve">et formule les dispositions nécessaires à leur protection et leur promotion. </w:t>
      </w:r>
    </w:p>
    <w:p w14:paraId="48A8DDDA" w14:textId="77777777" w:rsidR="00680FC7" w:rsidRPr="00BF3CDE" w:rsidRDefault="00680FC7" w:rsidP="00680FC7">
      <w:pPr>
        <w:pStyle w:val="Heading2"/>
      </w:pPr>
      <w:bookmarkStart w:id="141" w:name="_Toc95500351"/>
      <w:bookmarkStart w:id="142" w:name="_Toc96287621"/>
      <w:bookmarkStart w:id="143" w:name="_Toc94605108"/>
      <w:r w:rsidRPr="00BF3CDE">
        <w:t>Obligations spécifiques</w:t>
      </w:r>
      <w:bookmarkEnd w:id="141"/>
      <w:bookmarkEnd w:id="142"/>
    </w:p>
    <w:p w14:paraId="1153CA84" w14:textId="77777777" w:rsidR="00680FC7" w:rsidRPr="00BF3CDE" w:rsidRDefault="00680FC7" w:rsidP="00680FC7">
      <w:pPr>
        <w:pStyle w:val="Heading3"/>
        <w:numPr>
          <w:ilvl w:val="0"/>
          <w:numId w:val="0"/>
        </w:numPr>
        <w:ind w:left="737" w:hanging="737"/>
        <w:rPr>
          <w:rFonts w:eastAsia="MS Gothic"/>
        </w:rPr>
      </w:pPr>
      <w:bookmarkStart w:id="144" w:name="_Toc95500352"/>
      <w:bookmarkStart w:id="145" w:name="_Toc96287622"/>
      <w:bookmarkEnd w:id="143"/>
      <w:r w:rsidRPr="00BF3CDE">
        <w:rPr>
          <w:rFonts w:eastAsia="MS Gothic"/>
        </w:rPr>
        <w:t>Art. 31 – Statistique et collecte de données</w:t>
      </w:r>
      <w:bookmarkEnd w:id="144"/>
      <w:bookmarkEnd w:id="145"/>
    </w:p>
    <w:p w14:paraId="568CE705" w14:textId="14E508B0" w:rsidR="00B30BCF" w:rsidRDefault="00181D45" w:rsidP="00181D45">
      <w:pPr>
        <w:pStyle w:val="BodyText"/>
      </w:pPr>
      <w:r w:rsidRPr="00BF3CDE">
        <w:t xml:space="preserve">Selon la réponse de la Suisse à la LoI (para. 82), les statistiques sur l’égalité des PH de l’OFS fournissent de «nombreux indicateurs» utiles à l’élaboration des politiques nationales en matière de handicap. </w:t>
      </w:r>
      <w:r>
        <w:t>Si</w:t>
      </w:r>
      <w:r w:rsidRPr="00BF3CDE">
        <w:t xml:space="preserve"> la Confédération </w:t>
      </w:r>
      <w:r>
        <w:t>a eu parfois recours</w:t>
      </w:r>
      <w:r w:rsidRPr="00BF3CDE">
        <w:t xml:space="preserve">, dans le Rapport Politique en faveur des PH 2018, </w:t>
      </w:r>
      <w:r>
        <w:t xml:space="preserve">également à </w:t>
      </w:r>
      <w:r w:rsidRPr="00BF3CDE">
        <w:t>de</w:t>
      </w:r>
      <w:r>
        <w:t>s</w:t>
      </w:r>
      <w:r w:rsidRPr="00BF3CDE">
        <w:t xml:space="preserve"> données statistiques pour dépeindre l’état de la mise en œuvre de la Convention, elle a cependant explicitement admis que ces données n’allaient «pas au-delà de quelques chiffres-clés» et ne faisaient qu’illustrer ses propos.</w:t>
      </w:r>
      <w:r w:rsidRPr="00BF3CDE">
        <w:rPr>
          <w:rStyle w:val="FootnoteReference"/>
        </w:rPr>
        <w:footnoteReference w:id="314"/>
      </w:r>
      <w:r w:rsidRPr="00BF3CDE">
        <w:t xml:space="preserve"> À la suite de l’évaluation de la LHand resp. sous l’effet du fait de devoir rédiger son </w:t>
      </w:r>
      <w:r w:rsidRPr="00BF3CDE">
        <w:rPr>
          <w:b/>
          <w:bCs/>
        </w:rPr>
        <w:t>rapport s</w:t>
      </w:r>
      <w:r w:rsidRPr="00BF3CDE">
        <w:rPr>
          <w:b/>
        </w:rPr>
        <w:t>ur la CDPH</w:t>
      </w:r>
      <w:r w:rsidRPr="00BF3CDE">
        <w:t xml:space="preserve">, </w:t>
      </w:r>
      <w:r>
        <w:t>elle</w:t>
      </w:r>
      <w:r w:rsidRPr="00BF3CDE">
        <w:t xml:space="preserve"> s’est exprimé</w:t>
      </w:r>
      <w:r>
        <w:t>e</w:t>
      </w:r>
      <w:r w:rsidRPr="00BF3CDE">
        <w:t xml:space="preserve"> avec encore plus de clarté: en dépit du mandat découlant de la LSF</w:t>
      </w:r>
      <w:r w:rsidRPr="00BF3CDE">
        <w:rPr>
          <w:rStyle w:val="FootnoteReference"/>
        </w:rPr>
        <w:footnoteReference w:id="315"/>
      </w:r>
      <w:r w:rsidRPr="00BF3CDE">
        <w:t xml:space="preserve">, «le monitorage et le pilotage réguliers de la mise en œuvre, établis sur la base d’objectifs concrets, font défaut et par conséquent, il est impossible de </w:t>
      </w:r>
      <w:r w:rsidRPr="00F60FB4">
        <w:rPr>
          <w:b/>
          <w:iCs/>
        </w:rPr>
        <w:t>fixer d’autres objectifs</w:t>
      </w:r>
      <w:r w:rsidRPr="00BF3CDE">
        <w:t xml:space="preserve"> dans le cadre d’une </w:t>
      </w:r>
      <w:r w:rsidRPr="00F60FB4">
        <w:rPr>
          <w:b/>
          <w:iCs/>
        </w:rPr>
        <w:t>stratégie globale</w:t>
      </w:r>
      <w:r w:rsidRPr="00BF3CDE">
        <w:t xml:space="preserve">, objectifs qui pourraient faire l’objet d’un monitorage fondé sur des </w:t>
      </w:r>
      <w:r w:rsidRPr="00F60FB4">
        <w:rPr>
          <w:b/>
          <w:iCs/>
        </w:rPr>
        <w:t>indicateurs mesurables</w:t>
      </w:r>
      <w:r w:rsidRPr="00BF3CDE">
        <w:t>.»</w:t>
      </w:r>
      <w:r w:rsidRPr="00BF3CDE">
        <w:rPr>
          <w:rStyle w:val="FootnoteReference"/>
        </w:rPr>
        <w:footnoteReference w:id="316"/>
      </w:r>
      <w:r w:rsidRPr="00BF3CDE">
        <w:t xml:space="preserve"> </w:t>
      </w:r>
    </w:p>
    <w:p w14:paraId="1076F3BE" w14:textId="7B656F8C" w:rsidR="00181D45" w:rsidRPr="00BF3CDE" w:rsidRDefault="00181D45" w:rsidP="00181D45">
      <w:pPr>
        <w:pStyle w:val="BodyText"/>
      </w:pPr>
      <w:r w:rsidRPr="00BF3CDE">
        <w:t xml:space="preserve">Ces cinq dernières années, la situation n’a malheureusement </w:t>
      </w:r>
      <w:r w:rsidRPr="00BF3CDE">
        <w:rPr>
          <w:b/>
        </w:rPr>
        <w:t>pas beaucoup évolué</w:t>
      </w:r>
      <w:r w:rsidRPr="00BF3CDE">
        <w:t>. L’amélioration générale des bases de données qui était encore planifiée en 2017</w:t>
      </w:r>
      <w:r w:rsidRPr="00BF3CDE">
        <w:rPr>
          <w:rStyle w:val="FootnoteReference"/>
        </w:rPr>
        <w:footnoteReference w:id="317"/>
      </w:r>
      <w:r w:rsidRPr="00BF3CDE">
        <w:t xml:space="preserve"> a cédé, en 2018, à la mise en place «pragmatique et progressive» d’un monitorage. Initialement, il était prévu de mettre les </w:t>
      </w:r>
      <w:r>
        <w:t>déficits</w:t>
      </w:r>
      <w:r w:rsidRPr="00BF3CDE">
        <w:t xml:space="preserve"> en lumière et d’identifier les indicateurs dans les nouveaux thèmes prioritaires «Travail» et «Autonomie»</w:t>
      </w:r>
      <w:r w:rsidRPr="00BF3CDE">
        <w:rPr>
          <w:rStyle w:val="FootnoteReference"/>
        </w:rPr>
        <w:footnoteReference w:id="318"/>
      </w:r>
      <w:r w:rsidRPr="00BF3CDE">
        <w:t xml:space="preserve"> </w:t>
      </w:r>
      <w:r w:rsidR="00B02439">
        <w:t>-</w:t>
      </w:r>
      <w:r w:rsidRPr="00BF3CDE">
        <w:t xml:space="preserve"> parallèlement au lancement des programmes correspondants, dans lesquels ceux-ci faisaient en conséquence défaut. Des indicateurs doivent être définis dans la perspective du nouveau programme «Autonomie»; or, aucun projet en ce sens n’a jusqu’ici été présenté aux organisations de PH. Depuis la consultation datant d’il y a 15 ans (réponse à la LoI, para. 82), il n’a plus été procédé à </w:t>
      </w:r>
      <w:r w:rsidRPr="00BF3CDE">
        <w:rPr>
          <w:b/>
          <w:bCs/>
        </w:rPr>
        <w:t>aucune implication large et systématique</w:t>
      </w:r>
      <w:r w:rsidRPr="00BF3CDE">
        <w:t xml:space="preserve"> de la société civile en vue de la poursuite du développement de la base de données. </w:t>
      </w:r>
    </w:p>
    <w:p w14:paraId="3E717021" w14:textId="3E159E0A" w:rsidR="00181D45" w:rsidRPr="00BF3CDE" w:rsidRDefault="00181D45" w:rsidP="00181D45">
      <w:pPr>
        <w:pStyle w:val="BodyText"/>
        <w:rPr>
          <w:rFonts w:cs="Rotis Sans Serif Std"/>
          <w:color w:val="000000"/>
        </w:rPr>
      </w:pPr>
      <w:r w:rsidRPr="00BF3CDE">
        <w:t xml:space="preserve">Pour ces raisons, les statistiques citées dans le PRE (para. 200 ss.) et dans la réponse à la LoI (para. 82 ss.) ne satisfont pas, à plusieurs égards, aux exigences d’une approche </w:t>
      </w:r>
      <w:r w:rsidRPr="00AB5CC0">
        <w:rPr>
          <w:b/>
        </w:rPr>
        <w:t>basée sur les droits de l’homme</w:t>
      </w:r>
      <w:r w:rsidRPr="00BF3CDE">
        <w:t xml:space="preserve">. Cela concerne d’abord une </w:t>
      </w:r>
      <w:r w:rsidRPr="00BF3CDE">
        <w:rPr>
          <w:b/>
          <w:bCs/>
        </w:rPr>
        <w:t>ventilation</w:t>
      </w:r>
      <w:r w:rsidRPr="00BF3CDE">
        <w:t xml:space="preserve"> globale des données (para. </w:t>
      </w:r>
      <w:r w:rsidRPr="008E532E">
        <w:t>26b</w:t>
      </w:r>
      <w:r w:rsidRPr="00BF3CDE">
        <w:t xml:space="preserve"> LoI). Même dans les statistiques de l’OFS sur l’égalité, les données ne sont désagrégées que selon le sexe et l’âge, les </w:t>
      </w:r>
      <w:r w:rsidRPr="00BF3CDE">
        <w:rPr>
          <w:rFonts w:cs="Rotis Sans Serif Std"/>
          <w:i/>
          <w:color w:val="000000"/>
        </w:rPr>
        <w:t>Washington Group Sets of Questions</w:t>
      </w:r>
      <w:r w:rsidRPr="00BF3CDE">
        <w:rPr>
          <w:rFonts w:cs="Rotis Sans Serif Std"/>
          <w:b/>
          <w:i/>
          <w:color w:val="000000"/>
        </w:rPr>
        <w:t xml:space="preserve"> </w:t>
      </w:r>
      <w:r w:rsidRPr="00BF3CDE">
        <w:rPr>
          <w:rFonts w:cs="Rotis Sans Serif Std"/>
          <w:color w:val="000000"/>
        </w:rPr>
        <w:t>n’y sont pas appliqués. D’autre part, les indicateurs recensés manquent de références non seulement aux éléments structurels/</w:t>
      </w:r>
      <w:r w:rsidRPr="00BF3CDE">
        <w:rPr>
          <w:rFonts w:cs="Rotis Sans Serif Std"/>
          <w:b/>
          <w:color w:val="000000"/>
        </w:rPr>
        <w:t>dimensions contraignantes</w:t>
      </w:r>
      <w:r w:rsidRPr="00BF3CDE">
        <w:rPr>
          <w:rFonts w:cs="Rotis Sans Serif Std"/>
          <w:bCs/>
          <w:color w:val="000000"/>
        </w:rPr>
        <w:t xml:space="preserve"> des droits relevant de la CDPH, mais aussi à la nécessaire </w:t>
      </w:r>
      <w:r w:rsidRPr="00BF3CDE">
        <w:rPr>
          <w:rFonts w:cs="Rotis Sans Serif Std"/>
          <w:b/>
          <w:color w:val="000000"/>
        </w:rPr>
        <w:t>diversité de types</w:t>
      </w:r>
      <w:r w:rsidRPr="00BF3CDE">
        <w:rPr>
          <w:rFonts w:cs="Rotis Sans Serif Std"/>
          <w:color w:val="000000"/>
        </w:rPr>
        <w:t xml:space="preserve"> (indicateurs de structure, de processus et de résultat).</w:t>
      </w:r>
      <w:r w:rsidRPr="00BF3CDE">
        <w:rPr>
          <w:rFonts w:eastAsia="Cambria" w:cs="Times New Roman"/>
          <w:color w:val="000000"/>
          <w:vertAlign w:val="superscript"/>
        </w:rPr>
        <w:footnoteReference w:id="319"/>
      </w:r>
      <w:r w:rsidRPr="00BF3CDE">
        <w:rPr>
          <w:sz w:val="20"/>
          <w:szCs w:val="20"/>
        </w:rPr>
        <w:t xml:space="preserve"> </w:t>
      </w:r>
      <w:r w:rsidRPr="00BF3CDE">
        <w:rPr>
          <w:rFonts w:cs="Rotis Sans Serif Std"/>
          <w:color w:val="000000"/>
        </w:rPr>
        <w:t xml:space="preserve">Par ailleurs, la </w:t>
      </w:r>
      <w:r w:rsidRPr="00BF3CDE">
        <w:rPr>
          <w:rFonts w:cs="Rotis Sans Serif Std"/>
          <w:b/>
          <w:bCs/>
          <w:color w:val="000000"/>
        </w:rPr>
        <w:t>définition</w:t>
      </w:r>
      <w:r w:rsidRPr="00BF3CDE">
        <w:rPr>
          <w:rFonts w:cs="Rotis Sans Serif Std"/>
          <w:color w:val="000000"/>
        </w:rPr>
        <w:t xml:space="preserve"> du handicap pourrait être améliorée (obstacles à la participation, besoin de soutien/</w:t>
      </w:r>
      <w:r w:rsidRPr="00E3796F">
        <w:rPr>
          <w:rFonts w:cs="Rotis Sans Serif Std"/>
          <w:color w:val="000000"/>
        </w:rPr>
        <w:t>d’adaptations)</w:t>
      </w:r>
      <w:r w:rsidRPr="00E3796F">
        <w:rPr>
          <w:rFonts w:eastAsia="Cambria" w:cs="Times New Roman"/>
          <w:color w:val="000000"/>
          <w:vertAlign w:val="superscript"/>
        </w:rPr>
        <w:footnoteReference w:id="320"/>
      </w:r>
      <w:r w:rsidRPr="00E3796F">
        <w:rPr>
          <w:color w:val="000000"/>
        </w:rPr>
        <w:t xml:space="preserve"> </w:t>
      </w:r>
      <w:r w:rsidR="00E929FA">
        <w:rPr>
          <w:color w:val="000000"/>
        </w:rPr>
        <w:t>également dans les cas où elle</w:t>
      </w:r>
      <w:r w:rsidRPr="00E3796F">
        <w:rPr>
          <w:color w:val="000000"/>
        </w:rPr>
        <w:t xml:space="preserve"> ne s’écarte pas de façon importante d’une approche basée sur les droits de l’homme</w:t>
      </w:r>
      <w:r w:rsidRPr="00E3796F">
        <w:rPr>
          <w:rFonts w:eastAsia="Calibri"/>
          <w:color w:val="000000"/>
        </w:rPr>
        <w:t>.</w:t>
      </w:r>
      <w:r w:rsidRPr="00E3796F">
        <w:rPr>
          <w:rFonts w:eastAsia="Cambria" w:cs="Times New Roman"/>
          <w:color w:val="000000"/>
          <w:vertAlign w:val="superscript"/>
        </w:rPr>
        <w:footnoteReference w:id="321"/>
      </w:r>
      <w:r w:rsidRPr="00BF3CDE">
        <w:rPr>
          <w:rFonts w:eastAsia="Calibri"/>
          <w:color w:val="000000"/>
        </w:rPr>
        <w:t xml:space="preserve"> </w:t>
      </w:r>
    </w:p>
    <w:p w14:paraId="20E76CFE" w14:textId="77777777" w:rsidR="00181D45" w:rsidRPr="00BF3CDE" w:rsidRDefault="00181D45" w:rsidP="00181D45">
      <w:pPr>
        <w:pStyle w:val="BodyText"/>
      </w:pPr>
      <w:r w:rsidRPr="00BF3CDE">
        <w:t xml:space="preserve">Jusqu’à présent, on a utilisé comme sources de données principalement des enquêtes statistiques sur les </w:t>
      </w:r>
      <w:r w:rsidRPr="00BF3CDE">
        <w:rPr>
          <w:b/>
          <w:bCs/>
        </w:rPr>
        <w:t>ménages privés</w:t>
      </w:r>
      <w:r w:rsidRPr="00BF3CDE">
        <w:t xml:space="preserve"> telles que SILC, ESS et ESPA ainsi que des statistiques </w:t>
      </w:r>
      <w:r w:rsidRPr="00BF3CDE">
        <w:rPr>
          <w:b/>
        </w:rPr>
        <w:t>administratives</w:t>
      </w:r>
      <w:r w:rsidRPr="00BF3CDE">
        <w:t xml:space="preserve"> comme SOMED. C’est pourquoi il existe une grande zone d’ombre lorsqu’il s’agit de recenser les entraves à la participation dans divers domaines de la vie des PH </w:t>
      </w:r>
      <w:r w:rsidRPr="00BF3CDE">
        <w:rPr>
          <w:b/>
          <w:bCs/>
        </w:rPr>
        <w:t>résidant et travaillant en in</w:t>
      </w:r>
      <w:r w:rsidRPr="00BF3CDE">
        <w:rPr>
          <w:b/>
        </w:rPr>
        <w:t>stitutions</w:t>
      </w:r>
      <w:r w:rsidRPr="00BF3CDE">
        <w:t xml:space="preserve">. Jusqu’à 2015, la SOMED fournissait au moins des renseignements sommaires sur leur nombre, leur sexe, leur âge et leur type de handicap; depuis lors, elle n’est </w:t>
      </w:r>
      <w:r w:rsidRPr="00BF3CDE">
        <w:rPr>
          <w:b/>
          <w:bCs/>
        </w:rPr>
        <w:t>plus obligatoire</w:t>
      </w:r>
      <w:r w:rsidRPr="00BF3CDE">
        <w:t xml:space="preserve"> (!). </w:t>
      </w:r>
    </w:p>
    <w:p w14:paraId="694D1F4B" w14:textId="77777777" w:rsidR="00181D45" w:rsidRPr="00BF3CDE" w:rsidRDefault="00181D45" w:rsidP="00181D45">
      <w:pPr>
        <w:pStyle w:val="BodyText"/>
      </w:pPr>
      <w:r w:rsidRPr="00BF3CDE">
        <w:t xml:space="preserve">Dans le </w:t>
      </w:r>
      <w:r w:rsidRPr="00BF3CDE">
        <w:rPr>
          <w:b/>
        </w:rPr>
        <w:t>domaine de la formation</w:t>
      </w:r>
      <w:r w:rsidRPr="00BF3CDE">
        <w:t xml:space="preserve">, la «statistique de la pédagogie spécialisée» se base, </w:t>
      </w:r>
      <w:r>
        <w:t xml:space="preserve">même </w:t>
      </w:r>
      <w:r w:rsidRPr="00BF3CDE">
        <w:t>après avoir été révisée, uniquement sur les mesures de pédagogie spécialisée ordonnées, au lieu de se fonder sur les besoins et les entraves à la participation subies par les PH. Ledit taux d’exclusion ne peut être relevé que de façon indirecte, et il manque une ventilation en fonction du type de handicap, du degré scolaire, de la forme précise et du déroulement dans le temps de la scolarisation intégrative resp. séparative.</w:t>
      </w:r>
    </w:p>
    <w:p w14:paraId="4EB663FA" w14:textId="73115267" w:rsidR="00181D45" w:rsidRPr="00BF3CDE" w:rsidRDefault="00181D45" w:rsidP="00181D45">
      <w:pPr>
        <w:pStyle w:val="BodyText"/>
      </w:pPr>
      <w:r w:rsidRPr="00BF3CDE">
        <w:t xml:space="preserve">Les données nécessaires à l’évaluation de l’état de mise en œuvre d’une </w:t>
      </w:r>
      <w:r w:rsidRPr="00BF3CDE">
        <w:rPr>
          <w:b/>
          <w:bCs/>
        </w:rPr>
        <w:t>disposition de la CDPH</w:t>
      </w:r>
      <w:r w:rsidRPr="00BF3CDE">
        <w:t xml:space="preserve"> proviennent, si tant est qu’elles soient disponibles, de sources très di</w:t>
      </w:r>
      <w:r>
        <w:t>fférentes</w:t>
      </w:r>
      <w:r w:rsidRPr="00BF3CDE">
        <w:t xml:space="preserve"> avec des indicateurs divergents, non coordonnés entre eux et manquant en partie de fiabilité</w:t>
      </w:r>
      <w:r w:rsidR="00874CDC">
        <w:t>.</w:t>
      </w:r>
      <w:r w:rsidRPr="00BF3CDE">
        <w:rPr>
          <w:rFonts w:eastAsia="Cambria" w:cs="Times New Roman"/>
          <w:vertAlign w:val="superscript"/>
        </w:rPr>
        <w:footnoteReference w:id="322"/>
      </w:r>
      <w:r w:rsidRPr="00BF3CDE">
        <w:t xml:space="preserve"> Un autre facteur qui complique la donne réside dans les intervalles entre le moment du relevé et celui de la publication (au moins 2 ans, souvent davantage) ou dans le relevé uniquement sporadique de certains indicateurs</w:t>
      </w:r>
      <w:r w:rsidR="00874CDC">
        <w:t>.</w:t>
      </w:r>
      <w:r w:rsidRPr="00BF3CDE">
        <w:rPr>
          <w:rFonts w:eastAsia="Cambria" w:cs="Times New Roman"/>
          <w:vertAlign w:val="superscript"/>
        </w:rPr>
        <w:footnoteReference w:id="323"/>
      </w:r>
      <w:r w:rsidRPr="00BF3CDE">
        <w:t xml:space="preserve"> </w:t>
      </w:r>
      <w:r w:rsidRPr="00BF3CDE">
        <w:rPr>
          <w:bCs/>
        </w:rPr>
        <w:t xml:space="preserve">Des </w:t>
      </w:r>
      <w:r w:rsidRPr="00BF3CDE">
        <w:rPr>
          <w:b/>
        </w:rPr>
        <w:t xml:space="preserve">données réellement actuelles </w:t>
      </w:r>
      <w:r w:rsidRPr="00BF3CDE">
        <w:rPr>
          <w:bCs/>
        </w:rPr>
        <w:t>ne sont disponibles pratiquement dans aucun domaine</w:t>
      </w:r>
      <w:r w:rsidRPr="00BF3CDE">
        <w:t>.</w:t>
      </w:r>
    </w:p>
    <w:p w14:paraId="46263E98" w14:textId="0C88349F" w:rsidR="00181D45" w:rsidRPr="00BF3CDE" w:rsidRDefault="00181D45" w:rsidP="00181D45">
      <w:pPr>
        <w:pStyle w:val="BodyText"/>
      </w:pPr>
      <w:r w:rsidRPr="00BF3CDE">
        <w:t xml:space="preserve">Les données recensées sur les PH présentent en outre de très considérables différences quantitatives et qualitatives entre les divers </w:t>
      </w:r>
      <w:r w:rsidRPr="00BF3CDE">
        <w:rPr>
          <w:b/>
        </w:rPr>
        <w:t>cantons et communes</w:t>
      </w:r>
      <w:r w:rsidRPr="00BF3CDE">
        <w:t xml:space="preserve">. Un exemple positif cité </w:t>
      </w:r>
      <w:r>
        <w:t xml:space="preserve">à présent </w:t>
      </w:r>
      <w:r w:rsidRPr="00BF3CDE">
        <w:t xml:space="preserve">par les expertes et experts </w:t>
      </w:r>
      <w:r>
        <w:t xml:space="preserve">concerne </w:t>
      </w:r>
      <w:r w:rsidRPr="00BF3CDE">
        <w:t>le canton de Lucerne.</w:t>
      </w:r>
    </w:p>
    <w:p w14:paraId="443C1FB7" w14:textId="77777777" w:rsidR="00181D45" w:rsidRPr="00BF3CDE" w:rsidRDefault="00181D45" w:rsidP="00181D45">
      <w:pPr>
        <w:pStyle w:val="BodyText"/>
      </w:pPr>
      <w:r w:rsidRPr="00BF3CDE">
        <w:t xml:space="preserve">Ces dernières années, les milieux politiques et économiques ont de façon générale manifesté peu d’intérêt à l’égard d’une qualification des bases de données et étaient de ce fait peu enclins à mettre à disposition des </w:t>
      </w:r>
      <w:r w:rsidRPr="00BF3CDE">
        <w:rPr>
          <w:b/>
        </w:rPr>
        <w:t xml:space="preserve">moyens financiers </w:t>
      </w:r>
      <w:r w:rsidRPr="00BF3CDE">
        <w:t>suffisants. Or comme déjà constaté à propos des transports publics (cf. art. 9 CDPH), la Suisse ne peut pas se soustraire à ses obligations découlant de l’art. 31 CDPH en renvoyant simplement à des standards de l’UE (réponse à la LoI, para. 83).</w:t>
      </w:r>
    </w:p>
    <w:p w14:paraId="318B0348" w14:textId="6BF1DAAA" w:rsidR="00181D45" w:rsidRPr="00181D45" w:rsidRDefault="00181D45" w:rsidP="00181D45">
      <w:pPr>
        <w:pStyle w:val="BodyText"/>
      </w:pPr>
      <w:r w:rsidRPr="00BF3CDE">
        <w:rPr>
          <w:rFonts w:eastAsia="Calibri"/>
          <w:color w:val="000000"/>
        </w:rPr>
        <w:t xml:space="preserve">En ce qui concerne </w:t>
      </w:r>
      <w:r w:rsidRPr="0034676C">
        <w:rPr>
          <w:rFonts w:eastAsia="Calibri"/>
          <w:color w:val="000000"/>
        </w:rPr>
        <w:t xml:space="preserve">la </w:t>
      </w:r>
      <w:r w:rsidRPr="0034676C">
        <w:rPr>
          <w:rFonts w:eastAsia="Calibri"/>
          <w:b/>
          <w:color w:val="000000"/>
        </w:rPr>
        <w:t>diffusion</w:t>
      </w:r>
      <w:r w:rsidRPr="0034676C">
        <w:rPr>
          <w:rFonts w:eastAsia="Calibri"/>
          <w:color w:val="000000"/>
        </w:rPr>
        <w:t xml:space="preserve"> de données statistiques</w:t>
      </w:r>
      <w:r w:rsidRPr="0034676C">
        <w:t xml:space="preserve"> (LoI para. 2</w:t>
      </w:r>
      <w:r w:rsidR="0034676C" w:rsidRPr="0034676C">
        <w:t>5</w:t>
      </w:r>
      <w:r w:rsidRPr="0034676C">
        <w:t>c), ces dernières</w:t>
      </w:r>
      <w:r w:rsidRPr="00BF3CDE">
        <w:t xml:space="preserve"> ne sont pas connues par un public plus large. Le site Web de l’OFS sur l’égalité des PH manque de lisibilité et ne propose jusqu’à ce jour pas d’informations en langue facile à lire.</w:t>
      </w:r>
    </w:p>
    <w:p w14:paraId="76878613" w14:textId="77777777" w:rsidR="00B30BCF" w:rsidRPr="00F756DE" w:rsidRDefault="00680FC7" w:rsidP="00B30BCF">
      <w:pPr>
        <w:shd w:val="clear" w:color="auto" w:fill="FFFFCC"/>
        <w:rPr>
          <w:b/>
        </w:rPr>
      </w:pPr>
      <w:r>
        <w:rPr>
          <w:b/>
        </w:rPr>
        <w:t>Propositions de recommandations</w:t>
      </w:r>
      <w:r w:rsidR="00B30BCF" w:rsidRPr="00F756DE">
        <w:rPr>
          <w:b/>
        </w:rPr>
        <w:t>:</w:t>
      </w:r>
    </w:p>
    <w:p w14:paraId="53341D80" w14:textId="77777777" w:rsidR="00181D45" w:rsidRPr="00BF3CDE" w:rsidRDefault="00181D45" w:rsidP="00181D45">
      <w:pPr>
        <w:pStyle w:val="SBEmpfehlungen"/>
      </w:pPr>
      <w:r w:rsidRPr="00150EDE">
        <w:rPr>
          <w:b/>
          <w:bCs/>
        </w:rPr>
        <w:t>L’OFS, le BFEH et les organes cantonaux compétents</w:t>
      </w:r>
      <w:r w:rsidRPr="00BF3CDE">
        <w:t xml:space="preserve"> élaborent un projet ayant pour objectif de développer, conjointement avec des expertes et experts internationaux, des scientifiques ainsi que les PH et leurs organisations, des </w:t>
      </w:r>
      <w:r w:rsidRPr="00BF3CDE">
        <w:rPr>
          <w:b/>
        </w:rPr>
        <w:t xml:space="preserve">indicateurs fondés sur les droits </w:t>
      </w:r>
      <w:r>
        <w:rPr>
          <w:b/>
        </w:rPr>
        <w:t>de l’homme</w:t>
      </w:r>
      <w:r w:rsidRPr="00BF3CDE">
        <w:t xml:space="preserve"> pour servir de base à un monitorage global de la mise en œuvre de la CDPH et à une formulation ciblée de politiques et de stratégies.</w:t>
      </w:r>
    </w:p>
    <w:p w14:paraId="115CA220" w14:textId="77777777" w:rsidR="00181D45" w:rsidRPr="00BF3CDE" w:rsidRDefault="00181D45" w:rsidP="00181D45">
      <w:pPr>
        <w:pStyle w:val="SBEmpfehlungen"/>
      </w:pPr>
      <w:r w:rsidRPr="00150EDE">
        <w:rPr>
          <w:b/>
          <w:bCs/>
        </w:rPr>
        <w:t xml:space="preserve">L’OFS, le BFEH et les organes cantonaux compétents </w:t>
      </w:r>
      <w:r>
        <w:t>mettent en place</w:t>
      </w:r>
      <w:r w:rsidRPr="00150EDE">
        <w:t xml:space="preserve"> une</w:t>
      </w:r>
      <w:r w:rsidRPr="00150EDE">
        <w:rPr>
          <w:b/>
          <w:bCs/>
        </w:rPr>
        <w:t xml:space="preserve"> enquête indépendante et représentative visant à collecter des informations sur la situation de vie des PH</w:t>
      </w:r>
      <w:r w:rsidRPr="00BF3CDE">
        <w:t xml:space="preserve"> (Disability Survey) dans laquelle tous les types de handicaps, de modalités d’habitat et de travail, ainsi que tous les </w:t>
      </w:r>
      <w:r>
        <w:t>genres</w:t>
      </w:r>
      <w:r w:rsidRPr="00BF3CDE">
        <w:t xml:space="preserve"> et groupes d’âge, etc. soient représentés de manière appropriée. </w:t>
      </w:r>
    </w:p>
    <w:p w14:paraId="482F903F" w14:textId="601AC913" w:rsidR="00B30BCF" w:rsidRPr="00F756DE" w:rsidRDefault="00181D45" w:rsidP="00181D45">
      <w:pPr>
        <w:pStyle w:val="SBEmpfehlungen"/>
      </w:pPr>
      <w:r w:rsidRPr="00D5690A">
        <w:rPr>
          <w:b/>
          <w:bCs/>
        </w:rPr>
        <w:t>Le Parlement fédéral</w:t>
      </w:r>
      <w:r w:rsidRPr="00BF3CDE">
        <w:t xml:space="preserve"> accorde les ressources nécessaires à la mise en œuvre de ces mesures, le cas échéant en élargissant le mandat de l’OFS.</w:t>
      </w:r>
    </w:p>
    <w:p w14:paraId="63BD98C7" w14:textId="77777777" w:rsidR="00680FC7" w:rsidRPr="00BF3CDE" w:rsidRDefault="00680FC7" w:rsidP="00680FC7">
      <w:pPr>
        <w:pStyle w:val="Heading3"/>
        <w:numPr>
          <w:ilvl w:val="0"/>
          <w:numId w:val="0"/>
        </w:numPr>
        <w:ind w:left="737" w:hanging="737"/>
      </w:pPr>
      <w:bookmarkStart w:id="146" w:name="_Toc95500353"/>
      <w:bookmarkStart w:id="147" w:name="_Ref95896393"/>
      <w:bookmarkStart w:id="148" w:name="_Toc96287623"/>
      <w:r w:rsidRPr="00BF3CDE">
        <w:t>Art. 33 – Application et suivi au niveau national</w:t>
      </w:r>
      <w:bookmarkEnd w:id="146"/>
      <w:bookmarkEnd w:id="147"/>
      <w:bookmarkEnd w:id="148"/>
      <w:r w:rsidRPr="00BF3CDE">
        <w:t xml:space="preserve"> </w:t>
      </w:r>
    </w:p>
    <w:p w14:paraId="7B9AE69A" w14:textId="77777777" w:rsidR="00680FC7" w:rsidRDefault="00680FC7" w:rsidP="00680FC7">
      <w:pPr>
        <w:pStyle w:val="Subtitle"/>
      </w:pPr>
      <w:r w:rsidRPr="005C7B04">
        <w:t>Mesures en vue de la mise en œuvre de la CDPH et du monitorage</w:t>
      </w:r>
      <w:r w:rsidRPr="00BF3CDE">
        <w:t xml:space="preserve"> (LoI, 27a)</w:t>
      </w:r>
    </w:p>
    <w:p w14:paraId="63532EEF" w14:textId="1795AF6A" w:rsidR="00181D45" w:rsidRPr="00BF3CDE" w:rsidRDefault="00181D45" w:rsidP="00181D45">
      <w:pPr>
        <w:pStyle w:val="BodyText"/>
      </w:pPr>
      <w:r w:rsidRPr="00BF3CDE">
        <w:t>Le rapport du CF sur la politique en faveur des PH</w:t>
      </w:r>
      <w:r w:rsidRPr="00BF3CDE">
        <w:rPr>
          <w:rStyle w:val="FootnoteReference"/>
        </w:rPr>
        <w:footnoteReference w:id="324"/>
      </w:r>
      <w:r w:rsidRPr="00BF3CDE">
        <w:t xml:space="preserve"> contient des </w:t>
      </w:r>
      <w:r w:rsidRPr="00BF3CDE">
        <w:rPr>
          <w:b/>
        </w:rPr>
        <w:t>mesures</w:t>
      </w:r>
      <w:r>
        <w:rPr>
          <w:b/>
        </w:rPr>
        <w:t xml:space="preserve"> </w:t>
      </w:r>
      <w:r w:rsidR="00B20B6D">
        <w:rPr>
          <w:b/>
        </w:rPr>
        <w:t>–</w:t>
      </w:r>
      <w:r w:rsidRPr="00BF3CDE">
        <w:rPr>
          <w:b/>
        </w:rPr>
        <w:t xml:space="preserve"> </w:t>
      </w:r>
      <w:r>
        <w:rPr>
          <w:b/>
        </w:rPr>
        <w:t xml:space="preserve">qui méritent d’être saluées </w:t>
      </w:r>
      <w:r w:rsidR="00B20B6D">
        <w:rPr>
          <w:b/>
        </w:rPr>
        <w:t>–</w:t>
      </w:r>
      <w:r w:rsidRPr="00BF3CDE">
        <w:t xml:space="preserve"> vis</w:t>
      </w:r>
      <w:r>
        <w:t>a</w:t>
      </w:r>
      <w:r w:rsidRPr="00BF3CDE">
        <w:t>nt à améliorer la coordination; en fait partie</w:t>
      </w:r>
      <w:r>
        <w:t>,</w:t>
      </w:r>
      <w:r w:rsidRPr="00BF3CDE">
        <w:t xml:space="preserve"> entre autres</w:t>
      </w:r>
      <w:r>
        <w:t>,</w:t>
      </w:r>
      <w:r w:rsidRPr="00BF3CDE">
        <w:t xml:space="preserve"> le </w:t>
      </w:r>
      <w:r>
        <w:rPr>
          <w:b/>
          <w:bCs/>
        </w:rPr>
        <w:t>G</w:t>
      </w:r>
      <w:r w:rsidRPr="00BF3CDE">
        <w:rPr>
          <w:b/>
          <w:bCs/>
        </w:rPr>
        <w:t>roupe de travail sur la politique en faveur des PH</w:t>
      </w:r>
      <w:r w:rsidRPr="00BF3CDE">
        <w:t xml:space="preserve"> mentionné par la Suisse (réponse à la LoI, para. 89). D’autre part, on peut se féliciter que les thèmes prioritaires prévus par le rapport aient été concrétisés et compactés sous forme de </w:t>
      </w:r>
      <w:r w:rsidRPr="00BF3CDE">
        <w:rPr>
          <w:b/>
        </w:rPr>
        <w:t>programmes pluriannuels</w:t>
      </w:r>
      <w:r w:rsidR="00B20B6D" w:rsidRPr="00B20B6D">
        <w:t>.</w:t>
      </w:r>
      <w:r w:rsidRPr="00BF3CDE">
        <w:rPr>
          <w:rStyle w:val="FootnoteReference"/>
        </w:rPr>
        <w:footnoteReference w:id="325"/>
      </w:r>
      <w:r w:rsidRPr="00BF3CDE">
        <w:t xml:space="preserve"> En outre, le BFEH est fortement engagé dans la </w:t>
      </w:r>
      <w:r w:rsidRPr="00BF3CDE">
        <w:rPr>
          <w:b/>
        </w:rPr>
        <w:t>diffusion de l’information et la sensibilisation</w:t>
      </w:r>
      <w:r w:rsidRPr="00BF3CDE">
        <w:t xml:space="preserve"> </w:t>
      </w:r>
      <w:r>
        <w:t>concernant tous les aspects liés à</w:t>
      </w:r>
      <w:r w:rsidRPr="00395B1B">
        <w:t xml:space="preserve"> la CDPH.</w:t>
      </w:r>
      <w:r w:rsidRPr="00BF3CDE">
        <w:rPr>
          <w:rStyle w:val="FootnoteReference"/>
        </w:rPr>
        <w:footnoteReference w:id="326"/>
      </w:r>
      <w:r w:rsidRPr="00BF3CDE">
        <w:t xml:space="preserve"> </w:t>
      </w:r>
      <w:r>
        <w:t xml:space="preserve">Il en ressort clairement la </w:t>
      </w:r>
      <w:r w:rsidRPr="00BF3CDE">
        <w:rPr>
          <w:b/>
          <w:bCs/>
        </w:rPr>
        <w:t>volonté, notamment du BFEH</w:t>
      </w:r>
      <w:r w:rsidRPr="00BF3CDE">
        <w:t>, de faire avancer la mise en œuvre de la C</w:t>
      </w:r>
      <w:r>
        <w:t>onvention</w:t>
      </w:r>
      <w:r w:rsidRPr="00BF3CDE">
        <w:t xml:space="preserve">. Or, vu qu’un </w:t>
      </w:r>
      <w:r w:rsidRPr="00BF3CDE">
        <w:rPr>
          <w:b/>
          <w:bCs/>
        </w:rPr>
        <w:t xml:space="preserve">plan d’action global pour </w:t>
      </w:r>
      <w:r>
        <w:rPr>
          <w:b/>
          <w:bCs/>
        </w:rPr>
        <w:t>s</w:t>
      </w:r>
      <w:r w:rsidRPr="00BF3CDE">
        <w:rPr>
          <w:b/>
          <w:bCs/>
        </w:rPr>
        <w:t xml:space="preserve">a mise en œuvre </w:t>
      </w:r>
      <w:r w:rsidRPr="00BF3CDE">
        <w:t>continue de faire défaut</w:t>
      </w:r>
      <w:r w:rsidRPr="00BF3CDE">
        <w:rPr>
          <w:rStyle w:val="FootnoteReference"/>
        </w:rPr>
        <w:footnoteReference w:id="327"/>
      </w:r>
      <w:r w:rsidRPr="00BF3CDE">
        <w:t>, et vu que ses exigences n’ont jusqu’</w:t>
      </w:r>
      <w:r>
        <w:t>à ce jour</w:t>
      </w:r>
      <w:r w:rsidRPr="00BF3CDE">
        <w:t xml:space="preserve"> </w:t>
      </w:r>
      <w:r w:rsidRPr="00BF3CDE">
        <w:rPr>
          <w:b/>
          <w:bCs/>
        </w:rPr>
        <w:t xml:space="preserve">nullement été </w:t>
      </w:r>
      <w:r>
        <w:rPr>
          <w:b/>
          <w:bCs/>
        </w:rPr>
        <w:t xml:space="preserve">intégrées </w:t>
      </w:r>
      <w:r w:rsidRPr="00BF3CDE">
        <w:rPr>
          <w:b/>
          <w:bCs/>
        </w:rPr>
        <w:t>dans les contenus, ins</w:t>
      </w:r>
      <w:r w:rsidRPr="00BF3CDE">
        <w:rPr>
          <w:b/>
        </w:rPr>
        <w:t>titutions et processus</w:t>
      </w:r>
      <w:r>
        <w:rPr>
          <w:b/>
        </w:rPr>
        <w:t xml:space="preserve">, et ce </w:t>
      </w:r>
      <w:r w:rsidR="00B20B6D">
        <w:rPr>
          <w:b/>
        </w:rPr>
        <w:t xml:space="preserve">à </w:t>
      </w:r>
      <w:r>
        <w:rPr>
          <w:b/>
        </w:rPr>
        <w:t>aucun des</w:t>
      </w:r>
      <w:r w:rsidRPr="00BF3CDE">
        <w:rPr>
          <w:b/>
        </w:rPr>
        <w:t xml:space="preserve"> échelons fédéraux</w:t>
      </w:r>
      <w:r w:rsidRPr="00BF3CDE">
        <w:t>, la</w:t>
      </w:r>
      <w:r w:rsidRPr="00BF3CDE">
        <w:rPr>
          <w:b/>
        </w:rPr>
        <w:t xml:space="preserve"> </w:t>
      </w:r>
      <w:r>
        <w:rPr>
          <w:b/>
        </w:rPr>
        <w:t>CDPH</w:t>
      </w:r>
      <w:r w:rsidRPr="00BF3CDE">
        <w:rPr>
          <w:b/>
        </w:rPr>
        <w:t xml:space="preserve"> risque</w:t>
      </w:r>
      <w:r w:rsidRPr="00BF3CDE">
        <w:rPr>
          <w:bCs/>
        </w:rPr>
        <w:t xml:space="preserve"> pour l’instant d</w:t>
      </w:r>
      <w:r w:rsidRPr="00BF3CDE">
        <w:t>’être avant tout</w:t>
      </w:r>
      <w:r w:rsidRPr="00BF3CDE">
        <w:rPr>
          <w:b/>
        </w:rPr>
        <w:t xml:space="preserve"> «administrée», au lieu d’être appliquée de manière proactive, globale et cordonnée</w:t>
      </w:r>
      <w:r w:rsidRPr="00BF3CDE">
        <w:t>.</w:t>
      </w:r>
    </w:p>
    <w:p w14:paraId="008D99C3" w14:textId="093C6384" w:rsidR="00680FC7" w:rsidRPr="00680FC7" w:rsidRDefault="00181D45" w:rsidP="00181D45">
      <w:pPr>
        <w:pStyle w:val="BodyText"/>
      </w:pPr>
      <w:r w:rsidRPr="00BF3CDE">
        <w:rPr>
          <w:b/>
        </w:rPr>
        <w:t xml:space="preserve">De graves carences </w:t>
      </w:r>
      <w:r w:rsidRPr="00BF3CDE">
        <w:t xml:space="preserve">perdurent en outre </w:t>
      </w:r>
      <w:r>
        <w:t>aux niveaux</w:t>
      </w:r>
      <w:r w:rsidRPr="00BF3CDE">
        <w:t xml:space="preserve"> </w:t>
      </w:r>
      <w:r w:rsidRPr="00BF3CDE">
        <w:rPr>
          <w:b/>
        </w:rPr>
        <w:t>canton</w:t>
      </w:r>
      <w:r>
        <w:rPr>
          <w:b/>
        </w:rPr>
        <w:t>al</w:t>
      </w:r>
      <w:r w:rsidRPr="00BF3CDE">
        <w:rPr>
          <w:b/>
        </w:rPr>
        <w:t xml:space="preserve"> et commun</w:t>
      </w:r>
      <w:r>
        <w:rPr>
          <w:b/>
        </w:rPr>
        <w:t>al</w:t>
      </w:r>
      <w:r w:rsidRPr="00BF3CDE">
        <w:t xml:space="preserve"> où les structures en vue de la mise en œuvre de la CDPH </w:t>
      </w:r>
      <w:r>
        <w:t>font presque</w:t>
      </w:r>
      <w:r w:rsidRPr="00BF3CDE">
        <w:t xml:space="preserve"> entièrement</w:t>
      </w:r>
      <w:r>
        <w:t xml:space="preserve"> défaut</w:t>
      </w:r>
      <w:r w:rsidRPr="00BF3CDE">
        <w:t>.</w:t>
      </w:r>
      <w:r w:rsidRPr="00BF3CDE">
        <w:rPr>
          <w:rStyle w:val="FootnoteReference"/>
        </w:rPr>
        <w:footnoteReference w:id="328"/>
      </w:r>
      <w:r w:rsidRPr="00BF3CDE">
        <w:t xml:space="preserve"> Actuellement, seuls les cantons de ZH et BS disposent d’un </w:t>
      </w:r>
      <w:r>
        <w:t>point de contact</w:t>
      </w:r>
      <w:r w:rsidRPr="00BF3CDE">
        <w:t xml:space="preserve"> pour toute question liée à la CDPH.</w:t>
      </w:r>
      <w:r w:rsidRPr="00BF3CDE">
        <w:rPr>
          <w:rStyle w:val="FootnoteReference"/>
        </w:rPr>
        <w:footnoteReference w:id="329"/>
      </w:r>
      <w:r w:rsidRPr="00BF3CDE">
        <w:t xml:space="preserve"> Les cantons du VS et de NE ont inscrit un tel service dans leurs nouvelles lois concernant les PH.</w:t>
      </w:r>
      <w:r w:rsidRPr="00BF3CDE">
        <w:rPr>
          <w:rStyle w:val="FootnoteReference"/>
        </w:rPr>
        <w:footnoteReference w:id="330"/>
      </w:r>
      <w:r w:rsidRPr="00BF3CDE">
        <w:t xml:space="preserve"> Sur le </w:t>
      </w:r>
      <w:r w:rsidRPr="00BF3CDE">
        <w:rPr>
          <w:b/>
          <w:bCs/>
        </w:rPr>
        <w:t>plan communal</w:t>
      </w:r>
      <w:r w:rsidRPr="00BF3CDE">
        <w:t>, la Ville de Berne</w:t>
      </w:r>
      <w:r w:rsidRPr="00BF3CDE">
        <w:rPr>
          <w:rStyle w:val="FootnoteReference"/>
        </w:rPr>
        <w:footnoteReference w:id="331"/>
      </w:r>
      <w:r w:rsidRPr="00BF3CDE">
        <w:t xml:space="preserve"> et la Ville de Zurich disposent chacune d’un </w:t>
      </w:r>
      <w:r w:rsidRPr="00BF3CDE">
        <w:rPr>
          <w:b/>
        </w:rPr>
        <w:t>Bureau pour l’égalité des PH</w:t>
      </w:r>
      <w:r w:rsidRPr="00BF3CDE">
        <w:t>.</w:t>
      </w:r>
    </w:p>
    <w:p w14:paraId="53506C09" w14:textId="77777777" w:rsidR="00680FC7" w:rsidRDefault="00680FC7" w:rsidP="00680FC7">
      <w:pPr>
        <w:pStyle w:val="Subtitle"/>
      </w:pPr>
      <w:r w:rsidRPr="00BF3CDE">
        <w:t>INDH (LoI, 27b)</w:t>
      </w:r>
    </w:p>
    <w:p w14:paraId="5BB08950" w14:textId="77777777" w:rsidR="00181D45" w:rsidRPr="00BF3CDE" w:rsidRDefault="00181D45" w:rsidP="00181D45">
      <w:pPr>
        <w:pStyle w:val="BodyText"/>
      </w:pPr>
      <w:r w:rsidRPr="00BF3CDE">
        <w:t xml:space="preserve">Le 1.10.2021, le Parlement a </w:t>
      </w:r>
      <w:r w:rsidRPr="00BF3CDE">
        <w:rPr>
          <w:b/>
        </w:rPr>
        <w:t>adopté une loi en vue de la création d’une INDH</w:t>
      </w:r>
      <w:r w:rsidRPr="00BF3CDE">
        <w:t>.</w:t>
      </w:r>
      <w:r w:rsidRPr="00BF3CDE">
        <w:rPr>
          <w:rStyle w:val="FootnoteReference"/>
        </w:rPr>
        <w:footnoteReference w:id="332"/>
      </w:r>
      <w:r w:rsidRPr="00BF3CDE">
        <w:t xml:space="preserve"> </w:t>
      </w:r>
      <w:r>
        <w:t>I</w:t>
      </w:r>
      <w:r w:rsidRPr="00BF3CDE">
        <w:t xml:space="preserve">l s’agit </w:t>
      </w:r>
      <w:r>
        <w:t xml:space="preserve">fondamentalement </w:t>
      </w:r>
      <w:r w:rsidRPr="00BF3CDE">
        <w:t xml:space="preserve">d’une </w:t>
      </w:r>
      <w:r w:rsidRPr="00BF3CDE">
        <w:rPr>
          <w:b/>
        </w:rPr>
        <w:t>bonne base</w:t>
      </w:r>
      <w:r w:rsidRPr="00BF3CDE">
        <w:t xml:space="preserve"> </w:t>
      </w:r>
      <w:r>
        <w:t>pour une mise en conformité avec</w:t>
      </w:r>
      <w:r w:rsidRPr="00BF3CDE">
        <w:t xml:space="preserve"> les Principes de Paris. L’</w:t>
      </w:r>
      <w:r w:rsidRPr="00BF3CDE">
        <w:rPr>
          <w:b/>
        </w:rPr>
        <w:t xml:space="preserve">obtention du statut </w:t>
      </w:r>
      <w:r>
        <w:rPr>
          <w:b/>
        </w:rPr>
        <w:t>«</w:t>
      </w:r>
      <w:r w:rsidRPr="00BF3CDE">
        <w:rPr>
          <w:b/>
        </w:rPr>
        <w:t>A</w:t>
      </w:r>
      <w:r>
        <w:rPr>
          <w:b/>
        </w:rPr>
        <w:t>»</w:t>
      </w:r>
      <w:r w:rsidRPr="00BF3CDE">
        <w:t xml:space="preserve"> semble cependant </w:t>
      </w:r>
      <w:r w:rsidRPr="006B5B41">
        <w:rPr>
          <w:b/>
          <w:bCs/>
        </w:rPr>
        <w:t>re</w:t>
      </w:r>
      <w:r w:rsidRPr="00BF3CDE">
        <w:rPr>
          <w:b/>
          <w:bCs/>
        </w:rPr>
        <w:t>mi</w:t>
      </w:r>
      <w:r>
        <w:rPr>
          <w:b/>
          <w:bCs/>
        </w:rPr>
        <w:t>se</w:t>
      </w:r>
      <w:r w:rsidRPr="00BF3CDE">
        <w:rPr>
          <w:b/>
          <w:bCs/>
        </w:rPr>
        <w:t xml:space="preserve"> en cause</w:t>
      </w:r>
      <w:r w:rsidRPr="00BF3CDE">
        <w:t xml:space="preserve"> </w:t>
      </w:r>
      <w:r>
        <w:t>en raison d</w:t>
      </w:r>
      <w:r w:rsidRPr="00BF3CDE">
        <w:t xml:space="preserve">es deux problèmes suivants: </w:t>
      </w:r>
    </w:p>
    <w:p w14:paraId="1E90A498" w14:textId="003FD078" w:rsidR="00181D45" w:rsidRPr="00BF3CDE" w:rsidRDefault="00181D45" w:rsidP="00FD46B4">
      <w:pPr>
        <w:pStyle w:val="BodyText"/>
      </w:pPr>
      <w:r>
        <w:t xml:space="preserve">Selon </w:t>
      </w:r>
      <w:r w:rsidRPr="00BF3CDE">
        <w:t xml:space="preserve">le message, il est prévu une </w:t>
      </w:r>
      <w:r w:rsidRPr="00BF3CDE">
        <w:rPr>
          <w:b/>
          <w:bCs/>
        </w:rPr>
        <w:t>contribution fédérale</w:t>
      </w:r>
      <w:r w:rsidRPr="00BF3CDE">
        <w:t xml:space="preserve"> d’un montant de </w:t>
      </w:r>
      <w:r>
        <w:t xml:space="preserve">CHF </w:t>
      </w:r>
      <w:r w:rsidRPr="00BF3CDE">
        <w:t>1 million (</w:t>
      </w:r>
      <w:r>
        <w:t xml:space="preserve">à laquelle s’ajoutent </w:t>
      </w:r>
      <w:r w:rsidRPr="00BF3CDE">
        <w:t xml:space="preserve">les contributions cantonales pour les coûts de l’infrastructure). Cela </w:t>
      </w:r>
      <w:r>
        <w:t>risque de compromettre</w:t>
      </w:r>
      <w:r w:rsidRPr="00BF3CDE">
        <w:t xml:space="preserve"> </w:t>
      </w:r>
      <w:r w:rsidRPr="00BF3CDE">
        <w:rPr>
          <w:b/>
        </w:rPr>
        <w:t>l’élaboration et l</w:t>
      </w:r>
      <w:r>
        <w:rPr>
          <w:b/>
        </w:rPr>
        <w:t>es activités</w:t>
      </w:r>
      <w:r w:rsidRPr="00BF3CDE">
        <w:rPr>
          <w:b/>
        </w:rPr>
        <w:t xml:space="preserve"> de l’INDH</w:t>
      </w:r>
      <w:r w:rsidRPr="00BF3CDE">
        <w:t xml:space="preserve">. Le Conseil fédéral devrait </w:t>
      </w:r>
      <w:r>
        <w:t xml:space="preserve">bien davantage </w:t>
      </w:r>
      <w:r w:rsidRPr="00BF3CDE">
        <w:t xml:space="preserve">orienter la planification budgétaire selon les </w:t>
      </w:r>
      <w:r w:rsidRPr="00BF3CDE">
        <w:rPr>
          <w:b/>
        </w:rPr>
        <w:t xml:space="preserve">contributions étatiques </w:t>
      </w:r>
      <w:r w:rsidRPr="00BF3CDE">
        <w:t xml:space="preserve">mises à disposition des </w:t>
      </w:r>
      <w:r w:rsidRPr="00BF3CDE">
        <w:rPr>
          <w:b/>
        </w:rPr>
        <w:t>INDH dans des pays comparables</w:t>
      </w:r>
      <w:r w:rsidRPr="00BF3CDE">
        <w:t xml:space="preserve"> comme le Danemark, l’Allemagne, les Pays-Bas ou la Suède</w:t>
      </w:r>
      <w:r w:rsidR="00E82817">
        <w:t>.</w:t>
      </w:r>
      <w:r w:rsidRPr="00BF3CDE">
        <w:rPr>
          <w:rStyle w:val="FootnoteReference"/>
        </w:rPr>
        <w:footnoteReference w:id="333"/>
      </w:r>
      <w:r w:rsidRPr="00BF3CDE">
        <w:t xml:space="preserve"> En 2021, le Comité de l’ONU pour l’élimination de la discrimination raciale (</w:t>
      </w:r>
      <w:r w:rsidRPr="00BF3CDE">
        <w:rPr>
          <w:b/>
        </w:rPr>
        <w:t>CEDR</w:t>
      </w:r>
      <w:r w:rsidRPr="00BF3CDE">
        <w:t xml:space="preserve">) et </w:t>
      </w:r>
      <w:r>
        <w:t xml:space="preserve">le Comité </w:t>
      </w:r>
      <w:r w:rsidRPr="00BF3CDE">
        <w:t>des droits de l’enfant (</w:t>
      </w:r>
      <w:r w:rsidRPr="00BF3CDE">
        <w:rPr>
          <w:b/>
        </w:rPr>
        <w:t>CDE</w:t>
      </w:r>
      <w:r w:rsidRPr="00BF3CDE">
        <w:t xml:space="preserve">) ont </w:t>
      </w:r>
      <w:r>
        <w:t>suggéré</w:t>
      </w:r>
      <w:r w:rsidRPr="00BF3CDE">
        <w:t xml:space="preserve"> à la Suisse de doter l’Institution de </w:t>
      </w:r>
      <w:r w:rsidRPr="00BF3CDE">
        <w:rPr>
          <w:b/>
          <w:bCs/>
        </w:rPr>
        <w:t>ressources personnelles et financières suffisantes</w:t>
      </w:r>
      <w:r w:rsidRPr="00BF3CDE">
        <w:t xml:space="preserve"> pour lui permettre de remplir sa mission.</w:t>
      </w:r>
      <w:r w:rsidRPr="00BF3CDE">
        <w:rPr>
          <w:rStyle w:val="FootnoteReference"/>
        </w:rPr>
        <w:footnoteReference w:id="334"/>
      </w:r>
    </w:p>
    <w:p w14:paraId="2E072F97" w14:textId="77777777" w:rsidR="00181D45" w:rsidRPr="00BF3CDE" w:rsidRDefault="00181D45" w:rsidP="00FD46B4">
      <w:pPr>
        <w:pStyle w:val="BodyText"/>
      </w:pPr>
      <w:r w:rsidRPr="00BF3CDE">
        <w:t xml:space="preserve">Le mandat de l’INDH prévu par la loi est approprié dans son principe. Une courte majorité du Parlement a toutefois opté pour une </w:t>
      </w:r>
      <w:r w:rsidRPr="00BB3C43">
        <w:rPr>
          <w:b/>
        </w:rPr>
        <w:t>formulation définitive</w:t>
      </w:r>
      <w:r>
        <w:rPr>
          <w:b/>
        </w:rPr>
        <w:t xml:space="preserve"> de ses tâches</w:t>
      </w:r>
      <w:r w:rsidRPr="00BF3CDE">
        <w:t xml:space="preserve"> (art. 10b). Cela remet en cause la capacité de l’INDH à envisager un </w:t>
      </w:r>
      <w:r w:rsidRPr="00637C2B">
        <w:rPr>
          <w:b/>
          <w:bCs/>
        </w:rPr>
        <w:t>travail d’une envergure suffisamment large et exhaustive</w:t>
      </w:r>
      <w:r w:rsidRPr="00BF3CDE">
        <w:t xml:space="preserve">. </w:t>
      </w:r>
    </w:p>
    <w:p w14:paraId="4F4D76D4" w14:textId="2B4FADBC" w:rsidR="00680FC7" w:rsidRPr="00680FC7" w:rsidRDefault="007633A2" w:rsidP="00181D45">
      <w:pPr>
        <w:pStyle w:val="BodyText"/>
      </w:pPr>
      <w:r w:rsidRPr="00181D45">
        <w:t>Spécifiquement</w:t>
      </w:r>
      <w:r w:rsidRPr="00BF3CDE">
        <w:rPr>
          <w:bCs/>
        </w:rPr>
        <w:t xml:space="preserve"> dans le contexte de la </w:t>
      </w:r>
      <w:r w:rsidRPr="00181D45">
        <w:t>mise en œuvre de la CDPH</w:t>
      </w:r>
      <w:r>
        <w:t>,</w:t>
      </w:r>
      <w:r>
        <w:rPr>
          <w:bCs/>
        </w:rPr>
        <w:t xml:space="preserve"> il est essentiel</w:t>
      </w:r>
      <w:r w:rsidRPr="00BF3CDE">
        <w:rPr>
          <w:bCs/>
        </w:rPr>
        <w:t xml:space="preserve"> </w:t>
      </w:r>
      <w:r w:rsidRPr="00BF3CDE">
        <w:t xml:space="preserve">que le BFEH </w:t>
      </w:r>
      <w:r w:rsidRPr="007633A2">
        <w:rPr>
          <w:lang w:val="fr-FR"/>
        </w:rPr>
        <w:t>soit associé aux travaux préparatoires de la mise en place de la nouvelle institution, à l</w:t>
      </w:r>
      <w:r>
        <w:rPr>
          <w:lang w:val="fr-FR"/>
        </w:rPr>
        <w:t>’</w:t>
      </w:r>
      <w:r w:rsidRPr="007633A2">
        <w:rPr>
          <w:lang w:val="fr-FR"/>
        </w:rPr>
        <w:t>instar des</w:t>
      </w:r>
      <w:r w:rsidRPr="00BF3CDE">
        <w:t xml:space="preserve"> </w:t>
      </w:r>
      <w:r w:rsidRPr="00181D45">
        <w:rPr>
          <w:bCs/>
        </w:rPr>
        <w:t>autres organes fédéraux</w:t>
      </w:r>
      <w:r w:rsidRPr="00BF3CDE">
        <w:rPr>
          <w:bCs/>
        </w:rPr>
        <w:t xml:space="preserve"> </w:t>
      </w:r>
      <w:r w:rsidRPr="00BF3CDE">
        <w:t xml:space="preserve">de domaines tels que </w:t>
      </w:r>
      <w:r w:rsidRPr="00181D45">
        <w:t>l’égalité entre les femmes et les hommes</w:t>
      </w:r>
      <w:r w:rsidRPr="00BF3CDE">
        <w:t xml:space="preserve"> ainsi que </w:t>
      </w:r>
      <w:r w:rsidRPr="00181D45">
        <w:t>l’</w:t>
      </w:r>
      <w:r>
        <w:t xml:space="preserve">élimination des discriminations. La </w:t>
      </w:r>
      <w:r w:rsidR="00181D45" w:rsidRPr="00BF3CDE">
        <w:t>CDPH</w:t>
      </w:r>
      <w:r w:rsidR="00181D45">
        <w:t xml:space="preserve"> </w:t>
      </w:r>
      <w:r>
        <w:t>est</w:t>
      </w:r>
      <w:r w:rsidR="00181D45">
        <w:t xml:space="preserve"> la</w:t>
      </w:r>
      <w:r w:rsidR="00181D45" w:rsidRPr="00BF3CDE">
        <w:t xml:space="preserve"> seule Convention des droits de l’homme qui se ré</w:t>
      </w:r>
      <w:r>
        <w:t xml:space="preserve">fère explicitement aux INDH et </w:t>
      </w:r>
      <w:r w:rsidR="00181D45">
        <w:t xml:space="preserve">cette dernière </w:t>
      </w:r>
      <w:r>
        <w:t xml:space="preserve">est </w:t>
      </w:r>
      <w:r w:rsidR="00181D45">
        <w:t xml:space="preserve">amenée à </w:t>
      </w:r>
      <w:r w:rsidR="00181D45" w:rsidRPr="00BF3CDE">
        <w:t xml:space="preserve">assurer une </w:t>
      </w:r>
      <w:r w:rsidR="00181D45" w:rsidRPr="00181D45">
        <w:rPr>
          <w:b/>
          <w:bCs/>
        </w:rPr>
        <w:t>tâche essentielle</w:t>
      </w:r>
      <w:r w:rsidR="00181D45" w:rsidRPr="00BF3CDE">
        <w:t xml:space="preserve"> également dans le domaine des droits des PH.</w:t>
      </w:r>
      <w:r w:rsidR="00181D45" w:rsidRPr="00BF3CDE">
        <w:rPr>
          <w:rStyle w:val="FootnoteReference"/>
        </w:rPr>
        <w:footnoteReference w:id="335"/>
      </w:r>
      <w:r w:rsidR="00181D45" w:rsidRPr="00BF3CDE">
        <w:t xml:space="preserve"> </w:t>
      </w:r>
    </w:p>
    <w:p w14:paraId="69D474FC" w14:textId="77777777" w:rsidR="00680FC7" w:rsidRPr="00BF3CDE" w:rsidRDefault="00680FC7" w:rsidP="00680FC7">
      <w:pPr>
        <w:pStyle w:val="Subtitle"/>
      </w:pPr>
      <w:r w:rsidRPr="00BF3CDE">
        <w:t xml:space="preserve">Implication des PH (LoI, </w:t>
      </w:r>
      <w:r>
        <w:t xml:space="preserve">para. </w:t>
      </w:r>
      <w:r w:rsidRPr="00BF3CDE">
        <w:t>27c)</w:t>
      </w:r>
    </w:p>
    <w:p w14:paraId="1698DCD0" w14:textId="6F5E37B4" w:rsidR="00680FC7" w:rsidRPr="00BF3CDE" w:rsidRDefault="00680FC7" w:rsidP="00680FC7">
      <w:r w:rsidRPr="00BF3CDE">
        <w:t xml:space="preserve">Voir à ce </w:t>
      </w:r>
      <w:r w:rsidRPr="0070436A">
        <w:t xml:space="preserve">sujet Dispositions générales, p. </w:t>
      </w:r>
      <w:r w:rsidR="0070436A" w:rsidRPr="0070436A">
        <w:fldChar w:fldCharType="begin"/>
      </w:r>
      <w:r w:rsidR="0070436A" w:rsidRPr="0070436A">
        <w:instrText xml:space="preserve"> PAGEREF _Ref95758161 \h </w:instrText>
      </w:r>
      <w:r w:rsidR="0070436A" w:rsidRPr="0070436A">
        <w:fldChar w:fldCharType="separate"/>
      </w:r>
      <w:r w:rsidR="001A3756">
        <w:rPr>
          <w:noProof/>
        </w:rPr>
        <w:t>6</w:t>
      </w:r>
      <w:r w:rsidR="0070436A" w:rsidRPr="0070436A">
        <w:fldChar w:fldCharType="end"/>
      </w:r>
      <w:r w:rsidRPr="0070436A">
        <w:t xml:space="preserve"> ss.</w:t>
      </w:r>
    </w:p>
    <w:p w14:paraId="7F9BD46D" w14:textId="1F79CEEA" w:rsidR="00181D45" w:rsidRPr="00FD46B4" w:rsidRDefault="00181D45" w:rsidP="00FD46B4">
      <w:pPr>
        <w:shd w:val="clear" w:color="auto" w:fill="FFFFCC"/>
        <w:rPr>
          <w:b/>
        </w:rPr>
      </w:pPr>
      <w:r w:rsidRPr="00FD46B4">
        <w:rPr>
          <w:b/>
        </w:rPr>
        <w:t>Propositions de recommandations:</w:t>
      </w:r>
    </w:p>
    <w:p w14:paraId="183150F6" w14:textId="305180BC" w:rsidR="00181D45" w:rsidRPr="00BF3CDE" w:rsidRDefault="00181D45" w:rsidP="00181D45">
      <w:pPr>
        <w:pStyle w:val="SBEmpfehlungen"/>
      </w:pPr>
      <w:r w:rsidRPr="00BF3CDE">
        <w:rPr>
          <w:bCs/>
        </w:rPr>
        <w:t>La</w:t>
      </w:r>
      <w:r w:rsidRPr="00BF3CDE">
        <w:rPr>
          <w:b/>
        </w:rPr>
        <w:t xml:space="preserve"> Confédération et les cantons</w:t>
      </w:r>
      <w:r w:rsidRPr="00BF3CDE">
        <w:t xml:space="preserve"> </w:t>
      </w:r>
      <w:r>
        <w:t>permettent</w:t>
      </w:r>
      <w:r w:rsidRPr="00BF3CDE">
        <w:t xml:space="preserve"> </w:t>
      </w:r>
      <w:r w:rsidRPr="00BF3CDE">
        <w:rPr>
          <w:bCs/>
        </w:rPr>
        <w:t>à l’INDH</w:t>
      </w:r>
      <w:r>
        <w:rPr>
          <w:bCs/>
        </w:rPr>
        <w:t xml:space="preserve">, par leur contribution, </w:t>
      </w:r>
      <w:r w:rsidRPr="00D53A62">
        <w:rPr>
          <w:b/>
        </w:rPr>
        <w:t>d’as</w:t>
      </w:r>
      <w:r w:rsidRPr="00BF3CDE">
        <w:rPr>
          <w:b/>
          <w:bCs/>
        </w:rPr>
        <w:t>su</w:t>
      </w:r>
      <w:r>
        <w:rPr>
          <w:b/>
          <w:bCs/>
        </w:rPr>
        <w:t>r</w:t>
      </w:r>
      <w:r w:rsidRPr="00BF3CDE">
        <w:rPr>
          <w:b/>
          <w:bCs/>
        </w:rPr>
        <w:t xml:space="preserve">er effectivement </w:t>
      </w:r>
      <w:r>
        <w:rPr>
          <w:b/>
          <w:bCs/>
        </w:rPr>
        <w:t>l</w:t>
      </w:r>
      <w:r w:rsidRPr="00BF3CDE">
        <w:rPr>
          <w:b/>
          <w:bCs/>
        </w:rPr>
        <w:t>es tâches</w:t>
      </w:r>
      <w:r w:rsidRPr="00BF3CDE">
        <w:t xml:space="preserve"> que lui confère la </w:t>
      </w:r>
      <w:r>
        <w:t xml:space="preserve">nouvelle </w:t>
      </w:r>
      <w:r w:rsidRPr="00BF3CDE">
        <w:t xml:space="preserve">loi </w:t>
      </w:r>
      <w:r w:rsidRPr="00333BDF">
        <w:rPr>
          <w:b/>
          <w:bCs/>
        </w:rPr>
        <w:t>da</w:t>
      </w:r>
      <w:r w:rsidRPr="00BF3CDE">
        <w:rPr>
          <w:b/>
          <w:bCs/>
        </w:rPr>
        <w:t xml:space="preserve">ns </w:t>
      </w:r>
      <w:r w:rsidR="00FD46B4">
        <w:rPr>
          <w:b/>
          <w:bCs/>
        </w:rPr>
        <w:t>un Etat fédéral</w:t>
      </w:r>
      <w:r w:rsidRPr="00BF3CDE">
        <w:rPr>
          <w:b/>
          <w:bCs/>
        </w:rPr>
        <w:t xml:space="preserve"> et multilingue</w:t>
      </w:r>
      <w:r w:rsidRPr="00BF3CDE">
        <w:t>; dès le début des travaux de mise en place</w:t>
      </w:r>
      <w:r>
        <w:t xml:space="preserve"> de l’INDH</w:t>
      </w:r>
      <w:r w:rsidRPr="00BF3CDE">
        <w:t xml:space="preserve">, ils tiennent compte des </w:t>
      </w:r>
      <w:r w:rsidRPr="00333BDF">
        <w:rPr>
          <w:b/>
          <w:bCs/>
        </w:rPr>
        <w:t>exigences découlant de la CDPH</w:t>
      </w:r>
      <w:r w:rsidRPr="00BF3CDE">
        <w:t xml:space="preserve"> et, </w:t>
      </w:r>
      <w:r w:rsidRPr="00333BDF">
        <w:rPr>
          <w:b/>
          <w:bCs/>
        </w:rPr>
        <w:t>à cette fin, y associent le BFEH</w:t>
      </w:r>
      <w:r w:rsidRPr="00BF3CDE">
        <w:t>.</w:t>
      </w:r>
    </w:p>
    <w:p w14:paraId="3B12DE96" w14:textId="16081475" w:rsidR="00B30BCF" w:rsidRPr="00F756DE" w:rsidRDefault="00181D45" w:rsidP="00181D45">
      <w:pPr>
        <w:pStyle w:val="SBEmpfehlungen"/>
      </w:pPr>
      <w:r w:rsidRPr="00BF3CDE">
        <w:rPr>
          <w:b/>
        </w:rPr>
        <w:t>Tous les cantons</w:t>
      </w:r>
      <w:r w:rsidRPr="00BF3CDE">
        <w:t xml:space="preserve"> ne disposant pas encore d’un </w:t>
      </w:r>
      <w:r w:rsidRPr="00333BDF">
        <w:rPr>
          <w:b/>
          <w:bCs/>
        </w:rPr>
        <w:t>point de contact CDPH</w:t>
      </w:r>
      <w:r w:rsidRPr="00BF3CDE">
        <w:t xml:space="preserve"> </w:t>
      </w:r>
      <w:r w:rsidRPr="00BF3CDE">
        <w:rPr>
          <w:b/>
        </w:rPr>
        <w:t>mettent en place une telle instance en adaptant leurs bases légales</w:t>
      </w:r>
      <w:r w:rsidRPr="00BF3CDE">
        <w:t xml:space="preserve">; ils prévoient les </w:t>
      </w:r>
      <w:r w:rsidRPr="00333BDF">
        <w:rPr>
          <w:b/>
          <w:bCs/>
        </w:rPr>
        <w:t>ressources personnelles et financières nécessaires</w:t>
      </w:r>
      <w:r>
        <w:t xml:space="preserve"> à cet égard</w:t>
      </w:r>
      <w:r w:rsidRPr="00BF3CDE">
        <w:t xml:space="preserve">. </w:t>
      </w:r>
    </w:p>
    <w:p w14:paraId="5DF204BF" w14:textId="77777777" w:rsidR="00B30BCF" w:rsidRPr="00F756DE" w:rsidRDefault="00B30BCF" w:rsidP="00B30BCF">
      <w:pPr>
        <w:spacing w:after="160" w:line="259" w:lineRule="auto"/>
        <w:jc w:val="left"/>
        <w:rPr>
          <w:rFonts w:cstheme="minorBidi"/>
        </w:rPr>
      </w:pPr>
      <w:r w:rsidRPr="00F756DE">
        <w:br w:type="page"/>
      </w:r>
    </w:p>
    <w:p w14:paraId="28ACFA0A" w14:textId="77777777" w:rsidR="00680FC7" w:rsidRPr="00BF3CDE" w:rsidRDefault="00680FC7" w:rsidP="00680FC7">
      <w:pPr>
        <w:pStyle w:val="Heading2"/>
        <w:numPr>
          <w:ilvl w:val="0"/>
          <w:numId w:val="0"/>
        </w:numPr>
        <w:ind w:left="357" w:hanging="357"/>
      </w:pPr>
      <w:bookmarkStart w:id="149" w:name="_Toc491179678"/>
      <w:bookmarkStart w:id="150" w:name="_Toc94605110"/>
      <w:bookmarkStart w:id="151" w:name="_Toc95500354"/>
      <w:bookmarkStart w:id="152" w:name="_Toc96287624"/>
      <w:r w:rsidRPr="00BF3CDE">
        <w:t>Index des abréviations</w:t>
      </w:r>
      <w:bookmarkEnd w:id="149"/>
      <w:bookmarkEnd w:id="150"/>
      <w:bookmarkEnd w:id="151"/>
      <w:bookmarkEnd w:id="152"/>
    </w:p>
    <w:p w14:paraId="0F0125A1" w14:textId="77777777" w:rsidR="00680FC7" w:rsidRPr="00BF3CDE" w:rsidRDefault="00680FC7" w:rsidP="00680FC7">
      <w:pPr>
        <w:tabs>
          <w:tab w:val="left" w:pos="2410"/>
        </w:tabs>
      </w:pPr>
      <w:r w:rsidRPr="00BF3CDE">
        <w:t>§</w:t>
      </w:r>
      <w:r w:rsidRPr="00BF3CDE">
        <w:tab/>
        <w:t xml:space="preserve">paragraphe </w:t>
      </w:r>
    </w:p>
    <w:p w14:paraId="3A0D5CB8" w14:textId="77777777" w:rsidR="00680FC7" w:rsidRPr="00BF3CDE" w:rsidRDefault="00680FC7" w:rsidP="00680FC7">
      <w:pPr>
        <w:tabs>
          <w:tab w:val="left" w:pos="2410"/>
        </w:tabs>
      </w:pPr>
      <w:r w:rsidRPr="00BF3CDE">
        <w:t>AI</w:t>
      </w:r>
      <w:r w:rsidRPr="00BF3CDE">
        <w:tab/>
        <w:t>assurance-invalidité</w:t>
      </w:r>
    </w:p>
    <w:p w14:paraId="2DAAC068" w14:textId="77777777" w:rsidR="00680FC7" w:rsidRPr="00BF3CDE" w:rsidRDefault="00680FC7" w:rsidP="00680FC7">
      <w:pPr>
        <w:tabs>
          <w:tab w:val="left" w:pos="2410"/>
        </w:tabs>
      </w:pPr>
      <w:r w:rsidRPr="00BF3CDE">
        <w:t>AIC</w:t>
      </w:r>
      <w:r w:rsidRPr="00BF3CDE">
        <w:tab/>
        <w:t>attestation individuelle de compétences</w:t>
      </w:r>
    </w:p>
    <w:p w14:paraId="0AA42D27" w14:textId="77777777" w:rsidR="00680FC7" w:rsidRPr="00BF3CDE" w:rsidRDefault="00680FC7" w:rsidP="00680FC7">
      <w:pPr>
        <w:tabs>
          <w:tab w:val="left" w:pos="2410"/>
        </w:tabs>
      </w:pPr>
      <w:r w:rsidRPr="00BF3CDE">
        <w:t>al.</w:t>
      </w:r>
      <w:r w:rsidRPr="00BF3CDE">
        <w:tab/>
        <w:t>alinéa(s)</w:t>
      </w:r>
    </w:p>
    <w:p w14:paraId="5764DCB3" w14:textId="77777777" w:rsidR="00680FC7" w:rsidRPr="00BF3CDE" w:rsidRDefault="00680FC7" w:rsidP="00680FC7">
      <w:pPr>
        <w:tabs>
          <w:tab w:val="left" w:pos="2410"/>
        </w:tabs>
        <w:ind w:left="2410" w:hanging="2410"/>
        <w:rPr>
          <w:iCs/>
        </w:rPr>
      </w:pPr>
      <w:r w:rsidRPr="00BF3CDE">
        <w:rPr>
          <w:iCs/>
        </w:rPr>
        <w:t>AOS</w:t>
      </w:r>
      <w:r w:rsidRPr="00BF3CDE">
        <w:rPr>
          <w:iCs/>
        </w:rPr>
        <w:tab/>
        <w:t>assurance obligatoire des soins</w:t>
      </w:r>
    </w:p>
    <w:p w14:paraId="5373AD52" w14:textId="77777777" w:rsidR="00680FC7" w:rsidRPr="00BF3CDE" w:rsidRDefault="00680FC7" w:rsidP="00680FC7">
      <w:pPr>
        <w:tabs>
          <w:tab w:val="left" w:pos="2410"/>
        </w:tabs>
      </w:pPr>
      <w:r w:rsidRPr="00BF3CDE">
        <w:t>APEA</w:t>
      </w:r>
      <w:r w:rsidRPr="00BF3CDE">
        <w:tab/>
        <w:t xml:space="preserve">Autorité(s) de protection de l’enfant et de l’adulte </w:t>
      </w:r>
    </w:p>
    <w:p w14:paraId="17CD0B04" w14:textId="77777777" w:rsidR="00680FC7" w:rsidRPr="00BF3CDE" w:rsidRDefault="00680FC7" w:rsidP="00680FC7">
      <w:pPr>
        <w:tabs>
          <w:tab w:val="left" w:pos="2410"/>
        </w:tabs>
      </w:pPr>
      <w:r w:rsidRPr="00BF3CDE">
        <w:t>API</w:t>
      </w:r>
      <w:r w:rsidRPr="00BF3CDE">
        <w:tab/>
        <w:t>allocation pour impotence</w:t>
      </w:r>
    </w:p>
    <w:p w14:paraId="302C6555" w14:textId="77777777" w:rsidR="00680FC7" w:rsidRPr="00BF3CDE" w:rsidRDefault="00680FC7" w:rsidP="00680FC7">
      <w:pPr>
        <w:tabs>
          <w:tab w:val="left" w:pos="2410"/>
        </w:tabs>
      </w:pPr>
      <w:r w:rsidRPr="00BF3CDE">
        <w:t>art.</w:t>
      </w:r>
      <w:r w:rsidRPr="00BF3CDE">
        <w:tab/>
        <w:t>article</w:t>
      </w:r>
    </w:p>
    <w:p w14:paraId="32382F4B" w14:textId="77777777" w:rsidR="00680FC7" w:rsidRPr="00BF3CDE" w:rsidRDefault="00680FC7" w:rsidP="00680FC7">
      <w:pPr>
        <w:tabs>
          <w:tab w:val="left" w:pos="2410"/>
        </w:tabs>
        <w:rPr>
          <w:i/>
        </w:rPr>
      </w:pPr>
      <w:r w:rsidRPr="00BF3CDE">
        <w:t>ASSM</w:t>
      </w:r>
      <w:r w:rsidRPr="00BF3CDE">
        <w:tab/>
      </w:r>
      <w:r w:rsidRPr="006D75B7">
        <w:rPr>
          <w:rStyle w:val="Emphasis"/>
          <w:rFonts w:eastAsia="MS Gothic"/>
          <w:i w:val="0"/>
        </w:rPr>
        <w:t>Académie suisse des sciences médicales</w:t>
      </w:r>
    </w:p>
    <w:p w14:paraId="307B19AD" w14:textId="77777777" w:rsidR="00680FC7" w:rsidRPr="00BF3CDE" w:rsidRDefault="00680FC7" w:rsidP="00680FC7">
      <w:pPr>
        <w:tabs>
          <w:tab w:val="left" w:pos="2410"/>
        </w:tabs>
      </w:pPr>
      <w:r w:rsidRPr="00BF3CDE">
        <w:t>ATF</w:t>
      </w:r>
      <w:r w:rsidRPr="00BF3CDE">
        <w:tab/>
        <w:t>arrêt du Tribunal fédéral (recueil officiel)</w:t>
      </w:r>
    </w:p>
    <w:p w14:paraId="7D94DBFC" w14:textId="77777777" w:rsidR="00680FC7" w:rsidRPr="00BF3CDE" w:rsidRDefault="00680FC7" w:rsidP="00680FC7">
      <w:pPr>
        <w:tabs>
          <w:tab w:val="left" w:pos="2410"/>
        </w:tabs>
      </w:pPr>
      <w:r w:rsidRPr="00BF3CDE">
        <w:t>au min.</w:t>
      </w:r>
      <w:r w:rsidRPr="00BF3CDE">
        <w:tab/>
        <w:t>au minimum</w:t>
      </w:r>
    </w:p>
    <w:p w14:paraId="52C84017" w14:textId="77777777" w:rsidR="00680FC7" w:rsidRPr="00BF3CDE" w:rsidRDefault="00680FC7" w:rsidP="00680FC7">
      <w:pPr>
        <w:tabs>
          <w:tab w:val="left" w:pos="2410"/>
        </w:tabs>
        <w:rPr>
          <w:rStyle w:val="st"/>
          <w:rFonts w:eastAsia="MS Gothic"/>
        </w:rPr>
      </w:pPr>
      <w:r w:rsidRPr="00BF3CDE">
        <w:t>AVS</w:t>
      </w:r>
      <w:r w:rsidRPr="00BF3CDE">
        <w:tab/>
        <w:t>assurance-vieillesse et survivants</w:t>
      </w:r>
    </w:p>
    <w:p w14:paraId="674FA1C6" w14:textId="77777777" w:rsidR="00680FC7" w:rsidRPr="00BF3CDE" w:rsidRDefault="00680FC7" w:rsidP="00680FC7">
      <w:pPr>
        <w:tabs>
          <w:tab w:val="left" w:pos="2410"/>
        </w:tabs>
      </w:pPr>
      <w:r w:rsidRPr="00BF3CDE">
        <w:rPr>
          <w:smallCaps/>
        </w:rPr>
        <w:t>B&amp;A</w:t>
      </w:r>
      <w:r w:rsidRPr="00BF3CDE">
        <w:rPr>
          <w:smallCaps/>
        </w:rPr>
        <w:tab/>
      </w:r>
      <w:r w:rsidRPr="00BF3CDE">
        <w:t>Conseil &amp; analyses</w:t>
      </w:r>
    </w:p>
    <w:p w14:paraId="74FE0696" w14:textId="77777777" w:rsidR="00680FC7" w:rsidRPr="00BF3CDE" w:rsidRDefault="00680FC7" w:rsidP="00680FC7">
      <w:pPr>
        <w:tabs>
          <w:tab w:val="left" w:pos="2410"/>
        </w:tabs>
      </w:pPr>
      <w:r w:rsidRPr="00BF3CDE">
        <w:t>BASS</w:t>
      </w:r>
      <w:r w:rsidRPr="00BF3CDE">
        <w:tab/>
        <w:t>Bureau d’études de politique du travail et de politique sociale</w:t>
      </w:r>
    </w:p>
    <w:p w14:paraId="504FAAA4" w14:textId="77777777" w:rsidR="00680FC7" w:rsidRPr="00BF3CDE" w:rsidRDefault="00680FC7" w:rsidP="00680FC7">
      <w:pPr>
        <w:tabs>
          <w:tab w:val="left" w:pos="2410"/>
        </w:tabs>
      </w:pPr>
      <w:r w:rsidRPr="00BF3CDE">
        <w:t>BE</w:t>
      </w:r>
      <w:r w:rsidRPr="00BF3CDE">
        <w:tab/>
        <w:t>Berne</w:t>
      </w:r>
    </w:p>
    <w:p w14:paraId="1B52430D" w14:textId="77777777" w:rsidR="00680FC7" w:rsidRPr="00BF3CDE" w:rsidRDefault="00680FC7" w:rsidP="00680FC7">
      <w:pPr>
        <w:tabs>
          <w:tab w:val="left" w:pos="2410"/>
        </w:tabs>
        <w:ind w:left="2410" w:hanging="2410"/>
      </w:pPr>
      <w:r w:rsidRPr="00BF3CDE">
        <w:t xml:space="preserve">BFEG </w:t>
      </w:r>
      <w:r w:rsidRPr="00BF3CDE">
        <w:tab/>
        <w:t>Bureau fédéral de l’égalité entre femmes et hommes</w:t>
      </w:r>
    </w:p>
    <w:p w14:paraId="3DE30BA9" w14:textId="77777777" w:rsidR="00680FC7" w:rsidRPr="00BF3CDE" w:rsidRDefault="00680FC7" w:rsidP="00680FC7">
      <w:pPr>
        <w:tabs>
          <w:tab w:val="left" w:pos="2410"/>
        </w:tabs>
      </w:pPr>
      <w:r w:rsidRPr="00BF3CDE">
        <w:t>BFEH</w:t>
      </w:r>
      <w:r w:rsidRPr="00BF3CDE">
        <w:tab/>
        <w:t>Bureau fédéral de l’égalité pour les personnes handicapées</w:t>
      </w:r>
    </w:p>
    <w:p w14:paraId="4A43263D" w14:textId="77777777" w:rsidR="00680FC7" w:rsidRPr="00BF3CDE" w:rsidRDefault="00680FC7" w:rsidP="00680FC7">
      <w:pPr>
        <w:ind w:left="2370" w:hanging="2370"/>
      </w:pPr>
      <w:r w:rsidRPr="00BF3CDE">
        <w:t>BFH</w:t>
      </w:r>
      <w:r w:rsidRPr="00BF3CDE">
        <w:tab/>
        <w:t>Haute école spécialisée bernoise</w:t>
      </w:r>
    </w:p>
    <w:p w14:paraId="0D1ED5D1" w14:textId="77777777" w:rsidR="00680FC7" w:rsidRPr="00BF3CDE" w:rsidRDefault="00680FC7" w:rsidP="00680FC7">
      <w:pPr>
        <w:tabs>
          <w:tab w:val="left" w:pos="2410"/>
        </w:tabs>
      </w:pPr>
      <w:r w:rsidRPr="00BF3CDE">
        <w:t>BL</w:t>
      </w:r>
      <w:r w:rsidRPr="00BF3CDE">
        <w:tab/>
        <w:t>Bâle-Campagne</w:t>
      </w:r>
    </w:p>
    <w:p w14:paraId="72FD7CBA" w14:textId="77777777" w:rsidR="00680FC7" w:rsidRPr="00BF3CDE" w:rsidRDefault="00680FC7" w:rsidP="00680FC7">
      <w:pPr>
        <w:tabs>
          <w:tab w:val="left" w:pos="2410"/>
        </w:tabs>
        <w:ind w:left="2410" w:hanging="2410"/>
      </w:pPr>
      <w:r w:rsidRPr="00BF3CDE">
        <w:t>BRG BS</w:t>
      </w:r>
      <w:r w:rsidRPr="00BF3CDE">
        <w:tab/>
        <w:t>Loi du 18 septembre 2019 sur les droits des personnes handicapées du canton de Bâle-Ville (loi sur les droits des personnes handicapées, BRG; SG 140.500)</w:t>
      </w:r>
      <w:r w:rsidRPr="00BF3CDE">
        <w:tab/>
      </w:r>
    </w:p>
    <w:p w14:paraId="01A6E88E" w14:textId="77777777" w:rsidR="00680FC7" w:rsidRPr="00BF3CDE" w:rsidRDefault="00680FC7" w:rsidP="00680FC7">
      <w:pPr>
        <w:tabs>
          <w:tab w:val="left" w:pos="2410"/>
        </w:tabs>
      </w:pPr>
      <w:r w:rsidRPr="00BF3CDE">
        <w:t>BS</w:t>
      </w:r>
      <w:r w:rsidRPr="00BF3CDE">
        <w:tab/>
        <w:t>Bâle-Ville</w:t>
      </w:r>
    </w:p>
    <w:p w14:paraId="7B344229" w14:textId="77777777" w:rsidR="00680FC7" w:rsidRPr="00BF3CDE" w:rsidRDefault="00680FC7" w:rsidP="00680FC7">
      <w:pPr>
        <w:tabs>
          <w:tab w:val="left" w:pos="2410"/>
        </w:tabs>
      </w:pPr>
      <w:r w:rsidRPr="00BF3CDE">
        <w:t>CAT</w:t>
      </w:r>
      <w:r w:rsidRPr="00BF3CDE">
        <w:tab/>
        <w:t>Comité contre la torture</w:t>
      </w:r>
    </w:p>
    <w:p w14:paraId="1EDB100A" w14:textId="77777777" w:rsidR="00680FC7" w:rsidRPr="00BF3CDE" w:rsidRDefault="00680FC7" w:rsidP="00680FC7">
      <w:pPr>
        <w:tabs>
          <w:tab w:val="left" w:pos="2410"/>
        </w:tabs>
        <w:ind w:left="2410" w:hanging="2410"/>
      </w:pPr>
      <w:r w:rsidRPr="00BF3CDE">
        <w:t>CC</w:t>
      </w:r>
      <w:r w:rsidRPr="00BF3CDE">
        <w:tab/>
        <w:t>Code civil suisse du 10 décembre 1907 (CC; RS 210)</w:t>
      </w:r>
    </w:p>
    <w:p w14:paraId="55031949" w14:textId="77777777" w:rsidR="00680FC7" w:rsidRPr="00BF3CDE" w:rsidRDefault="00680FC7" w:rsidP="00680FC7">
      <w:pPr>
        <w:tabs>
          <w:tab w:val="left" w:pos="2410"/>
        </w:tabs>
        <w:ind w:left="2410" w:hanging="2410"/>
      </w:pPr>
      <w:r w:rsidRPr="00BF3CDE">
        <w:t>CCDJP</w:t>
      </w:r>
      <w:r w:rsidRPr="00BF3CDE">
        <w:tab/>
        <w:t>Conférence des directrices et directeurs des départements cantonaux de justice et de police</w:t>
      </w:r>
    </w:p>
    <w:p w14:paraId="72EDF48F" w14:textId="77777777" w:rsidR="00680FC7" w:rsidRPr="00BF3CDE" w:rsidRDefault="00680FC7" w:rsidP="00680FC7">
      <w:pPr>
        <w:tabs>
          <w:tab w:val="left" w:pos="2410"/>
        </w:tabs>
      </w:pPr>
      <w:r w:rsidRPr="00BF3CDE">
        <w:t>CDAS</w:t>
      </w:r>
      <w:r w:rsidRPr="00BF3CDE">
        <w:tab/>
        <w:t xml:space="preserve">Conférence des directrices et directeurs cantonaux des affaires </w:t>
      </w:r>
      <w:r w:rsidRPr="00BF3CDE">
        <w:tab/>
        <w:t>sociales</w:t>
      </w:r>
    </w:p>
    <w:p w14:paraId="2DCC197F" w14:textId="77777777" w:rsidR="00680FC7" w:rsidRPr="00BF3CDE" w:rsidRDefault="00680FC7" w:rsidP="00680FC7">
      <w:pPr>
        <w:tabs>
          <w:tab w:val="left" w:pos="2410"/>
        </w:tabs>
        <w:ind w:left="2410" w:hanging="2410"/>
      </w:pPr>
      <w:r w:rsidRPr="00BF3CDE">
        <w:t>CDE</w:t>
      </w:r>
      <w:r w:rsidRPr="00BF3CDE">
        <w:tab/>
        <w:t>Convention des droits de l’enfant de l’ONU du 20 novembre 1989 (RS 0.107)</w:t>
      </w:r>
    </w:p>
    <w:p w14:paraId="09FAE73F" w14:textId="77777777" w:rsidR="00680FC7" w:rsidRPr="00BF3CDE" w:rsidRDefault="00680FC7" w:rsidP="00680FC7">
      <w:pPr>
        <w:tabs>
          <w:tab w:val="left" w:pos="2410"/>
        </w:tabs>
      </w:pPr>
      <w:r w:rsidRPr="00BF3CDE">
        <w:t>CDF</w:t>
      </w:r>
      <w:r w:rsidRPr="00BF3CDE">
        <w:tab/>
        <w:t>Contrôle fédéral des finances</w:t>
      </w:r>
    </w:p>
    <w:p w14:paraId="798601A6" w14:textId="77777777" w:rsidR="00680FC7" w:rsidRPr="00BF3CDE" w:rsidRDefault="00680FC7" w:rsidP="00680FC7">
      <w:pPr>
        <w:tabs>
          <w:tab w:val="left" w:pos="2410"/>
        </w:tabs>
      </w:pPr>
      <w:r w:rsidRPr="00BF3CDE">
        <w:t>CDIP</w:t>
      </w:r>
      <w:r w:rsidRPr="00BF3CDE">
        <w:tab/>
        <w:t xml:space="preserve">Conférence suisse des directrices et directeurs cantonaux de </w:t>
      </w:r>
      <w:r w:rsidRPr="00BF3CDE">
        <w:tab/>
        <w:t>l’instruction publique</w:t>
      </w:r>
    </w:p>
    <w:p w14:paraId="24FA2C20" w14:textId="77777777" w:rsidR="00680FC7" w:rsidRPr="00BF3CDE" w:rsidRDefault="00680FC7" w:rsidP="00680FC7">
      <w:pPr>
        <w:tabs>
          <w:tab w:val="left" w:pos="2410"/>
        </w:tabs>
        <w:ind w:left="2410" w:hanging="2410"/>
      </w:pPr>
      <w:r w:rsidRPr="00BF3CDE">
        <w:t>CDPH</w:t>
      </w:r>
      <w:r w:rsidRPr="00BF3CDE">
        <w:tab/>
        <w:t>Convention relative aux droits des personnes handicapées du 13 décembre 2006 (RS 0.109)</w:t>
      </w:r>
    </w:p>
    <w:p w14:paraId="2C7B93FA" w14:textId="77777777" w:rsidR="00680FC7" w:rsidRPr="00BF3CDE" w:rsidRDefault="00680FC7" w:rsidP="00680FC7">
      <w:pPr>
        <w:tabs>
          <w:tab w:val="left" w:pos="2410"/>
        </w:tabs>
        <w:ind w:left="2410" w:hanging="2410"/>
      </w:pPr>
      <w:r w:rsidRPr="00BF3CDE">
        <w:t>CDPH</w:t>
      </w:r>
      <w:r w:rsidRPr="00BF3CDE">
        <w:tab/>
        <w:t>Convention relative aux droits des personnes handicapées du 13 décembre 2006 (RS 0.109)</w:t>
      </w:r>
    </w:p>
    <w:p w14:paraId="1BE8BB2F" w14:textId="77777777" w:rsidR="00680FC7" w:rsidRPr="00BF3CDE" w:rsidRDefault="00680FC7" w:rsidP="00680FC7">
      <w:pPr>
        <w:tabs>
          <w:tab w:val="left" w:pos="2410"/>
        </w:tabs>
      </w:pPr>
      <w:r w:rsidRPr="00BF3CDE">
        <w:t>CDQH</w:t>
      </w:r>
      <w:r w:rsidRPr="00BF3CDE">
        <w:tab/>
        <w:t xml:space="preserve">Conférence des délégué-e-s cantonaux aux questions du </w:t>
      </w:r>
      <w:r w:rsidRPr="00BF3CDE">
        <w:tab/>
        <w:t xml:space="preserve">handicap </w:t>
      </w:r>
    </w:p>
    <w:p w14:paraId="4A61B9FD" w14:textId="77777777" w:rsidR="00680FC7" w:rsidRPr="00BF3CDE" w:rsidRDefault="00680FC7" w:rsidP="00680FC7">
      <w:pPr>
        <w:tabs>
          <w:tab w:val="left" w:pos="2410"/>
        </w:tabs>
      </w:pPr>
      <w:r w:rsidRPr="00BF3CDE">
        <w:t>CDS</w:t>
      </w:r>
      <w:r w:rsidRPr="00BF3CDE">
        <w:tab/>
        <w:t xml:space="preserve">Conférence suisse des directrices et directeurs cantonaux de la </w:t>
      </w:r>
      <w:r w:rsidRPr="00BF3CDE">
        <w:tab/>
        <w:t>santé</w:t>
      </w:r>
    </w:p>
    <w:p w14:paraId="2228F66E" w14:textId="77777777" w:rsidR="00680FC7" w:rsidRPr="00BF3CDE" w:rsidRDefault="00680FC7" w:rsidP="00680FC7">
      <w:pPr>
        <w:tabs>
          <w:tab w:val="left" w:pos="2410"/>
        </w:tabs>
        <w:ind w:left="2410" w:hanging="2410"/>
      </w:pPr>
      <w:r w:rsidRPr="00BF3CDE">
        <w:t>CEDAW</w:t>
      </w:r>
      <w:r w:rsidRPr="00BF3CDE">
        <w:tab/>
        <w:t>Committee on the Elimination of Discrimination against Women / Comité de l’ONU pour l’élimination de la discrimination à l’égard des femmes CEDEF</w:t>
      </w:r>
    </w:p>
    <w:p w14:paraId="1882936F" w14:textId="77777777" w:rsidR="00680FC7" w:rsidRPr="00BF3CDE" w:rsidRDefault="00680FC7" w:rsidP="00680FC7">
      <w:pPr>
        <w:tabs>
          <w:tab w:val="left" w:pos="2410"/>
        </w:tabs>
        <w:ind w:left="2410" w:hanging="2410"/>
        <w:rPr>
          <w:rStyle w:val="st"/>
          <w:rFonts w:eastAsia="MS Gothic"/>
        </w:rPr>
      </w:pPr>
      <w:r w:rsidRPr="00BF3CDE">
        <w:t>CEDEF</w:t>
      </w:r>
      <w:r w:rsidRPr="00BF3CDE">
        <w:tab/>
        <w:t>Comité de l’ONU pour l’élimination de la discrimination à l’égard des femmes CEDEF</w:t>
      </w:r>
    </w:p>
    <w:p w14:paraId="645EC903" w14:textId="77777777" w:rsidR="00680FC7" w:rsidRPr="00BF3CDE" w:rsidRDefault="00680FC7" w:rsidP="00680FC7">
      <w:pPr>
        <w:tabs>
          <w:tab w:val="left" w:pos="2410"/>
        </w:tabs>
        <w:ind w:left="2410" w:hanging="2410"/>
      </w:pPr>
      <w:r w:rsidRPr="00BF3CDE">
        <w:t>CEDH</w:t>
      </w:r>
      <w:r w:rsidRPr="00BF3CDE">
        <w:tab/>
        <w:t>Convention de sauvegarde des droits de l’homme et des libertés fondamentales du 4 novembre 1950 (CEDH; RS 0.101)</w:t>
      </w:r>
    </w:p>
    <w:p w14:paraId="23526111" w14:textId="77777777" w:rsidR="00680FC7" w:rsidRPr="00BF3CDE" w:rsidRDefault="00680FC7" w:rsidP="00680FC7">
      <w:pPr>
        <w:tabs>
          <w:tab w:val="left" w:pos="2410"/>
        </w:tabs>
        <w:ind w:left="2410" w:hanging="2410"/>
      </w:pPr>
      <w:r w:rsidRPr="00BF3CDE">
        <w:t>CEDR</w:t>
      </w:r>
      <w:r w:rsidRPr="00BF3CDE">
        <w:tab/>
        <w:t>Comité de l’ONU pour l’élimination de la discrimination raciale</w:t>
      </w:r>
    </w:p>
    <w:p w14:paraId="2A628F03" w14:textId="77777777" w:rsidR="00680FC7" w:rsidRPr="00BF3CDE" w:rsidRDefault="00680FC7" w:rsidP="00680FC7">
      <w:pPr>
        <w:tabs>
          <w:tab w:val="left" w:pos="2410"/>
        </w:tabs>
        <w:ind w:left="2410" w:hanging="2410"/>
      </w:pPr>
      <w:r w:rsidRPr="00BF3CDE">
        <w:rPr>
          <w:rStyle w:val="st"/>
          <w:rFonts w:eastAsia="MS Gothic"/>
        </w:rPr>
        <w:t>CERD</w:t>
      </w:r>
      <w:r w:rsidRPr="00BF3CDE">
        <w:rPr>
          <w:rStyle w:val="st"/>
          <w:rFonts w:eastAsia="MS Gothic"/>
        </w:rPr>
        <w:tab/>
        <w:t xml:space="preserve">Committee on the Elimination of Racial Discrimination / Comité de l’ONU pour l’élimination de la discrimination raciale </w:t>
      </w:r>
    </w:p>
    <w:p w14:paraId="221524A8" w14:textId="77777777" w:rsidR="00680FC7" w:rsidRPr="00BF3CDE" w:rsidRDefault="00680FC7" w:rsidP="00680FC7">
      <w:pPr>
        <w:tabs>
          <w:tab w:val="left" w:pos="2410"/>
        </w:tabs>
        <w:ind w:left="2410" w:hanging="2410"/>
      </w:pPr>
      <w:r w:rsidRPr="00BF3CDE">
        <w:t>CESCR</w:t>
      </w:r>
      <w:r w:rsidRPr="00BF3CDE">
        <w:tab/>
        <w:t>Committee on Economic, Social and Cultural Rights / Comité de l’ONU des droits économiques, sociaux et culturels DESC</w:t>
      </w:r>
    </w:p>
    <w:p w14:paraId="202C0E36" w14:textId="77777777" w:rsidR="00680FC7" w:rsidRPr="00BF3CDE" w:rsidRDefault="00680FC7" w:rsidP="00680FC7">
      <w:pPr>
        <w:tabs>
          <w:tab w:val="left" w:pos="2410"/>
        </w:tabs>
      </w:pPr>
      <w:r w:rsidRPr="00BF3CDE">
        <w:t>CF</w:t>
      </w:r>
      <w:r w:rsidRPr="00BF3CDE">
        <w:tab/>
        <w:t>Conseil fédéral</w:t>
      </w:r>
    </w:p>
    <w:p w14:paraId="5529E48A" w14:textId="77777777" w:rsidR="00680FC7" w:rsidRPr="00BF3CDE" w:rsidRDefault="00680FC7" w:rsidP="00680FC7">
      <w:pPr>
        <w:tabs>
          <w:tab w:val="left" w:pos="2410"/>
        </w:tabs>
      </w:pPr>
      <w:r w:rsidRPr="00BF3CDE">
        <w:t>C</w:t>
      </w:r>
      <w:r>
        <w:t>F</w:t>
      </w:r>
      <w:r w:rsidRPr="00BF3CDE">
        <w:t>A</w:t>
      </w:r>
      <w:r w:rsidRPr="00BF3CDE">
        <w:tab/>
        <w:t xml:space="preserve">Centre </w:t>
      </w:r>
      <w:r>
        <w:t xml:space="preserve">fédéral </w:t>
      </w:r>
      <w:r w:rsidRPr="00BF3CDE">
        <w:t xml:space="preserve">d’asile / Centres </w:t>
      </w:r>
      <w:r>
        <w:t xml:space="preserve">fédéraux </w:t>
      </w:r>
      <w:r w:rsidRPr="00BF3CDE">
        <w:t>d’asile</w:t>
      </w:r>
    </w:p>
    <w:p w14:paraId="43316171" w14:textId="77777777" w:rsidR="00680FC7" w:rsidRDefault="00680FC7" w:rsidP="00680FC7">
      <w:pPr>
        <w:tabs>
          <w:tab w:val="left" w:pos="2410"/>
        </w:tabs>
        <w:ind w:left="2410" w:hanging="2410"/>
      </w:pPr>
      <w:r w:rsidRPr="00BF3CDE">
        <w:t>CFF</w:t>
      </w:r>
      <w:r w:rsidRPr="00BF3CDE">
        <w:tab/>
        <w:t>Chemins de fers fédéraux suisses</w:t>
      </w:r>
    </w:p>
    <w:p w14:paraId="587407B0" w14:textId="77777777" w:rsidR="00680FC7" w:rsidRPr="00BF3CDE" w:rsidRDefault="00680FC7" w:rsidP="00680FC7">
      <w:pPr>
        <w:tabs>
          <w:tab w:val="left" w:pos="2410"/>
        </w:tabs>
        <w:ind w:left="2410" w:hanging="2410"/>
      </w:pPr>
      <w:r w:rsidRPr="00BF3CDE">
        <w:rPr>
          <w:rStyle w:val="st"/>
          <w:rFonts w:eastAsia="MS Gothic"/>
        </w:rPr>
        <w:t>CH</w:t>
      </w:r>
      <w:r w:rsidRPr="00BF3CDE">
        <w:rPr>
          <w:rStyle w:val="st"/>
          <w:rFonts w:eastAsia="MS Gothic"/>
        </w:rPr>
        <w:tab/>
        <w:t>Suisse</w:t>
      </w:r>
    </w:p>
    <w:p w14:paraId="7657CA65" w14:textId="77777777" w:rsidR="00680FC7" w:rsidRPr="00BF3CDE" w:rsidRDefault="00680FC7" w:rsidP="00680FC7">
      <w:pPr>
        <w:tabs>
          <w:tab w:val="left" w:pos="2410"/>
        </w:tabs>
      </w:pPr>
      <w:r w:rsidRPr="00BF3CDE">
        <w:t>ch. marg.</w:t>
      </w:r>
      <w:r w:rsidRPr="00BF3CDE">
        <w:tab/>
        <w:t>chiffre marginal</w:t>
      </w:r>
    </w:p>
    <w:p w14:paraId="20FC6E45" w14:textId="77777777" w:rsidR="00680FC7" w:rsidRPr="00BF3CDE" w:rsidRDefault="00680FC7" w:rsidP="00680FC7">
      <w:pPr>
        <w:tabs>
          <w:tab w:val="left" w:pos="2410"/>
        </w:tabs>
      </w:pPr>
      <w:r w:rsidRPr="00BF3CDE">
        <w:t>ch.</w:t>
      </w:r>
      <w:r w:rsidRPr="00BF3CDE">
        <w:tab/>
        <w:t>chiffre(s)</w:t>
      </w:r>
    </w:p>
    <w:p w14:paraId="0F1EFDFF" w14:textId="77777777" w:rsidR="00680FC7" w:rsidRPr="00BF3CDE" w:rsidRDefault="00680FC7" w:rsidP="00680FC7">
      <w:pPr>
        <w:tabs>
          <w:tab w:val="left" w:pos="2410"/>
        </w:tabs>
      </w:pPr>
      <w:r w:rsidRPr="00BF3CDE">
        <w:t>ChF</w:t>
      </w:r>
      <w:r w:rsidRPr="00BF3CDE">
        <w:tab/>
        <w:t>Chancellerie fédérale</w:t>
      </w:r>
    </w:p>
    <w:p w14:paraId="3302EA91" w14:textId="77777777" w:rsidR="00680FC7" w:rsidRPr="00BF3CDE" w:rsidRDefault="00680FC7" w:rsidP="00680FC7">
      <w:pPr>
        <w:tabs>
          <w:tab w:val="left" w:pos="2410"/>
        </w:tabs>
      </w:pPr>
      <w:r w:rsidRPr="00BF3CDE">
        <w:t>CHF</w:t>
      </w:r>
      <w:r w:rsidRPr="00BF3CDE">
        <w:tab/>
        <w:t>Franc suisse</w:t>
      </w:r>
    </w:p>
    <w:p w14:paraId="11ED88BB" w14:textId="77777777" w:rsidR="00680FC7" w:rsidRPr="00BF3CDE" w:rsidRDefault="00680FC7" w:rsidP="00680FC7">
      <w:pPr>
        <w:tabs>
          <w:tab w:val="left" w:pos="2410"/>
        </w:tabs>
      </w:pPr>
      <w:r w:rsidRPr="00BF3CDE">
        <w:t>CI</w:t>
      </w:r>
      <w:r w:rsidRPr="00BF3CDE">
        <w:tab/>
        <w:t>Convention d’Istanbul</w:t>
      </w:r>
    </w:p>
    <w:p w14:paraId="60A32F6B" w14:textId="77777777" w:rsidR="00680FC7" w:rsidRPr="00BF3CDE" w:rsidRDefault="00680FC7" w:rsidP="00680FC7">
      <w:pPr>
        <w:tabs>
          <w:tab w:val="left" w:pos="2410"/>
        </w:tabs>
      </w:pPr>
      <w:r w:rsidRPr="00BF3CDE">
        <w:t>CNPT</w:t>
      </w:r>
      <w:r w:rsidRPr="00BF3CDE">
        <w:tab/>
        <w:t xml:space="preserve">Commission nationale de la prévention de la torture </w:t>
      </w:r>
    </w:p>
    <w:p w14:paraId="6F5F12A1" w14:textId="77777777" w:rsidR="00680FC7" w:rsidRPr="00BF3CDE" w:rsidRDefault="00680FC7" w:rsidP="00680FC7">
      <w:pPr>
        <w:tabs>
          <w:tab w:val="left" w:pos="2410"/>
        </w:tabs>
        <w:ind w:left="2410" w:hanging="2410"/>
      </w:pPr>
      <w:r w:rsidRPr="00BF3CDE">
        <w:rPr>
          <w:iCs/>
        </w:rPr>
        <w:t>CO</w:t>
      </w:r>
      <w:r w:rsidRPr="00BF3CDE">
        <w:rPr>
          <w:iCs/>
        </w:rPr>
        <w:tab/>
        <w:t>Loi fédérale du 30 mars 1911 complétant le Code civil suisse (Livre cinquième : Droit des obligations) (RS 220)</w:t>
      </w:r>
    </w:p>
    <w:p w14:paraId="2D5AA6DF" w14:textId="77777777" w:rsidR="00680FC7" w:rsidRPr="00BF3CDE" w:rsidRDefault="00680FC7" w:rsidP="00680FC7">
      <w:pPr>
        <w:tabs>
          <w:tab w:val="left" w:pos="2410"/>
        </w:tabs>
        <w:ind w:left="2410" w:hanging="2410"/>
      </w:pPr>
      <w:r>
        <w:t>COAI</w:t>
      </w:r>
      <w:r>
        <w:tab/>
        <w:t>Conférence des Offices AI</w:t>
      </w:r>
    </w:p>
    <w:p w14:paraId="09C08092" w14:textId="77777777" w:rsidR="00680FC7" w:rsidRPr="00BF3CDE" w:rsidRDefault="00680FC7" w:rsidP="00680FC7">
      <w:pPr>
        <w:tabs>
          <w:tab w:val="left" w:pos="2410"/>
        </w:tabs>
        <w:ind w:left="2410" w:hanging="2410"/>
      </w:pPr>
      <w:r w:rsidRPr="00BF3CDE">
        <w:t>Comité CDE</w:t>
      </w:r>
      <w:r w:rsidRPr="00BF3CDE">
        <w:tab/>
        <w:t>Comité des droits de l’enfant</w:t>
      </w:r>
    </w:p>
    <w:p w14:paraId="3911266C" w14:textId="77777777" w:rsidR="00680FC7" w:rsidRPr="00BF3CDE" w:rsidRDefault="00680FC7" w:rsidP="00680FC7">
      <w:pPr>
        <w:tabs>
          <w:tab w:val="left" w:pos="2410"/>
        </w:tabs>
        <w:ind w:left="2410" w:hanging="2410"/>
      </w:pPr>
      <w:r w:rsidRPr="00BF3CDE">
        <w:t>Comité CDPH</w:t>
      </w:r>
      <w:r w:rsidRPr="00BF3CDE">
        <w:tab/>
        <w:t>Comité des droits des personnes handicapées de l’ONU</w:t>
      </w:r>
    </w:p>
    <w:p w14:paraId="61FBDEB7" w14:textId="77777777" w:rsidR="00680FC7" w:rsidRPr="00BF3CDE" w:rsidRDefault="00680FC7" w:rsidP="00680FC7">
      <w:pPr>
        <w:tabs>
          <w:tab w:val="left" w:pos="2410"/>
        </w:tabs>
        <w:ind w:left="2410" w:hanging="2410"/>
      </w:pPr>
      <w:r w:rsidRPr="00BF3CDE">
        <w:t>conc.</w:t>
      </w:r>
      <w:r w:rsidRPr="00BF3CDE">
        <w:tab/>
        <w:t>concernant</w:t>
      </w:r>
    </w:p>
    <w:p w14:paraId="169BF863" w14:textId="77777777" w:rsidR="00680FC7" w:rsidRPr="00BF3CDE" w:rsidRDefault="00680FC7" w:rsidP="00680FC7">
      <w:pPr>
        <w:tabs>
          <w:tab w:val="left" w:pos="2410"/>
        </w:tabs>
        <w:ind w:left="2410" w:hanging="2410"/>
      </w:pPr>
      <w:r w:rsidRPr="00BF3CDE">
        <w:t>Concordat</w:t>
      </w:r>
      <w:r w:rsidRPr="00BF3CDE">
        <w:tab/>
        <w:t>Accord intercantonal du 25 octobre 2007 sur la collaboration dans le domaine de la pédagogie spécialisée (Concordat sur la pédagogie spécialisée)</w:t>
      </w:r>
    </w:p>
    <w:p w14:paraId="7894A2A3" w14:textId="77777777" w:rsidR="00680FC7" w:rsidRPr="00BF3CDE" w:rsidRDefault="00680FC7" w:rsidP="00680FC7">
      <w:pPr>
        <w:tabs>
          <w:tab w:val="left" w:pos="2410"/>
        </w:tabs>
      </w:pPr>
      <w:r w:rsidRPr="00BF3CDE">
        <w:t>consid.</w:t>
      </w:r>
      <w:r w:rsidRPr="00BF3CDE">
        <w:tab/>
        <w:t>considérant(s)</w:t>
      </w:r>
    </w:p>
    <w:p w14:paraId="79303BA6" w14:textId="77777777" w:rsidR="00680FC7" w:rsidRPr="00BF3CDE" w:rsidRDefault="00680FC7" w:rsidP="00680FC7">
      <w:pPr>
        <w:tabs>
          <w:tab w:val="left" w:pos="2410"/>
        </w:tabs>
        <w:ind w:left="2410" w:hanging="2410"/>
      </w:pPr>
      <w:r w:rsidRPr="00BF3CDE">
        <w:t>COPMA</w:t>
      </w:r>
      <w:r w:rsidRPr="00BF3CDE">
        <w:tab/>
        <w:t>Conférence des cantons en matière de protection des mineurs et des adultes</w:t>
      </w:r>
    </w:p>
    <w:p w14:paraId="4A6D59FF" w14:textId="77777777" w:rsidR="00680FC7" w:rsidRPr="00BF3CDE" w:rsidRDefault="00680FC7" w:rsidP="00680FC7">
      <w:pPr>
        <w:tabs>
          <w:tab w:val="left" w:pos="2410"/>
        </w:tabs>
        <w:ind w:left="2410" w:hanging="2410"/>
        <w:rPr>
          <w:rStyle w:val="st"/>
          <w:rFonts w:eastAsia="MS Gothic"/>
        </w:rPr>
      </w:pPr>
      <w:r w:rsidRPr="00BF3CDE">
        <w:rPr>
          <w:rStyle w:val="st"/>
          <w:rFonts w:eastAsia="MS Gothic"/>
        </w:rPr>
        <w:t>CP</w:t>
      </w:r>
      <w:r w:rsidRPr="00BF3CDE">
        <w:rPr>
          <w:rStyle w:val="st"/>
          <w:rFonts w:eastAsia="MS Gothic"/>
        </w:rPr>
        <w:tab/>
        <w:t>Code pénal suisse du 21 décembre 1937 (RS 311.0)</w:t>
      </w:r>
    </w:p>
    <w:p w14:paraId="60226DDE" w14:textId="77777777" w:rsidR="00680FC7" w:rsidRPr="00BF3CDE" w:rsidRDefault="00680FC7" w:rsidP="00680FC7">
      <w:pPr>
        <w:tabs>
          <w:tab w:val="left" w:pos="2410"/>
        </w:tabs>
      </w:pPr>
      <w:r w:rsidRPr="00BF3CDE">
        <w:t>CPC</w:t>
      </w:r>
      <w:r w:rsidRPr="00BF3CDE">
        <w:tab/>
        <w:t>Cerebral Performance Category</w:t>
      </w:r>
    </w:p>
    <w:p w14:paraId="23DDBC82" w14:textId="77777777" w:rsidR="00680FC7" w:rsidRPr="00BF3CDE" w:rsidRDefault="00680FC7" w:rsidP="00680FC7">
      <w:pPr>
        <w:tabs>
          <w:tab w:val="left" w:pos="2410"/>
        </w:tabs>
        <w:ind w:left="2410" w:hanging="2410"/>
      </w:pPr>
      <w:r w:rsidRPr="00BF3CDE">
        <w:t>CPC</w:t>
      </w:r>
      <w:r w:rsidRPr="00BF3CDE">
        <w:tab/>
        <w:t>Code de procédure civile du 19 décembre 2008 (CPC; RS 272)</w:t>
      </w:r>
    </w:p>
    <w:p w14:paraId="0C959F6C" w14:textId="77777777" w:rsidR="00680FC7" w:rsidRPr="00BF3CDE" w:rsidRDefault="00680FC7" w:rsidP="00680FC7">
      <w:pPr>
        <w:tabs>
          <w:tab w:val="left" w:pos="2410"/>
        </w:tabs>
        <w:ind w:left="2410" w:hanging="2410"/>
      </w:pPr>
      <w:r w:rsidRPr="00BF3CDE">
        <w:t>CPEJ</w:t>
      </w:r>
      <w:r w:rsidRPr="00BF3CDE">
        <w:tab/>
        <w:t>Conférence pour la politique de l’enfance et de la jeunesse</w:t>
      </w:r>
    </w:p>
    <w:p w14:paraId="63119DB1" w14:textId="77777777" w:rsidR="00680FC7" w:rsidRPr="00BF3CDE" w:rsidRDefault="00680FC7" w:rsidP="00680FC7">
      <w:pPr>
        <w:tabs>
          <w:tab w:val="left" w:pos="2410"/>
        </w:tabs>
        <w:ind w:left="2410" w:hanging="2410"/>
        <w:rPr>
          <w:rStyle w:val="st"/>
          <w:rFonts w:eastAsia="MS Gothic"/>
        </w:rPr>
      </w:pPr>
      <w:r w:rsidRPr="00BF3CDE">
        <w:rPr>
          <w:rStyle w:val="st"/>
          <w:rFonts w:eastAsia="MS Gothic"/>
        </w:rPr>
        <w:t>CPP</w:t>
      </w:r>
      <w:r w:rsidRPr="00BF3CDE">
        <w:rPr>
          <w:rStyle w:val="st"/>
          <w:rFonts w:eastAsia="MS Gothic"/>
        </w:rPr>
        <w:tab/>
        <w:t>Code de procédure pénale suisse du 5 octobre 2007 (Code de procédure pénale, CPP; RS 312.0)</w:t>
      </w:r>
    </w:p>
    <w:p w14:paraId="35DB76A1" w14:textId="77777777" w:rsidR="00680FC7" w:rsidRPr="00BF3CDE" w:rsidRDefault="00680FC7" w:rsidP="00680FC7">
      <w:pPr>
        <w:tabs>
          <w:tab w:val="left" w:pos="2410"/>
        </w:tabs>
        <w:ind w:left="2410" w:hanging="2410"/>
      </w:pPr>
      <w:r w:rsidRPr="00BF3CDE">
        <w:t>CRC</w:t>
      </w:r>
      <w:r w:rsidRPr="00BF3CDE">
        <w:tab/>
        <w:t>Committee on the Rights of the Child / Comité de l’ONU des droits de l’enfant CDE</w:t>
      </w:r>
    </w:p>
    <w:p w14:paraId="3F62C479" w14:textId="77777777" w:rsidR="00680FC7" w:rsidRPr="00BF3CDE" w:rsidRDefault="00680FC7" w:rsidP="00680FC7">
      <w:pPr>
        <w:tabs>
          <w:tab w:val="left" w:pos="2410"/>
        </w:tabs>
      </w:pPr>
      <w:r w:rsidRPr="00BF3CDE">
        <w:t>CrEDH</w:t>
      </w:r>
      <w:r w:rsidRPr="00BF3CDE">
        <w:tab/>
        <w:t>Cour Européenne des Droits de l’Homme</w:t>
      </w:r>
    </w:p>
    <w:p w14:paraId="4B182275" w14:textId="77777777" w:rsidR="00680FC7" w:rsidRPr="00BF3CDE" w:rsidRDefault="00680FC7" w:rsidP="00680FC7">
      <w:pPr>
        <w:tabs>
          <w:tab w:val="left" w:pos="2410"/>
        </w:tabs>
        <w:ind w:left="2410" w:hanging="2410"/>
      </w:pPr>
      <w:r w:rsidRPr="00BF3CDE">
        <w:t>CRPD</w:t>
      </w:r>
      <w:r w:rsidRPr="00BF3CDE">
        <w:tab/>
        <w:t>Committee on the Rights of Persons with Disabilities / Comité des droits des personnes handicapées de l’ONU</w:t>
      </w:r>
    </w:p>
    <w:p w14:paraId="77EECDCC" w14:textId="77777777" w:rsidR="00680FC7" w:rsidRPr="00BF3CDE" w:rsidRDefault="00680FC7" w:rsidP="00680FC7">
      <w:pPr>
        <w:tabs>
          <w:tab w:val="left" w:pos="2410"/>
        </w:tabs>
      </w:pPr>
      <w:r w:rsidRPr="00BF3CDE">
        <w:t>CSDH</w:t>
      </w:r>
      <w:r w:rsidRPr="00BF3CDE">
        <w:tab/>
        <w:t>Centre suisse de compétence pour les droits humains</w:t>
      </w:r>
    </w:p>
    <w:p w14:paraId="1F5A0F83" w14:textId="77777777" w:rsidR="00680FC7" w:rsidRPr="00BF3CDE" w:rsidRDefault="00680FC7" w:rsidP="00680FC7">
      <w:pPr>
        <w:tabs>
          <w:tab w:val="left" w:pos="2410"/>
        </w:tabs>
      </w:pPr>
      <w:r w:rsidRPr="00BF3CDE">
        <w:t>Cst. cant.</w:t>
      </w:r>
      <w:r w:rsidRPr="00BF3CDE">
        <w:tab/>
        <w:t>Constitution cantonale</w:t>
      </w:r>
    </w:p>
    <w:p w14:paraId="5D11C691" w14:textId="77777777" w:rsidR="00680FC7" w:rsidRPr="00BF3CDE" w:rsidRDefault="00680FC7" w:rsidP="00680FC7">
      <w:pPr>
        <w:tabs>
          <w:tab w:val="left" w:pos="2410"/>
        </w:tabs>
        <w:ind w:left="2410" w:hanging="2410"/>
      </w:pPr>
      <w:r w:rsidRPr="00BF3CDE">
        <w:t>Cst.</w:t>
      </w:r>
      <w:r w:rsidRPr="00BF3CDE">
        <w:tab/>
        <w:t>Constitution fédérale de la Confédération suisse du 18 avril 1999 (Cst.; RS 101)</w:t>
      </w:r>
    </w:p>
    <w:p w14:paraId="0DFB8870" w14:textId="77777777" w:rsidR="00680FC7" w:rsidRPr="00BF3CDE" w:rsidRDefault="00680FC7" w:rsidP="00680FC7">
      <w:pPr>
        <w:tabs>
          <w:tab w:val="left" w:pos="2410"/>
        </w:tabs>
        <w:ind w:left="2410" w:hanging="2410"/>
      </w:pPr>
      <w:r w:rsidRPr="00BF3CDE">
        <w:t>CTP</w:t>
      </w:r>
      <w:r w:rsidRPr="00BF3CDE">
        <w:tab/>
        <w:t>Conférence des directrices et directeurs cantonaux des transports publics</w:t>
      </w:r>
    </w:p>
    <w:p w14:paraId="05ADE969" w14:textId="77777777" w:rsidR="00680FC7" w:rsidRPr="00BF3CDE" w:rsidRDefault="00680FC7" w:rsidP="00680FC7">
      <w:pPr>
        <w:tabs>
          <w:tab w:val="left" w:pos="2410"/>
        </w:tabs>
        <w:ind w:left="2410" w:hanging="2410"/>
      </w:pPr>
      <w:r w:rsidRPr="00BF3CDE">
        <w:t>DEFR</w:t>
      </w:r>
      <w:r w:rsidRPr="00BF3CDE">
        <w:tab/>
        <w:t>Département fédéral de l’économie, de la formation et de la recherche</w:t>
      </w:r>
    </w:p>
    <w:p w14:paraId="7BE027E0" w14:textId="77777777" w:rsidR="00680FC7" w:rsidRPr="00BF3CDE" w:rsidRDefault="00680FC7" w:rsidP="00680FC7">
      <w:pPr>
        <w:tabs>
          <w:tab w:val="left" w:pos="2410"/>
        </w:tabs>
        <w:ind w:left="2410" w:hanging="2410"/>
        <w:rPr>
          <w:rStyle w:val="st"/>
          <w:rFonts w:eastAsia="MS Gothic"/>
        </w:rPr>
      </w:pPr>
      <w:r w:rsidRPr="00BF3CDE">
        <w:t>DESC</w:t>
      </w:r>
      <w:r w:rsidRPr="00BF3CDE">
        <w:tab/>
        <w:t xml:space="preserve">Comité de l’ONU des droits économiques, sociaux et culturels </w:t>
      </w:r>
    </w:p>
    <w:p w14:paraId="6166A832" w14:textId="77777777" w:rsidR="00680FC7" w:rsidRPr="00BF3CDE" w:rsidRDefault="00680FC7" w:rsidP="00680FC7">
      <w:pPr>
        <w:tabs>
          <w:tab w:val="left" w:pos="2410"/>
        </w:tabs>
      </w:pPr>
      <w:r w:rsidRPr="00BF3CDE">
        <w:t>DFI</w:t>
      </w:r>
      <w:r w:rsidRPr="00BF3CDE">
        <w:tab/>
        <w:t>Département fédéral de l’intérieur</w:t>
      </w:r>
    </w:p>
    <w:p w14:paraId="3A4F6EB1" w14:textId="77777777" w:rsidR="00680FC7" w:rsidRPr="00BF3CDE" w:rsidRDefault="00680FC7" w:rsidP="00680FC7">
      <w:pPr>
        <w:tabs>
          <w:tab w:val="left" w:pos="2410"/>
        </w:tabs>
      </w:pPr>
      <w:r w:rsidRPr="00BF3CDE">
        <w:t>DFJP</w:t>
      </w:r>
      <w:r w:rsidRPr="00BF3CDE">
        <w:tab/>
        <w:t>Département fédéral de justice et police</w:t>
      </w:r>
    </w:p>
    <w:p w14:paraId="14563EB1" w14:textId="77777777" w:rsidR="00680FC7" w:rsidRPr="00BF3CDE" w:rsidRDefault="00680FC7" w:rsidP="00680FC7">
      <w:pPr>
        <w:tabs>
          <w:tab w:val="left" w:pos="2410"/>
        </w:tabs>
      </w:pPr>
      <w:r w:rsidRPr="00BF3CDE">
        <w:t>doc.</w:t>
      </w:r>
      <w:r w:rsidRPr="00BF3CDE">
        <w:tab/>
        <w:t>document</w:t>
      </w:r>
    </w:p>
    <w:p w14:paraId="4BAFBD3B" w14:textId="77777777" w:rsidR="00680FC7" w:rsidRPr="00BF3CDE" w:rsidRDefault="00680FC7" w:rsidP="00680FC7">
      <w:pPr>
        <w:tabs>
          <w:tab w:val="left" w:pos="2410"/>
        </w:tabs>
      </w:pPr>
      <w:r w:rsidRPr="00BF3CDE">
        <w:t>éd.</w:t>
      </w:r>
      <w:r w:rsidRPr="00BF3CDE">
        <w:tab/>
        <w:t>éditeur</w:t>
      </w:r>
      <w:r>
        <w:t xml:space="preserve"> / édition</w:t>
      </w:r>
    </w:p>
    <w:p w14:paraId="2FFB4B5D" w14:textId="77777777" w:rsidR="00680FC7" w:rsidRPr="00BF3CDE" w:rsidRDefault="00680FC7" w:rsidP="00680FC7">
      <w:pPr>
        <w:tabs>
          <w:tab w:val="left" w:pos="2410"/>
        </w:tabs>
      </w:pPr>
      <w:r w:rsidRPr="00BF3CDE">
        <w:t>env.</w:t>
      </w:r>
      <w:r w:rsidRPr="00BF3CDE">
        <w:tab/>
        <w:t>environ</w:t>
      </w:r>
    </w:p>
    <w:p w14:paraId="5686FAD6" w14:textId="77777777" w:rsidR="00680FC7" w:rsidRPr="00BF3CDE" w:rsidRDefault="00680FC7" w:rsidP="00680FC7">
      <w:pPr>
        <w:tabs>
          <w:tab w:val="left" w:pos="2410"/>
        </w:tabs>
      </w:pPr>
      <w:r w:rsidRPr="00BF3CDE">
        <w:t>EPU</w:t>
      </w:r>
      <w:r w:rsidRPr="00BF3CDE">
        <w:tab/>
        <w:t>examen périodique universel</w:t>
      </w:r>
    </w:p>
    <w:p w14:paraId="1351CB99" w14:textId="77777777" w:rsidR="00680FC7" w:rsidRPr="00BF3CDE" w:rsidRDefault="00680FC7" w:rsidP="00680FC7">
      <w:pPr>
        <w:tabs>
          <w:tab w:val="left" w:pos="2410"/>
        </w:tabs>
        <w:ind w:left="2410" w:hanging="2410"/>
      </w:pPr>
      <w:r w:rsidRPr="00BF3CDE">
        <w:t>ERA</w:t>
      </w:r>
      <w:r w:rsidRPr="00BF3CDE">
        <w:tab/>
        <w:t>Agence de l’Union européenne des chemins de fer</w:t>
      </w:r>
    </w:p>
    <w:p w14:paraId="43FC569E" w14:textId="77777777" w:rsidR="00680FC7" w:rsidRPr="00BF3CDE" w:rsidRDefault="00680FC7" w:rsidP="00680FC7">
      <w:pPr>
        <w:tabs>
          <w:tab w:val="left" w:pos="2410"/>
        </w:tabs>
        <w:ind w:left="2410" w:hanging="2410"/>
      </w:pPr>
      <w:r w:rsidRPr="00BF3CDE">
        <w:t>ESPA</w:t>
      </w:r>
      <w:r w:rsidRPr="00BF3CDE">
        <w:tab/>
        <w:t>Enquête suisse sur la population active</w:t>
      </w:r>
    </w:p>
    <w:p w14:paraId="4293C16B" w14:textId="77777777" w:rsidR="00680FC7" w:rsidRPr="00BF3CDE" w:rsidRDefault="00680FC7" w:rsidP="00680FC7">
      <w:pPr>
        <w:tabs>
          <w:tab w:val="left" w:pos="2410"/>
        </w:tabs>
      </w:pPr>
      <w:r w:rsidRPr="00BF3CDE">
        <w:t>ESS</w:t>
      </w:r>
      <w:r w:rsidRPr="00BF3CDE">
        <w:tab/>
        <w:t>Enquête suisse sur la santé</w:t>
      </w:r>
    </w:p>
    <w:p w14:paraId="396FED6E" w14:textId="77777777" w:rsidR="00680FC7" w:rsidRPr="00BF3CDE" w:rsidRDefault="00680FC7" w:rsidP="00680FC7">
      <w:pPr>
        <w:tabs>
          <w:tab w:val="left" w:pos="2410"/>
        </w:tabs>
      </w:pPr>
      <w:r w:rsidRPr="00BF3CDE">
        <w:t>et al.</w:t>
      </w:r>
      <w:r w:rsidRPr="00BF3CDE">
        <w:tab/>
        <w:t>et alii, et aliae, et alia / et d’autres</w:t>
      </w:r>
    </w:p>
    <w:p w14:paraId="15F45A59" w14:textId="77777777" w:rsidR="00680FC7" w:rsidRPr="00BF3CDE" w:rsidRDefault="00680FC7" w:rsidP="00680FC7">
      <w:pPr>
        <w:tabs>
          <w:tab w:val="left" w:pos="2410"/>
        </w:tabs>
      </w:pPr>
      <w:r w:rsidRPr="00BF3CDE">
        <w:t>etc.</w:t>
      </w:r>
      <w:r w:rsidRPr="00BF3CDE">
        <w:tab/>
        <w:t>et cetera</w:t>
      </w:r>
    </w:p>
    <w:p w14:paraId="5A3AC373" w14:textId="77777777" w:rsidR="00680FC7" w:rsidRPr="00BF3CDE" w:rsidRDefault="00680FC7" w:rsidP="00680FC7">
      <w:pPr>
        <w:tabs>
          <w:tab w:val="left" w:pos="2410"/>
        </w:tabs>
      </w:pPr>
      <w:r w:rsidRPr="00BF3CDE">
        <w:t>EUR</w:t>
      </w:r>
      <w:r w:rsidRPr="00BF3CDE">
        <w:tab/>
        <w:t>Euro</w:t>
      </w:r>
    </w:p>
    <w:p w14:paraId="1B68F8AF" w14:textId="77777777" w:rsidR="00680FC7" w:rsidRPr="00BF3CDE" w:rsidRDefault="00680FC7" w:rsidP="00680FC7">
      <w:pPr>
        <w:tabs>
          <w:tab w:val="left" w:pos="2410"/>
        </w:tabs>
      </w:pPr>
      <w:r w:rsidRPr="00BF3CDE">
        <w:t>év.</w:t>
      </w:r>
      <w:r w:rsidRPr="00BF3CDE">
        <w:tab/>
        <w:t>éventuellement</w:t>
      </w:r>
    </w:p>
    <w:p w14:paraId="25190640" w14:textId="77777777" w:rsidR="00680FC7" w:rsidRPr="00BF3CDE" w:rsidRDefault="00680FC7" w:rsidP="00680FC7">
      <w:pPr>
        <w:tabs>
          <w:tab w:val="left" w:pos="2410"/>
        </w:tabs>
      </w:pPr>
      <w:r w:rsidRPr="00BF3CDE">
        <w:t>féd.</w:t>
      </w:r>
      <w:r w:rsidRPr="00BF3CDE">
        <w:tab/>
        <w:t>fédéral</w:t>
      </w:r>
    </w:p>
    <w:p w14:paraId="4C119353" w14:textId="77777777" w:rsidR="00680FC7" w:rsidRPr="00BF3CDE" w:rsidRDefault="00680FC7" w:rsidP="00680FC7">
      <w:pPr>
        <w:tabs>
          <w:tab w:val="left" w:pos="2410"/>
        </w:tabs>
      </w:pPr>
      <w:r w:rsidRPr="00BF3CDE">
        <w:t>FF</w:t>
      </w:r>
      <w:r w:rsidRPr="00BF3CDE">
        <w:tab/>
        <w:t>Feuille fédérale</w:t>
      </w:r>
    </w:p>
    <w:p w14:paraId="594DBB55" w14:textId="77777777" w:rsidR="00680FC7" w:rsidRPr="00BF3CDE" w:rsidRDefault="00680FC7" w:rsidP="00680FC7">
      <w:pPr>
        <w:tabs>
          <w:tab w:val="left" w:pos="2410"/>
        </w:tabs>
      </w:pPr>
      <w:r w:rsidRPr="00BF3CDE">
        <w:t>FNS</w:t>
      </w:r>
      <w:r w:rsidRPr="00BF3CDE">
        <w:tab/>
        <w:t>Fonds national suisse</w:t>
      </w:r>
    </w:p>
    <w:p w14:paraId="1618801A" w14:textId="77777777" w:rsidR="00680FC7" w:rsidRPr="00BF3CDE" w:rsidRDefault="00680FC7" w:rsidP="00680FC7">
      <w:pPr>
        <w:tabs>
          <w:tab w:val="left" w:pos="2410"/>
        </w:tabs>
        <w:ind w:left="2410" w:hanging="2410"/>
      </w:pPr>
      <w:r w:rsidRPr="00BF3CDE">
        <w:t>FSS</w:t>
      </w:r>
      <w:r w:rsidRPr="00BF3CDE">
        <w:tab/>
        <w:t xml:space="preserve">Fachverband Sozial- und Sonderpädagogik, Berufsverband der Basler Lehr-, Fach- und Leitungspersonen (Association de l’éducation sociale et de la pédagogie spécialisée, union professionnelle bâloise du personnel enseignant et d’intervention spécialisée ainsi que de dirigeants) </w:t>
      </w:r>
    </w:p>
    <w:p w14:paraId="44F71F37" w14:textId="77777777" w:rsidR="00680FC7" w:rsidRPr="00BF3CDE" w:rsidRDefault="00680FC7" w:rsidP="00680FC7">
      <w:pPr>
        <w:tabs>
          <w:tab w:val="left" w:pos="2410"/>
        </w:tabs>
      </w:pPr>
      <w:r w:rsidRPr="00BF3CDE">
        <w:t>FSS</w:t>
      </w:r>
      <w:r w:rsidRPr="00BF3CDE">
        <w:tab/>
        <w:t>Fédération suisse des sourds</w:t>
      </w:r>
    </w:p>
    <w:p w14:paraId="57755C8B" w14:textId="77777777" w:rsidR="00680FC7" w:rsidRPr="00BF3CDE" w:rsidRDefault="00680FC7" w:rsidP="00680FC7">
      <w:pPr>
        <w:tabs>
          <w:tab w:val="left" w:pos="2410"/>
        </w:tabs>
        <w:ind w:left="2410" w:hanging="2410"/>
      </w:pPr>
      <w:r w:rsidRPr="00BF3CDE">
        <w:t>GE</w:t>
      </w:r>
      <w:r w:rsidRPr="00BF3CDE">
        <w:tab/>
        <w:t>Genève</w:t>
      </w:r>
    </w:p>
    <w:p w14:paraId="4C6C18FC" w14:textId="77777777" w:rsidR="00680FC7" w:rsidRPr="00BF3CDE" w:rsidRDefault="00680FC7" w:rsidP="00680FC7">
      <w:pPr>
        <w:tabs>
          <w:tab w:val="left" w:pos="2410"/>
        </w:tabs>
      </w:pPr>
      <w:r w:rsidRPr="00BF3CDE">
        <w:t>GHB</w:t>
      </w:r>
      <w:r w:rsidRPr="00BF3CDE">
        <w:tab/>
        <w:t>gamma-hydroxybutyrate</w:t>
      </w:r>
    </w:p>
    <w:p w14:paraId="6A07693D" w14:textId="77777777" w:rsidR="00680FC7" w:rsidRPr="00BF3CDE" w:rsidRDefault="00680FC7" w:rsidP="00680FC7">
      <w:pPr>
        <w:tabs>
          <w:tab w:val="left" w:pos="2410"/>
        </w:tabs>
        <w:ind w:left="2410" w:hanging="2410"/>
      </w:pPr>
      <w:r w:rsidRPr="00BF3CDE">
        <w:t>GREVIO</w:t>
      </w:r>
      <w:r w:rsidRPr="00BF3CDE">
        <w:tab/>
      </w:r>
      <w:r>
        <w:t xml:space="preserve">Group of Experts </w:t>
      </w:r>
      <w:r w:rsidRPr="00BF3CDE">
        <w:t>on Action against Violence against Women and Domestic Violence</w:t>
      </w:r>
      <w:r>
        <w:t xml:space="preserve"> / </w:t>
      </w:r>
      <w:r w:rsidRPr="00BF3CDE">
        <w:t>Group</w:t>
      </w:r>
      <w:r>
        <w:t>e d’e</w:t>
      </w:r>
      <w:r w:rsidRPr="00BF3CDE">
        <w:t>xpert</w:t>
      </w:r>
      <w:r>
        <w:t>.e.</w:t>
      </w:r>
      <w:r w:rsidRPr="00BF3CDE">
        <w:t xml:space="preserve">s </w:t>
      </w:r>
      <w:r>
        <w:t>du Conseil de l’Europe sur la lutte contre la violence à l’égard des femmes et la violence domestique</w:t>
      </w:r>
    </w:p>
    <w:p w14:paraId="395D465E" w14:textId="77777777" w:rsidR="00680FC7" w:rsidRPr="00BF3CDE" w:rsidRDefault="00680FC7" w:rsidP="00680FC7">
      <w:pPr>
        <w:tabs>
          <w:tab w:val="left" w:pos="2410"/>
        </w:tabs>
        <w:ind w:left="2410" w:hanging="2410"/>
        <w:rPr>
          <w:iCs/>
        </w:rPr>
      </w:pPr>
      <w:r w:rsidRPr="00BF3CDE">
        <w:t>HCDH</w:t>
      </w:r>
      <w:r w:rsidRPr="00BF3CDE">
        <w:tab/>
      </w:r>
      <w:r w:rsidRPr="00BF3CDE">
        <w:rPr>
          <w:rStyle w:val="st"/>
          <w:rFonts w:eastAsia="MS Gothic"/>
        </w:rPr>
        <w:t>Bureau du Haut-Commissariat des Nations Unies aux droits de l’homme HCDH</w:t>
      </w:r>
    </w:p>
    <w:p w14:paraId="4A614BA1" w14:textId="77777777" w:rsidR="00680FC7" w:rsidRPr="00BF3CDE" w:rsidRDefault="00680FC7" w:rsidP="00680FC7">
      <w:pPr>
        <w:tabs>
          <w:tab w:val="left" w:pos="2410"/>
        </w:tabs>
        <w:ind w:left="2410" w:hanging="2410"/>
      </w:pPr>
      <w:r w:rsidRPr="00BF3CDE">
        <w:t>HfH</w:t>
      </w:r>
      <w:r w:rsidRPr="00BF3CDE">
        <w:tab/>
        <w:t>Interkantonale Hochschule für Heilpädagogik [Haute école intercantonale de pédagogie spécialisée]</w:t>
      </w:r>
    </w:p>
    <w:p w14:paraId="119F4445" w14:textId="77777777" w:rsidR="00680FC7" w:rsidRPr="00BF3CDE" w:rsidRDefault="00680FC7" w:rsidP="00680FC7">
      <w:pPr>
        <w:tabs>
          <w:tab w:val="left" w:pos="2410"/>
        </w:tabs>
      </w:pPr>
      <w:r w:rsidRPr="00BF3CDE">
        <w:t>HRC</w:t>
      </w:r>
      <w:r w:rsidRPr="00BF3CDE">
        <w:tab/>
        <w:t xml:space="preserve">Human Rights Council / Conseil des droits de l’homme des </w:t>
      </w:r>
      <w:r w:rsidRPr="00BF3CDE">
        <w:tab/>
        <w:t>Nations Unies)</w:t>
      </w:r>
    </w:p>
    <w:p w14:paraId="260ACA4F" w14:textId="77777777" w:rsidR="00680FC7" w:rsidRPr="00BF3CDE" w:rsidRDefault="00680FC7" w:rsidP="00680FC7">
      <w:pPr>
        <w:tabs>
          <w:tab w:val="left" w:pos="2410"/>
        </w:tabs>
      </w:pPr>
      <w:r w:rsidRPr="00BF3CDE">
        <w:t>ibid.</w:t>
      </w:r>
      <w:r w:rsidRPr="00BF3CDE">
        <w:tab/>
        <w:t>ibidem / au même endroit</w:t>
      </w:r>
    </w:p>
    <w:p w14:paraId="06FFF7DE" w14:textId="77777777" w:rsidR="00680FC7" w:rsidRPr="00BF3CDE" w:rsidRDefault="00680FC7" w:rsidP="00680FC7">
      <w:pPr>
        <w:tabs>
          <w:tab w:val="left" w:pos="2410"/>
        </w:tabs>
      </w:pPr>
      <w:r w:rsidRPr="00BF3CDE">
        <w:t>IH</w:t>
      </w:r>
      <w:r w:rsidRPr="00BF3CDE">
        <w:tab/>
        <w:t>Inclusion Handicap</w:t>
      </w:r>
    </w:p>
    <w:p w14:paraId="24D4B7D9" w14:textId="77777777" w:rsidR="00680FC7" w:rsidRPr="00BF3CDE" w:rsidRDefault="00680FC7" w:rsidP="00680FC7">
      <w:pPr>
        <w:tabs>
          <w:tab w:val="left" w:pos="2410"/>
        </w:tabs>
        <w:ind w:left="2410" w:hanging="2410"/>
      </w:pPr>
      <w:r w:rsidRPr="00BF3CDE">
        <w:t>INSOS</w:t>
      </w:r>
      <w:r w:rsidRPr="00BF3CDE">
        <w:tab/>
        <w:t>Association de branche des prestataires de service pour les personnes en situation de handicap</w:t>
      </w:r>
    </w:p>
    <w:p w14:paraId="0F9DBC27" w14:textId="77777777" w:rsidR="00680FC7" w:rsidRPr="00BF3CDE" w:rsidRDefault="00680FC7" w:rsidP="00680FC7">
      <w:pPr>
        <w:tabs>
          <w:tab w:val="left" w:pos="2410"/>
        </w:tabs>
        <w:ind w:left="2410" w:hanging="2410"/>
      </w:pPr>
      <w:r w:rsidRPr="00BF3CDE">
        <w:t>LAA</w:t>
      </w:r>
      <w:r w:rsidRPr="00BF3CDE">
        <w:tab/>
        <w:t>Loi fédérale du 20 mars 1981 sur l’assurance-accidents (LAA; RS 832.20)</w:t>
      </w:r>
    </w:p>
    <w:p w14:paraId="3147E01D" w14:textId="77777777" w:rsidR="00680FC7" w:rsidRPr="00BF3CDE" w:rsidRDefault="00680FC7" w:rsidP="00680FC7">
      <w:pPr>
        <w:tabs>
          <w:tab w:val="left" w:pos="2410"/>
        </w:tabs>
        <w:ind w:left="2410" w:hanging="2410"/>
      </w:pPr>
      <w:r w:rsidRPr="00BF3CDE">
        <w:t>LAI</w:t>
      </w:r>
      <w:r w:rsidRPr="00BF3CDE">
        <w:tab/>
        <w:t>Loi fédérale du 19 juin 1959 sur l’assurance-invalidité (LAI; RS 831.20)</w:t>
      </w:r>
    </w:p>
    <w:p w14:paraId="2D6D7800" w14:textId="77777777" w:rsidR="00680FC7" w:rsidRPr="00BF3CDE" w:rsidRDefault="00680FC7" w:rsidP="00680FC7">
      <w:pPr>
        <w:tabs>
          <w:tab w:val="left" w:pos="2410"/>
        </w:tabs>
        <w:ind w:left="2410" w:hanging="2410"/>
      </w:pPr>
      <w:r w:rsidRPr="00BF3CDE">
        <w:t>LAMal</w:t>
      </w:r>
      <w:r w:rsidRPr="00BF3CDE">
        <w:tab/>
        <w:t>Loi fédérale du 18 mars 1994 sur l’assurance-maladie (LAMal; RS 832.10)</w:t>
      </w:r>
    </w:p>
    <w:p w14:paraId="5BA16C11" w14:textId="77777777" w:rsidR="00680FC7" w:rsidRPr="00BF3CDE" w:rsidRDefault="00680FC7" w:rsidP="00680FC7">
      <w:pPr>
        <w:tabs>
          <w:tab w:val="left" w:pos="2410"/>
        </w:tabs>
        <w:ind w:left="2410" w:hanging="2410"/>
      </w:pPr>
      <w:r w:rsidRPr="00BF3CDE">
        <w:t>LAPG</w:t>
      </w:r>
      <w:r w:rsidRPr="00BF3CDE">
        <w:tab/>
        <w:t>Loi fédérale du 25 septembre 1952 sur les allocations pour perte de gain (LAPG; RS 834.1)</w:t>
      </w:r>
    </w:p>
    <w:p w14:paraId="5ABBC0BC" w14:textId="77777777" w:rsidR="00680FC7" w:rsidRPr="00BF3CDE" w:rsidRDefault="00680FC7" w:rsidP="00680FC7">
      <w:pPr>
        <w:tabs>
          <w:tab w:val="left" w:pos="2410"/>
        </w:tabs>
        <w:ind w:left="2410" w:hanging="2410"/>
        <w:rPr>
          <w:iCs/>
        </w:rPr>
      </w:pPr>
      <w:r w:rsidRPr="00BF3CDE">
        <w:rPr>
          <w:iCs/>
        </w:rPr>
        <w:t>LAVI</w:t>
      </w:r>
      <w:r w:rsidRPr="00BF3CDE">
        <w:rPr>
          <w:iCs/>
        </w:rPr>
        <w:tab/>
        <w:t>Loi fédérale du 23 mars 2007 sur l’aide aux victimes d’infractions (loi sur l’aide aux victimes, OHG; RS 312.5)</w:t>
      </w:r>
    </w:p>
    <w:p w14:paraId="6FDDD019" w14:textId="77777777" w:rsidR="00680FC7" w:rsidRPr="00BF3CDE" w:rsidRDefault="00680FC7" w:rsidP="00680FC7">
      <w:pPr>
        <w:tabs>
          <w:tab w:val="left" w:pos="2410"/>
        </w:tabs>
        <w:ind w:left="2410" w:hanging="2410"/>
      </w:pPr>
      <w:r w:rsidRPr="00BF3CDE">
        <w:rPr>
          <w:rStyle w:val="st"/>
          <w:rFonts w:eastAsia="MS Gothic"/>
        </w:rPr>
        <w:t>LAVS</w:t>
      </w:r>
      <w:r w:rsidRPr="00BF3CDE">
        <w:rPr>
          <w:rStyle w:val="st"/>
          <w:rFonts w:eastAsia="MS Gothic"/>
        </w:rPr>
        <w:tab/>
        <w:t>Loi fédérale du 20 décembre 1946 sur l’assurance-vieillesse et survivants (LAVS; RS 831.10)</w:t>
      </w:r>
    </w:p>
    <w:p w14:paraId="2B854D30" w14:textId="77777777" w:rsidR="00680FC7" w:rsidRPr="00BF3CDE" w:rsidRDefault="00680FC7" w:rsidP="00680FC7">
      <w:pPr>
        <w:tabs>
          <w:tab w:val="left" w:pos="2410"/>
        </w:tabs>
        <w:ind w:left="2410" w:hanging="2410"/>
      </w:pPr>
      <w:r w:rsidRPr="00BF3CDE">
        <w:t>LDIPH VS</w:t>
      </w:r>
      <w:r w:rsidRPr="00BF3CDE">
        <w:tab/>
        <w:t>Loi du 31 janvier 1991 sur les droits et l’inclusion des personnes en situation de handicap du canton du Valais (LDIPH; RS 850.6)</w:t>
      </w:r>
    </w:p>
    <w:p w14:paraId="33EEF8E3" w14:textId="77777777" w:rsidR="00680FC7" w:rsidRPr="00BF3CDE" w:rsidRDefault="00680FC7" w:rsidP="00680FC7">
      <w:pPr>
        <w:tabs>
          <w:tab w:val="left" w:pos="2410"/>
        </w:tabs>
        <w:ind w:left="2410" w:hanging="2410"/>
      </w:pPr>
      <w:r w:rsidRPr="00BF3CDE">
        <w:t>LDP</w:t>
      </w:r>
      <w:r w:rsidRPr="00BF3CDE">
        <w:tab/>
        <w:t>Loi fédérale du 17 décembre 1976 sur les droits politiques (LDP; RS 161.1)</w:t>
      </w:r>
    </w:p>
    <w:p w14:paraId="71CEFD1F" w14:textId="77777777" w:rsidR="00680FC7" w:rsidRPr="006D1641" w:rsidRDefault="00680FC7" w:rsidP="00680FC7">
      <w:pPr>
        <w:tabs>
          <w:tab w:val="left" w:pos="2410"/>
        </w:tabs>
        <w:rPr>
          <w:lang w:val="en-US"/>
        </w:rPr>
      </w:pPr>
      <w:r w:rsidRPr="006D1641">
        <w:rPr>
          <w:lang w:val="en-US"/>
        </w:rPr>
        <w:t>LEA</w:t>
      </w:r>
      <w:r w:rsidRPr="006D1641">
        <w:rPr>
          <w:lang w:val="en-US"/>
        </w:rPr>
        <w:tab/>
        <w:t>(label) LEA (Living Every Age)</w:t>
      </w:r>
    </w:p>
    <w:p w14:paraId="2CD1743E" w14:textId="77777777" w:rsidR="00680FC7" w:rsidRPr="00BF3CDE" w:rsidRDefault="00680FC7" w:rsidP="00680FC7">
      <w:pPr>
        <w:tabs>
          <w:tab w:val="left" w:pos="2410"/>
        </w:tabs>
        <w:ind w:left="2410" w:hanging="2410"/>
      </w:pPr>
      <w:r w:rsidRPr="00BF3CDE">
        <w:t>LEEJ</w:t>
      </w:r>
      <w:r w:rsidRPr="00BF3CDE">
        <w:tab/>
        <w:t>Loi fédérale du 30 septembre 2011 sur l’encouragement des activités extrascolaires des enfants et des jeunes (loi sur l’encouragement de l’enfance et de la jeunesse, LEEJ; RS 446.1)</w:t>
      </w:r>
    </w:p>
    <w:p w14:paraId="7A652A3D" w14:textId="77777777" w:rsidR="00680FC7" w:rsidRPr="00BF3CDE" w:rsidRDefault="00680FC7" w:rsidP="00680FC7">
      <w:pPr>
        <w:tabs>
          <w:tab w:val="left" w:pos="2410"/>
        </w:tabs>
        <w:ind w:left="2410" w:hanging="2410"/>
      </w:pPr>
      <w:r w:rsidRPr="00BF3CDE">
        <w:t>LEg</w:t>
      </w:r>
      <w:r w:rsidRPr="00BF3CDE">
        <w:tab/>
        <w:t>Loi fédérale du 24 mars 1995 sur l’égalité entre femmes et hommes (loi sur l’égalité, LEg; RS 151.1)</w:t>
      </w:r>
    </w:p>
    <w:p w14:paraId="16125D73" w14:textId="77777777" w:rsidR="00680FC7" w:rsidRPr="00BF3CDE" w:rsidRDefault="00680FC7" w:rsidP="00680FC7">
      <w:pPr>
        <w:tabs>
          <w:tab w:val="left" w:pos="2410"/>
        </w:tabs>
      </w:pPr>
      <w:r w:rsidRPr="00BF3CDE">
        <w:t>let.</w:t>
      </w:r>
      <w:r w:rsidRPr="00BF3CDE">
        <w:tab/>
        <w:t>lettre, litera</w:t>
      </w:r>
    </w:p>
    <w:p w14:paraId="5997BED8" w14:textId="77777777" w:rsidR="00680FC7" w:rsidRPr="00BF3CDE" w:rsidRDefault="00680FC7" w:rsidP="00680FC7">
      <w:pPr>
        <w:tabs>
          <w:tab w:val="left" w:pos="2410"/>
        </w:tabs>
      </w:pPr>
      <w:r w:rsidRPr="00BF3CDE">
        <w:t>LF</w:t>
      </w:r>
      <w:r w:rsidRPr="00BF3CDE">
        <w:tab/>
        <w:t>Loi fédérale</w:t>
      </w:r>
    </w:p>
    <w:p w14:paraId="2D815BE8" w14:textId="77777777" w:rsidR="00680FC7" w:rsidRPr="00BF3CDE" w:rsidRDefault="00680FC7" w:rsidP="00680FC7">
      <w:pPr>
        <w:tabs>
          <w:tab w:val="left" w:pos="2410"/>
        </w:tabs>
        <w:ind w:left="2410" w:hanging="2410"/>
      </w:pPr>
      <w:r w:rsidRPr="00BF3CDE">
        <w:t>LFPr</w:t>
      </w:r>
      <w:r w:rsidRPr="00BF3CDE">
        <w:tab/>
        <w:t>Loi fédérale du 13 décembre 2002 sur la formation professionnelle (LFPr ; RS 412.10)</w:t>
      </w:r>
    </w:p>
    <w:p w14:paraId="56AF9B49" w14:textId="77777777" w:rsidR="00680FC7" w:rsidRPr="00BF3CDE" w:rsidRDefault="00680FC7" w:rsidP="00680FC7">
      <w:pPr>
        <w:tabs>
          <w:tab w:val="left" w:pos="2410"/>
        </w:tabs>
        <w:ind w:left="2410" w:hanging="2410"/>
      </w:pPr>
      <w:r w:rsidRPr="00BF3CDE">
        <w:t>LHand</w:t>
      </w:r>
      <w:r w:rsidRPr="00BF3CDE">
        <w:tab/>
        <w:t>Loi fédérale du 13 décembre 2002 sur l’élimination des inégalités frappant les personnes handicapées (loi sur l’égalité pour les handicapés, LHand; RS 151.3)</w:t>
      </w:r>
    </w:p>
    <w:p w14:paraId="29E52EB7" w14:textId="77777777" w:rsidR="00680FC7" w:rsidRPr="00BF3CDE" w:rsidRDefault="00680FC7" w:rsidP="00680FC7">
      <w:pPr>
        <w:tabs>
          <w:tab w:val="left" w:pos="2410"/>
        </w:tabs>
        <w:ind w:left="2410" w:hanging="2410"/>
        <w:rPr>
          <w:bCs/>
        </w:rPr>
      </w:pPr>
      <w:r w:rsidRPr="00BF3CDE">
        <w:t>LIPPI</w:t>
      </w:r>
      <w:r w:rsidRPr="00BF3CDE">
        <w:tab/>
        <w:t>Loi fédérale du 6 octobre 2006 sur les institutions destinées à promouvoir l’intégration des personnes invalides (LIPPI; RS 831.26)</w:t>
      </w:r>
    </w:p>
    <w:p w14:paraId="583DEB3C" w14:textId="77777777" w:rsidR="00680FC7" w:rsidRPr="00BF3CDE" w:rsidRDefault="00680FC7" w:rsidP="00680FC7">
      <w:pPr>
        <w:tabs>
          <w:tab w:val="left" w:pos="2410"/>
        </w:tabs>
      </w:pPr>
      <w:r w:rsidRPr="00BF3CDE">
        <w:t>LoI</w:t>
      </w:r>
      <w:r w:rsidRPr="00BF3CDE">
        <w:tab/>
        <w:t>List of Issues / Liste des points à traiter</w:t>
      </w:r>
    </w:p>
    <w:p w14:paraId="5A7644F2" w14:textId="77777777" w:rsidR="00680FC7" w:rsidRPr="00BF3CDE" w:rsidRDefault="00680FC7" w:rsidP="00680FC7">
      <w:pPr>
        <w:tabs>
          <w:tab w:val="left" w:pos="2410"/>
        </w:tabs>
        <w:ind w:left="2410" w:hanging="2410"/>
      </w:pPr>
      <w:r w:rsidRPr="00BF3CDE">
        <w:t>LPGA</w:t>
      </w:r>
      <w:r w:rsidRPr="00BF3CDE">
        <w:tab/>
        <w:t>Loi fédérale du 6 octobre 2000 sur la partie générale du droit des assurances sociales (LPGA; RS 830.1)</w:t>
      </w:r>
    </w:p>
    <w:p w14:paraId="063FE430" w14:textId="77777777" w:rsidR="00680FC7" w:rsidRPr="00BF3CDE" w:rsidRDefault="00680FC7" w:rsidP="00680FC7">
      <w:pPr>
        <w:tabs>
          <w:tab w:val="left" w:pos="2410"/>
        </w:tabs>
        <w:ind w:left="2410" w:hanging="2410"/>
      </w:pPr>
      <w:r w:rsidRPr="00BF3CDE">
        <w:t>LPP</w:t>
      </w:r>
      <w:r w:rsidRPr="00BF3CDE">
        <w:tab/>
        <w:t>Loi fédérale du 25 juin 1982 sur la prévoyance professionnelle vieillesse, survivants et invalidité (LPP; RS 831.40)</w:t>
      </w:r>
    </w:p>
    <w:p w14:paraId="5C21CAF8" w14:textId="77777777" w:rsidR="00680FC7" w:rsidRPr="00BF3CDE" w:rsidRDefault="00680FC7" w:rsidP="00680FC7">
      <w:pPr>
        <w:tabs>
          <w:tab w:val="left" w:pos="2410"/>
        </w:tabs>
        <w:ind w:left="2410" w:hanging="2410"/>
      </w:pPr>
      <w:r w:rsidRPr="00BF3CDE">
        <w:t>LPPCi</w:t>
      </w:r>
      <w:r w:rsidRPr="00BF3CDE">
        <w:tab/>
        <w:t>Loi fédérale du 20 décembre 2019 sur la protection de la population et sur la protection civile (LPPCi; RS 520.1)</w:t>
      </w:r>
    </w:p>
    <w:p w14:paraId="17747B84" w14:textId="77777777" w:rsidR="00680FC7" w:rsidRPr="00BF3CDE" w:rsidRDefault="00680FC7" w:rsidP="00680FC7">
      <w:pPr>
        <w:tabs>
          <w:tab w:val="left" w:pos="2410"/>
        </w:tabs>
        <w:ind w:left="2410" w:hanging="2410"/>
      </w:pPr>
      <w:r w:rsidRPr="00BF3CDE">
        <w:t>LRH</w:t>
      </w:r>
      <w:r w:rsidRPr="00BF3CDE">
        <w:tab/>
        <w:t>Loi fédérale du 30 septembre 2011 relative à la recherche sur l’être humain (LRH; RS 810.30)</w:t>
      </w:r>
    </w:p>
    <w:p w14:paraId="6AB32E3F" w14:textId="77777777" w:rsidR="00680FC7" w:rsidRPr="00BF3CDE" w:rsidRDefault="00680FC7" w:rsidP="00680FC7">
      <w:pPr>
        <w:tabs>
          <w:tab w:val="left" w:pos="2410"/>
        </w:tabs>
      </w:pPr>
      <w:r w:rsidRPr="00BF3CDE">
        <w:t>LSF</w:t>
      </w:r>
      <w:r w:rsidRPr="00BF3CDE">
        <w:tab/>
        <w:t xml:space="preserve">Loi sur la statistique fédérale du 9 octobre 1992 (LSF; RS </w:t>
      </w:r>
      <w:r w:rsidRPr="00BF3CDE">
        <w:tab/>
        <w:t>431.01)</w:t>
      </w:r>
    </w:p>
    <w:p w14:paraId="77022909" w14:textId="77777777" w:rsidR="00680FC7" w:rsidRPr="00BF3CDE" w:rsidRDefault="00680FC7" w:rsidP="00680FC7">
      <w:pPr>
        <w:tabs>
          <w:tab w:val="left" w:pos="2410"/>
        </w:tabs>
        <w:ind w:left="2410" w:hanging="2410"/>
      </w:pPr>
      <w:r w:rsidRPr="00BF3CDE">
        <w:t>LTF</w:t>
      </w:r>
      <w:r w:rsidRPr="00BF3CDE">
        <w:tab/>
        <w:t>Loi du 17 juin 2005 sur le Tribunal fédéral (LTF; RS 173.110)</w:t>
      </w:r>
    </w:p>
    <w:p w14:paraId="28ED2BAB" w14:textId="77777777" w:rsidR="00680FC7" w:rsidRPr="00BF3CDE" w:rsidRDefault="00680FC7" w:rsidP="00680FC7">
      <w:pPr>
        <w:tabs>
          <w:tab w:val="left" w:pos="2410"/>
        </w:tabs>
        <w:ind w:left="2410" w:hanging="2410"/>
      </w:pPr>
      <w:r w:rsidRPr="00BF3CDE">
        <w:t>LTr</w:t>
      </w:r>
      <w:r w:rsidRPr="00BF3CDE">
        <w:tab/>
        <w:t>Loi fédérale sur le travail dans l’industrie, l’artisanat et le commerce (loi sur le travail, LTr; RS 822.11)</w:t>
      </w:r>
    </w:p>
    <w:p w14:paraId="2DB0FA17" w14:textId="77777777" w:rsidR="00680FC7" w:rsidRPr="00BF3CDE" w:rsidRDefault="00680FC7" w:rsidP="00680FC7">
      <w:pPr>
        <w:tabs>
          <w:tab w:val="left" w:pos="2410"/>
        </w:tabs>
      </w:pPr>
      <w:r w:rsidRPr="00BF3CDE">
        <w:t>max.</w:t>
      </w:r>
      <w:r w:rsidRPr="00BF3CDE">
        <w:tab/>
        <w:t>maximal / maximum</w:t>
      </w:r>
    </w:p>
    <w:p w14:paraId="79771C51" w14:textId="77777777" w:rsidR="00680FC7" w:rsidRPr="00BF3CDE" w:rsidRDefault="00680FC7" w:rsidP="00680FC7">
      <w:pPr>
        <w:tabs>
          <w:tab w:val="left" w:pos="2410"/>
        </w:tabs>
      </w:pPr>
      <w:r w:rsidRPr="00BF3CDE">
        <w:t>MNA</w:t>
      </w:r>
      <w:r w:rsidRPr="00BF3CDE">
        <w:tab/>
        <w:t>mineurs non accompagnés</w:t>
      </w:r>
    </w:p>
    <w:p w14:paraId="69865911" w14:textId="77777777" w:rsidR="00680FC7" w:rsidRPr="00BF3CDE" w:rsidRDefault="00680FC7" w:rsidP="00680FC7">
      <w:pPr>
        <w:tabs>
          <w:tab w:val="left" w:pos="2410"/>
        </w:tabs>
      </w:pPr>
      <w:r w:rsidRPr="00BF3CDE">
        <w:t xml:space="preserve">N/n </w:t>
      </w:r>
      <w:r w:rsidRPr="00BF3CDE">
        <w:tab/>
        <w:t>note de bas de page / note</w:t>
      </w:r>
    </w:p>
    <w:p w14:paraId="6213D4F0" w14:textId="77777777" w:rsidR="00680FC7" w:rsidRPr="00BF3CDE" w:rsidRDefault="00680FC7" w:rsidP="00680FC7">
      <w:pPr>
        <w:tabs>
          <w:tab w:val="left" w:pos="2410"/>
        </w:tabs>
      </w:pPr>
      <w:r>
        <w:t>n</w:t>
      </w:r>
      <w:r w:rsidRPr="00BF3CDE">
        <w:t>°</w:t>
      </w:r>
      <w:r w:rsidRPr="00BF3CDE">
        <w:tab/>
        <w:t>numéro</w:t>
      </w:r>
    </w:p>
    <w:p w14:paraId="2DDCED61" w14:textId="77777777" w:rsidR="00680FC7" w:rsidRPr="00BF3CDE" w:rsidRDefault="00680FC7" w:rsidP="00680FC7">
      <w:pPr>
        <w:tabs>
          <w:tab w:val="left" w:pos="2410"/>
        </w:tabs>
      </w:pPr>
      <w:r w:rsidRPr="00BF3CDE">
        <w:t>NMRI</w:t>
      </w:r>
      <w:r w:rsidRPr="00BF3CDE">
        <w:tab/>
        <w:t>Institution(s) nationale(s) des droits humains</w:t>
      </w:r>
    </w:p>
    <w:p w14:paraId="0F8B7530" w14:textId="77777777" w:rsidR="00680FC7" w:rsidRPr="00BF3CDE" w:rsidRDefault="00680FC7" w:rsidP="00680FC7">
      <w:pPr>
        <w:tabs>
          <w:tab w:val="left" w:pos="2410"/>
        </w:tabs>
      </w:pPr>
      <w:r w:rsidRPr="00BF3CDE">
        <w:t>No.</w:t>
      </w:r>
      <w:r w:rsidRPr="00BF3CDE">
        <w:tab/>
        <w:t>number</w:t>
      </w:r>
    </w:p>
    <w:p w14:paraId="741B68D5" w14:textId="77777777" w:rsidR="00680FC7" w:rsidRPr="00BF3CDE" w:rsidRDefault="00680FC7" w:rsidP="00680FC7">
      <w:pPr>
        <w:tabs>
          <w:tab w:val="left" w:pos="2410"/>
        </w:tabs>
      </w:pPr>
      <w:r w:rsidRPr="00BF3CDE">
        <w:t>OAI réduits</w:t>
      </w:r>
      <w:r w:rsidRPr="00BF3CDE">
        <w:tab/>
        <w:t>objectifs d’apprentissage individuels réduits</w:t>
      </w:r>
    </w:p>
    <w:p w14:paraId="5A91AEA2" w14:textId="77777777" w:rsidR="00680FC7" w:rsidRPr="00BF3CDE" w:rsidRDefault="00680FC7" w:rsidP="00680FC7">
      <w:pPr>
        <w:tabs>
          <w:tab w:val="left" w:pos="2410"/>
        </w:tabs>
      </w:pPr>
      <w:r w:rsidRPr="00BF3CDE">
        <w:t>OFAS</w:t>
      </w:r>
      <w:r w:rsidRPr="00BF3CDE">
        <w:tab/>
        <w:t>Office fédéral des assurances sociales</w:t>
      </w:r>
    </w:p>
    <w:p w14:paraId="21E5756A" w14:textId="77777777" w:rsidR="00680FC7" w:rsidRPr="00BF3CDE" w:rsidRDefault="00680FC7" w:rsidP="00680FC7">
      <w:pPr>
        <w:tabs>
          <w:tab w:val="left" w:pos="2410"/>
        </w:tabs>
      </w:pPr>
      <w:r w:rsidRPr="00BF3CDE">
        <w:t>OFJ</w:t>
      </w:r>
      <w:r w:rsidRPr="00BF3CDE">
        <w:tab/>
        <w:t>Office fédéral de la justice</w:t>
      </w:r>
    </w:p>
    <w:p w14:paraId="7AD620F2" w14:textId="77777777" w:rsidR="00680FC7" w:rsidRPr="00BF3CDE" w:rsidRDefault="00680FC7" w:rsidP="00680FC7">
      <w:pPr>
        <w:tabs>
          <w:tab w:val="left" w:pos="2410"/>
        </w:tabs>
        <w:ind w:left="2410" w:hanging="2410"/>
      </w:pPr>
      <w:r w:rsidRPr="00BF3CDE">
        <w:t>OFL</w:t>
      </w:r>
      <w:r w:rsidRPr="00BF3CDE">
        <w:tab/>
        <w:t>Office fédéral du logement</w:t>
      </w:r>
    </w:p>
    <w:p w14:paraId="03BAE206" w14:textId="77777777" w:rsidR="00680FC7" w:rsidRPr="00BF3CDE" w:rsidRDefault="00680FC7" w:rsidP="00680FC7">
      <w:pPr>
        <w:tabs>
          <w:tab w:val="left" w:pos="2410"/>
        </w:tabs>
      </w:pPr>
      <w:r w:rsidRPr="00BF3CDE">
        <w:rPr>
          <w:smallCaps/>
        </w:rPr>
        <w:t>OFPP</w:t>
      </w:r>
      <w:r w:rsidRPr="00BF3CDE">
        <w:rPr>
          <w:smallCaps/>
        </w:rPr>
        <w:tab/>
        <w:t>O</w:t>
      </w:r>
      <w:r w:rsidRPr="00BF3CDE">
        <w:t xml:space="preserve">ffice fédéral de la protection de la population </w:t>
      </w:r>
    </w:p>
    <w:p w14:paraId="337DA844" w14:textId="77777777" w:rsidR="00680FC7" w:rsidRPr="00BF3CDE" w:rsidRDefault="00680FC7" w:rsidP="00680FC7">
      <w:pPr>
        <w:tabs>
          <w:tab w:val="left" w:pos="2410"/>
        </w:tabs>
      </w:pPr>
      <w:r w:rsidRPr="00BF3CDE">
        <w:t>OFS</w:t>
      </w:r>
      <w:r w:rsidRPr="00BF3CDE">
        <w:tab/>
        <w:t>Office fédéral de la statistique</w:t>
      </w:r>
    </w:p>
    <w:p w14:paraId="76AD195C" w14:textId="77777777" w:rsidR="00680FC7" w:rsidRPr="00BF3CDE" w:rsidRDefault="00680FC7" w:rsidP="00680FC7">
      <w:pPr>
        <w:tabs>
          <w:tab w:val="left" w:pos="2410"/>
        </w:tabs>
      </w:pPr>
      <w:r w:rsidRPr="00BF3CDE">
        <w:t>OFSP</w:t>
      </w:r>
      <w:r w:rsidRPr="00BF3CDE">
        <w:tab/>
        <w:t>Office fédéral de la santé publique</w:t>
      </w:r>
    </w:p>
    <w:p w14:paraId="69B2C466" w14:textId="77777777" w:rsidR="00680FC7" w:rsidRPr="00BF3CDE" w:rsidRDefault="00680FC7" w:rsidP="00680FC7">
      <w:pPr>
        <w:tabs>
          <w:tab w:val="left" w:pos="2410"/>
        </w:tabs>
      </w:pPr>
      <w:r w:rsidRPr="00BF3CDE">
        <w:t>OFT</w:t>
      </w:r>
      <w:r w:rsidRPr="00BF3CDE">
        <w:tab/>
        <w:t>Office fédéral des transports</w:t>
      </w:r>
    </w:p>
    <w:p w14:paraId="0A255F24" w14:textId="77777777" w:rsidR="00680FC7" w:rsidRPr="00BF3CDE" w:rsidRDefault="00680FC7" w:rsidP="00680FC7">
      <w:pPr>
        <w:tabs>
          <w:tab w:val="left" w:pos="2410"/>
        </w:tabs>
      </w:pPr>
      <w:r w:rsidRPr="00BF3CDE">
        <w:t>OG</w:t>
      </w:r>
      <w:r w:rsidRPr="00BF3CDE">
        <w:tab/>
        <w:t>Observation générale</w:t>
      </w:r>
    </w:p>
    <w:p w14:paraId="56BF92A3" w14:textId="77777777" w:rsidR="00680FC7" w:rsidRPr="00BF3CDE" w:rsidRDefault="00680FC7" w:rsidP="00680FC7">
      <w:pPr>
        <w:tabs>
          <w:tab w:val="left" w:pos="2410"/>
        </w:tabs>
        <w:ind w:left="2410" w:hanging="2410"/>
      </w:pPr>
      <w:r w:rsidRPr="00BF3CDE">
        <w:t>OGPCT</w:t>
      </w:r>
      <w:r w:rsidRPr="00BF3CDE">
        <w:tab/>
        <w:t>Ordonnance du 4 juillet 2012 sur la gestion du patrimoine dans le cadre d’une curatelle ou d’une tutelle (OGPCT; RS 211.223.11)</w:t>
      </w:r>
    </w:p>
    <w:p w14:paraId="0E6957A7" w14:textId="77777777" w:rsidR="00680FC7" w:rsidRPr="00BF3CDE" w:rsidRDefault="00680FC7" w:rsidP="00680FC7">
      <w:pPr>
        <w:ind w:left="2370" w:hanging="2370"/>
      </w:pPr>
      <w:r w:rsidRPr="00BF3CDE">
        <w:t>OHand</w:t>
      </w:r>
      <w:r w:rsidRPr="00BF3CDE">
        <w:tab/>
        <w:t>Ordonnance du 19 novembre 2003 sur l’élimination des inégalités frappant les personnes handicapées (ordonnance sur l’égalité pour les handicapés, OHand; RS 151.31)</w:t>
      </w:r>
    </w:p>
    <w:p w14:paraId="7A544C60" w14:textId="77777777" w:rsidR="00680FC7" w:rsidRPr="00BF3CDE" w:rsidRDefault="00680FC7" w:rsidP="00680FC7">
      <w:pPr>
        <w:tabs>
          <w:tab w:val="left" w:pos="2410"/>
        </w:tabs>
        <w:ind w:left="2410" w:hanging="2410"/>
        <w:rPr>
          <w:rStyle w:val="st"/>
          <w:rFonts w:eastAsia="MS Gothic"/>
        </w:rPr>
      </w:pPr>
      <w:r w:rsidRPr="00BF3CDE">
        <w:t>OHCHR</w:t>
      </w:r>
      <w:r w:rsidRPr="00BF3CDE">
        <w:tab/>
      </w:r>
      <w:r w:rsidRPr="00BF3CDE">
        <w:rPr>
          <w:rStyle w:val="st"/>
          <w:rFonts w:eastAsia="MS Gothic"/>
        </w:rPr>
        <w:t>Office of the United Nations High Commissioner for Human Rights / Bureau du Haut-Commissariat des Nations Unies aux droits de l’homme HCDH</w:t>
      </w:r>
    </w:p>
    <w:p w14:paraId="0F02ED3F" w14:textId="77777777" w:rsidR="00680FC7" w:rsidRPr="00BF3CDE" w:rsidRDefault="00680FC7" w:rsidP="00680FC7">
      <w:pPr>
        <w:tabs>
          <w:tab w:val="left" w:pos="2410"/>
        </w:tabs>
        <w:ind w:left="2410" w:hanging="2410"/>
      </w:pPr>
      <w:r w:rsidRPr="00BF3CDE">
        <w:t>OMS</w:t>
      </w:r>
      <w:r w:rsidRPr="00BF3CDE">
        <w:tab/>
        <w:t>Organisation mondiale de la santé</w:t>
      </w:r>
    </w:p>
    <w:p w14:paraId="7E5452CA" w14:textId="77777777" w:rsidR="00680FC7" w:rsidRPr="00BF3CDE" w:rsidRDefault="00680FC7" w:rsidP="00680FC7">
      <w:pPr>
        <w:tabs>
          <w:tab w:val="left" w:pos="2410"/>
        </w:tabs>
      </w:pPr>
      <w:r w:rsidRPr="00BF3CDE">
        <w:t>ONG</w:t>
      </w:r>
      <w:r w:rsidRPr="00BF3CDE">
        <w:tab/>
        <w:t>organisation non gouvernementale</w:t>
      </w:r>
    </w:p>
    <w:p w14:paraId="03F90579" w14:textId="77777777" w:rsidR="00680FC7" w:rsidRPr="00BF3CDE" w:rsidRDefault="00680FC7" w:rsidP="00680FC7">
      <w:pPr>
        <w:tabs>
          <w:tab w:val="left" w:pos="2410"/>
        </w:tabs>
      </w:pPr>
      <w:r w:rsidRPr="00BF3CDE">
        <w:t>ONU</w:t>
      </w:r>
      <w:r w:rsidRPr="00BF3CDE">
        <w:tab/>
        <w:t>Organisation des Nations Unies</w:t>
      </w:r>
    </w:p>
    <w:p w14:paraId="0353B0A1" w14:textId="77777777" w:rsidR="00680FC7" w:rsidRPr="00BF3CDE" w:rsidRDefault="00680FC7" w:rsidP="00680FC7">
      <w:pPr>
        <w:tabs>
          <w:tab w:val="left" w:pos="2410"/>
        </w:tabs>
        <w:ind w:left="2410" w:hanging="2410"/>
      </w:pPr>
      <w:r w:rsidRPr="00BF3CDE">
        <w:t>OPP 2</w:t>
      </w:r>
      <w:r w:rsidRPr="00BF3CDE">
        <w:tab/>
        <w:t xml:space="preserve">Ordonnance du 18 avril 1984 sur la prévoyance professionnelle vieillesse, survivants et invalidité (OPP 2; RS 831.441.1) </w:t>
      </w:r>
      <w:r w:rsidRPr="00BF3CDE">
        <w:tab/>
      </w:r>
    </w:p>
    <w:p w14:paraId="3CABB069" w14:textId="77777777" w:rsidR="00680FC7" w:rsidRPr="00BF3CDE" w:rsidRDefault="00680FC7" w:rsidP="00680FC7">
      <w:pPr>
        <w:tabs>
          <w:tab w:val="left" w:pos="2410"/>
        </w:tabs>
      </w:pPr>
      <w:r w:rsidRPr="00BF3CDE">
        <w:t>p. ex.</w:t>
      </w:r>
      <w:r w:rsidRPr="00BF3CDE">
        <w:tab/>
        <w:t>par exemple</w:t>
      </w:r>
    </w:p>
    <w:p w14:paraId="219B6E29" w14:textId="77777777" w:rsidR="00680FC7" w:rsidRPr="00BF3CDE" w:rsidRDefault="00680FC7" w:rsidP="00680FC7">
      <w:pPr>
        <w:tabs>
          <w:tab w:val="left" w:pos="2410"/>
        </w:tabs>
      </w:pPr>
      <w:r w:rsidRPr="00BF3CDE">
        <w:t>p.</w:t>
      </w:r>
      <w:r w:rsidRPr="00BF3CDE">
        <w:tab/>
        <w:t>page(s)</w:t>
      </w:r>
    </w:p>
    <w:p w14:paraId="62DDE658" w14:textId="77777777" w:rsidR="00680FC7" w:rsidRPr="00BF3CDE" w:rsidRDefault="00680FC7" w:rsidP="00680FC7">
      <w:pPr>
        <w:tabs>
          <w:tab w:val="left" w:pos="2410"/>
        </w:tabs>
        <w:ind w:left="2410" w:hanging="2410"/>
      </w:pPr>
      <w:r w:rsidRPr="00BF3CDE">
        <w:t>Pacte I</w:t>
      </w:r>
      <w:r w:rsidRPr="00BF3CDE">
        <w:tab/>
        <w:t>Pacte international relatif aux droits économiques, sociaux et culturels du 16 décembre 1966 (RS 0.103.1)</w:t>
      </w:r>
    </w:p>
    <w:p w14:paraId="75DABACC" w14:textId="77777777" w:rsidR="00680FC7" w:rsidRPr="00BF3CDE" w:rsidRDefault="00680FC7" w:rsidP="00680FC7">
      <w:pPr>
        <w:tabs>
          <w:tab w:val="left" w:pos="2410"/>
        </w:tabs>
      </w:pPr>
      <w:r w:rsidRPr="00BF3CDE">
        <w:t>PAFA</w:t>
      </w:r>
      <w:r w:rsidRPr="00BF3CDE">
        <w:tab/>
        <w:t>placement à des fins d’assistance</w:t>
      </w:r>
    </w:p>
    <w:p w14:paraId="633D1579" w14:textId="77777777" w:rsidR="00680FC7" w:rsidRPr="00BF3CDE" w:rsidRDefault="00680FC7" w:rsidP="00680FC7">
      <w:pPr>
        <w:tabs>
          <w:tab w:val="left" w:pos="2410"/>
        </w:tabs>
      </w:pPr>
      <w:r w:rsidRPr="00BF3CDE">
        <w:t>PAN</w:t>
      </w:r>
      <w:r w:rsidRPr="00BF3CDE">
        <w:tab/>
        <w:t>Plan d’action national</w:t>
      </w:r>
    </w:p>
    <w:p w14:paraId="396DBC6B" w14:textId="77777777" w:rsidR="00680FC7" w:rsidRPr="00BF3CDE" w:rsidRDefault="00680FC7" w:rsidP="00680FC7">
      <w:pPr>
        <w:tabs>
          <w:tab w:val="left" w:pos="2410"/>
        </w:tabs>
      </w:pPr>
      <w:r w:rsidRPr="00BF3CDE">
        <w:t>para.</w:t>
      </w:r>
      <w:r w:rsidRPr="00BF3CDE">
        <w:tab/>
        <w:t>paragraphe</w:t>
      </w:r>
    </w:p>
    <w:p w14:paraId="41E21935" w14:textId="77777777" w:rsidR="00680FC7" w:rsidRPr="00BF3CDE" w:rsidRDefault="00680FC7" w:rsidP="00680FC7">
      <w:pPr>
        <w:tabs>
          <w:tab w:val="left" w:pos="2410"/>
        </w:tabs>
      </w:pPr>
      <w:r w:rsidRPr="00BF3CDE">
        <w:t>PC</w:t>
      </w:r>
      <w:r w:rsidRPr="00BF3CDE">
        <w:tab/>
        <w:t>prestations complémentaires</w:t>
      </w:r>
    </w:p>
    <w:p w14:paraId="19EDD2E8" w14:textId="77777777" w:rsidR="00680FC7" w:rsidRPr="00BF3CDE" w:rsidRDefault="00680FC7" w:rsidP="00680FC7">
      <w:pPr>
        <w:tabs>
          <w:tab w:val="left" w:pos="2410"/>
        </w:tabs>
        <w:ind w:left="2410" w:hanging="2410"/>
      </w:pPr>
      <w:r w:rsidRPr="00BF3CDE">
        <w:t>PES</w:t>
      </w:r>
      <w:r w:rsidRPr="00BF3CDE">
        <w:tab/>
        <w:t>Procédure(s) d’évaluation standardisée(s)</w:t>
      </w:r>
    </w:p>
    <w:p w14:paraId="53C0E127" w14:textId="38D8ED27" w:rsidR="00680FC7" w:rsidRPr="00BF3CDE" w:rsidRDefault="00680FC7" w:rsidP="00680FC7">
      <w:pPr>
        <w:tabs>
          <w:tab w:val="left" w:pos="2410"/>
        </w:tabs>
      </w:pPr>
      <w:r w:rsidRPr="00BF3CDE">
        <w:t>PH</w:t>
      </w:r>
      <w:r w:rsidRPr="00BF3CDE">
        <w:tab/>
        <w:t>personnes en situation de handicap</w:t>
      </w:r>
    </w:p>
    <w:p w14:paraId="298A6AF6" w14:textId="77777777" w:rsidR="00680FC7" w:rsidRPr="006D1641" w:rsidRDefault="00680FC7" w:rsidP="00680FC7">
      <w:pPr>
        <w:tabs>
          <w:tab w:val="left" w:pos="2410"/>
        </w:tabs>
        <w:rPr>
          <w:lang w:val="en-US"/>
        </w:rPr>
      </w:pPr>
      <w:r w:rsidRPr="006D1641">
        <w:rPr>
          <w:lang w:val="en-US"/>
        </w:rPr>
        <w:t>PnH</w:t>
      </w:r>
      <w:r w:rsidRPr="006D1641">
        <w:rPr>
          <w:lang w:val="en-US"/>
        </w:rPr>
        <w:tab/>
        <w:t>personne(s) non handicapée(s)</w:t>
      </w:r>
    </w:p>
    <w:p w14:paraId="3E363862" w14:textId="77777777" w:rsidR="00680FC7" w:rsidRPr="00BF3CDE" w:rsidRDefault="00680FC7" w:rsidP="00680FC7">
      <w:pPr>
        <w:tabs>
          <w:tab w:val="left" w:pos="2410"/>
        </w:tabs>
      </w:pPr>
      <w:r w:rsidRPr="00BF3CDE">
        <w:t>PNR</w:t>
      </w:r>
      <w:r w:rsidRPr="00BF3CDE">
        <w:tab/>
        <w:t>programme national de recherche</w:t>
      </w:r>
    </w:p>
    <w:p w14:paraId="411DD959" w14:textId="77777777" w:rsidR="00680FC7" w:rsidRPr="00BF3CDE" w:rsidRDefault="00680FC7" w:rsidP="00680FC7">
      <w:pPr>
        <w:tabs>
          <w:tab w:val="left" w:pos="2410"/>
        </w:tabs>
      </w:pPr>
      <w:r w:rsidRPr="00BF3CDE">
        <w:t>PRE</w:t>
      </w:r>
      <w:r w:rsidRPr="00BF3CDE">
        <w:tab/>
        <w:t>Premier rapport étatique</w:t>
      </w:r>
    </w:p>
    <w:p w14:paraId="31280BB1" w14:textId="77777777" w:rsidR="00680FC7" w:rsidRPr="00BF3CDE" w:rsidRDefault="00680FC7" w:rsidP="00680FC7">
      <w:pPr>
        <w:tabs>
          <w:tab w:val="left" w:pos="2410"/>
        </w:tabs>
        <w:spacing w:after="160" w:line="259" w:lineRule="auto"/>
        <w:jc w:val="left"/>
        <w:rPr>
          <w:rFonts w:eastAsia="MS Gothic"/>
          <w:b/>
        </w:rPr>
      </w:pPr>
      <w:r w:rsidRPr="00BF3CDE">
        <w:t>RDT</w:t>
      </w:r>
      <w:r w:rsidRPr="00BF3CDE">
        <w:tab/>
        <w:t>Revue du droit de tutelle</w:t>
      </w:r>
    </w:p>
    <w:p w14:paraId="68554F67" w14:textId="77777777" w:rsidR="00680FC7" w:rsidRPr="00BF3CDE" w:rsidRDefault="00680FC7" w:rsidP="00680FC7">
      <w:pPr>
        <w:tabs>
          <w:tab w:val="left" w:pos="2410"/>
        </w:tabs>
      </w:pPr>
      <w:r w:rsidRPr="00BF3CDE">
        <w:t>resp.</w:t>
      </w:r>
      <w:r w:rsidRPr="00BF3CDE">
        <w:tab/>
        <w:t>respectivement</w:t>
      </w:r>
    </w:p>
    <w:p w14:paraId="2BD414E9" w14:textId="77777777" w:rsidR="00680FC7" w:rsidRPr="00BF3CDE" w:rsidRDefault="00680FC7" w:rsidP="00680FC7">
      <w:pPr>
        <w:tabs>
          <w:tab w:val="left" w:pos="2410"/>
        </w:tabs>
      </w:pPr>
      <w:r w:rsidRPr="00BF3CDE">
        <w:t>RPT</w:t>
      </w:r>
      <w:r w:rsidRPr="00BF3CDE">
        <w:tab/>
        <w:t xml:space="preserve">Réforme de la péréquation financière et de la répartition des </w:t>
      </w:r>
      <w:r w:rsidRPr="00BF3CDE">
        <w:tab/>
        <w:t>tâches entre la Confédération et les cantons</w:t>
      </w:r>
    </w:p>
    <w:p w14:paraId="0232F71B" w14:textId="77777777" w:rsidR="00680FC7" w:rsidRPr="00BF3CDE" w:rsidRDefault="00680FC7" w:rsidP="00680FC7">
      <w:pPr>
        <w:tabs>
          <w:tab w:val="left" w:pos="2410"/>
        </w:tabs>
      </w:pPr>
      <w:r w:rsidRPr="00BF3CDE">
        <w:t>RS</w:t>
      </w:r>
      <w:r w:rsidRPr="00BF3CDE">
        <w:tab/>
        <w:t>Recueil systématique du droit fédéral</w:t>
      </w:r>
    </w:p>
    <w:p w14:paraId="783E6CB8" w14:textId="77777777" w:rsidR="00680FC7" w:rsidRPr="00BF3CDE" w:rsidRDefault="00680FC7" w:rsidP="00680FC7">
      <w:pPr>
        <w:tabs>
          <w:tab w:val="left" w:pos="2410"/>
        </w:tabs>
      </w:pPr>
      <w:r w:rsidRPr="00BF3CDE">
        <w:t>RTS</w:t>
      </w:r>
      <w:r w:rsidRPr="00BF3CDE">
        <w:tab/>
        <w:t>Radio Télévision Suisse</w:t>
      </w:r>
    </w:p>
    <w:p w14:paraId="0DDDCB9B" w14:textId="77777777" w:rsidR="00680FC7" w:rsidRPr="006D1641" w:rsidRDefault="00680FC7" w:rsidP="00680FC7">
      <w:pPr>
        <w:tabs>
          <w:tab w:val="left" w:pos="2410"/>
        </w:tabs>
        <w:rPr>
          <w:lang w:val="en-US"/>
        </w:rPr>
      </w:pPr>
      <w:r w:rsidRPr="00BF3CDE">
        <w:t>s. / ss.</w:t>
      </w:r>
      <w:r w:rsidRPr="00BF3CDE">
        <w:tab/>
      </w:r>
      <w:r w:rsidRPr="006D1641">
        <w:rPr>
          <w:lang w:val="en-US"/>
        </w:rPr>
        <w:t>(page) suivante / (pages) suivantes</w:t>
      </w:r>
    </w:p>
    <w:p w14:paraId="10D8ADFD" w14:textId="77777777" w:rsidR="00680FC7" w:rsidRPr="006D1641" w:rsidRDefault="00680FC7" w:rsidP="00680FC7">
      <w:pPr>
        <w:tabs>
          <w:tab w:val="left" w:pos="2410"/>
        </w:tabs>
        <w:rPr>
          <w:lang w:val="en-US"/>
        </w:rPr>
      </w:pPr>
      <w:r w:rsidRPr="006D1641">
        <w:rPr>
          <w:lang w:val="en-US"/>
        </w:rPr>
        <w:t>SDDC</w:t>
      </w:r>
      <w:r w:rsidRPr="006D1641">
        <w:rPr>
          <w:lang w:val="en-US"/>
        </w:rPr>
        <w:tab/>
        <w:t>Swiss Disability and Development Center</w:t>
      </w:r>
    </w:p>
    <w:p w14:paraId="63976A9F" w14:textId="77777777" w:rsidR="00680FC7" w:rsidRPr="006D1641" w:rsidRDefault="00680FC7" w:rsidP="00680FC7">
      <w:pPr>
        <w:tabs>
          <w:tab w:val="left" w:pos="2410"/>
        </w:tabs>
        <w:rPr>
          <w:lang w:val="en-US"/>
        </w:rPr>
      </w:pPr>
      <w:r w:rsidRPr="006D1641">
        <w:rPr>
          <w:lang w:val="en-US"/>
        </w:rPr>
        <w:t>SDDC</w:t>
      </w:r>
      <w:r w:rsidRPr="006D1641">
        <w:rPr>
          <w:lang w:val="en-US"/>
        </w:rPr>
        <w:tab/>
        <w:t>Swiss Disability and Development Consortium</w:t>
      </w:r>
    </w:p>
    <w:p w14:paraId="42E239F1" w14:textId="77777777" w:rsidR="00680FC7" w:rsidRPr="00BF3CDE" w:rsidRDefault="00680FC7" w:rsidP="00680FC7">
      <w:pPr>
        <w:tabs>
          <w:tab w:val="left" w:pos="2410"/>
        </w:tabs>
      </w:pPr>
      <w:r w:rsidRPr="00BF3CDE">
        <w:t>SECO</w:t>
      </w:r>
      <w:r w:rsidRPr="00BF3CDE">
        <w:tab/>
        <w:t>Secrétariat d’État à l’économie</w:t>
      </w:r>
    </w:p>
    <w:p w14:paraId="7BD5A6C4" w14:textId="77777777" w:rsidR="00680FC7" w:rsidRPr="00BF3CDE" w:rsidRDefault="00680FC7" w:rsidP="00680FC7">
      <w:pPr>
        <w:tabs>
          <w:tab w:val="left" w:pos="2410"/>
        </w:tabs>
        <w:ind w:left="2410" w:hanging="2410"/>
      </w:pPr>
      <w:r w:rsidRPr="00BF3CDE">
        <w:t>SEFRI</w:t>
      </w:r>
      <w:r w:rsidRPr="00BF3CDE">
        <w:tab/>
        <w:t>Secrétariat d’État à la formation, à la recherche et à l’innovation</w:t>
      </w:r>
    </w:p>
    <w:p w14:paraId="4E6BB3B3" w14:textId="77777777" w:rsidR="00680FC7" w:rsidRPr="00BF3CDE" w:rsidRDefault="00680FC7" w:rsidP="00680FC7">
      <w:pPr>
        <w:tabs>
          <w:tab w:val="left" w:pos="2410"/>
        </w:tabs>
      </w:pPr>
      <w:r w:rsidRPr="00BF3CDE">
        <w:t>SEM</w:t>
      </w:r>
      <w:r w:rsidRPr="00BF3CDE">
        <w:tab/>
        <w:t>Secrétariat d’État aux migrations</w:t>
      </w:r>
    </w:p>
    <w:p w14:paraId="14D9B5AB" w14:textId="77777777" w:rsidR="00680FC7" w:rsidRPr="00BF3CDE" w:rsidRDefault="00680FC7" w:rsidP="00680FC7">
      <w:pPr>
        <w:tabs>
          <w:tab w:val="left" w:pos="2410"/>
        </w:tabs>
      </w:pPr>
      <w:r w:rsidRPr="00BF3CDE">
        <w:t>SG</w:t>
      </w:r>
      <w:r w:rsidRPr="00BF3CDE">
        <w:tab/>
        <w:t>St. Gall</w:t>
      </w:r>
    </w:p>
    <w:p w14:paraId="7F1B1A37" w14:textId="77777777" w:rsidR="00680FC7" w:rsidRPr="00BF3CDE" w:rsidRDefault="00680FC7" w:rsidP="00680FC7">
      <w:pPr>
        <w:tabs>
          <w:tab w:val="left" w:pos="2410"/>
        </w:tabs>
      </w:pPr>
      <w:r w:rsidRPr="00BF3CDE">
        <w:t>SILC</w:t>
      </w:r>
      <w:r w:rsidRPr="00BF3CDE">
        <w:tab/>
        <w:t>Enquête sur les revenus et les conditions de vie</w:t>
      </w:r>
    </w:p>
    <w:p w14:paraId="4DC9998E" w14:textId="77777777" w:rsidR="00680FC7" w:rsidRPr="00BF3CDE" w:rsidRDefault="00680FC7" w:rsidP="00680FC7">
      <w:pPr>
        <w:tabs>
          <w:tab w:val="left" w:pos="2410"/>
        </w:tabs>
      </w:pPr>
      <w:r w:rsidRPr="00BF3CDE">
        <w:t>SOMED</w:t>
      </w:r>
      <w:r w:rsidRPr="00BF3CDE">
        <w:tab/>
        <w:t>Statistique des institutions médico-sociales</w:t>
      </w:r>
    </w:p>
    <w:p w14:paraId="4A14B3E1" w14:textId="77777777" w:rsidR="00680FC7" w:rsidRPr="00BF3CDE" w:rsidRDefault="00680FC7" w:rsidP="00680FC7">
      <w:pPr>
        <w:tabs>
          <w:tab w:val="left" w:pos="2410"/>
        </w:tabs>
      </w:pPr>
      <w:r w:rsidRPr="00BF3CDE">
        <w:t>SPOC</w:t>
      </w:r>
      <w:r w:rsidRPr="00BF3CDE">
        <w:tab/>
        <w:t>Single Point of Contact</w:t>
      </w:r>
    </w:p>
    <w:p w14:paraId="174589AB" w14:textId="77777777" w:rsidR="00680FC7" w:rsidRPr="00BF3CDE" w:rsidRDefault="00680FC7" w:rsidP="00680FC7">
      <w:pPr>
        <w:tabs>
          <w:tab w:val="left" w:pos="2410"/>
        </w:tabs>
        <w:ind w:left="2410" w:hanging="2410"/>
        <w:rPr>
          <w:rStyle w:val="st"/>
          <w:rFonts w:eastAsia="MS Gothic"/>
        </w:rPr>
      </w:pPr>
      <w:r w:rsidRPr="00BF3CDE">
        <w:rPr>
          <w:rStyle w:val="st"/>
          <w:rFonts w:eastAsia="MS Gothic"/>
        </w:rPr>
        <w:t>SSHID</w:t>
      </w:r>
      <w:r w:rsidRPr="00BF3CDE">
        <w:rPr>
          <w:rStyle w:val="st"/>
          <w:rFonts w:eastAsia="MS Gothic"/>
        </w:rPr>
        <w:tab/>
        <w:t>Swiss Society for Health in Intellectual Disability / Société suisse pour la santé des personnes présentant des déficiences intellectuelles</w:t>
      </w:r>
    </w:p>
    <w:p w14:paraId="61BF312C" w14:textId="77777777" w:rsidR="00680FC7" w:rsidRPr="00BF3CDE" w:rsidRDefault="00680FC7" w:rsidP="00680FC7">
      <w:pPr>
        <w:tabs>
          <w:tab w:val="left" w:pos="2410"/>
        </w:tabs>
        <w:rPr>
          <w:rStyle w:val="st"/>
          <w:rFonts w:eastAsia="MS Gothic"/>
        </w:rPr>
      </w:pPr>
      <w:r w:rsidRPr="00BF3CDE">
        <w:rPr>
          <w:rFonts w:eastAsia="Cambria"/>
        </w:rPr>
        <w:t>SSR</w:t>
      </w:r>
      <w:r w:rsidRPr="00BF3CDE">
        <w:rPr>
          <w:rFonts w:eastAsia="Cambria"/>
        </w:rPr>
        <w:tab/>
      </w:r>
      <w:r w:rsidRPr="00BF3CDE">
        <w:rPr>
          <w:rStyle w:val="st"/>
          <w:rFonts w:eastAsia="MS Gothic"/>
        </w:rPr>
        <w:t>Société suisse de radiodiffusion et télévision</w:t>
      </w:r>
    </w:p>
    <w:p w14:paraId="7ECE4CD5" w14:textId="77777777" w:rsidR="00680FC7" w:rsidRPr="00BF3CDE" w:rsidRDefault="00680FC7" w:rsidP="00680FC7">
      <w:pPr>
        <w:tabs>
          <w:tab w:val="left" w:pos="2410"/>
        </w:tabs>
        <w:ind w:left="2410" w:hanging="2410"/>
        <w:rPr>
          <w:rStyle w:val="st"/>
          <w:rFonts w:eastAsia="MS Gothic"/>
        </w:rPr>
      </w:pPr>
      <w:r w:rsidRPr="00BF3CDE">
        <w:rPr>
          <w:rStyle w:val="st"/>
          <w:rFonts w:eastAsia="MS Gothic"/>
        </w:rPr>
        <w:t>STI-PMR</w:t>
      </w:r>
      <w:r w:rsidRPr="00BF3CDE">
        <w:rPr>
          <w:rStyle w:val="st"/>
          <w:rFonts w:eastAsia="MS Gothic"/>
        </w:rPr>
        <w:tab/>
        <w:t>Règlement (UE) n° 1300/2014 de la Commission du 18 novembre 2014 sur les spécifications techniques d’interopérabilité relatives à l’accessibilité du système ferroviaire de l’Union pour les personnes handicapées et les personnes à mobilité réduite</w:t>
      </w:r>
    </w:p>
    <w:p w14:paraId="4B667E24" w14:textId="77777777" w:rsidR="00680FC7" w:rsidRPr="00BF3CDE" w:rsidRDefault="00680FC7" w:rsidP="00680FC7">
      <w:pPr>
        <w:tabs>
          <w:tab w:val="left" w:pos="2410"/>
        </w:tabs>
      </w:pPr>
      <w:r w:rsidRPr="00BF3CDE">
        <w:t>TF</w:t>
      </w:r>
      <w:r w:rsidRPr="00BF3CDE">
        <w:tab/>
        <w:t>Tribunal fédéral</w:t>
      </w:r>
    </w:p>
    <w:p w14:paraId="3602012C" w14:textId="77777777" w:rsidR="00680FC7" w:rsidRPr="00BF3CDE" w:rsidRDefault="00680FC7" w:rsidP="00680FC7">
      <w:pPr>
        <w:tabs>
          <w:tab w:val="left" w:pos="2410"/>
        </w:tabs>
        <w:ind w:left="2410" w:hanging="2410"/>
        <w:rPr>
          <w:rStyle w:val="st"/>
          <w:rFonts w:eastAsia="MS Gothic"/>
        </w:rPr>
      </w:pPr>
      <w:r w:rsidRPr="00BF3CDE">
        <w:rPr>
          <w:rStyle w:val="st"/>
          <w:rFonts w:eastAsia="MS Gothic"/>
        </w:rPr>
        <w:t>TG</w:t>
      </w:r>
      <w:r w:rsidRPr="00BF3CDE">
        <w:rPr>
          <w:rStyle w:val="st"/>
          <w:rFonts w:eastAsia="MS Gothic"/>
        </w:rPr>
        <w:tab/>
        <w:t>Thurgovie</w:t>
      </w:r>
    </w:p>
    <w:p w14:paraId="05F3C383" w14:textId="77777777" w:rsidR="00680FC7" w:rsidRPr="00BF3CDE" w:rsidRDefault="00680FC7" w:rsidP="00680FC7">
      <w:pPr>
        <w:tabs>
          <w:tab w:val="left" w:pos="2410"/>
        </w:tabs>
      </w:pPr>
      <w:r w:rsidRPr="00BF3CDE">
        <w:t>TIC</w:t>
      </w:r>
      <w:r w:rsidRPr="00BF3CDE">
        <w:tab/>
        <w:t>technologies de l’information et de la communication</w:t>
      </w:r>
    </w:p>
    <w:p w14:paraId="73A039D9" w14:textId="77777777" w:rsidR="00680FC7" w:rsidRPr="00BF3CDE" w:rsidRDefault="00680FC7" w:rsidP="00680FC7">
      <w:pPr>
        <w:tabs>
          <w:tab w:val="left" w:pos="2410"/>
        </w:tabs>
      </w:pPr>
      <w:r w:rsidRPr="00BF3CDE">
        <w:t>TP</w:t>
      </w:r>
      <w:r w:rsidRPr="00BF3CDE">
        <w:tab/>
        <w:t>transports publics</w:t>
      </w:r>
    </w:p>
    <w:p w14:paraId="64D8420D" w14:textId="77777777" w:rsidR="00680FC7" w:rsidRPr="00BF3CDE" w:rsidRDefault="00680FC7" w:rsidP="00680FC7">
      <w:pPr>
        <w:tabs>
          <w:tab w:val="left" w:pos="2410"/>
        </w:tabs>
      </w:pPr>
      <w:r w:rsidRPr="00BF3CDE">
        <w:t>TSA</w:t>
      </w:r>
      <w:r w:rsidRPr="00BF3CDE">
        <w:tab/>
        <w:t>trouble du spectre autistique</w:t>
      </w:r>
    </w:p>
    <w:p w14:paraId="576ACF41" w14:textId="77777777" w:rsidR="00680FC7" w:rsidRPr="00BF3CDE" w:rsidRDefault="00680FC7" w:rsidP="00680FC7">
      <w:pPr>
        <w:tabs>
          <w:tab w:val="left" w:pos="2410"/>
        </w:tabs>
      </w:pPr>
      <w:r w:rsidRPr="00BF3CDE">
        <w:t>UE</w:t>
      </w:r>
      <w:r w:rsidRPr="00BF3CDE">
        <w:tab/>
        <w:t>Union Européenne</w:t>
      </w:r>
    </w:p>
    <w:p w14:paraId="379DC4FC" w14:textId="77777777" w:rsidR="00680FC7" w:rsidRPr="00BF3CDE" w:rsidRDefault="00680FC7" w:rsidP="00680FC7">
      <w:pPr>
        <w:tabs>
          <w:tab w:val="left" w:pos="2410"/>
        </w:tabs>
      </w:pPr>
      <w:r w:rsidRPr="00BF3CDE">
        <w:t>UN</w:t>
      </w:r>
      <w:r w:rsidRPr="00BF3CDE">
        <w:tab/>
        <w:t>United Nations / Nations Unies</w:t>
      </w:r>
    </w:p>
    <w:p w14:paraId="3A9ABF41" w14:textId="77777777" w:rsidR="00680FC7" w:rsidRPr="00BF3CDE" w:rsidRDefault="00680FC7" w:rsidP="00680FC7">
      <w:pPr>
        <w:tabs>
          <w:tab w:val="left" w:pos="2410"/>
        </w:tabs>
        <w:ind w:left="2410" w:hanging="2410"/>
      </w:pPr>
      <w:r w:rsidRPr="00BF3CDE">
        <w:t>UNHCR</w:t>
      </w:r>
      <w:r w:rsidRPr="00BF3CDE">
        <w:tab/>
        <w:t xml:space="preserve">United Nations High Commissioner for Refugees / Haut Commissariat des Nations Unies pour les réfugiés </w:t>
      </w:r>
    </w:p>
    <w:p w14:paraId="5DA7F3EF" w14:textId="77777777" w:rsidR="00680FC7" w:rsidRPr="00BF3CDE" w:rsidRDefault="00680FC7" w:rsidP="00680FC7">
      <w:pPr>
        <w:tabs>
          <w:tab w:val="left" w:pos="2410"/>
        </w:tabs>
      </w:pPr>
      <w:r w:rsidRPr="00BF3CDE">
        <w:t>v.</w:t>
      </w:r>
      <w:r w:rsidRPr="00BF3CDE">
        <w:tab/>
        <w:t>versus</w:t>
      </w:r>
    </w:p>
    <w:p w14:paraId="0F45F111" w14:textId="77777777" w:rsidR="00680FC7" w:rsidRPr="00BF3CDE" w:rsidRDefault="00680FC7" w:rsidP="00680FC7">
      <w:pPr>
        <w:tabs>
          <w:tab w:val="left" w:pos="2410"/>
        </w:tabs>
        <w:ind w:left="2410" w:hanging="2410"/>
      </w:pPr>
      <w:r w:rsidRPr="00BF3CDE">
        <w:t>vahs</w:t>
      </w:r>
      <w:r w:rsidRPr="00BF3CDE">
        <w:tab/>
        <w:t>Union suisse pour la pédagogie curative et la sociothérapie anthroposophique</w:t>
      </w:r>
    </w:p>
    <w:p w14:paraId="093DD978" w14:textId="77777777" w:rsidR="00680FC7" w:rsidRPr="00BF3CDE" w:rsidRDefault="00680FC7" w:rsidP="00680FC7">
      <w:pPr>
        <w:tabs>
          <w:tab w:val="left" w:pos="2410"/>
        </w:tabs>
      </w:pPr>
      <w:r w:rsidRPr="00BF3CDE">
        <w:t>VS</w:t>
      </w:r>
      <w:r w:rsidRPr="00BF3CDE">
        <w:tab/>
        <w:t>Valais</w:t>
      </w:r>
    </w:p>
    <w:p w14:paraId="24CC7E3A" w14:textId="77777777" w:rsidR="00680FC7" w:rsidRPr="00BF3CDE" w:rsidRDefault="00680FC7" w:rsidP="00680FC7">
      <w:pPr>
        <w:tabs>
          <w:tab w:val="left" w:pos="2410"/>
        </w:tabs>
        <w:ind w:left="2410" w:hanging="2410"/>
      </w:pPr>
      <w:r w:rsidRPr="00BF3CDE">
        <w:t>WHO</w:t>
      </w:r>
      <w:r w:rsidRPr="00BF3CDE">
        <w:tab/>
        <w:t>World Health Organization WHO / Organisation mondiale de la santé OMS</w:t>
      </w:r>
    </w:p>
    <w:p w14:paraId="5413424C" w14:textId="77777777" w:rsidR="00680FC7" w:rsidRPr="00BF3CDE" w:rsidRDefault="00680FC7" w:rsidP="00680FC7">
      <w:pPr>
        <w:tabs>
          <w:tab w:val="left" w:pos="2410"/>
        </w:tabs>
      </w:pPr>
      <w:r w:rsidRPr="00BF3CDE">
        <w:t>y c.</w:t>
      </w:r>
      <w:r w:rsidRPr="00BF3CDE">
        <w:tab/>
        <w:t>y compris</w:t>
      </w:r>
    </w:p>
    <w:p w14:paraId="01E3458A" w14:textId="77777777" w:rsidR="00680FC7" w:rsidRPr="00BF3CDE" w:rsidRDefault="00680FC7" w:rsidP="00680FC7">
      <w:pPr>
        <w:tabs>
          <w:tab w:val="left" w:pos="2410"/>
        </w:tabs>
      </w:pPr>
      <w:r w:rsidRPr="00BF3CDE">
        <w:t>ZG</w:t>
      </w:r>
      <w:r w:rsidRPr="00BF3CDE">
        <w:tab/>
        <w:t>Zoug</w:t>
      </w:r>
    </w:p>
    <w:p w14:paraId="06EF7024" w14:textId="77777777" w:rsidR="00680FC7" w:rsidRPr="006D1641" w:rsidRDefault="00680FC7" w:rsidP="00680FC7">
      <w:pPr>
        <w:tabs>
          <w:tab w:val="left" w:pos="2410"/>
        </w:tabs>
      </w:pPr>
      <w:r w:rsidRPr="006D1641">
        <w:t>ZH</w:t>
      </w:r>
      <w:r w:rsidRPr="006D1641">
        <w:tab/>
        <w:t>Zurich</w:t>
      </w:r>
    </w:p>
    <w:p w14:paraId="2AADC09E" w14:textId="77777777" w:rsidR="00680FC7" w:rsidRPr="00982C54" w:rsidRDefault="00680FC7" w:rsidP="00680FC7">
      <w:pPr>
        <w:tabs>
          <w:tab w:val="left" w:pos="2410"/>
        </w:tabs>
        <w:rPr>
          <w:lang w:val="de-CH"/>
        </w:rPr>
      </w:pPr>
      <w:r w:rsidRPr="00982C54">
        <w:rPr>
          <w:lang w:val="de-CH"/>
        </w:rPr>
        <w:t>ZHAW</w:t>
      </w:r>
      <w:r w:rsidRPr="00982C54">
        <w:rPr>
          <w:lang w:val="de-CH"/>
        </w:rPr>
        <w:tab/>
        <w:t xml:space="preserve">Zürcher Hochschule für Angewandte Wissenschaften / Haute </w:t>
      </w:r>
      <w:r w:rsidRPr="00982C54">
        <w:rPr>
          <w:lang w:val="de-CH"/>
        </w:rPr>
        <w:tab/>
        <w:t>école de sciences appliquées de Zurich</w:t>
      </w:r>
    </w:p>
    <w:p w14:paraId="66C325F5" w14:textId="77777777" w:rsidR="00C177BB" w:rsidRPr="006D1641" w:rsidRDefault="00C177BB" w:rsidP="00680FC7">
      <w:pPr>
        <w:tabs>
          <w:tab w:val="left" w:pos="2410"/>
        </w:tabs>
        <w:rPr>
          <w:rFonts w:eastAsia="MS Gothic"/>
          <w:b/>
          <w:lang w:val="de-CH"/>
        </w:rPr>
      </w:pPr>
    </w:p>
    <w:sectPr w:rsidR="00C177BB" w:rsidRPr="006D1641" w:rsidSect="00D65CB1">
      <w:headerReference w:type="even" r:id="rId30"/>
      <w:headerReference w:type="default" r:id="rId31"/>
      <w:footerReference w:type="even" r:id="rId32"/>
      <w:footerReference w:type="default" r:id="rId33"/>
      <w:headerReference w:type="first" r:id="rId34"/>
      <w:pgSz w:w="11906" w:h="16838"/>
      <w:pgMar w:top="1560" w:right="1418" w:bottom="1134" w:left="1418" w:header="851" w:footer="19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ED1A4" w14:textId="77777777" w:rsidR="00E77057" w:rsidRDefault="00E77057" w:rsidP="00E448CB">
      <w:pPr>
        <w:spacing w:after="0"/>
      </w:pPr>
      <w:r>
        <w:separator/>
      </w:r>
    </w:p>
  </w:endnote>
  <w:endnote w:type="continuationSeparator" w:id="0">
    <w:p w14:paraId="1BE6E7B4" w14:textId="77777777" w:rsidR="00E77057" w:rsidRDefault="00E77057" w:rsidP="00E448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INPro-Regula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Rotis Sans Serif Std">
    <w:altName w:val="Rotis Sans Serif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3937446"/>
      <w:docPartObj>
        <w:docPartGallery w:val="Page Numbers (Bottom of Page)"/>
        <w:docPartUnique/>
      </w:docPartObj>
    </w:sdtPr>
    <w:sdtEndPr/>
    <w:sdtContent>
      <w:p w14:paraId="16CE4717" w14:textId="6E89041B" w:rsidR="00E77057" w:rsidRDefault="00E77057">
        <w:pPr>
          <w:pStyle w:val="Footer"/>
        </w:pPr>
        <w:r>
          <w:fldChar w:fldCharType="begin"/>
        </w:r>
        <w:r>
          <w:instrText>PAGE   \* MERGEFORMAT</w:instrText>
        </w:r>
        <w:r>
          <w:fldChar w:fldCharType="separate"/>
        </w:r>
        <w:r w:rsidR="00620C58" w:rsidRPr="00620C58">
          <w:rPr>
            <w:noProof/>
            <w:lang w:val="de-DE"/>
          </w:rPr>
          <w:t>18</w:t>
        </w:r>
        <w:r>
          <w:fldChar w:fldCharType="end"/>
        </w:r>
      </w:p>
    </w:sdtContent>
  </w:sdt>
  <w:p w14:paraId="0289EE70" w14:textId="77777777" w:rsidR="00E77057" w:rsidRDefault="00E7705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945878"/>
      <w:docPartObj>
        <w:docPartGallery w:val="Page Numbers (Bottom of Page)"/>
        <w:docPartUnique/>
      </w:docPartObj>
    </w:sdtPr>
    <w:sdtEndPr/>
    <w:sdtContent>
      <w:p w14:paraId="3A0DA89D" w14:textId="63080202" w:rsidR="00E77057" w:rsidRDefault="00E77057">
        <w:pPr>
          <w:pStyle w:val="Footer"/>
          <w:jc w:val="right"/>
        </w:pPr>
        <w:r>
          <w:fldChar w:fldCharType="begin"/>
        </w:r>
        <w:r>
          <w:instrText>PAGE   \* MERGEFORMAT</w:instrText>
        </w:r>
        <w:r>
          <w:fldChar w:fldCharType="separate"/>
        </w:r>
        <w:r w:rsidR="00620C58" w:rsidRPr="00620C58">
          <w:rPr>
            <w:noProof/>
            <w:lang w:val="de-DE"/>
          </w:rPr>
          <w:t>19</w:t>
        </w:r>
        <w:r>
          <w:fldChar w:fldCharType="end"/>
        </w:r>
      </w:p>
    </w:sdtContent>
  </w:sdt>
  <w:p w14:paraId="390A6845" w14:textId="77777777" w:rsidR="00E77057" w:rsidRDefault="00E77057" w:rsidP="00A7258A">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08CBE" w14:textId="77777777" w:rsidR="00E77057" w:rsidRDefault="00E77057" w:rsidP="00E448CB">
      <w:pPr>
        <w:spacing w:after="0"/>
      </w:pPr>
      <w:r>
        <w:separator/>
      </w:r>
    </w:p>
  </w:footnote>
  <w:footnote w:type="continuationSeparator" w:id="0">
    <w:p w14:paraId="69E3CC3C" w14:textId="77777777" w:rsidR="00E77057" w:rsidRDefault="00E77057" w:rsidP="00E448CB">
      <w:pPr>
        <w:spacing w:after="0"/>
      </w:pPr>
      <w:r>
        <w:continuationSeparator/>
      </w:r>
    </w:p>
  </w:footnote>
  <w:footnote w:id="1">
    <w:p w14:paraId="762F7FDD" w14:textId="009F3F80" w:rsidR="00E77057" w:rsidRPr="000A7A5C" w:rsidRDefault="00E77057" w:rsidP="00E47AAD">
      <w:pPr>
        <w:pStyle w:val="Fussnote"/>
      </w:pPr>
      <w:r w:rsidRPr="000A7A5C">
        <w:rPr>
          <w:rStyle w:val="FootnoteReference"/>
        </w:rPr>
        <w:footnoteRef/>
      </w:r>
      <w:r w:rsidRPr="000A7A5C">
        <w:t xml:space="preserve"> </w:t>
      </w:r>
      <w:hyperlink r:id="rId1" w:history="1">
        <w:r w:rsidRPr="004A5AF2">
          <w:rPr>
            <w:rStyle w:val="Hyperlink"/>
            <w:szCs w:val="18"/>
          </w:rPr>
          <w:t>Message du Conseil fédéral du 19.12.2012 portant approbation de la Convention du 13.12.2006 relative aux droits des PH, FF 2013 601</w:t>
        </w:r>
      </w:hyperlink>
      <w:r w:rsidRPr="004A5AF2">
        <w:t xml:space="preserve">, p. 602. Voir également le </w:t>
      </w:r>
      <w:hyperlink r:id="rId2" w:history="1">
        <w:r w:rsidRPr="004A5AF2">
          <w:rPr>
            <w:rStyle w:val="Hyperlink"/>
            <w:szCs w:val="18"/>
          </w:rPr>
          <w:t>Premier rapport du Gouvernement suisse sur la mise en œuvre de la Convention relative aux droits des PH du 29.6.2016</w:t>
        </w:r>
      </w:hyperlink>
      <w:r w:rsidRPr="004A5AF2">
        <w:t xml:space="preserve"> (Premier rapport étatique, PRE), para. 6.</w:t>
      </w:r>
    </w:p>
  </w:footnote>
  <w:footnote w:id="2">
    <w:p w14:paraId="174931E8" w14:textId="56C71FF0" w:rsidR="00E77057" w:rsidRPr="000A7A5C" w:rsidRDefault="00E77057" w:rsidP="00E47AAD">
      <w:pPr>
        <w:pStyle w:val="Fussnote"/>
      </w:pPr>
      <w:r w:rsidRPr="000A7A5C">
        <w:rPr>
          <w:rStyle w:val="FootnoteReference"/>
        </w:rPr>
        <w:footnoteRef/>
      </w:r>
      <w:r w:rsidRPr="000A7A5C">
        <w:t xml:space="preserve"> </w:t>
      </w:r>
      <w:r w:rsidRPr="004A5AF2">
        <w:t xml:space="preserve">Dans le contexte de la LHand, ce point de vue est corroboré par les résultats d’une évaluation publiée en 2015. Le rapport sur cette évaluation (en allemand; </w:t>
      </w:r>
      <w:hyperlink r:id="rId3" w:history="1">
        <w:r w:rsidRPr="00824D5B">
          <w:rPr>
            <w:rStyle w:val="Hyperlink"/>
          </w:rPr>
          <w:t>résumé en français</w:t>
        </w:r>
      </w:hyperlink>
      <w:r w:rsidRPr="004A5AF2">
        <w:t xml:space="preserve">) a été élaboré par </w:t>
      </w:r>
      <w:hyperlink r:id="rId4" w:history="1">
        <w:r w:rsidRPr="004A5AF2">
          <w:rPr>
            <w:rStyle w:val="Hyperlink"/>
            <w:smallCaps/>
            <w:szCs w:val="18"/>
          </w:rPr>
          <w:t xml:space="preserve">Theres Egger/Heidi Stutz/Jolanda Jäggi/Livia Bannwart/Thomas Oesch/Tarek Naguib/Kurt Pärli </w:t>
        </w:r>
        <w:r w:rsidRPr="004A5AF2">
          <w:rPr>
            <w:rStyle w:val="Hyperlink"/>
            <w:szCs w:val="18"/>
          </w:rPr>
          <w:t>(ZHAW/BASS), Evaluation des Bundesgesetzes über die Beseitigung der Benachteiligungen von MmB, sur mandat du BFEH, Berne, août 2015</w:t>
        </w:r>
      </w:hyperlink>
      <w:r w:rsidRPr="004A5AF2">
        <w:t>.</w:t>
      </w:r>
    </w:p>
  </w:footnote>
  <w:footnote w:id="3">
    <w:p w14:paraId="0931B5DF" w14:textId="40903E4E" w:rsidR="00E77057" w:rsidRPr="000A7A5C" w:rsidRDefault="00E77057" w:rsidP="00A40AF5">
      <w:pPr>
        <w:pStyle w:val="Fussnote"/>
      </w:pPr>
      <w:r w:rsidRPr="000A7A5C">
        <w:rPr>
          <w:rStyle w:val="FootnoteReference"/>
        </w:rPr>
        <w:footnoteRef/>
      </w:r>
      <w:r w:rsidRPr="000A7A5C">
        <w:t xml:space="preserve"> </w:t>
      </w:r>
      <w:hyperlink r:id="rId5" w:history="1">
        <w:r w:rsidRPr="009F0DF5">
          <w:rPr>
            <w:rStyle w:val="Hyperlink"/>
          </w:rPr>
          <w:t>Rapport du CF du 09. 05. 2018, Politique en faveur des PH</w:t>
        </w:r>
      </w:hyperlink>
      <w:r>
        <w:t>.</w:t>
      </w:r>
    </w:p>
  </w:footnote>
  <w:footnote w:id="4">
    <w:p w14:paraId="2D181071" w14:textId="77777777" w:rsidR="00E77057" w:rsidRPr="000A7A5C" w:rsidRDefault="00E77057" w:rsidP="00E47AAD">
      <w:pPr>
        <w:pStyle w:val="Fussnote"/>
      </w:pPr>
      <w:r w:rsidRPr="000A7A5C">
        <w:rPr>
          <w:rStyle w:val="FootnoteReference"/>
        </w:rPr>
        <w:footnoteRef/>
      </w:r>
      <w:r w:rsidRPr="000A7A5C">
        <w:t xml:space="preserve"> Le thème prioritaire «autonomie» est actuellement prévu pour la période 2022-2026.</w:t>
      </w:r>
    </w:p>
  </w:footnote>
  <w:footnote w:id="5">
    <w:p w14:paraId="0F3B972B" w14:textId="074FADBB" w:rsidR="00E77057" w:rsidRPr="000A7A5C" w:rsidRDefault="00E77057" w:rsidP="00E47AAD">
      <w:pPr>
        <w:pStyle w:val="Fussnote"/>
      </w:pPr>
      <w:r w:rsidRPr="000A7A5C">
        <w:rPr>
          <w:rStyle w:val="FootnoteReference"/>
        </w:rPr>
        <w:footnoteRef/>
      </w:r>
      <w:r w:rsidRPr="000A7A5C">
        <w:t xml:space="preserve"> Rapport sur la Politique en faveur des personnes handicapées (n </w:t>
      </w:r>
      <w:r>
        <w:fldChar w:fldCharType="begin"/>
      </w:r>
      <w:r>
        <w:instrText xml:space="preserve"> NOTEREF _Ref95737744 \h </w:instrText>
      </w:r>
      <w:r>
        <w:fldChar w:fldCharType="separate"/>
      </w:r>
      <w:r>
        <w:t>3</w:t>
      </w:r>
      <w:r>
        <w:fldChar w:fldCharType="end"/>
      </w:r>
      <w:r w:rsidRPr="000A7A5C">
        <w:t>), p. 42ss.</w:t>
      </w:r>
    </w:p>
  </w:footnote>
  <w:footnote w:id="6">
    <w:p w14:paraId="292A3489" w14:textId="16C8A0CC" w:rsidR="00E77057" w:rsidRPr="006D1641" w:rsidRDefault="00E77057" w:rsidP="00A40AF5">
      <w:pPr>
        <w:pStyle w:val="Fussnote"/>
        <w:rPr>
          <w:lang w:val="de-CH"/>
        </w:rPr>
      </w:pPr>
      <w:r w:rsidRPr="000A7A5C">
        <w:rPr>
          <w:rStyle w:val="FootnoteReference"/>
        </w:rPr>
        <w:footnoteRef/>
      </w:r>
      <w:r w:rsidRPr="006D1641">
        <w:rPr>
          <w:lang w:val="de-CH"/>
        </w:rPr>
        <w:t xml:space="preserve"> </w:t>
      </w:r>
      <w:hyperlink r:id="rId6" w:history="1">
        <w:r w:rsidRPr="006D1641">
          <w:rPr>
            <w:rStyle w:val="Hyperlink"/>
            <w:lang w:val="de-CH"/>
          </w:rPr>
          <w:t xml:space="preserve">Gesetz über die Rechte von Menschen mit Behinderungen (Behindertenrechtegesetz, BRG; </w:t>
        </w:r>
        <w:r>
          <w:rPr>
            <w:rStyle w:val="Hyperlink"/>
            <w:lang w:val="de-CH"/>
          </w:rPr>
          <w:t>RS</w:t>
        </w:r>
        <w:r w:rsidRPr="006D1641">
          <w:rPr>
            <w:rStyle w:val="Hyperlink"/>
            <w:lang w:val="de-CH"/>
          </w:rPr>
          <w:t>/BS 140.500)</w:t>
        </w:r>
      </w:hyperlink>
      <w:r w:rsidRPr="006D1641">
        <w:rPr>
          <w:lang w:val="de-CH"/>
        </w:rPr>
        <w:t xml:space="preserve">; </w:t>
      </w:r>
    </w:p>
    <w:p w14:paraId="532E2CE2" w14:textId="29CD7EFD" w:rsidR="00E77057" w:rsidRPr="000A7A5C" w:rsidRDefault="00620C58" w:rsidP="00A40AF5">
      <w:pPr>
        <w:pStyle w:val="Fussnote"/>
      </w:pPr>
      <w:hyperlink r:id="rId7" w:history="1">
        <w:r w:rsidR="00E77057" w:rsidRPr="00351E75">
          <w:rPr>
            <w:rStyle w:val="Hyperlink"/>
            <w:lang w:val="fr-FR"/>
          </w:rPr>
          <w:t>BRG BS Recommandation et rapport.</w:t>
        </w:r>
      </w:hyperlink>
      <w:r w:rsidR="00E77057" w:rsidRPr="006D1641">
        <w:rPr>
          <w:lang w:val="fr-FR"/>
        </w:rPr>
        <w:t xml:space="preserve"> </w:t>
      </w:r>
    </w:p>
  </w:footnote>
  <w:footnote w:id="7">
    <w:p w14:paraId="69486867" w14:textId="4B8D7152" w:rsidR="00E77057" w:rsidRPr="000A7A5C" w:rsidRDefault="00E77057" w:rsidP="006D1641">
      <w:pPr>
        <w:pStyle w:val="Fussnote"/>
      </w:pPr>
      <w:r w:rsidRPr="000A7A5C">
        <w:rPr>
          <w:rStyle w:val="FootnoteReference"/>
        </w:rPr>
        <w:footnoteRef/>
      </w:r>
      <w:r w:rsidRPr="000A7A5C">
        <w:t xml:space="preserve"> Dans le canton du Valais, il s’agissait de réviser partiellement une loi déjà existante à la lumière de la CDPH: </w:t>
      </w:r>
      <w:hyperlink r:id="rId8" w:history="1">
        <w:r w:rsidRPr="006D1641">
          <w:rPr>
            <w:rStyle w:val="Hyperlink"/>
          </w:rPr>
          <w:t>Loi sur les droits et l’inclusion des personnes en situation de handicap (LDIPH ; RS/VS 850.6)</w:t>
        </w:r>
      </w:hyperlink>
      <w:r>
        <w:t xml:space="preserve">. </w:t>
      </w:r>
    </w:p>
  </w:footnote>
  <w:footnote w:id="8">
    <w:p w14:paraId="19DA238B" w14:textId="0C414696" w:rsidR="00E77057" w:rsidRPr="000A7A5C" w:rsidRDefault="00E77057" w:rsidP="00E47AAD">
      <w:pPr>
        <w:pStyle w:val="Fussnote"/>
      </w:pPr>
      <w:r w:rsidRPr="000A7A5C">
        <w:rPr>
          <w:rStyle w:val="FootnoteReference"/>
        </w:rPr>
        <w:footnoteRef/>
      </w:r>
      <w:r w:rsidRPr="000A7A5C">
        <w:t xml:space="preserve"> § 8 BRG BS (en vigueur depuis le 1.7.2020) et art. 35e GRIMB VS (entrée en vigueur prévue le 1.1.2022). Dans le canton de Fribourg est également entrée en vigueur, en 2018, une «loi sur les personnes handicapées» (SR/FR 10.4). Elle se base sur la CDPH mais reste très générale et n’accorde aucun droit aux PH: </w:t>
      </w:r>
      <w:hyperlink r:id="rId9" w:history="1">
        <w:r w:rsidRPr="000A7A5C">
          <w:rPr>
            <w:rStyle w:val="Hyperlink"/>
          </w:rPr>
          <w:t>https://bit.ly/32jdq4k</w:t>
        </w:r>
      </w:hyperlink>
      <w:r w:rsidRPr="000A7A5C">
        <w:t>.</w:t>
      </w:r>
    </w:p>
  </w:footnote>
  <w:footnote w:id="9">
    <w:p w14:paraId="091C7ED9" w14:textId="3F3D9C45" w:rsidR="00E77057" w:rsidRPr="000A7A5C" w:rsidRDefault="00E77057" w:rsidP="0022738C">
      <w:pPr>
        <w:pStyle w:val="Fussnote"/>
      </w:pPr>
      <w:r w:rsidRPr="000A7A5C">
        <w:rPr>
          <w:rStyle w:val="FootnoteReference"/>
        </w:rPr>
        <w:footnoteRef/>
      </w:r>
      <w:r w:rsidRPr="0022738C">
        <w:rPr>
          <w:lang w:val="fr-FR"/>
        </w:rPr>
        <w:t xml:space="preserve"> Cf. </w:t>
      </w:r>
      <w:hyperlink r:id="rId10" w:history="1">
        <w:r w:rsidRPr="009F0DF5">
          <w:rPr>
            <w:rStyle w:val="Hyperlink"/>
          </w:rPr>
          <w:t>Communiqué du Conseil d’État du canton de Bâle-Campagne du 17.8.2021</w:t>
        </w:r>
      </w:hyperlink>
      <w:r w:rsidRPr="000A7A5C">
        <w:t xml:space="preserve"> </w:t>
      </w:r>
      <w:r>
        <w:t>(en allemand).</w:t>
      </w:r>
    </w:p>
  </w:footnote>
  <w:footnote w:id="10">
    <w:p w14:paraId="60924317" w14:textId="687BC227" w:rsidR="00E77057" w:rsidRPr="000A7A5C" w:rsidRDefault="00E77057" w:rsidP="00E47AAD">
      <w:pPr>
        <w:pStyle w:val="Fussnote"/>
      </w:pPr>
      <w:r w:rsidRPr="000A7A5C">
        <w:rPr>
          <w:rStyle w:val="FootnoteReference"/>
        </w:rPr>
        <w:footnoteRef/>
      </w:r>
      <w:r w:rsidRPr="000A7A5C">
        <w:t xml:space="preserve"> </w:t>
      </w:r>
      <w:hyperlink r:id="rId11" w:history="1">
        <w:r>
          <w:rPr>
            <w:rStyle w:val="Hyperlink"/>
          </w:rPr>
          <w:t>www.rtn.ch</w:t>
        </w:r>
      </w:hyperlink>
      <w:r>
        <w:t xml:space="preserve">; </w:t>
      </w:r>
      <w:hyperlink r:id="rId12" w:history="1">
        <w:r w:rsidRPr="009F0DF5">
          <w:rPr>
            <w:rStyle w:val="Hyperlink"/>
          </w:rPr>
          <w:t>Rapport du Conseil d'État au Grand Conseil à l’appui d’un projet de loi sur l’inclusion et sur l’accompagnement des personnes vivant avec un handicap (LIncA) du 22.2.2021</w:t>
        </w:r>
      </w:hyperlink>
      <w:r>
        <w:t>.</w:t>
      </w:r>
    </w:p>
  </w:footnote>
  <w:footnote w:id="11">
    <w:p w14:paraId="2B0D935E" w14:textId="60E4C9A4" w:rsidR="00E77057" w:rsidRPr="000A7A5C" w:rsidRDefault="00E77057" w:rsidP="00E47AAD">
      <w:pPr>
        <w:pStyle w:val="Fussnote"/>
      </w:pPr>
      <w:r w:rsidRPr="000A7A5C">
        <w:rPr>
          <w:rStyle w:val="FootnoteReference"/>
        </w:rPr>
        <w:footnoteRef/>
      </w:r>
      <w:r w:rsidRPr="000A7A5C">
        <w:t xml:space="preserve"> </w:t>
      </w:r>
      <w:hyperlink r:id="rId13" w:history="1">
        <w:r w:rsidRPr="009F0DF5">
          <w:rPr>
            <w:rStyle w:val="Hyperlink"/>
          </w:rPr>
          <w:t>Motion Arnaud Bouverat et consorts du 6.10.2020</w:t>
        </w:r>
      </w:hyperlink>
      <w:r w:rsidRPr="000A7A5C">
        <w:t xml:space="preserve">; </w:t>
      </w:r>
      <w:hyperlink r:id="rId14" w:history="1">
        <w:r w:rsidRPr="009F0DF5">
          <w:rPr>
            <w:rStyle w:val="Hyperlink"/>
          </w:rPr>
          <w:t>motion Julien Cuérel et consorts du 6.10.2020</w:t>
        </w:r>
      </w:hyperlink>
      <w:r w:rsidRPr="000A7A5C">
        <w:t>.</w:t>
      </w:r>
    </w:p>
  </w:footnote>
  <w:footnote w:id="12">
    <w:p w14:paraId="42DB399E" w14:textId="4418854D" w:rsidR="00E77057" w:rsidRPr="006D1641" w:rsidRDefault="00E77057" w:rsidP="00E47AAD">
      <w:pPr>
        <w:pStyle w:val="Fussnote"/>
        <w:rPr>
          <w:lang w:val="de-CH"/>
        </w:rPr>
      </w:pPr>
      <w:r w:rsidRPr="000A7A5C">
        <w:rPr>
          <w:rStyle w:val="FootnoteReference"/>
        </w:rPr>
        <w:footnoteRef/>
      </w:r>
      <w:r w:rsidRPr="006D1641">
        <w:rPr>
          <w:lang w:val="de-CH"/>
        </w:rPr>
        <w:t xml:space="preserve"> </w:t>
      </w:r>
      <w:hyperlink r:id="rId15" w:history="1">
        <w:r w:rsidRPr="0022738C">
          <w:rPr>
            <w:rStyle w:val="Hyperlink"/>
            <w:lang w:val="de-CH"/>
          </w:rPr>
          <w:t>Motion Gabriel Friche du 29.1.2020</w:t>
        </w:r>
      </w:hyperlink>
      <w:r>
        <w:rPr>
          <w:lang w:val="de-CH"/>
        </w:rPr>
        <w:t>.</w:t>
      </w:r>
    </w:p>
  </w:footnote>
  <w:footnote w:id="13">
    <w:p w14:paraId="6F3E2C46" w14:textId="7BBEA3F3" w:rsidR="00E77057" w:rsidRPr="006D1641" w:rsidRDefault="00E77057" w:rsidP="00E47AAD">
      <w:pPr>
        <w:pStyle w:val="Fussnote"/>
        <w:rPr>
          <w:sz w:val="22"/>
          <w:lang w:val="de-CH"/>
        </w:rPr>
      </w:pPr>
      <w:r w:rsidRPr="000A7A5C">
        <w:rPr>
          <w:rStyle w:val="FootnoteReference"/>
        </w:rPr>
        <w:footnoteRef/>
      </w:r>
      <w:r w:rsidRPr="006D1641">
        <w:rPr>
          <w:lang w:val="de-CH"/>
        </w:rPr>
        <w:t xml:space="preserve"> </w:t>
      </w:r>
      <w:hyperlink r:id="rId16" w:history="1">
        <w:r w:rsidRPr="006D1641">
          <w:rPr>
            <w:rStyle w:val="Hyperlink"/>
            <w:smallCaps/>
            <w:lang w:val="de-CH"/>
          </w:rPr>
          <w:t>Tarek Naguib/Sylvie Johner-Kobi/Fiona Gisler</w:t>
        </w:r>
        <w:r w:rsidRPr="006D1641">
          <w:rPr>
            <w:rStyle w:val="Hyperlink"/>
            <w:lang w:val="de-CH"/>
          </w:rPr>
          <w:t xml:space="preserve"> (ZHAW), Handlungsbedarf aufgrund der UNO-Behindertenrechtskonvention im Kanton Zürich, 2018</w:t>
        </w:r>
      </w:hyperlink>
      <w:r w:rsidRPr="006D1641">
        <w:rPr>
          <w:lang w:val="de-CH"/>
        </w:rPr>
        <w:t xml:space="preserve"> (en allemand).</w:t>
      </w:r>
    </w:p>
  </w:footnote>
  <w:footnote w:id="14">
    <w:p w14:paraId="3F357D61" w14:textId="7AAE8C4B" w:rsidR="00E77057" w:rsidRPr="000A7A5C" w:rsidRDefault="00E77057" w:rsidP="00E47AAD">
      <w:pPr>
        <w:pStyle w:val="Fussnote"/>
      </w:pPr>
      <w:r w:rsidRPr="000A7A5C">
        <w:rPr>
          <w:rStyle w:val="FootnoteReference"/>
        </w:rPr>
        <w:footnoteRef/>
      </w:r>
      <w:r w:rsidRPr="000A7A5C">
        <w:t xml:space="preserve"> </w:t>
      </w:r>
      <w:r>
        <w:t xml:space="preserve">Cf. </w:t>
      </w:r>
      <w:hyperlink r:id="rId17" w:history="1">
        <w:r w:rsidRPr="00E6793C">
          <w:rPr>
            <w:rStyle w:val="Hyperlink"/>
          </w:rPr>
          <w:t>s</w:t>
        </w:r>
        <w:r>
          <w:rPr>
            <w:rStyle w:val="Hyperlink"/>
          </w:rPr>
          <w:t>ite W</w:t>
        </w:r>
        <w:r w:rsidRPr="00E6793C">
          <w:rPr>
            <w:rStyle w:val="Hyperlink"/>
          </w:rPr>
          <w:t>eb du canton de Zurich, vivre avec un handicap</w:t>
        </w:r>
      </w:hyperlink>
      <w:r w:rsidRPr="000A7A5C">
        <w:t xml:space="preserve"> (en allemand)</w:t>
      </w:r>
      <w:r>
        <w:t>.</w:t>
      </w:r>
      <w:r w:rsidRPr="000A7A5C">
        <w:t xml:space="preserve"> </w:t>
      </w:r>
    </w:p>
  </w:footnote>
  <w:footnote w:id="15">
    <w:p w14:paraId="0217C723" w14:textId="5F34B243" w:rsidR="00E77057" w:rsidRPr="000A7A5C" w:rsidRDefault="00E77057" w:rsidP="009E5F84">
      <w:pPr>
        <w:pStyle w:val="Fussnote"/>
      </w:pPr>
      <w:r w:rsidRPr="000A7A5C">
        <w:rPr>
          <w:rStyle w:val="FootnoteReference"/>
        </w:rPr>
        <w:footnoteRef/>
      </w:r>
      <w:r>
        <w:t xml:space="preserve"> </w:t>
      </w:r>
      <w:hyperlink r:id="rId18" w:history="1">
        <w:r w:rsidRPr="00E6793C">
          <w:rPr>
            <w:rStyle w:val="Hyperlink"/>
          </w:rPr>
          <w:t>Émission SRF du 17.1.2022</w:t>
        </w:r>
      </w:hyperlink>
      <w:r>
        <w:t xml:space="preserve"> (en allemand)</w:t>
      </w:r>
      <w:r w:rsidRPr="000A7A5C">
        <w:t xml:space="preserve">. </w:t>
      </w:r>
      <w:r>
        <w:t xml:space="preserve">Les législateurs de </w:t>
      </w:r>
      <w:hyperlink r:id="rId19" w:history="1">
        <w:r w:rsidRPr="00FE3D39">
          <w:rPr>
            <w:rStyle w:val="Hyperlink"/>
          </w:rPr>
          <w:t>BS</w:t>
        </w:r>
      </w:hyperlink>
      <w:r>
        <w:t xml:space="preserve"> et </w:t>
      </w:r>
      <w:hyperlink r:id="rId20" w:history="1">
        <w:r w:rsidRPr="00FE3D39">
          <w:rPr>
            <w:rStyle w:val="Hyperlink"/>
          </w:rPr>
          <w:t>BL</w:t>
        </w:r>
      </w:hyperlink>
      <w:r>
        <w:t xml:space="preserve"> ont été les pionniers dans ce domaine.</w:t>
      </w:r>
    </w:p>
  </w:footnote>
  <w:footnote w:id="16">
    <w:p w14:paraId="653F3579" w14:textId="19038F90" w:rsidR="00E77057" w:rsidRPr="000A7A5C" w:rsidRDefault="00E77057" w:rsidP="009E5F84">
      <w:pPr>
        <w:pStyle w:val="Fussnote"/>
      </w:pPr>
      <w:r w:rsidRPr="000A7A5C">
        <w:rPr>
          <w:rStyle w:val="FootnoteReference"/>
        </w:rPr>
        <w:footnoteRef/>
      </w:r>
      <w:r w:rsidRPr="000A7A5C">
        <w:t xml:space="preserve"> Cf. </w:t>
      </w:r>
      <w:hyperlink r:id="rId21" w:history="1">
        <w:r w:rsidRPr="00E6793C">
          <w:rPr>
            <w:rStyle w:val="Hyperlink"/>
          </w:rPr>
          <w:t>site Web de socialdesign.ch, développement de la politique du handicap canton de Glaris</w:t>
        </w:r>
      </w:hyperlink>
      <w:r w:rsidRPr="000A7A5C">
        <w:t xml:space="preserve"> </w:t>
      </w:r>
      <w:r w:rsidRPr="00923A37">
        <w:rPr>
          <w:rStyle w:val="Hyperlink"/>
          <w:u w:val="none"/>
        </w:rPr>
        <w:t>(en allemand)</w:t>
      </w:r>
      <w:r>
        <w:rPr>
          <w:rStyle w:val="Hyperlink"/>
          <w:u w:val="none"/>
        </w:rPr>
        <w:t>.</w:t>
      </w:r>
    </w:p>
  </w:footnote>
  <w:footnote w:id="17">
    <w:p w14:paraId="70E02F2E" w14:textId="7EAEBC60" w:rsidR="00E77057" w:rsidRPr="006D1641" w:rsidRDefault="00E77057">
      <w:pPr>
        <w:pStyle w:val="FootnoteText"/>
        <w:rPr>
          <w:lang w:val="fr-FR"/>
        </w:rPr>
      </w:pPr>
      <w:r>
        <w:rPr>
          <w:rStyle w:val="FootnoteReference"/>
        </w:rPr>
        <w:footnoteRef/>
      </w:r>
      <w:r>
        <w:t xml:space="preserve"> </w:t>
      </w:r>
      <w:hyperlink r:id="rId22" w:history="1">
        <w:r w:rsidRPr="0010056D">
          <w:rPr>
            <w:rStyle w:val="Hyperlink"/>
            <w:rFonts w:eastAsia="Cambria"/>
            <w:vertAlign w:val="baseline"/>
          </w:rPr>
          <w:t>Site Web du canton de Saint-Gall</w:t>
        </w:r>
      </w:hyperlink>
      <w:r>
        <w:rPr>
          <w:rStyle w:val="FussnoteZchn"/>
          <w:vertAlign w:val="baseline"/>
        </w:rPr>
        <w:t xml:space="preserve"> (en allemand)</w:t>
      </w:r>
      <w:r w:rsidRPr="0010056D">
        <w:rPr>
          <w:rStyle w:val="FussnoteZchn"/>
          <w:vertAlign w:val="baseline"/>
        </w:rPr>
        <w:t>.</w:t>
      </w:r>
    </w:p>
  </w:footnote>
  <w:footnote w:id="18">
    <w:p w14:paraId="44F33FCC" w14:textId="77777777" w:rsidR="00E77057" w:rsidRPr="000A7A5C" w:rsidRDefault="00E77057" w:rsidP="009E5F84">
      <w:pPr>
        <w:pStyle w:val="Fussnote"/>
      </w:pPr>
      <w:r w:rsidRPr="000A7A5C">
        <w:rPr>
          <w:rStyle w:val="FootnoteReference"/>
        </w:rPr>
        <w:footnoteRef/>
      </w:r>
      <w:r w:rsidRPr="000A7A5C">
        <w:t xml:space="preserve"> Selon une étude réalisée par la CDAS en 2019, 13 cantons ont mené à bien, ou sont en train de le faire, des projets législatifs en relation avec la CDPH. En outre, 18 cantons soutiennent ou mettent en œuvre des projets pilote dans le domaine habitat et occupation destinés aux PH. </w:t>
      </w:r>
    </w:p>
  </w:footnote>
  <w:footnote w:id="19">
    <w:p w14:paraId="42E3419C" w14:textId="107D9BD3" w:rsidR="00E77057" w:rsidRPr="000A7A5C" w:rsidRDefault="00E77057" w:rsidP="009E5F84">
      <w:pPr>
        <w:pStyle w:val="Fussnote"/>
      </w:pPr>
      <w:r w:rsidRPr="000A7A5C">
        <w:rPr>
          <w:rStyle w:val="FootnoteReference"/>
        </w:rPr>
        <w:footnoteRef/>
      </w:r>
      <w:r w:rsidRPr="000A7A5C">
        <w:t xml:space="preserve"> La mise en place d’une politique du handicap cohérente en Suisse a été demandée dès 2013: </w:t>
      </w:r>
      <w:hyperlink r:id="rId23" w:history="1">
        <w:r w:rsidRPr="0010056D">
          <w:rPr>
            <w:rStyle w:val="Hyperlink"/>
          </w:rPr>
          <w:t>postulat Lohr du 13.12.2013</w:t>
        </w:r>
      </w:hyperlink>
      <w:r>
        <w:t>.</w:t>
      </w:r>
    </w:p>
  </w:footnote>
  <w:footnote w:id="20">
    <w:p w14:paraId="2358E8F9" w14:textId="77777777" w:rsidR="00E77057" w:rsidRPr="000A7A5C" w:rsidRDefault="00E77057" w:rsidP="009E5F84">
      <w:pPr>
        <w:pStyle w:val="Fussnote"/>
      </w:pPr>
      <w:r w:rsidRPr="000A7A5C">
        <w:rPr>
          <w:rStyle w:val="FootnoteReference"/>
        </w:rPr>
        <w:footnoteRef/>
      </w:r>
      <w:r w:rsidRPr="000A7A5C">
        <w:t xml:space="preserve"> Suite à la RPT, les compétences ont été modifiées en 2008. Depuis lors, la responsabilité en matière d’enseignement spécialisé et de logement, notamment, relève des seuls cantons.</w:t>
      </w:r>
    </w:p>
  </w:footnote>
  <w:footnote w:id="21">
    <w:p w14:paraId="24EE5021" w14:textId="77777777" w:rsidR="00E77057" w:rsidRPr="000A7A5C" w:rsidRDefault="00E77057" w:rsidP="009E5F84">
      <w:pPr>
        <w:pStyle w:val="Fussnote"/>
      </w:pPr>
      <w:r w:rsidRPr="000A7A5C">
        <w:rPr>
          <w:rStyle w:val="FootnoteReference"/>
        </w:rPr>
        <w:footnoteRef/>
      </w:r>
      <w:r w:rsidRPr="000A7A5C">
        <w:t xml:space="preserve"> D’après la doctrine juridique, cette formulation exprime que la portée du mandat va moins loin que dans le domaine de l’égalité entre femmes et hommes selon l’art.</w:t>
      </w:r>
      <w:r>
        <w:t xml:space="preserve"> </w:t>
      </w:r>
      <w:r w:rsidRPr="000A7A5C">
        <w:t>8 al. 3 2</w:t>
      </w:r>
      <w:r w:rsidRPr="000A7A5C">
        <w:rPr>
          <w:vertAlign w:val="superscript"/>
        </w:rPr>
        <w:t>e</w:t>
      </w:r>
      <w:r w:rsidRPr="000A7A5C">
        <w:t xml:space="preserve"> phrase, qui </w:t>
      </w:r>
      <w:r>
        <w:t>dispose</w:t>
      </w:r>
      <w:r w:rsidRPr="000A7A5C">
        <w:t xml:space="preserve"> que la loi pourvoit à l’égalité de droit et de fait: </w:t>
      </w:r>
      <w:r w:rsidRPr="000A7A5C">
        <w:rPr>
          <w:smallCaps/>
        </w:rPr>
        <w:t>Regina Kiener/Walter Kälin/Judith Wyttenbach</w:t>
      </w:r>
      <w:r w:rsidRPr="000A7A5C">
        <w:t>, Grundrechte, 3</w:t>
      </w:r>
      <w:r w:rsidRPr="000A7A5C">
        <w:rPr>
          <w:vertAlign w:val="superscript"/>
        </w:rPr>
        <w:t>e</w:t>
      </w:r>
      <w:r w:rsidRPr="000A7A5C">
        <w:t xml:space="preserve"> édition, Berne 2018, ch. marg. 111 (en allemand).</w:t>
      </w:r>
    </w:p>
  </w:footnote>
  <w:footnote w:id="22">
    <w:p w14:paraId="6584DA40" w14:textId="6206396B" w:rsidR="00E77057" w:rsidRPr="000A7A5C" w:rsidRDefault="00E77057" w:rsidP="009E5F84">
      <w:pPr>
        <w:pStyle w:val="Fussnote"/>
      </w:pPr>
      <w:r w:rsidRPr="000A7A5C">
        <w:rPr>
          <w:rStyle w:val="FootnoteReference"/>
        </w:rPr>
        <w:footnoteRef/>
      </w:r>
      <w:r w:rsidRPr="006B4C20">
        <w:rPr>
          <w:lang w:val="fr-FR"/>
        </w:rPr>
        <w:t xml:space="preserve"> Évaluation LHand (N </w:t>
      </w:r>
      <w:r w:rsidRPr="006B4C20">
        <w:fldChar w:fldCharType="begin"/>
      </w:r>
      <w:r w:rsidRPr="006B4C20">
        <w:rPr>
          <w:lang w:val="fr-FR"/>
        </w:rPr>
        <w:instrText xml:space="preserve"> NOTEREF _Ref95740315 \h </w:instrText>
      </w:r>
      <w:r>
        <w:instrText xml:space="preserve"> \* MERGEFORMAT </w:instrText>
      </w:r>
      <w:r w:rsidRPr="006B4C20">
        <w:fldChar w:fldCharType="separate"/>
      </w:r>
      <w:r>
        <w:rPr>
          <w:lang w:val="fr-FR"/>
        </w:rPr>
        <w:t>2</w:t>
      </w:r>
      <w:r w:rsidRPr="006B4C20">
        <w:fldChar w:fldCharType="end"/>
      </w:r>
      <w:r w:rsidRPr="006B4C20">
        <w:rPr>
          <w:lang w:val="fr-FR"/>
        </w:rPr>
        <w:t xml:space="preserve">), p. 381 (en allemand). </w:t>
      </w:r>
      <w:r w:rsidRPr="000A7A5C">
        <w:t>Notamment les cantons de BS, BL, VS, ZH et GE se montrent actifs: dans le cadre de leurs projets législatifs ou de leurs plans d’action en vue de l’application de la CDPH, ils ont associé dès le début les PH et leurs organisations.</w:t>
      </w:r>
    </w:p>
  </w:footnote>
  <w:footnote w:id="23">
    <w:p w14:paraId="1F73EF5C" w14:textId="23D596AA" w:rsidR="00E77057" w:rsidRPr="000A7A5C" w:rsidRDefault="00E77057" w:rsidP="009E5F84">
      <w:pPr>
        <w:pStyle w:val="Fussnote"/>
      </w:pPr>
      <w:r w:rsidRPr="000A7A5C">
        <w:rPr>
          <w:rStyle w:val="FootnoteReference"/>
        </w:rPr>
        <w:footnoteRef/>
      </w:r>
      <w:r w:rsidRPr="000A7A5C">
        <w:t xml:space="preserve"> </w:t>
      </w:r>
      <w:hyperlink r:id="rId24" w:history="1">
        <w:r w:rsidRPr="0010056D">
          <w:rPr>
            <w:rStyle w:val="Hyperlink"/>
          </w:rPr>
          <w:t>Liste des Protocoles facultatifs ratifiés par la Suisse</w:t>
        </w:r>
      </w:hyperlink>
      <w:r w:rsidRPr="000A7A5C">
        <w:t>.</w:t>
      </w:r>
    </w:p>
  </w:footnote>
  <w:footnote w:id="24">
    <w:p w14:paraId="3DB26C25" w14:textId="0142A1BF" w:rsidR="00E77057" w:rsidRPr="008C5B2B" w:rsidRDefault="00E77057" w:rsidP="009E5F84">
      <w:pPr>
        <w:pStyle w:val="Fussnote"/>
        <w:rPr>
          <w:lang w:val="en-US"/>
        </w:rPr>
      </w:pPr>
      <w:r w:rsidRPr="000A7A5C">
        <w:rPr>
          <w:rStyle w:val="FootnoteReference"/>
        </w:rPr>
        <w:footnoteRef/>
      </w:r>
      <w:r w:rsidRPr="000A7A5C">
        <w:t xml:space="preserve"> Les recommandations relatives à la ratification du Protocole facultatif dans le cadre de l’EPU 2017 (147.1 et 147.2, UN Doc. A/HRC/37/12 du 29.12.2017) ont été rejetées par la Suisse au motif suivant (cf. UN Doc. </w:t>
      </w:r>
      <w:r w:rsidRPr="008C5B2B">
        <w:rPr>
          <w:lang w:val="en-US"/>
        </w:rPr>
        <w:t xml:space="preserve">A/HRC/22/11/Add.1, p. 3): </w:t>
      </w:r>
      <w:r w:rsidRPr="00552D75">
        <w:rPr>
          <w:lang w:val="en-US"/>
        </w:rPr>
        <w:t>«</w:t>
      </w:r>
      <w:r w:rsidRPr="008C5B2B">
        <w:rPr>
          <w:lang w:val="en-US"/>
        </w:rPr>
        <w:t>Switzerland ratifies human rights instruments which provide for individual communications to human rights treaty bodies on condition that experience exists with the instrument in question. Thus, the initial report, submitted in June 2016 by the Committee on the Rights of Persons with Disabilities, requires consideration prior to ratification of the Optional Protocol. Such consideration has not yet been scheduled.</w:t>
      </w:r>
      <w:r w:rsidRPr="00552D75">
        <w:rPr>
          <w:lang w:val="en-US"/>
        </w:rPr>
        <w:t>»</w:t>
      </w:r>
    </w:p>
  </w:footnote>
  <w:footnote w:id="25">
    <w:p w14:paraId="00EBAB7A" w14:textId="5401B499" w:rsidR="00E77057" w:rsidRPr="008C5B2B" w:rsidRDefault="00E77057" w:rsidP="009E5F84">
      <w:pPr>
        <w:pStyle w:val="Fussnote"/>
        <w:rPr>
          <w:lang w:val="en-US"/>
        </w:rPr>
      </w:pPr>
      <w:r w:rsidRPr="000A7A5C">
        <w:rPr>
          <w:rStyle w:val="FootnoteReference"/>
        </w:rPr>
        <w:footnoteRef/>
      </w:r>
      <w:r w:rsidRPr="008C5B2B">
        <w:rPr>
          <w:lang w:val="en-US"/>
        </w:rPr>
        <w:t xml:space="preserve"> </w:t>
      </w:r>
      <w:hyperlink r:id="rId25" w:history="1">
        <w:r w:rsidRPr="0010056D">
          <w:rPr>
            <w:rStyle w:val="Hyperlink"/>
            <w:lang w:val="en-US"/>
          </w:rPr>
          <w:t>Motion Roth du 11.12.2019</w:t>
        </w:r>
      </w:hyperlink>
      <w:r>
        <w:rPr>
          <w:lang w:val="en-US"/>
        </w:rPr>
        <w:t>.</w:t>
      </w:r>
    </w:p>
  </w:footnote>
  <w:footnote w:id="26">
    <w:p w14:paraId="04582644" w14:textId="77777777" w:rsidR="00E77057" w:rsidRPr="000A7A5C" w:rsidRDefault="00E77057" w:rsidP="009E5F84">
      <w:pPr>
        <w:pStyle w:val="Fussnote"/>
      </w:pPr>
      <w:r w:rsidRPr="000A7A5C">
        <w:rPr>
          <w:rStyle w:val="FootnoteReference"/>
        </w:rPr>
        <w:footnoteRef/>
      </w:r>
      <w:r w:rsidRPr="000A7A5C">
        <w:t xml:space="preserve"> En droit suisse, les notions de handicap et d’invalidité ne se recouvrent que partiellement. </w:t>
      </w:r>
    </w:p>
  </w:footnote>
  <w:footnote w:id="27">
    <w:p w14:paraId="44C0A31E" w14:textId="607A3E4D" w:rsidR="00E77057" w:rsidRPr="000A7A5C" w:rsidRDefault="00E77057" w:rsidP="009E5F84">
      <w:pPr>
        <w:pStyle w:val="Fussnote"/>
      </w:pPr>
      <w:r w:rsidRPr="000A7A5C">
        <w:rPr>
          <w:rStyle w:val="FootnoteReference"/>
        </w:rPr>
        <w:footnoteRef/>
      </w:r>
      <w:r w:rsidRPr="000A7A5C">
        <w:t xml:space="preserve"> Une intervention parlementaire a été déposée en 2020 visant à adapter la terminologie dans la législation sociale: </w:t>
      </w:r>
      <w:hyperlink r:id="rId26" w:history="1">
        <w:r w:rsidRPr="00C45C37">
          <w:rPr>
            <w:rStyle w:val="Hyperlink"/>
          </w:rPr>
          <w:t>postulat Ettlin du 17.1.2020</w:t>
        </w:r>
      </w:hyperlink>
      <w:r w:rsidRPr="000A7A5C">
        <w:t>. Le Conseil des États a adopté ce postulat sur recommandation du Conseil fédéral.</w:t>
      </w:r>
    </w:p>
  </w:footnote>
  <w:footnote w:id="28">
    <w:p w14:paraId="2D3E9A61" w14:textId="77777777" w:rsidR="00E77057" w:rsidRPr="000A7A5C" w:rsidRDefault="00E77057" w:rsidP="009E5F84">
      <w:pPr>
        <w:pStyle w:val="Fussnote"/>
      </w:pPr>
      <w:r w:rsidRPr="000A7A5C">
        <w:rPr>
          <w:rStyle w:val="FootnoteReference"/>
        </w:rPr>
        <w:footnoteRef/>
      </w:r>
      <w:r w:rsidRPr="000A7A5C">
        <w:t xml:space="preserve"> Art. 43</w:t>
      </w:r>
      <w:r w:rsidRPr="000A7A5C">
        <w:rPr>
          <w:vertAlign w:val="superscript"/>
        </w:rPr>
        <w:t>bis</w:t>
      </w:r>
      <w:r w:rsidRPr="000A7A5C">
        <w:t xml:space="preserve"> LAVS.</w:t>
      </w:r>
    </w:p>
  </w:footnote>
  <w:footnote w:id="29">
    <w:p w14:paraId="62B71E88" w14:textId="77777777" w:rsidR="00E77057" w:rsidRPr="000A7A5C" w:rsidRDefault="00E77057" w:rsidP="009E5F84">
      <w:pPr>
        <w:pStyle w:val="Fussnote"/>
      </w:pPr>
      <w:r w:rsidRPr="000A7A5C">
        <w:rPr>
          <w:rStyle w:val="FootnoteReference"/>
        </w:rPr>
        <w:footnoteRef/>
      </w:r>
      <w:r w:rsidRPr="000A7A5C">
        <w:t xml:space="preserve"> Suite à une intervention des organisations de PH auprès de l’OFSP et du BFEH, ces recommandations ont été nuancées.</w:t>
      </w:r>
    </w:p>
  </w:footnote>
  <w:footnote w:id="30">
    <w:p w14:paraId="261B2418" w14:textId="4CB4FF51" w:rsidR="00E77057" w:rsidRPr="000A7A5C" w:rsidRDefault="00E77057" w:rsidP="009E5F84">
      <w:pPr>
        <w:pStyle w:val="Fussnote"/>
      </w:pPr>
      <w:r w:rsidRPr="000A7A5C">
        <w:rPr>
          <w:rStyle w:val="FootnoteReference"/>
        </w:rPr>
        <w:footnoteRef/>
      </w:r>
      <w:r w:rsidRPr="000A7A5C">
        <w:t xml:space="preserve"> </w:t>
      </w:r>
      <w:hyperlink r:id="rId27" w:history="1">
        <w:r w:rsidRPr="000A7A5C">
          <w:rPr>
            <w:rStyle w:val="Hyperlink"/>
          </w:rPr>
          <w:t>https://www.samw.ch/fr.html</w:t>
        </w:r>
      </w:hyperlink>
      <w:r w:rsidRPr="000A7A5C">
        <w:t xml:space="preserve"> : Fondation privée subventionnée par la Confédération, active dans le domaine des sciences et de la pratique médicales. Elle émet de nombreuses lignes directrices auxquelles des hôpitaux se réfèrent lorsqu’ils ont des décisions médicales à prendre.</w:t>
      </w:r>
    </w:p>
  </w:footnote>
  <w:footnote w:id="31">
    <w:p w14:paraId="7A447AA4" w14:textId="56B39D1E" w:rsidR="00E77057" w:rsidRPr="000A7A5C" w:rsidRDefault="00E77057" w:rsidP="009E5F84">
      <w:pPr>
        <w:pStyle w:val="Fussnote"/>
      </w:pPr>
      <w:r w:rsidRPr="000A7A5C">
        <w:rPr>
          <w:rStyle w:val="FootnoteReference"/>
        </w:rPr>
        <w:footnoteRef/>
      </w:r>
      <w:r w:rsidRPr="000A7A5C">
        <w:t xml:space="preserve"> </w:t>
      </w:r>
      <w:hyperlink r:id="rId28" w:history="1">
        <w:r w:rsidRPr="00C45C37">
          <w:rPr>
            <w:rStyle w:val="Hyperlink"/>
          </w:rPr>
          <w:t>Communiqué de presse d’IH du 17.12.2020</w:t>
        </w:r>
      </w:hyperlink>
      <w:r>
        <w:t>.</w:t>
      </w:r>
    </w:p>
  </w:footnote>
  <w:footnote w:id="32">
    <w:p w14:paraId="3021E22F" w14:textId="439F67CF" w:rsidR="00E77057" w:rsidRPr="000A7A5C" w:rsidRDefault="00E77057" w:rsidP="009E5F84">
      <w:pPr>
        <w:pStyle w:val="Fussnote"/>
      </w:pPr>
      <w:r w:rsidRPr="000A7A5C">
        <w:rPr>
          <w:rStyle w:val="FootnoteReference"/>
        </w:rPr>
        <w:footnoteRef/>
      </w:r>
      <w:r w:rsidRPr="000A7A5C">
        <w:t xml:space="preserve"> Situation légale analogue en Allemagne, cf. l’</w:t>
      </w:r>
      <w:hyperlink r:id="rId29" w:history="1">
        <w:r w:rsidRPr="00C45C37">
          <w:rPr>
            <w:rStyle w:val="Hyperlink"/>
          </w:rPr>
          <w:t>arrêt du Tribunal constitutionnel fédéral du 16 décembre 2021 (approbation du recours des PH concernées), 1 BvR 1541/20</w:t>
        </w:r>
      </w:hyperlink>
      <w:r>
        <w:t xml:space="preserve"> </w:t>
      </w:r>
      <w:r w:rsidRPr="000A7A5C">
        <w:t>(en allemand)</w:t>
      </w:r>
      <w:r>
        <w:t>.</w:t>
      </w:r>
    </w:p>
  </w:footnote>
  <w:footnote w:id="33">
    <w:p w14:paraId="1EEF019D" w14:textId="555E36DB" w:rsidR="00E77057" w:rsidRPr="000A7A5C" w:rsidRDefault="00E77057" w:rsidP="009E5F84">
      <w:pPr>
        <w:pStyle w:val="Fussnote"/>
      </w:pPr>
      <w:r w:rsidRPr="000A7A5C">
        <w:rPr>
          <w:rStyle w:val="FootnoteReference"/>
        </w:rPr>
        <w:footnoteRef/>
      </w:r>
      <w:r w:rsidRPr="000A7A5C">
        <w:t xml:space="preserve"> </w:t>
      </w:r>
      <w:hyperlink r:id="rId30" w:history="1">
        <w:r w:rsidRPr="00C45C37">
          <w:rPr>
            <w:rStyle w:val="Hyperlink"/>
          </w:rPr>
          <w:t>Communiqué de presse d’IH du 3.7.2020</w:t>
        </w:r>
      </w:hyperlink>
      <w:r>
        <w:t>.</w:t>
      </w:r>
    </w:p>
  </w:footnote>
  <w:footnote w:id="34">
    <w:p w14:paraId="521DA406" w14:textId="1A6B546A" w:rsidR="00E77057" w:rsidRPr="000A7A5C" w:rsidRDefault="00E77057" w:rsidP="009E5F84">
      <w:pPr>
        <w:pStyle w:val="Fussnote"/>
      </w:pPr>
      <w:r w:rsidRPr="000A7A5C">
        <w:rPr>
          <w:rStyle w:val="FootnoteReference"/>
        </w:rPr>
        <w:footnoteRef/>
      </w:r>
      <w:r w:rsidRPr="000A7A5C">
        <w:t xml:space="preserve"> Dans la </w:t>
      </w:r>
      <w:hyperlink r:id="rId31" w:history="1">
        <w:r w:rsidRPr="00C45C37">
          <w:rPr>
            <w:rStyle w:val="Hyperlink"/>
          </w:rPr>
          <w:t>mise au concours du projet de recherche PNR 80 «Covid-19 et société»</w:t>
        </w:r>
      </w:hyperlink>
      <w:r w:rsidRPr="000A7A5C">
        <w:t xml:space="preserve"> publiée fin 2021, il n’</w:t>
      </w:r>
      <w:r>
        <w:t>est fait aucune mention des PH.</w:t>
      </w:r>
    </w:p>
  </w:footnote>
  <w:footnote w:id="35">
    <w:p w14:paraId="705262CB" w14:textId="77777777" w:rsidR="00E77057" w:rsidRPr="00D118EE" w:rsidRDefault="00E77057" w:rsidP="00D118EE">
      <w:pPr>
        <w:pStyle w:val="Fussnote"/>
      </w:pPr>
      <w:r w:rsidRPr="00C6763A">
        <w:rPr>
          <w:rStyle w:val="FootnoteReference"/>
        </w:rPr>
        <w:footnoteRef/>
      </w:r>
      <w:r w:rsidRPr="006D1641">
        <w:rPr>
          <w:lang w:val="it-IT"/>
        </w:rPr>
        <w:t xml:space="preserve"> ATF 134 I 105 consid. 5 p. 108 s.; 135 I 161 consid. 2.3 p. 163; 139 II 289 consid. 2.2.2 p. 295; 141 I 9 consid. </w:t>
      </w:r>
      <w:r w:rsidRPr="00D118EE">
        <w:t>3.1 p. 12.</w:t>
      </w:r>
    </w:p>
  </w:footnote>
  <w:footnote w:id="36">
    <w:p w14:paraId="23A4F10C" w14:textId="77777777" w:rsidR="00E77057" w:rsidRPr="00D118EE" w:rsidRDefault="00E77057" w:rsidP="00D118EE">
      <w:pPr>
        <w:pStyle w:val="Fussnote"/>
      </w:pPr>
      <w:r w:rsidRPr="00C6763A">
        <w:rPr>
          <w:rStyle w:val="FootnoteReference"/>
        </w:rPr>
        <w:footnoteRef/>
      </w:r>
      <w:r w:rsidRPr="00D118EE">
        <w:t xml:space="preserve"> Art. 7 et 8 LHand.</w:t>
      </w:r>
    </w:p>
  </w:footnote>
  <w:footnote w:id="37">
    <w:p w14:paraId="285A382C" w14:textId="22922CB8" w:rsidR="00E77057" w:rsidRPr="00D118EE" w:rsidRDefault="00E77057" w:rsidP="00D118EE">
      <w:pPr>
        <w:pStyle w:val="Fussnote"/>
      </w:pPr>
      <w:r w:rsidRPr="00C6763A">
        <w:rPr>
          <w:rStyle w:val="FootnoteReference"/>
        </w:rPr>
        <w:footnoteRef/>
      </w:r>
      <w:r w:rsidRPr="00D118EE">
        <w:t xml:space="preserve"> Conseil fédéral, </w:t>
      </w:r>
      <w:hyperlink r:id="rId32" w:history="1">
        <w:r w:rsidRPr="00C45C37">
          <w:rPr>
            <w:rStyle w:val="Hyperlink"/>
          </w:rPr>
          <w:t>rapport en réponse au postulat Droit à la protection contre la discrimination, 25.5.2016</w:t>
        </w:r>
      </w:hyperlink>
      <w:r w:rsidRPr="00D118EE">
        <w:t>, p. 11.</w:t>
      </w:r>
    </w:p>
  </w:footnote>
  <w:footnote w:id="38">
    <w:p w14:paraId="2829C8C7" w14:textId="77777777" w:rsidR="00E77057" w:rsidRPr="00D118EE" w:rsidRDefault="00E77057" w:rsidP="00D118EE">
      <w:pPr>
        <w:pStyle w:val="Fussnote"/>
      </w:pPr>
      <w:r w:rsidRPr="00C6763A">
        <w:rPr>
          <w:rStyle w:val="FootnoteReference"/>
        </w:rPr>
        <w:footnoteRef/>
      </w:r>
      <w:r w:rsidRPr="00D118EE">
        <w:t xml:space="preserve"> Notamment en cas de rapports de travail de droit privé (à ce sujet art. 27 CDPH) et en cas de services accessibles au public proposés par des particuliers.</w:t>
      </w:r>
    </w:p>
  </w:footnote>
  <w:footnote w:id="39">
    <w:p w14:paraId="64380012" w14:textId="78A23BAE" w:rsidR="00E77057" w:rsidRPr="006D1641" w:rsidRDefault="00E77057" w:rsidP="00D118EE">
      <w:pPr>
        <w:pStyle w:val="Fussnote"/>
        <w:rPr>
          <w:lang w:val="de-CH"/>
        </w:rPr>
      </w:pPr>
      <w:r w:rsidRPr="00C6763A">
        <w:rPr>
          <w:rStyle w:val="FootnoteReference"/>
        </w:rPr>
        <w:footnoteRef/>
      </w:r>
      <w:r w:rsidRPr="00D118EE">
        <w:t xml:space="preserve"> Le manque de protection efficace des PH contre les discriminations du fait de particuliers en Suisse est reconnu également dans l’évaluation de la LHand (N </w:t>
      </w:r>
      <w:r>
        <w:fldChar w:fldCharType="begin"/>
      </w:r>
      <w:r>
        <w:instrText xml:space="preserve"> NOTEREF _Ref95740315 \h </w:instrText>
      </w:r>
      <w:r>
        <w:fldChar w:fldCharType="separate"/>
      </w:r>
      <w:r>
        <w:t>2</w:t>
      </w:r>
      <w:r>
        <w:fldChar w:fldCharType="end"/>
      </w:r>
      <w:r w:rsidRPr="00D118EE">
        <w:t xml:space="preserve">), p. 271 ss. et par </w:t>
      </w:r>
      <w:hyperlink r:id="rId33" w:history="1">
        <w:r w:rsidRPr="00C6763A">
          <w:rPr>
            <w:rStyle w:val="Hyperlink"/>
          </w:rPr>
          <w:t>le CSDH, Accès à la justice en cas de discrimination, Rapport de synthèse, Berne 2015</w:t>
        </w:r>
      </w:hyperlink>
      <w:r>
        <w:t xml:space="preserve">, </w:t>
      </w:r>
      <w:r w:rsidRPr="00D118EE">
        <w:t xml:space="preserve">chap. II.4.6 et V.5, ainsi que </w:t>
      </w:r>
      <w:hyperlink r:id="rId34" w:history="1">
        <w:r w:rsidRPr="00C6763A">
          <w:rPr>
            <w:rStyle w:val="Hyperlink"/>
            <w:smallCaps/>
          </w:rPr>
          <w:t>Irene Grohsmann</w:t>
        </w:r>
        <w:r w:rsidRPr="00C6763A">
          <w:rPr>
            <w:rStyle w:val="Hyperlink"/>
          </w:rPr>
          <w:t>, Étude thématique 4: handicap – analyse juridique</w:t>
        </w:r>
      </w:hyperlink>
      <w:r w:rsidRPr="00D118EE">
        <w:t xml:space="preserve">, chap. </w:t>
      </w:r>
      <w:r w:rsidRPr="006D1641">
        <w:rPr>
          <w:lang w:val="de-CH"/>
        </w:rPr>
        <w:t>IV (en allemand).</w:t>
      </w:r>
    </w:p>
  </w:footnote>
  <w:footnote w:id="40">
    <w:p w14:paraId="5367A1E2" w14:textId="397A1518" w:rsidR="00E77057" w:rsidRPr="000A7A5C" w:rsidRDefault="00E77057" w:rsidP="00D118EE">
      <w:pPr>
        <w:pStyle w:val="Fussnote"/>
      </w:pPr>
      <w:r w:rsidRPr="00C6763A">
        <w:rPr>
          <w:rStyle w:val="FootnoteReference"/>
        </w:rPr>
        <w:footnoteRef/>
      </w:r>
      <w:r w:rsidRPr="006D1641">
        <w:rPr>
          <w:lang w:val="de-CH"/>
        </w:rPr>
        <w:t xml:space="preserve"> ATF 138 I 475 consid. 3.3.1 et 3.3.2 p. 480 s.; cf. aussi concernant ce thème </w:t>
      </w:r>
      <w:r w:rsidRPr="006B4C20">
        <w:rPr>
          <w:smallCaps/>
          <w:lang w:val="de-CH"/>
        </w:rPr>
        <w:t>Markus Schefer/Caroline Hess-Klein</w:t>
      </w:r>
      <w:r w:rsidRPr="006D1641">
        <w:rPr>
          <w:lang w:val="de-CH"/>
        </w:rPr>
        <w:t xml:space="preserve">, Behindertengleichstellungsrecht, Berne 2014, p. 298 ss. </w:t>
      </w:r>
      <w:r w:rsidRPr="00D118EE">
        <w:t>(en allemand)</w:t>
      </w:r>
      <w:r>
        <w:t>.</w:t>
      </w:r>
    </w:p>
  </w:footnote>
  <w:footnote w:id="41">
    <w:p w14:paraId="49BA31CB" w14:textId="77777777" w:rsidR="00E77057" w:rsidRPr="000A7A5C" w:rsidRDefault="00E77057" w:rsidP="00D118EE">
      <w:pPr>
        <w:pStyle w:val="Fussnote"/>
      </w:pPr>
      <w:r w:rsidRPr="000A7A5C">
        <w:rPr>
          <w:rStyle w:val="FootnoteReference"/>
        </w:rPr>
        <w:footnoteRef/>
      </w:r>
      <w:r w:rsidRPr="000A7A5C">
        <w:t xml:space="preserve"> Application n° 40477/13, ch. marg. 52 ss.</w:t>
      </w:r>
    </w:p>
  </w:footnote>
  <w:footnote w:id="42">
    <w:p w14:paraId="071518A8" w14:textId="02D869EA" w:rsidR="00E77057" w:rsidRPr="000A7A5C" w:rsidRDefault="00E77057" w:rsidP="00D118EE">
      <w:pPr>
        <w:pStyle w:val="Fussnote"/>
      </w:pPr>
      <w:r w:rsidRPr="000A7A5C">
        <w:rPr>
          <w:rStyle w:val="FootnoteReference"/>
        </w:rPr>
        <w:footnoteRef/>
      </w:r>
      <w:r w:rsidRPr="000A7A5C">
        <w:t xml:space="preserve"> Cf. entre autres </w:t>
      </w:r>
      <w:hyperlink r:id="rId35" w:history="1">
        <w:r w:rsidRPr="00C6763A">
          <w:rPr>
            <w:rStyle w:val="Hyperlink"/>
          </w:rPr>
          <w:t>l’article du 21.3.2017 paru dans le quotidien 24heures</w:t>
        </w:r>
      </w:hyperlink>
      <w:r w:rsidRPr="000A7A5C">
        <w:t>.</w:t>
      </w:r>
    </w:p>
  </w:footnote>
  <w:footnote w:id="43">
    <w:p w14:paraId="1DF76347" w14:textId="4363F878" w:rsidR="00E77057" w:rsidRPr="00C6763A" w:rsidRDefault="00E77057" w:rsidP="00D118EE">
      <w:pPr>
        <w:pStyle w:val="Fussnote"/>
      </w:pPr>
      <w:r w:rsidRPr="000A7A5C">
        <w:rPr>
          <w:rStyle w:val="FootnoteReference"/>
        </w:rPr>
        <w:footnoteRef/>
      </w:r>
      <w:r w:rsidRPr="000A7A5C">
        <w:t xml:space="preserve"> </w:t>
      </w:r>
      <w:hyperlink r:id="rId36" w:history="1">
        <w:r w:rsidRPr="00C6763A">
          <w:rPr>
            <w:rStyle w:val="Hyperlink"/>
          </w:rPr>
          <w:t>Confédération suisse, Stratégie en matière d’égalité 2030, avril 2021</w:t>
        </w:r>
      </w:hyperlink>
      <w:r>
        <w:t>.</w:t>
      </w:r>
    </w:p>
  </w:footnote>
  <w:footnote w:id="44">
    <w:p w14:paraId="36A86100" w14:textId="77777777" w:rsidR="00E77057" w:rsidRPr="000A7A5C" w:rsidRDefault="00E77057" w:rsidP="00D118EE">
      <w:pPr>
        <w:pStyle w:val="Fussnote"/>
        <w:rPr>
          <w:szCs w:val="18"/>
        </w:rPr>
      </w:pPr>
      <w:r w:rsidRPr="000A7A5C">
        <w:rPr>
          <w:rStyle w:val="FootnoteReference"/>
          <w:szCs w:val="18"/>
        </w:rPr>
        <w:footnoteRef/>
      </w:r>
      <w:r w:rsidRPr="000A7A5C">
        <w:rPr>
          <w:szCs w:val="18"/>
        </w:rPr>
        <w:t xml:space="preserve"> Cf. à ce sujet Rapport Politique en faveur des personnes handicapées </w:t>
      </w:r>
      <w:r w:rsidRPr="00F8539B">
        <w:rPr>
          <w:szCs w:val="18"/>
        </w:rPr>
        <w:t>(N</w:t>
      </w:r>
      <w:r>
        <w:rPr>
          <w:szCs w:val="18"/>
        </w:rPr>
        <w:t xml:space="preserve"> </w:t>
      </w:r>
      <w:r w:rsidRPr="00F8539B">
        <w:rPr>
          <w:szCs w:val="18"/>
        </w:rPr>
        <w:t>3</w:t>
      </w:r>
      <w:r>
        <w:rPr>
          <w:szCs w:val="18"/>
        </w:rPr>
        <w:t>)</w:t>
      </w:r>
      <w:r w:rsidRPr="000A7A5C">
        <w:rPr>
          <w:szCs w:val="18"/>
        </w:rPr>
        <w:t>, p. 39.</w:t>
      </w:r>
    </w:p>
  </w:footnote>
  <w:footnote w:id="45">
    <w:p w14:paraId="749E1E67" w14:textId="6D3FF1DA" w:rsidR="00E77057" w:rsidRPr="008C5B2B" w:rsidRDefault="00E77057" w:rsidP="00D118EE">
      <w:pPr>
        <w:pStyle w:val="Fussnote"/>
        <w:rPr>
          <w:szCs w:val="18"/>
          <w:lang w:val="en-US"/>
        </w:rPr>
      </w:pPr>
      <w:r w:rsidRPr="000A7A5C">
        <w:rPr>
          <w:rStyle w:val="FootnoteReference"/>
          <w:szCs w:val="18"/>
        </w:rPr>
        <w:footnoteRef/>
      </w:r>
      <w:r w:rsidRPr="008C5B2B">
        <w:rPr>
          <w:szCs w:val="18"/>
          <w:lang w:val="en-US"/>
        </w:rPr>
        <w:t xml:space="preserve"> Cf. p. ex. </w:t>
      </w:r>
      <w:hyperlink r:id="rId37" w:history="1">
        <w:r w:rsidRPr="006B6396">
          <w:rPr>
            <w:rStyle w:val="Hyperlink"/>
            <w:szCs w:val="18"/>
            <w:lang w:val="en-US"/>
          </w:rPr>
          <w:t>CEDAW Shadow Report by the NGO-Coordination post Beijing Switzerland, June 2021</w:t>
        </w:r>
      </w:hyperlink>
      <w:r w:rsidRPr="008C5B2B">
        <w:rPr>
          <w:szCs w:val="18"/>
          <w:lang w:val="en-US"/>
        </w:rPr>
        <w:t>, p. 7.</w:t>
      </w:r>
    </w:p>
  </w:footnote>
  <w:footnote w:id="46">
    <w:p w14:paraId="71015AB6" w14:textId="492E3C5E" w:rsidR="00E77057" w:rsidRPr="000A7A5C" w:rsidRDefault="00E77057" w:rsidP="00D118EE">
      <w:pPr>
        <w:pStyle w:val="Fussnote"/>
      </w:pPr>
      <w:r w:rsidRPr="000A7A5C">
        <w:rPr>
          <w:rStyle w:val="FootnoteReference"/>
          <w:szCs w:val="18"/>
        </w:rPr>
        <w:footnoteRef/>
      </w:r>
      <w:r w:rsidRPr="000A7A5C">
        <w:t xml:space="preserve"> P. ex. lors de la mise en </w:t>
      </w:r>
      <w:r>
        <w:t xml:space="preserve">œuvre </w:t>
      </w:r>
      <w:r w:rsidRPr="000A7A5C">
        <w:t>de la</w:t>
      </w:r>
      <w:r>
        <w:t xml:space="preserve"> </w:t>
      </w:r>
      <w:r w:rsidRPr="000A7A5C">
        <w:t xml:space="preserve">CI: </w:t>
      </w:r>
      <w:hyperlink r:id="rId38" w:history="1">
        <w:r w:rsidRPr="00C6763A">
          <w:rPr>
            <w:rStyle w:val="Hyperlink"/>
          </w:rPr>
          <w:t>Convention Réseau Istanbul (éd.), Mise en œuvre de la Convention d’Istanbul en Suisse; Rapport alternatif de la société civile, juin 2021</w:t>
        </w:r>
      </w:hyperlink>
      <w:r w:rsidRPr="000A7A5C">
        <w:rPr>
          <w:b/>
        </w:rPr>
        <w:t xml:space="preserve">, </w:t>
      </w:r>
      <w:r w:rsidRPr="000A7A5C">
        <w:t>p. 22 s.</w:t>
      </w:r>
    </w:p>
  </w:footnote>
  <w:footnote w:id="47">
    <w:p w14:paraId="536F2A39" w14:textId="0DCECBE0" w:rsidR="00E77057" w:rsidRPr="00C6763A" w:rsidRDefault="00E77057" w:rsidP="00D118EE">
      <w:pPr>
        <w:pStyle w:val="Fussnote"/>
      </w:pPr>
      <w:r w:rsidRPr="000A7A5C">
        <w:rPr>
          <w:rStyle w:val="FootnoteReference"/>
          <w:szCs w:val="18"/>
        </w:rPr>
        <w:footnoteRef/>
      </w:r>
      <w:r w:rsidRPr="000A7A5C">
        <w:t xml:space="preserve"> Au sujet des mesures de réadaptation de l’AI, cf. l’art. 27 CDPH. De plus, les filles se voient accorder nettement moins de mesures de pédagogie spécialisée renforcées que les garçons; cela s’explique en partie par des facteurs biologiques, mais également par un autre élément majeur, </w:t>
      </w:r>
      <w:r>
        <w:t xml:space="preserve">à savoir la différence de socialisation. Cf. </w:t>
      </w:r>
      <w:hyperlink r:id="rId39" w:history="1">
        <w:r w:rsidRPr="00C6763A">
          <w:rPr>
            <w:rStyle w:val="Hyperlink"/>
            <w:smallCaps/>
          </w:rPr>
          <w:t>Beatrice Kronenberg</w:t>
        </w:r>
        <w:r w:rsidRPr="00C6763A">
          <w:rPr>
            <w:rStyle w:val="Hyperlink"/>
          </w:rPr>
          <w:t>, Pédagogie spécialisée en Suisse: Rapport mandaté par le SEFRI et la CDIP dans le cadre du Monitorage de l’éducation, 2021</w:t>
        </w:r>
      </w:hyperlink>
      <w:r w:rsidRPr="000A7A5C">
        <w:t>, p. 149.</w:t>
      </w:r>
    </w:p>
  </w:footnote>
  <w:footnote w:id="48">
    <w:p w14:paraId="1555AFB6" w14:textId="5302A057" w:rsidR="00E77057" w:rsidRPr="00A40AF5" w:rsidRDefault="00E77057" w:rsidP="00D118EE">
      <w:pPr>
        <w:pStyle w:val="Fussnote"/>
        <w:rPr>
          <w:lang w:val="fr-FR"/>
        </w:rPr>
      </w:pPr>
      <w:r w:rsidRPr="000A7A5C">
        <w:rPr>
          <w:rStyle w:val="FootnoteReference"/>
          <w:szCs w:val="18"/>
        </w:rPr>
        <w:footnoteRef/>
      </w:r>
      <w:r w:rsidRPr="000A7A5C">
        <w:t xml:space="preserve"> Pourtant annoncé dans le Rapport sur la politique en faveur des personnes handicapées (</w:t>
      </w:r>
      <w:r w:rsidRPr="00A40AF5">
        <w:t xml:space="preserve">N </w:t>
      </w:r>
      <w:r>
        <w:fldChar w:fldCharType="begin"/>
      </w:r>
      <w:r>
        <w:instrText xml:space="preserve"> NOTEREF _Ref95737744 \h </w:instrText>
      </w:r>
      <w:r>
        <w:fldChar w:fldCharType="separate"/>
      </w:r>
      <w:r>
        <w:t>3</w:t>
      </w:r>
      <w:r>
        <w:fldChar w:fldCharType="end"/>
      </w:r>
      <w:r w:rsidRPr="00A40AF5">
        <w:rPr>
          <w:lang w:val="fr-FR"/>
        </w:rPr>
        <w:t>),</w:t>
      </w:r>
      <w:r>
        <w:rPr>
          <w:lang w:val="fr-FR"/>
        </w:rPr>
        <w:t xml:space="preserve"> p. 38</w:t>
      </w:r>
      <w:r w:rsidRPr="00A40AF5">
        <w:rPr>
          <w:lang w:val="fr-FR"/>
        </w:rPr>
        <w:t>.</w:t>
      </w:r>
    </w:p>
  </w:footnote>
  <w:footnote w:id="49">
    <w:p w14:paraId="1342A3F9" w14:textId="26CDFA88" w:rsidR="00E77057" w:rsidRPr="000A7A5C" w:rsidRDefault="00E77057" w:rsidP="00D118EE">
      <w:pPr>
        <w:pStyle w:val="Fussnote"/>
      </w:pPr>
      <w:r w:rsidRPr="000A7A5C">
        <w:rPr>
          <w:rStyle w:val="FootnoteReference"/>
          <w:szCs w:val="18"/>
        </w:rPr>
        <w:footnoteRef/>
      </w:r>
      <w:r w:rsidRPr="000A7A5C">
        <w:t xml:space="preserve"> </w:t>
      </w:r>
      <w:r>
        <w:t xml:space="preserve">Cf. </w:t>
      </w:r>
      <w:hyperlink r:id="rId40" w:history="1">
        <w:r w:rsidRPr="00C6763A">
          <w:rPr>
            <w:rStyle w:val="Hyperlink"/>
            <w:smallCaps/>
          </w:rPr>
          <w:t>Geneviève Piérart</w:t>
        </w:r>
        <w:r w:rsidRPr="00C6763A">
          <w:rPr>
            <w:rStyle w:val="Hyperlink"/>
          </w:rPr>
          <w:t>, Les enfants migrants en situation de handicap et leurs familles, in: Université de Genève, Les droits de l’enfant en situations de migration en Suisse,</w:t>
        </w:r>
      </w:hyperlink>
      <w:r w:rsidRPr="00C6763A">
        <w:t xml:space="preserve"> 2017</w:t>
      </w:r>
      <w:r w:rsidRPr="000A7A5C">
        <w:t>, p. 63 ss.</w:t>
      </w:r>
    </w:p>
  </w:footnote>
  <w:footnote w:id="50">
    <w:p w14:paraId="5A1A361A" w14:textId="6F733264" w:rsidR="00E77057" w:rsidRPr="000A7A5C" w:rsidRDefault="00E77057" w:rsidP="00D118EE">
      <w:pPr>
        <w:pStyle w:val="Fussnote"/>
      </w:pPr>
      <w:r w:rsidRPr="000A7A5C">
        <w:rPr>
          <w:rStyle w:val="FootnoteReference"/>
          <w:szCs w:val="18"/>
        </w:rPr>
        <w:footnoteRef/>
      </w:r>
      <w:r w:rsidRPr="000A7A5C">
        <w:t xml:space="preserve"> </w:t>
      </w:r>
      <w:hyperlink r:id="rId41" w:history="1">
        <w:r w:rsidRPr="00C6763A">
          <w:rPr>
            <w:rStyle w:val="Hyperlink"/>
            <w:smallCaps/>
          </w:rPr>
          <w:t>Christina Weber Khan/ Sandra Hotz (SKMR)</w:t>
        </w:r>
        <w:r w:rsidRPr="00C6763A">
          <w:rPr>
            <w:rStyle w:val="Hyperlink"/>
          </w:rPr>
          <w:t>, Mise en œuvre en Suisse du droit de participation de l’enfant au sens de l’art. 12 de la Convention des Nations Unies relative aux droits de l’enfant, 2019</w:t>
        </w:r>
      </w:hyperlink>
      <w:r>
        <w:t xml:space="preserve">, p. 209 (en allemand ; </w:t>
      </w:r>
      <w:hyperlink r:id="rId42" w:history="1">
        <w:r w:rsidRPr="00EC7A89">
          <w:rPr>
            <w:rStyle w:val="Hyperlink"/>
          </w:rPr>
          <w:t>résumé en français</w:t>
        </w:r>
      </w:hyperlink>
      <w:r w:rsidRPr="00EC7A89">
        <w:t>).</w:t>
      </w:r>
    </w:p>
  </w:footnote>
  <w:footnote w:id="51">
    <w:p w14:paraId="3A9A79E8" w14:textId="1FA24883" w:rsidR="00E77057" w:rsidRPr="006D1641" w:rsidRDefault="00E77057" w:rsidP="00D118EE">
      <w:pPr>
        <w:pStyle w:val="Fussnote"/>
        <w:rPr>
          <w:lang w:val="de-CH"/>
        </w:rPr>
      </w:pPr>
      <w:r w:rsidRPr="000A7A5C">
        <w:rPr>
          <w:rStyle w:val="FootnoteReference"/>
          <w:szCs w:val="18"/>
        </w:rPr>
        <w:footnoteRef/>
      </w:r>
      <w:r w:rsidRPr="000A7A5C">
        <w:t xml:space="preserve"> P. ex. «d’autres justes motifs» (outre l’âge) pour ne pas auditionner un enfant, ou «prendre en compte son avis ‘autant que possible’». </w:t>
      </w:r>
      <w:r>
        <w:rPr>
          <w:lang w:val="de-CH"/>
        </w:rPr>
        <w:t>Témoignage de Kinderanwaltschaft Schweiz.</w:t>
      </w:r>
    </w:p>
  </w:footnote>
  <w:footnote w:id="52">
    <w:p w14:paraId="6F9FE83F" w14:textId="7463DFEE" w:rsidR="00E77057" w:rsidRPr="00552D75" w:rsidRDefault="00E77057" w:rsidP="00C2459C">
      <w:pPr>
        <w:pStyle w:val="Fussnote"/>
        <w:rPr>
          <w:szCs w:val="18"/>
          <w:lang w:val="fr-FR"/>
        </w:rPr>
      </w:pPr>
      <w:r w:rsidRPr="000A7A5C">
        <w:rPr>
          <w:rStyle w:val="FootnoteReference"/>
          <w:szCs w:val="18"/>
        </w:rPr>
        <w:footnoteRef/>
      </w:r>
      <w:r w:rsidRPr="00552D75">
        <w:rPr>
          <w:szCs w:val="18"/>
          <w:lang w:val="fr-FR"/>
        </w:rPr>
        <w:t xml:space="preserve"> Évaluation LHand (N </w:t>
      </w:r>
      <w:r w:rsidRPr="00765DBC">
        <w:rPr>
          <w:szCs w:val="18"/>
          <w:lang w:val="de-CH"/>
        </w:rPr>
        <w:fldChar w:fldCharType="begin"/>
      </w:r>
      <w:r w:rsidRPr="00552D75">
        <w:rPr>
          <w:szCs w:val="18"/>
          <w:lang w:val="fr-FR"/>
        </w:rPr>
        <w:instrText xml:space="preserve"> NOTEREF _Ref95740315 \h  \* MERGEFORMAT </w:instrText>
      </w:r>
      <w:r w:rsidRPr="00765DBC">
        <w:rPr>
          <w:szCs w:val="18"/>
          <w:lang w:val="de-CH"/>
        </w:rPr>
      </w:r>
      <w:r w:rsidRPr="00765DBC">
        <w:rPr>
          <w:szCs w:val="18"/>
          <w:lang w:val="de-CH"/>
        </w:rPr>
        <w:fldChar w:fldCharType="separate"/>
      </w:r>
      <w:r w:rsidRPr="00552D75">
        <w:rPr>
          <w:szCs w:val="18"/>
          <w:lang w:val="fr-FR"/>
        </w:rPr>
        <w:t>2</w:t>
      </w:r>
      <w:r w:rsidRPr="00765DBC">
        <w:rPr>
          <w:szCs w:val="18"/>
          <w:lang w:val="de-CH"/>
        </w:rPr>
        <w:fldChar w:fldCharType="end"/>
      </w:r>
      <w:r w:rsidRPr="00552D75">
        <w:rPr>
          <w:szCs w:val="18"/>
          <w:lang w:val="fr-FR"/>
        </w:rPr>
        <w:t>), p. 357.</w:t>
      </w:r>
    </w:p>
  </w:footnote>
  <w:footnote w:id="53">
    <w:p w14:paraId="649DAFF2" w14:textId="329915E4" w:rsidR="00E77057" w:rsidRPr="00552D75" w:rsidRDefault="00E77057" w:rsidP="00C2459C">
      <w:pPr>
        <w:pStyle w:val="Fussnote"/>
        <w:rPr>
          <w:lang w:val="fr-FR"/>
        </w:rPr>
      </w:pPr>
      <w:r w:rsidRPr="002D488E">
        <w:rPr>
          <w:rStyle w:val="FootnoteReference"/>
          <w:szCs w:val="18"/>
        </w:rPr>
        <w:footnoteRef/>
      </w:r>
      <w:r w:rsidRPr="00552D75">
        <w:rPr>
          <w:lang w:val="fr-FR"/>
        </w:rPr>
        <w:t xml:space="preserve"> Évaluation LHand </w:t>
      </w:r>
      <w:r w:rsidRPr="00552D75">
        <w:rPr>
          <w:szCs w:val="18"/>
          <w:lang w:val="fr-FR"/>
        </w:rPr>
        <w:t xml:space="preserve">(N </w:t>
      </w:r>
      <w:r w:rsidRPr="00765DBC">
        <w:rPr>
          <w:szCs w:val="18"/>
          <w:lang w:val="de-CH"/>
        </w:rPr>
        <w:fldChar w:fldCharType="begin"/>
      </w:r>
      <w:r w:rsidRPr="00552D75">
        <w:rPr>
          <w:szCs w:val="18"/>
          <w:lang w:val="fr-FR"/>
        </w:rPr>
        <w:instrText xml:space="preserve"> NOTEREF _Ref95740315 \h  \* MERGEFORMAT </w:instrText>
      </w:r>
      <w:r w:rsidRPr="00765DBC">
        <w:rPr>
          <w:szCs w:val="18"/>
          <w:lang w:val="de-CH"/>
        </w:rPr>
      </w:r>
      <w:r w:rsidRPr="00765DBC">
        <w:rPr>
          <w:szCs w:val="18"/>
          <w:lang w:val="de-CH"/>
        </w:rPr>
        <w:fldChar w:fldCharType="separate"/>
      </w:r>
      <w:r w:rsidRPr="00552D75">
        <w:rPr>
          <w:szCs w:val="18"/>
          <w:lang w:val="fr-FR"/>
        </w:rPr>
        <w:t>2</w:t>
      </w:r>
      <w:r w:rsidRPr="00765DBC">
        <w:rPr>
          <w:szCs w:val="18"/>
          <w:lang w:val="de-CH"/>
        </w:rPr>
        <w:fldChar w:fldCharType="end"/>
      </w:r>
      <w:r w:rsidRPr="00552D75">
        <w:rPr>
          <w:szCs w:val="18"/>
          <w:lang w:val="fr-FR"/>
        </w:rPr>
        <w:t>),</w:t>
      </w:r>
      <w:r w:rsidRPr="00552D75">
        <w:rPr>
          <w:lang w:val="fr-FR"/>
        </w:rPr>
        <w:t xml:space="preserve"> p. 373.</w:t>
      </w:r>
    </w:p>
  </w:footnote>
  <w:footnote w:id="54">
    <w:p w14:paraId="1073C8E2" w14:textId="5C97248C" w:rsidR="00E77057" w:rsidRPr="00D72411" w:rsidRDefault="00E77057" w:rsidP="00D118EE">
      <w:pPr>
        <w:pStyle w:val="Fussnote"/>
        <w:rPr>
          <w:lang w:val="de-CH"/>
        </w:rPr>
      </w:pPr>
      <w:r w:rsidRPr="000A7A5C">
        <w:rPr>
          <w:rStyle w:val="FootnoteReference"/>
          <w:szCs w:val="18"/>
        </w:rPr>
        <w:footnoteRef/>
      </w:r>
      <w:r>
        <w:rPr>
          <w:lang w:val="de-CH"/>
        </w:rPr>
        <w:t xml:space="preserve"> Cf. </w:t>
      </w:r>
      <w:hyperlink r:id="rId43" w:history="1">
        <w:r w:rsidRPr="00336D50">
          <w:rPr>
            <w:rStyle w:val="Hyperlink"/>
            <w:lang w:val="de-CH"/>
          </w:rPr>
          <w:t>Monitor „Gesellschaft und Behinderung“, 2016</w:t>
        </w:r>
      </w:hyperlink>
      <w:r>
        <w:rPr>
          <w:lang w:val="de-CH"/>
        </w:rPr>
        <w:t xml:space="preserve">, (en allemand; </w:t>
      </w:r>
      <w:hyperlink r:id="rId44" w:history="1">
        <w:r w:rsidRPr="00CD0601">
          <w:rPr>
            <w:rStyle w:val="Hyperlink"/>
            <w:lang w:val="de-CH"/>
          </w:rPr>
          <w:t>synthèse en français</w:t>
        </w:r>
      </w:hyperlink>
      <w:r>
        <w:rPr>
          <w:lang w:val="de-CH"/>
        </w:rPr>
        <w:t>).</w:t>
      </w:r>
    </w:p>
  </w:footnote>
  <w:footnote w:id="55">
    <w:p w14:paraId="44EE4424" w14:textId="2D61E9AD" w:rsidR="00E77057" w:rsidRPr="000A7A5C" w:rsidRDefault="00E77057" w:rsidP="00D118EE">
      <w:pPr>
        <w:pStyle w:val="Fussnote"/>
      </w:pPr>
      <w:r w:rsidRPr="000A7A5C">
        <w:rPr>
          <w:rStyle w:val="FootnoteReference"/>
          <w:szCs w:val="18"/>
        </w:rPr>
        <w:footnoteRef/>
      </w:r>
      <w:r w:rsidRPr="000A7A5C">
        <w:t xml:space="preserve"> </w:t>
      </w:r>
      <w:hyperlink r:id="rId45" w:history="1">
        <w:r w:rsidRPr="00625CB1">
          <w:rPr>
            <w:rStyle w:val="Hyperlink"/>
          </w:rPr>
          <w:t>AGILE.CH, Handicap et politique, édition 4, décembre 2021</w:t>
        </w:r>
      </w:hyperlink>
      <w:r>
        <w:t>.</w:t>
      </w:r>
    </w:p>
  </w:footnote>
  <w:footnote w:id="56">
    <w:p w14:paraId="7308E250" w14:textId="77777777" w:rsidR="00E77057" w:rsidRPr="000A7A5C" w:rsidRDefault="00E77057" w:rsidP="00D118EE">
      <w:pPr>
        <w:pStyle w:val="Fussnote"/>
      </w:pPr>
      <w:r w:rsidRPr="000A7A5C">
        <w:rPr>
          <w:rStyle w:val="FootnoteReference"/>
        </w:rPr>
        <w:footnoteRef/>
      </w:r>
      <w:r w:rsidRPr="000A7A5C">
        <w:t xml:space="preserve"> Art. 22 LHand.</w:t>
      </w:r>
    </w:p>
  </w:footnote>
  <w:footnote w:id="57">
    <w:p w14:paraId="53C75F37" w14:textId="77777777" w:rsidR="00E77057" w:rsidRPr="000A7A5C" w:rsidRDefault="00E77057" w:rsidP="00EE366E">
      <w:pPr>
        <w:pStyle w:val="Fussnote"/>
      </w:pPr>
      <w:r w:rsidRPr="000A7A5C">
        <w:rPr>
          <w:rStyle w:val="FootnoteReference"/>
        </w:rPr>
        <w:footnoteRef/>
      </w:r>
      <w:r w:rsidRPr="000A7A5C">
        <w:t xml:space="preserve"> Seuls les cantons de BS et GE garantissent le droit des PH de demander l’élimination d’une inégalité également concernant les constructions existantes, et ce indépendamment d’une rénovation. </w:t>
      </w:r>
    </w:p>
  </w:footnote>
  <w:footnote w:id="58">
    <w:p w14:paraId="6CE1EB66" w14:textId="77777777" w:rsidR="00E77057" w:rsidRPr="00E065F0" w:rsidRDefault="00E77057" w:rsidP="00D118EE">
      <w:pPr>
        <w:pStyle w:val="Fussnote"/>
      </w:pPr>
      <w:r w:rsidRPr="000A7A5C">
        <w:rPr>
          <w:rStyle w:val="FootnoteReference"/>
          <w:rFonts w:eastAsia="MS Gothic"/>
        </w:rPr>
        <w:footnoteRef/>
      </w:r>
      <w:r w:rsidRPr="00E065F0">
        <w:t xml:space="preserve"> Évaluation de la L</w:t>
      </w:r>
      <w:r w:rsidRPr="00982C48">
        <w:t>Hand</w:t>
      </w:r>
      <w:r>
        <w:t xml:space="preserve"> (N 2)</w:t>
      </w:r>
      <w:r w:rsidRPr="00982C48">
        <w:t xml:space="preserve">, </w:t>
      </w:r>
      <w:r>
        <w:t>version abrégée</w:t>
      </w:r>
      <w:r w:rsidRPr="00982C48">
        <w:t>, p. 1</w:t>
      </w:r>
      <w:r>
        <w:t>4</w:t>
      </w:r>
      <w:r w:rsidRPr="00982C48">
        <w:t xml:space="preserve"> s.</w:t>
      </w:r>
    </w:p>
  </w:footnote>
  <w:footnote w:id="59">
    <w:p w14:paraId="3210A004" w14:textId="50A3FA68" w:rsidR="00E77057" w:rsidRPr="000A7A5C" w:rsidRDefault="00E77057" w:rsidP="00D118EE">
      <w:pPr>
        <w:pStyle w:val="Fussnote"/>
      </w:pPr>
      <w:r w:rsidRPr="000A7A5C">
        <w:rPr>
          <w:rStyle w:val="FootnoteReference"/>
        </w:rPr>
        <w:footnoteRef/>
      </w:r>
      <w:r w:rsidRPr="000A7A5C">
        <w:t xml:space="preserve"> </w:t>
      </w:r>
      <w:r>
        <w:t>En Suisse, l</w:t>
      </w:r>
      <w:r w:rsidRPr="000A7A5C">
        <w:t xml:space="preserve">e nombre de logements soutenus par la Confédération (et auxquels s’applique la SIA 500), est minime (moins de 1.5%) en comparaison au </w:t>
      </w:r>
      <w:r>
        <w:t>nombre</w:t>
      </w:r>
      <w:r w:rsidRPr="000A7A5C">
        <w:t xml:space="preserve"> total de logements. Cf. à ce sujet les </w:t>
      </w:r>
      <w:hyperlink r:id="rId46" w:history="1">
        <w:r w:rsidRPr="004D5B41">
          <w:rPr>
            <w:rStyle w:val="Hyperlink"/>
          </w:rPr>
          <w:t>statistiques de l’OFL</w:t>
        </w:r>
      </w:hyperlink>
      <w:r>
        <w:t xml:space="preserve"> </w:t>
      </w:r>
      <w:r w:rsidRPr="000A7A5C">
        <w:t>(2016-2019: 201</w:t>
      </w:r>
      <w:r>
        <w:t>’</w:t>
      </w:r>
      <w:r w:rsidRPr="000A7A5C">
        <w:t>944 logements construits au total, 2</w:t>
      </w:r>
      <w:r>
        <w:t>’</w:t>
      </w:r>
      <w:r w:rsidRPr="000A7A5C">
        <w:t>932 avec le soutien de la Confédération).</w:t>
      </w:r>
    </w:p>
  </w:footnote>
  <w:footnote w:id="60">
    <w:p w14:paraId="42D78BF3" w14:textId="77777777" w:rsidR="00E77057" w:rsidRPr="000A7A5C" w:rsidRDefault="00E77057" w:rsidP="00D118EE">
      <w:pPr>
        <w:pStyle w:val="Fussnote"/>
      </w:pPr>
      <w:r w:rsidRPr="000A7A5C">
        <w:rPr>
          <w:rStyle w:val="FootnoteReference"/>
        </w:rPr>
        <w:footnoteRef/>
      </w:r>
      <w:r w:rsidRPr="000A7A5C">
        <w:t xml:space="preserve"> Art. 8 OHand.</w:t>
      </w:r>
    </w:p>
  </w:footnote>
  <w:footnote w:id="61">
    <w:p w14:paraId="112B2D91" w14:textId="114BB1BC" w:rsidR="00E77057" w:rsidRPr="000A7A5C" w:rsidRDefault="00E77057" w:rsidP="00D118EE">
      <w:pPr>
        <w:pStyle w:val="Fussnote"/>
      </w:pPr>
      <w:r w:rsidRPr="000A7A5C">
        <w:rPr>
          <w:rStyle w:val="FootnoteReference"/>
        </w:rPr>
        <w:footnoteRef/>
      </w:r>
      <w:r>
        <w:t xml:space="preserve"> En 2020, </w:t>
      </w:r>
      <w:r w:rsidRPr="000A7A5C">
        <w:t>le CDF a critiqué les retards d’application de la LHand dans le domaine du trafic ferroviaire</w:t>
      </w:r>
      <w:r>
        <w:t>, en recommandant</w:t>
      </w:r>
      <w:r w:rsidRPr="000A7A5C">
        <w:t xml:space="preserve"> à l’OFT d’accompagner plus étroitement ce processus: </w:t>
      </w:r>
      <w:hyperlink r:id="rId47" w:history="1">
        <w:r w:rsidRPr="000E7FB7">
          <w:rPr>
            <w:rStyle w:val="Hyperlink"/>
          </w:rPr>
          <w:t>CDF, Audit de la mise en œuvre des mesures d’accès au transport ferroviaire pour PH, Office fédéral des transports, 23.1.2020</w:t>
        </w:r>
      </w:hyperlink>
      <w:r>
        <w:t xml:space="preserve"> </w:t>
      </w:r>
      <w:r w:rsidRPr="000A7A5C">
        <w:t>(</w:t>
      </w:r>
      <w:hyperlink r:id="rId48" w:history="1">
        <w:r w:rsidRPr="000E7FB7">
          <w:rPr>
            <w:rStyle w:val="Hyperlink"/>
          </w:rPr>
          <w:t>résumé en français</w:t>
        </w:r>
      </w:hyperlink>
      <w:r w:rsidRPr="000A7A5C">
        <w:t>)</w:t>
      </w:r>
      <w:r>
        <w:t>.</w:t>
      </w:r>
    </w:p>
  </w:footnote>
  <w:footnote w:id="62">
    <w:p w14:paraId="407FCA39" w14:textId="1FEE3DB5" w:rsidR="00E77057" w:rsidRPr="000A7A5C" w:rsidRDefault="00E77057" w:rsidP="00D118EE">
      <w:pPr>
        <w:pStyle w:val="Fussnote"/>
      </w:pPr>
      <w:r w:rsidRPr="000A7A5C">
        <w:rPr>
          <w:rStyle w:val="FootnoteReference"/>
        </w:rPr>
        <w:footnoteRef/>
      </w:r>
      <w:r w:rsidRPr="000A7A5C">
        <w:t xml:space="preserve"> Des sondages plus récents montrent (</w:t>
      </w:r>
      <w:hyperlink r:id="rId49" w:history="1">
        <w:r w:rsidRPr="004D5B41">
          <w:rPr>
            <w:rStyle w:val="Hyperlink"/>
          </w:rPr>
          <w:t>OFT, Rapport n° 4 sur l’avancement de la mise en œuvre de la LHand dans les gares et arrêts ferroviaires, 16.12.2021</w:t>
        </w:r>
      </w:hyperlink>
      <w:r w:rsidRPr="000A7A5C">
        <w:t xml:space="preserve">, qu’en 2021 (et non pas dès 2016 lors de la remise du </w:t>
      </w:r>
      <w:r>
        <w:t>PRE</w:t>
      </w:r>
      <w:r w:rsidRPr="000A7A5C">
        <w:t xml:space="preserve"> [N 1, </w:t>
      </w:r>
      <w:r>
        <w:t>para</w:t>
      </w:r>
      <w:r w:rsidRPr="000A7A5C">
        <w:t xml:space="preserve">. 47]), seule env. la moitié des 1800 gares/arrêts </w:t>
      </w:r>
      <w:r>
        <w:t xml:space="preserve">ferroviaires </w:t>
      </w:r>
      <w:r w:rsidRPr="000A7A5C">
        <w:t>sont accessibles aux PH de façon autonome. Comme auparavant, seuls 69% des passagers peuvent profiter des gares aménagées. Il est par ailleurs frappant que le pronostic concernant le nombre d’arrêts et de gares accessibles s’est aggravé jusqu’en 2023: près de 20% de gares en moins pourront être transformées dans les délais, OFT Rapport n° 4, p. 3).</w:t>
      </w:r>
    </w:p>
  </w:footnote>
  <w:footnote w:id="63">
    <w:p w14:paraId="017DCF8B" w14:textId="215F994B" w:rsidR="00E77057" w:rsidRPr="000A7A5C" w:rsidRDefault="00E77057" w:rsidP="00D118EE">
      <w:pPr>
        <w:pStyle w:val="Fussnote"/>
      </w:pPr>
      <w:r w:rsidRPr="000A7A5C">
        <w:rPr>
          <w:rStyle w:val="FootnoteReference"/>
          <w:rFonts w:eastAsia="MS Gothic"/>
        </w:rPr>
        <w:footnoteRef/>
      </w:r>
      <w:r w:rsidRPr="000A7A5C">
        <w:t xml:space="preserve"> Pour cette raison, et faute de concept à l’échelon suisse sur l’accessibilité du réseau de bus, les organisations de PH sont régulièrement amenées à faire usage de leur droit de recours et </w:t>
      </w:r>
      <w:r>
        <w:t xml:space="preserve">à </w:t>
      </w:r>
      <w:r w:rsidRPr="000A7A5C">
        <w:t xml:space="preserve">exiger que le réseau de bus soit rendu accessible dans des cas d’espèce; comme p. ex., avec succès, </w:t>
      </w:r>
      <w:hyperlink r:id="rId50" w:history="1">
        <w:r w:rsidRPr="004D5B41">
          <w:rPr>
            <w:rStyle w:val="Hyperlink"/>
          </w:rPr>
          <w:t>fin 2020 devant le Tribunal cantonal de Fribourg</w:t>
        </w:r>
      </w:hyperlink>
      <w:r w:rsidRPr="000A7A5C">
        <w:t xml:space="preserve">. L’adaptation lacunaire des arrêts de bus suisses a </w:t>
      </w:r>
      <w:r>
        <w:t xml:space="preserve">aussi </w:t>
      </w:r>
      <w:r w:rsidRPr="000A7A5C">
        <w:t>été relaté</w:t>
      </w:r>
      <w:r>
        <w:t>e</w:t>
      </w:r>
      <w:r w:rsidRPr="000A7A5C">
        <w:t xml:space="preserve"> par la télévision suisse, cf. l’émission </w:t>
      </w:r>
      <w:hyperlink r:id="rId51" w:history="1">
        <w:r w:rsidRPr="00732974">
          <w:rPr>
            <w:rStyle w:val="Hyperlink"/>
          </w:rPr>
          <w:t>Schweiz Aktuell du 31 mars 2017</w:t>
        </w:r>
      </w:hyperlink>
      <w:r w:rsidRPr="000A7A5C">
        <w:t xml:space="preserve"> ainsi que l’émission </w:t>
      </w:r>
      <w:hyperlink r:id="rId52" w:history="1">
        <w:r w:rsidRPr="00732974">
          <w:rPr>
            <w:rStyle w:val="Hyperlink"/>
          </w:rPr>
          <w:t>10vor10 du 11 mai 2017</w:t>
        </w:r>
      </w:hyperlink>
      <w:r>
        <w:t xml:space="preserve"> </w:t>
      </w:r>
      <w:r w:rsidRPr="000A7A5C">
        <w:t>(en allemand).</w:t>
      </w:r>
    </w:p>
  </w:footnote>
  <w:footnote w:id="64">
    <w:p w14:paraId="528FAB03" w14:textId="3A53B5C2" w:rsidR="00E77057" w:rsidRPr="000A7A5C" w:rsidRDefault="00E77057" w:rsidP="00D118EE">
      <w:pPr>
        <w:pStyle w:val="Fussnote"/>
      </w:pPr>
      <w:r w:rsidRPr="000A7A5C">
        <w:rPr>
          <w:rStyle w:val="FootnoteReference"/>
        </w:rPr>
        <w:footnoteRef/>
      </w:r>
      <w:r w:rsidRPr="000A7A5C">
        <w:t xml:space="preserve"> Cf. l’étude réalisée par </w:t>
      </w:r>
      <w:r>
        <w:t>AGILE.CH</w:t>
      </w:r>
      <w:r w:rsidRPr="00732974">
        <w:t>, Handicap et politique, édition 4, novembre 2019</w:t>
      </w:r>
      <w:r>
        <w:t>.</w:t>
      </w:r>
    </w:p>
  </w:footnote>
  <w:footnote w:id="65">
    <w:p w14:paraId="6CA06FAD" w14:textId="6E3E851B" w:rsidR="00E77057" w:rsidRPr="000A7A5C" w:rsidRDefault="00E77057" w:rsidP="00D118EE">
      <w:pPr>
        <w:pStyle w:val="Fussnote"/>
      </w:pPr>
      <w:r w:rsidRPr="000A7A5C">
        <w:rPr>
          <w:rStyle w:val="FootnoteReference"/>
        </w:rPr>
        <w:footnoteRef/>
      </w:r>
      <w:r w:rsidRPr="000A7A5C">
        <w:t xml:space="preserve"> </w:t>
      </w:r>
      <w:hyperlink r:id="rId53" w:history="1">
        <w:r w:rsidRPr="00E82D31">
          <w:rPr>
            <w:rStyle w:val="Hyperlink"/>
          </w:rPr>
          <w:t>Arrêt A-359/2018 du Tribunal administratif fédéral du 20.11.2018</w:t>
        </w:r>
      </w:hyperlink>
      <w:r>
        <w:t xml:space="preserve">. </w:t>
      </w:r>
      <w:r w:rsidRPr="000A7A5C">
        <w:t>La procédure</w:t>
      </w:r>
      <w:r>
        <w:t>, qui porte</w:t>
      </w:r>
      <w:r w:rsidRPr="000A7A5C">
        <w:t xml:space="preserve"> sur 62 trains duplex construits par l’entreprise Bombardier</w:t>
      </w:r>
      <w:r>
        <w:t>, est pendante</w:t>
      </w:r>
      <w:r w:rsidRPr="000A7A5C">
        <w:t xml:space="preserve"> devant le Tribunal fédéral depuis janvier 2019</w:t>
      </w:r>
      <w:r>
        <w:t>; jugement du TF attendu en février/mars 2022</w:t>
      </w:r>
      <w:r w:rsidRPr="000A7A5C">
        <w:t xml:space="preserve">. </w:t>
      </w:r>
    </w:p>
  </w:footnote>
  <w:footnote w:id="66">
    <w:p w14:paraId="61E92021" w14:textId="77777777" w:rsidR="00E77057" w:rsidRPr="000A7A5C" w:rsidRDefault="00E77057" w:rsidP="00D118EE">
      <w:pPr>
        <w:pStyle w:val="Fussnote"/>
      </w:pPr>
      <w:r w:rsidRPr="000A7A5C">
        <w:rPr>
          <w:rStyle w:val="FootnoteReference"/>
        </w:rPr>
        <w:footnoteRef/>
      </w:r>
      <w:r w:rsidRPr="000A7A5C">
        <w:t xml:space="preserve"> Conséquence de l’accord entre l’UE et la Suisse.</w:t>
      </w:r>
    </w:p>
  </w:footnote>
  <w:footnote w:id="67">
    <w:p w14:paraId="47827B90" w14:textId="77777777" w:rsidR="00E77057" w:rsidRPr="000A7A5C" w:rsidRDefault="00E77057" w:rsidP="00D118EE">
      <w:pPr>
        <w:pStyle w:val="Fussnote"/>
      </w:pPr>
      <w:r w:rsidRPr="000A7A5C">
        <w:rPr>
          <w:rStyle w:val="FootnoteReference"/>
        </w:rPr>
        <w:footnoteRef/>
      </w:r>
      <w:r w:rsidRPr="000A7A5C">
        <w:t xml:space="preserve"> Préambule, ch. 4.</w:t>
      </w:r>
    </w:p>
  </w:footnote>
  <w:footnote w:id="68">
    <w:p w14:paraId="73CB1A87" w14:textId="5D4D6C54" w:rsidR="00E77057" w:rsidRPr="000A7A5C" w:rsidRDefault="00E77057" w:rsidP="00D118EE">
      <w:pPr>
        <w:pStyle w:val="Fussnote"/>
      </w:pPr>
      <w:r w:rsidRPr="000A7A5C">
        <w:rPr>
          <w:rStyle w:val="FootnoteReference"/>
        </w:rPr>
        <w:footnoteRef/>
      </w:r>
      <w:r w:rsidRPr="000A7A5C">
        <w:t xml:space="preserve"> Tribunal administratif fédéral dans son arrêt A-359/2018, ch. marg. 7.4.4: </w:t>
      </w:r>
      <w:r w:rsidRPr="000A7A5C">
        <w:rPr>
          <w:i/>
          <w:iCs/>
        </w:rPr>
        <w:t>[trad.]</w:t>
      </w:r>
      <w:r>
        <w:rPr>
          <w:i/>
          <w:iCs/>
        </w:rPr>
        <w:t xml:space="preserve"> </w:t>
      </w:r>
      <w:r w:rsidRPr="000A7A5C">
        <w:t>«Il est incontesté que les STI PMR n’exigent en principe, contrairement au droit suisse en matière d’égalité des PH, pas d’accès autonome (sans l’aide de tiers) pour les personnes à mobilité réduite au moyen d’une entrée de plain-pied.»</w:t>
      </w:r>
    </w:p>
  </w:footnote>
  <w:footnote w:id="69">
    <w:p w14:paraId="51C5975E" w14:textId="77777777" w:rsidR="00E77057" w:rsidRPr="008C5B2B" w:rsidRDefault="00E77057" w:rsidP="00D118EE">
      <w:pPr>
        <w:pStyle w:val="Fussnote"/>
        <w:rPr>
          <w:lang w:val="en-US"/>
        </w:rPr>
      </w:pPr>
      <w:r w:rsidRPr="000A7A5C">
        <w:rPr>
          <w:rStyle w:val="FootnoteReference"/>
        </w:rPr>
        <w:footnoteRef/>
      </w:r>
      <w:r w:rsidRPr="008C5B2B">
        <w:rPr>
          <w:lang w:val="en-US"/>
        </w:rPr>
        <w:t xml:space="preserve"> STI-PMR, ch. 4.2.2.8, tableau 6.</w:t>
      </w:r>
    </w:p>
  </w:footnote>
  <w:footnote w:id="70">
    <w:p w14:paraId="244CC166" w14:textId="77777777" w:rsidR="00E77057" w:rsidRPr="008C5B2B" w:rsidRDefault="00E77057" w:rsidP="00D118EE">
      <w:pPr>
        <w:pStyle w:val="Fussnote"/>
        <w:rPr>
          <w:lang w:val="en-US"/>
        </w:rPr>
      </w:pPr>
      <w:r w:rsidRPr="000A7A5C">
        <w:rPr>
          <w:rStyle w:val="FootnoteReference"/>
        </w:rPr>
        <w:footnoteRef/>
      </w:r>
      <w:r w:rsidRPr="008C5B2B">
        <w:rPr>
          <w:lang w:val="en-US"/>
        </w:rPr>
        <w:t xml:space="preserve"> STI-PMR, ch. 4.2.2.11.</w:t>
      </w:r>
    </w:p>
  </w:footnote>
  <w:footnote w:id="71">
    <w:p w14:paraId="2FA42E23" w14:textId="77777777" w:rsidR="00E77057" w:rsidRPr="000A7A5C" w:rsidRDefault="00E77057" w:rsidP="00D118EE">
      <w:pPr>
        <w:pStyle w:val="Fussnote"/>
      </w:pPr>
      <w:r w:rsidRPr="000A7A5C">
        <w:rPr>
          <w:rStyle w:val="FootnoteReference"/>
        </w:rPr>
        <w:footnoteRef/>
      </w:r>
      <w:r w:rsidRPr="000A7A5C">
        <w:t xml:space="preserve"> C’est l’Agence ferroviaire européenne (AFE) qui est chargée de délivrer les autorisations du matériel roulant destiné au trafic transfrontalier.</w:t>
      </w:r>
    </w:p>
  </w:footnote>
  <w:footnote w:id="72">
    <w:p w14:paraId="488AC483" w14:textId="7497E129" w:rsidR="00E77057" w:rsidRPr="000A7A5C" w:rsidRDefault="00E77057" w:rsidP="00D118EE">
      <w:pPr>
        <w:pStyle w:val="Fussnote"/>
      </w:pPr>
      <w:r w:rsidRPr="000A7A5C">
        <w:rPr>
          <w:rStyle w:val="FootnoteReference"/>
        </w:rPr>
        <w:footnoteRef/>
      </w:r>
      <w:r w:rsidRPr="00B644F9">
        <w:rPr>
          <w:lang w:val="fr-FR"/>
        </w:rPr>
        <w:t xml:space="preserve"> </w:t>
      </w:r>
      <w:hyperlink r:id="rId54" w:history="1">
        <w:r w:rsidRPr="00B644F9">
          <w:rPr>
            <w:rStyle w:val="Hyperlink"/>
            <w:lang w:val="fr-FR"/>
          </w:rPr>
          <w:t>Communiqué du CF du 17.12.2021</w:t>
        </w:r>
      </w:hyperlink>
      <w:r w:rsidRPr="00B644F9">
        <w:rPr>
          <w:lang w:val="fr-FR"/>
        </w:rPr>
        <w:t xml:space="preserve">. </w:t>
      </w:r>
    </w:p>
  </w:footnote>
  <w:footnote w:id="73">
    <w:p w14:paraId="34BECE70" w14:textId="1E02B48C" w:rsidR="00E77057" w:rsidRPr="000A7A5C" w:rsidRDefault="00E77057" w:rsidP="00D118EE">
      <w:pPr>
        <w:pStyle w:val="Fussnote"/>
      </w:pPr>
      <w:r w:rsidRPr="000A7A5C">
        <w:rPr>
          <w:rStyle w:val="FootnoteReference"/>
        </w:rPr>
        <w:footnoteRef/>
      </w:r>
      <w:r w:rsidRPr="000A7A5C">
        <w:t xml:space="preserve"> Art. 6 en l</w:t>
      </w:r>
      <w:r>
        <w:t>ien</w:t>
      </w:r>
      <w:r w:rsidRPr="000A7A5C">
        <w:t xml:space="preserve"> avec l’art. 8 al. 3 LHand. Au sujet de la notion de discrimination au sens de l’art. 6 LHand, cf. ci-dessus, p. </w:t>
      </w:r>
      <w:r w:rsidRPr="000A7A5C">
        <w:fldChar w:fldCharType="begin"/>
      </w:r>
      <w:r w:rsidRPr="000A7A5C">
        <w:instrText xml:space="preserve"> PAGEREF _Ref15829389 </w:instrText>
      </w:r>
      <w:r w:rsidRPr="000A7A5C">
        <w:fldChar w:fldCharType="separate"/>
      </w:r>
      <w:r>
        <w:rPr>
          <w:noProof/>
        </w:rPr>
        <w:t>11</w:t>
      </w:r>
      <w:r w:rsidRPr="000A7A5C">
        <w:fldChar w:fldCharType="end"/>
      </w:r>
      <w:r>
        <w:t xml:space="preserve"> </w:t>
      </w:r>
      <w:r w:rsidRPr="000A7A5C">
        <w:t>s. concernant l’art. 5 CDPH.</w:t>
      </w:r>
    </w:p>
  </w:footnote>
  <w:footnote w:id="74">
    <w:p w14:paraId="170266C5" w14:textId="0577BB22" w:rsidR="00E77057" w:rsidRPr="000A7A5C" w:rsidRDefault="00E77057" w:rsidP="00D118EE">
      <w:pPr>
        <w:pStyle w:val="Fussnote"/>
      </w:pPr>
      <w:r w:rsidRPr="000A7A5C">
        <w:rPr>
          <w:rStyle w:val="FootnoteReference"/>
        </w:rPr>
        <w:footnoteRef/>
      </w:r>
      <w:r w:rsidRPr="000A7A5C">
        <w:t xml:space="preserve"> Selon une </w:t>
      </w:r>
      <w:hyperlink r:id="rId55" w:history="1">
        <w:r w:rsidRPr="00732974">
          <w:rPr>
            <w:rStyle w:val="Hyperlink"/>
          </w:rPr>
          <w:t>étude</w:t>
        </w:r>
      </w:hyperlink>
      <w:r w:rsidRPr="000A7A5C">
        <w:t xml:space="preserve"> (en allemand)</w:t>
      </w:r>
      <w:r>
        <w:t xml:space="preserve"> </w:t>
      </w:r>
      <w:r w:rsidRPr="000A7A5C">
        <w:t xml:space="preserve">réalisée en 2020 par la </w:t>
      </w:r>
      <w:r>
        <w:t>F</w:t>
      </w:r>
      <w:r w:rsidRPr="000A7A5C">
        <w:t xml:space="preserve">ondation privée «Accès pour tous» portant sur 41 boutiques en ligne de particuliers et entreprises liées à l’État, 21 boutiques en ligne ne sont qu’en partie ou pas du tout accessibles. Il s’agit d’une violation multiple et grave des règles de </w:t>
      </w:r>
      <w:r>
        <w:t>base en matière d’accessibilité</w:t>
      </w:r>
      <w:r w:rsidRPr="000A7A5C">
        <w:t xml:space="preserve">. </w:t>
      </w:r>
    </w:p>
  </w:footnote>
  <w:footnote w:id="75">
    <w:p w14:paraId="522D635D" w14:textId="5D52BA27" w:rsidR="00E77057" w:rsidRPr="000A7A5C" w:rsidRDefault="00E77057" w:rsidP="00D118EE">
      <w:pPr>
        <w:pStyle w:val="Fussnote"/>
      </w:pPr>
      <w:r w:rsidRPr="000A7A5C">
        <w:rPr>
          <w:rStyle w:val="FootnoteReference"/>
        </w:rPr>
        <w:footnoteRef/>
      </w:r>
      <w:r w:rsidRPr="000A7A5C">
        <w:t xml:space="preserve"> Le C</w:t>
      </w:r>
      <w:r>
        <w:t>F</w:t>
      </w:r>
      <w:r w:rsidRPr="000A7A5C">
        <w:t xml:space="preserve"> a récemment confirmé cette obligation légale manquante, </w:t>
      </w:r>
      <w:hyperlink r:id="rId56" w:history="1">
        <w:r w:rsidRPr="00732974">
          <w:rPr>
            <w:rStyle w:val="Hyperlink"/>
          </w:rPr>
          <w:t>Rapport du CF du 24.9.2021, postulat visant à reconnaître la langue des signes,</w:t>
        </w:r>
      </w:hyperlink>
      <w:r w:rsidRPr="000A7A5C">
        <w:t xml:space="preserve"> p. 32</w:t>
      </w:r>
      <w:r>
        <w:t xml:space="preserve"> s</w:t>
      </w:r>
      <w:r w:rsidRPr="000A7A5C">
        <w:t>. Les moyens mis à disposition par l’OFAS pour des interventions d’interprètes ne suffisent pas à compenser le manque d’obligation légale.</w:t>
      </w:r>
    </w:p>
  </w:footnote>
  <w:footnote w:id="76">
    <w:p w14:paraId="63740853" w14:textId="149345C3" w:rsidR="00E77057" w:rsidRPr="000A7A5C" w:rsidRDefault="00E77057" w:rsidP="00A40724">
      <w:pPr>
        <w:pStyle w:val="Fussnote"/>
      </w:pPr>
      <w:r w:rsidRPr="000A7A5C">
        <w:rPr>
          <w:rStyle w:val="FootnoteReference"/>
        </w:rPr>
        <w:footnoteRef/>
      </w:r>
      <w:r w:rsidRPr="000A7A5C">
        <w:t xml:space="preserve"> </w:t>
      </w:r>
      <w:hyperlink r:id="rId57" w:history="1">
        <w:r w:rsidRPr="00595E57">
          <w:rPr>
            <w:rStyle w:val="Hyperlink"/>
          </w:rPr>
          <w:t>ASSM Directives Décisions de Réanimation 2021</w:t>
        </w:r>
      </w:hyperlink>
      <w:r>
        <w:t>.</w:t>
      </w:r>
    </w:p>
  </w:footnote>
  <w:footnote w:id="77">
    <w:p w14:paraId="75703A61" w14:textId="576A084F" w:rsidR="00E77057" w:rsidRPr="000A7A5C" w:rsidRDefault="00E77057" w:rsidP="00A40724">
      <w:pPr>
        <w:pStyle w:val="Fussnote"/>
      </w:pPr>
      <w:r w:rsidRPr="000A7A5C">
        <w:rPr>
          <w:rStyle w:val="FootnoteReference"/>
        </w:rPr>
        <w:footnoteRef/>
      </w:r>
      <w:r w:rsidRPr="00316841">
        <w:rPr>
          <w:lang w:val="it-IT"/>
        </w:rPr>
        <w:t xml:space="preserve"> </w:t>
      </w:r>
      <w:hyperlink r:id="rId58" w:history="1">
        <w:r w:rsidRPr="00316841">
          <w:rPr>
            <w:rStyle w:val="Hyperlink"/>
            <w:lang w:val="it-IT"/>
          </w:rPr>
          <w:t>Cerebral Performance Categories Scale, CPC Scale</w:t>
        </w:r>
      </w:hyperlink>
      <w:r w:rsidRPr="00316841">
        <w:rPr>
          <w:lang w:val="it-IT"/>
        </w:rPr>
        <w:t xml:space="preserve">. </w:t>
      </w:r>
      <w:r w:rsidRPr="008C5B2B">
        <w:rPr>
          <w:lang w:val="en-US"/>
        </w:rPr>
        <w:t xml:space="preserve">CPC 3 décrit le groupe de personnes suivant: «Severe cerebral disability: conscious, dependent on others for daily support because of impaired brain function. </w:t>
      </w:r>
      <w:r w:rsidRPr="000A7A5C">
        <w:t>Ranges from ambulatory state to severe dementia or paralysis.»</w:t>
      </w:r>
    </w:p>
  </w:footnote>
  <w:footnote w:id="78">
    <w:p w14:paraId="6D7CA075" w14:textId="6B9A369E" w:rsidR="00E77057" w:rsidRPr="000A7A5C" w:rsidRDefault="00E77057" w:rsidP="00A40724">
      <w:pPr>
        <w:pStyle w:val="Fussnote"/>
      </w:pPr>
      <w:r w:rsidRPr="000A7A5C">
        <w:rPr>
          <w:rStyle w:val="FootnoteReference"/>
        </w:rPr>
        <w:footnoteRef/>
      </w:r>
      <w:r w:rsidRPr="000A7A5C">
        <w:t xml:space="preserve"> Cf. </w:t>
      </w:r>
      <w:r>
        <w:t>à propos d’un</w:t>
      </w:r>
      <w:r w:rsidRPr="000A7A5C">
        <w:t xml:space="preserve"> cas à la prison préventive Waaghof à BS: </w:t>
      </w:r>
      <w:hyperlink r:id="rId59" w:history="1">
        <w:r w:rsidRPr="00595E57">
          <w:rPr>
            <w:rStyle w:val="Hyperlink"/>
          </w:rPr>
          <w:t>bzbasel, 21.8.21</w:t>
        </w:r>
      </w:hyperlink>
      <w:r>
        <w:t xml:space="preserve"> </w:t>
      </w:r>
      <w:r w:rsidRPr="000A7A5C">
        <w:t xml:space="preserve">ainsi que </w:t>
      </w:r>
      <w:hyperlink r:id="rId60" w:history="1">
        <w:r w:rsidRPr="00595E57">
          <w:rPr>
            <w:rStyle w:val="Hyperlink"/>
          </w:rPr>
          <w:t>SRF Schweiz aktuell, 24.8.2021</w:t>
        </w:r>
      </w:hyperlink>
      <w:r w:rsidRPr="000A7A5C">
        <w:t xml:space="preserve">, </w:t>
      </w:r>
      <w:r>
        <w:t>(les deux en allemand)</w:t>
      </w:r>
      <w:r w:rsidRPr="000A7A5C">
        <w:t>. Dans ce</w:t>
      </w:r>
      <w:r>
        <w:t>s</w:t>
      </w:r>
      <w:r w:rsidRPr="000A7A5C">
        <w:t xml:space="preserve"> cas, il était particulièrement choquant que le concept de sécurité de l’établissement ait lui-même qualifié de «très faible»</w:t>
      </w:r>
      <w:r>
        <w:t xml:space="preserve"> </w:t>
      </w:r>
      <w:r w:rsidRPr="000A7A5C">
        <w:t xml:space="preserve">la probabilité d’un suicide, tout en soulignant que des cas d’urgence seraient souvent simulés. </w:t>
      </w:r>
    </w:p>
  </w:footnote>
  <w:footnote w:id="79">
    <w:p w14:paraId="6124A735" w14:textId="43D3EF7E" w:rsidR="00E77057" w:rsidRPr="000A7A5C" w:rsidRDefault="00E77057" w:rsidP="00A40724">
      <w:pPr>
        <w:pStyle w:val="Fussnote"/>
      </w:pPr>
      <w:r w:rsidRPr="000A7A5C">
        <w:rPr>
          <w:rStyle w:val="FootnoteReference"/>
        </w:rPr>
        <w:footnoteRef/>
      </w:r>
      <w:r w:rsidRPr="000A7A5C">
        <w:t xml:space="preserve"> La CNPT co</w:t>
      </w:r>
      <w:r>
        <w:t>nstate régulièrement, également</w:t>
      </w:r>
      <w:r w:rsidRPr="000A7A5C">
        <w:t xml:space="preserve"> par référence à la pratique de la CrEDH, qu’il convient de transférer une personne présentant un risque suicidaire dans une institution psychiatrique adéquate; qu’un éventuel placement en cellule de sécurité dev</w:t>
      </w:r>
      <w:r>
        <w:t>r</w:t>
      </w:r>
      <w:r w:rsidRPr="000A7A5C">
        <w:t>ait être aussi bref que possible et faire l’objet d’une étroite surveillance médicale. À l’occasion p. ex. de sa visite du Waaghof du 18</w:t>
      </w:r>
      <w:r>
        <w:t>.9.</w:t>
      </w:r>
      <w:r w:rsidRPr="000A7A5C">
        <w:t xml:space="preserve">2020, </w:t>
      </w:r>
      <w:hyperlink r:id="rId61" w:history="1">
        <w:r w:rsidRPr="00595E57">
          <w:rPr>
            <w:rStyle w:val="Hyperlink"/>
          </w:rPr>
          <w:t>CNPT, lettre de compte rendu du 21.12.2020</w:t>
        </w:r>
      </w:hyperlink>
      <w:r>
        <w:t xml:space="preserve"> (en allemand)</w:t>
      </w:r>
      <w:r w:rsidRPr="000A7A5C">
        <w:t xml:space="preserve">, ou encore de l’établissement pénitentiaire Hindelbank/BE du 31 janvier 2020, </w:t>
      </w:r>
      <w:hyperlink r:id="rId62" w:history="1">
        <w:r w:rsidRPr="00595E57">
          <w:rPr>
            <w:rStyle w:val="Hyperlink"/>
          </w:rPr>
          <w:t>CNPT, lettre de compte rendu du 8.5.2020</w:t>
        </w:r>
      </w:hyperlink>
      <w:r>
        <w:t xml:space="preserve"> (en allemand)</w:t>
      </w:r>
      <w:r w:rsidRPr="000A7A5C">
        <w:t xml:space="preserve">. </w:t>
      </w:r>
      <w:r w:rsidRPr="00B10AB1">
        <w:t>Sur la manière d’aborder les détenu</w:t>
      </w:r>
      <w:r>
        <w:t>-e-</w:t>
      </w:r>
      <w:r w:rsidRPr="00B10AB1">
        <w:t>s ayant des handicaps psychiques</w:t>
      </w:r>
      <w:r>
        <w:t xml:space="preserve">, cf. les </w:t>
      </w:r>
      <w:hyperlink r:id="rId63" w:history="1">
        <w:r w:rsidRPr="00765DBC">
          <w:rPr>
            <w:rStyle w:val="Hyperlink"/>
          </w:rPr>
          <w:t>Observations finales du CAT à l’intention de la Suisse 2015</w:t>
        </w:r>
      </w:hyperlink>
      <w:r>
        <w:t>.</w:t>
      </w:r>
    </w:p>
  </w:footnote>
  <w:footnote w:id="80">
    <w:p w14:paraId="02B32BBC" w14:textId="349787DF" w:rsidR="00E77057" w:rsidRPr="000A7A5C" w:rsidRDefault="00E77057" w:rsidP="00A40724">
      <w:pPr>
        <w:pStyle w:val="Fussnote"/>
        <w:rPr>
          <w:szCs w:val="18"/>
        </w:rPr>
      </w:pPr>
      <w:r w:rsidRPr="000A7A5C">
        <w:rPr>
          <w:rStyle w:val="FootnoteReference"/>
          <w:szCs w:val="18"/>
        </w:rPr>
        <w:footnoteRef/>
      </w:r>
      <w:r w:rsidRPr="000A7A5C">
        <w:rPr>
          <w:szCs w:val="18"/>
        </w:rPr>
        <w:t xml:space="preserve"> </w:t>
      </w:r>
      <w:hyperlink r:id="rId64" w:history="1">
        <w:r w:rsidRPr="00595E57">
          <w:rPr>
            <w:rStyle w:val="Hyperlink"/>
            <w:szCs w:val="18"/>
          </w:rPr>
          <w:t>La motion Riniker du 30.9.2021</w:t>
        </w:r>
      </w:hyperlink>
      <w:r>
        <w:rPr>
          <w:szCs w:val="18"/>
        </w:rPr>
        <w:t xml:space="preserve"> </w:t>
      </w:r>
      <w:r w:rsidRPr="000A7A5C">
        <w:rPr>
          <w:szCs w:val="18"/>
        </w:rPr>
        <w:t>demande la création d’une base légale correspondante.</w:t>
      </w:r>
    </w:p>
  </w:footnote>
  <w:footnote w:id="81">
    <w:p w14:paraId="2EA18571" w14:textId="77777777" w:rsidR="00E77057" w:rsidRPr="000A7A5C" w:rsidRDefault="00E77057" w:rsidP="00A40724">
      <w:pPr>
        <w:pStyle w:val="Fussnote"/>
      </w:pPr>
      <w:r w:rsidRPr="000A7A5C">
        <w:rPr>
          <w:rStyle w:val="FootnoteReference"/>
          <w:szCs w:val="18"/>
        </w:rPr>
        <w:footnoteRef/>
      </w:r>
      <w:r w:rsidRPr="000A7A5C">
        <w:t xml:space="preserve"> Norme SN EN 17210. </w:t>
      </w:r>
    </w:p>
  </w:footnote>
  <w:footnote w:id="82">
    <w:p w14:paraId="05891819" w14:textId="34443A59" w:rsidR="00E77057" w:rsidRPr="000A7A5C" w:rsidRDefault="00E77057" w:rsidP="00A40724">
      <w:pPr>
        <w:pStyle w:val="Fussnote"/>
      </w:pPr>
      <w:r w:rsidRPr="000A7A5C">
        <w:rPr>
          <w:rStyle w:val="FootnoteReference"/>
          <w:szCs w:val="18"/>
        </w:rPr>
        <w:footnoteRef/>
      </w:r>
      <w:r w:rsidRPr="000A7A5C">
        <w:t xml:space="preserve"> Selon </w:t>
      </w:r>
      <w:hyperlink r:id="rId65" w:history="1">
        <w:r w:rsidRPr="006958EB">
          <w:rPr>
            <w:rStyle w:val="Hyperlink"/>
          </w:rPr>
          <w:t>l’OFPP, Revue „Protection de la population“, n° 25 / juillet 2016</w:t>
        </w:r>
      </w:hyperlink>
      <w:r w:rsidRPr="000A7A5C">
        <w:t>, p. 9.</w:t>
      </w:r>
    </w:p>
  </w:footnote>
  <w:footnote w:id="83">
    <w:p w14:paraId="776E2B9B" w14:textId="387F34FC" w:rsidR="00E77057" w:rsidRPr="000A7A5C" w:rsidRDefault="00E77057" w:rsidP="00A40724">
      <w:pPr>
        <w:pStyle w:val="Fussnote"/>
      </w:pPr>
      <w:r w:rsidRPr="000A7A5C">
        <w:rPr>
          <w:rStyle w:val="FootnoteReference"/>
          <w:szCs w:val="18"/>
        </w:rPr>
        <w:footnoteRef/>
      </w:r>
      <w:r w:rsidRPr="000A7A5C">
        <w:t xml:space="preserve"> Cf. </w:t>
      </w:r>
      <w:r>
        <w:t xml:space="preserve">p. ex. </w:t>
      </w:r>
      <w:hyperlink r:id="rId66" w:history="1">
        <w:r w:rsidRPr="006958EB">
          <w:rPr>
            <w:rStyle w:val="Hyperlink"/>
          </w:rPr>
          <w:t>la motion Grüter du 3.3.2021</w:t>
        </w:r>
      </w:hyperlink>
      <w:r>
        <w:t xml:space="preserve"> adoptée en déc. 2021.</w:t>
      </w:r>
      <w:r w:rsidRPr="000A7A5C">
        <w:t xml:space="preserve"> </w:t>
      </w:r>
    </w:p>
  </w:footnote>
  <w:footnote w:id="84">
    <w:p w14:paraId="790B57C8" w14:textId="0EE2709B" w:rsidR="00E77057" w:rsidRPr="00CC2A62" w:rsidRDefault="00E77057" w:rsidP="00A40724">
      <w:pPr>
        <w:pStyle w:val="Fussnote"/>
      </w:pPr>
      <w:r w:rsidRPr="000A7A5C">
        <w:rPr>
          <w:rStyle w:val="FootnoteReference"/>
          <w:szCs w:val="18"/>
        </w:rPr>
        <w:footnoteRef/>
      </w:r>
      <w:r w:rsidRPr="00CC2A62">
        <w:t xml:space="preserve"> Cf. parmi de nombreux autres </w:t>
      </w:r>
      <w:hyperlink r:id="rId67" w:history="1">
        <w:r w:rsidRPr="006958EB">
          <w:rPr>
            <w:rStyle w:val="Hyperlink"/>
          </w:rPr>
          <w:t>I</w:t>
        </w:r>
        <w:r w:rsidRPr="006958EB">
          <w:rPr>
            <w:rStyle w:val="Hyperlink"/>
            <w:smallCaps/>
          </w:rPr>
          <w:t>nterface</w:t>
        </w:r>
        <w:r w:rsidRPr="006958EB">
          <w:rPr>
            <w:rStyle w:val="Hyperlink"/>
          </w:rPr>
          <w:t>, Santé mentale des requérants d’asile traumatisés: état des lieux et recommandations, rapport à l’intention de l’OFSP, 2017</w:t>
        </w:r>
      </w:hyperlink>
      <w:r>
        <w:t>,</w:t>
      </w:r>
      <w:r w:rsidRPr="00CC2A62">
        <w:t xml:space="preserve"> p. 13 s.;</w:t>
      </w:r>
      <w:r w:rsidRPr="006958EB">
        <w:t xml:space="preserve"> </w:t>
      </w:r>
      <w:hyperlink r:id="rId68" w:history="1">
        <w:r w:rsidRPr="00CB19F9">
          <w:rPr>
            <w:rStyle w:val="Hyperlink"/>
            <w:szCs w:val="18"/>
          </w:rPr>
          <w:t>RTS News, Encadrement médical lacunaire pour les requérants d’asile de Perreux (NE), 9.12.2018</w:t>
        </w:r>
      </w:hyperlink>
      <w:r w:rsidRPr="00CB19F9">
        <w:t xml:space="preserve">; </w:t>
      </w:r>
      <w:hyperlink r:id="rId69" w:history="1">
        <w:r w:rsidRPr="00CB19F9">
          <w:rPr>
            <w:rStyle w:val="Hyperlink"/>
            <w:szCs w:val="18"/>
          </w:rPr>
          <w:t>3 Rosen gegen Grenzen, Gesundheit im Bundesasyllager Basel, März 2021</w:t>
        </w:r>
      </w:hyperlink>
      <w:r w:rsidRPr="00445008">
        <w:t>(en allemand);</w:t>
      </w:r>
      <w:r>
        <w:t xml:space="preserve"> </w:t>
      </w:r>
      <w:hyperlink r:id="rId70" w:history="1">
        <w:r w:rsidRPr="006958EB">
          <w:rPr>
            <w:rStyle w:val="Hyperlink"/>
          </w:rPr>
          <w:t>humanrights.ch, Les violations des droits humains dans les centres fédéraux d’asile pas suffisamment</w:t>
        </w:r>
      </w:hyperlink>
      <w:r>
        <w:rPr>
          <w:rStyle w:val="Hyperlink"/>
        </w:rPr>
        <w:t xml:space="preserve"> éclaircies</w:t>
      </w:r>
      <w:r w:rsidRPr="00CC2A62">
        <w:t xml:space="preserve">; </w:t>
      </w:r>
      <w:hyperlink r:id="rId71" w:history="1">
        <w:r w:rsidRPr="006958EB">
          <w:rPr>
            <w:rStyle w:val="Hyperlink"/>
            <w:smallCaps/>
          </w:rPr>
          <w:t>Die Wochenzeitung, 27.2.2020</w:t>
        </w:r>
        <w:r w:rsidRPr="006958EB">
          <w:rPr>
            <w:rStyle w:val="Hyperlink"/>
          </w:rPr>
          <w:t>, Alles so schön günstig hier</w:t>
        </w:r>
      </w:hyperlink>
      <w:r>
        <w:t xml:space="preserve"> </w:t>
      </w:r>
      <w:hyperlink r:id="rId72" w:history="1">
        <w:r w:rsidRPr="00445008">
          <w:rPr>
            <w:rStyle w:val="Hyperlink"/>
            <w:szCs w:val="18"/>
            <w:u w:val="none"/>
          </w:rPr>
          <w:t>(en</w:t>
        </w:r>
      </w:hyperlink>
      <w:r w:rsidRPr="00CC2A62">
        <w:t xml:space="preserve"> allemand)</w:t>
      </w:r>
      <w:r>
        <w:t>.</w:t>
      </w:r>
      <w:r w:rsidRPr="00CC2A62">
        <w:t xml:space="preserve"> </w:t>
      </w:r>
    </w:p>
  </w:footnote>
  <w:footnote w:id="85">
    <w:p w14:paraId="43337C08" w14:textId="3D897ACD" w:rsidR="00E77057" w:rsidRPr="003E28FE" w:rsidRDefault="00E77057" w:rsidP="00A40724">
      <w:pPr>
        <w:pStyle w:val="Fussnote"/>
      </w:pPr>
      <w:r w:rsidRPr="000A7A5C">
        <w:rPr>
          <w:rStyle w:val="FootnoteReference"/>
          <w:szCs w:val="18"/>
        </w:rPr>
        <w:footnoteRef/>
      </w:r>
      <w:r w:rsidRPr="000D6116">
        <w:t xml:space="preserve"> </w:t>
      </w:r>
      <w:hyperlink r:id="rId73" w:history="1">
        <w:r w:rsidRPr="006958EB">
          <w:rPr>
            <w:rStyle w:val="Hyperlink"/>
          </w:rPr>
          <w:t>CNPT, Rapport de la commission nationale de la prévention de la torture sur ses visites dans les centres fédéraux pour requérants d’asile (2019–2020</w:t>
        </w:r>
      </w:hyperlink>
      <w:r w:rsidRPr="000D6116">
        <w:t xml:space="preserve">), p. </w:t>
      </w:r>
      <w:r>
        <w:t>5</w:t>
      </w:r>
      <w:r w:rsidRPr="000D6116">
        <w:t xml:space="preserve">. </w:t>
      </w:r>
    </w:p>
  </w:footnote>
  <w:footnote w:id="86">
    <w:p w14:paraId="292A19CC" w14:textId="77CB6DA7" w:rsidR="00E77057" w:rsidRPr="00D72411" w:rsidRDefault="00E77057" w:rsidP="00A40724">
      <w:pPr>
        <w:pStyle w:val="Fussnote"/>
        <w:rPr>
          <w:lang w:val="de-CH"/>
        </w:rPr>
      </w:pPr>
      <w:r w:rsidRPr="000A7A5C">
        <w:rPr>
          <w:rStyle w:val="FootnoteReference"/>
          <w:szCs w:val="18"/>
        </w:rPr>
        <w:footnoteRef/>
      </w:r>
      <w:r w:rsidRPr="00D72411">
        <w:rPr>
          <w:lang w:val="de-CH"/>
        </w:rPr>
        <w:t xml:space="preserve"> </w:t>
      </w:r>
      <w:r w:rsidRPr="00D72411">
        <w:rPr>
          <w:smallCaps/>
          <w:lang w:val="de-CH"/>
        </w:rPr>
        <w:t>Interface</w:t>
      </w:r>
      <w:r w:rsidRPr="00D72411">
        <w:rPr>
          <w:lang w:val="de-CH"/>
        </w:rPr>
        <w:t xml:space="preserve"> (N </w:t>
      </w:r>
      <w:r>
        <w:rPr>
          <w:highlight w:val="green"/>
        </w:rPr>
        <w:fldChar w:fldCharType="begin"/>
      </w:r>
      <w:r>
        <w:rPr>
          <w:lang w:val="de-CH"/>
        </w:rPr>
        <w:instrText xml:space="preserve"> NOTEREF _Ref95897716 \h </w:instrText>
      </w:r>
      <w:r>
        <w:rPr>
          <w:highlight w:val="green"/>
        </w:rPr>
      </w:r>
      <w:r>
        <w:rPr>
          <w:highlight w:val="green"/>
        </w:rPr>
        <w:fldChar w:fldCharType="separate"/>
      </w:r>
      <w:r>
        <w:rPr>
          <w:lang w:val="de-CH"/>
        </w:rPr>
        <w:t>84</w:t>
      </w:r>
      <w:r>
        <w:rPr>
          <w:highlight w:val="green"/>
        </w:rPr>
        <w:fldChar w:fldCharType="end"/>
      </w:r>
      <w:r w:rsidRPr="00D72411">
        <w:rPr>
          <w:lang w:val="de-CH"/>
        </w:rPr>
        <w:t xml:space="preserve">), p. 19 ss.; </w:t>
      </w:r>
      <w:hyperlink r:id="rId74" w:history="1">
        <w:r w:rsidRPr="0051751A">
          <w:rPr>
            <w:rStyle w:val="Hyperlink"/>
            <w:smallCaps/>
            <w:lang w:val="de-CH"/>
          </w:rPr>
          <w:t xml:space="preserve">Die Wochenzeitung, 22.8.2019, </w:t>
        </w:r>
        <w:r w:rsidRPr="0051751A">
          <w:rPr>
            <w:rStyle w:val="Hyperlink"/>
            <w:lang w:val="de-CH"/>
          </w:rPr>
          <w:t>Keine Hilfe für Familie Tahmazov</w:t>
        </w:r>
      </w:hyperlink>
      <w:r w:rsidRPr="00D72411">
        <w:rPr>
          <w:lang w:val="de-CH"/>
        </w:rPr>
        <w:t xml:space="preserve"> </w:t>
      </w:r>
      <w:r>
        <w:rPr>
          <w:lang w:val="de-CH"/>
        </w:rPr>
        <w:t xml:space="preserve">(en </w:t>
      </w:r>
      <w:r w:rsidRPr="00316841">
        <w:rPr>
          <w:lang w:val="de-CH"/>
        </w:rPr>
        <w:t>allemand</w:t>
      </w:r>
      <w:r>
        <w:rPr>
          <w:lang w:val="de-CH"/>
        </w:rPr>
        <w:t>).</w:t>
      </w:r>
    </w:p>
  </w:footnote>
  <w:footnote w:id="87">
    <w:p w14:paraId="4F2C673F" w14:textId="2B53BF85" w:rsidR="00E77057" w:rsidRPr="000A7A5C" w:rsidRDefault="00E77057" w:rsidP="00A40724">
      <w:pPr>
        <w:pStyle w:val="Fussnote"/>
      </w:pPr>
      <w:r w:rsidRPr="000A7A5C">
        <w:rPr>
          <w:rStyle w:val="FootnoteReference"/>
          <w:szCs w:val="18"/>
        </w:rPr>
        <w:footnoteRef/>
      </w:r>
      <w:r w:rsidRPr="00D72411">
        <w:rPr>
          <w:lang w:val="de-CH"/>
        </w:rPr>
        <w:t xml:space="preserve"> </w:t>
      </w:r>
      <w:hyperlink r:id="rId75" w:history="1">
        <w:r w:rsidRPr="0051751A">
          <w:rPr>
            <w:rStyle w:val="Hyperlink"/>
            <w:smallCaps/>
            <w:lang w:val="de-CH"/>
          </w:rPr>
          <w:t>Angela Stettler</w:t>
        </w:r>
        <w:r w:rsidRPr="0051751A">
          <w:rPr>
            <w:rStyle w:val="Hyperlink"/>
            <w:lang w:val="de-CH"/>
          </w:rPr>
          <w:t>, Asylsuchende mit besonderen Bedürfnissen im neuen schweizerischen Asylverfahren, avec le soutien de l’UNHCR, août 2020</w:t>
        </w:r>
      </w:hyperlink>
      <w:r>
        <w:rPr>
          <w:lang w:val="de-CH"/>
        </w:rPr>
        <w:t>,</w:t>
      </w:r>
      <w:r w:rsidRPr="00D72411">
        <w:rPr>
          <w:lang w:val="de-CH"/>
        </w:rPr>
        <w:t xml:space="preserve"> p. 66 s. (en </w:t>
      </w:r>
      <w:r w:rsidRPr="00316841">
        <w:rPr>
          <w:lang w:val="de-CH"/>
        </w:rPr>
        <w:t>allemand</w:t>
      </w:r>
      <w:r w:rsidRPr="00D72411">
        <w:rPr>
          <w:lang w:val="de-CH"/>
        </w:rPr>
        <w:t xml:space="preserve">). </w:t>
      </w:r>
      <w:r w:rsidRPr="000A7A5C">
        <w:t xml:space="preserve">Au sujet du manque d’avis médicaux approfondis: </w:t>
      </w:r>
      <w:hyperlink r:id="rId76" w:history="1">
        <w:r w:rsidRPr="00CB19F9">
          <w:rPr>
            <w:rStyle w:val="Hyperlink"/>
            <w:szCs w:val="18"/>
          </w:rPr>
          <w:t>RTS News, Encadrement médical lacunaire pour les requérants d’asile de Perreux (NE), 9.12.2018</w:t>
        </w:r>
      </w:hyperlink>
      <w:r w:rsidRPr="00CB19F9">
        <w:t>.</w:t>
      </w:r>
    </w:p>
    <w:p w14:paraId="7581C84E" w14:textId="77777777" w:rsidR="00E77057" w:rsidRPr="000A7A5C" w:rsidRDefault="00E77057" w:rsidP="00A40724">
      <w:pPr>
        <w:pStyle w:val="FootnoteText"/>
      </w:pPr>
    </w:p>
  </w:footnote>
  <w:footnote w:id="88">
    <w:p w14:paraId="68FBA506" w14:textId="06772F7C" w:rsidR="00E77057" w:rsidRPr="004A331D" w:rsidRDefault="00E77057" w:rsidP="00A40724">
      <w:pPr>
        <w:pStyle w:val="Fussnote"/>
      </w:pPr>
      <w:r w:rsidRPr="000A7A5C">
        <w:rPr>
          <w:rStyle w:val="FootnoteReference"/>
        </w:rPr>
        <w:footnoteRef/>
      </w:r>
      <w:r w:rsidRPr="004A331D">
        <w:t xml:space="preserve"> </w:t>
      </w:r>
      <w:hyperlink r:id="rId77" w:history="1">
        <w:r w:rsidRPr="001647E6">
          <w:rPr>
            <w:rStyle w:val="Hyperlink"/>
          </w:rPr>
          <w:t>CF, rapport en réponse au postulat Premières expériences avec le nouveau droit de protection de l’enfant et de l’adulte, 29.3.2017</w:t>
        </w:r>
      </w:hyperlink>
      <w:r w:rsidRPr="004A331D">
        <w:t xml:space="preserve">, p. 69 </w:t>
      </w:r>
      <w:r>
        <w:t>et 14.</w:t>
      </w:r>
    </w:p>
  </w:footnote>
  <w:footnote w:id="89">
    <w:p w14:paraId="18F6C88D" w14:textId="5A8E0FC2" w:rsidR="00E77057" w:rsidRPr="00EB201D" w:rsidRDefault="00E77057" w:rsidP="00A40724">
      <w:pPr>
        <w:pStyle w:val="Fussnote"/>
        <w:rPr>
          <w:lang w:val="fr-FR"/>
        </w:rPr>
      </w:pPr>
      <w:r w:rsidRPr="000A7A5C">
        <w:rPr>
          <w:rStyle w:val="FootnoteReference"/>
        </w:rPr>
        <w:footnoteRef/>
      </w:r>
      <w:r w:rsidRPr="000A7A5C">
        <w:t xml:space="preserve"> Le message du Conseil fédéral relatif à la CDPH partait toutefois du principe que la révision du droit de tutelle avait permis d’intégrer le changement de perspective, exigé par la CDPH, dans le droit national</w:t>
      </w:r>
      <w:r>
        <w:t xml:space="preserve"> (décision par substitution vers prise de décision assistée)</w:t>
      </w:r>
      <w:r w:rsidRPr="000A7A5C">
        <w:t xml:space="preserve">: Message portant approbation de la </w:t>
      </w:r>
      <w:r w:rsidRPr="00EB201D">
        <w:t xml:space="preserve">CDPH (N </w:t>
      </w:r>
      <w:r w:rsidRPr="00EB201D">
        <w:fldChar w:fldCharType="begin"/>
      </w:r>
      <w:r w:rsidRPr="00EB201D">
        <w:instrText xml:space="preserve"> NOTEREF _Ref95897990 \h  \* MERGEFORMAT </w:instrText>
      </w:r>
      <w:r w:rsidRPr="00EB201D">
        <w:fldChar w:fldCharType="separate"/>
      </w:r>
      <w:r>
        <w:t>1</w:t>
      </w:r>
      <w:r w:rsidRPr="00EB201D">
        <w:fldChar w:fldCharType="end"/>
      </w:r>
      <w:r w:rsidRPr="00EB201D">
        <w:rPr>
          <w:lang w:val="fr-FR"/>
        </w:rPr>
        <w:t>), p. 630.</w:t>
      </w:r>
    </w:p>
  </w:footnote>
  <w:footnote w:id="90">
    <w:p w14:paraId="4E7875E1" w14:textId="77777777" w:rsidR="00E77057" w:rsidRPr="00D72411" w:rsidRDefault="00E77057" w:rsidP="00A40724">
      <w:pPr>
        <w:pStyle w:val="Fussnote"/>
        <w:rPr>
          <w:lang w:val="de-CH"/>
        </w:rPr>
      </w:pPr>
      <w:r w:rsidRPr="000A7A5C">
        <w:rPr>
          <w:rStyle w:val="FootnoteReference"/>
        </w:rPr>
        <w:footnoteRef/>
      </w:r>
      <w:r w:rsidRPr="00D72411">
        <w:rPr>
          <w:lang w:val="de-CH"/>
        </w:rPr>
        <w:t xml:space="preserve"> À propos de cette doctrine cf. </w:t>
      </w:r>
      <w:r w:rsidRPr="00D72411">
        <w:rPr>
          <w:smallCaps/>
          <w:lang w:val="de-CH"/>
        </w:rPr>
        <w:t>Walter Boente,</w:t>
      </w:r>
      <w:r w:rsidRPr="00D72411">
        <w:rPr>
          <w:lang w:val="de-CH"/>
        </w:rPr>
        <w:t xml:space="preserve"> Zürcher Kommentar Band I der Erwachsenenschutz</w:t>
      </w:r>
      <w:r w:rsidRPr="00D72411">
        <w:rPr>
          <w:smallCaps/>
          <w:lang w:val="de-CH"/>
        </w:rPr>
        <w:t xml:space="preserve">, </w:t>
      </w:r>
      <w:r w:rsidRPr="00D72411">
        <w:rPr>
          <w:lang w:val="de-CH"/>
        </w:rPr>
        <w:t>Die eigene Vorsorge und Massnahmen von Gesetzes wegen Art. 360-387 ZGB, 1</w:t>
      </w:r>
      <w:r w:rsidRPr="00D72411">
        <w:rPr>
          <w:vertAlign w:val="superscript"/>
          <w:lang w:val="de-CH"/>
        </w:rPr>
        <w:t>re</w:t>
      </w:r>
      <w:r w:rsidRPr="00D72411">
        <w:rPr>
          <w:lang w:val="de-CH"/>
        </w:rPr>
        <w:t xml:space="preserve"> édition, Zurich/Bâle/Genève 2015: Vorbemerkungen zu Art. 360-373 ZGB, Rz. 144, avec référence à </w:t>
      </w:r>
      <w:r w:rsidRPr="00D72411">
        <w:rPr>
          <w:smallCaps/>
          <w:lang w:val="de-CH"/>
        </w:rPr>
        <w:t>Helmut Henkel,</w:t>
      </w:r>
      <w:r w:rsidRPr="00D72411">
        <w:rPr>
          <w:lang w:val="de-CH"/>
        </w:rPr>
        <w:t xml:space="preserve"> Basler Kommentar Zivilgesetzbuch Band I Erwachsenenschutz, 5</w:t>
      </w:r>
      <w:r w:rsidRPr="00D72411">
        <w:rPr>
          <w:vertAlign w:val="superscript"/>
          <w:lang w:val="de-CH"/>
        </w:rPr>
        <w:t>e</w:t>
      </w:r>
      <w:r w:rsidRPr="00D72411">
        <w:rPr>
          <w:lang w:val="de-CH"/>
        </w:rPr>
        <w:t xml:space="preserve"> édition, Zurich/St. Gall 2014: </w:t>
      </w:r>
      <w:r>
        <w:rPr>
          <w:lang w:val="de-CH"/>
        </w:rPr>
        <w:t>curatelle d’accompagnement</w:t>
      </w:r>
      <w:r w:rsidRPr="00D72411">
        <w:rPr>
          <w:lang w:val="de-CH"/>
        </w:rPr>
        <w:t xml:space="preserve">, </w:t>
      </w:r>
      <w:r>
        <w:rPr>
          <w:lang w:val="de-CH"/>
        </w:rPr>
        <w:t>a</w:t>
      </w:r>
      <w:r w:rsidRPr="00D72411">
        <w:rPr>
          <w:lang w:val="de-CH"/>
        </w:rPr>
        <w:t>rt. 393, ch. 7.</w:t>
      </w:r>
    </w:p>
  </w:footnote>
  <w:footnote w:id="91">
    <w:p w14:paraId="7E4F1C77" w14:textId="5E3D74FE" w:rsidR="00E77057" w:rsidRPr="003E28FE" w:rsidRDefault="00E77057" w:rsidP="00A40724">
      <w:pPr>
        <w:pStyle w:val="Fussnote"/>
        <w:rPr>
          <w:lang w:val="de-CH"/>
        </w:rPr>
      </w:pPr>
      <w:r w:rsidRPr="000A7A5C">
        <w:rPr>
          <w:rStyle w:val="FootnoteReference"/>
        </w:rPr>
        <w:footnoteRef/>
      </w:r>
      <w:r w:rsidRPr="003E28FE">
        <w:t xml:space="preserve"> Cf. </w:t>
      </w:r>
      <w:r w:rsidRPr="00EB201D">
        <w:rPr>
          <w:smallCaps/>
        </w:rPr>
        <w:t>Boente</w:t>
      </w:r>
      <w:r w:rsidRPr="00EB201D">
        <w:t xml:space="preserve"> (N </w:t>
      </w:r>
      <w:r w:rsidRPr="00EB201D">
        <w:fldChar w:fldCharType="begin"/>
      </w:r>
      <w:r w:rsidRPr="00EB201D">
        <w:instrText xml:space="preserve"> NOTEREF _Ref95898126 \h </w:instrText>
      </w:r>
      <w:r>
        <w:instrText xml:space="preserve"> \* MERGEFORMAT </w:instrText>
      </w:r>
      <w:r w:rsidRPr="00EB201D">
        <w:fldChar w:fldCharType="separate"/>
      </w:r>
      <w:r>
        <w:t>90</w:t>
      </w:r>
      <w:r w:rsidRPr="00EB201D">
        <w:fldChar w:fldCharType="end"/>
      </w:r>
      <w:r w:rsidRPr="00EB201D">
        <w:t>), remarques</w:t>
      </w:r>
      <w:r w:rsidRPr="007F3F78">
        <w:t xml:space="preserve"> préalables conc.</w:t>
      </w:r>
      <w:r>
        <w:t xml:space="preserve"> les a</w:t>
      </w:r>
      <w:r w:rsidRPr="007F3F78">
        <w:t xml:space="preserve">rt. 360-373 </w:t>
      </w:r>
      <w:r>
        <w:t>CC</w:t>
      </w:r>
      <w:r w:rsidRPr="007F3F78">
        <w:t>, ch.</w:t>
      </w:r>
      <w:r>
        <w:t xml:space="preserve"> marg.</w:t>
      </w:r>
      <w:r w:rsidRPr="007F3F78">
        <w:t> </w:t>
      </w:r>
      <w:r w:rsidRPr="003E28FE">
        <w:rPr>
          <w:lang w:val="de-CH"/>
        </w:rPr>
        <w:t>143.</w:t>
      </w:r>
    </w:p>
  </w:footnote>
  <w:footnote w:id="92">
    <w:p w14:paraId="3C03F85E" w14:textId="768BE50C" w:rsidR="00E77057" w:rsidRPr="006D4718" w:rsidRDefault="00E77057" w:rsidP="00E73087">
      <w:pPr>
        <w:pStyle w:val="Fussnote"/>
      </w:pPr>
      <w:r w:rsidRPr="000A7A5C">
        <w:rPr>
          <w:rStyle w:val="FootnoteReference"/>
        </w:rPr>
        <w:footnoteRef/>
      </w:r>
      <w:r w:rsidRPr="00D72411">
        <w:rPr>
          <w:lang w:val="de-CH"/>
        </w:rPr>
        <w:t xml:space="preserve"> Cf. </w:t>
      </w:r>
      <w:r w:rsidRPr="00D72411">
        <w:rPr>
          <w:smallCaps/>
          <w:lang w:val="de-CH"/>
        </w:rPr>
        <w:t>Kurt Affolter</w:t>
      </w:r>
      <w:r w:rsidRPr="00D72411">
        <w:rPr>
          <w:lang w:val="de-CH"/>
        </w:rPr>
        <w:t xml:space="preserve">, Basler Kommentar </w:t>
      </w:r>
      <w:r w:rsidRPr="008D4744">
        <w:rPr>
          <w:lang w:val="de-CH"/>
        </w:rPr>
        <w:t xml:space="preserve">Zivilgesetzbuch (N </w:t>
      </w:r>
      <w:r w:rsidRPr="008D4744">
        <w:fldChar w:fldCharType="begin"/>
      </w:r>
      <w:r w:rsidRPr="008D4744">
        <w:rPr>
          <w:lang w:val="de-CH"/>
        </w:rPr>
        <w:instrText xml:space="preserve"> NOTEREF _Ref95898126 \h  \* MERGEFORMAT </w:instrText>
      </w:r>
      <w:r w:rsidRPr="008D4744">
        <w:fldChar w:fldCharType="separate"/>
      </w:r>
      <w:r>
        <w:rPr>
          <w:lang w:val="de-CH"/>
        </w:rPr>
        <w:t>90</w:t>
      </w:r>
      <w:r w:rsidRPr="008D4744">
        <w:fldChar w:fldCharType="end"/>
      </w:r>
      <w:r w:rsidRPr="008D4744">
        <w:rPr>
          <w:lang w:val="de-CH"/>
        </w:rPr>
        <w:t>), art</w:t>
      </w:r>
      <w:r w:rsidRPr="00D72411">
        <w:rPr>
          <w:lang w:val="de-CH"/>
        </w:rPr>
        <w:t>. 406, ch. </w:t>
      </w:r>
      <w:r>
        <w:rPr>
          <w:lang w:val="de-CH"/>
        </w:rPr>
        <w:t xml:space="preserve">marg. </w:t>
      </w:r>
      <w:r w:rsidRPr="006D4718">
        <w:t xml:space="preserve">2, avec référence à </w:t>
      </w:r>
      <w:r w:rsidRPr="006D4718">
        <w:rPr>
          <w:smallCaps/>
        </w:rPr>
        <w:t>Jean-Claude</w:t>
      </w:r>
      <w:r w:rsidRPr="006D4718">
        <w:t xml:space="preserve"> </w:t>
      </w:r>
      <w:r w:rsidRPr="006D4718">
        <w:rPr>
          <w:smallCaps/>
        </w:rPr>
        <w:t>Wolf</w:t>
      </w:r>
      <w:r w:rsidRPr="006D4718">
        <w:t xml:space="preserve">, </w:t>
      </w:r>
      <w:r w:rsidRPr="002C0CC5">
        <w:rPr>
          <w:rStyle w:val="Strong"/>
          <w:rFonts w:eastAsia="MS Gothic"/>
          <w:b w:val="0"/>
          <w:bCs w:val="0"/>
        </w:rPr>
        <w:t>Paternalismus und andere ethische Konflikte im Alltag der Amtsvormunde und Amtsvormundinnen</w:t>
      </w:r>
      <w:r w:rsidRPr="002C0CC5">
        <w:rPr>
          <w:b/>
          <w:bCs/>
        </w:rPr>
        <w:t xml:space="preserve">, </w:t>
      </w:r>
      <w:r w:rsidRPr="002C0CC5">
        <w:t>Revue du droit de tutelle (RDT),</w:t>
      </w:r>
      <w:r w:rsidRPr="002C0CC5">
        <w:rPr>
          <w:b/>
          <w:bCs/>
        </w:rPr>
        <w:t xml:space="preserve"> </w:t>
      </w:r>
      <w:r w:rsidRPr="002C0CC5">
        <w:rPr>
          <w:rStyle w:val="Strong"/>
          <w:rFonts w:eastAsia="MS Gothic"/>
          <w:b w:val="0"/>
          <w:bCs w:val="0"/>
        </w:rPr>
        <w:t>Conférence en matière de protection des mineurs et des adultes</w:t>
      </w:r>
      <w:r w:rsidRPr="006D4718">
        <w:rPr>
          <w:rStyle w:val="Strong"/>
          <w:rFonts w:eastAsia="MS Gothic"/>
        </w:rPr>
        <w:t xml:space="preserve"> </w:t>
      </w:r>
      <w:r w:rsidRPr="006D4718">
        <w:rPr>
          <w:rStyle w:val="Strong"/>
          <w:rFonts w:eastAsia="MS Gothic"/>
          <w:b w:val="0"/>
          <w:bCs w:val="0"/>
        </w:rPr>
        <w:t>COPMA</w:t>
      </w:r>
      <w:r w:rsidRPr="006D4718">
        <w:t xml:space="preserve"> (</w:t>
      </w:r>
      <w:r>
        <w:t>éd.</w:t>
      </w:r>
      <w:r w:rsidRPr="006D4718">
        <w:t>), Zurich 2000, cahier n° 1, p. 1-15.</w:t>
      </w:r>
      <w:r>
        <w:t xml:space="preserve"> </w:t>
      </w:r>
    </w:p>
  </w:footnote>
  <w:footnote w:id="93">
    <w:p w14:paraId="7F5C00CA" w14:textId="3028DD96" w:rsidR="00E77057" w:rsidRPr="000A7A5C" w:rsidRDefault="00E77057" w:rsidP="00E73087">
      <w:pPr>
        <w:pStyle w:val="Fussnote"/>
      </w:pPr>
      <w:r w:rsidRPr="000A7A5C">
        <w:rPr>
          <w:rStyle w:val="FootnoteReference"/>
        </w:rPr>
        <w:footnoteRef/>
      </w:r>
      <w:r w:rsidRPr="000A7A5C">
        <w:t xml:space="preserve"> Cf. les </w:t>
      </w:r>
      <w:hyperlink r:id="rId78" w:history="1">
        <w:r w:rsidRPr="000A7A5C">
          <w:rPr>
            <w:rStyle w:val="Hyperlink"/>
          </w:rPr>
          <w:t>chiffres publiés par la COPMA</w:t>
        </w:r>
      </w:hyperlink>
      <w:r w:rsidRPr="000A7A5C">
        <w:t>, curatelles de portée générale: 14’050 (2020) / 14’796 (2019) / 15'232 (2018); curatelles d’accompagnement: 10’983 (2020) / 10’879 (2019) / 10</w:t>
      </w:r>
      <w:r>
        <w:t>’</w:t>
      </w:r>
      <w:r w:rsidRPr="000A7A5C">
        <w:t>637 (2018); curatelles de représentation 81’641 (2020) / 79’547 (2019) / 76</w:t>
      </w:r>
      <w:r>
        <w:t>’</w:t>
      </w:r>
      <w:r w:rsidRPr="000A7A5C">
        <w:t>766 (2018); curatelles de coopération 2’242 (2020) / 2’192 (2019) / 2</w:t>
      </w:r>
      <w:r>
        <w:t>’</w:t>
      </w:r>
      <w:r w:rsidRPr="000A7A5C">
        <w:t xml:space="preserve">113 (2018). À propos du nombre de curatelles de portée générale qui varie fortement d’un canton à l’autre, cf. </w:t>
      </w:r>
      <w:r>
        <w:t xml:space="preserve">N </w:t>
      </w:r>
      <w:r>
        <w:rPr>
          <w:highlight w:val="green"/>
        </w:rPr>
        <w:fldChar w:fldCharType="begin"/>
      </w:r>
      <w:r>
        <w:instrText xml:space="preserve"> NOTEREF _Ref95898252 \h </w:instrText>
      </w:r>
      <w:r>
        <w:rPr>
          <w:highlight w:val="green"/>
        </w:rPr>
      </w:r>
      <w:r>
        <w:rPr>
          <w:highlight w:val="green"/>
        </w:rPr>
        <w:fldChar w:fldCharType="separate"/>
      </w:r>
      <w:r>
        <w:t>301</w:t>
      </w:r>
      <w:r>
        <w:rPr>
          <w:highlight w:val="green"/>
        </w:rPr>
        <w:fldChar w:fldCharType="end"/>
      </w:r>
      <w:r w:rsidRPr="000A7A5C">
        <w:t>.</w:t>
      </w:r>
    </w:p>
  </w:footnote>
  <w:footnote w:id="94">
    <w:p w14:paraId="54A818B0" w14:textId="0983539D" w:rsidR="00E77057" w:rsidRPr="00B644F9" w:rsidRDefault="00E77057" w:rsidP="00E73087">
      <w:pPr>
        <w:pStyle w:val="Fussnote"/>
        <w:rPr>
          <w:lang w:val="fr-FR"/>
        </w:rPr>
      </w:pPr>
      <w:r w:rsidRPr="000A7A5C">
        <w:rPr>
          <w:rStyle w:val="FootnoteReference"/>
        </w:rPr>
        <w:footnoteRef/>
      </w:r>
      <w:r w:rsidRPr="000A7A5C">
        <w:t xml:space="preserve"> À ce sujet art. 9 CDPH, p. </w:t>
      </w:r>
      <w:r>
        <w:fldChar w:fldCharType="begin"/>
      </w:r>
      <w:r>
        <w:instrText xml:space="preserve"> PAGEREF _Ref95898270 \h </w:instrText>
      </w:r>
      <w:r>
        <w:fldChar w:fldCharType="separate"/>
      </w:r>
      <w:r>
        <w:rPr>
          <w:noProof/>
        </w:rPr>
        <w:t>17</w:t>
      </w:r>
      <w:r>
        <w:fldChar w:fldCharType="end"/>
      </w:r>
      <w:r>
        <w:t xml:space="preserve"> </w:t>
      </w:r>
      <w:r w:rsidRPr="00B644F9">
        <w:rPr>
          <w:lang w:val="fr-FR"/>
        </w:rPr>
        <w:t>ss.</w:t>
      </w:r>
    </w:p>
  </w:footnote>
  <w:footnote w:id="95">
    <w:p w14:paraId="4FC7FDC4" w14:textId="1485BDE9" w:rsidR="00E77057" w:rsidRPr="000A7A5C" w:rsidRDefault="00E77057" w:rsidP="00E73087">
      <w:pPr>
        <w:pStyle w:val="Fussnote"/>
      </w:pPr>
      <w:r w:rsidRPr="000A7A5C">
        <w:rPr>
          <w:rStyle w:val="FootnoteReference"/>
        </w:rPr>
        <w:footnoteRef/>
      </w:r>
      <w:r>
        <w:t xml:space="preserve"> </w:t>
      </w:r>
      <w:r w:rsidRPr="000A7A5C">
        <w:t xml:space="preserve">Le Tribunal cantonal bernois (arrêt du 26 novembre 2013, ZK 13 551) (en allemand) devait juger la question de savoir à qui </w:t>
      </w:r>
      <w:r>
        <w:t xml:space="preserve">étaient </w:t>
      </w:r>
      <w:r w:rsidRPr="000A7A5C">
        <w:t>imput</w:t>
      </w:r>
      <w:r>
        <w:t>ables</w:t>
      </w:r>
      <w:r w:rsidRPr="000A7A5C">
        <w:t xml:space="preserve"> les frais liés à la traduction des audiences en langue des signes lorsqu’une des parties à une procédure de divorce est sourde. Le président du tribunal avait imposé à l’homme concerné une avance de frais, couvrant également les frais d’interprétariat en langue des signes. Son recours déposé contre cette décision a été admis par le tribunal.</w:t>
      </w:r>
    </w:p>
  </w:footnote>
  <w:footnote w:id="96">
    <w:p w14:paraId="465F1C46" w14:textId="313D30C8" w:rsidR="00E77057" w:rsidRPr="000A7A5C" w:rsidRDefault="00E77057" w:rsidP="00E73087">
      <w:pPr>
        <w:pStyle w:val="Fussnote"/>
      </w:pPr>
      <w:r w:rsidRPr="000A7A5C">
        <w:rPr>
          <w:rStyle w:val="FootnoteReference"/>
        </w:rPr>
        <w:footnoteRef/>
      </w:r>
      <w:r w:rsidRPr="000A7A5C">
        <w:t xml:space="preserve"> À titre d’exemple, en novembre 2015</w:t>
      </w:r>
      <w:r>
        <w:t>,</w:t>
      </w:r>
      <w:r w:rsidRPr="000A7A5C">
        <w:t xml:space="preserve"> la LTF a été mise en consultation en vue de sa révision. Les bases exigées par la CDPH en termes d’adaptations procédurales n’ont en aucune manière été créées, p. ex. dans le contexte des mémoires (art. 42 LTF), de la notification de l’arrêt (art. 60 LTF) et de l’échange d’écritures (art. 102 LTF). </w:t>
      </w:r>
      <w:hyperlink r:id="rId79" w:history="1">
        <w:r w:rsidRPr="000A7A5C">
          <w:rPr>
            <w:rStyle w:val="Hyperlink"/>
            <w:szCs w:val="18"/>
          </w:rPr>
          <w:t>Projet LTF</w:t>
        </w:r>
      </w:hyperlink>
      <w:r w:rsidRPr="000A7A5C">
        <w:rPr>
          <w:szCs w:val="18"/>
        </w:rPr>
        <w:t xml:space="preserve">; </w:t>
      </w:r>
      <w:hyperlink r:id="rId80" w:history="1">
        <w:r w:rsidRPr="000A7A5C">
          <w:rPr>
            <w:rStyle w:val="Hyperlink"/>
            <w:szCs w:val="18"/>
          </w:rPr>
          <w:t>Prise de position d’Inclusion Handicap février 2016</w:t>
        </w:r>
      </w:hyperlink>
      <w:r w:rsidRPr="000A7A5C">
        <w:rPr>
          <w:szCs w:val="18"/>
        </w:rPr>
        <w:t xml:space="preserve"> (en allemand)</w:t>
      </w:r>
      <w:r>
        <w:rPr>
          <w:szCs w:val="18"/>
        </w:rPr>
        <w:t>.</w:t>
      </w:r>
      <w:r w:rsidRPr="000A7A5C">
        <w:rPr>
          <w:szCs w:val="18"/>
        </w:rPr>
        <w:t xml:space="preserve"> </w:t>
      </w:r>
    </w:p>
  </w:footnote>
  <w:footnote w:id="97">
    <w:p w14:paraId="49CC7BA0" w14:textId="2749BC46" w:rsidR="00E77057" w:rsidRPr="000A7A5C" w:rsidRDefault="00E77057" w:rsidP="00E73087">
      <w:pPr>
        <w:pStyle w:val="Fussnote"/>
      </w:pPr>
      <w:r w:rsidRPr="000A7A5C">
        <w:rPr>
          <w:rStyle w:val="FootnoteReference"/>
        </w:rPr>
        <w:footnoteRef/>
      </w:r>
      <w:r w:rsidRPr="000A7A5C">
        <w:t xml:space="preserve"> Le constat que cela peut prendre des dimensions existentielles même pour les organisations de PH</w:t>
      </w:r>
      <w:r>
        <w:t>,</w:t>
      </w:r>
      <w:r w:rsidRPr="000A7A5C">
        <w:t xml:space="preserve"> qui disposent du droit de recours en tant qu’associations</w:t>
      </w:r>
      <w:r>
        <w:t>,</w:t>
      </w:r>
      <w:r w:rsidRPr="000A7A5C">
        <w:t xml:space="preserve"> ressort d’un arrêt récent du Tribunal administratif fédéral. La recourante (I</w:t>
      </w:r>
      <w:r>
        <w:t>H</w:t>
      </w:r>
      <w:r w:rsidRPr="000A7A5C">
        <w:t>) s’est vu infliger le versement de dépens d’un montant de 252</w:t>
      </w:r>
      <w:r>
        <w:t>’</w:t>
      </w:r>
      <w:r w:rsidRPr="000A7A5C">
        <w:t>000 CHF. Elle avait formulé le grief que la conception des 62 trains duplex nouvellement acquis par les C</w:t>
      </w:r>
      <w:r>
        <w:t>FF</w:t>
      </w:r>
      <w:r w:rsidRPr="000A7A5C">
        <w:t xml:space="preserve"> violait dans 15 points les dispositions du droit de l’égalité des PH et ne garantissait pas l’accès autonome des PH. Le recours est actuellement pendant devant le Tribunal fédéral, l’arrêt est attendu fin février 2022. </w:t>
      </w:r>
      <w:hyperlink r:id="rId81" w:history="1">
        <w:r>
          <w:rPr>
            <w:rStyle w:val="Hyperlink"/>
            <w:szCs w:val="18"/>
          </w:rPr>
          <w:t>Arrêt du Tribunal administratif fédéral</w:t>
        </w:r>
        <w:r w:rsidRPr="000A7A5C">
          <w:rPr>
            <w:rStyle w:val="Hyperlink"/>
            <w:szCs w:val="18"/>
          </w:rPr>
          <w:t xml:space="preserve"> A-359/2018 </w:t>
        </w:r>
        <w:r>
          <w:rPr>
            <w:rStyle w:val="Hyperlink"/>
            <w:szCs w:val="18"/>
          </w:rPr>
          <w:t>du</w:t>
        </w:r>
        <w:r w:rsidRPr="000A7A5C">
          <w:rPr>
            <w:rStyle w:val="Hyperlink"/>
            <w:szCs w:val="18"/>
          </w:rPr>
          <w:t xml:space="preserve"> 20.</w:t>
        </w:r>
        <w:r>
          <w:rPr>
            <w:rStyle w:val="Hyperlink"/>
            <w:szCs w:val="18"/>
          </w:rPr>
          <w:t>11.</w:t>
        </w:r>
        <w:r w:rsidRPr="000A7A5C">
          <w:rPr>
            <w:rStyle w:val="Hyperlink"/>
            <w:szCs w:val="18"/>
          </w:rPr>
          <w:t>2018</w:t>
        </w:r>
      </w:hyperlink>
      <w:r w:rsidRPr="000A7A5C">
        <w:rPr>
          <w:szCs w:val="18"/>
        </w:rPr>
        <w:t xml:space="preserve"> (</w:t>
      </w:r>
      <w:r>
        <w:rPr>
          <w:szCs w:val="18"/>
        </w:rPr>
        <w:t>en allemand)</w:t>
      </w:r>
      <w:r w:rsidRPr="000A7A5C">
        <w:rPr>
          <w:szCs w:val="18"/>
        </w:rPr>
        <w:t xml:space="preserve"> ainsi que le </w:t>
      </w:r>
      <w:hyperlink r:id="rId82" w:history="1">
        <w:r w:rsidRPr="00426923">
          <w:rPr>
            <w:rStyle w:val="Hyperlink"/>
            <w:szCs w:val="18"/>
          </w:rPr>
          <w:t>communiqué de presse d’IH du 10.1.2019</w:t>
        </w:r>
      </w:hyperlink>
      <w:r w:rsidRPr="00426923">
        <w:rPr>
          <w:szCs w:val="18"/>
        </w:rPr>
        <w:t>.</w:t>
      </w:r>
    </w:p>
  </w:footnote>
  <w:footnote w:id="98">
    <w:p w14:paraId="44AF8CEE" w14:textId="69D39623" w:rsidR="00E77057" w:rsidRPr="000A7A5C" w:rsidRDefault="00E77057" w:rsidP="00E73087">
      <w:pPr>
        <w:pStyle w:val="Fussnote"/>
      </w:pPr>
      <w:r w:rsidRPr="000A7A5C">
        <w:rPr>
          <w:rStyle w:val="FootnoteReference"/>
        </w:rPr>
        <w:footnoteRef/>
      </w:r>
      <w:r>
        <w:t xml:space="preserve"> </w:t>
      </w:r>
      <w:r w:rsidRPr="000A7A5C">
        <w:t>Lors de la dernière révision de la LPGA (en vigueur depuis le 1.1.2021), la possibilité d’une obligation de supporter les frais également dans d’autres assurances sociales a été nouvellement inscrite dans la loi (art. 61 let. f</w:t>
      </w:r>
      <w:r w:rsidRPr="00EF3C0F">
        <w:rPr>
          <w:vertAlign w:val="superscript"/>
        </w:rPr>
        <w:t>bis</w:t>
      </w:r>
      <w:r w:rsidRPr="000A7A5C">
        <w:t xml:space="preserve"> LPGA). Dans la procédure de consultation, IH s’était engagée en vain pour la suppression de l’obligation de supporter les frais dans la procédure AI et contre cet </w:t>
      </w:r>
      <w:r w:rsidRPr="00C57D34">
        <w:t xml:space="preserve">élargissement: </w:t>
      </w:r>
      <w:hyperlink r:id="rId83" w:history="1">
        <w:r w:rsidRPr="00C57D34">
          <w:rPr>
            <w:rStyle w:val="Hyperlink"/>
            <w:szCs w:val="18"/>
          </w:rPr>
          <w:t>Réponse à la consultation IH Révision LPGA</w:t>
        </w:r>
      </w:hyperlink>
      <w:r w:rsidRPr="00C57D34">
        <w:t>,</w:t>
      </w:r>
      <w:r w:rsidRPr="000A7A5C">
        <w:t xml:space="preserve"> p. 7 ss.</w:t>
      </w:r>
      <w:r>
        <w:t xml:space="preserve"> (en allemand).</w:t>
      </w:r>
    </w:p>
  </w:footnote>
  <w:footnote w:id="99">
    <w:p w14:paraId="1DBE5E34" w14:textId="77777777" w:rsidR="00E77057" w:rsidRPr="000A7A5C" w:rsidRDefault="00E77057" w:rsidP="00E73087">
      <w:pPr>
        <w:pStyle w:val="Fussnote"/>
      </w:pPr>
      <w:r w:rsidRPr="000A7A5C">
        <w:rPr>
          <w:rStyle w:val="FootnoteReference"/>
        </w:rPr>
        <w:footnoteRef/>
      </w:r>
      <w:r w:rsidRPr="000A7A5C">
        <w:t xml:space="preserve"> </w:t>
      </w:r>
      <w:r>
        <w:t>À</w:t>
      </w:r>
      <w:r w:rsidRPr="000A7A5C">
        <w:t xml:space="preserve"> la question de savoir si une procédure est dépourvue de chances de succès</w:t>
      </w:r>
      <w:r>
        <w:t>, l</w:t>
      </w:r>
      <w:r w:rsidRPr="000A7A5C">
        <w:t xml:space="preserve">es autorités compétentes ne répondent </w:t>
      </w:r>
      <w:r>
        <w:t xml:space="preserve">actuellement </w:t>
      </w:r>
      <w:r w:rsidRPr="000A7A5C">
        <w:t>pas, ou en tout cas pas systématiquement</w:t>
      </w:r>
      <w:r>
        <w:t xml:space="preserve"> en tenant compte </w:t>
      </w:r>
      <w:r w:rsidRPr="000A7A5C">
        <w:t>des engagements de la Suisse liés à la CDPH.</w:t>
      </w:r>
    </w:p>
  </w:footnote>
  <w:footnote w:id="100">
    <w:p w14:paraId="2B30BF44" w14:textId="09449110" w:rsidR="00E77057" w:rsidRPr="00005635" w:rsidRDefault="00E77057" w:rsidP="00E73087">
      <w:pPr>
        <w:pStyle w:val="Fussnote"/>
        <w:rPr>
          <w:lang w:val="fr-FR"/>
        </w:rPr>
      </w:pPr>
      <w:r w:rsidRPr="000A7A5C">
        <w:rPr>
          <w:rStyle w:val="FootnoteReference"/>
        </w:rPr>
        <w:footnoteRef/>
      </w:r>
      <w:r>
        <w:t xml:space="preserve"> </w:t>
      </w:r>
      <w:r w:rsidRPr="00005635">
        <w:t>Dans la pratique du conseil juridique d</w:t>
      </w:r>
      <w:r>
        <w:t>’</w:t>
      </w:r>
      <w:r w:rsidRPr="00005635">
        <w:t>IH, il apparaît que l</w:t>
      </w:r>
      <w:r>
        <w:t>’</w:t>
      </w:r>
      <w:r w:rsidRPr="00005635">
        <w:t>accès à la justice est particulièrement difficile en cas de conflit avec l</w:t>
      </w:r>
      <w:r>
        <w:t>’</w:t>
      </w:r>
      <w:r w:rsidRPr="00005635">
        <w:t>institution. Ainsi, les graves accusations de mobbing ne sont pas examinées et ne sont pas abordées de manière structurelle. Au lieu de cela, il n</w:t>
      </w:r>
      <w:r>
        <w:t>’</w:t>
      </w:r>
      <w:r w:rsidRPr="00005635">
        <w:t>est pas rare que les problèmes soient rejetés sur les proches, qui seraient difficiles.</w:t>
      </w:r>
    </w:p>
  </w:footnote>
  <w:footnote w:id="101">
    <w:p w14:paraId="6CA8295C" w14:textId="6E08DD4A" w:rsidR="00E77057" w:rsidRPr="0097783A" w:rsidRDefault="00E77057">
      <w:pPr>
        <w:pStyle w:val="FootnoteText"/>
        <w:rPr>
          <w:rFonts w:eastAsia="Cambria"/>
          <w:szCs w:val="22"/>
          <w:vertAlign w:val="baseline"/>
          <w:lang w:val="fr-FR"/>
        </w:rPr>
      </w:pPr>
      <w:r>
        <w:rPr>
          <w:rStyle w:val="FootnoteReference"/>
        </w:rPr>
        <w:footnoteRef/>
      </w:r>
      <w:r w:rsidRPr="006D30F6">
        <w:rPr>
          <w:rFonts w:eastAsia="Cambria"/>
          <w:szCs w:val="22"/>
          <w:vertAlign w:val="baseline"/>
          <w:lang w:val="fr-FR"/>
        </w:rPr>
        <w:t xml:space="preserve"> En lien avec l’art. 18 al. 1 et l’art. 22 al. 1 CDPH p.ex. </w:t>
      </w:r>
      <w:hyperlink r:id="rId84" w:history="1">
        <w:r w:rsidRPr="00162120">
          <w:rPr>
            <w:rStyle w:val="Hyperlink"/>
            <w:rFonts w:eastAsia="Cambria"/>
            <w:szCs w:val="22"/>
            <w:vertAlign w:val="baseline"/>
            <w:lang w:val="fr-FR"/>
          </w:rPr>
          <w:t>Décision du TF 8C_390/2019</w:t>
        </w:r>
      </w:hyperlink>
      <w:r w:rsidRPr="006D30F6">
        <w:rPr>
          <w:rFonts w:eastAsia="Cambria"/>
          <w:szCs w:val="22"/>
          <w:vertAlign w:val="baseline"/>
          <w:lang w:val="fr-FR"/>
        </w:rPr>
        <w:t xml:space="preserve">, consid. </w:t>
      </w:r>
      <w:r w:rsidRPr="0097783A">
        <w:rPr>
          <w:rFonts w:eastAsia="Cambria"/>
          <w:szCs w:val="22"/>
          <w:vertAlign w:val="baseline"/>
          <w:lang w:val="fr-FR"/>
        </w:rPr>
        <w:t xml:space="preserve">6.1 du 20.9.2019, et à ce sujet </w:t>
      </w:r>
      <w:hyperlink r:id="rId85" w:history="1">
        <w:r w:rsidRPr="0097783A">
          <w:rPr>
            <w:rStyle w:val="Hyperlink"/>
            <w:rFonts w:eastAsia="Cambria"/>
            <w:szCs w:val="22"/>
            <w:vertAlign w:val="baseline"/>
            <w:lang w:val="fr-FR"/>
          </w:rPr>
          <w:t>SRF, émission 10vor10 du 26.5.2020</w:t>
        </w:r>
      </w:hyperlink>
      <w:r w:rsidRPr="0097783A">
        <w:rPr>
          <w:rFonts w:eastAsia="Cambria"/>
          <w:szCs w:val="22"/>
          <w:vertAlign w:val="baseline"/>
          <w:lang w:val="fr-FR"/>
        </w:rPr>
        <w:t>.</w:t>
      </w:r>
    </w:p>
  </w:footnote>
  <w:footnote w:id="102">
    <w:p w14:paraId="463B3329" w14:textId="56FD58E5" w:rsidR="00E77057" w:rsidRPr="00B644F9" w:rsidRDefault="00E77057">
      <w:pPr>
        <w:pStyle w:val="FootnoteText"/>
        <w:rPr>
          <w:rFonts w:eastAsia="Cambria"/>
          <w:szCs w:val="22"/>
          <w:vertAlign w:val="baseline"/>
          <w:lang w:val="de-CH"/>
        </w:rPr>
      </w:pPr>
      <w:r>
        <w:rPr>
          <w:rStyle w:val="FootnoteReference"/>
        </w:rPr>
        <w:footnoteRef/>
      </w:r>
      <w:r w:rsidRPr="00162120">
        <w:rPr>
          <w:rFonts w:eastAsia="Cambria"/>
          <w:szCs w:val="22"/>
          <w:vertAlign w:val="baseline"/>
          <w:lang w:val="fr-FR"/>
        </w:rPr>
        <w:t xml:space="preserve"> </w:t>
      </w:r>
      <w:r>
        <w:rPr>
          <w:rFonts w:eastAsia="Cambria"/>
          <w:szCs w:val="22"/>
          <w:vertAlign w:val="baseline"/>
          <w:lang w:val="fr-FR"/>
        </w:rPr>
        <w:t xml:space="preserve">Voir à ce sujet ci-dessus, Dispositions générales, p. </w:t>
      </w:r>
      <w:r>
        <w:rPr>
          <w:rFonts w:eastAsia="Cambria"/>
          <w:szCs w:val="22"/>
          <w:vertAlign w:val="baseline"/>
          <w:lang w:val="fr-FR"/>
        </w:rPr>
        <w:fldChar w:fldCharType="begin"/>
      </w:r>
      <w:r>
        <w:rPr>
          <w:rFonts w:eastAsia="Cambria"/>
          <w:szCs w:val="22"/>
          <w:vertAlign w:val="baseline"/>
          <w:lang w:val="fr-FR"/>
        </w:rPr>
        <w:instrText xml:space="preserve"> PAGEREF _Ref95899283 \h </w:instrText>
      </w:r>
      <w:r>
        <w:rPr>
          <w:rFonts w:eastAsia="Cambria"/>
          <w:szCs w:val="22"/>
          <w:vertAlign w:val="baseline"/>
          <w:lang w:val="fr-FR"/>
        </w:rPr>
      </w:r>
      <w:r>
        <w:rPr>
          <w:rFonts w:eastAsia="Cambria"/>
          <w:szCs w:val="22"/>
          <w:vertAlign w:val="baseline"/>
          <w:lang w:val="fr-FR"/>
        </w:rPr>
        <w:fldChar w:fldCharType="separate"/>
      </w:r>
      <w:r w:rsidRPr="00552D75">
        <w:rPr>
          <w:rFonts w:eastAsia="Cambria"/>
          <w:noProof/>
          <w:szCs w:val="22"/>
          <w:vertAlign w:val="baseline"/>
          <w:lang w:val="de-CH"/>
        </w:rPr>
        <w:t>7</w:t>
      </w:r>
      <w:r>
        <w:rPr>
          <w:rFonts w:eastAsia="Cambria"/>
          <w:szCs w:val="22"/>
          <w:vertAlign w:val="baseline"/>
          <w:lang w:val="fr-FR"/>
        </w:rPr>
        <w:fldChar w:fldCharType="end"/>
      </w:r>
      <w:r w:rsidRPr="00B644F9">
        <w:rPr>
          <w:rFonts w:eastAsia="Cambria"/>
          <w:szCs w:val="22"/>
          <w:vertAlign w:val="baseline"/>
          <w:lang w:val="de-CH"/>
        </w:rPr>
        <w:t>.</w:t>
      </w:r>
    </w:p>
  </w:footnote>
  <w:footnote w:id="103">
    <w:p w14:paraId="41101592" w14:textId="4F2E672B" w:rsidR="00E77057" w:rsidRPr="00936A46" w:rsidRDefault="00E77057" w:rsidP="00162120">
      <w:pPr>
        <w:pStyle w:val="Fussnote"/>
      </w:pPr>
      <w:r w:rsidRPr="000A7A5C">
        <w:rPr>
          <w:rStyle w:val="FootnoteReference"/>
        </w:rPr>
        <w:footnoteRef/>
      </w:r>
      <w:r w:rsidRPr="00582F33">
        <w:rPr>
          <w:lang w:val="de-CH"/>
        </w:rPr>
        <w:t xml:space="preserve"> </w:t>
      </w:r>
      <w:r w:rsidRPr="00D72411">
        <w:rPr>
          <w:lang w:val="de-CH"/>
        </w:rPr>
        <w:t xml:space="preserve">Dans les médias p. ex: </w:t>
      </w:r>
      <w:hyperlink r:id="rId86" w:history="1">
        <w:r w:rsidRPr="00D72411">
          <w:rPr>
            <w:rStyle w:val="Hyperlink"/>
            <w:lang w:val="de-CH"/>
          </w:rPr>
          <w:t>SRF, Echo der Zeit 28.07.2017 «Die Schweiz hat ein hohes Ordnungsbedürfnis»;</w:t>
        </w:r>
      </w:hyperlink>
      <w:r w:rsidRPr="00D72411">
        <w:rPr>
          <w:rStyle w:val="Hyperlink"/>
          <w:lang w:val="de-CH"/>
        </w:rPr>
        <w:t xml:space="preserve"> </w:t>
      </w:r>
      <w:hyperlink r:id="rId87" w:history="1">
        <w:r w:rsidRPr="00D72411">
          <w:rPr>
            <w:rStyle w:val="Hyperlink"/>
            <w:lang w:val="de-CH"/>
          </w:rPr>
          <w:t>Tagesanzeiger/Sonntagszeitung 30.7.20</w:t>
        </w:r>
        <w:r>
          <w:rPr>
            <w:rStyle w:val="Hyperlink"/>
            <w:lang w:val="de-CH"/>
          </w:rPr>
          <w:t>1</w:t>
        </w:r>
        <w:r w:rsidRPr="00D72411">
          <w:rPr>
            <w:rStyle w:val="Hyperlink"/>
            <w:lang w:val="de-CH"/>
          </w:rPr>
          <w:t>7, «Ärzte sperren 14’000 psychisch Kranke weg»</w:t>
        </w:r>
      </w:hyperlink>
      <w:r w:rsidRPr="00D72411">
        <w:rPr>
          <w:lang w:val="de-CH"/>
        </w:rPr>
        <w:t xml:space="preserve">; </w:t>
      </w:r>
      <w:hyperlink r:id="rId88" w:history="1">
        <w:r w:rsidRPr="00D72411">
          <w:rPr>
            <w:rStyle w:val="Hyperlink"/>
            <w:lang w:val="de-CH"/>
          </w:rPr>
          <w:t>NZZ, 09.06.2018 «Wir müssen die Quote der Zwangseinweisungen in die Psychiatrie senken»</w:t>
        </w:r>
      </w:hyperlink>
      <w:r w:rsidRPr="00D72411">
        <w:rPr>
          <w:lang w:val="de-CH"/>
        </w:rPr>
        <w:t xml:space="preserve">, ainsi que récemment </w:t>
      </w:r>
      <w:hyperlink r:id="rId89" w:history="1">
        <w:r w:rsidRPr="00D72411">
          <w:rPr>
            <w:rStyle w:val="Hyperlink"/>
            <w:lang w:val="de-CH"/>
          </w:rPr>
          <w:t xml:space="preserve">NZZ, 19.4.2021, «Daniela W. kam mit Handschellen in die psychiatrische Klinik. </w:t>
        </w:r>
        <w:r w:rsidRPr="000A7A5C">
          <w:rPr>
            <w:rStyle w:val="Hyperlink"/>
          </w:rPr>
          <w:t>Sie sagt: ‘Mit einer Vertrauensperson wäre ich schneller gesund geworden’»</w:t>
        </w:r>
      </w:hyperlink>
      <w:r w:rsidRPr="000A7A5C">
        <w:rPr>
          <w:sz w:val="23"/>
          <w:szCs w:val="23"/>
        </w:rPr>
        <w:t>,</w:t>
      </w:r>
      <w:r w:rsidRPr="000A7A5C">
        <w:t xml:space="preserve"> en référence à l’importance de la personne de confiance et à l’offre de P</w:t>
      </w:r>
      <w:hyperlink r:id="rId90" w:history="1">
        <w:r w:rsidRPr="000A7A5C">
          <w:t>ro Mente Sana</w:t>
        </w:r>
      </w:hyperlink>
      <w:r w:rsidRPr="000A7A5C">
        <w:t xml:space="preserve"> dans ce domaine (tous en allemand). Cf. également la critique à l’égard des PAFA du point de vue des psychiatres </w:t>
      </w:r>
      <w:hyperlink r:id="rId91" w:history="1">
        <w:r w:rsidRPr="005A1338">
          <w:rPr>
            <w:rStyle w:val="Hyperlink"/>
            <w:smallCaps/>
          </w:rPr>
          <w:t>Helena Hermann, Paul Hoff, Florian Hotzy, Lena Schneller, Anastasia Theodoridou, Matthias Jäger</w:t>
        </w:r>
        <w:r w:rsidRPr="000A7A5C">
          <w:rPr>
            <w:rStyle w:val="Hyperlink"/>
          </w:rPr>
          <w:t>, Fürsorgerische Unterbringung in psychiatrische Kliniken, Schweizerische Ärztezeitung 2018/99, S. 524-526</w:t>
        </w:r>
      </w:hyperlink>
      <w:r>
        <w:t xml:space="preserve">, </w:t>
      </w:r>
      <w:r w:rsidRPr="00936A46">
        <w:t>souligne en particulier les problèmes liés au manque de compétences spécialisées (S. 524f.), du manque d’indépendance (S. 525) et de données lacunaires (S. 526)</w:t>
      </w:r>
      <w:r>
        <w:t>.</w:t>
      </w:r>
    </w:p>
  </w:footnote>
  <w:footnote w:id="104">
    <w:p w14:paraId="148C1233" w14:textId="0CE9D7C9" w:rsidR="00E77057" w:rsidRPr="00EC70F4" w:rsidRDefault="00E77057" w:rsidP="002A47BE">
      <w:pPr>
        <w:pStyle w:val="Fussnote"/>
      </w:pPr>
      <w:r w:rsidRPr="000A7A5C">
        <w:rPr>
          <w:rStyle w:val="FootnoteReference"/>
        </w:rPr>
        <w:footnoteRef/>
      </w:r>
      <w:r>
        <w:t xml:space="preserve"> </w:t>
      </w:r>
      <w:hyperlink r:id="rId92" w:history="1">
        <w:r w:rsidRPr="002A47BE">
          <w:rPr>
            <w:rStyle w:val="Hyperlink"/>
          </w:rPr>
          <w:t>OFJ, mise au concours du projet Évaluation des dispositions relatives au placement à des fins d’assistance, 9.7.2020</w:t>
        </w:r>
      </w:hyperlink>
      <w:r w:rsidRPr="000A7A5C">
        <w:t>.</w:t>
      </w:r>
    </w:p>
  </w:footnote>
  <w:footnote w:id="105">
    <w:p w14:paraId="779D84FD" w14:textId="225579A3" w:rsidR="00E77057" w:rsidRPr="000A7A5C" w:rsidRDefault="00E77057" w:rsidP="002A47BE">
      <w:pPr>
        <w:pStyle w:val="Fussnote"/>
      </w:pPr>
      <w:r w:rsidRPr="000A7A5C">
        <w:rPr>
          <w:rStyle w:val="FootnoteReference"/>
        </w:rPr>
        <w:footnoteRef/>
      </w:r>
      <w:r w:rsidRPr="00582F33">
        <w:t xml:space="preserve"> </w:t>
      </w:r>
      <w:r w:rsidRPr="000A7A5C">
        <w:t xml:space="preserve">En fait partie, entre autres, le manque d’information des personnes concernées sur les raisons du PAFA et sur leurs </w:t>
      </w:r>
      <w:r w:rsidRPr="00BA37C6">
        <w:t xml:space="preserve">droits, </w:t>
      </w:r>
      <w:r>
        <w:t>M</w:t>
      </w:r>
      <w:r w:rsidRPr="00BA37C6">
        <w:t xml:space="preserve">ise au concours du projet (N </w:t>
      </w:r>
      <w:r w:rsidRPr="00BA37C6">
        <w:fldChar w:fldCharType="begin"/>
      </w:r>
      <w:r w:rsidRPr="00BA37C6">
        <w:instrText xml:space="preserve"> NOTEREF _Ref94202307 \h </w:instrText>
      </w:r>
      <w:r>
        <w:instrText xml:space="preserve"> \* MERGEFORMAT </w:instrText>
      </w:r>
      <w:r w:rsidRPr="00BA37C6">
        <w:fldChar w:fldCharType="separate"/>
      </w:r>
      <w:r>
        <w:t>104</w:t>
      </w:r>
      <w:r w:rsidRPr="00BA37C6">
        <w:fldChar w:fldCharType="end"/>
      </w:r>
      <w:r w:rsidRPr="00BA37C6">
        <w:t>), p. 10. Ces problèmes sont également évoqués par la Fondation Pro Mente Sana, qui se base sur son activité de conseils</w:t>
      </w:r>
      <w:r w:rsidRPr="000A7A5C">
        <w:t>: des client-e-s indiquent n’avoir même pas été informés du motif pour lequel ils ont été placés à des fins d’assistance, ils ne connaissaient pas leur diagnostic et n’ont pas reçu d’information sur le traitement.</w:t>
      </w:r>
    </w:p>
  </w:footnote>
  <w:footnote w:id="106">
    <w:p w14:paraId="55094556" w14:textId="02CB21C7" w:rsidR="00E77057" w:rsidRPr="00BC382F" w:rsidRDefault="00E77057" w:rsidP="00E73087">
      <w:pPr>
        <w:pStyle w:val="Fussnote"/>
      </w:pPr>
      <w:r w:rsidRPr="000A7A5C">
        <w:rPr>
          <w:rStyle w:val="FootnoteReference"/>
        </w:rPr>
        <w:footnoteRef/>
      </w:r>
      <w:r w:rsidRPr="00BC382F">
        <w:t xml:space="preserve"> Mise au concours projet d’évaluation PAFA (N </w:t>
      </w:r>
      <w:r w:rsidRPr="000A7A5C">
        <w:fldChar w:fldCharType="begin"/>
      </w:r>
      <w:r w:rsidRPr="00BC382F">
        <w:instrText xml:space="preserve"> NOTEREF _Ref94202307 \h </w:instrText>
      </w:r>
      <w:r>
        <w:instrText xml:space="preserve"> \* MERGEFORMAT </w:instrText>
      </w:r>
      <w:r w:rsidRPr="000A7A5C">
        <w:fldChar w:fldCharType="separate"/>
      </w:r>
      <w:r>
        <w:t>104</w:t>
      </w:r>
      <w:r w:rsidRPr="000A7A5C">
        <w:fldChar w:fldCharType="end"/>
      </w:r>
      <w:r w:rsidRPr="00BC382F">
        <w:t xml:space="preserve">), p. </w:t>
      </w:r>
      <w:r>
        <w:t>6</w:t>
      </w:r>
      <w:r w:rsidRPr="00BC382F">
        <w:t>.</w:t>
      </w:r>
    </w:p>
  </w:footnote>
  <w:footnote w:id="107">
    <w:p w14:paraId="2A7211DD" w14:textId="04ED7C6E" w:rsidR="00E77057" w:rsidRPr="00BC382F" w:rsidRDefault="00E77057" w:rsidP="00025C6C">
      <w:pPr>
        <w:pStyle w:val="Fussnote"/>
      </w:pPr>
      <w:r w:rsidRPr="000A7A5C">
        <w:rPr>
          <w:rStyle w:val="FootnoteReference"/>
        </w:rPr>
        <w:footnoteRef/>
      </w:r>
      <w:r w:rsidRPr="000A7A5C">
        <w:t xml:space="preserve"> Réponse LoI, </w:t>
      </w:r>
      <w:r>
        <w:t>para</w:t>
      </w:r>
      <w:r w:rsidRPr="000A7A5C">
        <w:t xml:space="preserve">. </w:t>
      </w:r>
      <w:r w:rsidRPr="00025C6C">
        <w:t>32</w:t>
      </w:r>
      <w:r w:rsidRPr="000A7A5C">
        <w:t xml:space="preserve">, avec le renvoi </w:t>
      </w:r>
      <w:r>
        <w:t xml:space="preserve">sans suite </w:t>
      </w:r>
      <w:r w:rsidRPr="000A7A5C">
        <w:t>à «4b».</w:t>
      </w:r>
    </w:p>
  </w:footnote>
  <w:footnote w:id="108">
    <w:p w14:paraId="5D1188E7" w14:textId="11908D1B" w:rsidR="00E77057" w:rsidRPr="000A7A5C" w:rsidRDefault="00E77057" w:rsidP="00E73087">
      <w:pPr>
        <w:pStyle w:val="Fussnote"/>
      </w:pPr>
      <w:r w:rsidRPr="000A7A5C">
        <w:rPr>
          <w:rStyle w:val="FootnoteReference"/>
        </w:rPr>
        <w:footnoteRef/>
      </w:r>
      <w:r w:rsidRPr="000A7A5C">
        <w:t xml:space="preserve"> Mise au concours </w:t>
      </w:r>
      <w:r>
        <w:t>projet d’évaluation</w:t>
      </w:r>
      <w:r w:rsidRPr="000A7A5C">
        <w:t xml:space="preserve"> (N </w:t>
      </w:r>
      <w:r w:rsidRPr="000A7A5C">
        <w:fldChar w:fldCharType="begin"/>
      </w:r>
      <w:r w:rsidRPr="000A7A5C">
        <w:instrText xml:space="preserve"> NOTEREF _Ref94202307 \h </w:instrText>
      </w:r>
      <w:r>
        <w:instrText xml:space="preserve"> \* MERGEFORMAT </w:instrText>
      </w:r>
      <w:r w:rsidRPr="000A7A5C">
        <w:fldChar w:fldCharType="separate"/>
      </w:r>
      <w:r>
        <w:t>104</w:t>
      </w:r>
      <w:r w:rsidRPr="000A7A5C">
        <w:fldChar w:fldCharType="end"/>
      </w:r>
      <w:r w:rsidRPr="000A7A5C">
        <w:t>), p. 5.</w:t>
      </w:r>
    </w:p>
  </w:footnote>
  <w:footnote w:id="109">
    <w:p w14:paraId="04BDECA6" w14:textId="22FC303C" w:rsidR="00E77057" w:rsidRPr="000A7A5C" w:rsidRDefault="00E77057" w:rsidP="003507E1">
      <w:pPr>
        <w:pStyle w:val="Fussnote"/>
      </w:pPr>
      <w:r w:rsidRPr="000A7A5C">
        <w:rPr>
          <w:rStyle w:val="FootnoteReference"/>
        </w:rPr>
        <w:footnoteRef/>
      </w:r>
      <w:r w:rsidRPr="000A7A5C">
        <w:t xml:space="preserve"> Une </w:t>
      </w:r>
      <w:hyperlink r:id="rId93" w:history="1">
        <w:r w:rsidRPr="000A7A5C">
          <w:rPr>
            <w:rStyle w:val="Hyperlink"/>
          </w:rPr>
          <w:t>Analyse du Centre suisse de compétence pour les droits humains (CSDH) de juin 2013</w:t>
        </w:r>
      </w:hyperlink>
      <w:r w:rsidRPr="000A7A5C">
        <w:t xml:space="preserve"> </w:t>
      </w:r>
      <w:hyperlink r:id="rId94" w:history="1">
        <w:r w:rsidRPr="000A7A5C">
          <w:rPr>
            <w:rStyle w:val="Hyperlink"/>
          </w:rPr>
          <w:t>https://www.skmr.ch/frz/domaines/police/nouvelles/placement-assistance.html</w:t>
        </w:r>
      </w:hyperlink>
      <w:r w:rsidRPr="000A7A5C">
        <w:t xml:space="preserve"> en est arrivé à la conclusion que les nouvelles dispositions du CC relatives au PAFA et aux traitements forcés correspond</w:t>
      </w:r>
      <w:r>
        <w:t>ai</w:t>
      </w:r>
      <w:r w:rsidRPr="000A7A5C">
        <w:t xml:space="preserve">ent «très largement» aux prescriptions de la CEDH. Le CSDH critique </w:t>
      </w:r>
      <w:r>
        <w:t xml:space="preserve">toutefois </w:t>
      </w:r>
      <w:r w:rsidRPr="000A7A5C">
        <w:t>le fait qu</w:t>
      </w:r>
      <w:r>
        <w:t>’un</w:t>
      </w:r>
      <w:r w:rsidRPr="000A7A5C">
        <w:t xml:space="preserve"> PAFA </w:t>
      </w:r>
      <w:r>
        <w:t>puisse être ordonné sans examen médical préalable</w:t>
      </w:r>
      <w:r w:rsidRPr="000A7A5C">
        <w:t xml:space="preserve">. </w:t>
      </w:r>
    </w:p>
  </w:footnote>
  <w:footnote w:id="110">
    <w:p w14:paraId="052C50E9" w14:textId="3FD33CD9" w:rsidR="00E77057" w:rsidRPr="000A7A5C" w:rsidRDefault="00E77057" w:rsidP="003507E1">
      <w:pPr>
        <w:pStyle w:val="Fussnote"/>
      </w:pPr>
      <w:r w:rsidRPr="000A7A5C">
        <w:rPr>
          <w:rStyle w:val="FootnoteReference"/>
        </w:rPr>
        <w:footnoteRef/>
      </w:r>
      <w:r>
        <w:t xml:space="preserve"> </w:t>
      </w:r>
      <w:hyperlink r:id="rId95" w:history="1">
        <w:r w:rsidRPr="000A7A5C">
          <w:rPr>
            <w:rStyle w:val="Hyperlink"/>
          </w:rPr>
          <w:t>Statistique Observatoire suisse de la santé</w:t>
        </w:r>
      </w:hyperlink>
      <w:r w:rsidRPr="000A7A5C">
        <w:t xml:space="preserve"> (les chiffres ne correspondent pas à ceux indiqués dans la réponse à la LoI, ch. 30). Encore avant l’entrée en vigueur du nouveau droit de protection de l’adulte, une étude a été réalisée en 2011 sur mandat de l’OFSP portant sur la question de l’efficacité de la protection légale en cas de placement forcé à des fins d’assistance en clinique psychiatrique en Suisse: </w:t>
      </w:r>
      <w:r w:rsidRPr="000A7A5C">
        <w:rPr>
          <w:smallCaps/>
        </w:rPr>
        <w:t xml:space="preserve">Jürg Gassmann, </w:t>
      </w:r>
      <w:r w:rsidRPr="000A7A5C">
        <w:t>Wirksamkeit des Rechtsschutzes bei psychiatrischen Zwangseinweisungen in der Schweiz, (en allemand), étude r</w:t>
      </w:r>
      <w:r>
        <w:t>éa</w:t>
      </w:r>
      <w:r w:rsidRPr="000A7A5C">
        <w:t xml:space="preserve">lisée sur mandat de l’Office fédéral de la santé publique (OFAS), Winterthour 2011. L’étude a conclu au constat que la Suisse présente, en comparaison avec 15 pays de l’UE, les taux les plus élevés d’admissions forcées en cliniques psychiatriques. </w:t>
      </w:r>
    </w:p>
  </w:footnote>
  <w:footnote w:id="111">
    <w:p w14:paraId="10289B64" w14:textId="089C929A" w:rsidR="00E77057" w:rsidRPr="00D72411" w:rsidRDefault="00E77057" w:rsidP="003507E1">
      <w:pPr>
        <w:pStyle w:val="Fussnote"/>
        <w:rPr>
          <w:lang w:val="de-CH"/>
        </w:rPr>
      </w:pPr>
      <w:r w:rsidRPr="000A7A5C">
        <w:rPr>
          <w:rStyle w:val="FootnoteReference"/>
        </w:rPr>
        <w:footnoteRef/>
      </w:r>
      <w:r w:rsidRPr="00D72411">
        <w:rPr>
          <w:lang w:val="de-CH"/>
        </w:rPr>
        <w:t xml:space="preserve"> </w:t>
      </w:r>
      <w:r w:rsidRPr="00D72411">
        <w:rPr>
          <w:smallCaps/>
          <w:lang w:val="de-CH"/>
        </w:rPr>
        <w:t>Gassmann (</w:t>
      </w:r>
      <w:r w:rsidRPr="00D72411">
        <w:rPr>
          <w:lang w:val="de-CH"/>
        </w:rPr>
        <w:t xml:space="preserve">FN </w:t>
      </w:r>
      <w:r w:rsidRPr="000A7A5C">
        <w:fldChar w:fldCharType="begin"/>
      </w:r>
      <w:r w:rsidRPr="00D72411">
        <w:rPr>
          <w:lang w:val="de-CH"/>
        </w:rPr>
        <w:instrText xml:space="preserve"> NOTEREF _Ref94207217 \h </w:instrText>
      </w:r>
      <w:r w:rsidRPr="006D1641">
        <w:rPr>
          <w:lang w:val="de-CH"/>
        </w:rPr>
        <w:instrText xml:space="preserve"> \* MERGEFORMAT </w:instrText>
      </w:r>
      <w:r w:rsidRPr="000A7A5C">
        <w:fldChar w:fldCharType="separate"/>
      </w:r>
      <w:r>
        <w:rPr>
          <w:lang w:val="de-CH"/>
        </w:rPr>
        <w:t>110</w:t>
      </w:r>
      <w:r w:rsidRPr="000A7A5C">
        <w:fldChar w:fldCharType="end"/>
      </w:r>
      <w:r w:rsidRPr="00D72411">
        <w:rPr>
          <w:lang w:val="de-CH"/>
        </w:rPr>
        <w:t>).</w:t>
      </w:r>
    </w:p>
  </w:footnote>
  <w:footnote w:id="112">
    <w:p w14:paraId="00DE0D45" w14:textId="77346B09" w:rsidR="00E77057" w:rsidRPr="000A7A5C" w:rsidRDefault="00E77057" w:rsidP="003507E1">
      <w:pPr>
        <w:pStyle w:val="Fussnote"/>
      </w:pPr>
      <w:r w:rsidRPr="000A7A5C">
        <w:rPr>
          <w:rStyle w:val="FootnoteReference"/>
        </w:rPr>
        <w:footnoteRef/>
      </w:r>
      <w:r w:rsidRPr="00D72411">
        <w:rPr>
          <w:lang w:val="de-CH"/>
        </w:rPr>
        <w:t xml:space="preserve"> </w:t>
      </w:r>
      <w:hyperlink r:id="rId96" w:history="1">
        <w:r w:rsidRPr="005C70E9">
          <w:rPr>
            <w:rStyle w:val="Hyperlink"/>
            <w:smallCaps/>
            <w:lang w:val="de-CH"/>
          </w:rPr>
          <w:t>Eva Büschi, Manuela Schicka, Stefania Calabrese, Benedikt Hassler und Natalie Zambrino</w:t>
        </w:r>
        <w:r w:rsidRPr="00D72411">
          <w:rPr>
            <w:rStyle w:val="Hyperlink"/>
            <w:lang w:val="de-CH"/>
          </w:rPr>
          <w:t xml:space="preserve">, Freiheitsbeschränkende Massnahmen im Umgang mit herausfordernden Verhaltensweisen von Erwachsenen mit kognitiven Beeinträchtigungen, Revue suisse de travail social n° </w:t>
        </w:r>
        <w:r w:rsidRPr="00942C0B">
          <w:rPr>
            <w:rStyle w:val="Hyperlink"/>
            <w:lang w:val="de-CH"/>
          </w:rPr>
          <w:t>27/202</w:t>
        </w:r>
        <w:r w:rsidRPr="00D72411">
          <w:rPr>
            <w:rStyle w:val="Hyperlink"/>
            <w:lang w:val="de-CH"/>
          </w:rPr>
          <w:t>0</w:t>
        </w:r>
      </w:hyperlink>
      <w:r>
        <w:rPr>
          <w:lang w:val="de-CH"/>
        </w:rPr>
        <w:t xml:space="preserve"> </w:t>
      </w:r>
      <w:r w:rsidRPr="00D72411">
        <w:rPr>
          <w:lang w:val="de-CH"/>
        </w:rPr>
        <w:t xml:space="preserve">(article en allemand). </w:t>
      </w:r>
      <w:r w:rsidRPr="000A7A5C">
        <w:t>Selon cette étude, près de 80% des 172 responsables au sein d’institutions ont indiqué que des mesures de privation de liberté sont prises lors de situations d’escalade dans leur établissement. Les mesures les plus souvent pratiquées sont l</w:t>
      </w:r>
      <w:r>
        <w:t>’isolement</w:t>
      </w:r>
      <w:r w:rsidRPr="000A7A5C">
        <w:t xml:space="preserve"> dans la chambre privée, l’administration de sédatifs, </w:t>
      </w:r>
      <w:r>
        <w:t xml:space="preserve">l’immobilisation </w:t>
      </w:r>
      <w:r w:rsidRPr="000A7A5C">
        <w:t>ou autres interventions physiques ainsi que l</w:t>
      </w:r>
      <w:r>
        <w:t>’isolement</w:t>
      </w:r>
      <w:r w:rsidRPr="000A7A5C">
        <w:t xml:space="preserve"> dans une autre pièce (p. 31).</w:t>
      </w:r>
    </w:p>
  </w:footnote>
  <w:footnote w:id="113">
    <w:p w14:paraId="053FFD11" w14:textId="110B3AA4" w:rsidR="00E77057" w:rsidRPr="000A7A5C" w:rsidRDefault="00E77057" w:rsidP="003507E1">
      <w:pPr>
        <w:pStyle w:val="Fussnote"/>
      </w:pPr>
      <w:r w:rsidRPr="000A7A5C">
        <w:rPr>
          <w:rStyle w:val="FootnoteReference"/>
        </w:rPr>
        <w:footnoteRef/>
      </w:r>
      <w:r w:rsidRPr="000A7A5C">
        <w:t xml:space="preserve"> Voir p. ex. les offres de la </w:t>
      </w:r>
      <w:hyperlink r:id="rId97" w:history="1">
        <w:r w:rsidRPr="000A7A5C">
          <w:rPr>
            <w:rStyle w:val="Hyperlink"/>
          </w:rPr>
          <w:t>Fondation Rheinleben à Bâle-Ville</w:t>
        </w:r>
      </w:hyperlink>
      <w:r w:rsidRPr="000A7A5C">
        <w:rPr>
          <w:rStyle w:val="Hyperlink"/>
        </w:rPr>
        <w:t xml:space="preserve"> </w:t>
      </w:r>
      <w:r w:rsidRPr="000A7A5C">
        <w:t xml:space="preserve">(en allemand) qui </w:t>
      </w:r>
      <w:r>
        <w:t xml:space="preserve">œuvre </w:t>
      </w:r>
      <w:r w:rsidRPr="000A7A5C">
        <w:t>pour l’amélioration de la situation de vie de personnes atteintes dans leur santé psychique, ce notamment par l’encadrement, l’accompagnement et l’encouragement hors des cliniques psychiatriques, ainsi que par l’intégration des personnes concernées dans un environnement social.</w:t>
      </w:r>
    </w:p>
  </w:footnote>
  <w:footnote w:id="114">
    <w:p w14:paraId="30AB64F7" w14:textId="4A182711" w:rsidR="00E77057" w:rsidRPr="0040018A" w:rsidRDefault="00E77057" w:rsidP="003507E1">
      <w:pPr>
        <w:pStyle w:val="Fussnote"/>
        <w:rPr>
          <w:lang w:val="fr-FR"/>
        </w:rPr>
      </w:pPr>
      <w:r w:rsidRPr="000A7A5C">
        <w:rPr>
          <w:rStyle w:val="FootnoteReference"/>
        </w:rPr>
        <w:footnoteRef/>
      </w:r>
      <w:r w:rsidRPr="008C5B2B">
        <w:rPr>
          <w:lang w:val="en-US"/>
        </w:rPr>
        <w:t xml:space="preserve"> Cf. art. 14 CDPH, p. </w:t>
      </w:r>
      <w:r>
        <w:fldChar w:fldCharType="begin"/>
      </w:r>
      <w:r w:rsidRPr="00B644F9">
        <w:rPr>
          <w:lang w:val="en-US"/>
        </w:rPr>
        <w:instrText xml:space="preserve"> PAGEREF _Ref95901064 \h </w:instrText>
      </w:r>
      <w:r>
        <w:fldChar w:fldCharType="separate"/>
      </w:r>
      <w:r w:rsidRPr="0040018A">
        <w:rPr>
          <w:noProof/>
          <w:lang w:val="fr-FR"/>
        </w:rPr>
        <w:t>29</w:t>
      </w:r>
      <w:r>
        <w:fldChar w:fldCharType="end"/>
      </w:r>
      <w:r w:rsidRPr="0040018A">
        <w:rPr>
          <w:lang w:val="fr-FR"/>
        </w:rPr>
        <w:t xml:space="preserve"> ss., avec N </w:t>
      </w:r>
      <w:r>
        <w:rPr>
          <w:highlight w:val="green"/>
          <w:lang w:val="fr-FR"/>
        </w:rPr>
        <w:fldChar w:fldCharType="begin"/>
      </w:r>
      <w:r w:rsidRPr="0040018A">
        <w:rPr>
          <w:lang w:val="fr-FR"/>
        </w:rPr>
        <w:instrText xml:space="preserve"> NOTEREF _Ref94202307 \h </w:instrText>
      </w:r>
      <w:r>
        <w:rPr>
          <w:highlight w:val="green"/>
          <w:lang w:val="fr-FR"/>
        </w:rPr>
      </w:r>
      <w:r>
        <w:rPr>
          <w:highlight w:val="green"/>
          <w:lang w:val="fr-FR"/>
        </w:rPr>
        <w:fldChar w:fldCharType="separate"/>
      </w:r>
      <w:r w:rsidRPr="0040018A">
        <w:rPr>
          <w:lang w:val="fr-FR"/>
        </w:rPr>
        <w:t>104</w:t>
      </w:r>
      <w:r>
        <w:rPr>
          <w:highlight w:val="green"/>
          <w:lang w:val="fr-FR"/>
        </w:rPr>
        <w:fldChar w:fldCharType="end"/>
      </w:r>
      <w:r w:rsidRPr="0040018A">
        <w:rPr>
          <w:lang w:val="fr-FR"/>
        </w:rPr>
        <w:t>.</w:t>
      </w:r>
    </w:p>
  </w:footnote>
  <w:footnote w:id="115">
    <w:p w14:paraId="11EC3EA5" w14:textId="77777777" w:rsidR="00E77057" w:rsidRPr="0040018A" w:rsidRDefault="00E77057" w:rsidP="0040018A">
      <w:pPr>
        <w:pStyle w:val="Fussnote"/>
        <w:rPr>
          <w:lang w:val="fr-FR"/>
        </w:rPr>
      </w:pPr>
      <w:r w:rsidRPr="000A7A5C">
        <w:rPr>
          <w:rStyle w:val="FootnoteReference"/>
        </w:rPr>
        <w:footnoteRef/>
      </w:r>
      <w:r w:rsidRPr="0040018A">
        <w:rPr>
          <w:lang w:val="fr-FR"/>
        </w:rPr>
        <w:t xml:space="preserve"> Art. 434 al. 1 CC; 433 CC.</w:t>
      </w:r>
    </w:p>
  </w:footnote>
  <w:footnote w:id="116">
    <w:p w14:paraId="3DEC65CA" w14:textId="1B9F9DE8" w:rsidR="00E77057" w:rsidRPr="00842721" w:rsidRDefault="00E77057" w:rsidP="003507E1">
      <w:pPr>
        <w:pStyle w:val="Fussnote"/>
      </w:pPr>
      <w:r w:rsidRPr="000A7A5C">
        <w:rPr>
          <w:rStyle w:val="FootnoteReference"/>
        </w:rPr>
        <w:footnoteRef/>
      </w:r>
      <w:r w:rsidRPr="000A7A5C">
        <w:t xml:space="preserve"> </w:t>
      </w:r>
      <w:hyperlink r:id="rId98" w:history="1">
        <w:r w:rsidRPr="00842721">
          <w:rPr>
            <w:rStyle w:val="Hyperlink"/>
          </w:rPr>
          <w:t>Message sur la modification du Code civil suisse (protection de l’adulte, droit des personnes et droit de l’enfant) du 28.6.2006, 6635</w:t>
        </w:r>
      </w:hyperlink>
      <w:r w:rsidRPr="00842721">
        <w:t>, p. 6703.</w:t>
      </w:r>
    </w:p>
  </w:footnote>
  <w:footnote w:id="117">
    <w:p w14:paraId="3109D1A6" w14:textId="25A16A5A" w:rsidR="00E77057" w:rsidRPr="007F225D" w:rsidRDefault="00E77057" w:rsidP="003507E1">
      <w:pPr>
        <w:pStyle w:val="Fussnote"/>
        <w:rPr>
          <w:lang w:val="de-CH"/>
        </w:rPr>
      </w:pPr>
      <w:r w:rsidRPr="000A7A5C">
        <w:rPr>
          <w:rStyle w:val="FootnoteReference"/>
        </w:rPr>
        <w:footnoteRef/>
      </w:r>
      <w:r w:rsidRPr="00D72411">
        <w:rPr>
          <w:lang w:val="de-CH"/>
        </w:rPr>
        <w:t xml:space="preserve"> </w:t>
      </w:r>
      <w:hyperlink r:id="rId99" w:history="1">
        <w:r w:rsidRPr="00D370B1">
          <w:rPr>
            <w:rStyle w:val="Hyperlink"/>
            <w:smallCaps/>
            <w:lang w:val="de-CH"/>
          </w:rPr>
          <w:t>Daniel Rosch</w:t>
        </w:r>
        <w:r w:rsidRPr="00D370B1">
          <w:rPr>
            <w:rStyle w:val="Hyperlink"/>
            <w:lang w:val="de-CH"/>
          </w:rPr>
          <w:t>, Medizinische Massnahmen im Rahmen einer fürsorgerischen Unterbringung: Schnitt- und Nahtstellen, AJP/PJA 2014, S. 3-10</w:t>
        </w:r>
      </w:hyperlink>
      <w:r w:rsidRPr="00D72411">
        <w:rPr>
          <w:lang w:val="de-CH"/>
        </w:rPr>
        <w:t xml:space="preserve">, S. 7 </w:t>
      </w:r>
      <w:r>
        <w:rPr>
          <w:lang w:val="de-CH"/>
        </w:rPr>
        <w:t>s</w:t>
      </w:r>
      <w:r w:rsidRPr="00D72411">
        <w:rPr>
          <w:lang w:val="de-CH"/>
        </w:rPr>
        <w:t xml:space="preserve">. </w:t>
      </w:r>
      <w:r w:rsidRPr="007F225D">
        <w:rPr>
          <w:lang w:val="de-CH"/>
        </w:rPr>
        <w:t>(en allemand)</w:t>
      </w:r>
      <w:r>
        <w:rPr>
          <w:lang w:val="de-CH"/>
        </w:rPr>
        <w:t>.</w:t>
      </w:r>
    </w:p>
  </w:footnote>
  <w:footnote w:id="118">
    <w:p w14:paraId="60BC89EC" w14:textId="580119B0" w:rsidR="00E77057" w:rsidRPr="00D72411" w:rsidRDefault="00E77057" w:rsidP="003507E1">
      <w:pPr>
        <w:pStyle w:val="Fussnote"/>
        <w:rPr>
          <w:lang w:val="de-CH"/>
        </w:rPr>
      </w:pPr>
      <w:r w:rsidRPr="000A7A5C">
        <w:rPr>
          <w:rStyle w:val="FootnoteReference"/>
        </w:rPr>
        <w:footnoteRef/>
      </w:r>
      <w:r w:rsidRPr="007F225D">
        <w:rPr>
          <w:lang w:val="de-CH"/>
        </w:rPr>
        <w:t xml:space="preserve"> </w:t>
      </w:r>
      <w:r w:rsidRPr="007F225D">
        <w:rPr>
          <w:smallCaps/>
          <w:lang w:val="de-CH"/>
        </w:rPr>
        <w:t>Boente</w:t>
      </w:r>
      <w:r w:rsidRPr="007F225D">
        <w:rPr>
          <w:lang w:val="de-CH"/>
        </w:rPr>
        <w:t xml:space="preserve"> (</w:t>
      </w:r>
      <w:r>
        <w:rPr>
          <w:lang w:val="de-CH"/>
        </w:rPr>
        <w:t xml:space="preserve">N </w:t>
      </w:r>
      <w:r>
        <w:rPr>
          <w:highlight w:val="green"/>
          <w:lang w:val="de-CH"/>
        </w:rPr>
        <w:fldChar w:fldCharType="begin"/>
      </w:r>
      <w:r>
        <w:rPr>
          <w:lang w:val="de-CH"/>
        </w:rPr>
        <w:instrText xml:space="preserve"> NOTEREF _Ref95898126 \h </w:instrText>
      </w:r>
      <w:r>
        <w:rPr>
          <w:highlight w:val="green"/>
          <w:lang w:val="de-CH"/>
        </w:rPr>
      </w:r>
      <w:r>
        <w:rPr>
          <w:highlight w:val="green"/>
          <w:lang w:val="de-CH"/>
        </w:rPr>
        <w:fldChar w:fldCharType="separate"/>
      </w:r>
      <w:r>
        <w:rPr>
          <w:lang w:val="de-CH"/>
        </w:rPr>
        <w:t>90</w:t>
      </w:r>
      <w:r>
        <w:rPr>
          <w:highlight w:val="green"/>
          <w:lang w:val="de-CH"/>
        </w:rPr>
        <w:fldChar w:fldCharType="end"/>
      </w:r>
      <w:r>
        <w:rPr>
          <w:lang w:val="de-CH"/>
        </w:rPr>
        <w:t>)</w:t>
      </w:r>
      <w:r w:rsidRPr="007F225D">
        <w:rPr>
          <w:lang w:val="de-CH"/>
        </w:rPr>
        <w:t xml:space="preserve">, art. 360 ch. 210; </w:t>
      </w:r>
      <w:r w:rsidRPr="007F225D">
        <w:rPr>
          <w:smallCaps/>
          <w:lang w:val="de-CH"/>
        </w:rPr>
        <w:t>Boente</w:t>
      </w:r>
      <w:r w:rsidRPr="007F225D">
        <w:rPr>
          <w:lang w:val="de-CH"/>
        </w:rPr>
        <w:t xml:space="preserve"> (</w:t>
      </w:r>
      <w:r>
        <w:rPr>
          <w:lang w:val="de-CH"/>
        </w:rPr>
        <w:t xml:space="preserve">N </w:t>
      </w:r>
      <w:r>
        <w:rPr>
          <w:highlight w:val="green"/>
          <w:lang w:val="de-CH"/>
        </w:rPr>
        <w:fldChar w:fldCharType="begin"/>
      </w:r>
      <w:r>
        <w:rPr>
          <w:lang w:val="de-CH"/>
        </w:rPr>
        <w:instrText xml:space="preserve"> NOTEREF _Ref95898126 \h </w:instrText>
      </w:r>
      <w:r>
        <w:rPr>
          <w:highlight w:val="green"/>
          <w:lang w:val="de-CH"/>
        </w:rPr>
      </w:r>
      <w:r>
        <w:rPr>
          <w:highlight w:val="green"/>
          <w:lang w:val="de-CH"/>
        </w:rPr>
        <w:fldChar w:fldCharType="separate"/>
      </w:r>
      <w:r>
        <w:rPr>
          <w:lang w:val="de-CH"/>
        </w:rPr>
        <w:t>90</w:t>
      </w:r>
      <w:r>
        <w:rPr>
          <w:highlight w:val="green"/>
          <w:lang w:val="de-CH"/>
        </w:rPr>
        <w:fldChar w:fldCharType="end"/>
      </w:r>
      <w:r>
        <w:rPr>
          <w:lang w:val="de-CH"/>
        </w:rPr>
        <w:t>)</w:t>
      </w:r>
      <w:r w:rsidRPr="00D72411">
        <w:rPr>
          <w:lang w:val="de-CH"/>
        </w:rPr>
        <w:t xml:space="preserve">, Art. 378 ch. 92 ss.; </w:t>
      </w:r>
      <w:r w:rsidRPr="00D72411">
        <w:rPr>
          <w:smallCaps/>
          <w:lang w:val="de-CH"/>
        </w:rPr>
        <w:t>Daniel Rosch</w:t>
      </w:r>
      <w:r w:rsidRPr="00D72411">
        <w:rPr>
          <w:lang w:val="de-CH"/>
        </w:rPr>
        <w:t xml:space="preserve">, Art. 426, ch. 14a, dans: </w:t>
      </w:r>
      <w:r w:rsidRPr="00D72411">
        <w:rPr>
          <w:smallCaps/>
          <w:lang w:val="de-CH"/>
        </w:rPr>
        <w:t>Daniel Rosch/Andrea Büchler/Dominik Jakob</w:t>
      </w:r>
      <w:r w:rsidRPr="00D72411">
        <w:rPr>
          <w:lang w:val="de-CH"/>
        </w:rPr>
        <w:t xml:space="preserve"> (Hrsg.), Das neue Erwachsenenschutzrecht: Einführung und Kommentar zu Art. 360 ff. ZGB und VBVV, 2e édition Bâle 2015.</w:t>
      </w:r>
    </w:p>
  </w:footnote>
  <w:footnote w:id="119">
    <w:p w14:paraId="3C03FA8D" w14:textId="7C9E4936" w:rsidR="00E77057" w:rsidRPr="00D72411" w:rsidRDefault="00E77057" w:rsidP="003507E1">
      <w:pPr>
        <w:pStyle w:val="Fussnote"/>
        <w:rPr>
          <w:lang w:val="de-CH"/>
        </w:rPr>
      </w:pPr>
      <w:r w:rsidRPr="008571D3">
        <w:rPr>
          <w:rStyle w:val="FootnoteReference"/>
        </w:rPr>
        <w:footnoteRef/>
      </w:r>
      <w:r w:rsidRPr="008571D3">
        <w:rPr>
          <w:lang w:val="de-CH"/>
        </w:rPr>
        <w:t xml:space="preserve"> A ce sujet </w:t>
      </w:r>
      <w:r w:rsidRPr="008571D3">
        <w:rPr>
          <w:smallCaps/>
          <w:lang w:val="de-CH"/>
        </w:rPr>
        <w:t>Kurt Pärli</w:t>
      </w:r>
      <w:r w:rsidRPr="008571D3">
        <w:rPr>
          <w:lang w:val="de-CH"/>
        </w:rPr>
        <w:t>, Zwangsmassnahmen in der Pflege, AJP/PJA 2011, p. 360-370, 362.</w:t>
      </w:r>
    </w:p>
  </w:footnote>
  <w:footnote w:id="120">
    <w:p w14:paraId="19DAA352" w14:textId="3D436C13" w:rsidR="00E77057" w:rsidRPr="000A7A5C" w:rsidRDefault="00E77057" w:rsidP="003507E1">
      <w:pPr>
        <w:pStyle w:val="Fussnote"/>
      </w:pPr>
      <w:r w:rsidRPr="000A7A5C">
        <w:rPr>
          <w:rStyle w:val="FootnoteReference"/>
        </w:rPr>
        <w:footnoteRef/>
      </w:r>
      <w:r w:rsidRPr="000A7A5C">
        <w:t xml:space="preserve"> </w:t>
      </w:r>
      <w:hyperlink r:id="rId100" w:history="1">
        <w:r w:rsidRPr="0082483C">
          <w:rPr>
            <w:rStyle w:val="Hyperlink"/>
          </w:rPr>
          <w:t>Site Web CNPT au sujet des mesures de privation de liberté</w:t>
        </w:r>
      </w:hyperlink>
      <w:r w:rsidRPr="000A7A5C">
        <w:t>.</w:t>
      </w:r>
      <w:r w:rsidRPr="00094056">
        <w:rPr>
          <w:highlight w:val="green"/>
        </w:rPr>
        <w:t xml:space="preserve"> </w:t>
      </w:r>
    </w:p>
  </w:footnote>
  <w:footnote w:id="121">
    <w:p w14:paraId="73B846B2" w14:textId="37DB0D5F" w:rsidR="00E77057" w:rsidRPr="000A7A5C" w:rsidRDefault="00E77057" w:rsidP="003507E1">
      <w:pPr>
        <w:pStyle w:val="Fussnote"/>
      </w:pPr>
      <w:r w:rsidRPr="000A7A5C">
        <w:rPr>
          <w:rStyle w:val="FootnoteReference"/>
        </w:rPr>
        <w:footnoteRef/>
      </w:r>
      <w:r w:rsidRPr="000A7A5C">
        <w:t xml:space="preserve"> CNPT, </w:t>
      </w:r>
      <w:hyperlink r:id="rId101" w:history="1">
        <w:r w:rsidRPr="00F6282C">
          <w:rPr>
            <w:rStyle w:val="Hyperlink"/>
          </w:rPr>
          <w:t>Rapport d’activité 2018</w:t>
        </w:r>
      </w:hyperlink>
      <w:r w:rsidRPr="00F6282C">
        <w:t>, p. 16 ss. et 54;</w:t>
      </w:r>
      <w:r w:rsidRPr="000A7A5C">
        <w:t xml:space="preserve"> CNPT, </w:t>
      </w:r>
      <w:hyperlink r:id="rId102" w:history="1">
        <w:r w:rsidRPr="00F6282C">
          <w:rPr>
            <w:rStyle w:val="Hyperlink"/>
          </w:rPr>
          <w:t>Rapport d’activité 2016</w:t>
        </w:r>
      </w:hyperlink>
      <w:r w:rsidRPr="00F6282C">
        <w:t>, p. 50.</w:t>
      </w:r>
    </w:p>
  </w:footnote>
  <w:footnote w:id="122">
    <w:p w14:paraId="7F7D068F" w14:textId="3D02A171" w:rsidR="00E77057" w:rsidRPr="000A7A5C" w:rsidRDefault="00E77057" w:rsidP="003507E1">
      <w:pPr>
        <w:pStyle w:val="Fussnote"/>
      </w:pPr>
      <w:r w:rsidRPr="000A7A5C">
        <w:rPr>
          <w:rStyle w:val="FootnoteReference"/>
        </w:rPr>
        <w:footnoteRef/>
      </w:r>
      <w:r w:rsidRPr="000A7A5C">
        <w:t xml:space="preserve"> CNPT, </w:t>
      </w:r>
      <w:hyperlink r:id="rId103" w:history="1">
        <w:r w:rsidRPr="00321CBA">
          <w:rPr>
            <w:rStyle w:val="Hyperlink"/>
          </w:rPr>
          <w:t>Rapport d’activité 2018</w:t>
        </w:r>
      </w:hyperlink>
      <w:r w:rsidRPr="000A7A5C">
        <w:t xml:space="preserve"> (</w:t>
      </w:r>
      <w:r>
        <w:t>note</w:t>
      </w:r>
      <w:r w:rsidRPr="000A7A5C">
        <w:t xml:space="preserve"> 38); CNPT, </w:t>
      </w:r>
      <w:hyperlink r:id="rId104" w:history="1">
        <w:r w:rsidRPr="00321CBA">
          <w:rPr>
            <w:rStyle w:val="Hyperlink"/>
          </w:rPr>
          <w:t>Rapport d’activité 2016</w:t>
        </w:r>
        <w:r w:rsidRPr="000A7A5C">
          <w:rPr>
            <w:rStyle w:val="Hyperlink"/>
          </w:rPr>
          <w:t xml:space="preserve"> </w:t>
        </w:r>
        <w:r w:rsidRPr="000A7A5C">
          <w:t>(</w:t>
        </w:r>
        <w:r>
          <w:t>notes</w:t>
        </w:r>
        <w:r w:rsidRPr="000A7A5C">
          <w:t xml:space="preserve"> 1, 56, 58, 59 et 88)</w:t>
        </w:r>
      </w:hyperlink>
      <w:r w:rsidRPr="000A7A5C">
        <w:t>.</w:t>
      </w:r>
    </w:p>
  </w:footnote>
  <w:footnote w:id="123">
    <w:p w14:paraId="54A9B858" w14:textId="28F837A8" w:rsidR="00E77057" w:rsidRPr="00321CBA" w:rsidRDefault="00E77057" w:rsidP="00321CBA">
      <w:pPr>
        <w:pStyle w:val="Fussnote"/>
      </w:pPr>
      <w:r w:rsidRPr="000A7A5C">
        <w:rPr>
          <w:rStyle w:val="FootnoteReference"/>
        </w:rPr>
        <w:footnoteRef/>
      </w:r>
      <w:r w:rsidRPr="000A7A5C">
        <w:t xml:space="preserve"> </w:t>
      </w:r>
      <w:r w:rsidRPr="00F6282C">
        <w:t xml:space="preserve">CNPT, </w:t>
      </w:r>
      <w:hyperlink r:id="rId105" w:history="1">
        <w:r w:rsidRPr="00F6282C">
          <w:rPr>
            <w:rStyle w:val="Hyperlink"/>
          </w:rPr>
          <w:t>rapport d’activité 2020</w:t>
        </w:r>
      </w:hyperlink>
      <w:r w:rsidRPr="00F6282C">
        <w:t>, p. 1.</w:t>
      </w:r>
    </w:p>
  </w:footnote>
  <w:footnote w:id="124">
    <w:p w14:paraId="70FC72E2" w14:textId="77777777" w:rsidR="00E77057" w:rsidRPr="000A7A5C" w:rsidRDefault="00E77057" w:rsidP="003507E1">
      <w:pPr>
        <w:pStyle w:val="Fussnote"/>
      </w:pPr>
      <w:r w:rsidRPr="000A7A5C">
        <w:rPr>
          <w:rStyle w:val="FootnoteReference"/>
        </w:rPr>
        <w:footnoteRef/>
      </w:r>
      <w:r w:rsidRPr="000A7A5C">
        <w:t xml:space="preserve"> Première prise de contact téléphonique par la CNPT en été 2021.</w:t>
      </w:r>
    </w:p>
  </w:footnote>
  <w:footnote w:id="125">
    <w:p w14:paraId="55275C9E" w14:textId="557BE612" w:rsidR="00E77057" w:rsidRPr="000A7A5C" w:rsidRDefault="00E77057" w:rsidP="003507E1">
      <w:pPr>
        <w:pStyle w:val="Fussnote"/>
      </w:pPr>
      <w:r w:rsidRPr="000A7A5C">
        <w:rPr>
          <w:rStyle w:val="FootnoteReference"/>
        </w:rPr>
        <w:footnoteRef/>
      </w:r>
      <w:r w:rsidRPr="000A7A5C">
        <w:t xml:space="preserve"> </w:t>
      </w:r>
      <w:hyperlink r:id="rId106" w:history="1">
        <w:r w:rsidRPr="00F6282C">
          <w:rPr>
            <w:rStyle w:val="Hyperlink"/>
            <w:smallCaps/>
          </w:rPr>
          <w:t>Thomas Widmer, Kathrin Frey, Daniela Eberli, Basil Schläpfer, Julia Rickenbacher</w:t>
        </w:r>
        <w:r w:rsidRPr="00F6282C">
          <w:rPr>
            <w:rStyle w:val="Hyperlink"/>
          </w:rPr>
          <w:t>, Évaluation de la LRH, rapport final sur mandat de l’OFSP, 2019</w:t>
        </w:r>
      </w:hyperlink>
      <w:r w:rsidRPr="000A7A5C">
        <w:t xml:space="preserve">, p. 85 (avec </w:t>
      </w:r>
      <w:r>
        <w:t>note</w:t>
      </w:r>
      <w:r w:rsidRPr="000A7A5C">
        <w:t xml:space="preserve"> 115) (seulement en allemand). </w:t>
      </w:r>
      <w:r>
        <w:t xml:space="preserve">Il </w:t>
      </w:r>
      <w:r w:rsidRPr="00E5103F">
        <w:t>s’agit de l’art. 31 du Règlement 536/2014</w:t>
      </w:r>
      <w:r w:rsidRPr="000A7A5C">
        <w:t xml:space="preserve">. </w:t>
      </w:r>
      <w:r>
        <w:t>D</w:t>
      </w:r>
      <w:r w:rsidRPr="000A7A5C">
        <w:t xml:space="preserve">es différences </w:t>
      </w:r>
      <w:r>
        <w:t xml:space="preserve">existent </w:t>
      </w:r>
      <w:r w:rsidRPr="000A7A5C">
        <w:t>notamment concernant l’exigence d’un bénéfice direct pour la personne concernée. Selon ce rapport de synthèse, un projet sur cinq projets autorisés en Suisse (20.5%) porte sur des personnes vulnérables; la proportion de demandes autorisées incluant une recherche sur des personnes vulnérables se situe autour de 34.4% (p. 52).</w:t>
      </w:r>
    </w:p>
  </w:footnote>
  <w:footnote w:id="126">
    <w:p w14:paraId="70C28DA4" w14:textId="0D3629AB" w:rsidR="00E77057" w:rsidRPr="00D20298" w:rsidRDefault="00E77057" w:rsidP="003507E1">
      <w:pPr>
        <w:pStyle w:val="Fussnote"/>
      </w:pPr>
      <w:r w:rsidRPr="000A7A5C">
        <w:rPr>
          <w:rStyle w:val="FootnoteReference"/>
          <w:bCs/>
          <w:szCs w:val="20"/>
          <w:lang w:eastAsia="fr-FR"/>
        </w:rPr>
        <w:footnoteRef/>
      </w:r>
      <w:r w:rsidRPr="000A7A5C">
        <w:rPr>
          <w:rFonts w:eastAsiaTheme="majorEastAsia"/>
          <w:bCs/>
          <w:szCs w:val="20"/>
          <w:lang w:eastAsia="fr-FR"/>
        </w:rPr>
        <w:t xml:space="preserve"> </w:t>
      </w:r>
      <w:hyperlink r:id="rId107" w:history="1">
        <w:r w:rsidRPr="00D20298">
          <w:rPr>
            <w:rStyle w:val="Hyperlink"/>
            <w:rFonts w:eastAsiaTheme="majorEastAsia"/>
            <w:bCs/>
            <w:szCs w:val="18"/>
            <w:lang w:eastAsia="fr-FR"/>
          </w:rPr>
          <w:t>OFAS, rapport loi relative à la recherche sur l’être humain (LRH): résultats de l’évaluation et suite de la procédure, 2019</w:t>
        </w:r>
      </w:hyperlink>
      <w:r w:rsidRPr="00D20298">
        <w:rPr>
          <w:rStyle w:val="Hyperlink"/>
          <w:rFonts w:eastAsiaTheme="majorEastAsia"/>
          <w:bCs/>
          <w:szCs w:val="18"/>
          <w:u w:val="none"/>
          <w:lang w:eastAsia="fr-FR"/>
        </w:rPr>
        <w:t>.</w:t>
      </w:r>
    </w:p>
  </w:footnote>
  <w:footnote w:id="127">
    <w:p w14:paraId="72C0CAFB" w14:textId="2509E4EC" w:rsidR="00E77057" w:rsidRPr="000A7A5C" w:rsidRDefault="00E77057" w:rsidP="003507E1">
      <w:pPr>
        <w:pStyle w:val="Fussnote"/>
      </w:pPr>
      <w:r w:rsidRPr="000A7A5C">
        <w:rPr>
          <w:rStyle w:val="FootnoteReference"/>
        </w:rPr>
        <w:footnoteRef/>
      </w:r>
      <w:r w:rsidRPr="000A7A5C">
        <w:t xml:space="preserve"> </w:t>
      </w:r>
      <w:hyperlink r:id="rId108" w:history="1">
        <w:r w:rsidRPr="004D4FD8">
          <w:rPr>
            <w:rStyle w:val="Hyperlink"/>
          </w:rPr>
          <w:t>Message du CF sur la loi fédérale relative à la recherche sur l’être humain du 21.10.2009</w:t>
        </w:r>
      </w:hyperlink>
      <w:r w:rsidRPr="004D4FD8">
        <w:t>, FF 200</w:t>
      </w:r>
      <w:r w:rsidRPr="000A7A5C">
        <w:t xml:space="preserve">9 7259, </w:t>
      </w:r>
      <w:r>
        <w:t xml:space="preserve">p. </w:t>
      </w:r>
      <w:r w:rsidRPr="000A7A5C">
        <w:t>7328: «</w:t>
      </w:r>
      <w:r>
        <w:t>l</w:t>
      </w:r>
      <w:r w:rsidRPr="000A7A5C">
        <w:t>es exigences posées en termes de capacités intellectuelles ou de capacités de discernement sont moins strictes pour un refus valable que pour un consentement valable.».</w:t>
      </w:r>
    </w:p>
  </w:footnote>
  <w:footnote w:id="128">
    <w:p w14:paraId="52C0929D" w14:textId="479A70EF" w:rsidR="00E77057" w:rsidRPr="004D4FD8" w:rsidRDefault="00E77057" w:rsidP="003507E1">
      <w:pPr>
        <w:pStyle w:val="Fussnote"/>
        <w:rPr>
          <w:lang w:val="fr-FR"/>
        </w:rPr>
      </w:pPr>
      <w:r w:rsidRPr="000A7A5C">
        <w:rPr>
          <w:rStyle w:val="FootnoteReference"/>
        </w:rPr>
        <w:footnoteRef/>
      </w:r>
      <w:r w:rsidRPr="000A7A5C">
        <w:t xml:space="preserve"> Cf. également art. 17 </w:t>
      </w:r>
      <w:r w:rsidRPr="004D4FD8">
        <w:t xml:space="preserve">CDPH, p. </w:t>
      </w:r>
      <w:r w:rsidRPr="004D4FD8">
        <w:fldChar w:fldCharType="begin"/>
      </w:r>
      <w:r w:rsidRPr="004D4FD8">
        <w:instrText xml:space="preserve"> PAGEREF _Ref95904643 \h </w:instrText>
      </w:r>
      <w:r w:rsidRPr="004D4FD8">
        <w:fldChar w:fldCharType="separate"/>
      </w:r>
      <w:r>
        <w:rPr>
          <w:noProof/>
        </w:rPr>
        <w:t>37</w:t>
      </w:r>
      <w:r w:rsidRPr="004D4FD8">
        <w:fldChar w:fldCharType="end"/>
      </w:r>
      <w:r>
        <w:t xml:space="preserve"> ss</w:t>
      </w:r>
      <w:r w:rsidRPr="004D4FD8">
        <w:t>.</w:t>
      </w:r>
    </w:p>
  </w:footnote>
  <w:footnote w:id="129">
    <w:p w14:paraId="55254A50" w14:textId="03C4DB6F" w:rsidR="00E77057" w:rsidRPr="00B644F9" w:rsidRDefault="00E77057" w:rsidP="003507E1">
      <w:pPr>
        <w:pStyle w:val="Fussnote"/>
        <w:rPr>
          <w:lang w:val="fr-FR"/>
        </w:rPr>
      </w:pPr>
      <w:r w:rsidRPr="000A7A5C">
        <w:rPr>
          <w:rStyle w:val="FootnoteReference"/>
          <w:szCs w:val="18"/>
        </w:rPr>
        <w:footnoteRef/>
      </w:r>
      <w:r w:rsidRPr="00B644F9">
        <w:rPr>
          <w:lang w:val="fr-FR"/>
        </w:rPr>
        <w:t xml:space="preserve"> Cf. </w:t>
      </w:r>
      <w:hyperlink r:id="rId109" w:history="1">
        <w:r w:rsidRPr="004314CB">
          <w:rPr>
            <w:rStyle w:val="Hyperlink"/>
          </w:rPr>
          <w:t xml:space="preserve">Rapport alternatif </w:t>
        </w:r>
        <w:r w:rsidRPr="00D10597">
          <w:rPr>
            <w:rStyle w:val="Hyperlink"/>
            <w:szCs w:val="18"/>
          </w:rPr>
          <w:t>Convention d’Istanbul</w:t>
        </w:r>
      </w:hyperlink>
      <w:r w:rsidRPr="00B644F9">
        <w:rPr>
          <w:szCs w:val="18"/>
          <w:lang w:val="fr-FR"/>
        </w:rPr>
        <w:t xml:space="preserve">, </w:t>
      </w:r>
      <w:r w:rsidRPr="005A1338">
        <w:rPr>
          <w:szCs w:val="18"/>
          <w:lang w:val="fr-FR"/>
        </w:rPr>
        <w:t>(</w:t>
      </w:r>
      <w:r>
        <w:rPr>
          <w:szCs w:val="18"/>
          <w:lang w:val="fr-FR"/>
        </w:rPr>
        <w:t xml:space="preserve">N </w:t>
      </w:r>
      <w:r>
        <w:rPr>
          <w:szCs w:val="18"/>
          <w:highlight w:val="yellow"/>
          <w:lang w:val="fr-FR"/>
        </w:rPr>
        <w:fldChar w:fldCharType="begin"/>
      </w:r>
      <w:r>
        <w:rPr>
          <w:szCs w:val="18"/>
          <w:lang w:val="fr-FR"/>
        </w:rPr>
        <w:instrText xml:space="preserve"> NOTEREF _Ref96097552 \h </w:instrText>
      </w:r>
      <w:r>
        <w:rPr>
          <w:szCs w:val="18"/>
          <w:highlight w:val="yellow"/>
          <w:lang w:val="fr-FR"/>
        </w:rPr>
      </w:r>
      <w:r>
        <w:rPr>
          <w:szCs w:val="18"/>
          <w:highlight w:val="yellow"/>
          <w:lang w:val="fr-FR"/>
        </w:rPr>
        <w:fldChar w:fldCharType="separate"/>
      </w:r>
      <w:r>
        <w:rPr>
          <w:szCs w:val="18"/>
          <w:lang w:val="fr-FR"/>
        </w:rPr>
        <w:t>46</w:t>
      </w:r>
      <w:r>
        <w:rPr>
          <w:szCs w:val="18"/>
          <w:highlight w:val="yellow"/>
          <w:lang w:val="fr-FR"/>
        </w:rPr>
        <w:fldChar w:fldCharType="end"/>
      </w:r>
      <w:r w:rsidRPr="00B644F9">
        <w:rPr>
          <w:szCs w:val="18"/>
          <w:lang w:val="fr-FR"/>
        </w:rPr>
        <w:t>)</w:t>
      </w:r>
      <w:r w:rsidRPr="00B644F9">
        <w:rPr>
          <w:lang w:val="fr-FR"/>
        </w:rPr>
        <w:t xml:space="preserve">, </w:t>
      </w:r>
      <w:r w:rsidRPr="00B644F9">
        <w:rPr>
          <w:color w:val="000000"/>
          <w:lang w:val="fr-FR"/>
        </w:rPr>
        <w:t>S. 193 ss.</w:t>
      </w:r>
    </w:p>
  </w:footnote>
  <w:footnote w:id="130">
    <w:p w14:paraId="12A0B528" w14:textId="3222EA0C" w:rsidR="00E77057" w:rsidRPr="000A7A5C" w:rsidRDefault="00E77057" w:rsidP="003507E1">
      <w:pPr>
        <w:pStyle w:val="Fussnote"/>
        <w:rPr>
          <w:szCs w:val="18"/>
        </w:rPr>
      </w:pPr>
      <w:r w:rsidRPr="000A7A5C">
        <w:rPr>
          <w:rStyle w:val="FootnoteReference"/>
          <w:szCs w:val="18"/>
        </w:rPr>
        <w:footnoteRef/>
      </w:r>
      <w:r w:rsidRPr="000A7A5C">
        <w:rPr>
          <w:szCs w:val="18"/>
        </w:rPr>
        <w:t xml:space="preserve"> </w:t>
      </w:r>
      <w:hyperlink r:id="rId110" w:history="1">
        <w:r w:rsidRPr="004D4FD8">
          <w:rPr>
            <w:rStyle w:val="Hyperlink"/>
            <w:szCs w:val="18"/>
          </w:rPr>
          <w:t>Postulat Roth du 19.6.2020, Violences subies par des personnes handicapées en Suisse</w:t>
        </w:r>
      </w:hyperlink>
      <w:r>
        <w:rPr>
          <w:rStyle w:val="Hyperlink"/>
          <w:szCs w:val="18"/>
        </w:rPr>
        <w:t>.</w:t>
      </w:r>
    </w:p>
  </w:footnote>
  <w:footnote w:id="131">
    <w:p w14:paraId="3A528E0F" w14:textId="0079AC17" w:rsidR="00E77057" w:rsidRPr="00463558" w:rsidRDefault="00E77057" w:rsidP="003507E1">
      <w:pPr>
        <w:pStyle w:val="Fussnote"/>
        <w:rPr>
          <w:szCs w:val="18"/>
        </w:rPr>
      </w:pPr>
      <w:r w:rsidRPr="000A7A5C">
        <w:rPr>
          <w:rStyle w:val="FootnoteReference"/>
          <w:szCs w:val="18"/>
        </w:rPr>
        <w:footnoteRef/>
      </w:r>
      <w:r w:rsidRPr="000A7A5C">
        <w:rPr>
          <w:szCs w:val="18"/>
        </w:rPr>
        <w:t xml:space="preserve"> </w:t>
      </w:r>
      <w:hyperlink r:id="rId111" w:history="1">
        <w:r>
          <w:rPr>
            <w:rStyle w:val="Hyperlink"/>
            <w:szCs w:val="18"/>
          </w:rPr>
          <w:t>BFEG, Plan d’action Stratégie E</w:t>
        </w:r>
        <w:r w:rsidRPr="004314CB">
          <w:rPr>
            <w:rStyle w:val="Hyperlink"/>
            <w:szCs w:val="18"/>
          </w:rPr>
          <w:t>galité 2030, déc. 2021</w:t>
        </w:r>
      </w:hyperlink>
      <w:r w:rsidRPr="000A7A5C">
        <w:rPr>
          <w:szCs w:val="18"/>
        </w:rPr>
        <w:t xml:space="preserve">, Mesure 3.2.7, </w:t>
      </w:r>
      <w:r>
        <w:rPr>
          <w:szCs w:val="18"/>
        </w:rPr>
        <w:t>p</w:t>
      </w:r>
      <w:r w:rsidRPr="000A7A5C">
        <w:rPr>
          <w:szCs w:val="18"/>
        </w:rPr>
        <w:t>. 44</w:t>
      </w:r>
      <w:r>
        <w:rPr>
          <w:szCs w:val="18"/>
        </w:rPr>
        <w:t xml:space="preserve"> s</w:t>
      </w:r>
      <w:r w:rsidRPr="000A7A5C">
        <w:rPr>
          <w:szCs w:val="18"/>
        </w:rPr>
        <w:t>.</w:t>
      </w:r>
    </w:p>
  </w:footnote>
  <w:footnote w:id="132">
    <w:p w14:paraId="0C2096B7" w14:textId="56CB9B80" w:rsidR="00E77057" w:rsidRPr="00C623D6" w:rsidRDefault="00E77057" w:rsidP="003507E1">
      <w:pPr>
        <w:pStyle w:val="Fussnote"/>
        <w:rPr>
          <w:szCs w:val="18"/>
        </w:rPr>
      </w:pPr>
      <w:r w:rsidRPr="000A7A5C">
        <w:rPr>
          <w:rStyle w:val="FootnoteReference"/>
          <w:szCs w:val="18"/>
        </w:rPr>
        <w:footnoteRef/>
      </w:r>
      <w:r w:rsidRPr="00C623D6">
        <w:rPr>
          <w:szCs w:val="18"/>
        </w:rPr>
        <w:t xml:space="preserve"> </w:t>
      </w:r>
      <w:hyperlink r:id="rId112" w:history="1">
        <w:r w:rsidRPr="004314CB">
          <w:rPr>
            <w:rStyle w:val="Hyperlink"/>
            <w:szCs w:val="18"/>
          </w:rPr>
          <w:t>BFEH, d</w:t>
        </w:r>
        <w:r>
          <w:rPr>
            <w:rStyle w:val="Hyperlink"/>
            <w:szCs w:val="18"/>
          </w:rPr>
          <w:t>ossier thématique Égalité des personnes handicapées</w:t>
        </w:r>
        <w:r w:rsidRPr="004314CB">
          <w:rPr>
            <w:rStyle w:val="Hyperlink"/>
            <w:szCs w:val="18"/>
          </w:rPr>
          <w:t>: Femmes, 2013</w:t>
        </w:r>
      </w:hyperlink>
      <w:r w:rsidRPr="00C623D6">
        <w:rPr>
          <w:szCs w:val="18"/>
        </w:rPr>
        <w:t xml:space="preserve">, </w:t>
      </w:r>
      <w:r>
        <w:rPr>
          <w:szCs w:val="18"/>
        </w:rPr>
        <w:t>p</w:t>
      </w:r>
      <w:r w:rsidRPr="00C623D6">
        <w:rPr>
          <w:szCs w:val="18"/>
        </w:rPr>
        <w:t>. 37.</w:t>
      </w:r>
    </w:p>
  </w:footnote>
  <w:footnote w:id="133">
    <w:p w14:paraId="5942A5F9" w14:textId="282D8FC7" w:rsidR="00E77057" w:rsidRPr="000A7A5C" w:rsidRDefault="00E77057" w:rsidP="003507E1">
      <w:pPr>
        <w:pStyle w:val="Fussnote"/>
        <w:rPr>
          <w:szCs w:val="18"/>
        </w:rPr>
      </w:pPr>
      <w:r w:rsidRPr="000A7A5C">
        <w:rPr>
          <w:rStyle w:val="FootnoteReference"/>
          <w:szCs w:val="18"/>
        </w:rPr>
        <w:footnoteRef/>
      </w:r>
      <w:r w:rsidRPr="000A7A5C">
        <w:rPr>
          <w:szCs w:val="18"/>
        </w:rPr>
        <w:t xml:space="preserve"> </w:t>
      </w:r>
      <w:hyperlink r:id="rId113" w:history="1">
        <w:r w:rsidRPr="000A7A5C">
          <w:rPr>
            <w:rStyle w:val="Hyperlink"/>
            <w:szCs w:val="18"/>
          </w:rPr>
          <w:t>Plan d’action Stratégie Égalité 2030</w:t>
        </w:r>
      </w:hyperlink>
      <w:r w:rsidRPr="000A7A5C">
        <w:rPr>
          <w:szCs w:val="18"/>
        </w:rPr>
        <w:t xml:space="preserve">, </w:t>
      </w:r>
      <w:r w:rsidRPr="005F5974">
        <w:t xml:space="preserve">(N </w:t>
      </w:r>
      <w:r w:rsidRPr="005F5974">
        <w:fldChar w:fldCharType="begin"/>
      </w:r>
      <w:r w:rsidRPr="005F5974">
        <w:instrText xml:space="preserve"> NOTEREF _Ref96097623 \h </w:instrText>
      </w:r>
      <w:r>
        <w:instrText xml:space="preserve"> \* MERGEFORMAT </w:instrText>
      </w:r>
      <w:r w:rsidRPr="005F5974">
        <w:fldChar w:fldCharType="separate"/>
      </w:r>
      <w:r>
        <w:t>131</w:t>
      </w:r>
      <w:r w:rsidRPr="005F5974">
        <w:fldChar w:fldCharType="end"/>
      </w:r>
      <w:r w:rsidRPr="005F5974">
        <w:t xml:space="preserve">), </w:t>
      </w:r>
      <w:r w:rsidRPr="005F5974">
        <w:rPr>
          <w:szCs w:val="18"/>
        </w:rPr>
        <w:t>Mesure</w:t>
      </w:r>
      <w:r w:rsidRPr="000A7A5C">
        <w:rPr>
          <w:szCs w:val="18"/>
        </w:rPr>
        <w:t xml:space="preserve"> 3.2.8, </w:t>
      </w:r>
      <w:r>
        <w:rPr>
          <w:szCs w:val="18"/>
        </w:rPr>
        <w:t>p</w:t>
      </w:r>
      <w:r w:rsidRPr="000A7A5C">
        <w:rPr>
          <w:szCs w:val="18"/>
        </w:rPr>
        <w:t>. 44</w:t>
      </w:r>
      <w:r>
        <w:rPr>
          <w:szCs w:val="18"/>
        </w:rPr>
        <w:t>.</w:t>
      </w:r>
    </w:p>
  </w:footnote>
  <w:footnote w:id="134">
    <w:p w14:paraId="29B29F75" w14:textId="77777777" w:rsidR="00E77057" w:rsidRPr="000A7A5C" w:rsidRDefault="00E77057" w:rsidP="003507E1">
      <w:pPr>
        <w:pStyle w:val="Fussnote"/>
      </w:pPr>
      <w:r w:rsidRPr="000A7A5C">
        <w:rPr>
          <w:rStyle w:val="FootnoteReference"/>
          <w:szCs w:val="18"/>
        </w:rPr>
        <w:footnoteRef/>
      </w:r>
      <w:r w:rsidRPr="000A7A5C">
        <w:t xml:space="preserve"> Notamment p. ex. </w:t>
      </w:r>
      <w:r w:rsidRPr="00D10597">
        <w:t xml:space="preserve">les </w:t>
      </w:r>
      <w:r w:rsidRPr="00D10597">
        <w:rPr>
          <w:szCs w:val="18"/>
          <w:shd w:val="clear" w:color="auto" w:fill="FFFFFF"/>
        </w:rPr>
        <w:t>actes d'ordre sexuel commis sur une personne incapable de discernement ou de résistance</w:t>
      </w:r>
      <w:r w:rsidRPr="00D10597">
        <w:t xml:space="preserve">, art. 191 CP; abus de détresse ou d’un lien de dépendance, art. 193 CP; actes sexuels avec des personnes hospitalisées, détenues </w:t>
      </w:r>
      <w:r w:rsidRPr="000A7A5C">
        <w:t>ou prévenues, art. 192 CP.</w:t>
      </w:r>
    </w:p>
  </w:footnote>
  <w:footnote w:id="135">
    <w:p w14:paraId="449C0845" w14:textId="77777777" w:rsidR="00E77057" w:rsidRPr="000A7A5C" w:rsidRDefault="00E77057" w:rsidP="003507E1">
      <w:pPr>
        <w:pStyle w:val="Fussnote"/>
      </w:pPr>
      <w:r w:rsidRPr="000A7A5C">
        <w:rPr>
          <w:rStyle w:val="FootnoteReference"/>
          <w:szCs w:val="18"/>
        </w:rPr>
        <w:footnoteRef/>
      </w:r>
      <w:r w:rsidRPr="000A7A5C">
        <w:t xml:space="preserve"> Lésions corporelles graves, art. 122 al. 2 CP; interruption de grossesse sans le consentement de la femme enceinte, art. 118 al. 2 CP.</w:t>
      </w:r>
    </w:p>
  </w:footnote>
  <w:footnote w:id="136">
    <w:p w14:paraId="30F624D2" w14:textId="33A5FD76" w:rsidR="00E77057" w:rsidRPr="000A7A5C" w:rsidRDefault="00E77057" w:rsidP="003507E1">
      <w:pPr>
        <w:pStyle w:val="Fussnote"/>
      </w:pPr>
      <w:r w:rsidRPr="000A7A5C">
        <w:rPr>
          <w:rStyle w:val="FootnoteReference"/>
          <w:szCs w:val="18"/>
        </w:rPr>
        <w:footnoteRef/>
      </w:r>
      <w:r w:rsidRPr="000A7A5C">
        <w:t xml:space="preserve"> Tel était l’énonce de la motivation d’un arrêt relativement clément concernant des actes d’ordre sexuel avec un enfant, selon laquelle les conséquences de l’acte </w:t>
      </w:r>
      <w:r>
        <w:t>«</w:t>
      </w:r>
      <w:r w:rsidRPr="000A7A5C">
        <w:t>n’ont à vrai dire pas eu un impact très grave» sur la victime en ra</w:t>
      </w:r>
      <w:r>
        <w:t>ison de sa déficience cognitive</w:t>
      </w:r>
      <w:r w:rsidRPr="000A7A5C">
        <w:t xml:space="preserve"> (!). Luzerner Zeitung, 15.4.</w:t>
      </w:r>
      <w:r w:rsidRPr="000A7A5C">
        <w:rPr>
          <w:rFonts w:eastAsia="Times New Roman"/>
        </w:rPr>
        <w:t>2018</w:t>
      </w:r>
      <w:r w:rsidRPr="000A7A5C">
        <w:t xml:space="preserve">, article cité dans </w:t>
      </w:r>
      <w:hyperlink r:id="rId114" w:history="1">
        <w:r w:rsidRPr="000A7A5C">
          <w:rPr>
            <w:rStyle w:val="Hyperlink"/>
            <w:szCs w:val="18"/>
          </w:rPr>
          <w:t>Rapport alternatif Convention d’Istanbul</w:t>
        </w:r>
      </w:hyperlink>
      <w:r w:rsidRPr="000A7A5C">
        <w:t xml:space="preserve">, p. 208 </w:t>
      </w:r>
      <w:r w:rsidRPr="005F5974">
        <w:t>(N</w:t>
      </w:r>
      <w:r>
        <w:t xml:space="preserve"> </w:t>
      </w:r>
      <w:r>
        <w:fldChar w:fldCharType="begin"/>
      </w:r>
      <w:r>
        <w:instrText xml:space="preserve"> NOTEREF _Ref96097552 \h </w:instrText>
      </w:r>
      <w:r>
        <w:fldChar w:fldCharType="separate"/>
      </w:r>
      <w:r>
        <w:t>46</w:t>
      </w:r>
      <w:r>
        <w:fldChar w:fldCharType="end"/>
      </w:r>
      <w:r w:rsidRPr="005F5974">
        <w:t>).</w:t>
      </w:r>
    </w:p>
  </w:footnote>
  <w:footnote w:id="137">
    <w:p w14:paraId="2FE60343" w14:textId="2551E91A" w:rsidR="00E77057" w:rsidRPr="000A7A5C" w:rsidRDefault="00E77057" w:rsidP="003507E1">
      <w:pPr>
        <w:pStyle w:val="Fussnote"/>
      </w:pPr>
      <w:r w:rsidRPr="000A7A5C">
        <w:rPr>
          <w:rStyle w:val="FootnoteReference"/>
          <w:szCs w:val="18"/>
        </w:rPr>
        <w:footnoteRef/>
      </w:r>
      <w:r w:rsidRPr="000A7A5C">
        <w:t xml:space="preserve"> Ibid., notamment «Rapport approfondi: protection des filles et des femmes handicapées ayant besoin de soutien et de soins» (p. 152-168) ainsi que «Rapport approfondi: Handicap» (p. 180-221).</w:t>
      </w:r>
    </w:p>
  </w:footnote>
  <w:footnote w:id="138">
    <w:p w14:paraId="2617E766" w14:textId="39BC98E3" w:rsidR="00E77057" w:rsidRPr="00D72411" w:rsidRDefault="00E77057" w:rsidP="003507E1">
      <w:pPr>
        <w:pStyle w:val="Fussnote"/>
        <w:rPr>
          <w:szCs w:val="18"/>
          <w:lang w:val="de-CH"/>
        </w:rPr>
      </w:pPr>
      <w:r w:rsidRPr="000A7A5C">
        <w:rPr>
          <w:rStyle w:val="FootnoteReference"/>
          <w:szCs w:val="18"/>
        </w:rPr>
        <w:footnoteRef/>
      </w:r>
      <w:r w:rsidRPr="00D72411">
        <w:rPr>
          <w:szCs w:val="18"/>
          <w:lang w:val="de-CH"/>
        </w:rPr>
        <w:t xml:space="preserve"> Cf. </w:t>
      </w:r>
      <w:r w:rsidRPr="00B644F9">
        <w:rPr>
          <w:szCs w:val="18"/>
          <w:lang w:val="de-CH"/>
        </w:rPr>
        <w:t>également</w:t>
      </w:r>
      <w:r w:rsidRPr="00D72411">
        <w:rPr>
          <w:szCs w:val="18"/>
          <w:lang w:val="de-CH"/>
        </w:rPr>
        <w:t xml:space="preserve"> </w:t>
      </w:r>
      <w:hyperlink r:id="rId115" w:history="1">
        <w:r w:rsidRPr="00D72411">
          <w:rPr>
            <w:rStyle w:val="Hyperlink"/>
            <w:smallCaps/>
            <w:szCs w:val="18"/>
            <w:lang w:val="de-CH"/>
          </w:rPr>
          <w:t>Niehaus/Caviezel Schmitz/Krüger</w:t>
        </w:r>
        <w:r w:rsidRPr="00D72411">
          <w:rPr>
            <w:rStyle w:val="Hyperlink"/>
            <w:szCs w:val="18"/>
            <w:lang w:val="de-CH"/>
          </w:rPr>
          <w:t>, Zur Situation geistig behinderter Opfer sexueller Gewalt im Strafverfahren: Unwissen erschwert die juristische Arbeit, 2014</w:t>
        </w:r>
      </w:hyperlink>
      <w:r w:rsidRPr="00D72411">
        <w:rPr>
          <w:szCs w:val="18"/>
          <w:lang w:val="de-CH"/>
        </w:rPr>
        <w:t xml:space="preserve"> </w:t>
      </w:r>
      <w:r>
        <w:rPr>
          <w:szCs w:val="18"/>
          <w:lang w:val="de-CH"/>
        </w:rPr>
        <w:t xml:space="preserve">(en </w:t>
      </w:r>
      <w:r w:rsidRPr="00B644F9">
        <w:rPr>
          <w:szCs w:val="18"/>
          <w:lang w:val="de-CH"/>
        </w:rPr>
        <w:t>allemand</w:t>
      </w:r>
      <w:r>
        <w:rPr>
          <w:szCs w:val="18"/>
          <w:lang w:val="de-CH"/>
        </w:rPr>
        <w:t>).</w:t>
      </w:r>
    </w:p>
  </w:footnote>
  <w:footnote w:id="139">
    <w:p w14:paraId="7E150785" w14:textId="77777777" w:rsidR="00E77057" w:rsidRPr="000A7A5C" w:rsidRDefault="00E77057" w:rsidP="003507E1">
      <w:pPr>
        <w:pStyle w:val="Fussnote"/>
      </w:pPr>
      <w:r w:rsidRPr="000A7A5C">
        <w:rPr>
          <w:rStyle w:val="FootnoteReference"/>
          <w:szCs w:val="18"/>
        </w:rPr>
        <w:footnoteRef/>
      </w:r>
      <w:r w:rsidRPr="000A7A5C">
        <w:t xml:space="preserve"> Selon rapport de la SSHID.</w:t>
      </w:r>
    </w:p>
  </w:footnote>
  <w:footnote w:id="140">
    <w:p w14:paraId="07CE86DC" w14:textId="77777777" w:rsidR="00E77057" w:rsidRPr="008E532E" w:rsidRDefault="00E77057" w:rsidP="003507E1">
      <w:pPr>
        <w:pStyle w:val="Fussnote"/>
      </w:pPr>
      <w:r w:rsidRPr="000A7A5C">
        <w:rPr>
          <w:rStyle w:val="FootnoteReference"/>
          <w:szCs w:val="18"/>
        </w:rPr>
        <w:footnoteRef/>
      </w:r>
      <w:r w:rsidRPr="000A7A5C">
        <w:t xml:space="preserve"> Selon rapports de spécialistes et contrairement aux propos dans le </w:t>
      </w:r>
      <w:r w:rsidRPr="00982C54">
        <w:t>PRE</w:t>
      </w:r>
      <w:r w:rsidRPr="000A7A5C">
        <w:t xml:space="preserve">, para. </w:t>
      </w:r>
      <w:r w:rsidRPr="008E532E">
        <w:t>80.</w:t>
      </w:r>
    </w:p>
  </w:footnote>
  <w:footnote w:id="141">
    <w:p w14:paraId="19185E0C" w14:textId="67AF5368" w:rsidR="00E77057" w:rsidRPr="00E62CB2" w:rsidRDefault="00E77057" w:rsidP="003507E1">
      <w:pPr>
        <w:pStyle w:val="Fussnote"/>
        <w:rPr>
          <w:szCs w:val="18"/>
        </w:rPr>
      </w:pPr>
      <w:r w:rsidRPr="000A7A5C">
        <w:rPr>
          <w:rStyle w:val="FootnoteReference"/>
          <w:szCs w:val="18"/>
        </w:rPr>
        <w:footnoteRef/>
      </w:r>
      <w:r w:rsidRPr="00E62CB2">
        <w:rPr>
          <w:szCs w:val="18"/>
        </w:rPr>
        <w:t xml:space="preserve"> </w:t>
      </w:r>
      <w:r w:rsidRPr="00D10597">
        <w:rPr>
          <w:szCs w:val="18"/>
        </w:rPr>
        <w:t xml:space="preserve">Motions </w:t>
      </w:r>
      <w:hyperlink r:id="rId116" w:history="1">
        <w:r w:rsidRPr="00D10597">
          <w:rPr>
            <w:rStyle w:val="Hyperlink"/>
            <w:szCs w:val="18"/>
          </w:rPr>
          <w:t>Funiciello</w:t>
        </w:r>
      </w:hyperlink>
      <w:r w:rsidRPr="00E62CB2">
        <w:rPr>
          <w:szCs w:val="18"/>
        </w:rPr>
        <w:t xml:space="preserve">, </w:t>
      </w:r>
      <w:hyperlink r:id="rId117" w:history="1">
        <w:r w:rsidRPr="00A71F66">
          <w:rPr>
            <w:rStyle w:val="Hyperlink"/>
            <w:szCs w:val="18"/>
          </w:rPr>
          <w:t>Herzog</w:t>
        </w:r>
      </w:hyperlink>
      <w:r w:rsidRPr="00E62CB2">
        <w:t xml:space="preserve"> </w:t>
      </w:r>
      <w:r w:rsidRPr="00E62CB2">
        <w:rPr>
          <w:szCs w:val="18"/>
        </w:rPr>
        <w:t>Permanences destinées aux victimes de violence comme le prévoit la Convention d’Istanbul.</w:t>
      </w:r>
    </w:p>
  </w:footnote>
  <w:footnote w:id="142">
    <w:p w14:paraId="336AAF62" w14:textId="73779CB5" w:rsidR="00E77057" w:rsidRPr="00C74B69" w:rsidRDefault="00E77057" w:rsidP="00C74B69">
      <w:pPr>
        <w:pStyle w:val="Fussnote"/>
        <w:rPr>
          <w:szCs w:val="18"/>
          <w:lang w:val="fr-FR"/>
        </w:rPr>
      </w:pPr>
      <w:r w:rsidRPr="00CB19F9">
        <w:rPr>
          <w:rStyle w:val="FootnoteReference"/>
        </w:rPr>
        <w:footnoteRef/>
      </w:r>
      <w:r w:rsidRPr="00C74B69">
        <w:rPr>
          <w:rStyle w:val="FootnoteReference"/>
          <w:lang w:val="fr-FR"/>
        </w:rPr>
        <w:t xml:space="preserve"> </w:t>
      </w:r>
      <w:r w:rsidRPr="00C74B69">
        <w:rPr>
          <w:szCs w:val="18"/>
          <w:lang w:val="fr-FR"/>
        </w:rPr>
        <w:t xml:space="preserve">Plan d’action stratégie égalité 2030 (FN </w:t>
      </w:r>
      <w:r>
        <w:rPr>
          <w:szCs w:val="18"/>
        </w:rPr>
        <w:fldChar w:fldCharType="begin"/>
      </w:r>
      <w:r w:rsidRPr="00C74B69">
        <w:rPr>
          <w:szCs w:val="18"/>
          <w:lang w:val="fr-FR"/>
        </w:rPr>
        <w:instrText xml:space="preserve"> NOTEREF _Ref95742497 \h </w:instrText>
      </w:r>
      <w:r>
        <w:rPr>
          <w:szCs w:val="18"/>
        </w:rPr>
      </w:r>
      <w:r>
        <w:rPr>
          <w:szCs w:val="18"/>
        </w:rPr>
        <w:fldChar w:fldCharType="separate"/>
      </w:r>
      <w:r>
        <w:rPr>
          <w:szCs w:val="18"/>
          <w:lang w:val="fr-FR"/>
        </w:rPr>
        <w:t>133</w:t>
      </w:r>
      <w:r>
        <w:rPr>
          <w:szCs w:val="18"/>
        </w:rPr>
        <w:fldChar w:fldCharType="end"/>
      </w:r>
      <w:r w:rsidRPr="00C74B69">
        <w:rPr>
          <w:szCs w:val="18"/>
          <w:lang w:val="fr-FR"/>
        </w:rPr>
        <w:t xml:space="preserve">), </w:t>
      </w:r>
      <w:r>
        <w:rPr>
          <w:szCs w:val="18"/>
          <w:lang w:val="fr-FR"/>
        </w:rPr>
        <w:t>Mesure</w:t>
      </w:r>
      <w:r w:rsidRPr="00C74B69">
        <w:rPr>
          <w:szCs w:val="18"/>
          <w:lang w:val="fr-FR"/>
        </w:rPr>
        <w:t xml:space="preserve"> 3.2.3, </w:t>
      </w:r>
      <w:r>
        <w:rPr>
          <w:szCs w:val="18"/>
          <w:lang w:val="fr-FR"/>
        </w:rPr>
        <w:t>p</w:t>
      </w:r>
      <w:r w:rsidRPr="00C74B69">
        <w:rPr>
          <w:szCs w:val="18"/>
          <w:lang w:val="fr-FR"/>
        </w:rPr>
        <w:t xml:space="preserve">. 39 </w:t>
      </w:r>
      <w:r>
        <w:rPr>
          <w:szCs w:val="18"/>
          <w:lang w:val="fr-FR"/>
        </w:rPr>
        <w:t>s</w:t>
      </w:r>
      <w:r w:rsidRPr="00C74B69">
        <w:rPr>
          <w:szCs w:val="18"/>
          <w:lang w:val="fr-FR"/>
        </w:rPr>
        <w:t>.</w:t>
      </w:r>
    </w:p>
  </w:footnote>
  <w:footnote w:id="143">
    <w:p w14:paraId="0E888E97" w14:textId="4504AF53" w:rsidR="00E77057" w:rsidRPr="00C74B69" w:rsidRDefault="00E77057">
      <w:pPr>
        <w:pStyle w:val="FootnoteText"/>
        <w:rPr>
          <w:rFonts w:eastAsia="Cambria"/>
          <w:szCs w:val="18"/>
          <w:vertAlign w:val="baseline"/>
          <w:lang w:val="fr-FR"/>
        </w:rPr>
      </w:pPr>
      <w:r>
        <w:rPr>
          <w:rStyle w:val="FootnoteReference"/>
        </w:rPr>
        <w:footnoteRef/>
      </w:r>
      <w:r>
        <w:t xml:space="preserve"> </w:t>
      </w:r>
      <w:r w:rsidRPr="00C74B69">
        <w:rPr>
          <w:rFonts w:eastAsia="Cambria"/>
          <w:szCs w:val="18"/>
          <w:vertAlign w:val="baseline"/>
          <w:lang w:val="fr-FR"/>
        </w:rPr>
        <w:t xml:space="preserve">Plan d’action stratégie égalité 2030 (FN </w:t>
      </w:r>
      <w:r w:rsidRPr="00C74B69">
        <w:rPr>
          <w:rFonts w:eastAsia="Cambria"/>
          <w:szCs w:val="18"/>
          <w:vertAlign w:val="baseline"/>
          <w:lang w:val="fr-FR"/>
        </w:rPr>
        <w:fldChar w:fldCharType="begin"/>
      </w:r>
      <w:r w:rsidRPr="00C74B69">
        <w:rPr>
          <w:rFonts w:eastAsia="Cambria"/>
          <w:szCs w:val="18"/>
          <w:vertAlign w:val="baseline"/>
          <w:lang w:val="fr-FR"/>
        </w:rPr>
        <w:instrText xml:space="preserve"> NOTEREF _Ref95742497 \h </w:instrText>
      </w:r>
      <w:r>
        <w:rPr>
          <w:rFonts w:eastAsia="Cambria"/>
          <w:szCs w:val="18"/>
          <w:vertAlign w:val="baseline"/>
          <w:lang w:val="fr-FR"/>
        </w:rPr>
        <w:instrText xml:space="preserve"> \* MERGEFORMAT </w:instrText>
      </w:r>
      <w:r w:rsidRPr="00C74B69">
        <w:rPr>
          <w:rFonts w:eastAsia="Cambria"/>
          <w:szCs w:val="18"/>
          <w:vertAlign w:val="baseline"/>
          <w:lang w:val="fr-FR"/>
        </w:rPr>
      </w:r>
      <w:r w:rsidRPr="00C74B69">
        <w:rPr>
          <w:rFonts w:eastAsia="Cambria"/>
          <w:szCs w:val="18"/>
          <w:vertAlign w:val="baseline"/>
          <w:lang w:val="fr-FR"/>
        </w:rPr>
        <w:fldChar w:fldCharType="separate"/>
      </w:r>
      <w:r>
        <w:rPr>
          <w:rFonts w:eastAsia="Cambria"/>
          <w:szCs w:val="18"/>
          <w:vertAlign w:val="baseline"/>
          <w:lang w:val="fr-FR"/>
        </w:rPr>
        <w:t>133</w:t>
      </w:r>
      <w:r w:rsidRPr="00C74B69">
        <w:rPr>
          <w:rFonts w:eastAsia="Cambria"/>
          <w:szCs w:val="18"/>
          <w:vertAlign w:val="baseline"/>
          <w:lang w:val="fr-FR"/>
        </w:rPr>
        <w:fldChar w:fldCharType="end"/>
      </w:r>
      <w:r w:rsidRPr="00C74B69">
        <w:rPr>
          <w:rFonts w:eastAsia="Cambria"/>
          <w:szCs w:val="18"/>
          <w:vertAlign w:val="baseline"/>
          <w:lang w:val="fr-FR"/>
        </w:rPr>
        <w:t xml:space="preserve">), </w:t>
      </w:r>
      <w:r>
        <w:rPr>
          <w:rFonts w:eastAsia="Cambria"/>
          <w:szCs w:val="18"/>
          <w:vertAlign w:val="baseline"/>
          <w:lang w:val="fr-FR"/>
        </w:rPr>
        <w:t>Mesure</w:t>
      </w:r>
      <w:r w:rsidRPr="00C74B69">
        <w:rPr>
          <w:rFonts w:eastAsia="Cambria"/>
          <w:szCs w:val="18"/>
          <w:vertAlign w:val="baseline"/>
          <w:lang w:val="fr-FR"/>
        </w:rPr>
        <w:t xml:space="preserve"> 3.2.</w:t>
      </w:r>
      <w:r>
        <w:rPr>
          <w:rFonts w:eastAsia="Cambria"/>
          <w:szCs w:val="18"/>
          <w:vertAlign w:val="baseline"/>
          <w:lang w:val="fr-FR"/>
        </w:rPr>
        <w:t>1</w:t>
      </w:r>
      <w:r w:rsidRPr="00C74B69">
        <w:rPr>
          <w:rFonts w:eastAsia="Cambria"/>
          <w:szCs w:val="18"/>
          <w:vertAlign w:val="baseline"/>
          <w:lang w:val="fr-FR"/>
        </w:rPr>
        <w:t xml:space="preserve">, </w:t>
      </w:r>
      <w:r>
        <w:rPr>
          <w:rFonts w:eastAsia="Cambria"/>
          <w:szCs w:val="18"/>
          <w:vertAlign w:val="baseline"/>
          <w:lang w:val="fr-FR"/>
        </w:rPr>
        <w:t>p</w:t>
      </w:r>
      <w:r w:rsidRPr="00C74B69">
        <w:rPr>
          <w:rFonts w:eastAsia="Cambria"/>
          <w:szCs w:val="18"/>
          <w:vertAlign w:val="baseline"/>
          <w:lang w:val="fr-FR"/>
        </w:rPr>
        <w:t>. 3</w:t>
      </w:r>
      <w:r>
        <w:rPr>
          <w:rFonts w:eastAsia="Cambria"/>
          <w:szCs w:val="18"/>
          <w:vertAlign w:val="baseline"/>
          <w:lang w:val="fr-FR"/>
        </w:rPr>
        <w:t>7</w:t>
      </w:r>
      <w:r w:rsidRPr="00C74B69">
        <w:rPr>
          <w:rFonts w:eastAsia="Cambria"/>
          <w:szCs w:val="18"/>
          <w:vertAlign w:val="baseline"/>
          <w:lang w:val="fr-FR"/>
        </w:rPr>
        <w:t xml:space="preserve"> </w:t>
      </w:r>
      <w:r>
        <w:rPr>
          <w:rFonts w:eastAsia="Cambria"/>
          <w:szCs w:val="18"/>
          <w:vertAlign w:val="baseline"/>
          <w:lang w:val="fr-FR"/>
        </w:rPr>
        <w:t>s</w:t>
      </w:r>
      <w:r w:rsidRPr="00C74B69">
        <w:rPr>
          <w:rFonts w:eastAsia="Cambria"/>
          <w:szCs w:val="18"/>
          <w:vertAlign w:val="baseline"/>
          <w:lang w:val="fr-FR"/>
        </w:rPr>
        <w:t>.</w:t>
      </w:r>
    </w:p>
  </w:footnote>
  <w:footnote w:id="144">
    <w:p w14:paraId="201C8BB5" w14:textId="5FC6DE90" w:rsidR="00E77057" w:rsidRPr="008959B0" w:rsidRDefault="00E77057" w:rsidP="003507E1">
      <w:pPr>
        <w:pStyle w:val="Fussnote"/>
      </w:pPr>
      <w:r w:rsidRPr="000A7A5C">
        <w:rPr>
          <w:rStyle w:val="FootnoteReference"/>
          <w:szCs w:val="18"/>
        </w:rPr>
        <w:footnoteRef/>
      </w:r>
      <w:r w:rsidRPr="008959B0">
        <w:rPr>
          <w:szCs w:val="18"/>
        </w:rPr>
        <w:t xml:space="preserve"> </w:t>
      </w:r>
      <w:hyperlink r:id="rId118" w:history="1">
        <w:r w:rsidRPr="008959B0">
          <w:rPr>
            <w:rStyle w:val="Hyperlink"/>
            <w:szCs w:val="18"/>
          </w:rPr>
          <w:t>DFJP/CDAS/CCDJP, Violence domestique: feuil</w:t>
        </w:r>
        <w:r>
          <w:rPr>
            <w:rStyle w:val="Hyperlink"/>
            <w:szCs w:val="18"/>
          </w:rPr>
          <w:t>le de route de la Confédération et des cantons</w:t>
        </w:r>
        <w:r w:rsidRPr="008959B0">
          <w:rPr>
            <w:rStyle w:val="Hyperlink"/>
            <w:szCs w:val="18"/>
          </w:rPr>
          <w:t>, 30.4.2021</w:t>
        </w:r>
      </w:hyperlink>
      <w:r>
        <w:t>.</w:t>
      </w:r>
    </w:p>
  </w:footnote>
  <w:footnote w:id="145">
    <w:p w14:paraId="0E7B97FB" w14:textId="721752D9" w:rsidR="00E77057" w:rsidRPr="000A7A5C" w:rsidRDefault="00E77057" w:rsidP="008206B4">
      <w:pPr>
        <w:pStyle w:val="Fussnote"/>
      </w:pPr>
      <w:r w:rsidRPr="000A7A5C">
        <w:rPr>
          <w:rStyle w:val="FootnoteReference"/>
          <w:szCs w:val="18"/>
        </w:rPr>
        <w:footnoteRef/>
      </w:r>
      <w:r w:rsidRPr="000A7A5C">
        <w:t xml:space="preserve"> </w:t>
      </w:r>
      <w:r>
        <w:t xml:space="preserve">Critères exacts selon l’art. </w:t>
      </w:r>
      <w:r w:rsidRPr="000A7A5C">
        <w:t>7 al. 2: «(…) toutes circonstances considérées, dans l’intérêt de la personne concernée»; la conception et la naissance d’un enfant ne peuvent pas être empêchées par des méthodes de contraception appropriées; conception/naissance sont à prévoir; séparation inévitable, parce que «les responsabilités parentales ne peuvent pas être exercées / la grossesse mettrait sérieusement en danger la santé de la femme; aucune chance d’acquérir la capacité de discernement; mode d’opération choisi est celui dont la probabilité de réversibilité est la plus élevée; l’autorité de protection de l’adulte a donné son autorisation. Art. 8 al. 2: Autorité de protection de l’adulte: entend la personne concernée et ses proches; fait établir un rapport sur elle et sur sa situation sociale; recueille l’avis d’un expert psychiatrique sur son incapacité de discernement.</w:t>
      </w:r>
    </w:p>
  </w:footnote>
  <w:footnote w:id="146">
    <w:p w14:paraId="39AD673B" w14:textId="6B552B3A" w:rsidR="00E77057" w:rsidRPr="000C23FA" w:rsidRDefault="00E77057" w:rsidP="007008AB">
      <w:pPr>
        <w:pStyle w:val="Fussnote"/>
        <w:rPr>
          <w:szCs w:val="18"/>
        </w:rPr>
      </w:pPr>
      <w:r w:rsidRPr="000A7A5C">
        <w:rPr>
          <w:rStyle w:val="FootnoteReference"/>
          <w:szCs w:val="18"/>
        </w:rPr>
        <w:footnoteRef/>
      </w:r>
      <w:r w:rsidRPr="000A7A5C">
        <w:rPr>
          <w:szCs w:val="18"/>
        </w:rPr>
        <w:t xml:space="preserve"> Réponse du C</w:t>
      </w:r>
      <w:r>
        <w:rPr>
          <w:szCs w:val="18"/>
        </w:rPr>
        <w:t>F</w:t>
      </w:r>
      <w:r w:rsidRPr="000A7A5C">
        <w:rPr>
          <w:szCs w:val="18"/>
        </w:rPr>
        <w:t xml:space="preserve"> à </w:t>
      </w:r>
      <w:hyperlink r:id="rId119" w:history="1">
        <w:r w:rsidRPr="00D10597">
          <w:rPr>
            <w:rStyle w:val="Hyperlink"/>
            <w:szCs w:val="18"/>
          </w:rPr>
          <w:t>l’interpellation Fehlmann du 2.12.2020</w:t>
        </w:r>
      </w:hyperlink>
      <w:r>
        <w:rPr>
          <w:rStyle w:val="Hyperlink"/>
          <w:szCs w:val="18"/>
        </w:rPr>
        <w:t>.</w:t>
      </w:r>
    </w:p>
  </w:footnote>
  <w:footnote w:id="147">
    <w:p w14:paraId="00FF24B1" w14:textId="3D684602" w:rsidR="00E77057" w:rsidRPr="00316841" w:rsidRDefault="00E77057" w:rsidP="003507E1">
      <w:pPr>
        <w:pStyle w:val="Fussnote"/>
        <w:rPr>
          <w:lang w:val="fr-FR"/>
        </w:rPr>
      </w:pPr>
      <w:r w:rsidRPr="000A7A5C">
        <w:rPr>
          <w:rStyle w:val="FootnoteReference"/>
          <w:szCs w:val="18"/>
        </w:rPr>
        <w:footnoteRef/>
      </w:r>
      <w:r w:rsidRPr="00511A51">
        <w:rPr>
          <w:lang w:val="de-CH"/>
        </w:rPr>
        <w:t xml:space="preserve"> </w:t>
      </w:r>
      <w:hyperlink r:id="rId120" w:history="1">
        <w:r w:rsidRPr="00D10597">
          <w:rPr>
            <w:rStyle w:val="Hyperlink"/>
            <w:szCs w:val="18"/>
            <w:lang w:val="de-CH"/>
          </w:rPr>
          <w:t>CF, Übereinkommen zur Beseitigung jeder Form von Diskriminierung der Frau (CEDAW): Antworten der Schweiz auf die Fragen in der List of Issues im Hinblick auf den sechsten periodischen Bericht, Nov. 2020,</w:t>
        </w:r>
      </w:hyperlink>
      <w:r w:rsidRPr="00D10597">
        <w:rPr>
          <w:szCs w:val="18"/>
          <w:lang w:val="de-CH"/>
        </w:rPr>
        <w:t xml:space="preserve"> para.</w:t>
      </w:r>
      <w:r w:rsidRPr="00511A51">
        <w:rPr>
          <w:szCs w:val="18"/>
          <w:highlight w:val="cyan"/>
          <w:lang w:val="de-CH"/>
        </w:rPr>
        <w:t xml:space="preserve"> </w:t>
      </w:r>
      <w:r w:rsidRPr="00316841">
        <w:rPr>
          <w:szCs w:val="18"/>
          <w:lang w:val="fr-FR"/>
        </w:rPr>
        <w:t>174.</w:t>
      </w:r>
    </w:p>
  </w:footnote>
  <w:footnote w:id="148">
    <w:p w14:paraId="572F4A2E" w14:textId="06F4B172" w:rsidR="00E77057" w:rsidRPr="000A7A5C" w:rsidRDefault="00E77057" w:rsidP="003507E1">
      <w:pPr>
        <w:pStyle w:val="Fussnote"/>
      </w:pPr>
      <w:r w:rsidRPr="000A7A5C">
        <w:rPr>
          <w:rStyle w:val="FootnoteReference"/>
          <w:szCs w:val="18"/>
        </w:rPr>
        <w:footnoteRef/>
      </w:r>
      <w:r w:rsidRPr="000A7A5C">
        <w:t xml:space="preserve"> Il est constaté que l’application de cette disposition est très difficile du point de vue des médecins: </w:t>
      </w:r>
      <w:hyperlink r:id="rId121" w:history="1">
        <w:r w:rsidRPr="00D10597">
          <w:rPr>
            <w:rStyle w:val="Hyperlink"/>
            <w:szCs w:val="18"/>
          </w:rPr>
          <w:t>ASSM, Traitement médical et prise en charge des personnes en situation de handicap, 2017</w:t>
        </w:r>
      </w:hyperlink>
      <w:r w:rsidRPr="000A7A5C">
        <w:t xml:space="preserve">, </w:t>
      </w:r>
      <w:r>
        <w:t>p</w:t>
      </w:r>
      <w:r w:rsidRPr="00D10597">
        <w:t>. 26.</w:t>
      </w:r>
    </w:p>
  </w:footnote>
  <w:footnote w:id="149">
    <w:p w14:paraId="4C3DA32C" w14:textId="3B7EAAA9" w:rsidR="00E77057" w:rsidRPr="005F5974" w:rsidRDefault="00E77057" w:rsidP="003507E1">
      <w:pPr>
        <w:pStyle w:val="Fussnote"/>
        <w:rPr>
          <w:lang w:val="fr-FR"/>
        </w:rPr>
      </w:pPr>
      <w:r w:rsidRPr="006F41A3">
        <w:rPr>
          <w:rStyle w:val="FootnoteReference"/>
          <w:szCs w:val="18"/>
        </w:rPr>
        <w:footnoteRef/>
      </w:r>
      <w:r w:rsidRPr="003507E1">
        <w:t xml:space="preserve"> Réponse du Conseil fédéral à </w:t>
      </w:r>
      <w:hyperlink r:id="rId122" w:history="1">
        <w:r w:rsidRPr="00D10597">
          <w:rPr>
            <w:rStyle w:val="Hyperlink"/>
          </w:rPr>
          <w:t>l’interpellation Fehlmann du 2.12.2020</w:t>
        </w:r>
      </w:hyperlink>
      <w:r>
        <w:t xml:space="preserve"> </w:t>
      </w:r>
      <w:r w:rsidRPr="005F5974">
        <w:rPr>
          <w:lang w:val="fr-FR"/>
        </w:rPr>
        <w:t xml:space="preserve">et </w:t>
      </w:r>
      <w:hyperlink r:id="rId123" w:history="1">
        <w:r w:rsidRPr="005F5974">
          <w:rPr>
            <w:rStyle w:val="Hyperlink"/>
            <w:lang w:val="fr-FR"/>
          </w:rPr>
          <w:t>Rapport alternatif Convention d’Istanbul</w:t>
        </w:r>
      </w:hyperlink>
      <w:r w:rsidRPr="005F5974">
        <w:rPr>
          <w:lang w:val="fr-FR"/>
        </w:rPr>
        <w:t>,</w:t>
      </w:r>
      <w:r>
        <w:rPr>
          <w:lang w:val="fr-FR"/>
        </w:rPr>
        <w:t xml:space="preserve"> (N </w:t>
      </w:r>
      <w:r>
        <w:rPr>
          <w:highlight w:val="green"/>
          <w:lang w:val="fr-FR"/>
        </w:rPr>
        <w:fldChar w:fldCharType="begin"/>
      </w:r>
      <w:r>
        <w:rPr>
          <w:lang w:val="fr-FR"/>
        </w:rPr>
        <w:instrText xml:space="preserve"> NOTEREF _Ref96097552 \h </w:instrText>
      </w:r>
      <w:r>
        <w:rPr>
          <w:highlight w:val="green"/>
          <w:lang w:val="fr-FR"/>
        </w:rPr>
      </w:r>
      <w:r>
        <w:rPr>
          <w:highlight w:val="green"/>
          <w:lang w:val="fr-FR"/>
        </w:rPr>
        <w:fldChar w:fldCharType="separate"/>
      </w:r>
      <w:r>
        <w:rPr>
          <w:lang w:val="fr-FR"/>
        </w:rPr>
        <w:t>46</w:t>
      </w:r>
      <w:r>
        <w:rPr>
          <w:highlight w:val="green"/>
          <w:lang w:val="fr-FR"/>
        </w:rPr>
        <w:fldChar w:fldCharType="end"/>
      </w:r>
      <w:r>
        <w:rPr>
          <w:lang w:val="fr-FR"/>
        </w:rPr>
        <w:t xml:space="preserve">), </w:t>
      </w:r>
      <w:r w:rsidRPr="005F5974">
        <w:rPr>
          <w:lang w:val="fr-FR"/>
        </w:rPr>
        <w:t>p. 203.</w:t>
      </w:r>
    </w:p>
  </w:footnote>
  <w:footnote w:id="150">
    <w:p w14:paraId="77FE4EB6" w14:textId="7C4D72F3" w:rsidR="00E77057" w:rsidRPr="00552D75" w:rsidRDefault="00E77057" w:rsidP="003507E1">
      <w:pPr>
        <w:pStyle w:val="Fussnote"/>
        <w:rPr>
          <w:lang w:val="fr-FR"/>
        </w:rPr>
      </w:pPr>
      <w:r w:rsidRPr="006F41A3">
        <w:rPr>
          <w:rStyle w:val="FootnoteReference"/>
          <w:szCs w:val="18"/>
        </w:rPr>
        <w:footnoteRef/>
      </w:r>
      <w:r w:rsidRPr="00552D75">
        <w:rPr>
          <w:lang w:val="fr-FR"/>
        </w:rPr>
        <w:t xml:space="preserve"> Cf. art. 112b Cst.; Message RPT, p. 5808 et 5809 ff.</w:t>
      </w:r>
    </w:p>
  </w:footnote>
  <w:footnote w:id="151">
    <w:p w14:paraId="721E94D3" w14:textId="4BE40848" w:rsidR="00E77057" w:rsidRPr="00552D75" w:rsidRDefault="00E77057" w:rsidP="003507E1">
      <w:pPr>
        <w:pStyle w:val="Fussnote"/>
        <w:rPr>
          <w:szCs w:val="18"/>
          <w:lang w:val="fr-FR"/>
        </w:rPr>
      </w:pPr>
      <w:r w:rsidRPr="006F41A3">
        <w:rPr>
          <w:rStyle w:val="FootnoteReference"/>
          <w:szCs w:val="18"/>
        </w:rPr>
        <w:footnoteRef/>
      </w:r>
      <w:r w:rsidRPr="00552D75">
        <w:rPr>
          <w:lang w:val="fr-FR"/>
        </w:rPr>
        <w:t xml:space="preserve"> Cf. art. 197 al. 4 Cst. et art. 10 LIPPI.</w:t>
      </w:r>
    </w:p>
  </w:footnote>
  <w:footnote w:id="152">
    <w:p w14:paraId="1F156D40" w14:textId="4E0D0CF7" w:rsidR="00E77057" w:rsidRPr="00552D75" w:rsidRDefault="00E77057" w:rsidP="00127AD3">
      <w:pPr>
        <w:pStyle w:val="Fussnote"/>
        <w:rPr>
          <w:szCs w:val="18"/>
          <w:lang w:val="de-CH"/>
        </w:rPr>
      </w:pPr>
      <w:r w:rsidRPr="000A7A5C">
        <w:rPr>
          <w:rStyle w:val="FootnoteReference"/>
          <w:szCs w:val="18"/>
        </w:rPr>
        <w:footnoteRef/>
      </w:r>
      <w:r>
        <w:t xml:space="preserve"> </w:t>
      </w:r>
      <w:hyperlink r:id="rId124" w:history="1">
        <w:r w:rsidRPr="00552D75">
          <w:rPr>
            <w:rStyle w:val="Hyperlink"/>
            <w:szCs w:val="18"/>
            <w:lang w:val="de-CH"/>
          </w:rPr>
          <w:t>Programme «Autonomie</w:t>
        </w:r>
      </w:hyperlink>
      <w:r w:rsidRPr="00552D75">
        <w:rPr>
          <w:rStyle w:val="Hyperlink"/>
          <w:szCs w:val="18"/>
          <w:lang w:val="de-CH"/>
        </w:rPr>
        <w:t>»</w:t>
      </w:r>
      <w:r w:rsidRPr="00552D75">
        <w:rPr>
          <w:szCs w:val="18"/>
          <w:lang w:val="de-CH"/>
        </w:rPr>
        <w:t>, p. 6 et 8.</w:t>
      </w:r>
    </w:p>
  </w:footnote>
  <w:footnote w:id="153">
    <w:p w14:paraId="140CEEF8" w14:textId="380D32F0" w:rsidR="00E77057" w:rsidRPr="00B34870" w:rsidRDefault="00E77057" w:rsidP="00127AD3">
      <w:pPr>
        <w:pStyle w:val="Fussnote"/>
        <w:rPr>
          <w:szCs w:val="18"/>
          <w:lang w:val="de-CH"/>
        </w:rPr>
      </w:pPr>
      <w:r w:rsidRPr="000A7A5C">
        <w:rPr>
          <w:rStyle w:val="FootnoteReference"/>
          <w:szCs w:val="18"/>
        </w:rPr>
        <w:footnoteRef/>
      </w:r>
      <w:r w:rsidRPr="00D72411">
        <w:rPr>
          <w:szCs w:val="18"/>
          <w:lang w:val="de-CH"/>
        </w:rPr>
        <w:t xml:space="preserve"> </w:t>
      </w:r>
      <w:hyperlink r:id="rId125" w:anchor="pubdb" w:history="1">
        <w:r w:rsidRPr="00D72411">
          <w:rPr>
            <w:rStyle w:val="Hyperlink"/>
            <w:szCs w:val="18"/>
            <w:lang w:val="de-CH"/>
          </w:rPr>
          <w:t>BFH, FoP3-IV Bericht Nr. 7/19, Bestandesaufnahme des Wohnangebots für Menschen mit Behinderungen, 11.11.2019</w:t>
        </w:r>
      </w:hyperlink>
      <w:r>
        <w:rPr>
          <w:szCs w:val="18"/>
          <w:lang w:val="de-CH"/>
        </w:rPr>
        <w:t xml:space="preserve"> (en allemand).</w:t>
      </w:r>
    </w:p>
  </w:footnote>
  <w:footnote w:id="154">
    <w:p w14:paraId="4F3854D8" w14:textId="77777777" w:rsidR="00E77057" w:rsidRPr="000A7A5C" w:rsidRDefault="00E77057" w:rsidP="00127AD3">
      <w:pPr>
        <w:pStyle w:val="Fussnote"/>
        <w:rPr>
          <w:szCs w:val="18"/>
        </w:rPr>
      </w:pPr>
      <w:r w:rsidRPr="000A7A5C">
        <w:rPr>
          <w:rStyle w:val="FootnoteReference"/>
          <w:szCs w:val="18"/>
        </w:rPr>
        <w:footnoteRef/>
      </w:r>
      <w:r w:rsidRPr="000A7A5C">
        <w:rPr>
          <w:szCs w:val="18"/>
        </w:rPr>
        <w:t xml:space="preserve"> Seules les offres d</w:t>
      </w:r>
      <w:r>
        <w:rPr>
          <w:szCs w:val="18"/>
        </w:rPr>
        <w:t>e logements</w:t>
      </w:r>
      <w:r w:rsidRPr="000A7A5C">
        <w:rPr>
          <w:szCs w:val="18"/>
        </w:rPr>
        <w:t xml:space="preserve"> utilisées par les personnes bénéficiant d’une prestation de l’AI (de différents types) (ibid., p. IV) ont été étudiées; des informations précises sur les offres </w:t>
      </w:r>
      <w:r>
        <w:rPr>
          <w:szCs w:val="18"/>
        </w:rPr>
        <w:t xml:space="preserve">en matière </w:t>
      </w:r>
      <w:r w:rsidRPr="000A7A5C">
        <w:rPr>
          <w:szCs w:val="18"/>
        </w:rPr>
        <w:t>d</w:t>
      </w:r>
      <w:r>
        <w:rPr>
          <w:szCs w:val="18"/>
        </w:rPr>
        <w:t>e logement</w:t>
      </w:r>
      <w:r w:rsidRPr="000A7A5C">
        <w:rPr>
          <w:szCs w:val="18"/>
        </w:rPr>
        <w:t xml:space="preserve"> ne sont dis</w:t>
      </w:r>
      <w:r>
        <w:rPr>
          <w:szCs w:val="18"/>
        </w:rPr>
        <w:t>p</w:t>
      </w:r>
      <w:r w:rsidRPr="000A7A5C">
        <w:rPr>
          <w:szCs w:val="18"/>
        </w:rPr>
        <w:t>onibles que par régions, vu que les cantons ont exigé une pseudonymisation des données recensées directement chez eux (ibid., p. 32); manque d’implication des organisations de PH et en particulier des auto-représentant-e-s; les diverses sources de données sont fragmentées, incomplètes et incohérentes.</w:t>
      </w:r>
    </w:p>
  </w:footnote>
  <w:footnote w:id="155">
    <w:p w14:paraId="3F1BB783" w14:textId="6D67F9C0" w:rsidR="00E77057" w:rsidRPr="000A7A5C" w:rsidRDefault="00E77057" w:rsidP="00127AD3">
      <w:pPr>
        <w:pStyle w:val="Fussnote"/>
        <w:rPr>
          <w:szCs w:val="18"/>
        </w:rPr>
      </w:pPr>
      <w:r w:rsidRPr="000A7A5C">
        <w:rPr>
          <w:rStyle w:val="FootnoteReference"/>
          <w:szCs w:val="18"/>
        </w:rPr>
        <w:footnoteRef/>
      </w:r>
      <w:r w:rsidRPr="000A7A5C">
        <w:rPr>
          <w:szCs w:val="18"/>
        </w:rPr>
        <w:t xml:space="preserve"> </w:t>
      </w:r>
      <w:hyperlink r:id="rId126" w:history="1">
        <w:r w:rsidRPr="000A7A5C">
          <w:rPr>
            <w:rStyle w:val="Hyperlink"/>
            <w:szCs w:val="18"/>
          </w:rPr>
          <w:t>Vision de la CDAS de la forme d’habitat autonome des personnes âgées et des PH, 22.1.2021</w:t>
        </w:r>
      </w:hyperlink>
      <w:r w:rsidRPr="000A7A5C">
        <w:rPr>
          <w:szCs w:val="18"/>
        </w:rPr>
        <w:t>.</w:t>
      </w:r>
    </w:p>
  </w:footnote>
  <w:footnote w:id="156">
    <w:p w14:paraId="255BFCA6" w14:textId="77777777" w:rsidR="00E77057" w:rsidRPr="008C5B2B" w:rsidRDefault="00E77057" w:rsidP="00127AD3">
      <w:pPr>
        <w:pStyle w:val="Fussnote"/>
        <w:rPr>
          <w:szCs w:val="18"/>
          <w:lang w:val="en-US"/>
        </w:rPr>
      </w:pPr>
      <w:r w:rsidRPr="000A7A5C">
        <w:rPr>
          <w:rStyle w:val="FootnoteReference"/>
          <w:szCs w:val="18"/>
        </w:rPr>
        <w:footnoteRef/>
      </w:r>
      <w:r w:rsidRPr="008C5B2B">
        <w:rPr>
          <w:szCs w:val="18"/>
          <w:lang w:val="en-US"/>
        </w:rPr>
        <w:t xml:space="preserve"> Cf. en particulier paras. 41 (structural changes), 42 (strategic planning for replacement), 49 (phasing out), 57 und 98.g (strategy and action plan), 58 (closure; elimination of institutionalizing regulations) et 59 (reallocate funding).</w:t>
      </w:r>
    </w:p>
  </w:footnote>
  <w:footnote w:id="157">
    <w:p w14:paraId="54F840E6" w14:textId="194EA357" w:rsidR="00E77057" w:rsidRPr="000A7A5C" w:rsidRDefault="00E77057" w:rsidP="00127AD3">
      <w:pPr>
        <w:pStyle w:val="Fussnote"/>
      </w:pPr>
      <w:r w:rsidRPr="000A7A5C">
        <w:rPr>
          <w:rStyle w:val="FootnoteReference"/>
        </w:rPr>
        <w:footnoteRef/>
      </w:r>
      <w:r w:rsidRPr="000A7A5C">
        <w:t xml:space="preserve"> </w:t>
      </w:r>
      <w:hyperlink r:id="rId127" w:anchor="pubdb" w:history="1">
        <w:r w:rsidRPr="00B34870">
          <w:rPr>
            <w:rStyle w:val="Hyperlink"/>
          </w:rPr>
          <w:t>État des lieux de l’offre en matière de logement</w:t>
        </w:r>
      </w:hyperlink>
      <w:r w:rsidRPr="000A7A5C">
        <w:rPr>
          <w:szCs w:val="18"/>
        </w:rPr>
        <w:t xml:space="preserve"> </w:t>
      </w:r>
      <w:r w:rsidRPr="000A7A5C">
        <w:t>(</w:t>
      </w:r>
      <w:r>
        <w:t xml:space="preserve">en allemand), </w:t>
      </w:r>
      <w:r>
        <w:rPr>
          <w:szCs w:val="18"/>
        </w:rPr>
        <w:t xml:space="preserve">(N </w:t>
      </w:r>
      <w:r>
        <w:rPr>
          <w:szCs w:val="18"/>
          <w:highlight w:val="yellow"/>
        </w:rPr>
        <w:fldChar w:fldCharType="begin"/>
      </w:r>
      <w:r>
        <w:rPr>
          <w:szCs w:val="18"/>
        </w:rPr>
        <w:instrText xml:space="preserve"> NOTEREF _Ref95745106 \h </w:instrText>
      </w:r>
      <w:r>
        <w:rPr>
          <w:szCs w:val="18"/>
          <w:highlight w:val="yellow"/>
        </w:rPr>
      </w:r>
      <w:r>
        <w:rPr>
          <w:szCs w:val="18"/>
          <w:highlight w:val="yellow"/>
        </w:rPr>
        <w:fldChar w:fldCharType="separate"/>
      </w:r>
      <w:r>
        <w:rPr>
          <w:szCs w:val="18"/>
        </w:rPr>
        <w:t>153</w:t>
      </w:r>
      <w:r>
        <w:rPr>
          <w:szCs w:val="18"/>
          <w:highlight w:val="yellow"/>
        </w:rPr>
        <w:fldChar w:fldCharType="end"/>
      </w:r>
      <w:r>
        <w:rPr>
          <w:szCs w:val="18"/>
        </w:rPr>
        <w:t xml:space="preserve">) </w:t>
      </w:r>
      <w:r w:rsidRPr="000A7A5C">
        <w:rPr>
          <w:szCs w:val="18"/>
        </w:rPr>
        <w:t xml:space="preserve">p. 11 ss., 72 s., 62, </w:t>
      </w:r>
      <w:r w:rsidRPr="000A7A5C">
        <w:t xml:space="preserve">77 s. </w:t>
      </w:r>
    </w:p>
  </w:footnote>
  <w:footnote w:id="158">
    <w:p w14:paraId="52DE942A" w14:textId="5A3BCBF5" w:rsidR="00E77057" w:rsidRPr="000A7A5C" w:rsidRDefault="00E77057" w:rsidP="00127AD3">
      <w:pPr>
        <w:pStyle w:val="Fussnote"/>
      </w:pPr>
      <w:r w:rsidRPr="000A7A5C">
        <w:rPr>
          <w:rStyle w:val="FootnoteReference"/>
          <w:szCs w:val="18"/>
        </w:rPr>
        <w:footnoteRef/>
      </w:r>
      <w:r w:rsidRPr="000A7A5C">
        <w:t xml:space="preserve"> Cf. </w:t>
      </w:r>
      <w:hyperlink r:id="rId128" w:anchor="pubdb" w:history="1">
        <w:r w:rsidRPr="00B34870">
          <w:rPr>
            <w:rStyle w:val="Hyperlink"/>
          </w:rPr>
          <w:t>État des lieux de l’offre en matière de logement</w:t>
        </w:r>
      </w:hyperlink>
      <w:r w:rsidRPr="000A7A5C">
        <w:t xml:space="preserve"> (</w:t>
      </w:r>
      <w:r>
        <w:t xml:space="preserve">en allemand), </w:t>
      </w:r>
      <w:r>
        <w:rPr>
          <w:szCs w:val="18"/>
        </w:rPr>
        <w:t xml:space="preserve">(N </w:t>
      </w:r>
      <w:r>
        <w:rPr>
          <w:szCs w:val="18"/>
          <w:highlight w:val="yellow"/>
        </w:rPr>
        <w:fldChar w:fldCharType="begin"/>
      </w:r>
      <w:r>
        <w:rPr>
          <w:szCs w:val="18"/>
        </w:rPr>
        <w:instrText xml:space="preserve"> NOTEREF _Ref95745106 \h </w:instrText>
      </w:r>
      <w:r>
        <w:rPr>
          <w:szCs w:val="18"/>
          <w:highlight w:val="yellow"/>
        </w:rPr>
      </w:r>
      <w:r>
        <w:rPr>
          <w:szCs w:val="18"/>
          <w:highlight w:val="yellow"/>
        </w:rPr>
        <w:fldChar w:fldCharType="separate"/>
      </w:r>
      <w:r>
        <w:rPr>
          <w:szCs w:val="18"/>
        </w:rPr>
        <w:t>153</w:t>
      </w:r>
      <w:r>
        <w:rPr>
          <w:szCs w:val="18"/>
          <w:highlight w:val="yellow"/>
        </w:rPr>
        <w:fldChar w:fldCharType="end"/>
      </w:r>
      <w:r>
        <w:rPr>
          <w:szCs w:val="18"/>
        </w:rPr>
        <w:t>)</w:t>
      </w:r>
      <w:r>
        <w:t xml:space="preserve"> </w:t>
      </w:r>
      <w:r w:rsidRPr="000A7A5C">
        <w:t xml:space="preserve">p. III, IV, V et 69. Parmi les institutions recensées, 58% offrent un encadrement 24h sur 24, 42% moins d’heures de prise en charge et des exigences plus étendues en termes d’autonomie. </w:t>
      </w:r>
    </w:p>
  </w:footnote>
  <w:footnote w:id="159">
    <w:p w14:paraId="3FE6FC94" w14:textId="58CAB531" w:rsidR="00E77057" w:rsidRPr="000A7A5C" w:rsidRDefault="00E77057" w:rsidP="00127AD3">
      <w:pPr>
        <w:pStyle w:val="Fussnote"/>
      </w:pPr>
      <w:r w:rsidRPr="000A7A5C">
        <w:rPr>
          <w:rStyle w:val="FootnoteReference"/>
          <w:szCs w:val="18"/>
        </w:rPr>
        <w:footnoteRef/>
      </w:r>
      <w:r w:rsidRPr="000A7A5C">
        <w:t xml:space="preserve"> </w:t>
      </w:r>
      <w:hyperlink r:id="rId129" w:history="1">
        <w:r w:rsidRPr="00360F49">
          <w:rPr>
            <w:rStyle w:val="Hyperlink"/>
            <w:szCs w:val="18"/>
          </w:rPr>
          <w:t>INSOS/Curaviva/vahs, plan d‘action CDPH 2019 – 2023, 2019</w:t>
        </w:r>
      </w:hyperlink>
      <w:r w:rsidRPr="000A7A5C">
        <w:t>, objectifs 14 et 16. Le plan formule des mesures des associations et des recommandation</w:t>
      </w:r>
      <w:r>
        <w:t>s</w:t>
      </w:r>
      <w:r w:rsidRPr="000A7A5C">
        <w:t xml:space="preserve"> à l’intention des institutions, mais sans </w:t>
      </w:r>
      <w:r>
        <w:t xml:space="preserve">préciser le </w:t>
      </w:r>
      <w:r w:rsidRPr="000A7A5C">
        <w:t xml:space="preserve">calendrier ni </w:t>
      </w:r>
      <w:r>
        <w:t xml:space="preserve">la </w:t>
      </w:r>
      <w:r w:rsidRPr="000A7A5C">
        <w:t xml:space="preserve">planification budgétaire, ainsi que des indicateurs relatifs à la mesure de l’efficacité. </w:t>
      </w:r>
      <w:r>
        <w:t>Il met également à disposition</w:t>
      </w:r>
      <w:r w:rsidRPr="000A7A5C">
        <w:t xml:space="preserve"> un recueil de bonnes pratiques.</w:t>
      </w:r>
    </w:p>
  </w:footnote>
  <w:footnote w:id="160">
    <w:p w14:paraId="33A13989" w14:textId="7ACA7EDC" w:rsidR="00E77057" w:rsidRPr="000A7A5C" w:rsidRDefault="00E77057" w:rsidP="00127AD3">
      <w:pPr>
        <w:pStyle w:val="Fussnote"/>
      </w:pPr>
      <w:r w:rsidRPr="000A7A5C">
        <w:rPr>
          <w:rStyle w:val="FootnoteReference"/>
          <w:szCs w:val="18"/>
        </w:rPr>
        <w:footnoteRef/>
      </w:r>
      <w:r w:rsidRPr="000A7A5C">
        <w:t xml:space="preserve"> À propos de l’allocation pour impotent cf. art. 42 – 42ter LAI. Elle est versée sous forme d’un forfait, modulée en fonction des 3 degrés de l’«impotence».</w:t>
      </w:r>
    </w:p>
  </w:footnote>
  <w:footnote w:id="161">
    <w:p w14:paraId="4B290B85" w14:textId="070D7A5F" w:rsidR="00E77057" w:rsidRPr="00B34870" w:rsidRDefault="00E77057" w:rsidP="00127AD3">
      <w:pPr>
        <w:pStyle w:val="Fussnote"/>
      </w:pPr>
      <w:r w:rsidRPr="000A7A5C">
        <w:rPr>
          <w:rStyle w:val="FootnoteReference"/>
          <w:szCs w:val="18"/>
        </w:rPr>
        <w:footnoteRef/>
      </w:r>
      <w:r w:rsidRPr="000A7A5C">
        <w:t xml:space="preserve"> Parmi les 49% </w:t>
      </w:r>
      <w:r>
        <w:t xml:space="preserve">de </w:t>
      </w:r>
      <w:r w:rsidRPr="000A7A5C">
        <w:t xml:space="preserve">personnes vivant chez elles de manière autonome avec des prestations de l’AI, 45.9% étaient au bénéfice d’une allocation pour impotent, 4.3% d’une contribution d’assistance, 1.4% d’un </w:t>
      </w:r>
      <w:r w:rsidRPr="009322D7">
        <w:t>soutien au logement à domicile</w:t>
      </w:r>
      <w:r w:rsidRPr="000A7A5C">
        <w:t xml:space="preserve"> durant une mesure professionnelle. </w:t>
      </w:r>
      <w:r>
        <w:t>L’a</w:t>
      </w:r>
      <w:r w:rsidRPr="000A7A5C">
        <w:t>ccompagnement à domicile selon l’art. 74</w:t>
      </w:r>
      <w:r>
        <w:t xml:space="preserve"> </w:t>
      </w:r>
      <w:r w:rsidRPr="000A7A5C">
        <w:t xml:space="preserve">LAI a été mis à contribution en 2016 par 1858 </w:t>
      </w:r>
      <w:r w:rsidRPr="00B34870">
        <w:t xml:space="preserve">personnes. </w:t>
      </w:r>
      <w:hyperlink r:id="rId130" w:anchor="pubdb" w:history="1">
        <w:r w:rsidRPr="00B34870">
          <w:rPr>
            <w:rStyle w:val="Hyperlink"/>
          </w:rPr>
          <w:t>État des lieux de l’offre en matière de logement</w:t>
        </w:r>
      </w:hyperlink>
      <w:r w:rsidRPr="00B34870">
        <w:t xml:space="preserve"> </w:t>
      </w:r>
      <w:r w:rsidRPr="00B34870">
        <w:rPr>
          <w:szCs w:val="18"/>
        </w:rPr>
        <w:t xml:space="preserve">(N </w:t>
      </w:r>
      <w:r w:rsidRPr="00B34870">
        <w:rPr>
          <w:szCs w:val="18"/>
        </w:rPr>
        <w:fldChar w:fldCharType="begin"/>
      </w:r>
      <w:r w:rsidRPr="00B34870">
        <w:rPr>
          <w:szCs w:val="18"/>
        </w:rPr>
        <w:instrText xml:space="preserve"> NOTEREF _Ref95745106 \h </w:instrText>
      </w:r>
      <w:r>
        <w:rPr>
          <w:szCs w:val="18"/>
        </w:rPr>
        <w:instrText xml:space="preserve"> \* MERGEFORMAT </w:instrText>
      </w:r>
      <w:r w:rsidRPr="00B34870">
        <w:rPr>
          <w:szCs w:val="18"/>
        </w:rPr>
      </w:r>
      <w:r w:rsidRPr="00B34870">
        <w:rPr>
          <w:szCs w:val="18"/>
        </w:rPr>
        <w:fldChar w:fldCharType="separate"/>
      </w:r>
      <w:r>
        <w:rPr>
          <w:szCs w:val="18"/>
        </w:rPr>
        <w:t>153</w:t>
      </w:r>
      <w:r w:rsidRPr="00B34870">
        <w:rPr>
          <w:szCs w:val="18"/>
        </w:rPr>
        <w:fldChar w:fldCharType="end"/>
      </w:r>
      <w:r w:rsidRPr="00B34870">
        <w:rPr>
          <w:szCs w:val="18"/>
        </w:rPr>
        <w:t>)</w:t>
      </w:r>
      <w:r w:rsidRPr="00B34870">
        <w:t>, p. 41, 46 (en allemand)</w:t>
      </w:r>
      <w:r>
        <w:t>.</w:t>
      </w:r>
      <w:r w:rsidRPr="00B34870">
        <w:t xml:space="preserve"> </w:t>
      </w:r>
    </w:p>
  </w:footnote>
  <w:footnote w:id="162">
    <w:p w14:paraId="00ABC37D" w14:textId="557C162F" w:rsidR="00E77057" w:rsidRPr="000A7A5C" w:rsidRDefault="00E77057" w:rsidP="00127AD3">
      <w:pPr>
        <w:pStyle w:val="Fussnote"/>
      </w:pPr>
      <w:r w:rsidRPr="00B34870">
        <w:rPr>
          <w:rStyle w:val="FootnoteReference"/>
          <w:szCs w:val="18"/>
        </w:rPr>
        <w:footnoteRef/>
      </w:r>
      <w:r w:rsidRPr="00B34870">
        <w:t xml:space="preserve"> 2004: doublement de l’ApI pour un mode d’habitat privé par rapport</w:t>
      </w:r>
      <w:r>
        <w:t xml:space="preserve"> </w:t>
      </w:r>
      <w:r w:rsidRPr="000A7A5C">
        <w:t xml:space="preserve">au mode d’habitat institutionnel; 2012: introduction de la contribution d’assistance. Récemment les montants maximaux au titre du loyer, </w:t>
      </w:r>
      <w:r>
        <w:t xml:space="preserve">montants qui étaient surannés, </w:t>
      </w:r>
      <w:r w:rsidRPr="000A7A5C">
        <w:t xml:space="preserve">ont été adaptés </w:t>
      </w:r>
      <w:r>
        <w:t xml:space="preserve">de manière générale </w:t>
      </w:r>
      <w:r w:rsidRPr="000A7A5C">
        <w:t>dans les PC; mais ils ont été abaissés pour certains modes d’habitat</w:t>
      </w:r>
      <w:r w:rsidRPr="000A7A5C">
        <w:rPr>
          <w:rFonts w:eastAsia="Times New Roman"/>
          <w:lang w:eastAsia="de-CH"/>
        </w:rPr>
        <w:t>.</w:t>
      </w:r>
      <w:r w:rsidRPr="000A7A5C">
        <w:t xml:space="preserve"> Cf. entre autres </w:t>
      </w:r>
      <w:hyperlink r:id="rId131" w:history="1">
        <w:r w:rsidRPr="000A7A5C">
          <w:rPr>
            <w:rStyle w:val="Hyperlink"/>
            <w:smallCaps/>
            <w:szCs w:val="18"/>
          </w:rPr>
          <w:t>Petra Kern</w:t>
        </w:r>
        <w:r w:rsidRPr="000A7A5C">
          <w:rPr>
            <w:rStyle w:val="Hyperlink"/>
            <w:szCs w:val="18"/>
          </w:rPr>
          <w:t xml:space="preserve">, Prestations complémentaires: hausse des loyers maximaux et meilleure prise en compte de la fortune dès 2021, dans: </w:t>
        </w:r>
        <w:r w:rsidRPr="000A7A5C">
          <w:rPr>
            <w:rStyle w:val="Hyperlink"/>
            <w:i/>
            <w:szCs w:val="18"/>
          </w:rPr>
          <w:t>Droit et handicap</w:t>
        </w:r>
        <w:r w:rsidRPr="000A7A5C">
          <w:rPr>
            <w:rStyle w:val="Hyperlink"/>
            <w:rFonts w:eastAsia="Times New Roman"/>
            <w:szCs w:val="18"/>
            <w:lang w:eastAsia="de-CH"/>
          </w:rPr>
          <w:t xml:space="preserve"> 08/2019 (12.7.2019).</w:t>
        </w:r>
      </w:hyperlink>
    </w:p>
  </w:footnote>
  <w:footnote w:id="163">
    <w:p w14:paraId="5877418A" w14:textId="3F2ACEC5" w:rsidR="00E77057" w:rsidRPr="000A7A5C" w:rsidRDefault="00E77057" w:rsidP="00127AD3">
      <w:pPr>
        <w:pStyle w:val="Fussnote"/>
      </w:pPr>
      <w:r w:rsidRPr="000A7A5C">
        <w:rPr>
          <w:rStyle w:val="FootnoteReference"/>
          <w:szCs w:val="18"/>
        </w:rPr>
        <w:footnoteRef/>
      </w:r>
      <w:r w:rsidRPr="000A7A5C">
        <w:t xml:space="preserve"> </w:t>
      </w:r>
      <w:hyperlink r:id="rId132" w:anchor="pubdb" w:history="1">
        <w:r w:rsidRPr="006123C9">
          <w:rPr>
            <w:rStyle w:val="Hyperlink"/>
          </w:rPr>
          <w:t>État des lieux de l’offre en matière de logement</w:t>
        </w:r>
      </w:hyperlink>
      <w:r>
        <w:t xml:space="preserve"> (en allemand) (N </w:t>
      </w:r>
      <w:r>
        <w:fldChar w:fldCharType="begin"/>
      </w:r>
      <w:r>
        <w:instrText xml:space="preserve"> NOTEREF _Ref95745106 \h </w:instrText>
      </w:r>
      <w:r>
        <w:fldChar w:fldCharType="separate"/>
      </w:r>
      <w:r>
        <w:t>153</w:t>
      </w:r>
      <w:r>
        <w:fldChar w:fldCharType="end"/>
      </w:r>
      <w:r>
        <w:t>)</w:t>
      </w:r>
      <w:r w:rsidRPr="000A7A5C">
        <w:t xml:space="preserve">, p. 16, IX s., VII. </w:t>
      </w:r>
      <w:r w:rsidRPr="00FB015E">
        <w:t>Toutefois fin 2019, seuls 13 cantons prévoyaient certaines contributions à des services ambulatoires.</w:t>
      </w:r>
    </w:p>
  </w:footnote>
  <w:footnote w:id="164">
    <w:p w14:paraId="721A2EA3" w14:textId="77777777" w:rsidR="00E77057" w:rsidRPr="008C5B2B" w:rsidRDefault="00E77057" w:rsidP="00127AD3">
      <w:pPr>
        <w:pStyle w:val="Fussnote"/>
        <w:rPr>
          <w:lang w:val="en-US"/>
        </w:rPr>
      </w:pPr>
      <w:r w:rsidRPr="000A7A5C">
        <w:rPr>
          <w:rStyle w:val="FootnoteReference"/>
          <w:szCs w:val="18"/>
        </w:rPr>
        <w:footnoteRef/>
      </w:r>
      <w:r w:rsidRPr="008C5B2B">
        <w:rPr>
          <w:lang w:val="en-US"/>
        </w:rPr>
        <w:t xml:space="preserve"> Entre autres para. 17 (mandatory «package solutions»), 21 (persons requiring high demands for personal service), 60 f. (4 A’s; eligibility criteria), 63 (assessment), 64 (information), 65 (training), 68 (family carers), </w:t>
      </w:r>
    </w:p>
  </w:footnote>
  <w:footnote w:id="165">
    <w:p w14:paraId="53CA0508" w14:textId="4CD2CF27" w:rsidR="00E77057" w:rsidRPr="00B34870" w:rsidRDefault="00E77057" w:rsidP="00127AD3">
      <w:pPr>
        <w:pStyle w:val="Fussnote"/>
      </w:pPr>
      <w:r w:rsidRPr="00B34870">
        <w:rPr>
          <w:rStyle w:val="FootnoteReference"/>
          <w:szCs w:val="18"/>
        </w:rPr>
        <w:footnoteRef/>
      </w:r>
      <w:r w:rsidRPr="00B34870">
        <w:t xml:space="preserve"> </w:t>
      </w:r>
      <w:hyperlink r:id="rId133" w:anchor="pubdb" w:history="1">
        <w:r w:rsidRPr="00B34870">
          <w:rPr>
            <w:rStyle w:val="Hyperlink"/>
          </w:rPr>
          <w:t>État des lieux de l’offre en matière de logement</w:t>
        </w:r>
      </w:hyperlink>
      <w:r w:rsidRPr="00B34870">
        <w:t xml:space="preserve"> (en allemand) (N </w:t>
      </w:r>
      <w:r w:rsidRPr="00B34870">
        <w:fldChar w:fldCharType="begin"/>
      </w:r>
      <w:r w:rsidRPr="00B34870">
        <w:instrText xml:space="preserve"> NOTEREF _Ref95745106 \h </w:instrText>
      </w:r>
      <w:r>
        <w:instrText xml:space="preserve"> \* MERGEFORMAT </w:instrText>
      </w:r>
      <w:r w:rsidRPr="00B34870">
        <w:fldChar w:fldCharType="separate"/>
      </w:r>
      <w:r>
        <w:t>153</w:t>
      </w:r>
      <w:r w:rsidRPr="00B34870">
        <w:fldChar w:fldCharType="end"/>
      </w:r>
      <w:r w:rsidRPr="00B34870">
        <w:t>), p. VII.</w:t>
      </w:r>
    </w:p>
  </w:footnote>
  <w:footnote w:id="166">
    <w:p w14:paraId="082FD37C" w14:textId="1740BE32" w:rsidR="00E77057" w:rsidRPr="00131031" w:rsidRDefault="00E77057" w:rsidP="008F3386">
      <w:pPr>
        <w:pStyle w:val="Fussnote"/>
      </w:pPr>
      <w:r w:rsidRPr="00B34870">
        <w:rPr>
          <w:rStyle w:val="FootnoteReference"/>
          <w:szCs w:val="18"/>
        </w:rPr>
        <w:footnoteRef/>
      </w:r>
      <w:r w:rsidRPr="00B34870">
        <w:rPr>
          <w:szCs w:val="18"/>
        </w:rPr>
        <w:t xml:space="preserve"> </w:t>
      </w:r>
      <w:hyperlink r:id="rId134" w:anchor="pubdb" w:history="1">
        <w:r w:rsidRPr="00B34870">
          <w:rPr>
            <w:rStyle w:val="Hyperlink"/>
          </w:rPr>
          <w:t>État des lieux de l’offre en matière de logement</w:t>
        </w:r>
      </w:hyperlink>
      <w:r w:rsidRPr="00B34870">
        <w:t xml:space="preserve"> (en allemand) (N </w:t>
      </w:r>
      <w:r w:rsidRPr="00B34870">
        <w:fldChar w:fldCharType="begin"/>
      </w:r>
      <w:r w:rsidRPr="00B34870">
        <w:instrText xml:space="preserve"> NOTEREF _Ref95745106 \h  \* MERGEFORMAT </w:instrText>
      </w:r>
      <w:r w:rsidRPr="00B34870">
        <w:fldChar w:fldCharType="separate"/>
      </w:r>
      <w:r>
        <w:t>153</w:t>
      </w:r>
      <w:r w:rsidRPr="00B34870">
        <w:fldChar w:fldCharType="end"/>
      </w:r>
      <w:r w:rsidRPr="00B34870">
        <w:t>), p. 61.</w:t>
      </w:r>
    </w:p>
  </w:footnote>
  <w:footnote w:id="167">
    <w:p w14:paraId="2DD0EBC7" w14:textId="29CD346B" w:rsidR="00E77057" w:rsidRPr="000A7A5C" w:rsidRDefault="00E77057" w:rsidP="008F3386">
      <w:pPr>
        <w:pStyle w:val="Fussnote"/>
        <w:rPr>
          <w:szCs w:val="18"/>
        </w:rPr>
      </w:pPr>
      <w:r w:rsidRPr="000A7A5C">
        <w:rPr>
          <w:rStyle w:val="FootnoteReference"/>
          <w:szCs w:val="18"/>
        </w:rPr>
        <w:footnoteRef/>
      </w:r>
      <w:r w:rsidRPr="000A7A5C">
        <w:rPr>
          <w:szCs w:val="18"/>
        </w:rPr>
        <w:t xml:space="preserve"> </w:t>
      </w:r>
      <w:hyperlink r:id="rId135" w:anchor="pubdb" w:history="1">
        <w:r w:rsidRPr="008F3386">
          <w:rPr>
            <w:rStyle w:val="Hyperlink"/>
            <w:smallCaps/>
            <w:szCs w:val="18"/>
          </w:rPr>
          <w:t>BASS</w:t>
        </w:r>
        <w:r w:rsidRPr="008F3386">
          <w:rPr>
            <w:rStyle w:val="Hyperlink"/>
            <w:szCs w:val="18"/>
          </w:rPr>
          <w:t>, Rapport dans le cadre du FoP3-IV: Evaluation contribution d’assistance 2012–2019, rapport final, septembre 2020,</w:t>
        </w:r>
      </w:hyperlink>
      <w:r w:rsidRPr="000A7A5C">
        <w:rPr>
          <w:szCs w:val="18"/>
        </w:rPr>
        <w:t xml:space="preserve"> </w:t>
      </w:r>
      <w:r>
        <w:rPr>
          <w:szCs w:val="18"/>
        </w:rPr>
        <w:t>p</w:t>
      </w:r>
      <w:r w:rsidRPr="000A7A5C">
        <w:rPr>
          <w:szCs w:val="18"/>
        </w:rPr>
        <w:t xml:space="preserve">. III – VIII, </w:t>
      </w:r>
      <w:r>
        <w:rPr>
          <w:szCs w:val="18"/>
        </w:rPr>
        <w:t>p</w:t>
      </w:r>
      <w:r w:rsidRPr="000A7A5C">
        <w:rPr>
          <w:szCs w:val="18"/>
        </w:rPr>
        <w:t>. 8</w:t>
      </w:r>
      <w:r w:rsidRPr="000A7A5C">
        <w:t xml:space="preserve"> (en allemand)</w:t>
      </w:r>
      <w:r>
        <w:t>.</w:t>
      </w:r>
    </w:p>
  </w:footnote>
  <w:footnote w:id="168">
    <w:p w14:paraId="42F1FFD1" w14:textId="499663C8" w:rsidR="00E77057" w:rsidRPr="000A7A5C" w:rsidRDefault="00E77057" w:rsidP="008F3386">
      <w:pPr>
        <w:pStyle w:val="Fussnote"/>
        <w:rPr>
          <w:szCs w:val="18"/>
        </w:rPr>
      </w:pPr>
      <w:r w:rsidRPr="000A7A5C">
        <w:rPr>
          <w:rStyle w:val="FootnoteReference"/>
          <w:szCs w:val="18"/>
        </w:rPr>
        <w:footnoteRef/>
      </w:r>
      <w:r w:rsidRPr="000A7A5C">
        <w:rPr>
          <w:szCs w:val="18"/>
        </w:rPr>
        <w:t xml:space="preserve"> </w:t>
      </w:r>
      <w:hyperlink r:id="rId136" w:history="1">
        <w:r w:rsidRPr="008F3386">
          <w:rPr>
            <w:rStyle w:val="Hyperlink"/>
            <w:szCs w:val="18"/>
          </w:rPr>
          <w:t>L’initiative Lohr du 14.3. 2012</w:t>
        </w:r>
      </w:hyperlink>
      <w:r w:rsidRPr="000A7A5C">
        <w:rPr>
          <w:szCs w:val="18"/>
        </w:rPr>
        <w:t xml:space="preserve"> veut changer la donne, </w:t>
      </w:r>
      <w:r w:rsidRPr="008F3386">
        <w:rPr>
          <w:szCs w:val="18"/>
        </w:rPr>
        <w:t>Contribution d’assistance. Rémunération des prestations fournies par des proches</w:t>
      </w:r>
      <w:r w:rsidRPr="000A7A5C">
        <w:rPr>
          <w:szCs w:val="18"/>
        </w:rPr>
        <w:t>. L’élaboration d’un projet de loi est prévue dans un délai de deux ans.</w:t>
      </w:r>
    </w:p>
  </w:footnote>
  <w:footnote w:id="169">
    <w:p w14:paraId="58EFDC8D" w14:textId="039D27E9" w:rsidR="00E77057" w:rsidRPr="000A7A5C" w:rsidRDefault="00E77057" w:rsidP="00A1674C">
      <w:pPr>
        <w:pStyle w:val="Fussnote"/>
      </w:pPr>
      <w:r w:rsidRPr="000A7A5C">
        <w:rPr>
          <w:rStyle w:val="FootnoteReference"/>
          <w:szCs w:val="18"/>
        </w:rPr>
        <w:footnoteRef/>
      </w:r>
      <w:r w:rsidRPr="000A7A5C">
        <w:t xml:space="preserve"> P. ex. les frais liés à l’entraînement à la mobilisation en cas de handicap de la vue survenu avec l</w:t>
      </w:r>
      <w:r>
        <w:t>’</w:t>
      </w:r>
      <w:r w:rsidRPr="000A7A5C">
        <w:t>âge sont à la charge de la personne concernée.</w:t>
      </w:r>
    </w:p>
  </w:footnote>
  <w:footnote w:id="170">
    <w:p w14:paraId="2CF04D5C" w14:textId="5E2137CF" w:rsidR="00E77057" w:rsidRPr="00131031" w:rsidRDefault="00E77057" w:rsidP="006F41A3">
      <w:pPr>
        <w:pStyle w:val="FootnoteText"/>
        <w:rPr>
          <w:vertAlign w:val="baseline"/>
          <w:lang w:val="fr-FR"/>
        </w:rPr>
      </w:pPr>
      <w:r w:rsidRPr="00131031">
        <w:rPr>
          <w:rStyle w:val="FootnoteReference"/>
        </w:rPr>
        <w:footnoteRef/>
      </w:r>
      <w:r w:rsidRPr="00131031">
        <w:rPr>
          <w:vertAlign w:val="baseline"/>
          <w:lang w:val="fr-FR"/>
        </w:rPr>
        <w:t xml:space="preserve"> </w:t>
      </w:r>
      <w:hyperlink r:id="rId137" w:anchor="pubdb" w:history="1">
        <w:r w:rsidRPr="00812DFA">
          <w:rPr>
            <w:rStyle w:val="Hyperlink"/>
            <w:rFonts w:eastAsia="Cambria"/>
            <w:szCs w:val="22"/>
            <w:vertAlign w:val="baseline"/>
          </w:rPr>
          <w:t>État des lieux de l’offre en matière de logement</w:t>
        </w:r>
      </w:hyperlink>
      <w:r w:rsidRPr="00131031">
        <w:rPr>
          <w:rFonts w:eastAsia="Cambria"/>
          <w:szCs w:val="22"/>
          <w:vertAlign w:val="baseline"/>
        </w:rPr>
        <w:t xml:space="preserve"> </w:t>
      </w:r>
      <w:r w:rsidRPr="00131031">
        <w:rPr>
          <w:vertAlign w:val="baseline"/>
          <w:lang w:val="fr-FR"/>
        </w:rPr>
        <w:t xml:space="preserve">(N </w:t>
      </w:r>
      <w:r w:rsidRPr="00131031">
        <w:rPr>
          <w:vertAlign w:val="baseline"/>
          <w:lang w:val="de-CH"/>
        </w:rPr>
        <w:fldChar w:fldCharType="begin"/>
      </w:r>
      <w:r w:rsidRPr="00131031">
        <w:rPr>
          <w:vertAlign w:val="baseline"/>
          <w:lang w:val="fr-FR"/>
        </w:rPr>
        <w:instrText xml:space="preserve"> NOTEREF _Ref95745106 \h  \* MERGEFORMAT </w:instrText>
      </w:r>
      <w:r w:rsidRPr="00131031">
        <w:rPr>
          <w:vertAlign w:val="baseline"/>
          <w:lang w:val="de-CH"/>
        </w:rPr>
      </w:r>
      <w:r w:rsidRPr="00131031">
        <w:rPr>
          <w:vertAlign w:val="baseline"/>
          <w:lang w:val="de-CH"/>
        </w:rPr>
        <w:fldChar w:fldCharType="separate"/>
      </w:r>
      <w:r>
        <w:rPr>
          <w:vertAlign w:val="baseline"/>
          <w:lang w:val="fr-FR"/>
        </w:rPr>
        <w:t>153</w:t>
      </w:r>
      <w:r w:rsidRPr="00131031">
        <w:rPr>
          <w:vertAlign w:val="baseline"/>
          <w:lang w:val="de-CH"/>
        </w:rPr>
        <w:fldChar w:fldCharType="end"/>
      </w:r>
      <w:r w:rsidRPr="00131031">
        <w:rPr>
          <w:vertAlign w:val="baseline"/>
          <w:lang w:val="fr-FR"/>
        </w:rPr>
        <w:t>), p. VIII.</w:t>
      </w:r>
    </w:p>
  </w:footnote>
  <w:footnote w:id="171">
    <w:p w14:paraId="04ECEF15" w14:textId="117FAADC" w:rsidR="00E77057" w:rsidRPr="000A7A5C" w:rsidRDefault="00E77057" w:rsidP="00127AD3">
      <w:pPr>
        <w:pStyle w:val="Fussnote"/>
        <w:rPr>
          <w:szCs w:val="18"/>
        </w:rPr>
      </w:pPr>
      <w:r w:rsidRPr="000A7A5C">
        <w:rPr>
          <w:rStyle w:val="FootnoteReference"/>
          <w:szCs w:val="18"/>
        </w:rPr>
        <w:footnoteRef/>
      </w:r>
      <w:r w:rsidRPr="000A7A5C">
        <w:rPr>
          <w:szCs w:val="18"/>
        </w:rPr>
        <w:t xml:space="preserve"> Cf. associations </w:t>
      </w:r>
      <w:hyperlink r:id="rId138" w:history="1">
        <w:r w:rsidRPr="000A7A5C">
          <w:rPr>
            <w:rStyle w:val="Hyperlink"/>
            <w:szCs w:val="18"/>
          </w:rPr>
          <w:t>InVIEdual</w:t>
        </w:r>
      </w:hyperlink>
      <w:r w:rsidRPr="000A7A5C">
        <w:rPr>
          <w:szCs w:val="18"/>
        </w:rPr>
        <w:t xml:space="preserve"> et </w:t>
      </w:r>
      <w:hyperlink r:id="rId139" w:history="1">
        <w:r w:rsidRPr="000A7A5C">
          <w:rPr>
            <w:rStyle w:val="Hyperlink"/>
            <w:szCs w:val="18"/>
          </w:rPr>
          <w:t>Tatkraft</w:t>
        </w:r>
      </w:hyperlink>
      <w:r w:rsidRPr="000A7A5C">
        <w:rPr>
          <w:szCs w:val="18"/>
        </w:rPr>
        <w:t xml:space="preserve">. </w:t>
      </w:r>
      <w:r>
        <w:rPr>
          <w:szCs w:val="18"/>
        </w:rPr>
        <w:t>Cette dernière prévoit le lancement d’une initiative populaire pour une extension significative de l’assistance.</w:t>
      </w:r>
    </w:p>
  </w:footnote>
  <w:footnote w:id="172">
    <w:p w14:paraId="774F6588" w14:textId="69CA709E" w:rsidR="00E77057" w:rsidRPr="00D72411" w:rsidRDefault="00E77057" w:rsidP="00127AD3">
      <w:pPr>
        <w:pStyle w:val="Fussnote"/>
        <w:rPr>
          <w:szCs w:val="18"/>
          <w:lang w:val="de-CH"/>
        </w:rPr>
      </w:pPr>
      <w:r w:rsidRPr="000A7A5C">
        <w:rPr>
          <w:rStyle w:val="FootnoteReference"/>
          <w:szCs w:val="18"/>
        </w:rPr>
        <w:footnoteRef/>
      </w:r>
      <w:r w:rsidRPr="00D72411">
        <w:rPr>
          <w:szCs w:val="18"/>
          <w:lang w:val="de-CH"/>
        </w:rPr>
        <w:t xml:space="preserve"> </w:t>
      </w:r>
      <w:hyperlink r:id="rId140" w:history="1">
        <w:r w:rsidRPr="00D72411">
          <w:rPr>
            <w:rStyle w:val="Hyperlink"/>
            <w:smallCaps/>
            <w:szCs w:val="18"/>
            <w:lang w:val="de-CH"/>
          </w:rPr>
          <w:t>Comparis</w:t>
        </w:r>
        <w:r w:rsidRPr="00D72411">
          <w:rPr>
            <w:rStyle w:val="Hyperlink"/>
            <w:szCs w:val="18"/>
            <w:lang w:val="de-CH"/>
          </w:rPr>
          <w:t>, Kaum eine Stadtwohnung ist rollstuhlgängig, 27.7.2017</w:t>
        </w:r>
      </w:hyperlink>
      <w:r>
        <w:rPr>
          <w:szCs w:val="18"/>
          <w:lang w:val="de-CH"/>
        </w:rPr>
        <w:t xml:space="preserve"> </w:t>
      </w:r>
      <w:r w:rsidRPr="00D72411">
        <w:rPr>
          <w:szCs w:val="18"/>
          <w:lang w:val="de-CH"/>
        </w:rPr>
        <w:t>(en allemand)</w:t>
      </w:r>
      <w:r>
        <w:rPr>
          <w:szCs w:val="18"/>
          <w:lang w:val="de-CH"/>
        </w:rPr>
        <w:t>.</w:t>
      </w:r>
    </w:p>
  </w:footnote>
  <w:footnote w:id="173">
    <w:p w14:paraId="6D013998" w14:textId="028C527F" w:rsidR="00E77057" w:rsidRPr="00316841" w:rsidRDefault="00E77057" w:rsidP="00E35116">
      <w:pPr>
        <w:pStyle w:val="Fussnote"/>
        <w:rPr>
          <w:lang w:val="fr-FR"/>
        </w:rPr>
      </w:pPr>
      <w:r w:rsidRPr="00CB19F9">
        <w:rPr>
          <w:rStyle w:val="FootnoteReference"/>
        </w:rPr>
        <w:footnoteRef/>
      </w:r>
      <w:r w:rsidRPr="00E35116">
        <w:rPr>
          <w:lang w:val="fr-FR"/>
        </w:rPr>
        <w:t xml:space="preserve"> A déduire de </w:t>
      </w:r>
      <w:hyperlink r:id="rId141" w:anchor="pubdb" w:history="1">
        <w:r w:rsidRPr="00812DFA">
          <w:rPr>
            <w:rStyle w:val="Hyperlink"/>
            <w:lang w:val="fr-FR"/>
          </w:rPr>
          <w:t>l’état des lieux de l’offre de logement</w:t>
        </w:r>
      </w:hyperlink>
      <w:r w:rsidRPr="00E35116">
        <w:rPr>
          <w:lang w:val="fr-FR"/>
        </w:rPr>
        <w:t xml:space="preserve"> (</w:t>
      </w:r>
      <w:r>
        <w:rPr>
          <w:lang w:val="fr-FR"/>
        </w:rPr>
        <w:t>N</w:t>
      </w:r>
      <w:r w:rsidRPr="00E35116">
        <w:rPr>
          <w:lang w:val="fr-FR"/>
        </w:rPr>
        <w:t xml:space="preserve"> </w:t>
      </w:r>
      <w:r>
        <w:rPr>
          <w:lang w:val="fr-FR"/>
        </w:rPr>
        <w:fldChar w:fldCharType="begin"/>
      </w:r>
      <w:r>
        <w:rPr>
          <w:lang w:val="fr-FR"/>
        </w:rPr>
        <w:instrText xml:space="preserve"> NOTEREF _Ref95745106 \h </w:instrText>
      </w:r>
      <w:r>
        <w:rPr>
          <w:lang w:val="fr-FR"/>
        </w:rPr>
      </w:r>
      <w:r>
        <w:rPr>
          <w:lang w:val="fr-FR"/>
        </w:rPr>
        <w:fldChar w:fldCharType="separate"/>
      </w:r>
      <w:r>
        <w:rPr>
          <w:lang w:val="fr-FR"/>
        </w:rPr>
        <w:t>153</w:t>
      </w:r>
      <w:r>
        <w:rPr>
          <w:lang w:val="fr-FR"/>
        </w:rPr>
        <w:fldChar w:fldCharType="end"/>
      </w:r>
      <w:r>
        <w:rPr>
          <w:lang w:val="fr-FR"/>
        </w:rPr>
        <w:t>)</w:t>
      </w:r>
      <w:r w:rsidRPr="00E35116">
        <w:rPr>
          <w:lang w:val="fr-FR"/>
        </w:rPr>
        <w:t xml:space="preserve">, tableaux Z, 1, 4 et 5, ainsi que de </w:t>
      </w:r>
      <w:hyperlink r:id="rId142" w:history="1">
        <w:r w:rsidRPr="00E35116">
          <w:rPr>
            <w:rStyle w:val="Hyperlink"/>
            <w:lang w:val="fr-FR"/>
          </w:rPr>
          <w:t>l’OFS, Nombre de personnes handicapées en 2015</w:t>
        </w:r>
      </w:hyperlink>
      <w:r w:rsidRPr="00E35116">
        <w:rPr>
          <w:lang w:val="fr-FR"/>
        </w:rPr>
        <w:t xml:space="preserve">. Les données montrent également l’augmentation du nombre de personnes vivant en institution entre 2007 et 2015. </w:t>
      </w:r>
    </w:p>
  </w:footnote>
  <w:footnote w:id="174">
    <w:p w14:paraId="028B0790" w14:textId="7D5FD5E9" w:rsidR="00E77057" w:rsidRPr="0067791C" w:rsidRDefault="00E77057" w:rsidP="0067791C">
      <w:pPr>
        <w:pStyle w:val="Fussnote"/>
        <w:rPr>
          <w:lang w:val="fr-FR"/>
        </w:rPr>
      </w:pPr>
      <w:r w:rsidRPr="00CB19F9">
        <w:rPr>
          <w:rStyle w:val="FootnoteReference"/>
        </w:rPr>
        <w:footnoteRef/>
      </w:r>
      <w:r w:rsidRPr="0067791C">
        <w:rPr>
          <w:rStyle w:val="FootnoteReference"/>
          <w:lang w:val="fr-FR"/>
        </w:rPr>
        <w:t xml:space="preserve"> </w:t>
      </w:r>
      <w:r w:rsidRPr="000A7A5C">
        <w:rPr>
          <w:szCs w:val="18"/>
        </w:rPr>
        <w:t xml:space="preserve">Cf. </w:t>
      </w:r>
      <w:hyperlink r:id="rId143" w:history="1">
        <w:r w:rsidRPr="0067791C">
          <w:rPr>
            <w:rStyle w:val="Hyperlink"/>
            <w:szCs w:val="18"/>
          </w:rPr>
          <w:t>OFS, 5% des enfants vivent avec un handicap, 1% ont des capacités fortement limitées, 2.12.2019</w:t>
        </w:r>
      </w:hyperlink>
      <w:r>
        <w:rPr>
          <w:szCs w:val="18"/>
        </w:rPr>
        <w:t>.</w:t>
      </w:r>
    </w:p>
  </w:footnote>
  <w:footnote w:id="175">
    <w:p w14:paraId="18014894" w14:textId="17179589" w:rsidR="00E77057" w:rsidRPr="000A7A5C" w:rsidRDefault="00E77057" w:rsidP="00127AD3">
      <w:pPr>
        <w:pStyle w:val="Fussnote"/>
        <w:rPr>
          <w:szCs w:val="18"/>
        </w:rPr>
      </w:pPr>
      <w:r w:rsidRPr="000A7A5C">
        <w:rPr>
          <w:rStyle w:val="FootnoteReference"/>
          <w:szCs w:val="18"/>
        </w:rPr>
        <w:footnoteRef/>
      </w:r>
      <w:r w:rsidRPr="000A7A5C">
        <w:rPr>
          <w:szCs w:val="18"/>
        </w:rPr>
        <w:t xml:space="preserve"> En chiffres absolus: 24</w:t>
      </w:r>
      <w:r>
        <w:rPr>
          <w:szCs w:val="18"/>
        </w:rPr>
        <w:t>’</w:t>
      </w:r>
      <w:r w:rsidRPr="000A7A5C">
        <w:rPr>
          <w:szCs w:val="18"/>
        </w:rPr>
        <w:t>732 c. 23</w:t>
      </w:r>
      <w:r>
        <w:rPr>
          <w:szCs w:val="18"/>
        </w:rPr>
        <w:t>’</w:t>
      </w:r>
      <w:r w:rsidRPr="000A7A5C">
        <w:rPr>
          <w:szCs w:val="18"/>
        </w:rPr>
        <w:t xml:space="preserve">780 personnes, voir </w:t>
      </w:r>
      <w:hyperlink r:id="rId144" w:anchor="pubdb" w:history="1">
        <w:r w:rsidRPr="00A1674C">
          <w:rPr>
            <w:rStyle w:val="Hyperlink"/>
            <w:szCs w:val="18"/>
          </w:rPr>
          <w:t>État des lieux de l’offre en matière de logement</w:t>
        </w:r>
      </w:hyperlink>
      <w:r>
        <w:rPr>
          <w:szCs w:val="18"/>
        </w:rPr>
        <w:t xml:space="preserve"> (en allemand) (N </w:t>
      </w:r>
      <w:r>
        <w:rPr>
          <w:szCs w:val="18"/>
        </w:rPr>
        <w:fldChar w:fldCharType="begin"/>
      </w:r>
      <w:r>
        <w:rPr>
          <w:szCs w:val="18"/>
        </w:rPr>
        <w:instrText xml:space="preserve"> NOTEREF _Ref95745106 \h </w:instrText>
      </w:r>
      <w:r>
        <w:rPr>
          <w:szCs w:val="18"/>
        </w:rPr>
      </w:r>
      <w:r>
        <w:rPr>
          <w:szCs w:val="18"/>
        </w:rPr>
        <w:fldChar w:fldCharType="separate"/>
      </w:r>
      <w:r>
        <w:rPr>
          <w:szCs w:val="18"/>
        </w:rPr>
        <w:t>153</w:t>
      </w:r>
      <w:r>
        <w:rPr>
          <w:szCs w:val="18"/>
        </w:rPr>
        <w:fldChar w:fldCharType="end"/>
      </w:r>
      <w:r>
        <w:rPr>
          <w:szCs w:val="18"/>
        </w:rPr>
        <w:t>)</w:t>
      </w:r>
      <w:r w:rsidRPr="000A7A5C">
        <w:rPr>
          <w:szCs w:val="18"/>
        </w:rPr>
        <w:t>, p. V.</w:t>
      </w:r>
    </w:p>
  </w:footnote>
  <w:footnote w:id="176">
    <w:p w14:paraId="044A220C" w14:textId="141E3C01" w:rsidR="00E77057" w:rsidRPr="000A7A5C" w:rsidRDefault="00E77057" w:rsidP="00127AD3">
      <w:pPr>
        <w:pStyle w:val="Fussnote"/>
        <w:rPr>
          <w:szCs w:val="18"/>
        </w:rPr>
      </w:pPr>
      <w:r w:rsidRPr="000A7A5C">
        <w:rPr>
          <w:rStyle w:val="FootnoteReference"/>
          <w:szCs w:val="18"/>
        </w:rPr>
        <w:footnoteRef/>
      </w:r>
      <w:r w:rsidRPr="000A7A5C">
        <w:rPr>
          <w:szCs w:val="18"/>
        </w:rPr>
        <w:t xml:space="preserve"> </w:t>
      </w:r>
      <w:r w:rsidRPr="00504EA6">
        <w:rPr>
          <w:szCs w:val="18"/>
        </w:rPr>
        <w:t>Hausse de 4.8% face à 20.5%</w:t>
      </w:r>
      <w:r w:rsidRPr="000A7A5C">
        <w:rPr>
          <w:szCs w:val="18"/>
        </w:rPr>
        <w:t xml:space="preserve">, voir </w:t>
      </w:r>
      <w:hyperlink r:id="rId145" w:anchor="pubdb" w:history="1">
        <w:r w:rsidRPr="00A1674C">
          <w:rPr>
            <w:rStyle w:val="Hyperlink"/>
            <w:szCs w:val="18"/>
          </w:rPr>
          <w:t>État des lieux de l’offre en matière de logement</w:t>
        </w:r>
      </w:hyperlink>
      <w:r>
        <w:rPr>
          <w:szCs w:val="18"/>
        </w:rPr>
        <w:t xml:space="preserve"> (en allemand) (N </w:t>
      </w:r>
      <w:r>
        <w:rPr>
          <w:szCs w:val="18"/>
        </w:rPr>
        <w:fldChar w:fldCharType="begin"/>
      </w:r>
      <w:r>
        <w:rPr>
          <w:szCs w:val="18"/>
        </w:rPr>
        <w:instrText xml:space="preserve"> NOTEREF _Ref95745106 \h </w:instrText>
      </w:r>
      <w:r>
        <w:rPr>
          <w:szCs w:val="18"/>
        </w:rPr>
      </w:r>
      <w:r>
        <w:rPr>
          <w:szCs w:val="18"/>
        </w:rPr>
        <w:fldChar w:fldCharType="separate"/>
      </w:r>
      <w:r>
        <w:rPr>
          <w:szCs w:val="18"/>
        </w:rPr>
        <w:t>153</w:t>
      </w:r>
      <w:r>
        <w:rPr>
          <w:szCs w:val="18"/>
        </w:rPr>
        <w:fldChar w:fldCharType="end"/>
      </w:r>
      <w:r>
        <w:rPr>
          <w:szCs w:val="18"/>
        </w:rPr>
        <w:t>)</w:t>
      </w:r>
      <w:r w:rsidRPr="000A7A5C">
        <w:rPr>
          <w:szCs w:val="18"/>
        </w:rPr>
        <w:t>, p. V.</w:t>
      </w:r>
    </w:p>
  </w:footnote>
  <w:footnote w:id="177">
    <w:p w14:paraId="2B08D664" w14:textId="11E92F3C" w:rsidR="00E77057" w:rsidRPr="000A7A5C" w:rsidRDefault="00E77057" w:rsidP="00127AD3">
      <w:pPr>
        <w:pStyle w:val="Fussnote"/>
        <w:rPr>
          <w:szCs w:val="18"/>
        </w:rPr>
      </w:pPr>
      <w:r w:rsidRPr="000A7A5C">
        <w:rPr>
          <w:rStyle w:val="FootnoteReference"/>
          <w:szCs w:val="18"/>
        </w:rPr>
        <w:footnoteRef/>
      </w:r>
      <w:r w:rsidRPr="000A7A5C">
        <w:rPr>
          <w:szCs w:val="18"/>
        </w:rPr>
        <w:t xml:space="preserve"> </w:t>
      </w:r>
      <w:hyperlink r:id="rId146" w:anchor="pubdb" w:history="1">
        <w:r w:rsidRPr="00A1674C">
          <w:rPr>
            <w:rStyle w:val="Hyperlink"/>
            <w:szCs w:val="18"/>
          </w:rPr>
          <w:t>État des lieux de l’offre en matière de logement</w:t>
        </w:r>
      </w:hyperlink>
      <w:r>
        <w:rPr>
          <w:szCs w:val="18"/>
        </w:rPr>
        <w:t xml:space="preserve"> (en allemand) (N </w:t>
      </w:r>
      <w:r>
        <w:rPr>
          <w:szCs w:val="18"/>
        </w:rPr>
        <w:fldChar w:fldCharType="begin"/>
      </w:r>
      <w:r>
        <w:rPr>
          <w:szCs w:val="18"/>
        </w:rPr>
        <w:instrText xml:space="preserve"> NOTEREF _Ref95745106 \h </w:instrText>
      </w:r>
      <w:r>
        <w:rPr>
          <w:szCs w:val="18"/>
        </w:rPr>
      </w:r>
      <w:r>
        <w:rPr>
          <w:szCs w:val="18"/>
        </w:rPr>
        <w:fldChar w:fldCharType="separate"/>
      </w:r>
      <w:r>
        <w:rPr>
          <w:szCs w:val="18"/>
        </w:rPr>
        <w:t>153</w:t>
      </w:r>
      <w:r>
        <w:rPr>
          <w:szCs w:val="18"/>
        </w:rPr>
        <w:fldChar w:fldCharType="end"/>
      </w:r>
      <w:r>
        <w:rPr>
          <w:szCs w:val="18"/>
        </w:rPr>
        <w:t>)</w:t>
      </w:r>
      <w:r w:rsidRPr="000A7A5C">
        <w:rPr>
          <w:szCs w:val="18"/>
        </w:rPr>
        <w:t>, p. 49.</w:t>
      </w:r>
    </w:p>
  </w:footnote>
  <w:footnote w:id="178">
    <w:p w14:paraId="0D157E5E" w14:textId="0E60D096" w:rsidR="00E77057" w:rsidRPr="000A7A5C" w:rsidRDefault="00E77057" w:rsidP="00A1674C">
      <w:pPr>
        <w:pStyle w:val="Fussnote"/>
      </w:pPr>
      <w:r w:rsidRPr="000A7A5C">
        <w:rPr>
          <w:rStyle w:val="FootnoteReference"/>
          <w:szCs w:val="18"/>
        </w:rPr>
        <w:footnoteRef/>
      </w:r>
      <w:r w:rsidRPr="000A7A5C">
        <w:t xml:space="preserve"> </w:t>
      </w:r>
      <w:hyperlink r:id="rId147" w:anchor="pubdb" w:history="1">
        <w:r w:rsidRPr="00A1674C">
          <w:rPr>
            <w:rStyle w:val="Hyperlink"/>
          </w:rPr>
          <w:t>État des lieux de l’offre en matière de logement</w:t>
        </w:r>
      </w:hyperlink>
      <w:r>
        <w:t xml:space="preserve"> (en allemand) </w:t>
      </w:r>
      <w:r>
        <w:rPr>
          <w:szCs w:val="18"/>
        </w:rPr>
        <w:t xml:space="preserve">(N </w:t>
      </w:r>
      <w:r>
        <w:rPr>
          <w:szCs w:val="18"/>
        </w:rPr>
        <w:fldChar w:fldCharType="begin"/>
      </w:r>
      <w:r>
        <w:rPr>
          <w:szCs w:val="18"/>
        </w:rPr>
        <w:instrText xml:space="preserve"> NOTEREF _Ref95745106 \h </w:instrText>
      </w:r>
      <w:r>
        <w:rPr>
          <w:szCs w:val="18"/>
        </w:rPr>
      </w:r>
      <w:r>
        <w:rPr>
          <w:szCs w:val="18"/>
        </w:rPr>
        <w:fldChar w:fldCharType="separate"/>
      </w:r>
      <w:r>
        <w:rPr>
          <w:szCs w:val="18"/>
        </w:rPr>
        <w:t>153</w:t>
      </w:r>
      <w:r>
        <w:rPr>
          <w:szCs w:val="18"/>
        </w:rPr>
        <w:fldChar w:fldCharType="end"/>
      </w:r>
      <w:r>
        <w:rPr>
          <w:szCs w:val="18"/>
        </w:rPr>
        <w:t>)</w:t>
      </w:r>
      <w:r w:rsidRPr="000A7A5C">
        <w:t>, p. VII.</w:t>
      </w:r>
    </w:p>
  </w:footnote>
  <w:footnote w:id="179">
    <w:p w14:paraId="681F45A9" w14:textId="780D0762" w:rsidR="00E77057" w:rsidRPr="00A1674C" w:rsidRDefault="00E77057" w:rsidP="00A1674C">
      <w:pPr>
        <w:pStyle w:val="Fussnote"/>
        <w:rPr>
          <w:rStyle w:val="FussnoteZchn"/>
        </w:rPr>
      </w:pPr>
      <w:r w:rsidRPr="000A7A5C">
        <w:rPr>
          <w:rStyle w:val="FootnoteReference"/>
        </w:rPr>
        <w:footnoteRef/>
      </w:r>
      <w:r w:rsidRPr="000A7A5C">
        <w:t xml:space="preserve"> </w:t>
      </w:r>
      <w:r w:rsidRPr="00A1674C">
        <w:rPr>
          <w:rStyle w:val="FussnoteZchn"/>
        </w:rPr>
        <w:t xml:space="preserve">Cf. également </w:t>
      </w:r>
      <w:hyperlink r:id="rId148" w:history="1">
        <w:r w:rsidRPr="00A1674C">
          <w:rPr>
            <w:rStyle w:val="FussnoteZchn"/>
          </w:rPr>
          <w:t xml:space="preserve">interpellation </w:t>
        </w:r>
        <w:r w:rsidRPr="00A1674C">
          <w:rPr>
            <w:rStyle w:val="FussnoteZchn"/>
            <w:u w:val="single"/>
          </w:rPr>
          <w:t>Andrey du 16.3.2021</w:t>
        </w:r>
      </w:hyperlink>
      <w:r>
        <w:rPr>
          <w:rStyle w:val="FussnoteZchn"/>
          <w:u w:val="single"/>
        </w:rPr>
        <w:t>.</w:t>
      </w:r>
      <w:r w:rsidRPr="00A1674C">
        <w:rPr>
          <w:rStyle w:val="FussnoteZchn"/>
        </w:rPr>
        <w:t xml:space="preserve"> </w:t>
      </w:r>
    </w:p>
  </w:footnote>
  <w:footnote w:id="180">
    <w:p w14:paraId="12C04D5F" w14:textId="3F2F6232" w:rsidR="00E77057" w:rsidRPr="000A7A5C" w:rsidRDefault="00E77057" w:rsidP="00127AD3">
      <w:pPr>
        <w:pStyle w:val="Fussnote"/>
      </w:pPr>
      <w:r w:rsidRPr="000A7A5C">
        <w:rPr>
          <w:rStyle w:val="FootnoteReference"/>
        </w:rPr>
        <w:footnoteRef/>
      </w:r>
      <w:r w:rsidRPr="000A7A5C">
        <w:t xml:space="preserve"> </w:t>
      </w:r>
      <w:hyperlink r:id="rId149" w:history="1">
        <w:r w:rsidRPr="000A7A5C">
          <w:rPr>
            <w:rStyle w:val="Hyperlink"/>
          </w:rPr>
          <w:t>BFEH, domaine prioritaire accessiblité numérique</w:t>
        </w:r>
      </w:hyperlink>
      <w:r w:rsidRPr="000A7A5C">
        <w:t xml:space="preserve"> ainsi que prise de position du CF sur </w:t>
      </w:r>
      <w:hyperlink r:id="rId150" w:history="1">
        <w:r w:rsidRPr="00A1674C">
          <w:rPr>
            <w:rStyle w:val="Hyperlink"/>
          </w:rPr>
          <w:t>l’interpellation Andrey du 12.5.2021</w:t>
        </w:r>
      </w:hyperlink>
      <w:r w:rsidRPr="000A7A5C">
        <w:t xml:space="preserve"> </w:t>
      </w:r>
      <w:r>
        <w:t xml:space="preserve">(N </w:t>
      </w:r>
      <w:r>
        <w:rPr>
          <w:highlight w:val="green"/>
        </w:rPr>
        <w:fldChar w:fldCharType="begin"/>
      </w:r>
      <w:r>
        <w:instrText xml:space="preserve"> NOTEREF _Ref96098777 \h </w:instrText>
      </w:r>
      <w:r>
        <w:rPr>
          <w:highlight w:val="green"/>
        </w:rPr>
      </w:r>
      <w:r>
        <w:rPr>
          <w:highlight w:val="green"/>
        </w:rPr>
        <w:fldChar w:fldCharType="separate"/>
      </w:r>
      <w:r>
        <w:t>179</w:t>
      </w:r>
      <w:r>
        <w:rPr>
          <w:highlight w:val="green"/>
        </w:rPr>
        <w:fldChar w:fldCharType="end"/>
      </w:r>
      <w:r>
        <w:t>)</w:t>
      </w:r>
      <w:r w:rsidRPr="000A7A5C">
        <w:t xml:space="preserve">, avec renvoi à la </w:t>
      </w:r>
      <w:hyperlink r:id="rId151" w:history="1">
        <w:r w:rsidRPr="000A7A5C">
          <w:rPr>
            <w:rStyle w:val="Hyperlink"/>
          </w:rPr>
          <w:t>norme eCH 0059 en cyberadministration</w:t>
        </w:r>
      </w:hyperlink>
      <w:r>
        <w:t xml:space="preserve"> </w:t>
      </w:r>
      <w:r w:rsidRPr="000A7A5C">
        <w:t>de l’association eCH adoptée le 25.6.2020; cette norme est destinée aux autorités et prévoit désormais un monitorage périodique de l’accessibilité des sites Web de la Confédéra</w:t>
      </w:r>
      <w:r>
        <w:t>t</w:t>
      </w:r>
      <w:r w:rsidRPr="000A7A5C">
        <w:t>ion, des cantons et communes (ch. 3).</w:t>
      </w:r>
    </w:p>
  </w:footnote>
  <w:footnote w:id="181">
    <w:p w14:paraId="7664FB58" w14:textId="17D6F4EE" w:rsidR="00E77057" w:rsidRPr="003D4A77" w:rsidRDefault="00E77057" w:rsidP="00127AD3">
      <w:pPr>
        <w:pStyle w:val="Fussnote"/>
        <w:rPr>
          <w:lang w:val="fr-FR"/>
        </w:rPr>
      </w:pPr>
      <w:r w:rsidRPr="000A7A5C">
        <w:rPr>
          <w:rStyle w:val="FootnoteReference"/>
        </w:rPr>
        <w:footnoteRef/>
      </w:r>
      <w:r w:rsidRPr="003D4A77">
        <w:rPr>
          <w:lang w:val="fr-FR"/>
        </w:rPr>
        <w:t xml:space="preserve"> </w:t>
      </w:r>
      <w:hyperlink r:id="rId152" w:history="1">
        <w:r w:rsidRPr="003D4A77">
          <w:rPr>
            <w:rStyle w:val="Hyperlink"/>
            <w:smallCaps/>
            <w:lang w:val="fr-FR"/>
          </w:rPr>
          <w:t>Dungga Angelina/Weissenfeld Katinka</w:t>
        </w:r>
        <w:r w:rsidRPr="003D4A77">
          <w:rPr>
            <w:rStyle w:val="Hyperlink"/>
            <w:lang w:val="fr-FR"/>
          </w:rPr>
          <w:t>, Rapport d</w:t>
        </w:r>
        <w:r>
          <w:rPr>
            <w:rStyle w:val="Hyperlink"/>
            <w:lang w:val="fr-FR"/>
          </w:rPr>
          <w:t>’évaluation: Plan d’</w:t>
        </w:r>
        <w:r w:rsidRPr="003D4A77">
          <w:rPr>
            <w:rStyle w:val="Hyperlink"/>
            <w:lang w:val="fr-FR"/>
          </w:rPr>
          <w:t>action E-Accessibility (PDF, 443 kB,, 30.6.2018</w:t>
        </w:r>
      </w:hyperlink>
      <w:r w:rsidRPr="003D4A77">
        <w:rPr>
          <w:lang w:val="fr-FR"/>
        </w:rPr>
        <w:t xml:space="preserve">, p. </w:t>
      </w:r>
      <w:r>
        <w:rPr>
          <w:lang w:val="fr-FR"/>
        </w:rPr>
        <w:t>3</w:t>
      </w:r>
      <w:r w:rsidRPr="003D4A77">
        <w:rPr>
          <w:lang w:val="fr-FR"/>
        </w:rPr>
        <w:t>.</w:t>
      </w:r>
    </w:p>
  </w:footnote>
  <w:footnote w:id="182">
    <w:p w14:paraId="1B0B43E6" w14:textId="1EBC6E66" w:rsidR="00E77057" w:rsidRPr="00EA6033" w:rsidRDefault="00E77057" w:rsidP="00127AD3">
      <w:pPr>
        <w:pStyle w:val="Fussnote"/>
      </w:pPr>
      <w:r w:rsidRPr="000A7A5C">
        <w:rPr>
          <w:rStyle w:val="FootnoteReference"/>
        </w:rPr>
        <w:footnoteRef/>
      </w:r>
      <w:r w:rsidRPr="00EA6033">
        <w:t xml:space="preserve"> Cf. Art. 9 CDPH, p.</w:t>
      </w:r>
      <w:r>
        <w:t xml:space="preserve"> </w:t>
      </w:r>
      <w:r>
        <w:fldChar w:fldCharType="begin"/>
      </w:r>
      <w:r>
        <w:instrText xml:space="preserve"> PAGEREF _Ref96099072 \h </w:instrText>
      </w:r>
      <w:r>
        <w:fldChar w:fldCharType="separate"/>
      </w:r>
      <w:r>
        <w:rPr>
          <w:noProof/>
        </w:rPr>
        <w:t>17</w:t>
      </w:r>
      <w:r>
        <w:fldChar w:fldCharType="end"/>
      </w:r>
      <w:r>
        <w:t xml:space="preserve"> </w:t>
      </w:r>
      <w:r w:rsidRPr="00EA6033">
        <w:t>ss.</w:t>
      </w:r>
    </w:p>
  </w:footnote>
  <w:footnote w:id="183">
    <w:p w14:paraId="1A389BCF" w14:textId="6B1FC071" w:rsidR="00E77057" w:rsidRPr="000A7A5C" w:rsidRDefault="00E77057" w:rsidP="00127AD3">
      <w:pPr>
        <w:pStyle w:val="Fussnote"/>
      </w:pPr>
      <w:r w:rsidRPr="000A7A5C">
        <w:rPr>
          <w:rStyle w:val="FootnoteReference"/>
        </w:rPr>
        <w:footnoteRef/>
      </w:r>
      <w:r w:rsidRPr="000A7A5C">
        <w:t xml:space="preserve"> Les cantons de BS (§ 6 BRG </w:t>
      </w:r>
      <w:r>
        <w:t xml:space="preserve">[N </w:t>
      </w:r>
      <w:r>
        <w:rPr>
          <w:highlight w:val="green"/>
        </w:rPr>
        <w:fldChar w:fldCharType="begin"/>
      </w:r>
      <w:r>
        <w:instrText xml:space="preserve"> NOTEREF _Ref96099141 \h </w:instrText>
      </w:r>
      <w:r>
        <w:rPr>
          <w:highlight w:val="green"/>
        </w:rPr>
      </w:r>
      <w:r>
        <w:rPr>
          <w:highlight w:val="green"/>
        </w:rPr>
        <w:fldChar w:fldCharType="separate"/>
      </w:r>
      <w:r>
        <w:t>6</w:t>
      </w:r>
      <w:r>
        <w:rPr>
          <w:highlight w:val="green"/>
        </w:rPr>
        <w:fldChar w:fldCharType="end"/>
      </w:r>
      <w:r>
        <w:t>]</w:t>
      </w:r>
      <w:r w:rsidRPr="000A7A5C">
        <w:t>), VS (</w:t>
      </w:r>
      <w:r>
        <w:t>a</w:t>
      </w:r>
      <w:r w:rsidRPr="000A7A5C">
        <w:t xml:space="preserve">rt. 35c LDIPH </w:t>
      </w:r>
      <w:r>
        <w:t xml:space="preserve">[N </w:t>
      </w:r>
      <w:r>
        <w:fldChar w:fldCharType="begin"/>
      </w:r>
      <w:r>
        <w:instrText xml:space="preserve"> NOTEREF _Ref95758381 \h </w:instrText>
      </w:r>
      <w:r>
        <w:fldChar w:fldCharType="separate"/>
      </w:r>
      <w:r>
        <w:t>7</w:t>
      </w:r>
      <w:r>
        <w:fldChar w:fldCharType="end"/>
      </w:r>
      <w:r>
        <w:t>]</w:t>
      </w:r>
      <w:r w:rsidRPr="000A7A5C">
        <w:t xml:space="preserve">) et GE (art. 16 al. 12 et 3 </w:t>
      </w:r>
      <w:r>
        <w:t>Cst. cant.</w:t>
      </w:r>
      <w:r w:rsidRPr="00802B01">
        <w:t>/GE)</w:t>
      </w:r>
      <w:r w:rsidRPr="000A7A5C">
        <w:t xml:space="preserve"> constituent jusqu’à ce jour des exceptions.</w:t>
      </w:r>
    </w:p>
  </w:footnote>
  <w:footnote w:id="184">
    <w:p w14:paraId="49A19644" w14:textId="77777777" w:rsidR="00E77057" w:rsidRPr="000A7A5C" w:rsidRDefault="00E77057" w:rsidP="005B6BB2">
      <w:pPr>
        <w:pStyle w:val="Fussnote"/>
      </w:pPr>
      <w:r w:rsidRPr="000A7A5C">
        <w:rPr>
          <w:rStyle w:val="FootnoteReference"/>
        </w:rPr>
        <w:footnoteRef/>
      </w:r>
      <w:r w:rsidRPr="000A7A5C">
        <w:t xml:space="preserve"> P. ex. données concernant la situation de revenu et de fortune, les conditions de logement et </w:t>
      </w:r>
      <w:r>
        <w:t>de</w:t>
      </w:r>
      <w:r w:rsidRPr="000A7A5C">
        <w:t xml:space="preserve"> santé.</w:t>
      </w:r>
    </w:p>
  </w:footnote>
  <w:footnote w:id="185">
    <w:p w14:paraId="570E9401" w14:textId="77777777" w:rsidR="00E77057" w:rsidRPr="000A7A5C" w:rsidRDefault="00E77057" w:rsidP="005B6BB2">
      <w:pPr>
        <w:pStyle w:val="Fussnote"/>
      </w:pPr>
      <w:r w:rsidRPr="000A7A5C">
        <w:rPr>
          <w:rStyle w:val="FootnoteReference"/>
        </w:rPr>
        <w:footnoteRef/>
      </w:r>
      <w:r w:rsidRPr="000A7A5C">
        <w:t xml:space="preserve"> Ce fait est nié par la Suisse, P</w:t>
      </w:r>
      <w:r>
        <w:t>RE, para 120 ss.</w:t>
      </w:r>
    </w:p>
  </w:footnote>
  <w:footnote w:id="186">
    <w:p w14:paraId="6550DA61" w14:textId="77777777" w:rsidR="00E77057" w:rsidRPr="000A7A5C" w:rsidRDefault="00E77057" w:rsidP="005B6BB2">
      <w:pPr>
        <w:pStyle w:val="Fussnote"/>
      </w:pPr>
      <w:r w:rsidRPr="000A7A5C">
        <w:rPr>
          <w:rStyle w:val="FootnoteReference"/>
        </w:rPr>
        <w:footnoteRef/>
      </w:r>
      <w:r w:rsidRPr="000A7A5C">
        <w:t xml:space="preserve"> </w:t>
      </w:r>
      <w:r w:rsidRPr="00072A72">
        <w:t>Dans le canton de Zurich, des données personnelles sont recueillies p. ex. durant la procédure de demande en vue de l’octroi de mesures de pédagogie</w:t>
      </w:r>
      <w:r w:rsidRPr="000A7A5C">
        <w:t xml:space="preserve"> précoce spécialisée qui vont largement au-delà des renseignements nécessaires à la clarification des droits</w:t>
      </w:r>
      <w:r w:rsidRPr="0022103A">
        <w:rPr>
          <w:rStyle w:val="Strong"/>
          <w:rFonts w:eastAsia="MS Gothic"/>
          <w:b w:val="0"/>
        </w:rPr>
        <w:t xml:space="preserve">. </w:t>
      </w:r>
      <w:r w:rsidRPr="00A34FA2">
        <w:rPr>
          <w:rStyle w:val="Strong"/>
          <w:rFonts w:eastAsia="MS Gothic"/>
          <w:b w:val="0"/>
          <w:bCs w:val="0"/>
        </w:rPr>
        <w:t>Dans ce cas concret, les personnes concernées n’ont en outre pas été suffisamment informées de l’utilisation de leurs données dans le cadre d’un projet de recherche</w:t>
      </w:r>
      <w:r w:rsidRPr="000A7A5C">
        <w:t>.</w:t>
      </w:r>
    </w:p>
  </w:footnote>
  <w:footnote w:id="187">
    <w:p w14:paraId="2EBDA086" w14:textId="64088263" w:rsidR="00E77057" w:rsidRPr="000A7A5C" w:rsidRDefault="00E77057" w:rsidP="005B6BB2">
      <w:pPr>
        <w:pStyle w:val="Fussnote"/>
      </w:pPr>
      <w:r w:rsidRPr="000A7A5C">
        <w:rPr>
          <w:rStyle w:val="FootnoteReference"/>
        </w:rPr>
        <w:footnoteRef/>
      </w:r>
      <w:r w:rsidRPr="000A7A5C">
        <w:t xml:space="preserve"> Depuis le 1.1.2018: art. 42ter al. 3 LAI: augmentation du supplément pour soins intenses pour la prise en charge d’enfants nécessitant des soins importants, art. 42sexies al. 1 let. a LAI: pas de déduction du supplément pour soins intenses lors du calcul de la contribution d’assistance. Depuis le 1.1.2021, art. 42bis al. 4 LAI: maintien du versement d’une allocation pour impotence et du supplément pour soins intenses destinés aux mineur-e-s en cas de séjour à l’hôpital. Depuis le 1.7.2021: art. 16n ss</w:t>
      </w:r>
      <w:r w:rsidRPr="00013EAF">
        <w:t>. LAPG</w:t>
      </w:r>
      <w:r>
        <w:t xml:space="preserve"> et </w:t>
      </w:r>
      <w:r w:rsidRPr="000A7A5C">
        <w:t xml:space="preserve">art. 329i </w:t>
      </w:r>
      <w:r>
        <w:t>C</w:t>
      </w:r>
      <w:r w:rsidRPr="000A7A5C">
        <w:t>O: congé pour la prise en charge d’un enfant.</w:t>
      </w:r>
    </w:p>
  </w:footnote>
  <w:footnote w:id="188">
    <w:p w14:paraId="3BC4071A" w14:textId="4BFCA746" w:rsidR="00E77057" w:rsidRPr="000A7A5C" w:rsidRDefault="00E77057" w:rsidP="005B6BB2">
      <w:pPr>
        <w:pStyle w:val="Fussnote"/>
      </w:pPr>
      <w:r w:rsidRPr="000A7A5C">
        <w:rPr>
          <w:rStyle w:val="FootnoteReference"/>
        </w:rPr>
        <w:footnoteRef/>
      </w:r>
      <w:r w:rsidRPr="000A7A5C">
        <w:t xml:space="preserve"> </w:t>
      </w:r>
      <w:hyperlink r:id="rId153" w:history="1">
        <w:r w:rsidRPr="003E2ED3">
          <w:rPr>
            <w:rStyle w:val="Hyperlink"/>
          </w:rPr>
          <w:t>Inclusion Handicap, Droit et handicap, «Augmentation du supplément pour soins intenses de l’AI dès 2018», 10.10.2017</w:t>
        </w:r>
      </w:hyperlink>
      <w:r>
        <w:t xml:space="preserve">; </w:t>
      </w:r>
      <w:hyperlink r:id="rId154" w:history="1">
        <w:r w:rsidRPr="000A7A5C">
          <w:rPr>
            <w:rStyle w:val="Hyperlink"/>
          </w:rPr>
          <w:t>Communiqué de presse d’Inclusion Handicap, 4.12.2019</w:t>
        </w:r>
      </w:hyperlink>
      <w:r w:rsidRPr="00F87CC8">
        <w:t>.</w:t>
      </w:r>
    </w:p>
  </w:footnote>
  <w:footnote w:id="189">
    <w:p w14:paraId="6A5142CA" w14:textId="04EAF7E7" w:rsidR="00E77057" w:rsidRPr="000A7A5C" w:rsidRDefault="00E77057" w:rsidP="005B6BB2">
      <w:pPr>
        <w:pStyle w:val="Fussnote"/>
      </w:pPr>
      <w:r w:rsidRPr="000A7A5C">
        <w:rPr>
          <w:rStyle w:val="FootnoteReference"/>
        </w:rPr>
        <w:footnoteRef/>
      </w:r>
      <w:r w:rsidRPr="000A7A5C">
        <w:t xml:space="preserve"> Le manque d’offres est très répandu et le financement du surcoût n’est souvent pas réglé, cf. à ce sujet l’étude nationale de Procap Suisse: </w:t>
      </w:r>
      <w:hyperlink r:id="rId155" w:history="1">
        <w:r w:rsidRPr="000A7A5C">
          <w:rPr>
            <w:rStyle w:val="Hyperlink"/>
          </w:rPr>
          <w:t>www.procap.ch/kita</w:t>
        </w:r>
      </w:hyperlink>
      <w:r w:rsidRPr="000A7A5C">
        <w:t xml:space="preserve"> (en allemand avec un lien vers l’étude en français)</w:t>
      </w:r>
      <w:r>
        <w:t>.</w:t>
      </w:r>
      <w:r w:rsidRPr="000A7A5C">
        <w:t xml:space="preserve"> </w:t>
      </w:r>
    </w:p>
  </w:footnote>
  <w:footnote w:id="190">
    <w:p w14:paraId="4A7C3120" w14:textId="128EE6DC" w:rsidR="00E77057" w:rsidRPr="00A163EF" w:rsidRDefault="00E77057" w:rsidP="005B6BB2">
      <w:pPr>
        <w:pStyle w:val="Fussnote"/>
      </w:pPr>
      <w:r w:rsidRPr="000A7A5C">
        <w:rPr>
          <w:rStyle w:val="FootnoteReference"/>
        </w:rPr>
        <w:footnoteRef/>
      </w:r>
      <w:r w:rsidRPr="000A7A5C">
        <w:t xml:space="preserve"> À ce </w:t>
      </w:r>
      <w:r w:rsidRPr="00A163EF">
        <w:t xml:space="preserve">sujet art. 25 CDPH, p. </w:t>
      </w:r>
      <w:r w:rsidRPr="00A163EF">
        <w:fldChar w:fldCharType="begin"/>
      </w:r>
      <w:r w:rsidRPr="00A163EF">
        <w:instrText xml:space="preserve"> PAGEREF _Ref96099209 \h </w:instrText>
      </w:r>
      <w:r w:rsidRPr="00A163EF">
        <w:fldChar w:fldCharType="separate"/>
      </w:r>
      <w:r>
        <w:rPr>
          <w:noProof/>
        </w:rPr>
        <w:t>53</w:t>
      </w:r>
      <w:r w:rsidRPr="00A163EF">
        <w:fldChar w:fldCharType="end"/>
      </w:r>
      <w:r w:rsidRPr="00A163EF">
        <w:t xml:space="preserve"> ss.</w:t>
      </w:r>
    </w:p>
  </w:footnote>
  <w:footnote w:id="191">
    <w:p w14:paraId="19756820" w14:textId="6DB13440" w:rsidR="00E77057" w:rsidRPr="000A7A5C" w:rsidRDefault="00E77057" w:rsidP="005B6BB2">
      <w:pPr>
        <w:pStyle w:val="Fussnote"/>
      </w:pPr>
      <w:r w:rsidRPr="00A163EF">
        <w:rPr>
          <w:rStyle w:val="FootnoteReference"/>
        </w:rPr>
        <w:footnoteRef/>
      </w:r>
      <w:r w:rsidRPr="00A163EF">
        <w:t xml:space="preserve"> À ce sujet art. 19 CDPH, p. </w:t>
      </w:r>
      <w:r w:rsidRPr="00A163EF">
        <w:fldChar w:fldCharType="begin"/>
      </w:r>
      <w:r w:rsidRPr="00A163EF">
        <w:instrText xml:space="preserve"> PAGEREF _Ref96099224 \h </w:instrText>
      </w:r>
      <w:r w:rsidRPr="00A163EF">
        <w:fldChar w:fldCharType="separate"/>
      </w:r>
      <w:r>
        <w:rPr>
          <w:noProof/>
        </w:rPr>
        <w:t>39</w:t>
      </w:r>
      <w:r w:rsidRPr="00A163EF">
        <w:fldChar w:fldCharType="end"/>
      </w:r>
      <w:r w:rsidRPr="00A163EF">
        <w:t xml:space="preserve"> ss.</w:t>
      </w:r>
    </w:p>
  </w:footnote>
  <w:footnote w:id="192">
    <w:p w14:paraId="482862C0" w14:textId="6B8E82CC" w:rsidR="00E77057" w:rsidRPr="000A7A5C" w:rsidRDefault="00E77057" w:rsidP="005B6BB2">
      <w:pPr>
        <w:pStyle w:val="Fussnote"/>
      </w:pPr>
      <w:r w:rsidRPr="000A7A5C">
        <w:rPr>
          <w:rStyle w:val="FootnoteReference"/>
        </w:rPr>
        <w:footnoteRef/>
      </w:r>
      <w:r w:rsidRPr="000A7A5C">
        <w:t xml:space="preserve"> Mentionnons comme exemples ponctuels d’une approche ciblée et ouverte de ce thème, le service </w:t>
      </w:r>
      <w:hyperlink r:id="rId156" w:history="1">
        <w:r w:rsidRPr="000A7A5C">
          <w:rPr>
            <w:rStyle w:val="Hyperlink"/>
          </w:rPr>
          <w:t>Fachstelle Lebensräume</w:t>
        </w:r>
      </w:hyperlink>
      <w:r w:rsidRPr="000A7A5C">
        <w:t xml:space="preserve"> de l’organisation insieme (en allemand), </w:t>
      </w:r>
      <w:hyperlink r:id="rId157" w:history="1">
        <w:r w:rsidRPr="000A7A5C">
          <w:rPr>
            <w:rStyle w:val="Hyperlink"/>
          </w:rPr>
          <w:t>«airAmour»</w:t>
        </w:r>
      </w:hyperlink>
      <w:r w:rsidRPr="000A7A5C">
        <w:t xml:space="preserve"> du Forum de PH de Bâle (en allemand) ainsi que la </w:t>
      </w:r>
      <w:hyperlink r:id="rId158" w:history="1">
        <w:r w:rsidRPr="000A7A5C">
          <w:rPr>
            <w:rStyle w:val="Hyperlink"/>
          </w:rPr>
          <w:t>Conférence sur le thème sexualité, famille et handicap</w:t>
        </w:r>
      </w:hyperlink>
      <w:r w:rsidRPr="000A7A5C">
        <w:t xml:space="preserve"> organisée fin 2021 par le BFEH, la Faculté de droit de l’Université </w:t>
      </w:r>
      <w:r>
        <w:t>de Bâle et Inclusion Handicap.</w:t>
      </w:r>
    </w:p>
  </w:footnote>
  <w:footnote w:id="193">
    <w:p w14:paraId="50613265" w14:textId="77777777" w:rsidR="00E77057" w:rsidRPr="000A7A5C" w:rsidRDefault="00E77057" w:rsidP="005B6BB2">
      <w:pPr>
        <w:pStyle w:val="Fussnote"/>
      </w:pPr>
      <w:r w:rsidRPr="000A7A5C">
        <w:rPr>
          <w:rStyle w:val="FootnoteReference"/>
        </w:rPr>
        <w:footnoteRef/>
      </w:r>
      <w:r w:rsidRPr="000A7A5C">
        <w:t xml:space="preserve"> En cas de détérioration de l’état de santé, de maladie ou d’acci</w:t>
      </w:r>
      <w:r>
        <w:t>d</w:t>
      </w:r>
      <w:r w:rsidRPr="000A7A5C">
        <w:t>ent de leur proche, les personnes exerçant une activité lucrative ont droit pendant trois jours au maximum par événement resp. dix jours par année au maximum, au maintien du versement du salaire par leur employeur: art. 329h CO (ajouté par le ch. II 1 de la LF du 20 déc. 2019 sur l’amélioration de la conciliation entre activité professionnelle et prise en charge de proches, en vigueur depuis le 1</w:t>
      </w:r>
      <w:r w:rsidRPr="000A7A5C">
        <w:rPr>
          <w:vertAlign w:val="superscript"/>
        </w:rPr>
        <w:t>er</w:t>
      </w:r>
      <w:r w:rsidRPr="000A7A5C">
        <w:t xml:space="preserve"> janvier. 2021). </w:t>
      </w:r>
    </w:p>
  </w:footnote>
  <w:footnote w:id="194">
    <w:p w14:paraId="5A2F10FA" w14:textId="553CAE7D" w:rsidR="00E77057" w:rsidRPr="000A7A5C" w:rsidRDefault="00E77057" w:rsidP="005B6BB2">
      <w:pPr>
        <w:pStyle w:val="Fussnote"/>
      </w:pPr>
      <w:r w:rsidRPr="000A7A5C">
        <w:rPr>
          <w:rStyle w:val="FootnoteReference"/>
          <w:rFonts w:eastAsia="Times New Roman"/>
          <w:szCs w:val="18"/>
        </w:rPr>
        <w:footnoteRef/>
      </w:r>
      <w:r w:rsidRPr="000A7A5C">
        <w:t xml:space="preserve"> Aperçu du système d’éducation suisse, voir </w:t>
      </w:r>
      <w:hyperlink r:id="rId159" w:history="1">
        <w:r w:rsidRPr="00F523AB">
          <w:rPr>
            <w:rStyle w:val="Hyperlink"/>
          </w:rPr>
          <w:t>Common core document forming part of the reports of States parties, Switzerland, 16 June 2017, UN Doc. HRI/CORE/CHE/2017</w:t>
        </w:r>
      </w:hyperlink>
      <w:r w:rsidRPr="000A7A5C">
        <w:t>, paras. 26 – 31.</w:t>
      </w:r>
    </w:p>
  </w:footnote>
  <w:footnote w:id="195">
    <w:p w14:paraId="45032EF4" w14:textId="33A24713" w:rsidR="00E77057" w:rsidRPr="000A7A5C" w:rsidRDefault="00E77057" w:rsidP="005B6BB2">
      <w:pPr>
        <w:pStyle w:val="Fussnote"/>
      </w:pPr>
      <w:r w:rsidRPr="000A7A5C">
        <w:rPr>
          <w:rStyle w:val="FootnoteReference"/>
          <w:rFonts w:eastAsia="Times New Roman"/>
          <w:szCs w:val="18"/>
        </w:rPr>
        <w:footnoteRef/>
      </w:r>
      <w:r w:rsidRPr="000A7A5C">
        <w:t xml:space="preserve"> Cf. art. 48a al. 1 let. i et 62 al. 3 Cst. ainsi que </w:t>
      </w:r>
      <w:r w:rsidRPr="000A7A5C">
        <w:rPr>
          <w:smallCaps/>
        </w:rPr>
        <w:t>Kronenberg (</w:t>
      </w:r>
      <w:r w:rsidRPr="008133E0">
        <w:rPr>
          <w:smallCaps/>
        </w:rPr>
        <w:t xml:space="preserve">N </w:t>
      </w:r>
      <w:r w:rsidRPr="008133E0">
        <w:rPr>
          <w:smallCaps/>
        </w:rPr>
        <w:fldChar w:fldCharType="begin"/>
      </w:r>
      <w:r w:rsidRPr="008133E0">
        <w:rPr>
          <w:smallCaps/>
        </w:rPr>
        <w:instrText xml:space="preserve"> NOTEREF _Ref95754020 \h </w:instrText>
      </w:r>
      <w:r>
        <w:rPr>
          <w:smallCaps/>
        </w:rPr>
        <w:instrText xml:space="preserve"> \* MERGEFORMAT </w:instrText>
      </w:r>
      <w:r w:rsidRPr="008133E0">
        <w:rPr>
          <w:smallCaps/>
        </w:rPr>
      </w:r>
      <w:r w:rsidRPr="008133E0">
        <w:rPr>
          <w:smallCaps/>
        </w:rPr>
        <w:fldChar w:fldCharType="separate"/>
      </w:r>
      <w:r>
        <w:rPr>
          <w:smallCaps/>
        </w:rPr>
        <w:t>47</w:t>
      </w:r>
      <w:r w:rsidRPr="008133E0">
        <w:rPr>
          <w:smallCaps/>
        </w:rPr>
        <w:fldChar w:fldCharType="end"/>
      </w:r>
      <w:r w:rsidRPr="008133E0">
        <w:rPr>
          <w:smallCaps/>
        </w:rPr>
        <w:t>),</w:t>
      </w:r>
      <w:r w:rsidRPr="000A7A5C">
        <w:rPr>
          <w:smallCaps/>
        </w:rPr>
        <w:t xml:space="preserve"> </w:t>
      </w:r>
      <w:r w:rsidRPr="008133E0">
        <w:t>p.</w:t>
      </w:r>
      <w:r w:rsidRPr="000A7A5C">
        <w:rPr>
          <w:smallCaps/>
        </w:rPr>
        <w:t xml:space="preserve"> 70</w:t>
      </w:r>
      <w:r w:rsidRPr="000A7A5C">
        <w:t>.</w:t>
      </w:r>
    </w:p>
  </w:footnote>
  <w:footnote w:id="196">
    <w:p w14:paraId="262D11CC" w14:textId="738D7259" w:rsidR="00E77057" w:rsidRPr="000A7A5C" w:rsidRDefault="00E77057" w:rsidP="005B6BB2">
      <w:pPr>
        <w:pStyle w:val="Fussnote"/>
      </w:pPr>
      <w:r w:rsidRPr="000A7A5C">
        <w:rPr>
          <w:rStyle w:val="FootnoteReference"/>
          <w:rFonts w:eastAsia="Times New Roman"/>
          <w:szCs w:val="18"/>
        </w:rPr>
        <w:footnoteRef/>
      </w:r>
      <w:r w:rsidRPr="000A7A5C">
        <w:t xml:space="preserve"> </w:t>
      </w:r>
      <w:hyperlink r:id="rId160" w:history="1">
        <w:r w:rsidRPr="002B6965">
          <w:rPr>
            <w:rStyle w:val="Hyperlink"/>
            <w:rFonts w:cstheme="minorBidi"/>
            <w:szCs w:val="18"/>
          </w:rPr>
          <w:t>Accord intercantonal sur la collaboration dans le domaine de la pédagogie spécialisée du 25 octobre 2007</w:t>
        </w:r>
      </w:hyperlink>
      <w:r>
        <w:rPr>
          <w:rFonts w:cstheme="minorBidi"/>
          <w:szCs w:val="18"/>
        </w:rPr>
        <w:t>.</w:t>
      </w:r>
      <w:r w:rsidRPr="000A7A5C">
        <w:t xml:space="preserve"> </w:t>
      </w:r>
    </w:p>
  </w:footnote>
  <w:footnote w:id="197">
    <w:p w14:paraId="2A1079B4" w14:textId="72A97F63" w:rsidR="00E77057" w:rsidRPr="000A7A5C" w:rsidRDefault="00E77057" w:rsidP="005B6BB2">
      <w:pPr>
        <w:pStyle w:val="Fussnote"/>
      </w:pPr>
      <w:r w:rsidRPr="000A7A5C">
        <w:rPr>
          <w:rStyle w:val="FootnoteReference"/>
          <w:rFonts w:eastAsia="Times New Roman"/>
          <w:szCs w:val="18"/>
        </w:rPr>
        <w:footnoteRef/>
      </w:r>
      <w:r w:rsidRPr="000A7A5C">
        <w:t xml:space="preserve"> </w:t>
      </w:r>
      <w:hyperlink r:id="rId161" w:history="1">
        <w:r w:rsidRPr="000B4F7C">
          <w:rPr>
            <w:rStyle w:val="Hyperlink"/>
          </w:rPr>
          <w:t>Adhésion au Concordat: actuellement 16 cantons, dès mi-2022 également le canton de Berne</w:t>
        </w:r>
        <w:r>
          <w:rPr>
            <w:rStyle w:val="Hyperlink"/>
          </w:rPr>
          <w:t>;</w:t>
        </w:r>
        <w:r w:rsidRPr="000B4F7C">
          <w:rPr>
            <w:rStyle w:val="Hyperlink"/>
          </w:rPr>
          <w:t xml:space="preserve"> élaboration concept de pédagogie spécialisée: 25 cantons</w:t>
        </w:r>
      </w:hyperlink>
      <w:r>
        <w:t>. Sur les principes, l</w:t>
      </w:r>
      <w:r w:rsidRPr="000B4F7C">
        <w:t>es concepts de pédagogie spécialisée des cantons qui n</w:t>
      </w:r>
      <w:r>
        <w:t>’</w:t>
      </w:r>
      <w:r w:rsidRPr="000B4F7C">
        <w:t xml:space="preserve">ont pas (encore) adhéré </w:t>
      </w:r>
      <w:r>
        <w:t>au Concordat</w:t>
      </w:r>
      <w:r w:rsidRPr="000B4F7C">
        <w:t xml:space="preserve"> ne se distinguent pas fondamentalement de </w:t>
      </w:r>
      <w:r>
        <w:t>celui-ci.</w:t>
      </w:r>
      <w:r>
        <w:rPr>
          <w:rStyle w:val="Hyperlink"/>
          <w:szCs w:val="18"/>
        </w:rPr>
        <w:t xml:space="preserve"> </w:t>
      </w:r>
    </w:p>
  </w:footnote>
  <w:footnote w:id="198">
    <w:p w14:paraId="5519C9E1" w14:textId="367F2D8E" w:rsidR="00E77057" w:rsidRPr="000A7A5C" w:rsidRDefault="00E77057" w:rsidP="005B6BB2">
      <w:pPr>
        <w:pStyle w:val="Fussnote"/>
      </w:pPr>
      <w:r w:rsidRPr="000A7A5C">
        <w:rPr>
          <w:rStyle w:val="FootnoteReference"/>
          <w:rFonts w:eastAsia="Times New Roman"/>
          <w:szCs w:val="18"/>
        </w:rPr>
        <w:footnoteRef/>
      </w:r>
      <w:r w:rsidRPr="008C5B2B">
        <w:rPr>
          <w:lang w:val="en-US"/>
        </w:rPr>
        <w:t xml:space="preserve"> </w:t>
      </w:r>
      <w:hyperlink r:id="rId162" w:history="1">
        <w:r w:rsidRPr="00D34A5D">
          <w:rPr>
            <w:rStyle w:val="Hyperlink"/>
            <w:lang w:val="en-US"/>
          </w:rPr>
          <w:t xml:space="preserve">CRPD Committee, Inquiry concerning Spain carried out by the Committee under article 6 of the Optional Protocol to the Convention, 4 June 2018, UN Doc. </w:t>
        </w:r>
        <w:r w:rsidRPr="00D34A5D">
          <w:rPr>
            <w:rStyle w:val="Hyperlink"/>
          </w:rPr>
          <w:t>CRPD/C/20/3</w:t>
        </w:r>
      </w:hyperlink>
      <w:r w:rsidRPr="000A7A5C">
        <w:t>,</w:t>
      </w:r>
      <w:r>
        <w:t xml:space="preserve"> notamment</w:t>
      </w:r>
      <w:r w:rsidRPr="000A7A5C">
        <w:t xml:space="preserve"> </w:t>
      </w:r>
      <w:r>
        <w:t>ch</w:t>
      </w:r>
      <w:r w:rsidRPr="000A7A5C">
        <w:t xml:space="preserve">. 23 – 29; </w:t>
      </w:r>
      <w:r>
        <w:t>ch</w:t>
      </w:r>
      <w:r w:rsidRPr="000A7A5C">
        <w:t>. 38 – 40.</w:t>
      </w:r>
    </w:p>
  </w:footnote>
  <w:footnote w:id="199">
    <w:p w14:paraId="59628E42" w14:textId="12B4ADD3" w:rsidR="00E77057" w:rsidRPr="000A7A5C" w:rsidRDefault="00E77057" w:rsidP="005B6BB2">
      <w:pPr>
        <w:pStyle w:val="Fussnote"/>
      </w:pPr>
      <w:r w:rsidRPr="000A7A5C">
        <w:rPr>
          <w:rStyle w:val="FootnoteReference"/>
          <w:rFonts w:eastAsia="Times New Roman"/>
          <w:szCs w:val="18"/>
        </w:rPr>
        <w:footnoteRef/>
      </w:r>
      <w:r w:rsidRPr="000A7A5C">
        <w:t xml:space="preserve"> </w:t>
      </w:r>
      <w:r>
        <w:t>V</w:t>
      </w:r>
      <w:r w:rsidRPr="000A7A5C">
        <w:t xml:space="preserve">oir p. ex. </w:t>
      </w:r>
      <w:hyperlink r:id="rId163" w:history="1">
        <w:r w:rsidRPr="000A7A5C">
          <w:rPr>
            <w:rStyle w:val="Hyperlink"/>
            <w:szCs w:val="18"/>
          </w:rPr>
          <w:t>Arrêt 2C_154/2017</w:t>
        </w:r>
      </w:hyperlink>
      <w:r w:rsidRPr="000A7A5C">
        <w:t xml:space="preserve"> du 23 mai 2017 du Tribunal fédéral (en allemand). Une comparaison concrète des coûts entre enseignement spécialisé intégratif et séparatif est rare et semble de surcroît difficilement possible compte </w:t>
      </w:r>
      <w:r>
        <w:t xml:space="preserve">tenu </w:t>
      </w:r>
      <w:r w:rsidRPr="000A7A5C">
        <w:t>de la rigidité des structures et des flux financiers.</w:t>
      </w:r>
    </w:p>
  </w:footnote>
  <w:footnote w:id="200">
    <w:p w14:paraId="34F86BCB" w14:textId="383C5C83" w:rsidR="00E77057" w:rsidRPr="00014705" w:rsidRDefault="00E77057" w:rsidP="005B6BB2">
      <w:pPr>
        <w:pStyle w:val="Fussnote"/>
      </w:pPr>
      <w:r w:rsidRPr="000A7A5C">
        <w:rPr>
          <w:rStyle w:val="FootnoteReference"/>
          <w:rFonts w:eastAsia="Times New Roman"/>
          <w:szCs w:val="18"/>
        </w:rPr>
        <w:footnoteRef/>
      </w:r>
      <w:r w:rsidRPr="000A7A5C">
        <w:t xml:space="preserve"> Cf. </w:t>
      </w:r>
      <w:r w:rsidRPr="000A7A5C">
        <w:rPr>
          <w:smallCaps/>
        </w:rPr>
        <w:t>Kronenberg</w:t>
      </w:r>
      <w:r w:rsidRPr="000A7A5C">
        <w:t xml:space="preserve"> (</w:t>
      </w:r>
      <w:r>
        <w:t xml:space="preserve">N </w:t>
      </w:r>
      <w:r>
        <w:rPr>
          <w:highlight w:val="green"/>
        </w:rPr>
        <w:fldChar w:fldCharType="begin"/>
      </w:r>
      <w:r>
        <w:instrText xml:space="preserve"> NOTEREF _Ref95754020 \h </w:instrText>
      </w:r>
      <w:r>
        <w:rPr>
          <w:highlight w:val="green"/>
        </w:rPr>
      </w:r>
      <w:r>
        <w:rPr>
          <w:highlight w:val="green"/>
        </w:rPr>
        <w:fldChar w:fldCharType="separate"/>
      </w:r>
      <w:r>
        <w:t>47</w:t>
      </w:r>
      <w:r>
        <w:rPr>
          <w:highlight w:val="green"/>
        </w:rPr>
        <w:fldChar w:fldCharType="end"/>
      </w:r>
      <w:r w:rsidRPr="000A7A5C">
        <w:t xml:space="preserve">), </w:t>
      </w:r>
      <w:r w:rsidRPr="00014705">
        <w:t xml:space="preserve">p. 135, 140. Il arrive plutôt que des enfants </w:t>
      </w:r>
      <w:r>
        <w:t>venant de</w:t>
      </w:r>
      <w:r w:rsidRPr="00014705">
        <w:t xml:space="preserve"> </w:t>
      </w:r>
      <w:r w:rsidRPr="00014705">
        <w:rPr>
          <w:i/>
        </w:rPr>
        <w:t>classes</w:t>
      </w:r>
      <w:r w:rsidRPr="00014705">
        <w:t xml:space="preserve"> spécialisées soient ensuite intégrés.</w:t>
      </w:r>
    </w:p>
  </w:footnote>
  <w:footnote w:id="201">
    <w:p w14:paraId="38DB0973" w14:textId="17A8FC99" w:rsidR="00E77057" w:rsidRPr="000A7A5C" w:rsidRDefault="00E77057" w:rsidP="005B6BB2">
      <w:pPr>
        <w:pStyle w:val="Fussnote"/>
      </w:pPr>
      <w:r w:rsidRPr="000A7A5C">
        <w:rPr>
          <w:rStyle w:val="FootnoteReference"/>
          <w:szCs w:val="18"/>
        </w:rPr>
        <w:footnoteRef/>
      </w:r>
      <w:r w:rsidRPr="00014705">
        <w:t xml:space="preserve"> Cf. parmi d’autres </w:t>
      </w:r>
      <w:hyperlink r:id="rId164" w:history="1">
        <w:r w:rsidRPr="00F87CC8">
          <w:rPr>
            <w:rStyle w:val="Hyperlink"/>
            <w:szCs w:val="18"/>
          </w:rPr>
          <w:t>Arrêt 2C_154/2017</w:t>
        </w:r>
        <w:r w:rsidRPr="00F87CC8">
          <w:rPr>
            <w:rStyle w:val="Hyperlink"/>
          </w:rPr>
          <w:t xml:space="preserve"> du Tribunal fédéral du 23 mai 2017</w:t>
        </w:r>
      </w:hyperlink>
      <w:r w:rsidRPr="000A7A5C">
        <w:t>, qui a accepté la scolarisation séparative d’un enfant ayant une trisomie 21</w:t>
      </w:r>
      <w:r>
        <w:t xml:space="preserve"> (en allemand)</w:t>
      </w:r>
      <w:r w:rsidRPr="000A7A5C">
        <w:t>.</w:t>
      </w:r>
    </w:p>
  </w:footnote>
  <w:footnote w:id="202">
    <w:p w14:paraId="46065CA4" w14:textId="57AA1B5C" w:rsidR="00E77057" w:rsidRPr="000A7A5C" w:rsidRDefault="00E77057" w:rsidP="005B6BB2">
      <w:pPr>
        <w:pStyle w:val="Fussnote"/>
      </w:pPr>
      <w:r w:rsidRPr="000A7A5C">
        <w:rPr>
          <w:rStyle w:val="FootnoteReference"/>
          <w:rFonts w:eastAsia="Times New Roman"/>
          <w:szCs w:val="18"/>
        </w:rPr>
        <w:footnoteRef/>
      </w:r>
      <w:r w:rsidRPr="00AE3D9B">
        <w:t xml:space="preserve"> </w:t>
      </w:r>
      <w:hyperlink r:id="rId165" w:history="1">
        <w:r w:rsidRPr="005D1925">
          <w:rPr>
            <w:rStyle w:val="Hyperlink"/>
          </w:rPr>
          <w:t>Integras, Association professionnelle pour l’éducation sociale et la pédagogie spécialisée, Standards pour une école inclusive, mars 2019</w:t>
        </w:r>
      </w:hyperlink>
      <w:r>
        <w:t>.</w:t>
      </w:r>
    </w:p>
  </w:footnote>
  <w:footnote w:id="203">
    <w:p w14:paraId="7D1CCD93" w14:textId="4AD6F991" w:rsidR="00E77057" w:rsidRPr="004C21D0" w:rsidRDefault="00E77057" w:rsidP="005B6BB2">
      <w:pPr>
        <w:pStyle w:val="Fussnote"/>
        <w:rPr>
          <w:szCs w:val="18"/>
          <w:lang w:val="de-CH"/>
        </w:rPr>
      </w:pPr>
      <w:r w:rsidRPr="004C21D0">
        <w:rPr>
          <w:rStyle w:val="FootnoteReference"/>
          <w:rFonts w:eastAsia="Times New Roman"/>
          <w:szCs w:val="18"/>
        </w:rPr>
        <w:footnoteRef/>
      </w:r>
      <w:r w:rsidRPr="004C21D0">
        <w:rPr>
          <w:szCs w:val="18"/>
          <w:lang w:val="de-CH"/>
        </w:rPr>
        <w:t xml:space="preserve"> Cf. </w:t>
      </w:r>
      <w:hyperlink r:id="rId166" w:history="1">
        <w:r w:rsidRPr="004C21D0">
          <w:rPr>
            <w:rStyle w:val="Hyperlink"/>
            <w:szCs w:val="18"/>
            <w:lang w:val="de-CH"/>
          </w:rPr>
          <w:t>Communiqué de presse «Freiwillige Schulsynode Basel-Stadt (FSS), Berufsverband der Basler Lehr-, Fach- und Leitungspersonen FSS unterstützt ‘Förderklassen-Initiative’», 20.1.2022</w:t>
        </w:r>
      </w:hyperlink>
      <w:r w:rsidRPr="004C21D0">
        <w:rPr>
          <w:szCs w:val="18"/>
          <w:lang w:val="de-CH"/>
        </w:rPr>
        <w:t xml:space="preserve"> (en allemand).</w:t>
      </w:r>
    </w:p>
  </w:footnote>
  <w:footnote w:id="204">
    <w:p w14:paraId="550783FA" w14:textId="7C86CF1F" w:rsidR="00E77057" w:rsidRPr="000D5D12" w:rsidRDefault="00E77057" w:rsidP="005B6BB2">
      <w:pPr>
        <w:pStyle w:val="Fussnote"/>
        <w:rPr>
          <w:szCs w:val="18"/>
          <w:lang w:val="de-CH"/>
        </w:rPr>
      </w:pPr>
      <w:r w:rsidRPr="000A7A5C">
        <w:rPr>
          <w:rStyle w:val="FootnoteReference"/>
          <w:rFonts w:eastAsia="Times New Roman"/>
          <w:szCs w:val="18"/>
        </w:rPr>
        <w:footnoteRef/>
      </w:r>
      <w:r w:rsidRPr="00552D75">
        <w:rPr>
          <w:szCs w:val="18"/>
          <w:lang w:val="de-CH"/>
        </w:rPr>
        <w:t xml:space="preserve"> Cf. p. ex. </w:t>
      </w:r>
      <w:hyperlink r:id="rId167" w:history="1">
        <w:r w:rsidRPr="00F87CC8">
          <w:rPr>
            <w:rStyle w:val="Hyperlink"/>
            <w:rFonts w:cstheme="minorBidi"/>
            <w:szCs w:val="18"/>
            <w:lang w:val="de-CH"/>
          </w:rPr>
          <w:t>Berner Zeitung, Berufsverband Bildung warnt vor Sparmassnahmen</w:t>
        </w:r>
        <w:r w:rsidRPr="00F87CC8">
          <w:rPr>
            <w:rStyle w:val="Hyperlink"/>
            <w:szCs w:val="18"/>
            <w:lang w:val="de-CH"/>
          </w:rPr>
          <w:t>, 25 octobre 2017</w:t>
        </w:r>
      </w:hyperlink>
      <w:r w:rsidRPr="00F87CC8">
        <w:rPr>
          <w:szCs w:val="18"/>
          <w:lang w:val="de-CH"/>
        </w:rPr>
        <w:t xml:space="preserve"> </w:t>
      </w:r>
      <w:r w:rsidRPr="000D5D12">
        <w:rPr>
          <w:szCs w:val="18"/>
          <w:lang w:val="de-CH"/>
        </w:rPr>
        <w:t>(en allemand)</w:t>
      </w:r>
      <w:r>
        <w:rPr>
          <w:szCs w:val="18"/>
          <w:lang w:val="de-CH"/>
        </w:rPr>
        <w:t>.</w:t>
      </w:r>
    </w:p>
  </w:footnote>
  <w:footnote w:id="205">
    <w:p w14:paraId="1C5EE62A" w14:textId="5A6BE5EC" w:rsidR="00E77057" w:rsidRPr="000A7A5C" w:rsidRDefault="00E77057" w:rsidP="005B6BB2">
      <w:pPr>
        <w:pStyle w:val="Fussnote"/>
        <w:rPr>
          <w:szCs w:val="18"/>
        </w:rPr>
      </w:pPr>
      <w:r w:rsidRPr="000A7A5C">
        <w:rPr>
          <w:rStyle w:val="FootnoteReference"/>
          <w:szCs w:val="18"/>
        </w:rPr>
        <w:footnoteRef/>
      </w:r>
      <w:r w:rsidRPr="000A7A5C">
        <w:rPr>
          <w:szCs w:val="18"/>
        </w:rPr>
        <w:t xml:space="preserve"> </w:t>
      </w:r>
      <w:r w:rsidRPr="00F87CC8">
        <w:rPr>
          <w:szCs w:val="18"/>
        </w:rPr>
        <w:t xml:space="preserve">Prise de position du CF sur </w:t>
      </w:r>
      <w:hyperlink r:id="rId168" w:history="1">
        <w:r w:rsidRPr="00F87CC8">
          <w:rPr>
            <w:rStyle w:val="Hyperlink"/>
            <w:szCs w:val="18"/>
          </w:rPr>
          <w:t>l’interpellation Ammann du 29.11.18</w:t>
        </w:r>
      </w:hyperlink>
      <w:r w:rsidRPr="00F87CC8">
        <w:rPr>
          <w:szCs w:val="18"/>
        </w:rPr>
        <w:t>, ch. 4</w:t>
      </w:r>
      <w:r>
        <w:rPr>
          <w:szCs w:val="18"/>
        </w:rPr>
        <w:t>.</w:t>
      </w:r>
    </w:p>
  </w:footnote>
  <w:footnote w:id="206">
    <w:p w14:paraId="7FB092A6" w14:textId="3BB1DF04"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w:t>
      </w:r>
      <w:hyperlink r:id="rId169" w:history="1">
        <w:r w:rsidRPr="00F87CC8">
          <w:rPr>
            <w:rStyle w:val="Hyperlink"/>
            <w:rFonts w:cstheme="minorBidi"/>
            <w:szCs w:val="18"/>
          </w:rPr>
          <w:t>Collaboration en matière de formation Confédération-cantons</w:t>
        </w:r>
      </w:hyperlink>
      <w:r w:rsidRPr="000A7A5C">
        <w:rPr>
          <w:szCs w:val="18"/>
        </w:rPr>
        <w:t xml:space="preserve">; vers le rapport d’approfondissement pédagogie spécialisée </w:t>
      </w:r>
      <w:r>
        <w:rPr>
          <w:szCs w:val="18"/>
        </w:rPr>
        <w:t>(</w:t>
      </w:r>
      <w:r w:rsidRPr="000A7A5C">
        <w:rPr>
          <w:szCs w:val="18"/>
        </w:rPr>
        <w:t>N</w:t>
      </w:r>
      <w:r>
        <w:rPr>
          <w:szCs w:val="18"/>
        </w:rPr>
        <w:t xml:space="preserve"> </w:t>
      </w:r>
      <w:r>
        <w:rPr>
          <w:szCs w:val="18"/>
        </w:rPr>
        <w:fldChar w:fldCharType="begin"/>
      </w:r>
      <w:r>
        <w:rPr>
          <w:szCs w:val="18"/>
        </w:rPr>
        <w:instrText xml:space="preserve"> NOTEREF _Ref95754020 \h </w:instrText>
      </w:r>
      <w:r>
        <w:rPr>
          <w:szCs w:val="18"/>
        </w:rPr>
      </w:r>
      <w:r>
        <w:rPr>
          <w:szCs w:val="18"/>
        </w:rPr>
        <w:fldChar w:fldCharType="separate"/>
      </w:r>
      <w:r>
        <w:rPr>
          <w:szCs w:val="18"/>
        </w:rPr>
        <w:t>47</w:t>
      </w:r>
      <w:r>
        <w:rPr>
          <w:szCs w:val="18"/>
        </w:rPr>
        <w:fldChar w:fldCharType="end"/>
      </w:r>
      <w:r>
        <w:rPr>
          <w:szCs w:val="18"/>
        </w:rPr>
        <w:t>)</w:t>
      </w:r>
      <w:r w:rsidRPr="000A7A5C">
        <w:rPr>
          <w:szCs w:val="18"/>
        </w:rPr>
        <w:t>.</w:t>
      </w:r>
    </w:p>
  </w:footnote>
  <w:footnote w:id="207">
    <w:p w14:paraId="67A8FC9E" w14:textId="31C57F36"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Selon la </w:t>
      </w:r>
      <w:hyperlink r:id="rId170" w:history="1">
        <w:r w:rsidRPr="002251EE">
          <w:rPr>
            <w:rStyle w:val="Hyperlink"/>
            <w:szCs w:val="18"/>
          </w:rPr>
          <w:t>statistique la plus récente sur la pédagogie spécialisée (année scolaire 2017/18)</w:t>
        </w:r>
      </w:hyperlink>
      <w:r w:rsidRPr="000A7A5C">
        <w:rPr>
          <w:szCs w:val="18"/>
        </w:rPr>
        <w:t>, seuls 53,2% des élèves étaient dans une classe régulière, 40,8% dans une école spécialisée et 6% dans une classe spécialisée.</w:t>
      </w:r>
    </w:p>
  </w:footnote>
  <w:footnote w:id="208">
    <w:p w14:paraId="58F026F1" w14:textId="00ADFD88" w:rsidR="00E77057" w:rsidRPr="002251EE" w:rsidRDefault="00E77057" w:rsidP="005B6BB2">
      <w:pPr>
        <w:pStyle w:val="Fussnote"/>
        <w:rPr>
          <w:szCs w:val="18"/>
          <w:lang w:val="fr-FR"/>
        </w:rPr>
      </w:pPr>
      <w:r w:rsidRPr="000A7A5C">
        <w:rPr>
          <w:rStyle w:val="FootnoteReference"/>
          <w:rFonts w:eastAsia="Times New Roman"/>
          <w:szCs w:val="18"/>
        </w:rPr>
        <w:footnoteRef/>
      </w:r>
      <w:r w:rsidRPr="002251EE">
        <w:rPr>
          <w:szCs w:val="18"/>
        </w:rPr>
        <w:t xml:space="preserve"> </w:t>
      </w:r>
      <w:hyperlink r:id="rId171" w:history="1">
        <w:r w:rsidRPr="002251EE">
          <w:rPr>
            <w:rStyle w:val="Hyperlink"/>
            <w:szCs w:val="18"/>
          </w:rPr>
          <w:t>Conseil-exécutif du canton de Berne, Pédagogie spécialisée: rapport du Conseil-exécutif au Grand Conseil, Séance du 9 janvier 2018</w:t>
        </w:r>
      </w:hyperlink>
      <w:r>
        <w:rPr>
          <w:szCs w:val="18"/>
        </w:rPr>
        <w:t>, p. 4 s.</w:t>
      </w:r>
    </w:p>
  </w:footnote>
  <w:footnote w:id="209">
    <w:p w14:paraId="1012DAD3" w14:textId="1FBD6B33" w:rsidR="00E77057" w:rsidRPr="000A7A5C" w:rsidRDefault="00E77057" w:rsidP="005B6BB2">
      <w:pPr>
        <w:pStyle w:val="Fussnote"/>
      </w:pPr>
      <w:r w:rsidRPr="000A7A5C">
        <w:rPr>
          <w:rStyle w:val="FootnoteReference"/>
          <w:rFonts w:eastAsia="Calibri"/>
          <w:szCs w:val="18"/>
        </w:rPr>
        <w:footnoteRef/>
      </w:r>
      <w:r w:rsidRPr="002251EE">
        <w:rPr>
          <w:lang w:val="de-CH"/>
        </w:rPr>
        <w:t xml:space="preserve"> Cf. </w:t>
      </w:r>
      <w:r w:rsidRPr="002251EE">
        <w:rPr>
          <w:smallCaps/>
          <w:lang w:val="de-CH"/>
        </w:rPr>
        <w:t xml:space="preserve">Kronenberg </w:t>
      </w:r>
      <w:r w:rsidRPr="002251EE">
        <w:rPr>
          <w:lang w:val="de-CH"/>
        </w:rPr>
        <w:t xml:space="preserve">(N </w:t>
      </w:r>
      <w:r>
        <w:fldChar w:fldCharType="begin"/>
      </w:r>
      <w:r w:rsidRPr="002251EE">
        <w:rPr>
          <w:lang w:val="de-CH"/>
        </w:rPr>
        <w:instrText xml:space="preserve"> NOTEREF _Ref95754020 \h </w:instrText>
      </w:r>
      <w:r>
        <w:fldChar w:fldCharType="separate"/>
      </w:r>
      <w:r>
        <w:rPr>
          <w:lang w:val="de-CH"/>
        </w:rPr>
        <w:t>47</w:t>
      </w:r>
      <w:r>
        <w:fldChar w:fldCharType="end"/>
      </w:r>
      <w:r w:rsidRPr="002251EE">
        <w:rPr>
          <w:lang w:val="de-CH"/>
        </w:rPr>
        <w:t xml:space="preserve">), p. 71 s., 135. </w:t>
      </w:r>
      <w:r w:rsidRPr="000A7A5C">
        <w:t xml:space="preserve">Critères de délimitation entre mesures ordinaires et mesures renforcées: durée, intensité, niveau de spécialisation des intervenants, étendue des conséquences sur l’environnement social et </w:t>
      </w:r>
      <w:r>
        <w:t xml:space="preserve">le </w:t>
      </w:r>
      <w:r w:rsidRPr="000A7A5C">
        <w:t>parcours de vie (p. ex. éloignement du lieu de résidence, limitation du futur choix professionnel</w:t>
      </w:r>
      <w:r>
        <w:t>)</w:t>
      </w:r>
      <w:r w:rsidRPr="000A7A5C">
        <w:t>.</w:t>
      </w:r>
      <w:r>
        <w:t xml:space="preserve"> La scolarisation en école spécialisée est toujours considérée comme une mesure renforcée. </w:t>
      </w:r>
    </w:p>
  </w:footnote>
  <w:footnote w:id="210">
    <w:p w14:paraId="3E617A03" w14:textId="40C63757" w:rsidR="00E77057" w:rsidRPr="000A7A5C" w:rsidRDefault="00E77057" w:rsidP="005B6BB2">
      <w:pPr>
        <w:pStyle w:val="Fussnote"/>
      </w:pPr>
      <w:r w:rsidRPr="000A7A5C">
        <w:rPr>
          <w:rStyle w:val="FootnoteReference"/>
          <w:rFonts w:eastAsia="Times New Roman"/>
          <w:szCs w:val="18"/>
        </w:rPr>
        <w:footnoteRef/>
      </w:r>
      <w:r w:rsidRPr="000A7A5C">
        <w:t xml:space="preserve"> Cf. p. ex. </w:t>
      </w:r>
      <w:hyperlink r:id="rId172" w:history="1">
        <w:r w:rsidRPr="00387534">
          <w:rPr>
            <w:rStyle w:val="Hyperlink"/>
          </w:rPr>
          <w:t>ATF 141 I 9 du 4 décembre 2014</w:t>
        </w:r>
      </w:hyperlink>
      <w:r w:rsidRPr="000A7A5C">
        <w:t xml:space="preserve"> (notamment consid. 4)</w:t>
      </w:r>
      <w:r>
        <w:t xml:space="preserve"> (en allemand)</w:t>
      </w:r>
      <w:r w:rsidRPr="000A7A5C">
        <w:t>: finalement, les heures d’assistance dans une école régulière pour un enfant ayant un autisme d’Asperger ont dû être financées par le canton.</w:t>
      </w:r>
    </w:p>
  </w:footnote>
  <w:footnote w:id="211">
    <w:p w14:paraId="3C92A91F" w14:textId="070D5635" w:rsidR="00E77057" w:rsidRPr="000A7A5C" w:rsidRDefault="00E77057" w:rsidP="005B6BB2">
      <w:pPr>
        <w:pStyle w:val="Fussnote"/>
      </w:pPr>
      <w:r w:rsidRPr="000A7A5C">
        <w:rPr>
          <w:rStyle w:val="FootnoteReference"/>
          <w:rFonts w:eastAsia="Times New Roman"/>
          <w:szCs w:val="18"/>
        </w:rPr>
        <w:footnoteRef/>
      </w:r>
      <w:r w:rsidRPr="002251EE">
        <w:rPr>
          <w:lang w:val="de-CH"/>
        </w:rPr>
        <w:t xml:space="preserve"> Cf. </w:t>
      </w:r>
      <w:r w:rsidRPr="002251EE">
        <w:rPr>
          <w:smallCaps/>
          <w:lang w:val="de-CH"/>
        </w:rPr>
        <w:t xml:space="preserve">Kronenberg </w:t>
      </w:r>
      <w:r w:rsidRPr="002251EE">
        <w:rPr>
          <w:lang w:val="de-CH"/>
        </w:rPr>
        <w:t xml:space="preserve">(N </w:t>
      </w:r>
      <w:r>
        <w:fldChar w:fldCharType="begin"/>
      </w:r>
      <w:r w:rsidRPr="002251EE">
        <w:rPr>
          <w:lang w:val="de-CH"/>
        </w:rPr>
        <w:instrText xml:space="preserve"> NOTEREF _Ref95754020 \h </w:instrText>
      </w:r>
      <w:r>
        <w:fldChar w:fldCharType="separate"/>
      </w:r>
      <w:r>
        <w:rPr>
          <w:lang w:val="de-CH"/>
        </w:rPr>
        <w:t>47</w:t>
      </w:r>
      <w:r>
        <w:fldChar w:fldCharType="end"/>
      </w:r>
      <w:r w:rsidRPr="002251EE">
        <w:rPr>
          <w:lang w:val="de-CH"/>
        </w:rPr>
        <w:t xml:space="preserve">), p. 71 s., 83 ss., 134. </w:t>
      </w:r>
      <w:r w:rsidRPr="000A7A5C">
        <w:t xml:space="preserve">Sur la base des chiffres disponibles, le taux d’encadrement ne peut être calculé que pour l’ensemble des </w:t>
      </w:r>
      <w:r>
        <w:t>élèves</w:t>
      </w:r>
      <w:r w:rsidRPr="000A7A5C">
        <w:t xml:space="preserve">, de manière séparée concernant les écoles régulières et les écoles spécialisées. </w:t>
      </w:r>
    </w:p>
  </w:footnote>
  <w:footnote w:id="212">
    <w:p w14:paraId="616ED08B" w14:textId="0FDF9BA0" w:rsidR="00E77057" w:rsidRPr="00B644F9" w:rsidRDefault="00E77057" w:rsidP="005B6BB2">
      <w:pPr>
        <w:pStyle w:val="Fussnote"/>
        <w:rPr>
          <w:lang w:val="de-CH"/>
        </w:rPr>
      </w:pPr>
      <w:r w:rsidRPr="000A7A5C">
        <w:rPr>
          <w:rStyle w:val="FootnoteReference"/>
          <w:rFonts w:eastAsia="Times New Roman"/>
          <w:szCs w:val="18"/>
        </w:rPr>
        <w:footnoteRef/>
      </w:r>
      <w:r w:rsidRPr="00B644F9">
        <w:rPr>
          <w:lang w:val="de-CH"/>
        </w:rPr>
        <w:t xml:space="preserve"> Cf. entre autres </w:t>
      </w:r>
      <w:hyperlink r:id="rId173" w:history="1">
        <w:r w:rsidRPr="00B644F9">
          <w:rPr>
            <w:rStyle w:val="Hyperlink"/>
            <w:szCs w:val="18"/>
            <w:lang w:val="de-CH"/>
          </w:rPr>
          <w:t>NZZ, Hochschulen müssen Studienanwärter abweisen, 17.4.2017</w:t>
        </w:r>
      </w:hyperlink>
      <w:hyperlink r:id="rId174" w:history="1">
        <w:r w:rsidRPr="00B644F9">
          <w:rPr>
            <w:rStyle w:val="Hyperlink"/>
            <w:szCs w:val="18"/>
            <w:u w:val="none"/>
            <w:lang w:val="de-CH"/>
          </w:rPr>
          <w:t xml:space="preserve"> (en</w:t>
        </w:r>
      </w:hyperlink>
      <w:r w:rsidRPr="00B644F9">
        <w:rPr>
          <w:lang w:val="de-CH"/>
        </w:rPr>
        <w:t xml:space="preserve"> allemand)</w:t>
      </w:r>
      <w:r>
        <w:rPr>
          <w:lang w:val="de-CH"/>
        </w:rPr>
        <w:t>.</w:t>
      </w:r>
    </w:p>
  </w:footnote>
  <w:footnote w:id="213">
    <w:p w14:paraId="73434CDE" w14:textId="189203BA" w:rsidR="00E77057" w:rsidRPr="000A7A5C" w:rsidRDefault="00E77057" w:rsidP="005B6BB2">
      <w:pPr>
        <w:pStyle w:val="Fussnote"/>
      </w:pPr>
      <w:r w:rsidRPr="000A7A5C">
        <w:rPr>
          <w:rStyle w:val="FootnoteReference"/>
          <w:rFonts w:eastAsia="Times New Roman"/>
          <w:szCs w:val="18"/>
        </w:rPr>
        <w:footnoteRef/>
      </w:r>
      <w:r w:rsidRPr="000A7A5C">
        <w:t xml:space="preserve"> </w:t>
      </w:r>
      <w:r w:rsidRPr="000A7A5C">
        <w:rPr>
          <w:smallCaps/>
        </w:rPr>
        <w:t xml:space="preserve">Kronenberg </w:t>
      </w:r>
      <w:r w:rsidRPr="002251EE">
        <w:rPr>
          <w:lang w:val="fr-FR"/>
        </w:rPr>
        <w:t xml:space="preserve">(N </w:t>
      </w:r>
      <w:r>
        <w:fldChar w:fldCharType="begin"/>
      </w:r>
      <w:r w:rsidRPr="002251EE">
        <w:rPr>
          <w:lang w:val="fr-FR"/>
        </w:rPr>
        <w:instrText xml:space="preserve"> NOTEREF _Ref95754020 \h </w:instrText>
      </w:r>
      <w:r>
        <w:fldChar w:fldCharType="separate"/>
      </w:r>
      <w:r>
        <w:rPr>
          <w:lang w:val="fr-FR"/>
        </w:rPr>
        <w:t>47</w:t>
      </w:r>
      <w:r>
        <w:fldChar w:fldCharType="end"/>
      </w:r>
      <w:r w:rsidRPr="002251EE">
        <w:rPr>
          <w:lang w:val="fr-FR"/>
        </w:rPr>
        <w:t>)</w:t>
      </w:r>
      <w:r w:rsidRPr="000A7A5C">
        <w:t xml:space="preserve">, </w:t>
      </w:r>
      <w:r>
        <w:t>p</w:t>
      </w:r>
      <w:r w:rsidRPr="000A7A5C">
        <w:t>. 86, 140, avec renvois à des projets de recherche.</w:t>
      </w:r>
    </w:p>
  </w:footnote>
  <w:footnote w:id="214">
    <w:p w14:paraId="37A41098" w14:textId="34A5AB19"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Cf. à propos </w:t>
      </w:r>
      <w:hyperlink r:id="rId175" w:history="1">
        <w:r>
          <w:rPr>
            <w:rStyle w:val="Hyperlink"/>
            <w:rFonts w:cstheme="minorBidi"/>
            <w:szCs w:val="18"/>
          </w:rPr>
          <w:t>p</w:t>
        </w:r>
        <w:r w:rsidRPr="00BB0B28">
          <w:rPr>
            <w:rStyle w:val="Hyperlink"/>
            <w:rFonts w:cstheme="minorBidi"/>
            <w:szCs w:val="18"/>
          </w:rPr>
          <w:t>artage du travail SEFRI et partenariat de la formation professionnelle</w:t>
        </w:r>
      </w:hyperlink>
      <w:r>
        <w:rPr>
          <w:rStyle w:val="Hyperlink"/>
          <w:rFonts w:cstheme="minorBidi"/>
          <w:szCs w:val="18"/>
        </w:rPr>
        <w:t>.</w:t>
      </w:r>
    </w:p>
  </w:footnote>
  <w:footnote w:id="215">
    <w:p w14:paraId="2C1D678B" w14:textId="52A19E38" w:rsidR="00E77057" w:rsidRPr="00552D75" w:rsidRDefault="00E77057" w:rsidP="005B6BB2">
      <w:pPr>
        <w:pStyle w:val="Fussnote"/>
        <w:rPr>
          <w:szCs w:val="18"/>
          <w:lang w:val="fr-FR"/>
        </w:rPr>
      </w:pPr>
      <w:r w:rsidRPr="000A7A5C">
        <w:rPr>
          <w:rStyle w:val="FootnoteReference"/>
          <w:rFonts w:eastAsia="Times New Roman"/>
          <w:szCs w:val="18"/>
        </w:rPr>
        <w:footnoteRef/>
      </w:r>
      <w:r w:rsidRPr="000A7A5C">
        <w:rPr>
          <w:szCs w:val="18"/>
        </w:rPr>
        <w:t xml:space="preserve"> </w:t>
      </w:r>
      <w:hyperlink r:id="rId176" w:history="1">
        <w:r w:rsidRPr="00ED2DD9">
          <w:rPr>
            <w:rStyle w:val="Hyperlink"/>
            <w:rFonts w:cstheme="minorBidi"/>
            <w:szCs w:val="18"/>
          </w:rPr>
          <w:t>Systématisation de la structure de gouvernance de la formation professionnelle 2030, 9.11.2020</w:t>
        </w:r>
      </w:hyperlink>
      <w:r w:rsidRPr="00ED2DD9">
        <w:rPr>
          <w:szCs w:val="18"/>
        </w:rPr>
        <w:t>.</w:t>
      </w:r>
      <w:r w:rsidRPr="000A7A5C">
        <w:t xml:space="preserve"> </w:t>
      </w:r>
    </w:p>
  </w:footnote>
  <w:footnote w:id="216">
    <w:p w14:paraId="7F1A0E8B" w14:textId="305350AD" w:rsidR="00E77057" w:rsidRPr="000A7A5C" w:rsidRDefault="00E77057" w:rsidP="005B6BB2">
      <w:pPr>
        <w:pStyle w:val="Fussnote"/>
        <w:rPr>
          <w:szCs w:val="18"/>
        </w:rPr>
      </w:pPr>
      <w:r w:rsidRPr="000A7A5C">
        <w:rPr>
          <w:rStyle w:val="FootnoteReference"/>
          <w:rFonts w:eastAsia="Times New Roman"/>
          <w:szCs w:val="18"/>
        </w:rPr>
        <w:footnoteRef/>
      </w:r>
      <w:r>
        <w:rPr>
          <w:szCs w:val="18"/>
        </w:rPr>
        <w:t xml:space="preserve"> Évaluation LHand</w:t>
      </w:r>
      <w:r w:rsidRPr="000A7A5C">
        <w:rPr>
          <w:szCs w:val="18"/>
        </w:rPr>
        <w:t xml:space="preserve"> </w:t>
      </w:r>
      <w:r>
        <w:rPr>
          <w:szCs w:val="18"/>
        </w:rPr>
        <w:t xml:space="preserve">(N </w:t>
      </w:r>
      <w:r>
        <w:rPr>
          <w:szCs w:val="18"/>
        </w:rPr>
        <w:fldChar w:fldCharType="begin"/>
      </w:r>
      <w:r>
        <w:rPr>
          <w:szCs w:val="18"/>
        </w:rPr>
        <w:instrText xml:space="preserve"> NOTEREF _Ref95740315 \h </w:instrText>
      </w:r>
      <w:r>
        <w:rPr>
          <w:szCs w:val="18"/>
        </w:rPr>
      </w:r>
      <w:r>
        <w:rPr>
          <w:szCs w:val="18"/>
        </w:rPr>
        <w:fldChar w:fldCharType="separate"/>
      </w:r>
      <w:r>
        <w:rPr>
          <w:szCs w:val="18"/>
        </w:rPr>
        <w:t>2</w:t>
      </w:r>
      <w:r>
        <w:rPr>
          <w:szCs w:val="18"/>
        </w:rPr>
        <w:fldChar w:fldCharType="end"/>
      </w:r>
      <w:r>
        <w:rPr>
          <w:szCs w:val="18"/>
        </w:rPr>
        <w:t xml:space="preserve">), </w:t>
      </w:r>
      <w:r w:rsidRPr="000A7A5C">
        <w:rPr>
          <w:szCs w:val="18"/>
        </w:rPr>
        <w:t>p. 152.</w:t>
      </w:r>
    </w:p>
  </w:footnote>
  <w:footnote w:id="217">
    <w:p w14:paraId="25ACDC8A" w14:textId="074ABDAA"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À ce sujet, cf. également </w:t>
      </w:r>
      <w:hyperlink r:id="rId177" w:history="1">
        <w:r w:rsidRPr="00BB0B28">
          <w:rPr>
            <w:rStyle w:val="Hyperlink"/>
            <w:rFonts w:cstheme="minorBidi"/>
            <w:szCs w:val="18"/>
          </w:rPr>
          <w:t>Recommandation n° 7 de la Conférence suisse des offices de la formation professionnelle concernant la compensation des désavantages</w:t>
        </w:r>
      </w:hyperlink>
      <w:r>
        <w:rPr>
          <w:rFonts w:cstheme="minorBidi"/>
          <w:szCs w:val="18"/>
        </w:rPr>
        <w:t>.</w:t>
      </w:r>
    </w:p>
  </w:footnote>
  <w:footnote w:id="218">
    <w:p w14:paraId="73955F4A" w14:textId="501B800E"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Ce qui est finalement admis également par la Suisse, dans para. 142 d</w:t>
      </w:r>
      <w:r>
        <w:rPr>
          <w:szCs w:val="18"/>
        </w:rPr>
        <w:t>ans le PRE</w:t>
      </w:r>
      <w:r w:rsidRPr="000A7A5C">
        <w:rPr>
          <w:szCs w:val="18"/>
        </w:rPr>
        <w:t>.</w:t>
      </w:r>
    </w:p>
  </w:footnote>
  <w:footnote w:id="219">
    <w:p w14:paraId="44758CD3" w14:textId="71649182"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w:t>
      </w:r>
      <w:r w:rsidRPr="000A7A5C">
        <w:rPr>
          <w:smallCaps/>
          <w:szCs w:val="18"/>
        </w:rPr>
        <w:t>Kronenberg</w:t>
      </w:r>
      <w:r w:rsidRPr="000A7A5C">
        <w:rPr>
          <w:szCs w:val="18"/>
        </w:rPr>
        <w:t xml:space="preserve"> (N</w:t>
      </w:r>
      <w:r>
        <w:rPr>
          <w:szCs w:val="18"/>
        </w:rPr>
        <w:t xml:space="preserve"> </w:t>
      </w:r>
      <w:r>
        <w:rPr>
          <w:szCs w:val="18"/>
        </w:rPr>
        <w:fldChar w:fldCharType="begin"/>
      </w:r>
      <w:r>
        <w:rPr>
          <w:szCs w:val="18"/>
        </w:rPr>
        <w:instrText xml:space="preserve"> NOTEREF _Ref95754020 \h </w:instrText>
      </w:r>
      <w:r>
        <w:rPr>
          <w:szCs w:val="18"/>
        </w:rPr>
      </w:r>
      <w:r>
        <w:rPr>
          <w:szCs w:val="18"/>
        </w:rPr>
        <w:fldChar w:fldCharType="separate"/>
      </w:r>
      <w:r>
        <w:rPr>
          <w:szCs w:val="18"/>
        </w:rPr>
        <w:t>47</w:t>
      </w:r>
      <w:r>
        <w:rPr>
          <w:szCs w:val="18"/>
        </w:rPr>
        <w:fldChar w:fldCharType="end"/>
      </w:r>
      <w:r w:rsidRPr="000A7A5C">
        <w:rPr>
          <w:szCs w:val="18"/>
        </w:rPr>
        <w:t xml:space="preserve">), p. 90 ss., basé sur les statistiques de la formation pour les sortant-e-s 2012 et 2015. Le faible nombre de certifications au niveau secondaire II de PH est également </w:t>
      </w:r>
      <w:hyperlink r:id="rId178" w:history="1">
        <w:r w:rsidRPr="003A0E51">
          <w:rPr>
            <w:rStyle w:val="Hyperlink"/>
            <w:szCs w:val="18"/>
          </w:rPr>
          <w:t>démontré statistiquement</w:t>
        </w:r>
      </w:hyperlink>
      <w:r>
        <w:rPr>
          <w:szCs w:val="18"/>
        </w:rPr>
        <w:t>.</w:t>
      </w:r>
    </w:p>
  </w:footnote>
  <w:footnote w:id="220">
    <w:p w14:paraId="6CA846B4" w14:textId="38F56724"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Les institutions ont p. ex. introduit la </w:t>
      </w:r>
      <w:hyperlink r:id="rId179" w:history="1">
        <w:r w:rsidRPr="00F51D76">
          <w:rPr>
            <w:rStyle w:val="Hyperlink"/>
            <w:rFonts w:cstheme="minorBidi"/>
            <w:szCs w:val="18"/>
          </w:rPr>
          <w:t>formation pratique FPra</w:t>
        </w:r>
      </w:hyperlink>
      <w:r w:rsidRPr="000A7A5C">
        <w:rPr>
          <w:szCs w:val="18"/>
        </w:rPr>
        <w:t xml:space="preserve"> destinée aux personnes ayant besoin de soutien et qui ne sont pas encore en mesure d’accomplir une formation professionnelle de base avec attestation fédérale AFP.</w:t>
      </w:r>
    </w:p>
  </w:footnote>
  <w:footnote w:id="221">
    <w:p w14:paraId="0EAD4F3F" w14:textId="3D72FDC2" w:rsidR="00E77057" w:rsidRPr="000A7A5C" w:rsidRDefault="00E77057" w:rsidP="005B6BB2">
      <w:pPr>
        <w:pStyle w:val="Fussnote"/>
        <w:rPr>
          <w:smallCaps/>
          <w:szCs w:val="18"/>
        </w:rPr>
      </w:pPr>
      <w:r w:rsidRPr="000A7A5C">
        <w:rPr>
          <w:rStyle w:val="FootnoteReference"/>
          <w:rFonts w:eastAsia="Times New Roman"/>
          <w:szCs w:val="18"/>
        </w:rPr>
        <w:footnoteRef/>
      </w:r>
      <w:r w:rsidRPr="000A7A5C">
        <w:rPr>
          <w:szCs w:val="18"/>
        </w:rPr>
        <w:t xml:space="preserve"> Cf. art. 16 al. 2 let. a LAI, au sujet de la formation élémentaire selon la LFPr, </w:t>
      </w:r>
      <w:r w:rsidRPr="000A7A5C">
        <w:rPr>
          <w:smallCaps/>
          <w:szCs w:val="18"/>
        </w:rPr>
        <w:t xml:space="preserve">Kronenberg </w:t>
      </w:r>
      <w:r w:rsidRPr="000A7A5C">
        <w:rPr>
          <w:szCs w:val="18"/>
        </w:rPr>
        <w:t>(N</w:t>
      </w:r>
      <w:r>
        <w:rPr>
          <w:szCs w:val="18"/>
        </w:rPr>
        <w:t xml:space="preserve"> </w:t>
      </w:r>
      <w:r>
        <w:rPr>
          <w:szCs w:val="18"/>
        </w:rPr>
        <w:fldChar w:fldCharType="begin"/>
      </w:r>
      <w:r>
        <w:rPr>
          <w:szCs w:val="18"/>
        </w:rPr>
        <w:instrText xml:space="preserve"> NOTEREF _Ref95754020 \h </w:instrText>
      </w:r>
      <w:r>
        <w:rPr>
          <w:szCs w:val="18"/>
        </w:rPr>
      </w:r>
      <w:r>
        <w:rPr>
          <w:szCs w:val="18"/>
        </w:rPr>
        <w:fldChar w:fldCharType="separate"/>
      </w:r>
      <w:r>
        <w:rPr>
          <w:szCs w:val="18"/>
        </w:rPr>
        <w:t>47</w:t>
      </w:r>
      <w:r>
        <w:rPr>
          <w:szCs w:val="18"/>
        </w:rPr>
        <w:fldChar w:fldCharType="end"/>
      </w:r>
      <w:r w:rsidRPr="000A7A5C">
        <w:rPr>
          <w:szCs w:val="18"/>
        </w:rPr>
        <w:t>)</w:t>
      </w:r>
      <w:r w:rsidRPr="000A7A5C">
        <w:rPr>
          <w:smallCaps/>
          <w:szCs w:val="18"/>
        </w:rPr>
        <w:t>, p. 101.</w:t>
      </w:r>
    </w:p>
  </w:footnote>
  <w:footnote w:id="222">
    <w:p w14:paraId="29C5CE13" w14:textId="533C78A3"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w:t>
      </w:r>
      <w:r w:rsidRPr="000A7A5C">
        <w:rPr>
          <w:smallCaps/>
          <w:szCs w:val="18"/>
        </w:rPr>
        <w:t>Kronenberg</w:t>
      </w:r>
      <w:r w:rsidRPr="000A7A5C">
        <w:rPr>
          <w:szCs w:val="18"/>
        </w:rPr>
        <w:t xml:space="preserve"> (N</w:t>
      </w:r>
      <w:r>
        <w:rPr>
          <w:szCs w:val="18"/>
        </w:rPr>
        <w:t xml:space="preserve"> </w:t>
      </w:r>
      <w:r>
        <w:rPr>
          <w:szCs w:val="18"/>
        </w:rPr>
        <w:fldChar w:fldCharType="begin"/>
      </w:r>
      <w:r>
        <w:rPr>
          <w:szCs w:val="18"/>
        </w:rPr>
        <w:instrText xml:space="preserve"> NOTEREF _Ref95754020 \h </w:instrText>
      </w:r>
      <w:r>
        <w:rPr>
          <w:szCs w:val="18"/>
        </w:rPr>
      </w:r>
      <w:r>
        <w:rPr>
          <w:szCs w:val="18"/>
        </w:rPr>
        <w:fldChar w:fldCharType="separate"/>
      </w:r>
      <w:r>
        <w:rPr>
          <w:szCs w:val="18"/>
        </w:rPr>
        <w:t>47</w:t>
      </w:r>
      <w:r>
        <w:rPr>
          <w:szCs w:val="18"/>
        </w:rPr>
        <w:fldChar w:fldCharType="end"/>
      </w:r>
      <w:r w:rsidRPr="000A7A5C">
        <w:rPr>
          <w:szCs w:val="18"/>
        </w:rPr>
        <w:t>), p. 98 et 102.</w:t>
      </w:r>
    </w:p>
  </w:footnote>
  <w:footnote w:id="223">
    <w:p w14:paraId="247F6C7F" w14:textId="0409C012" w:rsidR="00E77057" w:rsidRPr="000A7A5C" w:rsidRDefault="00E77057" w:rsidP="005B6BB2">
      <w:pPr>
        <w:pStyle w:val="Fussnote"/>
        <w:rPr>
          <w:szCs w:val="18"/>
        </w:rPr>
      </w:pPr>
      <w:r w:rsidRPr="000A7A5C">
        <w:rPr>
          <w:rStyle w:val="FootnoteReference"/>
          <w:rFonts w:eastAsia="Times New Roman"/>
          <w:szCs w:val="18"/>
        </w:rPr>
        <w:footnoteRef/>
      </w:r>
      <w:r w:rsidRPr="000A7A5C">
        <w:rPr>
          <w:szCs w:val="18"/>
        </w:rPr>
        <w:t xml:space="preserve"> P. ex. le principe selon lequel la formation professionnelle initiale doit «si possible viser l’insertion professionnelle sur le marché primaire du travail» (art. 16 </w:t>
      </w:r>
      <w:r w:rsidRPr="00F51D76">
        <w:rPr>
          <w:szCs w:val="18"/>
        </w:rPr>
        <w:t xml:space="preserve">Abs. </w:t>
      </w:r>
      <w:r w:rsidRPr="00D706B2">
        <w:rPr>
          <w:szCs w:val="18"/>
        </w:rPr>
        <w:t>2</w:t>
      </w:r>
      <w:r w:rsidRPr="00F51D76">
        <w:rPr>
          <w:szCs w:val="18"/>
        </w:rPr>
        <w:t xml:space="preserve"> LAI</w:t>
      </w:r>
      <w:r w:rsidRPr="000A7A5C">
        <w:rPr>
          <w:szCs w:val="18"/>
        </w:rPr>
        <w:t>); sachant que cet</w:t>
      </w:r>
      <w:r>
        <w:rPr>
          <w:szCs w:val="18"/>
        </w:rPr>
        <w:t>te disposition</w:t>
      </w:r>
      <w:r w:rsidRPr="000A7A5C">
        <w:rPr>
          <w:szCs w:val="18"/>
        </w:rPr>
        <w:t xml:space="preserve"> ne doit en aucun cas être interprété</w:t>
      </w:r>
      <w:r>
        <w:rPr>
          <w:szCs w:val="18"/>
        </w:rPr>
        <w:t>e</w:t>
      </w:r>
      <w:r w:rsidRPr="000A7A5C">
        <w:rPr>
          <w:szCs w:val="18"/>
        </w:rPr>
        <w:t xml:space="preserve"> dans le sens de considérer une place d’apprentissage sur le marché ouvert du travail comme une </w:t>
      </w:r>
      <w:r w:rsidRPr="000A7A5C">
        <w:rPr>
          <w:i/>
          <w:iCs/>
          <w:szCs w:val="18"/>
        </w:rPr>
        <w:t>condition</w:t>
      </w:r>
      <w:r w:rsidRPr="000A7A5C">
        <w:rPr>
          <w:szCs w:val="18"/>
        </w:rPr>
        <w:t xml:space="preserve"> au financement d’une formation. L’extension des services de conseil et d’accompa</w:t>
      </w:r>
      <w:r>
        <w:rPr>
          <w:szCs w:val="18"/>
        </w:rPr>
        <w:t>gnement est également à saluer.</w:t>
      </w:r>
    </w:p>
  </w:footnote>
  <w:footnote w:id="224">
    <w:p w14:paraId="731EF644" w14:textId="07A048FA" w:rsidR="00E77057" w:rsidRPr="000A7A5C" w:rsidRDefault="00E77057" w:rsidP="005B6BB2">
      <w:pPr>
        <w:pStyle w:val="Fussnote"/>
      </w:pPr>
      <w:r w:rsidRPr="000A7A5C">
        <w:rPr>
          <w:rStyle w:val="FootnoteReference"/>
          <w:rFonts w:eastAsia="Times New Roman"/>
          <w:szCs w:val="18"/>
        </w:rPr>
        <w:footnoteRef/>
      </w:r>
      <w:r w:rsidRPr="000A7A5C">
        <w:t xml:space="preserve"> </w:t>
      </w:r>
      <w:r w:rsidRPr="000A7A5C">
        <w:rPr>
          <w:smallCaps/>
        </w:rPr>
        <w:t>Kronenberg</w:t>
      </w:r>
      <w:r w:rsidRPr="000A7A5C">
        <w:t xml:space="preserve"> (N</w:t>
      </w:r>
      <w:r>
        <w:t xml:space="preserve"> </w:t>
      </w:r>
      <w:r>
        <w:fldChar w:fldCharType="begin"/>
      </w:r>
      <w:r>
        <w:instrText xml:space="preserve"> NOTEREF _Ref95754020 \h </w:instrText>
      </w:r>
      <w:r>
        <w:fldChar w:fldCharType="separate"/>
      </w:r>
      <w:r>
        <w:t>47</w:t>
      </w:r>
      <w:r>
        <w:fldChar w:fldCharType="end"/>
      </w:r>
      <w:r>
        <w:t>)</w:t>
      </w:r>
      <w:r w:rsidRPr="000A7A5C">
        <w:t>, p. 136, avec renvoi à la statistique OFS 2018, p. 17.</w:t>
      </w:r>
    </w:p>
  </w:footnote>
  <w:footnote w:id="225">
    <w:p w14:paraId="2B4F5D98" w14:textId="259D9CD7" w:rsidR="00E77057" w:rsidRPr="000A7A5C" w:rsidRDefault="00E77057" w:rsidP="005B6BB2">
      <w:pPr>
        <w:pStyle w:val="Fussnote"/>
      </w:pPr>
      <w:r w:rsidRPr="000A7A5C">
        <w:rPr>
          <w:rStyle w:val="FootnoteReference"/>
          <w:rFonts w:eastAsia="Calibri"/>
          <w:szCs w:val="18"/>
        </w:rPr>
        <w:footnoteRef/>
      </w:r>
      <w:r w:rsidRPr="000A7A5C">
        <w:t xml:space="preserve"> Cf. à ce sujet la </w:t>
      </w:r>
      <w:hyperlink r:id="rId180" w:history="1">
        <w:r w:rsidRPr="003A0E51">
          <w:rPr>
            <w:rStyle w:val="Hyperlink"/>
          </w:rPr>
          <w:t>recommandation du CRC Committee à l’égard de la Suisse, UN Doc. CRC/C/CHE/CO/5-6 du 22.10.2021</w:t>
        </w:r>
      </w:hyperlink>
      <w:r w:rsidRPr="000A7A5C">
        <w:t xml:space="preserve">, para. 34.a). Il est regrettable que </w:t>
      </w:r>
      <w:r w:rsidRPr="000A7A5C">
        <w:rPr>
          <w:smallCaps/>
        </w:rPr>
        <w:t xml:space="preserve">Kronenberg </w:t>
      </w:r>
      <w:r w:rsidRPr="000A7A5C">
        <w:t>(N</w:t>
      </w:r>
      <w:r>
        <w:t xml:space="preserve"> </w:t>
      </w:r>
      <w:r>
        <w:fldChar w:fldCharType="begin"/>
      </w:r>
      <w:r>
        <w:instrText xml:space="preserve"> NOTEREF _Ref95754020 \h </w:instrText>
      </w:r>
      <w:r>
        <w:fldChar w:fldCharType="separate"/>
      </w:r>
      <w:r>
        <w:t>47</w:t>
      </w:r>
      <w:r>
        <w:fldChar w:fldCharType="end"/>
      </w:r>
      <w:r>
        <w:t>),</w:t>
      </w:r>
      <w:r w:rsidRPr="000A7A5C">
        <w:t xml:space="preserve"> p. 33 s.</w:t>
      </w:r>
      <w:r>
        <w:t>,</w:t>
      </w:r>
      <w:r w:rsidRPr="000A7A5C">
        <w:t xml:space="preserve"> méconnaisse la nature </w:t>
      </w:r>
      <w:r w:rsidRPr="000A7A5C">
        <w:rPr>
          <w:i/>
        </w:rPr>
        <w:t>contraignante</w:t>
      </w:r>
      <w:r w:rsidRPr="000A7A5C">
        <w:t xml:space="preserve"> de toutes les obligations découlant de la CDPH – y c. de celles à remplir progressivement, et qu’elle assimile lesdites obligations </w:t>
      </w:r>
      <w:r w:rsidRPr="000A7A5C">
        <w:rPr>
          <w:i/>
        </w:rPr>
        <w:t xml:space="preserve">programmatiques </w:t>
      </w:r>
      <w:r w:rsidRPr="000A7A5C">
        <w:rPr>
          <w:iCs/>
        </w:rPr>
        <w:t>à des obligations purement déclaratives</w:t>
      </w:r>
      <w:r w:rsidRPr="000A7A5C">
        <w:t xml:space="preserve">. En revanche, très nuancé </w:t>
      </w:r>
      <w:r w:rsidRPr="000A7A5C">
        <w:rPr>
          <w:smallCaps/>
        </w:rPr>
        <w:t>Kälin et al.</w:t>
      </w:r>
      <w:r w:rsidRPr="000A7A5C">
        <w:t>, Conséquences potentielles d’une ratification de la CDPH par la Suisse, 2008, p. 17 ss. (en allemand)</w:t>
      </w:r>
      <w:r>
        <w:t>.</w:t>
      </w:r>
    </w:p>
  </w:footnote>
  <w:footnote w:id="226">
    <w:p w14:paraId="07547007" w14:textId="389B7A14" w:rsidR="00E77057" w:rsidRPr="00887956" w:rsidRDefault="00E77057" w:rsidP="009121B5">
      <w:pPr>
        <w:pStyle w:val="FootnoteText"/>
        <w:rPr>
          <w:rFonts w:eastAsia="Cambria"/>
          <w:szCs w:val="22"/>
          <w:vertAlign w:val="baseline"/>
        </w:rPr>
      </w:pPr>
      <w:r w:rsidRPr="000A7A5C">
        <w:rPr>
          <w:rStyle w:val="FootnoteReference"/>
          <w:rFonts w:eastAsia="Times New Roman"/>
          <w:szCs w:val="18"/>
        </w:rPr>
        <w:footnoteRef/>
      </w:r>
      <w:r w:rsidRPr="000A7A5C">
        <w:rPr>
          <w:szCs w:val="18"/>
        </w:rPr>
        <w:t xml:space="preserve"> </w:t>
      </w:r>
      <w:r w:rsidRPr="00887956">
        <w:rPr>
          <w:rFonts w:eastAsia="Cambria"/>
          <w:szCs w:val="22"/>
          <w:vertAlign w:val="baseline"/>
        </w:rPr>
        <w:t xml:space="preserve">Cf. à ce sujet la </w:t>
      </w:r>
      <w:hyperlink r:id="rId181" w:history="1">
        <w:r w:rsidRPr="003A0E51">
          <w:rPr>
            <w:rStyle w:val="Hyperlink"/>
            <w:rFonts w:eastAsia="Cambria"/>
            <w:szCs w:val="22"/>
            <w:vertAlign w:val="baseline"/>
          </w:rPr>
          <w:t>recommandation du CESCR Committee à l’égard de la Suisse, UN Doc. E/C.12/CHE/CO/4 du 18.11.2019</w:t>
        </w:r>
      </w:hyperlink>
      <w:r w:rsidRPr="00887956">
        <w:rPr>
          <w:rFonts w:eastAsia="Cambria"/>
          <w:szCs w:val="22"/>
          <w:vertAlign w:val="baseline"/>
        </w:rPr>
        <w:t>, para. 53.d), et du CRC Committee, para. 34.b).</w:t>
      </w:r>
    </w:p>
  </w:footnote>
  <w:footnote w:id="227">
    <w:p w14:paraId="4D5A7A22" w14:textId="26618D74" w:rsidR="00E77057" w:rsidRPr="00887956" w:rsidRDefault="00E77057" w:rsidP="009121B5">
      <w:pPr>
        <w:pStyle w:val="FootnoteText"/>
        <w:rPr>
          <w:rFonts w:eastAsia="Cambria"/>
          <w:szCs w:val="22"/>
          <w:vertAlign w:val="baseline"/>
        </w:rPr>
      </w:pPr>
      <w:r w:rsidRPr="000A7A5C">
        <w:rPr>
          <w:rStyle w:val="FootnoteReference"/>
          <w:rFonts w:eastAsia="Times New Roman"/>
          <w:szCs w:val="18"/>
        </w:rPr>
        <w:footnoteRef/>
      </w:r>
      <w:r w:rsidRPr="000A7A5C">
        <w:rPr>
          <w:szCs w:val="18"/>
        </w:rPr>
        <w:t xml:space="preserve"> </w:t>
      </w:r>
      <w:r w:rsidRPr="00887956">
        <w:rPr>
          <w:rFonts w:eastAsia="Cambria"/>
          <w:szCs w:val="22"/>
          <w:vertAlign w:val="baseline"/>
        </w:rPr>
        <w:t>Cf. également la recommandation du CRC Co</w:t>
      </w:r>
      <w:r>
        <w:rPr>
          <w:rFonts w:eastAsia="Cambria"/>
          <w:szCs w:val="22"/>
          <w:vertAlign w:val="baseline"/>
        </w:rPr>
        <w:t>mmittee, para. 34.c).</w:t>
      </w:r>
    </w:p>
  </w:footnote>
  <w:footnote w:id="228">
    <w:p w14:paraId="2C118881" w14:textId="7575F666" w:rsidR="00E77057" w:rsidRPr="000A7A5C" w:rsidRDefault="00E77057" w:rsidP="005B6BB2">
      <w:pPr>
        <w:pStyle w:val="Fussnote"/>
      </w:pPr>
      <w:r w:rsidRPr="000A7A5C">
        <w:rPr>
          <w:rStyle w:val="FootnoteReference"/>
        </w:rPr>
        <w:footnoteRef/>
      </w:r>
      <w:r w:rsidRPr="000A7A5C">
        <w:t xml:space="preserve"> Cf. également au sujet du système de santé suisse </w:t>
      </w:r>
      <w:hyperlink r:id="rId182" w:history="1">
        <w:r w:rsidRPr="000A7A5C">
          <w:rPr>
            <w:rStyle w:val="Hyperlink"/>
          </w:rPr>
          <w:t>WHO, Switzerland: Health system review, 2015</w:t>
        </w:r>
      </w:hyperlink>
      <w:r w:rsidRPr="000A7A5C">
        <w:t xml:space="preserve">, </w:t>
      </w:r>
      <w:r w:rsidRPr="003A0E51">
        <w:t>p. xxi ss.</w:t>
      </w:r>
    </w:p>
  </w:footnote>
  <w:footnote w:id="229">
    <w:p w14:paraId="3F87CCAF" w14:textId="497AA994" w:rsidR="00E77057" w:rsidRPr="003A0E51" w:rsidRDefault="00E77057" w:rsidP="005B6BB2">
      <w:pPr>
        <w:pStyle w:val="Fussnote"/>
      </w:pPr>
      <w:r w:rsidRPr="000A7A5C">
        <w:rPr>
          <w:rStyle w:val="FootnoteReference"/>
        </w:rPr>
        <w:footnoteRef/>
      </w:r>
      <w:r w:rsidRPr="000A7A5C">
        <w:t xml:space="preserve"> </w:t>
      </w:r>
      <w:hyperlink r:id="rId183" w:history="1">
        <w:r w:rsidRPr="003A0E51">
          <w:rPr>
            <w:rStyle w:val="Hyperlink"/>
          </w:rPr>
          <w:t>FSS-Magazine Santé n° 5, hiver 2020</w:t>
        </w:r>
      </w:hyperlink>
      <w:r>
        <w:t xml:space="preserve">, </w:t>
      </w:r>
      <w:r w:rsidRPr="000A7A5C">
        <w:t>p. 22 ss. Le taux de décès prématurés ainsi que le risque d’erreurs de diagnostic et de sur-/sous-médication sont également en hausse.</w:t>
      </w:r>
    </w:p>
  </w:footnote>
  <w:footnote w:id="230">
    <w:p w14:paraId="57C42F43" w14:textId="01C87CCB" w:rsidR="00E77057" w:rsidRPr="000A7A5C" w:rsidRDefault="00E77057" w:rsidP="005B6BB2">
      <w:pPr>
        <w:pStyle w:val="Fussnote"/>
      </w:pPr>
      <w:r w:rsidRPr="000A7A5C">
        <w:rPr>
          <w:rStyle w:val="FootnoteReference"/>
        </w:rPr>
        <w:footnoteRef/>
      </w:r>
      <w:r w:rsidRPr="000A7A5C">
        <w:t xml:space="preserve"> </w:t>
      </w:r>
      <w:hyperlink r:id="rId184" w:history="1">
        <w:r w:rsidRPr="000A7A5C">
          <w:rPr>
            <w:rStyle w:val="Hyperlink"/>
          </w:rPr>
          <w:t>Obsan, La santé psychique en Suisse, Monitorage 2020</w:t>
        </w:r>
      </w:hyperlink>
      <w:r w:rsidRPr="000A7A5C">
        <w:t>, p.11.</w:t>
      </w:r>
    </w:p>
  </w:footnote>
  <w:footnote w:id="231">
    <w:p w14:paraId="1C560771" w14:textId="2C8FAD66" w:rsidR="00E77057" w:rsidRPr="000A7A5C" w:rsidRDefault="00E77057" w:rsidP="005B6BB2">
      <w:pPr>
        <w:pStyle w:val="Fussnote"/>
      </w:pPr>
      <w:r w:rsidRPr="000A7A5C">
        <w:rPr>
          <w:rStyle w:val="FootnoteReference"/>
        </w:rPr>
        <w:footnoteRef/>
      </w:r>
      <w:r w:rsidRPr="007F0BBF">
        <w:t xml:space="preserve"> Priorités sur la protection de la santé au travail e</w:t>
      </w:r>
      <w:r>
        <w:t>t sur la protection de l’environnement (au sens de la promotion de la santé)</w:t>
      </w:r>
      <w:r w:rsidRPr="007F0BBF">
        <w:t xml:space="preserve"> cf. </w:t>
      </w:r>
      <w:hyperlink r:id="rId185" w:history="1">
        <w:r w:rsidRPr="007F0BBF">
          <w:rPr>
            <w:rStyle w:val="Hyperlink"/>
          </w:rPr>
          <w:t>OFAS, Stratégie Santé 2030, déc. 2019</w:t>
        </w:r>
      </w:hyperlink>
      <w:r w:rsidRPr="007F0BBF">
        <w:t xml:space="preserve">, </w:t>
      </w:r>
      <w:r w:rsidRPr="000A7A5C">
        <w:t>chap. 6.4</w:t>
      </w:r>
      <w:r>
        <w:t>.</w:t>
      </w:r>
    </w:p>
  </w:footnote>
  <w:footnote w:id="232">
    <w:p w14:paraId="2B683552" w14:textId="19E6CA30" w:rsidR="00E77057" w:rsidRPr="000A7A5C" w:rsidRDefault="00E77057" w:rsidP="005B6BB2">
      <w:pPr>
        <w:pStyle w:val="Fussnote"/>
      </w:pPr>
      <w:r w:rsidRPr="000A7A5C">
        <w:rPr>
          <w:rStyle w:val="FootnoteReference"/>
        </w:rPr>
        <w:footnoteRef/>
      </w:r>
      <w:r w:rsidRPr="000A7A5C">
        <w:t xml:space="preserve"> </w:t>
      </w:r>
      <w:hyperlink r:id="rId186" w:history="1">
        <w:r w:rsidRPr="000A7A5C">
          <w:rPr>
            <w:rStyle w:val="Hyperlink"/>
          </w:rPr>
          <w:t xml:space="preserve">OFSP, </w:t>
        </w:r>
        <w:r>
          <w:rPr>
            <w:rStyle w:val="Hyperlink"/>
          </w:rPr>
          <w:t>R</w:t>
        </w:r>
        <w:r w:rsidRPr="000A7A5C">
          <w:rPr>
            <w:rStyle w:val="Hyperlink"/>
          </w:rPr>
          <w:t>apport en réponse au postulat: Améliorer la prise en charge et le traitement des personnes en fin de vie, 18.9.2020</w:t>
        </w:r>
      </w:hyperlink>
      <w:r w:rsidRPr="000A7A5C">
        <w:t>, notamment p. 70 ss.</w:t>
      </w:r>
    </w:p>
  </w:footnote>
  <w:footnote w:id="233">
    <w:p w14:paraId="57D25844" w14:textId="44F6E3D8" w:rsidR="00E77057" w:rsidRPr="000A0DFE" w:rsidRDefault="00E77057" w:rsidP="005B6BB2">
      <w:pPr>
        <w:pStyle w:val="Fussnote"/>
      </w:pPr>
      <w:r w:rsidRPr="000A7A5C">
        <w:rPr>
          <w:rStyle w:val="FootnoteReference"/>
        </w:rPr>
        <w:footnoteRef/>
      </w:r>
      <w:r w:rsidRPr="000A7A5C">
        <w:t xml:space="preserve"> Le constat a été fait, p. ex., que les mesures de maintien de la vie chez les personnes ayant des handicaps intellectuels et résidant en homes sont rarement pratiquées et que le droit à l’autodétermination de ces personnes n’est pas respecté (elles ne sont guère associées aux décisions</w:t>
      </w:r>
      <w:r>
        <w:t>,</w:t>
      </w:r>
      <w:r w:rsidRPr="000A7A5C">
        <w:t xml:space="preserve"> qui sont prises à leur place). </w:t>
      </w:r>
      <w:r w:rsidRPr="00FA3EDE">
        <w:t xml:space="preserve">Cf. </w:t>
      </w:r>
      <w:hyperlink r:id="rId187" w:history="1">
        <w:r w:rsidRPr="00CE1665">
          <w:rPr>
            <w:rStyle w:val="Hyperlink"/>
            <w:smallCaps/>
          </w:rPr>
          <w:t>HFH</w:t>
        </w:r>
        <w:r w:rsidRPr="00CE1665">
          <w:rPr>
            <w:rStyle w:val="Hyperlink"/>
          </w:rPr>
          <w:t>, Soins palliatifs aux personnes en situation de handicap intellectuel, rapport établi sur mandat de l’OFSP, 3.3.2015</w:t>
        </w:r>
      </w:hyperlink>
      <w:r>
        <w:t xml:space="preserve">, </w:t>
      </w:r>
      <w:r w:rsidRPr="000A0DFE">
        <w:t>p. 8 et 11.</w:t>
      </w:r>
    </w:p>
  </w:footnote>
  <w:footnote w:id="234">
    <w:p w14:paraId="3B90FB80" w14:textId="7B14A4B2" w:rsidR="00E77057" w:rsidRPr="00B644F9" w:rsidRDefault="00E77057" w:rsidP="005B6BB2">
      <w:pPr>
        <w:pStyle w:val="Fussnote"/>
        <w:rPr>
          <w:lang w:val="de-CH"/>
        </w:rPr>
      </w:pPr>
      <w:r w:rsidRPr="000A7A5C">
        <w:rPr>
          <w:rStyle w:val="FootnoteReference"/>
        </w:rPr>
        <w:footnoteRef/>
      </w:r>
      <w:r w:rsidRPr="00B644F9">
        <w:rPr>
          <w:lang w:val="de-CH"/>
        </w:rPr>
        <w:t xml:space="preserve"> </w:t>
      </w:r>
      <w:hyperlink r:id="rId188" w:history="1">
        <w:r w:rsidRPr="00F83ECA">
          <w:rPr>
            <w:rStyle w:val="Hyperlink"/>
            <w:lang w:val="de-CH"/>
          </w:rPr>
          <w:t>Plateforme soins palliatifs</w:t>
        </w:r>
      </w:hyperlink>
      <w:r>
        <w:rPr>
          <w:lang w:val="de-CH"/>
        </w:rPr>
        <w:t>.</w:t>
      </w:r>
    </w:p>
  </w:footnote>
  <w:footnote w:id="235">
    <w:p w14:paraId="0D0751AF" w14:textId="3020B7B4" w:rsidR="00E77057" w:rsidRPr="009121B5" w:rsidRDefault="00E77057" w:rsidP="009121B5">
      <w:pPr>
        <w:pStyle w:val="Fussnote"/>
        <w:rPr>
          <w:lang w:val="de-CH"/>
        </w:rPr>
      </w:pPr>
      <w:r>
        <w:rPr>
          <w:rStyle w:val="FootnoteReference"/>
        </w:rPr>
        <w:footnoteRef/>
      </w:r>
      <w:r w:rsidRPr="006D1641">
        <w:rPr>
          <w:lang w:val="de-CH"/>
        </w:rPr>
        <w:t xml:space="preserve"> </w:t>
      </w:r>
      <w:r w:rsidRPr="00D72411">
        <w:rPr>
          <w:lang w:val="de-CH"/>
        </w:rPr>
        <w:t xml:space="preserve">Cf. </w:t>
      </w:r>
      <w:hyperlink r:id="rId189" w:history="1">
        <w:r w:rsidRPr="00D72411">
          <w:rPr>
            <w:rStyle w:val="Hyperlink"/>
            <w:lang w:val="de-CH"/>
          </w:rPr>
          <w:t>Tages-Anzeiger du 31.1.2022, Schweizer Gesundheits-Notstand: Psychisch kranke Kinder und Jugendliche warten Monate auf eine Therapie</w:t>
        </w:r>
      </w:hyperlink>
      <w:r w:rsidRPr="00D72411">
        <w:rPr>
          <w:lang w:val="de-CH"/>
        </w:rPr>
        <w:t xml:space="preserve"> (en </w:t>
      </w:r>
      <w:r w:rsidRPr="00B644F9">
        <w:rPr>
          <w:lang w:val="de-CH"/>
        </w:rPr>
        <w:t>allemand</w:t>
      </w:r>
      <w:r w:rsidRPr="00D72411">
        <w:rPr>
          <w:lang w:val="de-CH"/>
        </w:rPr>
        <w:t>)</w:t>
      </w:r>
      <w:r>
        <w:rPr>
          <w:lang w:val="de-CH"/>
        </w:rPr>
        <w:t>.</w:t>
      </w:r>
    </w:p>
  </w:footnote>
  <w:footnote w:id="236">
    <w:p w14:paraId="0D28B787" w14:textId="77769CE5" w:rsidR="00E77057" w:rsidRPr="000A7A5C" w:rsidRDefault="00E77057" w:rsidP="005B6BB2">
      <w:pPr>
        <w:pStyle w:val="Fussnote"/>
      </w:pPr>
      <w:r w:rsidRPr="000A7A5C">
        <w:rPr>
          <w:rStyle w:val="FootnoteReference"/>
        </w:rPr>
        <w:footnoteRef/>
      </w:r>
      <w:r w:rsidRPr="00AB405E">
        <w:t xml:space="preserve"> Ibid. </w:t>
      </w:r>
      <w:r w:rsidRPr="006D54D8">
        <w:t xml:space="preserve">Les dépressions, auto-agressions et idées </w:t>
      </w:r>
      <w:r>
        <w:t>ou tentatives de suicide, notamment, ont fortement augmenté</w:t>
      </w:r>
      <w:r w:rsidRPr="006D54D8">
        <w:t xml:space="preserve">, </w:t>
      </w:r>
      <w:r>
        <w:t>cf</w:t>
      </w:r>
      <w:r w:rsidRPr="006D54D8">
        <w:t xml:space="preserve">. </w:t>
      </w:r>
      <w:r>
        <w:t>entre autres</w:t>
      </w:r>
      <w:r w:rsidRPr="006D54D8">
        <w:t xml:space="preserve"> </w:t>
      </w:r>
      <w:hyperlink r:id="rId190" w:history="1">
        <w:r w:rsidRPr="000A7A5C">
          <w:rPr>
            <w:rStyle w:val="Hyperlink"/>
            <w:smallCaps/>
          </w:rPr>
          <w:t>BASS/ B&amp;A</w:t>
        </w:r>
        <w:r w:rsidRPr="000A7A5C">
          <w:rPr>
            <w:rStyle w:val="Hyperlink"/>
          </w:rPr>
          <w:t>, Conséquences de la pandémie du COVID-19 sur la santé psychique de la population suisse et prise en charge psychiatrique-psychothérapeutique en Suisse, rapport final sur mandat de l’OFSP, 12.7.2021</w:t>
        </w:r>
      </w:hyperlink>
      <w:r>
        <w:t>, p. 63, 77 (en allemand</w:t>
      </w:r>
      <w:r w:rsidRPr="000A7A5C">
        <w:t>)</w:t>
      </w:r>
      <w:r>
        <w:t>.</w:t>
      </w:r>
    </w:p>
  </w:footnote>
  <w:footnote w:id="237">
    <w:p w14:paraId="6E156DB7" w14:textId="6F705FCB" w:rsidR="00E77057" w:rsidRPr="000A7A5C" w:rsidRDefault="00E77057" w:rsidP="005B6BB2">
      <w:pPr>
        <w:pStyle w:val="Fussnote"/>
      </w:pPr>
      <w:r w:rsidRPr="000A7A5C">
        <w:rPr>
          <w:rStyle w:val="FootnoteReference"/>
        </w:rPr>
        <w:footnoteRef/>
      </w:r>
      <w:r w:rsidRPr="000A7A5C">
        <w:t xml:space="preserve"> </w:t>
      </w:r>
      <w:r w:rsidRPr="000A7A5C">
        <w:rPr>
          <w:smallCaps/>
        </w:rPr>
        <w:t>De Quervain et al.</w:t>
      </w:r>
      <w:r w:rsidRPr="000A7A5C">
        <w:t xml:space="preserve">, </w:t>
      </w:r>
      <w:hyperlink r:id="rId191" w:history="1">
        <w:r w:rsidRPr="000A7A5C">
          <w:rPr>
            <w:rStyle w:val="Hyperlink"/>
          </w:rPr>
          <w:t>Swiss Corona Stress Study: novembre 2021</w:t>
        </w:r>
      </w:hyperlink>
      <w:r>
        <w:t>.</w:t>
      </w:r>
    </w:p>
  </w:footnote>
  <w:footnote w:id="238">
    <w:p w14:paraId="471EE93F" w14:textId="4031494E" w:rsidR="00E77057" w:rsidRPr="00B644F9" w:rsidRDefault="00E77057" w:rsidP="005B6BB2">
      <w:pPr>
        <w:pStyle w:val="Fussnote"/>
        <w:rPr>
          <w:lang w:val="de-CH"/>
        </w:rPr>
      </w:pPr>
      <w:r w:rsidRPr="000A7A5C">
        <w:rPr>
          <w:rStyle w:val="FootnoteReference"/>
        </w:rPr>
        <w:footnoteRef/>
      </w:r>
      <w:r w:rsidRPr="00B644F9">
        <w:rPr>
          <w:lang w:val="de-CH"/>
        </w:rPr>
        <w:t xml:space="preserve"> </w:t>
      </w:r>
      <w:r w:rsidRPr="00B644F9">
        <w:rPr>
          <w:smallCaps/>
          <w:lang w:val="de-CH"/>
        </w:rPr>
        <w:t>BASS/ B&amp;A</w:t>
      </w:r>
      <w:r w:rsidRPr="00B644F9">
        <w:rPr>
          <w:lang w:val="de-CH"/>
        </w:rPr>
        <w:t xml:space="preserve">, Schlussbericht (N </w:t>
      </w:r>
      <w:r>
        <w:rPr>
          <w:highlight w:val="green"/>
        </w:rPr>
        <w:fldChar w:fldCharType="begin"/>
      </w:r>
      <w:r w:rsidRPr="00B644F9">
        <w:rPr>
          <w:lang w:val="de-CH"/>
        </w:rPr>
        <w:instrText xml:space="preserve"> NOTEREF _Ref95756651 \h </w:instrText>
      </w:r>
      <w:r>
        <w:rPr>
          <w:highlight w:val="green"/>
        </w:rPr>
      </w:r>
      <w:r>
        <w:rPr>
          <w:highlight w:val="green"/>
        </w:rPr>
        <w:fldChar w:fldCharType="separate"/>
      </w:r>
      <w:r>
        <w:rPr>
          <w:lang w:val="de-CH"/>
        </w:rPr>
        <w:t>236</w:t>
      </w:r>
      <w:r>
        <w:rPr>
          <w:highlight w:val="green"/>
        </w:rPr>
        <w:fldChar w:fldCharType="end"/>
      </w:r>
      <w:r w:rsidRPr="00B644F9">
        <w:rPr>
          <w:lang w:val="de-CH"/>
        </w:rPr>
        <w:t>), p. 58 (en allemand).</w:t>
      </w:r>
    </w:p>
  </w:footnote>
  <w:footnote w:id="239">
    <w:p w14:paraId="07E6FD5E" w14:textId="7610F4BC" w:rsidR="00E77057" w:rsidRPr="000A7A5C" w:rsidRDefault="00E77057" w:rsidP="005B6BB2">
      <w:pPr>
        <w:pStyle w:val="Fussnote"/>
      </w:pPr>
      <w:r w:rsidRPr="000A7A5C">
        <w:rPr>
          <w:rStyle w:val="FootnoteReference"/>
        </w:rPr>
        <w:footnoteRef/>
      </w:r>
      <w:r w:rsidRPr="000A7A5C">
        <w:t xml:space="preserve"> Jusqu’à présent, la psychothérapie pratiquée par des psychologues n’était remboursée que par l’AOS à condition que ceux-ci soient engagés et supervisés par un médecin; dès juillet 2022, une ordonnance médicale est suffisante.</w:t>
      </w:r>
    </w:p>
  </w:footnote>
  <w:footnote w:id="240">
    <w:p w14:paraId="4392ACB4" w14:textId="3DD5FC38" w:rsidR="00E77057" w:rsidRPr="000A7A5C" w:rsidRDefault="00E77057" w:rsidP="005B6BB2">
      <w:pPr>
        <w:pStyle w:val="Fussnote"/>
      </w:pPr>
      <w:r w:rsidRPr="000A7A5C">
        <w:rPr>
          <w:rStyle w:val="FootnoteReference"/>
        </w:rPr>
        <w:footnoteRef/>
      </w:r>
      <w:r w:rsidRPr="000A7A5C">
        <w:t xml:space="preserve"> </w:t>
      </w:r>
      <w:hyperlink r:id="rId192" w:history="1">
        <w:r w:rsidRPr="00467EE2">
          <w:rPr>
            <w:rStyle w:val="Hyperlink"/>
            <w:smallCaps/>
          </w:rPr>
          <w:t>Socialdesign</w:t>
        </w:r>
        <w:r w:rsidRPr="00467EE2">
          <w:rPr>
            <w:rStyle w:val="Hyperlink"/>
          </w:rPr>
          <w:t>, Soins coordonnés à l’interface «soins somatiques aigus-psychiatrie ou clinique psychiatrique» pour les personnes atteintes d’une maladie psychique: analyse de situations et interventions nécessaires, sur mandat de l’OFSP, 2017</w:t>
        </w:r>
      </w:hyperlink>
      <w:r>
        <w:t>,</w:t>
      </w:r>
      <w:r w:rsidRPr="000A7A5C">
        <w:t xml:space="preserve"> p. 5.</w:t>
      </w:r>
    </w:p>
  </w:footnote>
  <w:footnote w:id="241">
    <w:p w14:paraId="6CF86003" w14:textId="3EE04CB1" w:rsidR="00E77057" w:rsidRPr="00467EE2" w:rsidRDefault="00E77057" w:rsidP="005B6BB2">
      <w:pPr>
        <w:pStyle w:val="FootnoteText"/>
        <w:rPr>
          <w:szCs w:val="18"/>
          <w:vertAlign w:val="baseline"/>
        </w:rPr>
      </w:pPr>
      <w:r w:rsidRPr="000A7A5C">
        <w:rPr>
          <w:rStyle w:val="FootnoteReference"/>
        </w:rPr>
        <w:footnoteRef/>
      </w:r>
      <w:r w:rsidRPr="00225974">
        <w:rPr>
          <w:szCs w:val="18"/>
          <w:vertAlign w:val="baseline"/>
        </w:rPr>
        <w:t xml:space="preserve"> </w:t>
      </w:r>
      <w:r w:rsidRPr="00467EE2">
        <w:rPr>
          <w:szCs w:val="18"/>
          <w:vertAlign w:val="baseline"/>
        </w:rPr>
        <w:t xml:space="preserve">Cf. </w:t>
      </w:r>
      <w:hyperlink r:id="rId193" w:history="1">
        <w:r w:rsidRPr="00467EE2">
          <w:rPr>
            <w:rStyle w:val="Hyperlink"/>
            <w:szCs w:val="18"/>
            <w:vertAlign w:val="baseline"/>
          </w:rPr>
          <w:t>OFSP, Concept national maladies rares, 2014</w:t>
        </w:r>
      </w:hyperlink>
      <w:r>
        <w:rPr>
          <w:szCs w:val="18"/>
          <w:vertAlign w:val="baseline"/>
        </w:rPr>
        <w:t xml:space="preserve">, </w:t>
      </w:r>
      <w:r w:rsidRPr="00467EE2">
        <w:rPr>
          <w:szCs w:val="18"/>
          <w:vertAlign w:val="baseline"/>
        </w:rPr>
        <w:t>ensemble de mesures destinées aux PH, programme de soins palliatifs du canton de Vaud, mentionné dans OFSP, rapport en réponse au postulat (N</w:t>
      </w:r>
      <w:r>
        <w:rPr>
          <w:szCs w:val="18"/>
          <w:vertAlign w:val="baseline"/>
        </w:rPr>
        <w:t xml:space="preserve"> </w:t>
      </w:r>
      <w:r>
        <w:rPr>
          <w:szCs w:val="18"/>
          <w:vertAlign w:val="baseline"/>
        </w:rPr>
        <w:fldChar w:fldCharType="begin"/>
      </w:r>
      <w:r>
        <w:rPr>
          <w:szCs w:val="18"/>
          <w:vertAlign w:val="baseline"/>
        </w:rPr>
        <w:instrText xml:space="preserve"> NOTEREF _Ref95756901 \h </w:instrText>
      </w:r>
      <w:r>
        <w:rPr>
          <w:szCs w:val="18"/>
          <w:vertAlign w:val="baseline"/>
        </w:rPr>
      </w:r>
      <w:r>
        <w:rPr>
          <w:szCs w:val="18"/>
          <w:vertAlign w:val="baseline"/>
        </w:rPr>
        <w:fldChar w:fldCharType="separate"/>
      </w:r>
      <w:r>
        <w:rPr>
          <w:szCs w:val="18"/>
          <w:vertAlign w:val="baseline"/>
        </w:rPr>
        <w:t>232</w:t>
      </w:r>
      <w:r>
        <w:rPr>
          <w:szCs w:val="18"/>
          <w:vertAlign w:val="baseline"/>
        </w:rPr>
        <w:fldChar w:fldCharType="end"/>
      </w:r>
      <w:r w:rsidRPr="00467EE2">
        <w:rPr>
          <w:szCs w:val="18"/>
          <w:vertAlign w:val="baseline"/>
        </w:rPr>
        <w:t>), p. 49 s.</w:t>
      </w:r>
    </w:p>
  </w:footnote>
  <w:footnote w:id="242">
    <w:p w14:paraId="0F883F24" w14:textId="0032EE57" w:rsidR="00E77057" w:rsidRPr="000A7A5C" w:rsidRDefault="00E77057" w:rsidP="005B6BB2">
      <w:pPr>
        <w:pStyle w:val="BodyText"/>
        <w:spacing w:before="40" w:after="0" w:line="200" w:lineRule="exact"/>
        <w:rPr>
          <w:sz w:val="18"/>
          <w:szCs w:val="18"/>
          <w:highlight w:val="yellow"/>
        </w:rPr>
      </w:pPr>
      <w:r w:rsidRPr="000A7A5C">
        <w:rPr>
          <w:rStyle w:val="FootnoteReference"/>
          <w:sz w:val="18"/>
          <w:szCs w:val="18"/>
        </w:rPr>
        <w:footnoteRef/>
      </w:r>
      <w:r w:rsidRPr="000A7A5C">
        <w:rPr>
          <w:sz w:val="18"/>
          <w:szCs w:val="18"/>
        </w:rPr>
        <w:t xml:space="preserve"> P. ex. consultations en langue des signes à l’Hôpital universitaire de Lausanne, Magazine FSS (N </w:t>
      </w:r>
      <w:r>
        <w:rPr>
          <w:sz w:val="18"/>
          <w:szCs w:val="18"/>
        </w:rPr>
        <w:fldChar w:fldCharType="begin"/>
      </w:r>
      <w:r>
        <w:rPr>
          <w:sz w:val="18"/>
          <w:szCs w:val="18"/>
        </w:rPr>
        <w:instrText xml:space="preserve"> NOTEREF _Ref95757012 \h </w:instrText>
      </w:r>
      <w:r>
        <w:rPr>
          <w:sz w:val="18"/>
          <w:szCs w:val="18"/>
        </w:rPr>
      </w:r>
      <w:r>
        <w:rPr>
          <w:sz w:val="18"/>
          <w:szCs w:val="18"/>
        </w:rPr>
        <w:fldChar w:fldCharType="separate"/>
      </w:r>
      <w:r>
        <w:rPr>
          <w:sz w:val="18"/>
          <w:szCs w:val="18"/>
        </w:rPr>
        <w:t>229</w:t>
      </w:r>
      <w:r>
        <w:rPr>
          <w:sz w:val="18"/>
          <w:szCs w:val="18"/>
        </w:rPr>
        <w:fldChar w:fldCharType="end"/>
      </w:r>
      <w:r w:rsidRPr="000A7A5C">
        <w:rPr>
          <w:sz w:val="18"/>
          <w:szCs w:val="18"/>
        </w:rPr>
        <w:t xml:space="preserve">), p. 24. </w:t>
      </w:r>
    </w:p>
  </w:footnote>
  <w:footnote w:id="243">
    <w:p w14:paraId="78EAF8DA" w14:textId="1A2AC69C" w:rsidR="00E77057" w:rsidRPr="00F370A6" w:rsidRDefault="00E77057" w:rsidP="00F370A6">
      <w:pPr>
        <w:pStyle w:val="Fussnote"/>
      </w:pPr>
      <w:r w:rsidRPr="000A7A5C">
        <w:rPr>
          <w:rStyle w:val="FootnoteReference"/>
        </w:rPr>
        <w:footnoteRef/>
      </w:r>
      <w:r w:rsidRPr="000A7A5C">
        <w:t xml:space="preserve"> Cf. </w:t>
      </w:r>
      <w:hyperlink r:id="rId194" w:history="1">
        <w:r w:rsidRPr="000A7A5C">
          <w:rPr>
            <w:rStyle w:val="Hyperlink"/>
          </w:rPr>
          <w:t>Analyse de modèles de soins de qualité pour les personnes ayant des handicaps psychiques et des maladies somatiques</w:t>
        </w:r>
      </w:hyperlink>
      <w:r w:rsidRPr="000A7A5C">
        <w:t xml:space="preserve"> et </w:t>
      </w:r>
      <w:hyperlink r:id="rId195" w:history="1">
        <w:r w:rsidRPr="000A7A5C">
          <w:rPr>
            <w:rStyle w:val="Hyperlink"/>
          </w:rPr>
          <w:t>unité spécialisée des Services psychiatriques argoviens pour les personnes ayant un handicap intellectuel</w:t>
        </w:r>
      </w:hyperlink>
      <w:r w:rsidRPr="00F370A6">
        <w:rPr>
          <w:rStyle w:val="Hyperlink"/>
          <w:u w:val="none"/>
        </w:rPr>
        <w:t xml:space="preserve"> (en allemand)</w:t>
      </w:r>
      <w:r>
        <w:rPr>
          <w:rStyle w:val="Hyperlink"/>
          <w:u w:val="none"/>
        </w:rPr>
        <w:t>.</w:t>
      </w:r>
    </w:p>
  </w:footnote>
  <w:footnote w:id="244">
    <w:p w14:paraId="6959CCE9" w14:textId="59A7ADF9" w:rsidR="00E77057" w:rsidRPr="00467EE2" w:rsidRDefault="00E77057" w:rsidP="005B6BB2">
      <w:pPr>
        <w:pStyle w:val="FootnoteText"/>
        <w:rPr>
          <w:szCs w:val="18"/>
          <w:vertAlign w:val="baseline"/>
        </w:rPr>
      </w:pPr>
      <w:r w:rsidRPr="000A7A5C">
        <w:rPr>
          <w:rStyle w:val="FootnoteReference"/>
        </w:rPr>
        <w:footnoteRef/>
      </w:r>
      <w:r w:rsidRPr="00225974">
        <w:rPr>
          <w:szCs w:val="18"/>
          <w:vertAlign w:val="baseline"/>
        </w:rPr>
        <w:t xml:space="preserve"> </w:t>
      </w:r>
      <w:r w:rsidRPr="00467EE2">
        <w:rPr>
          <w:szCs w:val="18"/>
          <w:vertAlign w:val="baseline"/>
        </w:rPr>
        <w:t xml:space="preserve">L’Université de Lausanne travaille actuellement au développement d’une </w:t>
      </w:r>
      <w:hyperlink r:id="rId196" w:history="1">
        <w:r w:rsidRPr="00467EE2">
          <w:rPr>
            <w:rStyle w:val="Hyperlink"/>
            <w:szCs w:val="18"/>
            <w:vertAlign w:val="baseline"/>
          </w:rPr>
          <w:t>formation/sensibilisation du personnel soignant dans la prise en charge des personnes sourdes et malentendantes</w:t>
        </w:r>
      </w:hyperlink>
      <w:r w:rsidRPr="00467EE2">
        <w:rPr>
          <w:szCs w:val="18"/>
          <w:vertAlign w:val="baseline"/>
        </w:rPr>
        <w:t xml:space="preserve">, la SSHID </w:t>
      </w:r>
      <w:r>
        <w:rPr>
          <w:szCs w:val="18"/>
          <w:vertAlign w:val="baseline"/>
        </w:rPr>
        <w:t>à celui d’</w:t>
      </w:r>
      <w:r w:rsidRPr="00467EE2">
        <w:rPr>
          <w:szCs w:val="18"/>
          <w:vertAlign w:val="baseline"/>
        </w:rPr>
        <w:t xml:space="preserve">un cursus interdisciplinaire de formation postgraduée pour la prise en charge médicale de personnes ayant des troubles du développement intellectuel. </w:t>
      </w:r>
    </w:p>
  </w:footnote>
  <w:footnote w:id="245">
    <w:p w14:paraId="6EC397AB" w14:textId="16349E70" w:rsidR="00E77057" w:rsidRPr="005B6BB2" w:rsidRDefault="00E77057" w:rsidP="005B6BB2">
      <w:pPr>
        <w:pStyle w:val="Fussnote"/>
        <w:rPr>
          <w:rStyle w:val="CommentReference"/>
          <w:color w:val="auto"/>
          <w:szCs w:val="22"/>
        </w:rPr>
      </w:pPr>
      <w:r w:rsidRPr="00E24554">
        <w:rPr>
          <w:rStyle w:val="FootnoteReference"/>
          <w:szCs w:val="18"/>
        </w:rPr>
        <w:footnoteRef/>
      </w:r>
      <w:r w:rsidRPr="005B6BB2">
        <w:rPr>
          <w:rStyle w:val="CommentReference"/>
          <w:color w:val="auto"/>
          <w:szCs w:val="22"/>
        </w:rPr>
        <w:t xml:space="preserve"> </w:t>
      </w:r>
      <w:hyperlink r:id="rId197" w:history="1">
        <w:r w:rsidRPr="004B37E9">
          <w:rPr>
            <w:rStyle w:val="Hyperlink"/>
            <w:u w:color="144766"/>
          </w:rPr>
          <w:t>INSOS, rapport annuel 2020</w:t>
        </w:r>
      </w:hyperlink>
      <w:r>
        <w:rPr>
          <w:rStyle w:val="CommentReference"/>
          <w:color w:val="auto"/>
          <w:szCs w:val="22"/>
        </w:rPr>
        <w:t xml:space="preserve">, </w:t>
      </w:r>
      <w:r w:rsidRPr="005B6BB2">
        <w:rPr>
          <w:rStyle w:val="CommentReference"/>
          <w:color w:val="auto"/>
          <w:szCs w:val="22"/>
        </w:rPr>
        <w:t>p. 8. Toutes les institutions ne sont pas membres d’INSOS.</w:t>
      </w:r>
    </w:p>
  </w:footnote>
  <w:footnote w:id="246">
    <w:p w14:paraId="609E7148" w14:textId="32A01217" w:rsidR="00E77057" w:rsidRPr="005B6BB2" w:rsidRDefault="00E77057" w:rsidP="005B6BB2">
      <w:pPr>
        <w:pStyle w:val="Fussnote"/>
        <w:rPr>
          <w:rStyle w:val="CommentReference"/>
          <w:color w:val="auto"/>
          <w:szCs w:val="22"/>
        </w:rPr>
      </w:pPr>
      <w:r w:rsidRPr="00E24554">
        <w:rPr>
          <w:rStyle w:val="FootnoteReference"/>
          <w:szCs w:val="18"/>
        </w:rPr>
        <w:footnoteRef/>
      </w:r>
      <w:r w:rsidRPr="005B6BB2">
        <w:rPr>
          <w:rStyle w:val="CommentReference"/>
          <w:color w:val="auto"/>
          <w:szCs w:val="22"/>
        </w:rPr>
        <w:t xml:space="preserve"> Art. 319 ss. CO ainsi que LTr (dispositions protection de la santé, temps de travail et de repos).</w:t>
      </w:r>
      <w:r>
        <w:rPr>
          <w:rStyle w:val="CommentReference"/>
          <w:color w:val="auto"/>
          <w:szCs w:val="22"/>
        </w:rPr>
        <w:t xml:space="preserve"> </w:t>
      </w:r>
      <w:r w:rsidRPr="00B042BE">
        <w:rPr>
          <w:rStyle w:val="CommentReference"/>
          <w:color w:val="auto"/>
          <w:szCs w:val="22"/>
        </w:rPr>
        <w:t>En ce qui concerne le versement d</w:t>
      </w:r>
      <w:r>
        <w:rPr>
          <w:rStyle w:val="CommentReference"/>
          <w:color w:val="auto"/>
          <w:szCs w:val="22"/>
        </w:rPr>
        <w:t>’</w:t>
      </w:r>
      <w:r w:rsidRPr="00B042BE">
        <w:rPr>
          <w:rStyle w:val="CommentReference"/>
          <w:color w:val="auto"/>
          <w:szCs w:val="22"/>
        </w:rPr>
        <w:t>un salaire par l</w:t>
      </w:r>
      <w:r>
        <w:rPr>
          <w:rStyle w:val="CommentReference"/>
          <w:color w:val="auto"/>
          <w:szCs w:val="22"/>
        </w:rPr>
        <w:t>’</w:t>
      </w:r>
      <w:r w:rsidRPr="00B042BE">
        <w:rPr>
          <w:rStyle w:val="CommentReference"/>
          <w:color w:val="auto"/>
          <w:szCs w:val="22"/>
        </w:rPr>
        <w:t>employeur, la loi prescrit uniquement que celui-ci doit être calculé en fonction du temps de travail ou de la prestation de travail (art. 319, al. 1, CO) et qu</w:t>
      </w:r>
      <w:r>
        <w:rPr>
          <w:rStyle w:val="CommentReference"/>
          <w:color w:val="auto"/>
          <w:szCs w:val="22"/>
        </w:rPr>
        <w:t>’</w:t>
      </w:r>
      <w:r w:rsidRPr="00B042BE">
        <w:rPr>
          <w:rStyle w:val="CommentReference"/>
          <w:color w:val="auto"/>
          <w:szCs w:val="22"/>
        </w:rPr>
        <w:t xml:space="preserve">il doit être du type et du montant </w:t>
      </w:r>
      <w:r>
        <w:rPr>
          <w:rStyle w:val="CommentReference"/>
          <w:color w:val="auto"/>
          <w:szCs w:val="22"/>
        </w:rPr>
        <w:t>«</w:t>
      </w:r>
      <w:r w:rsidRPr="00B042BE">
        <w:rPr>
          <w:rStyle w:val="CommentReference"/>
          <w:color w:val="auto"/>
          <w:szCs w:val="22"/>
        </w:rPr>
        <w:t>convenus ou usuels ou déterminés par un contrat-type de travail ou une convention collective</w:t>
      </w:r>
      <w:r>
        <w:rPr>
          <w:rStyle w:val="CommentReference"/>
          <w:color w:val="auto"/>
          <w:szCs w:val="22"/>
        </w:rPr>
        <w:t>»</w:t>
      </w:r>
      <w:r w:rsidRPr="00B042BE">
        <w:rPr>
          <w:rStyle w:val="CommentReference"/>
          <w:color w:val="auto"/>
          <w:szCs w:val="22"/>
        </w:rPr>
        <w:t xml:space="preserve"> (art. 322, al. 1, CO).</w:t>
      </w:r>
    </w:p>
  </w:footnote>
  <w:footnote w:id="247">
    <w:p w14:paraId="396CC23B" w14:textId="441D8103" w:rsidR="00E77057" w:rsidRPr="005B6BB2" w:rsidRDefault="00E77057" w:rsidP="005B6BB2">
      <w:pPr>
        <w:pStyle w:val="Fussnote"/>
        <w:rPr>
          <w:rStyle w:val="CommentReference"/>
          <w:color w:val="auto"/>
          <w:szCs w:val="22"/>
          <w:highlight w:val="yellow"/>
        </w:rPr>
      </w:pPr>
      <w:r w:rsidRPr="00E24554">
        <w:rPr>
          <w:rStyle w:val="FootnoteReference"/>
          <w:szCs w:val="18"/>
        </w:rPr>
        <w:footnoteRef/>
      </w:r>
      <w:r w:rsidRPr="005B6BB2">
        <w:rPr>
          <w:rStyle w:val="CommentReference"/>
          <w:color w:val="auto"/>
          <w:szCs w:val="22"/>
        </w:rPr>
        <w:t xml:space="preserve"> À propos de la compatibilité avec l’art. 41 al. 1 let. d Cst. </w:t>
      </w:r>
      <w:hyperlink r:id="rId198" w:history="1">
        <w:r w:rsidRPr="004B37E9">
          <w:rPr>
            <w:rStyle w:val="Hyperlink"/>
            <w:u w:color="144766"/>
          </w:rPr>
          <w:t>BFEH, Travail et égalité des personnes handicapées: Aperçu des bases légales, 2017</w:t>
        </w:r>
      </w:hyperlink>
      <w:r w:rsidRPr="004B37E9">
        <w:rPr>
          <w:rStyle w:val="CommentReference"/>
          <w:color w:val="auto"/>
          <w:szCs w:val="22"/>
        </w:rPr>
        <w:t>, p.</w:t>
      </w:r>
      <w:r w:rsidRPr="005B6BB2">
        <w:rPr>
          <w:rStyle w:val="CommentReference"/>
          <w:color w:val="auto"/>
          <w:szCs w:val="22"/>
        </w:rPr>
        <w:t xml:space="preserve"> 11. À propos de la capacité de gain, cf. art. 7 al. 1 LPGA.</w:t>
      </w:r>
    </w:p>
  </w:footnote>
  <w:footnote w:id="248">
    <w:p w14:paraId="1C641A91" w14:textId="071FE82C" w:rsidR="00E77057" w:rsidRPr="000A7A5C" w:rsidRDefault="00E77057" w:rsidP="005B6BB2">
      <w:pPr>
        <w:pStyle w:val="Fussnote"/>
        <w:rPr>
          <w:szCs w:val="18"/>
        </w:rPr>
      </w:pPr>
      <w:r w:rsidRPr="00E24554">
        <w:rPr>
          <w:rStyle w:val="FootnoteReference"/>
          <w:szCs w:val="18"/>
        </w:rPr>
        <w:footnoteRef/>
      </w:r>
      <w:r w:rsidRPr="005B6BB2">
        <w:rPr>
          <w:rStyle w:val="CommentReference"/>
          <w:color w:val="auto"/>
          <w:szCs w:val="22"/>
        </w:rPr>
        <w:t xml:space="preserve"> Elle est fixée par les institutions en fonction notamment de la capacité de rendement et de la productivité</w:t>
      </w:r>
      <w:r>
        <w:rPr>
          <w:rStyle w:val="CommentReference"/>
          <w:color w:val="auto"/>
          <w:szCs w:val="22"/>
        </w:rPr>
        <w:t xml:space="preserve"> ainsi que sur la base de directives cantonales</w:t>
      </w:r>
      <w:r w:rsidRPr="005B6BB2">
        <w:rPr>
          <w:rStyle w:val="CommentReference"/>
          <w:color w:val="auto"/>
          <w:szCs w:val="22"/>
        </w:rPr>
        <w:t xml:space="preserve">, et est variable en conséquence. Voir </w:t>
      </w:r>
      <w:hyperlink r:id="rId199" w:history="1">
        <w:r w:rsidRPr="00F370A6">
          <w:rPr>
            <w:rStyle w:val="CommentReference"/>
            <w:smallCaps/>
            <w:color w:val="auto"/>
            <w:szCs w:val="22"/>
            <w:u w:val="single"/>
          </w:rPr>
          <w:t>Benelli/Greppi/Kuehni/Streckeisen/Zurbuchen</w:t>
        </w:r>
        <w:r w:rsidRPr="00F370A6">
          <w:rPr>
            <w:rStyle w:val="CommentReference"/>
            <w:color w:val="auto"/>
            <w:szCs w:val="22"/>
            <w:u w:val="single"/>
          </w:rPr>
          <w:t>, Conditions de travail dans les ateliers pour personnes en situation de handicap</w:t>
        </w:r>
      </w:hyperlink>
      <w:r w:rsidRPr="00F370A6">
        <w:rPr>
          <w:rStyle w:val="CommentReference"/>
          <w:color w:val="auto"/>
          <w:szCs w:val="22"/>
          <w:u w:val="single"/>
        </w:rPr>
        <w:t>,</w:t>
      </w:r>
      <w:r w:rsidRPr="005B6BB2">
        <w:rPr>
          <w:rStyle w:val="CommentReference"/>
          <w:color w:val="auto"/>
          <w:szCs w:val="22"/>
        </w:rPr>
        <w:t xml:space="preserve"> p. 12 s.</w:t>
      </w:r>
    </w:p>
  </w:footnote>
  <w:footnote w:id="249">
    <w:p w14:paraId="475BEAF1" w14:textId="77777777" w:rsidR="00E77057" w:rsidRPr="000A7A5C" w:rsidRDefault="00E77057" w:rsidP="005B6BB2">
      <w:pPr>
        <w:pStyle w:val="Fussnote"/>
      </w:pPr>
      <w:r w:rsidRPr="000A7A5C">
        <w:rPr>
          <w:rStyle w:val="FootnoteReference"/>
          <w:szCs w:val="18"/>
        </w:rPr>
        <w:footnoteRef/>
      </w:r>
      <w:r w:rsidRPr="000A7A5C">
        <w:t xml:space="preserve"> En Suisse, les salaires minimaux sont indiqués dans les conventions collectives de travail ainsi que dans quelques bases légales cantonales. </w:t>
      </w:r>
    </w:p>
  </w:footnote>
  <w:footnote w:id="250">
    <w:p w14:paraId="2C50F738" w14:textId="7A4389FE" w:rsidR="00E77057" w:rsidRPr="000A7A5C" w:rsidRDefault="00E77057" w:rsidP="005B6BB2">
      <w:pPr>
        <w:pStyle w:val="Fussnote"/>
      </w:pPr>
      <w:r w:rsidRPr="000A7A5C">
        <w:rPr>
          <w:rStyle w:val="FootnoteReference"/>
          <w:szCs w:val="18"/>
        </w:rPr>
        <w:footnoteRef/>
      </w:r>
      <w:r w:rsidRPr="000A7A5C">
        <w:t xml:space="preserve"> </w:t>
      </w:r>
      <w:r w:rsidRPr="004B37E9">
        <w:rPr>
          <w:smallCaps/>
        </w:rPr>
        <w:t>Benelli et al.</w:t>
      </w:r>
      <w:r w:rsidRPr="000A7A5C">
        <w:t xml:space="preserve"> (N</w:t>
      </w:r>
      <w:r>
        <w:t xml:space="preserve"> </w:t>
      </w:r>
      <w:r>
        <w:fldChar w:fldCharType="begin"/>
      </w:r>
      <w:r>
        <w:instrText xml:space="preserve"> NOTEREF _Ref95824811 \h </w:instrText>
      </w:r>
      <w:r>
        <w:fldChar w:fldCharType="separate"/>
      </w:r>
      <w:r>
        <w:t>248</w:t>
      </w:r>
      <w:r>
        <w:fldChar w:fldCharType="end"/>
      </w:r>
      <w:r w:rsidRPr="000A7A5C">
        <w:t xml:space="preserve">), p. 12 s., ainsi que </w:t>
      </w:r>
      <w:r>
        <w:t xml:space="preserve">les </w:t>
      </w:r>
      <w:r w:rsidRPr="000A7A5C">
        <w:t>déc</w:t>
      </w:r>
      <w:r>
        <w:t>l</w:t>
      </w:r>
      <w:r w:rsidRPr="000A7A5C">
        <w:t>arations d’auto</w:t>
      </w:r>
      <w:r>
        <w:t>-</w:t>
      </w:r>
      <w:r w:rsidRPr="000A7A5C">
        <w:t>représentant-e-s entre autre lors d’une rencontre de réseau (cf. ci-dessous).</w:t>
      </w:r>
    </w:p>
  </w:footnote>
  <w:footnote w:id="251">
    <w:p w14:paraId="3928E6C0" w14:textId="5B6EE962" w:rsidR="00E77057" w:rsidRPr="00134FFB" w:rsidRDefault="00E77057" w:rsidP="005B6BB2">
      <w:pPr>
        <w:pStyle w:val="Fussnote"/>
        <w:rPr>
          <w:lang w:val="it-IT"/>
        </w:rPr>
      </w:pPr>
      <w:r w:rsidRPr="000A7A5C">
        <w:rPr>
          <w:rStyle w:val="FootnoteReference"/>
          <w:szCs w:val="18"/>
        </w:rPr>
        <w:footnoteRef/>
      </w:r>
      <w:r w:rsidRPr="008C5B2B">
        <w:rPr>
          <w:lang w:val="en-US"/>
        </w:rPr>
        <w:t xml:space="preserve"> CESCR, Concluding observations on the fourth periodic report of Switzerland, 18.11.2019, UN Doc. </w:t>
      </w:r>
      <w:r w:rsidRPr="008C5B2B">
        <w:rPr>
          <w:lang w:val="it-IT"/>
        </w:rPr>
        <w:t xml:space="preserve">E/C.12/CHE/CO/4, para. </w:t>
      </w:r>
      <w:r w:rsidRPr="00134FFB">
        <w:rPr>
          <w:lang w:val="it-IT"/>
        </w:rPr>
        <w:t>24.</w:t>
      </w:r>
    </w:p>
  </w:footnote>
  <w:footnote w:id="252">
    <w:p w14:paraId="7129318F" w14:textId="2777F1CF" w:rsidR="00E77057" w:rsidRPr="00134FFB" w:rsidRDefault="00E77057" w:rsidP="005B6BB2">
      <w:pPr>
        <w:pStyle w:val="Fussnote"/>
        <w:rPr>
          <w:lang w:val="it-IT"/>
        </w:rPr>
      </w:pPr>
      <w:r w:rsidRPr="000A7A5C">
        <w:rPr>
          <w:rStyle w:val="FootnoteReference"/>
          <w:szCs w:val="18"/>
        </w:rPr>
        <w:footnoteRef/>
      </w:r>
      <w:r w:rsidRPr="00134FFB">
        <w:rPr>
          <w:lang w:val="it-IT"/>
        </w:rPr>
        <w:t xml:space="preserve"> </w:t>
      </w:r>
      <w:r w:rsidRPr="00134FFB">
        <w:rPr>
          <w:smallCaps/>
          <w:lang w:val="it-IT"/>
        </w:rPr>
        <w:t>Benelli et al.</w:t>
      </w:r>
      <w:r w:rsidRPr="00134FFB">
        <w:rPr>
          <w:lang w:val="it-IT"/>
        </w:rPr>
        <w:t xml:space="preserve"> (N </w:t>
      </w:r>
      <w:r>
        <w:fldChar w:fldCharType="begin"/>
      </w:r>
      <w:r w:rsidRPr="00134FFB">
        <w:rPr>
          <w:lang w:val="it-IT"/>
        </w:rPr>
        <w:instrText xml:space="preserve"> NOTEREF _Ref95824811 \h </w:instrText>
      </w:r>
      <w:r>
        <w:fldChar w:fldCharType="separate"/>
      </w:r>
      <w:r>
        <w:rPr>
          <w:lang w:val="it-IT"/>
        </w:rPr>
        <w:t>248</w:t>
      </w:r>
      <w:r>
        <w:fldChar w:fldCharType="end"/>
      </w:r>
      <w:r w:rsidRPr="00134FFB">
        <w:rPr>
          <w:lang w:val="it-IT"/>
        </w:rPr>
        <w:t>), p. 12.</w:t>
      </w:r>
    </w:p>
  </w:footnote>
  <w:footnote w:id="253">
    <w:p w14:paraId="545F24AC" w14:textId="778EB93C" w:rsidR="00E77057" w:rsidRPr="000A7A5C" w:rsidRDefault="00E77057" w:rsidP="005B6BB2">
      <w:pPr>
        <w:pStyle w:val="Fussnote"/>
      </w:pPr>
      <w:r w:rsidRPr="000A7A5C">
        <w:rPr>
          <w:rStyle w:val="FootnoteReference"/>
          <w:szCs w:val="18"/>
        </w:rPr>
        <w:footnoteRef/>
      </w:r>
      <w:r w:rsidRPr="000A7A5C">
        <w:t xml:space="preserve"> Ibid., p. 18 s.</w:t>
      </w:r>
    </w:p>
  </w:footnote>
  <w:footnote w:id="254">
    <w:p w14:paraId="610EBFB6" w14:textId="3F844719" w:rsidR="00E77057" w:rsidRPr="000A7A5C" w:rsidRDefault="00E77057" w:rsidP="005B6BB2">
      <w:pPr>
        <w:pStyle w:val="Fussnote"/>
      </w:pPr>
      <w:r w:rsidRPr="000A7A5C">
        <w:rPr>
          <w:rStyle w:val="FootnoteReference"/>
          <w:szCs w:val="18"/>
        </w:rPr>
        <w:footnoteRef/>
      </w:r>
      <w:r w:rsidRPr="000A7A5C">
        <w:t xml:space="preserve"> Cf. </w:t>
      </w:r>
      <w:hyperlink r:id="rId200" w:history="1">
        <w:r w:rsidRPr="000A7A5C">
          <w:rPr>
            <w:rStyle w:val="Hyperlink"/>
            <w:szCs w:val="18"/>
          </w:rPr>
          <w:t>OFS, Participation des personnes avec et sans handicap au marché du travail 2019</w:t>
        </w:r>
      </w:hyperlink>
      <w:r>
        <w:rPr>
          <w:rStyle w:val="Hyperlink"/>
          <w:szCs w:val="18"/>
        </w:rPr>
        <w:t>.</w:t>
      </w:r>
    </w:p>
  </w:footnote>
  <w:footnote w:id="255">
    <w:p w14:paraId="0DDD922C" w14:textId="24009157" w:rsidR="00E77057" w:rsidRPr="000A7A5C" w:rsidRDefault="00E77057" w:rsidP="005B6BB2">
      <w:pPr>
        <w:pStyle w:val="Fussnote"/>
      </w:pPr>
      <w:r w:rsidRPr="000A7A5C">
        <w:rPr>
          <w:rStyle w:val="FootnoteReference"/>
          <w:szCs w:val="18"/>
        </w:rPr>
        <w:footnoteRef/>
      </w:r>
      <w:r w:rsidRPr="000A7A5C">
        <w:t xml:space="preserve"> </w:t>
      </w:r>
      <w:hyperlink r:id="rId201" w:history="1">
        <w:r w:rsidRPr="00445A62">
          <w:rPr>
            <w:rStyle w:val="Hyperlink"/>
            <w:smallCaps/>
            <w:szCs w:val="18"/>
          </w:rPr>
          <w:t>Eckert/Liesen/Thommen/Zbinden Sapin</w:t>
        </w:r>
        <w:r w:rsidRPr="00445A62">
          <w:rPr>
            <w:rStyle w:val="Hyperlink"/>
            <w:szCs w:val="18"/>
          </w:rPr>
          <w:t>,</w:t>
        </w:r>
        <w:r w:rsidRPr="00445A62">
          <w:rPr>
            <w:rStyle w:val="Hyperlink"/>
            <w:b/>
            <w:szCs w:val="18"/>
          </w:rPr>
          <w:t xml:space="preserve"> </w:t>
        </w:r>
        <w:r w:rsidRPr="00445A62">
          <w:rPr>
            <w:rStyle w:val="Hyperlink"/>
            <w:bCs/>
            <w:szCs w:val="18"/>
          </w:rPr>
          <w:t>Enfants, adolescents et jeunes adultes</w:t>
        </w:r>
        <w:r w:rsidRPr="00445A62">
          <w:rPr>
            <w:rStyle w:val="Hyperlink"/>
            <w:szCs w:val="18"/>
          </w:rPr>
          <w:t>: troubles précoces du développement et invalidité, FoP3-IV Rapport n° 8/15, 2015</w:t>
        </w:r>
      </w:hyperlink>
      <w:r w:rsidRPr="000A7A5C">
        <w:t>, p. 53.</w:t>
      </w:r>
    </w:p>
  </w:footnote>
  <w:footnote w:id="256">
    <w:p w14:paraId="751FA0E2" w14:textId="7F54CC00" w:rsidR="00E77057" w:rsidRPr="00D72411" w:rsidRDefault="00E77057" w:rsidP="005B6BB2">
      <w:pPr>
        <w:pStyle w:val="Fussnote"/>
        <w:rPr>
          <w:lang w:val="de-CH"/>
        </w:rPr>
      </w:pPr>
      <w:r w:rsidRPr="000A7A5C">
        <w:rPr>
          <w:rStyle w:val="FootnoteReference"/>
          <w:szCs w:val="18"/>
        </w:rPr>
        <w:footnoteRef/>
      </w:r>
      <w:r w:rsidRPr="00D72411">
        <w:rPr>
          <w:lang w:val="de-CH"/>
        </w:rPr>
        <w:t xml:space="preserve"> Cf. </w:t>
      </w:r>
      <w:r w:rsidRPr="00D72411">
        <w:rPr>
          <w:smallCaps/>
          <w:lang w:val="de-CH"/>
        </w:rPr>
        <w:t>Kronenberg</w:t>
      </w:r>
      <w:r w:rsidRPr="00D72411">
        <w:rPr>
          <w:lang w:val="de-CH"/>
        </w:rPr>
        <w:t xml:space="preserve">, p. </w:t>
      </w:r>
      <w:r w:rsidRPr="00B05B0C">
        <w:rPr>
          <w:lang w:val="de-CH"/>
        </w:rPr>
        <w:t>126 e</w:t>
      </w:r>
      <w:r w:rsidRPr="00D72411">
        <w:rPr>
          <w:lang w:val="de-CH"/>
        </w:rPr>
        <w:t xml:space="preserve">t Message RPT, p. </w:t>
      </w:r>
      <w:r>
        <w:rPr>
          <w:lang w:val="de-CH"/>
        </w:rPr>
        <w:t>5809</w:t>
      </w:r>
      <w:r w:rsidRPr="00D72411">
        <w:rPr>
          <w:lang w:val="de-CH"/>
        </w:rPr>
        <w:t>.</w:t>
      </w:r>
    </w:p>
  </w:footnote>
  <w:footnote w:id="257">
    <w:p w14:paraId="596BF60F" w14:textId="3AEAC351" w:rsidR="00E77057" w:rsidRPr="000A7A5C" w:rsidRDefault="00E77057" w:rsidP="005B6BB2">
      <w:pPr>
        <w:pStyle w:val="Fussnote"/>
      </w:pPr>
      <w:r w:rsidRPr="000A7A5C">
        <w:rPr>
          <w:rStyle w:val="FootnoteReference"/>
          <w:szCs w:val="18"/>
        </w:rPr>
        <w:footnoteRef/>
      </w:r>
      <w:r w:rsidRPr="000A7A5C">
        <w:t xml:space="preserve"> Cf. art. 8a LAI conc. le caractère adéquat des mesures visant à améliorer la capacité de gain.</w:t>
      </w:r>
    </w:p>
  </w:footnote>
  <w:footnote w:id="258">
    <w:p w14:paraId="1DCB9650" w14:textId="7BF93857" w:rsidR="00E77057" w:rsidRPr="000A7A5C" w:rsidRDefault="00E77057" w:rsidP="001527A4">
      <w:pPr>
        <w:pStyle w:val="Fussnote"/>
      </w:pPr>
      <w:r w:rsidRPr="000A7A5C">
        <w:rPr>
          <w:rStyle w:val="FootnoteReference"/>
          <w:szCs w:val="18"/>
        </w:rPr>
        <w:footnoteRef/>
      </w:r>
      <w:r w:rsidRPr="000A7A5C">
        <w:t xml:space="preserve"> Cf. </w:t>
      </w:r>
      <w:hyperlink r:id="rId202" w:history="1">
        <w:r w:rsidRPr="00445A62">
          <w:rPr>
            <w:rStyle w:val="Hyperlink"/>
          </w:rPr>
          <w:t xml:space="preserve">COAI, </w:t>
        </w:r>
        <w:r w:rsidRPr="00445A62">
          <w:rPr>
            <w:rStyle w:val="Hyperlink"/>
            <w:szCs w:val="18"/>
          </w:rPr>
          <w:t>Communiqués de presse</w:t>
        </w:r>
        <w:r w:rsidRPr="00445A62">
          <w:rPr>
            <w:rStyle w:val="Hyperlink"/>
          </w:rPr>
          <w:t xml:space="preserve"> concernant les placements par les offices AI par année</w:t>
        </w:r>
      </w:hyperlink>
      <w:r>
        <w:t>.</w:t>
      </w:r>
    </w:p>
  </w:footnote>
  <w:footnote w:id="259">
    <w:p w14:paraId="558FCEA0" w14:textId="77777777" w:rsidR="00E77057" w:rsidRPr="000A7A5C" w:rsidRDefault="00E77057" w:rsidP="00F31454">
      <w:pPr>
        <w:pStyle w:val="Fussnote"/>
        <w:rPr>
          <w:szCs w:val="18"/>
        </w:rPr>
      </w:pPr>
      <w:r w:rsidRPr="000A7A5C">
        <w:rPr>
          <w:rStyle w:val="FootnoteReference"/>
          <w:szCs w:val="18"/>
        </w:rPr>
        <w:footnoteRef/>
      </w:r>
      <w:r w:rsidRPr="000A7A5C">
        <w:rPr>
          <w:szCs w:val="18"/>
        </w:rPr>
        <w:t xml:space="preserve"> </w:t>
      </w:r>
      <w:hyperlink r:id="rId203" w:history="1">
        <w:r w:rsidRPr="000A7A5C">
          <w:rPr>
            <w:rStyle w:val="Hyperlink"/>
            <w:smallCaps/>
            <w:szCs w:val="18"/>
          </w:rPr>
          <w:t>Baer/Frick/Besse/Cuonz/Matt</w:t>
        </w:r>
        <w:r w:rsidRPr="000A7A5C">
          <w:rPr>
            <w:rStyle w:val="Hyperlink"/>
            <w:szCs w:val="18"/>
          </w:rPr>
          <w:t>, Intégration professionnelle et sociale selon la perspective d’assurés AI: critères de réussite, déroulement et satisfaction, FoP3-IV Rapport n° 8/18, avril 2018</w:t>
        </w:r>
      </w:hyperlink>
      <w:r w:rsidRPr="000A7A5C">
        <w:rPr>
          <w:szCs w:val="18"/>
        </w:rPr>
        <w:t xml:space="preserve"> (en allemand).</w:t>
      </w:r>
    </w:p>
  </w:footnote>
  <w:footnote w:id="260">
    <w:p w14:paraId="649DBA8D" w14:textId="77777777" w:rsidR="00E77057" w:rsidRPr="000A7A5C" w:rsidRDefault="00E77057" w:rsidP="00F31454">
      <w:pPr>
        <w:pStyle w:val="Fussnote"/>
        <w:rPr>
          <w:szCs w:val="18"/>
        </w:rPr>
      </w:pPr>
      <w:r w:rsidRPr="000A7A5C">
        <w:rPr>
          <w:rStyle w:val="FootnoteReference"/>
          <w:szCs w:val="18"/>
        </w:rPr>
        <w:footnoteRef/>
      </w:r>
      <w:r w:rsidRPr="000A7A5C">
        <w:rPr>
          <w:szCs w:val="18"/>
        </w:rPr>
        <w:t xml:space="preserve"> Chez les personnes présentant des troubles autistiques précoces, p. ex.,</w:t>
      </w:r>
      <w:r>
        <w:rPr>
          <w:szCs w:val="18"/>
        </w:rPr>
        <w:t xml:space="preserve"> </w:t>
      </w:r>
      <w:r w:rsidRPr="000A7A5C">
        <w:rPr>
          <w:szCs w:val="18"/>
        </w:rPr>
        <w:t xml:space="preserve">il est démontré que les mesures de réadaptation ne sont que rarement appliquées, plus souvent en revanche chez les personnes ayant un syndrome d’Asperger resp. un autisme à haut niveau de fonctionnement; voir </w:t>
      </w:r>
      <w:r w:rsidRPr="000A7A5C">
        <w:rPr>
          <w:smallCaps/>
          <w:szCs w:val="18"/>
        </w:rPr>
        <w:t>Eckert et al.</w:t>
      </w:r>
      <w:r w:rsidRPr="000A7A5C">
        <w:rPr>
          <w:szCs w:val="18"/>
        </w:rPr>
        <w:t>, p. 5</w:t>
      </w:r>
      <w:r>
        <w:rPr>
          <w:szCs w:val="18"/>
        </w:rPr>
        <w:t>3 s.</w:t>
      </w:r>
    </w:p>
  </w:footnote>
  <w:footnote w:id="261">
    <w:p w14:paraId="273073F6" w14:textId="77777777" w:rsidR="00E77057" w:rsidRPr="000A7A5C" w:rsidRDefault="00E77057" w:rsidP="001527A4">
      <w:pPr>
        <w:pStyle w:val="Fussnote"/>
        <w:rPr>
          <w:szCs w:val="18"/>
        </w:rPr>
      </w:pPr>
      <w:r w:rsidRPr="000A7A5C">
        <w:rPr>
          <w:rStyle w:val="FootnoteReference"/>
          <w:szCs w:val="18"/>
        </w:rPr>
        <w:footnoteRef/>
      </w:r>
      <w:r w:rsidRPr="000A7A5C">
        <w:rPr>
          <w:szCs w:val="18"/>
        </w:rPr>
        <w:t xml:space="preserve"> Cf. Programme </w:t>
      </w:r>
      <w:r>
        <w:rPr>
          <w:szCs w:val="18"/>
        </w:rPr>
        <w:t>«</w:t>
      </w:r>
      <w:r w:rsidRPr="000A7A5C">
        <w:rPr>
          <w:szCs w:val="18"/>
        </w:rPr>
        <w:t>Autonomie</w:t>
      </w:r>
      <w:r>
        <w:rPr>
          <w:szCs w:val="18"/>
        </w:rPr>
        <w:t>»</w:t>
      </w:r>
      <w:r w:rsidRPr="000A7A5C">
        <w:rPr>
          <w:szCs w:val="18"/>
        </w:rPr>
        <w:t>, 2018, p. 8.</w:t>
      </w:r>
    </w:p>
  </w:footnote>
  <w:footnote w:id="262">
    <w:p w14:paraId="08DD7358" w14:textId="418A9CB7" w:rsidR="00E77057" w:rsidRPr="00552D75" w:rsidRDefault="00E77057" w:rsidP="001527A4">
      <w:pPr>
        <w:pStyle w:val="Fussnote"/>
        <w:rPr>
          <w:szCs w:val="18"/>
          <w:lang w:val="de-CH"/>
        </w:rPr>
      </w:pPr>
      <w:r w:rsidRPr="000A7A5C">
        <w:rPr>
          <w:rStyle w:val="FootnoteReference"/>
          <w:szCs w:val="18"/>
        </w:rPr>
        <w:footnoteRef/>
      </w:r>
      <w:r w:rsidRPr="000A7A5C">
        <w:rPr>
          <w:szCs w:val="18"/>
        </w:rPr>
        <w:t xml:space="preserve"> </w:t>
      </w:r>
      <w:r w:rsidRPr="00F370A6">
        <w:rPr>
          <w:smallCaps/>
          <w:szCs w:val="18"/>
        </w:rPr>
        <w:t>Benelli et al</w:t>
      </w:r>
      <w:r w:rsidRPr="000A7A5C">
        <w:rPr>
          <w:szCs w:val="18"/>
        </w:rPr>
        <w:t xml:space="preserve">. </w:t>
      </w:r>
      <w:r w:rsidRPr="00134FFB">
        <w:rPr>
          <w:lang w:val="it-IT"/>
        </w:rPr>
        <w:t xml:space="preserve">(N </w:t>
      </w:r>
      <w:r>
        <w:fldChar w:fldCharType="begin"/>
      </w:r>
      <w:r w:rsidRPr="00134FFB">
        <w:rPr>
          <w:lang w:val="it-IT"/>
        </w:rPr>
        <w:instrText xml:space="preserve"> NOTEREF _Ref95824811 \h </w:instrText>
      </w:r>
      <w:r>
        <w:fldChar w:fldCharType="separate"/>
      </w:r>
      <w:r>
        <w:rPr>
          <w:lang w:val="it-IT"/>
        </w:rPr>
        <w:t>248</w:t>
      </w:r>
      <w:r>
        <w:fldChar w:fldCharType="end"/>
      </w:r>
      <w:r w:rsidRPr="00134FFB">
        <w:rPr>
          <w:lang w:val="it-IT"/>
        </w:rPr>
        <w:t>)</w:t>
      </w:r>
      <w:r w:rsidRPr="00552D75">
        <w:rPr>
          <w:szCs w:val="18"/>
          <w:lang w:val="de-CH"/>
        </w:rPr>
        <w:t>, p. 22.</w:t>
      </w:r>
    </w:p>
  </w:footnote>
  <w:footnote w:id="263">
    <w:p w14:paraId="329EBBAE" w14:textId="6457E625" w:rsidR="00E77057" w:rsidRPr="000A7A5C" w:rsidRDefault="00E77057" w:rsidP="001527A4">
      <w:pPr>
        <w:pStyle w:val="Fussnote"/>
        <w:rPr>
          <w:szCs w:val="18"/>
        </w:rPr>
      </w:pPr>
      <w:r w:rsidRPr="000A7A5C">
        <w:rPr>
          <w:rStyle w:val="FootnoteReference"/>
          <w:szCs w:val="18"/>
        </w:rPr>
        <w:footnoteRef/>
      </w:r>
      <w:r w:rsidRPr="000A7A5C">
        <w:rPr>
          <w:szCs w:val="18"/>
        </w:rPr>
        <w:t xml:space="preserve"> </w:t>
      </w:r>
      <w:hyperlink r:id="rId204" w:history="1">
        <w:r w:rsidRPr="000A7A5C">
          <w:rPr>
            <w:rStyle w:val="Hyperlink"/>
            <w:szCs w:val="18"/>
          </w:rPr>
          <w:t>Plan d’action CDPH</w:t>
        </w:r>
      </w:hyperlink>
      <w:r w:rsidRPr="000A7A5C">
        <w:rPr>
          <w:szCs w:val="18"/>
        </w:rPr>
        <w:t>, en particulier objectif</w:t>
      </w:r>
      <w:r w:rsidRPr="00B6426A">
        <w:rPr>
          <w:rStyle w:val="Hyperlink"/>
          <w:szCs w:val="18"/>
          <w:u w:val="none"/>
        </w:rPr>
        <w:t xml:space="preserve"> </w:t>
      </w:r>
      <w:r w:rsidRPr="005A0C8E">
        <w:rPr>
          <w:rStyle w:val="Hyperlink"/>
          <w:szCs w:val="18"/>
          <w:u w:val="none"/>
        </w:rPr>
        <w:t>10. Un projet est en outre consacré à la question des nouveaux modèles de rémunération.</w:t>
      </w:r>
    </w:p>
  </w:footnote>
  <w:footnote w:id="264">
    <w:p w14:paraId="72BCC7B3" w14:textId="77777777" w:rsidR="00E77057" w:rsidRPr="000A7A5C" w:rsidRDefault="00E77057" w:rsidP="00F31454">
      <w:pPr>
        <w:pStyle w:val="Fussnote"/>
        <w:rPr>
          <w:szCs w:val="18"/>
        </w:rPr>
      </w:pPr>
      <w:r w:rsidRPr="000A7A5C">
        <w:rPr>
          <w:rStyle w:val="FootnoteReference"/>
          <w:szCs w:val="18"/>
        </w:rPr>
        <w:footnoteRef/>
      </w:r>
      <w:r w:rsidRPr="000A7A5C">
        <w:rPr>
          <w:szCs w:val="18"/>
        </w:rPr>
        <w:t xml:space="preserve"> Programme </w:t>
      </w:r>
      <w:r>
        <w:rPr>
          <w:szCs w:val="18"/>
        </w:rPr>
        <w:t>«</w:t>
      </w:r>
      <w:r w:rsidRPr="000A7A5C">
        <w:rPr>
          <w:szCs w:val="18"/>
        </w:rPr>
        <w:t>Autonomie</w:t>
      </w:r>
      <w:r>
        <w:rPr>
          <w:szCs w:val="18"/>
        </w:rPr>
        <w:t>»</w:t>
      </w:r>
      <w:r w:rsidRPr="000A7A5C">
        <w:rPr>
          <w:szCs w:val="18"/>
        </w:rPr>
        <w:t>, p. 8; p. ex. Bâle-Ville, Bâle-Campagne, Berne, Lucerne, St. Gall et Zoug. Un soutien est en partie également accordé à la création de places de travail inclusives n’étant pas en premier lieu de nature à faire baisser la rente.</w:t>
      </w:r>
    </w:p>
  </w:footnote>
  <w:footnote w:id="265">
    <w:p w14:paraId="308FAD3C" w14:textId="541EAF23" w:rsidR="00E77057" w:rsidRPr="00D72411" w:rsidRDefault="00E77057" w:rsidP="001527A4">
      <w:pPr>
        <w:pStyle w:val="Fussnote"/>
        <w:rPr>
          <w:smallCaps/>
          <w:szCs w:val="18"/>
          <w:lang w:val="de-CH"/>
        </w:rPr>
      </w:pPr>
      <w:r w:rsidRPr="000A7A5C">
        <w:rPr>
          <w:rStyle w:val="FootnoteReference"/>
          <w:szCs w:val="18"/>
        </w:rPr>
        <w:footnoteRef/>
      </w:r>
      <w:r w:rsidRPr="00D72411">
        <w:rPr>
          <w:szCs w:val="18"/>
          <w:lang w:val="de-CH"/>
        </w:rPr>
        <w:t xml:space="preserve"> Cf.</w:t>
      </w:r>
      <w:r>
        <w:rPr>
          <w:szCs w:val="18"/>
          <w:lang w:val="de-CH"/>
        </w:rPr>
        <w:t xml:space="preserve"> </w:t>
      </w:r>
      <w:hyperlink r:id="rId205" w:history="1">
        <w:r w:rsidRPr="00D72411">
          <w:rPr>
            <w:rStyle w:val="Hyperlink"/>
            <w:szCs w:val="18"/>
            <w:lang w:val="de-CH"/>
          </w:rPr>
          <w:t>Wirkungsbericht Behindertenpolitik im Kanton St. Gallen, 2018</w:t>
        </w:r>
      </w:hyperlink>
      <w:r w:rsidRPr="00D72411">
        <w:rPr>
          <w:szCs w:val="18"/>
          <w:lang w:val="de-CH"/>
        </w:rPr>
        <w:t xml:space="preserve">, p. 52 s. (en </w:t>
      </w:r>
      <w:r w:rsidRPr="00B644F9">
        <w:rPr>
          <w:szCs w:val="18"/>
          <w:lang w:val="de-CH"/>
        </w:rPr>
        <w:t>allemand</w:t>
      </w:r>
      <w:r w:rsidRPr="00D72411">
        <w:rPr>
          <w:szCs w:val="18"/>
          <w:lang w:val="de-CH"/>
        </w:rPr>
        <w:t>)</w:t>
      </w:r>
      <w:r>
        <w:rPr>
          <w:szCs w:val="18"/>
          <w:lang w:val="de-CH"/>
        </w:rPr>
        <w:t xml:space="preserve">; </w:t>
      </w:r>
      <w:hyperlink r:id="rId206" w:history="1">
        <w:r w:rsidRPr="00D72411">
          <w:rPr>
            <w:rStyle w:val="Hyperlink"/>
            <w:smallCaps/>
            <w:szCs w:val="18"/>
            <w:lang w:val="de-CH"/>
          </w:rPr>
          <w:t xml:space="preserve">ZHAW, </w:t>
        </w:r>
        <w:r w:rsidRPr="00D72411">
          <w:rPr>
            <w:rStyle w:val="Hyperlink"/>
            <w:szCs w:val="18"/>
            <w:lang w:val="de-CH"/>
          </w:rPr>
          <w:t>Handlungsbedarf aufgrund der UNO-Behindertenrechtskonvention im Kanton Zürich, juillet 2018</w:t>
        </w:r>
      </w:hyperlink>
      <w:r w:rsidRPr="00D72411">
        <w:rPr>
          <w:szCs w:val="18"/>
          <w:lang w:val="de-CH"/>
        </w:rPr>
        <w:t xml:space="preserve">, p. 72 (en </w:t>
      </w:r>
      <w:r w:rsidRPr="00B644F9">
        <w:rPr>
          <w:szCs w:val="18"/>
          <w:lang w:val="de-CH"/>
        </w:rPr>
        <w:t>allemand</w:t>
      </w:r>
      <w:r>
        <w:rPr>
          <w:szCs w:val="18"/>
          <w:lang w:val="de-CH"/>
        </w:rPr>
        <w:t>).</w:t>
      </w:r>
    </w:p>
  </w:footnote>
  <w:footnote w:id="266">
    <w:p w14:paraId="12F5AE77" w14:textId="4E2CCFA8" w:rsidR="00E77057" w:rsidRPr="000A7A5C" w:rsidRDefault="00E77057" w:rsidP="001527A4">
      <w:pPr>
        <w:pStyle w:val="Fussnote"/>
        <w:rPr>
          <w:szCs w:val="18"/>
        </w:rPr>
      </w:pPr>
      <w:r w:rsidRPr="000A7A5C">
        <w:rPr>
          <w:rStyle w:val="FootnoteReference"/>
          <w:szCs w:val="18"/>
        </w:rPr>
        <w:footnoteRef/>
      </w:r>
      <w:r w:rsidRPr="000A7A5C">
        <w:rPr>
          <w:szCs w:val="18"/>
        </w:rPr>
        <w:t xml:space="preserve"> </w:t>
      </w:r>
      <w:hyperlink r:id="rId207" w:history="1">
        <w:r w:rsidRPr="00D630E0">
          <w:rPr>
            <w:rStyle w:val="Hyperlink"/>
            <w:szCs w:val="18"/>
          </w:rPr>
          <w:t>INSOS, Rapport annuel 2020</w:t>
        </w:r>
      </w:hyperlink>
      <w:r w:rsidRPr="000A7A5C">
        <w:rPr>
          <w:szCs w:val="18"/>
        </w:rPr>
        <w:t>, p. 5.</w:t>
      </w:r>
    </w:p>
  </w:footnote>
  <w:footnote w:id="267">
    <w:p w14:paraId="25E72834" w14:textId="13D06F53" w:rsidR="00E77057" w:rsidRPr="000A7A5C" w:rsidRDefault="00E77057" w:rsidP="001527A4">
      <w:pPr>
        <w:pStyle w:val="Fussnote"/>
        <w:rPr>
          <w:szCs w:val="18"/>
        </w:rPr>
      </w:pPr>
      <w:r w:rsidRPr="000A7A5C">
        <w:rPr>
          <w:rStyle w:val="FootnoteReference"/>
          <w:szCs w:val="18"/>
        </w:rPr>
        <w:footnoteRef/>
      </w:r>
      <w:r w:rsidRPr="000A7A5C">
        <w:rPr>
          <w:szCs w:val="18"/>
        </w:rPr>
        <w:t xml:space="preserve"> Cf. notamment</w:t>
      </w:r>
      <w:r w:rsidRPr="000A7A5C">
        <w:t xml:space="preserve"> </w:t>
      </w:r>
      <w:hyperlink r:id="rId208" w:history="1">
        <w:r w:rsidRPr="000A7A5C">
          <w:rPr>
            <w:rStyle w:val="Hyperlink"/>
            <w:szCs w:val="18"/>
          </w:rPr>
          <w:t>https://www.compasso.ch/fr/</w:t>
        </w:r>
      </w:hyperlink>
      <w:r w:rsidRPr="00B6426A">
        <w:rPr>
          <w:rStyle w:val="Hyperlink"/>
          <w:szCs w:val="18"/>
          <w:u w:val="none"/>
        </w:rPr>
        <w:t>.</w:t>
      </w:r>
    </w:p>
  </w:footnote>
  <w:footnote w:id="268">
    <w:p w14:paraId="2FFE1A39" w14:textId="51A7CBC3" w:rsidR="00E77057" w:rsidRPr="000A7A5C" w:rsidRDefault="00E77057" w:rsidP="001527A4">
      <w:pPr>
        <w:pStyle w:val="Fussnote"/>
        <w:rPr>
          <w:szCs w:val="18"/>
        </w:rPr>
      </w:pPr>
      <w:r w:rsidRPr="000A7A5C">
        <w:rPr>
          <w:rStyle w:val="FootnoteReference"/>
          <w:szCs w:val="18"/>
        </w:rPr>
        <w:footnoteRef/>
      </w:r>
      <w:r w:rsidRPr="000A7A5C">
        <w:rPr>
          <w:szCs w:val="18"/>
        </w:rPr>
        <w:t xml:space="preserve"> </w:t>
      </w:r>
      <w:hyperlink r:id="rId209" w:history="1">
        <w:r w:rsidRPr="000A7A5C">
          <w:rPr>
            <w:rStyle w:val="Hyperlink"/>
            <w:smallCaps/>
            <w:szCs w:val="18"/>
          </w:rPr>
          <w:t>Regina Knöpfel</w:t>
        </w:r>
        <w:r w:rsidRPr="000A7A5C">
          <w:rPr>
            <w:rStyle w:val="Hyperlink"/>
            <w:szCs w:val="18"/>
          </w:rPr>
          <w:t>, Pour une entrée réussie dans le monde du travail des jeunes en situation de handicap: État des lieux, approches et mesures en faveur de l’insertion professionnelle initiale</w:t>
        </w:r>
        <w:r>
          <w:rPr>
            <w:rStyle w:val="Hyperlink"/>
            <w:szCs w:val="18"/>
          </w:rPr>
          <w:t xml:space="preserve"> </w:t>
        </w:r>
        <w:r w:rsidRPr="000A7A5C">
          <w:rPr>
            <w:rStyle w:val="Hyperlink"/>
            <w:szCs w:val="18"/>
          </w:rPr>
          <w:t>des jeunes et des jeunes adultes atteints dans leur santé, 2018</w:t>
        </w:r>
      </w:hyperlink>
      <w:r w:rsidRPr="000A7A5C">
        <w:rPr>
          <w:szCs w:val="18"/>
        </w:rPr>
        <w:t xml:space="preserve">, p. 52 (en allemand) ; </w:t>
      </w:r>
      <w:hyperlink r:id="rId210" w:history="1">
        <w:r w:rsidRPr="001A48C9">
          <w:rPr>
            <w:rStyle w:val="Hyperlink"/>
            <w:szCs w:val="18"/>
          </w:rPr>
          <w:t>Résumé en français</w:t>
        </w:r>
      </w:hyperlink>
      <w:r>
        <w:rPr>
          <w:szCs w:val="18"/>
        </w:rPr>
        <w:t>.</w:t>
      </w:r>
    </w:p>
  </w:footnote>
  <w:footnote w:id="269">
    <w:p w14:paraId="4240D38D" w14:textId="02A07782" w:rsidR="00E77057" w:rsidRPr="00197F0B" w:rsidRDefault="00E77057" w:rsidP="001527A4">
      <w:pPr>
        <w:pStyle w:val="Fussnote"/>
        <w:rPr>
          <w:szCs w:val="18"/>
        </w:rPr>
      </w:pPr>
      <w:r w:rsidRPr="000A7A5C">
        <w:rPr>
          <w:rStyle w:val="FootnoteReference"/>
          <w:szCs w:val="18"/>
        </w:rPr>
        <w:footnoteRef/>
      </w:r>
      <w:r w:rsidRPr="00292695">
        <w:rPr>
          <w:szCs w:val="18"/>
        </w:rPr>
        <w:t xml:space="preserve"> Il a même été </w:t>
      </w:r>
      <w:r>
        <w:rPr>
          <w:szCs w:val="18"/>
        </w:rPr>
        <w:t>diminué</w:t>
      </w:r>
      <w:r w:rsidRPr="00292695">
        <w:rPr>
          <w:szCs w:val="18"/>
        </w:rPr>
        <w:t xml:space="preserve"> </w:t>
      </w:r>
      <w:r>
        <w:rPr>
          <w:szCs w:val="18"/>
        </w:rPr>
        <w:t xml:space="preserve">de </w:t>
      </w:r>
      <w:r w:rsidRPr="00292695">
        <w:rPr>
          <w:szCs w:val="18"/>
        </w:rPr>
        <w:t xml:space="preserve">1.4% à 1.3%. </w:t>
      </w:r>
      <w:r w:rsidRPr="00197F0B">
        <w:rPr>
          <w:szCs w:val="18"/>
        </w:rPr>
        <w:t xml:space="preserve">Cf. </w:t>
      </w:r>
      <w:hyperlink r:id="rId211" w:history="1">
        <w:r w:rsidRPr="00197F0B">
          <w:rPr>
            <w:rStyle w:val="Hyperlink"/>
            <w:szCs w:val="18"/>
          </w:rPr>
          <w:t>CF, Rapport sur l</w:t>
        </w:r>
        <w:r>
          <w:rPr>
            <w:rStyle w:val="Hyperlink"/>
            <w:szCs w:val="18"/>
          </w:rPr>
          <w:t>a gestion du personnel</w:t>
        </w:r>
        <w:r w:rsidRPr="00197F0B">
          <w:rPr>
            <w:rStyle w:val="Hyperlink"/>
            <w:szCs w:val="18"/>
          </w:rPr>
          <w:t xml:space="preserve"> 2020, </w:t>
        </w:r>
        <w:r>
          <w:rPr>
            <w:rStyle w:val="Hyperlink"/>
            <w:szCs w:val="18"/>
          </w:rPr>
          <w:t>mars 20</w:t>
        </w:r>
        <w:r w:rsidRPr="00197F0B">
          <w:rPr>
            <w:rStyle w:val="Hyperlink"/>
            <w:szCs w:val="18"/>
          </w:rPr>
          <w:t>21</w:t>
        </w:r>
      </w:hyperlink>
      <w:r w:rsidRPr="00197F0B">
        <w:rPr>
          <w:szCs w:val="18"/>
        </w:rPr>
        <w:t>,</w:t>
      </w:r>
      <w:r w:rsidRPr="00C27DA4">
        <w:t xml:space="preserve"> </w:t>
      </w:r>
      <w:r>
        <w:rPr>
          <w:szCs w:val="18"/>
        </w:rPr>
        <w:t>p</w:t>
      </w:r>
      <w:r w:rsidRPr="00197F0B">
        <w:rPr>
          <w:szCs w:val="18"/>
        </w:rPr>
        <w:t xml:space="preserve">. 22 </w:t>
      </w:r>
      <w:r>
        <w:rPr>
          <w:szCs w:val="18"/>
        </w:rPr>
        <w:t>s</w:t>
      </w:r>
      <w:r w:rsidRPr="00197F0B">
        <w:rPr>
          <w:szCs w:val="18"/>
        </w:rPr>
        <w:t>.</w:t>
      </w:r>
    </w:p>
  </w:footnote>
  <w:footnote w:id="270">
    <w:p w14:paraId="4C008FB4" w14:textId="4E4DEF12" w:rsidR="00E77057" w:rsidRPr="000A7A5C" w:rsidRDefault="00E77057" w:rsidP="001527A4">
      <w:pPr>
        <w:pStyle w:val="Fussnote"/>
        <w:rPr>
          <w:szCs w:val="18"/>
        </w:rPr>
      </w:pPr>
      <w:r w:rsidRPr="000A7A5C">
        <w:rPr>
          <w:rStyle w:val="FootnoteReference"/>
          <w:szCs w:val="18"/>
        </w:rPr>
        <w:footnoteRef/>
      </w:r>
      <w:r w:rsidRPr="000A7A5C">
        <w:rPr>
          <w:szCs w:val="18"/>
        </w:rPr>
        <w:t xml:space="preserve"> Programme «Égalité et travail», ch. 4.2.1 </w:t>
      </w:r>
      <w:r w:rsidRPr="001A48C9">
        <w:rPr>
          <w:szCs w:val="18"/>
        </w:rPr>
        <w:t>Rapport Politique en faveur des PH (</w:t>
      </w:r>
      <w:r w:rsidRPr="00141397">
        <w:t xml:space="preserve">N </w:t>
      </w:r>
      <w:r>
        <w:rPr>
          <w:lang w:val="de-CH"/>
        </w:rPr>
        <w:fldChar w:fldCharType="begin"/>
      </w:r>
      <w:r>
        <w:instrText xml:space="preserve"> NOTEREF _Ref95737744 \h </w:instrText>
      </w:r>
      <w:r>
        <w:rPr>
          <w:lang w:val="de-CH"/>
        </w:rPr>
      </w:r>
      <w:r>
        <w:rPr>
          <w:lang w:val="de-CH"/>
        </w:rPr>
        <w:fldChar w:fldCharType="separate"/>
      </w:r>
      <w:r>
        <w:t>3</w:t>
      </w:r>
      <w:r>
        <w:rPr>
          <w:lang w:val="de-CH"/>
        </w:rPr>
        <w:fldChar w:fldCharType="end"/>
      </w:r>
      <w:r>
        <w:rPr>
          <w:szCs w:val="18"/>
        </w:rPr>
        <w:t>)</w:t>
      </w:r>
      <w:r w:rsidRPr="000A7A5C">
        <w:rPr>
          <w:szCs w:val="18"/>
        </w:rPr>
        <w:t xml:space="preserve">, et </w:t>
      </w:r>
      <w:hyperlink r:id="rId212" w:history="1">
        <w:r w:rsidRPr="001A48C9">
          <w:rPr>
            <w:rStyle w:val="Hyperlink"/>
            <w:szCs w:val="18"/>
          </w:rPr>
          <w:t>Pétition session des jeunes 2017</w:t>
        </w:r>
      </w:hyperlink>
      <w:r>
        <w:rPr>
          <w:szCs w:val="18"/>
        </w:rPr>
        <w:t>.</w:t>
      </w:r>
    </w:p>
  </w:footnote>
  <w:footnote w:id="271">
    <w:p w14:paraId="7CD1F5E8" w14:textId="505623F0" w:rsidR="00E77057" w:rsidRPr="00141397" w:rsidRDefault="00E77057" w:rsidP="00141397">
      <w:pPr>
        <w:pStyle w:val="FootnoteText"/>
        <w:rPr>
          <w:vertAlign w:val="baseline"/>
        </w:rPr>
      </w:pPr>
      <w:r>
        <w:rPr>
          <w:rStyle w:val="FootnoteReference"/>
        </w:rPr>
        <w:footnoteRef/>
      </w:r>
      <w:r w:rsidRPr="00141397">
        <w:t xml:space="preserve"> </w:t>
      </w:r>
      <w:r>
        <w:rPr>
          <w:vertAlign w:val="baseline"/>
        </w:rPr>
        <w:t>Rapport Politique en faveur des PH</w:t>
      </w:r>
      <w:r w:rsidRPr="00141397">
        <w:rPr>
          <w:vertAlign w:val="baseline"/>
        </w:rPr>
        <w:t xml:space="preserve"> (N </w:t>
      </w:r>
      <w:r>
        <w:rPr>
          <w:vertAlign w:val="baseline"/>
          <w:lang w:val="de-CH"/>
        </w:rPr>
        <w:fldChar w:fldCharType="begin"/>
      </w:r>
      <w:r>
        <w:rPr>
          <w:vertAlign w:val="baseline"/>
        </w:rPr>
        <w:instrText xml:space="preserve"> NOTEREF _Ref95737744 \h </w:instrText>
      </w:r>
      <w:r>
        <w:rPr>
          <w:vertAlign w:val="baseline"/>
          <w:lang w:val="de-CH"/>
        </w:rPr>
      </w:r>
      <w:r>
        <w:rPr>
          <w:vertAlign w:val="baseline"/>
          <w:lang w:val="de-CH"/>
        </w:rPr>
        <w:fldChar w:fldCharType="separate"/>
      </w:r>
      <w:r>
        <w:rPr>
          <w:vertAlign w:val="baseline"/>
        </w:rPr>
        <w:t>3</w:t>
      </w:r>
      <w:r>
        <w:rPr>
          <w:vertAlign w:val="baseline"/>
          <w:lang w:val="de-CH"/>
        </w:rPr>
        <w:fldChar w:fldCharType="end"/>
      </w:r>
      <w:r w:rsidRPr="00141397">
        <w:rPr>
          <w:vertAlign w:val="baseline"/>
        </w:rPr>
        <w:t xml:space="preserve">), </w:t>
      </w:r>
      <w:r>
        <w:rPr>
          <w:vertAlign w:val="baseline"/>
        </w:rPr>
        <w:t>p</w:t>
      </w:r>
      <w:r w:rsidRPr="00141397">
        <w:rPr>
          <w:vertAlign w:val="baseline"/>
        </w:rPr>
        <w:t>. 48.</w:t>
      </w:r>
    </w:p>
  </w:footnote>
  <w:footnote w:id="272">
    <w:p w14:paraId="35350C71" w14:textId="36027FE9" w:rsidR="00E77057" w:rsidRPr="000A7A5C" w:rsidRDefault="00E77057" w:rsidP="001527A4">
      <w:pPr>
        <w:pStyle w:val="Fussnote"/>
      </w:pPr>
      <w:r w:rsidRPr="000A7A5C">
        <w:rPr>
          <w:rStyle w:val="FootnoteReference"/>
          <w:szCs w:val="18"/>
        </w:rPr>
        <w:footnoteRef/>
      </w:r>
      <w:r w:rsidRPr="000A7A5C">
        <w:t xml:space="preserve"> Cf. Évaluation LHand</w:t>
      </w:r>
      <w:r>
        <w:t xml:space="preserve"> (N </w:t>
      </w:r>
      <w:r>
        <w:fldChar w:fldCharType="begin"/>
      </w:r>
      <w:r>
        <w:instrText xml:space="preserve"> NOTEREF _Ref95740315 \h </w:instrText>
      </w:r>
      <w:r>
        <w:fldChar w:fldCharType="separate"/>
      </w:r>
      <w:r>
        <w:t>2</w:t>
      </w:r>
      <w:r>
        <w:fldChar w:fldCharType="end"/>
      </w:r>
      <w:r>
        <w:t xml:space="preserve">), p. 340 ainsi que, à titre d’exemple, le </w:t>
      </w:r>
      <w:hyperlink r:id="rId213" w:history="1">
        <w:r w:rsidRPr="00446C25">
          <w:rPr>
            <w:rStyle w:val="Hyperlink"/>
          </w:rPr>
          <w:t>ra</w:t>
        </w:r>
        <w:r>
          <w:rPr>
            <w:rStyle w:val="Hyperlink"/>
          </w:rPr>
          <w:t xml:space="preserve">pport sur les discriminations de </w:t>
        </w:r>
        <w:r w:rsidRPr="00446C25">
          <w:rPr>
            <w:rStyle w:val="Hyperlink"/>
          </w:rPr>
          <w:t>la FSS</w:t>
        </w:r>
      </w:hyperlink>
      <w:r>
        <w:t xml:space="preserve"> en 2021.</w:t>
      </w:r>
    </w:p>
  </w:footnote>
  <w:footnote w:id="273">
    <w:p w14:paraId="4F2B1CDF" w14:textId="13F9C0D6" w:rsidR="00E77057" w:rsidRPr="000A7A5C" w:rsidRDefault="00E77057" w:rsidP="001527A4">
      <w:pPr>
        <w:pStyle w:val="Fussnote"/>
      </w:pPr>
      <w:r w:rsidRPr="000A7A5C">
        <w:rPr>
          <w:rStyle w:val="FootnoteReference"/>
          <w:szCs w:val="18"/>
        </w:rPr>
        <w:footnoteRef/>
      </w:r>
      <w:r w:rsidRPr="000A7A5C">
        <w:t xml:space="preserve"> </w:t>
      </w:r>
      <w:r>
        <w:t>Cf</w:t>
      </w:r>
      <w:r w:rsidRPr="000A7A5C">
        <w:t xml:space="preserve">. </w:t>
      </w:r>
      <w:hyperlink r:id="rId214" w:history="1">
        <w:r w:rsidRPr="006814EA">
          <w:rPr>
            <w:rStyle w:val="Hyperlink"/>
            <w:szCs w:val="18"/>
          </w:rPr>
          <w:t>OFS, Les personnes handicapées sont moins satisfaites de leur qualité de vie au travail</w:t>
        </w:r>
      </w:hyperlink>
      <w:r>
        <w:rPr>
          <w:szCs w:val="18"/>
        </w:rPr>
        <w:t xml:space="preserve"> </w:t>
      </w:r>
      <w:r w:rsidRPr="003D4266">
        <w:t xml:space="preserve">ainsi </w:t>
      </w:r>
      <w:r w:rsidRPr="006814EA">
        <w:t>que</w:t>
      </w:r>
      <w:r w:rsidRPr="006814EA">
        <w:rPr>
          <w:szCs w:val="18"/>
        </w:rPr>
        <w:t xml:space="preserve"> </w:t>
      </w:r>
      <w:hyperlink r:id="rId215" w:history="1">
        <w:r w:rsidRPr="006814EA">
          <w:rPr>
            <w:rStyle w:val="Hyperlink"/>
            <w:szCs w:val="18"/>
          </w:rPr>
          <w:t>OFS, discriminations et violence au travail des personnes avec et sans handicap</w:t>
        </w:r>
      </w:hyperlink>
      <w:r>
        <w:rPr>
          <w:szCs w:val="18"/>
        </w:rPr>
        <w:t xml:space="preserve">, </w:t>
      </w:r>
      <w:r w:rsidRPr="006814EA">
        <w:rPr>
          <w:szCs w:val="18"/>
        </w:rPr>
        <w:t>2017</w:t>
      </w:r>
      <w:r w:rsidRPr="006814EA">
        <w:rPr>
          <w:rStyle w:val="Hyperlink"/>
          <w:szCs w:val="18"/>
          <w:u w:val="none"/>
        </w:rPr>
        <w:t>.</w:t>
      </w:r>
    </w:p>
  </w:footnote>
  <w:footnote w:id="274">
    <w:p w14:paraId="43FF7E57" w14:textId="6F678CDC" w:rsidR="00E77057" w:rsidRPr="00990D77" w:rsidRDefault="00E77057" w:rsidP="001527A4">
      <w:pPr>
        <w:pStyle w:val="Fussnote"/>
      </w:pPr>
      <w:r w:rsidRPr="000A7A5C">
        <w:rPr>
          <w:rStyle w:val="FootnoteReference"/>
          <w:szCs w:val="18"/>
        </w:rPr>
        <w:footnoteRef/>
      </w:r>
      <w:r w:rsidRPr="000A7A5C">
        <w:t xml:space="preserve"> Cf. </w:t>
      </w:r>
      <w:hyperlink r:id="rId216" w:history="1">
        <w:r w:rsidRPr="003607DA">
          <w:rPr>
            <w:rStyle w:val="Hyperlink"/>
            <w:szCs w:val="18"/>
          </w:rPr>
          <w:t>OFS, Conditions de travail des personnes avec et sans handicap, 2014</w:t>
        </w:r>
      </w:hyperlink>
      <w:r w:rsidRPr="000A7A5C">
        <w:t>.</w:t>
      </w:r>
    </w:p>
  </w:footnote>
  <w:footnote w:id="275">
    <w:p w14:paraId="2F02AAFD" w14:textId="1A921543" w:rsidR="00E77057" w:rsidRPr="000A7A5C" w:rsidRDefault="00E77057" w:rsidP="001527A4">
      <w:pPr>
        <w:pStyle w:val="Fussnote"/>
      </w:pPr>
      <w:r w:rsidRPr="000A7A5C">
        <w:rPr>
          <w:rStyle w:val="FootnoteReference"/>
          <w:szCs w:val="18"/>
        </w:rPr>
        <w:footnoteRef/>
      </w:r>
      <w:r w:rsidRPr="000A7A5C">
        <w:t xml:space="preserve"> Art. </w:t>
      </w:r>
      <w:r>
        <w:t>14quater al. 3 et 4</w:t>
      </w:r>
      <w:r w:rsidRPr="000A7A5C">
        <w:t xml:space="preserve"> LAI.</w:t>
      </w:r>
    </w:p>
  </w:footnote>
  <w:footnote w:id="276">
    <w:p w14:paraId="2F90998F" w14:textId="3CF0226A" w:rsidR="00E77057" w:rsidRPr="003563CB" w:rsidRDefault="00E77057">
      <w:pPr>
        <w:pStyle w:val="FootnoteText"/>
        <w:rPr>
          <w:rFonts w:eastAsia="Cambria"/>
          <w:szCs w:val="22"/>
          <w:vertAlign w:val="baseline"/>
        </w:rPr>
      </w:pPr>
      <w:r>
        <w:rPr>
          <w:rStyle w:val="FootnoteReference"/>
        </w:rPr>
        <w:footnoteRef/>
      </w:r>
      <w:r w:rsidRPr="003563CB">
        <w:rPr>
          <w:lang w:val="fr-FR"/>
        </w:rPr>
        <w:t xml:space="preserve"> </w:t>
      </w:r>
      <w:r w:rsidRPr="003563CB">
        <w:rPr>
          <w:rFonts w:eastAsia="Cambria"/>
          <w:szCs w:val="22"/>
          <w:vertAlign w:val="baseline"/>
        </w:rPr>
        <w:t xml:space="preserve">Dans la pratique, une sorte de </w:t>
      </w:r>
      <w:r>
        <w:rPr>
          <w:rFonts w:eastAsia="Cambria"/>
          <w:szCs w:val="22"/>
          <w:vertAlign w:val="baseline"/>
        </w:rPr>
        <w:t>«</w:t>
      </w:r>
      <w:r w:rsidRPr="003563CB">
        <w:rPr>
          <w:rFonts w:eastAsia="Cambria"/>
          <w:szCs w:val="22"/>
          <w:vertAlign w:val="baseline"/>
        </w:rPr>
        <w:t>contrat spécial</w:t>
      </w:r>
      <w:r>
        <w:rPr>
          <w:rFonts w:eastAsia="Cambria"/>
          <w:szCs w:val="22"/>
          <w:vertAlign w:val="baseline"/>
        </w:rPr>
        <w:t>»</w:t>
      </w:r>
      <w:r w:rsidRPr="003563CB">
        <w:rPr>
          <w:rFonts w:eastAsia="Cambria"/>
          <w:szCs w:val="22"/>
          <w:vertAlign w:val="baseline"/>
        </w:rPr>
        <w:t xml:space="preserve"> est régulièrement conclu avec les collaborateurs qui, en raison de leur handicap, doivent </w:t>
      </w:r>
      <w:r>
        <w:rPr>
          <w:rFonts w:eastAsia="Cambria"/>
          <w:szCs w:val="22"/>
          <w:vertAlign w:val="baseline"/>
        </w:rPr>
        <w:t>travailler davantage</w:t>
      </w:r>
      <w:r w:rsidRPr="003563CB">
        <w:rPr>
          <w:rFonts w:eastAsia="Cambria"/>
          <w:szCs w:val="22"/>
          <w:vertAlign w:val="baseline"/>
        </w:rPr>
        <w:t xml:space="preserve"> que les collaborateurs non handicapés pour une prestation donnée. On convient par exemple d</w:t>
      </w:r>
      <w:r>
        <w:rPr>
          <w:rFonts w:eastAsia="Cambria"/>
          <w:szCs w:val="22"/>
          <w:vertAlign w:val="baseline"/>
        </w:rPr>
        <w:t>’</w:t>
      </w:r>
      <w:r w:rsidRPr="003563CB">
        <w:rPr>
          <w:rFonts w:eastAsia="Cambria"/>
          <w:szCs w:val="22"/>
          <w:vertAlign w:val="baseline"/>
        </w:rPr>
        <w:t>un temps de présence de 80%, pendant lequel une prestation de 60% doit être fournie pour un salaire de 60%. Il n</w:t>
      </w:r>
      <w:r>
        <w:rPr>
          <w:rFonts w:eastAsia="Cambria"/>
          <w:szCs w:val="22"/>
          <w:vertAlign w:val="baseline"/>
        </w:rPr>
        <w:t>’</w:t>
      </w:r>
      <w:r w:rsidRPr="003563CB">
        <w:rPr>
          <w:rFonts w:eastAsia="Cambria"/>
          <w:szCs w:val="22"/>
          <w:vertAlign w:val="baseline"/>
        </w:rPr>
        <w:t>existe pas de subvention salariale de l</w:t>
      </w:r>
      <w:r>
        <w:rPr>
          <w:rFonts w:eastAsia="Cambria"/>
          <w:szCs w:val="22"/>
          <w:vertAlign w:val="baseline"/>
        </w:rPr>
        <w:t>’</w:t>
      </w:r>
      <w:r w:rsidRPr="003563CB">
        <w:rPr>
          <w:rFonts w:eastAsia="Cambria"/>
          <w:szCs w:val="22"/>
          <w:vertAlign w:val="baseline"/>
        </w:rPr>
        <w:t>Etat qui compense les 20% de perte de salaire, et une éventuelle rente AI ne couvre que partiellement la perte de salaire.</w:t>
      </w:r>
    </w:p>
  </w:footnote>
  <w:footnote w:id="277">
    <w:p w14:paraId="2E399DAD" w14:textId="11F2E20B" w:rsidR="00E77057" w:rsidRPr="00134FFB" w:rsidRDefault="00E77057" w:rsidP="001527A4">
      <w:pPr>
        <w:pStyle w:val="Fussnote"/>
        <w:rPr>
          <w:lang w:val="fr-FR"/>
        </w:rPr>
      </w:pPr>
      <w:r w:rsidRPr="000A7A5C">
        <w:rPr>
          <w:rStyle w:val="FootnoteReference"/>
          <w:szCs w:val="18"/>
        </w:rPr>
        <w:footnoteRef/>
      </w:r>
      <w:r w:rsidRPr="00B644F9">
        <w:rPr>
          <w:lang w:val="fr-FR"/>
        </w:rPr>
        <w:t xml:space="preserve"> </w:t>
      </w:r>
      <w:r>
        <w:rPr>
          <w:szCs w:val="18"/>
          <w:lang w:val="fr-FR"/>
        </w:rPr>
        <w:t>Cf.</w:t>
      </w:r>
      <w:r w:rsidRPr="00B644F9">
        <w:rPr>
          <w:szCs w:val="18"/>
          <w:lang w:val="fr-FR"/>
        </w:rPr>
        <w:t xml:space="preserve"> </w:t>
      </w:r>
      <w:hyperlink r:id="rId217" w:history="1">
        <w:r w:rsidRPr="00134FFB">
          <w:rPr>
            <w:rStyle w:val="Hyperlink"/>
            <w:szCs w:val="18"/>
            <w:lang w:val="fr-FR"/>
          </w:rPr>
          <w:t>OFS, Participation au marché du travail des personnes avec et sans handicap</w:t>
        </w:r>
      </w:hyperlink>
      <w:r w:rsidRPr="00134FFB">
        <w:rPr>
          <w:szCs w:val="18"/>
          <w:lang w:val="fr-FR"/>
        </w:rPr>
        <w:t xml:space="preserve">, </w:t>
      </w:r>
      <w:r w:rsidRPr="00B74E6C">
        <w:rPr>
          <w:szCs w:val="18"/>
          <w:lang w:val="fr-FR"/>
        </w:rPr>
        <w:t>2019: 68%/ 78%/ 83%.</w:t>
      </w:r>
    </w:p>
  </w:footnote>
  <w:footnote w:id="278">
    <w:p w14:paraId="7362C498" w14:textId="3219E1EC" w:rsidR="00E77057" w:rsidRPr="000A7A5C" w:rsidRDefault="00E77057" w:rsidP="001527A4">
      <w:pPr>
        <w:pStyle w:val="Fussnote"/>
      </w:pPr>
      <w:r w:rsidRPr="000A7A5C">
        <w:rPr>
          <w:rStyle w:val="FootnoteReference"/>
          <w:rFonts w:eastAsia="MS Gothic"/>
          <w:szCs w:val="18"/>
        </w:rPr>
        <w:footnoteRef/>
      </w:r>
      <w:r w:rsidRPr="000A7A5C">
        <w:t xml:space="preserve"> </w:t>
      </w:r>
      <w:r w:rsidRPr="00B74E6C">
        <w:t>Ibid. En 2019, 37% des femmes</w:t>
      </w:r>
      <w:r>
        <w:t xml:space="preserve"> handicapées</w:t>
      </w:r>
      <w:r w:rsidRPr="00B74E6C">
        <w:t xml:space="preserve"> contre 71% des hommes handicapés et 46% des femmes non handicapées avaient un emploi à temps plein.</w:t>
      </w:r>
    </w:p>
  </w:footnote>
  <w:footnote w:id="279">
    <w:p w14:paraId="2F1CF7C0" w14:textId="7C635463" w:rsidR="00E77057" w:rsidRPr="007F225D" w:rsidRDefault="00E77057" w:rsidP="001527A4">
      <w:pPr>
        <w:pStyle w:val="Fussnote"/>
        <w:rPr>
          <w:highlight w:val="yellow"/>
          <w:lang w:val="fr-FR"/>
        </w:rPr>
      </w:pPr>
      <w:r w:rsidRPr="000A7A5C">
        <w:rPr>
          <w:rStyle w:val="FootnoteReference"/>
          <w:szCs w:val="18"/>
        </w:rPr>
        <w:footnoteRef/>
      </w:r>
      <w:r w:rsidRPr="00615A40">
        <w:rPr>
          <w:lang w:val="fr-FR"/>
        </w:rPr>
        <w:t xml:space="preserve"> </w:t>
      </w:r>
      <w:hyperlink r:id="rId218" w:history="1">
        <w:r w:rsidRPr="00615A40">
          <w:rPr>
            <w:rStyle w:val="Hyperlink"/>
            <w:lang w:val="fr-FR"/>
          </w:rPr>
          <w:t>OFS, Conditions de travail des personnes avec et sans handicap</w:t>
        </w:r>
      </w:hyperlink>
      <w:r>
        <w:rPr>
          <w:lang w:val="fr-FR"/>
        </w:rPr>
        <w:t>, 2014</w:t>
      </w:r>
      <w:r w:rsidRPr="00615A40">
        <w:rPr>
          <w:lang w:val="fr-FR"/>
        </w:rPr>
        <w:t>.</w:t>
      </w:r>
    </w:p>
  </w:footnote>
  <w:footnote w:id="280">
    <w:p w14:paraId="05595666" w14:textId="20D68A74" w:rsidR="00E77057" w:rsidRPr="00AB405E" w:rsidRDefault="00E77057" w:rsidP="001527A4">
      <w:pPr>
        <w:pStyle w:val="Fussnote"/>
      </w:pPr>
      <w:r w:rsidRPr="005A0838">
        <w:rPr>
          <w:rStyle w:val="FootnoteReference"/>
          <w:szCs w:val="18"/>
        </w:rPr>
        <w:footnoteRef/>
      </w:r>
      <w:r w:rsidRPr="005A0838">
        <w:rPr>
          <w:lang w:val="fr-FR"/>
        </w:rPr>
        <w:t xml:space="preserve"> </w:t>
      </w:r>
      <w:hyperlink r:id="rId219" w:history="1">
        <w:r w:rsidRPr="005A0838">
          <w:rPr>
            <w:rStyle w:val="Hyperlink"/>
            <w:lang w:val="fr-FR"/>
          </w:rPr>
          <w:t>OFS, Discrimination et violence au travail des personnes avec et sans handicap</w:t>
        </w:r>
      </w:hyperlink>
      <w:r>
        <w:rPr>
          <w:lang w:val="fr-FR"/>
        </w:rPr>
        <w:t>, 2017.</w:t>
      </w:r>
    </w:p>
  </w:footnote>
  <w:footnote w:id="281">
    <w:p w14:paraId="4F542BC5" w14:textId="111C7C33" w:rsidR="00E77057" w:rsidRPr="00990D77" w:rsidRDefault="00E77057" w:rsidP="001527A4">
      <w:pPr>
        <w:pStyle w:val="Fussnote"/>
      </w:pPr>
      <w:r w:rsidRPr="000A7A5C">
        <w:rPr>
          <w:rStyle w:val="FootnoteReference"/>
          <w:szCs w:val="18"/>
        </w:rPr>
        <w:footnoteRef/>
      </w:r>
      <w:r w:rsidRPr="00990D77">
        <w:t xml:space="preserve"> </w:t>
      </w:r>
      <w:r w:rsidRPr="00AF1598">
        <w:t xml:space="preserve">BFEH, Dossier thématique femmes handicapées (N </w:t>
      </w:r>
      <w:r w:rsidRPr="00AF1598">
        <w:fldChar w:fldCharType="begin"/>
      </w:r>
      <w:r w:rsidRPr="00AF1598">
        <w:instrText xml:space="preserve"> NOTEREF _Ref95742497 \h </w:instrText>
      </w:r>
      <w:r>
        <w:instrText xml:space="preserve"> \* MERGEFORMAT </w:instrText>
      </w:r>
      <w:r w:rsidRPr="00AF1598">
        <w:fldChar w:fldCharType="separate"/>
      </w:r>
      <w:r>
        <w:t>133</w:t>
      </w:r>
      <w:r w:rsidRPr="00AF1598">
        <w:fldChar w:fldCharType="end"/>
      </w:r>
      <w:r>
        <w:t>)</w:t>
      </w:r>
      <w:r w:rsidRPr="00AF1598">
        <w:t>, p. 17.</w:t>
      </w:r>
    </w:p>
  </w:footnote>
  <w:footnote w:id="282">
    <w:p w14:paraId="6B1FFE8E" w14:textId="518EBC44" w:rsidR="00E77057" w:rsidRPr="00AB405E" w:rsidRDefault="00E77057" w:rsidP="001527A4">
      <w:pPr>
        <w:pStyle w:val="Fussnote"/>
      </w:pPr>
      <w:r w:rsidRPr="000A7A5C">
        <w:rPr>
          <w:rStyle w:val="FootnoteReference"/>
          <w:szCs w:val="18"/>
        </w:rPr>
        <w:footnoteRef/>
      </w:r>
      <w:r w:rsidRPr="00AB405E">
        <w:t xml:space="preserve"> </w:t>
      </w:r>
      <w:hyperlink r:id="rId220" w:history="1">
        <w:r w:rsidRPr="00480CCA">
          <w:rPr>
            <w:rStyle w:val="Hyperlink"/>
            <w:smallCaps/>
          </w:rPr>
          <w:t>OFS</w:t>
        </w:r>
        <w:r w:rsidRPr="00480CCA">
          <w:rPr>
            <w:rStyle w:val="Hyperlink"/>
          </w:rPr>
          <w:t>,</w:t>
        </w:r>
        <w:r w:rsidRPr="00480CCA">
          <w:rPr>
            <w:rStyle w:val="Hyperlink"/>
            <w:rFonts w:ascii="Helvetica" w:hAnsi="Helvetica" w:cs="Helvetica"/>
            <w:kern w:val="36"/>
          </w:rPr>
          <w:t xml:space="preserve"> Nombre estimé des personnes handicapées, par âge et sexe</w:t>
        </w:r>
      </w:hyperlink>
      <w:r>
        <w:rPr>
          <w:smallCaps/>
        </w:rPr>
        <w:t>, 2019.</w:t>
      </w:r>
    </w:p>
  </w:footnote>
  <w:footnote w:id="283">
    <w:p w14:paraId="45756D32" w14:textId="6C6E9EED" w:rsidR="00E77057" w:rsidRPr="00480CCA" w:rsidRDefault="00E77057" w:rsidP="001527A4">
      <w:pPr>
        <w:pStyle w:val="Fussnote"/>
      </w:pPr>
      <w:r w:rsidRPr="000A7A5C">
        <w:rPr>
          <w:rStyle w:val="FootnoteReference"/>
          <w:szCs w:val="18"/>
        </w:rPr>
        <w:footnoteRef/>
      </w:r>
      <w:r w:rsidRPr="00990D77">
        <w:t xml:space="preserve"> Cf. </w:t>
      </w:r>
      <w:r w:rsidRPr="00480CCA">
        <w:t xml:space="preserve">BFEH, Dossier thématique femmes handicapées (N </w:t>
      </w:r>
      <w:r w:rsidRPr="00480CCA">
        <w:fldChar w:fldCharType="begin"/>
      </w:r>
      <w:r w:rsidRPr="00480CCA">
        <w:instrText xml:space="preserve"> NOTEREF _Ref95742497 \h  \* MERGEFORMAT </w:instrText>
      </w:r>
      <w:r w:rsidRPr="00480CCA">
        <w:fldChar w:fldCharType="separate"/>
      </w:r>
      <w:r>
        <w:t>133</w:t>
      </w:r>
      <w:r w:rsidRPr="00480CCA">
        <w:fldChar w:fldCharType="end"/>
      </w:r>
      <w:r w:rsidRPr="00480CCA">
        <w:t>), p. 17.</w:t>
      </w:r>
    </w:p>
  </w:footnote>
  <w:footnote w:id="284">
    <w:p w14:paraId="44EAE850" w14:textId="5CEABAF9" w:rsidR="00E77057" w:rsidRPr="00B74E6C" w:rsidRDefault="00E77057" w:rsidP="001527A4">
      <w:pPr>
        <w:pStyle w:val="Fussnote"/>
        <w:rPr>
          <w:lang w:val="fr-FR"/>
        </w:rPr>
      </w:pPr>
      <w:r w:rsidRPr="00480CCA">
        <w:rPr>
          <w:rStyle w:val="FootnoteReference"/>
          <w:szCs w:val="18"/>
        </w:rPr>
        <w:footnoteRef/>
      </w:r>
      <w:r w:rsidRPr="00480CCA">
        <w:t xml:space="preserve"> Pour la formation professionnelle, par exemple, la différence est de 170 millions</w:t>
      </w:r>
      <w:r w:rsidRPr="00B74E6C">
        <w:t xml:space="preserve"> de CHF par an (223 vs 390 millions); voir OFAS, Statistique de l</w:t>
      </w:r>
      <w:r>
        <w:t>’</w:t>
      </w:r>
      <w:r w:rsidRPr="00B74E6C">
        <w:t>AI 2018, T3.2.5, Mesures de réadaptation et mesures d</w:t>
      </w:r>
      <w:r>
        <w:t>’</w:t>
      </w:r>
      <w:r w:rsidRPr="00B74E6C">
        <w:t>instruction AI en 2018, Montant de prestations par genre (non disponible en ligne).</w:t>
      </w:r>
    </w:p>
  </w:footnote>
  <w:footnote w:id="285">
    <w:p w14:paraId="02DF140A" w14:textId="2446FF5A" w:rsidR="00E77057" w:rsidRPr="000A7A5C" w:rsidRDefault="00E77057" w:rsidP="001527A4">
      <w:pPr>
        <w:pStyle w:val="Fussnote"/>
      </w:pPr>
      <w:r w:rsidRPr="000A7A5C">
        <w:rPr>
          <w:rStyle w:val="FootnoteReference"/>
          <w:rFonts w:eastAsia="MS Gothic"/>
          <w:szCs w:val="18"/>
        </w:rPr>
        <w:footnoteRef/>
      </w:r>
      <w:r w:rsidRPr="000A7A5C">
        <w:rPr>
          <w:smallCaps/>
        </w:rPr>
        <w:t xml:space="preserve"> </w:t>
      </w:r>
      <w:hyperlink r:id="rId221" w:history="1">
        <w:r w:rsidRPr="00FC43C6">
          <w:rPr>
            <w:rStyle w:val="Hyperlink"/>
            <w:smallCaps/>
            <w:szCs w:val="18"/>
          </w:rPr>
          <w:t>BFEG</w:t>
        </w:r>
        <w:r w:rsidRPr="00FC43C6">
          <w:rPr>
            <w:rStyle w:val="Hyperlink"/>
            <w:szCs w:val="18"/>
          </w:rPr>
          <w:t>, Égalité entre femmes et hommes: plan d’action de la Suisse, 1999</w:t>
        </w:r>
      </w:hyperlink>
      <w:r w:rsidRPr="000A7A5C">
        <w:t>, mesures 33, 42 et 44.</w:t>
      </w:r>
    </w:p>
  </w:footnote>
  <w:footnote w:id="286">
    <w:p w14:paraId="43108858" w14:textId="4D0A5B42" w:rsidR="00E77057" w:rsidRPr="008C5B2B" w:rsidRDefault="00E77057" w:rsidP="001527A4">
      <w:pPr>
        <w:pStyle w:val="Fussnote"/>
        <w:rPr>
          <w:lang w:val="de-CH"/>
        </w:rPr>
      </w:pPr>
      <w:r w:rsidRPr="000A7A5C">
        <w:rPr>
          <w:rStyle w:val="FootnoteReference"/>
          <w:szCs w:val="18"/>
        </w:rPr>
        <w:footnoteRef/>
      </w:r>
      <w:r w:rsidRPr="008C5B2B">
        <w:rPr>
          <w:lang w:val="de-CH"/>
        </w:rPr>
        <w:t xml:space="preserve"> </w:t>
      </w:r>
      <w:hyperlink r:id="rId222" w:history="1">
        <w:r w:rsidRPr="008C5B2B">
          <w:rPr>
            <w:rStyle w:val="Hyperlink"/>
            <w:szCs w:val="18"/>
            <w:lang w:val="de-CH"/>
          </w:rPr>
          <w:t>avanti donne, Bildung ohne Barrieren</w:t>
        </w:r>
      </w:hyperlink>
      <w:r>
        <w:rPr>
          <w:lang w:val="de-CH"/>
        </w:rPr>
        <w:t xml:space="preserve"> </w:t>
      </w:r>
      <w:r w:rsidRPr="008C5B2B">
        <w:rPr>
          <w:lang w:val="de-CH"/>
        </w:rPr>
        <w:t xml:space="preserve">(en </w:t>
      </w:r>
      <w:r w:rsidRPr="00B644F9">
        <w:rPr>
          <w:lang w:val="de-CH"/>
        </w:rPr>
        <w:t>allemand</w:t>
      </w:r>
      <w:r w:rsidRPr="008C5B2B">
        <w:rPr>
          <w:lang w:val="de-CH"/>
        </w:rPr>
        <w:t>)</w:t>
      </w:r>
      <w:r>
        <w:rPr>
          <w:lang w:val="de-CH"/>
        </w:rPr>
        <w:t>.</w:t>
      </w:r>
    </w:p>
  </w:footnote>
  <w:footnote w:id="287">
    <w:p w14:paraId="3D94C4E8" w14:textId="70534672" w:rsidR="00E77057" w:rsidRPr="000A7A5C" w:rsidRDefault="00E77057" w:rsidP="001527A4">
      <w:pPr>
        <w:pStyle w:val="Fussnote"/>
      </w:pPr>
      <w:r w:rsidRPr="000A7A5C">
        <w:rPr>
          <w:rStyle w:val="FootnoteReference"/>
        </w:rPr>
        <w:footnoteRef/>
      </w:r>
      <w:r w:rsidRPr="000A7A5C">
        <w:t xml:space="preserve"> Dans le cadre des prestations complémentaires de l’AVS et de l’AI, il incombe aujourd’hui aux cantons de fixer le montant des dépenses personnelles accordées aux résid</w:t>
      </w:r>
      <w:r>
        <w:t>a</w:t>
      </w:r>
      <w:r w:rsidRPr="000A7A5C">
        <w:t>ntes et résid</w:t>
      </w:r>
      <w:r>
        <w:t>a</w:t>
      </w:r>
      <w:r w:rsidRPr="000A7A5C">
        <w:t>nts des homes. Ils ont opté pour des r</w:t>
      </w:r>
      <w:r>
        <w:t>è</w:t>
      </w:r>
      <w:r w:rsidRPr="000A7A5C">
        <w:t xml:space="preserve">glements extrêmement divergents. Les montants mensuels pour les dépenses personnelles varient entre </w:t>
      </w:r>
      <w:r>
        <w:t>CHF</w:t>
      </w:r>
      <w:r w:rsidRPr="000A7A5C">
        <w:t xml:space="preserve"> 190.- (= </w:t>
      </w:r>
      <w:r>
        <w:t>CHF</w:t>
      </w:r>
      <w:r w:rsidRPr="000A7A5C">
        <w:t xml:space="preserve"> 6.25 francs par jour) et </w:t>
      </w:r>
      <w:r>
        <w:t>CHF</w:t>
      </w:r>
      <w:r w:rsidRPr="000A7A5C">
        <w:t xml:space="preserve"> 536.- (= </w:t>
      </w:r>
      <w:r>
        <w:t>CH</w:t>
      </w:r>
      <w:r w:rsidRPr="000A7A5C">
        <w:t>F 17.60 par jour). Avec cela, il est tout simplement impossible aux résidantes et résidants de couvrir leurs besoins élémentaires et de participer à la vie en société de manière satisfaisante.</w:t>
      </w:r>
    </w:p>
  </w:footnote>
  <w:footnote w:id="288">
    <w:p w14:paraId="0F52BE91" w14:textId="77777777" w:rsidR="00E77057" w:rsidRPr="000A7A5C" w:rsidRDefault="00E77057" w:rsidP="001527A4">
      <w:pPr>
        <w:pStyle w:val="Fussnote"/>
      </w:pPr>
      <w:r w:rsidRPr="000A7A5C">
        <w:rPr>
          <w:rStyle w:val="FootnoteReference"/>
        </w:rPr>
        <w:footnoteRef/>
      </w:r>
      <w:r w:rsidRPr="000A7A5C">
        <w:t xml:space="preserve"> Une durée de 3 à 5 ans n’est pas rare. Même lorsqu’une rente leur est ensuite accordée à titre rétroactif, les personnes concernées se voient dans l’intervalle régulièrement obligées de recourir aux prestations de l’aide sociale en s’exposant ainsi aux stigmatisations humiliantes dans leur milieu social.</w:t>
      </w:r>
    </w:p>
  </w:footnote>
  <w:footnote w:id="289">
    <w:p w14:paraId="746582AF" w14:textId="77777777" w:rsidR="00E77057" w:rsidRPr="000A7A5C" w:rsidRDefault="00E77057" w:rsidP="001527A4">
      <w:pPr>
        <w:pStyle w:val="Fussnote"/>
      </w:pPr>
      <w:r w:rsidRPr="000A7A5C">
        <w:rPr>
          <w:rStyle w:val="FootnoteReference"/>
        </w:rPr>
        <w:footnoteRef/>
      </w:r>
      <w:r w:rsidRPr="000A7A5C">
        <w:t xml:space="preserve"> Le seuil de pauvreté est fixé à 60% du revenu équivalent moyen disponible du ménage.</w:t>
      </w:r>
    </w:p>
  </w:footnote>
  <w:footnote w:id="290">
    <w:p w14:paraId="755374BF" w14:textId="3DA4A4FA" w:rsidR="00E77057" w:rsidRPr="00AB405E" w:rsidRDefault="00E77057" w:rsidP="001527A4">
      <w:pPr>
        <w:pStyle w:val="Fussnote"/>
      </w:pPr>
      <w:r w:rsidRPr="000A7A5C">
        <w:rPr>
          <w:rStyle w:val="FootnoteReference"/>
        </w:rPr>
        <w:footnoteRef/>
      </w:r>
      <w:r w:rsidRPr="000A7A5C">
        <w:t xml:space="preserve"> De 2013 à 2015, le risque de pauvreté des PH en Suisse était entre 3.6% et 5.4% supérieur à celui des </w:t>
      </w:r>
      <w:r>
        <w:t>PnH</w:t>
      </w:r>
      <w:r w:rsidRPr="000A7A5C">
        <w:t xml:space="preserve">; celui des «PH ayant d’importantes limitations» était même de 11.4% et 14.5% supérieur à celui des </w:t>
      </w:r>
      <w:r>
        <w:t>PnH</w:t>
      </w:r>
      <w:r w:rsidRPr="000A7A5C">
        <w:t xml:space="preserve">, donc plus de deux fois supérieur. </w:t>
      </w:r>
      <w:hyperlink r:id="rId223" w:history="1">
        <w:r w:rsidRPr="00E53A8B">
          <w:rPr>
            <w:rStyle w:val="Hyperlink"/>
          </w:rPr>
          <w:t>OFS, Standards de vie des personnes avec ou sans handicap, 2017</w:t>
        </w:r>
      </w:hyperlink>
      <w:r w:rsidRPr="00324F97">
        <w:rPr>
          <w:rStyle w:val="Hyperlink"/>
          <w:u w:val="none"/>
        </w:rPr>
        <w:t>.</w:t>
      </w:r>
    </w:p>
  </w:footnote>
  <w:footnote w:id="291">
    <w:p w14:paraId="1DB2C949" w14:textId="70507B77" w:rsidR="00E77057" w:rsidRPr="00B644F9" w:rsidRDefault="00E77057" w:rsidP="001527A4">
      <w:pPr>
        <w:pStyle w:val="Fussnote"/>
        <w:rPr>
          <w:lang w:val="fr-FR"/>
        </w:rPr>
      </w:pPr>
      <w:r w:rsidRPr="000A7A5C">
        <w:rPr>
          <w:rStyle w:val="FootnoteReference"/>
        </w:rPr>
        <w:footnoteRef/>
      </w:r>
      <w:r w:rsidRPr="00B644F9">
        <w:rPr>
          <w:lang w:val="fr-FR"/>
        </w:rPr>
        <w:t xml:space="preserve"> </w:t>
      </w:r>
      <w:hyperlink r:id="rId224" w:history="1">
        <w:r w:rsidRPr="0020177A">
          <w:rPr>
            <w:rStyle w:val="Hyperlink"/>
          </w:rPr>
          <w:t>BR, Prise de position sur l</w:t>
        </w:r>
        <w:r>
          <w:rPr>
            <w:rStyle w:val="Hyperlink"/>
          </w:rPr>
          <w:t>’</w:t>
        </w:r>
        <w:r w:rsidRPr="0020177A">
          <w:rPr>
            <w:rStyle w:val="Hyperlink"/>
          </w:rPr>
          <w:t>interpellation Schenker; A</w:t>
        </w:r>
        <w:r>
          <w:rPr>
            <w:rStyle w:val="Hyperlink"/>
          </w:rPr>
          <w:t>ug</w:t>
        </w:r>
        <w:r w:rsidRPr="0020177A">
          <w:rPr>
            <w:rStyle w:val="Hyperlink"/>
          </w:rPr>
          <w:t xml:space="preserve">mentation alarmante du nombre de personnes handicapées </w:t>
        </w:r>
        <w:r>
          <w:rPr>
            <w:rStyle w:val="Hyperlink"/>
          </w:rPr>
          <w:t xml:space="preserve">touchées </w:t>
        </w:r>
        <w:r w:rsidRPr="0020177A">
          <w:rPr>
            <w:rStyle w:val="Hyperlink"/>
          </w:rPr>
          <w:t>par la pauvreté, 20.11.20217</w:t>
        </w:r>
      </w:hyperlink>
      <w:r w:rsidRPr="0020177A">
        <w:t>.</w:t>
      </w:r>
    </w:p>
  </w:footnote>
  <w:footnote w:id="292">
    <w:p w14:paraId="6EE0BFC5" w14:textId="33E71908" w:rsidR="00E77057" w:rsidRPr="00E53A8B" w:rsidRDefault="00E77057" w:rsidP="001527A4">
      <w:pPr>
        <w:pStyle w:val="Fussnote"/>
        <w:rPr>
          <w:szCs w:val="18"/>
        </w:rPr>
      </w:pPr>
      <w:r w:rsidRPr="000A7A5C">
        <w:rPr>
          <w:rStyle w:val="FootnoteReference"/>
          <w:sz w:val="20"/>
        </w:rPr>
        <w:footnoteRef/>
      </w:r>
      <w:r w:rsidRPr="00AC7E04">
        <w:rPr>
          <w:szCs w:val="18"/>
        </w:rPr>
        <w:t xml:space="preserve"> </w:t>
      </w:r>
      <w:hyperlink r:id="rId225" w:history="1">
        <w:r w:rsidRPr="00AC7E04">
          <w:rPr>
            <w:rStyle w:val="Hyperlink"/>
            <w:szCs w:val="18"/>
          </w:rPr>
          <w:t>OFAS, Plan de réalisation de la Platefor</w:t>
        </w:r>
        <w:r>
          <w:rPr>
            <w:rStyle w:val="Hyperlink"/>
            <w:szCs w:val="18"/>
          </w:rPr>
          <w:t>me nationale contre la pauvreté</w:t>
        </w:r>
        <w:r w:rsidRPr="00AC7E04">
          <w:rPr>
            <w:rStyle w:val="Hyperlink"/>
            <w:szCs w:val="18"/>
          </w:rPr>
          <w:t>: mesures de prévention de la pauvreté 2019-2024</w:t>
        </w:r>
      </w:hyperlink>
      <w:r w:rsidRPr="00AC7E04">
        <w:rPr>
          <w:szCs w:val="18"/>
        </w:rPr>
        <w:t>.</w:t>
      </w:r>
    </w:p>
  </w:footnote>
  <w:footnote w:id="293">
    <w:p w14:paraId="3F29E8FE" w14:textId="02FE1273" w:rsidR="00E77057" w:rsidRPr="000A7A5C" w:rsidRDefault="00E77057" w:rsidP="001527A4">
      <w:pPr>
        <w:pStyle w:val="Fussnote"/>
      </w:pPr>
      <w:r w:rsidRPr="000A7A5C">
        <w:rPr>
          <w:rStyle w:val="FootnoteReference"/>
          <w:szCs w:val="18"/>
        </w:rPr>
        <w:footnoteRef/>
      </w:r>
      <w:r w:rsidRPr="000A7A5C">
        <w:t xml:space="preserve"> </w:t>
      </w:r>
      <w:hyperlink r:id="rId226" w:history="1">
        <w:r w:rsidRPr="00037F72">
          <w:rPr>
            <w:rStyle w:val="Hyperlink"/>
          </w:rPr>
          <w:t>CF, Evaluation du système d’assurance d’indemnités journalières en cas de maladie et propositions de réforme 30.9.2009</w:t>
        </w:r>
      </w:hyperlink>
      <w:r>
        <w:t>, p. 26 ss.</w:t>
      </w:r>
    </w:p>
  </w:footnote>
  <w:footnote w:id="294">
    <w:p w14:paraId="45DC3F00" w14:textId="77777777" w:rsidR="00E77057" w:rsidRPr="008C5B2B" w:rsidRDefault="00E77057" w:rsidP="001527A4">
      <w:pPr>
        <w:pStyle w:val="Fussnote"/>
        <w:rPr>
          <w:lang w:val="fr-FR"/>
        </w:rPr>
      </w:pPr>
      <w:r w:rsidRPr="000A7A5C">
        <w:rPr>
          <w:rStyle w:val="FootnoteReference"/>
        </w:rPr>
        <w:footnoteRef/>
      </w:r>
      <w:r w:rsidRPr="008C5B2B">
        <w:rPr>
          <w:lang w:val="fr-FR"/>
        </w:rPr>
        <w:t xml:space="preserve"> Art. 7 LPP et art. 4 OPP 2.</w:t>
      </w:r>
    </w:p>
  </w:footnote>
  <w:footnote w:id="295">
    <w:p w14:paraId="2D69BDF7" w14:textId="77777777" w:rsidR="00E77057" w:rsidRPr="000A7A5C" w:rsidRDefault="00E77057" w:rsidP="001527A4">
      <w:pPr>
        <w:pStyle w:val="Fussnote"/>
      </w:pPr>
      <w:r w:rsidRPr="000A7A5C">
        <w:rPr>
          <w:rStyle w:val="FootnoteReference"/>
        </w:rPr>
        <w:footnoteRef/>
      </w:r>
      <w:r w:rsidRPr="000A7A5C">
        <w:t xml:space="preserve"> Art. 36 al. 1 LAI.</w:t>
      </w:r>
    </w:p>
  </w:footnote>
  <w:footnote w:id="296">
    <w:p w14:paraId="4CA973D6" w14:textId="77777777" w:rsidR="00E77057" w:rsidRPr="000A7A5C" w:rsidRDefault="00E77057" w:rsidP="001527A4">
      <w:pPr>
        <w:pStyle w:val="Fussnote"/>
      </w:pPr>
      <w:r w:rsidRPr="000A7A5C">
        <w:rPr>
          <w:rStyle w:val="FootnoteReference"/>
        </w:rPr>
        <w:footnoteRef/>
      </w:r>
      <w:r w:rsidRPr="000A7A5C">
        <w:t xml:space="preserve"> Art. 6 Règlement (CE) n° 883/2004.</w:t>
      </w:r>
    </w:p>
  </w:footnote>
  <w:footnote w:id="297">
    <w:p w14:paraId="006C50B9" w14:textId="1031F4F4" w:rsidR="00E77057" w:rsidRPr="000A7A5C" w:rsidRDefault="00E77057" w:rsidP="001527A4">
      <w:pPr>
        <w:pStyle w:val="Fussnote"/>
      </w:pPr>
      <w:r w:rsidRPr="000A7A5C">
        <w:rPr>
          <w:rStyle w:val="FootnoteReference"/>
        </w:rPr>
        <w:footnoteRef/>
      </w:r>
      <w:r w:rsidRPr="000A7A5C">
        <w:t xml:space="preserve"> </w:t>
      </w:r>
      <w:r w:rsidRPr="000A7A5C">
        <w:rPr>
          <w:smallCaps/>
        </w:rPr>
        <w:t>Christa Tobler</w:t>
      </w:r>
      <w:r w:rsidRPr="000A7A5C">
        <w:t xml:space="preserve">, Égalité et droits politiques: </w:t>
      </w:r>
      <w:r w:rsidRPr="00B75751">
        <w:t>vers une démocratie intégrative</w:t>
      </w:r>
      <w:r w:rsidRPr="000A7A5C">
        <w:t>, Congrès de la société suisse de juristes 2021: l’égalité revisitée, Revue de droit suisse 140</w:t>
      </w:r>
      <w:r>
        <w:t xml:space="preserve"> (2021) II, 277-375, p. 329 ss.</w:t>
      </w:r>
    </w:p>
  </w:footnote>
  <w:footnote w:id="298">
    <w:p w14:paraId="566172B7" w14:textId="77777777" w:rsidR="00E77057" w:rsidRPr="000A7A5C" w:rsidRDefault="00E77057" w:rsidP="001527A4">
      <w:pPr>
        <w:pStyle w:val="Fussnote"/>
        <w:rPr>
          <w:sz w:val="20"/>
          <w:szCs w:val="20"/>
        </w:rPr>
      </w:pPr>
      <w:r w:rsidRPr="000A7A5C">
        <w:rPr>
          <w:rStyle w:val="FootnoteReference"/>
          <w:sz w:val="20"/>
          <w:szCs w:val="20"/>
        </w:rPr>
        <w:footnoteRef/>
      </w:r>
      <w:r w:rsidRPr="000A7A5C">
        <w:rPr>
          <w:sz w:val="20"/>
          <w:szCs w:val="20"/>
        </w:rPr>
        <w:t xml:space="preserve"> </w:t>
      </w:r>
      <w:r w:rsidRPr="000A7A5C">
        <w:rPr>
          <w:rFonts w:eastAsiaTheme="majorEastAsia"/>
          <w:bCs/>
          <w:szCs w:val="20"/>
          <w:lang w:eastAsia="fr-FR"/>
        </w:rPr>
        <w:t>Art. 2 LDP.</w:t>
      </w:r>
    </w:p>
  </w:footnote>
  <w:footnote w:id="299">
    <w:p w14:paraId="737AC872" w14:textId="3093D382" w:rsidR="00E77057" w:rsidRPr="00B644F9" w:rsidRDefault="00E77057" w:rsidP="001527A4">
      <w:pPr>
        <w:pStyle w:val="Fussnote"/>
        <w:rPr>
          <w:lang w:val="fr-FR"/>
        </w:rPr>
      </w:pPr>
      <w:r w:rsidRPr="000A7A5C">
        <w:rPr>
          <w:rStyle w:val="FootnoteReference"/>
        </w:rPr>
        <w:footnoteRef/>
      </w:r>
      <w:r w:rsidRPr="000A7A5C">
        <w:t xml:space="preserve"> Rapport Politique en faveur des PH (</w:t>
      </w:r>
      <w:r w:rsidRPr="00037F72">
        <w:t>N 3</w:t>
      </w:r>
      <w:r w:rsidRPr="00B644F9">
        <w:rPr>
          <w:lang w:val="fr-FR"/>
        </w:rPr>
        <w:t>), p. 33 s.</w:t>
      </w:r>
    </w:p>
  </w:footnote>
  <w:footnote w:id="300">
    <w:p w14:paraId="4868AD48" w14:textId="6B8C0C8D" w:rsidR="00E77057" w:rsidRPr="00B644F9" w:rsidRDefault="00E77057" w:rsidP="001527A4">
      <w:pPr>
        <w:pStyle w:val="Fussnote"/>
        <w:rPr>
          <w:lang w:val="fr-FR"/>
        </w:rPr>
      </w:pPr>
      <w:r w:rsidRPr="000A7A5C">
        <w:rPr>
          <w:rStyle w:val="FootnoteReference"/>
        </w:rPr>
        <w:footnoteRef/>
      </w:r>
      <w:r w:rsidRPr="00B644F9">
        <w:rPr>
          <w:lang w:val="fr-FR"/>
        </w:rPr>
        <w:t xml:space="preserve"> </w:t>
      </w:r>
      <w:hyperlink r:id="rId227" w:history="1">
        <w:r w:rsidRPr="00B644F9">
          <w:rPr>
            <w:rStyle w:val="Hyperlink"/>
            <w:lang w:val="fr-FR"/>
          </w:rPr>
          <w:t>Statistique 2020</w:t>
        </w:r>
      </w:hyperlink>
      <w:r w:rsidRPr="00B644F9">
        <w:rPr>
          <w:lang w:val="fr-FR"/>
        </w:rPr>
        <w:t>.</w:t>
      </w:r>
    </w:p>
  </w:footnote>
  <w:footnote w:id="301">
    <w:p w14:paraId="72CC8456" w14:textId="77777777" w:rsidR="00E77057" w:rsidRPr="000A7A5C" w:rsidRDefault="00E77057" w:rsidP="001527A4">
      <w:pPr>
        <w:pStyle w:val="Fussnote"/>
      </w:pPr>
      <w:r w:rsidRPr="000A7A5C">
        <w:rPr>
          <w:rStyle w:val="FootnoteReference"/>
        </w:rPr>
        <w:footnoteRef/>
      </w:r>
      <w:r w:rsidRPr="000A7A5C">
        <w:t xml:space="preserve"> P. ex. Vaud (799’145 habitant-e-s en 2019): 3’799 personnes placées sous curatelle de portée générale en 2020. Canton de Berne (1.035 mio. d’habitant-e.s en 2019): 661 personnes placées sous curatelle de portée générale en 2020.</w:t>
      </w:r>
    </w:p>
  </w:footnote>
  <w:footnote w:id="302">
    <w:p w14:paraId="2AFDC7A3" w14:textId="09E4C4F3" w:rsidR="00E77057" w:rsidRPr="000A7A5C" w:rsidRDefault="00E77057" w:rsidP="001527A4">
      <w:pPr>
        <w:pStyle w:val="Fussnote"/>
      </w:pPr>
      <w:r w:rsidRPr="000A7A5C">
        <w:rPr>
          <w:rStyle w:val="FootnoteReference"/>
        </w:rPr>
        <w:footnoteRef/>
      </w:r>
      <w:r w:rsidRPr="000A7A5C">
        <w:t xml:space="preserve"> </w:t>
      </w:r>
      <w:r w:rsidRPr="00037F72">
        <w:t xml:space="preserve">Cantons </w:t>
      </w:r>
      <w:hyperlink r:id="rId228" w:history="1">
        <w:r w:rsidRPr="00037F72">
          <w:rPr>
            <w:rStyle w:val="Hyperlink"/>
          </w:rPr>
          <w:t>BS</w:t>
        </w:r>
      </w:hyperlink>
      <w:r w:rsidRPr="00037F72">
        <w:t xml:space="preserve"> et </w:t>
      </w:r>
      <w:hyperlink r:id="rId229" w:history="1">
        <w:r w:rsidRPr="00037F72">
          <w:rPr>
            <w:rStyle w:val="Hyperlink"/>
          </w:rPr>
          <w:t>BL</w:t>
        </w:r>
      </w:hyperlink>
      <w:r w:rsidRPr="000A7A5C">
        <w:t>;</w:t>
      </w:r>
      <w:r>
        <w:t>(en allemand),</w:t>
      </w:r>
      <w:r w:rsidRPr="000A7A5C">
        <w:t xml:space="preserve"> </w:t>
      </w:r>
      <w:hyperlink r:id="rId230" w:history="1">
        <w:r w:rsidRPr="000A7A5C">
          <w:rPr>
            <w:rStyle w:val="Hyperlink"/>
          </w:rPr>
          <w:t>canton NE</w:t>
        </w:r>
      </w:hyperlink>
      <w:r w:rsidRPr="000A7A5C">
        <w:t xml:space="preserve">; </w:t>
      </w:r>
      <w:hyperlink r:id="rId231" w:history="1">
        <w:r w:rsidRPr="000A7A5C">
          <w:rPr>
            <w:rStyle w:val="Hyperlink"/>
          </w:rPr>
          <w:t>canton VD</w:t>
        </w:r>
      </w:hyperlink>
      <w:r w:rsidRPr="000A7A5C">
        <w:t xml:space="preserve">. Dans le cadre de la </w:t>
      </w:r>
      <w:hyperlink r:id="rId232" w:history="1">
        <w:r w:rsidRPr="000A7A5C">
          <w:rPr>
            <w:rStyle w:val="Hyperlink"/>
          </w:rPr>
          <w:t>révision de la Constitution VS</w:t>
        </w:r>
      </w:hyperlink>
      <w:r w:rsidRPr="000A7A5C">
        <w:t xml:space="preserve"> actuellement en cours, il est également proposé de garantir les droits politiques pour toutes les PH.</w:t>
      </w:r>
    </w:p>
  </w:footnote>
  <w:footnote w:id="303">
    <w:p w14:paraId="64E07D5F" w14:textId="2B70587D" w:rsidR="00E77057" w:rsidRPr="000A7A5C" w:rsidRDefault="00E77057" w:rsidP="001527A4">
      <w:pPr>
        <w:pStyle w:val="Fussnote"/>
      </w:pPr>
      <w:r w:rsidRPr="000A7A5C">
        <w:rPr>
          <w:rStyle w:val="FootnoteReference"/>
        </w:rPr>
        <w:footnoteRef/>
      </w:r>
      <w:r w:rsidRPr="000A7A5C">
        <w:t xml:space="preserve"> </w:t>
      </w:r>
      <w:hyperlink r:id="rId233" w:history="1">
        <w:r w:rsidRPr="000A7A5C">
          <w:rPr>
            <w:rStyle w:val="Hyperlink"/>
          </w:rPr>
          <w:t>Postulat Carobbio du 18.3.2021</w:t>
        </w:r>
      </w:hyperlink>
      <w:r>
        <w:rPr>
          <w:rStyle w:val="Hyperlink"/>
        </w:rPr>
        <w:t> </w:t>
      </w:r>
      <w:r w:rsidRPr="008340EA">
        <w:rPr>
          <w:rStyle w:val="Hyperlink"/>
        </w:rPr>
        <w:t>;</w:t>
      </w:r>
      <w:r w:rsidRPr="008340EA">
        <w:t xml:space="preserve"> </w:t>
      </w:r>
      <w:hyperlink r:id="rId234" w:history="1">
        <w:r w:rsidRPr="008340EA">
          <w:rPr>
            <w:rStyle w:val="Hyperlink"/>
          </w:rPr>
          <w:t>Interpellation Baume-Schneider du 18.3.2021</w:t>
        </w:r>
      </w:hyperlink>
      <w:r w:rsidRPr="008340EA">
        <w:t>.</w:t>
      </w:r>
    </w:p>
  </w:footnote>
  <w:footnote w:id="304">
    <w:p w14:paraId="4EE09B22" w14:textId="0B3B934E" w:rsidR="00E77057" w:rsidRPr="000A7A5C" w:rsidRDefault="00E77057" w:rsidP="001527A4">
      <w:pPr>
        <w:pStyle w:val="Fussnote"/>
        <w:rPr>
          <w:sz w:val="20"/>
          <w:szCs w:val="20"/>
        </w:rPr>
      </w:pPr>
      <w:r w:rsidRPr="000A7A5C">
        <w:rPr>
          <w:rStyle w:val="FootnoteReference"/>
          <w:sz w:val="20"/>
          <w:szCs w:val="20"/>
        </w:rPr>
        <w:footnoteRef/>
      </w:r>
      <w:r w:rsidRPr="000A7A5C">
        <w:rPr>
          <w:rStyle w:val="FootnoteReference"/>
          <w:sz w:val="20"/>
          <w:szCs w:val="20"/>
        </w:rPr>
        <w:t xml:space="preserve"> </w:t>
      </w:r>
      <w:r w:rsidRPr="000A7A5C">
        <w:rPr>
          <w:rFonts w:eastAsiaTheme="majorEastAsia"/>
          <w:bCs/>
          <w:szCs w:val="20"/>
          <w:lang w:eastAsia="fr-FR"/>
        </w:rPr>
        <w:t xml:space="preserve">À ce propos Rapport Politique en faveur des PH </w:t>
      </w:r>
      <w:r w:rsidRPr="000A7A5C">
        <w:t>(</w:t>
      </w:r>
      <w:r w:rsidRPr="00037F72">
        <w:t>N 3</w:t>
      </w:r>
      <w:r w:rsidRPr="00B644F9">
        <w:rPr>
          <w:lang w:val="fr-FR"/>
        </w:rPr>
        <w:t>)</w:t>
      </w:r>
      <w:r w:rsidRPr="000A7A5C">
        <w:rPr>
          <w:rFonts w:eastAsiaTheme="majorEastAsia"/>
          <w:bCs/>
          <w:szCs w:val="20"/>
          <w:lang w:eastAsia="fr-FR"/>
        </w:rPr>
        <w:t>, p. 36. La Chancellerie fédérale élabore actuellement, en collaboration avec les organisations des personnes aveugles et malvoyantes, des modèles de vote tactiles.</w:t>
      </w:r>
    </w:p>
  </w:footnote>
  <w:footnote w:id="305">
    <w:p w14:paraId="19AC3F2C" w14:textId="223FBFD3" w:rsidR="00E77057" w:rsidRPr="000A7A5C" w:rsidRDefault="00E77057" w:rsidP="00181D45">
      <w:pPr>
        <w:pStyle w:val="Fussnote"/>
      </w:pPr>
      <w:r w:rsidRPr="000A7A5C">
        <w:rPr>
          <w:rStyle w:val="FootnoteReference"/>
        </w:rPr>
        <w:footnoteRef/>
      </w:r>
      <w:r w:rsidRPr="000A7A5C">
        <w:t xml:space="preserve"> </w:t>
      </w:r>
      <w:hyperlink r:id="rId235" w:history="1">
        <w:r w:rsidRPr="000A7A5C">
          <w:rPr>
            <w:rStyle w:val="Hyperlink"/>
          </w:rPr>
          <w:t>Site Web de la Chancellerie fédérale au sujet du vote électronique</w:t>
        </w:r>
      </w:hyperlink>
      <w:r w:rsidRPr="000A7A5C">
        <w:t>, avec l’état actuel du projet.</w:t>
      </w:r>
    </w:p>
  </w:footnote>
  <w:footnote w:id="306">
    <w:p w14:paraId="000029F8" w14:textId="3D201DC8" w:rsidR="00E77057" w:rsidRPr="000A7A5C" w:rsidRDefault="00E77057" w:rsidP="00181D45">
      <w:pPr>
        <w:pStyle w:val="Fussnote"/>
        <w:rPr>
          <w:i/>
          <w:sz w:val="20"/>
        </w:rPr>
      </w:pPr>
      <w:r w:rsidRPr="000A7A5C">
        <w:rPr>
          <w:rStyle w:val="FootnoteReference"/>
          <w:sz w:val="20"/>
        </w:rPr>
        <w:footnoteRef/>
      </w:r>
      <w:r w:rsidRPr="000A7A5C">
        <w:rPr>
          <w:sz w:val="20"/>
        </w:rPr>
        <w:t xml:space="preserve"> </w:t>
      </w:r>
      <w:hyperlink r:id="rId236" w:history="1">
        <w:r w:rsidRPr="000A7A5C">
          <w:rPr>
            <w:rStyle w:val="Hyperlink"/>
          </w:rPr>
          <w:t>Documents de consultation sur le vote électronique</w:t>
        </w:r>
      </w:hyperlink>
      <w:r w:rsidRPr="000A7A5C">
        <w:t xml:space="preserve"> (modification de l’ordonnance sur les droits politiques et de l’ordonnance de la ChF sur le vote électronique</w:t>
      </w:r>
      <w:r>
        <w:t>).</w:t>
      </w:r>
      <w:r w:rsidRPr="000A7A5C">
        <w:t xml:space="preserve"> </w:t>
      </w:r>
      <w:hyperlink r:id="rId237" w:history="1">
        <w:r w:rsidRPr="000A7A5C">
          <w:rPr>
            <w:rStyle w:val="Hyperlink"/>
          </w:rPr>
          <w:t>Prise de position d’Inclusion Handicap lors de la procédure de consultation, août 2021</w:t>
        </w:r>
      </w:hyperlink>
      <w:r w:rsidRPr="000A7A5C">
        <w:t xml:space="preserve"> qui a été expressément mentionnée dans le </w:t>
      </w:r>
      <w:hyperlink r:id="rId238" w:history="1">
        <w:r w:rsidRPr="008340EA">
          <w:rPr>
            <w:rStyle w:val="Hyperlink"/>
          </w:rPr>
          <w:t>rapport de consultation du 1.12.2021</w:t>
        </w:r>
      </w:hyperlink>
      <w:r>
        <w:t>, p. 12</w:t>
      </w:r>
      <w:r w:rsidRPr="008340EA">
        <w:t>.</w:t>
      </w:r>
      <w:r w:rsidRPr="000A7A5C">
        <w:t xml:space="preserve"> </w:t>
      </w:r>
    </w:p>
  </w:footnote>
  <w:footnote w:id="307">
    <w:p w14:paraId="2156BE4D" w14:textId="75C4EC11" w:rsidR="00E77057" w:rsidRPr="000A7A5C" w:rsidRDefault="00E77057" w:rsidP="00181D45">
      <w:pPr>
        <w:pStyle w:val="Fussnote"/>
        <w:rPr>
          <w:sz w:val="20"/>
        </w:rPr>
      </w:pPr>
      <w:r w:rsidRPr="000A7A5C">
        <w:rPr>
          <w:rStyle w:val="FootnoteReference"/>
          <w:sz w:val="20"/>
        </w:rPr>
        <w:footnoteRef/>
      </w:r>
      <w:r w:rsidRPr="000A7A5C">
        <w:rPr>
          <w:sz w:val="20"/>
        </w:rPr>
        <w:t xml:space="preserve"> </w:t>
      </w:r>
      <w:r w:rsidRPr="000A7A5C">
        <w:t>Cf</w:t>
      </w:r>
      <w:r w:rsidRPr="000A7A5C">
        <w:rPr>
          <w:sz w:val="20"/>
        </w:rPr>
        <w:t xml:space="preserve">. </w:t>
      </w:r>
      <w:hyperlink r:id="rId239" w:history="1">
        <w:r w:rsidRPr="000A7A5C">
          <w:rPr>
            <w:rStyle w:val="Hyperlink"/>
            <w:szCs w:val="18"/>
          </w:rPr>
          <w:t>Motion Rytz du 14.12.2018</w:t>
        </w:r>
      </w:hyperlink>
      <w:r>
        <w:rPr>
          <w:rStyle w:val="Hyperlink"/>
          <w:szCs w:val="18"/>
        </w:rPr>
        <w:t xml:space="preserve">. </w:t>
      </w:r>
      <w:r w:rsidRPr="000A7A5C">
        <w:rPr>
          <w:szCs w:val="18"/>
        </w:rPr>
        <w:t>Le Co</w:t>
      </w:r>
      <w:r w:rsidRPr="000A7A5C">
        <w:t>nseil fédéral veut toutefois examiner les possibilités d’offrir des informations en langage simplifié portant sur divers thèmes politiques.</w:t>
      </w:r>
    </w:p>
  </w:footnote>
  <w:footnote w:id="308">
    <w:p w14:paraId="011A0F1F" w14:textId="694BDD40" w:rsidR="00E77057" w:rsidRPr="000A7A5C" w:rsidRDefault="00E77057" w:rsidP="00181D45">
      <w:pPr>
        <w:pStyle w:val="Fussnote"/>
      </w:pPr>
      <w:r w:rsidRPr="000A7A5C">
        <w:rPr>
          <w:rStyle w:val="FootnoteReference"/>
        </w:rPr>
        <w:footnoteRef/>
      </w:r>
      <w:r w:rsidRPr="000A7A5C">
        <w:t xml:space="preserve"> Actuellement, le Parlement fédéral compte un seul parlement</w:t>
      </w:r>
      <w:r>
        <w:t>aire ayant un handicap visible.</w:t>
      </w:r>
    </w:p>
  </w:footnote>
  <w:footnote w:id="309">
    <w:p w14:paraId="5FC2D733" w14:textId="5BC8581D" w:rsidR="00E77057" w:rsidRPr="000A7A5C" w:rsidRDefault="00E77057" w:rsidP="00181D45">
      <w:pPr>
        <w:pStyle w:val="Fussnote"/>
      </w:pPr>
      <w:r w:rsidRPr="000A7A5C">
        <w:rPr>
          <w:rStyle w:val="FootnoteReference"/>
        </w:rPr>
        <w:footnoteRef/>
      </w:r>
      <w:r w:rsidRPr="000A7A5C">
        <w:t xml:space="preserve"> Cette étude</w:t>
      </w:r>
      <w:r>
        <w:t>,</w:t>
      </w:r>
      <w:r w:rsidRPr="000A7A5C">
        <w:t xml:space="preserve"> commandée par l’</w:t>
      </w:r>
      <w:hyperlink r:id="rId240" w:history="1">
        <w:r w:rsidRPr="000A7A5C">
          <w:rPr>
            <w:rStyle w:val="Hyperlink"/>
          </w:rPr>
          <w:t>Association Tatkraft</w:t>
        </w:r>
      </w:hyperlink>
      <w:r>
        <w:t>,</w:t>
      </w:r>
      <w:r w:rsidRPr="000A7A5C">
        <w:t xml:space="preserve"> est financée par le BFEH. Dans le cadre de ce projet, la </w:t>
      </w:r>
      <w:hyperlink r:id="rId241" w:history="1">
        <w:r w:rsidRPr="000A7A5C">
          <w:rPr>
            <w:rStyle w:val="Hyperlink"/>
          </w:rPr>
          <w:t>ZHAW/Institut de droit social</w:t>
        </w:r>
      </w:hyperlink>
      <w:r w:rsidRPr="000A7A5C">
        <w:t xml:space="preserve"> (site en allemand et anglais) examine les bases légales ainsi que les moyens pratiques visant à éliminer les inégalités que rencontrent les PH dans la politique.</w:t>
      </w:r>
    </w:p>
  </w:footnote>
  <w:footnote w:id="310">
    <w:p w14:paraId="50C6AF8C" w14:textId="1838F68C" w:rsidR="00E77057" w:rsidRPr="000A7A5C" w:rsidRDefault="00E77057" w:rsidP="00181D45">
      <w:pPr>
        <w:pStyle w:val="Fussnote"/>
      </w:pPr>
      <w:r w:rsidRPr="000A7A5C">
        <w:rPr>
          <w:rStyle w:val="FootnoteReference"/>
        </w:rPr>
        <w:footnoteRef/>
      </w:r>
      <w:r w:rsidRPr="008C5B2B">
        <w:t xml:space="preserve"> </w:t>
      </w:r>
      <w:r w:rsidRPr="008C5B2B">
        <w:rPr>
          <w:smallCaps/>
        </w:rPr>
        <w:t>Ingeborg Hedderich</w:t>
      </w:r>
      <w:r>
        <w:rPr>
          <w:smallCaps/>
        </w:rPr>
        <w:t>/</w:t>
      </w:r>
      <w:r w:rsidRPr="008C5B2B">
        <w:rPr>
          <w:smallCaps/>
        </w:rPr>
        <w:t>Claudia Spiess</w:t>
      </w:r>
      <w:r>
        <w:rPr>
          <w:smallCaps/>
        </w:rPr>
        <w:t>/</w:t>
      </w:r>
      <w:r w:rsidRPr="008C5B2B">
        <w:rPr>
          <w:smallCaps/>
        </w:rPr>
        <w:t>Manuel Zanardini</w:t>
      </w:r>
      <w:r>
        <w:rPr>
          <w:smallCaps/>
        </w:rPr>
        <w:t>/</w:t>
      </w:r>
      <w:r w:rsidRPr="008C5B2B">
        <w:rPr>
          <w:smallCaps/>
        </w:rPr>
        <w:t>Annina Fantoni</w:t>
      </w:r>
      <w:r>
        <w:rPr>
          <w:smallCaps/>
        </w:rPr>
        <w:t>/</w:t>
      </w:r>
      <w:r w:rsidRPr="008C5B2B">
        <w:rPr>
          <w:smallCaps/>
        </w:rPr>
        <w:t>Melike Hocaoglu</w:t>
      </w:r>
      <w:r>
        <w:rPr>
          <w:smallCaps/>
        </w:rPr>
        <w:t>/</w:t>
      </w:r>
      <w:r w:rsidRPr="008C5B2B">
        <w:rPr>
          <w:smallCaps/>
        </w:rPr>
        <w:t>Valentina Conca</w:t>
      </w:r>
      <w:r>
        <w:rPr>
          <w:smallCaps/>
        </w:rPr>
        <w:t>/</w:t>
      </w:r>
      <w:r w:rsidRPr="008C5B2B">
        <w:rPr>
          <w:smallCaps/>
        </w:rPr>
        <w:t>Tarek Naguib</w:t>
      </w:r>
      <w:r w:rsidRPr="008C5B2B">
        <w:t xml:space="preserve">, rapport de recherche relatif au projet Disabled in Politics – Eine qualitative Untersuchung und eine juristische Beurteilung zur Situation von Politiker:innen mit Behinderung in der Schweiz, p. 42 ss. </w:t>
      </w:r>
      <w:r w:rsidRPr="000A7A5C">
        <w:t>Au sujet des mesures proposées, cf. p. 125 ss. [Analyse qualitative et évaluation juridique de la situation des politiciennes et politiciens handicapés en Suisse].</w:t>
      </w:r>
    </w:p>
  </w:footnote>
  <w:footnote w:id="311">
    <w:p w14:paraId="5CCC3C0D" w14:textId="3EDE69F9" w:rsidR="00E77057" w:rsidRPr="000A7A5C" w:rsidRDefault="00E77057" w:rsidP="00181D45">
      <w:pPr>
        <w:pStyle w:val="Fussnote"/>
      </w:pPr>
      <w:r w:rsidRPr="000A7A5C">
        <w:rPr>
          <w:rStyle w:val="FootnoteReference"/>
        </w:rPr>
        <w:footnoteRef/>
      </w:r>
      <w:r w:rsidRPr="000A7A5C">
        <w:t xml:space="preserve"> </w:t>
      </w:r>
      <w:hyperlink r:id="rId242" w:history="1">
        <w:r w:rsidRPr="008340EA">
          <w:rPr>
            <w:rStyle w:val="Hyperlink"/>
          </w:rPr>
          <w:t>Rapport reconnaissance langues des signes</w:t>
        </w:r>
      </w:hyperlink>
      <w:r>
        <w:t xml:space="preserve"> (N </w:t>
      </w:r>
      <w:r>
        <w:rPr>
          <w:highlight w:val="yellow"/>
        </w:rPr>
        <w:fldChar w:fldCharType="begin"/>
      </w:r>
      <w:r>
        <w:instrText xml:space="preserve"> NOTEREF _Ref96280854 \h </w:instrText>
      </w:r>
      <w:r>
        <w:rPr>
          <w:highlight w:val="yellow"/>
        </w:rPr>
      </w:r>
      <w:r>
        <w:rPr>
          <w:highlight w:val="yellow"/>
        </w:rPr>
        <w:fldChar w:fldCharType="separate"/>
      </w:r>
      <w:r>
        <w:t>75</w:t>
      </w:r>
      <w:r>
        <w:rPr>
          <w:highlight w:val="yellow"/>
        </w:rPr>
        <w:fldChar w:fldCharType="end"/>
      </w:r>
      <w:r>
        <w:t>).</w:t>
      </w:r>
    </w:p>
  </w:footnote>
  <w:footnote w:id="312">
    <w:p w14:paraId="0CC60573" w14:textId="77777777" w:rsidR="00E77057" w:rsidRPr="000A7A5C" w:rsidRDefault="00E77057" w:rsidP="00BA2230">
      <w:pPr>
        <w:pStyle w:val="Fussnote"/>
      </w:pPr>
      <w:r w:rsidRPr="000A7A5C">
        <w:rPr>
          <w:rStyle w:val="FootnoteReference"/>
        </w:rPr>
        <w:footnoteRef/>
      </w:r>
      <w:r w:rsidRPr="000A7A5C">
        <w:t xml:space="preserve"> </w:t>
      </w:r>
      <w:hyperlink r:id="rId243" w:history="1">
        <w:r w:rsidRPr="008340EA">
          <w:rPr>
            <w:rStyle w:val="Hyperlink"/>
          </w:rPr>
          <w:t>Rapport reconnaissance langues des signes</w:t>
        </w:r>
      </w:hyperlink>
      <w:r>
        <w:t xml:space="preserve"> (N </w:t>
      </w:r>
      <w:r>
        <w:rPr>
          <w:highlight w:val="yellow"/>
        </w:rPr>
        <w:fldChar w:fldCharType="begin"/>
      </w:r>
      <w:r>
        <w:instrText xml:space="preserve"> NOTEREF _Ref96280854 \h </w:instrText>
      </w:r>
      <w:r>
        <w:rPr>
          <w:highlight w:val="yellow"/>
        </w:rPr>
      </w:r>
      <w:r>
        <w:rPr>
          <w:highlight w:val="yellow"/>
        </w:rPr>
        <w:fldChar w:fldCharType="separate"/>
      </w:r>
      <w:r>
        <w:t>75</w:t>
      </w:r>
      <w:r>
        <w:rPr>
          <w:highlight w:val="yellow"/>
        </w:rPr>
        <w:fldChar w:fldCharType="end"/>
      </w:r>
      <w:r>
        <w:t xml:space="preserve">), </w:t>
      </w:r>
      <w:r w:rsidRPr="000A7A5C">
        <w:t>p. 34.</w:t>
      </w:r>
    </w:p>
  </w:footnote>
  <w:footnote w:id="313">
    <w:p w14:paraId="0C4908C7" w14:textId="7F6E8843" w:rsidR="00E77057" w:rsidRPr="000A7A5C" w:rsidRDefault="00E77057" w:rsidP="00181D45">
      <w:pPr>
        <w:pStyle w:val="Fussnote"/>
      </w:pPr>
      <w:r w:rsidRPr="000A7A5C">
        <w:rPr>
          <w:rStyle w:val="FootnoteReference"/>
        </w:rPr>
        <w:footnoteRef/>
      </w:r>
      <w:r w:rsidRPr="000A7A5C">
        <w:t xml:space="preserve"> Chaque année, la Fédération des sourds recense ces inégalités dans son rapport sur les actes discriminatoires (</w:t>
      </w:r>
      <w:hyperlink r:id="rId244" w:history="1">
        <w:r w:rsidRPr="00D750DC">
          <w:rPr>
            <w:rStyle w:val="Hyperlink"/>
          </w:rPr>
          <w:t>plus de deux cas par semaine en 2021</w:t>
        </w:r>
      </w:hyperlink>
      <w:r>
        <w:t>).</w:t>
      </w:r>
    </w:p>
  </w:footnote>
  <w:footnote w:id="314">
    <w:p w14:paraId="3DA2CB56" w14:textId="35DEC390" w:rsidR="00E77057" w:rsidRPr="000A7A5C" w:rsidRDefault="00E77057" w:rsidP="00181D45">
      <w:pPr>
        <w:pStyle w:val="Fussnote"/>
        <w:rPr>
          <w:szCs w:val="18"/>
        </w:rPr>
      </w:pPr>
      <w:r w:rsidRPr="000A7A5C">
        <w:rPr>
          <w:rStyle w:val="FootnoteReference"/>
          <w:szCs w:val="18"/>
        </w:rPr>
        <w:footnoteRef/>
      </w:r>
      <w:r w:rsidRPr="000A7A5C">
        <w:rPr>
          <w:szCs w:val="18"/>
        </w:rPr>
        <w:t xml:space="preserve"> Rap</w:t>
      </w:r>
      <w:r>
        <w:rPr>
          <w:szCs w:val="18"/>
        </w:rPr>
        <w:t>port Politique en faveur des PH</w:t>
      </w:r>
      <w:r w:rsidRPr="000A7A5C">
        <w:rPr>
          <w:szCs w:val="18"/>
        </w:rPr>
        <w:t xml:space="preserve"> </w:t>
      </w:r>
      <w:r>
        <w:rPr>
          <w:szCs w:val="18"/>
        </w:rPr>
        <w:t xml:space="preserve">(N </w:t>
      </w:r>
      <w:r>
        <w:rPr>
          <w:szCs w:val="18"/>
        </w:rPr>
        <w:fldChar w:fldCharType="begin"/>
      </w:r>
      <w:r>
        <w:rPr>
          <w:szCs w:val="18"/>
        </w:rPr>
        <w:instrText xml:space="preserve"> NOTEREF _Ref95737744 \h </w:instrText>
      </w:r>
      <w:r>
        <w:rPr>
          <w:szCs w:val="18"/>
        </w:rPr>
      </w:r>
      <w:r>
        <w:rPr>
          <w:szCs w:val="18"/>
        </w:rPr>
        <w:fldChar w:fldCharType="separate"/>
      </w:r>
      <w:r>
        <w:rPr>
          <w:szCs w:val="18"/>
        </w:rPr>
        <w:t>3</w:t>
      </w:r>
      <w:r>
        <w:rPr>
          <w:szCs w:val="18"/>
        </w:rPr>
        <w:fldChar w:fldCharType="end"/>
      </w:r>
      <w:r>
        <w:rPr>
          <w:szCs w:val="18"/>
        </w:rPr>
        <w:t xml:space="preserve">), </w:t>
      </w:r>
      <w:r w:rsidRPr="000A7A5C">
        <w:rPr>
          <w:szCs w:val="18"/>
        </w:rPr>
        <w:t>p. 1</w:t>
      </w:r>
      <w:r>
        <w:rPr>
          <w:szCs w:val="18"/>
        </w:rPr>
        <w:t>7.</w:t>
      </w:r>
    </w:p>
  </w:footnote>
  <w:footnote w:id="315">
    <w:p w14:paraId="295F65AE" w14:textId="77777777" w:rsidR="00E77057" w:rsidRPr="000A7A5C" w:rsidRDefault="00E77057" w:rsidP="00181D45">
      <w:pPr>
        <w:pStyle w:val="Fussnote"/>
      </w:pPr>
      <w:r w:rsidRPr="000A7A5C">
        <w:rPr>
          <w:rStyle w:val="FootnoteReference"/>
          <w:szCs w:val="18"/>
        </w:rPr>
        <w:footnoteRef/>
      </w:r>
      <w:r w:rsidRPr="000A7A5C">
        <w:t xml:space="preserve"> Selon l’art. 3 al. 2 let. d LSF, la statistique fédérale sert aussi à «évaluer la mise en œuvre du mandat constitutionnel de l’égalité des sexes et de l’égalité entre les personnes handicapées et les personnes non handicapées».</w:t>
      </w:r>
    </w:p>
  </w:footnote>
  <w:footnote w:id="316">
    <w:p w14:paraId="4BCC89F8" w14:textId="7C345667" w:rsidR="00E77057" w:rsidRPr="00B644F9" w:rsidRDefault="00E77057" w:rsidP="00181D45">
      <w:pPr>
        <w:pStyle w:val="Fussnote"/>
        <w:rPr>
          <w:highlight w:val="green"/>
          <w:lang w:val="fr-FR"/>
        </w:rPr>
      </w:pPr>
      <w:r w:rsidRPr="000A7A5C">
        <w:rPr>
          <w:rStyle w:val="FootnoteReference"/>
          <w:szCs w:val="18"/>
        </w:rPr>
        <w:footnoteRef/>
      </w:r>
      <w:r w:rsidRPr="000A7A5C">
        <w:t xml:space="preserve"> CF, Rapport sur le développement de la politique en faveur des personnes handicapées du 11.1.2017, p</w:t>
      </w:r>
      <w:r w:rsidRPr="000A7A5C">
        <w:rPr>
          <w:rFonts w:eastAsia="Times New Roman"/>
        </w:rPr>
        <w:t>. 15, accentuations ajoutée</w:t>
      </w:r>
      <w:r w:rsidRPr="00D750DC">
        <w:rPr>
          <w:rFonts w:eastAsia="Times New Roman"/>
        </w:rPr>
        <w:t>s.</w:t>
      </w:r>
      <w:r w:rsidRPr="00B644F9">
        <w:rPr>
          <w:rFonts w:eastAsia="Times New Roman"/>
          <w:lang w:val="fr-FR"/>
        </w:rPr>
        <w:t xml:space="preserve"> </w:t>
      </w:r>
    </w:p>
  </w:footnote>
  <w:footnote w:id="317">
    <w:p w14:paraId="50F4C8C8" w14:textId="77777777" w:rsidR="00E77057" w:rsidRPr="00B644F9" w:rsidRDefault="00E77057" w:rsidP="00181D45">
      <w:pPr>
        <w:pStyle w:val="Fussnote"/>
        <w:rPr>
          <w:lang w:val="fr-FR"/>
        </w:rPr>
      </w:pPr>
      <w:r w:rsidRPr="00AD1F16">
        <w:rPr>
          <w:rStyle w:val="FootnoteReference"/>
          <w:szCs w:val="18"/>
        </w:rPr>
        <w:footnoteRef/>
      </w:r>
      <w:r w:rsidRPr="00AD1F16">
        <w:rPr>
          <w:lang w:val="fr-FR"/>
        </w:rPr>
        <w:t xml:space="preserve"> Ibid.,</w:t>
      </w:r>
      <w:r w:rsidRPr="00B644F9">
        <w:rPr>
          <w:lang w:val="fr-FR"/>
        </w:rPr>
        <w:t xml:space="preserve"> p. 27.</w:t>
      </w:r>
    </w:p>
  </w:footnote>
  <w:footnote w:id="318">
    <w:p w14:paraId="59C7850F" w14:textId="77777777" w:rsidR="00E77057" w:rsidRPr="000A7A5C" w:rsidRDefault="00E77057" w:rsidP="00181D45">
      <w:pPr>
        <w:pStyle w:val="Fussnote"/>
      </w:pPr>
      <w:r w:rsidRPr="000A7A5C">
        <w:rPr>
          <w:rStyle w:val="FootnoteReference"/>
          <w:szCs w:val="18"/>
        </w:rPr>
        <w:footnoteRef/>
      </w:r>
      <w:r w:rsidRPr="000A7A5C">
        <w:t xml:space="preserve"> Rapport Politique en faveur des PH</w:t>
      </w:r>
      <w:r>
        <w:t xml:space="preserve"> (N 3)</w:t>
      </w:r>
      <w:r w:rsidRPr="000A7A5C">
        <w:t>, p.</w:t>
      </w:r>
      <w:r>
        <w:t xml:space="preserve"> </w:t>
      </w:r>
      <w:r w:rsidRPr="000A7A5C">
        <w:t>56 s.</w:t>
      </w:r>
    </w:p>
  </w:footnote>
  <w:footnote w:id="319">
    <w:p w14:paraId="56487993" w14:textId="4E6E5D56" w:rsidR="00E77057" w:rsidRPr="000A7A5C" w:rsidRDefault="00E77057" w:rsidP="00181D45">
      <w:pPr>
        <w:pStyle w:val="Fussnote"/>
      </w:pPr>
      <w:r w:rsidRPr="000A7A5C">
        <w:rPr>
          <w:rStyle w:val="FootnoteReference"/>
          <w:szCs w:val="18"/>
        </w:rPr>
        <w:footnoteRef/>
      </w:r>
      <w:r w:rsidRPr="008C5B2B">
        <w:rPr>
          <w:lang w:val="en-US"/>
        </w:rPr>
        <w:t xml:space="preserve"> </w:t>
      </w:r>
      <w:r w:rsidRPr="00B644F9">
        <w:rPr>
          <w:lang w:val="en-US"/>
        </w:rPr>
        <w:t>Selon</w:t>
      </w:r>
      <w:r w:rsidRPr="008C5B2B">
        <w:rPr>
          <w:lang w:val="en-US"/>
        </w:rPr>
        <w:t xml:space="preserve"> </w:t>
      </w:r>
      <w:hyperlink r:id="rId245" w:history="1">
        <w:r w:rsidRPr="008C5B2B">
          <w:rPr>
            <w:rStyle w:val="Hyperlink"/>
            <w:szCs w:val="18"/>
            <w:lang w:val="en-US"/>
          </w:rPr>
          <w:t xml:space="preserve">OHCHR, Human Rights Indicators. </w:t>
        </w:r>
        <w:r w:rsidRPr="000A7A5C">
          <w:rPr>
            <w:rStyle w:val="Hyperlink"/>
            <w:szCs w:val="18"/>
          </w:rPr>
          <w:t>A Guide to Measurement and Implementation, 2012</w:t>
        </w:r>
      </w:hyperlink>
      <w:r w:rsidRPr="000A7A5C">
        <w:t>.</w:t>
      </w:r>
    </w:p>
  </w:footnote>
  <w:footnote w:id="320">
    <w:p w14:paraId="356CD02C" w14:textId="77777777" w:rsidR="00E77057" w:rsidRPr="000A7A5C" w:rsidRDefault="00E77057" w:rsidP="00181D45">
      <w:pPr>
        <w:pStyle w:val="Fussnote"/>
      </w:pPr>
      <w:r w:rsidRPr="000A7A5C">
        <w:rPr>
          <w:rStyle w:val="FootnoteReference"/>
          <w:szCs w:val="18"/>
        </w:rPr>
        <w:footnoteRef/>
      </w:r>
      <w:r w:rsidRPr="000A7A5C">
        <w:t xml:space="preserve"> «Personnes ayant un problème de santé durable qui les restreint (fortement ou faiblement) dans le</w:t>
      </w:r>
      <w:r>
        <w:t>ur</w:t>
      </w:r>
      <w:r w:rsidRPr="000A7A5C">
        <w:t>s activités de l</w:t>
      </w:r>
      <w:r>
        <w:t>a</w:t>
      </w:r>
      <w:r w:rsidRPr="000A7A5C">
        <w:t xml:space="preserve"> vie quotidienne normale.»</w:t>
      </w:r>
    </w:p>
  </w:footnote>
  <w:footnote w:id="321">
    <w:p w14:paraId="2A7B04AC" w14:textId="77777777" w:rsidR="00E77057" w:rsidRPr="000A7A5C" w:rsidRDefault="00E77057" w:rsidP="00181D45">
      <w:pPr>
        <w:pStyle w:val="Fussnote"/>
      </w:pPr>
      <w:r w:rsidRPr="000A7A5C">
        <w:rPr>
          <w:rStyle w:val="FootnoteReference"/>
          <w:szCs w:val="18"/>
        </w:rPr>
        <w:footnoteRef/>
      </w:r>
      <w:r w:rsidRPr="000A7A5C">
        <w:t xml:space="preserve"> Notamment dans la statistique de l’AI. En outre, la catégorie «enfant» se réfère souvent à l’âge de 0 à 14 ans (au lieu de 18 selon la CDE).</w:t>
      </w:r>
    </w:p>
  </w:footnote>
  <w:footnote w:id="322">
    <w:p w14:paraId="4C6F0869" w14:textId="7AFF94C4" w:rsidR="00E77057" w:rsidRPr="000A7A5C" w:rsidRDefault="00E77057" w:rsidP="00181D45">
      <w:pPr>
        <w:pStyle w:val="Fussnote"/>
      </w:pPr>
      <w:r w:rsidRPr="000A7A5C">
        <w:rPr>
          <w:rStyle w:val="FootnoteReference"/>
          <w:szCs w:val="18"/>
        </w:rPr>
        <w:footnoteRef/>
      </w:r>
      <w:r w:rsidRPr="000A7A5C">
        <w:t xml:space="preserve"> Exemple: récemment, le nombre global estimé des enfants handicapés jusqu’à 14 ans a été tout simplement divisé par deux lors d’une révision «en raison d’un défaut dans l’application utilisée jusqu’alors: </w:t>
      </w:r>
      <w:hyperlink r:id="rId246" w:history="1">
        <w:r w:rsidRPr="000A7A5C">
          <w:rPr>
            <w:rStyle w:val="Hyperlink"/>
            <w:rFonts w:cstheme="minorBidi"/>
            <w:szCs w:val="18"/>
          </w:rPr>
          <w:t>OFS, enfants et handicap 2017, déc. 2019</w:t>
        </w:r>
      </w:hyperlink>
      <w:r>
        <w:t>.</w:t>
      </w:r>
      <w:r w:rsidRPr="000A7A5C">
        <w:t xml:space="preserve"> p. 2.</w:t>
      </w:r>
    </w:p>
  </w:footnote>
  <w:footnote w:id="323">
    <w:p w14:paraId="5AA27A63" w14:textId="39FB0BF4" w:rsidR="00E77057" w:rsidRPr="000A7A5C" w:rsidRDefault="00E77057" w:rsidP="00181D45">
      <w:pPr>
        <w:pStyle w:val="Fussnote"/>
      </w:pPr>
      <w:r w:rsidRPr="000A7A5C">
        <w:rPr>
          <w:rStyle w:val="FootnoteReference"/>
          <w:szCs w:val="18"/>
        </w:rPr>
        <w:footnoteRef/>
      </w:r>
      <w:r w:rsidRPr="000A7A5C">
        <w:t xml:space="preserve"> P. ex. </w:t>
      </w:r>
      <w:hyperlink r:id="rId247" w:history="1">
        <w:r>
          <w:rPr>
            <w:rStyle w:val="Hyperlink"/>
            <w:rFonts w:cstheme="minorBidi"/>
            <w:szCs w:val="18"/>
          </w:rPr>
          <w:t>Discrimination et violence au travail des personnes avec handicap</w:t>
        </w:r>
      </w:hyperlink>
      <w:r w:rsidRPr="000A7A5C">
        <w:t xml:space="preserve"> seulement to</w:t>
      </w:r>
      <w:r>
        <w:t>us les 5 ans car basé sur l’ESS.</w:t>
      </w:r>
    </w:p>
  </w:footnote>
  <w:footnote w:id="324">
    <w:p w14:paraId="6CC26683" w14:textId="2F0C681B" w:rsidR="00E77057" w:rsidRPr="000A7A5C" w:rsidRDefault="00E77057" w:rsidP="00181D45">
      <w:pPr>
        <w:pStyle w:val="Fussnote"/>
      </w:pPr>
      <w:r w:rsidRPr="000A7A5C">
        <w:rPr>
          <w:rStyle w:val="FootnoteReference"/>
        </w:rPr>
        <w:footnoteRef/>
      </w:r>
      <w:r w:rsidRPr="000A7A5C">
        <w:t xml:space="preserve"> Voir Rapport Politique en faveur des PH (</w:t>
      </w:r>
      <w:r>
        <w:t xml:space="preserve">N </w:t>
      </w:r>
      <w:r>
        <w:rPr>
          <w:highlight w:val="green"/>
        </w:rPr>
        <w:fldChar w:fldCharType="begin"/>
      </w:r>
      <w:r>
        <w:instrText xml:space="preserve"> NOTEREF _Ref95737744 \h </w:instrText>
      </w:r>
      <w:r>
        <w:rPr>
          <w:highlight w:val="green"/>
        </w:rPr>
      </w:r>
      <w:r>
        <w:rPr>
          <w:highlight w:val="green"/>
        </w:rPr>
        <w:fldChar w:fldCharType="separate"/>
      </w:r>
      <w:r>
        <w:t>3</w:t>
      </w:r>
      <w:r>
        <w:rPr>
          <w:highlight w:val="green"/>
        </w:rPr>
        <w:fldChar w:fldCharType="end"/>
      </w:r>
      <w:r w:rsidRPr="000A7A5C">
        <w:t>), ch. 4.1.2.</w:t>
      </w:r>
    </w:p>
  </w:footnote>
  <w:footnote w:id="325">
    <w:p w14:paraId="78E3AC31" w14:textId="4C6428FE" w:rsidR="00E77057" w:rsidRPr="000A7A5C" w:rsidRDefault="00E77057" w:rsidP="00181D45">
      <w:pPr>
        <w:pStyle w:val="Fussnote"/>
      </w:pPr>
      <w:r w:rsidRPr="000A7A5C">
        <w:rPr>
          <w:rStyle w:val="FootnoteReference"/>
        </w:rPr>
        <w:footnoteRef/>
      </w:r>
      <w:r w:rsidRPr="000A7A5C">
        <w:t xml:space="preserve"> </w:t>
      </w:r>
      <w:hyperlink r:id="rId248" w:history="1">
        <w:r w:rsidRPr="000A7A5C">
          <w:rPr>
            <w:rStyle w:val="Hyperlink"/>
          </w:rPr>
          <w:t>BFEH, Thème prioritaire Autonomie</w:t>
        </w:r>
      </w:hyperlink>
      <w:r w:rsidRPr="000A7A5C">
        <w:t>.</w:t>
      </w:r>
    </w:p>
  </w:footnote>
  <w:footnote w:id="326">
    <w:p w14:paraId="5151D6B3" w14:textId="489F7AB1" w:rsidR="00E77057" w:rsidRPr="000A7A5C" w:rsidRDefault="00E77057" w:rsidP="00181D45">
      <w:pPr>
        <w:pStyle w:val="Fussnote"/>
      </w:pPr>
      <w:r w:rsidRPr="000A7A5C">
        <w:rPr>
          <w:rStyle w:val="FootnoteReference"/>
        </w:rPr>
        <w:footnoteRef/>
      </w:r>
      <w:r w:rsidRPr="000A7A5C">
        <w:t xml:space="preserve"> Le BFEH organise et finance, conjointement avec la Faculté de droit de l’Université de Bâle et Inclusion Handicap, p. ex. des </w:t>
      </w:r>
      <w:hyperlink r:id="rId249" w:history="1">
        <w:r w:rsidRPr="00D750DC">
          <w:rPr>
            <w:rStyle w:val="Hyperlink"/>
          </w:rPr>
          <w:t>conférences annuelles avec focus sur la CDPH</w:t>
        </w:r>
      </w:hyperlink>
      <w:r w:rsidRPr="000A7A5C">
        <w:t xml:space="preserve">. Le BFEH a également financé le </w:t>
      </w:r>
      <w:hyperlink r:id="rId250" w:history="1">
        <w:r w:rsidRPr="000A7A5C">
          <w:rPr>
            <w:rStyle w:val="Hyperlink"/>
          </w:rPr>
          <w:t>projet d’Inclusion Handicap «Reporters sans barrières»</w:t>
        </w:r>
      </w:hyperlink>
      <w:r w:rsidRPr="000A7A5C">
        <w:t xml:space="preserve"> ainsi qu’un Guide relatif à la mise en œuvre de la CDPH par les cantons élaboré par la Faculté de droit de l’Université de Bâle (paraît en 2022).</w:t>
      </w:r>
    </w:p>
  </w:footnote>
  <w:footnote w:id="327">
    <w:p w14:paraId="4BA67774" w14:textId="66BB7227" w:rsidR="00E77057" w:rsidRPr="000A7A5C" w:rsidRDefault="00E77057" w:rsidP="00181D45">
      <w:pPr>
        <w:pStyle w:val="Fussnote"/>
      </w:pPr>
      <w:r w:rsidRPr="000A7A5C">
        <w:rPr>
          <w:rStyle w:val="FootnoteReference"/>
        </w:rPr>
        <w:footnoteRef/>
      </w:r>
      <w:r w:rsidRPr="000A7A5C">
        <w:t xml:space="preserve"> Ce malgré le fait que le DFI ait reconnu lui-même, dans son </w:t>
      </w:r>
      <w:hyperlink r:id="rId251" w:history="1">
        <w:r w:rsidRPr="000A7A5C">
          <w:rPr>
            <w:rStyle w:val="Hyperlink"/>
          </w:rPr>
          <w:t>Rapport sur le développement de la politique en faveur des personnes handicapées de 2017</w:t>
        </w:r>
      </w:hyperlink>
      <w:r w:rsidRPr="000A7A5C">
        <w:t xml:space="preserve">, l’importance d’un instrument de pilotage assorti de priorités et d’indicateurs pour jeter les bases d’une politique proactive en faveur des PH (p. 24, mesure 9). À propos de l’absence d’un plan d’action pour la mise en œuvre de la CDPH, cf. Dispositions générales ainsi que les propositions de recommandations y relatives, p. </w:t>
      </w:r>
      <w:r>
        <w:fldChar w:fldCharType="begin"/>
      </w:r>
      <w:r>
        <w:instrText xml:space="preserve"> PAGEREF _Ref96281166 \h </w:instrText>
      </w:r>
      <w:r>
        <w:fldChar w:fldCharType="separate"/>
      </w:r>
      <w:r>
        <w:rPr>
          <w:noProof/>
        </w:rPr>
        <w:t>7</w:t>
      </w:r>
      <w:r>
        <w:fldChar w:fldCharType="end"/>
      </w:r>
      <w:r>
        <w:t xml:space="preserve"> ss.</w:t>
      </w:r>
    </w:p>
  </w:footnote>
  <w:footnote w:id="328">
    <w:p w14:paraId="4C418298" w14:textId="6B02D394" w:rsidR="00E77057" w:rsidRPr="000A7A5C" w:rsidRDefault="00E77057" w:rsidP="00181D45">
      <w:pPr>
        <w:pStyle w:val="Fussnote"/>
      </w:pPr>
      <w:r w:rsidRPr="000A7A5C">
        <w:rPr>
          <w:rStyle w:val="FootnoteReference"/>
        </w:rPr>
        <w:footnoteRef/>
      </w:r>
      <w:r w:rsidRPr="000A7A5C">
        <w:t xml:space="preserve"> Évaluation </w:t>
      </w:r>
      <w:r w:rsidRPr="0005312A">
        <w:t xml:space="preserve">LHand (N </w:t>
      </w:r>
      <w:r w:rsidRPr="0005312A">
        <w:fldChar w:fldCharType="begin"/>
      </w:r>
      <w:r w:rsidRPr="0005312A">
        <w:instrText xml:space="preserve"> NOTEREF _Ref95740315 \h </w:instrText>
      </w:r>
      <w:r>
        <w:instrText xml:space="preserve"> \* MERGEFORMAT </w:instrText>
      </w:r>
      <w:r w:rsidRPr="0005312A">
        <w:fldChar w:fldCharType="separate"/>
      </w:r>
      <w:r>
        <w:t>2</w:t>
      </w:r>
      <w:r w:rsidRPr="0005312A">
        <w:fldChar w:fldCharType="end"/>
      </w:r>
      <w:r w:rsidRPr="0005312A">
        <w:t>),</w:t>
      </w:r>
      <w:r w:rsidRPr="000A7A5C">
        <w:t xml:space="preserve"> </w:t>
      </w:r>
      <w:r>
        <w:t>p. 51, p. 381 s.</w:t>
      </w:r>
    </w:p>
  </w:footnote>
  <w:footnote w:id="329">
    <w:p w14:paraId="083BD8D0" w14:textId="47D402D7" w:rsidR="00E77057" w:rsidRPr="00D72411" w:rsidRDefault="00E77057" w:rsidP="00181D45">
      <w:pPr>
        <w:pStyle w:val="Fussnote"/>
        <w:rPr>
          <w:lang w:val="de-CH"/>
        </w:rPr>
      </w:pPr>
      <w:r w:rsidRPr="000A7A5C">
        <w:rPr>
          <w:rStyle w:val="FootnoteReference"/>
        </w:rPr>
        <w:footnoteRef/>
      </w:r>
      <w:r w:rsidRPr="00D72411">
        <w:rPr>
          <w:lang w:val="de-CH"/>
        </w:rPr>
        <w:t xml:space="preserve"> </w:t>
      </w:r>
      <w:hyperlink r:id="rId252" w:history="1">
        <w:r w:rsidRPr="00D72411">
          <w:rPr>
            <w:rStyle w:val="Hyperlink"/>
            <w:lang w:val="de-CH"/>
          </w:rPr>
          <w:t>Fachstelle Kanton BS</w:t>
        </w:r>
      </w:hyperlink>
      <w:r w:rsidRPr="00D72411">
        <w:rPr>
          <w:rStyle w:val="Hyperlink"/>
          <w:lang w:val="de-CH"/>
        </w:rPr>
        <w:t xml:space="preserve"> (en </w:t>
      </w:r>
      <w:r w:rsidRPr="00B644F9">
        <w:rPr>
          <w:rStyle w:val="Hyperlink"/>
          <w:lang w:val="de-CH"/>
        </w:rPr>
        <w:t>allemand</w:t>
      </w:r>
      <w:r w:rsidRPr="00D72411">
        <w:rPr>
          <w:rStyle w:val="Hyperlink"/>
          <w:lang w:val="de-CH"/>
        </w:rPr>
        <w:t>)</w:t>
      </w:r>
      <w:r w:rsidRPr="00D72411">
        <w:rPr>
          <w:lang w:val="de-CH"/>
        </w:rPr>
        <w:t xml:space="preserve">; </w:t>
      </w:r>
      <w:hyperlink r:id="rId253" w:history="1">
        <w:r w:rsidRPr="00D72411">
          <w:rPr>
            <w:rStyle w:val="Hyperlink"/>
            <w:lang w:val="de-CH"/>
          </w:rPr>
          <w:t>Koordinationsstelle Kanton Zürich</w:t>
        </w:r>
      </w:hyperlink>
      <w:r w:rsidRPr="00D72411">
        <w:rPr>
          <w:lang w:val="de-CH"/>
        </w:rPr>
        <w:t xml:space="preserve"> (en </w:t>
      </w:r>
      <w:r w:rsidRPr="00B644F9">
        <w:rPr>
          <w:lang w:val="de-CH"/>
        </w:rPr>
        <w:t>allemand</w:t>
      </w:r>
      <w:r w:rsidRPr="00D72411">
        <w:rPr>
          <w:lang w:val="de-CH"/>
        </w:rPr>
        <w:t>).</w:t>
      </w:r>
    </w:p>
  </w:footnote>
  <w:footnote w:id="330">
    <w:p w14:paraId="7AF963FF" w14:textId="1181E965" w:rsidR="00E77057" w:rsidRPr="000A7A5C" w:rsidRDefault="00E77057" w:rsidP="00181D45">
      <w:pPr>
        <w:pStyle w:val="Fussnote"/>
      </w:pPr>
      <w:r w:rsidRPr="000A7A5C">
        <w:rPr>
          <w:rStyle w:val="FootnoteReference"/>
        </w:rPr>
        <w:footnoteRef/>
      </w:r>
      <w:r w:rsidRPr="000A7A5C">
        <w:t xml:space="preserve"> VS: l’art. 36c de la loi (</w:t>
      </w:r>
      <w:r w:rsidRPr="0005312A">
        <w:t xml:space="preserve">N </w:t>
      </w:r>
      <w:r w:rsidRPr="0005312A">
        <w:fldChar w:fldCharType="begin"/>
      </w:r>
      <w:r w:rsidRPr="0005312A">
        <w:instrText xml:space="preserve"> NOTEREF _Ref95758381 \h </w:instrText>
      </w:r>
      <w:r>
        <w:instrText xml:space="preserve"> \* MERGEFORMAT </w:instrText>
      </w:r>
      <w:r w:rsidRPr="0005312A">
        <w:fldChar w:fldCharType="separate"/>
      </w:r>
      <w:r>
        <w:t>7</w:t>
      </w:r>
      <w:r w:rsidRPr="0005312A">
        <w:fldChar w:fldCharType="end"/>
      </w:r>
      <w:r w:rsidRPr="0005312A">
        <w:t>)</w:t>
      </w:r>
      <w:r w:rsidRPr="000A7A5C">
        <w:t xml:space="preserve"> prévoit la création d’un bureau pour les droits des PH. NE: l’art. 9 de la loi (</w:t>
      </w:r>
      <w:r>
        <w:t xml:space="preserve">N </w:t>
      </w:r>
      <w:r>
        <w:rPr>
          <w:highlight w:val="green"/>
        </w:rPr>
        <w:fldChar w:fldCharType="begin"/>
      </w:r>
      <w:r>
        <w:instrText xml:space="preserve"> NOTEREF _Ref95758411 \h </w:instrText>
      </w:r>
      <w:r>
        <w:rPr>
          <w:highlight w:val="green"/>
        </w:rPr>
      </w:r>
      <w:r>
        <w:rPr>
          <w:highlight w:val="green"/>
        </w:rPr>
        <w:fldChar w:fldCharType="separate"/>
      </w:r>
      <w:r>
        <w:t>10</w:t>
      </w:r>
      <w:r>
        <w:rPr>
          <w:highlight w:val="green"/>
        </w:rPr>
        <w:fldChar w:fldCharType="end"/>
      </w:r>
      <w:r w:rsidRPr="000A7A5C">
        <w:t>) prévoit un poste de délégué-e à l’inclusion.</w:t>
      </w:r>
    </w:p>
  </w:footnote>
  <w:footnote w:id="331">
    <w:p w14:paraId="4C7E35EE" w14:textId="162F6454" w:rsidR="00E77057" w:rsidRPr="000A7A5C" w:rsidRDefault="00E77057" w:rsidP="00181D45">
      <w:pPr>
        <w:pStyle w:val="Fussnote"/>
      </w:pPr>
      <w:r w:rsidRPr="000A7A5C">
        <w:rPr>
          <w:rStyle w:val="FootnoteReference"/>
        </w:rPr>
        <w:footnoteRef/>
      </w:r>
      <w:r w:rsidRPr="000A7A5C">
        <w:t xml:space="preserve"> </w:t>
      </w:r>
      <w:hyperlink r:id="rId254" w:history="1">
        <w:r w:rsidRPr="0070436A">
          <w:rPr>
            <w:rStyle w:val="Hyperlink"/>
          </w:rPr>
          <w:t>Bureau de l’égalité pour les PH de la Ville de Berne</w:t>
        </w:r>
      </w:hyperlink>
      <w:r w:rsidRPr="0070436A">
        <w:t xml:space="preserve">; </w:t>
      </w:r>
      <w:hyperlink r:id="rId255" w:history="1">
        <w:r w:rsidRPr="0070436A">
          <w:rPr>
            <w:rStyle w:val="Hyperlink"/>
          </w:rPr>
          <w:t>Fachstelle Stadt Zürich</w:t>
        </w:r>
      </w:hyperlink>
      <w:r w:rsidRPr="0070436A">
        <w:t xml:space="preserve"> (un</w:t>
      </w:r>
      <w:r w:rsidRPr="000A7A5C">
        <w:t>iquement en allemand)</w:t>
      </w:r>
      <w:r>
        <w:t>.</w:t>
      </w:r>
    </w:p>
  </w:footnote>
  <w:footnote w:id="332">
    <w:p w14:paraId="3AC616A2" w14:textId="3A7B1157" w:rsidR="00E77057" w:rsidRPr="000A7A5C" w:rsidRDefault="00E77057" w:rsidP="00181D45">
      <w:pPr>
        <w:pStyle w:val="Fussnote"/>
      </w:pPr>
      <w:r w:rsidRPr="000A7A5C">
        <w:rPr>
          <w:rStyle w:val="FootnoteReference"/>
        </w:rPr>
        <w:footnoteRef/>
      </w:r>
      <w:r w:rsidRPr="000A7A5C">
        <w:t xml:space="preserve"> </w:t>
      </w:r>
      <w:hyperlink r:id="rId256" w:history="1">
        <w:r w:rsidRPr="0070436A">
          <w:rPr>
            <w:rStyle w:val="Hyperlink"/>
          </w:rPr>
          <w:t>Message visant à compléter la loi fédérale sur des mesures de promotion civile de la paix et de renforcement des droits de l’homme (RS 193.9) en vue de la création d’une institution nationale des droits de l’homme (INDH) du 13 décembre 2019, FF 2020 493</w:t>
        </w:r>
      </w:hyperlink>
      <w:r w:rsidRPr="0070436A">
        <w:t xml:space="preserve">; </w:t>
      </w:r>
      <w:hyperlink r:id="rId257" w:history="1">
        <w:r w:rsidRPr="0070436A">
          <w:rPr>
            <w:rStyle w:val="Hyperlink"/>
          </w:rPr>
          <w:t>Documents relatifs aux débats au Parlement</w:t>
        </w:r>
      </w:hyperlink>
      <w:r>
        <w:t>.</w:t>
      </w:r>
    </w:p>
  </w:footnote>
  <w:footnote w:id="333">
    <w:p w14:paraId="5C5F1E17" w14:textId="77777777" w:rsidR="00E77057" w:rsidRPr="000A7A5C" w:rsidRDefault="00E77057" w:rsidP="00181D45">
      <w:pPr>
        <w:pStyle w:val="Fussnote"/>
      </w:pPr>
      <w:r w:rsidRPr="000A7A5C">
        <w:rPr>
          <w:rStyle w:val="FootnoteReference"/>
        </w:rPr>
        <w:footnoteRef/>
      </w:r>
      <w:r w:rsidRPr="000A7A5C">
        <w:t xml:space="preserve"> En Suède, le budget relatif à l’INDH, qui sera mise en place courant 2022, est fixé à près de 5 millions d’euros par année.</w:t>
      </w:r>
    </w:p>
  </w:footnote>
  <w:footnote w:id="334">
    <w:p w14:paraId="48123F02" w14:textId="3EC6C9B6" w:rsidR="00E77057" w:rsidRPr="000A7A5C" w:rsidRDefault="00E77057" w:rsidP="00181D45">
      <w:pPr>
        <w:pStyle w:val="Fussnote"/>
      </w:pPr>
      <w:r w:rsidRPr="000A7A5C">
        <w:rPr>
          <w:rStyle w:val="FootnoteReference"/>
        </w:rPr>
        <w:footnoteRef/>
      </w:r>
      <w:r w:rsidRPr="000A7A5C">
        <w:t xml:space="preserve"> </w:t>
      </w:r>
      <w:hyperlink r:id="rId258" w:history="1">
        <w:r w:rsidRPr="000A7A5C">
          <w:rPr>
            <w:rStyle w:val="Hyperlink"/>
          </w:rPr>
          <w:t>CERD-Observations du 3.12. 2021</w:t>
        </w:r>
      </w:hyperlink>
      <w:r w:rsidRPr="000A7A5C">
        <w:t xml:space="preserve">; </w:t>
      </w:r>
      <w:hyperlink r:id="rId259" w:history="1">
        <w:r w:rsidRPr="000A7A5C">
          <w:rPr>
            <w:rStyle w:val="Hyperlink"/>
          </w:rPr>
          <w:t>CRC-Observations du 27.9.2021</w:t>
        </w:r>
      </w:hyperlink>
      <w:r w:rsidRPr="000A7A5C">
        <w:t xml:space="preserve"> (en anglais)</w:t>
      </w:r>
      <w:r>
        <w:t>.</w:t>
      </w:r>
    </w:p>
  </w:footnote>
  <w:footnote w:id="335">
    <w:p w14:paraId="71839B6F" w14:textId="6B351020" w:rsidR="00E77057" w:rsidRPr="000A7A5C" w:rsidRDefault="00E77057" w:rsidP="00181D45">
      <w:pPr>
        <w:pStyle w:val="Fussnote"/>
      </w:pPr>
      <w:r w:rsidRPr="000A7A5C">
        <w:rPr>
          <w:rStyle w:val="FootnoteReference"/>
        </w:rPr>
        <w:footnoteRef/>
      </w:r>
      <w:r w:rsidRPr="000A7A5C">
        <w:t xml:space="preserve"> Cf. </w:t>
      </w:r>
      <w:hyperlink r:id="rId260" w:history="1">
        <w:r w:rsidRPr="0070436A">
          <w:rPr>
            <w:rStyle w:val="Hyperlink"/>
          </w:rPr>
          <w:t>Motion Suter du 21.12.2021 «Création d’une instance chargée de surveiller la mise en oeuvre de la CDPH relative aux droits des PH»</w:t>
        </w:r>
      </w:hyperlink>
      <w:r>
        <w:t>,</w:t>
      </w:r>
      <w:r w:rsidRPr="000A7A5C">
        <w:t xml:space="preserve"> avec une référence à l’INDH.</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8D7C9" w14:textId="77777777" w:rsidR="00E77057" w:rsidRPr="00A83C05" w:rsidRDefault="00E77057" w:rsidP="005C44B1">
    <w:pPr>
      <w:pStyle w:val="Header"/>
      <w:pBdr>
        <w:bottom w:val="none" w:sz="0" w:space="0" w:color="auto"/>
      </w:pBdr>
      <w:jc w:val="left"/>
      <w:rPr>
        <w:sz w:val="20"/>
        <w:szCs w:val="20"/>
      </w:rPr>
    </w:pPr>
    <w:r w:rsidRPr="00A83C05">
      <w:rPr>
        <w:sz w:val="20"/>
        <w:szCs w:val="20"/>
      </w:rPr>
      <w:t>CDPH</w:t>
    </w:r>
  </w:p>
  <w:p w14:paraId="343B8191" w14:textId="2764328D" w:rsidR="00E77057" w:rsidRPr="005C44B1" w:rsidRDefault="00E77057" w:rsidP="005C44B1">
    <w:pPr>
      <w:pStyle w:val="Header"/>
      <w:pBdr>
        <w:bottom w:val="single" w:sz="4" w:space="1" w:color="auto"/>
      </w:pBdr>
      <w:jc w:val="left"/>
      <w:rPr>
        <w:sz w:val="20"/>
        <w:szCs w:val="20"/>
      </w:rPr>
    </w:pPr>
    <w:r w:rsidRPr="00215E86">
      <w:rPr>
        <w:sz w:val="20"/>
        <w:szCs w:val="20"/>
      </w:rPr>
      <w:t>Rapport alternatif actualisé, f</w:t>
    </w:r>
    <w:r>
      <w:rPr>
        <w:sz w:val="20"/>
        <w:szCs w:val="20"/>
      </w:rPr>
      <w:t xml:space="preserve">évrier </w:t>
    </w:r>
    <w:r w:rsidRPr="00215E86">
      <w:rPr>
        <w:sz w:val="20"/>
        <w:szCs w:val="20"/>
      </w:rPr>
      <w:t>2022, Inclusion Handicap, S</w:t>
    </w:r>
    <w:r>
      <w:rPr>
        <w:sz w:val="20"/>
        <w:szCs w:val="20"/>
      </w:rPr>
      <w:t>uisse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92C42" w14:textId="77777777" w:rsidR="00E77057" w:rsidRPr="00F756DE" w:rsidRDefault="00E77057" w:rsidP="00F756DE">
    <w:pPr>
      <w:pStyle w:val="Header"/>
      <w:pBdr>
        <w:bottom w:val="none" w:sz="0" w:space="0" w:color="auto"/>
      </w:pBdr>
      <w:jc w:val="right"/>
      <w:rPr>
        <w:i w:val="0"/>
        <w:sz w:val="20"/>
        <w:szCs w:val="20"/>
      </w:rPr>
    </w:pPr>
    <w:r w:rsidRPr="00F756DE">
      <w:rPr>
        <w:i w:val="0"/>
        <w:sz w:val="20"/>
        <w:szCs w:val="20"/>
      </w:rPr>
      <w:t>CDPH</w:t>
    </w:r>
  </w:p>
  <w:p w14:paraId="0903C356" w14:textId="77777777" w:rsidR="00E77057" w:rsidRPr="00F756DE" w:rsidRDefault="00E77057" w:rsidP="00F756DE">
    <w:pPr>
      <w:pStyle w:val="Header"/>
      <w:pBdr>
        <w:bottom w:val="single" w:sz="4" w:space="1" w:color="auto"/>
      </w:pBdr>
      <w:jc w:val="right"/>
      <w:rPr>
        <w:i w:val="0"/>
        <w:sz w:val="20"/>
        <w:szCs w:val="20"/>
      </w:rPr>
    </w:pPr>
    <w:r w:rsidRPr="00F756DE">
      <w:rPr>
        <w:i w:val="0"/>
        <w:sz w:val="20"/>
        <w:szCs w:val="20"/>
      </w:rPr>
      <w:t>Rapport alternatif actualisé, février 2022, Inclusion Handicap, Suisse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E38D0" w14:textId="77777777" w:rsidR="00E77057" w:rsidRPr="00CA6202" w:rsidRDefault="00E77057" w:rsidP="00CA620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C3594"/>
    <w:multiLevelType w:val="multilevel"/>
    <w:tmpl w:val="1F24FE9C"/>
    <w:lvl w:ilvl="0">
      <w:start w:val="1"/>
      <w:numFmt w:val="bullet"/>
      <w:pStyle w:val="ListBullet"/>
      <w:lvlText w:val="■"/>
      <w:lvlJc w:val="left"/>
      <w:pPr>
        <w:ind w:left="340" w:hanging="340"/>
      </w:pPr>
      <w:rPr>
        <w:rFonts w:ascii="Arial" w:hAnsi="Arial" w:hint="default"/>
        <w:sz w:val="20"/>
      </w:rPr>
    </w:lvl>
    <w:lvl w:ilvl="1">
      <w:start w:val="1"/>
      <w:numFmt w:val="bullet"/>
      <w:lvlRestart w:val="0"/>
      <w:pStyle w:val="ListBullet2"/>
      <w:lvlText w:val="−"/>
      <w:lvlJc w:val="left"/>
      <w:pPr>
        <w:ind w:left="680" w:hanging="340"/>
      </w:pPr>
      <w:rPr>
        <w:rFonts w:ascii="Arial" w:hAnsi="Arial" w:hint="default"/>
        <w:color w:val="auto"/>
      </w:rPr>
    </w:lvl>
    <w:lvl w:ilvl="2">
      <w:start w:val="1"/>
      <w:numFmt w:val="bullet"/>
      <w:lvlRestart w:val="0"/>
      <w:pStyle w:val="ListBullet3"/>
      <w:lvlText w:val="●"/>
      <w:lvlJc w:val="left"/>
      <w:pPr>
        <w:ind w:left="1021" w:hanging="341"/>
      </w:pPr>
      <w:rPr>
        <w:rFonts w:ascii="Arial" w:hAnsi="Arial" w:hint="default"/>
      </w:rPr>
    </w:lvl>
    <w:lvl w:ilvl="3">
      <w:start w:val="1"/>
      <w:numFmt w:val="bullet"/>
      <w:lvlRestart w:val="0"/>
      <w:pStyle w:val="ListBullet4"/>
      <w:lvlText w:val="○"/>
      <w:lvlJc w:val="left"/>
      <w:pPr>
        <w:ind w:left="1361" w:hanging="340"/>
      </w:pPr>
      <w:rPr>
        <w:rFonts w:ascii="Arial" w:hAnsi="Arial" w:hint="default"/>
        <w:color w:val="auto"/>
      </w:rPr>
    </w:lvl>
    <w:lvl w:ilvl="4">
      <w:start w:val="1"/>
      <w:numFmt w:val="bullet"/>
      <w:lvlRestart w:val="0"/>
      <w:pStyle w:val="ListBullet5"/>
      <w:lvlText w:val="♦"/>
      <w:lvlJc w:val="left"/>
      <w:pPr>
        <w:ind w:left="1701" w:hanging="340"/>
      </w:pPr>
      <w:rPr>
        <w:rFonts w:ascii="Arial" w:hAnsi="Arial" w:hint="default"/>
        <w:color w:val="auto"/>
      </w:rPr>
    </w:lvl>
    <w:lvl w:ilvl="5">
      <w:start w:val="1"/>
      <w:numFmt w:val="lowerRoman"/>
      <w:lvlText w:val="(%6)"/>
      <w:lvlJc w:val="left"/>
      <w:pPr>
        <w:ind w:left="2041" w:hanging="340"/>
      </w:pPr>
      <w:rPr>
        <w:rFonts w:hint="default"/>
      </w:rPr>
    </w:lvl>
    <w:lvl w:ilvl="6">
      <w:start w:val="1"/>
      <w:numFmt w:val="decimal"/>
      <w:lvlText w:val="%7."/>
      <w:lvlJc w:val="left"/>
      <w:pPr>
        <w:ind w:left="2381" w:hanging="34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B50095E"/>
    <w:multiLevelType w:val="multilevel"/>
    <w:tmpl w:val="8384CC36"/>
    <w:lvl w:ilvl="0">
      <w:start w:val="1"/>
      <w:numFmt w:val="none"/>
      <w:pStyle w:val="ListContinue"/>
      <w:lvlText w:val=""/>
      <w:lvlJc w:val="left"/>
      <w:pPr>
        <w:ind w:left="360" w:hanging="360"/>
      </w:pPr>
      <w:rPr>
        <w:rFonts w:hint="default"/>
      </w:rPr>
    </w:lvl>
    <w:lvl w:ilvl="1">
      <w:start w:val="1"/>
      <w:numFmt w:val="none"/>
      <w:lvlRestart w:val="0"/>
      <w:pStyle w:val="ListContinue2"/>
      <w:lvlText w:val=""/>
      <w:lvlJc w:val="left"/>
      <w:pPr>
        <w:ind w:left="720" w:hanging="360"/>
      </w:pPr>
      <w:rPr>
        <w:rFonts w:hint="default"/>
      </w:rPr>
    </w:lvl>
    <w:lvl w:ilvl="2">
      <w:start w:val="1"/>
      <w:numFmt w:val="none"/>
      <w:lvlRestart w:val="0"/>
      <w:pStyle w:val="ListContinue3"/>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pStyle w:val="ListContinue5"/>
      <w:lvlText w:val=""/>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C0E0B8E"/>
    <w:multiLevelType w:val="hybridMultilevel"/>
    <w:tmpl w:val="F4422518"/>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1CDF51A8"/>
    <w:multiLevelType w:val="hybridMultilevel"/>
    <w:tmpl w:val="E15C05E4"/>
    <w:lvl w:ilvl="0" w:tplc="1362F19A">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15:restartNumberingAfterBreak="0">
    <w:nsid w:val="1FA25218"/>
    <w:multiLevelType w:val="hybridMultilevel"/>
    <w:tmpl w:val="4A0285BA"/>
    <w:lvl w:ilvl="0" w:tplc="C2DC1AEC">
      <w:start w:val="1"/>
      <w:numFmt w:val="bullet"/>
      <w:pStyle w:val="SBEmpfehlungen"/>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20F47A23"/>
    <w:multiLevelType w:val="hybridMultilevel"/>
    <w:tmpl w:val="7618EE08"/>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CBA0EB6"/>
    <w:multiLevelType w:val="hybridMultilevel"/>
    <w:tmpl w:val="03B80010"/>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306A151A"/>
    <w:multiLevelType w:val="hybridMultilevel"/>
    <w:tmpl w:val="C3DA37DE"/>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33A80028"/>
    <w:multiLevelType w:val="hybridMultilevel"/>
    <w:tmpl w:val="527A6D30"/>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BB974F4"/>
    <w:multiLevelType w:val="hybridMultilevel"/>
    <w:tmpl w:val="1A963E4E"/>
    <w:lvl w:ilvl="0" w:tplc="B394BA0A">
      <w:start w:val="1"/>
      <w:numFmt w:val="bullet"/>
      <w:pStyle w:val="SBAufzhlung"/>
      <w:lvlText w:val=""/>
      <w:lvlJc w:val="left"/>
      <w:pPr>
        <w:ind w:left="360" w:hanging="360"/>
      </w:pPr>
      <w:rPr>
        <w:rFonts w:ascii="Symbol" w:hAnsi="Symbol" w:hint="default"/>
        <w:sz w:val="24"/>
        <w:szCs w:val="24"/>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0" w15:restartNumberingAfterBreak="0">
    <w:nsid w:val="461B43BA"/>
    <w:multiLevelType w:val="hybridMultilevel"/>
    <w:tmpl w:val="89A4BB4C"/>
    <w:lvl w:ilvl="0" w:tplc="C5EC776C">
      <w:start w:val="1"/>
      <w:numFmt w:val="bullet"/>
      <w:pStyle w:val="BaukastenAufzaehlung"/>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591F3C99"/>
    <w:multiLevelType w:val="hybridMultilevel"/>
    <w:tmpl w:val="DF5A2D90"/>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5D6949A0"/>
    <w:multiLevelType w:val="hybridMultilevel"/>
    <w:tmpl w:val="7F067ADE"/>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D817247"/>
    <w:multiLevelType w:val="hybridMultilevel"/>
    <w:tmpl w:val="87FEBA6C"/>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60AF70A9"/>
    <w:multiLevelType w:val="hybridMultilevel"/>
    <w:tmpl w:val="CBD892DC"/>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6341751A"/>
    <w:multiLevelType w:val="multilevel"/>
    <w:tmpl w:val="B8DE9626"/>
    <w:lvl w:ilvl="0">
      <w:start w:val="1"/>
      <w:numFmt w:val="upperLetter"/>
      <w:pStyle w:val="Heading1"/>
      <w:suff w:val="space"/>
      <w:lvlText w:val="%1"/>
      <w:lvlJc w:val="left"/>
      <w:pPr>
        <w:ind w:left="340" w:hanging="340"/>
      </w:pPr>
      <w:rPr>
        <w:rFonts w:hint="default"/>
      </w:rPr>
    </w:lvl>
    <w:lvl w:ilvl="1">
      <w:start w:val="1"/>
      <w:numFmt w:val="decimal"/>
      <w:pStyle w:val="Heading2"/>
      <w:suff w:val="space"/>
      <w:lvlText w:val="%2."/>
      <w:lvlJc w:val="left"/>
      <w:pPr>
        <w:ind w:left="340" w:hanging="340"/>
      </w:pPr>
      <w:rPr>
        <w:rFonts w:hint="default"/>
        <w:i w:val="0"/>
      </w:rPr>
    </w:lvl>
    <w:lvl w:ilvl="2">
      <w:start w:val="1"/>
      <w:numFmt w:val="decimal"/>
      <w:pStyle w:val="Heading3"/>
      <w:suff w:val="space"/>
      <w:lvlText w:val="%2.%3."/>
      <w:lvlJc w:val="left"/>
      <w:pPr>
        <w:ind w:left="737" w:hanging="737"/>
      </w:pPr>
      <w:rPr>
        <w:rFonts w:hint="default"/>
      </w:rPr>
    </w:lvl>
    <w:lvl w:ilvl="3">
      <w:start w:val="1"/>
      <w:numFmt w:val="decimal"/>
      <w:pStyle w:val="Heading4"/>
      <w:suff w:val="space"/>
      <w:lvlText w:val="%2.%3.%4."/>
      <w:lvlJc w:val="left"/>
      <w:pPr>
        <w:ind w:left="1134" w:hanging="1134"/>
      </w:pPr>
      <w:rPr>
        <w:rFonts w:hint="default"/>
      </w:rPr>
    </w:lvl>
    <w:lvl w:ilvl="4">
      <w:start w:val="1"/>
      <w:numFmt w:val="decimal"/>
      <w:pStyle w:val="Heading5"/>
      <w:suff w:val="space"/>
      <w:lvlText w:val="%2.%3.%4.%5."/>
      <w:lvlJc w:val="left"/>
      <w:pPr>
        <w:ind w:left="1418" w:hanging="1418"/>
      </w:pPr>
      <w:rPr>
        <w:rFonts w:hint="default"/>
      </w:rPr>
    </w:lvl>
    <w:lvl w:ilvl="5">
      <w:start w:val="1"/>
      <w:numFmt w:val="decimal"/>
      <w:pStyle w:val="Heading6"/>
      <w:suff w:val="space"/>
      <w:lvlText w:val="%2.%3.%4.%5.%6."/>
      <w:lvlJc w:val="left"/>
      <w:pPr>
        <w:ind w:left="1134" w:hanging="1134"/>
      </w:pPr>
      <w:rPr>
        <w:rFonts w:hint="default"/>
      </w:rPr>
    </w:lvl>
    <w:lvl w:ilvl="6">
      <w:start w:val="1"/>
      <w:numFmt w:val="decimal"/>
      <w:pStyle w:val="Heading7"/>
      <w:suff w:val="space"/>
      <w:lvlText w:val="%2.%3.%4.%5.%6.%7."/>
      <w:lvlJc w:val="left"/>
      <w:pPr>
        <w:ind w:left="3572" w:hanging="3572"/>
      </w:pPr>
      <w:rPr>
        <w:rFonts w:hint="default"/>
      </w:rPr>
    </w:lvl>
    <w:lvl w:ilvl="7">
      <w:start w:val="1"/>
      <w:numFmt w:val="decimal"/>
      <w:pStyle w:val="Heading8"/>
      <w:suff w:val="space"/>
      <w:lvlText w:val="%2.%3.%4.%5.%6.%7.%8."/>
      <w:lvlJc w:val="left"/>
      <w:pPr>
        <w:ind w:left="2325" w:hanging="2325"/>
      </w:pPr>
      <w:rPr>
        <w:rFonts w:hint="default"/>
      </w:rPr>
    </w:lvl>
    <w:lvl w:ilvl="8">
      <w:start w:val="1"/>
      <w:numFmt w:val="decimal"/>
      <w:pStyle w:val="Heading9"/>
      <w:suff w:val="space"/>
      <w:lvlText w:val="%2.%3.%4.%5.%6.%7.%8.%9."/>
      <w:lvlJc w:val="left"/>
      <w:pPr>
        <w:ind w:left="2722" w:hanging="2722"/>
      </w:pPr>
      <w:rPr>
        <w:rFonts w:hint="default"/>
      </w:rPr>
    </w:lvl>
  </w:abstractNum>
  <w:abstractNum w:abstractNumId="16" w15:restartNumberingAfterBreak="0">
    <w:nsid w:val="6D437A0C"/>
    <w:multiLevelType w:val="hybridMultilevel"/>
    <w:tmpl w:val="9ADC867E"/>
    <w:lvl w:ilvl="0" w:tplc="05306B18">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5C42A80"/>
    <w:multiLevelType w:val="hybridMultilevel"/>
    <w:tmpl w:val="5EAC895C"/>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9A74CFD"/>
    <w:multiLevelType w:val="multilevel"/>
    <w:tmpl w:val="9DC661B4"/>
    <w:lvl w:ilvl="0">
      <w:start w:val="1"/>
      <w:numFmt w:val="ordinal"/>
      <w:pStyle w:val="ListNumber"/>
      <w:isLgl/>
      <w:lvlText w:val="%1"/>
      <w:lvlJc w:val="left"/>
      <w:pPr>
        <w:ind w:left="340" w:hanging="340"/>
      </w:pPr>
      <w:rPr>
        <w:rFonts w:hint="default"/>
        <w:color w:val="auto"/>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1" w:hanging="341"/>
      </w:pPr>
      <w:rPr>
        <w:rFonts w:hint="default"/>
      </w:rPr>
    </w:lvl>
    <w:lvl w:ilvl="3">
      <w:start w:val="1"/>
      <w:numFmt w:val="upperRoman"/>
      <w:pStyle w:val="ListNumber4"/>
      <w:lvlText w:val="(%4)"/>
      <w:lvlJc w:val="left"/>
      <w:pPr>
        <w:ind w:left="1361" w:hanging="340"/>
      </w:pPr>
      <w:rPr>
        <w:rFonts w:hint="default"/>
      </w:rPr>
    </w:lvl>
    <w:lvl w:ilvl="4">
      <w:start w:val="1"/>
      <w:numFmt w:val="decimal"/>
      <w:pStyle w:val="ListNumber5"/>
      <w:lvlText w:val="(%5)"/>
      <w:lvlJc w:val="left"/>
      <w:pPr>
        <w:ind w:left="1701" w:hanging="340"/>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19" w15:restartNumberingAfterBreak="0">
    <w:nsid w:val="7F912A09"/>
    <w:multiLevelType w:val="hybridMultilevel"/>
    <w:tmpl w:val="6916061C"/>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8"/>
  </w:num>
  <w:num w:numId="4">
    <w:abstractNumId w:val="15"/>
  </w:num>
  <w:num w:numId="5">
    <w:abstractNumId w:val="9"/>
  </w:num>
  <w:num w:numId="6">
    <w:abstractNumId w:val="4"/>
  </w:num>
  <w:num w:numId="7">
    <w:abstractNumId w:val="3"/>
  </w:num>
  <w:num w:numId="8">
    <w:abstractNumId w:val="11"/>
  </w:num>
  <w:num w:numId="9">
    <w:abstractNumId w:val="14"/>
  </w:num>
  <w:num w:numId="10">
    <w:abstractNumId w:val="12"/>
  </w:num>
  <w:num w:numId="11">
    <w:abstractNumId w:val="17"/>
  </w:num>
  <w:num w:numId="12">
    <w:abstractNumId w:val="6"/>
  </w:num>
  <w:num w:numId="13">
    <w:abstractNumId w:val="2"/>
  </w:num>
  <w:num w:numId="14">
    <w:abstractNumId w:val="16"/>
  </w:num>
  <w:num w:numId="15">
    <w:abstractNumId w:val="13"/>
  </w:num>
  <w:num w:numId="16">
    <w:abstractNumId w:val="5"/>
  </w:num>
  <w:num w:numId="17">
    <w:abstractNumId w:val="19"/>
  </w:num>
  <w:num w:numId="18">
    <w:abstractNumId w:val="7"/>
  </w:num>
  <w:num w:numId="19">
    <w:abstractNumId w:val="10"/>
  </w:num>
  <w:num w:numId="2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de-CH"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fr-CH" w:vendorID="64" w:dllVersion="131078" w:nlCheck="1" w:checkStyle="0"/>
  <w:activeWritingStyle w:appName="MSWord" w:lang="en-GB" w:vendorID="64" w:dllVersion="131078" w:nlCheck="1" w:checkStyle="0"/>
  <w:attachedTemplate r:id="rId1"/>
  <w:documentProtection w:formatting="1" w:enforcement="0"/>
  <w:defaultTabStop w:val="709"/>
  <w:hyphenationZone w:val="425"/>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6DE"/>
    <w:rsid w:val="00004AFA"/>
    <w:rsid w:val="00005635"/>
    <w:rsid w:val="00012F8E"/>
    <w:rsid w:val="00017681"/>
    <w:rsid w:val="0002275A"/>
    <w:rsid w:val="00022947"/>
    <w:rsid w:val="000248C7"/>
    <w:rsid w:val="00025C6C"/>
    <w:rsid w:val="0002730E"/>
    <w:rsid w:val="00034741"/>
    <w:rsid w:val="00036D1C"/>
    <w:rsid w:val="00037F72"/>
    <w:rsid w:val="0005312A"/>
    <w:rsid w:val="00060A6F"/>
    <w:rsid w:val="0006109B"/>
    <w:rsid w:val="00072A72"/>
    <w:rsid w:val="00080991"/>
    <w:rsid w:val="00091B45"/>
    <w:rsid w:val="000A0DFE"/>
    <w:rsid w:val="000A3116"/>
    <w:rsid w:val="000B4CF8"/>
    <w:rsid w:val="000B4F7C"/>
    <w:rsid w:val="000B5897"/>
    <w:rsid w:val="000C2221"/>
    <w:rsid w:val="000C4036"/>
    <w:rsid w:val="000C4453"/>
    <w:rsid w:val="000C5392"/>
    <w:rsid w:val="000D1289"/>
    <w:rsid w:val="000D5C19"/>
    <w:rsid w:val="000D5D12"/>
    <w:rsid w:val="000E19F0"/>
    <w:rsid w:val="000E3EDB"/>
    <w:rsid w:val="000E7FB7"/>
    <w:rsid w:val="000F4801"/>
    <w:rsid w:val="000F5736"/>
    <w:rsid w:val="000F5B6F"/>
    <w:rsid w:val="0010056D"/>
    <w:rsid w:val="00102996"/>
    <w:rsid w:val="00110895"/>
    <w:rsid w:val="00116790"/>
    <w:rsid w:val="0012544C"/>
    <w:rsid w:val="00126BDC"/>
    <w:rsid w:val="00127AD3"/>
    <w:rsid w:val="00131031"/>
    <w:rsid w:val="001317F7"/>
    <w:rsid w:val="00134FFB"/>
    <w:rsid w:val="00141397"/>
    <w:rsid w:val="00143511"/>
    <w:rsid w:val="00147ED9"/>
    <w:rsid w:val="00150661"/>
    <w:rsid w:val="00151EB6"/>
    <w:rsid w:val="001527A4"/>
    <w:rsid w:val="00153552"/>
    <w:rsid w:val="0015489B"/>
    <w:rsid w:val="00157260"/>
    <w:rsid w:val="00157299"/>
    <w:rsid w:val="00161F1C"/>
    <w:rsid w:val="00162120"/>
    <w:rsid w:val="00162522"/>
    <w:rsid w:val="001647E6"/>
    <w:rsid w:val="0016752E"/>
    <w:rsid w:val="0017517D"/>
    <w:rsid w:val="00177CEC"/>
    <w:rsid w:val="0018091D"/>
    <w:rsid w:val="00180F50"/>
    <w:rsid w:val="00181D45"/>
    <w:rsid w:val="00182987"/>
    <w:rsid w:val="0018342B"/>
    <w:rsid w:val="00183E93"/>
    <w:rsid w:val="0019126C"/>
    <w:rsid w:val="00193DFD"/>
    <w:rsid w:val="00194E86"/>
    <w:rsid w:val="00195327"/>
    <w:rsid w:val="0019588F"/>
    <w:rsid w:val="00197341"/>
    <w:rsid w:val="001A3756"/>
    <w:rsid w:val="001A48C9"/>
    <w:rsid w:val="001A6855"/>
    <w:rsid w:val="001B020C"/>
    <w:rsid w:val="001B0C01"/>
    <w:rsid w:val="001B1900"/>
    <w:rsid w:val="001B7AA1"/>
    <w:rsid w:val="001C145A"/>
    <w:rsid w:val="001C351B"/>
    <w:rsid w:val="001C6097"/>
    <w:rsid w:val="001D2861"/>
    <w:rsid w:val="001D2BFE"/>
    <w:rsid w:val="001D58B4"/>
    <w:rsid w:val="001D6069"/>
    <w:rsid w:val="001E446A"/>
    <w:rsid w:val="001E6B57"/>
    <w:rsid w:val="001E787F"/>
    <w:rsid w:val="001F29D2"/>
    <w:rsid w:val="001F3074"/>
    <w:rsid w:val="001F6E77"/>
    <w:rsid w:val="001F7CC7"/>
    <w:rsid w:val="0020177A"/>
    <w:rsid w:val="00203B28"/>
    <w:rsid w:val="00206F71"/>
    <w:rsid w:val="00214ECD"/>
    <w:rsid w:val="0022103A"/>
    <w:rsid w:val="0022423C"/>
    <w:rsid w:val="002251EE"/>
    <w:rsid w:val="002254D4"/>
    <w:rsid w:val="00225974"/>
    <w:rsid w:val="00226B02"/>
    <w:rsid w:val="00226E90"/>
    <w:rsid w:val="0022738C"/>
    <w:rsid w:val="00241527"/>
    <w:rsid w:val="002442D5"/>
    <w:rsid w:val="00244568"/>
    <w:rsid w:val="0024716B"/>
    <w:rsid w:val="00255D49"/>
    <w:rsid w:val="00272FB6"/>
    <w:rsid w:val="00277971"/>
    <w:rsid w:val="002839E5"/>
    <w:rsid w:val="00283ABF"/>
    <w:rsid w:val="0028551B"/>
    <w:rsid w:val="002A47BE"/>
    <w:rsid w:val="002B5DC1"/>
    <w:rsid w:val="002B6965"/>
    <w:rsid w:val="002C10B1"/>
    <w:rsid w:val="002E03C3"/>
    <w:rsid w:val="002F25B8"/>
    <w:rsid w:val="002F6827"/>
    <w:rsid w:val="002F7ADB"/>
    <w:rsid w:val="00305C86"/>
    <w:rsid w:val="0030715A"/>
    <w:rsid w:val="0031184F"/>
    <w:rsid w:val="00316841"/>
    <w:rsid w:val="0032197D"/>
    <w:rsid w:val="00321CBA"/>
    <w:rsid w:val="00324F97"/>
    <w:rsid w:val="0032502A"/>
    <w:rsid w:val="003305A6"/>
    <w:rsid w:val="003323A5"/>
    <w:rsid w:val="003341FB"/>
    <w:rsid w:val="00336D50"/>
    <w:rsid w:val="00337A0A"/>
    <w:rsid w:val="003417A5"/>
    <w:rsid w:val="003452CD"/>
    <w:rsid w:val="0034676C"/>
    <w:rsid w:val="003468E7"/>
    <w:rsid w:val="00346B87"/>
    <w:rsid w:val="003507E1"/>
    <w:rsid w:val="0035153F"/>
    <w:rsid w:val="003523E7"/>
    <w:rsid w:val="003563CB"/>
    <w:rsid w:val="003607DA"/>
    <w:rsid w:val="00361304"/>
    <w:rsid w:val="003640E6"/>
    <w:rsid w:val="00366AA5"/>
    <w:rsid w:val="00370A85"/>
    <w:rsid w:val="00373AF1"/>
    <w:rsid w:val="00382CB8"/>
    <w:rsid w:val="00383A2D"/>
    <w:rsid w:val="003848C7"/>
    <w:rsid w:val="00387534"/>
    <w:rsid w:val="00393D94"/>
    <w:rsid w:val="00395343"/>
    <w:rsid w:val="003963FC"/>
    <w:rsid w:val="003A0E51"/>
    <w:rsid w:val="003B0C23"/>
    <w:rsid w:val="003B65A8"/>
    <w:rsid w:val="003C2BD6"/>
    <w:rsid w:val="003C5AF9"/>
    <w:rsid w:val="003D036C"/>
    <w:rsid w:val="003D11C4"/>
    <w:rsid w:val="003D4A77"/>
    <w:rsid w:val="003D5394"/>
    <w:rsid w:val="003D71AA"/>
    <w:rsid w:val="003E2ED3"/>
    <w:rsid w:val="003E302A"/>
    <w:rsid w:val="003E6ECD"/>
    <w:rsid w:val="003F7745"/>
    <w:rsid w:val="0040018A"/>
    <w:rsid w:val="00400EDC"/>
    <w:rsid w:val="0041288F"/>
    <w:rsid w:val="004128B3"/>
    <w:rsid w:val="00423237"/>
    <w:rsid w:val="00426923"/>
    <w:rsid w:val="004314CB"/>
    <w:rsid w:val="004324D2"/>
    <w:rsid w:val="00434D71"/>
    <w:rsid w:val="004371FB"/>
    <w:rsid w:val="00445A62"/>
    <w:rsid w:val="004465E8"/>
    <w:rsid w:val="00446C25"/>
    <w:rsid w:val="00453053"/>
    <w:rsid w:val="004557AA"/>
    <w:rsid w:val="00466205"/>
    <w:rsid w:val="00467EE2"/>
    <w:rsid w:val="004704DF"/>
    <w:rsid w:val="004735D9"/>
    <w:rsid w:val="00480CCA"/>
    <w:rsid w:val="00485090"/>
    <w:rsid w:val="004924A8"/>
    <w:rsid w:val="004A0DC7"/>
    <w:rsid w:val="004B0FA9"/>
    <w:rsid w:val="004B1B13"/>
    <w:rsid w:val="004B37E9"/>
    <w:rsid w:val="004C21D0"/>
    <w:rsid w:val="004C5F27"/>
    <w:rsid w:val="004C69BA"/>
    <w:rsid w:val="004C7202"/>
    <w:rsid w:val="004D1E66"/>
    <w:rsid w:val="004D4FD8"/>
    <w:rsid w:val="004D5B41"/>
    <w:rsid w:val="004E1D7D"/>
    <w:rsid w:val="004E32E8"/>
    <w:rsid w:val="004E3650"/>
    <w:rsid w:val="004E3835"/>
    <w:rsid w:val="004E5A76"/>
    <w:rsid w:val="00502C8A"/>
    <w:rsid w:val="00504FE1"/>
    <w:rsid w:val="00511A51"/>
    <w:rsid w:val="0051415B"/>
    <w:rsid w:val="005156A9"/>
    <w:rsid w:val="0051751A"/>
    <w:rsid w:val="005201C8"/>
    <w:rsid w:val="005313C5"/>
    <w:rsid w:val="005313EE"/>
    <w:rsid w:val="00532E74"/>
    <w:rsid w:val="00533BE9"/>
    <w:rsid w:val="005341C2"/>
    <w:rsid w:val="00541DC3"/>
    <w:rsid w:val="00546F4C"/>
    <w:rsid w:val="0055143B"/>
    <w:rsid w:val="005523C1"/>
    <w:rsid w:val="00552D75"/>
    <w:rsid w:val="005534CA"/>
    <w:rsid w:val="005603E9"/>
    <w:rsid w:val="00561E47"/>
    <w:rsid w:val="00563AF6"/>
    <w:rsid w:val="00565996"/>
    <w:rsid w:val="00565EC6"/>
    <w:rsid w:val="00574550"/>
    <w:rsid w:val="0057493F"/>
    <w:rsid w:val="00580E82"/>
    <w:rsid w:val="00581A4C"/>
    <w:rsid w:val="00585414"/>
    <w:rsid w:val="00595E57"/>
    <w:rsid w:val="005A0838"/>
    <w:rsid w:val="005A0C8E"/>
    <w:rsid w:val="005A1338"/>
    <w:rsid w:val="005A404C"/>
    <w:rsid w:val="005A5D91"/>
    <w:rsid w:val="005A7B6B"/>
    <w:rsid w:val="005B5851"/>
    <w:rsid w:val="005B6BB2"/>
    <w:rsid w:val="005C1BAB"/>
    <w:rsid w:val="005C3C2F"/>
    <w:rsid w:val="005C44B1"/>
    <w:rsid w:val="005C5D22"/>
    <w:rsid w:val="005C70E9"/>
    <w:rsid w:val="005D1925"/>
    <w:rsid w:val="005E5D37"/>
    <w:rsid w:val="005F5974"/>
    <w:rsid w:val="005F6CE6"/>
    <w:rsid w:val="006066DC"/>
    <w:rsid w:val="006123C9"/>
    <w:rsid w:val="00615A40"/>
    <w:rsid w:val="00620C58"/>
    <w:rsid w:val="00623422"/>
    <w:rsid w:val="00625CB1"/>
    <w:rsid w:val="00630816"/>
    <w:rsid w:val="00634AA1"/>
    <w:rsid w:val="00634C2F"/>
    <w:rsid w:val="00636D52"/>
    <w:rsid w:val="00641E14"/>
    <w:rsid w:val="00641EF5"/>
    <w:rsid w:val="006512F6"/>
    <w:rsid w:val="00652F61"/>
    <w:rsid w:val="006539CC"/>
    <w:rsid w:val="006551AD"/>
    <w:rsid w:val="00661EAD"/>
    <w:rsid w:val="00665824"/>
    <w:rsid w:val="0067149F"/>
    <w:rsid w:val="00671C4E"/>
    <w:rsid w:val="006723AE"/>
    <w:rsid w:val="00675F1D"/>
    <w:rsid w:val="0067791C"/>
    <w:rsid w:val="00680FC7"/>
    <w:rsid w:val="006814EA"/>
    <w:rsid w:val="00681CD7"/>
    <w:rsid w:val="00681EB0"/>
    <w:rsid w:val="006868AE"/>
    <w:rsid w:val="006958EB"/>
    <w:rsid w:val="00695B3C"/>
    <w:rsid w:val="006B22BE"/>
    <w:rsid w:val="006B4C20"/>
    <w:rsid w:val="006B6396"/>
    <w:rsid w:val="006C1B4C"/>
    <w:rsid w:val="006C287E"/>
    <w:rsid w:val="006D1641"/>
    <w:rsid w:val="006D1EEF"/>
    <w:rsid w:val="006D30F6"/>
    <w:rsid w:val="006D49E1"/>
    <w:rsid w:val="006D6859"/>
    <w:rsid w:val="006D75B7"/>
    <w:rsid w:val="006F41A3"/>
    <w:rsid w:val="006F739C"/>
    <w:rsid w:val="006F7F53"/>
    <w:rsid w:val="007006E8"/>
    <w:rsid w:val="007008AB"/>
    <w:rsid w:val="0070242E"/>
    <w:rsid w:val="0070436A"/>
    <w:rsid w:val="007115AD"/>
    <w:rsid w:val="007178C6"/>
    <w:rsid w:val="00724856"/>
    <w:rsid w:val="00732974"/>
    <w:rsid w:val="00746279"/>
    <w:rsid w:val="00746A76"/>
    <w:rsid w:val="00751A52"/>
    <w:rsid w:val="007520DF"/>
    <w:rsid w:val="00755F3F"/>
    <w:rsid w:val="00756037"/>
    <w:rsid w:val="007633A2"/>
    <w:rsid w:val="00765DBC"/>
    <w:rsid w:val="0077167B"/>
    <w:rsid w:val="0078374B"/>
    <w:rsid w:val="00793213"/>
    <w:rsid w:val="007B0198"/>
    <w:rsid w:val="007B05FC"/>
    <w:rsid w:val="007B080E"/>
    <w:rsid w:val="007C0D74"/>
    <w:rsid w:val="007C5435"/>
    <w:rsid w:val="007D36C0"/>
    <w:rsid w:val="007D60B4"/>
    <w:rsid w:val="007D7A5E"/>
    <w:rsid w:val="007E3683"/>
    <w:rsid w:val="007F225D"/>
    <w:rsid w:val="007F772E"/>
    <w:rsid w:val="007F7AE4"/>
    <w:rsid w:val="0080368E"/>
    <w:rsid w:val="0080456A"/>
    <w:rsid w:val="008117CC"/>
    <w:rsid w:val="00812DFA"/>
    <w:rsid w:val="008133E0"/>
    <w:rsid w:val="00815092"/>
    <w:rsid w:val="008161E3"/>
    <w:rsid w:val="008176A5"/>
    <w:rsid w:val="008206B4"/>
    <w:rsid w:val="008236A9"/>
    <w:rsid w:val="0082483C"/>
    <w:rsid w:val="00824D5B"/>
    <w:rsid w:val="0083198B"/>
    <w:rsid w:val="008340EA"/>
    <w:rsid w:val="008349BE"/>
    <w:rsid w:val="0083716D"/>
    <w:rsid w:val="00842721"/>
    <w:rsid w:val="00854851"/>
    <w:rsid w:val="00856ED4"/>
    <w:rsid w:val="008571D3"/>
    <w:rsid w:val="00862197"/>
    <w:rsid w:val="0086468C"/>
    <w:rsid w:val="00867476"/>
    <w:rsid w:val="008712B9"/>
    <w:rsid w:val="00872770"/>
    <w:rsid w:val="00873B00"/>
    <w:rsid w:val="00874CDC"/>
    <w:rsid w:val="008756B0"/>
    <w:rsid w:val="00880E0A"/>
    <w:rsid w:val="00881A78"/>
    <w:rsid w:val="0088224B"/>
    <w:rsid w:val="0088689E"/>
    <w:rsid w:val="00887956"/>
    <w:rsid w:val="008A003E"/>
    <w:rsid w:val="008A0578"/>
    <w:rsid w:val="008B46B1"/>
    <w:rsid w:val="008B4A1A"/>
    <w:rsid w:val="008B5600"/>
    <w:rsid w:val="008C290F"/>
    <w:rsid w:val="008C2ED6"/>
    <w:rsid w:val="008C348C"/>
    <w:rsid w:val="008C5072"/>
    <w:rsid w:val="008D0150"/>
    <w:rsid w:val="008D20FE"/>
    <w:rsid w:val="008D4744"/>
    <w:rsid w:val="008D6100"/>
    <w:rsid w:val="008E22C5"/>
    <w:rsid w:val="008E44FF"/>
    <w:rsid w:val="008F3386"/>
    <w:rsid w:val="00900057"/>
    <w:rsid w:val="009012E6"/>
    <w:rsid w:val="00901FDA"/>
    <w:rsid w:val="00911B47"/>
    <w:rsid w:val="00912079"/>
    <w:rsid w:val="009121B5"/>
    <w:rsid w:val="009159FD"/>
    <w:rsid w:val="00916EC1"/>
    <w:rsid w:val="00920B7E"/>
    <w:rsid w:val="00923F7E"/>
    <w:rsid w:val="009243D2"/>
    <w:rsid w:val="00924B3D"/>
    <w:rsid w:val="00926EF9"/>
    <w:rsid w:val="00933EB2"/>
    <w:rsid w:val="00934BCD"/>
    <w:rsid w:val="00936A46"/>
    <w:rsid w:val="00937D46"/>
    <w:rsid w:val="00940150"/>
    <w:rsid w:val="00942C0B"/>
    <w:rsid w:val="009515C5"/>
    <w:rsid w:val="00953BFA"/>
    <w:rsid w:val="009543A2"/>
    <w:rsid w:val="00957A77"/>
    <w:rsid w:val="00957EE9"/>
    <w:rsid w:val="009632D4"/>
    <w:rsid w:val="0096766E"/>
    <w:rsid w:val="009709B5"/>
    <w:rsid w:val="00974B14"/>
    <w:rsid w:val="0097783A"/>
    <w:rsid w:val="009848A9"/>
    <w:rsid w:val="00986822"/>
    <w:rsid w:val="00990DFF"/>
    <w:rsid w:val="00997A2D"/>
    <w:rsid w:val="009A4578"/>
    <w:rsid w:val="009A4719"/>
    <w:rsid w:val="009B00B0"/>
    <w:rsid w:val="009B075F"/>
    <w:rsid w:val="009B0968"/>
    <w:rsid w:val="009B7514"/>
    <w:rsid w:val="009C274A"/>
    <w:rsid w:val="009C3B79"/>
    <w:rsid w:val="009C5D87"/>
    <w:rsid w:val="009C7E3C"/>
    <w:rsid w:val="009D0AEB"/>
    <w:rsid w:val="009E5F84"/>
    <w:rsid w:val="009F00BE"/>
    <w:rsid w:val="009F0DF5"/>
    <w:rsid w:val="009F5C4B"/>
    <w:rsid w:val="009F740A"/>
    <w:rsid w:val="00A014D9"/>
    <w:rsid w:val="00A01AEA"/>
    <w:rsid w:val="00A06B92"/>
    <w:rsid w:val="00A14674"/>
    <w:rsid w:val="00A163EF"/>
    <w:rsid w:val="00A1674C"/>
    <w:rsid w:val="00A21F26"/>
    <w:rsid w:val="00A27389"/>
    <w:rsid w:val="00A30C19"/>
    <w:rsid w:val="00A31E05"/>
    <w:rsid w:val="00A3499C"/>
    <w:rsid w:val="00A40724"/>
    <w:rsid w:val="00A40AF5"/>
    <w:rsid w:val="00A507B0"/>
    <w:rsid w:val="00A51191"/>
    <w:rsid w:val="00A573C2"/>
    <w:rsid w:val="00A611C2"/>
    <w:rsid w:val="00A63987"/>
    <w:rsid w:val="00A65A81"/>
    <w:rsid w:val="00A65DBE"/>
    <w:rsid w:val="00A717CC"/>
    <w:rsid w:val="00A71F66"/>
    <w:rsid w:val="00A7258A"/>
    <w:rsid w:val="00A76B02"/>
    <w:rsid w:val="00A804B0"/>
    <w:rsid w:val="00A97204"/>
    <w:rsid w:val="00AA0F94"/>
    <w:rsid w:val="00AA6BE7"/>
    <w:rsid w:val="00AB0B6F"/>
    <w:rsid w:val="00AB496C"/>
    <w:rsid w:val="00AB5CC0"/>
    <w:rsid w:val="00AC73B6"/>
    <w:rsid w:val="00AC7E04"/>
    <w:rsid w:val="00AD1F16"/>
    <w:rsid w:val="00AE38CB"/>
    <w:rsid w:val="00AE5948"/>
    <w:rsid w:val="00AE7076"/>
    <w:rsid w:val="00AF0343"/>
    <w:rsid w:val="00AF1598"/>
    <w:rsid w:val="00B0076D"/>
    <w:rsid w:val="00B00843"/>
    <w:rsid w:val="00B02439"/>
    <w:rsid w:val="00B03083"/>
    <w:rsid w:val="00B042BE"/>
    <w:rsid w:val="00B05903"/>
    <w:rsid w:val="00B05B0C"/>
    <w:rsid w:val="00B077B3"/>
    <w:rsid w:val="00B20B6D"/>
    <w:rsid w:val="00B26E69"/>
    <w:rsid w:val="00B27BDF"/>
    <w:rsid w:val="00B27CC4"/>
    <w:rsid w:val="00B30BCF"/>
    <w:rsid w:val="00B318CA"/>
    <w:rsid w:val="00B34870"/>
    <w:rsid w:val="00B35310"/>
    <w:rsid w:val="00B54597"/>
    <w:rsid w:val="00B57277"/>
    <w:rsid w:val="00B6426A"/>
    <w:rsid w:val="00B644F9"/>
    <w:rsid w:val="00B66575"/>
    <w:rsid w:val="00B74E6C"/>
    <w:rsid w:val="00B852A0"/>
    <w:rsid w:val="00B857BD"/>
    <w:rsid w:val="00B9176C"/>
    <w:rsid w:val="00B97CDD"/>
    <w:rsid w:val="00BA2230"/>
    <w:rsid w:val="00BA37C6"/>
    <w:rsid w:val="00BA5543"/>
    <w:rsid w:val="00BB0B28"/>
    <w:rsid w:val="00BB7C87"/>
    <w:rsid w:val="00BD786B"/>
    <w:rsid w:val="00BE4860"/>
    <w:rsid w:val="00BF1D04"/>
    <w:rsid w:val="00C0681D"/>
    <w:rsid w:val="00C110A5"/>
    <w:rsid w:val="00C114A9"/>
    <w:rsid w:val="00C12E4A"/>
    <w:rsid w:val="00C1475D"/>
    <w:rsid w:val="00C177BB"/>
    <w:rsid w:val="00C20600"/>
    <w:rsid w:val="00C22C90"/>
    <w:rsid w:val="00C24296"/>
    <w:rsid w:val="00C2459C"/>
    <w:rsid w:val="00C25235"/>
    <w:rsid w:val="00C254B5"/>
    <w:rsid w:val="00C273A7"/>
    <w:rsid w:val="00C31E99"/>
    <w:rsid w:val="00C3504C"/>
    <w:rsid w:val="00C409DF"/>
    <w:rsid w:val="00C43C24"/>
    <w:rsid w:val="00C4474D"/>
    <w:rsid w:val="00C45C37"/>
    <w:rsid w:val="00C52530"/>
    <w:rsid w:val="00C56617"/>
    <w:rsid w:val="00C57D34"/>
    <w:rsid w:val="00C6763A"/>
    <w:rsid w:val="00C70B96"/>
    <w:rsid w:val="00C73C8B"/>
    <w:rsid w:val="00C74B69"/>
    <w:rsid w:val="00C83E54"/>
    <w:rsid w:val="00C8682B"/>
    <w:rsid w:val="00C97030"/>
    <w:rsid w:val="00CA6202"/>
    <w:rsid w:val="00CB06B8"/>
    <w:rsid w:val="00CB19F9"/>
    <w:rsid w:val="00CC6722"/>
    <w:rsid w:val="00CD0601"/>
    <w:rsid w:val="00CF2A08"/>
    <w:rsid w:val="00D03620"/>
    <w:rsid w:val="00D06E91"/>
    <w:rsid w:val="00D10597"/>
    <w:rsid w:val="00D10A21"/>
    <w:rsid w:val="00D11558"/>
    <w:rsid w:val="00D118EE"/>
    <w:rsid w:val="00D20298"/>
    <w:rsid w:val="00D21E90"/>
    <w:rsid w:val="00D21FAC"/>
    <w:rsid w:val="00D30079"/>
    <w:rsid w:val="00D34A5D"/>
    <w:rsid w:val="00D370B1"/>
    <w:rsid w:val="00D37DE5"/>
    <w:rsid w:val="00D40994"/>
    <w:rsid w:val="00D410D9"/>
    <w:rsid w:val="00D41221"/>
    <w:rsid w:val="00D43D8D"/>
    <w:rsid w:val="00D460AF"/>
    <w:rsid w:val="00D4689A"/>
    <w:rsid w:val="00D46AEF"/>
    <w:rsid w:val="00D57FC2"/>
    <w:rsid w:val="00D612B8"/>
    <w:rsid w:val="00D61D54"/>
    <w:rsid w:val="00D630E0"/>
    <w:rsid w:val="00D64AA6"/>
    <w:rsid w:val="00D65CB1"/>
    <w:rsid w:val="00D66CCC"/>
    <w:rsid w:val="00D706B2"/>
    <w:rsid w:val="00D73BEF"/>
    <w:rsid w:val="00D750DC"/>
    <w:rsid w:val="00D76F96"/>
    <w:rsid w:val="00D8175E"/>
    <w:rsid w:val="00D91486"/>
    <w:rsid w:val="00DB2EE2"/>
    <w:rsid w:val="00DD02CA"/>
    <w:rsid w:val="00DD12AA"/>
    <w:rsid w:val="00DD13B3"/>
    <w:rsid w:val="00DD1BD1"/>
    <w:rsid w:val="00DE7156"/>
    <w:rsid w:val="00DF096D"/>
    <w:rsid w:val="00DF2DC5"/>
    <w:rsid w:val="00DF5AF1"/>
    <w:rsid w:val="00DF7F33"/>
    <w:rsid w:val="00E02DFD"/>
    <w:rsid w:val="00E03C83"/>
    <w:rsid w:val="00E23F44"/>
    <w:rsid w:val="00E24554"/>
    <w:rsid w:val="00E35116"/>
    <w:rsid w:val="00E3796F"/>
    <w:rsid w:val="00E40ADB"/>
    <w:rsid w:val="00E448CB"/>
    <w:rsid w:val="00E44AB9"/>
    <w:rsid w:val="00E47AAD"/>
    <w:rsid w:val="00E554BA"/>
    <w:rsid w:val="00E6793C"/>
    <w:rsid w:val="00E73087"/>
    <w:rsid w:val="00E756FC"/>
    <w:rsid w:val="00E76475"/>
    <w:rsid w:val="00E77057"/>
    <w:rsid w:val="00E81FDC"/>
    <w:rsid w:val="00E82817"/>
    <w:rsid w:val="00E82D31"/>
    <w:rsid w:val="00E8591C"/>
    <w:rsid w:val="00E85C3C"/>
    <w:rsid w:val="00E86B4A"/>
    <w:rsid w:val="00E9103B"/>
    <w:rsid w:val="00E9135B"/>
    <w:rsid w:val="00E929FA"/>
    <w:rsid w:val="00E96D52"/>
    <w:rsid w:val="00EA0D42"/>
    <w:rsid w:val="00EA2806"/>
    <w:rsid w:val="00EA6033"/>
    <w:rsid w:val="00EB201D"/>
    <w:rsid w:val="00EB3612"/>
    <w:rsid w:val="00EB3ED8"/>
    <w:rsid w:val="00EB40FD"/>
    <w:rsid w:val="00EB6D5D"/>
    <w:rsid w:val="00EC2FBD"/>
    <w:rsid w:val="00EC48EF"/>
    <w:rsid w:val="00EC542A"/>
    <w:rsid w:val="00EC663E"/>
    <w:rsid w:val="00EC73F0"/>
    <w:rsid w:val="00EC7A89"/>
    <w:rsid w:val="00ED2DD9"/>
    <w:rsid w:val="00ED3979"/>
    <w:rsid w:val="00ED3CB8"/>
    <w:rsid w:val="00ED6F75"/>
    <w:rsid w:val="00EE366E"/>
    <w:rsid w:val="00EF0C9C"/>
    <w:rsid w:val="00EF2C8F"/>
    <w:rsid w:val="00EF4B99"/>
    <w:rsid w:val="00EF73AE"/>
    <w:rsid w:val="00F0017C"/>
    <w:rsid w:val="00F0108F"/>
    <w:rsid w:val="00F05643"/>
    <w:rsid w:val="00F1350F"/>
    <w:rsid w:val="00F16321"/>
    <w:rsid w:val="00F2071F"/>
    <w:rsid w:val="00F20E7E"/>
    <w:rsid w:val="00F233E7"/>
    <w:rsid w:val="00F259DF"/>
    <w:rsid w:val="00F26E65"/>
    <w:rsid w:val="00F31454"/>
    <w:rsid w:val="00F35508"/>
    <w:rsid w:val="00F370A6"/>
    <w:rsid w:val="00F402C5"/>
    <w:rsid w:val="00F44B13"/>
    <w:rsid w:val="00F51D76"/>
    <w:rsid w:val="00F523AB"/>
    <w:rsid w:val="00F55CA5"/>
    <w:rsid w:val="00F60804"/>
    <w:rsid w:val="00F60FB4"/>
    <w:rsid w:val="00F6282C"/>
    <w:rsid w:val="00F756DE"/>
    <w:rsid w:val="00F769B6"/>
    <w:rsid w:val="00F80162"/>
    <w:rsid w:val="00F83ECA"/>
    <w:rsid w:val="00F87CC8"/>
    <w:rsid w:val="00F903FF"/>
    <w:rsid w:val="00FA2CAC"/>
    <w:rsid w:val="00FB0164"/>
    <w:rsid w:val="00FB3753"/>
    <w:rsid w:val="00FB48C9"/>
    <w:rsid w:val="00FB490F"/>
    <w:rsid w:val="00FB4B13"/>
    <w:rsid w:val="00FC0A8B"/>
    <w:rsid w:val="00FC0CEA"/>
    <w:rsid w:val="00FC43C6"/>
    <w:rsid w:val="00FC52CF"/>
    <w:rsid w:val="00FC579A"/>
    <w:rsid w:val="00FC734F"/>
    <w:rsid w:val="00FD18D2"/>
    <w:rsid w:val="00FD3E6A"/>
    <w:rsid w:val="00FD46B4"/>
    <w:rsid w:val="00FD56E8"/>
    <w:rsid w:val="00FD59E2"/>
    <w:rsid w:val="00FD5F5B"/>
    <w:rsid w:val="00FE18AF"/>
    <w:rsid w:val="00FE2197"/>
    <w:rsid w:val="00FE29BD"/>
    <w:rsid w:val="00FE3D39"/>
    <w:rsid w:val="00FE40BC"/>
    <w:rsid w:val="00FE44A6"/>
    <w:rsid w:val="00FE5D2D"/>
    <w:rsid w:val="00FF1BB2"/>
    <w:rsid w:val="00FF207C"/>
    <w:rsid w:val="00FF453D"/>
    <w:rsid w:val="00FF640D"/>
    <w:rsid w:val="00FF6B6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8C145B3"/>
  <w15:chartTrackingRefBased/>
  <w15:docId w15:val="{BEDFBD94-FBD8-493A-97C9-0D9025E45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de-CH" w:eastAsia="en-US" w:bidi="ar-SA"/>
      </w:rPr>
    </w:rPrDefault>
    <w:pPrDefault>
      <w:pPr>
        <w:spacing w:after="120"/>
      </w:pPr>
    </w:pPrDefault>
  </w:docDefaults>
  <w:latentStyles w:defLockedState="1" w:defUIPriority="99" w:defSemiHidden="0" w:defUnhideWhenUsed="0" w:defQFormat="0" w:count="371">
    <w:lsdException w:name="Normal" w:locked="0"/>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locked="0" w:semiHidden="1" w:unhideWhenUsed="1"/>
    <w:lsdException w:name="footnote text" w:locked="0" w:semiHidden="1" w:unhideWhenUsed="1" w:qFormat="1"/>
    <w:lsdException w:name="annotation text" w:locked="0" w:semiHidden="1" w:unhideWhenUsed="1"/>
    <w:lsdException w:name="header" w:locked="0" w:semiHidden="1" w:unhideWhenUsed="1" w:qFormat="1"/>
    <w:lsdException w:name="footer" w:locked="0" w:semiHidden="1" w:unhideWhenUsed="1" w:qFormat="1"/>
    <w:lsdException w:name="index heading" w:locked="0" w:semiHidden="1" w:unhideWhenUsed="1"/>
    <w:lsdException w:name="caption" w:locked="0" w:semiHidden="1" w:uiPriority="28" w:unhideWhenUsed="1" w:qFormat="1"/>
    <w:lsdException w:name="table of figures" w:locked="0" w:semiHidden="1" w:uiPriority="97" w:unhideWhenUsed="1"/>
    <w:lsdException w:name="envelope address" w:locked="0" w:semiHidden="1" w:unhideWhenUsed="1"/>
    <w:lsdException w:name="envelope return" w:locked="0" w:semiHidden="1" w:unhideWhenUsed="1"/>
    <w:lsdException w:name="footnote reference" w:locked="0" w:semiHidden="1" w:unhideWhenUsed="1" w:qFormat="1"/>
    <w:lsdException w:name="annotation reference" w:locked="0" w:qFormat="1"/>
    <w:lsdException w:name="line number" w:locked="0" w:semiHidden="1" w:unhideWhenUsed="1"/>
    <w:lsdException w:name="page number" w:locked="0" w:semiHidden="1" w:unhideWhenUsed="1"/>
    <w:lsdException w:name="endnote reference" w:locked="0" w:semiHidden="1" w:uiPriority="96" w:unhideWhenUsed="1"/>
    <w:lsdException w:name="endnote text" w:locked="0" w:semiHidden="1" w:uiPriority="96"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iPriority="9" w:unhideWhenUsed="1" w:qFormat="1"/>
    <w:lsdException w:name="List Number" w:locked="0" w:semiHidden="1" w:uiPriority="8" w:unhideWhenUsed="1" w:qFormat="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iPriority="9" w:unhideWhenUsed="1"/>
    <w:lsdException w:name="List Bullet 3" w:locked="0" w:semiHidden="1" w:uiPriority="9" w:unhideWhenUsed="1"/>
    <w:lsdException w:name="List Bullet 4" w:locked="0" w:semiHidden="1" w:uiPriority="9" w:unhideWhenUsed="1"/>
    <w:lsdException w:name="List Bullet 5" w:locked="0" w:semiHidden="1" w:uiPriority="9" w:unhideWhenUsed="1"/>
    <w:lsdException w:name="List Number 2" w:locked="0" w:semiHidden="1" w:uiPriority="8" w:unhideWhenUsed="1"/>
    <w:lsdException w:name="List Number 3" w:locked="0" w:semiHidden="1" w:uiPriority="8" w:unhideWhenUsed="1"/>
    <w:lsdException w:name="List Number 4" w:locked="0" w:semiHidden="1" w:uiPriority="8" w:unhideWhenUsed="1"/>
    <w:lsdException w:name="List Number 5" w:locked="0" w:semiHidden="1" w:uiPriority="8" w:unhideWhenUsed="1"/>
    <w:lsdException w:name="Title" w:locked="0" w:uiPriority="25" w:qFormat="1"/>
    <w:lsdException w:name="Closing" w:locked="0" w:semiHidden="1" w:unhideWhenUsed="1"/>
    <w:lsdException w:name="Signature" w:locked="0" w:semiHidden="1" w:unhideWhenUsed="1"/>
    <w:lsdException w:name="Default Paragraph Font" w:locked="0" w:semiHidden="1" w:uiPriority="1" w:unhideWhenUsed="1"/>
    <w:lsdException w:name="Body Text" w:locked="0" w:semiHidden="1" w:uiPriority="0" w:unhideWhenUsed="1" w:qFormat="1"/>
    <w:lsdException w:name="Body Text Indent" w:locked="0" w:uiPriority="19" w:qFormat="1"/>
    <w:lsdException w:name="List Continue" w:locked="0" w:semiHidden="1" w:uiPriority="0"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uiPriority="11" w:qFormat="1"/>
    <w:lsdException w:name="Salutation" w:locked="0" w:semiHidden="1" w:unhideWhenUsed="1"/>
    <w:lsdException w:name="Date" w:locked="0" w:semiHidden="1" w:uiPriority="22" w:unhideWhenUsed="1" w:qFormat="1"/>
    <w:lsdException w:name="Body Text First Indent" w:locked="0" w:uiPriority="21" w:qFormat="1"/>
    <w:lsdException w:name="Body Text First Indent 2" w:locked="0" w:uiPriority="24" w:qFormat="1"/>
    <w:lsdException w:name="Note Heading" w:locked="0" w:semiHidden="1" w:uiPriority="96" w:unhideWhenUsed="1"/>
    <w:lsdException w:name="Body Text 2" w:locked="0" w:semiHidden="1" w:uiPriority="17" w:unhideWhenUsed="1" w:qFormat="1"/>
    <w:lsdException w:name="Body Text 3" w:locked="0" w:semiHidden="1" w:uiPriority="18" w:unhideWhenUsed="1" w:qFormat="1"/>
    <w:lsdException w:name="Body Text Indent 2" w:locked="0" w:uiPriority="23" w:qFormat="1"/>
    <w:lsdException w:name="Body Text Indent 3" w:locked="0" w:uiPriority="20" w:qFormat="1"/>
    <w:lsdException w:name="Block Text" w:locked="0" w:semiHidden="1" w:uiPriority="11" w:unhideWhenUsed="1" w:qFormat="1"/>
    <w:lsdException w:name="Hyperlink" w:locked="0" w:semiHidden="1" w:unhideWhenUsed="1" w:qFormat="1"/>
    <w:lsdException w:name="FollowedHyperlink" w:locked="0" w:semiHidden="1" w:uiPriority="34" w:unhideWhenUsed="1"/>
    <w:lsdException w:name="Strong" w:locked="0" w:uiPriority="22" w:qFormat="1"/>
    <w:lsdException w:name="Emphasis" w:locked="0" w:uiPriority="20" w:qFormat="1"/>
    <w:lsdException w:name="Document Map" w:locked="0" w:semiHidden="1" w:uiPriority="15" w:unhideWhenUsed="1" w:qFormat="1"/>
    <w:lsdException w:name="Plain Text" w:locked="0" w:uiPriority="16" w:qFormat="1"/>
    <w:lsdException w:name="E-mail Signature" w:locked="0" w:semiHidden="1" w:uiPriority="98"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uiPriority="92"/>
    <w:lsdException w:name="HTML Address" w:locked="0" w:uiPriority="92" w:qFormat="1"/>
    <w:lsdException w:name="HTML Cite" w:locked="0" w:semiHidden="1" w:unhideWhenUsed="1"/>
    <w:lsdException w:name="HTML Code" w:locked="0" w:uiPriority="92" w:qFormat="1"/>
    <w:lsdException w:name="HTML Definition" w:locked="0" w:semiHidden="1" w:unhideWhenUsed="1"/>
    <w:lsdException w:name="HTML Keyboard" w:locked="0" w:semiHidden="1" w:unhideWhenUsed="1"/>
    <w:lsdException w:name="HTML Preformatted" w:locked="0" w:semiHidden="1" w:unhideWhenUsed="1"/>
    <w:lsdException w:name="HTML Sample" w:locked="0" w:uiPriority="50"/>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uiPriority="12" w:qFormat="1"/>
    <w:lsdException w:name="Table Grid" w:locked="0" w:uiPriority="39"/>
    <w:lsdException w:name="Table Theme" w:semiHidden="1" w:unhideWhenUsed="1"/>
    <w:lsdException w:name="Placeholder Text" w:locked="0" w:semiHidden="1"/>
    <w:lsdException w:name="No Spacing" w:lock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14" w:qFormat="1"/>
    <w:lsdException w:name="Intense Quote" w:locked="0" w:uiPriority="1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7" w:qFormat="1"/>
    <w:lsdException w:name="Intense Emphasis" w:locked="0" w:uiPriority="4" w:qFormat="1"/>
    <w:lsdException w:name="Subtle Reference" w:locked="0" w:uiPriority="4" w:qFormat="1"/>
    <w:lsdException w:name="Intense Reference" w:locked="0" w:uiPriority="6" w:qFormat="1"/>
    <w:lsdException w:name="Book Title" w:locked="0" w:uiPriority="10" w:qFormat="1"/>
    <w:lsdException w:name="Bibliography" w:locked="0" w:semiHidden="1"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rsid w:val="00585414"/>
    <w:pPr>
      <w:jc w:val="both"/>
    </w:pPr>
    <w:rPr>
      <w:sz w:val="24"/>
      <w:lang w:val="fr-CH"/>
    </w:rPr>
  </w:style>
  <w:style w:type="paragraph" w:styleId="Heading1">
    <w:name w:val="heading 1"/>
    <w:aliases w:val="1 LOIPR"/>
    <w:basedOn w:val="Normal"/>
    <w:next w:val="BodyText"/>
    <w:link w:val="Heading1Char"/>
    <w:uiPriority w:val="9"/>
    <w:qFormat/>
    <w:rsid w:val="00585414"/>
    <w:pPr>
      <w:keepNext/>
      <w:keepLines/>
      <w:numPr>
        <w:numId w:val="4"/>
      </w:numPr>
      <w:suppressAutoHyphens/>
      <w:spacing w:before="840"/>
      <w:jc w:val="left"/>
      <w:outlineLvl w:val="0"/>
    </w:pPr>
    <w:rPr>
      <w:rFonts w:eastAsiaTheme="majorEastAsia" w:cstheme="majorBidi"/>
      <w:b/>
      <w:bCs/>
      <w:color w:val="B0050D"/>
      <w:sz w:val="28"/>
      <w:szCs w:val="28"/>
      <w:lang w:eastAsia="de-CH"/>
    </w:rPr>
  </w:style>
  <w:style w:type="paragraph" w:styleId="Heading2">
    <w:name w:val="heading 2"/>
    <w:basedOn w:val="Normal"/>
    <w:next w:val="BodyText"/>
    <w:link w:val="Heading2Char"/>
    <w:uiPriority w:val="9"/>
    <w:qFormat/>
    <w:rsid w:val="00585414"/>
    <w:pPr>
      <w:keepNext/>
      <w:keepLines/>
      <w:numPr>
        <w:ilvl w:val="1"/>
        <w:numId w:val="4"/>
      </w:numPr>
      <w:suppressAutoHyphens/>
      <w:spacing w:before="600"/>
      <w:jc w:val="left"/>
      <w:outlineLvl w:val="1"/>
    </w:pPr>
    <w:rPr>
      <w:rFonts w:eastAsiaTheme="majorEastAsia" w:cstheme="majorBidi"/>
      <w:b/>
      <w:bCs/>
      <w:sz w:val="28"/>
      <w:szCs w:val="26"/>
      <w:lang w:eastAsia="de-CH"/>
    </w:rPr>
  </w:style>
  <w:style w:type="paragraph" w:styleId="Heading3">
    <w:name w:val="heading 3"/>
    <w:aliases w:val="3 LOIPR"/>
    <w:basedOn w:val="Normal"/>
    <w:next w:val="BodyText"/>
    <w:link w:val="Heading3Char"/>
    <w:uiPriority w:val="9"/>
    <w:qFormat/>
    <w:rsid w:val="00924B3D"/>
    <w:pPr>
      <w:keepNext/>
      <w:keepLines/>
      <w:numPr>
        <w:ilvl w:val="2"/>
        <w:numId w:val="4"/>
      </w:numPr>
      <w:suppressAutoHyphens/>
      <w:spacing w:before="240"/>
      <w:jc w:val="left"/>
      <w:outlineLvl w:val="2"/>
    </w:pPr>
    <w:rPr>
      <w:rFonts w:eastAsiaTheme="majorEastAsia" w:cstheme="majorBidi"/>
      <w:b/>
      <w:bCs/>
      <w:szCs w:val="20"/>
      <w:lang w:eastAsia="de-CH"/>
    </w:rPr>
  </w:style>
  <w:style w:type="paragraph" w:styleId="Heading4">
    <w:name w:val="heading 4"/>
    <w:basedOn w:val="Normal"/>
    <w:next w:val="BodyText"/>
    <w:link w:val="Heading4Char"/>
    <w:uiPriority w:val="9"/>
    <w:qFormat/>
    <w:rsid w:val="00585414"/>
    <w:pPr>
      <w:keepNext/>
      <w:keepLines/>
      <w:numPr>
        <w:ilvl w:val="3"/>
        <w:numId w:val="4"/>
      </w:numPr>
      <w:suppressAutoHyphens/>
      <w:spacing w:before="360" w:after="40"/>
      <w:jc w:val="left"/>
      <w:outlineLvl w:val="3"/>
    </w:pPr>
    <w:rPr>
      <w:rFonts w:eastAsiaTheme="majorEastAsia" w:cstheme="majorBidi"/>
      <w:b/>
      <w:bCs/>
      <w:i/>
      <w:iCs/>
      <w:szCs w:val="20"/>
      <w:lang w:val="en-US" w:eastAsia="de-CH"/>
    </w:rPr>
  </w:style>
  <w:style w:type="paragraph" w:styleId="Heading5">
    <w:name w:val="heading 5"/>
    <w:basedOn w:val="Normal"/>
    <w:next w:val="BodyText"/>
    <w:link w:val="Heading5Char"/>
    <w:uiPriority w:val="9"/>
    <w:qFormat/>
    <w:rsid w:val="00585414"/>
    <w:pPr>
      <w:keepNext/>
      <w:keepLines/>
      <w:numPr>
        <w:ilvl w:val="4"/>
        <w:numId w:val="4"/>
      </w:numPr>
      <w:suppressAutoHyphens/>
      <w:spacing w:before="240" w:after="40"/>
      <w:jc w:val="left"/>
      <w:outlineLvl w:val="4"/>
    </w:pPr>
    <w:rPr>
      <w:rFonts w:eastAsiaTheme="majorEastAsia" w:cstheme="majorBidi"/>
      <w:i/>
      <w:iCs/>
      <w:szCs w:val="24"/>
    </w:rPr>
  </w:style>
  <w:style w:type="paragraph" w:styleId="Heading6">
    <w:name w:val="heading 6"/>
    <w:basedOn w:val="Normal"/>
    <w:next w:val="BodyText"/>
    <w:link w:val="Heading6Char"/>
    <w:uiPriority w:val="9"/>
    <w:qFormat/>
    <w:rsid w:val="00585414"/>
    <w:pPr>
      <w:keepNext/>
      <w:keepLines/>
      <w:numPr>
        <w:ilvl w:val="5"/>
        <w:numId w:val="4"/>
      </w:numPr>
      <w:spacing w:before="240" w:after="40"/>
      <w:jc w:val="left"/>
      <w:outlineLvl w:val="5"/>
    </w:pPr>
    <w:rPr>
      <w:rFonts w:eastAsiaTheme="majorEastAsia" w:cstheme="majorBidi"/>
      <w:b/>
      <w:color w:val="1F4D78" w:themeColor="accent1" w:themeShade="7F"/>
    </w:rPr>
  </w:style>
  <w:style w:type="paragraph" w:styleId="Heading7">
    <w:name w:val="heading 7"/>
    <w:basedOn w:val="Normal"/>
    <w:next w:val="BodyText"/>
    <w:link w:val="Heading7Char"/>
    <w:uiPriority w:val="9"/>
    <w:qFormat/>
    <w:rsid w:val="002F6827"/>
    <w:pPr>
      <w:keepNext/>
      <w:keepLines/>
      <w:numPr>
        <w:ilvl w:val="6"/>
        <w:numId w:val="4"/>
      </w:numPr>
      <w:spacing w:before="240" w:after="40"/>
      <w:outlineLvl w:val="6"/>
    </w:pPr>
    <w:rPr>
      <w:rFonts w:eastAsiaTheme="majorEastAsia" w:cstheme="majorBidi"/>
      <w:i/>
      <w:iCs/>
    </w:rPr>
  </w:style>
  <w:style w:type="paragraph" w:styleId="Heading8">
    <w:name w:val="heading 8"/>
    <w:basedOn w:val="Normal"/>
    <w:next w:val="BodyText"/>
    <w:link w:val="Heading8Char"/>
    <w:uiPriority w:val="9"/>
    <w:qFormat/>
    <w:rsid w:val="00585414"/>
    <w:pPr>
      <w:keepNext/>
      <w:keepLines/>
      <w:numPr>
        <w:ilvl w:val="7"/>
        <w:numId w:val="4"/>
      </w:numPr>
      <w:spacing w:before="240" w:after="40"/>
      <w:jc w:val="left"/>
      <w:outlineLvl w:val="7"/>
    </w:pPr>
    <w:rPr>
      <w:rFonts w:eastAsiaTheme="majorEastAsia" w:cstheme="majorBidi"/>
      <w:i/>
      <w:color w:val="144766"/>
      <w:szCs w:val="21"/>
    </w:rPr>
  </w:style>
  <w:style w:type="paragraph" w:styleId="Heading9">
    <w:name w:val="heading 9"/>
    <w:basedOn w:val="Normal"/>
    <w:next w:val="BodyText"/>
    <w:link w:val="Heading9Char"/>
    <w:uiPriority w:val="9"/>
    <w:qFormat/>
    <w:rsid w:val="00585414"/>
    <w:pPr>
      <w:keepNext/>
      <w:keepLines/>
      <w:numPr>
        <w:ilvl w:val="8"/>
        <w:numId w:val="4"/>
      </w:numPr>
      <w:spacing w:before="240" w:after="40"/>
      <w:jc w:val="left"/>
      <w:outlineLvl w:val="8"/>
    </w:pPr>
    <w:rPr>
      <w:rFonts w:eastAsiaTheme="majorEastAsia" w:cstheme="majorBid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Heading">
    <w:name w:val="Note Heading"/>
    <w:basedOn w:val="Normal"/>
    <w:next w:val="Normal"/>
    <w:link w:val="NoteHeadingChar"/>
    <w:uiPriority w:val="96"/>
    <w:semiHidden/>
    <w:rsid w:val="002F6827"/>
    <w:pPr>
      <w:spacing w:after="0"/>
    </w:pPr>
  </w:style>
  <w:style w:type="paragraph" w:styleId="NoSpacing">
    <w:name w:val="No Spacing"/>
    <w:link w:val="NoSpacingChar"/>
    <w:uiPriority w:val="99"/>
    <w:semiHidden/>
    <w:qFormat/>
    <w:rsid w:val="002F6827"/>
  </w:style>
  <w:style w:type="character" w:styleId="BookTitle">
    <w:name w:val="Book Title"/>
    <w:aliases w:val="Blauer HG"/>
    <w:basedOn w:val="DefaultParagraphFont"/>
    <w:uiPriority w:val="10"/>
    <w:qFormat/>
    <w:rsid w:val="002F6827"/>
    <w:rPr>
      <w:b/>
      <w:bCs/>
      <w:i w:val="0"/>
      <w:iCs/>
      <w:spacing w:val="5"/>
      <w:bdr w:val="none" w:sz="0" w:space="0" w:color="auto"/>
      <w:shd w:val="clear" w:color="auto" w:fill="144766"/>
    </w:rPr>
  </w:style>
  <w:style w:type="paragraph" w:styleId="TableofFigures">
    <w:name w:val="table of figures"/>
    <w:basedOn w:val="Normal"/>
    <w:next w:val="Normal"/>
    <w:uiPriority w:val="97"/>
    <w:semiHidden/>
    <w:rsid w:val="002F6827"/>
    <w:pPr>
      <w:spacing w:after="0"/>
    </w:pPr>
  </w:style>
  <w:style w:type="paragraph" w:styleId="Salutation">
    <w:name w:val="Salutation"/>
    <w:basedOn w:val="Normal"/>
    <w:next w:val="Normal"/>
    <w:link w:val="SalutationChar"/>
    <w:uiPriority w:val="99"/>
    <w:semiHidden/>
    <w:rsid w:val="003D5394"/>
  </w:style>
  <w:style w:type="character" w:customStyle="1" w:styleId="SalutationChar">
    <w:name w:val="Salutation Char"/>
    <w:basedOn w:val="DefaultParagraphFont"/>
    <w:link w:val="Salutation"/>
    <w:uiPriority w:val="99"/>
    <w:semiHidden/>
    <w:rsid w:val="00C4474D"/>
    <w:rPr>
      <w:sz w:val="24"/>
    </w:rPr>
  </w:style>
  <w:style w:type="paragraph" w:styleId="ListBullet">
    <w:name w:val="List Bullet"/>
    <w:basedOn w:val="Normal"/>
    <w:uiPriority w:val="9"/>
    <w:qFormat/>
    <w:rsid w:val="002F6827"/>
    <w:pPr>
      <w:numPr>
        <w:numId w:val="1"/>
      </w:numPr>
    </w:pPr>
  </w:style>
  <w:style w:type="paragraph" w:styleId="ListBullet2">
    <w:name w:val="List Bullet 2"/>
    <w:basedOn w:val="Normal"/>
    <w:uiPriority w:val="9"/>
    <w:rsid w:val="002F6827"/>
    <w:pPr>
      <w:numPr>
        <w:ilvl w:val="1"/>
        <w:numId w:val="1"/>
      </w:numPr>
    </w:pPr>
  </w:style>
  <w:style w:type="paragraph" w:styleId="ListBullet3">
    <w:name w:val="List Bullet 3"/>
    <w:basedOn w:val="Normal"/>
    <w:uiPriority w:val="9"/>
    <w:rsid w:val="002F6827"/>
    <w:pPr>
      <w:numPr>
        <w:ilvl w:val="2"/>
        <w:numId w:val="1"/>
      </w:numPr>
    </w:pPr>
  </w:style>
  <w:style w:type="paragraph" w:styleId="ListBullet4">
    <w:name w:val="List Bullet 4"/>
    <w:basedOn w:val="Normal"/>
    <w:uiPriority w:val="9"/>
    <w:rsid w:val="002F6827"/>
    <w:pPr>
      <w:numPr>
        <w:ilvl w:val="3"/>
        <w:numId w:val="1"/>
      </w:numPr>
    </w:pPr>
  </w:style>
  <w:style w:type="paragraph" w:styleId="ListBullet5">
    <w:name w:val="List Bullet 5"/>
    <w:basedOn w:val="Normal"/>
    <w:uiPriority w:val="9"/>
    <w:rsid w:val="002F6827"/>
    <w:pPr>
      <w:numPr>
        <w:ilvl w:val="4"/>
        <w:numId w:val="1"/>
      </w:numPr>
    </w:pPr>
  </w:style>
  <w:style w:type="paragraph" w:styleId="Caption">
    <w:name w:val="caption"/>
    <w:basedOn w:val="Normal"/>
    <w:next w:val="BodyText"/>
    <w:uiPriority w:val="28"/>
    <w:qFormat/>
    <w:rsid w:val="002F6827"/>
    <w:pPr>
      <w:spacing w:after="200"/>
    </w:pPr>
    <w:rPr>
      <w:i/>
      <w:iCs/>
      <w:sz w:val="20"/>
      <w:szCs w:val="18"/>
    </w:rPr>
  </w:style>
  <w:style w:type="character" w:styleId="FollowedHyperlink">
    <w:name w:val="FollowedHyperlink"/>
    <w:basedOn w:val="DefaultParagraphFont"/>
    <w:uiPriority w:val="34"/>
    <w:unhideWhenUsed/>
    <w:rsid w:val="002F6827"/>
    <w:rPr>
      <w:color w:val="144766"/>
      <w:u w:val="single"/>
    </w:rPr>
  </w:style>
  <w:style w:type="character" w:styleId="Hyperlink">
    <w:name w:val="Hyperlink"/>
    <w:basedOn w:val="DefaultParagraphFont"/>
    <w:uiPriority w:val="99"/>
    <w:qFormat/>
    <w:rsid w:val="00CB19F9"/>
    <w:rPr>
      <w:color w:val="auto"/>
      <w:u w:val="single"/>
    </w:rPr>
  </w:style>
  <w:style w:type="paragraph" w:styleId="BlockText">
    <w:name w:val="Block Text"/>
    <w:aliases w:val="Blaue Box"/>
    <w:basedOn w:val="Normal"/>
    <w:next w:val="BodyText"/>
    <w:uiPriority w:val="11"/>
    <w:qFormat/>
    <w:rsid w:val="002F6827"/>
    <w:pPr>
      <w:pBdr>
        <w:top w:val="single" w:sz="2" w:space="10" w:color="auto"/>
        <w:left w:val="single" w:sz="2" w:space="10" w:color="auto"/>
        <w:bottom w:val="single" w:sz="2" w:space="10" w:color="auto"/>
        <w:right w:val="single" w:sz="2" w:space="10" w:color="auto"/>
      </w:pBdr>
      <w:spacing w:before="240" w:after="480"/>
      <w:ind w:left="1361" w:right="1361"/>
    </w:pPr>
    <w:rPr>
      <w:rFonts w:eastAsiaTheme="minorEastAsia" w:cstheme="minorBidi"/>
      <w:i/>
      <w:iCs/>
      <w:color w:val="144766"/>
    </w:rPr>
  </w:style>
  <w:style w:type="character" w:styleId="EndnoteReference">
    <w:name w:val="endnote reference"/>
    <w:basedOn w:val="DefaultParagraphFont"/>
    <w:uiPriority w:val="96"/>
    <w:semiHidden/>
    <w:rsid w:val="002F6827"/>
    <w:rPr>
      <w:vertAlign w:val="superscript"/>
    </w:rPr>
  </w:style>
  <w:style w:type="paragraph" w:styleId="BodyText">
    <w:name w:val="Body Text"/>
    <w:aliases w:val="Stand."/>
    <w:basedOn w:val="Normal"/>
    <w:link w:val="BodyTextChar"/>
    <w:qFormat/>
    <w:rsid w:val="006551AD"/>
  </w:style>
  <w:style w:type="character" w:customStyle="1" w:styleId="BodyTextChar">
    <w:name w:val="Body Text Char"/>
    <w:aliases w:val="Stand. Char"/>
    <w:basedOn w:val="DefaultParagraphFont"/>
    <w:link w:val="BodyText"/>
    <w:rsid w:val="006551AD"/>
    <w:rPr>
      <w:sz w:val="24"/>
    </w:rPr>
  </w:style>
  <w:style w:type="paragraph" w:styleId="EndnoteText">
    <w:name w:val="endnote text"/>
    <w:basedOn w:val="Normal"/>
    <w:link w:val="EndnoteTextChar"/>
    <w:uiPriority w:val="96"/>
    <w:semiHidden/>
    <w:rsid w:val="002F6827"/>
    <w:pPr>
      <w:spacing w:after="0"/>
    </w:pPr>
    <w:rPr>
      <w:szCs w:val="20"/>
    </w:rPr>
  </w:style>
  <w:style w:type="character" w:customStyle="1" w:styleId="EndnoteTextChar">
    <w:name w:val="Endnote Text Char"/>
    <w:basedOn w:val="DefaultParagraphFont"/>
    <w:link w:val="EndnoteText"/>
    <w:uiPriority w:val="96"/>
    <w:semiHidden/>
    <w:rsid w:val="002F6827"/>
    <w:rPr>
      <w:sz w:val="24"/>
      <w:szCs w:val="20"/>
    </w:rPr>
  </w:style>
  <w:style w:type="paragraph" w:styleId="Date">
    <w:name w:val="Date"/>
    <w:basedOn w:val="Normal"/>
    <w:next w:val="BodyText"/>
    <w:link w:val="DateChar"/>
    <w:uiPriority w:val="26"/>
    <w:qFormat/>
    <w:rsid w:val="00B66575"/>
    <w:pPr>
      <w:spacing w:before="1440"/>
      <w:jc w:val="center"/>
    </w:pPr>
  </w:style>
  <w:style w:type="character" w:customStyle="1" w:styleId="DateChar">
    <w:name w:val="Date Char"/>
    <w:basedOn w:val="DefaultParagraphFont"/>
    <w:link w:val="Date"/>
    <w:uiPriority w:val="26"/>
    <w:rsid w:val="00C1475D"/>
    <w:rPr>
      <w:sz w:val="24"/>
    </w:rPr>
  </w:style>
  <w:style w:type="paragraph" w:styleId="E-mailSignature">
    <w:name w:val="E-mail Signature"/>
    <w:basedOn w:val="Normal"/>
    <w:link w:val="E-mailSignatureChar"/>
    <w:uiPriority w:val="98"/>
    <w:semiHidden/>
    <w:rsid w:val="002F6827"/>
    <w:pPr>
      <w:spacing w:after="0"/>
    </w:pPr>
  </w:style>
  <w:style w:type="character" w:customStyle="1" w:styleId="E-mailSignatureChar">
    <w:name w:val="E-mail Signature Char"/>
    <w:basedOn w:val="DefaultParagraphFont"/>
    <w:link w:val="E-mailSignature"/>
    <w:uiPriority w:val="98"/>
    <w:semiHidden/>
    <w:rsid w:val="002F6827"/>
    <w:rPr>
      <w:sz w:val="24"/>
    </w:rPr>
  </w:style>
  <w:style w:type="paragraph" w:styleId="DocumentMap">
    <w:name w:val="Document Map"/>
    <w:aliases w:val="Klein"/>
    <w:basedOn w:val="Normal"/>
    <w:next w:val="BodyText"/>
    <w:link w:val="DocumentMapChar"/>
    <w:uiPriority w:val="15"/>
    <w:qFormat/>
    <w:rsid w:val="002F6827"/>
    <w:pPr>
      <w:spacing w:before="240" w:after="240"/>
    </w:pPr>
    <w:rPr>
      <w:rFonts w:cs="Segoe UI"/>
      <w:sz w:val="20"/>
      <w:szCs w:val="16"/>
    </w:rPr>
  </w:style>
  <w:style w:type="character" w:customStyle="1" w:styleId="DocumentMapChar">
    <w:name w:val="Document Map Char"/>
    <w:aliases w:val="Klein Char"/>
    <w:basedOn w:val="DefaultParagraphFont"/>
    <w:link w:val="DocumentMap"/>
    <w:uiPriority w:val="15"/>
    <w:rsid w:val="002F6827"/>
    <w:rPr>
      <w:rFonts w:cs="Segoe UI"/>
      <w:sz w:val="20"/>
      <w:szCs w:val="16"/>
    </w:rPr>
  </w:style>
  <w:style w:type="character" w:customStyle="1" w:styleId="NoteHeadingChar">
    <w:name w:val="Note Heading Char"/>
    <w:basedOn w:val="DefaultParagraphFont"/>
    <w:link w:val="NoteHeading"/>
    <w:uiPriority w:val="96"/>
    <w:semiHidden/>
    <w:rsid w:val="002F6827"/>
    <w:rPr>
      <w:sz w:val="24"/>
    </w:rPr>
  </w:style>
  <w:style w:type="paragraph" w:styleId="Closing">
    <w:name w:val="Closing"/>
    <w:basedOn w:val="Normal"/>
    <w:next w:val="BodyText"/>
    <w:link w:val="ClosingChar"/>
    <w:uiPriority w:val="99"/>
    <w:semiHidden/>
    <w:rsid w:val="002F6827"/>
    <w:pPr>
      <w:spacing w:before="720" w:after="240"/>
    </w:pPr>
  </w:style>
  <w:style w:type="character" w:customStyle="1" w:styleId="ClosingChar">
    <w:name w:val="Closing Char"/>
    <w:basedOn w:val="DefaultParagraphFont"/>
    <w:link w:val="Closing"/>
    <w:uiPriority w:val="99"/>
    <w:semiHidden/>
    <w:rsid w:val="002F6827"/>
    <w:rPr>
      <w:sz w:val="24"/>
    </w:rPr>
  </w:style>
  <w:style w:type="character" w:styleId="Strong">
    <w:name w:val="Strong"/>
    <w:basedOn w:val="DefaultParagraphFont"/>
    <w:uiPriority w:val="22"/>
    <w:qFormat/>
    <w:rsid w:val="002F6827"/>
    <w:rPr>
      <w:b/>
      <w:bCs/>
    </w:rPr>
  </w:style>
  <w:style w:type="character" w:styleId="Emphasis">
    <w:name w:val="Emphasis"/>
    <w:aliases w:val="Kursiv"/>
    <w:basedOn w:val="DefaultParagraphFont"/>
    <w:uiPriority w:val="20"/>
    <w:qFormat/>
    <w:rsid w:val="002F6827"/>
    <w:rPr>
      <w:i/>
      <w:iCs/>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
    <w:basedOn w:val="Normal"/>
    <w:link w:val="FootnoteTextChar"/>
    <w:uiPriority w:val="99"/>
    <w:unhideWhenUsed/>
    <w:qFormat/>
    <w:rsid w:val="00B9176C"/>
    <w:pPr>
      <w:spacing w:after="0"/>
    </w:pPr>
    <w:rPr>
      <w:sz w:val="18"/>
      <w:szCs w:val="20"/>
      <w:vertAlign w:val="superscript"/>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B9176C"/>
    <w:rPr>
      <w:sz w:val="18"/>
      <w:szCs w:val="20"/>
      <w:vertAlign w:val="superscript"/>
      <w:lang w:val="fr-CH"/>
    </w:rPr>
  </w:style>
  <w:style w:type="paragraph" w:customStyle="1" w:styleId="Fussnote">
    <w:name w:val="Fussnote"/>
    <w:basedOn w:val="Normal"/>
    <w:next w:val="FootnoteText"/>
    <w:link w:val="FussnoteZchn"/>
    <w:uiPriority w:val="99"/>
    <w:qFormat/>
    <w:rsid w:val="00D118EE"/>
    <w:pPr>
      <w:spacing w:before="40" w:after="40"/>
      <w:jc w:val="left"/>
    </w:pPr>
    <w:rPr>
      <w:rFonts w:eastAsia="Cambria"/>
      <w:sz w:val="18"/>
    </w:rPr>
  </w:style>
  <w:style w:type="paragraph" w:styleId="Footer">
    <w:name w:val="footer"/>
    <w:basedOn w:val="Normal"/>
    <w:link w:val="FooterChar"/>
    <w:uiPriority w:val="99"/>
    <w:qFormat/>
    <w:rsid w:val="002F6827"/>
    <w:pPr>
      <w:tabs>
        <w:tab w:val="center" w:pos="4703"/>
        <w:tab w:val="right" w:pos="9406"/>
      </w:tabs>
      <w:spacing w:before="120"/>
    </w:pPr>
    <w:rPr>
      <w:color w:val="666666"/>
    </w:rPr>
  </w:style>
  <w:style w:type="character" w:customStyle="1" w:styleId="FooterChar">
    <w:name w:val="Footer Char"/>
    <w:basedOn w:val="DefaultParagraphFont"/>
    <w:link w:val="Footer"/>
    <w:uiPriority w:val="99"/>
    <w:rsid w:val="002F6827"/>
    <w:rPr>
      <w:color w:val="666666"/>
      <w:sz w:val="24"/>
    </w:rPr>
  </w:style>
  <w:style w:type="paragraph" w:styleId="Index1">
    <w:name w:val="index 1"/>
    <w:basedOn w:val="Normal"/>
    <w:next w:val="Normal"/>
    <w:autoRedefine/>
    <w:uiPriority w:val="99"/>
    <w:semiHidden/>
    <w:rsid w:val="002F6827"/>
    <w:pPr>
      <w:spacing w:after="0"/>
      <w:ind w:left="220" w:hanging="220"/>
    </w:pPr>
  </w:style>
  <w:style w:type="paragraph" w:styleId="Index2">
    <w:name w:val="index 2"/>
    <w:basedOn w:val="Normal"/>
    <w:next w:val="Normal"/>
    <w:autoRedefine/>
    <w:uiPriority w:val="99"/>
    <w:semiHidden/>
    <w:rsid w:val="002F6827"/>
    <w:pPr>
      <w:spacing w:after="0"/>
      <w:ind w:left="440" w:hanging="220"/>
    </w:pPr>
  </w:style>
  <w:style w:type="paragraph" w:styleId="Index3">
    <w:name w:val="index 3"/>
    <w:basedOn w:val="Normal"/>
    <w:next w:val="Normal"/>
    <w:autoRedefine/>
    <w:uiPriority w:val="99"/>
    <w:semiHidden/>
    <w:rsid w:val="002F6827"/>
    <w:pPr>
      <w:spacing w:after="0"/>
      <w:ind w:left="660" w:hanging="220"/>
    </w:pPr>
  </w:style>
  <w:style w:type="paragraph" w:styleId="IndexHeading">
    <w:name w:val="index heading"/>
    <w:basedOn w:val="Normal"/>
    <w:next w:val="Index1"/>
    <w:uiPriority w:val="99"/>
    <w:semiHidden/>
    <w:rsid w:val="002F6827"/>
    <w:rPr>
      <w:rFonts w:eastAsiaTheme="majorEastAsia" w:cstheme="majorBidi"/>
      <w:b/>
      <w:bCs/>
      <w:color w:val="B0050D"/>
    </w:rPr>
  </w:style>
  <w:style w:type="character" w:customStyle="1" w:styleId="Heading1Char">
    <w:name w:val="Heading 1 Char"/>
    <w:aliases w:val="1 LOIPR Char"/>
    <w:basedOn w:val="DefaultParagraphFont"/>
    <w:link w:val="Heading1"/>
    <w:uiPriority w:val="9"/>
    <w:rsid w:val="00585414"/>
    <w:rPr>
      <w:rFonts w:eastAsiaTheme="majorEastAsia" w:cstheme="majorBidi"/>
      <w:b/>
      <w:bCs/>
      <w:color w:val="B0050D"/>
      <w:sz w:val="28"/>
      <w:szCs w:val="28"/>
      <w:lang w:val="fr-CH" w:eastAsia="de-CH"/>
    </w:rPr>
  </w:style>
  <w:style w:type="paragraph" w:styleId="TOCHeading">
    <w:name w:val="TOC Heading"/>
    <w:basedOn w:val="Heading1"/>
    <w:next w:val="BodyText"/>
    <w:uiPriority w:val="39"/>
    <w:qFormat/>
    <w:rsid w:val="002F6827"/>
    <w:pPr>
      <w:numPr>
        <w:numId w:val="0"/>
      </w:numPr>
      <w:spacing w:before="480" w:after="240" w:line="276" w:lineRule="auto"/>
      <w:outlineLvl w:val="1"/>
    </w:pPr>
    <w:rPr>
      <w:bCs w:val="0"/>
    </w:rPr>
  </w:style>
  <w:style w:type="character" w:styleId="IntenseEmphasis">
    <w:name w:val="Intense Emphasis"/>
    <w:aliases w:val="Rot Fett,IH-Rot Fett"/>
    <w:basedOn w:val="DefaultParagraphFont"/>
    <w:uiPriority w:val="4"/>
    <w:qFormat/>
    <w:rsid w:val="002F6827"/>
    <w:rPr>
      <w:b/>
      <w:i w:val="0"/>
      <w:iCs/>
      <w:color w:val="B0050D"/>
    </w:rPr>
  </w:style>
  <w:style w:type="paragraph" w:styleId="ListParagraph">
    <w:name w:val="List Paragraph"/>
    <w:aliases w:val="Liste Std,liste de points"/>
    <w:basedOn w:val="Normal"/>
    <w:link w:val="ListParagraphChar"/>
    <w:uiPriority w:val="34"/>
    <w:qFormat/>
    <w:rsid w:val="002F6827"/>
    <w:pPr>
      <w:ind w:left="720"/>
      <w:contextualSpacing/>
    </w:pPr>
  </w:style>
  <w:style w:type="character" w:styleId="IntenseReference">
    <w:name w:val="Intense Reference"/>
    <w:aliases w:val="Blau Fett"/>
    <w:basedOn w:val="DefaultParagraphFont"/>
    <w:uiPriority w:val="6"/>
    <w:qFormat/>
    <w:rsid w:val="002F6827"/>
    <w:rPr>
      <w:b/>
      <w:bCs/>
      <w:caps w:val="0"/>
      <w:smallCaps w:val="0"/>
      <w:color w:val="144766"/>
      <w:spacing w:val="5"/>
    </w:rPr>
  </w:style>
  <w:style w:type="paragraph" w:styleId="IntenseQuote">
    <w:name w:val="Intense Quote"/>
    <w:aliases w:val="Position"/>
    <w:basedOn w:val="Normal"/>
    <w:next w:val="BodyText"/>
    <w:link w:val="IntenseQuoteChar"/>
    <w:uiPriority w:val="13"/>
    <w:qFormat/>
    <w:rsid w:val="00FF6B6B"/>
    <w:pPr>
      <w:tabs>
        <w:tab w:val="left" w:pos="426"/>
      </w:tabs>
      <w:spacing w:before="240" w:after="240"/>
      <w:ind w:left="426" w:right="-2"/>
    </w:pPr>
    <w:rPr>
      <w:b/>
      <w:iCs/>
      <w:noProof/>
      <w:color w:val="B0050D"/>
    </w:rPr>
  </w:style>
  <w:style w:type="character" w:customStyle="1" w:styleId="IntenseQuoteChar">
    <w:name w:val="Intense Quote Char"/>
    <w:aliases w:val="Position Char"/>
    <w:basedOn w:val="DefaultParagraphFont"/>
    <w:link w:val="IntenseQuote"/>
    <w:uiPriority w:val="13"/>
    <w:rsid w:val="00FF6B6B"/>
    <w:rPr>
      <w:b/>
      <w:iCs/>
      <w:noProof/>
      <w:color w:val="B0050D"/>
      <w:sz w:val="24"/>
    </w:rPr>
  </w:style>
  <w:style w:type="paragraph" w:styleId="Header">
    <w:name w:val="header"/>
    <w:basedOn w:val="Normal"/>
    <w:link w:val="HeaderChar"/>
    <w:uiPriority w:val="99"/>
    <w:qFormat/>
    <w:rsid w:val="002F6827"/>
    <w:pPr>
      <w:pBdr>
        <w:bottom w:val="single" w:sz="2" w:space="16" w:color="666666"/>
      </w:pBdr>
      <w:tabs>
        <w:tab w:val="right" w:pos="9406"/>
      </w:tabs>
      <w:spacing w:after="0"/>
    </w:pPr>
    <w:rPr>
      <w:i/>
      <w:color w:val="666666"/>
    </w:rPr>
  </w:style>
  <w:style w:type="character" w:customStyle="1" w:styleId="HeaderChar">
    <w:name w:val="Header Char"/>
    <w:basedOn w:val="DefaultParagraphFont"/>
    <w:link w:val="Header"/>
    <w:uiPriority w:val="99"/>
    <w:rsid w:val="002F6827"/>
    <w:rPr>
      <w:i/>
      <w:color w:val="666666"/>
      <w:sz w:val="24"/>
    </w:rPr>
  </w:style>
  <w:style w:type="paragraph" w:styleId="List">
    <w:name w:val="List"/>
    <w:basedOn w:val="Normal"/>
    <w:uiPriority w:val="99"/>
    <w:semiHidden/>
    <w:rsid w:val="002F6827"/>
    <w:pPr>
      <w:ind w:left="284" w:hanging="284"/>
    </w:pPr>
  </w:style>
  <w:style w:type="paragraph" w:styleId="List2">
    <w:name w:val="List 2"/>
    <w:basedOn w:val="Normal"/>
    <w:uiPriority w:val="99"/>
    <w:semiHidden/>
    <w:rsid w:val="002F6827"/>
    <w:pPr>
      <w:ind w:left="566" w:hanging="283"/>
      <w:contextualSpacing/>
    </w:pPr>
  </w:style>
  <w:style w:type="paragraph" w:styleId="List3">
    <w:name w:val="List 3"/>
    <w:basedOn w:val="Normal"/>
    <w:uiPriority w:val="99"/>
    <w:semiHidden/>
    <w:rsid w:val="002F6827"/>
    <w:pPr>
      <w:ind w:left="851" w:hanging="284"/>
    </w:pPr>
  </w:style>
  <w:style w:type="paragraph" w:styleId="ListNumber">
    <w:name w:val="List Number"/>
    <w:basedOn w:val="Normal"/>
    <w:uiPriority w:val="8"/>
    <w:qFormat/>
    <w:rsid w:val="002F6827"/>
    <w:pPr>
      <w:numPr>
        <w:numId w:val="3"/>
      </w:numPr>
    </w:pPr>
  </w:style>
  <w:style w:type="paragraph" w:styleId="ListNumber2">
    <w:name w:val="List Number 2"/>
    <w:basedOn w:val="Normal"/>
    <w:uiPriority w:val="8"/>
    <w:rsid w:val="002F6827"/>
    <w:pPr>
      <w:numPr>
        <w:ilvl w:val="1"/>
        <w:numId w:val="3"/>
      </w:numPr>
    </w:pPr>
  </w:style>
  <w:style w:type="paragraph" w:styleId="ListNumber3">
    <w:name w:val="List Number 3"/>
    <w:basedOn w:val="Normal"/>
    <w:uiPriority w:val="8"/>
    <w:rsid w:val="002F6827"/>
    <w:pPr>
      <w:numPr>
        <w:ilvl w:val="2"/>
        <w:numId w:val="3"/>
      </w:numPr>
    </w:pPr>
  </w:style>
  <w:style w:type="paragraph" w:styleId="List4">
    <w:name w:val="List 4"/>
    <w:basedOn w:val="Normal"/>
    <w:uiPriority w:val="99"/>
    <w:semiHidden/>
    <w:rsid w:val="002F6827"/>
    <w:pPr>
      <w:ind w:left="1132" w:hanging="283"/>
      <w:contextualSpacing/>
    </w:pPr>
  </w:style>
  <w:style w:type="paragraph" w:styleId="List5">
    <w:name w:val="List 5"/>
    <w:basedOn w:val="Normal"/>
    <w:uiPriority w:val="99"/>
    <w:semiHidden/>
    <w:rsid w:val="002F6827"/>
    <w:pPr>
      <w:ind w:left="1415" w:hanging="283"/>
      <w:contextualSpacing/>
    </w:pPr>
  </w:style>
  <w:style w:type="paragraph" w:styleId="ListContinue5">
    <w:name w:val="List Continue 5"/>
    <w:basedOn w:val="Normal"/>
    <w:uiPriority w:val="99"/>
    <w:semiHidden/>
    <w:rsid w:val="002F6827"/>
    <w:pPr>
      <w:numPr>
        <w:ilvl w:val="4"/>
        <w:numId w:val="2"/>
      </w:numPr>
      <w:contextualSpacing/>
    </w:pPr>
  </w:style>
  <w:style w:type="paragraph" w:styleId="ListContinue2">
    <w:name w:val="List Continue 2"/>
    <w:basedOn w:val="Normal"/>
    <w:uiPriority w:val="99"/>
    <w:semiHidden/>
    <w:rsid w:val="002F6827"/>
    <w:pPr>
      <w:numPr>
        <w:ilvl w:val="1"/>
        <w:numId w:val="2"/>
      </w:numPr>
      <w:contextualSpacing/>
    </w:pPr>
  </w:style>
  <w:style w:type="paragraph" w:styleId="ListContinue">
    <w:name w:val="List Continue"/>
    <w:basedOn w:val="Normal"/>
    <w:rsid w:val="002F6827"/>
    <w:pPr>
      <w:numPr>
        <w:numId w:val="2"/>
      </w:numPr>
      <w:contextualSpacing/>
    </w:pPr>
  </w:style>
  <w:style w:type="paragraph" w:styleId="ListContinue3">
    <w:name w:val="List Continue 3"/>
    <w:basedOn w:val="Normal"/>
    <w:uiPriority w:val="99"/>
    <w:semiHidden/>
    <w:rsid w:val="002F6827"/>
    <w:pPr>
      <w:numPr>
        <w:ilvl w:val="2"/>
        <w:numId w:val="2"/>
      </w:numPr>
      <w:contextualSpacing/>
    </w:pPr>
  </w:style>
  <w:style w:type="paragraph" w:styleId="ListContinue4">
    <w:name w:val="List Continue 4"/>
    <w:basedOn w:val="Normal"/>
    <w:uiPriority w:val="99"/>
    <w:semiHidden/>
    <w:rsid w:val="002F6827"/>
    <w:pPr>
      <w:ind w:left="1446"/>
      <w:contextualSpacing/>
    </w:pPr>
  </w:style>
  <w:style w:type="paragraph" w:styleId="ListNumber4">
    <w:name w:val="List Number 4"/>
    <w:basedOn w:val="Normal"/>
    <w:uiPriority w:val="8"/>
    <w:rsid w:val="002F6827"/>
    <w:pPr>
      <w:numPr>
        <w:ilvl w:val="3"/>
        <w:numId w:val="3"/>
      </w:numPr>
    </w:pPr>
  </w:style>
  <w:style w:type="paragraph" w:styleId="ListNumber5">
    <w:name w:val="List Number 5"/>
    <w:basedOn w:val="Normal"/>
    <w:uiPriority w:val="8"/>
    <w:rsid w:val="002F6827"/>
    <w:pPr>
      <w:numPr>
        <w:ilvl w:val="4"/>
        <w:numId w:val="3"/>
      </w:numPr>
    </w:pPr>
  </w:style>
  <w:style w:type="paragraph" w:styleId="Bibliography">
    <w:name w:val="Bibliography"/>
    <w:basedOn w:val="Normal"/>
    <w:next w:val="Normal"/>
    <w:uiPriority w:val="99"/>
    <w:semiHidden/>
    <w:rsid w:val="002F6827"/>
    <w:pPr>
      <w:spacing w:before="240"/>
    </w:pPr>
    <w:rPr>
      <w:b/>
      <w:color w:val="C00000"/>
    </w:rPr>
  </w:style>
  <w:style w:type="paragraph" w:styleId="TableofAuthorities">
    <w:name w:val="table of authorities"/>
    <w:basedOn w:val="Normal"/>
    <w:next w:val="Normal"/>
    <w:uiPriority w:val="99"/>
    <w:semiHidden/>
    <w:rsid w:val="00937D46"/>
    <w:pPr>
      <w:spacing w:before="240"/>
      <w:ind w:left="221" w:hanging="221"/>
    </w:pPr>
    <w:rPr>
      <w:b/>
      <w:color w:val="C00000"/>
    </w:rPr>
  </w:style>
  <w:style w:type="character" w:styleId="SubtleEmphasis">
    <w:name w:val="Subtle Emphasis"/>
    <w:aliases w:val="Rot"/>
    <w:basedOn w:val="DefaultParagraphFont"/>
    <w:uiPriority w:val="7"/>
    <w:qFormat/>
    <w:rsid w:val="002F6827"/>
    <w:rPr>
      <w:i w:val="0"/>
      <w:iCs/>
      <w:color w:val="B0050D"/>
    </w:rPr>
  </w:style>
  <w:style w:type="character" w:styleId="SubtleReference">
    <w:name w:val="Subtle Reference"/>
    <w:aliases w:val="Unterstrichen"/>
    <w:basedOn w:val="DefaultParagraphFont"/>
    <w:uiPriority w:val="4"/>
    <w:qFormat/>
    <w:rsid w:val="002F6827"/>
    <w:rPr>
      <w:caps w:val="0"/>
      <w:smallCaps w:val="0"/>
      <w:color w:val="auto"/>
      <w:u w:val="single"/>
    </w:rPr>
  </w:style>
  <w:style w:type="paragraph" w:styleId="NormalIndent">
    <w:name w:val="Normal Indent"/>
    <w:basedOn w:val="Normal"/>
    <w:uiPriority w:val="99"/>
    <w:semiHidden/>
    <w:rsid w:val="002F6827"/>
    <w:pPr>
      <w:ind w:left="708"/>
    </w:pPr>
  </w:style>
  <w:style w:type="paragraph" w:styleId="BodyText2">
    <w:name w:val="Body Text 2"/>
    <w:aliases w:val="Abstand Textkörper"/>
    <w:basedOn w:val="Normal"/>
    <w:next w:val="BodyText"/>
    <w:link w:val="BodyText2Char"/>
    <w:uiPriority w:val="17"/>
    <w:qFormat/>
    <w:rsid w:val="002F6827"/>
    <w:pPr>
      <w:spacing w:before="480"/>
    </w:pPr>
  </w:style>
  <w:style w:type="character" w:customStyle="1" w:styleId="BodyText2Char">
    <w:name w:val="Body Text 2 Char"/>
    <w:aliases w:val="Abstand Textkörper Char"/>
    <w:basedOn w:val="DefaultParagraphFont"/>
    <w:link w:val="BodyText2"/>
    <w:uiPriority w:val="17"/>
    <w:rsid w:val="002F6827"/>
    <w:rPr>
      <w:sz w:val="24"/>
    </w:rPr>
  </w:style>
  <w:style w:type="paragraph" w:styleId="BodyText3">
    <w:name w:val="Body Text 3"/>
    <w:aliases w:val="Gr. Abstand"/>
    <w:basedOn w:val="Normal"/>
    <w:next w:val="BodyText"/>
    <w:link w:val="BodyText3Char"/>
    <w:uiPriority w:val="18"/>
    <w:qFormat/>
    <w:rsid w:val="002F6827"/>
    <w:pPr>
      <w:spacing w:before="1080"/>
    </w:pPr>
    <w:rPr>
      <w:szCs w:val="16"/>
    </w:rPr>
  </w:style>
  <w:style w:type="character" w:customStyle="1" w:styleId="BodyText3Char">
    <w:name w:val="Body Text 3 Char"/>
    <w:aliases w:val="Gr. Abstand Char"/>
    <w:basedOn w:val="DefaultParagraphFont"/>
    <w:link w:val="BodyText3"/>
    <w:uiPriority w:val="18"/>
    <w:rsid w:val="002F6827"/>
    <w:rPr>
      <w:sz w:val="24"/>
      <w:szCs w:val="16"/>
    </w:rPr>
  </w:style>
  <w:style w:type="paragraph" w:styleId="Title">
    <w:name w:val="Title"/>
    <w:basedOn w:val="Normal"/>
    <w:next w:val="Subtitle"/>
    <w:link w:val="TitleChar"/>
    <w:uiPriority w:val="25"/>
    <w:qFormat/>
    <w:rsid w:val="007D36C0"/>
    <w:pPr>
      <w:widowControl w:val="0"/>
      <w:pBdr>
        <w:bottom w:val="single" w:sz="4" w:space="1" w:color="auto"/>
      </w:pBdr>
      <w:suppressAutoHyphens/>
      <w:spacing w:before="2040" w:after="240"/>
      <w:contextualSpacing/>
      <w:jc w:val="center"/>
      <w:outlineLvl w:val="0"/>
    </w:pPr>
    <w:rPr>
      <w:rFonts w:eastAsiaTheme="majorEastAsia" w:cstheme="majorBidi"/>
      <w:b/>
      <w:smallCaps/>
      <w:color w:val="B0050D"/>
      <w:spacing w:val="10"/>
      <w:kern w:val="28"/>
      <w:sz w:val="44"/>
      <w:szCs w:val="56"/>
    </w:rPr>
  </w:style>
  <w:style w:type="character" w:customStyle="1" w:styleId="TitleChar">
    <w:name w:val="Title Char"/>
    <w:basedOn w:val="DefaultParagraphFont"/>
    <w:link w:val="Title"/>
    <w:uiPriority w:val="25"/>
    <w:rsid w:val="007D36C0"/>
    <w:rPr>
      <w:rFonts w:eastAsiaTheme="majorEastAsia" w:cstheme="majorBidi"/>
      <w:b/>
      <w:smallCaps/>
      <w:color w:val="B0050D"/>
      <w:spacing w:val="10"/>
      <w:kern w:val="28"/>
      <w:sz w:val="44"/>
      <w:szCs w:val="56"/>
    </w:rPr>
  </w:style>
  <w:style w:type="character" w:styleId="LineNumber">
    <w:name w:val="line number"/>
    <w:basedOn w:val="DefaultParagraphFont"/>
    <w:uiPriority w:val="99"/>
    <w:semiHidden/>
    <w:rsid w:val="002F6827"/>
  </w:style>
  <w:style w:type="paragraph" w:styleId="Subtitle">
    <w:name w:val="Subtitle"/>
    <w:basedOn w:val="Normal"/>
    <w:next w:val="Normal"/>
    <w:link w:val="SubtitleChar"/>
    <w:uiPriority w:val="11"/>
    <w:qFormat/>
    <w:rsid w:val="00A06B92"/>
    <w:p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uppressAutoHyphens/>
      <w:spacing w:before="240"/>
      <w:jc w:val="left"/>
    </w:pPr>
    <w:rPr>
      <w:rFonts w:eastAsiaTheme="majorEastAsia" w:cstheme="majorBidi"/>
      <w:b/>
      <w:iCs/>
      <w:spacing w:val="10"/>
      <w:szCs w:val="28"/>
    </w:rPr>
  </w:style>
  <w:style w:type="character" w:customStyle="1" w:styleId="SubtitleChar">
    <w:name w:val="Subtitle Char"/>
    <w:basedOn w:val="DefaultParagraphFont"/>
    <w:link w:val="Subtitle"/>
    <w:uiPriority w:val="11"/>
    <w:rsid w:val="00A06B92"/>
    <w:rPr>
      <w:rFonts w:eastAsiaTheme="majorEastAsia" w:cstheme="majorBidi"/>
      <w:b/>
      <w:iCs/>
      <w:spacing w:val="10"/>
      <w:sz w:val="24"/>
      <w:szCs w:val="28"/>
      <w:lang w:val="fr-CH"/>
    </w:rPr>
  </w:style>
  <w:style w:type="character" w:customStyle="1" w:styleId="Heading2Char">
    <w:name w:val="Heading 2 Char"/>
    <w:basedOn w:val="DefaultParagraphFont"/>
    <w:link w:val="Heading2"/>
    <w:uiPriority w:val="9"/>
    <w:rsid w:val="00585414"/>
    <w:rPr>
      <w:rFonts w:eastAsiaTheme="majorEastAsia" w:cstheme="majorBidi"/>
      <w:b/>
      <w:bCs/>
      <w:sz w:val="28"/>
      <w:szCs w:val="26"/>
      <w:lang w:val="fr-CH" w:eastAsia="de-CH"/>
    </w:rPr>
  </w:style>
  <w:style w:type="character" w:customStyle="1" w:styleId="Heading3Char">
    <w:name w:val="Heading 3 Char"/>
    <w:aliases w:val="3 LOIPR Char"/>
    <w:basedOn w:val="DefaultParagraphFont"/>
    <w:link w:val="Heading3"/>
    <w:uiPriority w:val="9"/>
    <w:rsid w:val="00924B3D"/>
    <w:rPr>
      <w:rFonts w:eastAsiaTheme="majorEastAsia" w:cstheme="majorBidi"/>
      <w:b/>
      <w:bCs/>
      <w:sz w:val="24"/>
      <w:szCs w:val="20"/>
      <w:lang w:val="fr-CH" w:eastAsia="de-CH"/>
    </w:rPr>
  </w:style>
  <w:style w:type="character" w:customStyle="1" w:styleId="Heading4Char">
    <w:name w:val="Heading 4 Char"/>
    <w:basedOn w:val="DefaultParagraphFont"/>
    <w:link w:val="Heading4"/>
    <w:uiPriority w:val="9"/>
    <w:rsid w:val="00585414"/>
    <w:rPr>
      <w:rFonts w:eastAsiaTheme="majorEastAsia" w:cstheme="majorBidi"/>
      <w:b/>
      <w:bCs/>
      <w:i/>
      <w:iCs/>
      <w:sz w:val="24"/>
      <w:szCs w:val="20"/>
      <w:lang w:val="en-US" w:eastAsia="de-CH"/>
    </w:rPr>
  </w:style>
  <w:style w:type="character" w:customStyle="1" w:styleId="Heading5Char">
    <w:name w:val="Heading 5 Char"/>
    <w:basedOn w:val="DefaultParagraphFont"/>
    <w:link w:val="Heading5"/>
    <w:uiPriority w:val="9"/>
    <w:rsid w:val="00585414"/>
    <w:rPr>
      <w:rFonts w:eastAsiaTheme="majorEastAsia" w:cstheme="majorBidi"/>
      <w:i/>
      <w:iCs/>
      <w:sz w:val="24"/>
      <w:szCs w:val="24"/>
      <w:lang w:val="fr-CH"/>
    </w:rPr>
  </w:style>
  <w:style w:type="paragraph" w:styleId="TOC1">
    <w:name w:val="toc 1"/>
    <w:basedOn w:val="Normal"/>
    <w:next w:val="Normal"/>
    <w:autoRedefine/>
    <w:uiPriority w:val="39"/>
    <w:unhideWhenUsed/>
    <w:rsid w:val="006D1641"/>
    <w:pPr>
      <w:tabs>
        <w:tab w:val="left" w:pos="440"/>
        <w:tab w:val="right" w:leader="dot" w:pos="9062"/>
      </w:tabs>
      <w:spacing w:before="240"/>
      <w:ind w:left="425" w:hanging="425"/>
    </w:pPr>
    <w:rPr>
      <w:b/>
      <w:color w:val="B0050D"/>
    </w:rPr>
  </w:style>
  <w:style w:type="paragraph" w:styleId="TOC2">
    <w:name w:val="toc 2"/>
    <w:basedOn w:val="Normal"/>
    <w:next w:val="Normal"/>
    <w:autoRedefine/>
    <w:uiPriority w:val="39"/>
    <w:unhideWhenUsed/>
    <w:rsid w:val="002F6827"/>
    <w:pPr>
      <w:tabs>
        <w:tab w:val="left" w:pos="442"/>
        <w:tab w:val="left" w:pos="567"/>
        <w:tab w:val="right" w:leader="dot" w:pos="9062"/>
      </w:tabs>
      <w:spacing w:before="120" w:after="60"/>
      <w:ind w:left="425" w:hanging="425"/>
    </w:pPr>
    <w:rPr>
      <w:b/>
      <w:noProof/>
    </w:rPr>
  </w:style>
  <w:style w:type="paragraph" w:styleId="TOC3">
    <w:name w:val="toc 3"/>
    <w:basedOn w:val="Normal"/>
    <w:next w:val="Normal"/>
    <w:autoRedefine/>
    <w:uiPriority w:val="39"/>
    <w:unhideWhenUsed/>
    <w:rsid w:val="002F6827"/>
    <w:pPr>
      <w:tabs>
        <w:tab w:val="left" w:pos="1100"/>
        <w:tab w:val="right" w:leader="dot" w:pos="9070"/>
      </w:tabs>
      <w:spacing w:before="60" w:after="60"/>
      <w:ind w:left="850" w:hanging="425"/>
    </w:pPr>
  </w:style>
  <w:style w:type="character" w:customStyle="1" w:styleId="Heading6Char">
    <w:name w:val="Heading 6 Char"/>
    <w:basedOn w:val="DefaultParagraphFont"/>
    <w:link w:val="Heading6"/>
    <w:uiPriority w:val="9"/>
    <w:rsid w:val="00585414"/>
    <w:rPr>
      <w:rFonts w:eastAsiaTheme="majorEastAsia" w:cstheme="majorBidi"/>
      <w:b/>
      <w:color w:val="1F4D78" w:themeColor="accent1" w:themeShade="7F"/>
      <w:sz w:val="24"/>
      <w:lang w:val="fr-CH"/>
    </w:rPr>
  </w:style>
  <w:style w:type="character" w:customStyle="1" w:styleId="Heading7Char">
    <w:name w:val="Heading 7 Char"/>
    <w:basedOn w:val="DefaultParagraphFont"/>
    <w:link w:val="Heading7"/>
    <w:uiPriority w:val="9"/>
    <w:rsid w:val="002F6827"/>
    <w:rPr>
      <w:rFonts w:eastAsiaTheme="majorEastAsia" w:cstheme="majorBidi"/>
      <w:i/>
      <w:iCs/>
      <w:sz w:val="24"/>
      <w:lang w:val="fr-CH"/>
    </w:rPr>
  </w:style>
  <w:style w:type="character" w:customStyle="1" w:styleId="Heading8Char">
    <w:name w:val="Heading 8 Char"/>
    <w:basedOn w:val="DefaultParagraphFont"/>
    <w:link w:val="Heading8"/>
    <w:uiPriority w:val="9"/>
    <w:rsid w:val="00585414"/>
    <w:rPr>
      <w:rFonts w:eastAsiaTheme="majorEastAsia" w:cstheme="majorBidi"/>
      <w:i/>
      <w:color w:val="144766"/>
      <w:sz w:val="24"/>
      <w:szCs w:val="21"/>
      <w:lang w:val="fr-CH"/>
    </w:rPr>
  </w:style>
  <w:style w:type="character" w:customStyle="1" w:styleId="Heading9Char">
    <w:name w:val="Heading 9 Char"/>
    <w:basedOn w:val="DefaultParagraphFont"/>
    <w:link w:val="Heading9"/>
    <w:uiPriority w:val="9"/>
    <w:rsid w:val="00585414"/>
    <w:rPr>
      <w:rFonts w:eastAsiaTheme="majorEastAsia" w:cstheme="majorBidi"/>
      <w:iCs/>
      <w:sz w:val="24"/>
      <w:szCs w:val="21"/>
      <w:lang w:val="fr-CH"/>
    </w:rPr>
  </w:style>
  <w:style w:type="paragraph" w:styleId="TOC4">
    <w:name w:val="toc 4"/>
    <w:basedOn w:val="Normal"/>
    <w:next w:val="Normal"/>
    <w:autoRedefine/>
    <w:uiPriority w:val="39"/>
    <w:unhideWhenUsed/>
    <w:rsid w:val="002F6827"/>
    <w:pPr>
      <w:tabs>
        <w:tab w:val="left" w:pos="1540"/>
        <w:tab w:val="right" w:leader="dot" w:pos="9070"/>
      </w:tabs>
      <w:spacing w:after="100"/>
      <w:ind w:left="1560" w:hanging="851"/>
    </w:pPr>
    <w:rPr>
      <w:i/>
    </w:rPr>
  </w:style>
  <w:style w:type="paragraph" w:styleId="TOC5">
    <w:name w:val="toc 5"/>
    <w:basedOn w:val="Normal"/>
    <w:next w:val="Normal"/>
    <w:autoRedefine/>
    <w:uiPriority w:val="39"/>
    <w:unhideWhenUsed/>
    <w:rsid w:val="002F6827"/>
    <w:pPr>
      <w:spacing w:after="100"/>
      <w:ind w:left="880"/>
    </w:pPr>
  </w:style>
  <w:style w:type="paragraph" w:styleId="TOC6">
    <w:name w:val="toc 6"/>
    <w:basedOn w:val="Normal"/>
    <w:next w:val="Normal"/>
    <w:autoRedefine/>
    <w:uiPriority w:val="39"/>
    <w:unhideWhenUsed/>
    <w:rsid w:val="002F6827"/>
    <w:pPr>
      <w:spacing w:after="100"/>
      <w:ind w:left="1100"/>
    </w:pPr>
  </w:style>
  <w:style w:type="paragraph" w:styleId="TOC7">
    <w:name w:val="toc 7"/>
    <w:basedOn w:val="Normal"/>
    <w:next w:val="Normal"/>
    <w:autoRedefine/>
    <w:uiPriority w:val="39"/>
    <w:unhideWhenUsed/>
    <w:rsid w:val="002F6827"/>
    <w:pPr>
      <w:spacing w:after="100"/>
      <w:ind w:left="1320"/>
    </w:pPr>
  </w:style>
  <w:style w:type="paragraph" w:styleId="TOC8">
    <w:name w:val="toc 8"/>
    <w:basedOn w:val="Normal"/>
    <w:next w:val="Normal"/>
    <w:autoRedefine/>
    <w:uiPriority w:val="39"/>
    <w:unhideWhenUsed/>
    <w:rsid w:val="002F6827"/>
    <w:pPr>
      <w:spacing w:after="100"/>
      <w:ind w:left="1540"/>
    </w:pPr>
  </w:style>
  <w:style w:type="paragraph" w:styleId="TOC9">
    <w:name w:val="toc 9"/>
    <w:basedOn w:val="Normal"/>
    <w:next w:val="Normal"/>
    <w:autoRedefine/>
    <w:uiPriority w:val="39"/>
    <w:unhideWhenUsed/>
    <w:rsid w:val="002F6827"/>
    <w:pPr>
      <w:spacing w:after="100"/>
      <w:ind w:left="1760"/>
    </w:pPr>
  </w:style>
  <w:style w:type="table" w:styleId="PlainTable5">
    <w:name w:val="Plain Table 5"/>
    <w:aliases w:val="Tabelle IH"/>
    <w:basedOn w:val="TableNormal"/>
    <w:uiPriority w:val="45"/>
    <w:locked/>
    <w:rsid w:val="002F6827"/>
    <w:pPr>
      <w:spacing w:after="0"/>
      <w:jc w:val="right"/>
    </w:pPr>
    <w:tblPr>
      <w:tblStyleRowBandSize w:val="1"/>
      <w:tblStyleColBandSize w:val="1"/>
    </w:tblPr>
    <w:tcPr>
      <w:vAlign w:val="center"/>
    </w:tcPr>
    <w:tblStylePr w:type="firstRow">
      <w:rPr>
        <w:rFonts w:ascii="Arial" w:eastAsiaTheme="majorEastAsia" w:hAnsi="Arial" w:cstheme="majorBidi"/>
        <w:i w:val="0"/>
        <w:iCs/>
        <w:sz w:val="22"/>
      </w:rPr>
      <w:tblPr/>
      <w:tcPr>
        <w:shd w:val="clear" w:color="auto" w:fill="144766"/>
      </w:tcPr>
    </w:tblStylePr>
    <w:tblStylePr w:type="lastRow">
      <w:pPr>
        <w:jc w:val="right"/>
      </w:pPr>
      <w:rPr>
        <w:rFonts w:ascii="Arial" w:eastAsiaTheme="majorEastAsia" w:hAnsi="Arial" w:cstheme="majorBidi"/>
        <w:i w:val="0"/>
        <w:iCs/>
        <w:sz w:val="22"/>
      </w:rPr>
      <w:tblPr/>
      <w:tcPr>
        <w:shd w:val="clear" w:color="auto" w:fill="B0050D"/>
        <w:vAlign w:val="center"/>
      </w:tcPr>
    </w:tblStylePr>
    <w:tblStylePr w:type="firstCol">
      <w:pPr>
        <w:jc w:val="left"/>
      </w:pPr>
      <w:rPr>
        <w:rFonts w:ascii="Arial" w:eastAsiaTheme="majorEastAsia" w:hAnsi="Arial" w:cstheme="majorBidi"/>
        <w:i/>
        <w:iCs/>
        <w:sz w:val="22"/>
      </w:rPr>
      <w:tblPr/>
      <w:tcPr>
        <w:tcBorders>
          <w:right w:val="single" w:sz="4" w:space="0" w:color="7F7F7F" w:themeColor="text1" w:themeTint="80"/>
        </w:tcBorders>
        <w:shd w:val="clear" w:color="auto" w:fill="FFFFFF" w:themeFill="background1"/>
      </w:tcPr>
    </w:tblStylePr>
    <w:tblStylePr w:type="lastCol">
      <w:rPr>
        <w:rFonts w:ascii="Arial" w:eastAsiaTheme="majorEastAsia" w:hAnsi="Arial" w:cstheme="majorBidi"/>
        <w:i w:val="0"/>
        <w:iCs/>
        <w:sz w:val="22"/>
      </w:rPr>
      <w:tblPr/>
      <w:tcPr>
        <w:shd w:val="clear" w:color="auto" w:fill="B0050D"/>
      </w:tcPr>
    </w:tblStylePr>
    <w:tblStylePr w:type="band1Vert">
      <w:tblPr/>
      <w:tcPr>
        <w:shd w:val="clear" w:color="auto" w:fill="F2F2F2" w:themeFill="background1" w:themeFillShade="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pPr>
        <w:jc w:val="left"/>
      </w:pPr>
      <w:rPr>
        <w:i/>
      </w:rPr>
      <w:tblPr/>
      <w:tcPr>
        <w:tcBorders>
          <w:right w:val="nil"/>
        </w:tcBorders>
        <w:vAlign w:val="top"/>
      </w:tcPr>
    </w:tblStylePr>
  </w:style>
  <w:style w:type="paragraph" w:styleId="Quote">
    <w:name w:val="Quote"/>
    <w:basedOn w:val="Normal"/>
    <w:next w:val="BodyText"/>
    <w:link w:val="QuoteChar"/>
    <w:uiPriority w:val="14"/>
    <w:qFormat/>
    <w:rsid w:val="002F6827"/>
    <w:pPr>
      <w:spacing w:before="200" w:after="160"/>
      <w:ind w:left="1021" w:right="1021"/>
      <w:jc w:val="center"/>
    </w:pPr>
    <w:rPr>
      <w:i/>
      <w:iCs/>
      <w:color w:val="000000" w:themeColor="text1"/>
    </w:rPr>
  </w:style>
  <w:style w:type="character" w:customStyle="1" w:styleId="QuoteChar">
    <w:name w:val="Quote Char"/>
    <w:basedOn w:val="DefaultParagraphFont"/>
    <w:link w:val="Quote"/>
    <w:uiPriority w:val="14"/>
    <w:rsid w:val="002F6827"/>
    <w:rPr>
      <w:i/>
      <w:iCs/>
      <w:color w:val="000000" w:themeColor="text1"/>
      <w:sz w:val="24"/>
    </w:rPr>
  </w:style>
  <w:style w:type="paragraph" w:styleId="PlainText">
    <w:name w:val="Plain Text"/>
    <w:aliases w:val="Klein Kursiv Einzug"/>
    <w:basedOn w:val="Normal"/>
    <w:next w:val="BodyText"/>
    <w:link w:val="PlainTextChar"/>
    <w:uiPriority w:val="16"/>
    <w:qFormat/>
    <w:rsid w:val="002F6827"/>
    <w:pPr>
      <w:spacing w:before="240" w:after="240"/>
      <w:ind w:left="340" w:right="340"/>
    </w:pPr>
    <w:rPr>
      <w:rFonts w:cs="Consolas"/>
      <w:i/>
      <w:sz w:val="20"/>
      <w:szCs w:val="21"/>
    </w:rPr>
  </w:style>
  <w:style w:type="character" w:customStyle="1" w:styleId="PlainTextChar">
    <w:name w:val="Plain Text Char"/>
    <w:aliases w:val="Klein Kursiv Einzug Char"/>
    <w:basedOn w:val="DefaultParagraphFont"/>
    <w:link w:val="PlainText"/>
    <w:uiPriority w:val="16"/>
    <w:rsid w:val="002F6827"/>
    <w:rPr>
      <w:rFonts w:cs="Consolas"/>
      <w:i/>
      <w:sz w:val="20"/>
      <w:szCs w:val="21"/>
    </w:rPr>
  </w:style>
  <w:style w:type="character" w:styleId="CommentReference">
    <w:name w:val="annotation reference"/>
    <w:aliases w:val="Blau"/>
    <w:basedOn w:val="DefaultParagraphFont"/>
    <w:uiPriority w:val="99"/>
    <w:qFormat/>
    <w:rsid w:val="002F6827"/>
    <w:rPr>
      <w:caps w:val="0"/>
      <w:smallCaps w:val="0"/>
      <w:strike w:val="0"/>
      <w:dstrike w:val="0"/>
      <w:vanish w:val="0"/>
      <w:color w:val="144766"/>
      <w:szCs w:val="16"/>
      <w:u w:color="144766"/>
      <w:vertAlign w:val="baseline"/>
    </w:rPr>
  </w:style>
  <w:style w:type="paragraph" w:styleId="BalloonText">
    <w:name w:val="Balloon Text"/>
    <w:aliases w:val="Box"/>
    <w:basedOn w:val="Normal"/>
    <w:next w:val="BodyText"/>
    <w:link w:val="BalloonTextChar"/>
    <w:autoRedefine/>
    <w:uiPriority w:val="12"/>
    <w:qFormat/>
    <w:rsid w:val="00ED2DD9"/>
    <w:pPr>
      <w:keepLines/>
      <w:shd w:val="clear" w:color="auto" w:fill="D9D9D9" w:themeFill="background1" w:themeFillShade="D9"/>
      <w:suppressAutoHyphens/>
      <w:ind w:left="284" w:right="281"/>
      <w:textboxTightWrap w:val="allLines"/>
    </w:pPr>
    <w:rPr>
      <w:rFonts w:cs="Segoe UI"/>
      <w:bCs/>
      <w:iCs/>
      <w:spacing w:val="5"/>
      <w:sz w:val="21"/>
      <w:szCs w:val="18"/>
      <w:shd w:val="clear" w:color="auto" w:fill="144766"/>
    </w:rPr>
  </w:style>
  <w:style w:type="character" w:customStyle="1" w:styleId="BalloonTextChar">
    <w:name w:val="Balloon Text Char"/>
    <w:aliases w:val="Box Char"/>
    <w:basedOn w:val="DefaultParagraphFont"/>
    <w:link w:val="BalloonText"/>
    <w:uiPriority w:val="12"/>
    <w:rsid w:val="00ED2DD9"/>
    <w:rPr>
      <w:rFonts w:cs="Segoe UI"/>
      <w:bCs/>
      <w:iCs/>
      <w:spacing w:val="5"/>
      <w:sz w:val="21"/>
      <w:szCs w:val="18"/>
      <w:shd w:val="clear" w:color="auto" w:fill="D9D9D9" w:themeFill="background1" w:themeFillShade="D9"/>
      <w:lang w:val="fr-CH"/>
    </w:rPr>
  </w:style>
  <w:style w:type="paragraph" w:styleId="BodyTextIndent">
    <w:name w:val="Body Text Indent"/>
    <w:aliases w:val="Einzug"/>
    <w:basedOn w:val="Normal"/>
    <w:next w:val="BodyText"/>
    <w:link w:val="BodyTextIndentChar"/>
    <w:uiPriority w:val="19"/>
    <w:qFormat/>
    <w:rsid w:val="002F6827"/>
    <w:pPr>
      <w:ind w:left="340"/>
    </w:pPr>
  </w:style>
  <w:style w:type="character" w:customStyle="1" w:styleId="BodyTextIndentChar">
    <w:name w:val="Body Text Indent Char"/>
    <w:aliases w:val="Einzug Char"/>
    <w:basedOn w:val="DefaultParagraphFont"/>
    <w:link w:val="BodyTextIndent"/>
    <w:uiPriority w:val="19"/>
    <w:rsid w:val="002F6827"/>
    <w:rPr>
      <w:sz w:val="24"/>
    </w:rPr>
  </w:style>
  <w:style w:type="paragraph" w:styleId="BodyTextIndent3">
    <w:name w:val="Body Text Indent 3"/>
    <w:aliases w:val="Einzug links rechts"/>
    <w:basedOn w:val="Normal"/>
    <w:next w:val="BodyText"/>
    <w:link w:val="BodyTextIndent3Char"/>
    <w:uiPriority w:val="20"/>
    <w:qFormat/>
    <w:rsid w:val="002F6827"/>
    <w:pPr>
      <w:ind w:left="340" w:right="567"/>
    </w:pPr>
    <w:rPr>
      <w:szCs w:val="16"/>
    </w:rPr>
  </w:style>
  <w:style w:type="character" w:customStyle="1" w:styleId="BodyTextIndent3Char">
    <w:name w:val="Body Text Indent 3 Char"/>
    <w:aliases w:val="Einzug links rechts Char"/>
    <w:basedOn w:val="DefaultParagraphFont"/>
    <w:link w:val="BodyTextIndent3"/>
    <w:uiPriority w:val="20"/>
    <w:rsid w:val="002F6827"/>
    <w:rPr>
      <w:sz w:val="24"/>
      <w:szCs w:val="16"/>
    </w:rPr>
  </w:style>
  <w:style w:type="paragraph" w:styleId="BodyTextFirstIndent">
    <w:name w:val="Body Text First Indent"/>
    <w:aliases w:val="Erstzeileneinzug klein"/>
    <w:basedOn w:val="BodyText"/>
    <w:next w:val="BodyText"/>
    <w:link w:val="BodyTextFirstIndentChar"/>
    <w:uiPriority w:val="21"/>
    <w:qFormat/>
    <w:rsid w:val="002F6827"/>
    <w:pPr>
      <w:ind w:firstLine="340"/>
    </w:pPr>
  </w:style>
  <w:style w:type="character" w:customStyle="1" w:styleId="BodyTextFirstIndentChar">
    <w:name w:val="Body Text First Indent Char"/>
    <w:aliases w:val="Erstzeileneinzug klein Char"/>
    <w:basedOn w:val="BodyTextChar"/>
    <w:link w:val="BodyTextFirstIndent"/>
    <w:uiPriority w:val="21"/>
    <w:rsid w:val="002F6827"/>
    <w:rPr>
      <w:sz w:val="24"/>
    </w:rPr>
  </w:style>
  <w:style w:type="paragraph" w:styleId="BodyTextFirstIndent2">
    <w:name w:val="Body Text First Indent 2"/>
    <w:basedOn w:val="BodyText"/>
    <w:next w:val="Date"/>
    <w:link w:val="BodyTextFirstIndent2Char"/>
    <w:uiPriority w:val="24"/>
    <w:qFormat/>
    <w:rsid w:val="002F6827"/>
    <w:pPr>
      <w:tabs>
        <w:tab w:val="left" w:pos="2410"/>
      </w:tabs>
      <w:ind w:left="2410" w:hanging="2410"/>
    </w:pPr>
  </w:style>
  <w:style w:type="character" w:customStyle="1" w:styleId="BodyTextFirstIndent2Char">
    <w:name w:val="Body Text First Indent 2 Char"/>
    <w:basedOn w:val="BodyTextIndentChar"/>
    <w:link w:val="BodyTextFirstIndent2"/>
    <w:uiPriority w:val="24"/>
    <w:rsid w:val="002F6827"/>
    <w:rPr>
      <w:sz w:val="24"/>
    </w:rPr>
  </w:style>
  <w:style w:type="character" w:styleId="HTMLSample">
    <w:name w:val="HTML Sample"/>
    <w:uiPriority w:val="50"/>
    <w:semiHidden/>
    <w:rsid w:val="009632D4"/>
    <w:rPr>
      <w:rFonts w:eastAsiaTheme="majorEastAsia" w:cstheme="majorBidi"/>
      <w:iCs/>
    </w:rPr>
  </w:style>
  <w:style w:type="table" w:styleId="PlainTable4">
    <w:name w:val="Plain Table 4"/>
    <w:basedOn w:val="TableNormal"/>
    <w:uiPriority w:val="44"/>
    <w:locked/>
    <w:rsid w:val="002F6827"/>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locked/>
    <w:rsid w:val="002F6827"/>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locked/>
    <w:rsid w:val="002F6827"/>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locked/>
    <w:rsid w:val="002F6827"/>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locked/>
    <w:rsid w:val="002F682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aliases w:val="Tab_Erste Spalte"/>
    <w:uiPriority w:val="92"/>
    <w:semiHidden/>
    <w:rsid w:val="002F6827"/>
    <w:rPr>
      <w:rFonts w:eastAsiaTheme="majorEastAsia" w:cstheme="majorBidi"/>
      <w:i/>
      <w:iCs/>
    </w:rPr>
  </w:style>
  <w:style w:type="paragraph" w:styleId="HTMLAddress">
    <w:name w:val="HTML Address"/>
    <w:aliases w:val="Tab_Kopfzeile"/>
    <w:basedOn w:val="BodyText"/>
    <w:link w:val="HTMLAddressChar"/>
    <w:uiPriority w:val="92"/>
    <w:qFormat/>
    <w:rsid w:val="002F6827"/>
    <w:pPr>
      <w:spacing w:after="0"/>
    </w:pPr>
  </w:style>
  <w:style w:type="character" w:customStyle="1" w:styleId="HTMLAddressChar">
    <w:name w:val="HTML Address Char"/>
    <w:aliases w:val="Tab_Kopfzeile Char"/>
    <w:basedOn w:val="DefaultParagraphFont"/>
    <w:link w:val="HTMLAddress"/>
    <w:uiPriority w:val="92"/>
    <w:rsid w:val="002F6827"/>
    <w:rPr>
      <w:sz w:val="24"/>
    </w:rPr>
  </w:style>
  <w:style w:type="character" w:styleId="HTMLCode">
    <w:name w:val="HTML Code"/>
    <w:aliases w:val="Tab_Letzte Spalte"/>
    <w:uiPriority w:val="92"/>
    <w:semiHidden/>
    <w:qFormat/>
    <w:rsid w:val="002F6827"/>
  </w:style>
  <w:style w:type="character" w:customStyle="1" w:styleId="NoSpacingChar">
    <w:name w:val="No Spacing Char"/>
    <w:basedOn w:val="DefaultParagraphFont"/>
    <w:link w:val="NoSpacing"/>
    <w:uiPriority w:val="99"/>
    <w:semiHidden/>
    <w:rsid w:val="002F6827"/>
  </w:style>
  <w:style w:type="character" w:styleId="PlaceholderText">
    <w:name w:val="Placeholder Text"/>
    <w:basedOn w:val="DefaultParagraphFont"/>
    <w:uiPriority w:val="99"/>
    <w:semiHidden/>
    <w:rsid w:val="002F6827"/>
    <w:rPr>
      <w:color w:val="808080"/>
    </w:rPr>
  </w:style>
  <w:style w:type="paragraph" w:styleId="BodyTextIndent2">
    <w:name w:val="Body Text Indent 2"/>
    <w:aliases w:val="Zentriert"/>
    <w:basedOn w:val="Normal"/>
    <w:next w:val="BodyText"/>
    <w:link w:val="BodyTextIndent2Char"/>
    <w:uiPriority w:val="23"/>
    <w:qFormat/>
    <w:rsid w:val="002F6827"/>
    <w:pPr>
      <w:suppressAutoHyphens/>
      <w:spacing w:before="240"/>
      <w:jc w:val="center"/>
    </w:pPr>
  </w:style>
  <w:style w:type="character" w:customStyle="1" w:styleId="BodyTextIndent2Char">
    <w:name w:val="Body Text Indent 2 Char"/>
    <w:aliases w:val="Zentriert Char"/>
    <w:basedOn w:val="DefaultParagraphFont"/>
    <w:link w:val="BodyTextIndent2"/>
    <w:uiPriority w:val="23"/>
    <w:rsid w:val="002F6827"/>
    <w:rPr>
      <w:sz w:val="24"/>
    </w:rPr>
  </w:style>
  <w:style w:type="table" w:styleId="TableGrid">
    <w:name w:val="Table Grid"/>
    <w:basedOn w:val="TableNormal"/>
    <w:uiPriority w:val="39"/>
    <w:locked/>
    <w:rsid w:val="002F682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ukastenAufzaehlung">
    <w:name w:val="Baukasten_Aufzaehlung"/>
    <w:basedOn w:val="Normal"/>
    <w:link w:val="BaukastenAufzaehlungZchn"/>
    <w:autoRedefine/>
    <w:qFormat/>
    <w:rsid w:val="00E77057"/>
    <w:pPr>
      <w:numPr>
        <w:numId w:val="19"/>
      </w:numPr>
      <w:shd w:val="clear" w:color="auto" w:fill="FFFFCC"/>
      <w:spacing w:before="60" w:after="60" w:line="280" w:lineRule="exact"/>
    </w:pPr>
    <w:rPr>
      <w:rFonts w:eastAsia="MS Gothic"/>
      <w:szCs w:val="24"/>
    </w:rPr>
  </w:style>
  <w:style w:type="character" w:customStyle="1" w:styleId="BaukastenAufzaehlungZchn">
    <w:name w:val="Baukasten_Aufzaehlung Zchn"/>
    <w:basedOn w:val="DefaultParagraphFont"/>
    <w:link w:val="BaukastenAufzaehlung"/>
    <w:rsid w:val="00E77057"/>
    <w:rPr>
      <w:rFonts w:eastAsia="MS Gothic"/>
      <w:sz w:val="24"/>
      <w:szCs w:val="24"/>
      <w:shd w:val="clear" w:color="auto" w:fill="FFFFCC"/>
      <w:lang w:val="fr-CH"/>
    </w:rPr>
  </w:style>
  <w:style w:type="paragraph" w:customStyle="1" w:styleId="SBAufzhlung">
    <w:name w:val="SB Aufzählung"/>
    <w:basedOn w:val="Normal"/>
    <w:link w:val="SBAufzhlungZchn"/>
    <w:autoRedefine/>
    <w:uiPriority w:val="99"/>
    <w:qFormat/>
    <w:rsid w:val="00FE29BD"/>
    <w:pPr>
      <w:numPr>
        <w:numId w:val="5"/>
      </w:numPr>
      <w:tabs>
        <w:tab w:val="left" w:pos="0"/>
      </w:tabs>
      <w:spacing w:after="0"/>
      <w:ind w:left="357" w:hanging="357"/>
      <w:jc w:val="left"/>
    </w:pPr>
    <w:rPr>
      <w:rFonts w:eastAsia="MS Gothic"/>
      <w:szCs w:val="20"/>
      <w:lang w:val="de-CH"/>
    </w:rPr>
  </w:style>
  <w:style w:type="character" w:customStyle="1" w:styleId="SBAufzhlungZchn">
    <w:name w:val="SB Aufzählung Zchn"/>
    <w:basedOn w:val="DefaultParagraphFont"/>
    <w:link w:val="SBAufzhlung"/>
    <w:uiPriority w:val="99"/>
    <w:rsid w:val="00FE29BD"/>
    <w:rPr>
      <w:rFonts w:eastAsia="MS Gothic"/>
      <w:sz w:val="24"/>
      <w:szCs w:val="20"/>
    </w:rPr>
  </w:style>
  <w:style w:type="paragraph" w:customStyle="1" w:styleId="SBEmpfehlungen">
    <w:name w:val="SB Empfehlungen"/>
    <w:basedOn w:val="ListParagraph"/>
    <w:link w:val="SBEmpfehlungenZchn"/>
    <w:uiPriority w:val="6"/>
    <w:qFormat/>
    <w:rsid w:val="00D118EE"/>
    <w:pPr>
      <w:numPr>
        <w:numId w:val="6"/>
      </w:numPr>
      <w:shd w:val="clear" w:color="auto" w:fill="FFFFCC"/>
      <w:spacing w:before="60" w:after="60" w:line="280" w:lineRule="exact"/>
      <w:ind w:left="357" w:hanging="357"/>
      <w:contextualSpacing w:val="0"/>
    </w:pPr>
    <w:rPr>
      <w:rFonts w:eastAsia="Cambria"/>
      <w:szCs w:val="24"/>
    </w:rPr>
  </w:style>
  <w:style w:type="character" w:customStyle="1" w:styleId="SBEmpfehlungenZchn">
    <w:name w:val="SB Empfehlungen Zchn"/>
    <w:basedOn w:val="DefaultParagraphFont"/>
    <w:link w:val="SBEmpfehlungen"/>
    <w:uiPriority w:val="6"/>
    <w:rsid w:val="00D118EE"/>
    <w:rPr>
      <w:rFonts w:eastAsia="Cambria"/>
      <w:sz w:val="24"/>
      <w:szCs w:val="24"/>
      <w:shd w:val="clear" w:color="auto" w:fill="FFFFCC"/>
      <w:lang w:val="fr-CH"/>
    </w:rPr>
  </w:style>
  <w:style w:type="paragraph" w:styleId="CommentText">
    <w:name w:val="annotation text"/>
    <w:basedOn w:val="Normal"/>
    <w:link w:val="CommentTextChar"/>
    <w:uiPriority w:val="99"/>
    <w:unhideWhenUsed/>
    <w:rsid w:val="00924B3D"/>
    <w:rPr>
      <w:sz w:val="20"/>
      <w:szCs w:val="20"/>
    </w:rPr>
  </w:style>
  <w:style w:type="character" w:customStyle="1" w:styleId="CommentTextChar">
    <w:name w:val="Comment Text Char"/>
    <w:basedOn w:val="DefaultParagraphFont"/>
    <w:link w:val="CommentText"/>
    <w:uiPriority w:val="99"/>
    <w:rsid w:val="00924B3D"/>
    <w:rPr>
      <w:sz w:val="20"/>
      <w:szCs w:val="20"/>
      <w:lang w:val="fr-CH"/>
    </w:rPr>
  </w:style>
  <w:style w:type="paragraph" w:styleId="CommentSubject">
    <w:name w:val="annotation subject"/>
    <w:basedOn w:val="CommentText"/>
    <w:next w:val="CommentText"/>
    <w:link w:val="CommentSubjectChar"/>
    <w:uiPriority w:val="99"/>
    <w:semiHidden/>
    <w:unhideWhenUsed/>
    <w:rsid w:val="00924B3D"/>
    <w:rPr>
      <w:b/>
      <w:bCs/>
    </w:rPr>
  </w:style>
  <w:style w:type="character" w:customStyle="1" w:styleId="CommentSubjectChar">
    <w:name w:val="Comment Subject Char"/>
    <w:basedOn w:val="CommentTextChar"/>
    <w:link w:val="CommentSubject"/>
    <w:uiPriority w:val="99"/>
    <w:semiHidden/>
    <w:rsid w:val="00924B3D"/>
    <w:rPr>
      <w:b/>
      <w:bCs/>
      <w:sz w:val="20"/>
      <w:szCs w:val="20"/>
      <w:lang w:val="fr-CH"/>
    </w:rPr>
  </w:style>
  <w:style w:type="paragraph" w:customStyle="1" w:styleId="Listenabsatzroterrahmen">
    <w:name w:val="Listenabsatz_roterrahmen"/>
    <w:basedOn w:val="ListParagraph"/>
    <w:rsid w:val="00924B3D"/>
    <w:pPr>
      <w:shd w:val="clear" w:color="auto" w:fill="144766"/>
      <w:spacing w:before="240" w:after="60" w:line="280" w:lineRule="exact"/>
      <w:ind w:left="357" w:hanging="357"/>
      <w:contextualSpacing w:val="0"/>
    </w:pPr>
    <w:rPr>
      <w:rFonts w:eastAsia="Cambria"/>
      <w:szCs w:val="24"/>
      <w:lang w:val="de-CH"/>
    </w:rPr>
  </w:style>
  <w:style w:type="paragraph" w:customStyle="1" w:styleId="UntertitelSB">
    <w:name w:val="Untertitel SB"/>
    <w:basedOn w:val="ListParagraph"/>
    <w:link w:val="UntertitelSBZchn"/>
    <w:autoRedefine/>
    <w:rsid w:val="00C177BB"/>
    <w:pPr>
      <w:shd w:val="clear" w:color="auto" w:fill="E26C60"/>
      <w:spacing w:before="240" w:after="60" w:line="280" w:lineRule="exact"/>
      <w:ind w:left="0"/>
      <w:contextualSpacing w:val="0"/>
    </w:pPr>
    <w:rPr>
      <w:rFonts w:eastAsia="MS Gothic"/>
      <w:b/>
      <w:szCs w:val="24"/>
      <w:lang w:val="de-CH"/>
    </w:rPr>
  </w:style>
  <w:style w:type="character" w:customStyle="1" w:styleId="UntertitelSBZchn">
    <w:name w:val="Untertitel SB Zchn"/>
    <w:basedOn w:val="DefaultParagraphFont"/>
    <w:link w:val="UntertitelSB"/>
    <w:rsid w:val="00C177BB"/>
    <w:rPr>
      <w:rFonts w:eastAsia="MS Gothic"/>
      <w:b/>
      <w:sz w:val="24"/>
      <w:szCs w:val="24"/>
      <w:shd w:val="clear" w:color="auto" w:fill="E26C60"/>
    </w:rPr>
  </w:style>
  <w:style w:type="character" w:customStyle="1" w:styleId="ListParagraphChar">
    <w:name w:val="List Paragraph Char"/>
    <w:aliases w:val="Liste Std Char,liste de points Char"/>
    <w:link w:val="ListParagraph"/>
    <w:uiPriority w:val="34"/>
    <w:rsid w:val="00C177BB"/>
    <w:rPr>
      <w:sz w:val="24"/>
      <w:lang w:val="fr-CH"/>
    </w:rPr>
  </w:style>
  <w:style w:type="paragraph" w:customStyle="1" w:styleId="Default">
    <w:name w:val="Default"/>
    <w:rsid w:val="00B30BCF"/>
    <w:pPr>
      <w:autoSpaceDE w:val="0"/>
      <w:autoSpaceDN w:val="0"/>
      <w:adjustRightInd w:val="0"/>
      <w:spacing w:after="0"/>
    </w:pPr>
    <w:rPr>
      <w:color w:val="000000"/>
      <w:sz w:val="24"/>
      <w:szCs w:val="24"/>
    </w:rPr>
  </w:style>
  <w:style w:type="paragraph" w:customStyle="1" w:styleId="NummerierterText">
    <w:name w:val="Nummerierter Text"/>
    <w:basedOn w:val="BaukastenAufzaehlung"/>
    <w:link w:val="NummerierterTextZchn"/>
    <w:autoRedefine/>
    <w:uiPriority w:val="99"/>
    <w:qFormat/>
    <w:rsid w:val="00B30BCF"/>
    <w:pPr>
      <w:numPr>
        <w:numId w:val="0"/>
      </w:numPr>
      <w:tabs>
        <w:tab w:val="left" w:pos="0"/>
      </w:tabs>
      <w:spacing w:before="0"/>
    </w:pPr>
    <w:rPr>
      <w:szCs w:val="20"/>
    </w:rPr>
  </w:style>
  <w:style w:type="character" w:customStyle="1" w:styleId="NummerierterTextZchn">
    <w:name w:val="Nummerierter Text Zchn"/>
    <w:basedOn w:val="BaukastenAufzaehlungZchn"/>
    <w:link w:val="NummerierterText"/>
    <w:uiPriority w:val="99"/>
    <w:rsid w:val="00B30BCF"/>
    <w:rPr>
      <w:rFonts w:eastAsia="MS Gothic"/>
      <w:sz w:val="24"/>
      <w:szCs w:val="20"/>
      <w:shd w:val="clear" w:color="auto" w:fill="FFFFCC"/>
      <w:lang w:val="fr-CH"/>
    </w:rPr>
  </w:style>
  <w:style w:type="character" w:customStyle="1" w:styleId="tgc">
    <w:name w:val="_tgc"/>
    <w:basedOn w:val="DefaultParagraphFont"/>
    <w:rsid w:val="00B30BCF"/>
  </w:style>
  <w:style w:type="character" w:customStyle="1" w:styleId="st">
    <w:name w:val="st"/>
    <w:basedOn w:val="DefaultParagraphFont"/>
    <w:rsid w:val="00B30BCF"/>
  </w:style>
  <w:style w:type="paragraph" w:customStyle="1" w:styleId="Untertitel2">
    <w:name w:val="Untertitel 2"/>
    <w:basedOn w:val="Subtitle"/>
    <w:link w:val="Untertitel2Zchn"/>
    <w:uiPriority w:val="99"/>
    <w:qFormat/>
    <w:rsid w:val="00B30BCF"/>
    <w:pPr>
      <w:pBdr>
        <w:top w:val="none" w:sz="0" w:space="0" w:color="auto"/>
        <w:left w:val="none" w:sz="0" w:space="0" w:color="auto"/>
        <w:bottom w:val="none" w:sz="0" w:space="0" w:color="auto"/>
        <w:right w:val="none" w:sz="0" w:space="0" w:color="auto"/>
      </w:pBdr>
      <w:spacing w:before="600"/>
      <w:jc w:val="center"/>
    </w:pPr>
    <w:rPr>
      <w:rFonts w:eastAsia="MS Gothic"/>
      <w:szCs w:val="24"/>
      <w:lang w:val="de-CH"/>
    </w:rPr>
  </w:style>
  <w:style w:type="character" w:customStyle="1" w:styleId="FussnoteZchn">
    <w:name w:val="Fussnote Zchn"/>
    <w:basedOn w:val="DefaultParagraphFont"/>
    <w:link w:val="Fussnote"/>
    <w:uiPriority w:val="99"/>
    <w:rsid w:val="00D118EE"/>
    <w:rPr>
      <w:rFonts w:eastAsia="Cambria"/>
      <w:sz w:val="18"/>
      <w:lang w:val="fr-CH"/>
    </w:rPr>
  </w:style>
  <w:style w:type="character" w:customStyle="1" w:styleId="Untertitel2Zchn">
    <w:name w:val="Untertitel 2 Zchn"/>
    <w:basedOn w:val="SubtitleChar"/>
    <w:link w:val="Untertitel2"/>
    <w:uiPriority w:val="99"/>
    <w:rsid w:val="00B30BCF"/>
    <w:rPr>
      <w:rFonts w:eastAsia="MS Gothic" w:cstheme="majorBidi"/>
      <w:b/>
      <w:iCs/>
      <w:spacing w:val="10"/>
      <w:sz w:val="24"/>
      <w:szCs w:val="24"/>
      <w:shd w:val="clear" w:color="auto" w:fill="FF8585"/>
      <w:lang w:val="fr-CH"/>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unhideWhenUsed/>
    <w:qFormat/>
    <w:rsid w:val="006066DC"/>
    <w:rPr>
      <w:vertAlign w:val="superscript"/>
    </w:rPr>
  </w:style>
  <w:style w:type="table" w:customStyle="1" w:styleId="Tabellenraster1">
    <w:name w:val="Tabellenraster1"/>
    <w:basedOn w:val="TableNormal"/>
    <w:next w:val="TableGrid"/>
    <w:uiPriority w:val="39"/>
    <w:locked/>
    <w:rsid w:val="00A717C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TableNormal"/>
    <w:next w:val="TableGrid"/>
    <w:uiPriority w:val="39"/>
    <w:locked/>
    <w:rsid w:val="00A717C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9515C5"/>
    <w:pPr>
      <w:spacing w:before="120" w:after="160" w:line="240" w:lineRule="exact"/>
    </w:pPr>
    <w:rPr>
      <w:sz w:val="22"/>
      <w:vertAlign w:val="superscript"/>
      <w:lang w:val="de-CH"/>
    </w:rPr>
  </w:style>
  <w:style w:type="paragraph" w:customStyle="1" w:styleId="Aufzhlung">
    <w:name w:val="Aufzählung"/>
    <w:basedOn w:val="ListParagraph"/>
    <w:link w:val="AufzhlungZchn"/>
    <w:uiPriority w:val="6"/>
    <w:qFormat/>
    <w:rsid w:val="00A40724"/>
    <w:pPr>
      <w:spacing w:after="0" w:line="280" w:lineRule="exact"/>
      <w:ind w:left="357" w:hanging="357"/>
      <w:contextualSpacing w:val="0"/>
    </w:pPr>
    <w:rPr>
      <w:rFonts w:eastAsia="Cambria"/>
      <w:szCs w:val="24"/>
    </w:rPr>
  </w:style>
  <w:style w:type="character" w:customStyle="1" w:styleId="AufzhlungZchn">
    <w:name w:val="Aufzählung Zchn"/>
    <w:basedOn w:val="DefaultParagraphFont"/>
    <w:link w:val="Aufzhlung"/>
    <w:uiPriority w:val="6"/>
    <w:rsid w:val="00A40724"/>
    <w:rPr>
      <w:rFonts w:eastAsia="Cambria"/>
      <w:sz w:val="24"/>
      <w:szCs w:val="24"/>
      <w:lang w:val="fr-CH"/>
    </w:rPr>
  </w:style>
  <w:style w:type="paragraph" w:customStyle="1" w:styleId="Vorbemerkung">
    <w:name w:val="Vorbemerkung"/>
    <w:basedOn w:val="ListParagraph"/>
    <w:qFormat/>
    <w:rsid w:val="005B6BB2"/>
    <w:pPr>
      <w:suppressAutoHyphens/>
      <w:spacing w:before="240" w:after="0" w:line="280" w:lineRule="exact"/>
      <w:ind w:left="0" w:hanging="357"/>
      <w:contextualSpacing w:val="0"/>
    </w:pPr>
    <w:rPr>
      <w:rFonts w:eastAsia="Cambria"/>
      <w:b/>
      <w:color w:val="144766"/>
      <w:szCs w:val="24"/>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25727">
      <w:bodyDiv w:val="1"/>
      <w:marLeft w:val="0"/>
      <w:marRight w:val="0"/>
      <w:marTop w:val="0"/>
      <w:marBottom w:val="0"/>
      <w:divBdr>
        <w:top w:val="none" w:sz="0" w:space="0" w:color="auto"/>
        <w:left w:val="none" w:sz="0" w:space="0" w:color="auto"/>
        <w:bottom w:val="none" w:sz="0" w:space="0" w:color="auto"/>
        <w:right w:val="none" w:sz="0" w:space="0" w:color="auto"/>
      </w:divBdr>
    </w:div>
    <w:div w:id="795947349">
      <w:bodyDiv w:val="1"/>
      <w:marLeft w:val="0"/>
      <w:marRight w:val="0"/>
      <w:marTop w:val="0"/>
      <w:marBottom w:val="0"/>
      <w:divBdr>
        <w:top w:val="none" w:sz="0" w:space="0" w:color="auto"/>
        <w:left w:val="none" w:sz="0" w:space="0" w:color="auto"/>
        <w:bottom w:val="none" w:sz="0" w:space="0" w:color="auto"/>
        <w:right w:val="none" w:sz="0" w:space="0" w:color="auto"/>
      </w:divBdr>
    </w:div>
    <w:div w:id="970668075">
      <w:bodyDiv w:val="1"/>
      <w:marLeft w:val="0"/>
      <w:marRight w:val="0"/>
      <w:marTop w:val="0"/>
      <w:marBottom w:val="0"/>
      <w:divBdr>
        <w:top w:val="none" w:sz="0" w:space="0" w:color="auto"/>
        <w:left w:val="none" w:sz="0" w:space="0" w:color="auto"/>
        <w:bottom w:val="none" w:sz="0" w:space="0" w:color="auto"/>
        <w:right w:val="none" w:sz="0" w:space="0" w:color="auto"/>
      </w:divBdr>
    </w:div>
    <w:div w:id="970745620">
      <w:bodyDiv w:val="1"/>
      <w:marLeft w:val="0"/>
      <w:marRight w:val="0"/>
      <w:marTop w:val="0"/>
      <w:marBottom w:val="0"/>
      <w:divBdr>
        <w:top w:val="none" w:sz="0" w:space="0" w:color="auto"/>
        <w:left w:val="none" w:sz="0" w:space="0" w:color="auto"/>
        <w:bottom w:val="none" w:sz="0" w:space="0" w:color="auto"/>
        <w:right w:val="none" w:sz="0" w:space="0" w:color="auto"/>
      </w:divBdr>
    </w:div>
    <w:div w:id="1037663504">
      <w:bodyDiv w:val="1"/>
      <w:marLeft w:val="0"/>
      <w:marRight w:val="0"/>
      <w:marTop w:val="0"/>
      <w:marBottom w:val="0"/>
      <w:divBdr>
        <w:top w:val="none" w:sz="0" w:space="0" w:color="auto"/>
        <w:left w:val="none" w:sz="0" w:space="0" w:color="auto"/>
        <w:bottom w:val="none" w:sz="0" w:space="0" w:color="auto"/>
        <w:right w:val="none" w:sz="0" w:space="0" w:color="auto"/>
      </w:divBdr>
    </w:div>
    <w:div w:id="186983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utismusschweiz.ch" TargetMode="External"/><Relationship Id="rId18" Type="http://schemas.openxmlformats.org/officeDocument/2006/relationships/hyperlink" Target="http://www.pro-audito.ch" TargetMode="External"/><Relationship Id="rId26" Type="http://schemas.openxmlformats.org/officeDocument/2006/relationships/hyperlink" Target="https://www.cerebral.ch" TargetMode="External"/><Relationship Id="rId39" Type="http://schemas.openxmlformats.org/officeDocument/2006/relationships/customXml" Target="../customXml/item4.xml"/><Relationship Id="rId21" Type="http://schemas.openxmlformats.org/officeDocument/2006/relationships/hyperlink" Target="http://www.promentesana.ch"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srim.ch/" TargetMode="External"/><Relationship Id="rId17" Type="http://schemas.openxmlformats.org/officeDocument/2006/relationships/hyperlink" Target="http://www.plusport.ch" TargetMode="External"/><Relationship Id="rId25" Type="http://schemas.openxmlformats.org/officeDocument/2006/relationships/hyperlink" Target="http://www.spv.ch" TargetMode="External"/><Relationship Id="rId33" Type="http://schemas.openxmlformats.org/officeDocument/2006/relationships/footer" Target="footer2.xml"/><Relationship Id="rId38"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hyperlink" Target="http://insieme.ch" TargetMode="External"/><Relationship Id="rId20" Type="http://schemas.openxmlformats.org/officeDocument/2006/relationships/hyperlink" Target="http://www.proinfirmis.ch/de/home.html" TargetMode="External"/><Relationship Id="rId29" Type="http://schemas.openxmlformats.org/officeDocument/2006/relationships/hyperlink" Target="http://www.vereinigung-cerebral.ch/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szb.ch" TargetMode="External"/><Relationship Id="rId32" Type="http://schemas.openxmlformats.org/officeDocument/2006/relationships/footer" Target="footer1.xml"/><Relationship Id="rId37" Type="http://schemas.openxmlformats.org/officeDocument/2006/relationships/theme" Target="theme/theme1.xml"/><Relationship Id="rId40"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hyperlink" Target="http://www.inclusione-andicap-ticino.ch/" TargetMode="External"/><Relationship Id="rId23" Type="http://schemas.openxmlformats.org/officeDocument/2006/relationships/hyperlink" Target="http://www.sgb-fss.ch" TargetMode="External"/><Relationship Id="rId28" Type="http://schemas.openxmlformats.org/officeDocument/2006/relationships/hyperlink" Target="https://www.verband-dyslexie.ch/"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www.procap.ch/Home.20.0.html"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fragile.ch/suisse/" TargetMode="External"/><Relationship Id="rId22" Type="http://schemas.openxmlformats.org/officeDocument/2006/relationships/hyperlink" Target="https://www.multiplesklerose.ch/de/" TargetMode="External"/><Relationship Id="rId27" Type="http://schemas.openxmlformats.org/officeDocument/2006/relationships/hyperlink" Target="https://www.sonos-info.ch/"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117" Type="http://schemas.openxmlformats.org/officeDocument/2006/relationships/hyperlink" Target="https://www.parlament.ch/fr/ratsbetrieb/suche-curia-vista/geschaeft?AffairId=20204463" TargetMode="External"/><Relationship Id="rId21" Type="http://schemas.openxmlformats.org/officeDocument/2006/relationships/hyperlink" Target="https://bit.ly/3GQ2rP3" TargetMode="External"/><Relationship Id="rId42" Type="http://schemas.openxmlformats.org/officeDocument/2006/relationships/hyperlink" Target="https://www.skmr.ch/cms/upload/pdf/2020/200902_Resume_Art.12_CDE.pdf" TargetMode="External"/><Relationship Id="rId63" Type="http://schemas.openxmlformats.org/officeDocument/2006/relationships/hyperlink" Target="https://www.google.com/url?sa=t&amp;rct=j&amp;q=&amp;esrc=s&amp;source=web&amp;cd=&amp;ved=2ahUKEwjzhvC4o__1AhUIif0HHd6HBPIQFnoECAYQAQ&amp;url=https%3A%2F%2Fwww.bj.admin.ch%2Fdam%2Fbj%2Fen%2Fdata%2Fstaat%2Fmenschenrechte%2Fantifolterkonvention%2Fcat-ber-7-schlussfolgerungen-e.pdf.download.pdf%2Fcat-ber-7-schlussfolgerungen-e.pdf&amp;usg=AOvVaw3T8pfcYoRe9XAbg9LFcYl2" TargetMode="External"/><Relationship Id="rId84" Type="http://schemas.openxmlformats.org/officeDocument/2006/relationships/hyperlink" Target="https://www.bger.ch/ext/eurospider/live/de/php/aza/http/index.php?lang=de&amp;type=highlight_simple_query&amp;page=1&amp;from_date=&amp;to_date=&amp;sort=relevance&amp;insertion_date=&amp;top_subcollection_aza=all&amp;query_words=8C_390%2F2019&amp;rank=1&amp;azaclir=aza&amp;highlight_docid=aza%3A%2F%2F20-09-2019-8C_390-2019&amp;number_of_ranks=1" TargetMode="External"/><Relationship Id="rId138" Type="http://schemas.openxmlformats.org/officeDocument/2006/relationships/hyperlink" Target="https://www.inviedual.ch/" TargetMode="External"/><Relationship Id="rId159" Type="http://schemas.openxmlformats.org/officeDocument/2006/relationships/hyperlink" Target="https://tbinternet.ohchr.org/_layouts/15/treatybodyexternal/Download.aspx?symbolno=HRI/CORE/CHE/2017" TargetMode="External"/><Relationship Id="rId170" Type="http://schemas.openxmlformats.org/officeDocument/2006/relationships/hyperlink" Target="https://www.bfs.admin.ch/bfs/fr/home/actualites/quoi-de-neuf.assetdetail.10227898.html" TargetMode="External"/><Relationship Id="rId191" Type="http://schemas.openxmlformats.org/officeDocument/2006/relationships/hyperlink" Target="https://osf.io/x6zu7/" TargetMode="External"/><Relationship Id="rId205" Type="http://schemas.openxmlformats.org/officeDocument/2006/relationships/hyperlink" Target="https://www.sg.ch/gesundheit-soziales/soziales/behinderung/behindertenpolitik/_jcr_content/Par/sgch_downloadlist/DownloadListPar/sgch_download.ocFile/Wirkungsbericht%20Behindertenpolitik.pdf" TargetMode="External"/><Relationship Id="rId226" Type="http://schemas.openxmlformats.org/officeDocument/2006/relationships/hyperlink" Target="https://www.bag.admin.ch/dam/bag/en/dokumente/kuv-aufsicht/krankenversicherung/evaluation-reformvorschlaege-taggeldversicherung-krankheit.pdf.download.pdf/evaluation-reformvorschlaege-taggeld-november-2009-f.pdf" TargetMode="External"/><Relationship Id="rId247" Type="http://schemas.openxmlformats.org/officeDocument/2006/relationships/hyperlink" Target="https://www.bfs.admin.ch/bfsstatic/dam/assets/19644561/master" TargetMode="External"/><Relationship Id="rId107" Type="http://schemas.openxmlformats.org/officeDocument/2006/relationships/hyperlink" Target="https://www.bag.admin.ch/dam/bag/fr/dokumente/biomed/forschung-am-menschen/evaluationhfg/evaluation-hfg-bericht-bag.pdf.download.pdf/Bericht_des_BAG_Ergebnisse_und_Empfehlungen_EvalHFG_f.pdf" TargetMode="External"/><Relationship Id="rId11" Type="http://schemas.openxmlformats.org/officeDocument/2006/relationships/hyperlink" Target="https://www.rtn.ch/rtn/Actualite/Region/20211102-Vers-une-meilleure-inclusion-des-personnes-vivant-avec-un-handicap.html" TargetMode="External"/><Relationship Id="rId32" Type="http://schemas.openxmlformats.org/officeDocument/2006/relationships/hyperlink" Target="https://www.parlament.ch/centers/eparl/curia/2012/20123543/Bericht%20BR%20F.pdf" TargetMode="External"/><Relationship Id="rId53" Type="http://schemas.openxmlformats.org/officeDocument/2006/relationships/hyperlink" Target="https://jurispub.admin.ch/publiws/download?decisionId=6b918598-f83d-48d2-9268-105cbf6f06a1" TargetMode="External"/><Relationship Id="rId74" Type="http://schemas.openxmlformats.org/officeDocument/2006/relationships/hyperlink" Target="https://www.woz.ch/-9eeb" TargetMode="External"/><Relationship Id="rId128" Type="http://schemas.openxmlformats.org/officeDocument/2006/relationships/hyperlink" Target="https://www.bsv.admin.ch/bsv/de/home/publikationen-und-service/forschung/forschungspublikationen.exturl.html?lang=de&amp;lnr=07/19" TargetMode="External"/><Relationship Id="rId149" Type="http://schemas.openxmlformats.org/officeDocument/2006/relationships/hyperlink" Target="https://www.edi.admin.ch/edi/fr/home/fachstellen/bfeh/themes-de-l-egalite/e-accessibility-.html" TargetMode="External"/><Relationship Id="rId5" Type="http://schemas.openxmlformats.org/officeDocument/2006/relationships/hyperlink" Target="https://www.edi.admin.ch/edi/fr/home/fachstellen/bfeh/politique-nationale-du-handicap.html" TargetMode="External"/><Relationship Id="rId95" Type="http://schemas.openxmlformats.org/officeDocument/2006/relationships/hyperlink" Target="https://ind.obsan.admin.ch/de/indicator/obsan/fuersorgerische-unterbringung-in-schweizer-psychiatrien" TargetMode="External"/><Relationship Id="rId160" Type="http://schemas.openxmlformats.org/officeDocument/2006/relationships/hyperlink" Target="https://www.irdp.ch/data/secure/2230/document/concordat_pedagogie-specialisee.pdf" TargetMode="External"/><Relationship Id="rId181" Type="http://schemas.openxmlformats.org/officeDocument/2006/relationships/hyperlink" Target="https://tbinternet.ohchr.org/_layouts/15/treatybodyexternal/Download.aspx?symbolno=E/C.12/CHE/CO/4" TargetMode="External"/><Relationship Id="rId216" Type="http://schemas.openxmlformats.org/officeDocument/2006/relationships/hyperlink" Target="https://www.bfs.admin.ch/bfs/fr/home/statistiques/situation-economique-sociale-population/egalite-personnes-handicapees/activite-professionnelle/conditions-emploi.assetdetail.1646355.html" TargetMode="External"/><Relationship Id="rId237" Type="http://schemas.openxmlformats.org/officeDocument/2006/relationships/hyperlink" Target="file:///C:\Users\Mikaela%20Vireda\Documents\TRADUCTION\1_InHa\Schattenbericht%202022\Prise%20de%20position%20d&#8217;Inclusion%20Handicap%20lors%20de%20la%20proc&#233;dure%20de%20consultation,%20ao&#251;t%202021" TargetMode="External"/><Relationship Id="rId258" Type="http://schemas.openxmlformats.org/officeDocument/2006/relationships/hyperlink" Target="https://tbinternet.ohchr.org/Treaties/CERD/Shared%20Documents/CHE/CERD_C_CHE_CO_10-12_47278_F.pdf" TargetMode="External"/><Relationship Id="rId22" Type="http://schemas.openxmlformats.org/officeDocument/2006/relationships/hyperlink" Target="https://www.sg.ch/news/sgch_allgemein/2022/01/kantonales-behindertengesetz-wird-ueberarbeitet.html" TargetMode="External"/><Relationship Id="rId43" Type="http://schemas.openxmlformats.org/officeDocument/2006/relationships/hyperlink" Target="https://www.proinfirmis.ch/fileadmin/pdf/Studien/170511_D_Teilhabe_Management_Summary.pdf" TargetMode="External"/><Relationship Id="rId64" Type="http://schemas.openxmlformats.org/officeDocument/2006/relationships/hyperlink" Target="https://www.parlament.ch/fr/ratsbetrieb/suche-curia-vista/geschaeft?AffairId=20214152" TargetMode="External"/><Relationship Id="rId118" Type="http://schemas.openxmlformats.org/officeDocument/2006/relationships/hyperlink" Target="https://www.ejpd.admin.ch/dam/bj/fr/data/gesellschaft/haeusliche-gewalt/strategischer-dialog/raodmap-bund-kantone.pdf.download.pdf/raodmap-bund-kantone-f.pdf$" TargetMode="External"/><Relationship Id="rId139" Type="http://schemas.openxmlformats.org/officeDocument/2006/relationships/hyperlink" Target="https://tatkraft.org/" TargetMode="External"/><Relationship Id="rId85" Type="http://schemas.openxmlformats.org/officeDocument/2006/relationships/hyperlink" Target="https://www.srf.ch/news/schweiz/wegen-mehrkosten-fuer-kanton-beeintraechtigter-darf-nicht-in-die-naehe-der-schwester-ziehen" TargetMode="External"/><Relationship Id="rId150" Type="http://schemas.openxmlformats.org/officeDocument/2006/relationships/hyperlink" Target="https://www.parlament.ch/fr/ratsbetrieb/suche-curia-vista/geschaeft?AffairId=20213185" TargetMode="External"/><Relationship Id="rId171" Type="http://schemas.openxmlformats.org/officeDocument/2006/relationships/hyperlink" Target="https://edudoc.ch/record/130124?ln=fr" TargetMode="External"/><Relationship Id="rId192" Type="http://schemas.openxmlformats.org/officeDocument/2006/relationships/hyperlink" Target="https://www.bag.admin.ch/dam/bag/fr/dokumente/nat-gesundheitspolitik/koordinierte_versorgung/patientengruppen_schnittstellen/menschen-mit-psychisch-somatischer-komorbidit-t-/studie-kov-psych-somatisch-komorbidit%C3%A4t.pdf.download.pdf/rapport-kov-psych-somat-komorbiditaet_fr.pdf" TargetMode="External"/><Relationship Id="rId206" Type="http://schemas.openxmlformats.org/officeDocument/2006/relationships/hyperlink" Target="https://www.bkz.ch/fileadmin/bkz.ch/public/UNO-BRK/BRK_Studie_ZH_Schlussbericht.pdf" TargetMode="External"/><Relationship Id="rId227" Type="http://schemas.openxmlformats.org/officeDocument/2006/relationships/hyperlink" Target="https://www.kokes.ch/application/files/8616/3116/9183/COPMA_Statistiques_2020_adultes_mesures_en_cours_A3.pdf" TargetMode="External"/><Relationship Id="rId248" Type="http://schemas.openxmlformats.org/officeDocument/2006/relationships/hyperlink" Target="https://www.edi.admin.ch/edi/fr/home/fachstellen/bfeh/themes-de-l-egalite/selbstbestimmtes-leben/themenschwerpunkt--selbstbestimmtes-leben-.html" TargetMode="External"/><Relationship Id="rId12" Type="http://schemas.openxmlformats.org/officeDocument/2006/relationships/hyperlink" Target="https://bit.ly/3fI92iD." TargetMode="External"/><Relationship Id="rId33" Type="http://schemas.openxmlformats.org/officeDocument/2006/relationships/hyperlink" Target="https://www.skmr.ch/cms/upload/pdf/160526_etude_discrimination_rapport_synthese.pdf" TargetMode="External"/><Relationship Id="rId108" Type="http://schemas.openxmlformats.org/officeDocument/2006/relationships/hyperlink" Target="https://www.fedlex.admin.ch/eli/fga/2009/1423/fr" TargetMode="External"/><Relationship Id="rId129" Type="http://schemas.openxmlformats.org/officeDocument/2006/relationships/hyperlink" Target="https://www.aktionsplan-un-brk.ch/admin/data/files/hero_asset/file_fr/3/191021_a4_ap_lang_fr_web_final.pdf?lm=1571657601" TargetMode="External"/><Relationship Id="rId54" Type="http://schemas.openxmlformats.org/officeDocument/2006/relationships/hyperlink" Target="https://www.admin.ch/gov/fr/accueil/documentation/communiques.msg-id-86473.html" TargetMode="External"/><Relationship Id="rId75" Type="http://schemas.openxmlformats.org/officeDocument/2006/relationships/hyperlink" Target="https://www.unhcr.org/dach/wp-content/uploads/sites/27/2020/08/Besondere-Beduerfnisse-im-Asylverfahren.pdf" TargetMode="External"/><Relationship Id="rId96" Type="http://schemas.openxmlformats.org/officeDocument/2006/relationships/hyperlink" Target="https://szsa.ch/ojs/index.php/szsa-rsts/article/view/235" TargetMode="External"/><Relationship Id="rId140" Type="http://schemas.openxmlformats.org/officeDocument/2006/relationships/hyperlink" Target="https://www.comparis.ch/-/media/files/mediencorner/medienmitteilungen/2017/immobilien/behindertengerechtes-wohnen/mm-rollstuhlgaengige-wohnungen-comparis.pdf" TargetMode="External"/><Relationship Id="rId161" Type="http://schemas.openxmlformats.org/officeDocument/2006/relationships/hyperlink" Target="https://www.szh.ch/fr/themes-de-la-pedagogie-specialisee/cadre-legal-et-financier/concepts-cantonaux" TargetMode="External"/><Relationship Id="rId182" Type="http://schemas.openxmlformats.org/officeDocument/2006/relationships/hyperlink" Target="https://apps.who.int/iris/bitstream/handle/10665/330252/HiT-17-4-2015-eng.pdf?sequence=5&amp;isAllowed=y" TargetMode="External"/><Relationship Id="rId217" Type="http://schemas.openxmlformats.org/officeDocument/2006/relationships/hyperlink" Target="https://www.bfs.admin.ch/bfs/de/home/statistiken/wirtschaftliche-soziale-situation-bevoelkerung/gleichstellung-menschen-behinderungen.assetdetail.19644546.html" TargetMode="External"/><Relationship Id="rId1" Type="http://schemas.openxmlformats.org/officeDocument/2006/relationships/hyperlink" Target="https://www.fedlex.admin.ch/eli/fga/2013/126/fr" TargetMode="External"/><Relationship Id="rId6" Type="http://schemas.openxmlformats.org/officeDocument/2006/relationships/hyperlink" Target="https://www.gesetzessammlung.bs.ch/app/de/texts_of_law/140.500" TargetMode="External"/><Relationship Id="rId212" Type="http://schemas.openxmlformats.org/officeDocument/2006/relationships/hyperlink" Target="https://www.parlament.ch/fr/ratsbetrieb/suche-curia-vista/geschaeft?AffairId=20182004" TargetMode="External"/><Relationship Id="rId233" Type="http://schemas.openxmlformats.org/officeDocument/2006/relationships/hyperlink" Target="https://www.parlament.ch/fr/ratsbetrieb/suche-curia-vista/geschaeft?AffairId=20213296" TargetMode="External"/><Relationship Id="rId238" Type="http://schemas.openxmlformats.org/officeDocument/2006/relationships/hyperlink" Target="https://www.newsd.admin.ch/newsd/message/attachments/69527.pdf" TargetMode="External"/><Relationship Id="rId254" Type="http://schemas.openxmlformats.org/officeDocument/2006/relationships/hyperlink" Target="https://www.bern.ch/fr/theme/sante-age-et-affaires-sociales/handicap" TargetMode="External"/><Relationship Id="rId259" Type="http://schemas.openxmlformats.org/officeDocument/2006/relationships/hyperlink" Target="https://www.netzwerk-kinderrechte.ch/resources/CRC_C_CHE_CO_5-6_46870_E.pdf" TargetMode="External"/><Relationship Id="rId23" Type="http://schemas.openxmlformats.org/officeDocument/2006/relationships/hyperlink" Target="https://www.parlament.ch/fr/ratsbetrieb/suche-curia-vista/geschaeft?AffairId=20134245" TargetMode="External"/><Relationship Id="rId28" Type="http://schemas.openxmlformats.org/officeDocument/2006/relationships/hyperlink" Target="https://www.inclusion-handicap.ch/fr/medias/communiques-de-presse/2020/pas-de-discrimination-dans-lracces-aux-traitements-de-soins-intensifs_1-575.html" TargetMode="External"/><Relationship Id="rId49" Type="http://schemas.openxmlformats.org/officeDocument/2006/relationships/hyperlink" Target="https://www.efk.admin.ch/images/stories/efk_dokumente/publikationen/_sicherheit_und_umwelt/verkehr_und_umwelt/18376/18376BE-WiK-f.pdf" TargetMode="External"/><Relationship Id="rId114" Type="http://schemas.openxmlformats.org/officeDocument/2006/relationships/hyperlink" Target="https://istanbulkonvention.ch/assets/images/elements/Rapport_alternatif_Reseau_Convention_Istanbul.pdf" TargetMode="External"/><Relationship Id="rId119" Type="http://schemas.openxmlformats.org/officeDocument/2006/relationships/hyperlink" Target="https://www.parlament.ch/fr/ratsbetrieb/suche-curia-vista/geschaeft?AffairId=20204386$" TargetMode="External"/><Relationship Id="rId44" Type="http://schemas.openxmlformats.org/officeDocument/2006/relationships/hyperlink" Target="https://www.proinfirmis.ch/fileadmin/pdf/Studien/170511_F_Teilhabe_Management_Summary.pdf" TargetMode="External"/><Relationship Id="rId60" Type="http://schemas.openxmlformats.org/officeDocument/2006/relationships/hyperlink" Target="https://bit.ly/3qThoKD" TargetMode="External"/><Relationship Id="rId65" Type="http://schemas.openxmlformats.org/officeDocument/2006/relationships/hyperlink" Target="https://www.babs.admin.ch/fr/publikservice/information/mitteilungen.detail.news.html/babs-internet/2016/20160629a.html" TargetMode="External"/><Relationship Id="rId81" Type="http://schemas.openxmlformats.org/officeDocument/2006/relationships/hyperlink" Target="https://bit.ly/3Ailwa6" TargetMode="External"/><Relationship Id="rId86" Type="http://schemas.openxmlformats.org/officeDocument/2006/relationships/hyperlink" Target="https://www.srf.ch/news/schweiz/die-schweiz-hat-ein-hohes-ordnungsbeduerfnis-in-der-gesellschaft" TargetMode="External"/><Relationship Id="rId130" Type="http://schemas.openxmlformats.org/officeDocument/2006/relationships/hyperlink" Target="https://www.bsv.admin.ch/bsv/de/home/publikationen-und-service/forschung/forschungspublikationen.exturl.html?lang=de&amp;lnr=07/19" TargetMode="External"/><Relationship Id="rId135" Type="http://schemas.openxmlformats.org/officeDocument/2006/relationships/hyperlink" Target="https://www.bsv.admin.ch/bsv/de/home/publikationen-und-service/forschung/forschungspublikationen.exturl.html?lang=de&amp;lnr=16/20" TargetMode="External"/><Relationship Id="rId151" Type="http://schemas.openxmlformats.org/officeDocument/2006/relationships/hyperlink" Target="https://www.ech.ch/fr/dokument/e2896a60-9489-4662-9ba9-be5ddb430f31" TargetMode="External"/><Relationship Id="rId156" Type="http://schemas.openxmlformats.org/officeDocument/2006/relationships/hyperlink" Target="https://insieme.ch/unsere-aktivitaeten/psychologische-fachstelle/" TargetMode="External"/><Relationship Id="rId177" Type="http://schemas.openxmlformats.org/officeDocument/2006/relationships/hyperlink" Target="https://www.adsr.ch/data/dataimages/Upload/CSFP-recommandation-no-7-2014.09.17.pdf" TargetMode="External"/><Relationship Id="rId198" Type="http://schemas.openxmlformats.org/officeDocument/2006/relationships/hyperlink" Target="https://www.edi.admin.ch/dam/edi/fr/dokumente/gleichstellung/bericht/SPP_Egalit%C3%A9_et_travail_BFEH_fr.pdf.download.pdf/SPP_Egalit%C3%A9_et_travail_BFEH_fr.pdf" TargetMode="External"/><Relationship Id="rId172" Type="http://schemas.openxmlformats.org/officeDocument/2006/relationships/hyperlink" Target="https://www.bger.ch/ext/eurospider/live/fr/php/clir/http/index.php?lang=fr&amp;type=highlight_simple_query&amp;page=1&amp;from_date=&amp;to_date=&amp;from_year=1954&amp;to_year=2022&amp;sort=relevance&amp;insertion_date=&amp;from_date_push=&amp;top_subcollection_clir=bge&amp;query_words=141+I+9&amp;part=all&amp;de_fr=&amp;de_it=&amp;fr_de=&amp;fr_it=&amp;it_de=&amp;it_fr=&amp;orig=&amp;translation=&amp;rank=1&amp;highlight_docid=atf://141-I-9:de&amp;number_of_ranks=6&amp;azaclir=clir" TargetMode="External"/><Relationship Id="rId193" Type="http://schemas.openxmlformats.org/officeDocument/2006/relationships/hyperlink" Target="https://www.bag.admin.ch/bag/fr/home/strategie-und-politik/politische-auftraege-und-aktionsplaene/nationales-konzept-seltene-krankheiten.html" TargetMode="External"/><Relationship Id="rId202" Type="http://schemas.openxmlformats.org/officeDocument/2006/relationships/hyperlink" Target="https://www.ivsk.ch/fr/informations/communiques-de-presse" TargetMode="External"/><Relationship Id="rId207" Type="http://schemas.openxmlformats.org/officeDocument/2006/relationships/hyperlink" Target="https://insos.ch/assets/Dateien-Publikationen/Rapport-annuel-INSOS-2020.pdf" TargetMode="External"/><Relationship Id="rId223" Type="http://schemas.openxmlformats.org/officeDocument/2006/relationships/hyperlink" Target="https://www.bfs.admin.ch/bfs/fr/home/statistiques/catalogues-banques-donnees/tableaux.assetdetail.3962813.html" TargetMode="External"/><Relationship Id="rId228" Type="http://schemas.openxmlformats.org/officeDocument/2006/relationships/hyperlink" Target="https://www.grosserrat.bs.ch/dokumente/100394/000000394677.pdf" TargetMode="External"/><Relationship Id="rId244" Type="http://schemas.openxmlformats.org/officeDocument/2006/relationships/hyperlink" Target="https://www.sgb-fss.ch/wp-content/uploads/2021/02/Signalement-d%E2%80%99actes-discriminatoires-en-2020-0012465.pdf" TargetMode="External"/><Relationship Id="rId249" Type="http://schemas.openxmlformats.org/officeDocument/2006/relationships/hyperlink" Target="https://droit-et-handicap.ius.unibas.ch/" TargetMode="External"/><Relationship Id="rId13" Type="http://schemas.openxmlformats.org/officeDocument/2006/relationships/hyperlink" Target="https://bit.ly/3AlLBFd" TargetMode="External"/><Relationship Id="rId18" Type="http://schemas.openxmlformats.org/officeDocument/2006/relationships/hyperlink" Target="https://bit.ly/3qQA6Tb" TargetMode="External"/><Relationship Id="rId39" Type="http://schemas.openxmlformats.org/officeDocument/2006/relationships/hyperlink" Target="https://www.sbfi.admin.ch/dam/sbfi/fr/dokumente/webshop/2021/sonderpaedagogik.pdf.download.pdf/sonderpaedagogik_schweiz_f.pdf" TargetMode="External"/><Relationship Id="rId109" Type="http://schemas.openxmlformats.org/officeDocument/2006/relationships/hyperlink" Target="https://istanbulkonvention.ch/assets/images/elements/Rapport_alternatif_Reseau_Convention_Istanbul.pdf" TargetMode="External"/><Relationship Id="rId260" Type="http://schemas.openxmlformats.org/officeDocument/2006/relationships/hyperlink" Target="https://www.parlament.ch/fr/ratsbetrieb/suche-curia-vista/geschaeft?AffairId=20214604" TargetMode="External"/><Relationship Id="rId34" Type="http://schemas.openxmlformats.org/officeDocument/2006/relationships/hyperlink" Target="https://bit.ly/3tMP91O" TargetMode="External"/><Relationship Id="rId50" Type="http://schemas.openxmlformats.org/officeDocument/2006/relationships/hyperlink" Target="https://www.inclusion-handicap.ch/admin/data/files/asset/file_fr/636/droit-et-handicap-14_20_arrets-de-bus-guin.pdf?lm=1608045248" TargetMode="External"/><Relationship Id="rId55" Type="http://schemas.openxmlformats.org/officeDocument/2006/relationships/hyperlink" Target="https://bit.ly/3g1jEJD" TargetMode="External"/><Relationship Id="rId76" Type="http://schemas.openxmlformats.org/officeDocument/2006/relationships/hyperlink" Target="https://bit.ly/3rV5KxU" TargetMode="External"/><Relationship Id="rId97" Type="http://schemas.openxmlformats.org/officeDocument/2006/relationships/hyperlink" Target="https://www.rheinleben.ch/" TargetMode="External"/><Relationship Id="rId104" Type="http://schemas.openxmlformats.org/officeDocument/2006/relationships/hyperlink" Target="https://www.nkvf.admin.ch/dam/nkvf/de/data/https:/www.nkvf.admin.ch/dam/nkvf/fr/data/Berichte/taetigkeitsberichte/2016/taetigkeitsbericht-2016-f.pdf.download.pdf/taetigkeitsbericht-2016-f.pdf/taetigkeitsberichte/2016/taetigkeitsbericht-2016-d.pdf.download.pdf/taetigkeitsbericht-2016-d.pdf" TargetMode="External"/><Relationship Id="rId120" Type="http://schemas.openxmlformats.org/officeDocument/2006/relationships/hyperlink" Target="https://www.ebg.admin.ch/dam/ebg/fr/dokumente/cedaw/cedaw_6_report.pdf.download.pdf/CEDEF_Sixi%C3%A8me_Rapport_Suisse_Nov2020.pdf" TargetMode="External"/><Relationship Id="rId125" Type="http://schemas.openxmlformats.org/officeDocument/2006/relationships/hyperlink" Target="https://www.bsv.admin.ch/bsv/de/home/publikationen-und-service/forschung/forschungspublikationen.exturl.html?lang=de&amp;lnr=07/19" TargetMode="External"/><Relationship Id="rId141" Type="http://schemas.openxmlformats.org/officeDocument/2006/relationships/hyperlink" Target="https://www.bsv.admin.ch/bsv/de/home/publikationen-und-service/forschung/forschungspublikationen.exturl.html?lang=de&amp;lnr=07/19" TargetMode="External"/><Relationship Id="rId146" Type="http://schemas.openxmlformats.org/officeDocument/2006/relationships/hyperlink" Target="https://www.bsv.admin.ch/bsv/de/home/publikationen-und-service/forschung/forschungspublikationen.exturl.html?lang=de&amp;lnr=07/19" TargetMode="External"/><Relationship Id="rId167" Type="http://schemas.openxmlformats.org/officeDocument/2006/relationships/hyperlink" Target="https://www.bernerzeitung.ch/region/kanton-bern/berufsverband-bildung-warnt-vor-sparmassnahmen/story/31327005" TargetMode="External"/><Relationship Id="rId188" Type="http://schemas.openxmlformats.org/officeDocument/2006/relationships/hyperlink" Target="https://www.plateforme-soinspalliatifs.ch/blog/rapport-en-reponse-au-postulat-sur-les-soins-palliatifs-avancement-des-travaux?_ga=2.193586285.1523435197.1644139794-645526095.1644139794" TargetMode="External"/><Relationship Id="rId7" Type="http://schemas.openxmlformats.org/officeDocument/2006/relationships/hyperlink" Target="file:///\\x112202601\ih$\08_L_Politik_Themen\02_UNOBRK\05_Schattenberichte\01_Schattenberichte_CH\5_Update%20erster%20Schattenbericht\MASTERDOKUMENT\Franz&#246;sisch\Formatiert\BRG%20BS%20Recommandation%20et%20rapport." TargetMode="External"/><Relationship Id="rId71" Type="http://schemas.openxmlformats.org/officeDocument/2006/relationships/hyperlink" Target="https://www.woz.ch/-a652" TargetMode="External"/><Relationship Id="rId92" Type="http://schemas.openxmlformats.org/officeDocument/2006/relationships/hyperlink" Target="https://www.seval.ch/app/uploads/2020/07/Mise-au-concours-du-projet-%C3%89valuation-des-dispositions-relatives-au-placement-%C3%A0-des-fins-dassistance-PAFA-art.-426-ss-CC-1.pdf" TargetMode="External"/><Relationship Id="rId162" Type="http://schemas.openxmlformats.org/officeDocument/2006/relationships/hyperlink" Target="https://tbinternet.ohchr.org/_layouts/15/treatybodyexternal/Download.aspx?symbolno=CRPD%2fC%2f20%2f3&amp;Lang=en" TargetMode="External"/><Relationship Id="rId183" Type="http://schemas.openxmlformats.org/officeDocument/2006/relationships/hyperlink" Target="https://www.sgb-fss.ch/fr/product/magazine-edition-sante-1-2020/" TargetMode="External"/><Relationship Id="rId213" Type="http://schemas.openxmlformats.org/officeDocument/2006/relationships/hyperlink" Target="https://www.sgb-fss.ch/fr/les-sourds-encore-trop-discrimines-en-suisse/" TargetMode="External"/><Relationship Id="rId218" Type="http://schemas.openxmlformats.org/officeDocument/2006/relationships/hyperlink" Target="https://www.bfs.admin.ch/bfs/fr/home/actualites/quoi-de-neuf.assetdetail.1646354.html" TargetMode="External"/><Relationship Id="rId234" Type="http://schemas.openxmlformats.org/officeDocument/2006/relationships/hyperlink" Target="https://bit.ly/3nOcOv5" TargetMode="External"/><Relationship Id="rId239" Type="http://schemas.openxmlformats.org/officeDocument/2006/relationships/hyperlink" Target="https://www.parlament.ch/fr/ratsbetrieb/suche-curia-vista/geschaeft?AffairId=20184395" TargetMode="External"/><Relationship Id="rId2" Type="http://schemas.openxmlformats.org/officeDocument/2006/relationships/hyperlink" Target="https://www.edi.admin.ch/edi/fr/home/fachstellen/bfeh/droit/international0/uebereinkommen-der-uno-ueber-die-rechte-von-menschen-mit-behinde/staatenbericht.html" TargetMode="External"/><Relationship Id="rId29" Type="http://schemas.openxmlformats.org/officeDocument/2006/relationships/hyperlink" Target="https://bit.ly/3GT1029" TargetMode="External"/><Relationship Id="rId250" Type="http://schemas.openxmlformats.org/officeDocument/2006/relationships/hyperlink" Target="https://www.inclusion-handicap.ch/fr/projets/reporters-sans-barrieres-636.html" TargetMode="External"/><Relationship Id="rId255" Type="http://schemas.openxmlformats.org/officeDocument/2006/relationships/hyperlink" Target="https://www.stadt-zuerich.ch/portal/de/index/politik_u_recht/stadtrat/weitere-politikfelder/behinderung.html" TargetMode="External"/><Relationship Id="rId24" Type="http://schemas.openxmlformats.org/officeDocument/2006/relationships/hyperlink" Target="https://bit.ly/33EJKPV" TargetMode="External"/><Relationship Id="rId40" Type="http://schemas.openxmlformats.org/officeDocument/2006/relationships/hyperlink" Target="https://bit.ly/3KL8h6z" TargetMode="External"/><Relationship Id="rId45" Type="http://schemas.openxmlformats.org/officeDocument/2006/relationships/hyperlink" Target="https://www.agile.ch/_files/ugd/3b62ac_b03291ee1aa6459292da3c902985ff9c.pdf?index=true" TargetMode="External"/><Relationship Id="rId66" Type="http://schemas.openxmlformats.org/officeDocument/2006/relationships/hyperlink" Target="https://www.parlament.ch/fr/ratsbetrieb/suche-curia-vista/geschaeft?AffairId=20213065" TargetMode="External"/><Relationship Id="rId87" Type="http://schemas.openxmlformats.org/officeDocument/2006/relationships/hyperlink" Target="https://www.tagesanzeiger.ch/sonntagszeitung/aerzte-sperren-14000-psychisch-kranke-weg/story/25335609" TargetMode="External"/><Relationship Id="rId110" Type="http://schemas.openxmlformats.org/officeDocument/2006/relationships/hyperlink" Target="https://www.parlament.ch/fr/ratsbetrieb/suche-curia-vista/geschaeft?AffairId=20203886" TargetMode="External"/><Relationship Id="rId115" Type="http://schemas.openxmlformats.org/officeDocument/2006/relationships/hyperlink" Target="https://www.researchgate.net/profile/Susanna-Nie-haus/publication/274510487_Zur_Situation_geistig_behinderter_Opfer_sexueller_Gewalt_im_Strafverfahren_Unwissen_erschwert_die_juristische_Arbeit/links/5d5be7e2a6fdcc55e819c59c/Zur-Situation-geistig-behinderter-Opfer-sexueller-Gewalt-im-Strafverfahren-Unwissen-erschwert-die-juristische-Arbeit.pdf" TargetMode="External"/><Relationship Id="rId131" Type="http://schemas.openxmlformats.org/officeDocument/2006/relationships/hyperlink" Target="https://www.inclusion-handicap.ch/admin/data/files/asset/file_fr/540/droit-et-handicap-08_2019_11072019.pdf?lm=1562927569" TargetMode="External"/><Relationship Id="rId136" Type="http://schemas.openxmlformats.org/officeDocument/2006/relationships/hyperlink" Target="https://www.parlament.ch/fr/ratsbetrieb/suche-curia-vista/geschaeft?AffairId=20120409" TargetMode="External"/><Relationship Id="rId157" Type="http://schemas.openxmlformats.org/officeDocument/2006/relationships/hyperlink" Target="https://www.airamour.ch/" TargetMode="External"/><Relationship Id="rId178" Type="http://schemas.openxmlformats.org/officeDocument/2006/relationships/hyperlink" Target="https://www.bfs.admin.ch/bfs/fr/home/statistiques/situation-economique-sociale-population/egalite-personnes-handicapees/formation.html" TargetMode="External"/><Relationship Id="rId61" Type="http://schemas.openxmlformats.org/officeDocument/2006/relationships/hyperlink" Target="https://bit.ly/33Jjdku" TargetMode="External"/><Relationship Id="rId82" Type="http://schemas.openxmlformats.org/officeDocument/2006/relationships/hyperlink" Target="https://www.inclusion-handicap.ch/fr/medias/communiques-de-presse/2015-2016/communiques-de-presse_1/la-loi-exige-des-trains-sans-obstacles-378.html" TargetMode="External"/><Relationship Id="rId152" Type="http://schemas.openxmlformats.org/officeDocument/2006/relationships/hyperlink" Target="https://www.edi.admin.ch/dam/edi/fr/dokumente/gleichstellung/infomaterial/Evaluationsbericht%20Aktionsplan.pdf.download.pdf/Condons%C3%A9%20Plan%20d'action%20E-Accessibility%202015-2017.pdf" TargetMode="External"/><Relationship Id="rId173" Type="http://schemas.openxmlformats.org/officeDocument/2006/relationships/hyperlink" Target="https://bit.ly/3s7iXUq" TargetMode="External"/><Relationship Id="rId194" Type="http://schemas.openxmlformats.org/officeDocument/2006/relationships/hyperlink" Target="https://www.bag.admin.ch/dam/bag/de/dokumente/nat-gesundheitspolitik/koordinierte_versorgung/kov-patientengruppe-psych-somat-bericht-modelle.pdf.download.pdf/181018_BAG_akutpsy_Schlussbericht_definitiv.pdf" TargetMode="External"/><Relationship Id="rId199" Type="http://schemas.openxmlformats.org/officeDocument/2006/relationships/hyperlink" Target="https://www.marchecomplementaire.ch/wp-content/uploads/2019/10/Atelier_Handicap_Rapport-long-.pdf" TargetMode="External"/><Relationship Id="rId203" Type="http://schemas.openxmlformats.org/officeDocument/2006/relationships/hyperlink" Target="https://www.bsv.admin.ch/bsv/de/home/publikationen-und-service/forschung/forschungspublikationen.exturl.html?lang=de&amp;lnr=08/18" TargetMode="External"/><Relationship Id="rId208" Type="http://schemas.openxmlformats.org/officeDocument/2006/relationships/hyperlink" Target="https://www.compasso.ch/fr/" TargetMode="External"/><Relationship Id="rId229" Type="http://schemas.openxmlformats.org/officeDocument/2006/relationships/hyperlink" Target="https://www.baselland.ch/politik-und-behorden/landrat-parlament/geschafte/neueste-geschaefte/" TargetMode="External"/><Relationship Id="rId19" Type="http://schemas.openxmlformats.org/officeDocument/2006/relationships/hyperlink" Target="https://www.gesetzessammlung.bs.ch/app/de/texts_of_law/869.700/versions/4016" TargetMode="External"/><Relationship Id="rId224" Type="http://schemas.openxmlformats.org/officeDocument/2006/relationships/hyperlink" Target="https://www.parlament.ch/fr/ratsbetrieb/suche-curia-vista/geschaeft?AffairId=20173833" TargetMode="External"/><Relationship Id="rId240" Type="http://schemas.openxmlformats.org/officeDocument/2006/relationships/hyperlink" Target="https://behindertenpolitik.ch/projekt/" TargetMode="External"/><Relationship Id="rId245" Type="http://schemas.openxmlformats.org/officeDocument/2006/relationships/hyperlink" Target="https://www.ohchr.org/Documents/Publications/Human_rights_indicators_en.pdf" TargetMode="External"/><Relationship Id="rId14" Type="http://schemas.openxmlformats.org/officeDocument/2006/relationships/hyperlink" Target="https://bit.ly/34Zbgb1" TargetMode="External"/><Relationship Id="rId30" Type="http://schemas.openxmlformats.org/officeDocument/2006/relationships/hyperlink" Target="https://www.inclusion-handicap.ch/fr/medias/communiques-de-presse/2020/port-du-masque-obligatoire-pas-de-stigmatisation-des-personnes-handicapees-523.html" TargetMode="External"/><Relationship Id="rId35" Type="http://schemas.openxmlformats.org/officeDocument/2006/relationships/hyperlink" Target="https://goo.gl/WROiZ8" TargetMode="External"/><Relationship Id="rId56" Type="http://schemas.openxmlformats.org/officeDocument/2006/relationships/hyperlink" Target="https://www.newsd.admin.ch/newsd/message/attachments/68325.pdf" TargetMode="External"/><Relationship Id="rId77" Type="http://schemas.openxmlformats.org/officeDocument/2006/relationships/hyperlink" Target="https://www.google.com/url?sa=t&amp;rct=j&amp;q=&amp;esrc=s&amp;source=web&amp;cd=&amp;cad=rja&amp;uact=8&amp;ved=2ahUKEwjs1o2y7YP2AhWsi_0HHTusCPcQFnoECAgQAQ&amp;url=https%3A%2F%2Fwww.bj.admin.ch%2Fdam%2Fbj%2Ffr%2Fdata%2Fgesellschaft%2Fgesetzgebung%2Fkesr%2Fber-br-f.pdf.download.pdf%2Fber-br-f.pdf&amp;usg=AOvVaw3lim7D6w3cabeeeLs7dFUw" TargetMode="External"/><Relationship Id="rId100" Type="http://schemas.openxmlformats.org/officeDocument/2006/relationships/hyperlink" Target="https://www.nkvf.admin.ch/nkvf/fr/home/thematische-schwerpunkte/zivilrechtlicher-freiheitsentzug/freiheitsbeschraenkende-massnahmen.html" TargetMode="External"/><Relationship Id="rId105" Type="http://schemas.openxmlformats.org/officeDocument/2006/relationships/hyperlink" Target="https://www.nkvf.admin.ch/dam/nkvf/fr/data/Berichte/taetigkeitsberichte/taetigkeitsbericht-2020-f.pdf.download.pdf/taetigkeitsbericht-2020-f.pdf" TargetMode="External"/><Relationship Id="rId126" Type="http://schemas.openxmlformats.org/officeDocument/2006/relationships/hyperlink" Target="https://ch-sodk.s3.amazonaws.com/media/files/bb2349aa/a022/4f16/a24e/cfec1f87b041/2021.01.22_Vision_bbW-fr.pdf" TargetMode="External"/><Relationship Id="rId147" Type="http://schemas.openxmlformats.org/officeDocument/2006/relationships/hyperlink" Target="https://www.bsv.admin.ch/bsv/de/home/publikationen-und-service/forschung/forschungspublikationen.exturl.html?lang=de&amp;lnr=07/19" TargetMode="External"/><Relationship Id="rId168" Type="http://schemas.openxmlformats.org/officeDocument/2006/relationships/hyperlink" Target="https://www.parlament.ch/fr/ratsbetrieb/suche-curia-vista/geschaeft?AffairId=20184116" TargetMode="External"/><Relationship Id="rId8" Type="http://schemas.openxmlformats.org/officeDocument/2006/relationships/hyperlink" Target="https://www.lexfind.ch/fe/fr/tol/18602/versions/211865/de" TargetMode="External"/><Relationship Id="rId51" Type="http://schemas.openxmlformats.org/officeDocument/2006/relationships/hyperlink" Target="https://goo.gl/rH5ISX" TargetMode="External"/><Relationship Id="rId72" Type="http://schemas.openxmlformats.org/officeDocument/2006/relationships/hyperlink" Target="https://www.woz.ch/-a652.(en" TargetMode="External"/><Relationship Id="rId93" Type="http://schemas.openxmlformats.org/officeDocument/2006/relationships/hyperlink" Target="https://www.skmr.ch/de/themenbereiche/justiz/artikel/fuersorgerische-unterbringung.html" TargetMode="External"/><Relationship Id="rId98" Type="http://schemas.openxmlformats.org/officeDocument/2006/relationships/hyperlink" Target="https://www.fedlex.admin.ch/eli/fga/2006/899/fr" TargetMode="External"/><Relationship Id="rId121" Type="http://schemas.openxmlformats.org/officeDocument/2006/relationships/hyperlink" Target="https://www.samw.ch/dam/jcr:68352b3e-8bdc-4f8e-af70-2ca3bce829f7/directives_assm_handicap.pdf" TargetMode="External"/><Relationship Id="rId142" Type="http://schemas.openxmlformats.org/officeDocument/2006/relationships/hyperlink" Target="https://www.bfs.admin.ch/bfs/fr/home/statistiques/situation-economique-sociale-population/egalite-personnes-handicapees/handicapees.html" TargetMode="External"/><Relationship Id="rId163" Type="http://schemas.openxmlformats.org/officeDocument/2006/relationships/hyperlink" Target="https://www.bger.ch/ext/eurospider/live/de/php/aza/http/index.php?highlight_docid=aza%3A%2F%2F23-05-2017-2C_154-2017&amp;lang=de&amp;type=show_document&amp;zoom=YES&amp;" TargetMode="External"/><Relationship Id="rId184" Type="http://schemas.openxmlformats.org/officeDocument/2006/relationships/hyperlink" Target="https://www.obsan.admin.ch/fr/publications/2020-la-sante-psychique-en-suisse" TargetMode="External"/><Relationship Id="rId189" Type="http://schemas.openxmlformats.org/officeDocument/2006/relationships/hyperlink" Target="https://www.tagesanzeiger.ch/verzweifelte-familien-denen-man-nicht-helfen-kann-852153245258" TargetMode="External"/><Relationship Id="rId219" Type="http://schemas.openxmlformats.org/officeDocument/2006/relationships/hyperlink" Target="https://www.bfs.admin.ch/bfs/fr/home/statistiques/catalogues-banques-donnees/tableaux.assetdetail.19644561.html" TargetMode="External"/><Relationship Id="rId3" Type="http://schemas.openxmlformats.org/officeDocument/2006/relationships/hyperlink" Target="https://www.edi.admin.ch/dam/edi/fr/dokumente/gleichstellung/evaluationsberichtkurzfassung.pdf.download.pdf/rapport_d_evaluationversionabregee.pdf" TargetMode="External"/><Relationship Id="rId214" Type="http://schemas.openxmlformats.org/officeDocument/2006/relationships/hyperlink" Target="https://www.bfs.admin.ch/bfs/fr/home/statistiques/situation-economique-sociale-population/egalite-personnes-handicapees.assetdetail.19464131.html" TargetMode="External"/><Relationship Id="rId230" Type="http://schemas.openxmlformats.org/officeDocument/2006/relationships/hyperlink" Target="https://bit.ly/3AlMiOJ" TargetMode="External"/><Relationship Id="rId235" Type="http://schemas.openxmlformats.org/officeDocument/2006/relationships/hyperlink" Target="https://www.bk.admin.ch/bk/fr/home/droits-politiques/groupe-experts-vote-electronique.html" TargetMode="External"/><Relationship Id="rId251" Type="http://schemas.openxmlformats.org/officeDocument/2006/relationships/hyperlink" Target="https://www.edi.admin.ch/dam/edi/fr/dokumente/gleichstellung/publikation/Bericht%20Entwicklung%20Behindertenpolitik.pdf.download.pdf/Rapport_sur_le_d%C3%A9veloppement_de_la_politique_en_faveur_des_personnes_handicap%C3%A9es.pdf" TargetMode="External"/><Relationship Id="rId256" Type="http://schemas.openxmlformats.org/officeDocument/2006/relationships/hyperlink" Target="https://www.fedlex.admin.ch/eli/fga/2020/56/fr" TargetMode="External"/><Relationship Id="rId25" Type="http://schemas.openxmlformats.org/officeDocument/2006/relationships/hyperlink" Target="https://www.parlament.ch/fr/ratsbetrieb/suche-curia-vista/geschaeft?AffairId=20194424" TargetMode="External"/><Relationship Id="rId46" Type="http://schemas.openxmlformats.org/officeDocument/2006/relationships/hyperlink" Target="https://www.bwo.admin.ch/bwo/fr/home/wohnraumfoerderung/zahlen-und-fakten/zahlen-zum-gemeinnuetzigen-wohnungsbau/zahlen-zum-gemeinnuetzigen-wohnungsbau-2019.html" TargetMode="External"/><Relationship Id="rId67" Type="http://schemas.openxmlformats.org/officeDocument/2006/relationships/hyperlink" Target="https://www.interface-pol.ch/app/uploads/2019/03/Be_Asylsuchende_psychische_Gesundheit_f.pdf" TargetMode="External"/><Relationship Id="rId116" Type="http://schemas.openxmlformats.org/officeDocument/2006/relationships/hyperlink" Target="https://www.parlament.ch/fr/ratsbetrieb/suche-curia-vista/geschaeft?AffairId=20204451%20%20Vincenz" TargetMode="External"/><Relationship Id="rId137" Type="http://schemas.openxmlformats.org/officeDocument/2006/relationships/hyperlink" Target="https://www.bsv.admin.ch/bsv/de/home/publikationen-und-service/forschung/forschungspublikationen.exturl.html?lang=de&amp;lnr=07/19" TargetMode="External"/><Relationship Id="rId158" Type="http://schemas.openxmlformats.org/officeDocument/2006/relationships/hyperlink" Target="https://droit-et-handicap.ius.unibas.ch/?page_id=1195" TargetMode="External"/><Relationship Id="rId20" Type="http://schemas.openxmlformats.org/officeDocument/2006/relationships/hyperlink" Target="https://bl.clex.ch/app/de/texts_of_law/853" TargetMode="External"/><Relationship Id="rId41" Type="http://schemas.openxmlformats.org/officeDocument/2006/relationships/hyperlink" Target="https://www.skmr.ch/cms/upload/pdf/2020/200902_Umsetzung_Art_12_KRK.pdf" TargetMode="External"/><Relationship Id="rId62" Type="http://schemas.openxmlformats.org/officeDocument/2006/relationships/hyperlink" Target="https://bit.ly/3FNX2Xi" TargetMode="External"/><Relationship Id="rId83" Type="http://schemas.openxmlformats.org/officeDocument/2006/relationships/hyperlink" Target="https://www.inclusion-handicap.ch/admin/data/files/asset/file_fr/411/vla_atsg-revision_22052017.pdf?lm=1495628501" TargetMode="External"/><Relationship Id="rId88" Type="http://schemas.openxmlformats.org/officeDocument/2006/relationships/hyperlink" Target="https://www.nzz.ch/zuerich/die-zwangseinweisung-in-die-psychiatrie-ist-keine-disziplinarische-massnahme-ld.1392512" TargetMode="External"/><Relationship Id="rId111" Type="http://schemas.openxmlformats.org/officeDocument/2006/relationships/hyperlink" Target="https://www.ebg.admin.ch/dam/ebg/fr/dokumente/publikationen_gleichstellung_allgemein/aktionsplan_gleichstellungsstrategie_2030.pdf.download.pdf/Plan%20d'action%20Strat%C3%A9gie%20Egalit%C3%A9%202030.pdf" TargetMode="External"/><Relationship Id="rId132" Type="http://schemas.openxmlformats.org/officeDocument/2006/relationships/hyperlink" Target="https://www.bsv.admin.ch/bsv/de/home/publikationen-und-service/forschung/forschungspublikationen.exturl.html?lang=de&amp;lnr=07/19" TargetMode="External"/><Relationship Id="rId153" Type="http://schemas.openxmlformats.org/officeDocument/2006/relationships/hyperlink" Target="https://www.inclusion-handicap.ch/admin/data/files/asset/file_fr/437/droit-et-handicap-11_2017_10102017.pdf?lm=1507656030" TargetMode="External"/><Relationship Id="rId174" Type="http://schemas.openxmlformats.org/officeDocument/2006/relationships/hyperlink" Target="https://www.nzz.ch/schweiz/zu-wenig-studienplaetze-fuer-heilpaedagogen-hochschulen-muessen-studienanwaerter-abweisen-ld.1287279.(en" TargetMode="External"/><Relationship Id="rId179" Type="http://schemas.openxmlformats.org/officeDocument/2006/relationships/hyperlink" Target="https://insos.ch/formation-fpra/" TargetMode="External"/><Relationship Id="rId195" Type="http://schemas.openxmlformats.org/officeDocument/2006/relationships/hyperlink" Target="https://www.pdag.ch/kliniken/klinik-fuer-konsiliar-alters-und-neuropsychiatrie/zentrum-fuer-neuropsychiatrie-intellektuelle-entwicklungsstoerungen-znp/" TargetMode="External"/><Relationship Id="rId209" Type="http://schemas.openxmlformats.org/officeDocument/2006/relationships/hyperlink" Target="https://www.compasso.ch/fileadmin/user_upload/systempartner/schnittstellen_arbeitnehmende/bestandsaufnahme_ersteingliederung_jung_und_beeintraechtigt.pdf" TargetMode="External"/><Relationship Id="rId190" Type="http://schemas.openxmlformats.org/officeDocument/2006/relationships/hyperlink" Target="https://www.bag.admin.ch/dam/bag/de/dokumente/psychische-gesundheit/covid-19/covid-19-psychische-gesundheit-schlussbericht.pdf.download.pdf/covid-19-psychische-gesundheit-schlussbericht.pdf" TargetMode="External"/><Relationship Id="rId204" Type="http://schemas.openxmlformats.org/officeDocument/2006/relationships/hyperlink" Target="https://www.plandaction-cdph.ch/fr/plan-daction-cdph-11.html" TargetMode="External"/><Relationship Id="rId220" Type="http://schemas.openxmlformats.org/officeDocument/2006/relationships/hyperlink" Target="https://www.bfs.admin.ch/bfsstatic/dam/assets/19644556/master" TargetMode="External"/><Relationship Id="rId225" Type="http://schemas.openxmlformats.org/officeDocument/2006/relationships/hyperlink" Target="https://www.bsv.admin.ch/dam/bsv/fr/dokumente/fgg/andere/Umsetzungskonzept%20Plattform%20gegen%20Armut%202019-2024.pdf.download.pdf/NaPA_19-24_UmsetzungsKonzept_F_Publikation.pdf" TargetMode="External"/><Relationship Id="rId241" Type="http://schemas.openxmlformats.org/officeDocument/2006/relationships/hyperlink" Target="https://www.zhaw.ch/de/sml/institute-zentren/zsr/" TargetMode="External"/><Relationship Id="rId246" Type="http://schemas.openxmlformats.org/officeDocument/2006/relationships/hyperlink" Target="https://www.bfs.admin.ch/bfsstatic/dam/assets/11387132/master" TargetMode="External"/><Relationship Id="rId15" Type="http://schemas.openxmlformats.org/officeDocument/2006/relationships/hyperlink" Target="https://www.jura.ch/Scripts/Index.aspx?id=17937&amp;pg=11" TargetMode="External"/><Relationship Id="rId36" Type="http://schemas.openxmlformats.org/officeDocument/2006/relationships/hyperlink" Target="https://www.admin.ch/gov/fr/accueil/documentation/communiques.msg-id-83294.html" TargetMode="External"/><Relationship Id="rId57" Type="http://schemas.openxmlformats.org/officeDocument/2006/relationships/hyperlink" Target="https://www.samw.ch/dam/jcr:ab978a17-b2b2-4ebd-9102-455124e0664c/directives_assm_reanimation.pdf" TargetMode="External"/><Relationship Id="rId106" Type="http://schemas.openxmlformats.org/officeDocument/2006/relationships/hyperlink" Target="https://www.zora.uzh.ch/id/eprint/178458/2/ZORA178458.ger.pdf" TargetMode="External"/><Relationship Id="rId127" Type="http://schemas.openxmlformats.org/officeDocument/2006/relationships/hyperlink" Target="https://www.bsv.admin.ch/bsv/de/home/publikationen-und-service/forschung/forschungspublikationen.exturl.html?lang=de&amp;lnr=07/19" TargetMode="External"/><Relationship Id="rId10" Type="http://schemas.openxmlformats.org/officeDocument/2006/relationships/hyperlink" Target="https://www.baselland.ch/politik-und-behorden/regierungsrat/medienmitteilungen/neues-rahmengesetz-zur-staerkung-der-behindertenrechte" TargetMode="External"/><Relationship Id="rId31" Type="http://schemas.openxmlformats.org/officeDocument/2006/relationships/hyperlink" Target="https://www.nfp80.ch/wp-content/uploads/2021/11/PNR80-mise-au-concours.pdf" TargetMode="External"/><Relationship Id="rId52" Type="http://schemas.openxmlformats.org/officeDocument/2006/relationships/hyperlink" Target="https://goo.gl/Kv1tnx" TargetMode="External"/><Relationship Id="rId73" Type="http://schemas.openxmlformats.org/officeDocument/2006/relationships/hyperlink" Target="https://www.nkvf.admin.ch/dam/nkvf/fr/data/Berichte/2020/baz/ber-zus-baz-fr.pdf" TargetMode="External"/><Relationship Id="rId78" Type="http://schemas.openxmlformats.org/officeDocument/2006/relationships/hyperlink" Target="https://www.kokes.ch/application/files/8616/3116/9183/COPMA_Statistiques_2020_adultes_mesures_en_cours_A3.pdf" TargetMode="External"/><Relationship Id="rId94" Type="http://schemas.openxmlformats.org/officeDocument/2006/relationships/hyperlink" Target="https://www.skmr.ch/frz/domaines/police/nouvelles/placement-assistance.html" TargetMode="External"/><Relationship Id="rId99" Type="http://schemas.openxmlformats.org/officeDocument/2006/relationships/hyperlink" Target="https://danielrosch.ch/wp-content/uploads/2018/04/01_Aufsatz_Rosch-FU-II-def.pdf" TargetMode="External"/><Relationship Id="rId101" Type="http://schemas.openxmlformats.org/officeDocument/2006/relationships/hyperlink" Target="https://www.nkvf.admin.ch/dam/nkvf/fr/data/Berichte/taetigkeitsberichte/2018/taetigkeitsbericht-2018-f.pdf.download.pdf/taetigkeitsbericht-2018-f.pdf" TargetMode="External"/><Relationship Id="rId122" Type="http://schemas.openxmlformats.org/officeDocument/2006/relationships/hyperlink" Target="https://www.parlament.ch/fr/ratsbetrieb/suche-curia-vista/geschaeft?AffairId=20204386$" TargetMode="External"/><Relationship Id="rId143" Type="http://schemas.openxmlformats.org/officeDocument/2006/relationships/hyperlink" Target="https://www.bfs.admin.ch/bfs/fr/home/statistiques/situation-economique-sociale-population.assetdetail.11027355.html" TargetMode="External"/><Relationship Id="rId148" Type="http://schemas.openxmlformats.org/officeDocument/2006/relationships/hyperlink" Target="https://www.parlament.ch/fr/ratsbetrieb/suche-curia-vista/geschaeft?AffairId=20213185" TargetMode="External"/><Relationship Id="rId164" Type="http://schemas.openxmlformats.org/officeDocument/2006/relationships/hyperlink" Target="https://www.bger.ch/ext/eurospider/live/de/php/aza/http/index.php?highlight_docid=aza%3A%2F%2F23-05-2017-2C_154-2017&amp;lang=de&amp;type=show_document&amp;zoom=YES&amp;" TargetMode="External"/><Relationship Id="rId169" Type="http://schemas.openxmlformats.org/officeDocument/2006/relationships/hyperlink" Target="https://www.sbfi.admin.ch/sbfi/fr/home/formation/l-espace-suisse-de-formation/collaboration-en-matiere-de-formation-confederation-cantons/bases-communes.html" TargetMode="External"/><Relationship Id="rId185" Type="http://schemas.openxmlformats.org/officeDocument/2006/relationships/hyperlink" Target="https://www.bag.admin.ch/dam/bag/fr/dokumente/nat-gesundheitsstrategien/gesundheit-2030/strategie-gesundheit2030.pdf.download.pdf/strategie-sante-2030.pdf" TargetMode="External"/><Relationship Id="rId4" Type="http://schemas.openxmlformats.org/officeDocument/2006/relationships/hyperlink" Target="https://www.edi.admin.ch/edi/fr/home/fachstellen/bfeh/droit/schweiz/evaluation-des-behindertengleichstellungsgesetzes.html" TargetMode="External"/><Relationship Id="rId9" Type="http://schemas.openxmlformats.org/officeDocument/2006/relationships/hyperlink" Target="https://bit.ly/32jdq4k" TargetMode="External"/><Relationship Id="rId180" Type="http://schemas.openxmlformats.org/officeDocument/2006/relationships/hyperlink" Target="https://tbinternet.ohchr.org/_layouts/15/treatybodyexternal/Download.aspx?symbolno=CRC/C/CHE/CO/5-6" TargetMode="External"/><Relationship Id="rId210" Type="http://schemas.openxmlformats.org/officeDocument/2006/relationships/hyperlink" Target="https://www.compasso.ch/fileadmin/user_upload/systempartner/schnittstellen_arbeitnehmende/resume_jeunes_et_en_situation_de_handicap.pdf" TargetMode="External"/><Relationship Id="rId215" Type="http://schemas.openxmlformats.org/officeDocument/2006/relationships/hyperlink" Target="https://www.bfs.admin.ch/bfs/fr/home/statistiques/situation-economique-sociale-population/egalite-personnes-handicapees/activite-professionnelle/qualite-vie-travail.assetdetail.19644561.html" TargetMode="External"/><Relationship Id="rId236" Type="http://schemas.openxmlformats.org/officeDocument/2006/relationships/hyperlink" Target="https://www.fedlex.admin.ch/fr/consultation-procedures/ended/2021" TargetMode="External"/><Relationship Id="rId257" Type="http://schemas.openxmlformats.org/officeDocument/2006/relationships/hyperlink" Target="https://www.parlament.ch/fr/ratsbetrieb/suche-curia-vista/geschaeft?AffairId=20190073" TargetMode="External"/><Relationship Id="rId26" Type="http://schemas.openxmlformats.org/officeDocument/2006/relationships/hyperlink" Target="https://www.parlament.ch/fr/ratsbetrieb/suche-curia-vista/geschaeft?AffairId=20203002" TargetMode="External"/><Relationship Id="rId231" Type="http://schemas.openxmlformats.org/officeDocument/2006/relationships/hyperlink" Target="https://bit.ly/3FO6lqe" TargetMode="External"/><Relationship Id="rId252" Type="http://schemas.openxmlformats.org/officeDocument/2006/relationships/hyperlink" Target="https://www.entwicklung.bs.ch/ueber-uns/organisation-fachstellen/fachstelle-behindertenrechte.html" TargetMode="External"/><Relationship Id="rId47" Type="http://schemas.openxmlformats.org/officeDocument/2006/relationships/hyperlink" Target="https://bit.ly/3AnF24O" TargetMode="External"/><Relationship Id="rId68" Type="http://schemas.openxmlformats.org/officeDocument/2006/relationships/hyperlink" Target="https://bit.ly/3rV5KxU" TargetMode="External"/><Relationship Id="rId89" Type="http://schemas.openxmlformats.org/officeDocument/2006/relationships/hyperlink" Target="https://www.nzz.ch/zuerich/fu-in-der-psychiatrie-in-zuerich-mit-handschellen-in-die-klinik-ld.1607531" TargetMode="External"/><Relationship Id="rId112" Type="http://schemas.openxmlformats.org/officeDocument/2006/relationships/hyperlink" Target="https://www.edi.admin.ch/dam/edi/fr/dokumente/gleichstellung/broschuere/gleichstellung_vonfrauenmitbehinderungen.pdf.download.pdf/egalite_des_femmeshandicapees.pdf" TargetMode="External"/><Relationship Id="rId133" Type="http://schemas.openxmlformats.org/officeDocument/2006/relationships/hyperlink" Target="https://www.bsv.admin.ch/bsv/de/home/publikationen-und-service/forschung/forschungspublikationen.exturl.html?lang=de&amp;lnr=07/19" TargetMode="External"/><Relationship Id="rId154" Type="http://schemas.openxmlformats.org/officeDocument/2006/relationships/hyperlink" Target="https://www.inclusion-handicap.ch/fr/actualite/actualite_0/news-archiv/2019-news/important-correctif-apporte-aux-pc-et-legeres-ameliorations-pour-les-proches-aidants-451.html" TargetMode="External"/><Relationship Id="rId175" Type="http://schemas.openxmlformats.org/officeDocument/2006/relationships/hyperlink" Target="https://www.sbfi.admin.ch/sbfi/fr/home/formation/pilotage-et-politique-de-la-formation-professionnelle/partenariat-de-la-formation-professionnelle.html" TargetMode="External"/><Relationship Id="rId196" Type="http://schemas.openxmlformats.org/officeDocument/2006/relationships/hyperlink" Target="https://www.unisante.ch/fr/formation-recherche/recherche/projets-etudes/projet-surdite-malentendance" TargetMode="External"/><Relationship Id="rId200" Type="http://schemas.openxmlformats.org/officeDocument/2006/relationships/hyperlink" Target="https://www.bfs.admin.ch/bfsstatic/dam/assets/19644546/master" TargetMode="External"/><Relationship Id="rId16" Type="http://schemas.openxmlformats.org/officeDocument/2006/relationships/hyperlink" Target="https://bit.ly/3rA7f4t" TargetMode="External"/><Relationship Id="rId221" Type="http://schemas.openxmlformats.org/officeDocument/2006/relationships/hyperlink" Target="https://www.ebg.admin.ch/dam/ebg/fr/dokumente/recht/aktionsplan_schweiz_1999.pdf.download.pdf/Plan%20d'action%20de%20la%20Suisse.pdf" TargetMode="External"/><Relationship Id="rId242" Type="http://schemas.openxmlformats.org/officeDocument/2006/relationships/hyperlink" Target="https://www.newsd.admin.ch/newsd/message/attachments/68325.pdf" TargetMode="External"/><Relationship Id="rId37" Type="http://schemas.openxmlformats.org/officeDocument/2006/relationships/hyperlink" Target="https://bit.ly/3KMLY0c" TargetMode="External"/><Relationship Id="rId58" Type="http://schemas.openxmlformats.org/officeDocument/2006/relationships/hyperlink" Target="https://bit.ly/3tTlm7Q" TargetMode="External"/><Relationship Id="rId79" Type="http://schemas.openxmlformats.org/officeDocument/2006/relationships/hyperlink" Target="https://www.bj.admin.ch/bj/fr/home/staat/gesetzgebung/archiv/bundesgerichtsgesetz.html" TargetMode="External"/><Relationship Id="rId102" Type="http://schemas.openxmlformats.org/officeDocument/2006/relationships/hyperlink" Target="https://www.nkvf.admin.ch/dam/nkvf/fr/data/Berichte/taetigkeitsberichte/2016/taetigkeitsbericht-2016-f.pdf.download.pdf/taetigkeitsbericht-2016-f.pdf" TargetMode="External"/><Relationship Id="rId123" Type="http://schemas.openxmlformats.org/officeDocument/2006/relationships/hyperlink" Target="https://istanbulkonvention.ch/assets/images/elements/Rapport_alternatif_Reseau_Convention_Istanbul.pdf" TargetMode="External"/><Relationship Id="rId144" Type="http://schemas.openxmlformats.org/officeDocument/2006/relationships/hyperlink" Target="https://www.bsv.admin.ch/bsv/de/home/publikationen-und-service/forschung/forschungspublikationen.exturl.html?lang=de&amp;lnr=07/19" TargetMode="External"/><Relationship Id="rId90" Type="http://schemas.openxmlformats.org/officeDocument/2006/relationships/hyperlink" Target="https://www.promentesana.ch/selbstbestimmt-genesen/klinikaufenthalt-und-selbstbestimmung/vertrauensperson-finden" TargetMode="External"/><Relationship Id="rId165" Type="http://schemas.openxmlformats.org/officeDocument/2006/relationships/hyperlink" Target="https://www.integras.ch/images/_pdf/themenmenu/sozial_sonderpaedagogik/sonderpaedagogik/A5_Integras_Standards_inklusiveSchule_F_Web.pdf" TargetMode="External"/><Relationship Id="rId186" Type="http://schemas.openxmlformats.org/officeDocument/2006/relationships/hyperlink" Target="https://www.parlament.ch/centers/eparl/curia/2018/20183384/Bericht%20BR%20F.pdf" TargetMode="External"/><Relationship Id="rId211" Type="http://schemas.openxmlformats.org/officeDocument/2006/relationships/hyperlink" Target="https://www.newsd.admin.ch/newsd/message/attachments/65577.pdf" TargetMode="External"/><Relationship Id="rId232" Type="http://schemas.openxmlformats.org/officeDocument/2006/relationships/hyperlink" Target="https://bit.ly/3tQZDgL" TargetMode="External"/><Relationship Id="rId253" Type="http://schemas.openxmlformats.org/officeDocument/2006/relationships/hyperlink" Target="https://www.zh.ch/de/soziales/leben-mit-behinderung.html" TargetMode="External"/><Relationship Id="rId27" Type="http://schemas.openxmlformats.org/officeDocument/2006/relationships/hyperlink" Target="https://www.samw.ch/fr.html" TargetMode="External"/><Relationship Id="rId48" Type="http://schemas.openxmlformats.org/officeDocument/2006/relationships/hyperlink" Target="https://www.efk.admin.ch/images/stories/efk_dokumente/publikationen/_sicherheit_und_umwelt/verkehr_und_umwelt/18376/18376BE-WiK-f.pdf" TargetMode="External"/><Relationship Id="rId69" Type="http://schemas.openxmlformats.org/officeDocument/2006/relationships/hyperlink" Target="https://bit.ly/3IEoFDV" TargetMode="External"/><Relationship Id="rId113" Type="http://schemas.openxmlformats.org/officeDocument/2006/relationships/hyperlink" Target="https://www.ebg.admin.ch/dam/ebg/de/dokumente/publikationen_gleichstellung_allgemein/aktionsplan_gleichstellungsstrategie_2030.pdf.download.pdf/Aktionsplan%20Gleichstellungsstrategie%202030.pdf" TargetMode="External"/><Relationship Id="rId134" Type="http://schemas.openxmlformats.org/officeDocument/2006/relationships/hyperlink" Target="https://www.bsv.admin.ch/bsv/de/home/publikationen-und-service/forschung/forschungspublikationen.exturl.html?lang=de&amp;lnr=07/19" TargetMode="External"/><Relationship Id="rId80" Type="http://schemas.openxmlformats.org/officeDocument/2006/relationships/hyperlink" Target="https://www.inclusion-handicap.ch/admin/data/files/asset/file_de/333/vla_bgg-revision_28022016.pdf?lm=1493573636" TargetMode="External"/><Relationship Id="rId155" Type="http://schemas.openxmlformats.org/officeDocument/2006/relationships/hyperlink" Target="http://www.procap.ch/kita" TargetMode="External"/><Relationship Id="rId176" Type="http://schemas.openxmlformats.org/officeDocument/2006/relationships/hyperlink" Target="https://formationprofessionnelle2030.ch/images/pdf_fr/20201109_F_Umsetzungskonzept.pdf" TargetMode="External"/><Relationship Id="rId197" Type="http://schemas.openxmlformats.org/officeDocument/2006/relationships/hyperlink" Target="https://insos.ch/assets/Dateien-Publikationen/Rapport-annuel-INSOS-2020.pdf" TargetMode="External"/><Relationship Id="rId201" Type="http://schemas.openxmlformats.org/officeDocument/2006/relationships/hyperlink" Target="https://biblio.parlament.ch/e-docs/382397.pdf" TargetMode="External"/><Relationship Id="rId222" Type="http://schemas.openxmlformats.org/officeDocument/2006/relationships/hyperlink" Target="https://www.mein-beruf.ch" TargetMode="External"/><Relationship Id="rId243" Type="http://schemas.openxmlformats.org/officeDocument/2006/relationships/hyperlink" Target="https://www.newsd.admin.ch/newsd/message/attachments/68325.pdf" TargetMode="External"/><Relationship Id="rId17" Type="http://schemas.openxmlformats.org/officeDocument/2006/relationships/hyperlink" Target="https://bit.ly/3IotKAm" TargetMode="External"/><Relationship Id="rId38" Type="http://schemas.openxmlformats.org/officeDocument/2006/relationships/hyperlink" Target="https://istanbulkonvention.ch/assets/images/elements/Rapport_alternatif_Reseau_Convention_Istanbul.pdf" TargetMode="External"/><Relationship Id="rId59" Type="http://schemas.openxmlformats.org/officeDocument/2006/relationships/hyperlink" Target="https://bit.ly/33V2wlZ" TargetMode="External"/><Relationship Id="rId103" Type="http://schemas.openxmlformats.org/officeDocument/2006/relationships/hyperlink" Target="https://www.nkvf.admin.ch/dam/nkvf/fr/data/Berichte/taetigkeitsberichte/2018/taetigkeitsbericht-2018-f.pdf.download.pdf/taetigkeitsbericht-2018-f.pdf" TargetMode="External"/><Relationship Id="rId124" Type="http://schemas.openxmlformats.org/officeDocument/2006/relationships/hyperlink" Target="http://www.edi.admin.ch/dam/edi/fr/dokumente/gleichstellung/bericht/Konzept%20Programm%20Selbstbestimmtes%20Leben.pdf.download.pdf/Programme%20autonomie.pdf" TargetMode="External"/><Relationship Id="rId70" Type="http://schemas.openxmlformats.org/officeDocument/2006/relationships/hyperlink" Target="file://\\x112202601\ih$\08_L_Politik_Themen\02_UNOBRK\05_Schattenberichte\01_Schattenberichte_CH\5_Update%20erster%20Schattenbericht\MASTERDOKUMENT\Franz&#246;sisch\Formatiert\&#233;claircies%20%20https:\www.humanrights.ch\fr\qui-sommes-nous\violations-droits-humains-centres-federaux-asile-eclaircies" TargetMode="External"/><Relationship Id="rId91" Type="http://schemas.openxmlformats.org/officeDocument/2006/relationships/hyperlink" Target="https://www.zora.uzh.ch/id/eprint/151067/1/FU_2018_SAEZ_05935.pdf" TargetMode="External"/><Relationship Id="rId145" Type="http://schemas.openxmlformats.org/officeDocument/2006/relationships/hyperlink" Target="https://www.bsv.admin.ch/bsv/de/home/publikationen-und-service/forschung/forschungspublikationen.exturl.html?lang=de&amp;lnr=07/19" TargetMode="External"/><Relationship Id="rId166" Type="http://schemas.openxmlformats.org/officeDocument/2006/relationships/hyperlink" Target="https://www.fss-bs.ch/wp-content/uploads/2022/01/01_Medienmitteilung.pdf" TargetMode="External"/><Relationship Id="rId187" Type="http://schemas.openxmlformats.org/officeDocument/2006/relationships/hyperlink" Target="https://www.soins-palliatifs-vaud.ch/sites/default/files/documentation/HfH_Soins%20palliatifs%20aux%20personnes%20en%20situation%20de%20handicap%20intellectuel.p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08_L_Politik_Themen\02_UNOBRK\05_Schattenberichte\01_Schattenberichte_CH\5_Update%20erster%20Schattenbericht\MASTERDOKUMENT\Deutsch\Vorlage_MAHE\VORL_SB%20andere%20Sprachen_080220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8D643B7505479B9DF7A77A3631C5AD"/>
        <w:category>
          <w:name w:val="Allgemein"/>
          <w:gallery w:val="placeholder"/>
        </w:category>
        <w:types>
          <w:type w:val="bbPlcHdr"/>
        </w:types>
        <w:behaviors>
          <w:behavior w:val="content"/>
        </w:behaviors>
        <w:guid w:val="{D1386EB7-487D-460E-A2AB-988D71769766}"/>
      </w:docPartPr>
      <w:docPartBody>
        <w:p w:rsidR="00B545A4" w:rsidRDefault="00B545A4">
          <w:pPr>
            <w:pStyle w:val="438D643B7505479B9DF7A77A3631C5AD"/>
          </w:pPr>
          <w:r w:rsidRPr="00310A8F">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INPro-Regula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Rotis Sans Serif Std">
    <w:altName w:val="Rotis Sans Serif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5A4"/>
    <w:rsid w:val="000E7F40"/>
    <w:rsid w:val="002A3B77"/>
    <w:rsid w:val="00637482"/>
    <w:rsid w:val="00793910"/>
    <w:rsid w:val="00827554"/>
    <w:rsid w:val="00B545A4"/>
    <w:rsid w:val="00C02158"/>
    <w:rsid w:val="00CC3B48"/>
    <w:rsid w:val="00D0117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38D643B7505479B9DF7A77A3631C5AD">
    <w:name w:val="438D643B7505479B9DF7A77A3631C5AD"/>
  </w:style>
  <w:style w:type="paragraph" w:customStyle="1" w:styleId="AF4C9C2FEB524B33AFC67245EA0682E0">
    <w:name w:val="AF4C9C2FEB524B33AFC67245EA0682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IH_Kapitel_Linksbündig">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B0050D"/>
        </a:solidFill>
        <a:ln w="6350">
          <a:noFill/>
        </a:ln>
      </a:spPr>
      <a:bodyPr wrap="square" rtlCol="0" anchor="ctr" anchorCtr="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configuration xmlns:c="http://ns.axespdf.com/word/configuration">
  <c:group id="Styles">
    <c:group id="__HtmlAddress">
      <c:property id="RoleID" type="string">ParagraphHeaderCell</c:property>
      <c:property id="Scope" type="integer">1</c:property>
    </c:group>
  </c:group>
  <c:group id="Content">
    <c:group id="3916114611">
      <c:property id="RoleID" type="string">TableTable</c:property>
    </c:group>
    <c:group id="3153397164">
      <c:property id="RoleID" type="string">FigureArtifact</c:property>
    </c:group>
    <c:group id="2">
      <c:property id="RoleID" type="string">Textbox</c:property>
    </c:group>
    <c:group id="3718143725">
      <c:property id="RoleID" type="string">FigureArtifact</c:property>
    </c:group>
    <c:group id="4174199398">
      <c:property id="RoleID" type="string">TableTable</c:property>
    </c:group>
  </c:group>
  <c:group id="InitialView">
    <c:property id="MagnificationFactor" type="float">100</c:property>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D73556-4D3A-47BA-8FAF-2DCFFA826006}">
  <ds:schemaRefs>
    <ds:schemaRef ds:uri="http://ns.axespdf.com/word/configuration"/>
  </ds:schemaRefs>
</ds:datastoreItem>
</file>

<file path=customXml/itemProps2.xml><?xml version="1.0" encoding="utf-8"?>
<ds:datastoreItem xmlns:ds="http://schemas.openxmlformats.org/officeDocument/2006/customXml" ds:itemID="{ED1FF3AA-C537-4E56-B39A-312CC60F3E3F}">
  <ds:schemaRefs>
    <ds:schemaRef ds:uri="http://schemas.openxmlformats.org/officeDocument/2006/bibliography"/>
  </ds:schemaRefs>
</ds:datastoreItem>
</file>

<file path=customXml/itemProps3.xml><?xml version="1.0" encoding="utf-8"?>
<ds:datastoreItem xmlns:ds="http://schemas.openxmlformats.org/officeDocument/2006/customXml" ds:itemID="{D1FC4F40-CB9A-45AB-B4DA-60B05F1BAE41}"/>
</file>

<file path=customXml/itemProps4.xml><?xml version="1.0" encoding="utf-8"?>
<ds:datastoreItem xmlns:ds="http://schemas.openxmlformats.org/officeDocument/2006/customXml" ds:itemID="{939E6288-8BB8-401D-B470-AC00B1582B97}"/>
</file>

<file path=customXml/itemProps5.xml><?xml version="1.0" encoding="utf-8"?>
<ds:datastoreItem xmlns:ds="http://schemas.openxmlformats.org/officeDocument/2006/customXml" ds:itemID="{AA403E9C-8D6D-4D95-B053-DA5766C7EA68}"/>
</file>

<file path=docProps/app.xml><?xml version="1.0" encoding="utf-8"?>
<Properties xmlns="http://schemas.openxmlformats.org/officeDocument/2006/extended-properties" xmlns:vt="http://schemas.openxmlformats.org/officeDocument/2006/docPropsVTypes">
  <Template>VORL_SB andere Sprachen_08022022.dotx</Template>
  <TotalTime>2</TotalTime>
  <Pages>78</Pages>
  <Words>29250</Words>
  <Characters>162586</Characters>
  <Application>Microsoft Office Word</Application>
  <DocSecurity>4</DocSecurity>
  <Lines>1354</Lines>
  <Paragraphs>382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Hermann</dc:creator>
  <cp:keywords/>
  <dc:description/>
  <cp:lastModifiedBy>OUKO Robert</cp:lastModifiedBy>
  <cp:revision>2</cp:revision>
  <cp:lastPrinted>2022-02-16T11:19:00Z</cp:lastPrinted>
  <dcterms:created xsi:type="dcterms:W3CDTF">2022-02-21T15:23:00Z</dcterms:created>
  <dcterms:modified xsi:type="dcterms:W3CDTF">2022-02-21T15:23:00Z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