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7196DD" w14:textId="26CF96B5" w:rsidR="000F6173" w:rsidRDefault="000F6173" w:rsidP="007D57AE">
      <w:pPr>
        <w:pStyle w:val="BodyTextFirst5"/>
        <w:spacing w:after="0"/>
        <w:ind w:left="-540" w:right="-360" w:firstLine="0"/>
        <w:jc w:val="both"/>
      </w:pPr>
      <w:bookmarkStart w:id="0" w:name="_GoBack"/>
      <w:bookmarkEnd w:id="0"/>
      <w:r>
        <w:rPr>
          <w:noProof/>
          <w:lang w:val="en-GB" w:eastAsia="en-GB"/>
        </w:rPr>
        <w:drawing>
          <wp:inline distT="0" distB="0" distL="0" distR="0" wp14:anchorId="3F5CB32E" wp14:editId="6252CEEA">
            <wp:extent cx="2400300" cy="91376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8374" cy="916841"/>
                    </a:xfrm>
                    <a:prstGeom prst="rect">
                      <a:avLst/>
                    </a:prstGeom>
                    <a:noFill/>
                    <a:ln>
                      <a:noFill/>
                    </a:ln>
                  </pic:spPr>
                </pic:pic>
              </a:graphicData>
            </a:graphic>
          </wp:inline>
        </w:drawing>
      </w:r>
      <w:r w:rsidR="00F05E5E">
        <w:tab/>
      </w:r>
      <w:r w:rsidR="00F05E5E">
        <w:tab/>
      </w:r>
      <w:r w:rsidR="00A87106">
        <w:rPr>
          <w:b/>
          <w:noProof/>
          <w:lang w:val="en-GB" w:eastAsia="en-GB"/>
        </w:rPr>
        <w:drawing>
          <wp:inline distT="0" distB="0" distL="0" distR="0" wp14:anchorId="67C48EDE" wp14:editId="49EB37CD">
            <wp:extent cx="776908" cy="127635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0857" cy="1282837"/>
                    </a:xfrm>
                    <a:prstGeom prst="rect">
                      <a:avLst/>
                    </a:prstGeom>
                    <a:noFill/>
                    <a:ln>
                      <a:noFill/>
                    </a:ln>
                  </pic:spPr>
                </pic:pic>
              </a:graphicData>
            </a:graphic>
          </wp:inline>
        </w:drawing>
      </w:r>
      <w:r w:rsidR="008555F4">
        <w:t xml:space="preserve"> </w:t>
      </w:r>
      <w:r w:rsidR="007D57AE">
        <w:tab/>
      </w:r>
      <w:r w:rsidR="007D57AE">
        <w:tab/>
      </w:r>
      <w:r w:rsidR="007D57AE">
        <w:tab/>
      </w:r>
      <w:r w:rsidR="00F05E5E">
        <w:t xml:space="preserve"> </w:t>
      </w:r>
      <w:r w:rsidR="00A87106">
        <w:rPr>
          <w:noProof/>
          <w:lang w:val="en-GB" w:eastAsia="en-GB"/>
        </w:rPr>
        <w:drawing>
          <wp:inline distT="0" distB="0" distL="0" distR="0" wp14:anchorId="4F14280A" wp14:editId="39A14FA5">
            <wp:extent cx="966467" cy="106680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7231" cy="1067644"/>
                    </a:xfrm>
                    <a:prstGeom prst="rect">
                      <a:avLst/>
                    </a:prstGeom>
                    <a:noFill/>
                    <a:ln>
                      <a:noFill/>
                    </a:ln>
                  </pic:spPr>
                </pic:pic>
              </a:graphicData>
            </a:graphic>
          </wp:inline>
        </w:drawing>
      </w:r>
    </w:p>
    <w:p w14:paraId="75BC245B" w14:textId="77777777" w:rsidR="0022545E" w:rsidRDefault="0022545E" w:rsidP="001C7592">
      <w:pPr>
        <w:pStyle w:val="BodyTextFirst5"/>
        <w:spacing w:before="120" w:after="0"/>
        <w:ind w:firstLine="0"/>
        <w:jc w:val="center"/>
        <w:rPr>
          <w:b/>
        </w:rPr>
      </w:pPr>
    </w:p>
    <w:p w14:paraId="14B5584E" w14:textId="5BA7E22F" w:rsidR="009B6A39" w:rsidRPr="009B6A39" w:rsidRDefault="00DC420B" w:rsidP="001C7592">
      <w:pPr>
        <w:pStyle w:val="BodyTextFirst5"/>
        <w:spacing w:before="120" w:after="0"/>
        <w:ind w:firstLine="0"/>
        <w:jc w:val="center"/>
        <w:rPr>
          <w:b/>
        </w:rPr>
      </w:pPr>
      <w:r>
        <w:rPr>
          <w:b/>
        </w:rPr>
        <w:t>T</w:t>
      </w:r>
      <w:r w:rsidR="00FF471F">
        <w:rPr>
          <w:b/>
        </w:rPr>
        <w:t>he Advocates for Human Right</w:t>
      </w:r>
      <w:r>
        <w:rPr>
          <w:b/>
        </w:rPr>
        <w:t>s</w:t>
      </w:r>
      <w:r w:rsidR="009B6A39">
        <w:rPr>
          <w:b/>
        </w:rPr>
        <w:t xml:space="preserve">, </w:t>
      </w:r>
    </w:p>
    <w:p w14:paraId="0C096EC6" w14:textId="77777777" w:rsidR="009B6A39" w:rsidRDefault="009B6A39" w:rsidP="001C7592">
      <w:pPr>
        <w:pStyle w:val="BodyTextFirst5"/>
        <w:spacing w:after="120"/>
        <w:ind w:firstLine="0"/>
        <w:jc w:val="center"/>
        <w:rPr>
          <w:b/>
        </w:rPr>
      </w:pPr>
      <w:proofErr w:type="gramStart"/>
      <w:r>
        <w:rPr>
          <w:b/>
        </w:rPr>
        <w:t>a</w:t>
      </w:r>
      <w:proofErr w:type="gramEnd"/>
      <w:r>
        <w:rPr>
          <w:b/>
        </w:rPr>
        <w:t xml:space="preserve"> non</w:t>
      </w:r>
      <w:r w:rsidRPr="009B6A39">
        <w:rPr>
          <w:b/>
        </w:rPr>
        <w:t>-governmental orga</w:t>
      </w:r>
      <w:r>
        <w:rPr>
          <w:b/>
        </w:rPr>
        <w:t>nization in special consultativ</w:t>
      </w:r>
      <w:r w:rsidRPr="009B6A39">
        <w:rPr>
          <w:b/>
        </w:rPr>
        <w:t>e status with ECOSOC</w:t>
      </w:r>
    </w:p>
    <w:p w14:paraId="64000CEF" w14:textId="70FD13B3" w:rsidR="00A87106" w:rsidRDefault="00A87106" w:rsidP="001C7592">
      <w:pPr>
        <w:pStyle w:val="BodyTextFirst5"/>
        <w:spacing w:after="120"/>
        <w:ind w:firstLine="0"/>
        <w:jc w:val="center"/>
        <w:rPr>
          <w:b/>
        </w:rPr>
      </w:pPr>
      <w:proofErr w:type="gramStart"/>
      <w:r>
        <w:rPr>
          <w:b/>
        </w:rPr>
        <w:t>submits</w:t>
      </w:r>
      <w:proofErr w:type="gramEnd"/>
      <w:r>
        <w:rPr>
          <w:b/>
        </w:rPr>
        <w:t xml:space="preserve"> this</w:t>
      </w:r>
    </w:p>
    <w:p w14:paraId="26DDCBDE" w14:textId="4DCBA2CE" w:rsidR="009B6A39" w:rsidRDefault="009B6A39" w:rsidP="007A48E0">
      <w:pPr>
        <w:pStyle w:val="BodyTextFirst5"/>
        <w:spacing w:before="240" w:after="0"/>
        <w:ind w:firstLine="0"/>
        <w:jc w:val="center"/>
        <w:rPr>
          <w:b/>
        </w:rPr>
      </w:pPr>
      <w:r>
        <w:rPr>
          <w:b/>
        </w:rPr>
        <w:t>Shadow Report on the Death Penalty</w:t>
      </w:r>
      <w:r w:rsidR="00B02744">
        <w:rPr>
          <w:b/>
        </w:rPr>
        <w:t xml:space="preserve"> in the United States</w:t>
      </w:r>
      <w:r w:rsidR="0022545E">
        <w:rPr>
          <w:b/>
        </w:rPr>
        <w:t xml:space="preserve"> of America</w:t>
      </w:r>
    </w:p>
    <w:p w14:paraId="4B5683ED" w14:textId="24306886" w:rsidR="00A87106" w:rsidRDefault="004C3EA4" w:rsidP="007A48E0">
      <w:pPr>
        <w:pStyle w:val="BodyTextFirst5"/>
        <w:spacing w:before="240" w:after="0"/>
        <w:ind w:firstLine="0"/>
        <w:jc w:val="center"/>
        <w:rPr>
          <w:b/>
        </w:rPr>
      </w:pPr>
      <w:proofErr w:type="gramStart"/>
      <w:r>
        <w:rPr>
          <w:b/>
        </w:rPr>
        <w:t>with</w:t>
      </w:r>
      <w:proofErr w:type="gramEnd"/>
      <w:r>
        <w:rPr>
          <w:b/>
        </w:rPr>
        <w:t xml:space="preserve"> Section V </w:t>
      </w:r>
      <w:r w:rsidR="00A87106">
        <w:rPr>
          <w:b/>
        </w:rPr>
        <w:t>co-submitted by</w:t>
      </w:r>
    </w:p>
    <w:p w14:paraId="20D4524E" w14:textId="373A7067" w:rsidR="00A87106" w:rsidRDefault="00AC7FE5" w:rsidP="00A87106">
      <w:pPr>
        <w:pStyle w:val="BodyTextFirst5"/>
        <w:spacing w:after="120"/>
        <w:ind w:firstLine="0"/>
        <w:jc w:val="center"/>
        <w:rPr>
          <w:b/>
        </w:rPr>
      </w:pPr>
      <w:proofErr w:type="gramStart"/>
      <w:r>
        <w:rPr>
          <w:b/>
        </w:rPr>
        <w:t>t</w:t>
      </w:r>
      <w:r w:rsidR="00A87106">
        <w:rPr>
          <w:b/>
        </w:rPr>
        <w:t>he</w:t>
      </w:r>
      <w:proofErr w:type="gramEnd"/>
      <w:r w:rsidR="00A87106">
        <w:rPr>
          <w:b/>
        </w:rPr>
        <w:t xml:space="preserve"> Greater Caribbean for Life and Puerto Rican Coalition against the Death Penalty</w:t>
      </w:r>
    </w:p>
    <w:p w14:paraId="70D4303D" w14:textId="77777777" w:rsidR="004C70A0" w:rsidRDefault="004C70A0" w:rsidP="001C7592">
      <w:pPr>
        <w:pStyle w:val="BodyTextFirst5"/>
        <w:spacing w:before="120" w:after="0"/>
        <w:ind w:firstLine="0"/>
        <w:jc w:val="center"/>
        <w:rPr>
          <w:b/>
        </w:rPr>
      </w:pPr>
    </w:p>
    <w:p w14:paraId="25E2D3E6" w14:textId="3E3B3F6B" w:rsidR="009B6A39" w:rsidRDefault="00DC420B" w:rsidP="001C7592">
      <w:pPr>
        <w:pStyle w:val="BodyTextFirst5"/>
        <w:spacing w:before="120" w:after="0"/>
        <w:ind w:firstLine="0"/>
        <w:jc w:val="center"/>
        <w:rPr>
          <w:b/>
        </w:rPr>
      </w:pPr>
      <w:proofErr w:type="gramStart"/>
      <w:r>
        <w:rPr>
          <w:b/>
        </w:rPr>
        <w:t>for</w:t>
      </w:r>
      <w:proofErr w:type="gramEnd"/>
      <w:r>
        <w:rPr>
          <w:b/>
        </w:rPr>
        <w:t xml:space="preserve"> </w:t>
      </w:r>
      <w:r w:rsidR="009B6A39">
        <w:rPr>
          <w:b/>
        </w:rPr>
        <w:t>consideration during</w:t>
      </w:r>
      <w:r w:rsidR="0022545E">
        <w:rPr>
          <w:b/>
        </w:rPr>
        <w:t xml:space="preserve"> the</w:t>
      </w:r>
    </w:p>
    <w:p w14:paraId="79A7C42C" w14:textId="77777777" w:rsidR="0022545E" w:rsidRDefault="0022545E" w:rsidP="001C7592">
      <w:pPr>
        <w:pStyle w:val="BodyTextFirst5"/>
        <w:spacing w:before="120" w:after="0"/>
        <w:ind w:firstLine="0"/>
        <w:jc w:val="center"/>
        <w:rPr>
          <w:b/>
        </w:rPr>
      </w:pPr>
    </w:p>
    <w:p w14:paraId="135AAB83" w14:textId="187272B8" w:rsidR="0022545E" w:rsidRPr="0022545E" w:rsidRDefault="0022545E" w:rsidP="0022545E">
      <w:pPr>
        <w:pStyle w:val="BodyTextFirst5"/>
        <w:spacing w:before="120" w:after="0"/>
        <w:ind w:firstLine="0"/>
        <w:jc w:val="center"/>
        <w:rPr>
          <w:b/>
        </w:rPr>
      </w:pPr>
      <w:r w:rsidRPr="0022545E">
        <w:rPr>
          <w:b/>
        </w:rPr>
        <w:t>85th</w:t>
      </w:r>
      <w:r w:rsidR="009B6A39" w:rsidRPr="0022545E">
        <w:rPr>
          <w:b/>
        </w:rPr>
        <w:t xml:space="preserve"> Session of the </w:t>
      </w:r>
      <w:r w:rsidR="00DC420B" w:rsidRPr="0022545E">
        <w:rPr>
          <w:b/>
        </w:rPr>
        <w:t xml:space="preserve">United Nations </w:t>
      </w:r>
      <w:r w:rsidRPr="0022545E">
        <w:rPr>
          <w:b/>
        </w:rPr>
        <w:t>Committee on the Elimination of Racial Discrimination</w:t>
      </w:r>
    </w:p>
    <w:p w14:paraId="2087CB04" w14:textId="73FAA406" w:rsidR="00FF471F" w:rsidRDefault="008555F4">
      <w:pPr>
        <w:pStyle w:val="BodyTextFirst5"/>
        <w:spacing w:after="0"/>
        <w:ind w:firstLine="0"/>
        <w:jc w:val="center"/>
        <w:rPr>
          <w:b/>
        </w:rPr>
      </w:pPr>
      <w:r>
        <w:rPr>
          <w:b/>
        </w:rPr>
        <w:t>13–14</w:t>
      </w:r>
      <w:r w:rsidR="0022545E" w:rsidRPr="0022545E">
        <w:rPr>
          <w:b/>
        </w:rPr>
        <w:t xml:space="preserve"> August 2014</w:t>
      </w:r>
      <w:r w:rsidR="00DC420B">
        <w:rPr>
          <w:b/>
        </w:rPr>
        <w:t xml:space="preserve"> </w:t>
      </w:r>
    </w:p>
    <w:p w14:paraId="61803783" w14:textId="77777777" w:rsidR="009A461C" w:rsidRDefault="009A461C" w:rsidP="009A461C">
      <w:pPr>
        <w:pStyle w:val="BodyTextFirst5"/>
        <w:spacing w:after="0"/>
        <w:ind w:firstLine="0"/>
        <w:rPr>
          <w:b/>
        </w:rPr>
      </w:pPr>
    </w:p>
    <w:p w14:paraId="0EDE95E7" w14:textId="7A3A977A" w:rsidR="009A461C" w:rsidRDefault="009A461C" w:rsidP="009A461C">
      <w:pPr>
        <w:pStyle w:val="BodyTextFirst5"/>
        <w:spacing w:after="0"/>
        <w:ind w:firstLine="0"/>
        <w:jc w:val="center"/>
        <w:rPr>
          <w:b/>
        </w:rPr>
      </w:pPr>
      <w:r>
        <w:rPr>
          <w:b/>
        </w:rPr>
        <w:t>List of Themes: Paragraph 2(a), Paragraph 4, Paragraph 5(b)</w:t>
      </w:r>
    </w:p>
    <w:p w14:paraId="14841D17" w14:textId="77777777" w:rsidR="00DC420B" w:rsidRDefault="00DC420B" w:rsidP="00813E61">
      <w:pPr>
        <w:pStyle w:val="BodyTextFirst5"/>
        <w:spacing w:after="0"/>
        <w:ind w:firstLine="0"/>
        <w:rPr>
          <w:b/>
        </w:rPr>
      </w:pPr>
    </w:p>
    <w:p w14:paraId="2B5CBD85" w14:textId="77777777" w:rsidR="00DC420B" w:rsidRDefault="00DC420B" w:rsidP="00813E61">
      <w:pPr>
        <w:pStyle w:val="BodyTextFirst5"/>
        <w:spacing w:after="0"/>
        <w:ind w:firstLine="0"/>
      </w:pPr>
      <w:r>
        <w:t>The Advocates for Human Rights (The Advocates) is a volunteer-based non-governmental organization committed to the impartial promotion and protection of international human rights standards and the rule of law</w:t>
      </w:r>
      <w:r w:rsidR="003B6096">
        <w:t>.</w:t>
      </w:r>
      <w:r w:rsidR="00E154AB">
        <w:t xml:space="preserve"> </w:t>
      </w:r>
      <w:r>
        <w:t>The Advocates conducts a range of programs to promote human rights in the United States and around the world, including monitoring and fact finding, direct legal representation, education and training, and publications</w:t>
      </w:r>
      <w:r w:rsidR="003B6096">
        <w:t>.</w:t>
      </w:r>
      <w:r w:rsidR="00E154AB">
        <w:t xml:space="preserve"> </w:t>
      </w:r>
      <w:r>
        <w:t>In 1991, The Advocates adopted a formal commitment to oppose the death penalty worldwide and organized a Death Penalty Project to provide pro bono assistance on post-conviction appeals, as well as education and advocacy to end capital punishment</w:t>
      </w:r>
      <w:r w:rsidR="003B6096">
        <w:t>.</w:t>
      </w:r>
      <w:r w:rsidR="00E154AB">
        <w:t xml:space="preserve"> </w:t>
      </w:r>
      <w:r>
        <w:t>The Advocates currently holds a seat on the Steering Committee of the World Coalition Against the Death Penalty.</w:t>
      </w:r>
    </w:p>
    <w:p w14:paraId="7455E65C" w14:textId="77777777" w:rsidR="00A87106" w:rsidRDefault="00A87106" w:rsidP="00A87106">
      <w:pPr>
        <w:pStyle w:val="BodyTextFirst5"/>
        <w:spacing w:after="120"/>
        <w:ind w:firstLine="0"/>
        <w:jc w:val="center"/>
        <w:rPr>
          <w:b/>
        </w:rPr>
      </w:pPr>
    </w:p>
    <w:p w14:paraId="1FDF59B5" w14:textId="7C156168" w:rsidR="00031F3F" w:rsidRDefault="00A87106">
      <w:r w:rsidRPr="00A87106">
        <w:t xml:space="preserve">The Greater Caribbean for Life is an organization constituted on October 2, 2013 to unite Caribbean abolitionist organizations and individuals, reflecting the highest respect to right to live in the struggle against death penalty. This initiative began on October 19, 2011, by a group of organizations and individuals from countries of the Greater Caribbean opposed to the application of the capital punishment that participated in the International Conference on the Death Penalty in the Great Caribbean organized in Madrid by the Community of </w:t>
      </w:r>
      <w:proofErr w:type="spellStart"/>
      <w:r w:rsidRPr="00A87106">
        <w:t>Sant</w:t>
      </w:r>
      <w:proofErr w:type="spellEnd"/>
      <w:r w:rsidRPr="00A87106">
        <w:t xml:space="preserve">’ </w:t>
      </w:r>
      <w:proofErr w:type="spellStart"/>
      <w:r w:rsidRPr="00A87106">
        <w:t>Edigio</w:t>
      </w:r>
      <w:proofErr w:type="spellEnd"/>
      <w:r w:rsidRPr="00A87106">
        <w:t xml:space="preserve">. The Greater Caribbean for Life was constituted with the purpose of campaigning for and working towards the permanent abolition of the death penalty in the Greater Caribbean and supporting Caribbean abolitionist activists and organizations in this region (comprised by the Caribbean Islands, </w:t>
      </w:r>
      <w:r w:rsidRPr="00A87106">
        <w:lastRenderedPageBreak/>
        <w:t xml:space="preserve">Mexico, Central America, Colombia, Venezuela and the </w:t>
      </w:r>
      <w:proofErr w:type="spellStart"/>
      <w:r w:rsidRPr="00A87106">
        <w:t>Guyanas</w:t>
      </w:r>
      <w:proofErr w:type="spellEnd"/>
      <w:r w:rsidRPr="00A87106">
        <w:t>) and collaborating with the international abolitionist community.</w:t>
      </w:r>
    </w:p>
    <w:p w14:paraId="270368F8" w14:textId="77777777" w:rsidR="00A87106" w:rsidRDefault="00A87106"/>
    <w:p w14:paraId="48DEB72D" w14:textId="05D4BA39" w:rsidR="00A87106" w:rsidRDefault="0044739C">
      <w:r w:rsidRPr="0044739C">
        <w:t xml:space="preserve">The Puerto Rican Coalition against the Death Penalty (PCADP) is a non-party, non-sectarian </w:t>
      </w:r>
      <w:proofErr w:type="spellStart"/>
      <w:r w:rsidRPr="0044739C">
        <w:t>organisation</w:t>
      </w:r>
      <w:proofErr w:type="spellEnd"/>
      <w:r w:rsidRPr="0044739C">
        <w:t xml:space="preserve"> incorporated in Puerto Rico in March 2005 to promote the elimination of the capital punishment.</w:t>
      </w:r>
      <w:r>
        <w:t xml:space="preserve"> </w:t>
      </w:r>
      <w:r w:rsidRPr="0044739C">
        <w:t xml:space="preserve">The PCADP aims to join efforts among the different abolitionist </w:t>
      </w:r>
      <w:proofErr w:type="spellStart"/>
      <w:r w:rsidRPr="0044739C">
        <w:t>organisations</w:t>
      </w:r>
      <w:proofErr w:type="spellEnd"/>
      <w:r w:rsidRPr="0044739C">
        <w:t xml:space="preserve"> and activists in Puerto Rico. Its Statement of Principles </w:t>
      </w:r>
      <w:proofErr w:type="spellStart"/>
      <w:r w:rsidRPr="0044739C">
        <w:t>emphasises</w:t>
      </w:r>
      <w:proofErr w:type="spellEnd"/>
      <w:r w:rsidRPr="0044739C">
        <w:t xml:space="preserve"> that it does not believe in the impunity of a crime and identifies with the pain of the families of both the victims and the accused. It rejects the death penalty inside and outside Puerto Rico.</w:t>
      </w:r>
      <w:r>
        <w:t xml:space="preserve"> </w:t>
      </w:r>
      <w:r>
        <w:rPr>
          <w:color w:val="000000"/>
          <w:shd w:val="clear" w:color="auto" w:fill="FFFFFF"/>
        </w:rPr>
        <w:t xml:space="preserve">The PCADP aims at excluding Puerto Rico from the scope of the Federal Death Penalty Act, as is the case for other federal laws. It also intends to mark its opposition in every case in which death penalty certification is to be requested by federal prosecutors in Puerto Rico. The PCADP has been a member of the World Coalition since 2006. As of June 2007, the PCADP was composed of more than 40 religious, political, student, community, </w:t>
      </w:r>
      <w:proofErr w:type="gramStart"/>
      <w:r>
        <w:rPr>
          <w:color w:val="000000"/>
          <w:shd w:val="clear" w:color="auto" w:fill="FFFFFF"/>
        </w:rPr>
        <w:t>labor</w:t>
      </w:r>
      <w:proofErr w:type="gramEnd"/>
      <w:r>
        <w:rPr>
          <w:color w:val="000000"/>
          <w:shd w:val="clear" w:color="auto" w:fill="FFFFFF"/>
        </w:rPr>
        <w:t xml:space="preserve"> union, professional, and human rights advocacy </w:t>
      </w:r>
      <w:proofErr w:type="spellStart"/>
      <w:r>
        <w:rPr>
          <w:color w:val="000000"/>
          <w:shd w:val="clear" w:color="auto" w:fill="FFFFFF"/>
        </w:rPr>
        <w:t>organisations</w:t>
      </w:r>
      <w:proofErr w:type="spellEnd"/>
      <w:r>
        <w:rPr>
          <w:color w:val="000000"/>
          <w:shd w:val="clear" w:color="auto" w:fill="FFFFFF"/>
        </w:rPr>
        <w:t>.</w:t>
      </w:r>
    </w:p>
    <w:p w14:paraId="568125AE" w14:textId="77777777" w:rsidR="00FF471F" w:rsidRPr="00FF471F" w:rsidRDefault="00FF471F"/>
    <w:p w14:paraId="38015AC1" w14:textId="77777777" w:rsidR="00A87106" w:rsidRDefault="00A87106">
      <w:pPr>
        <w:rPr>
          <w:b/>
          <w:caps/>
          <w:u w:val="single"/>
        </w:rPr>
      </w:pPr>
      <w:r>
        <w:br w:type="page"/>
      </w:r>
    </w:p>
    <w:p w14:paraId="338F7581" w14:textId="750ABCFE" w:rsidR="009B6A39" w:rsidRDefault="00CD01F2" w:rsidP="003B6169">
      <w:pPr>
        <w:pStyle w:val="TitleUnderline"/>
        <w:spacing w:after="0"/>
      </w:pPr>
      <w:r>
        <w:lastRenderedPageBreak/>
        <w:t>EXECUTIVE sUMMARY</w:t>
      </w:r>
    </w:p>
    <w:p w14:paraId="219BA1EB" w14:textId="77777777" w:rsidR="003B6169" w:rsidRPr="003B6169" w:rsidRDefault="003B6169" w:rsidP="003B6169">
      <w:pPr>
        <w:pStyle w:val="BodyTextFirst5"/>
      </w:pPr>
    </w:p>
    <w:p w14:paraId="02794953" w14:textId="6F8E345C" w:rsidR="00CD01F2" w:rsidRPr="00AD1BFC" w:rsidRDefault="00CD01F2" w:rsidP="00AE219D">
      <w:pPr>
        <w:pStyle w:val="BodyTextFirst5"/>
        <w:numPr>
          <w:ilvl w:val="0"/>
          <w:numId w:val="18"/>
        </w:numPr>
      </w:pPr>
      <w:r w:rsidRPr="00AD1BFC">
        <w:t xml:space="preserve">Thirty-two states, the U.S. federal government, and </w:t>
      </w:r>
      <w:r w:rsidR="00DD6C09">
        <w:t xml:space="preserve">the </w:t>
      </w:r>
      <w:r w:rsidRPr="00AD1BFC">
        <w:t xml:space="preserve">U.S. military retain the death penalty in the United States. </w:t>
      </w:r>
      <w:r w:rsidR="001427AD" w:rsidRPr="00AD1BFC">
        <w:t>S</w:t>
      </w:r>
      <w:r w:rsidRPr="00AD1BFC">
        <w:t>ince the U</w:t>
      </w:r>
      <w:r w:rsidR="00B4653C" w:rsidRPr="00AD1BFC">
        <w:t xml:space="preserve">nited </w:t>
      </w:r>
      <w:r w:rsidRPr="00AD1BFC">
        <w:t>S</w:t>
      </w:r>
      <w:r w:rsidR="00B4653C" w:rsidRPr="00AD1BFC">
        <w:t>tates</w:t>
      </w:r>
      <w:r w:rsidRPr="00AD1BFC">
        <w:t>’ last review</w:t>
      </w:r>
      <w:r w:rsidR="00211858" w:rsidRPr="00AD1BFC">
        <w:t xml:space="preserve"> before the Committee</w:t>
      </w:r>
      <w:r w:rsidR="001427AD" w:rsidRPr="00AD1BFC">
        <w:t xml:space="preserve"> in 200</w:t>
      </w:r>
      <w:r w:rsidR="003B6ED7" w:rsidRPr="00AD1BFC">
        <w:t>8</w:t>
      </w:r>
      <w:r w:rsidR="001427AD" w:rsidRPr="00AD1BFC">
        <w:t>, the number of states retaining the death penalty has decreased</w:t>
      </w:r>
      <w:r w:rsidRPr="00AD1BFC">
        <w:t xml:space="preserve">. </w:t>
      </w:r>
      <w:r w:rsidR="00AD1BFC" w:rsidRPr="00AD1BFC">
        <w:t>Four</w:t>
      </w:r>
      <w:r w:rsidRPr="00AD1BFC">
        <w:t xml:space="preserve"> states—Maryland (2013), Connecticut (2012), Illinois (2011), New Mexico (2009)</w:t>
      </w:r>
      <w:r w:rsidR="00211858" w:rsidRPr="00AD1BFC">
        <w:t xml:space="preserve">—have </w:t>
      </w:r>
      <w:r w:rsidR="001427AD" w:rsidRPr="00AD1BFC">
        <w:t xml:space="preserve">since </w:t>
      </w:r>
      <w:r w:rsidRPr="00AD1BFC">
        <w:t>abolished the death penalty.</w:t>
      </w:r>
      <w:r w:rsidR="00A748D0">
        <w:t xml:space="preserve"> During that same time period, </w:t>
      </w:r>
      <w:r w:rsidR="00CA3437">
        <w:t>however</w:t>
      </w:r>
      <w:r w:rsidR="00A748D0">
        <w:t>, 247 inmates were executed nationwide</w:t>
      </w:r>
      <w:r w:rsidR="00CA3437">
        <w:t>;</w:t>
      </w:r>
      <w:r w:rsidR="00A748D0">
        <w:t xml:space="preserve"> 116 of </w:t>
      </w:r>
      <w:r w:rsidR="00CA3437">
        <w:t>those executed</w:t>
      </w:r>
      <w:r w:rsidR="00A748D0">
        <w:t>—</w:t>
      </w:r>
      <w:r w:rsidR="00CA3437">
        <w:t xml:space="preserve">or </w:t>
      </w:r>
      <w:r w:rsidR="00A748D0">
        <w:t>more than 46% of the total</w:t>
      </w:r>
      <w:r w:rsidR="0006378A">
        <w:t>—</w:t>
      </w:r>
      <w:r w:rsidR="00A748D0">
        <w:t>were</w:t>
      </w:r>
      <w:r w:rsidR="0006378A">
        <w:t xml:space="preserve"> </w:t>
      </w:r>
      <w:r w:rsidR="00A748D0">
        <w:t>non-white, including seven foreign nationals.</w:t>
      </w:r>
      <w:r w:rsidR="00A748D0">
        <w:rPr>
          <w:rStyle w:val="FootnoteReference"/>
        </w:rPr>
        <w:footnoteReference w:id="2"/>
      </w:r>
    </w:p>
    <w:p w14:paraId="01FEA4D0" w14:textId="41FFBB12" w:rsidR="00CD01F2" w:rsidRPr="00D64712" w:rsidRDefault="00CD01F2" w:rsidP="00AE219D">
      <w:pPr>
        <w:pStyle w:val="BodyTextFirst5"/>
        <w:numPr>
          <w:ilvl w:val="0"/>
          <w:numId w:val="18"/>
        </w:numPr>
      </w:pPr>
      <w:r w:rsidRPr="00AD1BFC">
        <w:t xml:space="preserve">This report addresses </w:t>
      </w:r>
      <w:r w:rsidR="0022545E">
        <w:t>five</w:t>
      </w:r>
      <w:r w:rsidRPr="00AD1BFC">
        <w:t xml:space="preserve"> main issues with regard to the </w:t>
      </w:r>
      <w:r w:rsidR="00B4653C" w:rsidRPr="00AD1BFC">
        <w:t>United States</w:t>
      </w:r>
      <w:r w:rsidR="003B6169" w:rsidRPr="00AD1BFC">
        <w:t>’ use of the death penalt</w:t>
      </w:r>
      <w:r w:rsidR="003B6169" w:rsidRPr="00D64712">
        <w:t>y</w:t>
      </w:r>
      <w:r w:rsidR="00AD1BFC" w:rsidRPr="00D64712">
        <w:t xml:space="preserve"> and how the death penalty disproportionately affects minorities in the United States</w:t>
      </w:r>
      <w:r w:rsidR="003B6169" w:rsidRPr="00D64712">
        <w:t>:</w:t>
      </w:r>
    </w:p>
    <w:p w14:paraId="210560C3" w14:textId="4DA8D10D" w:rsidR="00AD1BFC" w:rsidRPr="00D64712" w:rsidRDefault="00AD1BFC" w:rsidP="00AE219D">
      <w:pPr>
        <w:pStyle w:val="BodyTextFirst5"/>
        <w:numPr>
          <w:ilvl w:val="1"/>
          <w:numId w:val="18"/>
        </w:numPr>
        <w:ind w:left="720"/>
      </w:pPr>
      <w:r w:rsidRPr="00D64712">
        <w:rPr>
          <w:b/>
        </w:rPr>
        <w:t>Racial Bias</w:t>
      </w:r>
      <w:r w:rsidRPr="00D64712">
        <w:t>.</w:t>
      </w:r>
      <w:r w:rsidR="009A461C">
        <w:t xml:space="preserve"> (</w:t>
      </w:r>
      <w:r w:rsidR="009A461C">
        <w:rPr>
          <w:b/>
        </w:rPr>
        <w:t>List of Themes: Paragraph 2(a).</w:t>
      </w:r>
      <w:r w:rsidR="009A461C">
        <w:t>)</w:t>
      </w:r>
      <w:r w:rsidRPr="00D64712">
        <w:t xml:space="preserve"> Racial bias is pervasive in the application of the death penalty in the United States. The race of the victim is the most indicative factor in determining who is charged and sentenced with death. If the victim is white, a defendant is more likely to be sentenced to death than if the victim is black. The race of the defendant also increases the likelihood of a death sentence, and black persons are disproportionately overrepresented on death row in comparison to the general population. See Recommendations and Questions on </w:t>
      </w:r>
      <w:r w:rsidRPr="00544426">
        <w:t>page</w:t>
      </w:r>
      <w:r w:rsidR="00544426" w:rsidRPr="00544426">
        <w:t xml:space="preserve"> </w:t>
      </w:r>
      <w:r w:rsidR="007D57AE">
        <w:fldChar w:fldCharType="begin"/>
      </w:r>
      <w:r w:rsidR="007D57AE">
        <w:instrText xml:space="preserve"> PAGEREF _Ref393964339 \h </w:instrText>
      </w:r>
      <w:r w:rsidR="007D57AE">
        <w:fldChar w:fldCharType="separate"/>
      </w:r>
      <w:r w:rsidR="0099179D">
        <w:rPr>
          <w:noProof/>
        </w:rPr>
        <w:t>9</w:t>
      </w:r>
      <w:r w:rsidR="007D57AE">
        <w:fldChar w:fldCharType="end"/>
      </w:r>
      <w:r w:rsidRPr="00544426">
        <w:t>.</w:t>
      </w:r>
    </w:p>
    <w:p w14:paraId="665DCEDB" w14:textId="407A47E6" w:rsidR="00DD6C09" w:rsidRDefault="00CD01F2" w:rsidP="00AE219D">
      <w:pPr>
        <w:pStyle w:val="BodyTextFirst5"/>
        <w:numPr>
          <w:ilvl w:val="1"/>
          <w:numId w:val="18"/>
        </w:numPr>
        <w:ind w:left="720"/>
      </w:pPr>
      <w:r w:rsidRPr="00544426">
        <w:rPr>
          <w:b/>
        </w:rPr>
        <w:t>Innocence</w:t>
      </w:r>
      <w:r w:rsidR="00211858" w:rsidRPr="00544426">
        <w:rPr>
          <w:b/>
        </w:rPr>
        <w:t>.</w:t>
      </w:r>
      <w:r w:rsidR="009A461C">
        <w:rPr>
          <w:b/>
        </w:rPr>
        <w:t xml:space="preserve"> (List of Themes: Paragraph 5(b))</w:t>
      </w:r>
      <w:r w:rsidRPr="00544426">
        <w:t xml:space="preserve"> The death penalty </w:t>
      </w:r>
      <w:r w:rsidR="00CC5AC9" w:rsidRPr="00544426">
        <w:t xml:space="preserve">system </w:t>
      </w:r>
      <w:r w:rsidRPr="00544426">
        <w:t xml:space="preserve">in the United States has </w:t>
      </w:r>
      <w:r w:rsidR="00CC5AC9" w:rsidRPr="00544426">
        <w:t>wrongfully convicted and</w:t>
      </w:r>
      <w:r w:rsidR="00CC5AC9" w:rsidRPr="00D64712">
        <w:t xml:space="preserve"> sentenced innocent persons to death</w:t>
      </w:r>
      <w:r w:rsidRPr="00D64712">
        <w:t>. Since 1973, 14</w:t>
      </w:r>
      <w:r w:rsidR="00BE64AC">
        <w:t>4</w:t>
      </w:r>
      <w:r w:rsidRPr="00D64712">
        <w:t xml:space="preserve"> individuals have been exonerated from death ro</w:t>
      </w:r>
      <w:r w:rsidR="00CC5AC9" w:rsidRPr="00D64712">
        <w:t>w</w:t>
      </w:r>
      <w:r w:rsidR="009E0EEA">
        <w:t xml:space="preserve">, and a recent study suggests that </w:t>
      </w:r>
      <w:r w:rsidR="009E0EEA">
        <w:rPr>
          <w:rFonts w:eastAsia="Calibri"/>
        </w:rPr>
        <w:t>if all death-sentenced defendants in the United States remained under sentence of death indefinitely, at least 4.1% would be exonerated</w:t>
      </w:r>
      <w:r w:rsidR="00CC5AC9" w:rsidRPr="00D64712">
        <w:t xml:space="preserve">. </w:t>
      </w:r>
      <w:r w:rsidR="000C6A0A">
        <w:t>M</w:t>
      </w:r>
      <w:r w:rsidR="0052001B">
        <w:t>oreover, m</w:t>
      </w:r>
      <w:r w:rsidR="000C6A0A">
        <w:t xml:space="preserve">inorities tend </w:t>
      </w:r>
      <w:r w:rsidR="000C6A0A">
        <w:rPr>
          <w:rFonts w:eastAsia="Calibri"/>
        </w:rPr>
        <w:t xml:space="preserve">to be over-represented among </w:t>
      </w:r>
      <w:proofErr w:type="spellStart"/>
      <w:r w:rsidR="000C6A0A">
        <w:rPr>
          <w:rFonts w:eastAsia="Calibri"/>
        </w:rPr>
        <w:t>exonerees</w:t>
      </w:r>
      <w:proofErr w:type="spellEnd"/>
      <w:r w:rsidR="000C6A0A">
        <w:rPr>
          <w:rFonts w:eastAsia="Calibri"/>
        </w:rPr>
        <w:t xml:space="preserve">, particularly in sexual assault, </w:t>
      </w:r>
      <w:r w:rsidR="000C6A0A" w:rsidRPr="00C47C4D">
        <w:rPr>
          <w:rFonts w:eastAsia="Calibri"/>
        </w:rPr>
        <w:t>robbery</w:t>
      </w:r>
      <w:r w:rsidR="00DD6C09">
        <w:rPr>
          <w:rFonts w:eastAsia="Calibri"/>
        </w:rPr>
        <w:t>,</w:t>
      </w:r>
      <w:r w:rsidR="000C6A0A" w:rsidRPr="00C47C4D">
        <w:rPr>
          <w:rFonts w:eastAsia="Calibri"/>
        </w:rPr>
        <w:t xml:space="preserve"> and drug cases.</w:t>
      </w:r>
      <w:r w:rsidR="0052001B" w:rsidRPr="00C47C4D">
        <w:rPr>
          <w:rFonts w:eastAsia="Calibri"/>
        </w:rPr>
        <w:t xml:space="preserve"> </w:t>
      </w:r>
      <w:r w:rsidR="00CC5AC9" w:rsidRPr="00C47C4D">
        <w:t>Also of great concern are the at least 10</w:t>
      </w:r>
      <w:r w:rsidRPr="00C47C4D">
        <w:t xml:space="preserve"> individuals </w:t>
      </w:r>
      <w:r w:rsidR="00211858" w:rsidRPr="00C47C4D">
        <w:t xml:space="preserve">who </w:t>
      </w:r>
      <w:r w:rsidR="000F099F" w:rsidRPr="00C47C4D">
        <w:t>have been</w:t>
      </w:r>
      <w:r w:rsidR="00211858" w:rsidRPr="00C47C4D">
        <w:t xml:space="preserve"> executed despite </w:t>
      </w:r>
      <w:r w:rsidR="000F099F" w:rsidRPr="00C47C4D">
        <w:t xml:space="preserve">strong </w:t>
      </w:r>
      <w:r w:rsidR="00211858" w:rsidRPr="00C47C4D">
        <w:t xml:space="preserve">evidence </w:t>
      </w:r>
      <w:r w:rsidR="00CC5AC9" w:rsidRPr="00C47C4D">
        <w:t>of</w:t>
      </w:r>
      <w:r w:rsidR="00211858" w:rsidRPr="00C47C4D">
        <w:t xml:space="preserve"> their innocence. </w:t>
      </w:r>
    </w:p>
    <w:p w14:paraId="37D59EB2" w14:textId="7E16EE10" w:rsidR="00CD01F2" w:rsidRPr="00C47C4D" w:rsidRDefault="00D666DC" w:rsidP="00CA3437">
      <w:pPr>
        <w:pStyle w:val="BodyTextFirst5"/>
        <w:ind w:left="720" w:firstLine="0"/>
      </w:pPr>
      <w:r w:rsidRPr="00C47C4D">
        <w:t>When</w:t>
      </w:r>
      <w:r w:rsidR="002D1459" w:rsidRPr="00C47C4D">
        <w:t xml:space="preserve"> </w:t>
      </w:r>
      <w:proofErr w:type="spellStart"/>
      <w:r w:rsidR="002D1459" w:rsidRPr="00C47C4D">
        <w:t>exonerees</w:t>
      </w:r>
      <w:proofErr w:type="spellEnd"/>
      <w:r w:rsidR="002D1459" w:rsidRPr="00C47C4D">
        <w:t xml:space="preserve"> are released, they face numerous challenges in reintegrating into society. They may face social, economic, and legal hurdles. In addition, the right to compensation for wrongful imprisonment varies </w:t>
      </w:r>
      <w:r w:rsidR="00CC5AC9" w:rsidRPr="00C47C4D">
        <w:t xml:space="preserve">widely </w:t>
      </w:r>
      <w:r w:rsidR="002D1459" w:rsidRPr="00C47C4D">
        <w:t xml:space="preserve">from state-to-state. Sixteen </w:t>
      </w:r>
      <w:proofErr w:type="spellStart"/>
      <w:r w:rsidR="002D1459" w:rsidRPr="00C47C4D">
        <w:t>retentionist</w:t>
      </w:r>
      <w:proofErr w:type="spellEnd"/>
      <w:r w:rsidR="002D1459" w:rsidRPr="00C47C4D">
        <w:t xml:space="preserve"> U.S. states do not have compensation laws for the wrongfully</w:t>
      </w:r>
      <w:r w:rsidR="00022765" w:rsidRPr="00C47C4D">
        <w:t xml:space="preserve"> convicted to seek reparation. In s</w:t>
      </w:r>
      <w:r w:rsidR="002D1459" w:rsidRPr="00C47C4D">
        <w:t>tates that do have compensation laws</w:t>
      </w:r>
      <w:r w:rsidR="00022765" w:rsidRPr="00C47C4D">
        <w:t xml:space="preserve">, </w:t>
      </w:r>
      <w:proofErr w:type="spellStart"/>
      <w:r w:rsidR="00022765" w:rsidRPr="00C47C4D">
        <w:t>exonerees</w:t>
      </w:r>
      <w:proofErr w:type="spellEnd"/>
      <w:r w:rsidR="00022765" w:rsidRPr="00C47C4D">
        <w:t xml:space="preserve"> must often overcome</w:t>
      </w:r>
      <w:r w:rsidR="00CC5AC9" w:rsidRPr="00C47C4D">
        <w:t xml:space="preserve"> onerous</w:t>
      </w:r>
      <w:r w:rsidR="002D1459" w:rsidRPr="00C47C4D">
        <w:t xml:space="preserve"> procedural </w:t>
      </w:r>
      <w:r w:rsidR="00022765" w:rsidRPr="00C47C4D">
        <w:t xml:space="preserve">and eligibility </w:t>
      </w:r>
      <w:r w:rsidR="002D1459" w:rsidRPr="00C47C4D">
        <w:t>barriers</w:t>
      </w:r>
      <w:r w:rsidR="00022765" w:rsidRPr="00C47C4D">
        <w:t>. If they succeed, the</w:t>
      </w:r>
      <w:r w:rsidR="002D1459" w:rsidRPr="00C47C4D">
        <w:t xml:space="preserve"> </w:t>
      </w:r>
      <w:r w:rsidR="00022765" w:rsidRPr="00C47C4D">
        <w:t xml:space="preserve">compensation they may receive </w:t>
      </w:r>
      <w:r w:rsidR="00CC5AC9" w:rsidRPr="00C47C4D">
        <w:t>can be</w:t>
      </w:r>
      <w:r w:rsidR="00022765" w:rsidRPr="00C47C4D">
        <w:t xml:space="preserve"> meager and </w:t>
      </w:r>
      <w:r w:rsidR="00CC5AC9" w:rsidRPr="00C47C4D">
        <w:t xml:space="preserve">very often </w:t>
      </w:r>
      <w:r w:rsidR="00022765" w:rsidRPr="00C47C4D">
        <w:t>fall</w:t>
      </w:r>
      <w:r w:rsidRPr="00C47C4D">
        <w:t>s</w:t>
      </w:r>
      <w:r w:rsidR="00022765" w:rsidRPr="00C47C4D">
        <w:t xml:space="preserve"> short of the corollary federal standards for such compensation.</w:t>
      </w:r>
      <w:r w:rsidR="00CC5AC9" w:rsidRPr="00C47C4D">
        <w:t xml:space="preserve"> See Recommendations and Questions on page </w:t>
      </w:r>
      <w:r w:rsidR="007D57AE">
        <w:fldChar w:fldCharType="begin"/>
      </w:r>
      <w:r w:rsidR="007D57AE">
        <w:instrText xml:space="preserve"> PAGEREF _Ref393964373 \h </w:instrText>
      </w:r>
      <w:r w:rsidR="007D57AE">
        <w:fldChar w:fldCharType="separate"/>
      </w:r>
      <w:r w:rsidR="0099179D">
        <w:rPr>
          <w:noProof/>
        </w:rPr>
        <w:t>16</w:t>
      </w:r>
      <w:r w:rsidR="007D57AE">
        <w:fldChar w:fldCharType="end"/>
      </w:r>
      <w:r w:rsidR="00B657C1" w:rsidRPr="00C47C4D">
        <w:t>.</w:t>
      </w:r>
      <w:r w:rsidR="00D64712" w:rsidRPr="00C47C4D">
        <w:t xml:space="preserve"> </w:t>
      </w:r>
    </w:p>
    <w:p w14:paraId="1935E52A" w14:textId="6E320AAD" w:rsidR="00D64712" w:rsidRPr="00C47C4D" w:rsidRDefault="00D64712" w:rsidP="00AE219D">
      <w:pPr>
        <w:pStyle w:val="BodyTextFirst5"/>
        <w:numPr>
          <w:ilvl w:val="1"/>
          <w:numId w:val="18"/>
        </w:numPr>
        <w:ind w:left="720"/>
      </w:pPr>
      <w:r w:rsidRPr="00C47C4D">
        <w:rPr>
          <w:b/>
        </w:rPr>
        <w:t>Consular Notification.</w:t>
      </w:r>
      <w:r w:rsidR="009A461C">
        <w:rPr>
          <w:b/>
        </w:rPr>
        <w:t xml:space="preserve"> (List of Themes: Paragraph 4)</w:t>
      </w:r>
      <w:r w:rsidRPr="00C47C4D">
        <w:rPr>
          <w:b/>
        </w:rPr>
        <w:t xml:space="preserve"> </w:t>
      </w:r>
      <w:r w:rsidRPr="00C47C4D">
        <w:t>The United States is a party to the Vienna Convention on Consular Relations (VCCR), and Article 36 requires States Parties arresting or detaining foreign nation</w:t>
      </w:r>
      <w:r w:rsidR="00C066AE" w:rsidRPr="00C47C4D">
        <w:t>al</w:t>
      </w:r>
      <w:r w:rsidRPr="00C47C4D">
        <w:t xml:space="preserve">s to notify them of their right to communicate with consular officials. </w:t>
      </w:r>
      <w:r w:rsidR="00DD6C09" w:rsidRPr="00C47C4D">
        <w:t>The United States’ failure to meet its obligations to provide timely consular notification when arresting or detaining foreign nationals, as well as its failure to review and reconsider those cases in which timely consular notification was not given, constitutes a form of national origin discrimination in violation of Articles 5(a) and 6 of ICERD.</w:t>
      </w:r>
      <w:r w:rsidR="008555F4">
        <w:t xml:space="preserve"> </w:t>
      </w:r>
      <w:r w:rsidRPr="00C47C4D">
        <w:t xml:space="preserve">The United States has failed many times to comply with its consular notification duties in capital cases, and the International Court of Justice (ICJ) ordered the United States to provide review and reconsideration of the cases of 51 Mexican nationals who had been sentenced to death. To date, the United States has failed to pass implementing legislation to give effect to the ICJ’s decision, and in the meantime, Texas has since executed </w:t>
      </w:r>
      <w:r w:rsidR="00745E77" w:rsidRPr="00C47C4D">
        <w:t>four</w:t>
      </w:r>
      <w:r w:rsidRPr="00C47C4D">
        <w:t xml:space="preserve"> Mexican nationals who were covered by that ICJ decision. </w:t>
      </w:r>
      <w:r w:rsidR="008513FA" w:rsidRPr="00C47C4D">
        <w:rPr>
          <w:szCs w:val="24"/>
        </w:rPr>
        <w:t>In addition, only a handful of</w:t>
      </w:r>
      <w:r w:rsidRPr="00C47C4D">
        <w:rPr>
          <w:szCs w:val="24"/>
        </w:rPr>
        <w:t xml:space="preserve"> U.S. courts have recognized the availability of judicial remedies for consular notification violations, but even in these jurisdictions, procedural default rules can still bar remedies for foreign nationals who failed to raise the VCCR claim at the right time or in the right way</w:t>
      </w:r>
      <w:r w:rsidRPr="00C47C4D">
        <w:t xml:space="preserve">. See Recommendations and Questions on </w:t>
      </w:r>
      <w:r w:rsidR="00544426" w:rsidRPr="00C47C4D">
        <w:t>page</w:t>
      </w:r>
      <w:r w:rsidR="007D57AE">
        <w:t xml:space="preserve"> </w:t>
      </w:r>
      <w:r w:rsidR="007D57AE">
        <w:fldChar w:fldCharType="begin"/>
      </w:r>
      <w:r w:rsidR="007D57AE">
        <w:instrText xml:space="preserve"> PAGEREF _Ref393964411 \h </w:instrText>
      </w:r>
      <w:r w:rsidR="007D57AE">
        <w:fldChar w:fldCharType="separate"/>
      </w:r>
      <w:r w:rsidR="0099179D">
        <w:rPr>
          <w:noProof/>
        </w:rPr>
        <w:t>23</w:t>
      </w:r>
      <w:r w:rsidR="007D57AE">
        <w:fldChar w:fldCharType="end"/>
      </w:r>
      <w:r w:rsidRPr="00C47C4D">
        <w:t>.</w:t>
      </w:r>
    </w:p>
    <w:p w14:paraId="43A52F36" w14:textId="14CC0C83" w:rsidR="00456CD1" w:rsidRDefault="008A21F6" w:rsidP="00AE219D">
      <w:pPr>
        <w:pStyle w:val="BodyTextFirst5"/>
        <w:numPr>
          <w:ilvl w:val="1"/>
          <w:numId w:val="18"/>
        </w:numPr>
        <w:ind w:left="720"/>
      </w:pPr>
      <w:r w:rsidRPr="00C47C4D">
        <w:rPr>
          <w:b/>
        </w:rPr>
        <w:t>Lethal Injection.</w:t>
      </w:r>
      <w:r w:rsidR="00A0581D" w:rsidRPr="00C47C4D">
        <w:t xml:space="preserve"> </w:t>
      </w:r>
      <w:r w:rsidR="009A461C">
        <w:t>(</w:t>
      </w:r>
      <w:r w:rsidR="009A461C">
        <w:rPr>
          <w:b/>
        </w:rPr>
        <w:t>List of Themes: Paragraph 2(a)</w:t>
      </w:r>
      <w:r w:rsidR="009A461C">
        <w:t xml:space="preserve">) </w:t>
      </w:r>
      <w:r w:rsidR="00C47C4D">
        <w:t>All</w:t>
      </w:r>
      <w:r w:rsidR="00A0581D" w:rsidRPr="00C47C4D">
        <w:t xml:space="preserve"> of the 32 </w:t>
      </w:r>
      <w:proofErr w:type="spellStart"/>
      <w:r w:rsidR="00A0581D" w:rsidRPr="00C47C4D">
        <w:t>retentionist</w:t>
      </w:r>
      <w:proofErr w:type="spellEnd"/>
      <w:r w:rsidR="00A0581D" w:rsidRPr="00C47C4D">
        <w:t xml:space="preserve"> U.S. states and the U.S. federal government use lethal injection as the primary means of executing prisoners. The </w:t>
      </w:r>
      <w:r w:rsidR="00ED66AC" w:rsidRPr="00C47C4D">
        <w:t xml:space="preserve">traditional </w:t>
      </w:r>
      <w:r w:rsidR="00A0581D" w:rsidRPr="00C47C4D">
        <w:t>three-drug lethal injection procedure</w:t>
      </w:r>
      <w:r w:rsidR="00ED66AC" w:rsidRPr="00C47C4D">
        <w:t xml:space="preserve"> </w:t>
      </w:r>
      <w:r w:rsidR="00A0581D" w:rsidRPr="00C47C4D">
        <w:t>has come under constitutional challenge in a number of states for causing cruel and unusual punishment in violation of the Eighth Amendment of the U.S. Constitution</w:t>
      </w:r>
      <w:r w:rsidR="00ED66AC" w:rsidRPr="00C47C4D">
        <w:t>. The U.S. Supreme</w:t>
      </w:r>
      <w:r w:rsidR="00CC5AC9" w:rsidRPr="00C47C4D">
        <w:t xml:space="preserve"> Court</w:t>
      </w:r>
      <w:r w:rsidR="00ED66AC" w:rsidRPr="00C47C4D">
        <w:t xml:space="preserve"> </w:t>
      </w:r>
      <w:r w:rsidR="000C0B91" w:rsidRPr="00C47C4D">
        <w:t xml:space="preserve">has held </w:t>
      </w:r>
      <w:r w:rsidR="00ED66AC" w:rsidRPr="00C47C4D">
        <w:t>that the lethal injection method used by the state of Kentucky d</w:t>
      </w:r>
      <w:r w:rsidR="000C0B91" w:rsidRPr="00C47C4D">
        <w:t>oes</w:t>
      </w:r>
      <w:r w:rsidR="00ED66AC" w:rsidRPr="00C47C4D">
        <w:t xml:space="preserve"> not qualify as cruel and unusual punishment. Since then, </w:t>
      </w:r>
      <w:r w:rsidR="000F099F" w:rsidRPr="00C47C4D">
        <w:t xml:space="preserve">however, </w:t>
      </w:r>
      <w:r w:rsidR="00ED66AC" w:rsidRPr="00C47C4D">
        <w:t>a number of regulations by foreign governments and the E</w:t>
      </w:r>
      <w:r w:rsidR="000C0B91" w:rsidRPr="00C47C4D">
        <w:t xml:space="preserve">uropean </w:t>
      </w:r>
      <w:r w:rsidR="00ED66AC" w:rsidRPr="00C47C4D">
        <w:t>U</w:t>
      </w:r>
      <w:r w:rsidR="000C0B91" w:rsidRPr="00C47C4D">
        <w:t>nion</w:t>
      </w:r>
      <w:r w:rsidR="00ED66AC" w:rsidRPr="00C47C4D">
        <w:t xml:space="preserve"> have </w:t>
      </w:r>
      <w:r w:rsidR="00CC5AC9" w:rsidRPr="00C47C4D">
        <w:t>restricted</w:t>
      </w:r>
      <w:r w:rsidR="00ED66AC" w:rsidRPr="00C47C4D">
        <w:t xml:space="preserve"> the supply of drugs used in the three-drug </w:t>
      </w:r>
      <w:r w:rsidR="000C0B91" w:rsidRPr="00C47C4D">
        <w:t>procedure</w:t>
      </w:r>
      <w:r w:rsidR="00ED66AC" w:rsidRPr="00C47C4D">
        <w:t>. As these drugs have become increasingly harder to obtain, U.S. states have turned to other drugs that can be used singly to administer a lethal dose. In turn, pharmaceutical companies have refused to supply these drugs for execution purposes in the United States. As these drugs become increasingly difficult to obtain, states have turned to questionable sources</w:t>
      </w:r>
      <w:r w:rsidR="000C0B91" w:rsidRPr="00C47C4D">
        <w:t>—</w:t>
      </w:r>
      <w:r w:rsidR="00ED66AC" w:rsidRPr="00C47C4D">
        <w:t xml:space="preserve">including compounding pharmacies </w:t>
      </w:r>
      <w:r w:rsidR="000C0B91" w:rsidRPr="00C47C4D">
        <w:t xml:space="preserve">selling </w:t>
      </w:r>
      <w:r w:rsidR="00ED66AC" w:rsidRPr="00C47C4D">
        <w:t xml:space="preserve">drugs </w:t>
      </w:r>
      <w:r w:rsidR="000C0B91" w:rsidRPr="00C47C4D">
        <w:t xml:space="preserve">that </w:t>
      </w:r>
      <w:r w:rsidR="00ED66AC" w:rsidRPr="00C47C4D">
        <w:t xml:space="preserve">are not FDA-approved—to obtain the drugs required to administer executions. In addition, several U.S. states have passed secrecy laws to </w:t>
      </w:r>
      <w:r w:rsidR="000C0B91" w:rsidRPr="00C47C4D">
        <w:t xml:space="preserve">conceal </w:t>
      </w:r>
      <w:r w:rsidR="00ED66AC" w:rsidRPr="00C47C4D">
        <w:t xml:space="preserve">the identities of these drug suppliers, thus allowing states to withhold critical information </w:t>
      </w:r>
      <w:r w:rsidR="000C0B91" w:rsidRPr="00C47C4D">
        <w:t xml:space="preserve">to detainees seeking assurances </w:t>
      </w:r>
      <w:r w:rsidR="00ED66AC" w:rsidRPr="00C47C4D">
        <w:t>about the drugs’ quality and effectiveness</w:t>
      </w:r>
      <w:r w:rsidR="00DA12BD">
        <w:t xml:space="preserve"> and making it impossible for them to bring a legal challenge to the method of execution</w:t>
      </w:r>
      <w:r w:rsidR="00ED66AC" w:rsidRPr="00C47C4D">
        <w:t>. Obtaining execution drugs that are outside of federal regulation increase</w:t>
      </w:r>
      <w:r w:rsidR="00CC5AC9" w:rsidRPr="00C47C4D">
        <w:t>s</w:t>
      </w:r>
      <w:r w:rsidR="00ED66AC" w:rsidRPr="00C47C4D">
        <w:t xml:space="preserve"> the risk of tampering and reduced drug efficacy, which</w:t>
      </w:r>
      <w:r w:rsidR="00CC5AC9" w:rsidRPr="00C47C4D">
        <w:t xml:space="preserve"> in turn</w:t>
      </w:r>
      <w:r w:rsidR="00ED66AC" w:rsidRPr="00C47C4D">
        <w:t xml:space="preserve"> heighten</w:t>
      </w:r>
      <w:r w:rsidR="00CF28D3" w:rsidRPr="00C47C4D">
        <w:t>s</w:t>
      </w:r>
      <w:r w:rsidR="00ED66AC" w:rsidRPr="00C47C4D">
        <w:t xml:space="preserve"> the risk of cruel or inhuman treatment or punishment during an execution.</w:t>
      </w:r>
      <w:r w:rsidR="008555F4">
        <w:t xml:space="preserve"> </w:t>
      </w:r>
      <w:r w:rsidR="005B33F2" w:rsidRPr="00C47C4D">
        <w:t xml:space="preserve">The prevailing racial discrimination in the application of the death penalty </w:t>
      </w:r>
      <w:r w:rsidR="009B5894" w:rsidRPr="00C47C4D">
        <w:t>in the United Stat</w:t>
      </w:r>
      <w:r w:rsidR="00FE7C12" w:rsidRPr="00C47C4D">
        <w:t xml:space="preserve">es </w:t>
      </w:r>
      <w:r w:rsidR="00FE7C12" w:rsidRPr="0090720F">
        <w:t>means these</w:t>
      </w:r>
      <w:r w:rsidR="00DA12BD" w:rsidRPr="0090720F">
        <w:t xml:space="preserve"> due process violations and</w:t>
      </w:r>
      <w:r w:rsidR="00DA12BD">
        <w:t xml:space="preserve"> </w:t>
      </w:r>
      <w:r w:rsidR="0090720F">
        <w:t>concomitant</w:t>
      </w:r>
      <w:r w:rsidR="00FE7C12" w:rsidRPr="00C47C4D">
        <w:t xml:space="preserve"> cruel and unusual forms of punishment fall disproportionately on racial minorities.</w:t>
      </w:r>
      <w:r w:rsidR="008555F4">
        <w:t xml:space="preserve"> </w:t>
      </w:r>
      <w:r w:rsidR="00CC5AC9" w:rsidRPr="00C47C4D">
        <w:t>See Recomm</w:t>
      </w:r>
      <w:r w:rsidR="00B657C1" w:rsidRPr="00C47C4D">
        <w:t>endations and Questions on pag</w:t>
      </w:r>
      <w:r w:rsidR="007D57AE">
        <w:t xml:space="preserve">e </w:t>
      </w:r>
      <w:r w:rsidR="007D57AE">
        <w:fldChar w:fldCharType="begin"/>
      </w:r>
      <w:r w:rsidR="007D57AE">
        <w:instrText xml:space="preserve"> PAGEREF _Ref393964443 \h </w:instrText>
      </w:r>
      <w:r w:rsidR="007D57AE">
        <w:fldChar w:fldCharType="separate"/>
      </w:r>
      <w:r w:rsidR="0099179D">
        <w:rPr>
          <w:noProof/>
        </w:rPr>
        <w:t>31</w:t>
      </w:r>
      <w:r w:rsidR="007D57AE">
        <w:fldChar w:fldCharType="end"/>
      </w:r>
      <w:r w:rsidR="00B657C1" w:rsidRPr="00C47C4D">
        <w:t>.</w:t>
      </w:r>
    </w:p>
    <w:p w14:paraId="3BE70912" w14:textId="522DEA29" w:rsidR="006746C2" w:rsidRPr="00C47C4D" w:rsidRDefault="006746C2" w:rsidP="00AE219D">
      <w:pPr>
        <w:pStyle w:val="BodyTextFirst5"/>
        <w:numPr>
          <w:ilvl w:val="1"/>
          <w:numId w:val="18"/>
        </w:numPr>
        <w:ind w:left="720"/>
      </w:pPr>
      <w:r>
        <w:rPr>
          <w:b/>
          <w:bCs/>
        </w:rPr>
        <w:t>Puerto Rico.</w:t>
      </w:r>
      <w:r w:rsidR="009A461C">
        <w:rPr>
          <w:b/>
          <w:bCs/>
        </w:rPr>
        <w:t xml:space="preserve"> (</w:t>
      </w:r>
      <w:r w:rsidR="009A461C">
        <w:rPr>
          <w:b/>
        </w:rPr>
        <w:t>List of Themes: Paragraph 2(a))</w:t>
      </w:r>
      <w:r>
        <w:rPr>
          <w:b/>
          <w:bCs/>
        </w:rPr>
        <w:t xml:space="preserve"> </w:t>
      </w:r>
      <w:r>
        <w:t>Puerto Rico has been an abolitionist territory for 85 years, with both constitutional prohibition and historical opposition to capital punishment. However, federal prosecutors aggressively seek the death penalty in Puerto Rico at a higher rate than in other states. The certification of death penalty cases in Puerto Rico is significantly higher if the perpetrator is from an ethnic minority: for instance, all defendants in the 25 death penalty prosecutions in Puerto Rico were from ethnic minorities. The compositio</w:t>
      </w:r>
      <w:r w:rsidR="008555F4">
        <w:t>n of juries in the territory is</w:t>
      </w:r>
      <w:r>
        <w:t xml:space="preserve"> unfairly skewed, because only those who can speak a significant amount of English may sit on </w:t>
      </w:r>
      <w:r w:rsidR="008555F4">
        <w:t xml:space="preserve">a </w:t>
      </w:r>
      <w:r>
        <w:t>jury, and those that are unwilling to impose the death penalty are almost certainly stricken despite widespread rejection of capital punishment</w:t>
      </w:r>
      <w:r w:rsidR="008555F4">
        <w:t xml:space="preserve"> among Puerto Ricans</w:t>
      </w:r>
      <w:r>
        <w:t>. Also, Puerto Ricans are overrepresented nationwide on states’ death row.</w:t>
      </w:r>
      <w:r w:rsidR="007D57AE">
        <w:t xml:space="preserve"> See Recommendations on page </w:t>
      </w:r>
      <w:r w:rsidR="007D57AE">
        <w:fldChar w:fldCharType="begin"/>
      </w:r>
      <w:r w:rsidR="007D57AE">
        <w:instrText xml:space="preserve"> PAGEREF _Ref393964472 \h </w:instrText>
      </w:r>
      <w:r w:rsidR="007D57AE">
        <w:fldChar w:fldCharType="separate"/>
      </w:r>
      <w:r w:rsidR="0099179D">
        <w:rPr>
          <w:noProof/>
        </w:rPr>
        <w:t>37</w:t>
      </w:r>
      <w:r w:rsidR="007D57AE">
        <w:fldChar w:fldCharType="end"/>
      </w:r>
      <w:r w:rsidR="007D57AE">
        <w:t>.</w:t>
      </w:r>
      <w:r>
        <w:t> </w:t>
      </w:r>
    </w:p>
    <w:p w14:paraId="3310F1E0" w14:textId="77777777" w:rsidR="00B02744" w:rsidRPr="00C47C4D" w:rsidRDefault="002D1592" w:rsidP="003B6169">
      <w:pPr>
        <w:pStyle w:val="TitleUnderline"/>
        <w:spacing w:after="120"/>
      </w:pPr>
      <w:r w:rsidRPr="00C47C4D">
        <w:t>BAckground</w:t>
      </w:r>
    </w:p>
    <w:p w14:paraId="2C1BEE40" w14:textId="77777777" w:rsidR="002D1592" w:rsidRPr="00C47C4D" w:rsidRDefault="002D1592" w:rsidP="00813E61">
      <w:pPr>
        <w:rPr>
          <w:b/>
        </w:rPr>
      </w:pPr>
      <w:r w:rsidRPr="00C47C4D">
        <w:rPr>
          <w:b/>
        </w:rPr>
        <w:t>The</w:t>
      </w:r>
      <w:r w:rsidR="001A4EC3" w:rsidRPr="00C47C4D">
        <w:rPr>
          <w:b/>
        </w:rPr>
        <w:t xml:space="preserve"> Convention on the Elimination of Racial Discrimination</w:t>
      </w:r>
    </w:p>
    <w:p w14:paraId="468FD8DA" w14:textId="77777777" w:rsidR="002D1592" w:rsidRPr="00C47C4D" w:rsidRDefault="002D1592"/>
    <w:p w14:paraId="177F079A" w14:textId="6984E634" w:rsidR="006357D2" w:rsidRPr="006357D2" w:rsidRDefault="002D1592" w:rsidP="00AE219D">
      <w:pPr>
        <w:pStyle w:val="BodyTextFirst5"/>
        <w:numPr>
          <w:ilvl w:val="0"/>
          <w:numId w:val="18"/>
        </w:numPr>
      </w:pPr>
      <w:r w:rsidRPr="00C47C4D">
        <w:t>The International Co</w:t>
      </w:r>
      <w:r w:rsidR="00FE7C12" w:rsidRPr="00C47C4D">
        <w:t>n</w:t>
      </w:r>
      <w:r w:rsidRPr="00C47C4D">
        <w:t>ve</w:t>
      </w:r>
      <w:r w:rsidR="00FE7C12" w:rsidRPr="00C47C4D">
        <w:t xml:space="preserve">ntion on the Elimination of All Forms of Racial Discrimination </w:t>
      </w:r>
      <w:r w:rsidRPr="00C47C4D">
        <w:t>(</w:t>
      </w:r>
      <w:r w:rsidR="00CF28D3" w:rsidRPr="00C47C4D">
        <w:t>ICERD</w:t>
      </w:r>
      <w:r w:rsidR="00DD6C09">
        <w:t>)</w:t>
      </w:r>
      <w:r w:rsidRPr="00C47C4D">
        <w:t xml:space="preserve"> </w:t>
      </w:r>
      <w:r w:rsidR="00FE7C12" w:rsidRPr="00C47C4D">
        <w:t>was adopted on December 21, 1965</w:t>
      </w:r>
      <w:r w:rsidRPr="00C47C4D">
        <w:t xml:space="preserve"> by the United Nations General Assembly</w:t>
      </w:r>
      <w:r w:rsidR="003B6096" w:rsidRPr="00C47C4D">
        <w:t>.</w:t>
      </w:r>
      <w:r w:rsidR="00E154AB" w:rsidRPr="00C47C4D">
        <w:rPr>
          <w:szCs w:val="24"/>
        </w:rPr>
        <w:t xml:space="preserve"> </w:t>
      </w:r>
      <w:r w:rsidR="00CF28D3" w:rsidRPr="00C47C4D">
        <w:rPr>
          <w:rStyle w:val="apple-style-span"/>
          <w:szCs w:val="24"/>
        </w:rPr>
        <w:t>ICERD</w:t>
      </w:r>
      <w:r w:rsidR="00D862ED" w:rsidRPr="00C47C4D">
        <w:rPr>
          <w:rStyle w:val="apple-style-span"/>
          <w:szCs w:val="24"/>
        </w:rPr>
        <w:t xml:space="preserve"> recognizes the human right to be free from any distinction, exclusion, restriction</w:t>
      </w:r>
      <w:r w:rsidR="00DD6C09">
        <w:rPr>
          <w:rStyle w:val="apple-style-span"/>
          <w:szCs w:val="24"/>
        </w:rPr>
        <w:t>,</w:t>
      </w:r>
      <w:r w:rsidR="00D862ED" w:rsidRPr="00C47C4D">
        <w:rPr>
          <w:rStyle w:val="apple-style-span"/>
          <w:szCs w:val="24"/>
        </w:rPr>
        <w:t xml:space="preserve"> or preference based on race, </w:t>
      </w:r>
      <w:proofErr w:type="spellStart"/>
      <w:r w:rsidR="00D862ED" w:rsidRPr="00C47C4D">
        <w:rPr>
          <w:rStyle w:val="apple-style-span"/>
          <w:szCs w:val="24"/>
        </w:rPr>
        <w:t>colour</w:t>
      </w:r>
      <w:proofErr w:type="spellEnd"/>
      <w:r w:rsidR="00D862ED" w:rsidRPr="00C47C4D">
        <w:rPr>
          <w:rStyle w:val="apple-style-span"/>
          <w:szCs w:val="24"/>
        </w:rPr>
        <w:t xml:space="preserve">, descent, or national or ethnic origin </w:t>
      </w:r>
      <w:r w:rsidR="00D862ED" w:rsidRPr="00C47C4D">
        <w:rPr>
          <w:color w:val="000000"/>
          <w:szCs w:val="24"/>
        </w:rPr>
        <w:t>which has the purpose or effect of nullifying or impairing the recognition, enjoyment</w:t>
      </w:r>
      <w:r w:rsidR="00DD6C09">
        <w:rPr>
          <w:color w:val="000000"/>
          <w:szCs w:val="24"/>
        </w:rPr>
        <w:t>,</w:t>
      </w:r>
      <w:r w:rsidR="00D862ED" w:rsidRPr="00C47C4D">
        <w:rPr>
          <w:color w:val="000000"/>
          <w:szCs w:val="24"/>
        </w:rPr>
        <w:t xml:space="preserve"> or exercise, on an equal footing, of human rights and fundamental freedoms in the political, economic, social, cultural</w:t>
      </w:r>
      <w:r w:rsidR="00DD6C09">
        <w:rPr>
          <w:color w:val="000000"/>
          <w:szCs w:val="24"/>
        </w:rPr>
        <w:t>,</w:t>
      </w:r>
      <w:r w:rsidR="00D862ED" w:rsidRPr="00C47C4D">
        <w:rPr>
          <w:color w:val="000000"/>
          <w:szCs w:val="24"/>
        </w:rPr>
        <w:t xml:space="preserve"> or any other field of public life</w:t>
      </w:r>
      <w:r w:rsidR="00D862ED" w:rsidRPr="00C47C4D">
        <w:rPr>
          <w:rStyle w:val="apple-style-span"/>
          <w:szCs w:val="24"/>
        </w:rPr>
        <w:t>.</w:t>
      </w:r>
      <w:r w:rsidR="008555F4">
        <w:t xml:space="preserve"> </w:t>
      </w:r>
      <w:r w:rsidR="00B50E5A" w:rsidRPr="00C47C4D">
        <w:t>The United States is one of 177</w:t>
      </w:r>
      <w:r w:rsidRPr="00C47C4D">
        <w:t xml:space="preserve"> parties to </w:t>
      </w:r>
      <w:r w:rsidR="00CF28D3" w:rsidRPr="00C47C4D">
        <w:t>ICERD</w:t>
      </w:r>
      <w:r w:rsidR="003B6096" w:rsidRPr="00C47C4D">
        <w:t>.</w:t>
      </w:r>
      <w:r w:rsidR="00E154AB" w:rsidRPr="00C47C4D">
        <w:t xml:space="preserve"> </w:t>
      </w:r>
    </w:p>
    <w:p w14:paraId="7F5361B4" w14:textId="77777777" w:rsidR="00C2680E" w:rsidRPr="0049345F" w:rsidRDefault="00B50E5A" w:rsidP="00AE219D">
      <w:pPr>
        <w:pStyle w:val="BodyTextFirst5"/>
        <w:numPr>
          <w:ilvl w:val="0"/>
          <w:numId w:val="18"/>
        </w:numPr>
      </w:pPr>
      <w:r w:rsidRPr="006357D2">
        <w:t>Pursuant to Article 5,</w:t>
      </w:r>
      <w:r w:rsidR="009548B4" w:rsidRPr="006357D2">
        <w:t xml:space="preserve"> </w:t>
      </w:r>
      <w:r w:rsidRPr="006357D2">
        <w:rPr>
          <w:szCs w:val="24"/>
        </w:rPr>
        <w:t>“</w:t>
      </w:r>
      <w:r w:rsidRPr="006357D2">
        <w:rPr>
          <w:color w:val="000000"/>
          <w:szCs w:val="24"/>
        </w:rPr>
        <w:t xml:space="preserve">States Parties undertake to prohibit and to eliminate racial discrimination in all its forms and to guarantee the right of everyone, without distinction as to race, </w:t>
      </w:r>
      <w:proofErr w:type="spellStart"/>
      <w:r w:rsidRPr="006357D2">
        <w:rPr>
          <w:color w:val="000000"/>
          <w:szCs w:val="24"/>
        </w:rPr>
        <w:t>colour</w:t>
      </w:r>
      <w:proofErr w:type="spellEnd"/>
      <w:r w:rsidRPr="006357D2">
        <w:rPr>
          <w:color w:val="000000"/>
          <w:szCs w:val="24"/>
        </w:rPr>
        <w:t xml:space="preserve">, or national or ethnic origin, to equality before the law, notably in the enjoyment of </w:t>
      </w:r>
      <w:r w:rsidR="006357D2" w:rsidRPr="006357D2">
        <w:rPr>
          <w:color w:val="000000"/>
          <w:szCs w:val="24"/>
        </w:rPr>
        <w:t xml:space="preserve">… </w:t>
      </w:r>
      <w:r w:rsidRPr="006357D2">
        <w:rPr>
          <w:color w:val="000000"/>
          <w:szCs w:val="24"/>
        </w:rPr>
        <w:t>(a) The right to equal treatment before the tribunals and all other organs administering justice</w:t>
      </w:r>
      <w:r w:rsidR="0049345F">
        <w:rPr>
          <w:color w:val="000000"/>
          <w:szCs w:val="24"/>
        </w:rPr>
        <w:t>; (b) T</w:t>
      </w:r>
      <w:r w:rsidR="00C2680E">
        <w:t xml:space="preserve">he right to security of person and protection by the State against violence or bodily harm, whether inflicted by government officials or by any individual group or </w:t>
      </w:r>
      <w:r w:rsidR="00C2680E" w:rsidRPr="0049345F">
        <w:t>institution.”</w:t>
      </w:r>
    </w:p>
    <w:p w14:paraId="3CD83086" w14:textId="13A29C0C" w:rsidR="00B50E5A" w:rsidRPr="00C2680E" w:rsidRDefault="006357D2" w:rsidP="00AE219D">
      <w:pPr>
        <w:pStyle w:val="BodyTextFirst5"/>
        <w:numPr>
          <w:ilvl w:val="0"/>
          <w:numId w:val="18"/>
        </w:numPr>
      </w:pPr>
      <w:r w:rsidRPr="0049345F">
        <w:rPr>
          <w:color w:val="000000"/>
        </w:rPr>
        <w:t xml:space="preserve">Article 6 provides that </w:t>
      </w:r>
      <w:r w:rsidRPr="0049345F">
        <w:rPr>
          <w:color w:val="000000"/>
          <w:szCs w:val="24"/>
        </w:rPr>
        <w:t>“States Parties shall assure to everyone within their jurisdiction effective protection and remedies, through the competent national tribunals and other State institutions, against any acts of racial discrimination which violate his human rights and fundame</w:t>
      </w:r>
      <w:r w:rsidR="00CF28D3">
        <w:rPr>
          <w:color w:val="000000"/>
          <w:szCs w:val="24"/>
        </w:rPr>
        <w:t>ntal freedoms contrary to this c</w:t>
      </w:r>
      <w:r w:rsidRPr="0049345F">
        <w:rPr>
          <w:color w:val="000000"/>
          <w:szCs w:val="24"/>
        </w:rPr>
        <w:t>onvention, as well as the right to seek from such tribunals just and adequate reparation or satisfaction for any damage suffered as a result of such discrimination.”</w:t>
      </w:r>
      <w:r w:rsidR="008555F4">
        <w:rPr>
          <w:color w:val="000000"/>
          <w:szCs w:val="24"/>
        </w:rPr>
        <w:t xml:space="preserve"> </w:t>
      </w:r>
    </w:p>
    <w:p w14:paraId="4CCA6184" w14:textId="77777777" w:rsidR="002D1592" w:rsidRPr="006357D2" w:rsidRDefault="00FD28EE" w:rsidP="00AE219D">
      <w:pPr>
        <w:pStyle w:val="BodyTextFirst5"/>
        <w:numPr>
          <w:ilvl w:val="0"/>
          <w:numId w:val="18"/>
        </w:numPr>
      </w:pPr>
      <w:r>
        <w:t xml:space="preserve">CERD’s General Recommendation XXXI on the </w:t>
      </w:r>
      <w:r w:rsidR="00CF1790">
        <w:t>p</w:t>
      </w:r>
      <w:r>
        <w:t xml:space="preserve">revention of </w:t>
      </w:r>
      <w:r w:rsidR="00CF1790">
        <w:t>racial discrimination in the a</w:t>
      </w:r>
      <w:r>
        <w:t xml:space="preserve">dministration and </w:t>
      </w:r>
      <w:r w:rsidR="00CF1790">
        <w:t>f</w:t>
      </w:r>
      <w:r>
        <w:t xml:space="preserve">unctioning of the </w:t>
      </w:r>
      <w:r w:rsidR="00CF1790">
        <w:t>criminal j</w:t>
      </w:r>
      <w:r>
        <w:t xml:space="preserve">ustice </w:t>
      </w:r>
      <w:r w:rsidR="00CF1790">
        <w:t>s</w:t>
      </w:r>
      <w:r w:rsidR="00D20F66">
        <w:t>ystem (General Recommendation XXXI</w:t>
      </w:r>
      <w:r w:rsidR="00CF1790">
        <w:t>) identifies steps to be taken to gauge the existence and extent of racial discrimination in States’ cri</w:t>
      </w:r>
      <w:r w:rsidR="00B95674">
        <w:t>minal justice systems and strategies to prevent such discrimination.</w:t>
      </w:r>
    </w:p>
    <w:p w14:paraId="0B0BE0D2" w14:textId="77777777" w:rsidR="002D1592" w:rsidRPr="00B14E75" w:rsidRDefault="006D1019" w:rsidP="00813E61">
      <w:pPr>
        <w:rPr>
          <w:b/>
        </w:rPr>
      </w:pPr>
      <w:r w:rsidRPr="006357D2">
        <w:rPr>
          <w:b/>
        </w:rPr>
        <w:t>The Committee on the El</w:t>
      </w:r>
      <w:r w:rsidRPr="00B14E75">
        <w:rPr>
          <w:b/>
        </w:rPr>
        <w:t>imination of Racial Discrimination’s Review (2008)</w:t>
      </w:r>
    </w:p>
    <w:p w14:paraId="61BC7FED" w14:textId="77777777" w:rsidR="002D1592" w:rsidRPr="00B14E75" w:rsidRDefault="002D1592">
      <w:pPr>
        <w:rPr>
          <w:b/>
        </w:rPr>
      </w:pPr>
    </w:p>
    <w:p w14:paraId="17848450" w14:textId="7A937D40" w:rsidR="002D1592" w:rsidRPr="009C3AD0" w:rsidRDefault="00B95674" w:rsidP="00AE219D">
      <w:pPr>
        <w:pStyle w:val="BodyTextFirst5"/>
        <w:numPr>
          <w:ilvl w:val="0"/>
          <w:numId w:val="18"/>
        </w:numPr>
      </w:pPr>
      <w:r w:rsidRPr="00B14E75">
        <w:t>CERD</w:t>
      </w:r>
      <w:r w:rsidR="002D1592" w:rsidRPr="00B14E75">
        <w:t xml:space="preserve"> last reviewed the United States’ compliance with the I</w:t>
      </w:r>
      <w:r w:rsidR="00EE17FF" w:rsidRPr="00B14E75">
        <w:t>CERD in 2008</w:t>
      </w:r>
      <w:r w:rsidR="002D1592" w:rsidRPr="00B14E75">
        <w:t xml:space="preserve"> and </w:t>
      </w:r>
      <w:r w:rsidR="00EE17FF" w:rsidRPr="00B14E75">
        <w:t>indicated that it remained concerned about “the persistent and significant racial disparities with regard to the imposition of the death penalty, particularly those associated with the race of the victim.”</w:t>
      </w:r>
      <w:r w:rsidR="008555F4">
        <w:t xml:space="preserve"> </w:t>
      </w:r>
      <w:r w:rsidR="00EE17FF" w:rsidRPr="00B14E75">
        <w:t>CERD recommended that the United States “undertake further studies to identify the underlying factors of the substantial racial disparities in the imposition of the death pen</w:t>
      </w:r>
      <w:r w:rsidR="00EE17FF" w:rsidRPr="009C3AD0">
        <w:t>alty, with a view of elaborating effective strategies aimed at rooting out discriminatory practices.”</w:t>
      </w:r>
      <w:r w:rsidR="008555F4">
        <w:t xml:space="preserve"> </w:t>
      </w:r>
      <w:r w:rsidR="00EE17FF" w:rsidRPr="009C3AD0">
        <w:t>CERD also reiterated its pr</w:t>
      </w:r>
      <w:r w:rsidR="0035632F">
        <w:t>evious recommendation from its C</w:t>
      </w:r>
      <w:r w:rsidR="00EE17FF" w:rsidRPr="009C3AD0">
        <w:t>oncluding</w:t>
      </w:r>
      <w:r w:rsidR="0035632F">
        <w:t xml:space="preserve"> O</w:t>
      </w:r>
      <w:r w:rsidR="00EE17FF" w:rsidRPr="009C3AD0">
        <w:t>bservations of 2001 that the United States “adopt all necessary measures, including a moratorium, to ensure that death penalty is not imposed as a result of racial bias on the part of prosecutors, judges, juries and lawyers.”</w:t>
      </w:r>
      <w:r w:rsidR="003A72C4" w:rsidRPr="009C3AD0">
        <w:rPr>
          <w:rStyle w:val="FootnoteReference"/>
        </w:rPr>
        <w:footnoteReference w:id="3"/>
      </w:r>
    </w:p>
    <w:p w14:paraId="51D4A30A" w14:textId="77777777" w:rsidR="002D1592" w:rsidRPr="009C3AD0" w:rsidRDefault="006D1019" w:rsidP="00813E61">
      <w:pPr>
        <w:pStyle w:val="BodyTextFirst5"/>
        <w:ind w:firstLine="0"/>
        <w:rPr>
          <w:b/>
        </w:rPr>
      </w:pPr>
      <w:r w:rsidRPr="009C3AD0">
        <w:rPr>
          <w:b/>
        </w:rPr>
        <w:t>The United States’ Submission</w:t>
      </w:r>
    </w:p>
    <w:p w14:paraId="657F9664" w14:textId="2ECAEB5F" w:rsidR="00F13F75" w:rsidRPr="009C3AD0" w:rsidRDefault="00B14E75" w:rsidP="00AE219D">
      <w:pPr>
        <w:pStyle w:val="BodyTextFirst5"/>
        <w:numPr>
          <w:ilvl w:val="0"/>
          <w:numId w:val="18"/>
        </w:numPr>
      </w:pPr>
      <w:r w:rsidRPr="009C3AD0">
        <w:t xml:space="preserve">In </w:t>
      </w:r>
      <w:r w:rsidR="00F13F75" w:rsidRPr="009C3AD0">
        <w:t>its 2013 Periodic Report</w:t>
      </w:r>
      <w:r w:rsidRPr="009C3AD0">
        <w:t xml:space="preserve"> to CERD </w:t>
      </w:r>
      <w:r w:rsidR="00D20F66">
        <w:t>(</w:t>
      </w:r>
      <w:r w:rsidR="00055B4C">
        <w:t>U.S. State Report</w:t>
      </w:r>
      <w:r w:rsidR="0033110B" w:rsidRPr="009C3AD0">
        <w:t>)</w:t>
      </w:r>
      <w:r w:rsidR="006306BF" w:rsidRPr="009C3AD0">
        <w:rPr>
          <w:rStyle w:val="FootnoteReference"/>
        </w:rPr>
        <w:footnoteReference w:id="4"/>
      </w:r>
      <w:r w:rsidR="0033110B" w:rsidRPr="009C3AD0">
        <w:t xml:space="preserve">, </w:t>
      </w:r>
      <w:r w:rsidR="008A5ADF" w:rsidRPr="009C3AD0">
        <w:t xml:space="preserve">the United States </w:t>
      </w:r>
      <w:r w:rsidR="00861714">
        <w:t>briefly addressed</w:t>
      </w:r>
      <w:r w:rsidR="004E0865">
        <w:t xml:space="preserve"> CERD’s concluding observations from its 2008 review of the United States’ fourth, fifth</w:t>
      </w:r>
      <w:r w:rsidR="00DD6C09">
        <w:t>,</w:t>
      </w:r>
      <w:r w:rsidR="004E0865">
        <w:t xml:space="preserve"> and sixth periodic reports</w:t>
      </w:r>
      <w:r w:rsidR="00F65661">
        <w:t xml:space="preserve">, by referring to </w:t>
      </w:r>
      <w:r w:rsidR="008A5ADF" w:rsidRPr="009C3AD0">
        <w:t>Part I B, section 3 of the Common Cor</w:t>
      </w:r>
      <w:r w:rsidR="00F13F75" w:rsidRPr="009C3AD0">
        <w:t>e</w:t>
      </w:r>
      <w:r w:rsidR="008A5ADF" w:rsidRPr="009C3AD0">
        <w:t xml:space="preserve"> Document of the United States submitted with its Fourth Periodic Report to the United Natio</w:t>
      </w:r>
      <w:r w:rsidR="008555F4">
        <w:t>ns</w:t>
      </w:r>
      <w:r w:rsidR="008A5ADF" w:rsidRPr="009C3AD0">
        <w:t xml:space="preserve"> Committee on Human Rights concerning the International Covenant on Civil and Political R</w:t>
      </w:r>
      <w:r w:rsidR="0033110B" w:rsidRPr="009C3AD0">
        <w:t>ights dated Dece</w:t>
      </w:r>
      <w:r w:rsidR="00D20F66">
        <w:t>mber 30, 2011 (Common Core Document</w:t>
      </w:r>
      <w:r w:rsidR="0033110B" w:rsidRPr="009C3AD0">
        <w:t>).</w:t>
      </w:r>
      <w:r w:rsidR="008555F4">
        <w:t xml:space="preserve"> </w:t>
      </w:r>
    </w:p>
    <w:p w14:paraId="6AB95969" w14:textId="2C86769C" w:rsidR="00F13F75" w:rsidRPr="009C3AD0" w:rsidRDefault="0033110B" w:rsidP="00AE219D">
      <w:pPr>
        <w:pStyle w:val="BodyTextFirst5"/>
        <w:numPr>
          <w:ilvl w:val="0"/>
          <w:numId w:val="18"/>
        </w:numPr>
      </w:pPr>
      <w:r w:rsidRPr="009C3AD0">
        <w:t xml:space="preserve">The Common Core Document indicates that as of 2011, </w:t>
      </w:r>
      <w:r w:rsidR="00F13F75" w:rsidRPr="009C3AD0">
        <w:t xml:space="preserve">capital punishment was available in </w:t>
      </w:r>
      <w:r w:rsidRPr="009C3AD0">
        <w:t xml:space="preserve">34 states and </w:t>
      </w:r>
      <w:r w:rsidR="00F13F75" w:rsidRPr="009C3AD0">
        <w:t xml:space="preserve">under federal law </w:t>
      </w:r>
      <w:r w:rsidRPr="009C3AD0">
        <w:t>for crimes of murder or felony murder, though in recent years the Supreme Court had narrowed the categories of crimes that may constitutionally be subject to the death penalty.</w:t>
      </w:r>
      <w:r w:rsidR="008555F4">
        <w:t xml:space="preserve"> </w:t>
      </w:r>
      <w:r w:rsidR="001C2BEF" w:rsidRPr="009C3AD0">
        <w:t>The Common Core Document states that a defendant eligible for the death penalty is entitled to a determination that the death sentence is appropriate in his case, and the jury must be allowed to consider mitigating evidence in support of a sentence less than death.</w:t>
      </w:r>
      <w:r w:rsidR="008555F4">
        <w:t xml:space="preserve"> </w:t>
      </w:r>
      <w:r w:rsidR="001C2BEF" w:rsidRPr="009C3AD0">
        <w:t xml:space="preserve">The Common Core Document also describes procedural protections available to all criminal defendants, including the right to a fair hearing by an independent tribunal, the presumption of innocence, minimum guarantees for the defense, </w:t>
      </w:r>
      <w:r w:rsidR="00F57E6E" w:rsidRPr="009C3AD0">
        <w:t>the right to review by a higher tribun</w:t>
      </w:r>
      <w:r w:rsidR="00F57E6E" w:rsidRPr="00F13F75">
        <w:t>al, the right to trial by jury, the right to challenge the makeup of the jury, and others.</w:t>
      </w:r>
      <w:r w:rsidR="008555F4">
        <w:t xml:space="preserve"> </w:t>
      </w:r>
      <w:r w:rsidR="00F57E6E" w:rsidRPr="00F13F75">
        <w:t>The Common Core Document indicates that the number of states that have the death penalty, the size of the death row population</w:t>
      </w:r>
      <w:r w:rsidR="008555F4">
        <w:t>,</w:t>
      </w:r>
      <w:r w:rsidR="00F57E6E" w:rsidRPr="00F13F75">
        <w:t xml:space="preserve"> and the number of death sentences and executions </w:t>
      </w:r>
      <w:r w:rsidR="00F57E6E" w:rsidRPr="009C3AD0">
        <w:t>all declined in the past decade.</w:t>
      </w:r>
      <w:r w:rsidR="008555F4">
        <w:t xml:space="preserve"> </w:t>
      </w:r>
      <w:r w:rsidR="00F57E6E" w:rsidRPr="009C3AD0">
        <w:t>T</w:t>
      </w:r>
      <w:r w:rsidR="006306BF" w:rsidRPr="009C3AD0">
        <w:t>he Common Core Document recognizes</w:t>
      </w:r>
      <w:r w:rsidR="00F57E6E" w:rsidRPr="009C3AD0">
        <w:t xml:space="preserve"> the overrepresentation of minority persons, particularly Blacks/African American</w:t>
      </w:r>
      <w:r w:rsidR="00C47C4D">
        <w:t>s</w:t>
      </w:r>
      <w:r w:rsidR="00F57E6E" w:rsidRPr="009C3AD0">
        <w:t>, on death row.</w:t>
      </w:r>
      <w:r w:rsidR="008555F4">
        <w:t xml:space="preserve"> </w:t>
      </w:r>
      <w:r w:rsidR="00F57E6E" w:rsidRPr="009C3AD0">
        <w:t>The United States recognized the controversy created by this overrepresentation, as well as controversies related to the use of lethal injection.</w:t>
      </w:r>
      <w:r w:rsidR="00F13F75" w:rsidRPr="009C3AD0">
        <w:t xml:space="preserve"> </w:t>
      </w:r>
    </w:p>
    <w:p w14:paraId="63A7FE3D" w14:textId="1CB2E9F9" w:rsidR="00970C1F" w:rsidRPr="009C3AD0" w:rsidRDefault="00F13F75" w:rsidP="00AE219D">
      <w:pPr>
        <w:pStyle w:val="BodyTextFirst5"/>
        <w:numPr>
          <w:ilvl w:val="0"/>
          <w:numId w:val="18"/>
        </w:numPr>
      </w:pPr>
      <w:r w:rsidRPr="009C3AD0">
        <w:t xml:space="preserve">The </w:t>
      </w:r>
      <w:r w:rsidR="00055B4C">
        <w:t>U.S. State Report</w:t>
      </w:r>
      <w:r w:rsidRPr="009C3AD0">
        <w:t xml:space="preserve"> states that since the date of the Common Core Document, two additional states, Connecticut and Maryland, abolished the death penalty through legislation.</w:t>
      </w:r>
      <w:r w:rsidR="00BD509B" w:rsidRPr="009C3AD0">
        <w:rPr>
          <w:rStyle w:val="FootnoteReference"/>
        </w:rPr>
        <w:footnoteReference w:id="5"/>
      </w:r>
      <w:r w:rsidR="008555F4">
        <w:t xml:space="preserve"> </w:t>
      </w:r>
      <w:r w:rsidR="00BD509B" w:rsidRPr="009C3AD0">
        <w:t xml:space="preserve">The United States also addressed CERD’s recommendation that the United States impose a moratorium on the death penalty, stating there is vigorous public debate on this matter, but the </w:t>
      </w:r>
      <w:r w:rsidR="009C3AD0" w:rsidRPr="009C3AD0">
        <w:t xml:space="preserve">U.S. Constitution grants the </w:t>
      </w:r>
      <w:r w:rsidR="00BD509B" w:rsidRPr="009C3AD0">
        <w:t>democratically elected governments at the federal and state levels</w:t>
      </w:r>
      <w:r w:rsidR="009C3AD0" w:rsidRPr="009C3AD0">
        <w:t xml:space="preserve"> the power to decide whether to make available the death penalty in their respective jurisdictions</w:t>
      </w:r>
      <w:r w:rsidR="00BD509B" w:rsidRPr="009C3AD0">
        <w:t>.</w:t>
      </w:r>
      <w:r w:rsidR="009C3AD0" w:rsidRPr="009C3AD0">
        <w:rPr>
          <w:rStyle w:val="FootnoteReference"/>
        </w:rPr>
        <w:footnoteReference w:id="6"/>
      </w:r>
    </w:p>
    <w:p w14:paraId="3ED155FB" w14:textId="77777777" w:rsidR="00137F29" w:rsidRPr="00137F29" w:rsidRDefault="00DD5CE5" w:rsidP="007D57AE">
      <w:pPr>
        <w:pStyle w:val="TitleUnderline"/>
        <w:spacing w:after="0"/>
      </w:pPr>
      <w:r w:rsidRPr="009C3AD0">
        <w:t>REPORT</w:t>
      </w:r>
    </w:p>
    <w:p w14:paraId="7FDC66A1" w14:textId="77777777" w:rsidR="00825102" w:rsidRDefault="00825102" w:rsidP="007D57AE">
      <w:pPr>
        <w:keepNext/>
      </w:pPr>
    </w:p>
    <w:p w14:paraId="455A36A2" w14:textId="3ABFB1E7" w:rsidR="00DD5CE5" w:rsidRDefault="00825102" w:rsidP="00AE219D">
      <w:pPr>
        <w:pStyle w:val="BodyTextFirst5"/>
        <w:numPr>
          <w:ilvl w:val="0"/>
          <w:numId w:val="18"/>
        </w:numPr>
      </w:pPr>
      <w:r>
        <w:t xml:space="preserve">This report examines </w:t>
      </w:r>
      <w:r w:rsidR="00EA22BE">
        <w:t>five</w:t>
      </w:r>
      <w:r>
        <w:t xml:space="preserve"> </w:t>
      </w:r>
      <w:r w:rsidR="00DC7D92">
        <w:t>aspects of death penalty law, policy, and practice in the United States</w:t>
      </w:r>
      <w:r w:rsidR="003B6096">
        <w:t>.</w:t>
      </w:r>
      <w:r w:rsidR="00E154AB">
        <w:t xml:space="preserve"> </w:t>
      </w:r>
      <w:r>
        <w:t>Section I</w:t>
      </w:r>
      <w:r w:rsidR="0020617D">
        <w:t xml:space="preserve"> (paragraphs </w:t>
      </w:r>
      <w:r w:rsidR="0020617D">
        <w:fldChar w:fldCharType="begin"/>
      </w:r>
      <w:r w:rsidR="0020617D">
        <w:instrText xml:space="preserve"> REF _Ref394045061 \r \h </w:instrText>
      </w:r>
      <w:r w:rsidR="0020617D">
        <w:fldChar w:fldCharType="separate"/>
      </w:r>
      <w:r w:rsidR="0099179D">
        <w:t>12</w:t>
      </w:r>
      <w:r w:rsidR="0020617D">
        <w:fldChar w:fldCharType="end"/>
      </w:r>
      <w:r w:rsidR="0020617D">
        <w:t>–</w:t>
      </w:r>
      <w:r w:rsidR="0020617D">
        <w:fldChar w:fldCharType="begin"/>
      </w:r>
      <w:r w:rsidR="0020617D">
        <w:instrText xml:space="preserve"> REF _Ref394045067 \r \h </w:instrText>
      </w:r>
      <w:r w:rsidR="0020617D">
        <w:fldChar w:fldCharType="separate"/>
      </w:r>
      <w:r w:rsidR="0099179D">
        <w:t>21</w:t>
      </w:r>
      <w:r w:rsidR="0020617D">
        <w:fldChar w:fldCharType="end"/>
      </w:r>
      <w:r w:rsidR="0020617D">
        <w:t>)</w:t>
      </w:r>
      <w:r>
        <w:t xml:space="preserve"> </w:t>
      </w:r>
      <w:r w:rsidR="00C17DB6">
        <w:t>assesses the influence of racial bias on decisions to charge capital crimes and to seek the death penalty.</w:t>
      </w:r>
      <w:r w:rsidR="008555F4">
        <w:t xml:space="preserve"> </w:t>
      </w:r>
      <w:r w:rsidRPr="00C17DB6">
        <w:t>Section</w:t>
      </w:r>
      <w:r>
        <w:t xml:space="preserve"> II </w:t>
      </w:r>
      <w:r w:rsidR="0020617D">
        <w:t xml:space="preserve">(paragraphs </w:t>
      </w:r>
      <w:r w:rsidR="0020617D">
        <w:fldChar w:fldCharType="begin"/>
      </w:r>
      <w:r w:rsidR="0020617D">
        <w:instrText xml:space="preserve"> REF _Ref394045077 \r \h </w:instrText>
      </w:r>
      <w:r w:rsidR="0020617D">
        <w:fldChar w:fldCharType="separate"/>
      </w:r>
      <w:r w:rsidR="0099179D">
        <w:t>22</w:t>
      </w:r>
      <w:r w:rsidR="0020617D">
        <w:fldChar w:fldCharType="end"/>
      </w:r>
      <w:r w:rsidR="0020617D">
        <w:t>–</w:t>
      </w:r>
      <w:r w:rsidR="0020617D">
        <w:fldChar w:fldCharType="begin"/>
      </w:r>
      <w:r w:rsidR="0020617D">
        <w:instrText xml:space="preserve"> REF _Ref394045087 \r \h </w:instrText>
      </w:r>
      <w:r w:rsidR="0020617D">
        <w:fldChar w:fldCharType="separate"/>
      </w:r>
      <w:r w:rsidR="0099179D">
        <w:t>37</w:t>
      </w:r>
      <w:r w:rsidR="0020617D">
        <w:fldChar w:fldCharType="end"/>
      </w:r>
      <w:r w:rsidR="0020617D">
        <w:t xml:space="preserve">) </w:t>
      </w:r>
      <w:r w:rsidR="00C17DB6">
        <w:t xml:space="preserve">discusses the problem of wrongful convictions in the United States, </w:t>
      </w:r>
      <w:r w:rsidR="00C17DB6" w:rsidRPr="00C17DB6">
        <w:t xml:space="preserve">and discusses U.S. compliance with </w:t>
      </w:r>
      <w:proofErr w:type="spellStart"/>
      <w:r w:rsidR="00C17DB6" w:rsidRPr="00C17DB6">
        <w:t>exonerees</w:t>
      </w:r>
      <w:proofErr w:type="spellEnd"/>
      <w:r w:rsidR="00C17DB6" w:rsidRPr="00C17DB6">
        <w:t xml:space="preserve">’ right to an effective remedy. </w:t>
      </w:r>
      <w:r>
        <w:t xml:space="preserve">Section III </w:t>
      </w:r>
      <w:r w:rsidR="0020617D">
        <w:t xml:space="preserve">(paragraphs </w:t>
      </w:r>
      <w:r w:rsidR="0020617D">
        <w:fldChar w:fldCharType="begin"/>
      </w:r>
      <w:r w:rsidR="0020617D">
        <w:instrText xml:space="preserve"> REF _Ref394045092 \r \h </w:instrText>
      </w:r>
      <w:r w:rsidR="0020617D">
        <w:fldChar w:fldCharType="separate"/>
      </w:r>
      <w:r w:rsidR="0099179D">
        <w:t>38</w:t>
      </w:r>
      <w:r w:rsidR="0020617D">
        <w:fldChar w:fldCharType="end"/>
      </w:r>
      <w:r w:rsidR="0020617D">
        <w:t>–</w:t>
      </w:r>
      <w:r w:rsidR="0020617D">
        <w:fldChar w:fldCharType="begin"/>
      </w:r>
      <w:r w:rsidR="0020617D">
        <w:instrText xml:space="preserve"> REF _Ref394045100 \r \h </w:instrText>
      </w:r>
      <w:r w:rsidR="0020617D">
        <w:fldChar w:fldCharType="separate"/>
      </w:r>
      <w:r w:rsidR="0099179D">
        <w:t>52</w:t>
      </w:r>
      <w:r w:rsidR="0020617D">
        <w:fldChar w:fldCharType="end"/>
      </w:r>
      <w:r w:rsidR="0020617D">
        <w:t xml:space="preserve">) </w:t>
      </w:r>
      <w:r w:rsidR="00F3460E">
        <w:t xml:space="preserve">addresses U.S. compliance with the </w:t>
      </w:r>
      <w:proofErr w:type="spellStart"/>
      <w:r w:rsidR="00F3460E" w:rsidRPr="00F11C78">
        <w:rPr>
          <w:i/>
        </w:rPr>
        <w:t>Avena</w:t>
      </w:r>
      <w:proofErr w:type="spellEnd"/>
      <w:r w:rsidR="00F3460E">
        <w:t xml:space="preserve"> decision by the International Court of Justice to provide remedies for violations of the Vienna Convention on Consular Relations and the United States’ overall compliance with consular notification obligations arising under the convention.</w:t>
      </w:r>
      <w:r w:rsidR="008555F4">
        <w:t xml:space="preserve"> </w:t>
      </w:r>
      <w:r w:rsidR="00344651">
        <w:t xml:space="preserve">Section IV </w:t>
      </w:r>
      <w:r w:rsidR="0020617D">
        <w:t xml:space="preserve">(paragraphs </w:t>
      </w:r>
      <w:r w:rsidR="0020617D">
        <w:fldChar w:fldCharType="begin"/>
      </w:r>
      <w:r w:rsidR="0020617D">
        <w:instrText xml:space="preserve"> REF _Ref394045111 \r \h </w:instrText>
      </w:r>
      <w:r w:rsidR="0020617D">
        <w:fldChar w:fldCharType="separate"/>
      </w:r>
      <w:r w:rsidR="0099179D">
        <w:t>53</w:t>
      </w:r>
      <w:r w:rsidR="0020617D">
        <w:fldChar w:fldCharType="end"/>
      </w:r>
      <w:r w:rsidR="0020617D">
        <w:t>–</w:t>
      </w:r>
      <w:r w:rsidR="0020617D">
        <w:fldChar w:fldCharType="begin"/>
      </w:r>
      <w:r w:rsidR="0020617D">
        <w:instrText xml:space="preserve"> REF _Ref394045123 \r \h </w:instrText>
      </w:r>
      <w:r w:rsidR="0020617D">
        <w:fldChar w:fldCharType="separate"/>
      </w:r>
      <w:r w:rsidR="0099179D">
        <w:t>67</w:t>
      </w:r>
      <w:r w:rsidR="0020617D">
        <w:fldChar w:fldCharType="end"/>
      </w:r>
      <w:r w:rsidR="0020617D">
        <w:t xml:space="preserve">) </w:t>
      </w:r>
      <w:r w:rsidR="00C17DB6">
        <w:t>analyzes whether standard lethal injection procedures constitute cruel and unusual punishment, and identifies developing legal and corporate resistance to those procedures.</w:t>
      </w:r>
      <w:r w:rsidR="00EA22BE">
        <w:t xml:space="preserve"> Section V </w:t>
      </w:r>
      <w:r w:rsidR="0020617D">
        <w:t xml:space="preserve">(paragraphs </w:t>
      </w:r>
      <w:r w:rsidR="0020617D">
        <w:fldChar w:fldCharType="begin"/>
      </w:r>
      <w:r w:rsidR="0020617D">
        <w:instrText xml:space="preserve"> REF _Ref394045128 \r \h </w:instrText>
      </w:r>
      <w:r w:rsidR="0020617D">
        <w:fldChar w:fldCharType="separate"/>
      </w:r>
      <w:r w:rsidR="0099179D">
        <w:t>68</w:t>
      </w:r>
      <w:r w:rsidR="0020617D">
        <w:fldChar w:fldCharType="end"/>
      </w:r>
      <w:r w:rsidR="0020617D">
        <w:t>–</w:t>
      </w:r>
      <w:r w:rsidR="0020617D">
        <w:fldChar w:fldCharType="begin"/>
      </w:r>
      <w:r w:rsidR="0020617D">
        <w:instrText xml:space="preserve"> REF _Ref394045138 \r \h </w:instrText>
      </w:r>
      <w:r w:rsidR="0020617D">
        <w:fldChar w:fldCharType="separate"/>
      </w:r>
      <w:r w:rsidR="0099179D">
        <w:t>75</w:t>
      </w:r>
      <w:r w:rsidR="0020617D">
        <w:fldChar w:fldCharType="end"/>
      </w:r>
      <w:r w:rsidR="0020617D">
        <w:t xml:space="preserve">) </w:t>
      </w:r>
      <w:r w:rsidR="00EA22BE">
        <w:t xml:space="preserve">describes the racial bias against Puerto Ricans, a Hispanic group, through the disproportionately heavy use of the death penalty </w:t>
      </w:r>
      <w:r w:rsidR="008555F4">
        <w:t xml:space="preserve">by the federal government </w:t>
      </w:r>
      <w:r w:rsidR="00EA22BE">
        <w:t>and by U.S. states.</w:t>
      </w:r>
      <w:r w:rsidR="00456CD1">
        <w:t xml:space="preserve"> </w:t>
      </w:r>
      <w:r w:rsidR="00C17DB6">
        <w:t>All of these Sections affect Article 5(a)</w:t>
      </w:r>
      <w:r w:rsidR="00861714">
        <w:t>, 5(b) and/or 6</w:t>
      </w:r>
      <w:r w:rsidR="00C17DB6">
        <w:t xml:space="preserve"> of ICERD and General Recommendation XXXI for the reasons given below.</w:t>
      </w:r>
    </w:p>
    <w:p w14:paraId="30EEC057" w14:textId="77777777" w:rsidR="00DD5CE5" w:rsidRPr="00813E61" w:rsidRDefault="00DD5CE5" w:rsidP="00AE219D">
      <w:pPr>
        <w:pStyle w:val="ListParagraph"/>
        <w:keepNext/>
        <w:numPr>
          <w:ilvl w:val="0"/>
          <w:numId w:val="19"/>
        </w:numPr>
        <w:spacing w:after="240"/>
        <w:rPr>
          <w:b/>
        </w:rPr>
      </w:pPr>
      <w:r w:rsidRPr="00813E61">
        <w:rPr>
          <w:rFonts w:eastAsia="Calibri"/>
          <w:b/>
          <w:szCs w:val="24"/>
        </w:rPr>
        <w:t>Racial</w:t>
      </w:r>
      <w:r w:rsidRPr="00813E61">
        <w:rPr>
          <w:b/>
        </w:rPr>
        <w:t xml:space="preserve"> Bias in the Imposition of the Death Penalty i</w:t>
      </w:r>
      <w:r w:rsidR="004C7CA2" w:rsidRPr="00813E61">
        <w:rPr>
          <w:b/>
        </w:rPr>
        <w:t xml:space="preserve">n </w:t>
      </w:r>
      <w:r w:rsidRPr="00813E61">
        <w:rPr>
          <w:b/>
        </w:rPr>
        <w:t>the United States</w:t>
      </w:r>
      <w:r w:rsidRPr="00813E61">
        <w:rPr>
          <w:vertAlign w:val="superscript"/>
        </w:rPr>
        <w:footnoteReference w:id="7"/>
      </w:r>
    </w:p>
    <w:p w14:paraId="52559B20" w14:textId="6718B41F" w:rsidR="009F5FAC" w:rsidRPr="00DD5CE5" w:rsidRDefault="00DD5CE5" w:rsidP="00AE219D">
      <w:pPr>
        <w:pStyle w:val="BodyTextFirst5"/>
        <w:numPr>
          <w:ilvl w:val="0"/>
          <w:numId w:val="18"/>
        </w:numPr>
      </w:pPr>
      <w:bookmarkStart w:id="1" w:name="_Ref394045061"/>
      <w:r w:rsidRPr="0020617D">
        <w:rPr>
          <w:b/>
        </w:rPr>
        <w:t>In states where the death penalty is used most often</w:t>
      </w:r>
      <w:r w:rsidR="00FB080F" w:rsidRPr="0020617D">
        <w:rPr>
          <w:b/>
        </w:rPr>
        <w:t>,</w:t>
      </w:r>
      <w:r w:rsidRPr="00DD5CE5">
        <w:t xml:space="preserve"> </w:t>
      </w:r>
      <w:r w:rsidRPr="0020617D">
        <w:rPr>
          <w:b/>
        </w:rPr>
        <w:t xml:space="preserve">defendants in racial minority groups </w:t>
      </w:r>
      <w:r w:rsidR="00FB080F" w:rsidRPr="0020617D">
        <w:rPr>
          <w:b/>
        </w:rPr>
        <w:t>far</w:t>
      </w:r>
      <w:r w:rsidR="004E3D00" w:rsidRPr="0020617D">
        <w:rPr>
          <w:b/>
        </w:rPr>
        <w:t>e</w:t>
      </w:r>
      <w:r w:rsidR="00FB080F" w:rsidRPr="0020617D">
        <w:rPr>
          <w:b/>
        </w:rPr>
        <w:t xml:space="preserve"> worse</w:t>
      </w:r>
      <w:r w:rsidRPr="0020617D">
        <w:rPr>
          <w:b/>
        </w:rPr>
        <w:t xml:space="preserve"> than </w:t>
      </w:r>
      <w:r w:rsidR="00DC6504" w:rsidRPr="0020617D">
        <w:rPr>
          <w:b/>
        </w:rPr>
        <w:t>white</w:t>
      </w:r>
      <w:r w:rsidRPr="0020617D">
        <w:rPr>
          <w:b/>
        </w:rPr>
        <w:t xml:space="preserve"> defendants</w:t>
      </w:r>
      <w:r w:rsidR="003B6096">
        <w:t>.</w:t>
      </w:r>
      <w:r w:rsidR="002E64C6">
        <w:t xml:space="preserve"> The U.S. State Department acknowledged </w:t>
      </w:r>
      <w:r w:rsidR="00B45321">
        <w:t xml:space="preserve">in the U.S. State Report </w:t>
      </w:r>
      <w:r w:rsidR="002E64C6">
        <w:t xml:space="preserve">that it </w:t>
      </w:r>
      <w:r w:rsidR="002E64C6" w:rsidRPr="00B90B6A">
        <w:t xml:space="preserve">“faces challenges </w:t>
      </w:r>
      <w:r w:rsidR="002E64C6">
        <w:t>. . . in its provision of legal representation to indigent criminal defendants and . . . these challenges are felt acutely by members of racial and ethnic minorities.”</w:t>
      </w:r>
      <w:r w:rsidR="002E64C6">
        <w:rPr>
          <w:rStyle w:val="FootnoteReference"/>
        </w:rPr>
        <w:footnoteReference w:id="8"/>
      </w:r>
      <w:r w:rsidR="002E64C6">
        <w:t xml:space="preserve"> Racial and ethnic disparities “continue to exist” in the criminal justice system and the use of the death penalty is still left to the individual governments of each of the 50 states.</w:t>
      </w:r>
      <w:r w:rsidR="002E64C6">
        <w:rPr>
          <w:rStyle w:val="FootnoteReference"/>
        </w:rPr>
        <w:footnoteReference w:id="9"/>
      </w:r>
      <w:r w:rsidR="002E64C6">
        <w:t xml:space="preserve"> </w:t>
      </w:r>
      <w:r w:rsidR="00276D45">
        <w:t xml:space="preserve">This Report addresses the two most recurring </w:t>
      </w:r>
      <w:r w:rsidR="00BF2E67">
        <w:t xml:space="preserve">indicators </w:t>
      </w:r>
      <w:r w:rsidR="00276D45">
        <w:t>of racial bias in the implementation of the death penalty</w:t>
      </w:r>
      <w:r w:rsidR="003B6096">
        <w:t>:</w:t>
      </w:r>
      <w:r w:rsidR="002E64C6">
        <w:t xml:space="preserve"> </w:t>
      </w:r>
      <w:r w:rsidRPr="00DD5CE5">
        <w:t xml:space="preserve">(1) race of the </w:t>
      </w:r>
      <w:r w:rsidR="002E64C6">
        <w:t>victim</w:t>
      </w:r>
      <w:r w:rsidR="00276D45">
        <w:t xml:space="preserve"> and</w:t>
      </w:r>
      <w:r w:rsidRPr="00DD5CE5">
        <w:t xml:space="preserve"> (2) race of the </w:t>
      </w:r>
      <w:r w:rsidR="002E64C6">
        <w:t>defendant</w:t>
      </w:r>
      <w:r w:rsidR="00276D45">
        <w:t>.</w:t>
      </w:r>
      <w:r w:rsidR="00202F3A">
        <w:rPr>
          <w:rStyle w:val="FootnoteReference"/>
        </w:rPr>
        <w:footnoteReference w:id="10"/>
      </w:r>
      <w:bookmarkEnd w:id="1"/>
    </w:p>
    <w:p w14:paraId="392D0C71" w14:textId="77777777" w:rsidR="002E64C6" w:rsidRPr="00CD52D4" w:rsidRDefault="002E64C6" w:rsidP="00AE219D">
      <w:pPr>
        <w:pStyle w:val="BodyTextFirst5"/>
        <w:numPr>
          <w:ilvl w:val="0"/>
          <w:numId w:val="18"/>
        </w:numPr>
      </w:pPr>
      <w:r>
        <w:t xml:space="preserve">During the past 37 years, </w:t>
      </w:r>
      <w:r w:rsidRPr="0020617D">
        <w:rPr>
          <w:b/>
        </w:rPr>
        <w:t>80% of all persons sentenced to death have been executed for murders involving white victims, even though the numbers of white and black persons murdered are virtually equal.</w:t>
      </w:r>
      <w:r>
        <w:rPr>
          <w:rStyle w:val="FootnoteReference"/>
        </w:rPr>
        <w:footnoteReference w:id="11"/>
      </w:r>
      <w:r>
        <w:t xml:space="preserve"> </w:t>
      </w:r>
      <w:r w:rsidR="000427C4">
        <w:t>This is a longstanding and pervasive problem: e</w:t>
      </w:r>
      <w:r>
        <w:t>ven as long ago as 1987, the U.S. Supreme Court ruled that reliable statistical evidence suggesting racial bias in the trial of any defendant could not be used to vacate a death sentence.</w:t>
      </w:r>
      <w:r>
        <w:rPr>
          <w:rStyle w:val="FootnoteReference"/>
        </w:rPr>
        <w:footnoteReference w:id="12"/>
      </w:r>
    </w:p>
    <w:p w14:paraId="10432185" w14:textId="3D7BAFCC" w:rsidR="002E64C6" w:rsidRDefault="00BF2E67" w:rsidP="00AE219D">
      <w:pPr>
        <w:pStyle w:val="BodyTextFirst5"/>
        <w:numPr>
          <w:ilvl w:val="0"/>
          <w:numId w:val="18"/>
        </w:numPr>
      </w:pPr>
      <w:r>
        <w:t>In a 2013 report, t</w:t>
      </w:r>
      <w:r w:rsidR="000427C4">
        <w:t>he</w:t>
      </w:r>
      <w:r w:rsidR="000427C4" w:rsidRPr="0012085A">
        <w:t xml:space="preserve"> Death Penalty Information Center </w:t>
      </w:r>
      <w:r>
        <w:t xml:space="preserve">investigated </w:t>
      </w:r>
      <w:r w:rsidR="002E64C6" w:rsidRPr="0020617D">
        <w:rPr>
          <w:b/>
        </w:rPr>
        <w:t>interracial murder cases</w:t>
      </w:r>
      <w:r w:rsidR="002E64C6" w:rsidRPr="0012085A">
        <w:t xml:space="preserve"> throughout the U</w:t>
      </w:r>
      <w:r w:rsidR="002E64C6">
        <w:t xml:space="preserve">nited </w:t>
      </w:r>
      <w:r w:rsidR="002E64C6" w:rsidRPr="0012085A">
        <w:t>S</w:t>
      </w:r>
      <w:r w:rsidR="002E64C6">
        <w:t>tates</w:t>
      </w:r>
      <w:r w:rsidR="000427C4">
        <w:t xml:space="preserve"> </w:t>
      </w:r>
      <w:r>
        <w:t xml:space="preserve">and found </w:t>
      </w:r>
      <w:r w:rsidR="000427C4" w:rsidRPr="0020617D">
        <w:rPr>
          <w:b/>
        </w:rPr>
        <w:t>glaring racial bias</w:t>
      </w:r>
      <w:r w:rsidR="002E64C6">
        <w:t xml:space="preserve">. </w:t>
      </w:r>
      <w:r w:rsidR="002E64C6" w:rsidRPr="0012085A">
        <w:t xml:space="preserve">According to that report, </w:t>
      </w:r>
      <w:r w:rsidR="002E64C6">
        <w:t>20</w:t>
      </w:r>
      <w:r w:rsidR="002E64C6" w:rsidRPr="0012085A">
        <w:t xml:space="preserve"> </w:t>
      </w:r>
      <w:r w:rsidR="002E64C6">
        <w:t>white</w:t>
      </w:r>
      <w:r w:rsidR="002E64C6" w:rsidRPr="0012085A">
        <w:t xml:space="preserve"> defendants </w:t>
      </w:r>
      <w:r>
        <w:t>have been</w:t>
      </w:r>
      <w:r w:rsidRPr="0012085A">
        <w:t xml:space="preserve"> </w:t>
      </w:r>
      <w:r w:rsidR="002E64C6" w:rsidRPr="0012085A">
        <w:t>executed for murdering African</w:t>
      </w:r>
      <w:r w:rsidR="006E1E5C">
        <w:t xml:space="preserve"> </w:t>
      </w:r>
      <w:r w:rsidR="002E64C6" w:rsidRPr="0012085A">
        <w:t>American victims since 1976</w:t>
      </w:r>
      <w:r w:rsidR="002E64C6">
        <w:t>; during the same time period, 259</w:t>
      </w:r>
      <w:r w:rsidR="002E64C6" w:rsidRPr="0012085A">
        <w:t xml:space="preserve"> black defendants </w:t>
      </w:r>
      <w:r>
        <w:t>have been</w:t>
      </w:r>
      <w:r w:rsidRPr="0012085A">
        <w:t xml:space="preserve"> </w:t>
      </w:r>
      <w:r w:rsidR="002E64C6" w:rsidRPr="0012085A">
        <w:t xml:space="preserve">executed for murdering </w:t>
      </w:r>
      <w:r w:rsidR="002E64C6">
        <w:t>white</w:t>
      </w:r>
      <w:r w:rsidR="002E64C6" w:rsidRPr="0012085A">
        <w:t xml:space="preserve"> victims.</w:t>
      </w:r>
      <w:r w:rsidR="002E64C6">
        <w:rPr>
          <w:rStyle w:val="FootnoteReference"/>
        </w:rPr>
        <w:footnoteReference w:id="13"/>
      </w:r>
      <w:r w:rsidR="002E64C6">
        <w:t xml:space="preserve"> </w:t>
      </w:r>
      <w:r w:rsidR="002E64C6" w:rsidRPr="0012085A">
        <w:t>Th</w:t>
      </w:r>
      <w:r>
        <w:t>ese</w:t>
      </w:r>
      <w:r w:rsidR="002E64C6" w:rsidRPr="0012085A">
        <w:t xml:space="preserve"> </w:t>
      </w:r>
      <w:r>
        <w:t>data are</w:t>
      </w:r>
      <w:r w:rsidR="00350EF8">
        <w:t xml:space="preserve"> </w:t>
      </w:r>
      <w:r w:rsidR="002E64C6" w:rsidRPr="0012085A">
        <w:t>consistent with other</w:t>
      </w:r>
      <w:r w:rsidR="002E64C6">
        <w:t xml:space="preserve"> recent</w:t>
      </w:r>
      <w:r w:rsidR="002E64C6" w:rsidRPr="0012085A">
        <w:t xml:space="preserve"> studies</w:t>
      </w:r>
      <w:r w:rsidR="002E64C6">
        <w:t xml:space="preserve">. </w:t>
      </w:r>
      <w:r w:rsidR="000427C4">
        <w:t xml:space="preserve">For example, </w:t>
      </w:r>
      <w:r w:rsidR="002E64C6" w:rsidRPr="0012085A">
        <w:t>a comprehensive review of the connection between the races of defendants and victims during a 10-year peri</w:t>
      </w:r>
      <w:r w:rsidR="002E64C6">
        <w:t xml:space="preserve">od in the </w:t>
      </w:r>
      <w:r w:rsidR="000427C4">
        <w:t>s</w:t>
      </w:r>
      <w:r w:rsidR="002E64C6">
        <w:t>tate of California</w:t>
      </w:r>
      <w:r w:rsidR="002E64C6">
        <w:rPr>
          <w:rStyle w:val="FootnoteReference"/>
        </w:rPr>
        <w:footnoteReference w:id="14"/>
      </w:r>
      <w:r w:rsidR="002E64C6">
        <w:t xml:space="preserve"> </w:t>
      </w:r>
      <w:r>
        <w:t xml:space="preserve">concluded </w:t>
      </w:r>
      <w:r w:rsidR="002E64C6" w:rsidRPr="0012085A">
        <w:t xml:space="preserve">that 27.6% of the murder victims </w:t>
      </w:r>
      <w:r w:rsidR="002E64C6">
        <w:t>in California were white, but more than 80% of</w:t>
      </w:r>
      <w:r w:rsidR="002E64C6" w:rsidRPr="0012085A">
        <w:t xml:space="preserve"> defendants </w:t>
      </w:r>
      <w:r w:rsidR="002E64C6">
        <w:t xml:space="preserve">executed </w:t>
      </w:r>
      <w:r w:rsidR="002E64C6" w:rsidRPr="0012085A">
        <w:t>had bee</w:t>
      </w:r>
      <w:r w:rsidR="002E64C6">
        <w:t>n convicted of killing white victims.</w:t>
      </w:r>
      <w:r w:rsidR="002E64C6">
        <w:rPr>
          <w:rStyle w:val="FootnoteReference"/>
        </w:rPr>
        <w:footnoteReference w:id="15"/>
      </w:r>
    </w:p>
    <w:p w14:paraId="7A69B651" w14:textId="77777777" w:rsidR="002E64C6" w:rsidRDefault="002E64C6" w:rsidP="00AE219D">
      <w:pPr>
        <w:pStyle w:val="BodyTextFirst5"/>
        <w:numPr>
          <w:ilvl w:val="0"/>
          <w:numId w:val="18"/>
        </w:numPr>
      </w:pPr>
      <w:r>
        <w:t>O</w:t>
      </w:r>
      <w:r w:rsidRPr="00DD5CE5">
        <w:t xml:space="preserve">ne of the most </w:t>
      </w:r>
      <w:r>
        <w:t xml:space="preserve">decisive </w:t>
      </w:r>
      <w:r w:rsidRPr="00DD5CE5">
        <w:t xml:space="preserve">factors </w:t>
      </w:r>
      <w:r>
        <w:t>affecting</w:t>
      </w:r>
      <w:r w:rsidRPr="00DD5CE5">
        <w:t xml:space="preserve"> who </w:t>
      </w:r>
      <w:r>
        <w:t xml:space="preserve">is </w:t>
      </w:r>
      <w:r w:rsidRPr="00DD5CE5">
        <w:t>charged with a death</w:t>
      </w:r>
      <w:r w:rsidR="00D13651">
        <w:t>-eligible</w:t>
      </w:r>
      <w:r w:rsidRPr="00DD5CE5">
        <w:t xml:space="preserve"> offense is the race of the victim</w:t>
      </w:r>
      <w:r>
        <w:t xml:space="preserve">. </w:t>
      </w:r>
      <w:r w:rsidRPr="00DD5CE5">
        <w:t xml:space="preserve">That is, </w:t>
      </w:r>
      <w:r w:rsidRPr="0020617D">
        <w:rPr>
          <w:b/>
        </w:rPr>
        <w:t>the prosecution is more likely to charge and seek the death penalty when the defendant is African American and the victim is white than when the defendant is white and the victim is African American</w:t>
      </w:r>
      <w:r w:rsidRPr="00DD5CE5">
        <w:t>.</w:t>
      </w:r>
      <w:r>
        <w:rPr>
          <w:rStyle w:val="FootnoteReference"/>
        </w:rPr>
        <w:footnoteReference w:id="16"/>
      </w:r>
    </w:p>
    <w:p w14:paraId="44843ACF" w14:textId="77777777" w:rsidR="00276D45" w:rsidRDefault="00C80B3C" w:rsidP="00AE219D">
      <w:pPr>
        <w:pStyle w:val="BodyTextFirst5"/>
        <w:numPr>
          <w:ilvl w:val="0"/>
          <w:numId w:val="18"/>
        </w:numPr>
        <w:spacing w:after="120"/>
      </w:pPr>
      <w:r w:rsidRPr="0020617D">
        <w:rPr>
          <w:b/>
        </w:rPr>
        <w:t>People of color constitute more than half of the 3,170 people sentenced to death in the United States.</w:t>
      </w:r>
      <w:r>
        <w:rPr>
          <w:rStyle w:val="FootnoteReference"/>
        </w:rPr>
        <w:footnoteReference w:id="17"/>
      </w:r>
      <w:r>
        <w:t xml:space="preserve"> </w:t>
      </w:r>
      <w:r w:rsidR="00DA12BD">
        <w:t>The s</w:t>
      </w:r>
      <w:r w:rsidR="00DA12BD" w:rsidRPr="00DD5CE5">
        <w:t>tate of Louisiana’s use of the death penalty is perhaps the starkest of all American states, although its ranking is a matter of degree</w:t>
      </w:r>
      <w:r w:rsidR="00DA12BD">
        <w:t xml:space="preserve">. </w:t>
      </w:r>
      <w:r w:rsidR="00DA12BD" w:rsidRPr="00DD5CE5">
        <w:t xml:space="preserve">Louisiana has the highest percentage of </w:t>
      </w:r>
      <w:r w:rsidR="00DA12BD">
        <w:t xml:space="preserve">death-row </w:t>
      </w:r>
      <w:r w:rsidR="00DA12BD" w:rsidRPr="00DD5CE5">
        <w:t>prisoners who are African</w:t>
      </w:r>
      <w:r w:rsidR="00DA12BD">
        <w:t xml:space="preserve"> </w:t>
      </w:r>
      <w:r w:rsidR="00DA12BD" w:rsidRPr="00DD5CE5">
        <w:t>American of any U.S</w:t>
      </w:r>
      <w:r w:rsidR="00DA12BD">
        <w:t xml:space="preserve">. </w:t>
      </w:r>
      <w:r w:rsidR="00DA12BD" w:rsidRPr="00DD5CE5">
        <w:t>state</w:t>
      </w:r>
      <w:r w:rsidR="00DA12BD">
        <w:t>.</w:t>
      </w:r>
      <w:r w:rsidR="00DA12BD">
        <w:rPr>
          <w:rStyle w:val="FootnoteReference"/>
        </w:rPr>
        <w:footnoteReference w:id="18"/>
      </w:r>
      <w:r w:rsidR="00DA12BD">
        <w:t xml:space="preserve"> </w:t>
      </w:r>
      <w:r>
        <w:t>Black people make up only 13.1% of the U.S. population, yet constitute 42% of the total death row population.</w:t>
      </w:r>
      <w:r>
        <w:rPr>
          <w:rStyle w:val="FootnoteReference"/>
        </w:rPr>
        <w:footnoteReference w:id="19"/>
      </w:r>
      <w:r>
        <w:t xml:space="preserve"> </w:t>
      </w:r>
      <w:r w:rsidR="00276D45">
        <w:t xml:space="preserve">Use of the death penalty </w:t>
      </w:r>
      <w:r>
        <w:t>in the state</w:t>
      </w:r>
      <w:r w:rsidR="000132B8">
        <w:t xml:space="preserve"> of Texas </w:t>
      </w:r>
      <w:r w:rsidR="002E64C6">
        <w:t>illustrates how defendants of color are disproportionately represented on death row</w:t>
      </w:r>
      <w:r w:rsidR="003B6096">
        <w:t>:</w:t>
      </w:r>
    </w:p>
    <w:p w14:paraId="1FD0FAEE" w14:textId="77777777" w:rsidR="00DA12BD" w:rsidRDefault="00276D45" w:rsidP="00DA12BD">
      <w:pPr>
        <w:spacing w:after="240"/>
        <w:ind w:left="720" w:right="720"/>
      </w:pPr>
      <w:r>
        <w:t xml:space="preserve">Over the last five years, nearly 75% of all death sentences in Texas have been imposed on people of color </w:t>
      </w:r>
      <w:r w:rsidR="003B6096">
        <w:t>.</w:t>
      </w:r>
      <w:r w:rsidR="00E154AB">
        <w:t xml:space="preserve"> </w:t>
      </w:r>
      <w:r w:rsidR="003B6096">
        <w:t>.</w:t>
      </w:r>
      <w:r w:rsidR="00E154AB">
        <w:t xml:space="preserve"> </w:t>
      </w:r>
      <w:r w:rsidR="003B6096">
        <w:t>.</w:t>
      </w:r>
      <w:r w:rsidR="00E154AB">
        <w:t xml:space="preserve"> </w:t>
      </w:r>
      <w:r w:rsidR="00CD52D4">
        <w:t>W</w:t>
      </w:r>
      <w:r>
        <w:t xml:space="preserve">hile African-Americans comprised only 12% of </w:t>
      </w:r>
      <w:r w:rsidR="00CD52D4">
        <w:t xml:space="preserve">the entire </w:t>
      </w:r>
      <w:r>
        <w:t>Texas</w:t>
      </w:r>
      <w:r w:rsidR="00CD52D4">
        <w:t xml:space="preserve"> general population</w:t>
      </w:r>
      <w:r>
        <w:t>, they comprise 39.8% of death row inmates.</w:t>
      </w:r>
      <w:r w:rsidR="00E357AE">
        <w:rPr>
          <w:rStyle w:val="FootnoteReference"/>
        </w:rPr>
        <w:footnoteReference w:id="20"/>
      </w:r>
    </w:p>
    <w:p w14:paraId="2F374D3C" w14:textId="77777777" w:rsidR="00C4052B" w:rsidRDefault="000427C4" w:rsidP="00AE219D">
      <w:pPr>
        <w:pStyle w:val="BodyTextFirst5"/>
        <w:numPr>
          <w:ilvl w:val="0"/>
          <w:numId w:val="18"/>
        </w:numPr>
      </w:pPr>
      <w:r>
        <w:t>Black</w:t>
      </w:r>
      <w:r w:rsidR="00C4052B" w:rsidRPr="00DD5CE5">
        <w:t xml:space="preserve"> defendants </w:t>
      </w:r>
      <w:r>
        <w:t xml:space="preserve">in the United States </w:t>
      </w:r>
      <w:r w:rsidR="00C4052B" w:rsidRPr="00DD5CE5">
        <w:t xml:space="preserve">face two significant disadvantages when compared to </w:t>
      </w:r>
      <w:r w:rsidR="00C4052B">
        <w:t>white</w:t>
      </w:r>
      <w:r w:rsidR="00C4052B" w:rsidRPr="00DD5CE5">
        <w:t xml:space="preserve"> defendants in similar cases, regardless of the analytical methods or</w:t>
      </w:r>
      <w:r w:rsidR="00C4052B">
        <w:t xml:space="preserve"> underlying</w:t>
      </w:r>
      <w:r w:rsidR="00C4052B" w:rsidRPr="00DD5CE5">
        <w:t xml:space="preserve"> criteria</w:t>
      </w:r>
      <w:r w:rsidR="00C4052B">
        <w:t xml:space="preserve">. </w:t>
      </w:r>
      <w:r w:rsidR="00C4052B" w:rsidRPr="00DD5CE5">
        <w:t>The first risk arises when the prosecuting attorney initially decides whether to charge a defendant with a capital offense</w:t>
      </w:r>
      <w:r w:rsidR="00C4052B">
        <w:t xml:space="preserve">. </w:t>
      </w:r>
      <w:r w:rsidR="00A4095B" w:rsidRPr="0020617D">
        <w:rPr>
          <w:b/>
        </w:rPr>
        <w:t>D</w:t>
      </w:r>
      <w:r w:rsidR="00C4052B" w:rsidRPr="0020617D">
        <w:rPr>
          <w:b/>
        </w:rPr>
        <w:t>ata continue to show a pattern of prosecutors</w:t>
      </w:r>
      <w:r w:rsidR="00A4095B" w:rsidRPr="0020617D">
        <w:rPr>
          <w:b/>
        </w:rPr>
        <w:t>, at the time of the charging determination,</w:t>
      </w:r>
      <w:r w:rsidR="00C4052B" w:rsidRPr="0020617D">
        <w:rPr>
          <w:b/>
        </w:rPr>
        <w:t xml:space="preserve"> being influenced, either consciously or subconsciously, by the races of the defendants and the victims. </w:t>
      </w:r>
      <w:r w:rsidR="00C4052B" w:rsidRPr="00DD5CE5">
        <w:t>The second risk arises when, after a conviction, the death penalty actually may be imposed</w:t>
      </w:r>
      <w:r w:rsidR="00C4052B">
        <w:t>.</w:t>
      </w:r>
    </w:p>
    <w:p w14:paraId="779AC94A" w14:textId="77777777" w:rsidR="00DD6C09" w:rsidRDefault="00DD6C09" w:rsidP="00AE219D">
      <w:pPr>
        <w:pStyle w:val="BodyTextFirst5"/>
        <w:numPr>
          <w:ilvl w:val="0"/>
          <w:numId w:val="18"/>
        </w:numPr>
      </w:pPr>
      <w:r>
        <w:t>On a per-capita basis, Alabama imposes the death penalty more than any other American state.</w:t>
      </w:r>
      <w:r>
        <w:rPr>
          <w:rStyle w:val="FootnoteReference"/>
        </w:rPr>
        <w:footnoteReference w:id="21"/>
      </w:r>
      <w:r>
        <w:t xml:space="preserve"> One contributing factor for this statistic is </w:t>
      </w:r>
      <w:r w:rsidRPr="0020617D">
        <w:rPr>
          <w:b/>
        </w:rPr>
        <w:t>that Alabama law allows elected state judges to impose the death penalty by overriding a jury’s sentence of life in prison; judges overturn the life sentences of approximately one-fifth of Alabama’s death row inmates and resentence them to death.</w:t>
      </w:r>
      <w:r>
        <w:rPr>
          <w:rStyle w:val="FootnoteReference"/>
        </w:rPr>
        <w:footnoteReference w:id="22"/>
      </w:r>
      <w:r w:rsidRPr="00C80B3C">
        <w:t xml:space="preserve"> </w:t>
      </w:r>
      <w:r>
        <w:t>The racial discrimination that this judicial discretion fosters is apparent in Alabama’s death row statistics: Alabama currently has 198 prisoners on death row, and 99 (50%) of those prisoners are black,</w:t>
      </w:r>
      <w:r>
        <w:rPr>
          <w:rStyle w:val="FootnoteReference"/>
        </w:rPr>
        <w:footnoteReference w:id="23"/>
      </w:r>
      <w:r>
        <w:t xml:space="preserve"> even though 70% of Alabamans are white.</w:t>
      </w:r>
      <w:r>
        <w:rPr>
          <w:rStyle w:val="FootnoteReference"/>
        </w:rPr>
        <w:footnoteReference w:id="24"/>
      </w:r>
    </w:p>
    <w:p w14:paraId="08291B90" w14:textId="20B28514" w:rsidR="00C80B3C" w:rsidRDefault="00C80B3C" w:rsidP="00AE219D">
      <w:pPr>
        <w:pStyle w:val="BodyTextFirst5"/>
        <w:numPr>
          <w:ilvl w:val="0"/>
          <w:numId w:val="18"/>
        </w:numPr>
      </w:pPr>
      <w:r>
        <w:t xml:space="preserve">Discriminatory practice is not the only contributing factor to racial bias in capital punishment. </w:t>
      </w:r>
      <w:r w:rsidRPr="0020617D">
        <w:rPr>
          <w:b/>
        </w:rPr>
        <w:t>Laws</w:t>
      </w:r>
      <w:r w:rsidR="00403727" w:rsidRPr="0020617D">
        <w:rPr>
          <w:b/>
        </w:rPr>
        <w:t xml:space="preserve"> or lack thereof</w:t>
      </w:r>
      <w:r w:rsidRPr="0020617D">
        <w:rPr>
          <w:b/>
        </w:rPr>
        <w:t xml:space="preserve"> also allow racial biases to </w:t>
      </w:r>
      <w:r w:rsidR="00C11BF4" w:rsidRPr="0020617D">
        <w:rPr>
          <w:b/>
        </w:rPr>
        <w:t>influence outcomes</w:t>
      </w:r>
      <w:r w:rsidRPr="0020617D">
        <w:rPr>
          <w:b/>
        </w:rPr>
        <w:t>.</w:t>
      </w:r>
      <w:r>
        <w:t xml:space="preserve"> Recent legal amendments in the state of North Carolina curtailed protections against racial bias in that state’s death penalty system. North Carolina’s 2009 </w:t>
      </w:r>
      <w:r w:rsidRPr="00813E61">
        <w:t>Racial Justice Act</w:t>
      </w:r>
      <w:r>
        <w:t xml:space="preserve"> </w:t>
      </w:r>
      <w:r w:rsidR="00C11BF4">
        <w:t xml:space="preserve">had </w:t>
      </w:r>
      <w:r>
        <w:t xml:space="preserve">mandated that courts vacate death sentences for any defendant </w:t>
      </w:r>
      <w:r w:rsidR="00C11BF4">
        <w:t xml:space="preserve">if </w:t>
      </w:r>
      <w:r>
        <w:t>evidence show</w:t>
      </w:r>
      <w:r w:rsidR="00C11BF4">
        <w:t>ed</w:t>
      </w:r>
      <w:r>
        <w:t xml:space="preserve"> that race was a factor in the imposition of the death penalty.</w:t>
      </w:r>
      <w:r w:rsidR="008555F4">
        <w:t xml:space="preserve"> </w:t>
      </w:r>
      <w:r w:rsidR="0020774E">
        <w:t>Based on that law, four death row inmates had their sentences reduced to life imprisonment without the possibility of parole after presenting a statistical study showing</w:t>
      </w:r>
      <w:r w:rsidR="0020774E">
        <w:rPr>
          <w:rFonts w:ascii="Tahoma" w:hAnsi="Tahoma" w:cs="Tahoma"/>
          <w:color w:val="000000"/>
          <w:sz w:val="20"/>
        </w:rPr>
        <w:t xml:space="preserve"> </w:t>
      </w:r>
      <w:r w:rsidR="0020774E" w:rsidRPr="0020774E">
        <w:rPr>
          <w:color w:val="000000"/>
          <w:szCs w:val="24"/>
        </w:rPr>
        <w:t>“prosecutors in North Carolina were more than twice as likely to strike black jurors as they were white jurors, and that juries were more than 2 ½ times as likely to sentence a defendant to death if at least one of the victims was white.</w:t>
      </w:r>
      <w:r w:rsidR="00280004">
        <w:rPr>
          <w:color w:val="000000"/>
          <w:szCs w:val="24"/>
        </w:rPr>
        <w:t>”</w:t>
      </w:r>
      <w:r w:rsidR="00280004">
        <w:rPr>
          <w:rStyle w:val="FootnoteReference"/>
          <w:color w:val="000000"/>
          <w:szCs w:val="24"/>
        </w:rPr>
        <w:footnoteReference w:id="25"/>
      </w:r>
      <w:r w:rsidR="0020774E">
        <w:t xml:space="preserve"> </w:t>
      </w:r>
      <w:r>
        <w:t xml:space="preserve">On June 5, 2013, however, the North Carolina Legislature repealed that Act, thus </w:t>
      </w:r>
      <w:r w:rsidR="00C11BF4">
        <w:t xml:space="preserve">eliminating </w:t>
      </w:r>
      <w:r>
        <w:t>an important safeguard against North Carolina prosecutor</w:t>
      </w:r>
      <w:r w:rsidR="000427C4">
        <w:t>ial</w:t>
      </w:r>
      <w:r>
        <w:t xml:space="preserve">, </w:t>
      </w:r>
      <w:r w:rsidR="000427C4">
        <w:t>judicial</w:t>
      </w:r>
      <w:r>
        <w:t xml:space="preserve">, and </w:t>
      </w:r>
      <w:r w:rsidR="000427C4">
        <w:t>jury practices that</w:t>
      </w:r>
      <w:r>
        <w:t xml:space="preserve"> use the race of a defendant or victim as a factor at trial and sentencing.</w:t>
      </w:r>
      <w:r>
        <w:rPr>
          <w:rStyle w:val="FootnoteReference"/>
        </w:rPr>
        <w:footnoteReference w:id="26"/>
      </w:r>
      <w:r w:rsidRPr="00C80B3C">
        <w:t xml:space="preserve"> </w:t>
      </w:r>
    </w:p>
    <w:p w14:paraId="2C132A92" w14:textId="77777777" w:rsidR="006E3B65" w:rsidRDefault="00DD6C09" w:rsidP="00AE219D">
      <w:pPr>
        <w:pStyle w:val="BodyTextFirst5"/>
        <w:numPr>
          <w:ilvl w:val="0"/>
          <w:numId w:val="18"/>
        </w:numPr>
      </w:pPr>
      <w:r>
        <w:t>R</w:t>
      </w:r>
      <w:r w:rsidR="000C59AD">
        <w:t xml:space="preserve">acial discrimination throughout charging, </w:t>
      </w:r>
      <w:r w:rsidR="00403727">
        <w:t xml:space="preserve">jury selection, and </w:t>
      </w:r>
      <w:r w:rsidR="000C59AD">
        <w:t xml:space="preserve">sentencing decisions contribute to a </w:t>
      </w:r>
      <w:r w:rsidR="00DD5CE5" w:rsidRPr="00DD5CE5">
        <w:t xml:space="preserve">pattern of racial bias </w:t>
      </w:r>
      <w:r w:rsidR="000C59AD">
        <w:t>in the</w:t>
      </w:r>
      <w:r w:rsidR="00DD5CE5" w:rsidRPr="00DD5CE5">
        <w:t xml:space="preserve"> death penalty</w:t>
      </w:r>
      <w:r w:rsidR="003B6096">
        <w:t>.</w:t>
      </w:r>
      <w:r w:rsidR="000C59AD">
        <w:rPr>
          <w:rStyle w:val="FootnoteReference"/>
        </w:rPr>
        <w:footnoteReference w:id="27"/>
      </w:r>
      <w:r w:rsidR="00E154AB">
        <w:t xml:space="preserve"> </w:t>
      </w:r>
      <w:r w:rsidR="00C77B7C">
        <w:t>The result is that p</w:t>
      </w:r>
      <w:r w:rsidR="00DD5CE5" w:rsidRPr="00DD5CE5">
        <w:t xml:space="preserve">ersons </w:t>
      </w:r>
      <w:r w:rsidR="00C77B7C">
        <w:t>of color</w:t>
      </w:r>
      <w:r w:rsidR="000C59AD">
        <w:t xml:space="preserve"> who</w:t>
      </w:r>
      <w:r w:rsidR="00C77B7C">
        <w:t xml:space="preserve"> murder white victims</w:t>
      </w:r>
      <w:r w:rsidR="00DD5CE5" w:rsidRPr="00DD5CE5">
        <w:t xml:space="preserve"> are more likely to be charged with capital offenses and sentenced to death</w:t>
      </w:r>
      <w:r w:rsidR="00C77B7C" w:rsidRPr="00C77B7C">
        <w:t xml:space="preserve"> </w:t>
      </w:r>
      <w:r w:rsidR="00C77B7C" w:rsidRPr="00DD5CE5">
        <w:t>in the U</w:t>
      </w:r>
      <w:r w:rsidR="00C77B7C">
        <w:t xml:space="preserve">nited </w:t>
      </w:r>
      <w:r w:rsidR="00C77B7C" w:rsidRPr="00DD5CE5">
        <w:t>S</w:t>
      </w:r>
      <w:r w:rsidR="00C77B7C">
        <w:t>tates</w:t>
      </w:r>
      <w:r w:rsidR="00DD5CE5" w:rsidRPr="00DD5CE5">
        <w:t>.</w:t>
      </w:r>
    </w:p>
    <w:p w14:paraId="7654F2E9" w14:textId="5BEE9B53" w:rsidR="00A162B0" w:rsidRPr="00CA4124" w:rsidRDefault="00EA22BE" w:rsidP="00AE219D">
      <w:pPr>
        <w:pStyle w:val="BodyTextFirst5"/>
        <w:numPr>
          <w:ilvl w:val="0"/>
          <w:numId w:val="18"/>
        </w:numPr>
      </w:pPr>
      <w:bookmarkStart w:id="2" w:name="_Ref394045067"/>
      <w:r>
        <w:t>A</w:t>
      </w:r>
      <w:r w:rsidR="00CA4124">
        <w:t xml:space="preserve"> 2014 report</w:t>
      </w:r>
      <w:r w:rsidR="00A07423">
        <w:t xml:space="preserve"> </w:t>
      </w:r>
      <w:r>
        <w:t>by The</w:t>
      </w:r>
      <w:r w:rsidR="00A07423">
        <w:t xml:space="preserve"> Constitution Project </w:t>
      </w:r>
      <w:r w:rsidR="00A162B0">
        <w:t>cites numerous studies that have found glaring racial disparities in the U.S. justice system.</w:t>
      </w:r>
      <w:r>
        <w:rPr>
          <w:rStyle w:val="FootnoteReference"/>
        </w:rPr>
        <w:footnoteReference w:id="28"/>
      </w:r>
      <w:r w:rsidR="008555F4">
        <w:t xml:space="preserve"> </w:t>
      </w:r>
      <w:r w:rsidR="00A162B0">
        <w:t>The report makes the following recommendations for safeguarding racial fairness and proportionality:</w:t>
      </w:r>
      <w:r w:rsidR="008555F4">
        <w:t xml:space="preserve"> </w:t>
      </w:r>
      <w:r w:rsidR="00353340">
        <w:t>(1) develop a framework for collecting and monitoring data on the interplay between capital punishment and race; (2) adopt legislation to ensure that racial discrimination does not play a role in capital punishment; and (3) ensure racial and ethnic diversity among decision-makers.</w:t>
      </w:r>
      <w:r w:rsidR="00353340">
        <w:rPr>
          <w:rStyle w:val="FootnoteReference"/>
        </w:rPr>
        <w:footnoteReference w:id="29"/>
      </w:r>
      <w:bookmarkEnd w:id="2"/>
    </w:p>
    <w:p w14:paraId="33F7C69D" w14:textId="77777777" w:rsidR="00E154AB" w:rsidRPr="00395BF4" w:rsidRDefault="00E154AB" w:rsidP="00813E61">
      <w:pPr>
        <w:pStyle w:val="BodyText"/>
        <w:spacing w:after="120"/>
        <w:ind w:left="720"/>
        <w:rPr>
          <w:rFonts w:eastAsia="Calibri"/>
          <w:b/>
          <w:i/>
        </w:rPr>
      </w:pPr>
      <w:r w:rsidRPr="00395BF4">
        <w:rPr>
          <w:rFonts w:eastAsia="Calibri"/>
          <w:b/>
          <w:i/>
        </w:rPr>
        <w:t>Recommendations</w:t>
      </w:r>
    </w:p>
    <w:p w14:paraId="438B3327" w14:textId="77777777" w:rsidR="00441EE3" w:rsidRDefault="00441EE3" w:rsidP="007D57AE">
      <w:pPr>
        <w:pStyle w:val="BodyTextFirst5"/>
        <w:numPr>
          <w:ilvl w:val="0"/>
          <w:numId w:val="22"/>
        </w:numPr>
      </w:pPr>
      <w:bookmarkStart w:id="3" w:name="_Ref393964339"/>
      <w:r w:rsidRPr="007E2768">
        <w:t>The following recommendations are compiled from</w:t>
      </w:r>
      <w:r>
        <w:t xml:space="preserve"> the Constitution Project Report:</w:t>
      </w:r>
      <w:bookmarkEnd w:id="3"/>
    </w:p>
    <w:p w14:paraId="4E3628E6" w14:textId="32328099" w:rsidR="00E51E1B" w:rsidRDefault="005B3B83" w:rsidP="007D57AE">
      <w:pPr>
        <w:pStyle w:val="BodyTextFirst5"/>
        <w:numPr>
          <w:ilvl w:val="1"/>
          <w:numId w:val="23"/>
        </w:numPr>
      </w:pPr>
      <w:r>
        <w:t xml:space="preserve">The United States should </w:t>
      </w:r>
      <w:r w:rsidR="00594CA4">
        <w:t>develop a framework for collecting and monitoring data on the interplay between the death penalty and race, including conducting</w:t>
      </w:r>
      <w:r>
        <w:t xml:space="preserve"> studies to identify the root causes and factors of racial disparities pertaining</w:t>
      </w:r>
      <w:r w:rsidR="00550C06">
        <w:t xml:space="preserve"> specifically</w:t>
      </w:r>
      <w:r>
        <w:t xml:space="preserve"> to the death penalty, with the objective of developing means to eliminate racial bias in the </w:t>
      </w:r>
      <w:r w:rsidR="00550C06">
        <w:t>imposition of the death penalty and more broadly throughout the United States criminal justice system</w:t>
      </w:r>
      <w:r>
        <w:t>.</w:t>
      </w:r>
      <w:r w:rsidR="008555F4">
        <w:t xml:space="preserve"> </w:t>
      </w:r>
    </w:p>
    <w:p w14:paraId="0ECBCF35" w14:textId="77777777" w:rsidR="00594CA4" w:rsidRDefault="00594CA4" w:rsidP="007D57AE">
      <w:pPr>
        <w:pStyle w:val="BodyTextFirst5"/>
        <w:numPr>
          <w:ilvl w:val="1"/>
          <w:numId w:val="23"/>
        </w:numPr>
      </w:pPr>
      <w:r>
        <w:t>The United States should adopt legislation to ensure that racial discrimination does not play a role in capit</w:t>
      </w:r>
      <w:r w:rsidR="00441EE3">
        <w:t>al punishment</w:t>
      </w:r>
      <w:r>
        <w:t>.</w:t>
      </w:r>
    </w:p>
    <w:p w14:paraId="3BD8DAF4" w14:textId="77777777" w:rsidR="00594CA4" w:rsidRDefault="00594CA4" w:rsidP="007D57AE">
      <w:pPr>
        <w:pStyle w:val="BodyTextFirst5"/>
        <w:numPr>
          <w:ilvl w:val="1"/>
          <w:numId w:val="23"/>
        </w:numPr>
      </w:pPr>
      <w:r>
        <w:t xml:space="preserve">The United States should adopt measures to ensure racial and ethnic diversity among decision-makers. </w:t>
      </w:r>
    </w:p>
    <w:p w14:paraId="09548D0C" w14:textId="62E697D2" w:rsidR="005B3B83" w:rsidRDefault="005B3B83" w:rsidP="007D57AE">
      <w:pPr>
        <w:pStyle w:val="BodyTextFirst5"/>
        <w:numPr>
          <w:ilvl w:val="0"/>
          <w:numId w:val="22"/>
        </w:numPr>
      </w:pPr>
      <w:r>
        <w:t xml:space="preserve">The United States should adopt all necessary measures, including a moratorium, to ensure that </w:t>
      </w:r>
      <w:r w:rsidR="00141D80">
        <w:t xml:space="preserve">the </w:t>
      </w:r>
      <w:r>
        <w:t>death penalty is not imposed as a result of racial bias on the part of prosecutors, judges, juries</w:t>
      </w:r>
      <w:r w:rsidR="007E662F">
        <w:t>,</w:t>
      </w:r>
      <w:r>
        <w:t xml:space="preserve"> </w:t>
      </w:r>
      <w:r w:rsidR="007E662F">
        <w:t xml:space="preserve">or </w:t>
      </w:r>
      <w:r>
        <w:t>lawyers</w:t>
      </w:r>
      <w:r w:rsidR="007E662F">
        <w:t>.</w:t>
      </w:r>
      <w:r w:rsidR="008555F4">
        <w:t xml:space="preserve"> </w:t>
      </w:r>
    </w:p>
    <w:p w14:paraId="0BB3C700" w14:textId="77777777" w:rsidR="00C4052B" w:rsidRPr="00813E61" w:rsidRDefault="00C4052B" w:rsidP="00254032">
      <w:pPr>
        <w:pStyle w:val="BodyTextFirst5"/>
        <w:keepNext/>
        <w:ind w:firstLine="0"/>
        <w:rPr>
          <w:b/>
          <w:i/>
        </w:rPr>
      </w:pPr>
      <w:r w:rsidRPr="00813E61">
        <w:rPr>
          <w:b/>
          <w:i/>
        </w:rPr>
        <w:t>Questions</w:t>
      </w:r>
    </w:p>
    <w:p w14:paraId="0AE602FA" w14:textId="77777777" w:rsidR="00DD5CE5" w:rsidRDefault="00C77B7C" w:rsidP="007D57AE">
      <w:pPr>
        <w:pStyle w:val="BodyTextFirst5"/>
        <w:numPr>
          <w:ilvl w:val="0"/>
          <w:numId w:val="21"/>
        </w:numPr>
      </w:pPr>
      <w:r>
        <w:t>What steps is the United States taking to identify patterns and causes of racial discrimination</w:t>
      </w:r>
      <w:r w:rsidR="00441EE3">
        <w:t>,</w:t>
      </w:r>
      <w:r>
        <w:t xml:space="preserve"> </w:t>
      </w:r>
      <w:r w:rsidR="00550C06">
        <w:t xml:space="preserve">specifically </w:t>
      </w:r>
      <w:r>
        <w:t>in its death penalty system?</w:t>
      </w:r>
    </w:p>
    <w:p w14:paraId="350CD83C" w14:textId="77777777" w:rsidR="00C77B7C" w:rsidRDefault="00C77B7C" w:rsidP="007D57AE">
      <w:pPr>
        <w:pStyle w:val="BodyTextFirst5"/>
        <w:numPr>
          <w:ilvl w:val="0"/>
          <w:numId w:val="21"/>
        </w:numPr>
      </w:pPr>
      <w:r>
        <w:t xml:space="preserve">What measures, if any, is the United States taking to address racial bias in the death penalty? </w:t>
      </w:r>
    </w:p>
    <w:p w14:paraId="48D03E1A" w14:textId="77777777" w:rsidR="006F6DCF" w:rsidRDefault="006F6DCF" w:rsidP="007D57AE">
      <w:pPr>
        <w:pStyle w:val="BodyTextFirst5"/>
        <w:numPr>
          <w:ilvl w:val="0"/>
          <w:numId w:val="21"/>
        </w:numPr>
      </w:pPr>
      <w:r>
        <w:t>What steps, if any, is the United States taking to ensure racial and ethnic diversity among decision-makers in connection with the imposition of the death penalty?</w:t>
      </w:r>
    </w:p>
    <w:p w14:paraId="77EB5025" w14:textId="77777777" w:rsidR="00F3460E" w:rsidRPr="002D1459" w:rsidRDefault="00F3460E" w:rsidP="00AE219D">
      <w:pPr>
        <w:pStyle w:val="BodyTextFirst5"/>
        <w:numPr>
          <w:ilvl w:val="0"/>
          <w:numId w:val="19"/>
        </w:numPr>
        <w:rPr>
          <w:b/>
        </w:rPr>
      </w:pPr>
      <w:r w:rsidRPr="002D1459">
        <w:rPr>
          <w:b/>
        </w:rPr>
        <w:t>Wrongful Convictions and the Right to a</w:t>
      </w:r>
      <w:r>
        <w:rPr>
          <w:b/>
        </w:rPr>
        <w:t>n Effective</w:t>
      </w:r>
      <w:r w:rsidRPr="002D1459">
        <w:rPr>
          <w:b/>
        </w:rPr>
        <w:t xml:space="preserve"> Remedy</w:t>
      </w:r>
    </w:p>
    <w:p w14:paraId="196EA071" w14:textId="1E6BFF53" w:rsidR="00F3460E" w:rsidRPr="00EA22BE" w:rsidRDefault="00F3460E" w:rsidP="00AE219D">
      <w:pPr>
        <w:pStyle w:val="BodyTextFirst5"/>
        <w:numPr>
          <w:ilvl w:val="0"/>
          <w:numId w:val="18"/>
        </w:numPr>
        <w:rPr>
          <w:rFonts w:eastAsia="Calibri"/>
        </w:rPr>
      </w:pPr>
      <w:bookmarkStart w:id="4" w:name="_Ref394045077"/>
      <w:r w:rsidRPr="00EA22BE">
        <w:rPr>
          <w:rFonts w:eastAsia="Calibri"/>
        </w:rPr>
        <w:t xml:space="preserve">Wrongful convictions are a grave concern in the United States. </w:t>
      </w:r>
      <w:r w:rsidRPr="00DB469E">
        <w:rPr>
          <w:rFonts w:eastAsia="Calibri"/>
          <w:b/>
        </w:rPr>
        <w:t>Since 1973, 14</w:t>
      </w:r>
      <w:r w:rsidR="002E7BE9" w:rsidRPr="00DB469E">
        <w:rPr>
          <w:rFonts w:eastAsia="Calibri"/>
          <w:b/>
        </w:rPr>
        <w:t>4</w:t>
      </w:r>
      <w:r w:rsidRPr="00DB469E">
        <w:rPr>
          <w:rFonts w:eastAsia="Calibri"/>
          <w:b/>
        </w:rPr>
        <w:t xml:space="preserve"> individuals have been exonerated from death row.</w:t>
      </w:r>
      <w:r w:rsidRPr="00664746">
        <w:rPr>
          <w:rFonts w:eastAsia="Calibri"/>
          <w:vertAlign w:val="superscript"/>
        </w:rPr>
        <w:footnoteReference w:id="30"/>
      </w:r>
      <w:r w:rsidRPr="00EA22BE">
        <w:rPr>
          <w:rFonts w:eastAsia="Calibri"/>
        </w:rPr>
        <w:t xml:space="preserve"> These exonerations show that U.S. states have imposed the death penalty on </w:t>
      </w:r>
      <w:r w:rsidRPr="00813E61">
        <w:t>innocent</w:t>
      </w:r>
      <w:r w:rsidRPr="00EA22BE">
        <w:rPr>
          <w:rFonts w:eastAsia="Calibri"/>
        </w:rPr>
        <w:t xml:space="preserve"> individuals and wrongly imprisoned them for years under a sentence of death; in fact, these individuals have spent</w:t>
      </w:r>
      <w:r w:rsidR="006442C5" w:rsidRPr="00EA22BE">
        <w:rPr>
          <w:rFonts w:eastAsia="Calibri"/>
        </w:rPr>
        <w:t xml:space="preserve"> a total of 1,50</w:t>
      </w:r>
      <w:r w:rsidRPr="00EA22BE">
        <w:rPr>
          <w:rFonts w:eastAsia="Calibri"/>
        </w:rPr>
        <w:t>5 years as wrongfully accused.</w:t>
      </w:r>
      <w:r>
        <w:rPr>
          <w:rStyle w:val="FootnoteReference"/>
          <w:rFonts w:eastAsia="Calibri"/>
        </w:rPr>
        <w:footnoteReference w:id="31"/>
      </w:r>
      <w:r w:rsidR="008555F4">
        <w:rPr>
          <w:rFonts w:eastAsia="Calibri"/>
        </w:rPr>
        <w:t xml:space="preserve"> </w:t>
      </w:r>
      <w:r w:rsidR="0008270A" w:rsidRPr="00EA22BE">
        <w:rPr>
          <w:rFonts w:eastAsia="Calibri"/>
        </w:rPr>
        <w:t>A</w:t>
      </w:r>
      <w:r w:rsidR="0019323C" w:rsidRPr="00EA22BE">
        <w:rPr>
          <w:rFonts w:eastAsia="Calibri"/>
        </w:rPr>
        <w:t xml:space="preserve"> recent </w:t>
      </w:r>
      <w:r w:rsidR="0008270A" w:rsidRPr="00EA22BE">
        <w:rPr>
          <w:rFonts w:eastAsia="Calibri"/>
        </w:rPr>
        <w:t>study</w:t>
      </w:r>
      <w:r w:rsidR="002047FA" w:rsidRPr="00EA22BE">
        <w:rPr>
          <w:rFonts w:eastAsia="Calibri"/>
        </w:rPr>
        <w:t xml:space="preserve"> published in the </w:t>
      </w:r>
      <w:r w:rsidR="002047FA" w:rsidRPr="00EA22BE">
        <w:rPr>
          <w:bCs/>
          <w:szCs w:val="24"/>
        </w:rPr>
        <w:t>Proceedings of the National Academy of Sciences</w:t>
      </w:r>
      <w:r w:rsidR="0008270A" w:rsidRPr="00EA22BE">
        <w:rPr>
          <w:rFonts w:eastAsia="Calibri"/>
          <w:szCs w:val="24"/>
        </w:rPr>
        <w:t xml:space="preserve"> </w:t>
      </w:r>
      <w:r w:rsidR="0008270A" w:rsidRPr="00EA22BE">
        <w:rPr>
          <w:rFonts w:eastAsia="Calibri"/>
        </w:rPr>
        <w:t>e</w:t>
      </w:r>
      <w:r w:rsidR="002047FA" w:rsidRPr="00EA22BE">
        <w:rPr>
          <w:rFonts w:eastAsia="Calibri"/>
        </w:rPr>
        <w:t>stimates</w:t>
      </w:r>
      <w:r w:rsidR="0008270A" w:rsidRPr="00EA22BE">
        <w:rPr>
          <w:rFonts w:eastAsia="Calibri"/>
        </w:rPr>
        <w:t xml:space="preserve"> that if all death-sentenced defendants in the United States remained under sentence of death indefinitely, at least 4.1% would be exonerated</w:t>
      </w:r>
      <w:r w:rsidR="00D20F66" w:rsidRPr="00EA22BE">
        <w:rPr>
          <w:rFonts w:eastAsia="Calibri"/>
        </w:rPr>
        <w:t xml:space="preserve"> (PNAS Study</w:t>
      </w:r>
      <w:r w:rsidR="00E030EC" w:rsidRPr="00EA22BE">
        <w:rPr>
          <w:rFonts w:eastAsia="Calibri"/>
        </w:rPr>
        <w:t>)</w:t>
      </w:r>
      <w:r w:rsidR="0008270A" w:rsidRPr="00EA22BE">
        <w:rPr>
          <w:rFonts w:eastAsia="Calibri"/>
        </w:rPr>
        <w:t>.</w:t>
      </w:r>
      <w:r w:rsidR="002047FA">
        <w:rPr>
          <w:rStyle w:val="FootnoteReference"/>
          <w:rFonts w:eastAsia="Calibri"/>
        </w:rPr>
        <w:footnoteReference w:id="32"/>
      </w:r>
      <w:bookmarkEnd w:id="4"/>
      <w:r w:rsidR="008555F4">
        <w:rPr>
          <w:rFonts w:eastAsia="Calibri"/>
        </w:rPr>
        <w:t xml:space="preserve"> </w:t>
      </w:r>
    </w:p>
    <w:p w14:paraId="440DD269" w14:textId="1C56A51E" w:rsidR="00F3460E" w:rsidRDefault="00E030EC" w:rsidP="00AE219D">
      <w:pPr>
        <w:pStyle w:val="BodyTextFirst5"/>
        <w:numPr>
          <w:ilvl w:val="0"/>
          <w:numId w:val="18"/>
        </w:numPr>
        <w:rPr>
          <w:rFonts w:eastAsia="Calibri"/>
        </w:rPr>
      </w:pPr>
      <w:r>
        <w:rPr>
          <w:rFonts w:eastAsia="Calibri"/>
        </w:rPr>
        <w:t>The results of the PNAS Study and other available information</w:t>
      </w:r>
      <w:r w:rsidR="002047FA">
        <w:rPr>
          <w:rFonts w:eastAsia="Calibri"/>
        </w:rPr>
        <w:t xml:space="preserve"> points to an </w:t>
      </w:r>
      <w:r w:rsidR="00F3460E">
        <w:rPr>
          <w:rFonts w:eastAsia="Calibri"/>
        </w:rPr>
        <w:t xml:space="preserve">even </w:t>
      </w:r>
      <w:r w:rsidR="00F3460E" w:rsidRPr="00DB469E">
        <w:rPr>
          <w:rFonts w:eastAsia="Calibri"/>
          <w:b/>
        </w:rPr>
        <w:t>graver concern</w:t>
      </w:r>
      <w:r w:rsidR="002047FA" w:rsidRPr="00DB469E">
        <w:rPr>
          <w:rFonts w:eastAsia="Calibri"/>
          <w:b/>
        </w:rPr>
        <w:t xml:space="preserve"> that there have been individuals </w:t>
      </w:r>
      <w:r w:rsidR="00F3460E" w:rsidRPr="00DB469E">
        <w:rPr>
          <w:rFonts w:eastAsia="Calibri"/>
          <w:b/>
        </w:rPr>
        <w:t>who were likely innocent but executed</w:t>
      </w:r>
      <w:r w:rsidR="002047FA">
        <w:rPr>
          <w:rFonts w:eastAsia="Calibri"/>
        </w:rPr>
        <w:t>, and that additional innocent individuals are likely to be executed in the future</w:t>
      </w:r>
      <w:r w:rsidR="00F3460E">
        <w:rPr>
          <w:rFonts w:eastAsia="Calibri"/>
        </w:rPr>
        <w:t>.</w:t>
      </w:r>
      <w:r w:rsidR="00F3460E">
        <w:rPr>
          <w:rStyle w:val="FootnoteReference"/>
          <w:rFonts w:eastAsia="Calibri"/>
        </w:rPr>
        <w:footnoteReference w:id="33"/>
      </w:r>
      <w:r w:rsidR="00F3460E">
        <w:rPr>
          <w:rFonts w:eastAsia="Calibri"/>
        </w:rPr>
        <w:t xml:space="preserve"> For example, Troy</w:t>
      </w:r>
      <w:r w:rsidR="00F3460E" w:rsidRPr="00C717C7">
        <w:rPr>
          <w:szCs w:val="24"/>
        </w:rPr>
        <w:t xml:space="preserve"> Davis</w:t>
      </w:r>
      <w:r w:rsidR="006E1E5C">
        <w:rPr>
          <w:szCs w:val="24"/>
        </w:rPr>
        <w:t>, an African American,</w:t>
      </w:r>
      <w:r w:rsidR="00F3460E" w:rsidRPr="00C717C7">
        <w:rPr>
          <w:szCs w:val="24"/>
        </w:rPr>
        <w:t xml:space="preserve"> was convicted </w:t>
      </w:r>
      <w:r w:rsidR="00F3460E">
        <w:rPr>
          <w:szCs w:val="24"/>
        </w:rPr>
        <w:t>for</w:t>
      </w:r>
      <w:r w:rsidR="00F3460E" w:rsidRPr="00C717C7">
        <w:rPr>
          <w:szCs w:val="24"/>
        </w:rPr>
        <w:t xml:space="preserve"> the 1989 murder of </w:t>
      </w:r>
      <w:r w:rsidR="00F3460E">
        <w:rPr>
          <w:szCs w:val="24"/>
        </w:rPr>
        <w:t xml:space="preserve">a </w:t>
      </w:r>
      <w:r w:rsidR="00F3460E" w:rsidRPr="00C717C7">
        <w:rPr>
          <w:szCs w:val="24"/>
        </w:rPr>
        <w:t xml:space="preserve">police officer, a conviction based solely on witness testimony and no physical evidence. Since his trial, seven of the nine eyewitnesses have recanted </w:t>
      </w:r>
      <w:r w:rsidR="00F3460E">
        <w:rPr>
          <w:szCs w:val="24"/>
        </w:rPr>
        <w:t>or contradicted their testimony, and</w:t>
      </w:r>
      <w:r w:rsidR="00F3460E" w:rsidRPr="00C717C7">
        <w:rPr>
          <w:szCs w:val="24"/>
        </w:rPr>
        <w:t xml:space="preserve"> one of the remaining witnesses </w:t>
      </w:r>
      <w:r w:rsidR="00F3460E">
        <w:rPr>
          <w:szCs w:val="24"/>
        </w:rPr>
        <w:t>was</w:t>
      </w:r>
      <w:r w:rsidR="00F3460E" w:rsidRPr="00C717C7">
        <w:rPr>
          <w:szCs w:val="24"/>
        </w:rPr>
        <w:t xml:space="preserve"> implicated by nine others as the actual murderer.</w:t>
      </w:r>
      <w:r w:rsidR="00F3460E">
        <w:rPr>
          <w:szCs w:val="24"/>
        </w:rPr>
        <w:t xml:space="preserve"> Despite widespread calls for clemency, </w:t>
      </w:r>
      <w:r w:rsidR="00F3460E">
        <w:rPr>
          <w:rFonts w:eastAsia="Calibri"/>
        </w:rPr>
        <w:t>the state of Georgia executed Davis on September 21, 2011.</w:t>
      </w:r>
      <w:r w:rsidR="00F3460E">
        <w:rPr>
          <w:rStyle w:val="FootnoteReference"/>
          <w:rFonts w:eastAsia="Calibri"/>
        </w:rPr>
        <w:footnoteReference w:id="34"/>
      </w:r>
    </w:p>
    <w:p w14:paraId="614DEB4C" w14:textId="220A259C" w:rsidR="006F1007" w:rsidRPr="005F6CA1" w:rsidRDefault="00D1231C" w:rsidP="00AE219D">
      <w:pPr>
        <w:pStyle w:val="BodyTextFirst5"/>
        <w:numPr>
          <w:ilvl w:val="0"/>
          <w:numId w:val="18"/>
        </w:numPr>
        <w:rPr>
          <w:rFonts w:eastAsia="Calibri"/>
        </w:rPr>
      </w:pPr>
      <w:r>
        <w:rPr>
          <w:rFonts w:eastAsia="Calibri"/>
        </w:rPr>
        <w:t>According to a February 4, 2014 report by the National Registry of Exonerations</w:t>
      </w:r>
      <w:r w:rsidR="00D20F66">
        <w:rPr>
          <w:rFonts w:eastAsia="Calibri"/>
        </w:rPr>
        <w:t xml:space="preserve"> (National Registry</w:t>
      </w:r>
      <w:r w:rsidR="004B4D50">
        <w:rPr>
          <w:rFonts w:eastAsia="Calibri"/>
        </w:rPr>
        <w:t>)</w:t>
      </w:r>
      <w:r>
        <w:rPr>
          <w:rFonts w:eastAsia="Calibri"/>
        </w:rPr>
        <w:t xml:space="preserve">, </w:t>
      </w:r>
      <w:r w:rsidRPr="00DB469E">
        <w:rPr>
          <w:rFonts w:eastAsia="Calibri"/>
          <w:b/>
        </w:rPr>
        <w:t xml:space="preserve">black defendants are over-represented among </w:t>
      </w:r>
      <w:proofErr w:type="spellStart"/>
      <w:r w:rsidRPr="00DB469E">
        <w:rPr>
          <w:rFonts w:eastAsia="Calibri"/>
          <w:b/>
        </w:rPr>
        <w:t>exonerees</w:t>
      </w:r>
      <w:proofErr w:type="spellEnd"/>
      <w:r w:rsidR="00BA0F92" w:rsidRPr="00DB469E">
        <w:rPr>
          <w:rFonts w:eastAsia="Calibri"/>
          <w:b/>
        </w:rPr>
        <w:t xml:space="preserve"> </w:t>
      </w:r>
      <w:r w:rsidR="00EA22BE" w:rsidRPr="00DB469E">
        <w:rPr>
          <w:rFonts w:eastAsia="Calibri"/>
          <w:b/>
        </w:rPr>
        <w:t>from both prison and death row populations</w:t>
      </w:r>
      <w:r>
        <w:rPr>
          <w:rFonts w:eastAsia="Calibri"/>
        </w:rPr>
        <w:t>, particularly in sexual assault, robbery</w:t>
      </w:r>
      <w:r w:rsidR="00DD6C09">
        <w:rPr>
          <w:rFonts w:eastAsia="Calibri"/>
        </w:rPr>
        <w:t>,</w:t>
      </w:r>
      <w:r>
        <w:rPr>
          <w:rFonts w:eastAsia="Calibri"/>
        </w:rPr>
        <w:t xml:space="preserve"> and drug cases.</w:t>
      </w:r>
      <w:r w:rsidR="004B4D50">
        <w:rPr>
          <w:rStyle w:val="FootnoteReference"/>
          <w:rFonts w:eastAsia="Calibri"/>
        </w:rPr>
        <w:footnoteReference w:id="35"/>
      </w:r>
      <w:r w:rsidR="008555F4">
        <w:rPr>
          <w:rFonts w:eastAsia="Calibri"/>
        </w:rPr>
        <w:t xml:space="preserve"> </w:t>
      </w:r>
      <w:r>
        <w:rPr>
          <w:rFonts w:eastAsia="Calibri"/>
        </w:rPr>
        <w:t>For example, black defendants constitute 25% of prisoners incarcerated for rape, but 61% of those</w:t>
      </w:r>
      <w:r w:rsidR="00EA22BE">
        <w:rPr>
          <w:rFonts w:eastAsia="Calibri"/>
        </w:rPr>
        <w:t xml:space="preserve"> who were actually innocent and</w:t>
      </w:r>
      <w:r>
        <w:rPr>
          <w:rFonts w:eastAsia="Calibri"/>
        </w:rPr>
        <w:t xml:space="preserve"> exonerated for such crimes.</w:t>
      </w:r>
      <w:r w:rsidR="004B4D50">
        <w:rPr>
          <w:rStyle w:val="FootnoteReference"/>
          <w:rFonts w:eastAsia="Calibri"/>
        </w:rPr>
        <w:footnoteReference w:id="36"/>
      </w:r>
      <w:r w:rsidR="008555F4">
        <w:rPr>
          <w:rFonts w:eastAsia="Calibri"/>
        </w:rPr>
        <w:t xml:space="preserve"> </w:t>
      </w:r>
      <w:r w:rsidR="00B71687">
        <w:rPr>
          <w:rFonts w:eastAsia="Calibri"/>
        </w:rPr>
        <w:t xml:space="preserve">Further, the Innocence Project reports that while </w:t>
      </w:r>
      <w:r w:rsidR="00B71687" w:rsidRPr="00B71687">
        <w:rPr>
          <w:szCs w:val="24"/>
        </w:rPr>
        <w:t>most sexual assaults nationwide are among perpetrators and victims of the same race (the federal government says just 12% of sexual assaults are cross</w:t>
      </w:r>
      <w:r w:rsidR="00DD6C09">
        <w:rPr>
          <w:szCs w:val="24"/>
        </w:rPr>
        <w:t>-</w:t>
      </w:r>
      <w:r w:rsidR="00B71687" w:rsidRPr="00B71687">
        <w:rPr>
          <w:szCs w:val="24"/>
        </w:rPr>
        <w:t xml:space="preserve">racial), </w:t>
      </w:r>
      <w:r w:rsidR="00B71687" w:rsidRPr="00DB469E">
        <w:rPr>
          <w:b/>
          <w:szCs w:val="24"/>
        </w:rPr>
        <w:t>two-thirds of all black men exonerated through DNA evidence were wrongfully convicted of raping white people</w:t>
      </w:r>
      <w:r w:rsidR="00B71687" w:rsidRPr="00B71687">
        <w:rPr>
          <w:szCs w:val="24"/>
        </w:rPr>
        <w:t>.</w:t>
      </w:r>
      <w:r w:rsidR="00B71687">
        <w:rPr>
          <w:rStyle w:val="FootnoteReference"/>
          <w:szCs w:val="24"/>
        </w:rPr>
        <w:footnoteReference w:id="37"/>
      </w:r>
      <w:r w:rsidR="008555F4">
        <w:rPr>
          <w:szCs w:val="24"/>
        </w:rPr>
        <w:t xml:space="preserve"> </w:t>
      </w:r>
    </w:p>
    <w:p w14:paraId="0548A4B2" w14:textId="242BB774" w:rsidR="005F6CA1" w:rsidRPr="006F1007" w:rsidRDefault="005F6CA1" w:rsidP="00AE219D">
      <w:pPr>
        <w:pStyle w:val="BodyTextFirst5"/>
        <w:numPr>
          <w:ilvl w:val="0"/>
          <w:numId w:val="18"/>
        </w:numPr>
        <w:rPr>
          <w:rFonts w:eastAsia="Calibri"/>
        </w:rPr>
      </w:pPr>
      <w:r w:rsidRPr="00DB469E">
        <w:rPr>
          <w:rFonts w:eastAsia="Calibri"/>
          <w:b/>
        </w:rPr>
        <w:t>Of the 1,218 exonerations the National Registry has identified between January 1989 and December 2013, 47% were black; 11% were Hispanic; and 2% were Native American or Asian.</w:t>
      </w:r>
      <w:r>
        <w:rPr>
          <w:rStyle w:val="FootnoteReference"/>
          <w:rFonts w:eastAsia="Calibri"/>
        </w:rPr>
        <w:footnoteReference w:id="38"/>
      </w:r>
      <w:r w:rsidR="00EA22BE">
        <w:rPr>
          <w:rFonts w:eastAsia="Calibri"/>
        </w:rPr>
        <w:t xml:space="preserve"> There are several reasons for wrongful convictions, including </w:t>
      </w:r>
      <w:r w:rsidR="00EA22BE" w:rsidRPr="00E154AB">
        <w:rPr>
          <w:rFonts w:eastAsia="Calibri"/>
        </w:rPr>
        <w:t xml:space="preserve">eyewitness </w:t>
      </w:r>
      <w:r w:rsidR="00EA22BE">
        <w:rPr>
          <w:rFonts w:eastAsia="Calibri"/>
        </w:rPr>
        <w:t>mis</w:t>
      </w:r>
      <w:r w:rsidR="00EA22BE" w:rsidRPr="00B4653C">
        <w:rPr>
          <w:rFonts w:eastAsia="Calibri"/>
        </w:rPr>
        <w:t>identification, poor forensics</w:t>
      </w:r>
      <w:r w:rsidR="00EA22BE">
        <w:rPr>
          <w:rFonts w:eastAsia="Calibri"/>
        </w:rPr>
        <w:t xml:space="preserve"> (“junk science”)</w:t>
      </w:r>
      <w:r w:rsidR="00EA22BE" w:rsidRPr="00B4653C">
        <w:rPr>
          <w:rFonts w:eastAsia="Calibri"/>
        </w:rPr>
        <w:t>, false confessions,</w:t>
      </w:r>
      <w:r w:rsidR="00EA22BE">
        <w:rPr>
          <w:rFonts w:eastAsia="Calibri"/>
        </w:rPr>
        <w:t xml:space="preserve"> snitch testimony, government </w:t>
      </w:r>
      <w:r w:rsidR="00EA22BE" w:rsidRPr="00B4653C">
        <w:rPr>
          <w:rFonts w:eastAsia="Calibri"/>
        </w:rPr>
        <w:t>misconduct</w:t>
      </w:r>
      <w:r w:rsidR="00EA22BE" w:rsidRPr="00216BD3">
        <w:rPr>
          <w:rFonts w:eastAsia="Calibri"/>
        </w:rPr>
        <w:t xml:space="preserve">, and </w:t>
      </w:r>
      <w:r w:rsidR="00EA22BE">
        <w:rPr>
          <w:rFonts w:eastAsia="Calibri"/>
        </w:rPr>
        <w:t>ineffective assistance of counsel.</w:t>
      </w:r>
      <w:r w:rsidR="00EA22BE">
        <w:rPr>
          <w:rStyle w:val="FootnoteReference"/>
          <w:rFonts w:eastAsia="Calibri"/>
        </w:rPr>
        <w:footnoteReference w:id="39"/>
      </w:r>
      <w:r w:rsidR="00EA22BE">
        <w:rPr>
          <w:rFonts w:eastAsia="Calibri"/>
        </w:rPr>
        <w:t xml:space="preserve"> </w:t>
      </w:r>
      <w:r w:rsidR="00441EE3">
        <w:rPr>
          <w:rFonts w:eastAsia="Calibri"/>
        </w:rPr>
        <w:t>The National Registry lists the following most common causal factors for all exonerations:</w:t>
      </w:r>
      <w:r w:rsidR="008555F4">
        <w:rPr>
          <w:rFonts w:eastAsia="Calibri"/>
        </w:rPr>
        <w:t xml:space="preserve"> </w:t>
      </w:r>
      <w:r w:rsidR="00441EE3">
        <w:rPr>
          <w:rFonts w:eastAsia="Calibri"/>
        </w:rPr>
        <w:t>perjury or false accusation (56%); official misconduct (46%); and mistaken eyewitness identification (38%).</w:t>
      </w:r>
      <w:r w:rsidR="00E921CF">
        <w:rPr>
          <w:rStyle w:val="FootnoteReference"/>
          <w:rFonts w:eastAsia="Calibri"/>
        </w:rPr>
        <w:footnoteReference w:id="40"/>
      </w:r>
      <w:r w:rsidR="00441EE3">
        <w:rPr>
          <w:rFonts w:eastAsia="Calibri"/>
        </w:rPr>
        <w:t xml:space="preserve"> Further, according to the Innocence Project, of the 230 people who have been exonerated through DNA testing in the United States, 75% involved eyewitness misidentification.</w:t>
      </w:r>
      <w:bookmarkStart w:id="5" w:name="_Ref394059621"/>
      <w:r w:rsidR="00E921CF">
        <w:rPr>
          <w:rStyle w:val="FootnoteReference"/>
          <w:rFonts w:eastAsia="Calibri"/>
        </w:rPr>
        <w:footnoteReference w:id="41"/>
      </w:r>
      <w:bookmarkEnd w:id="5"/>
    </w:p>
    <w:p w14:paraId="4EE2EB39" w14:textId="6C6D3637" w:rsidR="002A5975" w:rsidRPr="006F1007" w:rsidRDefault="002A5975" w:rsidP="00AE219D">
      <w:pPr>
        <w:pStyle w:val="BodyTextFirst5"/>
        <w:numPr>
          <w:ilvl w:val="0"/>
          <w:numId w:val="18"/>
        </w:numPr>
        <w:rPr>
          <w:rFonts w:eastAsia="Calibri"/>
        </w:rPr>
      </w:pPr>
      <w:r w:rsidRPr="00DB469E">
        <w:rPr>
          <w:b/>
          <w:szCs w:val="24"/>
        </w:rPr>
        <w:t xml:space="preserve">Cross-racial misidentifications are </w:t>
      </w:r>
      <w:r w:rsidR="00872FE3" w:rsidRPr="00DB469E">
        <w:rPr>
          <w:b/>
          <w:szCs w:val="24"/>
        </w:rPr>
        <w:t>viewed as</w:t>
      </w:r>
      <w:r w:rsidRPr="00DB469E">
        <w:rPr>
          <w:b/>
          <w:szCs w:val="24"/>
        </w:rPr>
        <w:t xml:space="preserve"> </w:t>
      </w:r>
      <w:r w:rsidR="006442C5" w:rsidRPr="00DB469E">
        <w:rPr>
          <w:b/>
          <w:szCs w:val="24"/>
        </w:rPr>
        <w:t>one of the chief causes of the</w:t>
      </w:r>
      <w:r w:rsidRPr="00DB469E">
        <w:rPr>
          <w:b/>
          <w:szCs w:val="24"/>
        </w:rPr>
        <w:t xml:space="preserve"> disproportionate </w:t>
      </w:r>
      <w:r w:rsidR="006442C5" w:rsidRPr="00DB469E">
        <w:rPr>
          <w:b/>
          <w:szCs w:val="24"/>
        </w:rPr>
        <w:t>number of minority exonerations</w:t>
      </w:r>
      <w:r w:rsidRPr="00DB469E">
        <w:rPr>
          <w:b/>
          <w:szCs w:val="24"/>
        </w:rPr>
        <w:t>.</w:t>
      </w:r>
      <w:r w:rsidR="008555F4">
        <w:rPr>
          <w:szCs w:val="24"/>
        </w:rPr>
        <w:t xml:space="preserve"> </w:t>
      </w:r>
      <w:r w:rsidR="003938F3" w:rsidRPr="006F1007">
        <w:rPr>
          <w:szCs w:val="24"/>
        </w:rPr>
        <w:t>An Innocence Project report</w:t>
      </w:r>
      <w:r w:rsidR="006F1007" w:rsidRPr="006F1007">
        <w:rPr>
          <w:szCs w:val="24"/>
        </w:rPr>
        <w:t xml:space="preserve"> states, “I</w:t>
      </w:r>
      <w:r w:rsidR="003938F3" w:rsidRPr="006F1007">
        <w:rPr>
          <w:szCs w:val="24"/>
        </w:rPr>
        <w:t>n 53% of wrongful convictions cases</w:t>
      </w:r>
      <w:r w:rsidR="006442C5">
        <w:rPr>
          <w:szCs w:val="24"/>
        </w:rPr>
        <w:t xml:space="preserve"> [sic]</w:t>
      </w:r>
      <w:r w:rsidR="003938F3" w:rsidRPr="006F1007">
        <w:rPr>
          <w:szCs w:val="24"/>
        </w:rPr>
        <w:t xml:space="preserve"> involving </w:t>
      </w:r>
      <w:r w:rsidR="006F1007" w:rsidRPr="006F1007">
        <w:rPr>
          <w:szCs w:val="24"/>
        </w:rPr>
        <w:t>eyewitness misidentification</w:t>
      </w:r>
      <w:r w:rsidR="003938F3" w:rsidRPr="006F1007">
        <w:rPr>
          <w:szCs w:val="24"/>
        </w:rPr>
        <w:t xml:space="preserve"> (that were later overturned through DNA testing), the witness and the perpetrator were of different races.</w:t>
      </w:r>
      <w:r w:rsidR="008555F4">
        <w:rPr>
          <w:szCs w:val="24"/>
        </w:rPr>
        <w:t xml:space="preserve"> </w:t>
      </w:r>
      <w:r w:rsidR="006F1007" w:rsidRPr="006F1007">
        <w:rPr>
          <w:szCs w:val="24"/>
        </w:rPr>
        <w:t>These cases strongly suggest that people of color are more likely to be wrongfully convicted based on cross-racial misidentification than Caucasians.</w:t>
      </w:r>
      <w:r w:rsidR="008555F4">
        <w:rPr>
          <w:szCs w:val="24"/>
        </w:rPr>
        <w:t xml:space="preserve"> </w:t>
      </w:r>
      <w:r w:rsidR="006F1007" w:rsidRPr="006F1007">
        <w:rPr>
          <w:szCs w:val="24"/>
        </w:rPr>
        <w:t>Cross-racial misidentifications in the DNA exoneration cases involve an African</w:t>
      </w:r>
      <w:r w:rsidR="006E1E5C">
        <w:rPr>
          <w:szCs w:val="24"/>
        </w:rPr>
        <w:t xml:space="preserve"> </w:t>
      </w:r>
      <w:r w:rsidR="006F1007" w:rsidRPr="006F1007">
        <w:rPr>
          <w:szCs w:val="24"/>
        </w:rPr>
        <w:t>American or Latino defendant 99% of the time, and a Caucasian defendant only 1% of the time.</w:t>
      </w:r>
      <w:r w:rsidR="00280004">
        <w:rPr>
          <w:szCs w:val="24"/>
        </w:rPr>
        <w:t>”</w:t>
      </w:r>
      <w:r w:rsidR="005F6CA1">
        <w:rPr>
          <w:rStyle w:val="FootnoteReference"/>
          <w:szCs w:val="24"/>
        </w:rPr>
        <w:footnoteReference w:id="42"/>
      </w:r>
      <w:r w:rsidR="008555F4">
        <w:rPr>
          <w:szCs w:val="24"/>
        </w:rPr>
        <w:t xml:space="preserve"> </w:t>
      </w:r>
    </w:p>
    <w:p w14:paraId="7266CA23" w14:textId="3AB67A5B" w:rsidR="00FE04B5" w:rsidRDefault="00572D06" w:rsidP="00AE219D">
      <w:pPr>
        <w:pStyle w:val="BodyTextFirst5"/>
        <w:numPr>
          <w:ilvl w:val="0"/>
          <w:numId w:val="18"/>
        </w:numPr>
        <w:rPr>
          <w:rFonts w:eastAsia="Calibri"/>
        </w:rPr>
      </w:pPr>
      <w:r>
        <w:rPr>
          <w:rFonts w:eastAsia="Calibri"/>
        </w:rPr>
        <w:t xml:space="preserve">While experts have developed lineup best practices that are designed to mitigate the risks of </w:t>
      </w:r>
      <w:r w:rsidR="00BD6A29">
        <w:rPr>
          <w:rFonts w:eastAsia="Calibri"/>
        </w:rPr>
        <w:t xml:space="preserve">eyewitness </w:t>
      </w:r>
      <w:r>
        <w:rPr>
          <w:rFonts w:eastAsia="Calibri"/>
        </w:rPr>
        <w:t>misid</w:t>
      </w:r>
      <w:r w:rsidR="002A6A5B">
        <w:rPr>
          <w:rFonts w:eastAsia="Calibri"/>
        </w:rPr>
        <w:t xml:space="preserve">entification, </w:t>
      </w:r>
      <w:r w:rsidR="002A6A5B" w:rsidRPr="00DB469E">
        <w:rPr>
          <w:rFonts w:eastAsia="Calibri"/>
          <w:b/>
        </w:rPr>
        <w:t>there</w:t>
      </w:r>
      <w:r w:rsidRPr="00DB469E">
        <w:rPr>
          <w:rFonts w:eastAsia="Calibri"/>
          <w:b/>
        </w:rPr>
        <w:t xml:space="preserve"> </w:t>
      </w:r>
      <w:r w:rsidR="00AD74B9" w:rsidRPr="00DB469E">
        <w:rPr>
          <w:rFonts w:eastAsia="Calibri"/>
          <w:b/>
        </w:rPr>
        <w:t>are</w:t>
      </w:r>
      <w:r w:rsidR="002A6A5B" w:rsidRPr="00DB469E">
        <w:rPr>
          <w:rFonts w:eastAsia="Calibri"/>
          <w:b/>
        </w:rPr>
        <w:t xml:space="preserve"> no</w:t>
      </w:r>
      <w:r w:rsidRPr="00DB469E">
        <w:rPr>
          <w:rFonts w:eastAsia="Calibri"/>
          <w:b/>
        </w:rPr>
        <w:t xml:space="preserve"> national standards or procedures for eyewitness identification</w:t>
      </w:r>
      <w:r w:rsidR="00BD6A29">
        <w:rPr>
          <w:rFonts w:eastAsia="Calibri"/>
        </w:rPr>
        <w:t xml:space="preserve"> at this time</w:t>
      </w:r>
      <w:r>
        <w:rPr>
          <w:rFonts w:eastAsia="Calibri"/>
        </w:rPr>
        <w:t>.</w:t>
      </w:r>
      <w:r>
        <w:rPr>
          <w:rStyle w:val="FootnoteReference"/>
          <w:rFonts w:eastAsia="Calibri"/>
        </w:rPr>
        <w:footnoteReference w:id="43"/>
      </w:r>
      <w:r w:rsidR="008555F4">
        <w:rPr>
          <w:rFonts w:eastAsia="Calibri"/>
        </w:rPr>
        <w:t xml:space="preserve"> </w:t>
      </w:r>
      <w:r w:rsidR="00AD74B9">
        <w:rPr>
          <w:rFonts w:eastAsia="Calibri"/>
        </w:rPr>
        <w:t>In 2004, the Ame</w:t>
      </w:r>
      <w:r w:rsidR="00990651">
        <w:rPr>
          <w:rFonts w:eastAsia="Calibri"/>
        </w:rPr>
        <w:t>rican Bar Association published</w:t>
      </w:r>
      <w:r w:rsidR="00AD74B9">
        <w:rPr>
          <w:rFonts w:eastAsia="Calibri"/>
        </w:rPr>
        <w:t xml:space="preserve"> </w:t>
      </w:r>
      <w:r w:rsidR="00AD74B9" w:rsidRPr="00BD6A29">
        <w:rPr>
          <w:rFonts w:eastAsia="Calibri"/>
          <w:i/>
        </w:rPr>
        <w:t>Best Practices for Promoting Accuracy of Eyewit</w:t>
      </w:r>
      <w:r w:rsidR="00BD6A29" w:rsidRPr="00BD6A29">
        <w:rPr>
          <w:rFonts w:eastAsia="Calibri"/>
          <w:i/>
        </w:rPr>
        <w:t>ness Identification Procedures</w:t>
      </w:r>
      <w:r w:rsidR="00BD6A29">
        <w:rPr>
          <w:rFonts w:eastAsia="Calibri"/>
        </w:rPr>
        <w:t>.</w:t>
      </w:r>
      <w:r w:rsidR="008555F4">
        <w:rPr>
          <w:rFonts w:eastAsia="Calibri"/>
        </w:rPr>
        <w:t xml:space="preserve"> </w:t>
      </w:r>
      <w:r w:rsidR="00AD74B9">
        <w:rPr>
          <w:rFonts w:eastAsia="Calibri"/>
        </w:rPr>
        <w:t xml:space="preserve">These procedures included </w:t>
      </w:r>
      <w:r w:rsidR="004D15AC">
        <w:rPr>
          <w:rFonts w:eastAsia="Calibri"/>
        </w:rPr>
        <w:t xml:space="preserve">double-blind administration of </w:t>
      </w:r>
      <w:r w:rsidR="00F81270">
        <w:rPr>
          <w:rFonts w:eastAsia="Calibri"/>
        </w:rPr>
        <w:t>photo spreads</w:t>
      </w:r>
      <w:r w:rsidR="004D15AC">
        <w:rPr>
          <w:rFonts w:eastAsia="Calibri"/>
        </w:rPr>
        <w:t xml:space="preserve"> and lineups, </w:t>
      </w:r>
      <w:r w:rsidR="00E81D86">
        <w:rPr>
          <w:rFonts w:eastAsia="Calibri"/>
        </w:rPr>
        <w:t>including a reasonable number of foils to reduce the risk of guessing, ensuring the suspect does not stand out in any wa</w:t>
      </w:r>
      <w:r w:rsidR="00BD6A29">
        <w:rPr>
          <w:rFonts w:eastAsia="Calibri"/>
        </w:rPr>
        <w:t>y from the foils, videotaping</w:t>
      </w:r>
      <w:r w:rsidR="00E81D86">
        <w:rPr>
          <w:rFonts w:eastAsia="Calibri"/>
        </w:rPr>
        <w:t xml:space="preserve"> lineups, and other procedures.</w:t>
      </w:r>
      <w:r w:rsidR="00E81D86">
        <w:rPr>
          <w:rStyle w:val="FootnoteReference"/>
          <w:rFonts w:eastAsia="Calibri"/>
        </w:rPr>
        <w:footnoteReference w:id="44"/>
      </w:r>
      <w:r w:rsidR="006165DB">
        <w:rPr>
          <w:rFonts w:eastAsia="Calibri"/>
        </w:rPr>
        <w:t xml:space="preserve"> The Innocence Project’s report, </w:t>
      </w:r>
      <w:r w:rsidR="006165DB" w:rsidRPr="006165DB">
        <w:rPr>
          <w:rFonts w:eastAsia="Calibri"/>
          <w:i/>
        </w:rPr>
        <w:t>Reevaluating Lineups:</w:t>
      </w:r>
      <w:r w:rsidR="008555F4">
        <w:rPr>
          <w:rFonts w:eastAsia="Calibri"/>
          <w:i/>
        </w:rPr>
        <w:t xml:space="preserve"> </w:t>
      </w:r>
      <w:r w:rsidR="006165DB" w:rsidRPr="006165DB">
        <w:rPr>
          <w:rFonts w:eastAsia="Calibri"/>
          <w:i/>
        </w:rPr>
        <w:t>Why Witnesses Make Mistakes and How to Reduce the Chance of Misidentification</w:t>
      </w:r>
      <w:r w:rsidR="006165DB">
        <w:rPr>
          <w:rFonts w:eastAsia="Calibri"/>
        </w:rPr>
        <w:t>, provides additi</w:t>
      </w:r>
      <w:r w:rsidR="005D2287">
        <w:rPr>
          <w:rFonts w:eastAsia="Calibri"/>
        </w:rPr>
        <w:t xml:space="preserve">onal best practices for lineups, </w:t>
      </w:r>
      <w:r w:rsidR="002A6A5B">
        <w:rPr>
          <w:rFonts w:eastAsia="Calibri"/>
        </w:rPr>
        <w:t>such as</w:t>
      </w:r>
      <w:r w:rsidR="005D2287">
        <w:rPr>
          <w:rFonts w:eastAsia="Calibri"/>
        </w:rPr>
        <w:t xml:space="preserve"> instructions </w:t>
      </w:r>
      <w:r w:rsidR="002A6A5B">
        <w:rPr>
          <w:rFonts w:eastAsia="Calibri"/>
        </w:rPr>
        <w:t>to give</w:t>
      </w:r>
      <w:r w:rsidR="005D2287">
        <w:rPr>
          <w:rFonts w:eastAsia="Calibri"/>
        </w:rPr>
        <w:t xml:space="preserve"> eye witnesses when participating </w:t>
      </w:r>
      <w:r w:rsidR="002A6A5B">
        <w:rPr>
          <w:rFonts w:eastAsia="Calibri"/>
        </w:rPr>
        <w:t>in a lineup or similar activity and sequential presentation procedures for photo arrays and lineups.</w:t>
      </w:r>
      <w:r w:rsidR="002A6A5B">
        <w:rPr>
          <w:rStyle w:val="FootnoteReference"/>
          <w:rFonts w:eastAsia="Calibri"/>
        </w:rPr>
        <w:footnoteReference w:id="45"/>
      </w:r>
      <w:r w:rsidR="008555F4">
        <w:rPr>
          <w:rFonts w:eastAsia="Calibri"/>
        </w:rPr>
        <w:t xml:space="preserve"> </w:t>
      </w:r>
      <w:r w:rsidR="00F5216D">
        <w:rPr>
          <w:rFonts w:eastAsia="Calibri"/>
        </w:rPr>
        <w:t xml:space="preserve">The report recognizes that these procedures may not address all complications related to eyewitness identification, including cross-racial misidentification, </w:t>
      </w:r>
      <w:r w:rsidR="00882143">
        <w:rPr>
          <w:rFonts w:eastAsia="Calibri"/>
        </w:rPr>
        <w:t>and</w:t>
      </w:r>
      <w:r w:rsidR="00F5216D">
        <w:rPr>
          <w:rFonts w:eastAsia="Calibri"/>
        </w:rPr>
        <w:t xml:space="preserve"> suggests that in those cases, expert witnesses may be called to explain to the jury what scientific research shows about the impact of such factors on eyewitness identification.</w:t>
      </w:r>
      <w:r w:rsidR="00F5216D">
        <w:rPr>
          <w:rStyle w:val="FootnoteReference"/>
          <w:rFonts w:eastAsia="Calibri"/>
        </w:rPr>
        <w:footnoteReference w:id="46"/>
      </w:r>
      <w:r w:rsidR="00F5216D">
        <w:rPr>
          <w:rFonts w:eastAsia="Calibri"/>
        </w:rPr>
        <w:t xml:space="preserve"> </w:t>
      </w:r>
      <w:r w:rsidR="00ED1B95">
        <w:rPr>
          <w:rFonts w:eastAsia="Calibri"/>
        </w:rPr>
        <w:t>S</w:t>
      </w:r>
      <w:r w:rsidR="002A6A5B">
        <w:rPr>
          <w:rFonts w:eastAsia="Calibri"/>
        </w:rPr>
        <w:t xml:space="preserve">everal jurisdictions have adopted these or similar procedures, </w:t>
      </w:r>
      <w:r w:rsidR="00ED1B95">
        <w:rPr>
          <w:rFonts w:eastAsia="Calibri"/>
        </w:rPr>
        <w:t>or courts have issued instructions for juries that include factors to consider when evaluating eyewitness identification. But still o</w:t>
      </w:r>
      <w:r w:rsidR="002A6A5B">
        <w:rPr>
          <w:rFonts w:eastAsia="Calibri"/>
        </w:rPr>
        <w:t xml:space="preserve">ther jurisdictions have </w:t>
      </w:r>
      <w:r w:rsidR="00ED1B95">
        <w:rPr>
          <w:rFonts w:eastAsia="Calibri"/>
        </w:rPr>
        <w:t>yet to adopt these kinds of procedures</w:t>
      </w:r>
      <w:r w:rsidR="002A6A5B">
        <w:rPr>
          <w:rFonts w:eastAsia="Calibri"/>
        </w:rPr>
        <w:t>.</w:t>
      </w:r>
      <w:r w:rsidR="002A6A5B">
        <w:rPr>
          <w:rStyle w:val="FootnoteReference"/>
          <w:rFonts w:eastAsia="Calibri"/>
        </w:rPr>
        <w:footnoteReference w:id="47"/>
      </w:r>
    </w:p>
    <w:p w14:paraId="1C3A2D6C" w14:textId="7A43C6E8" w:rsidR="00C129D5" w:rsidRPr="00572D06" w:rsidRDefault="00C129D5" w:rsidP="00AE219D">
      <w:pPr>
        <w:pStyle w:val="BodyTextFirst5"/>
        <w:numPr>
          <w:ilvl w:val="0"/>
          <w:numId w:val="18"/>
        </w:numPr>
        <w:rPr>
          <w:rFonts w:eastAsia="Calibri"/>
        </w:rPr>
      </w:pPr>
      <w:r>
        <w:rPr>
          <w:rFonts w:eastAsia="Calibri"/>
          <w:b/>
        </w:rPr>
        <w:t>Court precedents and state laws bar expert testimony about the fallibility of eyewitness identification</w:t>
      </w:r>
      <w:r w:rsidR="00F022AD">
        <w:rPr>
          <w:rFonts w:eastAsia="Calibri"/>
          <w:b/>
        </w:rPr>
        <w:t xml:space="preserve"> or leave admissibility determinations to the discretion of the trial judge</w:t>
      </w:r>
      <w:r>
        <w:rPr>
          <w:rFonts w:eastAsia="Calibri"/>
          <w:b/>
        </w:rPr>
        <w:t>.</w:t>
      </w:r>
      <w:r>
        <w:rPr>
          <w:rFonts w:eastAsia="Calibri"/>
        </w:rPr>
        <w:t xml:space="preserve"> Two </w:t>
      </w:r>
      <w:proofErr w:type="spellStart"/>
      <w:r>
        <w:rPr>
          <w:rFonts w:eastAsia="Calibri"/>
        </w:rPr>
        <w:t>retentionist</w:t>
      </w:r>
      <w:proofErr w:type="spellEnd"/>
      <w:r>
        <w:rPr>
          <w:rFonts w:eastAsia="Calibri"/>
        </w:rPr>
        <w:t xml:space="preserve"> states and the U.S. Court of Appeals for the 11</w:t>
      </w:r>
      <w:r w:rsidRPr="00C129D5">
        <w:rPr>
          <w:rFonts w:eastAsia="Calibri"/>
          <w:vertAlign w:val="superscript"/>
        </w:rPr>
        <w:t>th</w:t>
      </w:r>
      <w:r>
        <w:rPr>
          <w:rFonts w:eastAsia="Calibri"/>
        </w:rPr>
        <w:t xml:space="preserve"> Circuit expressly bar expert testimony about the unreliability of eyewitness identification.</w:t>
      </w:r>
      <w:r>
        <w:rPr>
          <w:rStyle w:val="FootnoteReference"/>
          <w:rFonts w:eastAsia="Calibri"/>
        </w:rPr>
        <w:footnoteReference w:id="48"/>
      </w:r>
      <w:r w:rsidR="00F022AD">
        <w:rPr>
          <w:rFonts w:eastAsia="Calibri"/>
        </w:rPr>
        <w:t xml:space="preserve"> In 2012, the U.S. Supreme Court held that the U.S. Constitution does not require an inquiry into the reliability of </w:t>
      </w:r>
      <w:proofErr w:type="gramStart"/>
      <w:r w:rsidR="00F022AD">
        <w:rPr>
          <w:rFonts w:eastAsia="Calibri"/>
        </w:rPr>
        <w:t>an eyewitness</w:t>
      </w:r>
      <w:proofErr w:type="gramEnd"/>
      <w:r w:rsidR="00F022AD">
        <w:rPr>
          <w:rFonts w:eastAsia="Calibri"/>
        </w:rPr>
        <w:t xml:space="preserve"> identification when the circumstances surrounding the identification were not “unnecessarily suggestive.”</w:t>
      </w:r>
      <w:r w:rsidR="00F022AD">
        <w:rPr>
          <w:rStyle w:val="FootnoteReference"/>
          <w:rFonts w:eastAsia="Calibri"/>
        </w:rPr>
        <w:footnoteReference w:id="49"/>
      </w:r>
      <w:r w:rsidR="00F022AD">
        <w:rPr>
          <w:rFonts w:eastAsia="Calibri"/>
        </w:rPr>
        <w:t xml:space="preserve"> The vast majority of jurisdictions give trial judges wide latitude in determining whether to admit expert testimony on the unreliability of eyewitness identifications.</w:t>
      </w:r>
      <w:r w:rsidR="00F022AD">
        <w:rPr>
          <w:rStyle w:val="FootnoteReference"/>
          <w:rFonts w:eastAsia="Calibri"/>
        </w:rPr>
        <w:footnoteReference w:id="50"/>
      </w:r>
      <w:r w:rsidR="00F022AD">
        <w:rPr>
          <w:rFonts w:eastAsia="Calibri"/>
        </w:rPr>
        <w:t xml:space="preserve"> But because appellate courts “so often defer to a trial court’s exercise of discretion,” and because trial courts routinely exclude such testimony as invading the province of the jury, as unhelpful to the jury, or as the subject of common knowledge, this rule of deference in practice becomes a rule of “</w:t>
      </w:r>
      <w:r w:rsidR="006E41AC">
        <w:rPr>
          <w:rFonts w:eastAsia="Calibri"/>
        </w:rPr>
        <w:t>per se exclusion</w:t>
      </w:r>
      <w:r w:rsidR="00F022AD">
        <w:rPr>
          <w:rFonts w:eastAsia="Calibri"/>
        </w:rPr>
        <w:t>”</w:t>
      </w:r>
      <w:r w:rsidR="006E41AC">
        <w:rPr>
          <w:rFonts w:eastAsia="Calibri"/>
        </w:rPr>
        <w:t xml:space="preserve"> of such expert testimony.</w:t>
      </w:r>
      <w:r w:rsidR="00F022AD">
        <w:rPr>
          <w:rStyle w:val="FootnoteReference"/>
          <w:rFonts w:eastAsia="Calibri"/>
        </w:rPr>
        <w:footnoteReference w:id="51"/>
      </w:r>
    </w:p>
    <w:p w14:paraId="6C659826" w14:textId="77777777" w:rsidR="00ED1B95" w:rsidRDefault="00F3460E" w:rsidP="00AE219D">
      <w:pPr>
        <w:pStyle w:val="BodyTextFirst5"/>
        <w:numPr>
          <w:ilvl w:val="0"/>
          <w:numId w:val="18"/>
        </w:numPr>
        <w:rPr>
          <w:rFonts w:eastAsia="Calibri"/>
        </w:rPr>
      </w:pPr>
      <w:r w:rsidRPr="00DB469E">
        <w:rPr>
          <w:rFonts w:eastAsia="Calibri"/>
          <w:b/>
        </w:rPr>
        <w:t>Individuals who are exonerated and released from prison face numerous challenges in rebuilding their lives.</w:t>
      </w:r>
      <w:r>
        <w:rPr>
          <w:rFonts w:eastAsia="Calibri"/>
        </w:rPr>
        <w:t xml:space="preserve"> Almost all </w:t>
      </w:r>
      <w:proofErr w:type="spellStart"/>
      <w:r>
        <w:rPr>
          <w:rFonts w:eastAsia="Calibri"/>
        </w:rPr>
        <w:t>exonerees</w:t>
      </w:r>
      <w:proofErr w:type="spellEnd"/>
      <w:r>
        <w:rPr>
          <w:rFonts w:eastAsia="Calibri"/>
        </w:rPr>
        <w:t xml:space="preserve"> possess no assets at the time of their release, one-third have lost child custody due to their wrongful imprisonment, and many face severe challenges in obtaining employment or housing.</w:t>
      </w:r>
      <w:r>
        <w:rPr>
          <w:rStyle w:val="FootnoteReference"/>
          <w:rFonts w:eastAsia="Calibri"/>
        </w:rPr>
        <w:footnoteReference w:id="52"/>
      </w:r>
      <w:r>
        <w:rPr>
          <w:rFonts w:eastAsia="Calibri"/>
        </w:rPr>
        <w:t xml:space="preserve"> A study by the Life After Exoneration Program found that one-half of </w:t>
      </w:r>
      <w:proofErr w:type="spellStart"/>
      <w:r>
        <w:rPr>
          <w:rFonts w:eastAsia="Calibri"/>
        </w:rPr>
        <w:t>exonerees</w:t>
      </w:r>
      <w:proofErr w:type="spellEnd"/>
      <w:r>
        <w:rPr>
          <w:rFonts w:eastAsia="Calibri"/>
        </w:rPr>
        <w:t xml:space="preserve"> reside with their family, and that two-thirds are not economically independent.</w:t>
      </w:r>
      <w:r>
        <w:rPr>
          <w:rStyle w:val="FootnoteReference"/>
          <w:rFonts w:eastAsia="Calibri"/>
        </w:rPr>
        <w:footnoteReference w:id="53"/>
      </w:r>
      <w:r>
        <w:rPr>
          <w:rFonts w:eastAsia="Calibri"/>
        </w:rPr>
        <w:t xml:space="preserve"> Securing employment and appropriate housing is difficult for </w:t>
      </w:r>
      <w:proofErr w:type="spellStart"/>
      <w:r>
        <w:rPr>
          <w:rFonts w:eastAsia="Calibri"/>
        </w:rPr>
        <w:t>exonerees</w:t>
      </w:r>
      <w:proofErr w:type="spellEnd"/>
      <w:r>
        <w:rPr>
          <w:rFonts w:eastAsia="Calibri"/>
        </w:rPr>
        <w:t xml:space="preserve"> because </w:t>
      </w:r>
      <w:proofErr w:type="spellStart"/>
      <w:r>
        <w:rPr>
          <w:rFonts w:eastAsia="Calibri"/>
        </w:rPr>
        <w:t>expungement</w:t>
      </w:r>
      <w:proofErr w:type="spellEnd"/>
      <w:r>
        <w:rPr>
          <w:rFonts w:eastAsia="Calibri"/>
        </w:rPr>
        <w:t xml:space="preserve"> of the wrongful conviction from their criminal record does not happen automatically.</w:t>
      </w:r>
      <w:r>
        <w:rPr>
          <w:rStyle w:val="FootnoteReference"/>
          <w:rFonts w:eastAsia="Calibri"/>
        </w:rPr>
        <w:footnoteReference w:id="54"/>
      </w:r>
      <w:r>
        <w:rPr>
          <w:rFonts w:eastAsia="Calibri"/>
        </w:rPr>
        <w:t xml:space="preserve"> </w:t>
      </w:r>
    </w:p>
    <w:p w14:paraId="108AD854" w14:textId="77777777" w:rsidR="00F3460E" w:rsidRDefault="00F3460E" w:rsidP="00AE219D">
      <w:pPr>
        <w:pStyle w:val="BodyTextFirst5"/>
        <w:numPr>
          <w:ilvl w:val="0"/>
          <w:numId w:val="18"/>
        </w:numPr>
        <w:rPr>
          <w:rFonts w:eastAsia="Calibri"/>
        </w:rPr>
      </w:pPr>
      <w:r>
        <w:rPr>
          <w:rFonts w:eastAsia="Calibri"/>
        </w:rPr>
        <w:t xml:space="preserve">In addition, many </w:t>
      </w:r>
      <w:proofErr w:type="spellStart"/>
      <w:r>
        <w:rPr>
          <w:rFonts w:eastAsia="Calibri"/>
        </w:rPr>
        <w:t>exonerees</w:t>
      </w:r>
      <w:proofErr w:type="spellEnd"/>
      <w:r>
        <w:rPr>
          <w:rFonts w:eastAsia="Calibri"/>
        </w:rPr>
        <w:t xml:space="preserve"> have spent years in prison while others in their age group have been completing their education, acquiring job skills, or progressing on career paths.</w:t>
      </w:r>
      <w:r>
        <w:rPr>
          <w:rStyle w:val="FootnoteReference"/>
          <w:rFonts w:eastAsia="Calibri"/>
        </w:rPr>
        <w:footnoteReference w:id="55"/>
      </w:r>
      <w:r>
        <w:rPr>
          <w:rFonts w:eastAsia="Calibri"/>
        </w:rPr>
        <w:t xml:space="preserve"> In-prison educational programs are not available to many death row inmates during their prison terms, and they are often are denied job training programs and literacy and GED classes given their sentence of death.</w:t>
      </w:r>
      <w:r>
        <w:rPr>
          <w:rStyle w:val="FootnoteReference"/>
          <w:rFonts w:eastAsia="Calibri"/>
        </w:rPr>
        <w:footnoteReference w:id="56"/>
      </w:r>
    </w:p>
    <w:p w14:paraId="3999BEFF" w14:textId="77777777" w:rsidR="00F3460E" w:rsidRDefault="00F3460E" w:rsidP="00AE219D">
      <w:pPr>
        <w:pStyle w:val="BodyTextFirst5"/>
        <w:numPr>
          <w:ilvl w:val="0"/>
          <w:numId w:val="18"/>
        </w:numPr>
        <w:rPr>
          <w:rFonts w:eastAsia="Calibri"/>
        </w:rPr>
      </w:pPr>
      <w:proofErr w:type="spellStart"/>
      <w:r>
        <w:rPr>
          <w:rFonts w:eastAsia="Calibri"/>
        </w:rPr>
        <w:t>Exonerees</w:t>
      </w:r>
      <w:proofErr w:type="spellEnd"/>
      <w:r>
        <w:rPr>
          <w:rFonts w:eastAsia="Calibri"/>
        </w:rPr>
        <w:t xml:space="preserve"> not only have economic and legal needs, but also health care needs as many are affected by institutionalization;</w:t>
      </w:r>
      <w:r>
        <w:rPr>
          <w:rStyle w:val="FootnoteReference"/>
          <w:rFonts w:eastAsia="Calibri"/>
        </w:rPr>
        <w:footnoteReference w:id="57"/>
      </w:r>
      <w:r>
        <w:rPr>
          <w:rFonts w:eastAsia="Calibri"/>
        </w:rPr>
        <w:t xml:space="preserve"> Post-Traumatic Stress Disorder affects one-fourth of </w:t>
      </w:r>
      <w:proofErr w:type="spellStart"/>
      <w:r>
        <w:rPr>
          <w:rFonts w:eastAsia="Calibri"/>
        </w:rPr>
        <w:t>exonerees</w:t>
      </w:r>
      <w:proofErr w:type="spellEnd"/>
      <w:r>
        <w:rPr>
          <w:rFonts w:eastAsia="Calibri"/>
        </w:rPr>
        <w:t>.</w:t>
      </w:r>
      <w:r>
        <w:rPr>
          <w:rStyle w:val="FootnoteReference"/>
          <w:rFonts w:eastAsia="Calibri"/>
        </w:rPr>
        <w:footnoteReference w:id="58"/>
      </w:r>
      <w:r>
        <w:rPr>
          <w:rFonts w:eastAsia="Calibri"/>
        </w:rPr>
        <w:t xml:space="preserve"> Only 10 of the 50 U.S. states’ compensation laws provide for social services, and a recent report by The Innocence Project found that just 15 </w:t>
      </w:r>
      <w:proofErr w:type="spellStart"/>
      <w:r>
        <w:rPr>
          <w:rFonts w:eastAsia="Calibri"/>
        </w:rPr>
        <w:t>exonerees</w:t>
      </w:r>
      <w:proofErr w:type="spellEnd"/>
      <w:r>
        <w:rPr>
          <w:rFonts w:eastAsia="Calibri"/>
        </w:rPr>
        <w:t xml:space="preserve"> had accessed these services.</w:t>
      </w:r>
      <w:r>
        <w:rPr>
          <w:rStyle w:val="FootnoteReference"/>
          <w:rFonts w:eastAsia="Calibri"/>
        </w:rPr>
        <w:footnoteReference w:id="59"/>
      </w:r>
      <w:r>
        <w:rPr>
          <w:rFonts w:eastAsia="Calibri"/>
        </w:rPr>
        <w:t xml:space="preserve"> Many lack adequate access to health care, and the problem is exacerbated as </w:t>
      </w:r>
      <w:proofErr w:type="spellStart"/>
      <w:r>
        <w:rPr>
          <w:rFonts w:eastAsia="Calibri"/>
        </w:rPr>
        <w:t>exonerees</w:t>
      </w:r>
      <w:proofErr w:type="spellEnd"/>
      <w:r>
        <w:rPr>
          <w:rFonts w:eastAsia="Calibri"/>
        </w:rPr>
        <w:t xml:space="preserve"> are not automatically eligible for Medicaid.</w:t>
      </w:r>
      <w:r>
        <w:rPr>
          <w:rStyle w:val="FootnoteReference"/>
          <w:rFonts w:eastAsia="Calibri"/>
        </w:rPr>
        <w:footnoteReference w:id="60"/>
      </w:r>
      <w:r>
        <w:rPr>
          <w:rFonts w:eastAsia="Calibri"/>
        </w:rPr>
        <w:t xml:space="preserve"> Because </w:t>
      </w:r>
      <w:proofErr w:type="spellStart"/>
      <w:r>
        <w:rPr>
          <w:rFonts w:eastAsia="Calibri"/>
        </w:rPr>
        <w:t>exonerees</w:t>
      </w:r>
      <w:proofErr w:type="spellEnd"/>
      <w:r>
        <w:rPr>
          <w:rFonts w:eastAsia="Calibri"/>
        </w:rPr>
        <w:t xml:space="preserve"> often work in short-term or low-paying jobs, they are often not provided health benefits through their employ</w:t>
      </w:r>
      <w:r w:rsidR="00DD6C09">
        <w:rPr>
          <w:rFonts w:eastAsia="Calibri"/>
        </w:rPr>
        <w:t>er</w:t>
      </w:r>
      <w:r>
        <w:rPr>
          <w:rFonts w:eastAsia="Calibri"/>
        </w:rPr>
        <w:t>, either.</w:t>
      </w:r>
      <w:r>
        <w:rPr>
          <w:rStyle w:val="FootnoteReference"/>
          <w:rFonts w:eastAsia="Calibri"/>
        </w:rPr>
        <w:footnoteReference w:id="61"/>
      </w:r>
    </w:p>
    <w:p w14:paraId="5A41041E" w14:textId="77777777" w:rsidR="006E1E5C" w:rsidRDefault="00F3460E" w:rsidP="00AE219D">
      <w:pPr>
        <w:pStyle w:val="BodyTextFirst5"/>
        <w:numPr>
          <w:ilvl w:val="0"/>
          <w:numId w:val="18"/>
        </w:numPr>
        <w:rPr>
          <w:rFonts w:eastAsia="Calibri"/>
        </w:rPr>
      </w:pPr>
      <w:r w:rsidRPr="00DB469E">
        <w:rPr>
          <w:rFonts w:eastAsia="Calibri"/>
          <w:b/>
        </w:rPr>
        <w:t xml:space="preserve">Compensation is not guaranteed to </w:t>
      </w:r>
      <w:proofErr w:type="spellStart"/>
      <w:r w:rsidRPr="00DB469E">
        <w:rPr>
          <w:rFonts w:eastAsia="Calibri"/>
          <w:b/>
        </w:rPr>
        <w:t>exonerees</w:t>
      </w:r>
      <w:proofErr w:type="spellEnd"/>
      <w:r w:rsidRPr="00DB469E">
        <w:rPr>
          <w:rFonts w:eastAsia="Calibri"/>
          <w:b/>
        </w:rPr>
        <w:t xml:space="preserve"> for wrongful convictions and imprisonment, and it is a process fraught with barriers.</w:t>
      </w:r>
      <w:r>
        <w:rPr>
          <w:rFonts w:eastAsia="Calibri"/>
        </w:rPr>
        <w:t xml:space="preserve"> Some states have adopted compensation statutes, which variously provide an award based on actual damages, amount of time spent wrongfully accused, targeted aid (such as an education grant or health services), or a capped sum.</w:t>
      </w:r>
      <w:r>
        <w:rPr>
          <w:rStyle w:val="FootnoteReference"/>
          <w:rFonts w:eastAsia="Calibri"/>
        </w:rPr>
        <w:footnoteReference w:id="62"/>
      </w:r>
      <w:r>
        <w:rPr>
          <w:rFonts w:eastAsia="Calibri"/>
        </w:rPr>
        <w:t xml:space="preserve"> Yet, these compensation statutes often have restrictions and fall short of </w:t>
      </w:r>
      <w:r w:rsidR="001F5FD8">
        <w:rPr>
          <w:rFonts w:eastAsia="Calibri"/>
        </w:rPr>
        <w:t>adequate</w:t>
      </w:r>
      <w:r>
        <w:rPr>
          <w:rFonts w:eastAsia="Calibri"/>
        </w:rPr>
        <w:t xml:space="preserve"> reparation. Several of these statutes compensate wrongful convictions at outdated and scant amounts and cap maximum compensation. For example, New Hampshire’s compensation law grants a maximum award of just $20,000 regardless of the number of years spent wrongfully imprisoned.</w:t>
      </w:r>
      <w:r>
        <w:rPr>
          <w:rStyle w:val="FootnoteReference"/>
          <w:rFonts w:eastAsia="Calibri"/>
        </w:rPr>
        <w:footnoteReference w:id="63"/>
      </w:r>
      <w:r>
        <w:rPr>
          <w:rFonts w:eastAsia="Calibri"/>
        </w:rPr>
        <w:t xml:space="preserve"> Texas’ legislation grants $80,000 per year wrongfully imprisoned with no cap, but it bars an </w:t>
      </w:r>
      <w:proofErr w:type="spellStart"/>
      <w:r>
        <w:rPr>
          <w:rFonts w:eastAsia="Calibri"/>
        </w:rPr>
        <w:t>exoneree</w:t>
      </w:r>
      <w:proofErr w:type="spellEnd"/>
      <w:r>
        <w:rPr>
          <w:rFonts w:eastAsia="Calibri"/>
        </w:rPr>
        <w:t xml:space="preserve"> from filing a civil lawsuit.</w:t>
      </w:r>
      <w:r>
        <w:rPr>
          <w:rStyle w:val="FootnoteReference"/>
          <w:rFonts w:eastAsia="Calibri"/>
        </w:rPr>
        <w:footnoteReference w:id="64"/>
      </w:r>
      <w:r>
        <w:rPr>
          <w:rFonts w:eastAsia="Calibri"/>
        </w:rPr>
        <w:t xml:space="preserve"> Even when an </w:t>
      </w:r>
      <w:proofErr w:type="spellStart"/>
      <w:r>
        <w:rPr>
          <w:rFonts w:eastAsia="Calibri"/>
        </w:rPr>
        <w:t>exoneree</w:t>
      </w:r>
      <w:proofErr w:type="spellEnd"/>
      <w:r>
        <w:rPr>
          <w:rFonts w:eastAsia="Calibri"/>
        </w:rPr>
        <w:t xml:space="preserve"> successfully obtains compensation, the money may need to be redirected toward basic needs and legal fees. </w:t>
      </w:r>
      <w:r w:rsidRPr="006B4E86">
        <w:rPr>
          <w:rFonts w:eastAsia="Calibri"/>
        </w:rPr>
        <w:t xml:space="preserve">Kirk </w:t>
      </w:r>
      <w:proofErr w:type="spellStart"/>
      <w:r w:rsidRPr="006B4E86">
        <w:rPr>
          <w:rFonts w:eastAsia="Calibri"/>
        </w:rPr>
        <w:t>Bloodsworth</w:t>
      </w:r>
      <w:proofErr w:type="spellEnd"/>
      <w:r w:rsidRPr="006B4E86">
        <w:rPr>
          <w:rFonts w:eastAsia="Calibri"/>
        </w:rPr>
        <w:t>, who was wrongfully imprisoned by the state of Maryland for nine years (two years of which on death row), applied for and received $300,000 from the Maryland Board of Public Works.</w:t>
      </w:r>
      <w:r w:rsidRPr="006B4E86">
        <w:rPr>
          <w:rStyle w:val="FootnoteReference"/>
          <w:rFonts w:eastAsia="Calibri"/>
        </w:rPr>
        <w:footnoteReference w:id="65"/>
      </w:r>
      <w:r w:rsidRPr="006B4E86">
        <w:rPr>
          <w:rFonts w:eastAsia="Calibri"/>
        </w:rPr>
        <w:t xml:space="preserve"> But most of the money awarded went toward paying back the legal fees Kirk </w:t>
      </w:r>
      <w:proofErr w:type="spellStart"/>
      <w:r w:rsidRPr="006B4E86">
        <w:rPr>
          <w:rFonts w:eastAsia="Calibri"/>
        </w:rPr>
        <w:t>Bloodsworth</w:t>
      </w:r>
      <w:proofErr w:type="spellEnd"/>
      <w:r w:rsidRPr="006B4E86">
        <w:rPr>
          <w:rFonts w:eastAsia="Calibri"/>
        </w:rPr>
        <w:t xml:space="preserve"> incurred by his wrongful conviction</w:t>
      </w:r>
      <w:r>
        <w:rPr>
          <w:rFonts w:eastAsia="Calibri"/>
        </w:rPr>
        <w:t>.</w:t>
      </w:r>
      <w:r>
        <w:rPr>
          <w:rStyle w:val="FootnoteReference"/>
          <w:rFonts w:eastAsia="Calibri"/>
        </w:rPr>
        <w:footnoteReference w:id="66"/>
      </w:r>
      <w:r w:rsidR="0055125F">
        <w:rPr>
          <w:rFonts w:eastAsia="Calibri"/>
        </w:rPr>
        <w:t xml:space="preserve"> </w:t>
      </w:r>
    </w:p>
    <w:p w14:paraId="0B47D7AE" w14:textId="77777777" w:rsidR="00F3460E" w:rsidRDefault="00F3460E" w:rsidP="00AE219D">
      <w:pPr>
        <w:pStyle w:val="BodyTextFirst5"/>
        <w:numPr>
          <w:ilvl w:val="0"/>
          <w:numId w:val="18"/>
        </w:numPr>
        <w:rPr>
          <w:rFonts w:eastAsia="Calibri"/>
        </w:rPr>
      </w:pPr>
      <w:r>
        <w:rPr>
          <w:rFonts w:eastAsia="Calibri"/>
        </w:rPr>
        <w:t>In contrast, the U.S. federal government passed The Innocence Protection Act, which grants a</w:t>
      </w:r>
      <w:r w:rsidR="007C7AFB">
        <w:rPr>
          <w:rFonts w:eastAsia="Calibri"/>
        </w:rPr>
        <w:t xml:space="preserve"> maximum of $100,000 per year for</w:t>
      </w:r>
      <w:r>
        <w:rPr>
          <w:rFonts w:eastAsia="Calibri"/>
        </w:rPr>
        <w:t xml:space="preserve"> wrongful imprisonment on federal death row.</w:t>
      </w:r>
      <w:r>
        <w:rPr>
          <w:rStyle w:val="FootnoteReference"/>
          <w:rFonts w:eastAsia="Calibri"/>
        </w:rPr>
        <w:footnoteReference w:id="67"/>
      </w:r>
      <w:r>
        <w:rPr>
          <w:rFonts w:eastAsia="Calibri"/>
        </w:rPr>
        <w:t xml:space="preserve"> The majority of states’ compensation laws, however, do not meet the U.S. federal standard of compensation.</w:t>
      </w:r>
      <w:r>
        <w:rPr>
          <w:rStyle w:val="FootnoteReference"/>
          <w:rFonts w:eastAsia="Calibri"/>
        </w:rPr>
        <w:footnoteReference w:id="68"/>
      </w:r>
      <w:r>
        <w:rPr>
          <w:rFonts w:eastAsia="Calibri"/>
        </w:rPr>
        <w:t xml:space="preserve"> This compensation does not apply to </w:t>
      </w:r>
      <w:proofErr w:type="spellStart"/>
      <w:r>
        <w:rPr>
          <w:rFonts w:eastAsia="Calibri"/>
        </w:rPr>
        <w:t>exonerees</w:t>
      </w:r>
      <w:proofErr w:type="spellEnd"/>
      <w:r>
        <w:rPr>
          <w:rFonts w:eastAsia="Calibri"/>
        </w:rPr>
        <w:t xml:space="preserve"> wrongfully imprisoned by states, yet these individuals are the vast majority of </w:t>
      </w:r>
      <w:proofErr w:type="spellStart"/>
      <w:r>
        <w:rPr>
          <w:rFonts w:eastAsia="Calibri"/>
        </w:rPr>
        <w:t>exonerees</w:t>
      </w:r>
      <w:proofErr w:type="spellEnd"/>
      <w:r>
        <w:rPr>
          <w:rFonts w:eastAsia="Calibri"/>
        </w:rPr>
        <w:t>.</w:t>
      </w:r>
      <w:r w:rsidR="00BD6A29">
        <w:rPr>
          <w:rFonts w:eastAsia="Calibri"/>
        </w:rPr>
        <w:t xml:space="preserve"> </w:t>
      </w:r>
    </w:p>
    <w:p w14:paraId="5E29ED73" w14:textId="77777777" w:rsidR="00F3460E" w:rsidRDefault="00ED1B95" w:rsidP="00AE219D">
      <w:pPr>
        <w:pStyle w:val="BodyTextFirst5"/>
        <w:numPr>
          <w:ilvl w:val="0"/>
          <w:numId w:val="18"/>
        </w:numPr>
        <w:rPr>
          <w:rFonts w:eastAsia="Calibri"/>
        </w:rPr>
      </w:pPr>
      <w:r w:rsidRPr="00DB469E">
        <w:rPr>
          <w:rFonts w:eastAsia="Calibri"/>
          <w:b/>
        </w:rPr>
        <w:t>State c</w:t>
      </w:r>
      <w:r w:rsidR="00F3460E" w:rsidRPr="00DB469E">
        <w:rPr>
          <w:rFonts w:eastAsia="Calibri"/>
          <w:b/>
        </w:rPr>
        <w:t>ompensation laws also restrict eligibility</w:t>
      </w:r>
      <w:r w:rsidR="00F3460E">
        <w:rPr>
          <w:rFonts w:eastAsia="Calibri"/>
        </w:rPr>
        <w:t xml:space="preserve"> and may impose filing deadlines.</w:t>
      </w:r>
      <w:r w:rsidR="00F3460E">
        <w:rPr>
          <w:rStyle w:val="FootnoteReference"/>
          <w:rFonts w:eastAsia="Calibri"/>
        </w:rPr>
        <w:footnoteReference w:id="69"/>
      </w:r>
      <w:r w:rsidR="00F3460E">
        <w:rPr>
          <w:rFonts w:eastAsia="Calibri"/>
        </w:rPr>
        <w:t xml:space="preserve"> For example, in Tennessee and Utah, the deadline to bring a claim is one year.</w:t>
      </w:r>
      <w:r w:rsidR="00F3460E">
        <w:rPr>
          <w:rStyle w:val="FootnoteReference"/>
          <w:rFonts w:eastAsia="Calibri"/>
        </w:rPr>
        <w:footnoteReference w:id="70"/>
      </w:r>
      <w:r w:rsidR="00F3460E">
        <w:rPr>
          <w:rFonts w:eastAsia="Calibri"/>
        </w:rPr>
        <w:t xml:space="preserve"> Some states impose limitations that bar individuals from bringing claims for compensation: Alabama and Texas’ compensation statutes disqualify anyone with a post-exoneration felony conviction;</w:t>
      </w:r>
      <w:r w:rsidR="00F3460E">
        <w:rPr>
          <w:rStyle w:val="FootnoteReference"/>
          <w:rFonts w:eastAsia="Calibri"/>
        </w:rPr>
        <w:footnoteReference w:id="71"/>
      </w:r>
      <w:r w:rsidR="00F3460E">
        <w:rPr>
          <w:rFonts w:eastAsia="Calibri"/>
        </w:rPr>
        <w:t xml:space="preserve"> Missouri and Montana grant awards only to persons exonerated by DNA;</w:t>
      </w:r>
      <w:r w:rsidR="00F3460E">
        <w:rPr>
          <w:rStyle w:val="FootnoteReference"/>
          <w:rFonts w:eastAsia="Calibri"/>
        </w:rPr>
        <w:footnoteReference w:id="72"/>
      </w:r>
      <w:r w:rsidR="00F3460E">
        <w:rPr>
          <w:rFonts w:eastAsia="Calibri"/>
        </w:rPr>
        <w:t xml:space="preserve"> and several states render any </w:t>
      </w:r>
      <w:proofErr w:type="spellStart"/>
      <w:r w:rsidR="00F3460E">
        <w:rPr>
          <w:rFonts w:eastAsia="Calibri"/>
        </w:rPr>
        <w:t>exoneree</w:t>
      </w:r>
      <w:proofErr w:type="spellEnd"/>
      <w:r w:rsidR="00F3460E">
        <w:rPr>
          <w:rFonts w:eastAsia="Calibri"/>
        </w:rPr>
        <w:t xml:space="preserve"> who entered a guilty plea as ineligible.</w:t>
      </w:r>
      <w:r w:rsidR="00F3460E">
        <w:rPr>
          <w:rStyle w:val="FootnoteReference"/>
          <w:rFonts w:eastAsia="Calibri"/>
        </w:rPr>
        <w:footnoteReference w:id="73"/>
      </w:r>
      <w:r w:rsidR="00F3460E">
        <w:rPr>
          <w:rFonts w:eastAsia="Calibri"/>
        </w:rPr>
        <w:t xml:space="preserve"> In some states, the </w:t>
      </w:r>
      <w:proofErr w:type="spellStart"/>
      <w:r w:rsidR="00F3460E">
        <w:rPr>
          <w:rFonts w:eastAsia="Calibri"/>
        </w:rPr>
        <w:t>exoneree</w:t>
      </w:r>
      <w:proofErr w:type="spellEnd"/>
      <w:r w:rsidR="00F3460E">
        <w:rPr>
          <w:rFonts w:eastAsia="Calibri"/>
        </w:rPr>
        <w:t xml:space="preserve"> must not have “contributed” to his or her arrest or conviction to be eligible for an award.</w:t>
      </w:r>
      <w:r w:rsidR="00F3460E">
        <w:rPr>
          <w:rStyle w:val="FootnoteReference"/>
          <w:rFonts w:eastAsia="Calibri"/>
        </w:rPr>
        <w:footnoteReference w:id="74"/>
      </w:r>
      <w:r w:rsidR="00F3460E">
        <w:rPr>
          <w:rFonts w:eastAsia="Calibri"/>
        </w:rPr>
        <w:t xml:space="preserve"> These restrictions do not reflect the factors contributing to wrongful convictions in the first place; for example, disqualification for pleading guilty fails to take into account cases where false confessions led to wrongful convictions; in one study, false c</w:t>
      </w:r>
      <w:r w:rsidR="007C7AFB">
        <w:rPr>
          <w:rFonts w:eastAsia="Calibri"/>
        </w:rPr>
        <w:t>onfessions constituted nearly 8</w:t>
      </w:r>
      <w:r w:rsidR="00F3460E">
        <w:rPr>
          <w:rFonts w:eastAsia="Calibri"/>
        </w:rPr>
        <w:t>% of the causes behind wrongful convictions.</w:t>
      </w:r>
      <w:r w:rsidR="00F3460E">
        <w:rPr>
          <w:rStyle w:val="FootnoteReference"/>
          <w:rFonts w:eastAsia="Calibri"/>
        </w:rPr>
        <w:footnoteReference w:id="75"/>
      </w:r>
      <w:r w:rsidR="007C7AFB">
        <w:rPr>
          <w:rFonts w:eastAsia="Calibri"/>
        </w:rPr>
        <w:t xml:space="preserve"> </w:t>
      </w:r>
    </w:p>
    <w:p w14:paraId="09873A4F" w14:textId="223F8099" w:rsidR="00F3460E" w:rsidRDefault="00F3460E" w:rsidP="00AE219D">
      <w:pPr>
        <w:pStyle w:val="BodyTextFirst5"/>
        <w:numPr>
          <w:ilvl w:val="0"/>
          <w:numId w:val="18"/>
        </w:numPr>
        <w:rPr>
          <w:rFonts w:eastAsia="Calibri"/>
        </w:rPr>
      </w:pPr>
      <w:r w:rsidRPr="00DB469E">
        <w:rPr>
          <w:rFonts w:eastAsia="Calibri"/>
          <w:b/>
        </w:rPr>
        <w:t xml:space="preserve">Even when </w:t>
      </w:r>
      <w:proofErr w:type="spellStart"/>
      <w:r w:rsidRPr="00DB469E">
        <w:rPr>
          <w:rFonts w:eastAsia="Calibri"/>
          <w:b/>
        </w:rPr>
        <w:t>exonerees</w:t>
      </w:r>
      <w:proofErr w:type="spellEnd"/>
      <w:r w:rsidRPr="00DB469E">
        <w:rPr>
          <w:rFonts w:eastAsia="Calibri"/>
          <w:b/>
        </w:rPr>
        <w:t xml:space="preserve"> overcome these hurdles and successfully claim compensation, it can take years to receive the money.</w:t>
      </w:r>
      <w:r>
        <w:rPr>
          <w:rFonts w:eastAsia="Calibri"/>
        </w:rPr>
        <w:t xml:space="preserve"> The average amount of time to obtain state compensation is three years.</w:t>
      </w:r>
      <w:r>
        <w:rPr>
          <w:rStyle w:val="FootnoteReference"/>
          <w:rFonts w:eastAsia="Calibri"/>
        </w:rPr>
        <w:footnoteReference w:id="76"/>
      </w:r>
      <w:r>
        <w:rPr>
          <w:rFonts w:eastAsia="Calibri"/>
        </w:rPr>
        <w:t xml:space="preserve"> But securing employment, housing, health care, and other basic needs poses an immediate challenge to these </w:t>
      </w:r>
      <w:proofErr w:type="spellStart"/>
      <w:r>
        <w:rPr>
          <w:rFonts w:eastAsia="Calibri"/>
        </w:rPr>
        <w:t>exonerees</w:t>
      </w:r>
      <w:proofErr w:type="spellEnd"/>
      <w:r>
        <w:rPr>
          <w:rFonts w:eastAsia="Calibri"/>
        </w:rPr>
        <w:t xml:space="preserve"> upon their release, and the support (if any) they receive upon release can be woefully inadequate. Resurrection after Exoneration reports that </w:t>
      </w:r>
      <w:proofErr w:type="spellStart"/>
      <w:r>
        <w:rPr>
          <w:rFonts w:eastAsia="Calibri"/>
        </w:rPr>
        <w:t>exonerees</w:t>
      </w:r>
      <w:proofErr w:type="spellEnd"/>
      <w:r>
        <w:rPr>
          <w:rFonts w:eastAsia="Calibri"/>
        </w:rPr>
        <w:t xml:space="preserve"> from Louisiana’s prison system receive their possessions and $10 from the Department of Public Safety and Corrections upon release.</w:t>
      </w:r>
      <w:r>
        <w:rPr>
          <w:rStyle w:val="FootnoteReference"/>
          <w:rFonts w:eastAsia="Calibri"/>
        </w:rPr>
        <w:footnoteReference w:id="77"/>
      </w:r>
      <w:r>
        <w:rPr>
          <w:rFonts w:eastAsia="Calibri"/>
        </w:rPr>
        <w:t xml:space="preserve"> </w:t>
      </w:r>
      <w:r w:rsidR="006E1E5C">
        <w:rPr>
          <w:rFonts w:eastAsia="Calibri"/>
        </w:rPr>
        <w:t xml:space="preserve">Glenn Ford, an African American, was wrongfully imprisoned for </w:t>
      </w:r>
      <w:r w:rsidR="00CA3437">
        <w:rPr>
          <w:rFonts w:eastAsia="Calibri"/>
        </w:rPr>
        <w:t xml:space="preserve">more than </w:t>
      </w:r>
      <w:r w:rsidR="006E1E5C">
        <w:rPr>
          <w:rFonts w:eastAsia="Calibri"/>
        </w:rPr>
        <w:t xml:space="preserve">thirty years before being exonerated. He was given only a debit card worth $20 upon his release in early 2014. He and his lawyers will file for compensation to which he is legally entitled, but </w:t>
      </w:r>
      <w:r w:rsidR="00CA3437">
        <w:rPr>
          <w:rFonts w:eastAsia="Calibri"/>
        </w:rPr>
        <w:t xml:space="preserve">such </w:t>
      </w:r>
      <w:r w:rsidR="00CA3437" w:rsidRPr="00DB469E">
        <w:rPr>
          <w:rFonts w:eastAsia="Calibri"/>
          <w:b/>
        </w:rPr>
        <w:t>compensation is not guaranteed</w:t>
      </w:r>
      <w:r w:rsidR="006E1E5C">
        <w:rPr>
          <w:rFonts w:eastAsia="Calibri"/>
        </w:rPr>
        <w:t>.</w:t>
      </w:r>
      <w:r w:rsidR="006E1E5C">
        <w:rPr>
          <w:rStyle w:val="FootnoteReference"/>
          <w:rFonts w:eastAsia="Calibri"/>
        </w:rPr>
        <w:footnoteReference w:id="78"/>
      </w:r>
      <w:r w:rsidR="006E1E5C">
        <w:rPr>
          <w:rFonts w:eastAsia="Calibri"/>
        </w:rPr>
        <w:t xml:space="preserve"> For example, </w:t>
      </w:r>
      <w:r>
        <w:rPr>
          <w:rFonts w:eastAsia="Calibri"/>
        </w:rPr>
        <w:t>Albert Burrell was released from Louisiana’s death row after serving 14 years for a crime he did not commit. Upon his release, the state gave Burrell $10 and a denim jacket that was several sizes too large for him. Burrell has filed for compensation under Louisiana’s compensation law, but</w:t>
      </w:r>
      <w:r w:rsidR="00CA3437">
        <w:rPr>
          <w:rFonts w:eastAsia="Calibri"/>
        </w:rPr>
        <w:t xml:space="preserve"> was denied compensation on July 17, 2014</w:t>
      </w:r>
      <w:r w:rsidR="00990651">
        <w:rPr>
          <w:rFonts w:eastAsia="Calibri"/>
        </w:rPr>
        <w:t>, 13.5 years after his release</w:t>
      </w:r>
      <w:r>
        <w:rPr>
          <w:rFonts w:eastAsia="Calibri"/>
        </w:rPr>
        <w:t>.</w:t>
      </w:r>
      <w:r>
        <w:rPr>
          <w:rStyle w:val="FootnoteReference"/>
          <w:rFonts w:eastAsia="Calibri"/>
        </w:rPr>
        <w:footnoteReference w:id="79"/>
      </w:r>
      <w:r>
        <w:rPr>
          <w:rFonts w:eastAsia="Calibri"/>
        </w:rPr>
        <w:t xml:space="preserve"> </w:t>
      </w:r>
      <w:r w:rsidR="00CA3437">
        <w:rPr>
          <w:rFonts w:eastAsia="Calibri"/>
        </w:rPr>
        <w:t>The court justified its decision by stating Burrell was unable to show, by clear and convincing evidence, that he was factually innocent of the crime.</w:t>
      </w:r>
      <w:r w:rsidR="00CA3437">
        <w:rPr>
          <w:rStyle w:val="FootnoteReference"/>
          <w:rFonts w:eastAsia="Calibri"/>
        </w:rPr>
        <w:footnoteReference w:id="80"/>
      </w:r>
      <w:r w:rsidR="00CA3437">
        <w:rPr>
          <w:rFonts w:eastAsia="Calibri"/>
        </w:rPr>
        <w:t xml:space="preserve"> </w:t>
      </w:r>
    </w:p>
    <w:p w14:paraId="23D4A0E6" w14:textId="20FA8C88" w:rsidR="00F3460E" w:rsidRDefault="00F3460E" w:rsidP="00AE219D">
      <w:pPr>
        <w:pStyle w:val="BodyTextFirst5"/>
        <w:numPr>
          <w:ilvl w:val="0"/>
          <w:numId w:val="18"/>
        </w:numPr>
        <w:rPr>
          <w:rFonts w:eastAsia="Calibri"/>
        </w:rPr>
      </w:pPr>
      <w:r w:rsidRPr="00DB469E">
        <w:rPr>
          <w:rFonts w:eastAsia="Calibri"/>
          <w:b/>
        </w:rPr>
        <w:t>Sixteen U.S. states that retain the death penalty have no compensation laws whatsoever for wrongful convictions.</w:t>
      </w:r>
      <w:r>
        <w:rPr>
          <w:rFonts w:eastAsia="Calibri"/>
        </w:rPr>
        <w:t xml:space="preserve"> Arizona does not have a </w:t>
      </w:r>
      <w:r w:rsidR="007C7AFB">
        <w:rPr>
          <w:rFonts w:eastAsia="Calibri"/>
        </w:rPr>
        <w:t xml:space="preserve">compensation statute, yet eight </w:t>
      </w:r>
      <w:r w:rsidRPr="007C7AFB">
        <w:rPr>
          <w:rFonts w:eastAsia="Calibri"/>
        </w:rPr>
        <w:t>individuals have been exonerated from its death row.</w:t>
      </w:r>
      <w:r w:rsidRPr="007C7AFB">
        <w:rPr>
          <w:rStyle w:val="FootnoteReference"/>
          <w:rFonts w:eastAsia="Calibri"/>
        </w:rPr>
        <w:footnoteReference w:id="81"/>
      </w:r>
      <w:r w:rsidRPr="007C7AFB">
        <w:rPr>
          <w:rFonts w:eastAsia="Calibri"/>
        </w:rPr>
        <w:t xml:space="preserve"> Civil litigation is anothe</w:t>
      </w:r>
      <w:r>
        <w:rPr>
          <w:rFonts w:eastAsia="Calibri"/>
        </w:rPr>
        <w:t>r possibility to obtain compensation where compensation laws do not exist, but this option is unavailable when prosecutors and judges are at fault because they are typically immune from these lawsuits.</w:t>
      </w:r>
      <w:r>
        <w:rPr>
          <w:rStyle w:val="FootnoteReference"/>
          <w:rFonts w:eastAsia="Calibri"/>
        </w:rPr>
        <w:footnoteReference w:id="82"/>
      </w:r>
      <w:r>
        <w:rPr>
          <w:rFonts w:eastAsia="Calibri"/>
        </w:rPr>
        <w:t xml:space="preserve"> </w:t>
      </w:r>
      <w:r w:rsidR="00333E2E">
        <w:rPr>
          <w:rFonts w:eastAsia="Calibri"/>
        </w:rPr>
        <w:t xml:space="preserve">The immunity bar is </w:t>
      </w:r>
      <w:r w:rsidR="00AF29F7">
        <w:rPr>
          <w:rFonts w:eastAsia="Calibri"/>
        </w:rPr>
        <w:t xml:space="preserve">extremely high, particularly after 2011. John Thompson, an African American man, received $10 and a bus ticket upon exoneration after 18 years in prison, 14 of which were on Louisiana’s death row. He successfully sued the local </w:t>
      </w:r>
      <w:r w:rsidR="00AF29F7" w:rsidRPr="0055125F">
        <w:rPr>
          <w:rFonts w:eastAsia="Calibri"/>
        </w:rPr>
        <w:t xml:space="preserve">New Orleans Parish </w:t>
      </w:r>
      <w:r w:rsidR="00AF29F7">
        <w:rPr>
          <w:rFonts w:eastAsia="Calibri"/>
        </w:rPr>
        <w:t>District Attorney’s office for $14 million, only to have the U.S. Supreme Court overturn the decision by holding the prosecutor’s office could not be held liable in this case.</w:t>
      </w:r>
      <w:r w:rsidR="00AF29F7">
        <w:rPr>
          <w:rStyle w:val="FootnoteReference"/>
          <w:rFonts w:eastAsia="Calibri"/>
        </w:rPr>
        <w:footnoteReference w:id="83"/>
      </w:r>
      <w:r w:rsidR="00AF29F7">
        <w:rPr>
          <w:rFonts w:eastAsia="Calibri"/>
        </w:rPr>
        <w:t xml:space="preserve"> This decision effectively expanded prosecutors’ immunities against lawsuits for their misconduct</w:t>
      </w:r>
      <w:r w:rsidR="002E5B84">
        <w:rPr>
          <w:rFonts w:eastAsia="Calibri"/>
        </w:rPr>
        <w:t xml:space="preserve"> even more broadly</w:t>
      </w:r>
      <w:r w:rsidR="00AF29F7">
        <w:rPr>
          <w:rFonts w:eastAsia="Calibri"/>
        </w:rPr>
        <w:t>, and it also revoked John Thompson’s compensation for h</w:t>
      </w:r>
      <w:r w:rsidR="00990651">
        <w:rPr>
          <w:rFonts w:eastAsia="Calibri"/>
        </w:rPr>
        <w:t>is years spent on death row as a</w:t>
      </w:r>
      <w:r w:rsidR="00AF29F7">
        <w:rPr>
          <w:rFonts w:eastAsia="Calibri"/>
        </w:rPr>
        <w:t xml:space="preserve">n innocent man. </w:t>
      </w:r>
      <w:r>
        <w:rPr>
          <w:rFonts w:eastAsia="Calibri"/>
        </w:rPr>
        <w:t xml:space="preserve">Even if </w:t>
      </w:r>
      <w:r w:rsidR="00AF29F7">
        <w:rPr>
          <w:rFonts w:eastAsia="Calibri"/>
        </w:rPr>
        <w:t>an</w:t>
      </w:r>
      <w:r>
        <w:rPr>
          <w:rFonts w:eastAsia="Calibri"/>
        </w:rPr>
        <w:t xml:space="preserve"> </w:t>
      </w:r>
      <w:proofErr w:type="spellStart"/>
      <w:r>
        <w:rPr>
          <w:rFonts w:eastAsia="Calibri"/>
        </w:rPr>
        <w:t>exoneree</w:t>
      </w:r>
      <w:proofErr w:type="spellEnd"/>
      <w:r>
        <w:rPr>
          <w:rFonts w:eastAsia="Calibri"/>
        </w:rPr>
        <w:t xml:space="preserve"> prevails in his or her civil claim, it can take years and costly litigation fees.</w:t>
      </w:r>
      <w:r>
        <w:rPr>
          <w:rStyle w:val="FootnoteReference"/>
          <w:rFonts w:eastAsia="Calibri"/>
        </w:rPr>
        <w:footnoteReference w:id="84"/>
      </w:r>
    </w:p>
    <w:p w14:paraId="2F2D53E0" w14:textId="2724710D" w:rsidR="007E3485" w:rsidRDefault="007E3485" w:rsidP="00AE219D">
      <w:pPr>
        <w:pStyle w:val="BodyTextFirst5"/>
        <w:numPr>
          <w:ilvl w:val="0"/>
          <w:numId w:val="18"/>
        </w:numPr>
        <w:rPr>
          <w:rFonts w:eastAsia="Calibri"/>
        </w:rPr>
      </w:pPr>
      <w:bookmarkStart w:id="6" w:name="_Ref394045087"/>
      <w:r w:rsidRPr="006C5B27">
        <w:rPr>
          <w:color w:val="000000"/>
        </w:rPr>
        <w:t xml:space="preserve">Article 6 provides that States </w:t>
      </w:r>
      <w:r w:rsidR="006C5B27" w:rsidRPr="006C5B27">
        <w:rPr>
          <w:color w:val="000000"/>
          <w:szCs w:val="24"/>
        </w:rPr>
        <w:t xml:space="preserve">shall </w:t>
      </w:r>
      <w:r w:rsidRPr="006C5B27">
        <w:rPr>
          <w:color w:val="000000"/>
          <w:szCs w:val="24"/>
        </w:rPr>
        <w:t xml:space="preserve">assure to everyone within their jurisdiction the right to seek just and adequate reparation or satisfaction for any damage suffered as a result of </w:t>
      </w:r>
      <w:r w:rsidR="006C5B27" w:rsidRPr="006C5B27">
        <w:rPr>
          <w:color w:val="000000"/>
          <w:szCs w:val="24"/>
        </w:rPr>
        <w:t>racial</w:t>
      </w:r>
      <w:r w:rsidRPr="006C5B27">
        <w:rPr>
          <w:color w:val="000000"/>
          <w:szCs w:val="24"/>
        </w:rPr>
        <w:t xml:space="preserve"> discrimination.</w:t>
      </w:r>
      <w:r w:rsidR="008555F4">
        <w:rPr>
          <w:color w:val="000000"/>
          <w:szCs w:val="24"/>
        </w:rPr>
        <w:t xml:space="preserve"> </w:t>
      </w:r>
      <w:r w:rsidR="006C5B27">
        <w:rPr>
          <w:color w:val="000000"/>
          <w:szCs w:val="24"/>
        </w:rPr>
        <w:t>Because racial discrimination within the U.S. justice system</w:t>
      </w:r>
      <w:r w:rsidR="00C2680E">
        <w:rPr>
          <w:color w:val="000000"/>
          <w:szCs w:val="24"/>
        </w:rPr>
        <w:t xml:space="preserve"> is one of the causes of i</w:t>
      </w:r>
      <w:r w:rsidR="006C5B27">
        <w:rPr>
          <w:color w:val="000000"/>
          <w:szCs w:val="24"/>
        </w:rPr>
        <w:t xml:space="preserve">nnocent </w:t>
      </w:r>
      <w:r w:rsidR="00C2680E">
        <w:rPr>
          <w:color w:val="000000"/>
          <w:szCs w:val="24"/>
        </w:rPr>
        <w:t xml:space="preserve">individuals being convicted of crimes, including capital crimes, and later being exonerated, </w:t>
      </w:r>
      <w:r w:rsidR="00C2680E" w:rsidRPr="00DB469E">
        <w:rPr>
          <w:b/>
          <w:color w:val="000000"/>
          <w:szCs w:val="24"/>
        </w:rPr>
        <w:t xml:space="preserve">the lack of adequate compensation for </w:t>
      </w:r>
      <w:proofErr w:type="spellStart"/>
      <w:r w:rsidR="00C2680E" w:rsidRPr="00DB469E">
        <w:rPr>
          <w:b/>
          <w:color w:val="000000"/>
          <w:szCs w:val="24"/>
        </w:rPr>
        <w:t>exonerees</w:t>
      </w:r>
      <w:proofErr w:type="spellEnd"/>
      <w:r w:rsidR="00C2680E" w:rsidRPr="00DB469E">
        <w:rPr>
          <w:b/>
          <w:color w:val="000000"/>
          <w:szCs w:val="24"/>
        </w:rPr>
        <w:t xml:space="preserve"> disproportionately affects minorities and vi</w:t>
      </w:r>
      <w:r w:rsidR="00861714" w:rsidRPr="00DB469E">
        <w:rPr>
          <w:b/>
          <w:color w:val="000000"/>
          <w:szCs w:val="24"/>
        </w:rPr>
        <w:t>olates Article 6 of ICERD</w:t>
      </w:r>
      <w:r w:rsidR="00C2680E">
        <w:rPr>
          <w:color w:val="000000"/>
          <w:szCs w:val="24"/>
        </w:rPr>
        <w:t>.</w:t>
      </w:r>
      <w:bookmarkEnd w:id="6"/>
    </w:p>
    <w:p w14:paraId="78F77451" w14:textId="77777777" w:rsidR="00F3460E" w:rsidRPr="002D1459" w:rsidRDefault="00F3460E" w:rsidP="00F3460E">
      <w:pPr>
        <w:pStyle w:val="BodyText"/>
        <w:spacing w:after="120"/>
        <w:ind w:left="360"/>
        <w:rPr>
          <w:rFonts w:eastAsia="Calibri"/>
          <w:b/>
          <w:i/>
        </w:rPr>
      </w:pPr>
      <w:r>
        <w:rPr>
          <w:rFonts w:eastAsia="Calibri"/>
          <w:b/>
          <w:i/>
        </w:rPr>
        <w:t>Recommendations</w:t>
      </w:r>
    </w:p>
    <w:p w14:paraId="48362D41" w14:textId="77777777" w:rsidR="00882143" w:rsidRPr="00882143" w:rsidRDefault="00882143" w:rsidP="007D57AE">
      <w:pPr>
        <w:pStyle w:val="BodyTextFirst5"/>
        <w:numPr>
          <w:ilvl w:val="0"/>
          <w:numId w:val="24"/>
        </w:numPr>
        <w:rPr>
          <w:rFonts w:eastAsia="Calibri"/>
        </w:rPr>
      </w:pPr>
      <w:r>
        <w:t xml:space="preserve">The United States should adopt and promote procedures such as those recommended by the American Bar Association and The Innocence Project designed to </w:t>
      </w:r>
      <w:r w:rsidR="000C6A0A">
        <w:t>prevent or mitigate the negative effects</w:t>
      </w:r>
      <w:r w:rsidR="00BD6A29">
        <w:t xml:space="preserve"> of</w:t>
      </w:r>
      <w:r w:rsidR="000C6A0A">
        <w:t xml:space="preserve"> eyewitness misidentifications, including those resulting from cross-racial misidentifications.</w:t>
      </w:r>
    </w:p>
    <w:p w14:paraId="6172EAC2" w14:textId="77777777" w:rsidR="00F3460E" w:rsidRPr="002D1459" w:rsidRDefault="00F3460E" w:rsidP="007D57AE">
      <w:pPr>
        <w:pStyle w:val="BodyTextFirst5"/>
        <w:numPr>
          <w:ilvl w:val="0"/>
          <w:numId w:val="24"/>
        </w:numPr>
        <w:rPr>
          <w:rFonts w:eastAsia="Calibri"/>
        </w:rPr>
      </w:pPr>
      <w:bookmarkStart w:id="7" w:name="_Ref393964373"/>
      <w:r w:rsidRPr="007E2768">
        <w:t xml:space="preserve">The following recommendations are compiled from The Innocence Project’s report </w:t>
      </w:r>
      <w:r w:rsidRPr="00990651">
        <w:rPr>
          <w:i/>
        </w:rPr>
        <w:t>Making up for Lost Time: What the Wrongfully Convicted Endure and How to Provide Fair Compensation</w:t>
      </w:r>
      <w:r w:rsidRPr="007E2768">
        <w:t>:</w:t>
      </w:r>
      <w:bookmarkEnd w:id="7"/>
    </w:p>
    <w:p w14:paraId="10A4EDA5" w14:textId="77777777" w:rsidR="00F3460E" w:rsidRPr="007D57AE" w:rsidRDefault="00F3460E" w:rsidP="007D57AE">
      <w:pPr>
        <w:pStyle w:val="BodyTextFirst5"/>
        <w:numPr>
          <w:ilvl w:val="1"/>
          <w:numId w:val="23"/>
        </w:numPr>
      </w:pPr>
      <w:r w:rsidRPr="007E2768">
        <w:t xml:space="preserve">Require U.S. states to adopt compensation legislation that provides at least $100,000 per year on death row. </w:t>
      </w:r>
      <w:r>
        <w:t>This</w:t>
      </w:r>
      <w:r w:rsidRPr="007E2768">
        <w:t xml:space="preserve"> compensation should be untaxed. </w:t>
      </w:r>
    </w:p>
    <w:p w14:paraId="223D8C44" w14:textId="77777777" w:rsidR="00F3460E" w:rsidRPr="007D57AE" w:rsidRDefault="00F3460E" w:rsidP="007D57AE">
      <w:pPr>
        <w:pStyle w:val="BodyTextFirst5"/>
        <w:numPr>
          <w:ilvl w:val="1"/>
          <w:numId w:val="23"/>
        </w:numPr>
      </w:pPr>
      <w:r w:rsidRPr="007E2768">
        <w:t>Require U.S. states to adopt legislation that provides for appropriate</w:t>
      </w:r>
      <w:r>
        <w:t xml:space="preserve"> legal assistance or</w:t>
      </w:r>
      <w:r w:rsidRPr="007E2768">
        <w:t xml:space="preserve"> lawyers’ fees associated with filing for compensation. </w:t>
      </w:r>
    </w:p>
    <w:p w14:paraId="2E3ABE75" w14:textId="77777777" w:rsidR="00ED1B95" w:rsidRPr="00ED1B95" w:rsidRDefault="00F3460E" w:rsidP="007D57AE">
      <w:pPr>
        <w:pStyle w:val="BodyTextFirst5"/>
        <w:numPr>
          <w:ilvl w:val="1"/>
          <w:numId w:val="23"/>
        </w:numPr>
        <w:rPr>
          <w:rFonts w:eastAsia="Calibri"/>
        </w:rPr>
      </w:pPr>
      <w:r w:rsidRPr="007E2768">
        <w:t xml:space="preserve">Require U.S. states to adopt legislation that provides </w:t>
      </w:r>
      <w:proofErr w:type="spellStart"/>
      <w:r w:rsidRPr="007E2768">
        <w:t>exonerees</w:t>
      </w:r>
      <w:proofErr w:type="spellEnd"/>
      <w:r w:rsidRPr="007E2768">
        <w:t xml:space="preserve"> with adequate and appropriate services, including housing, transportation, education, physical and mental care, employment assistance, and other services to assist with reintegration. </w:t>
      </w:r>
    </w:p>
    <w:p w14:paraId="6585B7D5" w14:textId="40A04BBD" w:rsidR="00ED1B95" w:rsidRPr="00635908" w:rsidRDefault="007D57AE" w:rsidP="007D57AE">
      <w:pPr>
        <w:pStyle w:val="BodyTextFirst5"/>
        <w:numPr>
          <w:ilvl w:val="0"/>
          <w:numId w:val="24"/>
        </w:numPr>
        <w:rPr>
          <w:rFonts w:eastAsia="Calibri"/>
        </w:rPr>
      </w:pPr>
      <w:r w:rsidRPr="007D57AE">
        <w:rPr>
          <w:rFonts w:eastAsia="Calibri"/>
        </w:rPr>
        <w:t xml:space="preserve">The United </w:t>
      </w:r>
      <w:r w:rsidRPr="007D57AE">
        <w:t>States</w:t>
      </w:r>
      <w:r w:rsidRPr="007D57AE">
        <w:rPr>
          <w:rFonts w:eastAsia="Calibri"/>
        </w:rPr>
        <w:t xml:space="preserve"> should</w:t>
      </w:r>
      <w:r>
        <w:rPr>
          <w:rFonts w:eastAsia="Calibri"/>
        </w:rPr>
        <w:t xml:space="preserve"> </w:t>
      </w:r>
      <w:r>
        <w:t>r</w:t>
      </w:r>
      <w:r w:rsidR="00F3460E" w:rsidRPr="007E2768">
        <w:t>equire U.S. states to issue an official apolo</w:t>
      </w:r>
      <w:r w:rsidR="00ED1B95">
        <w:t>gy for the wrongful conviction.</w:t>
      </w:r>
    </w:p>
    <w:p w14:paraId="574EE528" w14:textId="6B4B06EB" w:rsidR="00635908" w:rsidRPr="007D57AE" w:rsidRDefault="001B3766" w:rsidP="007D57AE">
      <w:pPr>
        <w:pStyle w:val="BodyTextFirst5"/>
        <w:numPr>
          <w:ilvl w:val="0"/>
          <w:numId w:val="24"/>
        </w:numPr>
        <w:rPr>
          <w:rFonts w:eastAsia="Calibri"/>
        </w:rPr>
      </w:pPr>
      <w:r>
        <w:t xml:space="preserve">Where official immunity presents barriers to accountability, the </w:t>
      </w:r>
      <w:r w:rsidR="00635908">
        <w:t>United States should ensure there are adequate</w:t>
      </w:r>
      <w:r>
        <w:t xml:space="preserve"> and alternate</w:t>
      </w:r>
      <w:r w:rsidR="00635908">
        <w:t xml:space="preserve"> mechanisms to hold prosecutors, judges, and law enforcement accountable when their conduct </w:t>
      </w:r>
      <w:r>
        <w:t>leads to wrongful convictions</w:t>
      </w:r>
      <w:r w:rsidR="00635908">
        <w:t xml:space="preserve">. </w:t>
      </w:r>
    </w:p>
    <w:p w14:paraId="55EA5CC4" w14:textId="77777777" w:rsidR="00F3460E" w:rsidRPr="001C4DFE" w:rsidRDefault="00F3460E" w:rsidP="00BD6A29">
      <w:pPr>
        <w:pStyle w:val="BodyTextFirst5"/>
        <w:ind w:left="360" w:firstLine="0"/>
        <w:rPr>
          <w:rFonts w:eastAsia="Calibri"/>
          <w:b/>
          <w:i/>
        </w:rPr>
      </w:pPr>
      <w:r w:rsidRPr="001C4DFE">
        <w:rPr>
          <w:b/>
          <w:i/>
        </w:rPr>
        <w:t>Questions</w:t>
      </w:r>
    </w:p>
    <w:p w14:paraId="1AF5A4BF" w14:textId="77777777" w:rsidR="00466835" w:rsidRPr="00466835" w:rsidRDefault="00466835" w:rsidP="007D57AE">
      <w:pPr>
        <w:pStyle w:val="BodyTextFirst5"/>
        <w:numPr>
          <w:ilvl w:val="0"/>
          <w:numId w:val="24"/>
        </w:numPr>
        <w:rPr>
          <w:rFonts w:eastAsia="Calibri"/>
        </w:rPr>
      </w:pPr>
      <w:r w:rsidRPr="000C6A0A">
        <w:rPr>
          <w:rFonts w:eastAsia="Calibri"/>
        </w:rPr>
        <w:t>What measures is the United States taking to prevent wrongful convictions stemming from cross-racial misidentifications and racial discrimination?</w:t>
      </w:r>
    </w:p>
    <w:p w14:paraId="5CBDE92F" w14:textId="77777777" w:rsidR="00F3460E" w:rsidRPr="00466835" w:rsidRDefault="00F3460E" w:rsidP="007D57AE">
      <w:pPr>
        <w:pStyle w:val="BodyTextFirst5"/>
        <w:numPr>
          <w:ilvl w:val="0"/>
          <w:numId w:val="24"/>
        </w:numPr>
        <w:rPr>
          <w:rFonts w:eastAsia="Calibri"/>
        </w:rPr>
      </w:pPr>
      <w:r>
        <w:t>What measures is the United States taking</w:t>
      </w:r>
      <w:r w:rsidR="0005530A">
        <w:t xml:space="preserve"> to provide accountability for </w:t>
      </w:r>
      <w:r>
        <w:t xml:space="preserve">prosecutors, judges, and law enforcement </w:t>
      </w:r>
      <w:r w:rsidRPr="007D57AE">
        <w:rPr>
          <w:rFonts w:eastAsia="Calibri"/>
        </w:rPr>
        <w:t>who engage in misconduct that leads to wrongful convictions</w:t>
      </w:r>
      <w:r w:rsidR="004348C3" w:rsidRPr="007D57AE">
        <w:rPr>
          <w:rFonts w:eastAsia="Calibri"/>
        </w:rPr>
        <w:t>, especially where there is evidence of racial discrimination</w:t>
      </w:r>
      <w:r w:rsidRPr="007D57AE">
        <w:rPr>
          <w:rFonts w:eastAsia="Calibri"/>
        </w:rPr>
        <w:t xml:space="preserve">? </w:t>
      </w:r>
    </w:p>
    <w:p w14:paraId="7CA799F2" w14:textId="77777777" w:rsidR="00466835" w:rsidRPr="002D1459" w:rsidRDefault="00466835" w:rsidP="007D57AE">
      <w:pPr>
        <w:pStyle w:val="BodyTextFirst5"/>
        <w:numPr>
          <w:ilvl w:val="0"/>
          <w:numId w:val="24"/>
        </w:numPr>
        <w:rPr>
          <w:rFonts w:eastAsia="Calibri"/>
        </w:rPr>
      </w:pPr>
      <w:r w:rsidRPr="007D57AE">
        <w:rPr>
          <w:rFonts w:eastAsia="Calibri"/>
        </w:rPr>
        <w:t>What measures is the United</w:t>
      </w:r>
      <w:r>
        <w:t xml:space="preserve"> States taking to ensure adequate compensation, services, and support to death row </w:t>
      </w:r>
      <w:proofErr w:type="spellStart"/>
      <w:r>
        <w:t>exonerees</w:t>
      </w:r>
      <w:proofErr w:type="spellEnd"/>
      <w:r>
        <w:t xml:space="preserve"> of state-based wrongful convictions?</w:t>
      </w:r>
    </w:p>
    <w:p w14:paraId="44C9CC01" w14:textId="77777777" w:rsidR="00664746" w:rsidRPr="009335C4" w:rsidRDefault="00664746" w:rsidP="00AE219D">
      <w:pPr>
        <w:pStyle w:val="ListParagraph"/>
        <w:keepNext/>
        <w:numPr>
          <w:ilvl w:val="0"/>
          <w:numId w:val="19"/>
        </w:numPr>
        <w:spacing w:after="240"/>
        <w:rPr>
          <w:b/>
        </w:rPr>
      </w:pPr>
      <w:r w:rsidRPr="009335C4">
        <w:rPr>
          <w:b/>
        </w:rPr>
        <w:t>Capital Punishment and Consular Notification</w:t>
      </w:r>
    </w:p>
    <w:p w14:paraId="0CA41C35" w14:textId="77777777" w:rsidR="00664746" w:rsidRDefault="00664746" w:rsidP="00AE219D">
      <w:pPr>
        <w:pStyle w:val="BodyTextFirst5"/>
        <w:numPr>
          <w:ilvl w:val="0"/>
          <w:numId w:val="18"/>
        </w:numPr>
      </w:pPr>
      <w:bookmarkStart w:id="8" w:name="_Ref394045092"/>
      <w:r>
        <w:t>The United States is a party to the Vienna Convention on Consular Rela</w:t>
      </w:r>
      <w:r w:rsidR="00D20F66">
        <w:t>tions (VCCR</w:t>
      </w:r>
      <w:r w:rsidR="006442C5">
        <w:t>), Article 36(1),</w:t>
      </w:r>
      <w:r>
        <w:t xml:space="preserve"> which requires parties arresting or detaining foreign nationals to inform such persons </w:t>
      </w:r>
      <w:r w:rsidR="00C76E31">
        <w:t xml:space="preserve">without delay </w:t>
      </w:r>
      <w:r>
        <w:t>of their right to have their consulate notified and, upon the foreign national’s request, to so notify the consulate of the arrest or detention</w:t>
      </w:r>
      <w:r w:rsidR="00C76E31">
        <w:t xml:space="preserve"> without delay</w:t>
      </w:r>
      <w:r>
        <w:t>.</w:t>
      </w:r>
      <w:r>
        <w:rPr>
          <w:rStyle w:val="FootnoteReference"/>
        </w:rPr>
        <w:footnoteReference w:id="85"/>
      </w:r>
      <w:r w:rsidR="00E154AB">
        <w:t xml:space="preserve"> </w:t>
      </w:r>
      <w:r>
        <w:t>The consulate has the right to communicate with and have access to the arrested or detained national and to arrange for his legal representation.</w:t>
      </w:r>
      <w:r>
        <w:rPr>
          <w:rStyle w:val="FootnoteReference"/>
        </w:rPr>
        <w:footnoteReference w:id="86"/>
      </w:r>
      <w:bookmarkEnd w:id="8"/>
    </w:p>
    <w:p w14:paraId="0EDAC891" w14:textId="77777777" w:rsidR="00664746" w:rsidRDefault="00664746" w:rsidP="00AE219D">
      <w:pPr>
        <w:pStyle w:val="BodyTextFirst5"/>
        <w:numPr>
          <w:ilvl w:val="0"/>
          <w:numId w:val="18"/>
        </w:numPr>
      </w:pPr>
      <w:r>
        <w:t xml:space="preserve">It is widely accepted that </w:t>
      </w:r>
      <w:r w:rsidRPr="00C1022C">
        <w:rPr>
          <w:b/>
        </w:rPr>
        <w:t xml:space="preserve">foreign nationals often face significant disadvantages when interacting with the </w:t>
      </w:r>
      <w:r w:rsidR="008A21F6" w:rsidRPr="00C1022C">
        <w:rPr>
          <w:b/>
        </w:rPr>
        <w:t>U.S.</w:t>
      </w:r>
      <w:r w:rsidRPr="00C1022C">
        <w:rPr>
          <w:b/>
        </w:rPr>
        <w:t xml:space="preserve"> criminal justice system</w:t>
      </w:r>
      <w:r w:rsidR="00847AC9" w:rsidRPr="00C1022C">
        <w:rPr>
          <w:b/>
        </w:rPr>
        <w:t>—disadvantages that</w:t>
      </w:r>
      <w:r w:rsidRPr="00C1022C">
        <w:rPr>
          <w:b/>
        </w:rPr>
        <w:t xml:space="preserve"> commonly stem from language barriers, cultural barriers, and, at times, geographical barriers to evidence located in their native country that may assist their defense.</w:t>
      </w:r>
      <w:r>
        <w:rPr>
          <w:rStyle w:val="FootnoteReference"/>
        </w:rPr>
        <w:footnoteReference w:id="87"/>
      </w:r>
      <w:r w:rsidR="00E154AB">
        <w:t xml:space="preserve"> </w:t>
      </w:r>
      <w:r>
        <w:t xml:space="preserve">Consular officials </w:t>
      </w:r>
      <w:r w:rsidR="00823AB2">
        <w:t>help</w:t>
      </w:r>
      <w:r>
        <w:t xml:space="preserve"> these individuals by visiting them, communicating with family members, arranging for legal representation, and assisting with investigations and evidence collection within the individual’s native country</w:t>
      </w:r>
      <w:r w:rsidR="003B6096">
        <w:t>.</w:t>
      </w:r>
      <w:r w:rsidR="00E154AB">
        <w:t xml:space="preserve"> </w:t>
      </w:r>
      <w:r>
        <w:t>In no case is such assistance more invaluable than when a foreign national faces the death penalty.</w:t>
      </w:r>
    </w:p>
    <w:p w14:paraId="7A4D15B3" w14:textId="77777777" w:rsidR="00664746" w:rsidRDefault="00664746" w:rsidP="00AE219D">
      <w:pPr>
        <w:pStyle w:val="BodyTextFirst5"/>
        <w:numPr>
          <w:ilvl w:val="0"/>
          <w:numId w:val="18"/>
        </w:numPr>
      </w:pPr>
      <w:r w:rsidRPr="00C1022C">
        <w:rPr>
          <w:b/>
        </w:rPr>
        <w:t xml:space="preserve">The United States has repeatedly failed, and continues to fail, to comply with its VCCR consular notification responsibilities </w:t>
      </w:r>
      <w:r w:rsidR="004259DA" w:rsidRPr="00C1022C">
        <w:rPr>
          <w:b/>
        </w:rPr>
        <w:t xml:space="preserve">regarding </w:t>
      </w:r>
      <w:r w:rsidRPr="00C1022C">
        <w:rPr>
          <w:b/>
        </w:rPr>
        <w:t>foreign nationals in capital cases.</w:t>
      </w:r>
      <w:r>
        <w:rPr>
          <w:rStyle w:val="FootnoteReference"/>
        </w:rPr>
        <w:footnoteReference w:id="88"/>
      </w:r>
      <w:r w:rsidR="00E154AB">
        <w:t xml:space="preserve"> </w:t>
      </w:r>
      <w:r>
        <w:t>Paraguay, Germany</w:t>
      </w:r>
      <w:r w:rsidR="000B3356">
        <w:t>,</w:t>
      </w:r>
      <w:r>
        <w:t xml:space="preserve"> and Mexico have each brought consular notification cases against the United States in the I</w:t>
      </w:r>
      <w:r w:rsidR="00D20F66">
        <w:t>nternational Court of Justice (ICJ</w:t>
      </w:r>
      <w:r>
        <w:t>).</w:t>
      </w:r>
      <w:r>
        <w:rPr>
          <w:rStyle w:val="FootnoteReference"/>
        </w:rPr>
        <w:footnoteReference w:id="89"/>
      </w:r>
      <w:r w:rsidR="00E154AB">
        <w:t xml:space="preserve"> </w:t>
      </w:r>
      <w:r w:rsidRPr="00C1022C">
        <w:rPr>
          <w:b/>
        </w:rPr>
        <w:t>In the case</w:t>
      </w:r>
      <w:r w:rsidR="00B90D60" w:rsidRPr="00C1022C">
        <w:rPr>
          <w:b/>
        </w:rPr>
        <w:t xml:space="preserve"> involving</w:t>
      </w:r>
      <w:r w:rsidR="00D20F66" w:rsidRPr="00C1022C">
        <w:rPr>
          <w:b/>
        </w:rPr>
        <w:t xml:space="preserve"> 51 Mexican foreign nationals (</w:t>
      </w:r>
      <w:proofErr w:type="spellStart"/>
      <w:r w:rsidRPr="00C1022C">
        <w:rPr>
          <w:b/>
          <w:i/>
        </w:rPr>
        <w:t>Avena</w:t>
      </w:r>
      <w:proofErr w:type="spellEnd"/>
      <w:r w:rsidRPr="00C1022C">
        <w:rPr>
          <w:b/>
        </w:rPr>
        <w:t>), the ICJ ordered the United States to provide review and reconsideration of the convictions and sentences of the foreign nationals</w:t>
      </w:r>
      <w:r>
        <w:t xml:space="preserve"> covered by such judgments.</w:t>
      </w:r>
      <w:r>
        <w:rPr>
          <w:rStyle w:val="FootnoteReference"/>
        </w:rPr>
        <w:footnoteReference w:id="90"/>
      </w:r>
    </w:p>
    <w:p w14:paraId="7A46689D" w14:textId="77777777" w:rsidR="00664746" w:rsidRDefault="00664746" w:rsidP="00AE219D">
      <w:pPr>
        <w:pStyle w:val="BodyTextFirst5"/>
        <w:numPr>
          <w:ilvl w:val="0"/>
          <w:numId w:val="18"/>
        </w:numPr>
      </w:pPr>
      <w:r>
        <w:t xml:space="preserve">Following the </w:t>
      </w:r>
      <w:proofErr w:type="spellStart"/>
      <w:r w:rsidRPr="005A6F1A">
        <w:rPr>
          <w:i/>
        </w:rPr>
        <w:t>Avena</w:t>
      </w:r>
      <w:proofErr w:type="spellEnd"/>
      <w:r>
        <w:t xml:space="preserve"> decision, the United States withdrew from the optional protocol establishing ICJ jurisdiction over VCCR disputes involving the United States, thereby foreclosing the ability of other countries </w:t>
      </w:r>
      <w:r w:rsidR="00F607DB">
        <w:t>to</w:t>
      </w:r>
      <w:r>
        <w:t xml:space="preserve"> pressure the United States to comply with its obligations</w:t>
      </w:r>
      <w:r w:rsidR="00F607DB">
        <w:t xml:space="preserve"> by bringing cases in the ICJ</w:t>
      </w:r>
      <w:r>
        <w:t>.</w:t>
      </w:r>
      <w:r>
        <w:rPr>
          <w:rStyle w:val="FootnoteReference"/>
        </w:rPr>
        <w:footnoteReference w:id="91"/>
      </w:r>
    </w:p>
    <w:p w14:paraId="7A284126" w14:textId="139ABD93" w:rsidR="00DD6C09" w:rsidRPr="00C1022C" w:rsidRDefault="00DD6C09" w:rsidP="00AE219D">
      <w:pPr>
        <w:pStyle w:val="BodyTextFirst5"/>
        <w:numPr>
          <w:ilvl w:val="0"/>
          <w:numId w:val="18"/>
        </w:numPr>
        <w:rPr>
          <w:b/>
        </w:rPr>
      </w:pPr>
      <w:r w:rsidRPr="00C1022C">
        <w:rPr>
          <w:b/>
        </w:rPr>
        <w:t>The United States’ failure to meet its obligations to provide timely consular notification when arresting or detaining foreign nationals, as well as its failure to review and reconsider those cases in which timely consular notification was not given, constitutes a form of national origin discrimination in violation of Articles 5(a) and 6 of ICERD.</w:t>
      </w:r>
      <w:r w:rsidR="008555F4" w:rsidRPr="00C1022C">
        <w:rPr>
          <w:b/>
        </w:rPr>
        <w:t xml:space="preserve"> </w:t>
      </w:r>
    </w:p>
    <w:p w14:paraId="75584138" w14:textId="2E3BC74C" w:rsidR="00745E77" w:rsidRDefault="00664746" w:rsidP="00AE219D">
      <w:pPr>
        <w:pStyle w:val="BodyTextFirst5"/>
        <w:numPr>
          <w:ilvl w:val="0"/>
          <w:numId w:val="18"/>
        </w:numPr>
      </w:pPr>
      <w:r>
        <w:t xml:space="preserve">In response to </w:t>
      </w:r>
      <w:proofErr w:type="spellStart"/>
      <w:r w:rsidRPr="00F2092F">
        <w:rPr>
          <w:i/>
        </w:rPr>
        <w:t>Avena</w:t>
      </w:r>
      <w:proofErr w:type="spellEnd"/>
      <w:r>
        <w:t>, President George W</w:t>
      </w:r>
      <w:r w:rsidR="003B6096">
        <w:t xml:space="preserve">. </w:t>
      </w:r>
      <w:r>
        <w:t>Bush issued a Memorandum directing state courts to give effect to the ICJ decision.</w:t>
      </w:r>
      <w:r>
        <w:rPr>
          <w:rStyle w:val="FootnoteReference"/>
        </w:rPr>
        <w:footnoteReference w:id="92"/>
      </w:r>
      <w:r w:rsidR="00E154AB">
        <w:t xml:space="preserve"> </w:t>
      </w:r>
      <w:r w:rsidRPr="00C1022C">
        <w:rPr>
          <w:b/>
        </w:rPr>
        <w:t xml:space="preserve">The </w:t>
      </w:r>
      <w:r w:rsidR="009965FD" w:rsidRPr="00C1022C">
        <w:rPr>
          <w:b/>
        </w:rPr>
        <w:t>S</w:t>
      </w:r>
      <w:r w:rsidRPr="00C1022C">
        <w:rPr>
          <w:b/>
        </w:rPr>
        <w:t xml:space="preserve">tate of Texas refused to review the case of death row inmate Jose Medellin, </w:t>
      </w:r>
      <w:r w:rsidR="00CA3437" w:rsidRPr="00C1022C">
        <w:rPr>
          <w:b/>
        </w:rPr>
        <w:t>of</w:t>
      </w:r>
      <w:r w:rsidR="006E1E5C" w:rsidRPr="00C1022C">
        <w:rPr>
          <w:b/>
        </w:rPr>
        <w:t xml:space="preserve"> Latino </w:t>
      </w:r>
      <w:r w:rsidR="00CA3437" w:rsidRPr="00C1022C">
        <w:rPr>
          <w:b/>
        </w:rPr>
        <w:t>ethnicity</w:t>
      </w:r>
      <w:r w:rsidR="006E1E5C">
        <w:t xml:space="preserve">, </w:t>
      </w:r>
      <w:r>
        <w:t>and Medellin petitioned the Unit</w:t>
      </w:r>
      <w:r w:rsidR="00A63DFA">
        <w:t>ed States Supreme Court</w:t>
      </w:r>
      <w:r>
        <w:t xml:space="preserve"> for relief.</w:t>
      </w:r>
      <w:r>
        <w:rPr>
          <w:rStyle w:val="FootnoteReference"/>
        </w:rPr>
        <w:footnoteReference w:id="93"/>
      </w:r>
      <w:r w:rsidR="00E154AB">
        <w:t xml:space="preserve"> </w:t>
      </w:r>
      <w:r w:rsidR="00A63DFA">
        <w:t>The Court</w:t>
      </w:r>
      <w:r>
        <w:t xml:space="preserve"> held that, without implementing legislation, the </w:t>
      </w:r>
      <w:proofErr w:type="spellStart"/>
      <w:r w:rsidRPr="00E73BA8">
        <w:rPr>
          <w:i/>
        </w:rPr>
        <w:t>Avena</w:t>
      </w:r>
      <w:proofErr w:type="spellEnd"/>
      <w:r>
        <w:t xml:space="preserve"> decision was not automatically binding domestic law</w:t>
      </w:r>
      <w:r w:rsidR="009726AA">
        <w:t>,</w:t>
      </w:r>
      <w:r>
        <w:t xml:space="preserve"> and that </w:t>
      </w:r>
      <w:r w:rsidRPr="00C1022C">
        <w:rPr>
          <w:b/>
        </w:rPr>
        <w:t>the President did not have the authority to order states to bypass their procedural rules and comply with the ruling</w:t>
      </w:r>
      <w:r>
        <w:t xml:space="preserve"> of the ICJ.</w:t>
      </w:r>
      <w:r>
        <w:rPr>
          <w:rStyle w:val="FootnoteReference"/>
        </w:rPr>
        <w:footnoteReference w:id="94"/>
      </w:r>
      <w:r w:rsidR="00E154AB">
        <w:t xml:space="preserve"> </w:t>
      </w:r>
      <w:r w:rsidR="000B2764">
        <w:t xml:space="preserve">Thereafter, on August 5, 2008, </w:t>
      </w:r>
      <w:r>
        <w:t xml:space="preserve">Texas executed Medellin </w:t>
      </w:r>
      <w:r w:rsidR="000B2764">
        <w:t xml:space="preserve">without first reviewing his case as directed under </w:t>
      </w:r>
      <w:proofErr w:type="spellStart"/>
      <w:r w:rsidR="000B2764" w:rsidRPr="000B2764">
        <w:rPr>
          <w:i/>
        </w:rPr>
        <w:t>Avena</w:t>
      </w:r>
      <w:proofErr w:type="spellEnd"/>
      <w:r w:rsidR="000B2764">
        <w:t>.</w:t>
      </w:r>
      <w:r>
        <w:rPr>
          <w:rStyle w:val="FootnoteReference"/>
        </w:rPr>
        <w:footnoteReference w:id="95"/>
      </w:r>
      <w:r w:rsidR="00E154AB">
        <w:t xml:space="preserve"> </w:t>
      </w:r>
    </w:p>
    <w:p w14:paraId="55CAE945" w14:textId="5D8AE530" w:rsidR="00664746" w:rsidRDefault="004348C3" w:rsidP="00AE219D">
      <w:pPr>
        <w:pStyle w:val="BodyTextFirst5"/>
        <w:numPr>
          <w:ilvl w:val="0"/>
          <w:numId w:val="18"/>
        </w:numPr>
      </w:pPr>
      <w:r>
        <w:t>Subsequently</w:t>
      </w:r>
      <w:r w:rsidR="00664746">
        <w:t xml:space="preserve">, </w:t>
      </w:r>
      <w:r w:rsidR="00664746" w:rsidRPr="00C1022C">
        <w:rPr>
          <w:b/>
        </w:rPr>
        <w:t>Texas executed</w:t>
      </w:r>
      <w:r w:rsidR="00C8635F" w:rsidRPr="00C1022C">
        <w:rPr>
          <w:b/>
        </w:rPr>
        <w:t xml:space="preserve"> three more</w:t>
      </w:r>
      <w:r w:rsidR="00664746" w:rsidRPr="00C1022C">
        <w:rPr>
          <w:b/>
        </w:rPr>
        <w:t xml:space="preserve"> </w:t>
      </w:r>
      <w:r w:rsidR="00C8635F" w:rsidRPr="00C1022C">
        <w:rPr>
          <w:b/>
        </w:rPr>
        <w:t xml:space="preserve">Mexican </w:t>
      </w:r>
      <w:r w:rsidR="00664746" w:rsidRPr="00C1022C">
        <w:rPr>
          <w:b/>
        </w:rPr>
        <w:t>foreign national</w:t>
      </w:r>
      <w:r w:rsidR="00C8635F" w:rsidRPr="00C1022C">
        <w:rPr>
          <w:b/>
        </w:rPr>
        <w:t>s</w:t>
      </w:r>
      <w:r w:rsidR="00C8635F">
        <w:t xml:space="preserve"> represented in the </w:t>
      </w:r>
      <w:proofErr w:type="spellStart"/>
      <w:r w:rsidR="00C8635F" w:rsidRPr="00C8635F">
        <w:rPr>
          <w:i/>
        </w:rPr>
        <w:t>Avena</w:t>
      </w:r>
      <w:proofErr w:type="spellEnd"/>
      <w:r w:rsidR="00C8635F">
        <w:t xml:space="preserve"> case.</w:t>
      </w:r>
      <w:r w:rsidR="008555F4">
        <w:t xml:space="preserve"> </w:t>
      </w:r>
      <w:r w:rsidR="00C8635F">
        <w:t>O</w:t>
      </w:r>
      <w:r w:rsidR="00664746">
        <w:t>n July 7, 2011</w:t>
      </w:r>
      <w:r w:rsidR="00C8635F">
        <w:t>, Texas executed Humberto Leal Garcia</w:t>
      </w:r>
      <w:r w:rsidR="006E1E5C">
        <w:t xml:space="preserve">, </w:t>
      </w:r>
      <w:r w:rsidR="00CA3437">
        <w:t>of</w:t>
      </w:r>
      <w:r w:rsidR="006E1E5C">
        <w:t xml:space="preserve"> Latino </w:t>
      </w:r>
      <w:r w:rsidR="00CA3437">
        <w:t>ethnicity</w:t>
      </w:r>
      <w:r w:rsidR="00664746">
        <w:t>.</w:t>
      </w:r>
      <w:r w:rsidR="00664746">
        <w:rPr>
          <w:rStyle w:val="FootnoteReference"/>
        </w:rPr>
        <w:footnoteReference w:id="96"/>
      </w:r>
      <w:r w:rsidR="008555F4">
        <w:t xml:space="preserve"> </w:t>
      </w:r>
      <w:r w:rsidR="00745E77" w:rsidRPr="00831A32">
        <w:t xml:space="preserve">On January 22, </w:t>
      </w:r>
      <w:r w:rsidR="00C8635F">
        <w:t>2014, the state</w:t>
      </w:r>
      <w:r w:rsidR="00745E77" w:rsidRPr="00831A32">
        <w:t xml:space="preserve"> executed Edgar Tamayo, </w:t>
      </w:r>
      <w:r w:rsidR="006E1E5C">
        <w:t xml:space="preserve">also Latino, </w:t>
      </w:r>
      <w:r w:rsidR="00745E77" w:rsidRPr="00831A32">
        <w:t xml:space="preserve">despite requests for a new hearing made by Secretary of State John Kerry, former Governor of Texas Mark White, and Mexican Foreign Minister José Antonio Meade </w:t>
      </w:r>
      <w:proofErr w:type="spellStart"/>
      <w:r w:rsidR="00745E77" w:rsidRPr="00831A32">
        <w:t>Kuribreña</w:t>
      </w:r>
      <w:proofErr w:type="spellEnd"/>
      <w:r w:rsidR="00745E77" w:rsidRPr="00831A32">
        <w:t>.</w:t>
      </w:r>
      <w:r w:rsidR="00C8635F" w:rsidRPr="00831A32">
        <w:rPr>
          <w:rStyle w:val="FootnoteReference"/>
        </w:rPr>
        <w:footnoteReference w:id="97"/>
      </w:r>
      <w:r w:rsidR="00F83DDE">
        <w:t xml:space="preserve"> Then on April 9, 2014, Texas executed Ramiro Hernandez </w:t>
      </w:r>
      <w:proofErr w:type="spellStart"/>
      <w:r w:rsidR="00F83DDE">
        <w:t>Llanas</w:t>
      </w:r>
      <w:proofErr w:type="spellEnd"/>
      <w:r w:rsidR="00F83DDE">
        <w:t>.</w:t>
      </w:r>
      <w:r w:rsidR="00396469">
        <w:rPr>
          <w:rStyle w:val="FootnoteReference"/>
        </w:rPr>
        <w:footnoteReference w:id="98"/>
      </w:r>
    </w:p>
    <w:p w14:paraId="6463D381" w14:textId="400BC470" w:rsidR="00195D49" w:rsidRDefault="00195D49" w:rsidP="00AE219D">
      <w:pPr>
        <w:pStyle w:val="ListParagraph"/>
        <w:numPr>
          <w:ilvl w:val="0"/>
          <w:numId w:val="18"/>
        </w:numPr>
      </w:pPr>
      <w:r w:rsidRPr="00C1022C">
        <w:rPr>
          <w:b/>
        </w:rPr>
        <w:t xml:space="preserve">Currently, </w:t>
      </w:r>
      <w:r w:rsidR="00DD2F93" w:rsidRPr="00C1022C">
        <w:rPr>
          <w:b/>
        </w:rPr>
        <w:t xml:space="preserve">138 </w:t>
      </w:r>
      <w:r w:rsidRPr="00C1022C">
        <w:rPr>
          <w:b/>
        </w:rPr>
        <w:t>foreign nationals</w:t>
      </w:r>
      <w:r w:rsidR="00A748D0" w:rsidRPr="00C1022C">
        <w:rPr>
          <w:b/>
        </w:rPr>
        <w:t xml:space="preserve"> from 36 different countries, 59</w:t>
      </w:r>
      <w:r w:rsidR="00B168E8" w:rsidRPr="00C1022C">
        <w:rPr>
          <w:b/>
        </w:rPr>
        <w:t xml:space="preserve"> of whom are from</w:t>
      </w:r>
      <w:r w:rsidR="00A748D0" w:rsidRPr="00C1022C">
        <w:rPr>
          <w:b/>
        </w:rPr>
        <w:t xml:space="preserve"> Mexico</w:t>
      </w:r>
      <w:r w:rsidR="00B168E8" w:rsidRPr="00C1022C">
        <w:rPr>
          <w:b/>
        </w:rPr>
        <w:t xml:space="preserve"> alone</w:t>
      </w:r>
      <w:r w:rsidR="00DD2F93" w:rsidRPr="00C1022C">
        <w:rPr>
          <w:b/>
        </w:rPr>
        <w:t>,</w:t>
      </w:r>
      <w:r w:rsidRPr="00C1022C">
        <w:rPr>
          <w:b/>
        </w:rPr>
        <w:t xml:space="preserve"> </w:t>
      </w:r>
      <w:r w:rsidR="00664EB6" w:rsidRPr="00C1022C">
        <w:rPr>
          <w:b/>
        </w:rPr>
        <w:t xml:space="preserve">sit on </w:t>
      </w:r>
      <w:r w:rsidRPr="00C1022C">
        <w:rPr>
          <w:b/>
        </w:rPr>
        <w:t>the death rows</w:t>
      </w:r>
      <w:r w:rsidR="00664EB6">
        <w:t xml:space="preserve"> of 15 states</w:t>
      </w:r>
      <w:r w:rsidR="00287D33">
        <w:t xml:space="preserve"> and the U.S. federal government</w:t>
      </w:r>
      <w:r>
        <w:t>,</w:t>
      </w:r>
      <w:r>
        <w:rPr>
          <w:rStyle w:val="FootnoteReference"/>
        </w:rPr>
        <w:footnoteReference w:id="99"/>
      </w:r>
      <w:r>
        <w:t xml:space="preserve"> with California, Florida, and Texas collectively holding 74% of the reported total.</w:t>
      </w:r>
      <w:r>
        <w:rPr>
          <w:rStyle w:val="FootnoteReference"/>
        </w:rPr>
        <w:footnoteReference w:id="100"/>
      </w:r>
      <w:r>
        <w:t xml:space="preserve"> To date, </w:t>
      </w:r>
      <w:r w:rsidRPr="00C1022C">
        <w:rPr>
          <w:b/>
        </w:rPr>
        <w:t>only state courts in Oklahoma and Nevada have fully applied the</w:t>
      </w:r>
      <w:r w:rsidR="00664EB6" w:rsidRPr="00C1022C">
        <w:rPr>
          <w:b/>
        </w:rPr>
        <w:t xml:space="preserve"> ICJ’s</w:t>
      </w:r>
      <w:r w:rsidRPr="00C1022C">
        <w:rPr>
          <w:b/>
        </w:rPr>
        <w:t xml:space="preserve"> requirement of ‘review and reconsideration</w:t>
      </w:r>
      <w:r w:rsidR="00664EB6" w:rsidRPr="00C1022C">
        <w:rPr>
          <w:b/>
        </w:rPr>
        <w:t>.</w:t>
      </w:r>
      <w:r w:rsidRPr="00C1022C">
        <w:rPr>
          <w:b/>
        </w:rPr>
        <w:t>’</w:t>
      </w:r>
      <w:r>
        <w:rPr>
          <w:rStyle w:val="FootnoteReference"/>
        </w:rPr>
        <w:footnoteReference w:id="101"/>
      </w:r>
      <w:r>
        <w:t xml:space="preserve"> Most of the remaining jurisdictions strictly apply procedural rules that prevent death-sentenced foreigners from receiving meaningful and unfettered review of VCCR violations.</w:t>
      </w:r>
      <w:r w:rsidR="0054160D">
        <w:rPr>
          <w:rStyle w:val="FootnoteReference"/>
        </w:rPr>
        <w:footnoteReference w:id="102"/>
      </w:r>
      <w:r>
        <w:t xml:space="preserve"> Moreover, Texas</w:t>
      </w:r>
      <w:r w:rsidR="00664EB6">
        <w:t xml:space="preserve"> in the</w:t>
      </w:r>
      <w:r w:rsidR="00664EB6" w:rsidRPr="00664EB6">
        <w:rPr>
          <w:i/>
          <w:iCs/>
        </w:rPr>
        <w:t xml:space="preserve"> </w:t>
      </w:r>
      <w:r w:rsidR="00664EB6" w:rsidRPr="00195D49">
        <w:rPr>
          <w:i/>
          <w:iCs/>
        </w:rPr>
        <w:t xml:space="preserve">Medellin </w:t>
      </w:r>
      <w:r w:rsidR="00664EB6">
        <w:t>case</w:t>
      </w:r>
      <w:r>
        <w:t xml:space="preserve"> affirmatively disclaimed any responsibility to ensure that the U</w:t>
      </w:r>
      <w:r w:rsidR="00664EB6">
        <w:t xml:space="preserve">nited </w:t>
      </w:r>
      <w:r>
        <w:t>S</w:t>
      </w:r>
      <w:r w:rsidR="00664EB6">
        <w:t>tates</w:t>
      </w:r>
      <w:r>
        <w:t>’ international legal obligations are fulfilled with respect to the foreign nationals on its death row.</w:t>
      </w:r>
      <w:r>
        <w:rPr>
          <w:rStyle w:val="FootnoteReference"/>
        </w:rPr>
        <w:footnoteReference w:id="103"/>
      </w:r>
      <w:r>
        <w:t xml:space="preserve"> </w:t>
      </w:r>
    </w:p>
    <w:p w14:paraId="64B5FB17" w14:textId="77777777" w:rsidR="00195D49" w:rsidRDefault="00195D49" w:rsidP="00195D49">
      <w:pPr>
        <w:pStyle w:val="ListParagraph"/>
        <w:ind w:left="360"/>
      </w:pPr>
    </w:p>
    <w:p w14:paraId="346E8B88" w14:textId="77777777" w:rsidR="00664746" w:rsidRDefault="00A63DFA" w:rsidP="00AE219D">
      <w:pPr>
        <w:pStyle w:val="BodyTextFirst5"/>
        <w:numPr>
          <w:ilvl w:val="0"/>
          <w:numId w:val="18"/>
        </w:numPr>
      </w:pPr>
      <w:r>
        <w:t xml:space="preserve">Since the </w:t>
      </w:r>
      <w:r w:rsidR="008A21F6">
        <w:t>U.S.</w:t>
      </w:r>
      <w:r>
        <w:t xml:space="preserve"> Supreme Court</w:t>
      </w:r>
      <w:r w:rsidR="00664746">
        <w:t xml:space="preserve"> has already held that the </w:t>
      </w:r>
      <w:proofErr w:type="spellStart"/>
      <w:r w:rsidR="00664746" w:rsidRPr="007A7020">
        <w:rPr>
          <w:i/>
        </w:rPr>
        <w:t>Avena</w:t>
      </w:r>
      <w:proofErr w:type="spellEnd"/>
      <w:r w:rsidR="00664746">
        <w:t xml:space="preserve"> decision is not binding on states without federal legislation,</w:t>
      </w:r>
      <w:r w:rsidR="00664746">
        <w:rPr>
          <w:rStyle w:val="FootnoteReference"/>
        </w:rPr>
        <w:footnoteReference w:id="104"/>
      </w:r>
      <w:r w:rsidR="00664746">
        <w:t xml:space="preserve"> unless the courts of each state that has the death penalty independently recognize the rights of foreign nationals to </w:t>
      </w:r>
      <w:r w:rsidR="00C76E31">
        <w:t xml:space="preserve">meaningful judicial review and remedies for </w:t>
      </w:r>
      <w:r w:rsidR="00664746">
        <w:t>VCCR consular notification</w:t>
      </w:r>
      <w:r w:rsidR="00C76E31">
        <w:t xml:space="preserve"> violations</w:t>
      </w:r>
      <w:r w:rsidR="00664746">
        <w:rPr>
          <w:rStyle w:val="FootnoteReference"/>
        </w:rPr>
        <w:footnoteReference w:id="105"/>
      </w:r>
      <w:r w:rsidR="00664746">
        <w:t xml:space="preserve"> </w:t>
      </w:r>
      <w:r w:rsidR="000B3356">
        <w:t>(</w:t>
      </w:r>
      <w:r w:rsidR="00664746">
        <w:t xml:space="preserve">an unlikely possibility in light of Texas’ actions in </w:t>
      </w:r>
      <w:r w:rsidR="00664746" w:rsidRPr="00132FBC">
        <w:rPr>
          <w:i/>
        </w:rPr>
        <w:t>Medellin</w:t>
      </w:r>
      <w:r w:rsidR="000B3356">
        <w:rPr>
          <w:i/>
        </w:rPr>
        <w:t>)</w:t>
      </w:r>
      <w:r w:rsidR="00664746">
        <w:t xml:space="preserve">, </w:t>
      </w:r>
      <w:r w:rsidR="00664746" w:rsidRPr="00C1022C">
        <w:rPr>
          <w:b/>
        </w:rPr>
        <w:t xml:space="preserve">federal legislation remains </w:t>
      </w:r>
      <w:r w:rsidR="00260887" w:rsidRPr="00C1022C">
        <w:rPr>
          <w:b/>
        </w:rPr>
        <w:t>the only</w:t>
      </w:r>
      <w:r w:rsidR="00664746" w:rsidRPr="00C1022C">
        <w:rPr>
          <w:b/>
        </w:rPr>
        <w:t xml:space="preserve"> potential mechanism to ensure</w:t>
      </w:r>
      <w:r w:rsidR="00F607DB" w:rsidRPr="00C1022C">
        <w:rPr>
          <w:b/>
        </w:rPr>
        <w:t xml:space="preserve"> that</w:t>
      </w:r>
      <w:r w:rsidR="00664746" w:rsidRPr="00C1022C">
        <w:rPr>
          <w:b/>
        </w:rPr>
        <w:t xml:space="preserve"> the United States complies with its </w:t>
      </w:r>
      <w:r w:rsidR="005172B7" w:rsidRPr="00C1022C">
        <w:rPr>
          <w:b/>
        </w:rPr>
        <w:t>international</w:t>
      </w:r>
      <w:r w:rsidR="00664746" w:rsidRPr="00C1022C">
        <w:rPr>
          <w:b/>
        </w:rPr>
        <w:t xml:space="preserve"> obligations</w:t>
      </w:r>
      <w:r w:rsidR="005172B7" w:rsidRPr="00C1022C">
        <w:rPr>
          <w:b/>
        </w:rPr>
        <w:t xml:space="preserve"> by providing access to effective remedies for Article 36 violations</w:t>
      </w:r>
      <w:r w:rsidR="00664746">
        <w:t>.</w:t>
      </w:r>
      <w:r w:rsidR="00664746">
        <w:rPr>
          <w:rStyle w:val="FootnoteReference"/>
        </w:rPr>
        <w:footnoteReference w:id="106"/>
      </w:r>
    </w:p>
    <w:p w14:paraId="0FEBA2A5" w14:textId="77777777" w:rsidR="00664746" w:rsidRDefault="00664746" w:rsidP="00AE219D">
      <w:pPr>
        <w:pStyle w:val="BodyTextFirst5"/>
        <w:numPr>
          <w:ilvl w:val="0"/>
          <w:numId w:val="18"/>
        </w:numPr>
      </w:pPr>
      <w:r>
        <w:t>In 2011, Senator Patrick</w:t>
      </w:r>
      <w:r w:rsidRPr="001C3A4F">
        <w:t xml:space="preserve"> Leahy introduced Senate </w:t>
      </w:r>
      <w:r w:rsidR="00823AB2">
        <w:t>B</w:t>
      </w:r>
      <w:r w:rsidRPr="001C3A4F">
        <w:t>ill 1194, the Consular Notification Compliance Act of 2011, in the U</w:t>
      </w:r>
      <w:r w:rsidR="00260887">
        <w:t>.</w:t>
      </w:r>
      <w:r w:rsidRPr="001C3A4F">
        <w:t>S</w:t>
      </w:r>
      <w:r w:rsidR="00260887">
        <w:t>.</w:t>
      </w:r>
      <w:r w:rsidRPr="001C3A4F">
        <w:t xml:space="preserve"> Senate</w:t>
      </w:r>
      <w:r w:rsidR="003B6096">
        <w:t>.</w:t>
      </w:r>
      <w:r w:rsidR="00E154AB">
        <w:t xml:space="preserve"> </w:t>
      </w:r>
      <w:r w:rsidRPr="001C3A4F">
        <w:t>The Act would have required all U.S</w:t>
      </w:r>
      <w:r w:rsidR="003B6096">
        <w:t xml:space="preserve">. </w:t>
      </w:r>
      <w:r w:rsidRPr="001C3A4F">
        <w:t xml:space="preserve">jurisdictions to comply with </w:t>
      </w:r>
      <w:r w:rsidRPr="001C3A4F">
        <w:rPr>
          <w:color w:val="000000"/>
        </w:rPr>
        <w:t>Article 36 of the VCCR</w:t>
      </w:r>
      <w:r w:rsidRPr="001C3A4F">
        <w:t xml:space="preserve"> and would have provided for federal court review of any claim of </w:t>
      </w:r>
      <w:r w:rsidR="005172B7">
        <w:t>a</w:t>
      </w:r>
      <w:r w:rsidR="00260887">
        <w:t>n</w:t>
      </w:r>
      <w:r w:rsidR="005172B7">
        <w:t xml:space="preserve"> </w:t>
      </w:r>
      <w:r w:rsidRPr="001C3A4F">
        <w:t>Article 36</w:t>
      </w:r>
      <w:r w:rsidR="00260887">
        <w:t xml:space="preserve"> violation</w:t>
      </w:r>
      <w:r w:rsidRPr="001C3A4F">
        <w:t xml:space="preserve"> by anyone sentenced to death in a state or federal court.</w:t>
      </w:r>
      <w:r>
        <w:rPr>
          <w:rStyle w:val="FootnoteReference"/>
          <w:szCs w:val="24"/>
        </w:rPr>
        <w:footnoteReference w:id="107"/>
      </w:r>
      <w:r w:rsidR="00E154AB">
        <w:t xml:space="preserve"> </w:t>
      </w:r>
      <w:r w:rsidR="00823AB2">
        <w:t>Despite</w:t>
      </w:r>
      <w:r w:rsidRPr="001C3A4F">
        <w:t xml:space="preserve"> support from President Obama’s administration,</w:t>
      </w:r>
      <w:r>
        <w:rPr>
          <w:rStyle w:val="FootnoteReference"/>
          <w:szCs w:val="24"/>
        </w:rPr>
        <w:footnoteReference w:id="108"/>
      </w:r>
      <w:r>
        <w:t xml:space="preserve"> the bill</w:t>
      </w:r>
      <w:r w:rsidRPr="001C3A4F">
        <w:t xml:space="preserve"> died in</w:t>
      </w:r>
      <w:r>
        <w:t xml:space="preserve"> committee</w:t>
      </w:r>
      <w:r w:rsidR="003B6096">
        <w:t>.</w:t>
      </w:r>
      <w:r w:rsidR="00E154AB">
        <w:t xml:space="preserve"> </w:t>
      </w:r>
      <w:r>
        <w:t>Since th</w:t>
      </w:r>
      <w:r w:rsidR="00823AB2">
        <w:t>en</w:t>
      </w:r>
      <w:r>
        <w:t xml:space="preserve">, no similar federal legislation has been introduced in either house of the </w:t>
      </w:r>
      <w:r w:rsidR="00260887">
        <w:t>U.S.</w:t>
      </w:r>
      <w:r>
        <w:t xml:space="preserve"> Congress</w:t>
      </w:r>
      <w:r w:rsidR="003B6096">
        <w:t>.</w:t>
      </w:r>
      <w:r w:rsidR="00E154AB">
        <w:t xml:space="preserve"> </w:t>
      </w:r>
      <w:r w:rsidR="009B797A">
        <w:t xml:space="preserve">The </w:t>
      </w:r>
      <w:r w:rsidR="009255AF">
        <w:t>U.S.</w:t>
      </w:r>
      <w:r w:rsidR="009B797A">
        <w:t xml:space="preserve"> Department of State did include proposed legislative language </w:t>
      </w:r>
      <w:r w:rsidR="00780CD3">
        <w:t>in the budget it sent to Congress for consideration for fiscal year 2014</w:t>
      </w:r>
      <w:r w:rsidR="003B6096">
        <w:t>.</w:t>
      </w:r>
      <w:r w:rsidR="00E154AB">
        <w:t xml:space="preserve"> </w:t>
      </w:r>
      <w:r w:rsidR="00780CD3">
        <w:t xml:space="preserve">This legislation would </w:t>
      </w:r>
      <w:r w:rsidR="00DC65ED">
        <w:t xml:space="preserve">have </w:t>
      </w:r>
      <w:r w:rsidR="009B797A">
        <w:t>implement</w:t>
      </w:r>
      <w:r w:rsidR="00DC65ED">
        <w:t>ed</w:t>
      </w:r>
      <w:r w:rsidR="009B797A">
        <w:t xml:space="preserve"> </w:t>
      </w:r>
      <w:proofErr w:type="spellStart"/>
      <w:r w:rsidR="00260887" w:rsidRPr="00260887">
        <w:rPr>
          <w:i/>
        </w:rPr>
        <w:t>Avena</w:t>
      </w:r>
      <w:r w:rsidR="00260887">
        <w:t>’s</w:t>
      </w:r>
      <w:proofErr w:type="spellEnd"/>
      <w:r w:rsidR="009B797A">
        <w:t xml:space="preserve"> review and reconsideration </w:t>
      </w:r>
      <w:r w:rsidR="00780CD3">
        <w:t xml:space="preserve">mandates </w:t>
      </w:r>
      <w:r w:rsidR="009B797A">
        <w:t xml:space="preserve">and </w:t>
      </w:r>
      <w:r w:rsidR="00DC65ED">
        <w:t xml:space="preserve">would have </w:t>
      </w:r>
      <w:r w:rsidR="009B797A">
        <w:t>provide</w:t>
      </w:r>
      <w:r w:rsidR="00DC65ED">
        <w:t>d</w:t>
      </w:r>
      <w:r w:rsidR="009B797A">
        <w:t xml:space="preserve"> redress for violations of VCCR consular notification rights</w:t>
      </w:r>
      <w:r w:rsidR="00780CD3">
        <w:t xml:space="preserve"> of individuals charged with capital offenses.</w:t>
      </w:r>
      <w:r w:rsidR="00565171">
        <w:rPr>
          <w:rStyle w:val="FootnoteReference"/>
        </w:rPr>
        <w:footnoteReference w:id="109"/>
      </w:r>
      <w:r w:rsidR="00031F3F">
        <w:t xml:space="preserve"> O</w:t>
      </w:r>
      <w:r w:rsidR="00031F3F">
        <w:rPr>
          <w:szCs w:val="24"/>
        </w:rPr>
        <w:t>n July 2</w:t>
      </w:r>
      <w:r w:rsidR="00DC65ED">
        <w:rPr>
          <w:szCs w:val="24"/>
        </w:rPr>
        <w:t>5</w:t>
      </w:r>
      <w:r w:rsidR="00031F3F">
        <w:rPr>
          <w:szCs w:val="24"/>
        </w:rPr>
        <w:t>, 2013 the Senate Appropriations Committee included</w:t>
      </w:r>
      <w:r w:rsidR="00031F3F">
        <w:rPr>
          <w:i/>
          <w:szCs w:val="24"/>
        </w:rPr>
        <w:t xml:space="preserve"> </w:t>
      </w:r>
      <w:r w:rsidR="00031F3F" w:rsidRPr="00077888">
        <w:rPr>
          <w:szCs w:val="24"/>
        </w:rPr>
        <w:t>the</w:t>
      </w:r>
      <w:r w:rsidR="00031F3F">
        <w:rPr>
          <w:i/>
          <w:szCs w:val="24"/>
        </w:rPr>
        <w:t xml:space="preserve"> </w:t>
      </w:r>
      <w:r w:rsidR="00031F3F">
        <w:rPr>
          <w:szCs w:val="24"/>
        </w:rPr>
        <w:t>implementing language in the fiscal year 2014 Senate Foreign Operations bill</w:t>
      </w:r>
      <w:r w:rsidR="00DC65ED">
        <w:rPr>
          <w:szCs w:val="24"/>
        </w:rPr>
        <w:t xml:space="preserve"> 1372</w:t>
      </w:r>
      <w:r w:rsidR="00031F3F">
        <w:rPr>
          <w:szCs w:val="24"/>
        </w:rPr>
        <w:t xml:space="preserve"> (for the second year in a row). </w:t>
      </w:r>
      <w:r w:rsidR="00DC65ED">
        <w:t>The proposed legislation was</w:t>
      </w:r>
      <w:r w:rsidR="009255AF">
        <w:t xml:space="preserve"> remedial rather than preventative, as it focuse</w:t>
      </w:r>
      <w:r w:rsidR="00DC65ED">
        <w:t>d</w:t>
      </w:r>
      <w:r w:rsidR="009255AF">
        <w:t xml:space="preserve"> on remedies for existing violations </w:t>
      </w:r>
      <w:r w:rsidR="00260887">
        <w:t xml:space="preserve">rather than </w:t>
      </w:r>
      <w:r w:rsidR="009255AF">
        <w:t xml:space="preserve">improving future compliance with Article 36. </w:t>
      </w:r>
      <w:r w:rsidR="00DC65ED">
        <w:t>The legislation died without passage, and the bill that did pass did not contain the consular notification language.</w:t>
      </w:r>
      <w:r w:rsidR="004600EE">
        <w:rPr>
          <w:rStyle w:val="FootnoteReference"/>
        </w:rPr>
        <w:footnoteReference w:id="110"/>
      </w:r>
    </w:p>
    <w:p w14:paraId="5DCB5D4B" w14:textId="597D5F57" w:rsidR="00664746" w:rsidRDefault="00664746" w:rsidP="00AE219D">
      <w:pPr>
        <w:pStyle w:val="BodyTextFirst5"/>
        <w:numPr>
          <w:ilvl w:val="0"/>
          <w:numId w:val="18"/>
        </w:numPr>
      </w:pPr>
      <w:r>
        <w:t xml:space="preserve">In </w:t>
      </w:r>
      <w:r w:rsidR="009255AF">
        <w:t>the U</w:t>
      </w:r>
      <w:r w:rsidR="00260887">
        <w:t xml:space="preserve">nited </w:t>
      </w:r>
      <w:r w:rsidR="009255AF">
        <w:t>S</w:t>
      </w:r>
      <w:r w:rsidR="00260887">
        <w:t>tates</w:t>
      </w:r>
      <w:r w:rsidR="009255AF">
        <w:t>’</w:t>
      </w:r>
      <w:r>
        <w:t xml:space="preserve"> Fourth Periodic Report, </w:t>
      </w:r>
      <w:r w:rsidR="00F51353">
        <w:t xml:space="preserve">the United States asserts that it is actively exploring “options for giving domestic legal effect to the </w:t>
      </w:r>
      <w:proofErr w:type="spellStart"/>
      <w:r w:rsidR="00F51353" w:rsidRPr="00EA22BE">
        <w:rPr>
          <w:i/>
        </w:rPr>
        <w:t>Avena</w:t>
      </w:r>
      <w:proofErr w:type="spellEnd"/>
      <w:r w:rsidR="00F51353">
        <w:t xml:space="preserve"> judgment, including pursuing </w:t>
      </w:r>
      <w:r w:rsidR="00F51353" w:rsidRPr="00F51353">
        <w:t>legislation to implement that judgment</w:t>
      </w:r>
      <w:r w:rsidR="00F51353">
        <w:t xml:space="preserve">. The United States asserts that it “fully supports” the adoption of the </w:t>
      </w:r>
      <w:r w:rsidR="00F51353" w:rsidRPr="00F51353">
        <w:t>Consular Notification Compliance Act of 2011, S. 1191</w:t>
      </w:r>
      <w:r w:rsidR="00F51353">
        <w:t>, and is committed to its timely enactment.</w:t>
      </w:r>
      <w:r w:rsidR="00F51353">
        <w:rPr>
          <w:rStyle w:val="FootnoteReference"/>
        </w:rPr>
        <w:footnoteReference w:id="111"/>
      </w:r>
      <w:r w:rsidR="00F51353">
        <w:t xml:space="preserve"> </w:t>
      </w:r>
      <w:r w:rsidR="00F51353" w:rsidRPr="00C1022C">
        <w:rPr>
          <w:b/>
        </w:rPr>
        <w:t>The</w:t>
      </w:r>
      <w:r w:rsidRPr="00C1022C">
        <w:rPr>
          <w:b/>
        </w:rPr>
        <w:t xml:space="preserve"> United States emphasizes </w:t>
      </w:r>
      <w:r w:rsidR="00F51353" w:rsidRPr="00C1022C">
        <w:rPr>
          <w:b/>
        </w:rPr>
        <w:t>its outreach efforts to inform street-level officials</w:t>
      </w:r>
      <w:r w:rsidRPr="00C1022C">
        <w:rPr>
          <w:b/>
        </w:rPr>
        <w:t xml:space="preserve"> of the </w:t>
      </w:r>
      <w:r w:rsidR="00B4653C" w:rsidRPr="00C1022C">
        <w:rPr>
          <w:b/>
        </w:rPr>
        <w:t>country</w:t>
      </w:r>
      <w:r w:rsidRPr="00C1022C">
        <w:rPr>
          <w:b/>
        </w:rPr>
        <w:t>’s VCCR consular notification obligations via a Consular Notification and Access Manual, training seminars</w:t>
      </w:r>
      <w:r w:rsidR="00F607DB" w:rsidRPr="00C1022C">
        <w:rPr>
          <w:b/>
        </w:rPr>
        <w:t>,</w:t>
      </w:r>
      <w:r w:rsidRPr="00C1022C">
        <w:rPr>
          <w:b/>
        </w:rPr>
        <w:t xml:space="preserve"> and other training materials.</w:t>
      </w:r>
      <w:r w:rsidRPr="00C1022C">
        <w:rPr>
          <w:rStyle w:val="FootnoteReference"/>
          <w:b/>
        </w:rPr>
        <w:footnoteReference w:id="112"/>
      </w:r>
      <w:r w:rsidR="00E154AB" w:rsidRPr="00C1022C">
        <w:rPr>
          <w:b/>
        </w:rPr>
        <w:t xml:space="preserve"> </w:t>
      </w:r>
      <w:r w:rsidRPr="00C1022C">
        <w:rPr>
          <w:b/>
        </w:rPr>
        <w:t>While advancing awareness of consular notification and access is important, such efforts have</w:t>
      </w:r>
      <w:r w:rsidR="004259DA" w:rsidRPr="00C1022C">
        <w:rPr>
          <w:b/>
        </w:rPr>
        <w:t xml:space="preserve"> not</w:t>
      </w:r>
      <w:r w:rsidRPr="00C1022C">
        <w:rPr>
          <w:b/>
        </w:rPr>
        <w:t xml:space="preserve"> resulted, </w:t>
      </w:r>
      <w:r w:rsidR="004259DA" w:rsidRPr="00C1022C">
        <w:rPr>
          <w:b/>
        </w:rPr>
        <w:t>and</w:t>
      </w:r>
      <w:r w:rsidRPr="00C1022C">
        <w:rPr>
          <w:b/>
        </w:rPr>
        <w:t xml:space="preserve"> are</w:t>
      </w:r>
      <w:r w:rsidR="004259DA" w:rsidRPr="00C1022C">
        <w:rPr>
          <w:b/>
        </w:rPr>
        <w:t xml:space="preserve"> not</w:t>
      </w:r>
      <w:r w:rsidRPr="00C1022C">
        <w:rPr>
          <w:b/>
        </w:rPr>
        <w:t xml:space="preserve"> likely to result, in 100% compliance with the United States’ obligations</w:t>
      </w:r>
      <w:r w:rsidR="003B6096" w:rsidRPr="00C1022C">
        <w:rPr>
          <w:b/>
        </w:rPr>
        <w:t>.</w:t>
      </w:r>
      <w:r w:rsidR="00E154AB">
        <w:t xml:space="preserve"> </w:t>
      </w:r>
      <w:r>
        <w:t xml:space="preserve">In fact, as discussed </w:t>
      </w:r>
      <w:r w:rsidR="00F94B16">
        <w:t xml:space="preserve">further </w:t>
      </w:r>
      <w:r w:rsidR="00C1022C">
        <w:t xml:space="preserve">in paragraph </w:t>
      </w:r>
      <w:r w:rsidR="00C1022C">
        <w:fldChar w:fldCharType="begin"/>
      </w:r>
      <w:r w:rsidR="00C1022C">
        <w:instrText xml:space="preserve"> REF _Ref364338155 \r \h </w:instrText>
      </w:r>
      <w:r w:rsidR="00C1022C">
        <w:fldChar w:fldCharType="separate"/>
      </w:r>
      <w:r w:rsidR="0099179D">
        <w:t>51</w:t>
      </w:r>
      <w:r w:rsidR="00C1022C">
        <w:fldChar w:fldCharType="end"/>
      </w:r>
      <w:r w:rsidR="00D1500D">
        <w:t xml:space="preserve"> </w:t>
      </w:r>
      <w:r>
        <w:t xml:space="preserve">below, available statistics </w:t>
      </w:r>
      <w:r w:rsidR="004259DA">
        <w:t>show</w:t>
      </w:r>
      <w:r>
        <w:t xml:space="preserve"> that </w:t>
      </w:r>
      <w:r w:rsidR="00F94B16">
        <w:t xml:space="preserve">current </w:t>
      </w:r>
      <w:r>
        <w:t xml:space="preserve">compliance </w:t>
      </w:r>
      <w:r w:rsidR="00F94B16">
        <w:t xml:space="preserve">with VCCR consular notification obligations </w:t>
      </w:r>
      <w:r>
        <w:t>is woefully inadequate</w:t>
      </w:r>
      <w:r w:rsidR="003B6096">
        <w:t>.</w:t>
      </w:r>
      <w:r w:rsidR="00E154AB">
        <w:t xml:space="preserve"> </w:t>
      </w:r>
      <w:r>
        <w:t>Moreover, considering that compliance can mean the difference between life and death for foreign nationals facing the death penalty,</w:t>
      </w:r>
      <w:r>
        <w:rPr>
          <w:rStyle w:val="FootnoteReference"/>
        </w:rPr>
        <w:footnoteReference w:id="113"/>
      </w:r>
      <w:r>
        <w:t xml:space="preserve"> anything short of 100% compliance is unacceptable</w:t>
      </w:r>
      <w:r w:rsidR="003B6096">
        <w:t>.</w:t>
      </w:r>
      <w:r w:rsidR="00E154AB">
        <w:t xml:space="preserve"> </w:t>
      </w:r>
      <w:r w:rsidR="007402C8">
        <w:t>Reliance on v</w:t>
      </w:r>
      <w:r>
        <w:t xml:space="preserve">oluntary compliance </w:t>
      </w:r>
      <w:r w:rsidR="00F94B16">
        <w:t xml:space="preserve">schemes </w:t>
      </w:r>
      <w:r w:rsidR="007402C8">
        <w:t>is</w:t>
      </w:r>
      <w:r w:rsidR="00823AB2">
        <w:t xml:space="preserve"> </w:t>
      </w:r>
      <w:r w:rsidR="007402C8">
        <w:t>in</w:t>
      </w:r>
      <w:r w:rsidR="00823AB2">
        <w:t>adequate</w:t>
      </w:r>
      <w:r>
        <w:t>.</w:t>
      </w:r>
    </w:p>
    <w:p w14:paraId="5DC6FFC7" w14:textId="77777777" w:rsidR="00850439" w:rsidRDefault="00DD6C09" w:rsidP="00AE219D">
      <w:pPr>
        <w:pStyle w:val="BodyTextFirst5"/>
        <w:numPr>
          <w:ilvl w:val="0"/>
          <w:numId w:val="18"/>
        </w:numPr>
      </w:pPr>
      <w:r>
        <w:t>G</w:t>
      </w:r>
      <w:r w:rsidR="009255AF">
        <w:t>oing forward, there is a need—independent of the remedial aspects of Article 36 violations</w:t>
      </w:r>
      <w:r w:rsidR="00FA726D">
        <w:t xml:space="preserve"> under the VCCR</w:t>
      </w:r>
      <w:r w:rsidR="009255AF">
        <w:t xml:space="preserve">—to ensure </w:t>
      </w:r>
      <w:r w:rsidR="00F94B16">
        <w:t xml:space="preserve">future </w:t>
      </w:r>
      <w:r w:rsidR="009255AF">
        <w:t>compliance with Article 36</w:t>
      </w:r>
      <w:r w:rsidR="00FA726D">
        <w:t xml:space="preserve">, which would also remediate these </w:t>
      </w:r>
      <w:r w:rsidR="00A63503">
        <w:t xml:space="preserve">ongoing </w:t>
      </w:r>
      <w:r w:rsidR="00FA726D">
        <w:t>violations of ICERD</w:t>
      </w:r>
      <w:r w:rsidR="009255AF">
        <w:t xml:space="preserve">. </w:t>
      </w:r>
      <w:r w:rsidR="00717F13">
        <w:t xml:space="preserve">Three U.S. states have laws that address consular notification rights. </w:t>
      </w:r>
      <w:r w:rsidR="009255AF">
        <w:t>California amended its penal code to require notification of consular right</w:t>
      </w:r>
      <w:r w:rsidR="0053457E">
        <w:t>s</w:t>
      </w:r>
      <w:r w:rsidR="009255AF">
        <w:t xml:space="preserve"> for detained foreigners within three hours of arrest.</w:t>
      </w:r>
      <w:r w:rsidR="00717F13">
        <w:rPr>
          <w:rStyle w:val="FootnoteReference"/>
        </w:rPr>
        <w:footnoteReference w:id="114"/>
      </w:r>
      <w:r w:rsidR="00717F13">
        <w:t xml:space="preserve"> Oregon mandates police who detain a foreigner for mental illness must inform the foreigner of the right to communicate with his or her consulate</w:t>
      </w:r>
      <w:r w:rsidR="00850439">
        <w:t xml:space="preserve">, but </w:t>
      </w:r>
      <w:r w:rsidR="00F94B16">
        <w:t xml:space="preserve">it has </w:t>
      </w:r>
      <w:r w:rsidR="00850439">
        <w:t xml:space="preserve">no such guarantee </w:t>
      </w:r>
      <w:r w:rsidR="00F94B16">
        <w:t xml:space="preserve">subsequent to </w:t>
      </w:r>
      <w:r w:rsidR="00850439">
        <w:t>criminal arrests</w:t>
      </w:r>
      <w:r w:rsidR="00F94B16">
        <w:t>,</w:t>
      </w:r>
      <w:r w:rsidR="00850439">
        <w:t xml:space="preserve"> aside from a law enforcement duty to understand the VCCR requirements and the situations in which they would apply.</w:t>
      </w:r>
      <w:r w:rsidR="00850439">
        <w:rPr>
          <w:rStyle w:val="FootnoteReference"/>
        </w:rPr>
        <w:footnoteReference w:id="115"/>
      </w:r>
      <w:r w:rsidR="009255AF">
        <w:t xml:space="preserve"> </w:t>
      </w:r>
      <w:r w:rsidR="00850439">
        <w:t xml:space="preserve">In 2000, </w:t>
      </w:r>
      <w:r w:rsidR="009255AF">
        <w:t>Texas issued a magistrate’s guide to Article 36 requirem</w:t>
      </w:r>
      <w:r w:rsidR="00717F13">
        <w:t>ents, recommending that when “foreign nationals are arrested or detained, they must be advised of the right to have their consular officials notified” and that courts offer at arraignment “without delay, to notify the foreign national’s consular officials of the arrest/detention.”</w:t>
      </w:r>
      <w:r w:rsidR="00717F13">
        <w:rPr>
          <w:rStyle w:val="FootnoteReference"/>
        </w:rPr>
        <w:footnoteReference w:id="116"/>
      </w:r>
      <w:r w:rsidR="009255AF">
        <w:t xml:space="preserve"> </w:t>
      </w:r>
    </w:p>
    <w:p w14:paraId="364F66F6" w14:textId="39BF6060" w:rsidR="009255AF" w:rsidRDefault="00850439" w:rsidP="00AE219D">
      <w:pPr>
        <w:pStyle w:val="BodyTextFirst5"/>
        <w:numPr>
          <w:ilvl w:val="0"/>
          <w:numId w:val="18"/>
        </w:numPr>
      </w:pPr>
      <w:r w:rsidRPr="00C1022C">
        <w:rPr>
          <w:b/>
        </w:rPr>
        <w:t xml:space="preserve">These </w:t>
      </w:r>
      <w:r w:rsidR="00C1022C" w:rsidRPr="00C1022C">
        <w:rPr>
          <w:b/>
        </w:rPr>
        <w:t xml:space="preserve">state </w:t>
      </w:r>
      <w:r w:rsidRPr="00C1022C">
        <w:rPr>
          <w:b/>
        </w:rPr>
        <w:t xml:space="preserve">measures do not always guarantee foreigners effective access to their consulate and </w:t>
      </w:r>
      <w:r w:rsidR="00D1500D" w:rsidRPr="00C1022C">
        <w:rPr>
          <w:b/>
        </w:rPr>
        <w:t>therefore they do not</w:t>
      </w:r>
      <w:r w:rsidRPr="00C1022C">
        <w:rPr>
          <w:b/>
        </w:rPr>
        <w:t xml:space="preserve"> compl</w:t>
      </w:r>
      <w:r w:rsidR="00D1500D" w:rsidRPr="00C1022C">
        <w:rPr>
          <w:b/>
        </w:rPr>
        <w:t>y</w:t>
      </w:r>
      <w:r w:rsidRPr="00C1022C">
        <w:rPr>
          <w:b/>
        </w:rPr>
        <w:t xml:space="preserve"> with Article 36.</w:t>
      </w:r>
      <w:r>
        <w:t xml:space="preserve"> </w:t>
      </w:r>
      <w:r w:rsidR="009255AF">
        <w:t>Texas has insisted that</w:t>
      </w:r>
      <w:r w:rsidR="00114C1C">
        <w:t xml:space="preserve"> </w:t>
      </w:r>
      <w:r w:rsidR="009255AF">
        <w:t>procedurally</w:t>
      </w:r>
      <w:r w:rsidR="00D1500D">
        <w:t xml:space="preserve"> </w:t>
      </w:r>
      <w:r w:rsidR="009255AF">
        <w:t>defaulted VCCR claims (where defendants</w:t>
      </w:r>
      <w:r w:rsidR="00114C1C">
        <w:t xml:space="preserve"> are assumed to have waived their right to object to VCCR violations because of a failure to raise</w:t>
      </w:r>
      <w:r w:rsidR="009255AF">
        <w:t xml:space="preserve"> </w:t>
      </w:r>
      <w:r w:rsidR="00114C1C">
        <w:t>that issue</w:t>
      </w:r>
      <w:r w:rsidR="009255AF">
        <w:t xml:space="preserve"> at</w:t>
      </w:r>
      <w:r>
        <w:t xml:space="preserve"> the</w:t>
      </w:r>
      <w:r w:rsidR="009255AF">
        <w:t xml:space="preserve"> </w:t>
      </w:r>
      <w:r w:rsidR="00D1500D">
        <w:t xml:space="preserve">appropriate time, at the </w:t>
      </w:r>
      <w:r w:rsidR="00114C1C">
        <w:t xml:space="preserve">appropriate </w:t>
      </w:r>
      <w:r>
        <w:t>stage</w:t>
      </w:r>
      <w:r w:rsidR="00D1500D">
        <w:t xml:space="preserve"> of proceedings, or using the appropriate procedure</w:t>
      </w:r>
      <w:r w:rsidR="009255AF">
        <w:t xml:space="preserve">) cannot be reviewed, thus foreclosing relief for most death-sentenced foreigners in that state. </w:t>
      </w:r>
      <w:r>
        <w:t>Also, Florida courts have generally not recognized Article 36 violations as cognizable claims. Florida amended its law in 2001 so that the government’s failure to provide consular notification “shall not be a defense in any criminal proceeding against any foreign national and shall not be cause for the foreign national</w:t>
      </w:r>
      <w:r w:rsidR="00D1500D">
        <w:t>’</w:t>
      </w:r>
      <w:r>
        <w:t>s discharge from custody.”</w:t>
      </w:r>
      <w:r>
        <w:rPr>
          <w:rStyle w:val="FootnoteReference"/>
        </w:rPr>
        <w:footnoteReference w:id="117"/>
      </w:r>
    </w:p>
    <w:p w14:paraId="1F2DB3E6" w14:textId="77777777" w:rsidR="00664746" w:rsidRDefault="00664746" w:rsidP="00AE219D">
      <w:pPr>
        <w:pStyle w:val="BodyTextFirst5"/>
        <w:numPr>
          <w:ilvl w:val="0"/>
          <w:numId w:val="18"/>
        </w:numPr>
      </w:pPr>
      <w:bookmarkStart w:id="9" w:name="_Ref364338155"/>
      <w:r>
        <w:t xml:space="preserve">The statistics </w:t>
      </w:r>
      <w:r w:rsidR="00D1500D">
        <w:t>for</w:t>
      </w:r>
      <w:r>
        <w:t xml:space="preserve"> compliance with VCCR consular notification and access requirements reflect the ineffectiveness of the actions the United States has taken thus far to meet its obligations</w:t>
      </w:r>
      <w:r w:rsidR="003B6096">
        <w:t>.</w:t>
      </w:r>
      <w:r w:rsidR="00E154AB">
        <w:t xml:space="preserve"> </w:t>
      </w:r>
      <w:r>
        <w:t>According to the Dea</w:t>
      </w:r>
      <w:r w:rsidR="00D20F66">
        <w:t>th Penalty Information Center (DPIC</w:t>
      </w:r>
      <w:r>
        <w:t xml:space="preserve">), as of </w:t>
      </w:r>
      <w:r w:rsidR="008F11F8" w:rsidRPr="008F11F8">
        <w:t>April, 11</w:t>
      </w:r>
      <w:r w:rsidR="0053457E" w:rsidRPr="008F11F8">
        <w:t xml:space="preserve"> 2014</w:t>
      </w:r>
      <w:r>
        <w:t xml:space="preserve">, </w:t>
      </w:r>
      <w:r w:rsidR="0053457E">
        <w:t>138</w:t>
      </w:r>
      <w:r>
        <w:t xml:space="preserve"> foreign nationals</w:t>
      </w:r>
      <w:r w:rsidR="00DD2F93">
        <w:t xml:space="preserve"> </w:t>
      </w:r>
      <w:r w:rsidR="00A748D0">
        <w:t xml:space="preserve">from 36 different countries </w:t>
      </w:r>
      <w:r w:rsidR="004259DA">
        <w:t>remain</w:t>
      </w:r>
      <w:r w:rsidR="008F11F8">
        <w:t>ed</w:t>
      </w:r>
      <w:r>
        <w:t xml:space="preserve"> under sentence of death in the United States.</w:t>
      </w:r>
      <w:r>
        <w:rPr>
          <w:rStyle w:val="FootnoteReference"/>
        </w:rPr>
        <w:footnoteReference w:id="118"/>
      </w:r>
      <w:r w:rsidR="00E154AB">
        <w:t xml:space="preserve"> </w:t>
      </w:r>
      <w:r w:rsidRPr="00C1022C">
        <w:rPr>
          <w:b/>
        </w:rPr>
        <w:t xml:space="preserve">In only three of those cases does the DPIC have evidence that consular rights were provided by authorities without delay, while in </w:t>
      </w:r>
      <w:r w:rsidR="005172B7" w:rsidRPr="00C1022C">
        <w:rPr>
          <w:b/>
        </w:rPr>
        <w:t xml:space="preserve">at least </w:t>
      </w:r>
      <w:r w:rsidR="003C408B" w:rsidRPr="00C1022C">
        <w:rPr>
          <w:b/>
        </w:rPr>
        <w:t>76</w:t>
      </w:r>
      <w:r w:rsidRPr="00C1022C">
        <w:rPr>
          <w:b/>
        </w:rPr>
        <w:t xml:space="preserve"> cases, a consular rights violation was raised in court proceedings or otherwise reported</w:t>
      </w:r>
      <w:r w:rsidR="003B6096" w:rsidRPr="00C1022C">
        <w:rPr>
          <w:b/>
        </w:rPr>
        <w:t>.</w:t>
      </w:r>
      <w:r w:rsidR="00E154AB" w:rsidRPr="00C1022C">
        <w:rPr>
          <w:b/>
        </w:rPr>
        <w:t xml:space="preserve"> </w:t>
      </w:r>
      <w:r w:rsidRPr="00C1022C">
        <w:rPr>
          <w:b/>
        </w:rPr>
        <w:t>In fact, the DPIC reports only seven cases of complete compliance with Article 36 requirements out of more than 160 reported death sentences</w:t>
      </w:r>
      <w:r>
        <w:t xml:space="preserve"> (including those executed, reversed on appeal</w:t>
      </w:r>
      <w:r w:rsidR="00F607DB">
        <w:t>,</w:t>
      </w:r>
      <w:r>
        <w:t xml:space="preserve"> or exonerated and released)</w:t>
      </w:r>
      <w:r w:rsidR="003B6096">
        <w:t>.</w:t>
      </w:r>
      <w:r w:rsidR="00E154AB">
        <w:t xml:space="preserve"> </w:t>
      </w:r>
      <w:r>
        <w:t>Statistics cited in a report by Reprieve are consistent with the DPIC’s findings.</w:t>
      </w:r>
      <w:r>
        <w:rPr>
          <w:rStyle w:val="FootnoteReference"/>
        </w:rPr>
        <w:footnoteReference w:id="119"/>
      </w:r>
      <w:r w:rsidR="00E154AB">
        <w:t xml:space="preserve"> </w:t>
      </w:r>
      <w:r>
        <w:t xml:space="preserve">Of the 102 </w:t>
      </w:r>
      <w:r w:rsidR="00042D7E">
        <w:t>foreign nationals</w:t>
      </w:r>
      <w:r>
        <w:t xml:space="preserve"> on death row in various U.S</w:t>
      </w:r>
      <w:r w:rsidR="003B6096">
        <w:t>.</w:t>
      </w:r>
      <w:r w:rsidR="00E154AB">
        <w:t xml:space="preserve"> </w:t>
      </w:r>
      <w:r>
        <w:t xml:space="preserve">states </w:t>
      </w:r>
      <w:r w:rsidR="00D1500D">
        <w:t>about</w:t>
      </w:r>
      <w:r>
        <w:t xml:space="preserve"> whom Reprieve was able to collect undisputed data, it found VCCR consular notification compliance in just </w:t>
      </w:r>
      <w:r w:rsidR="004259DA">
        <w:t>five</w:t>
      </w:r>
      <w:r>
        <w:t xml:space="preserve"> cases (or </w:t>
      </w:r>
      <w:r w:rsidRPr="00C1022C">
        <w:rPr>
          <w:b/>
        </w:rPr>
        <w:t>non-compliance in 95.1% of cases</w:t>
      </w:r>
      <w:r>
        <w:t>)</w:t>
      </w:r>
      <w:r w:rsidR="003B6096">
        <w:t>.</w:t>
      </w:r>
      <w:r w:rsidR="00E154AB">
        <w:t xml:space="preserve"> </w:t>
      </w:r>
      <w:r>
        <w:t xml:space="preserve">Moreover, Reprieve reported that of the six foreign nationals on </w:t>
      </w:r>
      <w:r w:rsidR="008A21F6">
        <w:t>f</w:t>
      </w:r>
      <w:r>
        <w:t>ederal death row, it had data in four cases, and in only one of those four had the federal government complied with VCCR consular notification obligations, despite the existence of federal regulations requiring compliance.</w:t>
      </w:r>
      <w:r>
        <w:rPr>
          <w:rStyle w:val="FootnoteReference"/>
        </w:rPr>
        <w:footnoteReference w:id="120"/>
      </w:r>
      <w:r w:rsidR="00E154AB">
        <w:t xml:space="preserve"> </w:t>
      </w:r>
      <w:r>
        <w:t>Reprieve reports only seven death row prisoners received VCCR notice, and in one case a federal judge ruled such notice to be legally inadequate</w:t>
      </w:r>
      <w:r w:rsidR="003B6096">
        <w:t>.</w:t>
      </w:r>
      <w:r w:rsidR="00E154AB">
        <w:t xml:space="preserve"> </w:t>
      </w:r>
      <w:r>
        <w:t>No individual state was found to have adequately complied with VCCR consular notification requirements</w:t>
      </w:r>
      <w:r w:rsidR="003B6096">
        <w:t>.</w:t>
      </w:r>
      <w:bookmarkEnd w:id="9"/>
    </w:p>
    <w:p w14:paraId="375B51CD" w14:textId="77777777" w:rsidR="00664746" w:rsidRDefault="00664746" w:rsidP="00AE219D">
      <w:pPr>
        <w:pStyle w:val="BodyTextFirst5"/>
        <w:numPr>
          <w:ilvl w:val="0"/>
          <w:numId w:val="18"/>
        </w:numPr>
      </w:pPr>
      <w:bookmarkStart w:id="10" w:name="_Ref394045100"/>
      <w:r w:rsidRPr="00C1022C">
        <w:rPr>
          <w:b/>
        </w:rPr>
        <w:t xml:space="preserve">Since the ICJ’s 2004 ruling in </w:t>
      </w:r>
      <w:proofErr w:type="spellStart"/>
      <w:r w:rsidRPr="00C1022C">
        <w:rPr>
          <w:b/>
          <w:i/>
        </w:rPr>
        <w:t>Avena</w:t>
      </w:r>
      <w:proofErr w:type="spellEnd"/>
      <w:r w:rsidRPr="00C1022C">
        <w:rPr>
          <w:b/>
        </w:rPr>
        <w:t xml:space="preserve">, the United States has executed </w:t>
      </w:r>
      <w:r w:rsidR="00A136AC" w:rsidRPr="00C1022C">
        <w:rPr>
          <w:b/>
        </w:rPr>
        <w:t>10</w:t>
      </w:r>
      <w:r w:rsidRPr="00C1022C">
        <w:rPr>
          <w:b/>
        </w:rPr>
        <w:t xml:space="preserve"> foreign nationals</w:t>
      </w:r>
      <w:r w:rsidR="00A748D0" w:rsidRPr="00C1022C">
        <w:rPr>
          <w:b/>
        </w:rPr>
        <w:t>, 9 of whom were Latino,</w:t>
      </w:r>
      <w:r w:rsidR="00A748D0" w:rsidRPr="00C1022C">
        <w:rPr>
          <w:rStyle w:val="FootnoteReference"/>
          <w:b/>
        </w:rPr>
        <w:footnoteReference w:id="121"/>
      </w:r>
      <w:r w:rsidR="00A748D0" w:rsidRPr="00C1022C">
        <w:rPr>
          <w:b/>
        </w:rPr>
        <w:t xml:space="preserve"> </w:t>
      </w:r>
      <w:r w:rsidR="006164AE" w:rsidRPr="00C1022C">
        <w:rPr>
          <w:b/>
        </w:rPr>
        <w:t>only one</w:t>
      </w:r>
      <w:r w:rsidRPr="00C1022C">
        <w:rPr>
          <w:b/>
        </w:rPr>
        <w:t xml:space="preserve"> of wh</w:t>
      </w:r>
      <w:r w:rsidR="004259DA" w:rsidRPr="00C1022C">
        <w:rPr>
          <w:b/>
        </w:rPr>
        <w:t>om</w:t>
      </w:r>
      <w:r w:rsidRPr="00C1022C">
        <w:rPr>
          <w:b/>
        </w:rPr>
        <w:t xml:space="preserve"> </w:t>
      </w:r>
      <w:r w:rsidR="006164AE" w:rsidRPr="00C1022C">
        <w:rPr>
          <w:b/>
        </w:rPr>
        <w:t>was</w:t>
      </w:r>
      <w:r w:rsidRPr="00C1022C">
        <w:rPr>
          <w:b/>
        </w:rPr>
        <w:t xml:space="preserve"> informed by authorities upon arrest of </w:t>
      </w:r>
      <w:r w:rsidR="006164AE" w:rsidRPr="00C1022C">
        <w:rPr>
          <w:b/>
        </w:rPr>
        <w:t>his</w:t>
      </w:r>
      <w:r w:rsidRPr="00C1022C">
        <w:rPr>
          <w:b/>
        </w:rPr>
        <w:t xml:space="preserve"> consular rights</w:t>
      </w:r>
      <w:r>
        <w:t>.</w:t>
      </w:r>
      <w:r>
        <w:rPr>
          <w:rStyle w:val="FootnoteReference"/>
        </w:rPr>
        <w:footnoteReference w:id="122"/>
      </w:r>
      <w:r w:rsidR="00E154AB">
        <w:t xml:space="preserve"> </w:t>
      </w:r>
      <w:r>
        <w:t xml:space="preserve">Without federal legislation requiring </w:t>
      </w:r>
      <w:r w:rsidR="00E07F07">
        <w:t xml:space="preserve">U.S. </w:t>
      </w:r>
      <w:r>
        <w:t>states holding foreign nationals on death row to comply with the ICJ’s review and reconsideration mandate, additional individuals will die without knowing whether consular notification could have saved their lives or set them free</w:t>
      </w:r>
      <w:r w:rsidR="003B6096">
        <w:t>.</w:t>
      </w:r>
      <w:r w:rsidR="00E154AB">
        <w:t xml:space="preserve"> </w:t>
      </w:r>
      <w:r>
        <w:t>Further, without federal legislation implementing the VCCR consular notification and access rights of Article 36,</w:t>
      </w:r>
      <w:r w:rsidR="00D76E48">
        <w:t xml:space="preserve"> it</w:t>
      </w:r>
      <w:r>
        <w:t xml:space="preserve"> i</w:t>
      </w:r>
      <w:r w:rsidR="00823AB2">
        <w:t>s</w:t>
      </w:r>
      <w:r>
        <w:t xml:space="preserve"> likely that additional individuals will be placed on death row without having the opportunity to exercise their VCCR consular notification rights</w:t>
      </w:r>
      <w:r w:rsidR="00A63503">
        <w:t>, which violates Articles 5(a) and 6 of ICERD</w:t>
      </w:r>
      <w:r w:rsidR="003B6096">
        <w:t>.</w:t>
      </w:r>
      <w:bookmarkEnd w:id="10"/>
    </w:p>
    <w:p w14:paraId="455DF7BE" w14:textId="77777777" w:rsidR="00E154AB" w:rsidRDefault="00E154AB" w:rsidP="00813E61">
      <w:pPr>
        <w:pStyle w:val="ListParagraph"/>
        <w:spacing w:after="120"/>
      </w:pPr>
      <w:r w:rsidRPr="00E154AB">
        <w:rPr>
          <w:rFonts w:eastAsia="Calibri"/>
          <w:b/>
          <w:i/>
        </w:rPr>
        <w:t>Recommendations</w:t>
      </w:r>
    </w:p>
    <w:p w14:paraId="40F61ECC" w14:textId="4450F3C2" w:rsidR="008374C7" w:rsidRDefault="00566F31" w:rsidP="007D57AE">
      <w:pPr>
        <w:pStyle w:val="BodyTextFirst5"/>
        <w:numPr>
          <w:ilvl w:val="0"/>
          <w:numId w:val="25"/>
        </w:numPr>
      </w:pPr>
      <w:bookmarkStart w:id="11" w:name="_Ref393964411"/>
      <w:r>
        <w:t xml:space="preserve">Foreign nationals on death row must receive the review and reconsideration of their convictions and sentences mandated by the ICJ’s decision in </w:t>
      </w:r>
      <w:proofErr w:type="spellStart"/>
      <w:r w:rsidRPr="002E21F1">
        <w:rPr>
          <w:i/>
        </w:rPr>
        <w:t>Avena</w:t>
      </w:r>
      <w:proofErr w:type="spellEnd"/>
      <w:r w:rsidR="00A63503">
        <w:t>.</w:t>
      </w:r>
      <w:r w:rsidR="008555F4">
        <w:t xml:space="preserve"> </w:t>
      </w:r>
      <w:r>
        <w:t>Other f</w:t>
      </w:r>
      <w:r w:rsidR="008374C7">
        <w:t xml:space="preserve">oreign nationals </w:t>
      </w:r>
      <w:r w:rsidR="00D76E48">
        <w:t>should be</w:t>
      </w:r>
      <w:r w:rsidR="002E21F1">
        <w:t xml:space="preserve"> notified of their consular notification rights in a timely manner as required under Article 36 of the VCCR</w:t>
      </w:r>
      <w:r w:rsidR="00A63503">
        <w:t xml:space="preserve"> and consistent with the United States’ obligations under ICERD</w:t>
      </w:r>
      <w:r w:rsidR="00D76E48">
        <w:t>.</w:t>
      </w:r>
      <w:r w:rsidR="00E154AB">
        <w:t xml:space="preserve"> </w:t>
      </w:r>
      <w:r w:rsidR="002E21F1">
        <w:t xml:space="preserve">The Committee </w:t>
      </w:r>
      <w:r w:rsidR="00D76E48">
        <w:t>should</w:t>
      </w:r>
      <w:r w:rsidR="002E21F1">
        <w:t xml:space="preserve"> consider the following recommendations</w:t>
      </w:r>
      <w:r w:rsidR="00D1500D">
        <w:t>, adapted from the American Bar Association</w:t>
      </w:r>
      <w:r w:rsidR="000C25AB">
        <w:t>:</w:t>
      </w:r>
      <w:r w:rsidR="000C25AB">
        <w:rPr>
          <w:rStyle w:val="FootnoteReference"/>
        </w:rPr>
        <w:footnoteReference w:id="123"/>
      </w:r>
      <w:bookmarkEnd w:id="11"/>
      <w:r w:rsidR="000C25AB">
        <w:t xml:space="preserve"> </w:t>
      </w:r>
    </w:p>
    <w:p w14:paraId="3D084BBB" w14:textId="77777777" w:rsidR="005172B7" w:rsidRDefault="00D12A78" w:rsidP="007D57AE">
      <w:pPr>
        <w:pStyle w:val="BodyTextFirst5"/>
        <w:numPr>
          <w:ilvl w:val="1"/>
          <w:numId w:val="23"/>
        </w:numPr>
      </w:pPr>
      <w:r>
        <w:t xml:space="preserve">The </w:t>
      </w:r>
      <w:r w:rsidR="003B2D40">
        <w:t xml:space="preserve">Obama Administration and </w:t>
      </w:r>
      <w:r w:rsidR="008A21F6">
        <w:t>U.S.</w:t>
      </w:r>
      <w:r>
        <w:t xml:space="preserve"> Congress</w:t>
      </w:r>
      <w:r w:rsidR="003B2D40">
        <w:t xml:space="preserve"> should undertake all necessary measures to fully comply with the ICJ </w:t>
      </w:r>
      <w:proofErr w:type="spellStart"/>
      <w:r w:rsidR="003B2D40" w:rsidRPr="003B2D40">
        <w:rPr>
          <w:i/>
        </w:rPr>
        <w:t>Avena</w:t>
      </w:r>
      <w:proofErr w:type="spellEnd"/>
      <w:r w:rsidR="003B2D40">
        <w:t xml:space="preserve"> decision</w:t>
      </w:r>
      <w:r w:rsidR="00031F3F">
        <w:t>, including by passing implementing legislation</w:t>
      </w:r>
      <w:r w:rsidR="003B2D40">
        <w:t>.</w:t>
      </w:r>
      <w:r w:rsidR="001522B7">
        <w:t xml:space="preserve"> </w:t>
      </w:r>
      <w:r w:rsidR="001522B7" w:rsidRPr="001522B7">
        <w:t xml:space="preserve">The Obama Administration should also ensure that all individuals on federal death row receive the review and reconsideration mandated under </w:t>
      </w:r>
      <w:proofErr w:type="spellStart"/>
      <w:r w:rsidR="001522B7" w:rsidRPr="001522B7">
        <w:rPr>
          <w:i/>
        </w:rPr>
        <w:t>Avena</w:t>
      </w:r>
      <w:proofErr w:type="spellEnd"/>
      <w:r w:rsidR="001522B7" w:rsidRPr="001522B7">
        <w:t xml:space="preserve"> in cases where VCCR consular notification and access was not previously </w:t>
      </w:r>
      <w:r w:rsidR="001522B7">
        <w:t>accorded under Article 36.</w:t>
      </w:r>
    </w:p>
    <w:p w14:paraId="024E13B0" w14:textId="6407167A" w:rsidR="003B2D40" w:rsidRDefault="003B2D40" w:rsidP="007D57AE">
      <w:pPr>
        <w:pStyle w:val="BodyTextFirst5"/>
        <w:numPr>
          <w:ilvl w:val="1"/>
          <w:numId w:val="23"/>
        </w:numPr>
      </w:pPr>
      <w:r>
        <w:t>The Obama Administration and U.S. Congress should ackno</w:t>
      </w:r>
      <w:r w:rsidR="00031F3F">
        <w:t>wledge the authority of the ICJ</w:t>
      </w:r>
      <w:r>
        <w:t xml:space="preserve"> to adjudicate disputes over VCCR interpretation and related legal questions</w:t>
      </w:r>
      <w:r w:rsidR="00566F31">
        <w:t xml:space="preserve">. They should take steps to confer binding force on ICJ </w:t>
      </w:r>
      <w:r w:rsidR="001522B7">
        <w:t>judgments</w:t>
      </w:r>
      <w:r w:rsidR="00566F31">
        <w:t xml:space="preserve"> to which the United States is party.</w:t>
      </w:r>
      <w:r w:rsidR="008555F4">
        <w:t xml:space="preserve"> </w:t>
      </w:r>
    </w:p>
    <w:p w14:paraId="0855F6BF" w14:textId="77777777" w:rsidR="00114C1C" w:rsidRDefault="00114C1C" w:rsidP="007D57AE">
      <w:pPr>
        <w:pStyle w:val="BodyTextFirst5"/>
        <w:numPr>
          <w:ilvl w:val="1"/>
          <w:numId w:val="23"/>
        </w:numPr>
      </w:pPr>
      <w:r>
        <w:t xml:space="preserve">The </w:t>
      </w:r>
      <w:r w:rsidR="00566F31">
        <w:t>Obama Administration, U.S. Congress, and U.S. states and territories</w:t>
      </w:r>
      <w:r>
        <w:t xml:space="preserve"> should take measures to ensure compliance with Article 36 requirements</w:t>
      </w:r>
      <w:r w:rsidR="00566F31">
        <w:t xml:space="preserve">, </w:t>
      </w:r>
      <w:r w:rsidR="00566F31" w:rsidRPr="004348C3">
        <w:rPr>
          <w:i/>
        </w:rPr>
        <w:t>i.e.</w:t>
      </w:r>
      <w:r w:rsidR="004348C3">
        <w:t>,</w:t>
      </w:r>
      <w:r w:rsidR="00566F31">
        <w:t xml:space="preserve"> to provide</w:t>
      </w:r>
      <w:r>
        <w:t xml:space="preserve"> timely consular information, notification</w:t>
      </w:r>
      <w:r w:rsidR="00566F31">
        <w:t xml:space="preserve">, and access to arrested or detained foreign nationals. Such measures include adopting legislation to transpose Article 36 into law that: ensures a detained or arrested foreign national is advised without delay of his or her right to communicate with his consulate; that the U.S. or U.S. state officer then informs the appropriate </w:t>
      </w:r>
      <w:r w:rsidR="000C25AB">
        <w:t xml:space="preserve">official in that agency if the foreign national desires consular communication; and </w:t>
      </w:r>
      <w:r w:rsidR="00566F31">
        <w:t>adopt legislation that allows a defendant’s claim of an Article 36 violation to override procedural default rules that would exclude such claims.</w:t>
      </w:r>
    </w:p>
    <w:p w14:paraId="64E7AC84" w14:textId="77777777" w:rsidR="000C25AB" w:rsidRDefault="000C25AB" w:rsidP="000D0E9B">
      <w:pPr>
        <w:pStyle w:val="BodyTextFirst5"/>
        <w:numPr>
          <w:ilvl w:val="1"/>
          <w:numId w:val="23"/>
        </w:numPr>
      </w:pPr>
      <w:r>
        <w:t>The Obama Administration, U.S. Congress, and U.S. states and territories should adopt policies and protocols to promote compliance with Article 36, including: making advisement of the rights under Article 36 a part of booking protocols for foreign nationals; ensuring that judicial officers notify foreign national defendants at a first appearance about the</w:t>
      </w:r>
      <w:r w:rsidR="00DD6C09">
        <w:t>ir</w:t>
      </w:r>
      <w:r>
        <w:t xml:space="preserve"> rights under Article 36; undertaking measures to disseminate policies and protocols to law enforcement on federal, state, and local levels; training for law enforcement, prosecutors, defense attorneys, and judges on their responsibilities under Article 36; </w:t>
      </w:r>
      <w:r w:rsidR="00DD6C09">
        <w:t xml:space="preserve">and </w:t>
      </w:r>
      <w:r>
        <w:t xml:space="preserve">ensuring that officials conduct mandatory notification for foreign nationals of countries on the mandatory notification list. </w:t>
      </w:r>
    </w:p>
    <w:p w14:paraId="26D23E74" w14:textId="77777777" w:rsidR="005E7F82" w:rsidRDefault="00D12A78" w:rsidP="000D0E9B">
      <w:pPr>
        <w:pStyle w:val="BodyTextFirst5"/>
        <w:numPr>
          <w:ilvl w:val="1"/>
          <w:numId w:val="23"/>
        </w:numPr>
      </w:pPr>
      <w:r>
        <w:t xml:space="preserve">Congress and the Obama Administration should </w:t>
      </w:r>
      <w:r w:rsidR="005172B7">
        <w:t>impress upon state authorities the critical importance of</w:t>
      </w:r>
      <w:r w:rsidR="008374C7">
        <w:t xml:space="preserve"> the reciprocal rights United States citizens enjoy while in foreign countries that are signatories to the VCCR.</w:t>
      </w:r>
      <w:r w:rsidR="008374C7">
        <w:rPr>
          <w:rStyle w:val="FootnoteReference"/>
        </w:rPr>
        <w:footnoteReference w:id="124"/>
      </w:r>
      <w:r w:rsidR="00E154AB">
        <w:t xml:space="preserve"> </w:t>
      </w:r>
      <w:r w:rsidR="007F0A35">
        <w:t>For example, t</w:t>
      </w:r>
      <w:r w:rsidR="008374C7">
        <w:t>he VCCR consular notification and access rights of U.S</w:t>
      </w:r>
      <w:r w:rsidR="003B6096">
        <w:t xml:space="preserve">. </w:t>
      </w:r>
      <w:r w:rsidR="008374C7">
        <w:t>citizens in foreign countries may be jeopardized if other signatories respond to the United States’ noncompliance by declining to comply themselves.</w:t>
      </w:r>
    </w:p>
    <w:p w14:paraId="6AB2B205" w14:textId="77777777" w:rsidR="00E1223C" w:rsidRDefault="00E1223C" w:rsidP="000D0E9B">
      <w:pPr>
        <w:pStyle w:val="BodyTextFirst5"/>
        <w:numPr>
          <w:ilvl w:val="1"/>
          <w:numId w:val="23"/>
        </w:numPr>
      </w:pPr>
      <w:r>
        <w:t>Congress and the Obama Administration should take all steps necessary to prevent national origin discrimination within the United States justice system.</w:t>
      </w:r>
    </w:p>
    <w:p w14:paraId="64644766" w14:textId="77777777" w:rsidR="001C4DFE" w:rsidRPr="001C4DFE" w:rsidRDefault="001C4DFE" w:rsidP="001C4DFE">
      <w:pPr>
        <w:pStyle w:val="BodyTextFirst5"/>
        <w:ind w:left="720" w:firstLine="0"/>
        <w:rPr>
          <w:b/>
          <w:i/>
        </w:rPr>
      </w:pPr>
      <w:r w:rsidRPr="001C4DFE">
        <w:rPr>
          <w:b/>
          <w:i/>
        </w:rPr>
        <w:t>Questions</w:t>
      </w:r>
    </w:p>
    <w:p w14:paraId="76140F3C" w14:textId="77777777" w:rsidR="001C4DFE" w:rsidRDefault="001C4DFE" w:rsidP="000D0E9B">
      <w:pPr>
        <w:pStyle w:val="BodyTextFirst5"/>
        <w:numPr>
          <w:ilvl w:val="0"/>
          <w:numId w:val="25"/>
        </w:numPr>
      </w:pPr>
      <w:r>
        <w:t xml:space="preserve">What guarantees can the United States provide to ensure that it will pass legislation to implement the </w:t>
      </w:r>
      <w:proofErr w:type="spellStart"/>
      <w:r w:rsidRPr="001C4DFE">
        <w:rPr>
          <w:i/>
        </w:rPr>
        <w:t>Avena</w:t>
      </w:r>
      <w:proofErr w:type="spellEnd"/>
      <w:r>
        <w:t xml:space="preserve"> decision? </w:t>
      </w:r>
    </w:p>
    <w:p w14:paraId="7A99624F" w14:textId="77777777" w:rsidR="001C4DFE" w:rsidRDefault="001C4DFE" w:rsidP="000D0E9B">
      <w:pPr>
        <w:pStyle w:val="BodyTextFirst5"/>
        <w:numPr>
          <w:ilvl w:val="0"/>
          <w:numId w:val="25"/>
        </w:numPr>
      </w:pPr>
      <w:r>
        <w:t xml:space="preserve">What steps is the United States taking to ensure that </w:t>
      </w:r>
      <w:r w:rsidR="00DD6C09">
        <w:t xml:space="preserve">the federal government </w:t>
      </w:r>
      <w:r>
        <w:t>and U.S. states adopt policies and protocols to promote compliance with Article 36 of the VCCR</w:t>
      </w:r>
      <w:r w:rsidR="00E1223C">
        <w:t xml:space="preserve"> and to prevent national origin discrimination within the United States justice system generally</w:t>
      </w:r>
      <w:r>
        <w:t xml:space="preserve">? </w:t>
      </w:r>
    </w:p>
    <w:p w14:paraId="695D7818" w14:textId="77777777" w:rsidR="00E51722" w:rsidRDefault="00E51722" w:rsidP="000D0E9B">
      <w:pPr>
        <w:pStyle w:val="BodyTextFirst5"/>
        <w:numPr>
          <w:ilvl w:val="0"/>
          <w:numId w:val="25"/>
        </w:numPr>
      </w:pPr>
      <w:r>
        <w:t xml:space="preserve">How has the United States responded to the American Bar Association’s recommendations on implementation of the </w:t>
      </w:r>
      <w:proofErr w:type="spellStart"/>
      <w:r>
        <w:rPr>
          <w:i/>
        </w:rPr>
        <w:t>Avena</w:t>
      </w:r>
      <w:proofErr w:type="spellEnd"/>
      <w:r>
        <w:rPr>
          <w:i/>
        </w:rPr>
        <w:t xml:space="preserve"> </w:t>
      </w:r>
      <w:r>
        <w:t>decision?</w:t>
      </w:r>
    </w:p>
    <w:p w14:paraId="41D51340" w14:textId="77777777" w:rsidR="00F3460E" w:rsidRPr="00F15755" w:rsidRDefault="00F3460E" w:rsidP="00AE219D">
      <w:pPr>
        <w:pStyle w:val="ListParagraph"/>
        <w:keepNext/>
        <w:numPr>
          <w:ilvl w:val="0"/>
          <w:numId w:val="19"/>
        </w:numPr>
        <w:spacing w:after="240"/>
        <w:rPr>
          <w:b/>
        </w:rPr>
      </w:pPr>
      <w:r>
        <w:rPr>
          <w:b/>
        </w:rPr>
        <w:t>L</w:t>
      </w:r>
      <w:r w:rsidRPr="00F15755">
        <w:rPr>
          <w:b/>
        </w:rPr>
        <w:t xml:space="preserve">ethal </w:t>
      </w:r>
      <w:r>
        <w:rPr>
          <w:b/>
        </w:rPr>
        <w:t>I</w:t>
      </w:r>
      <w:r w:rsidRPr="00F15755">
        <w:rPr>
          <w:b/>
        </w:rPr>
        <w:t xml:space="preserve">njection </w:t>
      </w:r>
      <w:r>
        <w:rPr>
          <w:b/>
        </w:rPr>
        <w:t>P</w:t>
      </w:r>
      <w:r w:rsidRPr="00F15755">
        <w:rPr>
          <w:b/>
        </w:rPr>
        <w:t xml:space="preserve">olicies </w:t>
      </w:r>
      <w:r>
        <w:rPr>
          <w:b/>
        </w:rPr>
        <w:t>and</w:t>
      </w:r>
      <w:r w:rsidRPr="00F15755">
        <w:rPr>
          <w:b/>
        </w:rPr>
        <w:t xml:space="preserve"> </w:t>
      </w:r>
      <w:r>
        <w:rPr>
          <w:b/>
        </w:rPr>
        <w:t>Cruel, Inhuman or Degrading Treatment or P</w:t>
      </w:r>
      <w:r w:rsidRPr="00F15755">
        <w:rPr>
          <w:b/>
        </w:rPr>
        <w:t>unishment</w:t>
      </w:r>
    </w:p>
    <w:p w14:paraId="11E16B77" w14:textId="77777777" w:rsidR="007910EC" w:rsidRDefault="007910EC" w:rsidP="007910EC">
      <w:pPr>
        <w:pStyle w:val="BodyTextFirst5"/>
        <w:numPr>
          <w:ilvl w:val="0"/>
          <w:numId w:val="18"/>
        </w:numPr>
      </w:pPr>
      <w:bookmarkStart w:id="12" w:name="_Ref394045111"/>
      <w:r>
        <w:t xml:space="preserve">The United States, as a signatory to ICERD, has committed to “prohibit and eliminate racial discrimination in all its forms and to guarantee the right of everyone, without distinction as to race, </w:t>
      </w:r>
      <w:proofErr w:type="spellStart"/>
      <w:r>
        <w:t>colour</w:t>
      </w:r>
      <w:proofErr w:type="spellEnd"/>
      <w:r>
        <w:t>, or national or ethnic origin, to equality before the law, notably in the enjoyment of …the right to security of person and protection by the State against violence or bodily harm, whether inflicted by government officials or by any individual group or institution.”</w:t>
      </w:r>
      <w:r>
        <w:rPr>
          <w:rStyle w:val="FootnoteReference"/>
        </w:rPr>
        <w:footnoteReference w:id="125"/>
      </w:r>
      <w:r>
        <w:t xml:space="preserve">  The Eight Amendment to the United States Constitution further prohibits “cruel and unusual punishments.”</w:t>
      </w:r>
      <w:r>
        <w:rPr>
          <w:rStyle w:val="FootnoteReference"/>
        </w:rPr>
        <w:footnoteReference w:id="126"/>
      </w:r>
      <w:bookmarkEnd w:id="12"/>
      <w:r>
        <w:t xml:space="preserve">  </w:t>
      </w:r>
    </w:p>
    <w:p w14:paraId="0FE47F9D" w14:textId="7269DCDD" w:rsidR="007910EC" w:rsidRDefault="007910EC" w:rsidP="007910EC">
      <w:pPr>
        <w:pStyle w:val="BodyTextFirst5"/>
        <w:numPr>
          <w:ilvl w:val="0"/>
          <w:numId w:val="18"/>
        </w:numPr>
      </w:pPr>
      <w:r>
        <w:t xml:space="preserve">The racial discrimination that results in a disproportionate number of minorities being subjected to the death penalty in the United States also means that </w:t>
      </w:r>
      <w:r w:rsidRPr="00C36629">
        <w:rPr>
          <w:b/>
        </w:rPr>
        <w:t>a disproportionate number of minorities in the United States are subject to death by lethal injection</w:t>
      </w:r>
      <w:r>
        <w:t xml:space="preserve">. Of the 247 inmates executed since 2009, 116 were </w:t>
      </w:r>
      <w:r w:rsidR="00C36629">
        <w:t>people of color and/or people of a non-U.S. national origin</w:t>
      </w:r>
      <w:r w:rsidRPr="00173581">
        <w:t>.</w:t>
      </w:r>
    </w:p>
    <w:p w14:paraId="4C00532C" w14:textId="77777777" w:rsidR="007910EC" w:rsidRDefault="007910EC" w:rsidP="007910EC">
      <w:pPr>
        <w:pStyle w:val="BodyTextFirst5"/>
        <w:numPr>
          <w:ilvl w:val="0"/>
          <w:numId w:val="18"/>
        </w:numPr>
      </w:pPr>
      <w:r>
        <w:t>All of the 32 U.S. states that still retain the death penalty have adopted lethal injection as the exclusive or primary means of implementing capital punishment.</w:t>
      </w:r>
      <w:r>
        <w:rPr>
          <w:rStyle w:val="FootnoteReference"/>
        </w:rPr>
        <w:footnoteReference w:id="127"/>
      </w:r>
    </w:p>
    <w:p w14:paraId="43838E1C" w14:textId="77777777" w:rsidR="007910EC" w:rsidRDefault="007910EC" w:rsidP="007910EC">
      <w:pPr>
        <w:pStyle w:val="BodyTextFirst5"/>
        <w:numPr>
          <w:ilvl w:val="0"/>
          <w:numId w:val="18"/>
        </w:numPr>
      </w:pPr>
      <w:r>
        <w:t xml:space="preserve">Lethal injection has traditionally been administered by injecting a prisoner with three consecutive drugs: (1) sodium thiopental, a “barbiturate sedative that induces a deep, coma-like unconsciousness;” (2) </w:t>
      </w:r>
      <w:proofErr w:type="spellStart"/>
      <w:r>
        <w:t>pancuronium</w:t>
      </w:r>
      <w:proofErr w:type="spellEnd"/>
      <w:r>
        <w:t xml:space="preserve"> bromide, “a paralytic agent that inhibits muscular-skeletal movements and . . . stops respiration;” and (3) potassium chloride, which “interferes with the electrical signals that stimulate the contractions of the heart, inducing cardiac arrest.”</w:t>
      </w:r>
      <w:r>
        <w:rPr>
          <w:rStyle w:val="FootnoteReference"/>
        </w:rPr>
        <w:footnoteReference w:id="128"/>
      </w:r>
      <w:r>
        <w:t xml:space="preserve"> Proper administration of the first drug (sodium thiopental) should prevent the prisoner from experiencing pain from the paralysis and cardiac arrest caused by the second and third drugs.</w:t>
      </w:r>
      <w:r>
        <w:rPr>
          <w:rStyle w:val="FootnoteReference"/>
        </w:rPr>
        <w:footnoteReference w:id="129"/>
      </w:r>
    </w:p>
    <w:p w14:paraId="28EF9AD2" w14:textId="77777777" w:rsidR="007910EC" w:rsidRDefault="007910EC" w:rsidP="007910EC">
      <w:pPr>
        <w:pStyle w:val="BodyTextFirst5"/>
        <w:numPr>
          <w:ilvl w:val="0"/>
          <w:numId w:val="18"/>
        </w:numPr>
      </w:pPr>
      <w:r w:rsidRPr="00C36629">
        <w:rPr>
          <w:b/>
        </w:rPr>
        <w:t>The three-drug injection procedure is intended to be a more humane alternative to older execution methods such as the electric chair or gas chamber. A number of recent executions, however, have cast the “humanity” of the procedure into doubt.</w:t>
      </w:r>
      <w:r>
        <w:t xml:space="preserve"> In 2006, Ohio’s execution of Joseph L. Clark, an African American, lasted nearly 90 minutes because prison officials had difficulties locating a suitable vein for the lethal injection.</w:t>
      </w:r>
      <w:r>
        <w:rPr>
          <w:rStyle w:val="FootnoteReference"/>
        </w:rPr>
        <w:footnoteReference w:id="130"/>
      </w:r>
      <w:r>
        <w:t xml:space="preserve"> In 2007, Ohio’s execution of Christopher Newton lasted nearly two hours, long enough that Newton was permitted to take a bathroom break.</w:t>
      </w:r>
      <w:r>
        <w:rPr>
          <w:rStyle w:val="FootnoteReference"/>
        </w:rPr>
        <w:footnoteReference w:id="131"/>
      </w:r>
      <w:r>
        <w:t xml:space="preserve"> And in 2009, the execution of </w:t>
      </w:r>
      <w:proofErr w:type="spellStart"/>
      <w:r>
        <w:t>Romell</w:t>
      </w:r>
      <w:proofErr w:type="spellEnd"/>
      <w:r>
        <w:t xml:space="preserve"> Broom, an African American, failed altogether, as Ohio technicians unsuccessfully searched for a suitable vein to inject for over two hours before finally abandoning the execution and sending Broom back to death row (where he still sits).</w:t>
      </w:r>
      <w:r>
        <w:rPr>
          <w:rStyle w:val="FootnoteReference"/>
        </w:rPr>
        <w:footnoteReference w:id="132"/>
      </w:r>
      <w:r>
        <w:t xml:space="preserve"> </w:t>
      </w:r>
    </w:p>
    <w:p w14:paraId="0B132B2E" w14:textId="77777777" w:rsidR="007910EC" w:rsidRDefault="007910EC" w:rsidP="007910EC">
      <w:pPr>
        <w:pStyle w:val="BodyTextFirst5"/>
        <w:numPr>
          <w:ilvl w:val="0"/>
          <w:numId w:val="18"/>
        </w:numPr>
      </w:pPr>
      <w:r>
        <w:t>Ohio is not the only state where prolonged and problematic executions have arisen. Similar problems with lethal injection procedures occur in other U.S. states. For example, Angel Diaz’s 2006 execution by Florida officials lasted 34 minutes and required two rounds of injections to complete. It resulted in chemical burns on Diaz’s arms where administrators had pushed needles through his veins into soft tissue.</w:t>
      </w:r>
      <w:r>
        <w:rPr>
          <w:rStyle w:val="FootnoteReference"/>
        </w:rPr>
        <w:footnoteReference w:id="133"/>
      </w:r>
    </w:p>
    <w:p w14:paraId="796C42B9" w14:textId="77777777" w:rsidR="007910EC" w:rsidRDefault="007910EC" w:rsidP="007910EC">
      <w:pPr>
        <w:pStyle w:val="BodyTextFirst5"/>
        <w:numPr>
          <w:ilvl w:val="0"/>
          <w:numId w:val="18"/>
        </w:numPr>
      </w:pPr>
      <w:r>
        <w:t>Despite the widely reported details of such horrific executions, the U.S. Supreme Court held in 2008 that the three-drug method of lethal injection does not constitute “cruel and unusual punishment” in violation of the Eighth Amendment of the U.S. Constitution.</w:t>
      </w:r>
      <w:r>
        <w:rPr>
          <w:rStyle w:val="FootnoteReference"/>
        </w:rPr>
        <w:footnoteReference w:id="134"/>
      </w:r>
      <w:r>
        <w:t xml:space="preserve"> In </w:t>
      </w:r>
      <w:proofErr w:type="spellStart"/>
      <w:r w:rsidRPr="006F12C3">
        <w:rPr>
          <w:i/>
        </w:rPr>
        <w:t>Baze</w:t>
      </w:r>
      <w:proofErr w:type="spellEnd"/>
      <w:r w:rsidRPr="006F12C3">
        <w:rPr>
          <w:i/>
        </w:rPr>
        <w:t xml:space="preserve"> v</w:t>
      </w:r>
      <w:r>
        <w:rPr>
          <w:i/>
        </w:rPr>
        <w:t xml:space="preserve">. </w:t>
      </w:r>
      <w:r w:rsidRPr="006F12C3">
        <w:rPr>
          <w:i/>
        </w:rPr>
        <w:t>Rees</w:t>
      </w:r>
      <w:r w:rsidRPr="00813E61">
        <w:t>,</w:t>
      </w:r>
      <w:r>
        <w:t xml:space="preserve"> two inmates on Kentucky’s death row challenged the use of the three-drug injection procedure, claiming that there is a “significant risk” that the procedure would not be properly followed, which would result in severe pain in violation of the Eighth Amendment.</w:t>
      </w:r>
      <w:r>
        <w:rPr>
          <w:rStyle w:val="FootnoteReference"/>
        </w:rPr>
        <w:footnoteReference w:id="135"/>
      </w:r>
      <w:r>
        <w:t xml:space="preserve"> The Supreme Court ruled otherwise, holding that “[s]imply because an execution method may result in pain, either by accident or as an inescapable consequence of death, does not establish the sort of ‘objectively intolerable risk of harm’ that qualifies as cruel and unusual [punishment]” under the Eighth Amendment.</w:t>
      </w:r>
      <w:r>
        <w:rPr>
          <w:rStyle w:val="FootnoteReference"/>
        </w:rPr>
        <w:footnoteReference w:id="136"/>
      </w:r>
      <w:r>
        <w:t xml:space="preserve"> </w:t>
      </w:r>
    </w:p>
    <w:p w14:paraId="4948AA31" w14:textId="77777777" w:rsidR="007910EC" w:rsidRDefault="007910EC" w:rsidP="007910EC">
      <w:pPr>
        <w:pStyle w:val="BodyTextFirst5"/>
        <w:numPr>
          <w:ilvl w:val="0"/>
          <w:numId w:val="18"/>
        </w:numPr>
      </w:pPr>
      <w:r>
        <w:t xml:space="preserve">Although the </w:t>
      </w:r>
      <w:proofErr w:type="spellStart"/>
      <w:r w:rsidRPr="00490BD9">
        <w:rPr>
          <w:i/>
        </w:rPr>
        <w:t>Baze</w:t>
      </w:r>
      <w:proofErr w:type="spellEnd"/>
      <w:r>
        <w:t xml:space="preserve"> decision did not require a change to the traditional three-drug protocol, </w:t>
      </w:r>
      <w:r w:rsidRPr="00C36629">
        <w:rPr>
          <w:b/>
        </w:rPr>
        <w:t>the U.S. lethal injection process has nonetheless faced upheaval over the last several years</w:t>
      </w:r>
      <w:r>
        <w:t>. Challenges to other U.S. states’ lethal injection procedures have since been brought in other state courts and, in some cases, have halted executions pending litigation.</w:t>
      </w:r>
      <w:r>
        <w:rPr>
          <w:rStyle w:val="FootnoteReference"/>
        </w:rPr>
        <w:footnoteReference w:id="137"/>
      </w:r>
      <w:r>
        <w:t xml:space="preserve"> Moreover, recent upheavals with regard to drug sourcing have cast</w:t>
      </w:r>
      <w:r w:rsidRPr="00DE41B0">
        <w:t xml:space="preserve"> </w:t>
      </w:r>
      <w:r>
        <w:t>into serious doubt whether states are able to ensure that their lethal injection policies do not constitute cruel and unusual punishment.</w:t>
      </w:r>
    </w:p>
    <w:p w14:paraId="03B604BA" w14:textId="77777777" w:rsidR="007910EC" w:rsidRDefault="007910EC" w:rsidP="007910EC">
      <w:pPr>
        <w:pStyle w:val="BodyTextFirst5"/>
        <w:numPr>
          <w:ilvl w:val="0"/>
          <w:numId w:val="18"/>
        </w:numPr>
      </w:pPr>
      <w:r>
        <w:t>New policies adopted by foreign governments and regional authorities have hindered U.S. states’ ability to procure the drugs necessary to administer lethal injections. In 2010, the UK government issued export restrictions on sodium thiopental after learning that the drug was used for executions in the United States.</w:t>
      </w:r>
      <w:r>
        <w:rPr>
          <w:rStyle w:val="FootnoteReference"/>
        </w:rPr>
        <w:footnoteReference w:id="138"/>
      </w:r>
      <w:r>
        <w:t xml:space="preserve"> In early 2011, the Italian government requested that American pharmaceutical company </w:t>
      </w:r>
      <w:proofErr w:type="spellStart"/>
      <w:r>
        <w:t>Hospira</w:t>
      </w:r>
      <w:proofErr w:type="spellEnd"/>
      <w:r>
        <w:t xml:space="preserve"> Inc., the world’s largest manufacturer of sodium </w:t>
      </w:r>
      <w:proofErr w:type="gramStart"/>
      <w:r>
        <w:t>thiopental,</w:t>
      </w:r>
      <w:proofErr w:type="gramEnd"/>
      <w:r>
        <w:t xml:space="preserve"> guarantee that any drugs it produced in Italy would not be used for executions.</w:t>
      </w:r>
      <w:r>
        <w:rPr>
          <w:rStyle w:val="FootnoteReference"/>
        </w:rPr>
        <w:footnoteReference w:id="139"/>
      </w:r>
      <w:r>
        <w:t xml:space="preserve"> </w:t>
      </w:r>
      <w:proofErr w:type="spellStart"/>
      <w:r>
        <w:t>Hospira</w:t>
      </w:r>
      <w:proofErr w:type="spellEnd"/>
      <w:r>
        <w:t xml:space="preserve"> responded it was unable to guarantee compliance and halted production of sodium thiopental altogether.</w:t>
      </w:r>
      <w:r>
        <w:rPr>
          <w:rStyle w:val="FootnoteReference"/>
        </w:rPr>
        <w:footnoteReference w:id="140"/>
      </w:r>
    </w:p>
    <w:p w14:paraId="78E00EC3" w14:textId="77777777" w:rsidR="007910EC" w:rsidRDefault="007910EC" w:rsidP="007910EC">
      <w:pPr>
        <w:pStyle w:val="BodyTextFirst5"/>
        <w:numPr>
          <w:ilvl w:val="0"/>
          <w:numId w:val="18"/>
        </w:numPr>
      </w:pPr>
      <w:r>
        <w:t>In December 2011, the European Commission (EC) of the EU tightened restrictions on exporting products that can be used for capital punishment.</w:t>
      </w:r>
      <w:r>
        <w:rPr>
          <w:rStyle w:val="FootnoteReference"/>
        </w:rPr>
        <w:footnoteReference w:id="141"/>
      </w:r>
      <w:r>
        <w:t xml:space="preserve"> The EC’s so-called “Torture Goods Regulation” imposes export controls on eight barbiturates, including sodium thiopental and pentobarbital.</w:t>
      </w:r>
      <w:r>
        <w:rPr>
          <w:rStyle w:val="FootnoteReference"/>
        </w:rPr>
        <w:footnoteReference w:id="142"/>
      </w:r>
      <w:r>
        <w:t xml:space="preserve"> “The decision [to restrict such products] … contributes to the wider EU efforts to abolish the death penalty worldwide,” said EC Vice-President Catherine Ashton.</w:t>
      </w:r>
      <w:r>
        <w:rPr>
          <w:rStyle w:val="FootnoteReference"/>
        </w:rPr>
        <w:footnoteReference w:id="143"/>
      </w:r>
      <w:r>
        <w:t xml:space="preserve"> This policy reiterates the moral opposition of European governments to capital punishment and their resistance to further the practice in any way in the United States.</w:t>
      </w:r>
    </w:p>
    <w:p w14:paraId="46A33BB6" w14:textId="77777777" w:rsidR="007910EC" w:rsidRDefault="007910EC" w:rsidP="007910EC">
      <w:pPr>
        <w:pStyle w:val="BodyTextFirst5"/>
        <w:numPr>
          <w:ilvl w:val="0"/>
          <w:numId w:val="18"/>
        </w:numPr>
      </w:pPr>
      <w:r w:rsidRPr="00C36629">
        <w:rPr>
          <w:b/>
        </w:rPr>
        <w:t>In addition to the policies adopted by foreign governments and the EU, the international business community has also begun taking steps to curtail its role in lethal injections.</w:t>
      </w:r>
      <w:r>
        <w:t xml:space="preserve"> In February 2011, on the heels of </w:t>
      </w:r>
      <w:proofErr w:type="spellStart"/>
      <w:r>
        <w:t>Hospira’s</w:t>
      </w:r>
      <w:proofErr w:type="spellEnd"/>
      <w:r>
        <w:t xml:space="preserve"> announcement that it would stop producing sodium thiopental, multinational pharmaceutical company Novartis and its subsidiary Sandoz announced they also had instructed distributors to stop selling sodium thiopental to other customers who had been importing it into the United States.</w:t>
      </w:r>
      <w:r>
        <w:rPr>
          <w:rStyle w:val="FootnoteReference"/>
        </w:rPr>
        <w:footnoteReference w:id="144"/>
      </w:r>
    </w:p>
    <w:p w14:paraId="7F368C1B" w14:textId="77777777" w:rsidR="007910EC" w:rsidRPr="00831A32" w:rsidRDefault="007910EC" w:rsidP="007910EC">
      <w:pPr>
        <w:pStyle w:val="BodyTextFirst5"/>
        <w:numPr>
          <w:ilvl w:val="0"/>
          <w:numId w:val="18"/>
        </w:numPr>
      </w:pPr>
      <w:r w:rsidRPr="00C36629">
        <w:rPr>
          <w:b/>
        </w:rPr>
        <w:t xml:space="preserve">In response to the scarcity of traditionally used lethal injection drugs, two approaches have emerged in </w:t>
      </w:r>
      <w:proofErr w:type="spellStart"/>
      <w:r w:rsidRPr="00C36629">
        <w:rPr>
          <w:b/>
        </w:rPr>
        <w:t>retentionist</w:t>
      </w:r>
      <w:proofErr w:type="spellEnd"/>
      <w:r w:rsidRPr="00C36629">
        <w:rPr>
          <w:b/>
        </w:rPr>
        <w:t xml:space="preserve"> states’ search for new execution methods: some have adopted new, experimental execution protocols using untested, manufactured drugs; others have turned to compounded drugs.</w:t>
      </w:r>
      <w:r>
        <w:t xml:space="preserve"> Under both approaches, </w:t>
      </w:r>
      <w:r w:rsidRPr="00C36629">
        <w:rPr>
          <w:b/>
        </w:rPr>
        <w:t>the use of such unchartered means of execution has demonstrably increased the risks of executions constituting cruel and unusual punishment</w:t>
      </w:r>
      <w:r>
        <w:t xml:space="preserve"> </w:t>
      </w:r>
      <w:r w:rsidRPr="00831A32">
        <w:t xml:space="preserve">to </w:t>
      </w:r>
      <w:r>
        <w:t>alarming</w:t>
      </w:r>
      <w:r w:rsidRPr="00831A32">
        <w:t xml:space="preserve"> level</w:t>
      </w:r>
      <w:r>
        <w:t>s</w:t>
      </w:r>
      <w:r w:rsidRPr="00831A32">
        <w:t>.</w:t>
      </w:r>
      <w:r w:rsidRPr="00831A32">
        <w:rPr>
          <w:rStyle w:val="FootnoteReference"/>
        </w:rPr>
        <w:footnoteReference w:id="145"/>
      </w:r>
      <w:r>
        <w:t xml:space="preserve"> The following is a synopsis of recent executions using these new methods:</w:t>
      </w:r>
    </w:p>
    <w:p w14:paraId="6C30D71D" w14:textId="77777777" w:rsidR="007910EC" w:rsidRDefault="007910EC" w:rsidP="007910EC">
      <w:pPr>
        <w:pStyle w:val="ListParagraph"/>
        <w:numPr>
          <w:ilvl w:val="2"/>
          <w:numId w:val="20"/>
        </w:numPr>
      </w:pPr>
      <w:r w:rsidRPr="00831A32">
        <w:t>On October 15</w:t>
      </w:r>
      <w:r>
        <w:t>, 2013</w:t>
      </w:r>
      <w:r w:rsidRPr="00831A32">
        <w:t xml:space="preserve">, the state of Florida executed William </w:t>
      </w:r>
      <w:proofErr w:type="spellStart"/>
      <w:r w:rsidRPr="00831A32">
        <w:t>Happ</w:t>
      </w:r>
      <w:proofErr w:type="spellEnd"/>
      <w:r w:rsidRPr="00831A32">
        <w:t>, the first inmate to be executed using an untested three-drug method utilizing midazolam hydrochloride in place of pentobarbital</w:t>
      </w:r>
      <w:r>
        <w:t>, which was no longer commercially available for purchase by prisons.</w:t>
      </w:r>
      <w:r w:rsidRPr="00831A32">
        <w:t xml:space="preserve"> It has been reported that </w:t>
      </w:r>
      <w:r>
        <w:t>the execution took twice as long as under the previous protocol and that the prisoner experienced severe pain</w:t>
      </w:r>
      <w:r w:rsidRPr="00831A32">
        <w:t>.</w:t>
      </w:r>
      <w:r>
        <w:rPr>
          <w:rStyle w:val="FootnoteReference"/>
        </w:rPr>
        <w:footnoteReference w:id="146"/>
      </w:r>
      <w:r w:rsidRPr="00831A32">
        <w:t xml:space="preserve"> The state executed Darius Kimbrough and </w:t>
      </w:r>
      <w:proofErr w:type="spellStart"/>
      <w:r w:rsidRPr="00831A32">
        <w:t>Askari</w:t>
      </w:r>
      <w:proofErr w:type="spellEnd"/>
      <w:r w:rsidRPr="00831A32">
        <w:t xml:space="preserve"> Muhammad</w:t>
      </w:r>
      <w:r>
        <w:t>, both African Americans,</w:t>
      </w:r>
      <w:r w:rsidRPr="00831A32">
        <w:t xml:space="preserve"> on November 11 and January 7, </w:t>
      </w:r>
      <w:r>
        <w:t xml:space="preserve">2013, </w:t>
      </w:r>
      <w:r w:rsidRPr="00831A32">
        <w:t>respectively, in the same manner.</w:t>
      </w:r>
      <w:r w:rsidRPr="00831A32">
        <w:rPr>
          <w:rStyle w:val="FootnoteReference"/>
        </w:rPr>
        <w:footnoteReference w:id="147"/>
      </w:r>
      <w:r w:rsidRPr="00831A32">
        <w:t xml:space="preserve"> </w:t>
      </w:r>
    </w:p>
    <w:p w14:paraId="28B96A26" w14:textId="77777777" w:rsidR="007910EC" w:rsidRPr="00831A32" w:rsidRDefault="007910EC" w:rsidP="007910EC">
      <w:pPr>
        <w:ind w:left="720"/>
      </w:pPr>
    </w:p>
    <w:p w14:paraId="724AFCB1" w14:textId="55C8B53E" w:rsidR="0014332A" w:rsidRDefault="00CC5461" w:rsidP="00AE219D">
      <w:pPr>
        <w:pStyle w:val="ListParagraph"/>
        <w:numPr>
          <w:ilvl w:val="2"/>
          <w:numId w:val="20"/>
        </w:numPr>
      </w:pPr>
      <w:r>
        <w:t>The states of Ohio,</w:t>
      </w:r>
      <w:r w:rsidR="00CF1803">
        <w:t xml:space="preserve"> Louisiana</w:t>
      </w:r>
      <w:r>
        <w:t>, and Arizona</w:t>
      </w:r>
      <w:r w:rsidR="00CF1803">
        <w:t xml:space="preserve"> have adopted a new, two-drug execution protocol, composed of an untested combination of midazolam and </w:t>
      </w:r>
      <w:proofErr w:type="spellStart"/>
      <w:r w:rsidR="00CF1803">
        <w:t>hydromorphone</w:t>
      </w:r>
      <w:proofErr w:type="spellEnd"/>
      <w:r w:rsidR="00CF1803">
        <w:t>. This is also the back-up protocol in Kentucky. Ohio used these drugs to execute Dennis McGuire on January 16</w:t>
      </w:r>
      <w:r w:rsidR="002618FE">
        <w:t>, 2014</w:t>
      </w:r>
      <w:r w:rsidR="00CF1803">
        <w:t>.</w:t>
      </w:r>
      <w:r w:rsidR="008555F4">
        <w:t xml:space="preserve"> </w:t>
      </w:r>
      <w:r w:rsidR="00CF1803" w:rsidRPr="00831A32">
        <w:t xml:space="preserve">In a clearly botched execution lasting roughly </w:t>
      </w:r>
      <w:r w:rsidR="00CF1803">
        <w:t>2</w:t>
      </w:r>
      <w:r w:rsidR="00CF1803" w:rsidRPr="00831A32">
        <w:t>5 minutes, McGuire proceeded to violently gasp for breath and otherwise struggle</w:t>
      </w:r>
      <w:r w:rsidR="00CF1803">
        <w:t xml:space="preserve"> </w:t>
      </w:r>
      <w:r w:rsidR="00CF1803" w:rsidRPr="00831A32">
        <w:t xml:space="preserve">—a condition known as </w:t>
      </w:r>
      <w:r w:rsidR="00CF1803">
        <w:t>‘</w:t>
      </w:r>
      <w:r w:rsidR="00CF1803" w:rsidRPr="00831A32">
        <w:t>air hunger</w:t>
      </w:r>
      <w:r w:rsidR="00CF1803">
        <w:t>’</w:t>
      </w:r>
      <w:r w:rsidR="00CF1803" w:rsidRPr="00831A32">
        <w:t>.</w:t>
      </w:r>
      <w:r w:rsidR="00CF1803">
        <w:rPr>
          <w:rStyle w:val="FootnoteReference"/>
        </w:rPr>
        <w:footnoteReference w:id="148"/>
      </w:r>
    </w:p>
    <w:p w14:paraId="6EEAA30B" w14:textId="77777777" w:rsidR="0014332A" w:rsidRDefault="0014332A" w:rsidP="0014332A">
      <w:pPr>
        <w:pStyle w:val="ListParagraph"/>
      </w:pPr>
    </w:p>
    <w:p w14:paraId="4FEA0EC1" w14:textId="3F1CC998" w:rsidR="00DB0F43" w:rsidRDefault="00CC5461" w:rsidP="00DB0F43">
      <w:pPr>
        <w:pStyle w:val="ListParagraph"/>
        <w:numPr>
          <w:ilvl w:val="2"/>
          <w:numId w:val="20"/>
        </w:numPr>
        <w:ind w:left="720"/>
      </w:pPr>
      <w:r>
        <w:t>On July 23, 2014, the state of Arizona executed Joseph Rudolph Wood III using the</w:t>
      </w:r>
      <w:r w:rsidR="00DB0F43">
        <w:t xml:space="preserve"> same</w:t>
      </w:r>
      <w:r>
        <w:t xml:space="preserve"> </w:t>
      </w:r>
      <w:r w:rsidR="0014332A">
        <w:t xml:space="preserve">midazolam and </w:t>
      </w:r>
      <w:proofErr w:type="spellStart"/>
      <w:r w:rsidR="0014332A">
        <w:t>hydromorphone</w:t>
      </w:r>
      <w:proofErr w:type="spellEnd"/>
      <w:r w:rsidR="0014332A">
        <w:t xml:space="preserve"> </w:t>
      </w:r>
      <w:r>
        <w:t>protocol.</w:t>
      </w:r>
      <w:r>
        <w:rPr>
          <w:rStyle w:val="FootnoteReference"/>
        </w:rPr>
        <w:footnoteReference w:id="149"/>
      </w:r>
      <w:r w:rsidR="0014332A">
        <w:t xml:space="preserve"> Wood’s attorneys had filed motions in state and federal courts over concerns about the drugs and the Arizona Department of Corrections’ refusal to provide information about the origins of the drugs it had procured for Wood’s execution.</w:t>
      </w:r>
      <w:r w:rsidR="0014332A">
        <w:rPr>
          <w:rStyle w:val="FootnoteReference"/>
        </w:rPr>
        <w:footnoteReference w:id="150"/>
      </w:r>
      <w:r w:rsidR="0014332A">
        <w:t xml:space="preserve"> But the Arizona Supreme Court lifted its stay of execution, and the U.S. Supreme Court lifted a stay issued by the U.S. Court of Appeals for the Ninth Circuit</w:t>
      </w:r>
      <w:r w:rsidR="0046617F">
        <w:t>, allowing the execution to go forward without full disclosure of the sourcing of the drugs used in the execution</w:t>
      </w:r>
      <w:r w:rsidR="0014332A">
        <w:t>.</w:t>
      </w:r>
      <w:r w:rsidR="0014332A">
        <w:rPr>
          <w:rStyle w:val="FootnoteReference"/>
        </w:rPr>
        <w:footnoteReference w:id="151"/>
      </w:r>
      <w:r w:rsidR="0046617F">
        <w:t xml:space="preserve"> </w:t>
      </w:r>
      <w:r w:rsidR="0014332A">
        <w:t>A reporter who</w:t>
      </w:r>
      <w:r w:rsidR="00DB0F43">
        <w:t xml:space="preserve"> has witnessed many executions and who</w:t>
      </w:r>
      <w:r w:rsidR="0014332A">
        <w:t xml:space="preserve"> witnessed </w:t>
      </w:r>
      <w:r w:rsidR="00DB0F43">
        <w:t xml:space="preserve">Wood’s </w:t>
      </w:r>
      <w:r w:rsidR="0014332A">
        <w:t>execution stated that the drugs were administered at 1:54</w:t>
      </w:r>
      <w:r w:rsidR="0046617F">
        <w:t xml:space="preserve"> pm</w:t>
      </w:r>
      <w:r w:rsidR="0014332A">
        <w:t>, and that Wood was pronounced dead</w:t>
      </w:r>
      <w:r w:rsidR="0046617F">
        <w:t xml:space="preserve"> only at 3:49 pm,</w:t>
      </w:r>
      <w:r w:rsidR="0014332A">
        <w:t xml:space="preserve"> nearly two hours later.</w:t>
      </w:r>
      <w:r w:rsidR="0014332A">
        <w:rPr>
          <w:rStyle w:val="FootnoteReference"/>
        </w:rPr>
        <w:footnoteReference w:id="152"/>
      </w:r>
      <w:r w:rsidR="0014332A">
        <w:t xml:space="preserve"> Ordinarily, the</w:t>
      </w:r>
      <w:r w:rsidR="0046617F">
        <w:t xml:space="preserve"> lethal injection</w:t>
      </w:r>
      <w:r w:rsidR="0014332A">
        <w:t xml:space="preserve"> process takes 10 or 11 minutes.</w:t>
      </w:r>
      <w:r w:rsidR="0014332A">
        <w:rPr>
          <w:rStyle w:val="FootnoteReference"/>
        </w:rPr>
        <w:footnoteReference w:id="153"/>
      </w:r>
      <w:r w:rsidR="0014332A">
        <w:t xml:space="preserve"> During the execution,</w:t>
      </w:r>
      <w:r w:rsidR="0046617F">
        <w:t xml:space="preserve"> starting at 2:05 pm,</w:t>
      </w:r>
      <w:r w:rsidR="0014332A">
        <w:t xml:space="preserve"> Wood “gulped like a fish on land. The movement was like a piston: The mouth opened, the chest rose, the stomach convulsed.”</w:t>
      </w:r>
      <w:r w:rsidR="0014332A">
        <w:rPr>
          <w:rStyle w:val="FootnoteReference"/>
        </w:rPr>
        <w:footnoteReference w:id="154"/>
      </w:r>
      <w:r w:rsidR="0014332A">
        <w:t xml:space="preserve"> </w:t>
      </w:r>
      <w:r w:rsidR="00DB0F43">
        <w:t xml:space="preserve">At times when the speaker from the execution chamber to the observation room was activated, the reporter could tell that </w:t>
      </w:r>
      <w:r w:rsidR="008555F4">
        <w:t xml:space="preserve">during these convulsions, </w:t>
      </w:r>
      <w:r w:rsidR="00DB0F43">
        <w:t xml:space="preserve">Wood </w:t>
      </w:r>
      <w:r w:rsidR="0014332A">
        <w:t>made “a snoring, sucking [sound], similar to when a swimming-pool filter starts taking in air, a louder noise than [the reporter] can imitate . . . . It was death by apnea. And it went on for an hour and a half. I made a pencil stroke on a pad of paper, each time his mouth opened, and ticked off more than 640, which was not all of them, because the doctor came in at least four times and blocked my view.”</w:t>
      </w:r>
      <w:r w:rsidR="0014332A">
        <w:rPr>
          <w:rStyle w:val="FootnoteReference"/>
        </w:rPr>
        <w:footnoteReference w:id="155"/>
      </w:r>
      <w:r>
        <w:t xml:space="preserve"> </w:t>
      </w:r>
    </w:p>
    <w:p w14:paraId="4E6E99B2" w14:textId="77777777" w:rsidR="00EC2885" w:rsidRPr="0098554A" w:rsidRDefault="00EC2885" w:rsidP="00EC2885">
      <w:pPr>
        <w:pStyle w:val="ListParagraph"/>
      </w:pPr>
    </w:p>
    <w:p w14:paraId="221835DB" w14:textId="492D049D" w:rsidR="00CF1803" w:rsidRDefault="00CF1803" w:rsidP="00AE219D">
      <w:pPr>
        <w:pStyle w:val="ListParagraph"/>
        <w:numPr>
          <w:ilvl w:val="2"/>
          <w:numId w:val="20"/>
        </w:numPr>
      </w:pPr>
      <w:r w:rsidRPr="00831A32">
        <w:t xml:space="preserve">Late </w:t>
      </w:r>
      <w:r w:rsidR="00167BE8">
        <w:t>in 2013</w:t>
      </w:r>
      <w:r w:rsidRPr="00831A32">
        <w:t>, Tennessee, North Carolina, and Mi</w:t>
      </w:r>
      <w:r w:rsidR="00431319">
        <w:t>ssouri announced plans to us</w:t>
      </w:r>
      <w:r w:rsidRPr="00831A32">
        <w:t xml:space="preserve">e pentobarbital in a one-drug protocol, with Missouri </w:t>
      </w:r>
      <w:r>
        <w:t xml:space="preserve">and Tennessee </w:t>
      </w:r>
      <w:r w:rsidRPr="00831A32">
        <w:t xml:space="preserve">stating </w:t>
      </w:r>
      <w:r>
        <w:t>their</w:t>
      </w:r>
      <w:r w:rsidRPr="00831A32">
        <w:t xml:space="preserve"> intent to obtain the drug through a compounding pharmacy.</w:t>
      </w:r>
      <w:r w:rsidRPr="00831A32">
        <w:rPr>
          <w:rStyle w:val="FootnoteReference"/>
        </w:rPr>
        <w:footnoteReference w:id="156"/>
      </w:r>
      <w:r w:rsidRPr="00B871DD">
        <w:t xml:space="preserve"> Compounding pharmacies are not regulated by the FDA and compounded drugs are not FDA approved. This means that the FDA does not verify the safety or effectiveness of compounded drugs.</w:t>
      </w:r>
      <w:r>
        <w:rPr>
          <w:rStyle w:val="FootnoteReference"/>
        </w:rPr>
        <w:footnoteReference w:id="157"/>
      </w:r>
    </w:p>
    <w:p w14:paraId="6802212F" w14:textId="77777777" w:rsidR="007910EC" w:rsidRDefault="007910EC" w:rsidP="007910EC">
      <w:pPr>
        <w:pStyle w:val="ListParagraph"/>
      </w:pPr>
    </w:p>
    <w:p w14:paraId="0BF8EF54" w14:textId="64C69FE2" w:rsidR="007910EC" w:rsidRDefault="007910EC" w:rsidP="007910EC">
      <w:pPr>
        <w:pStyle w:val="ListParagraph"/>
        <w:numPr>
          <w:ilvl w:val="2"/>
          <w:numId w:val="20"/>
        </w:numPr>
      </w:pPr>
      <w:r>
        <w:t xml:space="preserve">On January 9, 2014, the state of Oklahoma carried out its first execution using compounded pentobarbital. </w:t>
      </w:r>
      <w:r w:rsidRPr="00431319">
        <w:rPr>
          <w:b/>
        </w:rPr>
        <w:t>Concerns were raised that the execution had miscarried after the final words of the inmate, Michael Lee Wilson, an African American, were “I feel my whole body burning.”</w:t>
      </w:r>
      <w:r>
        <w:rPr>
          <w:rStyle w:val="FootnoteReference"/>
        </w:rPr>
        <w:footnoteReference w:id="158"/>
      </w:r>
      <w:r>
        <w:t xml:space="preserve">  Thereafter, on January 24, Kenneth Eugene Hogan was executed using the same protocol.</w:t>
      </w:r>
      <w:r>
        <w:rPr>
          <w:rStyle w:val="FootnoteReference"/>
        </w:rPr>
        <w:footnoteReference w:id="159"/>
      </w:r>
      <w:r>
        <w:t xml:space="preserve"> </w:t>
      </w:r>
    </w:p>
    <w:p w14:paraId="119F4EC3" w14:textId="77777777" w:rsidR="00B80C31" w:rsidRDefault="00B80C31" w:rsidP="00B80C31">
      <w:pPr>
        <w:pStyle w:val="ListParagraph"/>
        <w:ind w:left="1080"/>
      </w:pPr>
    </w:p>
    <w:p w14:paraId="1E81FD5C" w14:textId="56597B1B" w:rsidR="007910EC" w:rsidRDefault="007910EC" w:rsidP="007910EC">
      <w:pPr>
        <w:pStyle w:val="ListParagraph"/>
        <w:numPr>
          <w:ilvl w:val="2"/>
          <w:numId w:val="20"/>
        </w:numPr>
      </w:pPr>
      <w:r w:rsidRPr="00431319">
        <w:rPr>
          <w:b/>
        </w:rPr>
        <w:t>On April 29, 2014, Oklahoma inmate Clayton Lockett, an African American man, died of a heart attack approximately 40 minutes after the state began his execution</w:t>
      </w:r>
      <w:r>
        <w:t xml:space="preserve"> by administering midazolam, the first drug in a three-drug protocol the state had not previously used.</w:t>
      </w:r>
      <w:r>
        <w:rPr>
          <w:rStyle w:val="FootnoteReference"/>
        </w:rPr>
        <w:footnoteReference w:id="160"/>
      </w:r>
      <w:r>
        <w:t xml:space="preserve">  Lockett was declared unconscious ten minutes after the administration of the midazolam; then, according to witnesses, </w:t>
      </w:r>
      <w:r w:rsidRPr="00431319">
        <w:rPr>
          <w:b/>
        </w:rPr>
        <w:t>he began to nod, mumble and writhe on the gurney and appeared to some witnesses to be having a seizure</w:t>
      </w:r>
      <w:r>
        <w:t>.</w:t>
      </w:r>
      <w:r>
        <w:rPr>
          <w:rStyle w:val="FootnoteReference"/>
        </w:rPr>
        <w:footnoteReference w:id="161"/>
      </w:r>
      <w:r>
        <w:t xml:space="preserve"> Thirty-three minutes later, Lockett died of a massive heart attack.  Oklahoma governor Mary </w:t>
      </w:r>
      <w:proofErr w:type="spellStart"/>
      <w:r>
        <w:t>Fallin</w:t>
      </w:r>
      <w:proofErr w:type="spellEnd"/>
      <w:r>
        <w:t xml:space="preserve"> thereafter stayed the execution of Charles Warner, which had been scheduled to begin just two hours after Lockett’s execution, and ordered a full review of Oklahoma’s execution procedures.</w:t>
      </w:r>
      <w:r>
        <w:rPr>
          <w:rStyle w:val="FootnoteReference"/>
        </w:rPr>
        <w:footnoteReference w:id="162"/>
      </w:r>
      <w:r>
        <w:t xml:space="preserve">  </w:t>
      </w:r>
    </w:p>
    <w:p w14:paraId="596D136C" w14:textId="77777777" w:rsidR="00DD6C09" w:rsidRDefault="00DD6C09" w:rsidP="00EA22BE">
      <w:pPr>
        <w:pStyle w:val="ListParagraph"/>
      </w:pPr>
    </w:p>
    <w:p w14:paraId="488EF013" w14:textId="1A05D08E" w:rsidR="00B80C31" w:rsidRDefault="00D45422" w:rsidP="00AF29F7">
      <w:pPr>
        <w:ind w:left="360"/>
      </w:pPr>
      <w:r>
        <w:t>Lockett’s botched execution further supports arguments that states are engaging in cruel and unusual punishments in their administration of the death penalty.</w:t>
      </w:r>
      <w:r w:rsidR="00AF29F7">
        <w:t xml:space="preserve"> </w:t>
      </w:r>
      <w:r w:rsidR="00A748D0">
        <w:t xml:space="preserve">Of the 247 inmates executed since 2009, 116 were </w:t>
      </w:r>
      <w:r w:rsidR="008555F4">
        <w:t>individuals who we</w:t>
      </w:r>
      <w:r w:rsidR="00A748D0" w:rsidRPr="00173581">
        <w:t xml:space="preserve">re </w:t>
      </w:r>
      <w:r w:rsidR="00D413E1">
        <w:t>people of color</w:t>
      </w:r>
      <w:r w:rsidR="008555F4">
        <w:t xml:space="preserve"> and/or of a national origin other than the United States</w:t>
      </w:r>
      <w:r w:rsidR="00173581" w:rsidRPr="00173581">
        <w:t>.</w:t>
      </w:r>
      <w:r>
        <w:t xml:space="preserve"> By these actions, </w:t>
      </w:r>
      <w:r w:rsidRPr="00431319">
        <w:rPr>
          <w:b/>
        </w:rPr>
        <w:t xml:space="preserve">the United States violates </w:t>
      </w:r>
      <w:r w:rsidR="00861714" w:rsidRPr="00431319">
        <w:rPr>
          <w:b/>
        </w:rPr>
        <w:t xml:space="preserve">ICERD </w:t>
      </w:r>
      <w:r w:rsidRPr="00431319">
        <w:rPr>
          <w:b/>
        </w:rPr>
        <w:t xml:space="preserve">Article 5(b) </w:t>
      </w:r>
      <w:r w:rsidR="00034010" w:rsidRPr="00431319">
        <w:rPr>
          <w:b/>
        </w:rPr>
        <w:t xml:space="preserve">by failing to protect these individuals, a disproportionate number of </w:t>
      </w:r>
      <w:r w:rsidR="008555F4" w:rsidRPr="00431319">
        <w:rPr>
          <w:b/>
        </w:rPr>
        <w:t xml:space="preserve">whom </w:t>
      </w:r>
      <w:r w:rsidR="00034010" w:rsidRPr="00431319">
        <w:rPr>
          <w:b/>
        </w:rPr>
        <w:t xml:space="preserve">are minorities, from </w:t>
      </w:r>
      <w:r w:rsidRPr="00431319">
        <w:rPr>
          <w:b/>
        </w:rPr>
        <w:t>violence or bodily harm inflicted by government officials</w:t>
      </w:r>
      <w:r w:rsidR="00034010">
        <w:t>.</w:t>
      </w:r>
      <w:r w:rsidR="00AF29F7">
        <w:t xml:space="preserve"> </w:t>
      </w:r>
    </w:p>
    <w:p w14:paraId="2E9CDA93" w14:textId="77777777" w:rsidR="00167BE8" w:rsidRDefault="00167BE8" w:rsidP="00D413E1"/>
    <w:p w14:paraId="71B9B6B0" w14:textId="77777777" w:rsidR="00D413E1" w:rsidRDefault="00D413E1" w:rsidP="00D413E1">
      <w:pPr>
        <w:pStyle w:val="BodyTextFirst5"/>
        <w:numPr>
          <w:ilvl w:val="0"/>
          <w:numId w:val="18"/>
        </w:numPr>
      </w:pPr>
      <w:r>
        <w:t xml:space="preserve">The measures that U.S. states have taken to procure lethal injection drugs escalate concerns about whether lethal injection constitutes cruel and unusual punishment, as states turn to unregulated and non-transparent sourcing for lethal injection drugs. </w:t>
      </w:r>
      <w:r w:rsidRPr="00431319">
        <w:rPr>
          <w:b/>
        </w:rPr>
        <w:t>Some states are obtaining drugs from compounding pharmacies, which produce drugs that are not verified by the FDA for their “quality, safety and effectiveness.”</w:t>
      </w:r>
      <w:r>
        <w:rPr>
          <w:rStyle w:val="FootnoteReference"/>
        </w:rPr>
        <w:footnoteReference w:id="163"/>
      </w:r>
      <w:r w:rsidRPr="00C856B2">
        <w:t xml:space="preserve"> </w:t>
      </w:r>
      <w:r>
        <w:t xml:space="preserve">Other states are reportedly obtaining drugs from dubious sources. When supplies of sodium thiopental were scarce in 2010, Arizona executed Jeffrey </w:t>
      </w:r>
      <w:proofErr w:type="spellStart"/>
      <w:r>
        <w:t>Landrigan</w:t>
      </w:r>
      <w:proofErr w:type="spellEnd"/>
      <w:r>
        <w:t xml:space="preserve"> with drugs purchased from a pharmaceutical company operated in the back of a London driving school.</w:t>
      </w:r>
      <w:r>
        <w:rPr>
          <w:rStyle w:val="FootnoteReference"/>
        </w:rPr>
        <w:footnoteReference w:id="164"/>
      </w:r>
      <w:r>
        <w:t xml:space="preserve"> Nebraska and South Dakota, instead, have turned to questionable Indian drug manufacturers to source their lethal injection ingredients.</w:t>
      </w:r>
      <w:r>
        <w:rPr>
          <w:rStyle w:val="FootnoteReference"/>
        </w:rPr>
        <w:footnoteReference w:id="165"/>
      </w:r>
      <w:r>
        <w:t xml:space="preserve"> When drugs originate from sources outside of federal oversight and regulation, there is a </w:t>
      </w:r>
      <w:r w:rsidRPr="00431319">
        <w:rPr>
          <w:b/>
        </w:rPr>
        <w:t>greater likelihood of tampering, improper labeling, and diminished potency, quality, and efficacy of those drugs</w:t>
      </w:r>
      <w:r>
        <w:t>—factors which elevate the risk of a botched execution, such as what occurred with Oklahoma’s execution of Clayton Lockett.</w:t>
      </w:r>
    </w:p>
    <w:p w14:paraId="7CA26915" w14:textId="77777777" w:rsidR="00D413E1" w:rsidRDefault="00D413E1" w:rsidP="00D413E1">
      <w:pPr>
        <w:pStyle w:val="BodyTextFirst5"/>
        <w:numPr>
          <w:ilvl w:val="0"/>
          <w:numId w:val="18"/>
        </w:numPr>
      </w:pPr>
      <w:r w:rsidRPr="00431319">
        <w:rPr>
          <w:b/>
        </w:rPr>
        <w:t>As U.S. states increasingly turn to questionable sources, several states have adopted secrecy laws to conceal the identity of the drug supplier.</w:t>
      </w:r>
      <w:r>
        <w:rPr>
          <w:rStyle w:val="FootnoteReference"/>
        </w:rPr>
        <w:footnoteReference w:id="166"/>
      </w:r>
      <w:r>
        <w:t xml:space="preserve"> The Georgia State Assembly recently passed a law that classifies the identity of any person or company providing drugs for use in lethal injections as a “state secret.”</w:t>
      </w:r>
      <w:r>
        <w:rPr>
          <w:rStyle w:val="FootnoteReference"/>
        </w:rPr>
        <w:footnoteReference w:id="167"/>
      </w:r>
      <w:r>
        <w:t xml:space="preserve"> Other states, including Arkansas, Colorado, Louisiana, Mississippi, Missouri, Oklahoma, South Dakota, Tennessee and Texas, have also adopted secrecy laws or protocols protecting the identity of their drug sources.</w:t>
      </w:r>
      <w:r>
        <w:rPr>
          <w:rStyle w:val="FootnoteReference"/>
        </w:rPr>
        <w:footnoteReference w:id="168"/>
      </w:r>
      <w:r>
        <w:t xml:space="preserve">  On March 26, 2014, an Oklahoma court struck down the state’s secrecy law, ruling that the law violated constitutional rights of due process.</w:t>
      </w:r>
      <w:r>
        <w:rPr>
          <w:rStyle w:val="FootnoteReference"/>
        </w:rPr>
        <w:footnoteReference w:id="169"/>
      </w:r>
      <w:r>
        <w:t xml:space="preserve">  Similar legal objections are being raised in other states out of concern that suppressing these suppliers’ identities allows the state to withhold</w:t>
      </w:r>
      <w:r w:rsidRPr="00997462">
        <w:t xml:space="preserve"> </w:t>
      </w:r>
      <w:r>
        <w:t xml:space="preserve">critical </w:t>
      </w:r>
      <w:r w:rsidRPr="00997462">
        <w:t xml:space="preserve">information </w:t>
      </w:r>
      <w:r>
        <w:t>about</w:t>
      </w:r>
      <w:r w:rsidRPr="00997462">
        <w:t xml:space="preserve"> the drugs</w:t>
      </w:r>
      <w:r>
        <w:t>’</w:t>
      </w:r>
      <w:r w:rsidRPr="00997462">
        <w:t xml:space="preserve"> effectiveness</w:t>
      </w:r>
      <w:r>
        <w:t xml:space="preserve"> in executing a person without suffering</w:t>
      </w:r>
      <w:r w:rsidRPr="00997462">
        <w:t>.</w:t>
      </w:r>
      <w:r>
        <w:rPr>
          <w:rStyle w:val="FootnoteReference"/>
        </w:rPr>
        <w:footnoteReference w:id="170"/>
      </w:r>
      <w:r>
        <w:t xml:space="preserve">  </w:t>
      </w:r>
    </w:p>
    <w:p w14:paraId="7DA6413D" w14:textId="77777777" w:rsidR="00D413E1" w:rsidRDefault="00D413E1" w:rsidP="00D413E1">
      <w:pPr>
        <w:pStyle w:val="BodyTextFirst5"/>
        <w:numPr>
          <w:ilvl w:val="0"/>
          <w:numId w:val="18"/>
        </w:numPr>
      </w:pPr>
      <w:bookmarkStart w:id="13" w:name="_Ref394045123"/>
      <w:r w:rsidRPr="00431319">
        <w:rPr>
          <w:b/>
        </w:rPr>
        <w:t>The lack of available lethal injection drugs also has led some U.S. states to revert to execution methods that previously have been found to constitute cruel and inhuman treatment or punishment.</w:t>
      </w:r>
      <w:r>
        <w:t xml:space="preserve"> Tennessee enacted a law in May 2014 that will allow the state to execute death row inmates using the electric chair in the event lethal injection drugs are unavailable.</w:t>
      </w:r>
      <w:r>
        <w:rPr>
          <w:rStyle w:val="FootnoteReference"/>
        </w:rPr>
        <w:footnoteReference w:id="171"/>
      </w:r>
      <w:r>
        <w:t xml:space="preserve"> Several states allow inmates to choose the electric chair instead of lethal injection, but Tennessee is the first to mandate use of this method since the Nebraska Supreme Court ended that state’s sole use of electrocution as its execution method in 2008 by ruling it constituted cruel and unusual punishment under the state’s constitution.</w:t>
      </w:r>
      <w:r>
        <w:rPr>
          <w:rStyle w:val="FootnoteReference"/>
        </w:rPr>
        <w:footnoteReference w:id="172"/>
      </w:r>
      <w:bookmarkEnd w:id="13"/>
      <w:r>
        <w:t xml:space="preserve">  </w:t>
      </w:r>
    </w:p>
    <w:p w14:paraId="6E1ADF60" w14:textId="77777777" w:rsidR="00F3460E" w:rsidRDefault="00F3460E" w:rsidP="00F3460E">
      <w:pPr>
        <w:spacing w:after="120"/>
        <w:ind w:firstLine="360"/>
      </w:pPr>
      <w:r w:rsidRPr="00395BF4">
        <w:rPr>
          <w:rFonts w:eastAsia="Calibri"/>
          <w:b/>
          <w:i/>
        </w:rPr>
        <w:t>Recommendations</w:t>
      </w:r>
    </w:p>
    <w:p w14:paraId="17F84E67" w14:textId="77777777" w:rsidR="00F3460E" w:rsidRDefault="00F3460E" w:rsidP="000D0E9B">
      <w:pPr>
        <w:pStyle w:val="BodyTextFirst5"/>
        <w:numPr>
          <w:ilvl w:val="0"/>
          <w:numId w:val="26"/>
        </w:numPr>
      </w:pPr>
      <w:bookmarkStart w:id="14" w:name="_Ref393964443"/>
      <w:r>
        <w:t>The United States and U.S. states should impose a moratorium on the death penalty in light of the risk of causing cruel and inhuman treatment or punishment by lethal injection</w:t>
      </w:r>
      <w:r w:rsidR="00967BFD">
        <w:t>, which, due to the prevalence of racial discrimination in the United States ju</w:t>
      </w:r>
      <w:r w:rsidR="00BA4C34">
        <w:t>stice system,</w:t>
      </w:r>
      <w:r w:rsidR="00967BFD">
        <w:t xml:space="preserve"> disproportionately affects minorities</w:t>
      </w:r>
      <w:r>
        <w:t>.</w:t>
      </w:r>
      <w:bookmarkEnd w:id="14"/>
    </w:p>
    <w:p w14:paraId="2BE487E2" w14:textId="363286BE" w:rsidR="00F3460E" w:rsidRDefault="00F3460E" w:rsidP="000D0E9B">
      <w:pPr>
        <w:pStyle w:val="BodyTextFirst5"/>
        <w:numPr>
          <w:ilvl w:val="0"/>
          <w:numId w:val="26"/>
        </w:numPr>
      </w:pPr>
      <w:r w:rsidRPr="00456CD1">
        <w:t>Federal legislation should be adopted to ensure that lethal injections are carried out: (1) via well-tested procedures that do not subject the executed to unnecessary pain; (2) with full oversight and transparency of the sourcing and administration of the drugs; and (3) using drugs approved by the U</w:t>
      </w:r>
      <w:r w:rsidR="00990651">
        <w:t>.</w:t>
      </w:r>
      <w:r w:rsidRPr="00456CD1">
        <w:t>S</w:t>
      </w:r>
      <w:r w:rsidR="00990651">
        <w:t>.</w:t>
      </w:r>
      <w:r w:rsidRPr="00456CD1">
        <w:t xml:space="preserve"> FDA.</w:t>
      </w:r>
    </w:p>
    <w:p w14:paraId="793DA0FF" w14:textId="4AA47359" w:rsidR="00F3460E" w:rsidRPr="00133F65" w:rsidRDefault="00F3460E" w:rsidP="000D0E9B">
      <w:pPr>
        <w:pStyle w:val="BodyTextFirst5"/>
        <w:numPr>
          <w:ilvl w:val="0"/>
          <w:numId w:val="26"/>
        </w:numPr>
        <w:rPr>
          <w:szCs w:val="24"/>
        </w:rPr>
      </w:pPr>
      <w:r>
        <w:t xml:space="preserve">In full compliance with the decision of the U.S. Court of Appeals for the D.C. Circuit’s decision in </w:t>
      </w:r>
      <w:r w:rsidRPr="00967BFD">
        <w:rPr>
          <w:i/>
        </w:rPr>
        <w:t>Cook et al. v FDA et al.</w:t>
      </w:r>
      <w:r>
        <w:t>,</w:t>
      </w:r>
      <w:r>
        <w:rPr>
          <w:rStyle w:val="FootnoteReference"/>
        </w:rPr>
        <w:footnoteReference w:id="173"/>
      </w:r>
      <w:r>
        <w:t xml:space="preserve"> the FDA should refuse admission to any drug which is found to be in violation of § 21 U.S.C. 381(a).</w:t>
      </w:r>
      <w:r>
        <w:rPr>
          <w:rStyle w:val="FootnoteReference"/>
        </w:rPr>
        <w:footnoteReference w:id="174"/>
      </w:r>
      <w:r w:rsidR="008555F4">
        <w:rPr>
          <w:szCs w:val="24"/>
        </w:rPr>
        <w:t xml:space="preserve"> </w:t>
      </w:r>
    </w:p>
    <w:p w14:paraId="4C5643CF" w14:textId="77777777" w:rsidR="00F3460E" w:rsidRPr="001C4DFE" w:rsidRDefault="00F3460E" w:rsidP="00F3460E">
      <w:pPr>
        <w:pStyle w:val="BodyTextFirst5"/>
        <w:ind w:left="360" w:firstLine="0"/>
        <w:rPr>
          <w:b/>
          <w:i/>
        </w:rPr>
      </w:pPr>
      <w:r w:rsidRPr="001C4DFE">
        <w:rPr>
          <w:b/>
          <w:i/>
        </w:rPr>
        <w:t>Questions</w:t>
      </w:r>
    </w:p>
    <w:p w14:paraId="247428B4" w14:textId="77777777" w:rsidR="00F3460E" w:rsidRDefault="00F3460E" w:rsidP="000D0E9B">
      <w:pPr>
        <w:pStyle w:val="BodyTextFirst5"/>
        <w:numPr>
          <w:ilvl w:val="0"/>
          <w:numId w:val="26"/>
        </w:numPr>
      </w:pPr>
      <w:r>
        <w:t>What steps is the United States taking to provide appropriate transparency and information about states’ lethal injection drug sources with a view to ensuring these drugs do not result in cruel or inhuman treatment or punishment</w:t>
      </w:r>
      <w:r w:rsidR="0090720F">
        <w:t xml:space="preserve"> and ensuring due process for detainees seeking to challenge their imminent execution as violating the prohibition on cruel and unusual punishment</w:t>
      </w:r>
      <w:r>
        <w:t xml:space="preserve">? </w:t>
      </w:r>
    </w:p>
    <w:p w14:paraId="174A4654" w14:textId="77777777" w:rsidR="00F3460E" w:rsidRDefault="00F3460E" w:rsidP="000D0E9B">
      <w:pPr>
        <w:pStyle w:val="BodyTextFirst5"/>
        <w:numPr>
          <w:ilvl w:val="0"/>
          <w:numId w:val="26"/>
        </w:numPr>
      </w:pPr>
      <w:r>
        <w:t>What measures is the United States taking to ensure that state prison authorities do not unlawfully import or transfer drugs for use in lethal injection procedures?</w:t>
      </w:r>
    </w:p>
    <w:p w14:paraId="1778BC31" w14:textId="77777777" w:rsidR="00F3460E" w:rsidRDefault="00F3460E" w:rsidP="000D0E9B">
      <w:pPr>
        <w:pStyle w:val="BodyTextFirst5"/>
        <w:numPr>
          <w:ilvl w:val="0"/>
          <w:numId w:val="26"/>
        </w:numPr>
      </w:pPr>
      <w:r>
        <w:t>What assurances can the United States provide that new lethal injection protocols will not result in cruel or inhuman treatment or punishment?</w:t>
      </w:r>
    </w:p>
    <w:p w14:paraId="0DD855B5" w14:textId="77777777" w:rsidR="00F3460E" w:rsidRDefault="00F3460E" w:rsidP="000D0E9B">
      <w:pPr>
        <w:pStyle w:val="BodyTextFirst5"/>
        <w:numPr>
          <w:ilvl w:val="0"/>
          <w:numId w:val="26"/>
        </w:numPr>
      </w:pPr>
      <w:r>
        <w:t>Will the federal government assist and cooperate with people sentenced to death in their efforts to determine the origins of the drugs that will be used for their lethal injections?</w:t>
      </w:r>
    </w:p>
    <w:p w14:paraId="364697FB" w14:textId="14E02454" w:rsidR="00AE219D" w:rsidRPr="00AE219D" w:rsidRDefault="00AE219D" w:rsidP="00AE219D">
      <w:pPr>
        <w:pStyle w:val="BodyTextFirst5"/>
        <w:numPr>
          <w:ilvl w:val="0"/>
          <w:numId w:val="19"/>
        </w:numPr>
        <w:rPr>
          <w:b/>
        </w:rPr>
      </w:pPr>
      <w:r w:rsidRPr="00AE219D">
        <w:rPr>
          <w:b/>
        </w:rPr>
        <w:t xml:space="preserve">Puerto Ricans, a Hispanic population, are disproportionately subjected to the death penalty by the United States. </w:t>
      </w:r>
    </w:p>
    <w:p w14:paraId="46EE884F" w14:textId="49600E41" w:rsidR="00AE219D" w:rsidRPr="00AE219D" w:rsidRDefault="00AE219D" w:rsidP="00AE219D">
      <w:pPr>
        <w:pStyle w:val="BodyTextFirst5"/>
        <w:numPr>
          <w:ilvl w:val="0"/>
          <w:numId w:val="18"/>
        </w:numPr>
      </w:pPr>
      <w:bookmarkStart w:id="15" w:name="_Ref394045128"/>
      <w:r w:rsidRPr="00AE219D">
        <w:rPr>
          <w:b/>
        </w:rPr>
        <w:t>Puerto Rico is an abolitionist territory.</w:t>
      </w:r>
      <w:r w:rsidRPr="00AE219D">
        <w:t xml:space="preserve"> It abolished the death penalty by statute on April 26, 1929.</w:t>
      </w:r>
      <w:r w:rsidRPr="00AE219D">
        <w:rPr>
          <w:vertAlign w:val="superscript"/>
        </w:rPr>
        <w:footnoteReference w:id="175"/>
      </w:r>
      <w:r w:rsidR="008555F4">
        <w:t xml:space="preserve"> </w:t>
      </w:r>
      <w:r w:rsidR="00990651">
        <w:t>Subsequently, i</w:t>
      </w:r>
      <w:r w:rsidRPr="00AE219D">
        <w:t>n 1952, the Constitution of the Commonwealth of Puerto Rico prohibited the death penalty, stating that the “death penalty shall not exist” and affirming that “the right to life . . . is recognized as a fundamental right of man.”</w:t>
      </w:r>
      <w:r w:rsidRPr="00AE219D">
        <w:rPr>
          <w:vertAlign w:val="superscript"/>
        </w:rPr>
        <w:footnoteReference w:id="176"/>
      </w:r>
      <w:r w:rsidR="008555F4">
        <w:t xml:space="preserve"> </w:t>
      </w:r>
      <w:r w:rsidRPr="00AE219D">
        <w:t>In doing so, Puerto Rico became one of the very first jurisdictions in the world to constitutionally ban</w:t>
      </w:r>
      <w:r w:rsidRPr="00AE219D" w:rsidDel="002B61DE">
        <w:t xml:space="preserve"> </w:t>
      </w:r>
      <w:r w:rsidRPr="00AE219D">
        <w:t>the death penalty.</w:t>
      </w:r>
      <w:r w:rsidRPr="00AE219D">
        <w:rPr>
          <w:vertAlign w:val="superscript"/>
        </w:rPr>
        <w:footnoteReference w:id="177"/>
      </w:r>
      <w:r w:rsidR="008555F4">
        <w:t xml:space="preserve"> </w:t>
      </w:r>
      <w:r w:rsidRPr="00AE219D">
        <w:t>The last execution in Puerto Rico took place on September 15, 1927. Puerto Rican opposition to capital punishment goes beyond its statutes. For example, in a survey conducted in 2013 by the largest circulation newspaper in Puerto Rico – at the time of a federal death p</w:t>
      </w:r>
      <w:r w:rsidR="00D87FCE">
        <w:t>enalty trial for 19 homicides—</w:t>
      </w:r>
      <w:r w:rsidRPr="00AE219D">
        <w:t>57% of the respondents were opposed to the death penalty for all cases and only 25% of the population favored it.</w:t>
      </w:r>
      <w:r w:rsidRPr="00AE219D">
        <w:rPr>
          <w:vertAlign w:val="superscript"/>
        </w:rPr>
        <w:footnoteReference w:id="178"/>
      </w:r>
      <w:bookmarkEnd w:id="15"/>
    </w:p>
    <w:p w14:paraId="47F00AC0" w14:textId="5C48067A" w:rsidR="00AE219D" w:rsidRPr="00AE219D" w:rsidRDefault="00AE219D" w:rsidP="00AE219D">
      <w:pPr>
        <w:pStyle w:val="BodyTextFirst5"/>
        <w:numPr>
          <w:ilvl w:val="0"/>
          <w:numId w:val="18"/>
        </w:numPr>
      </w:pPr>
      <w:r w:rsidRPr="00AE219D">
        <w:rPr>
          <w:b/>
        </w:rPr>
        <w:t>Despite Puerto Rico’s longstanding constitutional prohibition</w:t>
      </w:r>
      <w:r w:rsidRPr="00AE219D">
        <w:t xml:space="preserve"> </w:t>
      </w:r>
      <w:r w:rsidRPr="00AE219D">
        <w:rPr>
          <w:b/>
        </w:rPr>
        <w:t>and historical opposition to the death penalty, citizens of Puerto Rico are subject to capital punishment for federal crimes prosecuted by the United States Department of Justice</w:t>
      </w:r>
      <w:r w:rsidRPr="00AE219D">
        <w:t>.</w:t>
      </w:r>
      <w:r w:rsidR="008555F4">
        <w:t xml:space="preserve"> </w:t>
      </w:r>
      <w:r w:rsidRPr="00AE219D">
        <w:t xml:space="preserve">The 1898 Treaty of Paris subordinated Puerto Rico to the jurisdiction of the United States. </w:t>
      </w:r>
      <w:r w:rsidR="00990651">
        <w:t>N</w:t>
      </w:r>
      <w:r w:rsidRPr="00AE219D">
        <w:t>otwithstanding its constitutional prohibition, federal prosecutors are permitted to seek the death penalty for certain crimes committed in Puerto Rico.</w:t>
      </w:r>
      <w:r w:rsidRPr="00AE219D">
        <w:rPr>
          <w:vertAlign w:val="superscript"/>
        </w:rPr>
        <w:footnoteReference w:id="179"/>
      </w:r>
      <w:r w:rsidRPr="00AE219D">
        <w:t xml:space="preserve"> In 1994, the Federal Death Penalty Act was enacted and imposed the death penalty for 60 offenses.</w:t>
      </w:r>
      <w:r w:rsidRPr="00AE219D">
        <w:rPr>
          <w:vertAlign w:val="superscript"/>
        </w:rPr>
        <w:footnoteReference w:id="180"/>
      </w:r>
      <w:r w:rsidR="008555F4">
        <w:t xml:space="preserve"> </w:t>
      </w:r>
      <w:r w:rsidRPr="00AE219D">
        <w:t>The federal crimes carrying the threat of capital punishment include murder during a carjacking, during a bank robbery, and while using an illegal weapon, along with various drug-related crimes and espionage or treason.</w:t>
      </w:r>
      <w:r w:rsidRPr="00AE219D">
        <w:rPr>
          <w:vertAlign w:val="superscript"/>
        </w:rPr>
        <w:footnoteReference w:id="181"/>
      </w:r>
    </w:p>
    <w:p w14:paraId="5ED94F99" w14:textId="401ED5D5" w:rsidR="00AE219D" w:rsidRPr="00AE219D" w:rsidRDefault="00AE219D" w:rsidP="00AE219D">
      <w:pPr>
        <w:pStyle w:val="BodyTextFirst5"/>
        <w:numPr>
          <w:ilvl w:val="0"/>
          <w:numId w:val="18"/>
        </w:numPr>
      </w:pPr>
      <w:r w:rsidRPr="00AE219D">
        <w:rPr>
          <w:b/>
        </w:rPr>
        <w:t>Federal prosecutors aggressively seek the death penalty in Puerto Rico at a much higher rate than other states.</w:t>
      </w:r>
      <w:r w:rsidRPr="00AE219D">
        <w:t xml:space="preserve"> The United States District Court for the District of Puerto Rico is one of the most active in certifying death penalty cases, although to d</w:t>
      </w:r>
      <w:r w:rsidR="0021172F">
        <w:t xml:space="preserve">ate no death sentences have </w:t>
      </w:r>
      <w:r w:rsidRPr="00AE219D">
        <w:t>been imposed.</w:t>
      </w:r>
      <w:r w:rsidR="008555F4">
        <w:t xml:space="preserve"> </w:t>
      </w:r>
      <w:r w:rsidRPr="00AE219D">
        <w:t>Between 1998 and September 2012, the Department of Justice authorized the certification of 493 death penalty cases throughout the United States.</w:t>
      </w:r>
      <w:r w:rsidRPr="00AE219D">
        <w:rPr>
          <w:vertAlign w:val="superscript"/>
        </w:rPr>
        <w:footnoteReference w:id="182"/>
      </w:r>
      <w:r w:rsidRPr="00AE219D">
        <w:t xml:space="preserve"> Out of these, 25 cases were in the District of Puerto Rico (or about 5.1% of total death penalty cases),</w:t>
      </w:r>
      <w:r w:rsidRPr="00AE219D">
        <w:rPr>
          <w:vertAlign w:val="superscript"/>
        </w:rPr>
        <w:footnoteReference w:id="183"/>
      </w:r>
      <w:r w:rsidRPr="00AE219D">
        <w:t xml:space="preserve"> notwithstanding the fact that Puerto Rico accounts for only one percent of the </w:t>
      </w:r>
      <w:r w:rsidR="0021172F">
        <w:t>U.S.</w:t>
      </w:r>
      <w:r w:rsidRPr="00AE219D">
        <w:t xml:space="preserve"> population.</w:t>
      </w:r>
      <w:r w:rsidRPr="00AE219D">
        <w:rPr>
          <w:vertAlign w:val="superscript"/>
        </w:rPr>
        <w:footnoteReference w:id="184"/>
      </w:r>
      <w:r w:rsidRPr="00AE219D">
        <w:t xml:space="preserve"> Further, </w:t>
      </w:r>
      <w:r w:rsidR="0021172F">
        <w:t xml:space="preserve">in the last four years </w:t>
      </w:r>
      <w:r w:rsidRPr="00AE219D">
        <w:t>federal prosecutors in Puerto Rico filed 38 new death penalty-eligible cases, increasing the average to 5.75 cases per year.</w:t>
      </w:r>
      <w:r w:rsidRPr="00AE219D">
        <w:rPr>
          <w:vertAlign w:val="superscript"/>
        </w:rPr>
        <w:footnoteReference w:id="185"/>
      </w:r>
      <w:r w:rsidRPr="00AE219D">
        <w:t xml:space="preserve"> Only six states had higher rates of death penalty case certification, and all have significantly higher populations.</w:t>
      </w:r>
      <w:r w:rsidRPr="00AE219D">
        <w:rPr>
          <w:vertAlign w:val="superscript"/>
        </w:rPr>
        <w:footnoteReference w:id="186"/>
      </w:r>
      <w:r w:rsidR="008555F4">
        <w:t xml:space="preserve"> </w:t>
      </w:r>
      <w:r w:rsidRPr="00AE219D">
        <w:t>For example, Texas had approximately 30 federal death penalty certifications as of September 2012,</w:t>
      </w:r>
      <w:r w:rsidRPr="00AE219D">
        <w:rPr>
          <w:vertAlign w:val="superscript"/>
        </w:rPr>
        <w:footnoteReference w:id="187"/>
      </w:r>
      <w:r w:rsidRPr="00AE219D">
        <w:t xml:space="preserve"> but it has a total population of 26 million, nearly nine times that of Puerto Rico</w:t>
      </w:r>
      <w:r w:rsidR="0021172F">
        <w:t>.</w:t>
      </w:r>
      <w:r w:rsidRPr="00AE219D">
        <w:rPr>
          <w:vertAlign w:val="superscript"/>
        </w:rPr>
        <w:footnoteReference w:id="188"/>
      </w:r>
      <w:r w:rsidR="008555F4">
        <w:t xml:space="preserve"> </w:t>
      </w:r>
      <w:r w:rsidR="0021172F">
        <w:t xml:space="preserve">Other states show far lower rates or even nonexistent death penalty certifications. </w:t>
      </w:r>
      <w:r w:rsidRPr="00AE219D">
        <w:t>Minnesota, despite having more than 1.5 million residents than Puerto Rico,</w:t>
      </w:r>
      <w:r w:rsidRPr="00AE219D">
        <w:rPr>
          <w:vertAlign w:val="superscript"/>
        </w:rPr>
        <w:footnoteReference w:id="189"/>
      </w:r>
      <w:r w:rsidRPr="00AE219D">
        <w:t xml:space="preserve"> had seven capital crimes between 1995 and 2000</w:t>
      </w:r>
      <w:r w:rsidR="0021172F">
        <w:t>,</w:t>
      </w:r>
      <w:r w:rsidRPr="00AE219D">
        <w:t xml:space="preserve"> but the </w:t>
      </w:r>
      <w:r w:rsidR="0021172F">
        <w:t xml:space="preserve">U.S. </w:t>
      </w:r>
      <w:r w:rsidRPr="00AE219D">
        <w:t>Attorney for the District of Minnesota did not recommend seeking the death penalty in any of those seven cases.</w:t>
      </w:r>
      <w:r w:rsidRPr="00AE219D">
        <w:rPr>
          <w:vertAlign w:val="superscript"/>
        </w:rPr>
        <w:footnoteReference w:id="190"/>
      </w:r>
      <w:r w:rsidR="008555F4">
        <w:t xml:space="preserve"> </w:t>
      </w:r>
      <w:r w:rsidR="0021172F">
        <w:t>T</w:t>
      </w:r>
      <w:r w:rsidRPr="00AE219D">
        <w:t xml:space="preserve">he likelihood that the death penalty is </w:t>
      </w:r>
      <w:r w:rsidR="0021172F">
        <w:t xml:space="preserve">sought </w:t>
      </w:r>
      <w:r w:rsidRPr="00AE219D">
        <w:t xml:space="preserve">in Puerto Rico is three and a half times greater than in the </w:t>
      </w:r>
      <w:r w:rsidR="0021172F">
        <w:t xml:space="preserve">rest of the </w:t>
      </w:r>
      <w:r w:rsidRPr="00AE219D">
        <w:t>United States.</w:t>
      </w:r>
      <w:bookmarkStart w:id="16" w:name="_Ref394062310"/>
      <w:r w:rsidRPr="00AE219D">
        <w:rPr>
          <w:vertAlign w:val="superscript"/>
        </w:rPr>
        <w:footnoteReference w:id="191"/>
      </w:r>
      <w:bookmarkEnd w:id="16"/>
    </w:p>
    <w:p w14:paraId="51CF9758" w14:textId="59EC78C0" w:rsidR="00AE219D" w:rsidRPr="00AE219D" w:rsidRDefault="00AE219D" w:rsidP="00AE219D">
      <w:pPr>
        <w:pStyle w:val="BodyTextFirst5"/>
        <w:numPr>
          <w:ilvl w:val="0"/>
          <w:numId w:val="18"/>
        </w:numPr>
      </w:pPr>
      <w:r w:rsidRPr="00AE219D">
        <w:rPr>
          <w:b/>
        </w:rPr>
        <w:t>Similar to the rest of the United States,</w:t>
      </w:r>
      <w:r w:rsidRPr="00AE219D">
        <w:rPr>
          <w:b/>
          <w:vertAlign w:val="superscript"/>
        </w:rPr>
        <w:footnoteReference w:id="192"/>
      </w:r>
      <w:r w:rsidRPr="00AE219D">
        <w:rPr>
          <w:b/>
        </w:rPr>
        <w:t xml:space="preserve"> ethnic minorities constitute a disproportionate percentage of defendants being prosecuted with the death penalty in Puerto Rico.</w:t>
      </w:r>
      <w:r w:rsidRPr="00AE219D">
        <w:t xml:space="preserve"> The certification of death penalty cases in Puerto Rico is significantly higher if the perpetrator is from an ethnic minority.</w:t>
      </w:r>
      <w:r w:rsidR="008555F4">
        <w:t xml:space="preserve"> </w:t>
      </w:r>
      <w:r w:rsidRPr="00AE219D">
        <w:t>Of the 25 death penalty prosecutions in Puerto Rico</w:t>
      </w:r>
      <w:r w:rsidR="0021172F">
        <w:t xml:space="preserve"> between 1998 and 2012</w:t>
      </w:r>
      <w:r w:rsidRPr="00AE219D">
        <w:t>, all defendants were from ethnic minorities</w:t>
      </w:r>
      <w:r w:rsidR="0021172F">
        <w:t>—mainly Hispanic</w:t>
      </w:r>
      <w:r w:rsidRPr="00AE219D">
        <w:t>.</w:t>
      </w:r>
      <w:r w:rsidRPr="00AE219D">
        <w:rPr>
          <w:vertAlign w:val="superscript"/>
        </w:rPr>
        <w:footnoteReference w:id="193"/>
      </w:r>
      <w:r w:rsidRPr="00AE219D">
        <w:t xml:space="preserve"> </w:t>
      </w:r>
    </w:p>
    <w:tbl>
      <w:tblPr>
        <w:tblStyle w:val="TableGrid"/>
        <w:tblW w:w="0" w:type="auto"/>
        <w:tblInd w:w="1368" w:type="dxa"/>
        <w:tblLook w:val="04A0" w:firstRow="1" w:lastRow="0" w:firstColumn="1" w:lastColumn="0" w:noHBand="0" w:noVBand="1"/>
      </w:tblPr>
      <w:tblGrid>
        <w:gridCol w:w="4500"/>
        <w:gridCol w:w="2160"/>
      </w:tblGrid>
      <w:tr w:rsidR="00AE219D" w:rsidRPr="00AE219D" w14:paraId="76F3EDF9" w14:textId="77777777" w:rsidTr="00AE219D">
        <w:trPr>
          <w:tblHeader/>
        </w:trPr>
        <w:tc>
          <w:tcPr>
            <w:tcW w:w="4500" w:type="dxa"/>
            <w:shd w:val="clear" w:color="auto" w:fill="BFBFBF" w:themeFill="background1" w:themeFillShade="BF"/>
          </w:tcPr>
          <w:p w14:paraId="23EDE0FD" w14:textId="77777777" w:rsidR="00AE219D" w:rsidRPr="00AE219D" w:rsidRDefault="00AE219D" w:rsidP="0021172F">
            <w:pPr>
              <w:pStyle w:val="BodyTextFirst5"/>
              <w:ind w:firstLine="0"/>
              <w:rPr>
                <w:b/>
              </w:rPr>
            </w:pPr>
            <w:r w:rsidRPr="00AE219D">
              <w:rPr>
                <w:b/>
              </w:rPr>
              <w:t>Name</w:t>
            </w:r>
          </w:p>
        </w:tc>
        <w:tc>
          <w:tcPr>
            <w:tcW w:w="2160" w:type="dxa"/>
            <w:shd w:val="clear" w:color="auto" w:fill="BFBFBF" w:themeFill="background1" w:themeFillShade="BF"/>
          </w:tcPr>
          <w:p w14:paraId="77DD1177" w14:textId="0CE48286" w:rsidR="00AE219D" w:rsidRPr="00AE219D" w:rsidRDefault="0021172F" w:rsidP="0021172F">
            <w:pPr>
              <w:pStyle w:val="BodyTextFirst5"/>
              <w:ind w:firstLine="0"/>
              <w:rPr>
                <w:b/>
              </w:rPr>
            </w:pPr>
            <w:r>
              <w:rPr>
                <w:b/>
              </w:rPr>
              <w:t xml:space="preserve">Race / </w:t>
            </w:r>
            <w:r w:rsidR="00AE219D" w:rsidRPr="00AE219D">
              <w:rPr>
                <w:b/>
              </w:rPr>
              <w:t>Ethnic Group</w:t>
            </w:r>
          </w:p>
        </w:tc>
      </w:tr>
      <w:tr w:rsidR="00AE219D" w:rsidRPr="00AE219D" w14:paraId="58832C10" w14:textId="77777777" w:rsidTr="00AE219D">
        <w:tc>
          <w:tcPr>
            <w:tcW w:w="4500" w:type="dxa"/>
          </w:tcPr>
          <w:p w14:paraId="06FD7175" w14:textId="77777777" w:rsidR="00AE219D" w:rsidRPr="00AE219D" w:rsidRDefault="00AE219D" w:rsidP="0021172F">
            <w:pPr>
              <w:pStyle w:val="BodyTextFirst5"/>
              <w:ind w:firstLine="0"/>
            </w:pPr>
            <w:r w:rsidRPr="00AE219D">
              <w:t>Martinez, Ian Rosario</w:t>
            </w:r>
          </w:p>
        </w:tc>
        <w:tc>
          <w:tcPr>
            <w:tcW w:w="2160" w:type="dxa"/>
          </w:tcPr>
          <w:p w14:paraId="43F63CB1" w14:textId="77777777" w:rsidR="00AE219D" w:rsidRPr="00AE219D" w:rsidRDefault="00AE219D" w:rsidP="0021172F">
            <w:pPr>
              <w:pStyle w:val="BodyTextFirst5"/>
              <w:ind w:firstLine="0"/>
              <w:rPr>
                <w:i/>
              </w:rPr>
            </w:pPr>
            <w:r w:rsidRPr="00AE219D">
              <w:rPr>
                <w:i/>
              </w:rPr>
              <w:t>Hispanic</w:t>
            </w:r>
          </w:p>
        </w:tc>
      </w:tr>
      <w:tr w:rsidR="00AE219D" w:rsidRPr="00AE219D" w14:paraId="1998E81A" w14:textId="77777777" w:rsidTr="00AE219D">
        <w:tc>
          <w:tcPr>
            <w:tcW w:w="4500" w:type="dxa"/>
          </w:tcPr>
          <w:p w14:paraId="3B3E52E1" w14:textId="77777777" w:rsidR="00AE219D" w:rsidRPr="00AE219D" w:rsidRDefault="00AE219D" w:rsidP="0021172F">
            <w:pPr>
              <w:pStyle w:val="BodyTextFirst5"/>
              <w:ind w:firstLine="0"/>
            </w:pPr>
            <w:r w:rsidRPr="00AE219D">
              <w:t>Colon-Miranda, Andres</w:t>
            </w:r>
          </w:p>
        </w:tc>
        <w:tc>
          <w:tcPr>
            <w:tcW w:w="2160" w:type="dxa"/>
          </w:tcPr>
          <w:p w14:paraId="60FE5F3F" w14:textId="77777777" w:rsidR="00AE219D" w:rsidRPr="00AE219D" w:rsidRDefault="00AE219D" w:rsidP="0021172F">
            <w:pPr>
              <w:pStyle w:val="BodyTextFirst5"/>
              <w:ind w:firstLine="0"/>
              <w:rPr>
                <w:i/>
              </w:rPr>
            </w:pPr>
            <w:r w:rsidRPr="00AE219D">
              <w:rPr>
                <w:i/>
              </w:rPr>
              <w:t>Hispanic</w:t>
            </w:r>
          </w:p>
        </w:tc>
      </w:tr>
      <w:tr w:rsidR="00AE219D" w:rsidRPr="00AE219D" w14:paraId="081ED79C" w14:textId="77777777" w:rsidTr="00AE219D">
        <w:tc>
          <w:tcPr>
            <w:tcW w:w="4500" w:type="dxa"/>
          </w:tcPr>
          <w:p w14:paraId="1A0CFCB9" w14:textId="77777777" w:rsidR="00AE219D" w:rsidRPr="00AE219D" w:rsidRDefault="00AE219D" w:rsidP="0021172F">
            <w:pPr>
              <w:pStyle w:val="BodyTextFirst5"/>
              <w:ind w:firstLine="0"/>
            </w:pPr>
            <w:r w:rsidRPr="00AE219D">
              <w:t>Martinez-Velez, David Samuel</w:t>
            </w:r>
          </w:p>
        </w:tc>
        <w:tc>
          <w:tcPr>
            <w:tcW w:w="2160" w:type="dxa"/>
          </w:tcPr>
          <w:p w14:paraId="7F47FF6C" w14:textId="77777777" w:rsidR="00AE219D" w:rsidRPr="00AE219D" w:rsidRDefault="00AE219D" w:rsidP="0021172F">
            <w:pPr>
              <w:pStyle w:val="BodyTextFirst5"/>
              <w:ind w:firstLine="0"/>
              <w:rPr>
                <w:i/>
              </w:rPr>
            </w:pPr>
            <w:r w:rsidRPr="00AE219D">
              <w:rPr>
                <w:i/>
              </w:rPr>
              <w:t>Hispanic</w:t>
            </w:r>
          </w:p>
        </w:tc>
      </w:tr>
      <w:tr w:rsidR="00AE219D" w:rsidRPr="00AE219D" w14:paraId="291075C8" w14:textId="77777777" w:rsidTr="00AE219D">
        <w:tc>
          <w:tcPr>
            <w:tcW w:w="4500" w:type="dxa"/>
          </w:tcPr>
          <w:p w14:paraId="22423B70" w14:textId="77777777" w:rsidR="00AE219D" w:rsidRPr="00AE219D" w:rsidRDefault="00AE219D" w:rsidP="0021172F">
            <w:pPr>
              <w:pStyle w:val="BodyTextFirst5"/>
              <w:ind w:firstLine="0"/>
            </w:pPr>
            <w:r w:rsidRPr="00AE219D">
              <w:t>Rosario-Rodriguez, Edwin</w:t>
            </w:r>
          </w:p>
        </w:tc>
        <w:tc>
          <w:tcPr>
            <w:tcW w:w="2160" w:type="dxa"/>
          </w:tcPr>
          <w:p w14:paraId="61EF0144" w14:textId="77777777" w:rsidR="00AE219D" w:rsidRPr="00AE219D" w:rsidRDefault="00AE219D" w:rsidP="0021172F">
            <w:pPr>
              <w:pStyle w:val="BodyTextFirst5"/>
              <w:ind w:firstLine="0"/>
              <w:rPr>
                <w:i/>
              </w:rPr>
            </w:pPr>
            <w:r w:rsidRPr="00AE219D">
              <w:rPr>
                <w:i/>
              </w:rPr>
              <w:t>Hispanic</w:t>
            </w:r>
          </w:p>
        </w:tc>
      </w:tr>
      <w:tr w:rsidR="00AE219D" w:rsidRPr="00AE219D" w14:paraId="42985FEA" w14:textId="77777777" w:rsidTr="00AE219D">
        <w:tc>
          <w:tcPr>
            <w:tcW w:w="4500" w:type="dxa"/>
          </w:tcPr>
          <w:p w14:paraId="77833898" w14:textId="77777777" w:rsidR="00AE219D" w:rsidRPr="00AE219D" w:rsidRDefault="00AE219D" w:rsidP="0021172F">
            <w:pPr>
              <w:pStyle w:val="BodyTextFirst5"/>
              <w:ind w:firstLine="0"/>
            </w:pPr>
            <w:r w:rsidRPr="00AE219D">
              <w:t>Valle-Lassalle, Victor Manuel</w:t>
            </w:r>
          </w:p>
        </w:tc>
        <w:tc>
          <w:tcPr>
            <w:tcW w:w="2160" w:type="dxa"/>
          </w:tcPr>
          <w:p w14:paraId="001F0F3E" w14:textId="77777777" w:rsidR="00AE219D" w:rsidRPr="00AE219D" w:rsidRDefault="00AE219D" w:rsidP="0021172F">
            <w:pPr>
              <w:pStyle w:val="BodyTextFirst5"/>
              <w:ind w:firstLine="0"/>
              <w:rPr>
                <w:i/>
              </w:rPr>
            </w:pPr>
            <w:r w:rsidRPr="00AE219D">
              <w:rPr>
                <w:i/>
              </w:rPr>
              <w:t>Hispanic</w:t>
            </w:r>
          </w:p>
        </w:tc>
      </w:tr>
      <w:tr w:rsidR="00AE219D" w:rsidRPr="00AE219D" w14:paraId="709FE989" w14:textId="77777777" w:rsidTr="00AE219D">
        <w:tc>
          <w:tcPr>
            <w:tcW w:w="4500" w:type="dxa"/>
          </w:tcPr>
          <w:p w14:paraId="6AA47C28" w14:textId="77777777" w:rsidR="00AE219D" w:rsidRPr="00AE219D" w:rsidRDefault="00AE219D" w:rsidP="0021172F">
            <w:pPr>
              <w:pStyle w:val="BodyTextFirst5"/>
              <w:ind w:firstLine="0"/>
            </w:pPr>
            <w:r w:rsidRPr="00AE219D">
              <w:t>Marrero, Jose Rodriguez</w:t>
            </w:r>
          </w:p>
        </w:tc>
        <w:tc>
          <w:tcPr>
            <w:tcW w:w="2160" w:type="dxa"/>
          </w:tcPr>
          <w:p w14:paraId="433C0530" w14:textId="77777777" w:rsidR="00AE219D" w:rsidRPr="00AE219D" w:rsidRDefault="00AE219D" w:rsidP="0021172F">
            <w:pPr>
              <w:pStyle w:val="BodyTextFirst5"/>
              <w:ind w:firstLine="0"/>
              <w:rPr>
                <w:i/>
              </w:rPr>
            </w:pPr>
            <w:r w:rsidRPr="00AE219D">
              <w:rPr>
                <w:i/>
              </w:rPr>
              <w:t>Hispanic</w:t>
            </w:r>
          </w:p>
        </w:tc>
      </w:tr>
      <w:tr w:rsidR="00AE219D" w:rsidRPr="00AE219D" w14:paraId="17AF54C0" w14:textId="77777777" w:rsidTr="00AE219D">
        <w:tc>
          <w:tcPr>
            <w:tcW w:w="4500" w:type="dxa"/>
          </w:tcPr>
          <w:p w14:paraId="41CF2A93" w14:textId="77777777" w:rsidR="00AE219D" w:rsidRPr="00AE219D" w:rsidRDefault="00AE219D" w:rsidP="0021172F">
            <w:pPr>
              <w:pStyle w:val="BodyTextFirst5"/>
              <w:ind w:firstLine="0"/>
            </w:pPr>
            <w:r w:rsidRPr="00AE219D">
              <w:t xml:space="preserve">Gomez, </w:t>
            </w:r>
            <w:proofErr w:type="spellStart"/>
            <w:r w:rsidRPr="00AE219D">
              <w:t>Edsel</w:t>
            </w:r>
            <w:proofErr w:type="spellEnd"/>
            <w:r w:rsidRPr="00AE219D">
              <w:t xml:space="preserve"> Torres</w:t>
            </w:r>
          </w:p>
        </w:tc>
        <w:tc>
          <w:tcPr>
            <w:tcW w:w="2160" w:type="dxa"/>
          </w:tcPr>
          <w:p w14:paraId="43A12258" w14:textId="77777777" w:rsidR="00AE219D" w:rsidRPr="00AE219D" w:rsidRDefault="00AE219D" w:rsidP="0021172F">
            <w:pPr>
              <w:pStyle w:val="BodyTextFirst5"/>
              <w:ind w:firstLine="0"/>
              <w:rPr>
                <w:i/>
              </w:rPr>
            </w:pPr>
            <w:r w:rsidRPr="00AE219D">
              <w:rPr>
                <w:i/>
              </w:rPr>
              <w:t>Hispanic</w:t>
            </w:r>
          </w:p>
        </w:tc>
      </w:tr>
      <w:tr w:rsidR="00AE219D" w:rsidRPr="00AE219D" w14:paraId="3345EDE3" w14:textId="77777777" w:rsidTr="00AE219D">
        <w:tc>
          <w:tcPr>
            <w:tcW w:w="4500" w:type="dxa"/>
          </w:tcPr>
          <w:p w14:paraId="3C5307DE" w14:textId="77777777" w:rsidR="00AE219D" w:rsidRPr="00AE219D" w:rsidRDefault="00AE219D" w:rsidP="0021172F">
            <w:pPr>
              <w:pStyle w:val="BodyTextFirst5"/>
              <w:ind w:firstLine="0"/>
            </w:pPr>
            <w:r w:rsidRPr="00AE219D">
              <w:t>Pena-Gonzalez</w:t>
            </w:r>
          </w:p>
        </w:tc>
        <w:tc>
          <w:tcPr>
            <w:tcW w:w="2160" w:type="dxa"/>
          </w:tcPr>
          <w:p w14:paraId="58619960" w14:textId="77777777" w:rsidR="00AE219D" w:rsidRPr="00AE219D" w:rsidRDefault="00AE219D" w:rsidP="0021172F">
            <w:pPr>
              <w:pStyle w:val="BodyTextFirst5"/>
              <w:ind w:firstLine="0"/>
              <w:rPr>
                <w:i/>
              </w:rPr>
            </w:pPr>
            <w:r w:rsidRPr="00AE219D">
              <w:rPr>
                <w:i/>
              </w:rPr>
              <w:t>Hispanic</w:t>
            </w:r>
          </w:p>
        </w:tc>
      </w:tr>
      <w:tr w:rsidR="00AE219D" w:rsidRPr="00AE219D" w14:paraId="284C186B" w14:textId="77777777" w:rsidTr="00AE219D">
        <w:tc>
          <w:tcPr>
            <w:tcW w:w="4500" w:type="dxa"/>
          </w:tcPr>
          <w:p w14:paraId="1CC3FA87" w14:textId="77777777" w:rsidR="00AE219D" w:rsidRPr="00AE219D" w:rsidRDefault="00AE219D" w:rsidP="0021172F">
            <w:pPr>
              <w:pStyle w:val="BodyTextFirst5"/>
              <w:ind w:firstLine="0"/>
            </w:pPr>
            <w:r w:rsidRPr="00AE219D">
              <w:t>Nieves-Alonso, Heriberto</w:t>
            </w:r>
          </w:p>
        </w:tc>
        <w:tc>
          <w:tcPr>
            <w:tcW w:w="2160" w:type="dxa"/>
          </w:tcPr>
          <w:p w14:paraId="256ED773" w14:textId="77777777" w:rsidR="00AE219D" w:rsidRPr="00AE219D" w:rsidRDefault="00AE219D" w:rsidP="0021172F">
            <w:pPr>
              <w:pStyle w:val="BodyTextFirst5"/>
              <w:ind w:firstLine="0"/>
              <w:rPr>
                <w:i/>
              </w:rPr>
            </w:pPr>
            <w:r w:rsidRPr="00AE219D">
              <w:rPr>
                <w:i/>
              </w:rPr>
              <w:t>Hispanic</w:t>
            </w:r>
          </w:p>
        </w:tc>
      </w:tr>
      <w:tr w:rsidR="00AE219D" w:rsidRPr="00AE219D" w14:paraId="76966D31" w14:textId="77777777" w:rsidTr="00AE219D">
        <w:tc>
          <w:tcPr>
            <w:tcW w:w="4500" w:type="dxa"/>
          </w:tcPr>
          <w:p w14:paraId="0A5178D9" w14:textId="77777777" w:rsidR="00AE219D" w:rsidRPr="00AE219D" w:rsidRDefault="00AE219D" w:rsidP="0021172F">
            <w:pPr>
              <w:pStyle w:val="BodyTextFirst5"/>
              <w:ind w:firstLine="0"/>
            </w:pPr>
            <w:r w:rsidRPr="00AE219D">
              <w:t xml:space="preserve">Perez, Luis </w:t>
            </w:r>
            <w:proofErr w:type="spellStart"/>
            <w:r w:rsidRPr="00AE219D">
              <w:t>Gines</w:t>
            </w:r>
            <w:proofErr w:type="spellEnd"/>
          </w:p>
        </w:tc>
        <w:tc>
          <w:tcPr>
            <w:tcW w:w="2160" w:type="dxa"/>
          </w:tcPr>
          <w:p w14:paraId="7295C43E" w14:textId="77777777" w:rsidR="00AE219D" w:rsidRPr="00AE219D" w:rsidRDefault="00AE219D" w:rsidP="0021172F">
            <w:pPr>
              <w:pStyle w:val="BodyTextFirst5"/>
              <w:ind w:firstLine="0"/>
              <w:rPr>
                <w:i/>
              </w:rPr>
            </w:pPr>
            <w:r w:rsidRPr="00AE219D">
              <w:rPr>
                <w:i/>
              </w:rPr>
              <w:t>Hispanic</w:t>
            </w:r>
          </w:p>
        </w:tc>
      </w:tr>
      <w:tr w:rsidR="00AE219D" w:rsidRPr="00AE219D" w14:paraId="4FF4FF8C" w14:textId="77777777" w:rsidTr="00AE219D">
        <w:tc>
          <w:tcPr>
            <w:tcW w:w="4500" w:type="dxa"/>
          </w:tcPr>
          <w:p w14:paraId="03E7D595" w14:textId="77777777" w:rsidR="00AE219D" w:rsidRPr="00AE219D" w:rsidRDefault="00AE219D" w:rsidP="0021172F">
            <w:pPr>
              <w:pStyle w:val="BodyTextFirst5"/>
              <w:ind w:firstLine="0"/>
            </w:pPr>
            <w:r w:rsidRPr="00AE219D">
              <w:t>Perez, Ricardo Melendez</w:t>
            </w:r>
          </w:p>
        </w:tc>
        <w:tc>
          <w:tcPr>
            <w:tcW w:w="2160" w:type="dxa"/>
          </w:tcPr>
          <w:p w14:paraId="6FF97471" w14:textId="77777777" w:rsidR="00AE219D" w:rsidRPr="00AE219D" w:rsidRDefault="00AE219D" w:rsidP="0021172F">
            <w:pPr>
              <w:pStyle w:val="BodyTextFirst5"/>
              <w:ind w:firstLine="0"/>
              <w:rPr>
                <w:i/>
              </w:rPr>
            </w:pPr>
            <w:r w:rsidRPr="00AE219D">
              <w:rPr>
                <w:i/>
              </w:rPr>
              <w:t>Hispanic</w:t>
            </w:r>
          </w:p>
        </w:tc>
      </w:tr>
      <w:tr w:rsidR="00AE219D" w:rsidRPr="00AE219D" w14:paraId="642DFE8A" w14:textId="77777777" w:rsidTr="00AE219D">
        <w:tc>
          <w:tcPr>
            <w:tcW w:w="4500" w:type="dxa"/>
          </w:tcPr>
          <w:p w14:paraId="04FC784D" w14:textId="77777777" w:rsidR="00AE219D" w:rsidRPr="00AE219D" w:rsidRDefault="00AE219D" w:rsidP="0021172F">
            <w:pPr>
              <w:pStyle w:val="BodyTextFirst5"/>
              <w:ind w:firstLine="0"/>
            </w:pPr>
            <w:proofErr w:type="spellStart"/>
            <w:r w:rsidRPr="00AE219D">
              <w:t>Alejando</w:t>
            </w:r>
            <w:proofErr w:type="spellEnd"/>
            <w:r w:rsidRPr="00AE219D">
              <w:t>, Joel Rivera</w:t>
            </w:r>
          </w:p>
        </w:tc>
        <w:tc>
          <w:tcPr>
            <w:tcW w:w="2160" w:type="dxa"/>
          </w:tcPr>
          <w:p w14:paraId="649FDEAA" w14:textId="77777777" w:rsidR="00AE219D" w:rsidRPr="00AE219D" w:rsidRDefault="00AE219D" w:rsidP="0021172F">
            <w:pPr>
              <w:pStyle w:val="BodyTextFirst5"/>
              <w:ind w:firstLine="0"/>
              <w:rPr>
                <w:i/>
              </w:rPr>
            </w:pPr>
            <w:r w:rsidRPr="00AE219D">
              <w:rPr>
                <w:i/>
              </w:rPr>
              <w:t>Hispanic</w:t>
            </w:r>
          </w:p>
        </w:tc>
      </w:tr>
      <w:tr w:rsidR="00AE219D" w:rsidRPr="00AE219D" w14:paraId="74DA50F8" w14:textId="77777777" w:rsidTr="00AE219D">
        <w:tc>
          <w:tcPr>
            <w:tcW w:w="4500" w:type="dxa"/>
          </w:tcPr>
          <w:p w14:paraId="538AEBB8" w14:textId="77777777" w:rsidR="00AE219D" w:rsidRPr="00AE219D" w:rsidRDefault="00AE219D" w:rsidP="0021172F">
            <w:pPr>
              <w:pStyle w:val="BodyTextFirst5"/>
              <w:ind w:firstLine="0"/>
            </w:pPr>
            <w:r w:rsidRPr="00AE219D">
              <w:t>Martinez, Hector Acosta</w:t>
            </w:r>
          </w:p>
        </w:tc>
        <w:tc>
          <w:tcPr>
            <w:tcW w:w="2160" w:type="dxa"/>
          </w:tcPr>
          <w:p w14:paraId="1381C7CA" w14:textId="77777777" w:rsidR="00AE219D" w:rsidRPr="00AE219D" w:rsidRDefault="00AE219D" w:rsidP="0021172F">
            <w:pPr>
              <w:pStyle w:val="BodyTextFirst5"/>
              <w:ind w:firstLine="0"/>
              <w:rPr>
                <w:i/>
              </w:rPr>
            </w:pPr>
            <w:r w:rsidRPr="00AE219D">
              <w:rPr>
                <w:i/>
              </w:rPr>
              <w:t>Hispanic</w:t>
            </w:r>
          </w:p>
        </w:tc>
      </w:tr>
      <w:tr w:rsidR="00AE219D" w:rsidRPr="00AE219D" w14:paraId="22F62254" w14:textId="77777777" w:rsidTr="00AE219D">
        <w:tc>
          <w:tcPr>
            <w:tcW w:w="4500" w:type="dxa"/>
          </w:tcPr>
          <w:p w14:paraId="766129F5" w14:textId="77777777" w:rsidR="00AE219D" w:rsidRPr="00AE219D" w:rsidRDefault="00AE219D" w:rsidP="0021172F">
            <w:pPr>
              <w:pStyle w:val="BodyTextFirst5"/>
              <w:ind w:firstLine="0"/>
            </w:pPr>
            <w:r w:rsidRPr="00AE219D">
              <w:t>Gomez-</w:t>
            </w:r>
            <w:proofErr w:type="spellStart"/>
            <w:r w:rsidRPr="00AE219D">
              <w:t>Olmeda</w:t>
            </w:r>
            <w:proofErr w:type="spellEnd"/>
            <w:r w:rsidRPr="00AE219D">
              <w:t>, David</w:t>
            </w:r>
          </w:p>
        </w:tc>
        <w:tc>
          <w:tcPr>
            <w:tcW w:w="2160" w:type="dxa"/>
          </w:tcPr>
          <w:p w14:paraId="0893A38E" w14:textId="77777777" w:rsidR="00AE219D" w:rsidRPr="00AE219D" w:rsidRDefault="00AE219D" w:rsidP="0021172F">
            <w:pPr>
              <w:pStyle w:val="BodyTextFirst5"/>
              <w:ind w:firstLine="0"/>
              <w:rPr>
                <w:i/>
              </w:rPr>
            </w:pPr>
            <w:r w:rsidRPr="00AE219D">
              <w:rPr>
                <w:i/>
              </w:rPr>
              <w:t>Hispanic</w:t>
            </w:r>
          </w:p>
        </w:tc>
      </w:tr>
      <w:tr w:rsidR="00AE219D" w:rsidRPr="00AE219D" w14:paraId="2AAEEB55" w14:textId="77777777" w:rsidTr="00AE219D">
        <w:tc>
          <w:tcPr>
            <w:tcW w:w="4500" w:type="dxa"/>
          </w:tcPr>
          <w:p w14:paraId="578FBCA4" w14:textId="77777777" w:rsidR="00AE219D" w:rsidRPr="00AE219D" w:rsidRDefault="00AE219D" w:rsidP="0021172F">
            <w:pPr>
              <w:pStyle w:val="BodyTextFirst5"/>
              <w:ind w:firstLine="0"/>
            </w:pPr>
            <w:proofErr w:type="spellStart"/>
            <w:r w:rsidRPr="00AE219D">
              <w:t>Vlillegas</w:t>
            </w:r>
            <w:proofErr w:type="spellEnd"/>
            <w:r w:rsidRPr="00AE219D">
              <w:t xml:space="preserve">, </w:t>
            </w:r>
            <w:proofErr w:type="spellStart"/>
            <w:r w:rsidRPr="00AE219D">
              <w:t>Hernardo</w:t>
            </w:r>
            <w:proofErr w:type="spellEnd"/>
            <w:r w:rsidRPr="00AE219D">
              <w:t xml:space="preserve"> Medina</w:t>
            </w:r>
          </w:p>
        </w:tc>
        <w:tc>
          <w:tcPr>
            <w:tcW w:w="2160" w:type="dxa"/>
          </w:tcPr>
          <w:p w14:paraId="4044CE66" w14:textId="77777777" w:rsidR="00AE219D" w:rsidRPr="00AE219D" w:rsidRDefault="00AE219D" w:rsidP="0021172F">
            <w:pPr>
              <w:pStyle w:val="BodyTextFirst5"/>
              <w:ind w:firstLine="0"/>
              <w:rPr>
                <w:i/>
              </w:rPr>
            </w:pPr>
            <w:r w:rsidRPr="00AE219D">
              <w:rPr>
                <w:i/>
              </w:rPr>
              <w:t>Hispanic</w:t>
            </w:r>
          </w:p>
        </w:tc>
      </w:tr>
      <w:tr w:rsidR="00AE219D" w:rsidRPr="00AE219D" w14:paraId="69D54B5F" w14:textId="77777777" w:rsidTr="00AE219D">
        <w:tc>
          <w:tcPr>
            <w:tcW w:w="4500" w:type="dxa"/>
          </w:tcPr>
          <w:p w14:paraId="1386F246" w14:textId="77777777" w:rsidR="00AE219D" w:rsidRPr="00AE219D" w:rsidRDefault="00AE219D" w:rsidP="0021172F">
            <w:pPr>
              <w:pStyle w:val="BodyTextFirst5"/>
              <w:ind w:firstLine="0"/>
            </w:pPr>
            <w:r w:rsidRPr="00AE219D">
              <w:t>Roman, Lorenzo Catalan</w:t>
            </w:r>
          </w:p>
        </w:tc>
        <w:tc>
          <w:tcPr>
            <w:tcW w:w="2160" w:type="dxa"/>
          </w:tcPr>
          <w:p w14:paraId="3B092B77" w14:textId="77777777" w:rsidR="00AE219D" w:rsidRPr="00AE219D" w:rsidRDefault="00AE219D" w:rsidP="0021172F">
            <w:pPr>
              <w:pStyle w:val="BodyTextFirst5"/>
              <w:ind w:firstLine="0"/>
              <w:rPr>
                <w:i/>
              </w:rPr>
            </w:pPr>
            <w:r w:rsidRPr="00AE219D">
              <w:rPr>
                <w:i/>
              </w:rPr>
              <w:t>Hispanic</w:t>
            </w:r>
          </w:p>
        </w:tc>
      </w:tr>
      <w:tr w:rsidR="00AE219D" w:rsidRPr="00AE219D" w14:paraId="46708AA7" w14:textId="77777777" w:rsidTr="00AE219D">
        <w:tc>
          <w:tcPr>
            <w:tcW w:w="4500" w:type="dxa"/>
          </w:tcPr>
          <w:p w14:paraId="36B95EDE" w14:textId="77777777" w:rsidR="00AE219D" w:rsidRPr="00AE219D" w:rsidRDefault="00AE219D" w:rsidP="0021172F">
            <w:pPr>
              <w:pStyle w:val="BodyTextFirst5"/>
              <w:ind w:firstLine="0"/>
            </w:pPr>
            <w:r w:rsidRPr="00AE219D">
              <w:t>Ayala-Lopez, Carlos L.</w:t>
            </w:r>
          </w:p>
        </w:tc>
        <w:tc>
          <w:tcPr>
            <w:tcW w:w="2160" w:type="dxa"/>
          </w:tcPr>
          <w:p w14:paraId="00793EF2" w14:textId="77777777" w:rsidR="00AE219D" w:rsidRPr="00AE219D" w:rsidRDefault="00AE219D" w:rsidP="0021172F">
            <w:pPr>
              <w:pStyle w:val="BodyTextFirst5"/>
              <w:ind w:firstLine="0"/>
              <w:rPr>
                <w:i/>
              </w:rPr>
            </w:pPr>
            <w:r w:rsidRPr="00AE219D">
              <w:rPr>
                <w:i/>
              </w:rPr>
              <w:t>Hispanic</w:t>
            </w:r>
          </w:p>
        </w:tc>
      </w:tr>
      <w:tr w:rsidR="00AE219D" w:rsidRPr="00AE219D" w14:paraId="6B3D0EA7" w14:textId="77777777" w:rsidTr="00AE219D">
        <w:tc>
          <w:tcPr>
            <w:tcW w:w="4500" w:type="dxa"/>
          </w:tcPr>
          <w:p w14:paraId="6684001C" w14:textId="77777777" w:rsidR="00AE219D" w:rsidRPr="00AE219D" w:rsidRDefault="00AE219D" w:rsidP="0021172F">
            <w:pPr>
              <w:pStyle w:val="BodyTextFirst5"/>
              <w:ind w:firstLine="0"/>
            </w:pPr>
            <w:r w:rsidRPr="00AE219D">
              <w:t xml:space="preserve">Case, </w:t>
            </w:r>
            <w:proofErr w:type="spellStart"/>
            <w:r w:rsidRPr="00AE219D">
              <w:t>Lashaun</w:t>
            </w:r>
            <w:proofErr w:type="spellEnd"/>
          </w:p>
        </w:tc>
        <w:tc>
          <w:tcPr>
            <w:tcW w:w="2160" w:type="dxa"/>
          </w:tcPr>
          <w:p w14:paraId="71051680" w14:textId="77777777" w:rsidR="00AE219D" w:rsidRPr="00AE219D" w:rsidRDefault="00AE219D" w:rsidP="0021172F">
            <w:pPr>
              <w:pStyle w:val="BodyTextFirst5"/>
              <w:ind w:firstLine="0"/>
              <w:rPr>
                <w:i/>
              </w:rPr>
            </w:pPr>
            <w:r w:rsidRPr="00AE219D">
              <w:rPr>
                <w:i/>
              </w:rPr>
              <w:t>Black</w:t>
            </w:r>
          </w:p>
        </w:tc>
      </w:tr>
      <w:tr w:rsidR="00AE219D" w:rsidRPr="00AE219D" w14:paraId="33ADCD76" w14:textId="77777777" w:rsidTr="00AE219D">
        <w:tc>
          <w:tcPr>
            <w:tcW w:w="4500" w:type="dxa"/>
          </w:tcPr>
          <w:p w14:paraId="20681B13" w14:textId="77777777" w:rsidR="00AE219D" w:rsidRPr="00AE219D" w:rsidRDefault="00AE219D" w:rsidP="0021172F">
            <w:pPr>
              <w:pStyle w:val="BodyTextFirst5"/>
              <w:ind w:firstLine="0"/>
            </w:pPr>
            <w:r w:rsidRPr="00AE219D">
              <w:t>Burgos-Montes, Edison</w:t>
            </w:r>
          </w:p>
        </w:tc>
        <w:tc>
          <w:tcPr>
            <w:tcW w:w="2160" w:type="dxa"/>
          </w:tcPr>
          <w:p w14:paraId="54E36BDD" w14:textId="77777777" w:rsidR="00AE219D" w:rsidRPr="00AE219D" w:rsidRDefault="00AE219D" w:rsidP="0021172F">
            <w:pPr>
              <w:pStyle w:val="BodyTextFirst5"/>
              <w:ind w:firstLine="0"/>
              <w:rPr>
                <w:i/>
              </w:rPr>
            </w:pPr>
            <w:r w:rsidRPr="00AE219D">
              <w:rPr>
                <w:i/>
              </w:rPr>
              <w:t>Hispanic</w:t>
            </w:r>
          </w:p>
        </w:tc>
      </w:tr>
      <w:tr w:rsidR="00AE219D" w:rsidRPr="00AE219D" w14:paraId="4E8F0511" w14:textId="77777777" w:rsidTr="00AE219D">
        <w:tc>
          <w:tcPr>
            <w:tcW w:w="4500" w:type="dxa"/>
          </w:tcPr>
          <w:p w14:paraId="2DAFE8FB" w14:textId="77777777" w:rsidR="00AE219D" w:rsidRPr="00AE219D" w:rsidRDefault="00AE219D" w:rsidP="0021172F">
            <w:pPr>
              <w:pStyle w:val="BodyTextFirst5"/>
              <w:ind w:firstLine="0"/>
            </w:pPr>
            <w:r w:rsidRPr="00AE219D">
              <w:t>Lopez-Matias, Rodney</w:t>
            </w:r>
          </w:p>
        </w:tc>
        <w:tc>
          <w:tcPr>
            <w:tcW w:w="2160" w:type="dxa"/>
          </w:tcPr>
          <w:p w14:paraId="5089B91A" w14:textId="77777777" w:rsidR="00AE219D" w:rsidRPr="00AE219D" w:rsidRDefault="00AE219D" w:rsidP="0021172F">
            <w:pPr>
              <w:pStyle w:val="BodyTextFirst5"/>
              <w:ind w:firstLine="0"/>
              <w:rPr>
                <w:i/>
              </w:rPr>
            </w:pPr>
            <w:r w:rsidRPr="00AE219D">
              <w:rPr>
                <w:i/>
              </w:rPr>
              <w:t>Hispanic</w:t>
            </w:r>
          </w:p>
        </w:tc>
      </w:tr>
      <w:tr w:rsidR="00AE219D" w:rsidRPr="00AE219D" w14:paraId="34C23672" w14:textId="77777777" w:rsidTr="00AE219D">
        <w:tc>
          <w:tcPr>
            <w:tcW w:w="4500" w:type="dxa"/>
          </w:tcPr>
          <w:p w14:paraId="5FC24939" w14:textId="77777777" w:rsidR="00AE219D" w:rsidRPr="00AE219D" w:rsidRDefault="00AE219D" w:rsidP="0021172F">
            <w:pPr>
              <w:pStyle w:val="BodyTextFirst5"/>
              <w:ind w:firstLine="0"/>
            </w:pPr>
            <w:proofErr w:type="spellStart"/>
            <w:r w:rsidRPr="00AE219D">
              <w:t>Riera</w:t>
            </w:r>
            <w:proofErr w:type="spellEnd"/>
            <w:r w:rsidRPr="00AE219D">
              <w:t>-Crespo, Eduardo</w:t>
            </w:r>
          </w:p>
        </w:tc>
        <w:tc>
          <w:tcPr>
            <w:tcW w:w="2160" w:type="dxa"/>
          </w:tcPr>
          <w:p w14:paraId="3B7FE6B3" w14:textId="77777777" w:rsidR="00AE219D" w:rsidRPr="00AE219D" w:rsidRDefault="00AE219D" w:rsidP="0021172F">
            <w:pPr>
              <w:pStyle w:val="BodyTextFirst5"/>
              <w:ind w:firstLine="0"/>
              <w:rPr>
                <w:i/>
              </w:rPr>
            </w:pPr>
            <w:r w:rsidRPr="00AE219D">
              <w:rPr>
                <w:i/>
              </w:rPr>
              <w:t>Hispanic</w:t>
            </w:r>
          </w:p>
        </w:tc>
      </w:tr>
      <w:tr w:rsidR="00AE219D" w:rsidRPr="00AE219D" w14:paraId="465955F9" w14:textId="77777777" w:rsidTr="00AE219D">
        <w:tc>
          <w:tcPr>
            <w:tcW w:w="4500" w:type="dxa"/>
          </w:tcPr>
          <w:p w14:paraId="19AF8FF4" w14:textId="77777777" w:rsidR="00AE219D" w:rsidRPr="00AE219D" w:rsidRDefault="00AE219D" w:rsidP="0021172F">
            <w:pPr>
              <w:pStyle w:val="BodyTextFirst5"/>
              <w:ind w:firstLine="0"/>
            </w:pPr>
            <w:proofErr w:type="spellStart"/>
            <w:r w:rsidRPr="00AE219D">
              <w:t>Alers</w:t>
            </w:r>
            <w:proofErr w:type="spellEnd"/>
            <w:r w:rsidRPr="00AE219D">
              <w:t>-Santiago, Raymond</w:t>
            </w:r>
          </w:p>
        </w:tc>
        <w:tc>
          <w:tcPr>
            <w:tcW w:w="2160" w:type="dxa"/>
          </w:tcPr>
          <w:p w14:paraId="7F3243A0" w14:textId="77777777" w:rsidR="00AE219D" w:rsidRPr="00AE219D" w:rsidRDefault="00AE219D" w:rsidP="0021172F">
            <w:pPr>
              <w:pStyle w:val="BodyTextFirst5"/>
              <w:ind w:firstLine="0"/>
              <w:rPr>
                <w:i/>
              </w:rPr>
            </w:pPr>
            <w:r w:rsidRPr="00AE219D">
              <w:rPr>
                <w:i/>
              </w:rPr>
              <w:t>Hispanic</w:t>
            </w:r>
          </w:p>
        </w:tc>
      </w:tr>
      <w:tr w:rsidR="00AE219D" w:rsidRPr="00AE219D" w14:paraId="307348B4" w14:textId="77777777" w:rsidTr="00AE219D">
        <w:tc>
          <w:tcPr>
            <w:tcW w:w="4500" w:type="dxa"/>
          </w:tcPr>
          <w:p w14:paraId="6C440D3E" w14:textId="77777777" w:rsidR="00AE219D" w:rsidRPr="00AE219D" w:rsidRDefault="00AE219D" w:rsidP="0021172F">
            <w:pPr>
              <w:pStyle w:val="BodyTextFirst5"/>
              <w:ind w:firstLine="0"/>
            </w:pPr>
            <w:proofErr w:type="spellStart"/>
            <w:r w:rsidRPr="00AE219D">
              <w:t>Candelario</w:t>
            </w:r>
            <w:proofErr w:type="spellEnd"/>
            <w:r w:rsidRPr="00AE219D">
              <w:t>-Santana, Alexis</w:t>
            </w:r>
          </w:p>
        </w:tc>
        <w:tc>
          <w:tcPr>
            <w:tcW w:w="2160" w:type="dxa"/>
          </w:tcPr>
          <w:p w14:paraId="09BCF0EC" w14:textId="77777777" w:rsidR="00AE219D" w:rsidRPr="00AE219D" w:rsidRDefault="00AE219D" w:rsidP="0021172F">
            <w:pPr>
              <w:pStyle w:val="BodyTextFirst5"/>
              <w:ind w:firstLine="0"/>
              <w:rPr>
                <w:i/>
              </w:rPr>
            </w:pPr>
            <w:r w:rsidRPr="00AE219D">
              <w:rPr>
                <w:i/>
              </w:rPr>
              <w:t>Hispanic</w:t>
            </w:r>
          </w:p>
        </w:tc>
      </w:tr>
      <w:tr w:rsidR="00AE219D" w:rsidRPr="00AE219D" w14:paraId="64B105EE" w14:textId="77777777" w:rsidTr="00AE219D">
        <w:trPr>
          <w:trHeight w:val="143"/>
        </w:trPr>
        <w:tc>
          <w:tcPr>
            <w:tcW w:w="4500" w:type="dxa"/>
          </w:tcPr>
          <w:p w14:paraId="51B8F95B" w14:textId="77777777" w:rsidR="00AE219D" w:rsidRPr="00AE219D" w:rsidRDefault="00AE219D" w:rsidP="0021172F">
            <w:pPr>
              <w:pStyle w:val="BodyTextFirst5"/>
              <w:ind w:firstLine="0"/>
            </w:pPr>
            <w:r w:rsidRPr="00AE219D">
              <w:t>Jimenez-</w:t>
            </w:r>
            <w:proofErr w:type="spellStart"/>
            <w:r w:rsidRPr="00AE219D">
              <w:t>Bencevi</w:t>
            </w:r>
            <w:proofErr w:type="spellEnd"/>
            <w:r w:rsidRPr="00AE219D">
              <w:t>, Xavier</w:t>
            </w:r>
          </w:p>
        </w:tc>
        <w:tc>
          <w:tcPr>
            <w:tcW w:w="2160" w:type="dxa"/>
          </w:tcPr>
          <w:p w14:paraId="4042FB57" w14:textId="77777777" w:rsidR="00AE219D" w:rsidRPr="00AE219D" w:rsidRDefault="00AE219D" w:rsidP="0021172F">
            <w:pPr>
              <w:pStyle w:val="BodyTextFirst5"/>
              <w:ind w:firstLine="0"/>
              <w:rPr>
                <w:i/>
              </w:rPr>
            </w:pPr>
            <w:r w:rsidRPr="00AE219D">
              <w:rPr>
                <w:i/>
              </w:rPr>
              <w:t>Hispanic</w:t>
            </w:r>
          </w:p>
        </w:tc>
      </w:tr>
    </w:tbl>
    <w:p w14:paraId="1F005808" w14:textId="77777777" w:rsidR="00AE219D" w:rsidRDefault="00AE219D" w:rsidP="00AE219D">
      <w:pPr>
        <w:pStyle w:val="BodyTextFirst5"/>
      </w:pPr>
    </w:p>
    <w:p w14:paraId="763D66AE" w14:textId="176889C8" w:rsidR="00AE219D" w:rsidRPr="00AE219D" w:rsidRDefault="00AE219D" w:rsidP="00AE219D">
      <w:pPr>
        <w:pStyle w:val="BodyTextFirst5"/>
        <w:numPr>
          <w:ilvl w:val="0"/>
          <w:numId w:val="18"/>
        </w:numPr>
      </w:pPr>
      <w:r w:rsidRPr="00AE219D">
        <w:t xml:space="preserve">This reflects the </w:t>
      </w:r>
      <w:r w:rsidR="0021172F">
        <w:t xml:space="preserve">larger phenomenon of </w:t>
      </w:r>
      <w:r w:rsidRPr="00AE219D">
        <w:t>ongoing ethnic bias that is pervasive throughout the death penalty as applied in the United States.</w:t>
      </w:r>
      <w:r w:rsidRPr="00AE219D">
        <w:rPr>
          <w:vertAlign w:val="superscript"/>
        </w:rPr>
        <w:footnoteReference w:id="194"/>
      </w:r>
    </w:p>
    <w:p w14:paraId="0939561E" w14:textId="699D9A15" w:rsidR="00AE219D" w:rsidRPr="00AE219D" w:rsidRDefault="00AE219D" w:rsidP="00AE219D">
      <w:pPr>
        <w:pStyle w:val="BodyTextFirst5"/>
        <w:numPr>
          <w:ilvl w:val="0"/>
          <w:numId w:val="18"/>
        </w:numPr>
      </w:pPr>
      <w:r w:rsidRPr="00AE219D">
        <w:rPr>
          <w:b/>
        </w:rPr>
        <w:t>Another form of ethnic disparity in federal prosecution of death penalty cases in Puerto Rico is in the selection of the jury.</w:t>
      </w:r>
      <w:r w:rsidR="008555F4">
        <w:t xml:space="preserve"> </w:t>
      </w:r>
      <w:r w:rsidRPr="00AE219D">
        <w:t>First, only individuals who can speak, “read, write, and understand the English language with a degree of proficiency sufficient to fill out satisfactorily the juror qualification form” can serve as jurors before a federal tribunal.</w:t>
      </w:r>
      <w:r w:rsidRPr="00AE219D">
        <w:rPr>
          <w:vertAlign w:val="superscript"/>
        </w:rPr>
        <w:footnoteReference w:id="195"/>
      </w:r>
      <w:r w:rsidR="008555F4">
        <w:t xml:space="preserve"> </w:t>
      </w:r>
      <w:r w:rsidRPr="00AE219D">
        <w:t xml:space="preserve">However, this effectively excludes </w:t>
      </w:r>
      <w:proofErr w:type="gramStart"/>
      <w:r w:rsidRPr="00AE219D">
        <w:t>between 80% to 90% of the population of Puerto Rico</w:t>
      </w:r>
      <w:proofErr w:type="gramEnd"/>
      <w:r w:rsidRPr="00AE219D">
        <w:t>.</w:t>
      </w:r>
      <w:r w:rsidRPr="00AE219D">
        <w:rPr>
          <w:vertAlign w:val="superscript"/>
        </w:rPr>
        <w:footnoteReference w:id="196"/>
      </w:r>
      <w:r w:rsidR="008555F4">
        <w:t xml:space="preserve"> </w:t>
      </w:r>
      <w:r w:rsidRPr="00AE219D">
        <w:t>Additionally, in order to sit on a jury an individual must be willing to impose the death penalty; those who are unwilling are almost invariably stricken, even though the Constitution of Puerto Rico and a majority of its populace do not support the death penalty.</w:t>
      </w:r>
      <w:r w:rsidRPr="00AE219D">
        <w:rPr>
          <w:vertAlign w:val="superscript"/>
        </w:rPr>
        <w:footnoteReference w:id="197"/>
      </w:r>
      <w:r w:rsidR="008555F4">
        <w:t xml:space="preserve"> </w:t>
      </w:r>
      <w:r w:rsidRPr="00AE219D">
        <w:t>Therefore, a defendant being prosecuted for a death penalty case in Puerto Rico is not necessarily guaranteed a jury of his peers, or even individuals who speak his same language.</w:t>
      </w:r>
    </w:p>
    <w:p w14:paraId="3C28EEF3" w14:textId="47867191" w:rsidR="00AE219D" w:rsidRDefault="00AE219D" w:rsidP="00AE219D">
      <w:pPr>
        <w:pStyle w:val="BodyTextFirst5"/>
        <w:numPr>
          <w:ilvl w:val="0"/>
          <w:numId w:val="18"/>
        </w:numPr>
      </w:pPr>
      <w:r w:rsidRPr="00AE219D">
        <w:rPr>
          <w:b/>
        </w:rPr>
        <w:t>Notwithstanding aggressive certification of federal death penalty, the people of Puerto Rico have rejected it in all cases.</w:t>
      </w:r>
      <w:r w:rsidR="008555F4">
        <w:rPr>
          <w:b/>
        </w:rPr>
        <w:t xml:space="preserve"> </w:t>
      </w:r>
      <w:r w:rsidRPr="00AE219D">
        <w:t>In all twenty-five cases to date, no defendant in Puerto Rico has been sentenced to the death penalty.</w:t>
      </w:r>
      <w:r w:rsidR="008555F4">
        <w:t xml:space="preserve"> </w:t>
      </w:r>
      <w:r w:rsidRPr="00AE219D">
        <w:t>For example, in a recent death penalty proceeding, the jury found defendant Edison Burgos Montes guilty but rejected the death sentence in favor of life imprisonment.</w:t>
      </w:r>
      <w:r w:rsidRPr="00AE219D">
        <w:rPr>
          <w:vertAlign w:val="superscript"/>
        </w:rPr>
        <w:footnoteReference w:id="198"/>
      </w:r>
      <w:r w:rsidR="008555F4">
        <w:t xml:space="preserve"> </w:t>
      </w:r>
      <w:r w:rsidRPr="00AE219D">
        <w:t>Further, during the last campaign cycle of 2012, “all of the gubernatorial candidates showed their rejection” of the use of death penalty in Puerto Rico, and some of them even actively participated in public demonstrations.</w:t>
      </w:r>
      <w:r w:rsidRPr="00AE219D">
        <w:rPr>
          <w:vertAlign w:val="superscript"/>
        </w:rPr>
        <w:footnoteReference w:id="199"/>
      </w:r>
      <w:r w:rsidRPr="00AE219D">
        <w:t xml:space="preserve"> This ongoing categorical rejection of the death penalty evidences the continued conviction of its people, as enshrined in the Puerto Rico Constitution, that the right to life is a fundamental human right.</w:t>
      </w:r>
    </w:p>
    <w:p w14:paraId="1611F9C9" w14:textId="050FB70C" w:rsidR="000A01B3" w:rsidRPr="00AE219D" w:rsidRDefault="000A01B3" w:rsidP="000A01B3">
      <w:pPr>
        <w:pStyle w:val="BodyTextFirst5"/>
        <w:numPr>
          <w:ilvl w:val="0"/>
          <w:numId w:val="18"/>
        </w:numPr>
      </w:pPr>
      <w:bookmarkStart w:id="17" w:name="_Ref394045138"/>
      <w:r w:rsidRPr="00AE219D">
        <w:rPr>
          <w:b/>
        </w:rPr>
        <w:t xml:space="preserve">Puerto Ricans, like other ethnic minorities, are significantly </w:t>
      </w:r>
      <w:r>
        <w:rPr>
          <w:b/>
        </w:rPr>
        <w:t>over-</w:t>
      </w:r>
      <w:r w:rsidRPr="00AE219D">
        <w:rPr>
          <w:b/>
        </w:rPr>
        <w:t xml:space="preserve">represented on other states’ </w:t>
      </w:r>
      <w:r w:rsidRPr="0021172F">
        <w:rPr>
          <w:b/>
        </w:rPr>
        <w:t>death</w:t>
      </w:r>
      <w:r w:rsidRPr="00AE219D">
        <w:rPr>
          <w:b/>
        </w:rPr>
        <w:t xml:space="preserve"> rows.</w:t>
      </w:r>
      <w:r>
        <w:rPr>
          <w:b/>
        </w:rPr>
        <w:t xml:space="preserve"> </w:t>
      </w:r>
      <w:r w:rsidRPr="00AE219D">
        <w:t>As of February 2013, approximately thirty-two Puerto Ricans were waiting on death row in seven states.</w:t>
      </w:r>
      <w:r w:rsidRPr="00AE219D">
        <w:rPr>
          <w:vertAlign w:val="superscript"/>
        </w:rPr>
        <w:footnoteReference w:id="200"/>
      </w:r>
      <w:r>
        <w:t xml:space="preserve"> </w:t>
      </w:r>
      <w:r w:rsidRPr="00AE219D">
        <w:t>As an illustrative example of this bias, in 2010 Puerto Ricans represented 2.98% of Pennsylvania’s population (366,082 of 12,281,054</w:t>
      </w:r>
      <w:r w:rsidRPr="00AE219D">
        <w:rPr>
          <w:vertAlign w:val="superscript"/>
        </w:rPr>
        <w:footnoteReference w:id="201"/>
      </w:r>
      <w:r w:rsidRPr="00AE219D">
        <w:t xml:space="preserve">), yet constituted 6.39% of the persons </w:t>
      </w:r>
      <w:r>
        <w:t>a</w:t>
      </w:r>
      <w:r w:rsidRPr="00AE219D">
        <w:t>waiting execution in this state (14</w:t>
      </w:r>
      <w:r w:rsidRPr="00AE219D">
        <w:rPr>
          <w:vertAlign w:val="superscript"/>
        </w:rPr>
        <w:footnoteReference w:id="202"/>
      </w:r>
      <w:r w:rsidRPr="00AE219D">
        <w:t xml:space="preserve"> of 219</w:t>
      </w:r>
      <w:r w:rsidRPr="00AE219D">
        <w:rPr>
          <w:vertAlign w:val="superscript"/>
        </w:rPr>
        <w:footnoteReference w:id="203"/>
      </w:r>
      <w:r>
        <w:t>). L</w:t>
      </w:r>
      <w:r w:rsidRPr="00AE219D">
        <w:t>ike others facing the death penalty,</w:t>
      </w:r>
      <w:bookmarkStart w:id="18" w:name="_Ref394062495"/>
      <w:r w:rsidRPr="00AE219D">
        <w:rPr>
          <w:vertAlign w:val="superscript"/>
        </w:rPr>
        <w:footnoteReference w:id="204"/>
      </w:r>
      <w:bookmarkEnd w:id="18"/>
      <w:r w:rsidRPr="00AE219D">
        <w:t xml:space="preserve"> Puerto Ricans are at risk of wrongful conviction</w:t>
      </w:r>
      <w:r>
        <w:t>.</w:t>
      </w:r>
      <w:r w:rsidRPr="00AE219D">
        <w:rPr>
          <w:vertAlign w:val="superscript"/>
        </w:rPr>
        <w:footnoteReference w:id="205"/>
      </w:r>
      <w:r>
        <w:t xml:space="preserve"> </w:t>
      </w:r>
      <w:r w:rsidRPr="00AE219D">
        <w:t xml:space="preserve">During the last fifteen years, two Puerto Ricans have been exonerated from death row in the Unites States after proving their innocence. On October 20, 2000, William Nieves was freed from Pennsylvania’s </w:t>
      </w:r>
      <w:r>
        <w:t xml:space="preserve">death row </w:t>
      </w:r>
      <w:r w:rsidRPr="00AE219D">
        <w:t>after serving six years, when a Philadelphia jury acquitted him in a second trial.</w:t>
      </w:r>
      <w:r w:rsidRPr="00AE219D">
        <w:rPr>
          <w:vertAlign w:val="superscript"/>
        </w:rPr>
        <w:footnoteReference w:id="206"/>
      </w:r>
      <w:r w:rsidRPr="00AE219D">
        <w:t xml:space="preserve"> On January 3, 2003, Juan Roberto Melendez-Colon was exonerated and released from death row after serving nearly eighteen years in Florida for a murder he did not commit.</w:t>
      </w:r>
      <w:r w:rsidRPr="00AE219D">
        <w:rPr>
          <w:vertAlign w:val="superscript"/>
        </w:rPr>
        <w:footnoteReference w:id="207"/>
      </w:r>
      <w:bookmarkEnd w:id="17"/>
    </w:p>
    <w:p w14:paraId="0963BC11" w14:textId="77777777" w:rsidR="00AE219D" w:rsidRPr="00AE219D" w:rsidRDefault="00AE219D" w:rsidP="000D0E9B">
      <w:pPr>
        <w:pStyle w:val="BodyTextFirst5"/>
        <w:ind w:firstLine="0"/>
        <w:rPr>
          <w:b/>
          <w:i/>
        </w:rPr>
      </w:pPr>
      <w:bookmarkStart w:id="19" w:name="_Ref393964472"/>
      <w:r w:rsidRPr="00AE219D">
        <w:rPr>
          <w:b/>
          <w:i/>
        </w:rPr>
        <w:t>Recommendations</w:t>
      </w:r>
      <w:bookmarkEnd w:id="19"/>
    </w:p>
    <w:p w14:paraId="52329F35" w14:textId="77777777" w:rsidR="00AE219D" w:rsidRPr="00AE219D" w:rsidRDefault="00AE219D" w:rsidP="000D0E9B">
      <w:pPr>
        <w:pStyle w:val="BodyTextFirst5"/>
        <w:numPr>
          <w:ilvl w:val="0"/>
          <w:numId w:val="26"/>
        </w:numPr>
      </w:pPr>
      <w:r w:rsidRPr="00AE219D">
        <w:t xml:space="preserve">The United States should not request cases to be certified for the federal death penalty in Puerto Rico. </w:t>
      </w:r>
    </w:p>
    <w:p w14:paraId="7B129595" w14:textId="77777777" w:rsidR="00AE219D" w:rsidRPr="00AE219D" w:rsidRDefault="00AE219D" w:rsidP="000D0E9B">
      <w:pPr>
        <w:pStyle w:val="BodyTextFirst5"/>
        <w:numPr>
          <w:ilvl w:val="0"/>
          <w:numId w:val="26"/>
        </w:numPr>
      </w:pPr>
      <w:r w:rsidRPr="00AE219D">
        <w:t>The United States should undertake studies to identify the root causes and factors of ethnic disparities pertaining to the death penalty, including selective prosecution and ethnically disparate sentencing, with the objective of developing means to eliminate ethnic bias in the criminal justice system.</w:t>
      </w:r>
    </w:p>
    <w:p w14:paraId="13017376" w14:textId="77777777" w:rsidR="00AE219D" w:rsidRPr="00AE219D" w:rsidRDefault="00AE219D" w:rsidP="000D0E9B">
      <w:pPr>
        <w:pStyle w:val="BodyTextFirst5"/>
        <w:numPr>
          <w:ilvl w:val="0"/>
          <w:numId w:val="26"/>
        </w:numPr>
      </w:pPr>
      <w:r w:rsidRPr="00AE219D">
        <w:t>The United States should adopt all necessary measures, including a moratorium, to ensure that the death penalty is not imposed as a result of ethnic bias on the part of prosecutors, judges, juries or lawyers.</w:t>
      </w:r>
    </w:p>
    <w:p w14:paraId="70BA1D60" w14:textId="0CAF58A7" w:rsidR="00AE219D" w:rsidRDefault="00AE219D" w:rsidP="000D0E9B">
      <w:pPr>
        <w:pStyle w:val="BodyTextFirst5"/>
        <w:numPr>
          <w:ilvl w:val="0"/>
          <w:numId w:val="26"/>
        </w:numPr>
      </w:pPr>
      <w:r w:rsidRPr="00AE219D">
        <w:t xml:space="preserve">The United States should adopt all necessary measures, including interpretation services or a waiver of the English language requirement, </w:t>
      </w:r>
      <w:r w:rsidR="000A01B3">
        <w:t xml:space="preserve">to allow Spanish-speaking people to serve on juries </w:t>
      </w:r>
      <w:r w:rsidRPr="00AE219D">
        <w:t xml:space="preserve">in Puerto Rico </w:t>
      </w:r>
      <w:r w:rsidR="000A01B3">
        <w:t xml:space="preserve">and other </w:t>
      </w:r>
      <w:r w:rsidRPr="00AE219D">
        <w:t>territories with majority Spanish-speaking populations, to ensure defendants are sentenced by a jury of their peers and to involve a majority of these populations in the important civic duty of jury service.</w:t>
      </w:r>
    </w:p>
    <w:sectPr w:rsidR="00AE219D" w:rsidSect="001F239B">
      <w:footerReference w:type="default" r:id="rId12"/>
      <w:footerReference w:type="first" r:id="rId13"/>
      <w:pgSz w:w="12240" w:h="15840" w:code="1"/>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E59E6F" w14:textId="77777777" w:rsidR="003D1304" w:rsidRDefault="003D1304">
      <w:r>
        <w:separator/>
      </w:r>
    </w:p>
  </w:endnote>
  <w:endnote w:type="continuationSeparator" w:id="0">
    <w:p w14:paraId="510E49BD" w14:textId="77777777" w:rsidR="003D1304" w:rsidRDefault="003D1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38748" w14:textId="77777777" w:rsidR="003D1304" w:rsidRDefault="003D1304">
    <w:pPr>
      <w:pStyle w:val="Footer"/>
      <w:jc w:val="center"/>
      <w:rPr>
        <w:rStyle w:val="PageNumber"/>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sidR="00535FF8">
      <w:rPr>
        <w:rStyle w:val="PageNumber"/>
        <w:noProof/>
      </w:rPr>
      <w:t>37</w:t>
    </w:r>
    <w:r>
      <w:rPr>
        <w:rStyle w:val="PageNumber"/>
      </w:rPr>
      <w:fldChar w:fldCharType="end"/>
    </w:r>
    <w:r>
      <w:rPr>
        <w:rStyle w:val="PageNumber"/>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F7E84" w14:textId="055AF4A8" w:rsidR="003D1304" w:rsidRDefault="003D1304" w:rsidP="001C7592">
    <w:pPr>
      <w:widowControl w:val="0"/>
      <w:jc w:val="center"/>
      <w:rPr>
        <w:rFonts w:ascii="Gill Sans MT" w:hAnsi="Gill Sans MT"/>
        <w:color w:val="333333"/>
      </w:rPr>
    </w:pPr>
    <w:r>
      <w:rPr>
        <w:rFonts w:ascii="Calisto MT" w:hAnsi="Calisto MT"/>
        <w:noProof/>
        <w:color w:val="800080"/>
        <w:sz w:val="26"/>
        <w:szCs w:val="26"/>
        <w:lang w:val="en-GB" w:eastAsia="en-GB"/>
      </w:rPr>
      <mc:AlternateContent>
        <mc:Choice Requires="wps">
          <w:drawing>
            <wp:anchor distT="4294967294" distB="4294967294" distL="114300" distR="114300" simplePos="0" relativeHeight="251659264" behindDoc="0" locked="0" layoutInCell="1" allowOverlap="1" wp14:anchorId="0DA068B1" wp14:editId="7EDD282B">
              <wp:simplePos x="0" y="0"/>
              <wp:positionH relativeFrom="column">
                <wp:posOffset>-356235</wp:posOffset>
              </wp:positionH>
              <wp:positionV relativeFrom="paragraph">
                <wp:posOffset>132714</wp:posOffset>
              </wp:positionV>
              <wp:extent cx="6649720" cy="0"/>
              <wp:effectExtent l="0" t="0" r="1778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" strokecolor="#333"/>
          </w:pict>
        </mc:Fallback>
      </mc:AlternateContent>
    </w:r>
  </w:p>
  <w:p w14:paraId="69C53750" w14:textId="77777777" w:rsidR="003D1304" w:rsidRPr="001C7592" w:rsidRDefault="003D1304" w:rsidP="001C7592">
    <w:pPr>
      <w:widowControl w:val="0"/>
      <w:jc w:val="center"/>
      <w:rPr>
        <w:rFonts w:ascii="Gill Sans MT" w:hAnsi="Gill Sans MT"/>
        <w:i/>
        <w:iCs/>
        <w:color w:val="542344"/>
        <w:sz w:val="23"/>
        <w:szCs w:val="23"/>
      </w:rPr>
    </w:pPr>
    <w:r w:rsidRPr="001C7592">
      <w:rPr>
        <w:rFonts w:ascii="Gill Sans MT" w:hAnsi="Gill Sans MT"/>
        <w:color w:val="333333"/>
        <w:sz w:val="18"/>
        <w:szCs w:val="18"/>
      </w:rPr>
      <w:t xml:space="preserve">The Advocates for Human Rights • 330 Second Avenue South • Suite 800 • Minneapolis, MN 55401-2211 • USA </w:t>
    </w:r>
  </w:p>
  <w:p w14:paraId="4DE7DC17" w14:textId="77777777" w:rsidR="003D1304" w:rsidRPr="00DA12BD" w:rsidRDefault="003D1304" w:rsidP="00DA12BD">
    <w:pPr>
      <w:widowControl w:val="0"/>
      <w:jc w:val="center"/>
      <w:rPr>
        <w:rFonts w:ascii="Gill Sans MT" w:hAnsi="Gill Sans MT"/>
        <w:color w:val="333333"/>
        <w:sz w:val="18"/>
        <w:szCs w:val="18"/>
      </w:rPr>
    </w:pPr>
    <w:r w:rsidRPr="001C7592">
      <w:rPr>
        <w:rFonts w:ascii="Gill Sans MT" w:hAnsi="Gill Sans MT"/>
        <w:color w:val="333333"/>
        <w:sz w:val="18"/>
        <w:szCs w:val="18"/>
      </w:rPr>
      <w:t xml:space="preserve">Tel: 612.341.3302 • Fax: 612.341.2971 • Email: hrights@advrights.org • </w:t>
    </w:r>
    <w:r w:rsidRPr="001C7592">
      <w:rPr>
        <w:rFonts w:ascii="Gill Sans MT" w:hAnsi="Gill Sans MT"/>
        <w:sz w:val="18"/>
        <w:szCs w:val="18"/>
      </w:rPr>
      <w:t>www.theadvocatesforhumanrights.org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0C7AF0" w14:textId="77777777" w:rsidR="003D1304" w:rsidRDefault="003D1304">
      <w:r>
        <w:separator/>
      </w:r>
    </w:p>
  </w:footnote>
  <w:footnote w:type="continuationSeparator" w:id="0">
    <w:p w14:paraId="1DCDB653" w14:textId="77777777" w:rsidR="003D1304" w:rsidRDefault="003D1304">
      <w:r>
        <w:continuationSeparator/>
      </w:r>
    </w:p>
  </w:footnote>
  <w:footnote w:type="continuationNotice" w:id="1">
    <w:p w14:paraId="41292ED4" w14:textId="77777777" w:rsidR="003D1304" w:rsidRDefault="003D1304"/>
  </w:footnote>
  <w:footnote w:id="2">
    <w:p w14:paraId="03747724" w14:textId="225A2B51" w:rsidR="003D1304" w:rsidRPr="00990651" w:rsidRDefault="003D1304" w:rsidP="00A748D0">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Citations omitted, citing various sources from the Death Penalty Information Center.</w:t>
      </w:r>
    </w:p>
  </w:footnote>
  <w:footnote w:id="3">
    <w:p w14:paraId="260B4CD0" w14:textId="22A1C2A1"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color w:val="000000" w:themeColor="text1"/>
          <w:szCs w:val="20"/>
        </w:rPr>
        <w:t>U.N. Committee on the Elimination of Racial Discrimination, U.N. Doc.</w:t>
      </w:r>
      <w:r w:rsidRPr="00990651">
        <w:rPr>
          <w:color w:val="000000" w:themeColor="text1"/>
          <w:szCs w:val="20"/>
          <w:lang w:val="es-GT"/>
        </w:rPr>
        <w:t xml:space="preserve">CERD/C/USA/CO/6, </w:t>
      </w:r>
      <w:proofErr w:type="spellStart"/>
      <w:r w:rsidRPr="00990651">
        <w:rPr>
          <w:color w:val="000000" w:themeColor="text1"/>
          <w:szCs w:val="20"/>
          <w:lang w:val="es-GT"/>
        </w:rPr>
        <w:t>May</w:t>
      </w:r>
      <w:proofErr w:type="spellEnd"/>
      <w:r w:rsidRPr="00990651">
        <w:rPr>
          <w:color w:val="000000" w:themeColor="text1"/>
          <w:szCs w:val="20"/>
          <w:lang w:val="es-GT"/>
        </w:rPr>
        <w:t xml:space="preserve"> 8, 2008, ¶ 23.</w:t>
      </w:r>
      <w:proofErr w:type="gramEnd"/>
    </w:p>
  </w:footnote>
  <w:footnote w:id="4">
    <w:p w14:paraId="1A8E8BE6" w14:textId="4BAF5C6D"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Periodic Report of the United States of American to the United National Committee on the Elimination of Racial Discrimination, dated June 12, 2013 (U.S. State Report), ¶¶ 69, 70.</w:t>
      </w:r>
    </w:p>
  </w:footnote>
  <w:footnote w:id="5">
    <w:p w14:paraId="6999C334" w14:textId="2D4B2B60"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Pr>
          <w:color w:val="000000" w:themeColor="text1"/>
          <w:szCs w:val="20"/>
        </w:rPr>
        <w:t xml:space="preserve">Id. </w:t>
      </w:r>
      <w:r w:rsidRPr="00990651">
        <w:rPr>
          <w:color w:val="000000" w:themeColor="text1"/>
          <w:szCs w:val="20"/>
        </w:rPr>
        <w:t>¶ 69.</w:t>
      </w:r>
      <w:proofErr w:type="gramEnd"/>
    </w:p>
  </w:footnote>
  <w:footnote w:id="6">
    <w:p w14:paraId="4AE29B20" w14:textId="208B263E"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Pr>
          <w:color w:val="000000" w:themeColor="text1"/>
          <w:szCs w:val="20"/>
        </w:rPr>
        <w:t xml:space="preserve">Id. </w:t>
      </w:r>
      <w:r w:rsidRPr="00990651">
        <w:rPr>
          <w:color w:val="000000" w:themeColor="text1"/>
          <w:szCs w:val="20"/>
        </w:rPr>
        <w:t>¶ 70.</w:t>
      </w:r>
      <w:proofErr w:type="gramEnd"/>
    </w:p>
  </w:footnote>
  <w:footnote w:id="7">
    <w:p w14:paraId="7265F06A" w14:textId="77777777" w:rsidR="003D1304" w:rsidRPr="00990651" w:rsidRDefault="003D1304" w:rsidP="001A7171">
      <w:pPr>
        <w:pStyle w:val="FootnoteText"/>
        <w:rPr>
          <w:smallCaps/>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Although this report pertains to racial bias as a factor in U.S. death penalty cases, it is consistent with respected studies that have suggested racial bias in the American criminal justice system generally. See, for example, </w:t>
      </w:r>
      <w:r w:rsidRPr="00990651">
        <w:rPr>
          <w:i/>
          <w:color w:val="000000" w:themeColor="text1"/>
          <w:szCs w:val="20"/>
        </w:rPr>
        <w:t>World Report 2013</w:t>
      </w:r>
      <w:r w:rsidRPr="00990651">
        <w:rPr>
          <w:color w:val="000000" w:themeColor="text1"/>
          <w:szCs w:val="20"/>
        </w:rPr>
        <w:t>, published by Human Rights Watch on January 31, 2013. That report concludes that “[r]</w:t>
      </w:r>
      <w:proofErr w:type="spellStart"/>
      <w:r w:rsidRPr="00990651">
        <w:rPr>
          <w:color w:val="000000" w:themeColor="text1"/>
          <w:szCs w:val="20"/>
        </w:rPr>
        <w:t>acial</w:t>
      </w:r>
      <w:proofErr w:type="spellEnd"/>
      <w:r w:rsidRPr="00990651">
        <w:rPr>
          <w:color w:val="000000" w:themeColor="text1"/>
          <w:szCs w:val="20"/>
        </w:rPr>
        <w:t xml:space="preserve"> and ethnic minorities have long been disproportionately represented in the [U.S.] criminal justice system.” </w:t>
      </w:r>
      <w:r w:rsidRPr="00990651">
        <w:rPr>
          <w:smallCaps/>
          <w:color w:val="000000" w:themeColor="text1"/>
          <w:szCs w:val="20"/>
        </w:rPr>
        <w:t>Human Rights Watch, World Report 2013: Events of 2012 644 (2013).</w:t>
      </w:r>
    </w:p>
  </w:footnote>
  <w:footnote w:id="8">
    <w:p w14:paraId="4BC511E3" w14:textId="590CB7EE" w:rsidR="003D1304" w:rsidRPr="00990651" w:rsidRDefault="003D1304" w:rsidP="002E64C6">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Periodic Report of the United States of American to the United National Committee on the Elimination of Racial Discrimination, dated June 12, 2013 (U.S. State Report), ¶ 62.</w:t>
      </w:r>
    </w:p>
  </w:footnote>
  <w:footnote w:id="9">
    <w:p w14:paraId="624C0336" w14:textId="75998F26" w:rsidR="003D1304" w:rsidRPr="00990651" w:rsidRDefault="003D1304" w:rsidP="002E64C6">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Pr>
          <w:color w:val="000000" w:themeColor="text1"/>
          <w:szCs w:val="20"/>
        </w:rPr>
        <w:t xml:space="preserve">Id. </w:t>
      </w:r>
      <w:r w:rsidRPr="00990651">
        <w:rPr>
          <w:color w:val="000000" w:themeColor="text1"/>
          <w:szCs w:val="20"/>
        </w:rPr>
        <w:t>¶¶ 65, 70.</w:t>
      </w:r>
      <w:proofErr w:type="gramEnd"/>
    </w:p>
  </w:footnote>
  <w:footnote w:id="10">
    <w:p w14:paraId="19240EFA" w14:textId="77777777" w:rsidR="003D1304" w:rsidRPr="00990651" w:rsidRDefault="003D1304" w:rsidP="001A7171">
      <w:pPr>
        <w:pStyle w:val="FootnoteText"/>
        <w:rPr>
          <w:color w:val="000000" w:themeColor="text1"/>
          <w:szCs w:val="20"/>
        </w:rPr>
      </w:pPr>
      <w:r w:rsidRPr="00990651">
        <w:rPr>
          <w:color w:val="000000" w:themeColor="text1"/>
          <w:szCs w:val="20"/>
          <w:vertAlign w:val="superscript"/>
        </w:rPr>
        <w:footnoteRef/>
      </w:r>
      <w:r w:rsidRPr="00990651">
        <w:rPr>
          <w:color w:val="000000" w:themeColor="text1"/>
          <w:szCs w:val="20"/>
        </w:rPr>
        <w:t xml:space="preserve"> Reputable studies have also shown that racial bias continues to exist in the selection of juries in states that authorize the death penalty. G. Ben Cohen &amp; Robert J. Smith, </w:t>
      </w:r>
      <w:proofErr w:type="gramStart"/>
      <w:r w:rsidRPr="00990651">
        <w:rPr>
          <w:i/>
          <w:color w:val="000000" w:themeColor="text1"/>
          <w:szCs w:val="20"/>
        </w:rPr>
        <w:t>The</w:t>
      </w:r>
      <w:proofErr w:type="gramEnd"/>
      <w:r w:rsidRPr="00990651">
        <w:rPr>
          <w:i/>
          <w:color w:val="000000" w:themeColor="text1"/>
          <w:szCs w:val="20"/>
        </w:rPr>
        <w:t xml:space="preserve"> Racial Geography of the Federal Death Penalty</w:t>
      </w:r>
      <w:r w:rsidRPr="00990651">
        <w:rPr>
          <w:color w:val="000000" w:themeColor="text1"/>
          <w:szCs w:val="20"/>
        </w:rPr>
        <w:t xml:space="preserve">, 85 </w:t>
      </w:r>
      <w:r w:rsidRPr="00990651">
        <w:rPr>
          <w:smallCaps/>
          <w:color w:val="000000" w:themeColor="text1"/>
          <w:szCs w:val="20"/>
        </w:rPr>
        <w:t>Wash. L. Rev.</w:t>
      </w:r>
      <w:r w:rsidRPr="00990651">
        <w:rPr>
          <w:color w:val="000000" w:themeColor="text1"/>
          <w:szCs w:val="20"/>
        </w:rPr>
        <w:t xml:space="preserve"> 425 (2010). A state court judge in North Carolina recently vacated death sentences for three African-American defendants because of clear evidence of racial bias in the selection of juries. </w:t>
      </w:r>
      <w:r w:rsidRPr="00990651">
        <w:rPr>
          <w:i/>
          <w:color w:val="000000" w:themeColor="text1"/>
          <w:szCs w:val="20"/>
        </w:rPr>
        <w:t>Report on Race and the Death Penalty</w:t>
      </w:r>
      <w:r w:rsidRPr="00990651">
        <w:rPr>
          <w:color w:val="000000" w:themeColor="text1"/>
          <w:szCs w:val="20"/>
        </w:rPr>
        <w:t xml:space="preserve">, </w:t>
      </w:r>
      <w:r w:rsidRPr="00990651">
        <w:rPr>
          <w:smallCaps/>
          <w:color w:val="000000" w:themeColor="text1"/>
          <w:szCs w:val="20"/>
        </w:rPr>
        <w:t>Am. Civil Liberties Union</w:t>
      </w:r>
      <w:r w:rsidRPr="00990651">
        <w:rPr>
          <w:color w:val="000000" w:themeColor="text1"/>
          <w:szCs w:val="20"/>
        </w:rPr>
        <w:t xml:space="preserve">, Dec. 13, 2012, http://www.aclu.org/capital-punishment/judge-finds-racial-bias-three-more-death-penalty-cases-north-carolina-under-state (last visited June 25, 2014); </w:t>
      </w:r>
      <w:r w:rsidRPr="00990651">
        <w:rPr>
          <w:i/>
          <w:color w:val="000000" w:themeColor="text1"/>
          <w:szCs w:val="20"/>
        </w:rPr>
        <w:t xml:space="preserve">see also </w:t>
      </w:r>
      <w:r w:rsidRPr="00990651">
        <w:rPr>
          <w:smallCaps/>
          <w:color w:val="000000" w:themeColor="text1"/>
          <w:szCs w:val="20"/>
        </w:rPr>
        <w:t xml:space="preserve">Alex </w:t>
      </w:r>
      <w:proofErr w:type="spellStart"/>
      <w:r w:rsidRPr="00990651">
        <w:rPr>
          <w:smallCaps/>
          <w:color w:val="000000" w:themeColor="text1"/>
          <w:szCs w:val="20"/>
        </w:rPr>
        <w:t>Mikulich</w:t>
      </w:r>
      <w:proofErr w:type="spellEnd"/>
      <w:r w:rsidRPr="00990651">
        <w:rPr>
          <w:smallCaps/>
          <w:color w:val="000000" w:themeColor="text1"/>
          <w:szCs w:val="20"/>
        </w:rPr>
        <w:t xml:space="preserve"> &amp; Sophie Cull, Loyola University New Orleans, Diminishing All of Us: The Death Penalty in Louisiana</w:t>
      </w:r>
      <w:r w:rsidRPr="00990651">
        <w:rPr>
          <w:i/>
          <w:color w:val="000000" w:themeColor="text1"/>
          <w:szCs w:val="20"/>
        </w:rPr>
        <w:t xml:space="preserve"> </w:t>
      </w:r>
      <w:r w:rsidRPr="00990651">
        <w:rPr>
          <w:color w:val="000000" w:themeColor="text1"/>
          <w:szCs w:val="20"/>
        </w:rPr>
        <w:t>28 n.82 (2012)</w:t>
      </w:r>
      <w:r w:rsidRPr="00990651">
        <w:rPr>
          <w:i/>
          <w:color w:val="000000" w:themeColor="text1"/>
          <w:szCs w:val="20"/>
        </w:rPr>
        <w:t xml:space="preserve">. </w:t>
      </w:r>
      <w:r w:rsidRPr="00990651">
        <w:rPr>
          <w:color w:val="000000" w:themeColor="text1"/>
          <w:szCs w:val="20"/>
        </w:rPr>
        <w:t xml:space="preserve">African-Americans comprise about one-third of the population of the entire State of Louisiana and almost half the population in some parishes. </w:t>
      </w:r>
      <w:proofErr w:type="gramStart"/>
      <w:r w:rsidRPr="00990651">
        <w:rPr>
          <w:i/>
          <w:color w:val="000000" w:themeColor="text1"/>
          <w:szCs w:val="20"/>
        </w:rPr>
        <w:t>Id.</w:t>
      </w:r>
      <w:r w:rsidRPr="00990651">
        <w:rPr>
          <w:color w:val="000000" w:themeColor="text1"/>
          <w:szCs w:val="20"/>
        </w:rPr>
        <w:t xml:space="preserve"> at 28.</w:t>
      </w:r>
      <w:proofErr w:type="gramEnd"/>
      <w:r w:rsidRPr="00990651">
        <w:rPr>
          <w:color w:val="000000" w:themeColor="text1"/>
          <w:szCs w:val="20"/>
        </w:rPr>
        <w:t xml:space="preserve"> Nevertheless, it is rare that more than one or two African-Americans are selected to be on juries in capital punishment trials in that state. </w:t>
      </w:r>
      <w:r w:rsidRPr="00990651">
        <w:rPr>
          <w:i/>
          <w:color w:val="000000" w:themeColor="text1"/>
          <w:szCs w:val="20"/>
        </w:rPr>
        <w:t>Id.</w:t>
      </w:r>
      <w:r w:rsidRPr="00990651">
        <w:rPr>
          <w:color w:val="000000" w:themeColor="text1"/>
          <w:szCs w:val="20"/>
        </w:rPr>
        <w:t xml:space="preserve">; </w:t>
      </w:r>
      <w:r w:rsidRPr="00990651">
        <w:rPr>
          <w:i/>
          <w:color w:val="000000" w:themeColor="text1"/>
          <w:szCs w:val="20"/>
        </w:rPr>
        <w:t>Sourcebook of Criminal Justice Statistics</w:t>
      </w:r>
      <w:r w:rsidRPr="00990651">
        <w:rPr>
          <w:color w:val="000000" w:themeColor="text1"/>
          <w:szCs w:val="20"/>
        </w:rPr>
        <w:t xml:space="preserve">, </w:t>
      </w:r>
      <w:proofErr w:type="spellStart"/>
      <w:r w:rsidRPr="00990651">
        <w:rPr>
          <w:smallCaps/>
          <w:color w:val="000000" w:themeColor="text1"/>
          <w:szCs w:val="20"/>
        </w:rPr>
        <w:t>Hindelang</w:t>
      </w:r>
      <w:proofErr w:type="spellEnd"/>
      <w:r w:rsidRPr="00990651">
        <w:rPr>
          <w:smallCaps/>
          <w:color w:val="000000" w:themeColor="text1"/>
          <w:szCs w:val="20"/>
        </w:rPr>
        <w:t xml:space="preserve"> Criminal Justice Research Center, University at Albany, </w:t>
      </w:r>
      <w:r w:rsidRPr="00990651">
        <w:rPr>
          <w:color w:val="000000" w:themeColor="text1"/>
          <w:szCs w:val="20"/>
        </w:rPr>
        <w:t xml:space="preserve">http://www.albany.edu/sourcebook/; Tim Lyman, </w:t>
      </w:r>
      <w:r w:rsidRPr="00990651">
        <w:rPr>
          <w:i/>
          <w:color w:val="000000" w:themeColor="text1"/>
          <w:szCs w:val="20"/>
        </w:rPr>
        <w:t xml:space="preserve">Caddo (LA) Parish Report on Race, Homicides, and Prosecutions, 1988-2008 </w:t>
      </w:r>
      <w:r w:rsidRPr="00990651">
        <w:rPr>
          <w:color w:val="000000" w:themeColor="text1"/>
          <w:szCs w:val="20"/>
        </w:rPr>
        <w:t>5-9</w:t>
      </w:r>
      <w:r w:rsidRPr="00990651">
        <w:rPr>
          <w:i/>
          <w:color w:val="000000" w:themeColor="text1"/>
          <w:szCs w:val="20"/>
        </w:rPr>
        <w:t xml:space="preserve"> </w:t>
      </w:r>
      <w:r w:rsidRPr="00990651">
        <w:rPr>
          <w:color w:val="000000" w:themeColor="text1"/>
          <w:szCs w:val="20"/>
        </w:rPr>
        <w:t xml:space="preserve">(2011), </w:t>
      </w:r>
      <w:r w:rsidRPr="00990651">
        <w:rPr>
          <w:i/>
          <w:color w:val="000000" w:themeColor="text1"/>
          <w:szCs w:val="20"/>
        </w:rPr>
        <w:t xml:space="preserve">available at </w:t>
      </w:r>
      <w:r w:rsidRPr="00990651">
        <w:rPr>
          <w:color w:val="000000" w:themeColor="text1"/>
          <w:szCs w:val="20"/>
        </w:rPr>
        <w:t xml:space="preserve">http://ssrn.com/abstract=1743712; Stephen B. Bright, </w:t>
      </w:r>
      <w:r w:rsidRPr="00990651">
        <w:rPr>
          <w:i/>
          <w:color w:val="000000" w:themeColor="text1"/>
          <w:szCs w:val="20"/>
        </w:rPr>
        <w:t>Discrimination, Death and Denial: The Tolerance of Racial Discrimination in Infliction of the Death Penalty</w:t>
      </w:r>
      <w:r w:rsidRPr="00990651">
        <w:rPr>
          <w:color w:val="000000" w:themeColor="text1"/>
          <w:szCs w:val="20"/>
        </w:rPr>
        <w:t xml:space="preserve">, 35 </w:t>
      </w:r>
      <w:r w:rsidRPr="00990651">
        <w:rPr>
          <w:smallCaps/>
          <w:color w:val="000000" w:themeColor="text1"/>
          <w:szCs w:val="20"/>
        </w:rPr>
        <w:t>Santa Clara L. Rev</w:t>
      </w:r>
      <w:r w:rsidRPr="00990651">
        <w:rPr>
          <w:color w:val="000000" w:themeColor="text1"/>
          <w:szCs w:val="20"/>
        </w:rPr>
        <w:t xml:space="preserve">. 433 (2005); Charles </w:t>
      </w:r>
      <w:proofErr w:type="spellStart"/>
      <w:r w:rsidRPr="00990651">
        <w:rPr>
          <w:color w:val="000000" w:themeColor="text1"/>
          <w:szCs w:val="20"/>
        </w:rPr>
        <w:t>Ogletree</w:t>
      </w:r>
      <w:proofErr w:type="spellEnd"/>
      <w:r w:rsidRPr="00990651">
        <w:rPr>
          <w:color w:val="000000" w:themeColor="text1"/>
          <w:szCs w:val="20"/>
        </w:rPr>
        <w:t xml:space="preserve">, </w:t>
      </w:r>
      <w:r w:rsidRPr="00990651">
        <w:rPr>
          <w:i/>
          <w:color w:val="000000" w:themeColor="text1"/>
          <w:szCs w:val="20"/>
        </w:rPr>
        <w:t>Black Man’s Burden: Race and the Death Penalty in America</w:t>
      </w:r>
      <w:r w:rsidRPr="00990651">
        <w:rPr>
          <w:color w:val="000000" w:themeColor="text1"/>
          <w:szCs w:val="20"/>
        </w:rPr>
        <w:t xml:space="preserve">, 81 </w:t>
      </w:r>
      <w:r w:rsidRPr="00990651">
        <w:rPr>
          <w:smallCaps/>
          <w:color w:val="000000" w:themeColor="text1"/>
          <w:szCs w:val="20"/>
        </w:rPr>
        <w:t>Or. L. Rev</w:t>
      </w:r>
      <w:r w:rsidRPr="00990651">
        <w:rPr>
          <w:color w:val="000000" w:themeColor="text1"/>
          <w:szCs w:val="20"/>
        </w:rPr>
        <w:t xml:space="preserve">. 15, 17 (2002); Glenn L. Pierce &amp; Michael L. </w:t>
      </w:r>
      <w:proofErr w:type="spellStart"/>
      <w:r w:rsidRPr="00990651">
        <w:rPr>
          <w:color w:val="000000" w:themeColor="text1"/>
          <w:szCs w:val="20"/>
        </w:rPr>
        <w:t>Radlet</w:t>
      </w:r>
      <w:proofErr w:type="spellEnd"/>
      <w:r w:rsidRPr="00990651">
        <w:rPr>
          <w:color w:val="000000" w:themeColor="text1"/>
          <w:szCs w:val="20"/>
        </w:rPr>
        <w:t xml:space="preserve">, </w:t>
      </w:r>
      <w:r w:rsidRPr="00990651">
        <w:rPr>
          <w:i/>
          <w:color w:val="000000" w:themeColor="text1"/>
          <w:szCs w:val="20"/>
        </w:rPr>
        <w:t>Death Sentencing in East Baton Rouge Parish, 1990-2008</w:t>
      </w:r>
      <w:r w:rsidRPr="00990651">
        <w:rPr>
          <w:color w:val="000000" w:themeColor="text1"/>
          <w:szCs w:val="20"/>
        </w:rPr>
        <w:t xml:space="preserve">, 71 </w:t>
      </w:r>
      <w:r w:rsidRPr="00990651">
        <w:rPr>
          <w:smallCaps/>
          <w:color w:val="000000" w:themeColor="text1"/>
          <w:szCs w:val="20"/>
        </w:rPr>
        <w:t>La. L. Rev. 647,</w:t>
      </w:r>
      <w:r w:rsidRPr="00990651">
        <w:rPr>
          <w:color w:val="000000" w:themeColor="text1"/>
          <w:szCs w:val="20"/>
        </w:rPr>
        <w:t xml:space="preserve"> 670 (2011).</w:t>
      </w:r>
    </w:p>
  </w:footnote>
  <w:footnote w:id="11">
    <w:p w14:paraId="175F56ED" w14:textId="77777777" w:rsidR="003D1304" w:rsidRPr="00990651" w:rsidRDefault="003D1304" w:rsidP="002E64C6">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U.S. Supreme Court Declines to Hear Case Involving Improper Race-Base Testimony</w:t>
      </w:r>
      <w:r w:rsidRPr="00990651">
        <w:rPr>
          <w:color w:val="000000" w:themeColor="text1"/>
          <w:szCs w:val="20"/>
        </w:rPr>
        <w:t>, American Bar Association Death Penalty Representation Project, 2012, Vol. V issue #1.</w:t>
      </w:r>
    </w:p>
  </w:footnote>
  <w:footnote w:id="12">
    <w:p w14:paraId="3F968E3A" w14:textId="77777777" w:rsidR="003D1304" w:rsidRPr="00990651" w:rsidRDefault="003D1304" w:rsidP="002E64C6">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spellStart"/>
      <w:proofErr w:type="gramStart"/>
      <w:r w:rsidRPr="00990651">
        <w:rPr>
          <w:i/>
          <w:color w:val="000000" w:themeColor="text1"/>
          <w:szCs w:val="20"/>
        </w:rPr>
        <w:t>McClesky</w:t>
      </w:r>
      <w:proofErr w:type="spellEnd"/>
      <w:r w:rsidRPr="00990651">
        <w:rPr>
          <w:i/>
          <w:color w:val="000000" w:themeColor="text1"/>
          <w:szCs w:val="20"/>
        </w:rPr>
        <w:t xml:space="preserve"> v. Kemp</w:t>
      </w:r>
      <w:r w:rsidRPr="00990651">
        <w:rPr>
          <w:color w:val="000000" w:themeColor="text1"/>
          <w:szCs w:val="20"/>
        </w:rPr>
        <w:t>, 481 U.S. 279 (1987).</w:t>
      </w:r>
      <w:proofErr w:type="gramEnd"/>
    </w:p>
  </w:footnote>
  <w:footnote w:id="13">
    <w:p w14:paraId="0DDB0F88" w14:textId="77777777" w:rsidR="003D1304" w:rsidRPr="00990651" w:rsidRDefault="003D1304" w:rsidP="002E64C6">
      <w:pPr>
        <w:pStyle w:val="FootnoteText"/>
        <w:rPr>
          <w:color w:val="000000" w:themeColor="text1"/>
          <w:szCs w:val="20"/>
        </w:rPr>
      </w:pPr>
      <w:r w:rsidRPr="00990651">
        <w:rPr>
          <w:color w:val="000000" w:themeColor="text1"/>
          <w:szCs w:val="20"/>
          <w:vertAlign w:val="superscript"/>
        </w:rPr>
        <w:footnoteRef/>
      </w:r>
      <w:r w:rsidRPr="00990651">
        <w:rPr>
          <w:color w:val="000000" w:themeColor="text1"/>
          <w:szCs w:val="20"/>
        </w:rPr>
        <w:t xml:space="preserve"> </w:t>
      </w:r>
      <w:r w:rsidRPr="00990651">
        <w:rPr>
          <w:i/>
          <w:color w:val="000000" w:themeColor="text1"/>
          <w:szCs w:val="20"/>
        </w:rPr>
        <w:t xml:space="preserve">Facts </w:t>
      </w:r>
      <w:proofErr w:type="gramStart"/>
      <w:r w:rsidRPr="00990651">
        <w:rPr>
          <w:i/>
          <w:color w:val="000000" w:themeColor="text1"/>
          <w:szCs w:val="20"/>
        </w:rPr>
        <w:t>About</w:t>
      </w:r>
      <w:proofErr w:type="gramEnd"/>
      <w:r w:rsidRPr="00990651">
        <w:rPr>
          <w:i/>
          <w:color w:val="000000" w:themeColor="text1"/>
          <w:szCs w:val="20"/>
        </w:rPr>
        <w:t xml:space="preserve"> the Death Penalty</w:t>
      </w:r>
      <w:r w:rsidRPr="00990651">
        <w:rPr>
          <w:color w:val="000000" w:themeColor="text1"/>
          <w:szCs w:val="20"/>
        </w:rPr>
        <w:t xml:space="preserve">, </w:t>
      </w:r>
      <w:r w:rsidRPr="00990651">
        <w:rPr>
          <w:smallCaps/>
          <w:color w:val="000000" w:themeColor="text1"/>
          <w:szCs w:val="20"/>
        </w:rPr>
        <w:t>Death Penalty Information Center</w:t>
      </w:r>
      <w:r w:rsidRPr="00990651">
        <w:rPr>
          <w:color w:val="000000" w:themeColor="text1"/>
          <w:szCs w:val="20"/>
        </w:rPr>
        <w:t>, http://www.deathpenaltyinfo.org/documents/FactSheet.pdf (last visited June 25, 2014).</w:t>
      </w:r>
    </w:p>
  </w:footnote>
  <w:footnote w:id="14">
    <w:p w14:paraId="27EF7A52" w14:textId="77777777" w:rsidR="003D1304" w:rsidRPr="00990651" w:rsidRDefault="003D1304" w:rsidP="002E64C6">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Glenn Pierce and Michael </w:t>
      </w:r>
      <w:proofErr w:type="spellStart"/>
      <w:r w:rsidRPr="00990651">
        <w:rPr>
          <w:color w:val="000000" w:themeColor="text1"/>
          <w:szCs w:val="20"/>
        </w:rPr>
        <w:t>Radelet</w:t>
      </w:r>
      <w:proofErr w:type="spellEnd"/>
      <w:r w:rsidRPr="00990651">
        <w:rPr>
          <w:color w:val="000000" w:themeColor="text1"/>
          <w:szCs w:val="20"/>
        </w:rPr>
        <w:t xml:space="preserve">, </w:t>
      </w:r>
      <w:r w:rsidRPr="00990651">
        <w:rPr>
          <w:i/>
          <w:color w:val="000000" w:themeColor="text1"/>
          <w:szCs w:val="20"/>
        </w:rPr>
        <w:t xml:space="preserve">The Impact of Legally Inappropriate Factors on Death Sentencing for California Homicides 1990-1999, </w:t>
      </w:r>
      <w:r w:rsidRPr="00990651">
        <w:rPr>
          <w:color w:val="000000" w:themeColor="text1"/>
          <w:szCs w:val="20"/>
        </w:rPr>
        <w:t xml:space="preserve">46 </w:t>
      </w:r>
      <w:r w:rsidRPr="00990651">
        <w:rPr>
          <w:smallCaps/>
          <w:color w:val="000000" w:themeColor="text1"/>
          <w:szCs w:val="20"/>
        </w:rPr>
        <w:t>Santa Clara L. Rev.</w:t>
      </w:r>
      <w:r w:rsidRPr="00990651">
        <w:rPr>
          <w:color w:val="000000" w:themeColor="text1"/>
          <w:szCs w:val="20"/>
        </w:rPr>
        <w:t xml:space="preserve"> 1 (2005).</w:t>
      </w:r>
    </w:p>
  </w:footnote>
  <w:footnote w:id="15">
    <w:p w14:paraId="2934722F" w14:textId="43AF108B" w:rsidR="003D1304" w:rsidRPr="00990651" w:rsidRDefault="003D1304" w:rsidP="002E64C6">
      <w:pPr>
        <w:rPr>
          <w:i/>
          <w:color w:val="000000" w:themeColor="text1"/>
          <w:sz w:val="20"/>
        </w:rPr>
      </w:pPr>
      <w:r w:rsidRPr="00990651">
        <w:rPr>
          <w:rStyle w:val="FootnoteReference"/>
          <w:color w:val="000000" w:themeColor="text1"/>
          <w:sz w:val="20"/>
        </w:rPr>
        <w:footnoteRef/>
      </w:r>
      <w:r w:rsidRPr="00990651">
        <w:rPr>
          <w:color w:val="000000" w:themeColor="text1"/>
          <w:sz w:val="20"/>
        </w:rPr>
        <w:t xml:space="preserve"> </w:t>
      </w:r>
      <w:proofErr w:type="gramStart"/>
      <w:r>
        <w:rPr>
          <w:color w:val="000000" w:themeColor="text1"/>
          <w:sz w:val="20"/>
        </w:rPr>
        <w:t>Ibid.</w:t>
      </w:r>
      <w:r w:rsidRPr="00990651">
        <w:rPr>
          <w:color w:val="000000" w:themeColor="text1"/>
          <w:sz w:val="20"/>
        </w:rPr>
        <w:t>;</w:t>
      </w:r>
      <w:proofErr w:type="gramEnd"/>
      <w:r w:rsidRPr="00990651">
        <w:rPr>
          <w:color w:val="000000" w:themeColor="text1"/>
          <w:sz w:val="20"/>
        </w:rPr>
        <w:t xml:space="preserve"> </w:t>
      </w:r>
      <w:r w:rsidRPr="00990651">
        <w:rPr>
          <w:i/>
          <w:color w:val="000000" w:themeColor="text1"/>
          <w:sz w:val="20"/>
        </w:rPr>
        <w:t>see also</w:t>
      </w:r>
      <w:r w:rsidRPr="00990651">
        <w:rPr>
          <w:color w:val="000000" w:themeColor="text1"/>
          <w:sz w:val="20"/>
        </w:rPr>
        <w:t xml:space="preserve"> Jennifer L. </w:t>
      </w:r>
      <w:proofErr w:type="spellStart"/>
      <w:r w:rsidRPr="00990651">
        <w:rPr>
          <w:color w:val="000000" w:themeColor="text1"/>
          <w:sz w:val="20"/>
        </w:rPr>
        <w:t>Eberhardt</w:t>
      </w:r>
      <w:proofErr w:type="spellEnd"/>
      <w:r w:rsidRPr="00990651">
        <w:rPr>
          <w:color w:val="000000" w:themeColor="text1"/>
          <w:sz w:val="20"/>
        </w:rPr>
        <w:t xml:space="preserve"> et. </w:t>
      </w:r>
      <w:proofErr w:type="gramStart"/>
      <w:r w:rsidRPr="00990651">
        <w:rPr>
          <w:color w:val="000000" w:themeColor="text1"/>
          <w:sz w:val="20"/>
        </w:rPr>
        <w:t>al</w:t>
      </w:r>
      <w:proofErr w:type="gramEnd"/>
      <w:r w:rsidRPr="00990651">
        <w:rPr>
          <w:color w:val="000000" w:themeColor="text1"/>
          <w:sz w:val="20"/>
        </w:rPr>
        <w:t xml:space="preserve">, </w:t>
      </w:r>
      <w:r w:rsidRPr="00990651">
        <w:rPr>
          <w:i/>
          <w:color w:val="000000" w:themeColor="text1"/>
          <w:sz w:val="20"/>
        </w:rPr>
        <w:t xml:space="preserve">Looking </w:t>
      </w:r>
      <w:proofErr w:type="spellStart"/>
      <w:r w:rsidRPr="00990651">
        <w:rPr>
          <w:i/>
          <w:color w:val="000000" w:themeColor="text1"/>
          <w:sz w:val="20"/>
        </w:rPr>
        <w:t>Deathworthy</w:t>
      </w:r>
      <w:proofErr w:type="spellEnd"/>
      <w:r w:rsidRPr="00990651">
        <w:rPr>
          <w:i/>
          <w:color w:val="000000" w:themeColor="text1"/>
          <w:sz w:val="20"/>
        </w:rPr>
        <w:t xml:space="preserve">: Perceived </w:t>
      </w:r>
      <w:proofErr w:type="spellStart"/>
      <w:r w:rsidRPr="00990651">
        <w:rPr>
          <w:i/>
          <w:color w:val="000000" w:themeColor="text1"/>
          <w:sz w:val="20"/>
        </w:rPr>
        <w:t>Stereotypicality</w:t>
      </w:r>
      <w:proofErr w:type="spellEnd"/>
      <w:r w:rsidRPr="00990651">
        <w:rPr>
          <w:i/>
          <w:color w:val="000000" w:themeColor="text1"/>
          <w:sz w:val="20"/>
        </w:rPr>
        <w:t xml:space="preserve"> of Black Defendants Predicts Capital-Sentencing Outcomes</w:t>
      </w:r>
      <w:r w:rsidRPr="00990651">
        <w:rPr>
          <w:color w:val="000000" w:themeColor="text1"/>
          <w:sz w:val="20"/>
        </w:rPr>
        <w:t>,</w:t>
      </w:r>
      <w:r w:rsidRPr="00990651">
        <w:rPr>
          <w:i/>
          <w:color w:val="000000" w:themeColor="text1"/>
          <w:sz w:val="20"/>
        </w:rPr>
        <w:t xml:space="preserve"> </w:t>
      </w:r>
      <w:r w:rsidRPr="00990651">
        <w:rPr>
          <w:color w:val="000000" w:themeColor="text1"/>
          <w:sz w:val="20"/>
        </w:rPr>
        <w:t xml:space="preserve">17 </w:t>
      </w:r>
      <w:r w:rsidRPr="00990651">
        <w:rPr>
          <w:smallCaps/>
          <w:color w:val="000000" w:themeColor="text1"/>
          <w:sz w:val="20"/>
        </w:rPr>
        <w:t>Psychol. Sci.</w:t>
      </w:r>
      <w:r w:rsidRPr="00990651">
        <w:rPr>
          <w:color w:val="000000" w:themeColor="text1"/>
          <w:sz w:val="20"/>
        </w:rPr>
        <w:t xml:space="preserve"> 383 (2005).</w:t>
      </w:r>
    </w:p>
  </w:footnote>
  <w:footnote w:id="16">
    <w:p w14:paraId="5C0D391C" w14:textId="77777777" w:rsidR="003D1304" w:rsidRPr="00990651" w:rsidRDefault="003D1304" w:rsidP="002E64C6">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Scott Phillips, </w:t>
      </w:r>
      <w:r w:rsidRPr="00990651">
        <w:rPr>
          <w:i/>
          <w:color w:val="000000" w:themeColor="text1"/>
          <w:szCs w:val="20"/>
        </w:rPr>
        <w:t>Status Disparities in the Capital of Punishment</w:t>
      </w:r>
      <w:r w:rsidRPr="00990651">
        <w:rPr>
          <w:color w:val="000000" w:themeColor="text1"/>
          <w:szCs w:val="20"/>
        </w:rPr>
        <w:t xml:space="preserve">, 43 </w:t>
      </w:r>
      <w:r w:rsidRPr="00990651">
        <w:rPr>
          <w:smallCaps/>
          <w:color w:val="000000" w:themeColor="text1"/>
          <w:szCs w:val="20"/>
        </w:rPr>
        <w:t xml:space="preserve">L. &amp; </w:t>
      </w:r>
      <w:proofErr w:type="spellStart"/>
      <w:r w:rsidRPr="00990651">
        <w:rPr>
          <w:smallCaps/>
          <w:color w:val="000000" w:themeColor="text1"/>
          <w:szCs w:val="20"/>
        </w:rPr>
        <w:t>Soc’y</w:t>
      </w:r>
      <w:proofErr w:type="spellEnd"/>
      <w:r w:rsidRPr="00990651">
        <w:rPr>
          <w:smallCaps/>
          <w:color w:val="000000" w:themeColor="text1"/>
          <w:szCs w:val="20"/>
        </w:rPr>
        <w:t xml:space="preserve"> Rev. </w:t>
      </w:r>
      <w:r w:rsidRPr="00990651">
        <w:rPr>
          <w:color w:val="000000" w:themeColor="text1"/>
          <w:szCs w:val="20"/>
        </w:rPr>
        <w:t xml:space="preserve">807 (2009); </w:t>
      </w:r>
      <w:r w:rsidRPr="00990651">
        <w:rPr>
          <w:i/>
          <w:color w:val="000000" w:themeColor="text1"/>
          <w:szCs w:val="20"/>
        </w:rPr>
        <w:t>see also</w:t>
      </w:r>
      <w:r w:rsidRPr="00990651">
        <w:rPr>
          <w:color w:val="000000" w:themeColor="text1"/>
          <w:szCs w:val="20"/>
        </w:rPr>
        <w:t xml:space="preserve"> Thomas P. Sullivan, </w:t>
      </w:r>
      <w:r w:rsidRPr="00990651">
        <w:rPr>
          <w:i/>
          <w:color w:val="000000" w:themeColor="text1"/>
          <w:szCs w:val="20"/>
        </w:rPr>
        <w:t>The Death Penalty: 35 Years of a Failed Experiment</w:t>
      </w:r>
      <w:r w:rsidRPr="00990651">
        <w:rPr>
          <w:color w:val="000000" w:themeColor="text1"/>
          <w:szCs w:val="20"/>
        </w:rPr>
        <w:t xml:space="preserve">, </w:t>
      </w:r>
      <w:r w:rsidRPr="00990651">
        <w:rPr>
          <w:smallCaps/>
          <w:color w:val="000000" w:themeColor="text1"/>
          <w:szCs w:val="20"/>
        </w:rPr>
        <w:t>The Hill Congress Blog</w:t>
      </w:r>
      <w:r w:rsidRPr="00990651">
        <w:rPr>
          <w:color w:val="000000" w:themeColor="text1"/>
          <w:szCs w:val="20"/>
        </w:rPr>
        <w:t xml:space="preserve"> (June 29, 2011, 9:06 AM), http://thehill.com/blogs/congress-blog/judicial/168943-the-death-penalty-35-years-of-a-failed-experiment.</w:t>
      </w:r>
    </w:p>
  </w:footnote>
  <w:footnote w:id="17">
    <w:p w14:paraId="0254BE51" w14:textId="77777777"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Racial Bias</w:t>
      </w:r>
      <w:r w:rsidRPr="00990651">
        <w:rPr>
          <w:color w:val="000000" w:themeColor="text1"/>
          <w:szCs w:val="20"/>
        </w:rPr>
        <w:t xml:space="preserve">, </w:t>
      </w:r>
      <w:r w:rsidRPr="00990651">
        <w:rPr>
          <w:smallCaps/>
          <w:color w:val="000000" w:themeColor="text1"/>
          <w:szCs w:val="20"/>
        </w:rPr>
        <w:t>Equal Justice Initiative</w:t>
      </w:r>
      <w:r w:rsidRPr="00990651">
        <w:rPr>
          <w:color w:val="000000" w:themeColor="text1"/>
          <w:szCs w:val="20"/>
        </w:rPr>
        <w:t>, http://www.eji.org/deathpenalty/racialbias (last visited June 25, 2014).</w:t>
      </w:r>
      <w:proofErr w:type="gramEnd"/>
      <w:r w:rsidRPr="00990651">
        <w:rPr>
          <w:color w:val="000000" w:themeColor="text1"/>
          <w:szCs w:val="20"/>
        </w:rPr>
        <w:t xml:space="preserve"> </w:t>
      </w:r>
    </w:p>
  </w:footnote>
  <w:footnote w:id="18">
    <w:p w14:paraId="0815E66C" w14:textId="28874B37" w:rsidR="003D1304" w:rsidRPr="00990651" w:rsidRDefault="003D1304" w:rsidP="00DA12B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smallCaps/>
          <w:color w:val="000000" w:themeColor="text1"/>
          <w:szCs w:val="20"/>
        </w:rPr>
        <w:t xml:space="preserve">Alex </w:t>
      </w:r>
      <w:proofErr w:type="spellStart"/>
      <w:r w:rsidRPr="00990651">
        <w:rPr>
          <w:smallCaps/>
          <w:color w:val="000000" w:themeColor="text1"/>
          <w:szCs w:val="20"/>
        </w:rPr>
        <w:t>Mikulich</w:t>
      </w:r>
      <w:proofErr w:type="spellEnd"/>
      <w:r w:rsidRPr="00990651">
        <w:rPr>
          <w:smallCaps/>
          <w:color w:val="000000" w:themeColor="text1"/>
          <w:szCs w:val="20"/>
        </w:rPr>
        <w:t xml:space="preserve"> &amp; Sophie Cull, Loyola University New Orleans, Diminishing All of Us: The Death Penalty in Louisiana</w:t>
      </w:r>
      <w:r w:rsidRPr="00990651">
        <w:rPr>
          <w:color w:val="000000" w:themeColor="text1"/>
          <w:szCs w:val="20"/>
        </w:rPr>
        <w:t xml:space="preserve"> (2012), at 4.</w:t>
      </w:r>
    </w:p>
  </w:footnote>
  <w:footnote w:id="19">
    <w:p w14:paraId="4B356B2B" w14:textId="77777777"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Racial Bias</w:t>
      </w:r>
      <w:r w:rsidRPr="00990651">
        <w:rPr>
          <w:color w:val="000000" w:themeColor="text1"/>
          <w:szCs w:val="20"/>
        </w:rPr>
        <w:t xml:space="preserve">, </w:t>
      </w:r>
      <w:r w:rsidRPr="00990651">
        <w:rPr>
          <w:smallCaps/>
          <w:color w:val="000000" w:themeColor="text1"/>
          <w:szCs w:val="20"/>
        </w:rPr>
        <w:t>Equal Justice Initiative</w:t>
      </w:r>
      <w:r w:rsidRPr="00990651">
        <w:rPr>
          <w:color w:val="000000" w:themeColor="text1"/>
          <w:szCs w:val="20"/>
        </w:rPr>
        <w:t xml:space="preserve">, http://www.eji.org/deathpenalty/racialbias (last visited June 25, 2014); State &amp; County </w:t>
      </w:r>
      <w:proofErr w:type="spellStart"/>
      <w:r w:rsidRPr="00990651">
        <w:rPr>
          <w:color w:val="000000" w:themeColor="text1"/>
          <w:szCs w:val="20"/>
        </w:rPr>
        <w:t>QuickFacts</w:t>
      </w:r>
      <w:proofErr w:type="spellEnd"/>
      <w:r w:rsidRPr="00990651">
        <w:rPr>
          <w:color w:val="000000" w:themeColor="text1"/>
          <w:szCs w:val="20"/>
        </w:rPr>
        <w:t>, United States Census Bureau, http://quickfacts.census.gov/qfd/states/00000.html (last visited June 25, 2014).</w:t>
      </w:r>
      <w:proofErr w:type="gramEnd"/>
      <w:r w:rsidRPr="00990651">
        <w:rPr>
          <w:color w:val="000000" w:themeColor="text1"/>
          <w:szCs w:val="20"/>
        </w:rPr>
        <w:t xml:space="preserve"> </w:t>
      </w:r>
    </w:p>
  </w:footnote>
  <w:footnote w:id="20">
    <w:p w14:paraId="5B5D285A" w14:textId="77777777"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Texas Death Penalty Developments in 2012: The Year in Review, Texas Coalition to Abolish the Death Penalty.</w:t>
      </w:r>
    </w:p>
  </w:footnote>
  <w:footnote w:id="21">
    <w:p w14:paraId="1FE1EA27" w14:textId="77777777" w:rsidR="003D1304" w:rsidRPr="00990651" w:rsidRDefault="003D1304" w:rsidP="00DD6C09">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Death Penalty Report</w:t>
      </w:r>
      <w:r w:rsidRPr="00990651">
        <w:rPr>
          <w:color w:val="000000" w:themeColor="text1"/>
          <w:szCs w:val="20"/>
        </w:rPr>
        <w:t xml:space="preserve">, </w:t>
      </w:r>
      <w:r w:rsidRPr="00990651">
        <w:rPr>
          <w:smallCaps/>
          <w:color w:val="000000" w:themeColor="text1"/>
          <w:szCs w:val="20"/>
        </w:rPr>
        <w:t>Equal Justice Initiative</w:t>
      </w:r>
      <w:r w:rsidRPr="00990651">
        <w:rPr>
          <w:color w:val="000000" w:themeColor="text1"/>
          <w:szCs w:val="20"/>
        </w:rPr>
        <w:t xml:space="preserve"> (July 15, 2013) </w:t>
      </w:r>
      <w:r w:rsidRPr="00990651">
        <w:rPr>
          <w:i/>
          <w:color w:val="000000" w:themeColor="text1"/>
          <w:szCs w:val="20"/>
        </w:rPr>
        <w:t>available at</w:t>
      </w:r>
      <w:r w:rsidRPr="00990651">
        <w:rPr>
          <w:color w:val="000000" w:themeColor="text1"/>
          <w:szCs w:val="20"/>
        </w:rPr>
        <w:t xml:space="preserve"> http://www.eji.org/deathpenalty (last visited June 25, 2014).</w:t>
      </w:r>
      <w:proofErr w:type="gramEnd"/>
    </w:p>
  </w:footnote>
  <w:footnote w:id="22">
    <w:p w14:paraId="38E08B66" w14:textId="49733AA8" w:rsidR="003D1304" w:rsidRPr="00990651" w:rsidRDefault="003D1304" w:rsidP="00DD6C09">
      <w:pPr>
        <w:pStyle w:val="FootnoteText"/>
        <w:rPr>
          <w:i/>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Pr>
          <w:color w:val="000000" w:themeColor="text1"/>
          <w:szCs w:val="20"/>
        </w:rPr>
        <w:t>Ibid.</w:t>
      </w:r>
    </w:p>
  </w:footnote>
  <w:footnote w:id="23">
    <w:p w14:paraId="1950887F" w14:textId="77777777" w:rsidR="003D1304" w:rsidRPr="00990651" w:rsidRDefault="003D1304" w:rsidP="00DD6C09">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color w:val="000000" w:themeColor="text1"/>
          <w:szCs w:val="20"/>
        </w:rPr>
        <w:t>Alabama Inmates Currently on Death Row, Alabama Dep’t of Corrections, http://www.doc.alabama.gov/DeathRow.aspx (last visited June 25, 2014).</w:t>
      </w:r>
      <w:proofErr w:type="gramEnd"/>
      <w:r w:rsidRPr="00990651">
        <w:rPr>
          <w:color w:val="000000" w:themeColor="text1"/>
          <w:szCs w:val="20"/>
        </w:rPr>
        <w:t xml:space="preserve"> </w:t>
      </w:r>
    </w:p>
  </w:footnote>
  <w:footnote w:id="24">
    <w:p w14:paraId="41912BB4" w14:textId="77777777" w:rsidR="003D1304" w:rsidRPr="00990651" w:rsidRDefault="003D1304" w:rsidP="00DD6C09">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 xml:space="preserve">State and County </w:t>
      </w:r>
      <w:proofErr w:type="spellStart"/>
      <w:r w:rsidRPr="00990651">
        <w:rPr>
          <w:i/>
          <w:color w:val="000000" w:themeColor="text1"/>
          <w:szCs w:val="20"/>
        </w:rPr>
        <w:t>QuickFacts</w:t>
      </w:r>
      <w:proofErr w:type="spellEnd"/>
      <w:r w:rsidRPr="00990651">
        <w:rPr>
          <w:color w:val="000000" w:themeColor="text1"/>
          <w:szCs w:val="20"/>
        </w:rPr>
        <w:t xml:space="preserve">, </w:t>
      </w:r>
      <w:r w:rsidRPr="00990651">
        <w:rPr>
          <w:smallCaps/>
          <w:color w:val="000000" w:themeColor="text1"/>
          <w:szCs w:val="20"/>
        </w:rPr>
        <w:t xml:space="preserve">United States Census Bureau </w:t>
      </w:r>
      <w:r w:rsidRPr="00990651">
        <w:rPr>
          <w:color w:val="000000" w:themeColor="text1"/>
          <w:szCs w:val="20"/>
        </w:rPr>
        <w:t xml:space="preserve">(June 11, 2014), </w:t>
      </w:r>
      <w:r w:rsidRPr="00990651">
        <w:rPr>
          <w:i/>
          <w:color w:val="000000" w:themeColor="text1"/>
          <w:szCs w:val="20"/>
        </w:rPr>
        <w:t xml:space="preserve">available at </w:t>
      </w:r>
      <w:r w:rsidRPr="00990651">
        <w:rPr>
          <w:color w:val="000000" w:themeColor="text1"/>
          <w:szCs w:val="20"/>
        </w:rPr>
        <w:t>http://quickfacts.census.gov/qfd/states/01000.html.</w:t>
      </w:r>
      <w:proofErr w:type="gramEnd"/>
      <w:r w:rsidRPr="00990651">
        <w:rPr>
          <w:color w:val="000000" w:themeColor="text1"/>
          <w:szCs w:val="20"/>
        </w:rPr>
        <w:t xml:space="preserve"> </w:t>
      </w:r>
    </w:p>
  </w:footnote>
  <w:footnote w:id="25">
    <w:p w14:paraId="794681BD" w14:textId="77777777"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iCs/>
          <w:color w:val="000000" w:themeColor="text1"/>
          <w:szCs w:val="20"/>
        </w:rPr>
        <w:t>See </w:t>
      </w:r>
      <w:r w:rsidRPr="00990651">
        <w:rPr>
          <w:color w:val="000000" w:themeColor="text1"/>
          <w:szCs w:val="20"/>
        </w:rPr>
        <w:t xml:space="preserve">Craig Jarvis, </w:t>
      </w:r>
      <w:r w:rsidRPr="00990651">
        <w:rPr>
          <w:i/>
          <w:iCs/>
          <w:color w:val="000000" w:themeColor="text1"/>
          <w:szCs w:val="20"/>
        </w:rPr>
        <w:t>Lawmakers Override Veto of Racial Justice Act Revamp</w:t>
      </w:r>
      <w:r w:rsidRPr="00990651">
        <w:rPr>
          <w:color w:val="000000" w:themeColor="text1"/>
          <w:szCs w:val="20"/>
        </w:rPr>
        <w:t xml:space="preserve">, </w:t>
      </w:r>
      <w:r w:rsidRPr="00990651">
        <w:rPr>
          <w:smallCaps/>
          <w:color w:val="000000" w:themeColor="text1"/>
          <w:szCs w:val="20"/>
        </w:rPr>
        <w:t>NewsObserver.com (</w:t>
      </w:r>
      <w:r w:rsidRPr="00990651">
        <w:rPr>
          <w:color w:val="000000" w:themeColor="text1"/>
          <w:szCs w:val="20"/>
        </w:rPr>
        <w:t xml:space="preserve">July 3, 2012), </w:t>
      </w:r>
      <w:r w:rsidRPr="00990651">
        <w:rPr>
          <w:i/>
          <w:iCs/>
          <w:color w:val="000000" w:themeColor="text1"/>
          <w:szCs w:val="20"/>
        </w:rPr>
        <w:t>available at </w:t>
      </w:r>
      <w:r w:rsidRPr="00990651">
        <w:rPr>
          <w:color w:val="000000" w:themeColor="text1"/>
          <w:szCs w:val="20"/>
        </w:rPr>
        <w:t>http://www.newsobserver.com/2012/07/03/2174838/senate-overrides-veto-of-racial.html (last visited June 25, 2014).</w:t>
      </w:r>
      <w:proofErr w:type="gramEnd"/>
    </w:p>
  </w:footnote>
  <w:footnote w:id="26">
    <w:p w14:paraId="20EC1856" w14:textId="7FCBBBA5" w:rsidR="003D1304" w:rsidRPr="00990651" w:rsidRDefault="003D1304" w:rsidP="00C80B3C">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Pr>
          <w:color w:val="000000" w:themeColor="text1"/>
          <w:szCs w:val="20"/>
        </w:rPr>
        <w:t>Ibid.</w:t>
      </w:r>
      <w:r w:rsidRPr="00990651">
        <w:rPr>
          <w:color w:val="000000" w:themeColor="text1"/>
          <w:szCs w:val="20"/>
        </w:rPr>
        <w:t>;</w:t>
      </w:r>
      <w:proofErr w:type="gramEnd"/>
      <w:r w:rsidRPr="00990651">
        <w:rPr>
          <w:color w:val="000000" w:themeColor="text1"/>
          <w:szCs w:val="20"/>
        </w:rPr>
        <w:t xml:space="preserve"> </w:t>
      </w:r>
      <w:r w:rsidRPr="00990651">
        <w:rPr>
          <w:i/>
          <w:color w:val="000000" w:themeColor="text1"/>
          <w:szCs w:val="20"/>
        </w:rPr>
        <w:t>North Carolina Repeals Law Allowing Racial Bias Claim in Death Penalty Challenges</w:t>
      </w:r>
      <w:r w:rsidRPr="00990651">
        <w:rPr>
          <w:color w:val="000000" w:themeColor="text1"/>
          <w:szCs w:val="20"/>
        </w:rPr>
        <w:t xml:space="preserve">, N.Y. </w:t>
      </w:r>
      <w:r w:rsidRPr="00990651">
        <w:rPr>
          <w:smallCaps/>
          <w:color w:val="000000" w:themeColor="text1"/>
          <w:szCs w:val="20"/>
        </w:rPr>
        <w:t>Times</w:t>
      </w:r>
      <w:r w:rsidRPr="00990651">
        <w:rPr>
          <w:color w:val="000000" w:themeColor="text1"/>
          <w:szCs w:val="20"/>
        </w:rPr>
        <w:t xml:space="preserve"> (June 6, 2013). </w:t>
      </w:r>
    </w:p>
  </w:footnote>
  <w:footnote w:id="27">
    <w:p w14:paraId="1C6E6BA5" w14:textId="77777777"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 xml:space="preserve">Racial Bias, </w:t>
      </w:r>
      <w:r w:rsidRPr="00990651">
        <w:rPr>
          <w:smallCaps/>
          <w:color w:val="000000" w:themeColor="text1"/>
          <w:szCs w:val="20"/>
        </w:rPr>
        <w:t>National Coalition against the Death Penalty</w:t>
      </w:r>
      <w:r w:rsidRPr="00990651">
        <w:rPr>
          <w:color w:val="000000" w:themeColor="text1"/>
          <w:szCs w:val="20"/>
        </w:rPr>
        <w:t xml:space="preserve">, http://www.ncadp.org/pages/racial-bias (last visited June 25, 2014); </w:t>
      </w:r>
      <w:r w:rsidRPr="00990651">
        <w:rPr>
          <w:i/>
          <w:color w:val="000000" w:themeColor="text1"/>
          <w:szCs w:val="20"/>
        </w:rPr>
        <w:t>Racial Bias</w:t>
      </w:r>
      <w:r w:rsidRPr="00990651">
        <w:rPr>
          <w:color w:val="000000" w:themeColor="text1"/>
          <w:szCs w:val="20"/>
        </w:rPr>
        <w:t xml:space="preserve">, </w:t>
      </w:r>
      <w:r w:rsidRPr="00990651">
        <w:rPr>
          <w:smallCaps/>
          <w:color w:val="000000" w:themeColor="text1"/>
          <w:szCs w:val="20"/>
        </w:rPr>
        <w:t>Equal Justice Initiative</w:t>
      </w:r>
      <w:r w:rsidRPr="00990651">
        <w:rPr>
          <w:color w:val="000000" w:themeColor="text1"/>
          <w:szCs w:val="20"/>
        </w:rPr>
        <w:t xml:space="preserve">, http://www.eji.org/deathpenalty/racialbias (last visited June 25, 2014); </w:t>
      </w:r>
      <w:r w:rsidRPr="00990651">
        <w:rPr>
          <w:i/>
          <w:color w:val="000000" w:themeColor="text1"/>
          <w:szCs w:val="20"/>
        </w:rPr>
        <w:t xml:space="preserve">The Case against the Death Penalty, </w:t>
      </w:r>
      <w:r w:rsidRPr="00990651">
        <w:rPr>
          <w:color w:val="000000" w:themeColor="text1"/>
          <w:szCs w:val="20"/>
        </w:rPr>
        <w:t>ACLU (Dec. 11, 2012)</w:t>
      </w:r>
    </w:p>
  </w:footnote>
  <w:footnote w:id="28">
    <w:p w14:paraId="53244898" w14:textId="77777777" w:rsidR="003D1304" w:rsidRPr="00990651" w:rsidRDefault="003D1304" w:rsidP="00EA22B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Irreversible Error: Recommended Reforms for Preventing and Correcting Errors in the Administration of Capital Punishment</w:t>
      </w:r>
      <w:r w:rsidRPr="00990651">
        <w:rPr>
          <w:color w:val="000000" w:themeColor="text1"/>
          <w:szCs w:val="20"/>
        </w:rPr>
        <w:t xml:space="preserve">, </w:t>
      </w:r>
      <w:r w:rsidRPr="00990651">
        <w:rPr>
          <w:smallCaps/>
          <w:color w:val="000000" w:themeColor="text1"/>
          <w:szCs w:val="20"/>
        </w:rPr>
        <w:t xml:space="preserve">The Constitution Project </w:t>
      </w:r>
      <w:r w:rsidRPr="00990651">
        <w:rPr>
          <w:color w:val="000000" w:themeColor="text1"/>
          <w:szCs w:val="20"/>
        </w:rPr>
        <w:t xml:space="preserve">(May 7, 2014), </w:t>
      </w:r>
      <w:r w:rsidRPr="00990651">
        <w:rPr>
          <w:i/>
          <w:color w:val="000000" w:themeColor="text1"/>
          <w:szCs w:val="20"/>
        </w:rPr>
        <w:t xml:space="preserve">available at </w:t>
      </w:r>
      <w:r w:rsidRPr="00990651">
        <w:rPr>
          <w:color w:val="000000" w:themeColor="text1"/>
          <w:szCs w:val="20"/>
        </w:rPr>
        <w:t xml:space="preserve">http://www.constitutionproject.org/wp-content/uploads/2014/06/Irreversible-Error_FINAL.pdf. </w:t>
      </w:r>
    </w:p>
  </w:footnote>
  <w:footnote w:id="29">
    <w:p w14:paraId="3201DD24" w14:textId="56386E4E"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Pr>
          <w:color w:val="000000" w:themeColor="text1"/>
          <w:szCs w:val="20"/>
        </w:rPr>
        <w:t xml:space="preserve">Id. at </w:t>
      </w:r>
      <w:r w:rsidRPr="00990651">
        <w:rPr>
          <w:color w:val="000000" w:themeColor="text1"/>
          <w:szCs w:val="20"/>
        </w:rPr>
        <w:t xml:space="preserve">125-130. </w:t>
      </w:r>
    </w:p>
  </w:footnote>
  <w:footnote w:id="30">
    <w:p w14:paraId="0C8D7377" w14:textId="7777777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Innocence: List of Those Freed from Death Row</w:t>
      </w:r>
      <w:r w:rsidRPr="00990651">
        <w:rPr>
          <w:color w:val="000000" w:themeColor="text1"/>
          <w:szCs w:val="20"/>
        </w:rPr>
        <w:t xml:space="preserve">, </w:t>
      </w:r>
      <w:r w:rsidRPr="00990651">
        <w:rPr>
          <w:rFonts w:eastAsia="Calibri"/>
          <w:smallCaps/>
          <w:color w:val="000000" w:themeColor="text1"/>
          <w:szCs w:val="20"/>
        </w:rPr>
        <w:t xml:space="preserve">Death Penalty Information Center, </w:t>
      </w:r>
      <w:r w:rsidRPr="00990651">
        <w:rPr>
          <w:color w:val="000000" w:themeColor="text1"/>
          <w:szCs w:val="20"/>
        </w:rPr>
        <w:t>http://www.deathpenaltyinfo.org/innocence-list-those-freed-death-row?scid=6&amp;did=110 (last visited June 25, 2014).</w:t>
      </w:r>
    </w:p>
  </w:footnote>
  <w:footnote w:id="31">
    <w:p w14:paraId="2993575A" w14:textId="7777777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1,505 is the number of years </w:t>
      </w:r>
      <w:r w:rsidRPr="00990651">
        <w:rPr>
          <w:rFonts w:eastAsia="Calibri"/>
          <w:color w:val="000000" w:themeColor="text1"/>
          <w:szCs w:val="20"/>
        </w:rPr>
        <w:t xml:space="preserve">between their sentence to death and exoneration. </w:t>
      </w:r>
      <w:r w:rsidRPr="00990651">
        <w:rPr>
          <w:rFonts w:eastAsia="Calibri"/>
          <w:i/>
          <w:color w:val="000000" w:themeColor="text1"/>
          <w:szCs w:val="20"/>
        </w:rPr>
        <w:t>Innocence: List of Those Freed from Death Row</w:t>
      </w:r>
      <w:r w:rsidRPr="00990651">
        <w:rPr>
          <w:rFonts w:eastAsia="Calibri"/>
          <w:color w:val="000000" w:themeColor="text1"/>
          <w:szCs w:val="20"/>
        </w:rPr>
        <w:t xml:space="preserve">, </w:t>
      </w:r>
      <w:r w:rsidRPr="00990651">
        <w:rPr>
          <w:rFonts w:eastAsia="Calibri"/>
          <w:smallCaps/>
          <w:color w:val="000000" w:themeColor="text1"/>
          <w:szCs w:val="20"/>
        </w:rPr>
        <w:t>Death Penalty Information Center</w:t>
      </w:r>
      <w:r w:rsidRPr="00990651">
        <w:rPr>
          <w:rFonts w:eastAsia="Calibri"/>
          <w:color w:val="000000" w:themeColor="text1"/>
          <w:szCs w:val="20"/>
        </w:rPr>
        <w:t xml:space="preserve">, </w:t>
      </w:r>
      <w:r w:rsidRPr="00990651">
        <w:rPr>
          <w:color w:val="000000" w:themeColor="text1"/>
          <w:szCs w:val="20"/>
        </w:rPr>
        <w:t>http://deathpenaltyinfo.org/innocence-list-those-freed-death-row (last visited June 25, 2014).</w:t>
      </w:r>
    </w:p>
  </w:footnote>
  <w:footnote w:id="32">
    <w:p w14:paraId="148AD73D" w14:textId="77777777"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Rate of False Conviction of Criminal Defendants Who Are Sentenced to Death</w:t>
      </w:r>
      <w:r w:rsidRPr="00990651">
        <w:rPr>
          <w:color w:val="000000" w:themeColor="text1"/>
          <w:szCs w:val="20"/>
        </w:rPr>
        <w:t xml:space="preserve">, </w:t>
      </w:r>
      <w:r w:rsidRPr="00990651">
        <w:rPr>
          <w:rFonts w:eastAsia="Calibri"/>
          <w:smallCaps/>
          <w:color w:val="000000" w:themeColor="text1"/>
          <w:szCs w:val="20"/>
        </w:rPr>
        <w:t>Proceedings of the National Academy of Sciences,</w:t>
      </w:r>
      <w:r w:rsidRPr="00990651">
        <w:rPr>
          <w:color w:val="000000" w:themeColor="text1"/>
          <w:szCs w:val="20"/>
        </w:rPr>
        <w:t xml:space="preserve"> </w:t>
      </w:r>
      <w:r w:rsidRPr="00990651">
        <w:rPr>
          <w:i/>
          <w:color w:val="000000" w:themeColor="text1"/>
          <w:szCs w:val="20"/>
        </w:rPr>
        <w:t xml:space="preserve">available at </w:t>
      </w:r>
      <w:r w:rsidRPr="00990651">
        <w:rPr>
          <w:color w:val="000000" w:themeColor="text1"/>
          <w:szCs w:val="20"/>
        </w:rPr>
        <w:t>http://www.pnas.org/content/111/20/7230.full (last visited June 25, 2014).</w:t>
      </w:r>
      <w:proofErr w:type="gramEnd"/>
      <w:r w:rsidRPr="00990651">
        <w:rPr>
          <w:color w:val="000000" w:themeColor="text1"/>
          <w:szCs w:val="20"/>
        </w:rPr>
        <w:t xml:space="preserve"> </w:t>
      </w:r>
    </w:p>
  </w:footnote>
  <w:footnote w:id="33">
    <w:p w14:paraId="2D6FF3D6" w14:textId="7777777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According to the Death Penalty Information Center, at least ten men with strong evidence of their innocence have been executed. </w:t>
      </w:r>
      <w:r w:rsidRPr="00990651">
        <w:rPr>
          <w:i/>
          <w:color w:val="000000" w:themeColor="text1"/>
          <w:szCs w:val="20"/>
        </w:rPr>
        <w:t>See</w:t>
      </w:r>
      <w:r w:rsidRPr="00990651">
        <w:rPr>
          <w:color w:val="000000" w:themeColor="text1"/>
          <w:szCs w:val="20"/>
        </w:rPr>
        <w:t xml:space="preserve"> </w:t>
      </w:r>
      <w:r w:rsidRPr="00990651">
        <w:rPr>
          <w:i/>
          <w:color w:val="000000" w:themeColor="text1"/>
          <w:szCs w:val="20"/>
        </w:rPr>
        <w:t xml:space="preserve">Executed </w:t>
      </w:r>
      <w:proofErr w:type="gramStart"/>
      <w:r w:rsidRPr="00990651">
        <w:rPr>
          <w:i/>
          <w:color w:val="000000" w:themeColor="text1"/>
          <w:szCs w:val="20"/>
        </w:rPr>
        <w:t>But</w:t>
      </w:r>
      <w:proofErr w:type="gramEnd"/>
      <w:r w:rsidRPr="00990651">
        <w:rPr>
          <w:i/>
          <w:color w:val="000000" w:themeColor="text1"/>
          <w:szCs w:val="20"/>
        </w:rPr>
        <w:t xml:space="preserve"> Possibly Innocent</w:t>
      </w:r>
      <w:r w:rsidRPr="00990651">
        <w:rPr>
          <w:color w:val="000000" w:themeColor="text1"/>
          <w:szCs w:val="20"/>
        </w:rPr>
        <w:t xml:space="preserve">, </w:t>
      </w:r>
      <w:r w:rsidRPr="00990651">
        <w:rPr>
          <w:smallCaps/>
          <w:color w:val="000000" w:themeColor="text1"/>
          <w:szCs w:val="20"/>
        </w:rPr>
        <w:t>Death Penalty Information Center</w:t>
      </w:r>
      <w:r w:rsidRPr="00990651">
        <w:rPr>
          <w:color w:val="000000" w:themeColor="text1"/>
          <w:szCs w:val="20"/>
        </w:rPr>
        <w:t xml:space="preserve">, http://deathpenaltyinfo.org/executed-possibly-innocent (last visited June 25, 2014). These persons include Troy Davis, Cameron Todd Willingham, Claude Jones, Gary Graham, Leo Jones, David Spence, Joseph O’Dell, Larry Griffin, Ruben Cantu, and Carlos </w:t>
      </w:r>
      <w:proofErr w:type="spellStart"/>
      <w:r w:rsidRPr="00990651">
        <w:rPr>
          <w:color w:val="000000" w:themeColor="text1"/>
          <w:szCs w:val="20"/>
        </w:rPr>
        <w:t>DeLuna</w:t>
      </w:r>
      <w:proofErr w:type="spellEnd"/>
      <w:r w:rsidRPr="00990651">
        <w:rPr>
          <w:color w:val="000000" w:themeColor="text1"/>
          <w:szCs w:val="20"/>
        </w:rPr>
        <w:t>.</w:t>
      </w:r>
    </w:p>
  </w:footnote>
  <w:footnote w:id="34">
    <w:p w14:paraId="3AEA26D1" w14:textId="7777777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See</w:t>
      </w:r>
      <w:r w:rsidRPr="00990651">
        <w:rPr>
          <w:color w:val="000000" w:themeColor="text1"/>
          <w:szCs w:val="20"/>
        </w:rPr>
        <w:t xml:space="preserve"> </w:t>
      </w:r>
      <w:r w:rsidRPr="00990651">
        <w:rPr>
          <w:i/>
          <w:color w:val="000000" w:themeColor="text1"/>
          <w:szCs w:val="20"/>
        </w:rPr>
        <w:t>I Am Troy Davis: The Fight for Abolition Continues</w:t>
      </w:r>
      <w:r w:rsidRPr="00990651">
        <w:rPr>
          <w:color w:val="000000" w:themeColor="text1"/>
          <w:szCs w:val="20"/>
        </w:rPr>
        <w:t xml:space="preserve">, </w:t>
      </w:r>
      <w:r w:rsidRPr="00990651">
        <w:rPr>
          <w:smallCaps/>
          <w:color w:val="000000" w:themeColor="text1"/>
          <w:szCs w:val="20"/>
        </w:rPr>
        <w:t>Amnesty International</w:t>
      </w:r>
      <w:r w:rsidRPr="00990651">
        <w:rPr>
          <w:color w:val="000000" w:themeColor="text1"/>
          <w:szCs w:val="20"/>
        </w:rPr>
        <w:t xml:space="preserve">, http://www.amnestyusa.org/our-work/cases/usa-troy-davis (last visited June 25, 2014). </w:t>
      </w:r>
    </w:p>
  </w:footnote>
  <w:footnote w:id="35">
    <w:p w14:paraId="43E0041B" w14:textId="32927019"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Exonerations in 2013</w:t>
      </w:r>
      <w:r w:rsidRPr="00990651">
        <w:rPr>
          <w:color w:val="000000" w:themeColor="text1"/>
          <w:szCs w:val="20"/>
        </w:rPr>
        <w:t>,</w:t>
      </w:r>
      <w:r w:rsidRPr="00990651">
        <w:rPr>
          <w:rFonts w:eastAsia="Calibri"/>
          <w:smallCaps/>
          <w:color w:val="000000" w:themeColor="text1"/>
          <w:szCs w:val="20"/>
        </w:rPr>
        <w:t xml:space="preserve"> The National Registry of Exonerations,</w:t>
      </w:r>
      <w:r w:rsidRPr="00990651">
        <w:rPr>
          <w:color w:val="000000" w:themeColor="text1"/>
          <w:szCs w:val="20"/>
        </w:rPr>
        <w:t xml:space="preserve"> at 15 (Feb. 4, 2014) </w:t>
      </w:r>
      <w:r w:rsidRPr="00990651">
        <w:rPr>
          <w:i/>
          <w:color w:val="000000" w:themeColor="text1"/>
          <w:szCs w:val="20"/>
        </w:rPr>
        <w:t xml:space="preserve">available at </w:t>
      </w:r>
      <w:r w:rsidRPr="00990651">
        <w:rPr>
          <w:color w:val="000000" w:themeColor="text1"/>
          <w:szCs w:val="20"/>
        </w:rPr>
        <w:t>https://www.law.umich.edu/special/exoneration/Documents/Exonerations_in_2013_Report.pdf.</w:t>
      </w:r>
      <w:proofErr w:type="gramEnd"/>
    </w:p>
  </w:footnote>
  <w:footnote w:id="36">
    <w:p w14:paraId="040A5408" w14:textId="67345E62"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Exonerations in 2013</w:t>
      </w:r>
      <w:r w:rsidRPr="00990651">
        <w:rPr>
          <w:color w:val="000000" w:themeColor="text1"/>
          <w:szCs w:val="20"/>
        </w:rPr>
        <w:t>,</w:t>
      </w:r>
      <w:r w:rsidRPr="00990651">
        <w:rPr>
          <w:rFonts w:eastAsia="Calibri"/>
          <w:smallCaps/>
          <w:color w:val="000000" w:themeColor="text1"/>
          <w:szCs w:val="20"/>
        </w:rPr>
        <w:t xml:space="preserve"> The National Registry of Exonerations, </w:t>
      </w:r>
      <w:r w:rsidRPr="00990651">
        <w:rPr>
          <w:color w:val="000000" w:themeColor="text1"/>
          <w:szCs w:val="20"/>
        </w:rPr>
        <w:t xml:space="preserve">at 15 (Feb. 4, 2014) </w:t>
      </w:r>
      <w:r w:rsidRPr="00990651">
        <w:rPr>
          <w:i/>
          <w:color w:val="000000" w:themeColor="text1"/>
          <w:szCs w:val="20"/>
        </w:rPr>
        <w:t xml:space="preserve">available at </w:t>
      </w:r>
      <w:r w:rsidRPr="00990651">
        <w:rPr>
          <w:color w:val="000000" w:themeColor="text1"/>
          <w:szCs w:val="20"/>
        </w:rPr>
        <w:t>https://www.law.umich.edu/special/exoneration/Documents/Exonerations_in_2013_Report.pdf.</w:t>
      </w:r>
      <w:proofErr w:type="gramEnd"/>
      <w:r w:rsidRPr="00990651">
        <w:rPr>
          <w:color w:val="000000" w:themeColor="text1"/>
          <w:szCs w:val="20"/>
        </w:rPr>
        <w:t xml:space="preserve"> The Innocence Project provides similar statistics, stating, “While 29% of people in prison for rape are black, 64% of the people who were wrongfully convicted of rape (and then exonerated through DNA) are black.” </w:t>
      </w:r>
      <w:r w:rsidRPr="00990651">
        <w:rPr>
          <w:i/>
          <w:color w:val="000000" w:themeColor="text1"/>
          <w:szCs w:val="20"/>
        </w:rPr>
        <w:t>In</w:t>
      </w:r>
      <w:r w:rsidRPr="00990651">
        <w:rPr>
          <w:color w:val="000000" w:themeColor="text1"/>
          <w:szCs w:val="20"/>
        </w:rPr>
        <w:t xml:space="preserve"> </w:t>
      </w:r>
      <w:r w:rsidRPr="00990651">
        <w:rPr>
          <w:i/>
          <w:color w:val="000000" w:themeColor="text1"/>
          <w:szCs w:val="20"/>
        </w:rPr>
        <w:t xml:space="preserve">200th DNA Exoneration Nationwide Jerry Miller in Chicago is Proven Innocent 25 Years </w:t>
      </w:r>
      <w:proofErr w:type="gramStart"/>
      <w:r w:rsidRPr="00990651">
        <w:rPr>
          <w:i/>
          <w:color w:val="000000" w:themeColor="text1"/>
          <w:szCs w:val="20"/>
        </w:rPr>
        <w:t>After</w:t>
      </w:r>
      <w:proofErr w:type="gramEnd"/>
      <w:r w:rsidRPr="00990651">
        <w:rPr>
          <w:i/>
          <w:color w:val="000000" w:themeColor="text1"/>
          <w:szCs w:val="20"/>
        </w:rPr>
        <w:t xml:space="preserve"> Wrongful Conviction</w:t>
      </w:r>
      <w:r w:rsidRPr="00990651">
        <w:rPr>
          <w:color w:val="000000" w:themeColor="text1"/>
          <w:szCs w:val="20"/>
        </w:rPr>
        <w:t>,</w:t>
      </w:r>
      <w:r w:rsidRPr="00990651">
        <w:rPr>
          <w:i/>
          <w:color w:val="000000" w:themeColor="text1"/>
          <w:szCs w:val="20"/>
        </w:rPr>
        <w:t xml:space="preserve"> </w:t>
      </w:r>
      <w:r w:rsidRPr="00990651">
        <w:rPr>
          <w:smallCaps/>
          <w:color w:val="000000" w:themeColor="text1"/>
          <w:szCs w:val="20"/>
        </w:rPr>
        <w:t>The Innocence Project</w:t>
      </w:r>
      <w:r w:rsidRPr="00990651">
        <w:rPr>
          <w:color w:val="000000" w:themeColor="text1"/>
          <w:szCs w:val="20"/>
        </w:rPr>
        <w:t xml:space="preserve">, http://www.innocenceproject.org/Content/In_200th_DNA_Exoneration_Nationwide_Jerry_Miller_in_Chicago_Is_Proven_Innocent_25_Years_After_Wrongful_Conviction.php (last visited June 25, 2014) [hereinafter </w:t>
      </w:r>
      <w:r w:rsidRPr="00990651">
        <w:rPr>
          <w:i/>
          <w:color w:val="000000" w:themeColor="text1"/>
          <w:szCs w:val="20"/>
        </w:rPr>
        <w:t>200 Exonerated</w:t>
      </w:r>
      <w:r w:rsidRPr="00990651">
        <w:rPr>
          <w:color w:val="000000" w:themeColor="text1"/>
          <w:szCs w:val="20"/>
        </w:rPr>
        <w:t>].</w:t>
      </w:r>
    </w:p>
  </w:footnote>
  <w:footnote w:id="37">
    <w:p w14:paraId="1B4670AE" w14:textId="5386DADD"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200 Exonerated</w:t>
      </w:r>
      <w:r w:rsidRPr="00990651">
        <w:rPr>
          <w:color w:val="000000" w:themeColor="text1"/>
          <w:szCs w:val="20"/>
        </w:rPr>
        <w:t xml:space="preserve">, </w:t>
      </w:r>
      <w:r w:rsidRPr="00990651">
        <w:rPr>
          <w:i/>
          <w:color w:val="000000" w:themeColor="text1"/>
          <w:szCs w:val="20"/>
        </w:rPr>
        <w:t>Exonerations in 2013</w:t>
      </w:r>
      <w:r w:rsidRPr="00990651">
        <w:rPr>
          <w:color w:val="000000" w:themeColor="text1"/>
          <w:szCs w:val="20"/>
        </w:rPr>
        <w:t>,</w:t>
      </w:r>
      <w:r w:rsidRPr="00990651">
        <w:rPr>
          <w:rFonts w:eastAsia="Calibri"/>
          <w:smallCaps/>
          <w:color w:val="000000" w:themeColor="text1"/>
          <w:szCs w:val="20"/>
        </w:rPr>
        <w:t xml:space="preserve"> The National Registry of Exonerations, </w:t>
      </w:r>
      <w:r w:rsidRPr="00990651">
        <w:rPr>
          <w:color w:val="000000" w:themeColor="text1"/>
          <w:szCs w:val="20"/>
        </w:rPr>
        <w:t xml:space="preserve">15 (Feb. 4, 2014) </w:t>
      </w:r>
      <w:r w:rsidRPr="00990651">
        <w:rPr>
          <w:i/>
          <w:color w:val="000000" w:themeColor="text1"/>
          <w:szCs w:val="20"/>
        </w:rPr>
        <w:t xml:space="preserve">available at </w:t>
      </w:r>
      <w:r w:rsidRPr="00990651">
        <w:rPr>
          <w:color w:val="000000" w:themeColor="text1"/>
          <w:szCs w:val="20"/>
        </w:rPr>
        <w:t xml:space="preserve">https://www.law.umich.edu/special/exoneration/Documents/Exonerations_in_2013_Report.pdf [hereinafter </w:t>
      </w:r>
      <w:r w:rsidRPr="00990651">
        <w:rPr>
          <w:i/>
          <w:color w:val="000000" w:themeColor="text1"/>
          <w:szCs w:val="20"/>
        </w:rPr>
        <w:t>Exonerations</w:t>
      </w:r>
      <w:r w:rsidRPr="00990651">
        <w:rPr>
          <w:color w:val="000000" w:themeColor="text1"/>
          <w:szCs w:val="20"/>
        </w:rPr>
        <w:t>].</w:t>
      </w:r>
      <w:proofErr w:type="gramEnd"/>
    </w:p>
  </w:footnote>
  <w:footnote w:id="38">
    <w:p w14:paraId="785D7868" w14:textId="77777777" w:rsidR="003D1304" w:rsidRPr="00990651" w:rsidRDefault="003D1304" w:rsidP="005F6CA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Rate of False Conviction of Criminal Defendants Who Are Sentenced to Death</w:t>
      </w:r>
      <w:r w:rsidRPr="00990651">
        <w:rPr>
          <w:color w:val="000000" w:themeColor="text1"/>
          <w:szCs w:val="20"/>
        </w:rPr>
        <w:t xml:space="preserve">, </w:t>
      </w:r>
      <w:r w:rsidRPr="00990651">
        <w:rPr>
          <w:rFonts w:eastAsia="Calibri"/>
          <w:smallCaps/>
          <w:color w:val="000000" w:themeColor="text1"/>
          <w:szCs w:val="20"/>
        </w:rPr>
        <w:t>Proceedings of the National Academy of Sciences,</w:t>
      </w:r>
      <w:r w:rsidRPr="00990651">
        <w:rPr>
          <w:color w:val="000000" w:themeColor="text1"/>
          <w:szCs w:val="20"/>
        </w:rPr>
        <w:t xml:space="preserve"> </w:t>
      </w:r>
      <w:r w:rsidRPr="00990651">
        <w:rPr>
          <w:i/>
          <w:color w:val="000000" w:themeColor="text1"/>
          <w:szCs w:val="20"/>
        </w:rPr>
        <w:t xml:space="preserve">available at </w:t>
      </w:r>
      <w:r w:rsidRPr="00990651">
        <w:rPr>
          <w:color w:val="000000" w:themeColor="text1"/>
          <w:szCs w:val="20"/>
        </w:rPr>
        <w:t>http://www.pnas.org/content/111/20/7230.full (last visited June 25, 2014).</w:t>
      </w:r>
      <w:proofErr w:type="gramEnd"/>
    </w:p>
  </w:footnote>
  <w:footnote w:id="39">
    <w:p w14:paraId="34E12CA3" w14:textId="77777777" w:rsidR="003D1304" w:rsidRPr="00990651" w:rsidRDefault="003D1304" w:rsidP="00EA22B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 xml:space="preserve">Causes of Wrongful Convictions, </w:t>
      </w:r>
      <w:r w:rsidRPr="00990651">
        <w:rPr>
          <w:smallCaps/>
          <w:color w:val="000000" w:themeColor="text1"/>
          <w:szCs w:val="20"/>
        </w:rPr>
        <w:t>Death Penalty Information Center</w:t>
      </w:r>
      <w:r w:rsidRPr="00990651">
        <w:rPr>
          <w:color w:val="000000" w:themeColor="text1"/>
          <w:szCs w:val="20"/>
        </w:rPr>
        <w:t xml:space="preserve">, http://www.deathpenaltyinfo.org/causes-wrongful-convictions (last visited June 25, 2014); </w:t>
      </w:r>
      <w:r w:rsidRPr="00990651">
        <w:rPr>
          <w:i/>
          <w:color w:val="000000" w:themeColor="text1"/>
          <w:szCs w:val="20"/>
        </w:rPr>
        <w:t xml:space="preserve">The Causes of Wrongful Conviction, </w:t>
      </w:r>
      <w:r w:rsidRPr="00990651">
        <w:rPr>
          <w:smallCaps/>
          <w:color w:val="000000" w:themeColor="text1"/>
          <w:szCs w:val="20"/>
        </w:rPr>
        <w:t>The Innocence Project</w:t>
      </w:r>
      <w:r w:rsidRPr="00990651">
        <w:rPr>
          <w:color w:val="000000" w:themeColor="text1"/>
          <w:szCs w:val="20"/>
        </w:rPr>
        <w:t>, http://www.innocenceproject.org/understand/ (last visited June 25, 2014).</w:t>
      </w:r>
      <w:proofErr w:type="gramEnd"/>
      <w:r w:rsidRPr="00990651">
        <w:rPr>
          <w:color w:val="000000" w:themeColor="text1"/>
          <w:szCs w:val="20"/>
        </w:rPr>
        <w:t xml:space="preserve"> </w:t>
      </w:r>
    </w:p>
  </w:footnote>
  <w:footnote w:id="40">
    <w:p w14:paraId="3D7A309F" w14:textId="39BDE16F"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Exonerations in 2013</w:t>
      </w:r>
      <w:r w:rsidRPr="00990651">
        <w:rPr>
          <w:color w:val="000000" w:themeColor="text1"/>
          <w:szCs w:val="20"/>
        </w:rPr>
        <w:t>,</w:t>
      </w:r>
      <w:r w:rsidRPr="00990651">
        <w:rPr>
          <w:rFonts w:eastAsia="Calibri"/>
          <w:smallCaps/>
          <w:color w:val="000000" w:themeColor="text1"/>
          <w:szCs w:val="20"/>
        </w:rPr>
        <w:t xml:space="preserve"> The National Registry of Exonerations,</w:t>
      </w:r>
      <w:r w:rsidRPr="00990651">
        <w:rPr>
          <w:color w:val="000000" w:themeColor="text1"/>
          <w:szCs w:val="20"/>
        </w:rPr>
        <w:t xml:space="preserve"> 15 (Feb. 4, 2014) 17, </w:t>
      </w:r>
      <w:r w:rsidRPr="00990651">
        <w:rPr>
          <w:i/>
          <w:color w:val="000000" w:themeColor="text1"/>
          <w:szCs w:val="20"/>
        </w:rPr>
        <w:t xml:space="preserve">available at </w:t>
      </w:r>
      <w:r w:rsidRPr="00990651">
        <w:rPr>
          <w:color w:val="000000" w:themeColor="text1"/>
          <w:szCs w:val="20"/>
        </w:rPr>
        <w:t>https://www.law.umich.edu/special/exoneration/Documents/Exonerations_in_2013_Report.pdf.</w:t>
      </w:r>
      <w:proofErr w:type="gramEnd"/>
    </w:p>
  </w:footnote>
  <w:footnote w:id="41">
    <w:p w14:paraId="13A82193" w14:textId="6AC3D583"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Reevaluating Lineups: Why Witnesses Make Mistakes and How to Reduce the Chance of Misidentification</w:t>
      </w:r>
      <w:r w:rsidRPr="00990651">
        <w:rPr>
          <w:color w:val="000000" w:themeColor="text1"/>
          <w:szCs w:val="20"/>
        </w:rPr>
        <w:t xml:space="preserve">, </w:t>
      </w:r>
      <w:r w:rsidRPr="00990651">
        <w:rPr>
          <w:smallCaps/>
          <w:color w:val="000000" w:themeColor="text1"/>
          <w:szCs w:val="20"/>
        </w:rPr>
        <w:t xml:space="preserve">The Innocence Project, </w:t>
      </w:r>
      <w:r w:rsidRPr="00990651">
        <w:rPr>
          <w:color w:val="000000" w:themeColor="text1"/>
          <w:szCs w:val="20"/>
        </w:rPr>
        <w:t>at</w:t>
      </w:r>
      <w:r w:rsidRPr="00990651" w:rsidDel="00DE727A">
        <w:rPr>
          <w:color w:val="000000" w:themeColor="text1"/>
          <w:szCs w:val="20"/>
        </w:rPr>
        <w:t xml:space="preserve"> </w:t>
      </w:r>
      <w:r w:rsidRPr="00990651">
        <w:rPr>
          <w:color w:val="000000" w:themeColor="text1"/>
          <w:szCs w:val="20"/>
        </w:rPr>
        <w:t>3, http://www.innocenceproject.org/docs/Eyewitness_ID_Report.pdf</w:t>
      </w:r>
      <w:r w:rsidRPr="00990651">
        <w:rPr>
          <w:rStyle w:val="Hyperlink"/>
          <w:color w:val="000000" w:themeColor="text1"/>
          <w:szCs w:val="20"/>
          <w:u w:val="none"/>
        </w:rPr>
        <w:t xml:space="preserve"> </w:t>
      </w:r>
      <w:r w:rsidRPr="00990651">
        <w:rPr>
          <w:color w:val="000000" w:themeColor="text1"/>
          <w:szCs w:val="20"/>
        </w:rPr>
        <w:t xml:space="preserve">(last visited June 25, 2014) [hereinafter </w:t>
      </w:r>
      <w:r w:rsidRPr="00990651">
        <w:rPr>
          <w:i/>
          <w:color w:val="000000" w:themeColor="text1"/>
          <w:szCs w:val="20"/>
        </w:rPr>
        <w:t>Reevaluating Lineups</w:t>
      </w:r>
      <w:r w:rsidRPr="00990651">
        <w:rPr>
          <w:color w:val="000000" w:themeColor="text1"/>
          <w:szCs w:val="20"/>
        </w:rPr>
        <w:t xml:space="preserve">]. </w:t>
      </w:r>
    </w:p>
  </w:footnote>
  <w:footnote w:id="42">
    <w:p w14:paraId="341CC7C4" w14:textId="75472FC6"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00EB07FA">
        <w:rPr>
          <w:color w:val="000000" w:themeColor="text1"/>
          <w:szCs w:val="20"/>
        </w:rPr>
        <w:t xml:space="preserve">Id. at </w:t>
      </w:r>
      <w:r w:rsidRPr="00990651">
        <w:rPr>
          <w:color w:val="000000" w:themeColor="text1"/>
          <w:szCs w:val="20"/>
        </w:rPr>
        <w:t>8</w:t>
      </w:r>
      <w:r w:rsidR="00EB07FA">
        <w:rPr>
          <w:color w:val="000000" w:themeColor="text1"/>
          <w:szCs w:val="20"/>
        </w:rPr>
        <w:t>.</w:t>
      </w:r>
      <w:proofErr w:type="gramEnd"/>
      <w:r w:rsidRPr="00990651">
        <w:rPr>
          <w:color w:val="000000" w:themeColor="text1"/>
          <w:szCs w:val="20"/>
        </w:rPr>
        <w:t xml:space="preserve"> </w:t>
      </w:r>
    </w:p>
  </w:footnote>
  <w:footnote w:id="43">
    <w:p w14:paraId="4F2868FE" w14:textId="4F1BFED1"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00EB07FA">
        <w:rPr>
          <w:color w:val="000000" w:themeColor="text1"/>
          <w:szCs w:val="20"/>
        </w:rPr>
        <w:t xml:space="preserve">Id. at </w:t>
      </w:r>
      <w:r w:rsidRPr="00990651">
        <w:rPr>
          <w:color w:val="000000" w:themeColor="text1"/>
          <w:szCs w:val="20"/>
        </w:rPr>
        <w:t>16.</w:t>
      </w:r>
      <w:proofErr w:type="gramEnd"/>
      <w:r w:rsidRPr="00990651">
        <w:rPr>
          <w:color w:val="000000" w:themeColor="text1"/>
          <w:szCs w:val="20"/>
        </w:rPr>
        <w:t xml:space="preserve"> </w:t>
      </w:r>
    </w:p>
  </w:footnote>
  <w:footnote w:id="44">
    <w:p w14:paraId="5C50BA5A" w14:textId="77777777"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Best Practices for Promoting Accuracy of Eyewitness Identification Procedures</w:t>
      </w:r>
      <w:r w:rsidRPr="00990651">
        <w:rPr>
          <w:color w:val="000000" w:themeColor="text1"/>
          <w:szCs w:val="20"/>
        </w:rPr>
        <w:t xml:space="preserve">, </w:t>
      </w:r>
      <w:r w:rsidRPr="00990651">
        <w:rPr>
          <w:rFonts w:eastAsia="Calibri"/>
          <w:smallCaps/>
          <w:color w:val="000000" w:themeColor="text1"/>
          <w:szCs w:val="20"/>
        </w:rPr>
        <w:t xml:space="preserve">The American Bar Association (2004) </w:t>
      </w:r>
      <w:r w:rsidRPr="00990651">
        <w:rPr>
          <w:i/>
          <w:color w:val="000000" w:themeColor="text1"/>
          <w:szCs w:val="20"/>
        </w:rPr>
        <w:t>available at</w:t>
      </w:r>
      <w:r w:rsidRPr="00990651">
        <w:rPr>
          <w:color w:val="000000" w:themeColor="text1"/>
          <w:szCs w:val="20"/>
        </w:rPr>
        <w:t xml:space="preserve"> http://meetings.abanet.org/webupload/commupload/CR209700/relatedresources/ABAEyewitnessIDrecommendations.pdf (last visited June 25, 2014). </w:t>
      </w:r>
    </w:p>
  </w:footnote>
  <w:footnote w:id="45">
    <w:p w14:paraId="200A05FC" w14:textId="57C4D66E"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Reevaluating Lineups</w:t>
      </w:r>
      <w:r w:rsidR="00EB07FA">
        <w:rPr>
          <w:color w:val="000000" w:themeColor="text1"/>
          <w:szCs w:val="20"/>
        </w:rPr>
        <w:t xml:space="preserve">, supra note </w:t>
      </w:r>
      <w:r w:rsidR="00EB07FA">
        <w:rPr>
          <w:color w:val="000000" w:themeColor="text1"/>
          <w:szCs w:val="20"/>
        </w:rPr>
        <w:fldChar w:fldCharType="begin"/>
      </w:r>
      <w:r w:rsidR="00EB07FA">
        <w:rPr>
          <w:color w:val="000000" w:themeColor="text1"/>
          <w:szCs w:val="20"/>
        </w:rPr>
        <w:instrText xml:space="preserve"> NOTEREF _Ref394059621 \h </w:instrText>
      </w:r>
      <w:r w:rsidR="00EB07FA">
        <w:rPr>
          <w:color w:val="000000" w:themeColor="text1"/>
          <w:szCs w:val="20"/>
        </w:rPr>
      </w:r>
      <w:r w:rsidR="00EB07FA">
        <w:rPr>
          <w:color w:val="000000" w:themeColor="text1"/>
          <w:szCs w:val="20"/>
        </w:rPr>
        <w:fldChar w:fldCharType="separate"/>
      </w:r>
      <w:r w:rsidR="0099179D">
        <w:rPr>
          <w:color w:val="000000" w:themeColor="text1"/>
          <w:szCs w:val="20"/>
        </w:rPr>
        <w:t>40</w:t>
      </w:r>
      <w:r w:rsidR="00EB07FA">
        <w:rPr>
          <w:color w:val="000000" w:themeColor="text1"/>
          <w:szCs w:val="20"/>
        </w:rPr>
        <w:fldChar w:fldCharType="end"/>
      </w:r>
      <w:r w:rsidR="00EB07FA">
        <w:rPr>
          <w:color w:val="000000" w:themeColor="text1"/>
          <w:szCs w:val="20"/>
        </w:rPr>
        <w:t>, at</w:t>
      </w:r>
      <w:r w:rsidRPr="00990651">
        <w:rPr>
          <w:smallCaps/>
          <w:color w:val="000000" w:themeColor="text1"/>
          <w:szCs w:val="20"/>
        </w:rPr>
        <w:t xml:space="preserve"> </w:t>
      </w:r>
      <w:r w:rsidR="00EB07FA">
        <w:rPr>
          <w:color w:val="000000" w:themeColor="text1"/>
          <w:szCs w:val="20"/>
        </w:rPr>
        <w:t>16–</w:t>
      </w:r>
      <w:r w:rsidRPr="00990651">
        <w:rPr>
          <w:color w:val="000000" w:themeColor="text1"/>
          <w:szCs w:val="20"/>
        </w:rPr>
        <w:t xml:space="preserve">21. </w:t>
      </w:r>
    </w:p>
  </w:footnote>
  <w:footnote w:id="46">
    <w:p w14:paraId="3B944E9E" w14:textId="7DDA4A55"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00EB07FA">
        <w:rPr>
          <w:color w:val="000000" w:themeColor="text1"/>
          <w:szCs w:val="20"/>
        </w:rPr>
        <w:t xml:space="preserve">Id. </w:t>
      </w:r>
      <w:r w:rsidR="00EB07FA">
        <w:rPr>
          <w:i/>
          <w:color w:val="000000" w:themeColor="text1"/>
          <w:szCs w:val="20"/>
        </w:rPr>
        <w:t xml:space="preserve">at </w:t>
      </w:r>
      <w:r w:rsidRPr="00990651">
        <w:rPr>
          <w:color w:val="000000" w:themeColor="text1"/>
          <w:szCs w:val="20"/>
        </w:rPr>
        <w:t>17.</w:t>
      </w:r>
      <w:proofErr w:type="gramEnd"/>
      <w:r w:rsidRPr="00990651">
        <w:rPr>
          <w:color w:val="000000" w:themeColor="text1"/>
          <w:szCs w:val="20"/>
        </w:rPr>
        <w:t xml:space="preserve"> </w:t>
      </w:r>
    </w:p>
  </w:footnote>
  <w:footnote w:id="47">
    <w:p w14:paraId="4398D479" w14:textId="5CAD981E"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00EB07FA">
        <w:rPr>
          <w:color w:val="000000" w:themeColor="text1"/>
          <w:szCs w:val="20"/>
        </w:rPr>
        <w:t>Id. at 24–</w:t>
      </w:r>
      <w:r w:rsidRPr="00990651">
        <w:rPr>
          <w:color w:val="000000" w:themeColor="text1"/>
          <w:szCs w:val="20"/>
        </w:rPr>
        <w:t xml:space="preserve">25. </w:t>
      </w:r>
    </w:p>
  </w:footnote>
  <w:footnote w:id="48">
    <w:p w14:paraId="766A9E3C" w14:textId="69C90452" w:rsidR="00C129D5" w:rsidRDefault="00C129D5">
      <w:pPr>
        <w:pStyle w:val="FootnoteText"/>
      </w:pPr>
      <w:r>
        <w:rPr>
          <w:rStyle w:val="FootnoteReference"/>
        </w:rPr>
        <w:footnoteRef/>
      </w:r>
      <w:r>
        <w:t xml:space="preserve"> Comment, </w:t>
      </w:r>
      <w:r w:rsidR="00F022AD">
        <w:rPr>
          <w:i/>
        </w:rPr>
        <w:t xml:space="preserve">The Admissibility of Eyewitness-Identification Expert Testimony in </w:t>
      </w:r>
      <w:r w:rsidR="00F022AD" w:rsidRPr="00F022AD">
        <w:rPr>
          <w:i/>
        </w:rPr>
        <w:t>Oklahoma</w:t>
      </w:r>
      <w:r w:rsidR="00F022AD">
        <w:t xml:space="preserve">, </w:t>
      </w:r>
      <w:r w:rsidRPr="00F022AD">
        <w:rPr>
          <w:smallCaps/>
        </w:rPr>
        <w:t>Oklahoma L. Rev</w:t>
      </w:r>
      <w:proofErr w:type="gramStart"/>
      <w:r w:rsidRPr="00F022AD">
        <w:rPr>
          <w:smallCaps/>
        </w:rPr>
        <w:t>.</w:t>
      </w:r>
      <w:r>
        <w:t xml:space="preserve"> ,</w:t>
      </w:r>
      <w:proofErr w:type="gramEnd"/>
      <w:r>
        <w:t xml:space="preserve"> 537–38 (2011).</w:t>
      </w:r>
    </w:p>
  </w:footnote>
  <w:footnote w:id="49">
    <w:p w14:paraId="2BCAAD1A" w14:textId="7106E6F2" w:rsidR="00F022AD" w:rsidRPr="00F022AD" w:rsidRDefault="00F022AD">
      <w:pPr>
        <w:pStyle w:val="FootnoteText"/>
      </w:pPr>
      <w:r>
        <w:rPr>
          <w:rStyle w:val="FootnoteReference"/>
        </w:rPr>
        <w:footnoteRef/>
      </w:r>
      <w:r>
        <w:t xml:space="preserve"> </w:t>
      </w:r>
      <w:r>
        <w:rPr>
          <w:i/>
        </w:rPr>
        <w:t xml:space="preserve">Perry v. </w:t>
      </w:r>
      <w:proofErr w:type="gramStart"/>
      <w:r>
        <w:rPr>
          <w:i/>
        </w:rPr>
        <w:t>New Hampshire</w:t>
      </w:r>
      <w:r>
        <w:t>, 132 S. Ct. 716 (2012).</w:t>
      </w:r>
      <w:proofErr w:type="gramEnd"/>
    </w:p>
  </w:footnote>
  <w:footnote w:id="50">
    <w:p w14:paraId="29B7E559" w14:textId="29AD2804" w:rsidR="00F022AD" w:rsidRDefault="00F022AD" w:rsidP="00F022AD">
      <w:pPr>
        <w:pStyle w:val="FootnoteText"/>
      </w:pPr>
      <w:r>
        <w:rPr>
          <w:rStyle w:val="FootnoteReference"/>
        </w:rPr>
        <w:footnoteRef/>
      </w:r>
      <w:r>
        <w:t xml:space="preserve"> Comment, </w:t>
      </w:r>
      <w:r>
        <w:rPr>
          <w:i/>
        </w:rPr>
        <w:t xml:space="preserve">The Admissibility of Eyewitness-Identification Expert Testimony in </w:t>
      </w:r>
      <w:r w:rsidRPr="00F022AD">
        <w:rPr>
          <w:i/>
        </w:rPr>
        <w:t>Oklahoma</w:t>
      </w:r>
      <w:r>
        <w:t xml:space="preserve">, </w:t>
      </w:r>
      <w:r w:rsidRPr="00F022AD">
        <w:rPr>
          <w:smallCaps/>
        </w:rPr>
        <w:t>Oklahoma L. Rev</w:t>
      </w:r>
      <w:proofErr w:type="gramStart"/>
      <w:r w:rsidRPr="00F022AD">
        <w:rPr>
          <w:smallCaps/>
        </w:rPr>
        <w:t>.</w:t>
      </w:r>
      <w:r>
        <w:t xml:space="preserve"> ,</w:t>
      </w:r>
      <w:proofErr w:type="gramEnd"/>
      <w:r>
        <w:t xml:space="preserve"> 528–37 (2011).</w:t>
      </w:r>
    </w:p>
  </w:footnote>
  <w:footnote w:id="51">
    <w:p w14:paraId="5E4CA928" w14:textId="6A9E6B72" w:rsidR="00F022AD" w:rsidRDefault="00F022AD" w:rsidP="00F022AD">
      <w:pPr>
        <w:pStyle w:val="FootnoteText"/>
      </w:pPr>
      <w:r>
        <w:rPr>
          <w:rStyle w:val="FootnoteReference"/>
        </w:rPr>
        <w:footnoteRef/>
      </w:r>
      <w:r>
        <w:t xml:space="preserve"> </w:t>
      </w:r>
      <w:proofErr w:type="gramStart"/>
      <w:r>
        <w:t>Id. at 535.</w:t>
      </w:r>
      <w:proofErr w:type="gramEnd"/>
    </w:p>
  </w:footnote>
  <w:footnote w:id="52">
    <w:p w14:paraId="591BEDF6" w14:textId="7E93A01D"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 xml:space="preserve">Remedies, </w:t>
      </w:r>
      <w:r w:rsidRPr="00990651">
        <w:rPr>
          <w:smallCaps/>
          <w:color w:val="000000" w:themeColor="text1"/>
          <w:szCs w:val="20"/>
        </w:rPr>
        <w:t>Life after Exoneration Program</w:t>
      </w:r>
      <w:r w:rsidRPr="00990651">
        <w:rPr>
          <w:color w:val="000000" w:themeColor="text1"/>
          <w:szCs w:val="20"/>
        </w:rPr>
        <w:t>, http://www.exonerated.org/index.php?option=com_content&amp;view=article&amp;id=95&amp;Itemid=88 (last visited June 25, 2014).</w:t>
      </w:r>
      <w:proofErr w:type="gramEnd"/>
      <w:r w:rsidRPr="00990651">
        <w:rPr>
          <w:color w:val="000000" w:themeColor="text1"/>
          <w:szCs w:val="20"/>
        </w:rPr>
        <w:t xml:space="preserve"> </w:t>
      </w:r>
    </w:p>
  </w:footnote>
  <w:footnote w:id="53">
    <w:p w14:paraId="1F84E590" w14:textId="33F2FD0B"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00EB07FA">
        <w:rPr>
          <w:color w:val="000000" w:themeColor="text1"/>
          <w:szCs w:val="20"/>
        </w:rPr>
        <w:t>Ibid.</w:t>
      </w:r>
      <w:proofErr w:type="gramEnd"/>
      <w:r w:rsidRPr="00990651">
        <w:rPr>
          <w:color w:val="000000" w:themeColor="text1"/>
          <w:szCs w:val="20"/>
        </w:rPr>
        <w:t xml:space="preserve"> </w:t>
      </w:r>
    </w:p>
  </w:footnote>
  <w:footnote w:id="54">
    <w:p w14:paraId="48678E11" w14:textId="071EF3F4" w:rsidR="003D1304" w:rsidRPr="00990651" w:rsidRDefault="003D1304" w:rsidP="00F3460E">
      <w:pPr>
        <w:pStyle w:val="FootnoteText"/>
        <w:rPr>
          <w:i/>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00EB07FA">
        <w:rPr>
          <w:color w:val="000000" w:themeColor="text1"/>
          <w:szCs w:val="20"/>
        </w:rPr>
        <w:t>Ibid.</w:t>
      </w:r>
    </w:p>
  </w:footnote>
  <w:footnote w:id="55">
    <w:p w14:paraId="47C20A53" w14:textId="105D830D"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 xml:space="preserve">Making up for Lost Time: What the Wrongfully Convicted Endure and How to Provide Fair Compensation, </w:t>
      </w:r>
      <w:r w:rsidRPr="00990651">
        <w:rPr>
          <w:smallCaps/>
          <w:color w:val="000000" w:themeColor="text1"/>
          <w:szCs w:val="20"/>
        </w:rPr>
        <w:t>The innocence Project</w:t>
      </w:r>
      <w:r w:rsidRPr="00990651">
        <w:rPr>
          <w:color w:val="000000" w:themeColor="text1"/>
          <w:szCs w:val="20"/>
        </w:rPr>
        <w:t>, 2009,</w:t>
      </w:r>
      <w:r w:rsidRPr="00990651">
        <w:rPr>
          <w:i/>
          <w:color w:val="000000" w:themeColor="text1"/>
          <w:szCs w:val="20"/>
        </w:rPr>
        <w:t xml:space="preserve"> </w:t>
      </w:r>
      <w:r w:rsidRPr="00990651">
        <w:rPr>
          <w:color w:val="000000" w:themeColor="text1"/>
          <w:szCs w:val="20"/>
        </w:rPr>
        <w:t>at 8.</w:t>
      </w:r>
    </w:p>
  </w:footnote>
  <w:footnote w:id="56">
    <w:p w14:paraId="7A12FE6C" w14:textId="7777777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 xml:space="preserve">Facts on Exoneration, </w:t>
      </w:r>
      <w:r w:rsidRPr="00990651">
        <w:rPr>
          <w:smallCaps/>
          <w:color w:val="000000" w:themeColor="text1"/>
          <w:szCs w:val="20"/>
        </w:rPr>
        <w:t>Resurrection after Exoneration</w:t>
      </w:r>
      <w:r w:rsidRPr="00990651">
        <w:rPr>
          <w:color w:val="000000" w:themeColor="text1"/>
          <w:szCs w:val="20"/>
        </w:rPr>
        <w:t>, http://www.r-a-e.org/about/facts-exoneration (last visited June 25, 2014).</w:t>
      </w:r>
      <w:proofErr w:type="gramEnd"/>
      <w:r w:rsidRPr="00990651">
        <w:rPr>
          <w:color w:val="000000" w:themeColor="text1"/>
          <w:szCs w:val="20"/>
        </w:rPr>
        <w:t xml:space="preserve"> </w:t>
      </w:r>
    </w:p>
  </w:footnote>
  <w:footnote w:id="57">
    <w:p w14:paraId="45B76122" w14:textId="42F5ED42"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 xml:space="preserve">Making up for Lost Time: What the Wrongfully Convicted Endure and How to Provide Fair Compensation, </w:t>
      </w:r>
      <w:r w:rsidRPr="00990651">
        <w:rPr>
          <w:smallCaps/>
          <w:color w:val="000000" w:themeColor="text1"/>
          <w:szCs w:val="20"/>
        </w:rPr>
        <w:t>The innocence Project</w:t>
      </w:r>
      <w:r w:rsidRPr="00990651">
        <w:rPr>
          <w:color w:val="000000" w:themeColor="text1"/>
          <w:szCs w:val="20"/>
        </w:rPr>
        <w:t>, 2009,</w:t>
      </w:r>
      <w:r w:rsidRPr="00990651">
        <w:rPr>
          <w:i/>
          <w:color w:val="000000" w:themeColor="text1"/>
          <w:szCs w:val="20"/>
        </w:rPr>
        <w:t xml:space="preserve"> </w:t>
      </w:r>
      <w:r w:rsidRPr="00990651">
        <w:rPr>
          <w:color w:val="000000" w:themeColor="text1"/>
          <w:szCs w:val="20"/>
        </w:rPr>
        <w:t>at 7</w:t>
      </w:r>
      <w:r w:rsidRPr="00990651">
        <w:rPr>
          <w:i/>
          <w:color w:val="000000" w:themeColor="text1"/>
          <w:szCs w:val="20"/>
        </w:rPr>
        <w:t>.</w:t>
      </w:r>
      <w:r w:rsidRPr="00990651">
        <w:rPr>
          <w:color w:val="000000" w:themeColor="text1"/>
          <w:szCs w:val="20"/>
        </w:rPr>
        <w:t xml:space="preserve"> “Institutionalization” refers to how prisoners adjust to surviving the hostile living environment conditions of a prison. </w:t>
      </w:r>
      <w:r w:rsidRPr="00990651">
        <w:rPr>
          <w:i/>
          <w:color w:val="000000" w:themeColor="text1"/>
          <w:szCs w:val="20"/>
        </w:rPr>
        <w:t>Id</w:t>
      </w:r>
      <w:r w:rsidRPr="00990651">
        <w:rPr>
          <w:color w:val="000000" w:themeColor="text1"/>
          <w:szCs w:val="20"/>
        </w:rPr>
        <w:t xml:space="preserve">. </w:t>
      </w:r>
    </w:p>
  </w:footnote>
  <w:footnote w:id="58">
    <w:p w14:paraId="27161E69" w14:textId="60E81184"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 xml:space="preserve">Remedies, </w:t>
      </w:r>
      <w:r w:rsidRPr="00990651">
        <w:rPr>
          <w:smallCaps/>
          <w:color w:val="000000" w:themeColor="text1"/>
          <w:szCs w:val="20"/>
        </w:rPr>
        <w:t>Life after Exoneration Program</w:t>
      </w:r>
      <w:r w:rsidRPr="00990651">
        <w:rPr>
          <w:color w:val="000000" w:themeColor="text1"/>
          <w:szCs w:val="20"/>
        </w:rPr>
        <w:t>, http://www.exonerated.org/index.php?option=com_content&amp;view=article&amp;id=95&amp;Itemid=88 (last visited June 25, 2014).</w:t>
      </w:r>
      <w:proofErr w:type="gramEnd"/>
    </w:p>
  </w:footnote>
  <w:footnote w:id="59">
    <w:p w14:paraId="16995972" w14:textId="3273EC18"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 xml:space="preserve">Making up for Lost Time: What the Wrongfully Convicted Endure and How to Provide Fair Compensation, </w:t>
      </w:r>
      <w:r w:rsidRPr="00990651">
        <w:rPr>
          <w:smallCaps/>
          <w:color w:val="000000" w:themeColor="text1"/>
          <w:szCs w:val="20"/>
        </w:rPr>
        <w:t>The innocence Project</w:t>
      </w:r>
      <w:r w:rsidRPr="00990651">
        <w:rPr>
          <w:color w:val="000000" w:themeColor="text1"/>
          <w:szCs w:val="20"/>
        </w:rPr>
        <w:t>, 2009,</w:t>
      </w:r>
      <w:r w:rsidRPr="00990651">
        <w:rPr>
          <w:i/>
          <w:color w:val="000000" w:themeColor="text1"/>
          <w:szCs w:val="20"/>
        </w:rPr>
        <w:t xml:space="preserve"> </w:t>
      </w:r>
      <w:r w:rsidRPr="00990651">
        <w:rPr>
          <w:color w:val="000000" w:themeColor="text1"/>
          <w:szCs w:val="20"/>
        </w:rPr>
        <w:t xml:space="preserve">at 16. The 15 </w:t>
      </w:r>
      <w:proofErr w:type="spellStart"/>
      <w:r w:rsidRPr="00990651">
        <w:rPr>
          <w:color w:val="000000" w:themeColor="text1"/>
          <w:szCs w:val="20"/>
        </w:rPr>
        <w:t>exonerees</w:t>
      </w:r>
      <w:proofErr w:type="spellEnd"/>
      <w:r w:rsidRPr="00990651">
        <w:rPr>
          <w:color w:val="000000" w:themeColor="text1"/>
          <w:szCs w:val="20"/>
        </w:rPr>
        <w:t xml:space="preserve"> may include both death sentenced and non-death sentenced individuals.</w:t>
      </w:r>
    </w:p>
  </w:footnote>
  <w:footnote w:id="60">
    <w:p w14:paraId="14091FD7" w14:textId="0A35CA6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00EB07FA">
        <w:rPr>
          <w:color w:val="000000" w:themeColor="text1"/>
          <w:szCs w:val="20"/>
        </w:rPr>
        <w:t xml:space="preserve">Id. </w:t>
      </w:r>
      <w:r w:rsidRPr="00990651">
        <w:rPr>
          <w:color w:val="000000" w:themeColor="text1"/>
          <w:szCs w:val="20"/>
        </w:rPr>
        <w:t>at 8.</w:t>
      </w:r>
      <w:proofErr w:type="gramEnd"/>
    </w:p>
  </w:footnote>
  <w:footnote w:id="61">
    <w:p w14:paraId="3D174223" w14:textId="43D67A34"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00EB07FA">
        <w:rPr>
          <w:color w:val="000000" w:themeColor="text1"/>
          <w:szCs w:val="20"/>
        </w:rPr>
        <w:t>Ibid.</w:t>
      </w:r>
    </w:p>
  </w:footnote>
  <w:footnote w:id="62">
    <w:p w14:paraId="40511A0C" w14:textId="2DF141AF"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Compensation Laws</w:t>
      </w:r>
      <w:r w:rsidRPr="00990651">
        <w:rPr>
          <w:color w:val="000000" w:themeColor="text1"/>
          <w:szCs w:val="20"/>
        </w:rPr>
        <w:t xml:space="preserve">, </w:t>
      </w:r>
      <w:r w:rsidRPr="00990651">
        <w:rPr>
          <w:smallCaps/>
          <w:color w:val="000000" w:themeColor="text1"/>
          <w:szCs w:val="20"/>
        </w:rPr>
        <w:t xml:space="preserve">Life after Exoneration Program, </w:t>
      </w:r>
      <w:r w:rsidRPr="00990651">
        <w:rPr>
          <w:color w:val="000000" w:themeColor="text1"/>
          <w:szCs w:val="20"/>
        </w:rPr>
        <w:t xml:space="preserve">http://www.exonerated.org/index.php?option=com_content&amp;view=article&amp;id=166&amp;Itemid=88 (last visited June 25, 2014); </w:t>
      </w:r>
      <w:r w:rsidRPr="00990651">
        <w:rPr>
          <w:i/>
          <w:color w:val="000000" w:themeColor="text1"/>
          <w:szCs w:val="20"/>
        </w:rPr>
        <w:t xml:space="preserve">Making up for Lost Time: What the Wrongfully Convicted Endure and How to Provide Fair Compensation, </w:t>
      </w:r>
      <w:r w:rsidRPr="00990651">
        <w:rPr>
          <w:smallCaps/>
          <w:color w:val="000000" w:themeColor="text1"/>
          <w:szCs w:val="20"/>
        </w:rPr>
        <w:t>The innocence Project</w:t>
      </w:r>
      <w:r w:rsidRPr="00990651">
        <w:rPr>
          <w:color w:val="000000" w:themeColor="text1"/>
          <w:szCs w:val="20"/>
        </w:rPr>
        <w:t>, 2009,</w:t>
      </w:r>
      <w:r w:rsidRPr="00990651">
        <w:rPr>
          <w:i/>
          <w:color w:val="000000" w:themeColor="text1"/>
          <w:szCs w:val="20"/>
        </w:rPr>
        <w:t xml:space="preserve"> </w:t>
      </w:r>
      <w:r w:rsidRPr="00990651">
        <w:rPr>
          <w:color w:val="000000" w:themeColor="text1"/>
          <w:szCs w:val="20"/>
        </w:rPr>
        <w:t>at 29.</w:t>
      </w:r>
    </w:p>
  </w:footnote>
  <w:footnote w:id="63">
    <w:p w14:paraId="02611654" w14:textId="07121DF3"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N.H. Rev. Stat. Ann. § 541-B: 14; </w:t>
      </w:r>
      <w:r w:rsidRPr="00990651">
        <w:rPr>
          <w:i/>
          <w:color w:val="000000" w:themeColor="text1"/>
          <w:szCs w:val="20"/>
        </w:rPr>
        <w:t>see also</w:t>
      </w:r>
      <w:r w:rsidRPr="00990651">
        <w:rPr>
          <w:color w:val="000000" w:themeColor="text1"/>
          <w:szCs w:val="20"/>
        </w:rPr>
        <w:t xml:space="preserve"> </w:t>
      </w:r>
      <w:r w:rsidRPr="00990651">
        <w:rPr>
          <w:i/>
          <w:color w:val="000000" w:themeColor="text1"/>
          <w:szCs w:val="20"/>
        </w:rPr>
        <w:t>Compensation Laws</w:t>
      </w:r>
      <w:r w:rsidRPr="00990651">
        <w:rPr>
          <w:color w:val="000000" w:themeColor="text1"/>
          <w:szCs w:val="20"/>
        </w:rPr>
        <w:t xml:space="preserve">, </w:t>
      </w:r>
      <w:r w:rsidRPr="00990651">
        <w:rPr>
          <w:smallCaps/>
          <w:color w:val="000000" w:themeColor="text1"/>
          <w:szCs w:val="20"/>
        </w:rPr>
        <w:t xml:space="preserve">Life after Exoneration Program, </w:t>
      </w:r>
      <w:r w:rsidRPr="00990651">
        <w:rPr>
          <w:color w:val="000000" w:themeColor="text1"/>
          <w:szCs w:val="20"/>
        </w:rPr>
        <w:t xml:space="preserve">http://www.exonerated.org/index.php?option=com_content&amp;view=article&amp;id=166&amp;Itemid=88 (last visited June 25, 2014); </w:t>
      </w:r>
      <w:r w:rsidRPr="00990651">
        <w:rPr>
          <w:i/>
          <w:color w:val="000000" w:themeColor="text1"/>
          <w:szCs w:val="20"/>
        </w:rPr>
        <w:t xml:space="preserve">Making up for Lost Time: What the Wrongfully Convicted Endure and How to Provide Fair Compensation, </w:t>
      </w:r>
      <w:r w:rsidRPr="00990651">
        <w:rPr>
          <w:smallCaps/>
          <w:color w:val="000000" w:themeColor="text1"/>
          <w:szCs w:val="20"/>
        </w:rPr>
        <w:t>The innocence Project</w:t>
      </w:r>
      <w:r w:rsidRPr="00990651">
        <w:rPr>
          <w:color w:val="000000" w:themeColor="text1"/>
          <w:szCs w:val="20"/>
        </w:rPr>
        <w:t>, 2009,</w:t>
      </w:r>
      <w:r w:rsidRPr="00990651">
        <w:rPr>
          <w:i/>
          <w:color w:val="000000" w:themeColor="text1"/>
          <w:szCs w:val="20"/>
        </w:rPr>
        <w:t xml:space="preserve"> </w:t>
      </w:r>
      <w:r w:rsidRPr="00990651">
        <w:rPr>
          <w:color w:val="000000" w:themeColor="text1"/>
          <w:szCs w:val="20"/>
        </w:rPr>
        <w:t xml:space="preserve">at 30. </w:t>
      </w:r>
    </w:p>
  </w:footnote>
  <w:footnote w:id="64">
    <w:p w14:paraId="61A2516E" w14:textId="34C90B0D"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color w:val="000000" w:themeColor="text1"/>
          <w:szCs w:val="20"/>
        </w:rPr>
        <w:t xml:space="preserve">Tex. Civ. </w:t>
      </w:r>
      <w:proofErr w:type="spellStart"/>
      <w:r w:rsidRPr="00990651">
        <w:rPr>
          <w:color w:val="000000" w:themeColor="text1"/>
          <w:szCs w:val="20"/>
        </w:rPr>
        <w:t>Pract</w:t>
      </w:r>
      <w:proofErr w:type="spellEnd"/>
      <w:r w:rsidRPr="00990651">
        <w:rPr>
          <w:color w:val="000000" w:themeColor="text1"/>
          <w:szCs w:val="20"/>
        </w:rPr>
        <w:t>.</w:t>
      </w:r>
      <w:proofErr w:type="gramEnd"/>
      <w:r w:rsidRPr="00990651">
        <w:rPr>
          <w:color w:val="000000" w:themeColor="text1"/>
          <w:szCs w:val="20"/>
        </w:rPr>
        <w:t xml:space="preserve"> &amp; Rem. Code § 103.001; Tex. H.B. § 1736; </w:t>
      </w:r>
      <w:r w:rsidRPr="00990651">
        <w:rPr>
          <w:i/>
          <w:color w:val="000000" w:themeColor="text1"/>
          <w:szCs w:val="20"/>
        </w:rPr>
        <w:t>see also</w:t>
      </w:r>
      <w:r w:rsidRPr="00990651">
        <w:rPr>
          <w:color w:val="000000" w:themeColor="text1"/>
          <w:szCs w:val="20"/>
        </w:rPr>
        <w:t xml:space="preserve"> </w:t>
      </w:r>
      <w:r w:rsidRPr="00990651">
        <w:rPr>
          <w:i/>
          <w:color w:val="000000" w:themeColor="text1"/>
          <w:szCs w:val="20"/>
        </w:rPr>
        <w:t>Compensation Laws</w:t>
      </w:r>
      <w:r w:rsidRPr="00990651">
        <w:rPr>
          <w:color w:val="000000" w:themeColor="text1"/>
          <w:szCs w:val="20"/>
        </w:rPr>
        <w:t xml:space="preserve">, </w:t>
      </w:r>
      <w:r w:rsidRPr="00990651">
        <w:rPr>
          <w:smallCaps/>
          <w:color w:val="000000" w:themeColor="text1"/>
          <w:szCs w:val="20"/>
        </w:rPr>
        <w:t xml:space="preserve">Life after Exoneration Program, </w:t>
      </w:r>
      <w:r w:rsidRPr="00990651">
        <w:rPr>
          <w:color w:val="000000" w:themeColor="text1"/>
          <w:szCs w:val="20"/>
        </w:rPr>
        <w:t xml:space="preserve">http://www.exonerated.org/index.php?option=com_content&amp;view=article&amp;id=166&amp;Itemid=88 (last visited June 25, 2014); </w:t>
      </w:r>
      <w:r w:rsidRPr="00990651">
        <w:rPr>
          <w:i/>
          <w:color w:val="000000" w:themeColor="text1"/>
          <w:szCs w:val="20"/>
        </w:rPr>
        <w:t xml:space="preserve">Making up for Lost Time: What the Wrongfully Convicted Endure and How to Provide Fair Compensation, </w:t>
      </w:r>
      <w:r w:rsidRPr="00990651">
        <w:rPr>
          <w:smallCaps/>
          <w:color w:val="000000" w:themeColor="text1"/>
          <w:szCs w:val="20"/>
        </w:rPr>
        <w:t>The innocence Project</w:t>
      </w:r>
      <w:r w:rsidRPr="00990651">
        <w:rPr>
          <w:color w:val="000000" w:themeColor="text1"/>
          <w:szCs w:val="20"/>
        </w:rPr>
        <w:t>, 2009,</w:t>
      </w:r>
      <w:r w:rsidRPr="00990651">
        <w:rPr>
          <w:i/>
          <w:color w:val="000000" w:themeColor="text1"/>
          <w:szCs w:val="20"/>
        </w:rPr>
        <w:t xml:space="preserve"> </w:t>
      </w:r>
      <w:r w:rsidRPr="00990651">
        <w:rPr>
          <w:color w:val="000000" w:themeColor="text1"/>
          <w:szCs w:val="20"/>
        </w:rPr>
        <w:t>at 30.</w:t>
      </w:r>
    </w:p>
  </w:footnote>
  <w:footnote w:id="65">
    <w:p w14:paraId="2B1ADCA7" w14:textId="7777777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K. </w:t>
      </w:r>
      <w:proofErr w:type="spellStart"/>
      <w:r w:rsidRPr="00990651">
        <w:rPr>
          <w:color w:val="000000" w:themeColor="text1"/>
          <w:szCs w:val="20"/>
        </w:rPr>
        <w:t>Bloodsworth</w:t>
      </w:r>
      <w:proofErr w:type="spellEnd"/>
      <w:r w:rsidRPr="00990651">
        <w:rPr>
          <w:color w:val="000000" w:themeColor="text1"/>
          <w:szCs w:val="20"/>
        </w:rPr>
        <w:t>, Personal Communication, Aug. 15, 2013.</w:t>
      </w:r>
    </w:p>
  </w:footnote>
  <w:footnote w:id="66">
    <w:p w14:paraId="408FCE88" w14:textId="25AB9C42"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00EB07FA">
        <w:rPr>
          <w:color w:val="000000" w:themeColor="text1"/>
          <w:szCs w:val="20"/>
        </w:rPr>
        <w:t>Ibid.</w:t>
      </w:r>
    </w:p>
  </w:footnote>
  <w:footnote w:id="67">
    <w:p w14:paraId="67F30568" w14:textId="7777777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U.S. Senate, </w:t>
      </w:r>
      <w:proofErr w:type="gramStart"/>
      <w:r w:rsidRPr="00990651">
        <w:rPr>
          <w:color w:val="000000" w:themeColor="text1"/>
          <w:szCs w:val="20"/>
        </w:rPr>
        <w:t>The</w:t>
      </w:r>
      <w:proofErr w:type="gramEnd"/>
      <w:r w:rsidRPr="00990651">
        <w:rPr>
          <w:color w:val="000000" w:themeColor="text1"/>
          <w:szCs w:val="20"/>
        </w:rPr>
        <w:t xml:space="preserve"> Innocence Protection Act of 2002, 107</w:t>
      </w:r>
      <w:r w:rsidRPr="00990651">
        <w:rPr>
          <w:color w:val="000000" w:themeColor="text1"/>
          <w:szCs w:val="20"/>
          <w:vertAlign w:val="superscript"/>
        </w:rPr>
        <w:t xml:space="preserve">th </w:t>
      </w:r>
      <w:r w:rsidRPr="00990651">
        <w:rPr>
          <w:color w:val="000000" w:themeColor="text1"/>
          <w:szCs w:val="20"/>
        </w:rPr>
        <w:t xml:space="preserve">Cong., 2d sess., S.486, March 7, 2001. </w:t>
      </w:r>
    </w:p>
  </w:footnote>
  <w:footnote w:id="68">
    <w:p w14:paraId="712343FD" w14:textId="0E96EF6D"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 xml:space="preserve">Making up for Lost Time: What the Wrongfully Convicted Endure and How to Provide Fair Compensation, </w:t>
      </w:r>
      <w:r w:rsidRPr="00990651">
        <w:rPr>
          <w:smallCaps/>
          <w:color w:val="000000" w:themeColor="text1"/>
          <w:szCs w:val="20"/>
        </w:rPr>
        <w:t>The innocence Project</w:t>
      </w:r>
      <w:r w:rsidRPr="00990651">
        <w:rPr>
          <w:color w:val="000000" w:themeColor="text1"/>
          <w:szCs w:val="20"/>
        </w:rPr>
        <w:t>, 2009,</w:t>
      </w:r>
      <w:r w:rsidRPr="00990651">
        <w:rPr>
          <w:i/>
          <w:color w:val="000000" w:themeColor="text1"/>
          <w:szCs w:val="20"/>
        </w:rPr>
        <w:t xml:space="preserve"> </w:t>
      </w:r>
      <w:r w:rsidRPr="00990651">
        <w:rPr>
          <w:color w:val="000000" w:themeColor="text1"/>
          <w:szCs w:val="20"/>
        </w:rPr>
        <w:t>at 15.</w:t>
      </w:r>
    </w:p>
  </w:footnote>
  <w:footnote w:id="69">
    <w:p w14:paraId="70F43F9C" w14:textId="5729F6B8"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Compensation Laws</w:t>
      </w:r>
      <w:r w:rsidRPr="00990651">
        <w:rPr>
          <w:color w:val="000000" w:themeColor="text1"/>
          <w:szCs w:val="20"/>
        </w:rPr>
        <w:t xml:space="preserve">, </w:t>
      </w:r>
      <w:r w:rsidRPr="00990651">
        <w:rPr>
          <w:smallCaps/>
          <w:color w:val="000000" w:themeColor="text1"/>
          <w:szCs w:val="20"/>
        </w:rPr>
        <w:t xml:space="preserve">Life after Exoneration Program, </w:t>
      </w:r>
      <w:r w:rsidRPr="00990651">
        <w:rPr>
          <w:color w:val="000000" w:themeColor="text1"/>
          <w:szCs w:val="20"/>
        </w:rPr>
        <w:t>http://www.exonerated.org/index.php?option=com_content&amp;view=article&amp;id=166&amp;Itemid=88 (last visited June 25, 2014).</w:t>
      </w:r>
      <w:proofErr w:type="gramEnd"/>
      <w:r w:rsidRPr="00990651">
        <w:rPr>
          <w:color w:val="000000" w:themeColor="text1"/>
          <w:szCs w:val="20"/>
        </w:rPr>
        <w:t xml:space="preserve"> </w:t>
      </w:r>
    </w:p>
  </w:footnote>
  <w:footnote w:id="70">
    <w:p w14:paraId="653949DE" w14:textId="5E2C1FC8"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Tenn. Code Ann. § 9-8-108; Utah Code §§ 78B-9-405, 78B-9-405; </w:t>
      </w:r>
      <w:r w:rsidRPr="00990651">
        <w:rPr>
          <w:i/>
          <w:color w:val="000000" w:themeColor="text1"/>
          <w:szCs w:val="20"/>
        </w:rPr>
        <w:t>see also</w:t>
      </w:r>
      <w:r w:rsidRPr="00990651">
        <w:rPr>
          <w:color w:val="000000" w:themeColor="text1"/>
          <w:szCs w:val="20"/>
        </w:rPr>
        <w:t xml:space="preserve"> </w:t>
      </w:r>
      <w:r w:rsidRPr="00990651">
        <w:rPr>
          <w:i/>
          <w:color w:val="000000" w:themeColor="text1"/>
          <w:szCs w:val="20"/>
        </w:rPr>
        <w:t>Compensation Laws</w:t>
      </w:r>
      <w:r w:rsidRPr="00990651">
        <w:rPr>
          <w:color w:val="000000" w:themeColor="text1"/>
          <w:szCs w:val="20"/>
        </w:rPr>
        <w:t xml:space="preserve">, </w:t>
      </w:r>
      <w:r w:rsidRPr="00990651">
        <w:rPr>
          <w:smallCaps/>
          <w:color w:val="000000" w:themeColor="text1"/>
          <w:szCs w:val="20"/>
        </w:rPr>
        <w:t xml:space="preserve">Life after Exoneration Program, </w:t>
      </w:r>
      <w:r w:rsidRPr="00990651">
        <w:rPr>
          <w:color w:val="000000" w:themeColor="text1"/>
          <w:szCs w:val="20"/>
        </w:rPr>
        <w:t xml:space="preserve">http://www.exonerated.org/index.php?option=com_content&amp;view=article&amp;id=166&amp;Itemid=88 (last visited June 25, 2014). </w:t>
      </w:r>
    </w:p>
  </w:footnote>
  <w:footnote w:id="71">
    <w:p w14:paraId="61D3AFC6" w14:textId="7777777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color w:val="000000" w:themeColor="text1"/>
          <w:szCs w:val="20"/>
        </w:rPr>
        <w:t xml:space="preserve">Tex. Civ. </w:t>
      </w:r>
      <w:proofErr w:type="spellStart"/>
      <w:r w:rsidRPr="00990651">
        <w:rPr>
          <w:color w:val="000000" w:themeColor="text1"/>
          <w:szCs w:val="20"/>
        </w:rPr>
        <w:t>Pract</w:t>
      </w:r>
      <w:proofErr w:type="spellEnd"/>
      <w:r w:rsidRPr="00990651">
        <w:rPr>
          <w:color w:val="000000" w:themeColor="text1"/>
          <w:szCs w:val="20"/>
        </w:rPr>
        <w:t>.</w:t>
      </w:r>
      <w:proofErr w:type="gramEnd"/>
      <w:r w:rsidRPr="00990651">
        <w:rPr>
          <w:color w:val="000000" w:themeColor="text1"/>
          <w:szCs w:val="20"/>
        </w:rPr>
        <w:t xml:space="preserve"> </w:t>
      </w:r>
      <w:proofErr w:type="gramStart"/>
      <w:r w:rsidRPr="00990651">
        <w:rPr>
          <w:color w:val="000000" w:themeColor="text1"/>
          <w:szCs w:val="20"/>
        </w:rPr>
        <w:t>&amp; Rem. Code § 103.154; Ala. Code § 29-2-159.</w:t>
      </w:r>
      <w:proofErr w:type="gramEnd"/>
    </w:p>
  </w:footnote>
  <w:footnote w:id="72">
    <w:p w14:paraId="110B2EE0" w14:textId="7777777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Mo. Rev. Stat. § 650.058; Mont. Code Ann. § 53-1-214. Montana’s compensates a DNA </w:t>
      </w:r>
      <w:proofErr w:type="spellStart"/>
      <w:r w:rsidRPr="00990651">
        <w:rPr>
          <w:color w:val="000000" w:themeColor="text1"/>
          <w:szCs w:val="20"/>
        </w:rPr>
        <w:t>exoneree</w:t>
      </w:r>
      <w:proofErr w:type="spellEnd"/>
      <w:r w:rsidRPr="00990651">
        <w:rPr>
          <w:color w:val="000000" w:themeColor="text1"/>
          <w:szCs w:val="20"/>
        </w:rPr>
        <w:t xml:space="preserve"> through educational aid only. </w:t>
      </w:r>
      <w:proofErr w:type="gramStart"/>
      <w:r w:rsidRPr="00990651">
        <w:rPr>
          <w:color w:val="000000" w:themeColor="text1"/>
          <w:szCs w:val="20"/>
        </w:rPr>
        <w:t>Mont. Code Ann. § 53-1-214.</w:t>
      </w:r>
      <w:proofErr w:type="gramEnd"/>
    </w:p>
  </w:footnote>
  <w:footnote w:id="73">
    <w:p w14:paraId="75120916" w14:textId="35CB2E33"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Compensation Laws</w:t>
      </w:r>
      <w:r w:rsidRPr="00990651">
        <w:rPr>
          <w:color w:val="000000" w:themeColor="text1"/>
          <w:szCs w:val="20"/>
        </w:rPr>
        <w:t xml:space="preserve">, </w:t>
      </w:r>
      <w:r w:rsidRPr="00990651">
        <w:rPr>
          <w:smallCaps/>
          <w:color w:val="000000" w:themeColor="text1"/>
          <w:szCs w:val="20"/>
        </w:rPr>
        <w:t xml:space="preserve">Life after Exoneration Program, </w:t>
      </w:r>
      <w:r w:rsidRPr="00990651">
        <w:rPr>
          <w:color w:val="000000" w:themeColor="text1"/>
          <w:szCs w:val="20"/>
        </w:rPr>
        <w:t xml:space="preserve">http://www.exonerated.org/index.php?option=com_content&amp;view=article&amp;id=166&amp;Itemid=88 (last visited June 25, 2014); </w:t>
      </w:r>
      <w:r w:rsidRPr="00990651">
        <w:rPr>
          <w:i/>
          <w:color w:val="000000" w:themeColor="text1"/>
          <w:szCs w:val="20"/>
        </w:rPr>
        <w:t xml:space="preserve">Making up for Lost Time: What the Wrongfully Convicted Endure and How to Provide Fair Compensation, </w:t>
      </w:r>
      <w:r w:rsidRPr="00990651">
        <w:rPr>
          <w:smallCaps/>
          <w:color w:val="000000" w:themeColor="text1"/>
          <w:szCs w:val="20"/>
        </w:rPr>
        <w:t>The innocence Project</w:t>
      </w:r>
      <w:r w:rsidRPr="00990651">
        <w:rPr>
          <w:color w:val="000000" w:themeColor="text1"/>
          <w:szCs w:val="20"/>
        </w:rPr>
        <w:t>, 2009,</w:t>
      </w:r>
      <w:r w:rsidRPr="00990651">
        <w:rPr>
          <w:i/>
          <w:color w:val="000000" w:themeColor="text1"/>
          <w:szCs w:val="20"/>
        </w:rPr>
        <w:t xml:space="preserve"> </w:t>
      </w:r>
      <w:r w:rsidRPr="00990651">
        <w:rPr>
          <w:color w:val="000000" w:themeColor="text1"/>
          <w:szCs w:val="20"/>
        </w:rPr>
        <w:t>at 27 and 29.</w:t>
      </w:r>
    </w:p>
  </w:footnote>
  <w:footnote w:id="74">
    <w:p w14:paraId="4FF3764B" w14:textId="78F9FF76"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Compensation Laws</w:t>
      </w:r>
      <w:r w:rsidRPr="00990651">
        <w:rPr>
          <w:color w:val="000000" w:themeColor="text1"/>
          <w:szCs w:val="20"/>
        </w:rPr>
        <w:t xml:space="preserve">, </w:t>
      </w:r>
      <w:r w:rsidRPr="00990651">
        <w:rPr>
          <w:smallCaps/>
          <w:color w:val="000000" w:themeColor="text1"/>
          <w:szCs w:val="20"/>
        </w:rPr>
        <w:t xml:space="preserve">Life after Exoneration Program, </w:t>
      </w:r>
      <w:r w:rsidRPr="00990651">
        <w:rPr>
          <w:color w:val="000000" w:themeColor="text1"/>
          <w:szCs w:val="20"/>
        </w:rPr>
        <w:t xml:space="preserve">http://www.exonerated.org/index.php?option=com_content&amp;view=article&amp;id=166&amp;Itemid=88 (last visited June 25, 2014); </w:t>
      </w:r>
      <w:r w:rsidRPr="00990651">
        <w:rPr>
          <w:i/>
          <w:color w:val="000000" w:themeColor="text1"/>
          <w:szCs w:val="20"/>
        </w:rPr>
        <w:t xml:space="preserve">Making up for Lost Time: What the Wrongfully Convicted Endure and How to Provide Fair Compensation, </w:t>
      </w:r>
      <w:r w:rsidRPr="00990651">
        <w:rPr>
          <w:smallCaps/>
          <w:color w:val="000000" w:themeColor="text1"/>
          <w:szCs w:val="20"/>
        </w:rPr>
        <w:t>The innocence Project</w:t>
      </w:r>
      <w:r w:rsidRPr="00990651">
        <w:rPr>
          <w:color w:val="000000" w:themeColor="text1"/>
          <w:szCs w:val="20"/>
        </w:rPr>
        <w:t>, 2009,</w:t>
      </w:r>
      <w:r w:rsidRPr="00990651">
        <w:rPr>
          <w:i/>
          <w:color w:val="000000" w:themeColor="text1"/>
          <w:szCs w:val="20"/>
        </w:rPr>
        <w:t xml:space="preserve"> </w:t>
      </w:r>
      <w:r w:rsidRPr="00990651">
        <w:rPr>
          <w:color w:val="000000" w:themeColor="text1"/>
          <w:szCs w:val="20"/>
        </w:rPr>
        <w:t>at 27-31.</w:t>
      </w:r>
    </w:p>
  </w:footnote>
  <w:footnote w:id="75">
    <w:p w14:paraId="4A0E0B43" w14:textId="7777777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Causes of</w:t>
      </w:r>
      <w:r w:rsidRPr="00990651">
        <w:rPr>
          <w:color w:val="000000" w:themeColor="text1"/>
          <w:szCs w:val="20"/>
        </w:rPr>
        <w:t xml:space="preserve"> </w:t>
      </w:r>
      <w:r w:rsidRPr="00990651">
        <w:rPr>
          <w:i/>
          <w:color w:val="000000" w:themeColor="text1"/>
          <w:szCs w:val="20"/>
        </w:rPr>
        <w:t xml:space="preserve">Wrongful Convictions, </w:t>
      </w:r>
      <w:r w:rsidRPr="00990651">
        <w:rPr>
          <w:smallCaps/>
          <w:color w:val="000000" w:themeColor="text1"/>
          <w:szCs w:val="20"/>
        </w:rPr>
        <w:t>Death Penalty Information Center</w:t>
      </w:r>
      <w:r w:rsidRPr="00990651">
        <w:rPr>
          <w:color w:val="000000" w:themeColor="text1"/>
          <w:szCs w:val="20"/>
        </w:rPr>
        <w:t>, http://deathpenaltyinfo.org/causes-wrongful-convictions</w:t>
      </w:r>
      <w:r w:rsidRPr="00990651">
        <w:rPr>
          <w:rStyle w:val="Hyperlink"/>
          <w:color w:val="000000" w:themeColor="text1"/>
          <w:szCs w:val="20"/>
          <w:u w:val="none"/>
        </w:rPr>
        <w:t xml:space="preserve"> (last visited June 25, 2014).</w:t>
      </w:r>
      <w:proofErr w:type="gramEnd"/>
      <w:r w:rsidRPr="00990651">
        <w:rPr>
          <w:rStyle w:val="Hyperlink"/>
          <w:color w:val="000000" w:themeColor="text1"/>
          <w:szCs w:val="20"/>
          <w:u w:val="none"/>
        </w:rPr>
        <w:t xml:space="preserve"> </w:t>
      </w:r>
    </w:p>
  </w:footnote>
  <w:footnote w:id="76">
    <w:p w14:paraId="17D2F863" w14:textId="70466B56"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 xml:space="preserve">Making up for Lost Time: What the Wrongfully Convicted Endure and How to Provide Fair Compensation, </w:t>
      </w:r>
      <w:r w:rsidRPr="00990651">
        <w:rPr>
          <w:smallCaps/>
          <w:color w:val="000000" w:themeColor="text1"/>
          <w:szCs w:val="20"/>
        </w:rPr>
        <w:t>The innocence Project</w:t>
      </w:r>
      <w:r w:rsidRPr="00990651">
        <w:rPr>
          <w:color w:val="000000" w:themeColor="text1"/>
          <w:szCs w:val="20"/>
        </w:rPr>
        <w:t>, 2009,</w:t>
      </w:r>
      <w:r w:rsidRPr="00990651">
        <w:rPr>
          <w:i/>
          <w:color w:val="000000" w:themeColor="text1"/>
          <w:szCs w:val="20"/>
        </w:rPr>
        <w:t xml:space="preserve"> </w:t>
      </w:r>
      <w:r w:rsidRPr="00990651">
        <w:rPr>
          <w:color w:val="000000" w:themeColor="text1"/>
          <w:szCs w:val="20"/>
        </w:rPr>
        <w:t xml:space="preserve">at 17. </w:t>
      </w:r>
    </w:p>
  </w:footnote>
  <w:footnote w:id="77">
    <w:p w14:paraId="138FA8C9" w14:textId="7777777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Facts on Exoneration</w:t>
      </w:r>
      <w:r w:rsidRPr="00990651">
        <w:rPr>
          <w:color w:val="000000" w:themeColor="text1"/>
          <w:szCs w:val="20"/>
        </w:rPr>
        <w:t xml:space="preserve">, </w:t>
      </w:r>
      <w:r w:rsidRPr="00990651">
        <w:rPr>
          <w:smallCaps/>
          <w:color w:val="000000" w:themeColor="text1"/>
          <w:szCs w:val="20"/>
        </w:rPr>
        <w:t>Resurrection after Exoneration</w:t>
      </w:r>
      <w:r w:rsidRPr="00990651">
        <w:rPr>
          <w:color w:val="000000" w:themeColor="text1"/>
          <w:szCs w:val="20"/>
        </w:rPr>
        <w:t>, http://www.r-a-e.org/about/facts-exoneration (last visited June 25, 2014).</w:t>
      </w:r>
      <w:proofErr w:type="gramEnd"/>
      <w:r w:rsidRPr="00990651">
        <w:rPr>
          <w:color w:val="000000" w:themeColor="text1"/>
          <w:szCs w:val="20"/>
        </w:rPr>
        <w:t xml:space="preserve"> </w:t>
      </w:r>
    </w:p>
  </w:footnote>
  <w:footnote w:id="78">
    <w:p w14:paraId="094AF10D" w14:textId="77777777" w:rsidR="003D1304" w:rsidRPr="00990651" w:rsidRDefault="003D1304" w:rsidP="006E1E5C">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Andrew Cohen, </w:t>
      </w:r>
      <w:r w:rsidRPr="00990651">
        <w:rPr>
          <w:i/>
          <w:color w:val="000000" w:themeColor="text1"/>
          <w:szCs w:val="20"/>
        </w:rPr>
        <w:t>Glenn Ford’s First Days of Freedom after 30 Years on Death Row</w:t>
      </w:r>
      <w:r w:rsidRPr="00990651">
        <w:rPr>
          <w:color w:val="000000" w:themeColor="text1"/>
          <w:szCs w:val="20"/>
        </w:rPr>
        <w:t>,</w:t>
      </w:r>
      <w:r w:rsidRPr="00990651">
        <w:rPr>
          <w:i/>
          <w:color w:val="000000" w:themeColor="text1"/>
          <w:szCs w:val="20"/>
        </w:rPr>
        <w:t xml:space="preserve"> </w:t>
      </w:r>
      <w:r w:rsidRPr="00990651">
        <w:rPr>
          <w:color w:val="000000" w:themeColor="text1"/>
          <w:szCs w:val="20"/>
        </w:rPr>
        <w:t>The Atlantic, March 14, 2014, http://www.theatlantic.com/national/archive/2014/03/glenn-fords-first-days-of-freedom-after-30-years-on-death-row/284396/.</w:t>
      </w:r>
    </w:p>
  </w:footnote>
  <w:footnote w:id="79">
    <w:p w14:paraId="1B0E44E2" w14:textId="484BDF04"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Albert Ronnie Burrell v. Louisiana State, Reasons for Judgment, Case No. 00000042613, Div. B 3d Jud. Dist. Ct., Parish of Union, State of Louisiana, July 17, 2014. C. Lloyd, Personal Communication, Aug. 15, 2013. </w:t>
      </w:r>
    </w:p>
  </w:footnote>
  <w:footnote w:id="80">
    <w:p w14:paraId="5DBA4CD0" w14:textId="7C048CFE"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00EB07FA">
        <w:rPr>
          <w:color w:val="000000" w:themeColor="text1"/>
          <w:szCs w:val="20"/>
        </w:rPr>
        <w:t>Ibid.</w:t>
      </w:r>
    </w:p>
  </w:footnote>
  <w:footnote w:id="81">
    <w:p w14:paraId="0D755EAF" w14:textId="642A3583"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Compensation Laws</w:t>
      </w:r>
      <w:r w:rsidRPr="00990651">
        <w:rPr>
          <w:color w:val="000000" w:themeColor="text1"/>
          <w:szCs w:val="20"/>
        </w:rPr>
        <w:t xml:space="preserve">, </w:t>
      </w:r>
      <w:r w:rsidRPr="00990651">
        <w:rPr>
          <w:smallCaps/>
          <w:color w:val="000000" w:themeColor="text1"/>
          <w:szCs w:val="20"/>
        </w:rPr>
        <w:t xml:space="preserve">Life after Exoneration Program, </w:t>
      </w:r>
      <w:r w:rsidRPr="00990651">
        <w:rPr>
          <w:color w:val="000000" w:themeColor="text1"/>
          <w:szCs w:val="20"/>
        </w:rPr>
        <w:t xml:space="preserve">http://www.exonerated.org/index.php?option=com_content&amp;view=article&amp;id=166&amp;Itemid=88 (last visited June 25, 2014); </w:t>
      </w:r>
      <w:r w:rsidRPr="00990651">
        <w:rPr>
          <w:i/>
          <w:color w:val="000000" w:themeColor="text1"/>
          <w:szCs w:val="20"/>
        </w:rPr>
        <w:t xml:space="preserve">Exonerations by State, </w:t>
      </w:r>
      <w:r w:rsidRPr="00990651">
        <w:rPr>
          <w:smallCaps/>
          <w:color w:val="000000" w:themeColor="text1"/>
          <w:szCs w:val="20"/>
        </w:rPr>
        <w:t>Death Penalty Information Center</w:t>
      </w:r>
      <w:r w:rsidRPr="00990651">
        <w:rPr>
          <w:color w:val="000000" w:themeColor="text1"/>
          <w:szCs w:val="20"/>
        </w:rPr>
        <w:t>, http://deathpenaltyinfo.org/innocence-and-death-penalty#inn-st (last visited June 25, 2014).</w:t>
      </w:r>
      <w:proofErr w:type="gramEnd"/>
      <w:r w:rsidRPr="00990651">
        <w:rPr>
          <w:color w:val="000000" w:themeColor="text1"/>
          <w:szCs w:val="20"/>
        </w:rPr>
        <w:t xml:space="preserve"> </w:t>
      </w:r>
    </w:p>
  </w:footnote>
  <w:footnote w:id="82">
    <w:p w14:paraId="6ABE051C" w14:textId="017FE2E2"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 xml:space="preserve">Remedies, </w:t>
      </w:r>
      <w:r w:rsidRPr="00990651">
        <w:rPr>
          <w:smallCaps/>
          <w:color w:val="000000" w:themeColor="text1"/>
          <w:szCs w:val="20"/>
        </w:rPr>
        <w:t>Life after Exoneration Program</w:t>
      </w:r>
      <w:r w:rsidRPr="00990651">
        <w:rPr>
          <w:color w:val="000000" w:themeColor="text1"/>
          <w:szCs w:val="20"/>
        </w:rPr>
        <w:t xml:space="preserve">, http://www.exonerated.org/index.php?option=com_content&amp;view=article&amp;id=95&amp;Itemid=88 (last visited June 25, 2014); </w:t>
      </w:r>
      <w:r w:rsidRPr="00990651">
        <w:rPr>
          <w:i/>
          <w:color w:val="000000" w:themeColor="text1"/>
          <w:szCs w:val="20"/>
        </w:rPr>
        <w:t xml:space="preserve">Making up for Lost Time: What the Wrongfully Convicted Endure and How to Provide Fair Compensation, </w:t>
      </w:r>
      <w:r w:rsidRPr="00990651">
        <w:rPr>
          <w:smallCaps/>
          <w:color w:val="000000" w:themeColor="text1"/>
          <w:szCs w:val="20"/>
        </w:rPr>
        <w:t>The innocence Project</w:t>
      </w:r>
      <w:r w:rsidRPr="00990651">
        <w:rPr>
          <w:color w:val="000000" w:themeColor="text1"/>
          <w:szCs w:val="20"/>
        </w:rPr>
        <w:t>, 2009,</w:t>
      </w:r>
      <w:r w:rsidRPr="00990651">
        <w:rPr>
          <w:i/>
          <w:color w:val="000000" w:themeColor="text1"/>
          <w:szCs w:val="20"/>
        </w:rPr>
        <w:t xml:space="preserve"> </w:t>
      </w:r>
      <w:r w:rsidRPr="00990651">
        <w:rPr>
          <w:color w:val="000000" w:themeColor="text1"/>
          <w:szCs w:val="20"/>
        </w:rPr>
        <w:t>at 12.</w:t>
      </w:r>
    </w:p>
  </w:footnote>
  <w:footnote w:id="83">
    <w:p w14:paraId="51AC2B6B" w14:textId="77777777" w:rsidR="003D1304" w:rsidRPr="00990651" w:rsidRDefault="003D1304" w:rsidP="00AF29F7">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spellStart"/>
      <w:proofErr w:type="gramStart"/>
      <w:r w:rsidRPr="00990651">
        <w:rPr>
          <w:i/>
          <w:color w:val="000000" w:themeColor="text1"/>
          <w:szCs w:val="20"/>
        </w:rPr>
        <w:t>Connick</w:t>
      </w:r>
      <w:proofErr w:type="spellEnd"/>
      <w:r w:rsidRPr="00990651">
        <w:rPr>
          <w:i/>
          <w:color w:val="000000" w:themeColor="text1"/>
          <w:szCs w:val="20"/>
        </w:rPr>
        <w:t xml:space="preserve"> v. Thompson</w:t>
      </w:r>
      <w:r w:rsidRPr="00990651">
        <w:rPr>
          <w:color w:val="000000" w:themeColor="text1"/>
          <w:szCs w:val="20"/>
        </w:rPr>
        <w:t>, 131 S. Ct. 1350 (2011).</w:t>
      </w:r>
      <w:proofErr w:type="gramEnd"/>
    </w:p>
  </w:footnote>
  <w:footnote w:id="84">
    <w:p w14:paraId="550A7D23" w14:textId="72F79D3F"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 xml:space="preserve">Making up for Lost Time: What the Wrongfully Convicted Endure and How to Provide Fair Compensation, </w:t>
      </w:r>
      <w:r w:rsidRPr="00990651">
        <w:rPr>
          <w:smallCaps/>
          <w:color w:val="000000" w:themeColor="text1"/>
          <w:szCs w:val="20"/>
        </w:rPr>
        <w:t>The innocence Project</w:t>
      </w:r>
      <w:r w:rsidRPr="00990651">
        <w:rPr>
          <w:color w:val="000000" w:themeColor="text1"/>
          <w:szCs w:val="20"/>
        </w:rPr>
        <w:t>, 2009</w:t>
      </w:r>
      <w:proofErr w:type="gramStart"/>
      <w:r w:rsidRPr="00990651">
        <w:rPr>
          <w:color w:val="000000" w:themeColor="text1"/>
          <w:szCs w:val="20"/>
        </w:rPr>
        <w:t>,at</w:t>
      </w:r>
      <w:proofErr w:type="gramEnd"/>
      <w:r w:rsidRPr="00990651">
        <w:rPr>
          <w:color w:val="000000" w:themeColor="text1"/>
          <w:szCs w:val="20"/>
        </w:rPr>
        <w:t xml:space="preserve"> 13.</w:t>
      </w:r>
    </w:p>
  </w:footnote>
  <w:footnote w:id="85">
    <w:p w14:paraId="0E6F9CAE" w14:textId="77777777"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Vienna Convention on Consular </w:t>
      </w:r>
      <w:proofErr w:type="gramStart"/>
      <w:r w:rsidRPr="00990651">
        <w:rPr>
          <w:color w:val="000000" w:themeColor="text1"/>
          <w:szCs w:val="20"/>
        </w:rPr>
        <w:t>Relations,</w:t>
      </w:r>
      <w:proofErr w:type="gramEnd"/>
      <w:r w:rsidRPr="00990651">
        <w:rPr>
          <w:color w:val="000000" w:themeColor="text1"/>
          <w:szCs w:val="20"/>
        </w:rPr>
        <w:t xml:space="preserve"> signed Apr. 24, 1963, effective Mar. 19, 1967, 21 U.S.T. 77, 596 U.N.T.S. 262.</w:t>
      </w:r>
    </w:p>
  </w:footnote>
  <w:footnote w:id="86">
    <w:p w14:paraId="6ADA8771" w14:textId="3DE8EDDD" w:rsidR="003D1304" w:rsidRPr="00990651" w:rsidRDefault="003D1304" w:rsidP="001A7171">
      <w:pPr>
        <w:pStyle w:val="FootnoteText"/>
        <w:rPr>
          <w:color w:val="000000" w:themeColor="text1"/>
          <w:szCs w:val="20"/>
        </w:rPr>
      </w:pPr>
      <w:r w:rsidRPr="00990651">
        <w:rPr>
          <w:color w:val="000000" w:themeColor="text1"/>
          <w:szCs w:val="20"/>
          <w:vertAlign w:val="superscript"/>
        </w:rPr>
        <w:footnoteRef/>
      </w:r>
      <w:r w:rsidRPr="00990651">
        <w:rPr>
          <w:color w:val="000000" w:themeColor="text1"/>
          <w:szCs w:val="20"/>
        </w:rPr>
        <w:t xml:space="preserve"> </w:t>
      </w:r>
      <w:r w:rsidR="00EB07FA">
        <w:rPr>
          <w:color w:val="000000" w:themeColor="text1"/>
          <w:szCs w:val="20"/>
        </w:rPr>
        <w:t>Ibid.</w:t>
      </w:r>
      <w:r w:rsidRPr="00990651">
        <w:rPr>
          <w:color w:val="000000" w:themeColor="text1"/>
          <w:szCs w:val="20"/>
        </w:rPr>
        <w:t xml:space="preserve">; </w:t>
      </w:r>
      <w:r w:rsidRPr="00990651">
        <w:rPr>
          <w:i/>
          <w:color w:val="000000" w:themeColor="text1"/>
          <w:szCs w:val="20"/>
        </w:rPr>
        <w:t>see also</w:t>
      </w:r>
      <w:r w:rsidRPr="00990651">
        <w:rPr>
          <w:color w:val="000000" w:themeColor="text1"/>
          <w:szCs w:val="20"/>
        </w:rPr>
        <w:t xml:space="preserve"> </w:t>
      </w:r>
      <w:r w:rsidRPr="00990651">
        <w:rPr>
          <w:i/>
          <w:color w:val="000000" w:themeColor="text1"/>
          <w:szCs w:val="20"/>
        </w:rPr>
        <w:t>Honored in the Breach: The United States’ Failure to Observe Its Legal Obligations Under the Vienna Convention on Consular Relations (VCCR) in Capital Cases</w:t>
      </w:r>
      <w:r w:rsidRPr="00990651">
        <w:rPr>
          <w:smallCaps/>
          <w:color w:val="000000" w:themeColor="text1"/>
          <w:szCs w:val="20"/>
        </w:rPr>
        <w:t>, Reprieve 2</w:t>
      </w:r>
      <w:r w:rsidRPr="00990651">
        <w:rPr>
          <w:color w:val="000000" w:themeColor="text1"/>
          <w:szCs w:val="20"/>
        </w:rPr>
        <w:t xml:space="preserve"> (2012), </w:t>
      </w:r>
      <w:r w:rsidRPr="00990651">
        <w:rPr>
          <w:i/>
          <w:color w:val="000000" w:themeColor="text1"/>
          <w:szCs w:val="20"/>
        </w:rPr>
        <w:t>available at</w:t>
      </w:r>
      <w:r w:rsidRPr="00990651">
        <w:rPr>
          <w:color w:val="000000" w:themeColor="text1"/>
          <w:szCs w:val="20"/>
        </w:rPr>
        <w:t xml:space="preserve"> http://www.reprieve.org.uk/static/downloads/2013_02_26_PUB_VCCR_Report_Web.pdf.</w:t>
      </w:r>
    </w:p>
  </w:footnote>
  <w:footnote w:id="87">
    <w:p w14:paraId="5C8AD7C9" w14:textId="64D8101D"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Vienna Convention on Consular Relations, signed Apr. 24, 1963, effective Mar. 19, 1967, 21 U.S.T. 77, 596 U.N.T.S. 262 at 2, </w:t>
      </w:r>
      <w:proofErr w:type="gramStart"/>
      <w:r w:rsidRPr="00990651">
        <w:rPr>
          <w:color w:val="000000" w:themeColor="text1"/>
          <w:szCs w:val="20"/>
        </w:rPr>
        <w:t>2 n.4</w:t>
      </w:r>
      <w:proofErr w:type="gramEnd"/>
      <w:r w:rsidRPr="00990651">
        <w:rPr>
          <w:color w:val="000000" w:themeColor="text1"/>
          <w:szCs w:val="20"/>
        </w:rPr>
        <w:t>.</w:t>
      </w:r>
    </w:p>
  </w:footnote>
  <w:footnote w:id="88">
    <w:p w14:paraId="55851CD9" w14:textId="5206C9D3" w:rsidR="003D1304" w:rsidRPr="00990651" w:rsidRDefault="003D1304" w:rsidP="001A7171">
      <w:pPr>
        <w:pStyle w:val="FootnoteText"/>
        <w:rPr>
          <w:color w:val="000000" w:themeColor="text1"/>
          <w:szCs w:val="20"/>
        </w:rPr>
      </w:pPr>
      <w:r w:rsidRPr="00990651">
        <w:rPr>
          <w:color w:val="000000" w:themeColor="text1"/>
          <w:szCs w:val="20"/>
          <w:vertAlign w:val="superscript"/>
        </w:rPr>
        <w:footnoteRef/>
      </w:r>
      <w:r w:rsidRPr="00990651">
        <w:rPr>
          <w:color w:val="000000" w:themeColor="text1"/>
          <w:szCs w:val="20"/>
        </w:rPr>
        <w:t xml:space="preserve"> </w:t>
      </w:r>
      <w:proofErr w:type="gramStart"/>
      <w:r w:rsidRPr="00990651">
        <w:rPr>
          <w:i/>
          <w:color w:val="000000" w:themeColor="text1"/>
          <w:szCs w:val="20"/>
        </w:rPr>
        <w:t>See, e.g.</w:t>
      </w:r>
      <w:r w:rsidRPr="00990651">
        <w:rPr>
          <w:color w:val="000000" w:themeColor="text1"/>
          <w:szCs w:val="20"/>
        </w:rPr>
        <w:t xml:space="preserve">, </w:t>
      </w:r>
      <w:r w:rsidRPr="00990651">
        <w:rPr>
          <w:smallCaps/>
          <w:color w:val="000000" w:themeColor="text1"/>
          <w:szCs w:val="20"/>
        </w:rPr>
        <w:t>Mark Warren, Death Penalty Info.</w:t>
      </w:r>
      <w:proofErr w:type="gramEnd"/>
      <w:r w:rsidRPr="00990651">
        <w:rPr>
          <w:smallCaps/>
          <w:color w:val="000000" w:themeColor="text1"/>
          <w:szCs w:val="20"/>
        </w:rPr>
        <w:t xml:space="preserve"> Center, Foreign Nationals and the Death Penalty in the U.S.</w:t>
      </w:r>
      <w:r w:rsidRPr="00990651">
        <w:rPr>
          <w:color w:val="000000" w:themeColor="text1"/>
          <w:szCs w:val="20"/>
        </w:rPr>
        <w:t xml:space="preserve">, </w:t>
      </w:r>
      <w:r w:rsidRPr="00990651">
        <w:rPr>
          <w:i/>
          <w:color w:val="000000" w:themeColor="text1"/>
          <w:szCs w:val="20"/>
        </w:rPr>
        <w:t>available at</w:t>
      </w:r>
      <w:r w:rsidRPr="00990651">
        <w:rPr>
          <w:color w:val="000000" w:themeColor="text1"/>
          <w:szCs w:val="20"/>
        </w:rPr>
        <w:t xml:space="preserve"> http://www.deathpenaltyinfo.org/foreign-nationals-and-death-penalty-us (last visited June 25, 2014); </w:t>
      </w:r>
      <w:r w:rsidRPr="00990651">
        <w:rPr>
          <w:i/>
          <w:color w:val="000000" w:themeColor="text1"/>
          <w:szCs w:val="20"/>
        </w:rPr>
        <w:t>Honored in the Breach: The United States’ Failure to Observe Its Legal Obligations Under the Vienna Convention on Consular Relations (VCCR) in Capital Cases</w:t>
      </w:r>
      <w:r w:rsidRPr="00990651">
        <w:rPr>
          <w:smallCaps/>
          <w:color w:val="000000" w:themeColor="text1"/>
          <w:szCs w:val="20"/>
        </w:rPr>
        <w:t>, Reprieve 2</w:t>
      </w:r>
      <w:r w:rsidRPr="00990651">
        <w:rPr>
          <w:color w:val="000000" w:themeColor="text1"/>
          <w:szCs w:val="20"/>
        </w:rPr>
        <w:t xml:space="preserve"> (2012), </w:t>
      </w:r>
      <w:r w:rsidRPr="00990651">
        <w:rPr>
          <w:i/>
          <w:color w:val="000000" w:themeColor="text1"/>
          <w:szCs w:val="20"/>
        </w:rPr>
        <w:t>available at</w:t>
      </w:r>
      <w:r w:rsidRPr="00990651">
        <w:rPr>
          <w:color w:val="000000" w:themeColor="text1"/>
          <w:szCs w:val="20"/>
        </w:rPr>
        <w:t xml:space="preserve"> http://www.reprieve.org.uk/static/downloads/2013_02_26_PUB_VCCR_Report_Web.pdf, </w:t>
      </w:r>
      <w:r w:rsidRPr="00990651">
        <w:rPr>
          <w:i/>
          <w:color w:val="000000" w:themeColor="text1"/>
          <w:szCs w:val="20"/>
        </w:rPr>
        <w:t>passim</w:t>
      </w:r>
      <w:r w:rsidRPr="00990651">
        <w:rPr>
          <w:color w:val="000000" w:themeColor="text1"/>
          <w:szCs w:val="20"/>
        </w:rPr>
        <w:t xml:space="preserve">; Bruce Swartz, Deputy Assistant </w:t>
      </w:r>
      <w:proofErr w:type="spellStart"/>
      <w:r w:rsidRPr="00990651">
        <w:rPr>
          <w:color w:val="000000" w:themeColor="text1"/>
          <w:szCs w:val="20"/>
        </w:rPr>
        <w:t>Att’y</w:t>
      </w:r>
      <w:proofErr w:type="spellEnd"/>
      <w:r w:rsidRPr="00990651">
        <w:rPr>
          <w:color w:val="000000" w:themeColor="text1"/>
          <w:szCs w:val="20"/>
        </w:rPr>
        <w:t xml:space="preserve"> Gen., Crim. Div., Address Before the S. Judiciary Comm. (July 27, 2011), </w:t>
      </w:r>
      <w:r w:rsidRPr="00990651">
        <w:rPr>
          <w:i/>
          <w:color w:val="000000" w:themeColor="text1"/>
          <w:szCs w:val="20"/>
        </w:rPr>
        <w:t xml:space="preserve">available at </w:t>
      </w:r>
      <w:r w:rsidRPr="00990651">
        <w:rPr>
          <w:color w:val="000000" w:themeColor="text1"/>
          <w:szCs w:val="20"/>
        </w:rPr>
        <w:t>http://www.justice.gov/criminal/pr/testimony/2011/crm-testimony-110727.html (“Despite the fact that these [consular notification] obligations already exist, instances in which notification is not provided continue to occur”).</w:t>
      </w:r>
    </w:p>
  </w:footnote>
  <w:footnote w:id="89">
    <w:p w14:paraId="6EB0A112" w14:textId="515FD4FD"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See</w:t>
      </w:r>
      <w:r w:rsidRPr="00990651">
        <w:rPr>
          <w:color w:val="000000" w:themeColor="text1"/>
          <w:szCs w:val="20"/>
        </w:rPr>
        <w:t xml:space="preserve"> </w:t>
      </w:r>
      <w:r w:rsidRPr="00990651">
        <w:rPr>
          <w:i/>
          <w:color w:val="000000" w:themeColor="text1"/>
          <w:szCs w:val="20"/>
        </w:rPr>
        <w:t>Case Concerning the Vienna Convention on Consular Relations</w:t>
      </w:r>
      <w:r w:rsidRPr="00990651">
        <w:rPr>
          <w:color w:val="000000" w:themeColor="text1"/>
          <w:szCs w:val="20"/>
        </w:rPr>
        <w:t xml:space="preserve"> (</w:t>
      </w:r>
      <w:r w:rsidRPr="00990651">
        <w:rPr>
          <w:i/>
          <w:color w:val="000000" w:themeColor="text1"/>
          <w:szCs w:val="20"/>
        </w:rPr>
        <w:t>Paraguay v. United States</w:t>
      </w:r>
      <w:r w:rsidRPr="00990651">
        <w:rPr>
          <w:color w:val="000000" w:themeColor="text1"/>
          <w:szCs w:val="20"/>
        </w:rPr>
        <w:t xml:space="preserve">), 1998 I.C.J. 5 (Nov. 10) (alleging the United States failed to fulfill its VCCR obligations in the case of Paraguayan national, Angel </w:t>
      </w:r>
      <w:proofErr w:type="spellStart"/>
      <w:r w:rsidRPr="00990651">
        <w:rPr>
          <w:color w:val="000000" w:themeColor="text1"/>
          <w:szCs w:val="20"/>
        </w:rPr>
        <w:t>Breard</w:t>
      </w:r>
      <w:proofErr w:type="spellEnd"/>
      <w:r w:rsidRPr="00990651">
        <w:rPr>
          <w:color w:val="000000" w:themeColor="text1"/>
          <w:szCs w:val="20"/>
        </w:rPr>
        <w:t xml:space="preserve">, who had received a death sentence in the State of Virginia, but dismissed at Paraguay’s request following execution of </w:t>
      </w:r>
      <w:proofErr w:type="spellStart"/>
      <w:r w:rsidRPr="00990651">
        <w:rPr>
          <w:color w:val="000000" w:themeColor="text1"/>
          <w:szCs w:val="20"/>
        </w:rPr>
        <w:t>Breard</w:t>
      </w:r>
      <w:proofErr w:type="spellEnd"/>
      <w:r w:rsidRPr="00990651">
        <w:rPr>
          <w:color w:val="000000" w:themeColor="text1"/>
          <w:szCs w:val="20"/>
        </w:rPr>
        <w:t xml:space="preserve">); </w:t>
      </w:r>
      <w:proofErr w:type="spellStart"/>
      <w:r w:rsidRPr="00990651">
        <w:rPr>
          <w:i/>
          <w:color w:val="000000" w:themeColor="text1"/>
          <w:szCs w:val="20"/>
        </w:rPr>
        <w:t>LaGrand</w:t>
      </w:r>
      <w:proofErr w:type="spellEnd"/>
      <w:r w:rsidRPr="00990651">
        <w:rPr>
          <w:i/>
          <w:color w:val="000000" w:themeColor="text1"/>
          <w:szCs w:val="20"/>
        </w:rPr>
        <w:t xml:space="preserve"> Case</w:t>
      </w:r>
      <w:r w:rsidRPr="00990651">
        <w:rPr>
          <w:color w:val="000000" w:themeColor="text1"/>
          <w:szCs w:val="20"/>
        </w:rPr>
        <w:t xml:space="preserve"> (</w:t>
      </w:r>
      <w:r w:rsidRPr="00990651">
        <w:rPr>
          <w:i/>
          <w:color w:val="000000" w:themeColor="text1"/>
          <w:szCs w:val="20"/>
        </w:rPr>
        <w:t>Germany v. United States</w:t>
      </w:r>
      <w:r w:rsidRPr="00990651">
        <w:rPr>
          <w:color w:val="000000" w:themeColor="text1"/>
          <w:szCs w:val="20"/>
        </w:rPr>
        <w:t xml:space="preserve">), 1999 I.C.J. 1 (Mar. 3) (alleging the United States failed to fulfill its VCCR obligations with respect to German foreign nationals Karl and Walter </w:t>
      </w:r>
      <w:proofErr w:type="spellStart"/>
      <w:r w:rsidRPr="00990651">
        <w:rPr>
          <w:color w:val="000000" w:themeColor="text1"/>
          <w:szCs w:val="20"/>
        </w:rPr>
        <w:t>LaGrand</w:t>
      </w:r>
      <w:proofErr w:type="spellEnd"/>
      <w:r w:rsidRPr="00990651">
        <w:rPr>
          <w:color w:val="000000" w:themeColor="text1"/>
          <w:szCs w:val="20"/>
        </w:rPr>
        <w:t xml:space="preserve">, who were subsequently executed before the ICJ’s judgment was issued); </w:t>
      </w:r>
      <w:r w:rsidRPr="00990651">
        <w:rPr>
          <w:i/>
          <w:color w:val="000000" w:themeColor="text1"/>
          <w:szCs w:val="20"/>
        </w:rPr>
        <w:t xml:space="preserve">Case Concerning </w:t>
      </w:r>
      <w:proofErr w:type="spellStart"/>
      <w:r w:rsidRPr="00990651">
        <w:rPr>
          <w:i/>
          <w:color w:val="000000" w:themeColor="text1"/>
          <w:szCs w:val="20"/>
        </w:rPr>
        <w:t>Avena</w:t>
      </w:r>
      <w:proofErr w:type="spellEnd"/>
      <w:r w:rsidRPr="00990651">
        <w:rPr>
          <w:i/>
          <w:color w:val="000000" w:themeColor="text1"/>
          <w:szCs w:val="20"/>
        </w:rPr>
        <w:t xml:space="preserve"> and Other Mexican Nationals </w:t>
      </w:r>
      <w:r w:rsidRPr="00990651">
        <w:rPr>
          <w:color w:val="000000" w:themeColor="text1"/>
          <w:szCs w:val="20"/>
        </w:rPr>
        <w:t>(</w:t>
      </w:r>
      <w:r w:rsidRPr="00990651">
        <w:rPr>
          <w:i/>
          <w:color w:val="000000" w:themeColor="text1"/>
          <w:szCs w:val="20"/>
        </w:rPr>
        <w:t>Mexico v. United States</w:t>
      </w:r>
      <w:r w:rsidRPr="00990651">
        <w:rPr>
          <w:color w:val="000000" w:themeColor="text1"/>
          <w:szCs w:val="20"/>
        </w:rPr>
        <w:t>), 2004 I.C.J. 128 (Mar. 31).</w:t>
      </w:r>
    </w:p>
  </w:footnote>
  <w:footnote w:id="90">
    <w:p w14:paraId="0920337E" w14:textId="5833810E" w:rsidR="003D1304" w:rsidRPr="00990651" w:rsidRDefault="003D1304" w:rsidP="001A7171">
      <w:pPr>
        <w:pStyle w:val="NormalWeb"/>
        <w:spacing w:line="240" w:lineRule="atLeast"/>
        <w:rPr>
          <w:color w:val="000000" w:themeColor="text1"/>
          <w:sz w:val="20"/>
          <w:szCs w:val="20"/>
        </w:rPr>
      </w:pPr>
      <w:r w:rsidRPr="00990651">
        <w:rPr>
          <w:rStyle w:val="FootnoteReference"/>
          <w:color w:val="000000" w:themeColor="text1"/>
          <w:sz w:val="20"/>
          <w:szCs w:val="20"/>
        </w:rPr>
        <w:footnoteRef/>
      </w:r>
      <w:r w:rsidRPr="00990651">
        <w:rPr>
          <w:color w:val="000000" w:themeColor="text1"/>
          <w:sz w:val="20"/>
          <w:szCs w:val="20"/>
        </w:rPr>
        <w:t xml:space="preserve"> </w:t>
      </w:r>
      <w:proofErr w:type="gramStart"/>
      <w:r w:rsidRPr="00990651">
        <w:rPr>
          <w:i/>
          <w:color w:val="000000" w:themeColor="text1"/>
          <w:sz w:val="20"/>
          <w:szCs w:val="20"/>
        </w:rPr>
        <w:t xml:space="preserve">Case Concerning </w:t>
      </w:r>
      <w:proofErr w:type="spellStart"/>
      <w:r w:rsidRPr="00990651">
        <w:rPr>
          <w:i/>
          <w:color w:val="000000" w:themeColor="text1"/>
          <w:sz w:val="20"/>
          <w:szCs w:val="20"/>
        </w:rPr>
        <w:t>Avena</w:t>
      </w:r>
      <w:proofErr w:type="spellEnd"/>
      <w:r w:rsidRPr="00990651">
        <w:rPr>
          <w:i/>
          <w:color w:val="000000" w:themeColor="text1"/>
          <w:sz w:val="20"/>
          <w:szCs w:val="20"/>
        </w:rPr>
        <w:t xml:space="preserve"> and Other Mexican Nationals </w:t>
      </w:r>
      <w:r w:rsidRPr="00990651">
        <w:rPr>
          <w:color w:val="000000" w:themeColor="text1"/>
          <w:sz w:val="20"/>
          <w:szCs w:val="20"/>
        </w:rPr>
        <w:t>(</w:t>
      </w:r>
      <w:r w:rsidRPr="00990651">
        <w:rPr>
          <w:i/>
          <w:color w:val="000000" w:themeColor="text1"/>
          <w:sz w:val="20"/>
          <w:szCs w:val="20"/>
        </w:rPr>
        <w:t>Mexico v. United States</w:t>
      </w:r>
      <w:r w:rsidRPr="00990651">
        <w:rPr>
          <w:color w:val="000000" w:themeColor="text1"/>
          <w:sz w:val="20"/>
          <w:szCs w:val="20"/>
        </w:rPr>
        <w:t>), 2004 I.C.J. 128 (Mar. 31).</w:t>
      </w:r>
      <w:proofErr w:type="gramEnd"/>
      <w:r w:rsidRPr="00990651">
        <w:rPr>
          <w:color w:val="000000" w:themeColor="text1"/>
          <w:sz w:val="20"/>
          <w:szCs w:val="20"/>
        </w:rPr>
        <w:t xml:space="preserve"> In </w:t>
      </w:r>
      <w:proofErr w:type="spellStart"/>
      <w:r w:rsidRPr="00990651">
        <w:rPr>
          <w:i/>
          <w:iCs/>
          <w:color w:val="000000" w:themeColor="text1"/>
          <w:sz w:val="20"/>
          <w:szCs w:val="20"/>
        </w:rPr>
        <w:t>Avena</w:t>
      </w:r>
      <w:proofErr w:type="spellEnd"/>
      <w:r w:rsidRPr="00990651">
        <w:rPr>
          <w:color w:val="000000" w:themeColor="text1"/>
          <w:sz w:val="20"/>
          <w:szCs w:val="20"/>
        </w:rPr>
        <w:t xml:space="preserve">, the Mexican government alleged that the United States had failed to comply with Article 36 of the VCCR in 52 separate cases involving Mexican nationals who had been convicted and sentenced to death. The ICJ held that the United States had violated the Vienna Convention in 51 of the 52 cases. </w:t>
      </w:r>
    </w:p>
  </w:footnote>
  <w:footnote w:id="91">
    <w:p w14:paraId="3364174E" w14:textId="77777777"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color w:val="000000" w:themeColor="text1"/>
          <w:szCs w:val="20"/>
        </w:rPr>
        <w:t xml:space="preserve">Letter from Condoleezza Rice, U.S. </w:t>
      </w:r>
      <w:proofErr w:type="spellStart"/>
      <w:r w:rsidRPr="00990651">
        <w:rPr>
          <w:color w:val="000000" w:themeColor="text1"/>
          <w:szCs w:val="20"/>
        </w:rPr>
        <w:t>Sec’y</w:t>
      </w:r>
      <w:proofErr w:type="spellEnd"/>
      <w:r w:rsidRPr="00990651">
        <w:rPr>
          <w:color w:val="000000" w:themeColor="text1"/>
          <w:szCs w:val="20"/>
        </w:rPr>
        <w:t xml:space="preserve"> of State, to Kofi Annan, </w:t>
      </w:r>
      <w:proofErr w:type="spellStart"/>
      <w:r w:rsidRPr="00990651">
        <w:rPr>
          <w:color w:val="000000" w:themeColor="text1"/>
          <w:szCs w:val="20"/>
        </w:rPr>
        <w:t>Sec’y</w:t>
      </w:r>
      <w:proofErr w:type="spellEnd"/>
      <w:r w:rsidRPr="00990651">
        <w:rPr>
          <w:color w:val="000000" w:themeColor="text1"/>
          <w:szCs w:val="20"/>
        </w:rPr>
        <w:t>-Gen.</w:t>
      </w:r>
      <w:proofErr w:type="gramEnd"/>
      <w:r w:rsidRPr="00990651">
        <w:rPr>
          <w:color w:val="000000" w:themeColor="text1"/>
          <w:szCs w:val="20"/>
        </w:rPr>
        <w:t xml:space="preserve"> </w:t>
      </w:r>
      <w:proofErr w:type="gramStart"/>
      <w:r w:rsidRPr="00990651">
        <w:rPr>
          <w:color w:val="000000" w:themeColor="text1"/>
          <w:szCs w:val="20"/>
        </w:rPr>
        <w:t>of</w:t>
      </w:r>
      <w:proofErr w:type="gramEnd"/>
      <w:r w:rsidRPr="00990651">
        <w:rPr>
          <w:color w:val="000000" w:themeColor="text1"/>
          <w:szCs w:val="20"/>
        </w:rPr>
        <w:t xml:space="preserve"> the U.N. (Mar. 7, 2005).</w:t>
      </w:r>
    </w:p>
  </w:footnote>
  <w:footnote w:id="92">
    <w:p w14:paraId="21DEDD76" w14:textId="77777777" w:rsidR="003D1304" w:rsidRPr="00990651" w:rsidRDefault="003D1304" w:rsidP="001A7171">
      <w:pPr>
        <w:autoSpaceDE w:val="0"/>
        <w:autoSpaceDN w:val="0"/>
        <w:adjustRightInd w:val="0"/>
        <w:rPr>
          <w:color w:val="000000" w:themeColor="text1"/>
          <w:sz w:val="20"/>
        </w:rPr>
      </w:pPr>
      <w:r w:rsidRPr="00990651">
        <w:rPr>
          <w:rStyle w:val="FootnoteReference"/>
          <w:color w:val="000000" w:themeColor="text1"/>
          <w:sz w:val="20"/>
        </w:rPr>
        <w:footnoteRef/>
      </w:r>
      <w:r w:rsidRPr="00990651">
        <w:rPr>
          <w:color w:val="000000" w:themeColor="text1"/>
          <w:sz w:val="20"/>
        </w:rPr>
        <w:t xml:space="preserve"> </w:t>
      </w:r>
      <w:proofErr w:type="gramStart"/>
      <w:r w:rsidRPr="00990651">
        <w:rPr>
          <w:color w:val="000000" w:themeColor="text1"/>
          <w:sz w:val="20"/>
        </w:rPr>
        <w:t xml:space="preserve">Memorandum from President George W. Bush to the </w:t>
      </w:r>
      <w:proofErr w:type="spellStart"/>
      <w:r w:rsidRPr="00990651">
        <w:rPr>
          <w:color w:val="000000" w:themeColor="text1"/>
          <w:sz w:val="20"/>
        </w:rPr>
        <w:t>Att’y</w:t>
      </w:r>
      <w:proofErr w:type="spellEnd"/>
      <w:r w:rsidRPr="00990651">
        <w:rPr>
          <w:color w:val="000000" w:themeColor="text1"/>
          <w:sz w:val="20"/>
        </w:rPr>
        <w:t xml:space="preserve"> Gen., Compliance with the Decision of the I.C.J. in </w:t>
      </w:r>
      <w:proofErr w:type="spellStart"/>
      <w:r w:rsidRPr="00990651">
        <w:rPr>
          <w:i/>
          <w:iCs/>
          <w:color w:val="000000" w:themeColor="text1"/>
          <w:sz w:val="20"/>
        </w:rPr>
        <w:t>Avena</w:t>
      </w:r>
      <w:proofErr w:type="spellEnd"/>
      <w:r w:rsidRPr="00990651">
        <w:rPr>
          <w:i/>
          <w:iCs/>
          <w:color w:val="000000" w:themeColor="text1"/>
          <w:sz w:val="20"/>
        </w:rPr>
        <w:t xml:space="preserve"> </w:t>
      </w:r>
      <w:r w:rsidRPr="00990651">
        <w:rPr>
          <w:color w:val="000000" w:themeColor="text1"/>
          <w:sz w:val="20"/>
        </w:rPr>
        <w:t xml:space="preserve">(Feb. 28, 2005), </w:t>
      </w:r>
      <w:r w:rsidRPr="00990651">
        <w:rPr>
          <w:i/>
          <w:color w:val="000000" w:themeColor="text1"/>
          <w:sz w:val="20"/>
        </w:rPr>
        <w:t>available at</w:t>
      </w:r>
      <w:r w:rsidRPr="00990651">
        <w:rPr>
          <w:color w:val="000000" w:themeColor="text1"/>
          <w:sz w:val="20"/>
        </w:rPr>
        <w:t xml:space="preserve"> http://www.whitehouse.gov/news/releases/2005/02/20050228-18.html.</w:t>
      </w:r>
      <w:proofErr w:type="gramEnd"/>
    </w:p>
  </w:footnote>
  <w:footnote w:id="93">
    <w:p w14:paraId="7DE2AE56" w14:textId="77777777"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See</w:t>
      </w:r>
      <w:r w:rsidRPr="00990651">
        <w:rPr>
          <w:color w:val="000000" w:themeColor="text1"/>
          <w:szCs w:val="20"/>
        </w:rPr>
        <w:t xml:space="preserve"> </w:t>
      </w:r>
      <w:r w:rsidRPr="00990651">
        <w:rPr>
          <w:i/>
          <w:color w:val="000000" w:themeColor="text1"/>
          <w:szCs w:val="20"/>
        </w:rPr>
        <w:t>Medellin v. Texas</w:t>
      </w:r>
      <w:r w:rsidRPr="00990651">
        <w:rPr>
          <w:color w:val="000000" w:themeColor="text1"/>
          <w:szCs w:val="20"/>
        </w:rPr>
        <w:t>, 552 U.S. 491, 498 (2008).</w:t>
      </w:r>
    </w:p>
  </w:footnote>
  <w:footnote w:id="94">
    <w:p w14:paraId="7C471B77" w14:textId="7DA466A4"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 xml:space="preserve">See </w:t>
      </w:r>
      <w:r w:rsidR="00EB07FA">
        <w:rPr>
          <w:color w:val="000000" w:themeColor="text1"/>
          <w:szCs w:val="20"/>
        </w:rPr>
        <w:t xml:space="preserve">id. </w:t>
      </w:r>
      <w:proofErr w:type="gramStart"/>
      <w:r w:rsidR="00EB07FA">
        <w:rPr>
          <w:color w:val="000000" w:themeColor="text1"/>
          <w:szCs w:val="20"/>
        </w:rPr>
        <w:t>at</w:t>
      </w:r>
      <w:proofErr w:type="gramEnd"/>
      <w:r w:rsidR="00EB07FA">
        <w:rPr>
          <w:color w:val="000000" w:themeColor="text1"/>
          <w:szCs w:val="20"/>
        </w:rPr>
        <w:t xml:space="preserve"> 506, 530–</w:t>
      </w:r>
      <w:r w:rsidRPr="00990651">
        <w:rPr>
          <w:color w:val="000000" w:themeColor="text1"/>
          <w:szCs w:val="20"/>
        </w:rPr>
        <w:t>32.</w:t>
      </w:r>
    </w:p>
  </w:footnote>
  <w:footnote w:id="95">
    <w:p w14:paraId="4EF598BE" w14:textId="77777777" w:rsidR="003D1304" w:rsidRPr="00990651" w:rsidRDefault="003D1304" w:rsidP="001A7171">
      <w:pPr>
        <w:pStyle w:val="FootnoteText"/>
        <w:rPr>
          <w:color w:val="000000" w:themeColor="text1"/>
          <w:szCs w:val="20"/>
        </w:rPr>
      </w:pPr>
      <w:r w:rsidRPr="00990651">
        <w:rPr>
          <w:color w:val="000000" w:themeColor="text1"/>
          <w:szCs w:val="20"/>
          <w:vertAlign w:val="superscript"/>
        </w:rPr>
        <w:footnoteRef/>
      </w:r>
      <w:r w:rsidRPr="00990651">
        <w:rPr>
          <w:color w:val="000000" w:themeColor="text1"/>
          <w:szCs w:val="20"/>
        </w:rPr>
        <w:t xml:space="preserve"> </w:t>
      </w:r>
      <w:r w:rsidRPr="00990651">
        <w:rPr>
          <w:i/>
          <w:color w:val="000000" w:themeColor="text1"/>
          <w:szCs w:val="20"/>
        </w:rPr>
        <w:t>See</w:t>
      </w:r>
      <w:r w:rsidRPr="00990651">
        <w:rPr>
          <w:color w:val="000000" w:themeColor="text1"/>
          <w:szCs w:val="20"/>
        </w:rPr>
        <w:t xml:space="preserve"> </w:t>
      </w:r>
      <w:r w:rsidRPr="00990651">
        <w:rPr>
          <w:i/>
          <w:color w:val="000000" w:themeColor="text1"/>
          <w:szCs w:val="20"/>
        </w:rPr>
        <w:t>The Issue of Foreign Nationals in the Courts</w:t>
      </w:r>
      <w:r w:rsidRPr="00990651">
        <w:rPr>
          <w:color w:val="000000" w:themeColor="text1"/>
          <w:szCs w:val="20"/>
        </w:rPr>
        <w:t>,</w:t>
      </w:r>
      <w:r w:rsidRPr="00990651">
        <w:rPr>
          <w:smallCaps/>
          <w:color w:val="000000" w:themeColor="text1"/>
          <w:szCs w:val="20"/>
        </w:rPr>
        <w:t xml:space="preserve"> Death Penalty Info. </w:t>
      </w:r>
      <w:proofErr w:type="gramStart"/>
      <w:r w:rsidRPr="00990651">
        <w:rPr>
          <w:smallCaps/>
          <w:color w:val="000000" w:themeColor="text1"/>
          <w:szCs w:val="20"/>
        </w:rPr>
        <w:t>Center,</w:t>
      </w:r>
      <w:r w:rsidRPr="00990651">
        <w:rPr>
          <w:color w:val="000000" w:themeColor="text1"/>
          <w:szCs w:val="20"/>
        </w:rPr>
        <w:t xml:space="preserve"> http://www.deathpenaltyinfo.org/medellin-v-texas (last visited June 25, 2014).</w:t>
      </w:r>
      <w:proofErr w:type="gramEnd"/>
    </w:p>
  </w:footnote>
  <w:footnote w:id="96">
    <w:p w14:paraId="3EF19C3F" w14:textId="2D1BEF5A"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 xml:space="preserve">See </w:t>
      </w:r>
      <w:r w:rsidR="00EB07FA">
        <w:rPr>
          <w:color w:val="000000" w:themeColor="text1"/>
          <w:szCs w:val="20"/>
        </w:rPr>
        <w:t>ibid.</w:t>
      </w:r>
    </w:p>
  </w:footnote>
  <w:footnote w:id="97">
    <w:p w14:paraId="5603F3F4" w14:textId="77777777" w:rsidR="003D1304" w:rsidRPr="00990651" w:rsidRDefault="003D1304" w:rsidP="00C8635F">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Jon </w:t>
      </w:r>
      <w:proofErr w:type="spellStart"/>
      <w:r w:rsidRPr="00990651">
        <w:rPr>
          <w:color w:val="000000" w:themeColor="text1"/>
          <w:szCs w:val="20"/>
        </w:rPr>
        <w:t>Herskovitz</w:t>
      </w:r>
      <w:proofErr w:type="spellEnd"/>
      <w:r w:rsidRPr="00990651">
        <w:rPr>
          <w:color w:val="000000" w:themeColor="text1"/>
          <w:szCs w:val="20"/>
        </w:rPr>
        <w:t xml:space="preserve">, </w:t>
      </w:r>
      <w:r w:rsidRPr="00990651">
        <w:rPr>
          <w:i/>
          <w:color w:val="000000" w:themeColor="text1"/>
          <w:szCs w:val="20"/>
        </w:rPr>
        <w:t xml:space="preserve">Texas Executes Mexican National </w:t>
      </w:r>
      <w:proofErr w:type="gramStart"/>
      <w:r w:rsidRPr="00990651">
        <w:rPr>
          <w:i/>
          <w:color w:val="000000" w:themeColor="text1"/>
          <w:szCs w:val="20"/>
        </w:rPr>
        <w:t>Despite</w:t>
      </w:r>
      <w:proofErr w:type="gramEnd"/>
      <w:r w:rsidRPr="00990651">
        <w:rPr>
          <w:i/>
          <w:color w:val="000000" w:themeColor="text1"/>
          <w:szCs w:val="20"/>
        </w:rPr>
        <w:t xml:space="preserve"> Diplomatic Protests</w:t>
      </w:r>
      <w:r w:rsidRPr="00990651">
        <w:rPr>
          <w:color w:val="000000" w:themeColor="text1"/>
          <w:szCs w:val="20"/>
        </w:rPr>
        <w:t xml:space="preserve">, </w:t>
      </w:r>
      <w:r w:rsidRPr="00990651">
        <w:rPr>
          <w:smallCaps/>
          <w:color w:val="000000" w:themeColor="text1"/>
          <w:szCs w:val="20"/>
        </w:rPr>
        <w:t>Reuters</w:t>
      </w:r>
      <w:r w:rsidRPr="00990651">
        <w:rPr>
          <w:color w:val="000000" w:themeColor="text1"/>
          <w:szCs w:val="20"/>
        </w:rPr>
        <w:t xml:space="preserve"> (Jan. 27, 2014) </w:t>
      </w:r>
      <w:r w:rsidRPr="00990651">
        <w:rPr>
          <w:i/>
          <w:color w:val="000000" w:themeColor="text1"/>
          <w:szCs w:val="20"/>
        </w:rPr>
        <w:t>available at</w:t>
      </w:r>
      <w:r w:rsidRPr="00990651">
        <w:rPr>
          <w:color w:val="000000" w:themeColor="text1"/>
          <w:szCs w:val="20"/>
        </w:rPr>
        <w:t xml:space="preserve"> http://www.reuters.com/article/2014/01/27/us-usa-execution-texas-mexico-idUSBREA0Q12T20140127; </w:t>
      </w:r>
      <w:r w:rsidRPr="00990651">
        <w:rPr>
          <w:i/>
          <w:color w:val="000000" w:themeColor="text1"/>
          <w:szCs w:val="20"/>
        </w:rPr>
        <w:t>New Voices: Former Texas Governor Calls for Hearing for Edgar Tamayo</w:t>
      </w:r>
      <w:r w:rsidRPr="00990651">
        <w:rPr>
          <w:color w:val="000000" w:themeColor="text1"/>
          <w:szCs w:val="20"/>
        </w:rPr>
        <w:t xml:space="preserve">, </w:t>
      </w:r>
      <w:r w:rsidRPr="00990651">
        <w:rPr>
          <w:smallCaps/>
          <w:color w:val="000000" w:themeColor="text1"/>
          <w:szCs w:val="20"/>
        </w:rPr>
        <w:t xml:space="preserve">Death Penalty Info. </w:t>
      </w:r>
      <w:proofErr w:type="gramStart"/>
      <w:r w:rsidRPr="00990651">
        <w:rPr>
          <w:smallCaps/>
          <w:color w:val="000000" w:themeColor="text1"/>
          <w:szCs w:val="20"/>
        </w:rPr>
        <w:t>Center</w:t>
      </w:r>
      <w:r w:rsidRPr="00990651">
        <w:rPr>
          <w:color w:val="000000" w:themeColor="text1"/>
          <w:szCs w:val="20"/>
        </w:rPr>
        <w:t xml:space="preserve">, </w:t>
      </w:r>
      <w:r w:rsidRPr="00990651">
        <w:rPr>
          <w:i/>
          <w:color w:val="000000" w:themeColor="text1"/>
          <w:szCs w:val="20"/>
        </w:rPr>
        <w:t xml:space="preserve">available at </w:t>
      </w:r>
      <w:r w:rsidRPr="00990651">
        <w:rPr>
          <w:color w:val="000000" w:themeColor="text1"/>
          <w:szCs w:val="20"/>
        </w:rPr>
        <w:t>http://www.deathpenaltyinfo.org/new-voices-former-texas-governor-calls-hearing-edgar-tamayo (last visited June 25, 2014).</w:t>
      </w:r>
      <w:proofErr w:type="gramEnd"/>
      <w:r w:rsidRPr="00990651">
        <w:rPr>
          <w:color w:val="000000" w:themeColor="text1"/>
          <w:szCs w:val="20"/>
        </w:rPr>
        <w:t xml:space="preserve"> </w:t>
      </w:r>
    </w:p>
  </w:footnote>
  <w:footnote w:id="98">
    <w:p w14:paraId="70B2B406" w14:textId="77777777"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 xml:space="preserve">Texas Executes Ramiro Hernandez </w:t>
      </w:r>
      <w:proofErr w:type="spellStart"/>
      <w:r w:rsidRPr="00990651">
        <w:rPr>
          <w:i/>
          <w:color w:val="000000" w:themeColor="text1"/>
          <w:szCs w:val="20"/>
        </w:rPr>
        <w:t>Llanas</w:t>
      </w:r>
      <w:proofErr w:type="spellEnd"/>
      <w:r w:rsidRPr="00990651">
        <w:rPr>
          <w:i/>
          <w:color w:val="000000" w:themeColor="text1"/>
          <w:szCs w:val="20"/>
        </w:rPr>
        <w:t>, Over Protests</w:t>
      </w:r>
      <w:r w:rsidRPr="00990651">
        <w:rPr>
          <w:color w:val="000000" w:themeColor="text1"/>
          <w:szCs w:val="20"/>
        </w:rPr>
        <w:t xml:space="preserve">, </w:t>
      </w:r>
      <w:r w:rsidRPr="00990651">
        <w:rPr>
          <w:smallCaps/>
          <w:color w:val="000000" w:themeColor="text1"/>
          <w:szCs w:val="20"/>
        </w:rPr>
        <w:t>The Mexican Gulf Reporter</w:t>
      </w:r>
      <w:r w:rsidRPr="00990651">
        <w:rPr>
          <w:color w:val="000000" w:themeColor="text1"/>
          <w:szCs w:val="20"/>
        </w:rPr>
        <w:t xml:space="preserve"> (April 9, 2014) </w:t>
      </w:r>
      <w:r w:rsidRPr="00990651">
        <w:rPr>
          <w:i/>
          <w:color w:val="000000" w:themeColor="text1"/>
          <w:szCs w:val="20"/>
        </w:rPr>
        <w:t xml:space="preserve">available at </w:t>
      </w:r>
      <w:r w:rsidRPr="00990651">
        <w:rPr>
          <w:color w:val="000000" w:themeColor="text1"/>
          <w:szCs w:val="20"/>
        </w:rPr>
        <w:t>http://www.mexicogulfreporter.com/2014/04/texas-executes-ramiro-hernandez-llanas.html.</w:t>
      </w:r>
      <w:proofErr w:type="gramEnd"/>
      <w:r w:rsidRPr="00990651">
        <w:rPr>
          <w:color w:val="000000" w:themeColor="text1"/>
          <w:szCs w:val="20"/>
        </w:rPr>
        <w:t xml:space="preserve"> </w:t>
      </w:r>
    </w:p>
  </w:footnote>
  <w:footnote w:id="99">
    <w:p w14:paraId="12B148F6" w14:textId="772BFC03" w:rsidR="003D1304" w:rsidRPr="00990651" w:rsidRDefault="003D1304" w:rsidP="00195D49">
      <w:pPr>
        <w:pStyle w:val="FootnoteText"/>
        <w:rPr>
          <w:color w:val="000000" w:themeColor="text1"/>
          <w:szCs w:val="20"/>
        </w:rPr>
      </w:pPr>
      <w:r w:rsidRPr="00990651">
        <w:rPr>
          <w:color w:val="000000" w:themeColor="text1"/>
          <w:szCs w:val="20"/>
          <w:vertAlign w:val="superscript"/>
        </w:rPr>
        <w:footnoteRef/>
      </w:r>
      <w:r w:rsidRPr="00990651">
        <w:rPr>
          <w:color w:val="000000" w:themeColor="text1"/>
          <w:szCs w:val="20"/>
        </w:rPr>
        <w:t xml:space="preserve"> </w:t>
      </w:r>
      <w:r w:rsidRPr="00990651">
        <w:rPr>
          <w:i/>
          <w:iCs/>
          <w:color w:val="000000" w:themeColor="text1"/>
          <w:szCs w:val="20"/>
        </w:rPr>
        <w:t>See</w:t>
      </w:r>
      <w:r w:rsidRPr="00990651">
        <w:rPr>
          <w:color w:val="000000" w:themeColor="text1"/>
          <w:szCs w:val="20"/>
        </w:rPr>
        <w:t xml:space="preserve"> </w:t>
      </w:r>
      <w:r w:rsidRPr="00990651">
        <w:rPr>
          <w:i/>
          <w:iCs/>
          <w:color w:val="000000" w:themeColor="text1"/>
          <w:szCs w:val="20"/>
        </w:rPr>
        <w:t>Reported Foreign Nationals Under Sentence of Death in the U.S.</w:t>
      </w:r>
      <w:r w:rsidRPr="00990651">
        <w:rPr>
          <w:smallCaps/>
          <w:color w:val="000000" w:themeColor="text1"/>
          <w:szCs w:val="20"/>
        </w:rPr>
        <w:t xml:space="preserve">, Death Penalty Info. </w:t>
      </w:r>
      <w:proofErr w:type="gramStart"/>
      <w:r w:rsidRPr="00990651">
        <w:rPr>
          <w:smallCaps/>
          <w:color w:val="000000" w:themeColor="text1"/>
          <w:szCs w:val="20"/>
        </w:rPr>
        <w:t xml:space="preserve">Center, </w:t>
      </w:r>
      <w:r w:rsidRPr="00990651">
        <w:rPr>
          <w:color w:val="000000" w:themeColor="text1"/>
          <w:szCs w:val="20"/>
        </w:rPr>
        <w:t>http://www.deathpenaltyinfo.org/foreign-nationals-and-death-penalty-us#Reported-DROW (last visited June 25, 2014).</w:t>
      </w:r>
      <w:proofErr w:type="gramEnd"/>
    </w:p>
  </w:footnote>
  <w:footnote w:id="100">
    <w:p w14:paraId="3648C5BB" w14:textId="332F541D" w:rsidR="003D1304" w:rsidRPr="00990651" w:rsidRDefault="003D1304" w:rsidP="00195D49">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iCs/>
          <w:color w:val="000000" w:themeColor="text1"/>
          <w:szCs w:val="20"/>
        </w:rPr>
        <w:t>See</w:t>
      </w:r>
      <w:r w:rsidRPr="00990651">
        <w:rPr>
          <w:color w:val="000000" w:themeColor="text1"/>
          <w:szCs w:val="20"/>
        </w:rPr>
        <w:t xml:space="preserve"> </w:t>
      </w:r>
      <w:r w:rsidR="00EB07FA">
        <w:rPr>
          <w:color w:val="000000" w:themeColor="text1"/>
          <w:szCs w:val="20"/>
        </w:rPr>
        <w:t>ibid.</w:t>
      </w:r>
    </w:p>
  </w:footnote>
  <w:footnote w:id="101">
    <w:p w14:paraId="20D671E6" w14:textId="77777777" w:rsidR="003D1304" w:rsidRPr="00990651" w:rsidRDefault="003D1304" w:rsidP="00195D49">
      <w:pPr>
        <w:pStyle w:val="FootnoteText"/>
        <w:rPr>
          <w:color w:val="000000" w:themeColor="text1"/>
          <w:szCs w:val="20"/>
        </w:rPr>
      </w:pPr>
      <w:r w:rsidRPr="00990651">
        <w:rPr>
          <w:color w:val="000000" w:themeColor="text1"/>
          <w:szCs w:val="20"/>
          <w:vertAlign w:val="superscript"/>
        </w:rPr>
        <w:footnoteRef/>
      </w:r>
      <w:r w:rsidRPr="00990651">
        <w:rPr>
          <w:color w:val="000000" w:themeColor="text1"/>
          <w:szCs w:val="20"/>
        </w:rPr>
        <w:t xml:space="preserve"> </w:t>
      </w:r>
      <w:r w:rsidRPr="00990651">
        <w:rPr>
          <w:i/>
          <w:iCs/>
          <w:color w:val="000000" w:themeColor="text1"/>
          <w:szCs w:val="20"/>
        </w:rPr>
        <w:t>See</w:t>
      </w:r>
      <w:r w:rsidRPr="00990651">
        <w:rPr>
          <w:color w:val="000000" w:themeColor="text1"/>
          <w:szCs w:val="20"/>
        </w:rPr>
        <w:t xml:space="preserve"> </w:t>
      </w:r>
      <w:r w:rsidRPr="00990651">
        <w:rPr>
          <w:i/>
          <w:color w:val="000000" w:themeColor="text1"/>
          <w:szCs w:val="20"/>
        </w:rPr>
        <w:t>Torres v. State,</w:t>
      </w:r>
      <w:r w:rsidRPr="00990651">
        <w:rPr>
          <w:color w:val="000000" w:themeColor="text1"/>
          <w:szCs w:val="20"/>
        </w:rPr>
        <w:t xml:space="preserve"> 120 P.3d 1184, 1190 (Okla. Crim. App. 2005) (finding that Torres was actually prejudiced by the failure to inform him of his rights under the VCCR but that no relief was required because the Governor of Oklahoma had already granted him clemency and limited his sentence to life without the possibility of parole); </w:t>
      </w:r>
      <w:r w:rsidRPr="00990651">
        <w:rPr>
          <w:i/>
          <w:color w:val="000000" w:themeColor="text1"/>
          <w:szCs w:val="20"/>
        </w:rPr>
        <w:t>Gutierrez v. State</w:t>
      </w:r>
      <w:r w:rsidRPr="00990651">
        <w:rPr>
          <w:color w:val="000000" w:themeColor="text1"/>
          <w:szCs w:val="20"/>
        </w:rPr>
        <w:t xml:space="preserve">, No. 53506, 2012 Nev. </w:t>
      </w:r>
      <w:proofErr w:type="spellStart"/>
      <w:r w:rsidRPr="00990651">
        <w:rPr>
          <w:color w:val="000000" w:themeColor="text1"/>
          <w:szCs w:val="20"/>
        </w:rPr>
        <w:t>Unpub</w:t>
      </w:r>
      <w:proofErr w:type="spellEnd"/>
      <w:r w:rsidRPr="00990651">
        <w:rPr>
          <w:color w:val="000000" w:themeColor="text1"/>
          <w:szCs w:val="20"/>
        </w:rPr>
        <w:t>. LEXIS 1317, at *4-6 (Nev. Sept. 19, 2012) (finding Gutierrez “arguably suffered actual prejudice due to the lack of consular assistance” and remanding the case for an evidentiary hearing to determine the matter);</w:t>
      </w:r>
      <w:r w:rsidRPr="00990651">
        <w:rPr>
          <w:i/>
          <w:iCs/>
          <w:color w:val="000000" w:themeColor="text1"/>
          <w:szCs w:val="20"/>
        </w:rPr>
        <w:t xml:space="preserve"> see also </w:t>
      </w:r>
      <w:r w:rsidRPr="00990651">
        <w:rPr>
          <w:color w:val="000000" w:themeColor="text1"/>
          <w:szCs w:val="20"/>
        </w:rPr>
        <w:t xml:space="preserve">Sandra Babcock, </w:t>
      </w:r>
      <w:r w:rsidRPr="00990651">
        <w:rPr>
          <w:i/>
          <w:iCs/>
          <w:color w:val="000000" w:themeColor="text1"/>
          <w:szCs w:val="20"/>
        </w:rPr>
        <w:t>Nevada’s Supreme Court Upholds ICJ Ruling on Consular Rights of Mexicans</w:t>
      </w:r>
      <w:r w:rsidRPr="00990651">
        <w:rPr>
          <w:color w:val="000000" w:themeColor="text1"/>
          <w:szCs w:val="20"/>
        </w:rPr>
        <w:t xml:space="preserve">, </w:t>
      </w:r>
      <w:r w:rsidRPr="00990651">
        <w:rPr>
          <w:smallCaps/>
          <w:color w:val="000000" w:themeColor="text1"/>
          <w:szCs w:val="20"/>
        </w:rPr>
        <w:t>Death Penalty Worldwide (</w:t>
      </w:r>
      <w:r w:rsidRPr="00990651">
        <w:rPr>
          <w:color w:val="000000" w:themeColor="text1"/>
          <w:szCs w:val="20"/>
        </w:rPr>
        <w:t>Sept. 25, 2012, 5:04 AM), http://blog.law.northwestern.edu/cihr/2012/09/nevadas-supreme-court-upholds-icj-ruling-on-consular-rights-of-mexicans.html (last visited June 25, 2014).</w:t>
      </w:r>
    </w:p>
  </w:footnote>
  <w:footnote w:id="102">
    <w:p w14:paraId="5DDC4BA9" w14:textId="77777777"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In 2006, the U.S. Supreme Court upheld the application of state procedural barriers to foreclose merits review of Article 36 claims that were not raised in a sufficiently timely manner. See </w:t>
      </w:r>
      <w:r w:rsidRPr="00990651">
        <w:rPr>
          <w:i/>
          <w:color w:val="000000" w:themeColor="text1"/>
          <w:szCs w:val="20"/>
        </w:rPr>
        <w:t>Sanchez -Llamas v. Oregon</w:t>
      </w:r>
      <w:r w:rsidRPr="00990651">
        <w:rPr>
          <w:color w:val="000000" w:themeColor="text1"/>
          <w:szCs w:val="20"/>
        </w:rPr>
        <w:t xml:space="preserve">, 548 U.S. 331, 360 (2006) (holding that U.S. states may subject Article 36 claims "to the same procedural default rules that apply generally to other federal-law claims). See also Mark Warren, </w:t>
      </w:r>
      <w:r w:rsidRPr="00990651">
        <w:rPr>
          <w:i/>
          <w:color w:val="000000" w:themeColor="text1"/>
          <w:szCs w:val="20"/>
        </w:rPr>
        <w:t>Understanding the Sanchez-Llamas Decision</w:t>
      </w:r>
      <w:r w:rsidRPr="00990651">
        <w:rPr>
          <w:color w:val="000000" w:themeColor="text1"/>
          <w:szCs w:val="20"/>
        </w:rPr>
        <w:t xml:space="preserve">, Foreign Nationals, Consular Rights, and the Death Penalty, http://users.xplornet.com/~mwarren/sanchezllamas.html (last visited June 25, 2014). </w:t>
      </w:r>
    </w:p>
  </w:footnote>
  <w:footnote w:id="103">
    <w:p w14:paraId="674F7AB1" w14:textId="77777777" w:rsidR="003D1304" w:rsidRPr="00990651" w:rsidRDefault="003D1304" w:rsidP="00195D49">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iCs/>
          <w:color w:val="000000" w:themeColor="text1"/>
          <w:szCs w:val="20"/>
        </w:rPr>
        <w:t xml:space="preserve">See </w:t>
      </w:r>
      <w:r w:rsidRPr="00990651">
        <w:rPr>
          <w:i/>
          <w:color w:val="000000" w:themeColor="text1"/>
          <w:szCs w:val="20"/>
        </w:rPr>
        <w:t>Medellin v. Texas</w:t>
      </w:r>
      <w:r w:rsidRPr="00990651">
        <w:rPr>
          <w:color w:val="000000" w:themeColor="text1"/>
          <w:szCs w:val="20"/>
        </w:rPr>
        <w:t>, 552 U.S. 491, 498 (2008).</w:t>
      </w:r>
    </w:p>
  </w:footnote>
  <w:footnote w:id="104">
    <w:p w14:paraId="6F22D282" w14:textId="4586157B"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See</w:t>
      </w:r>
      <w:r w:rsidRPr="00990651">
        <w:rPr>
          <w:color w:val="000000" w:themeColor="text1"/>
          <w:szCs w:val="20"/>
        </w:rPr>
        <w:t xml:space="preserve"> </w:t>
      </w:r>
      <w:r w:rsidR="00EB07FA">
        <w:rPr>
          <w:color w:val="000000" w:themeColor="text1"/>
          <w:szCs w:val="20"/>
        </w:rPr>
        <w:t>ibid.</w:t>
      </w:r>
    </w:p>
  </w:footnote>
  <w:footnote w:id="105">
    <w:p w14:paraId="25F2A8E2" w14:textId="518A9A8A"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i/>
          <w:color w:val="000000" w:themeColor="text1"/>
          <w:szCs w:val="20"/>
        </w:rPr>
        <w:t xml:space="preserve"> See </w:t>
      </w:r>
      <w:r w:rsidR="00EB07FA">
        <w:rPr>
          <w:color w:val="000000" w:themeColor="text1"/>
          <w:szCs w:val="20"/>
        </w:rPr>
        <w:t xml:space="preserve">id. </w:t>
      </w:r>
      <w:proofErr w:type="gramStart"/>
      <w:r w:rsidR="00EB07FA">
        <w:rPr>
          <w:color w:val="000000" w:themeColor="text1"/>
          <w:szCs w:val="20"/>
        </w:rPr>
        <w:t>at</w:t>
      </w:r>
      <w:proofErr w:type="gramEnd"/>
      <w:r w:rsidR="00EB07FA">
        <w:rPr>
          <w:color w:val="000000" w:themeColor="text1"/>
          <w:szCs w:val="20"/>
        </w:rPr>
        <w:t xml:space="preserve"> 536–</w:t>
      </w:r>
      <w:r w:rsidRPr="00990651">
        <w:rPr>
          <w:color w:val="000000" w:themeColor="text1"/>
          <w:szCs w:val="20"/>
        </w:rPr>
        <w:t xml:space="preserve">37 (Stevens, J., concurring) (indicating that the states could voluntarily adhere to the mandates set forth in </w:t>
      </w:r>
      <w:proofErr w:type="spellStart"/>
      <w:r w:rsidRPr="00990651">
        <w:rPr>
          <w:i/>
          <w:color w:val="000000" w:themeColor="text1"/>
          <w:szCs w:val="20"/>
        </w:rPr>
        <w:t>Avena</w:t>
      </w:r>
      <w:proofErr w:type="spellEnd"/>
      <w:r w:rsidRPr="00990651">
        <w:rPr>
          <w:color w:val="000000" w:themeColor="text1"/>
          <w:szCs w:val="20"/>
        </w:rPr>
        <w:t>).</w:t>
      </w:r>
    </w:p>
  </w:footnote>
  <w:footnote w:id="106">
    <w:p w14:paraId="6945B00E" w14:textId="33C62AE7"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See</w:t>
      </w:r>
      <w:r w:rsidRPr="00990651">
        <w:rPr>
          <w:color w:val="000000" w:themeColor="text1"/>
          <w:szCs w:val="20"/>
        </w:rPr>
        <w:t xml:space="preserve"> </w:t>
      </w:r>
      <w:r w:rsidR="00EB07FA">
        <w:rPr>
          <w:color w:val="000000" w:themeColor="text1"/>
          <w:szCs w:val="20"/>
        </w:rPr>
        <w:t xml:space="preserve">id. </w:t>
      </w:r>
      <w:proofErr w:type="gramStart"/>
      <w:r w:rsidR="00EB07FA">
        <w:rPr>
          <w:color w:val="000000" w:themeColor="text1"/>
          <w:szCs w:val="20"/>
        </w:rPr>
        <w:t>at</w:t>
      </w:r>
      <w:proofErr w:type="gramEnd"/>
      <w:r w:rsidR="00EB07FA">
        <w:rPr>
          <w:color w:val="000000" w:themeColor="text1"/>
          <w:szCs w:val="20"/>
        </w:rPr>
        <w:t xml:space="preserve"> 498.</w:t>
      </w:r>
    </w:p>
  </w:footnote>
  <w:footnote w:id="107">
    <w:p w14:paraId="317FEDA4" w14:textId="77777777"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S. 1194, 112th Cong. §§ 2, 4 (2011).</w:t>
      </w:r>
    </w:p>
  </w:footnote>
  <w:footnote w:id="108">
    <w:p w14:paraId="13CC7D47" w14:textId="05FEED66"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See, e.g.</w:t>
      </w:r>
      <w:r w:rsidRPr="00990651">
        <w:rPr>
          <w:color w:val="000000" w:themeColor="text1"/>
          <w:szCs w:val="20"/>
        </w:rPr>
        <w:t xml:space="preserve">, Bruce Swartz, Deputy Assistant </w:t>
      </w:r>
      <w:proofErr w:type="spellStart"/>
      <w:r w:rsidRPr="00990651">
        <w:rPr>
          <w:color w:val="000000" w:themeColor="text1"/>
          <w:szCs w:val="20"/>
        </w:rPr>
        <w:t>Att’y</w:t>
      </w:r>
      <w:proofErr w:type="spellEnd"/>
      <w:r w:rsidRPr="00990651">
        <w:rPr>
          <w:color w:val="000000" w:themeColor="text1"/>
          <w:szCs w:val="20"/>
        </w:rPr>
        <w:t xml:space="preserve"> Gen., Crim. Div., Address Before the S. Judiciary Comm. (July 27, 2011), </w:t>
      </w:r>
      <w:r w:rsidRPr="00990651">
        <w:rPr>
          <w:i/>
          <w:color w:val="000000" w:themeColor="text1"/>
          <w:szCs w:val="20"/>
        </w:rPr>
        <w:t xml:space="preserve">available at </w:t>
      </w:r>
      <w:r w:rsidRPr="00990651">
        <w:rPr>
          <w:color w:val="000000" w:themeColor="text1"/>
          <w:szCs w:val="20"/>
        </w:rPr>
        <w:t xml:space="preserve">http://www.justice.gov/criminal/pr/testimony/2011/crm-testimony-110727.html; Harold </w:t>
      </w:r>
      <w:proofErr w:type="spellStart"/>
      <w:r w:rsidRPr="00990651">
        <w:rPr>
          <w:color w:val="000000" w:themeColor="text1"/>
          <w:szCs w:val="20"/>
        </w:rPr>
        <w:t>Hongju</w:t>
      </w:r>
      <w:proofErr w:type="spellEnd"/>
      <w:r w:rsidRPr="00990651">
        <w:rPr>
          <w:color w:val="000000" w:themeColor="text1"/>
          <w:szCs w:val="20"/>
        </w:rPr>
        <w:t xml:space="preserve"> </w:t>
      </w:r>
      <w:proofErr w:type="spellStart"/>
      <w:r w:rsidRPr="00990651">
        <w:rPr>
          <w:color w:val="000000" w:themeColor="text1"/>
          <w:szCs w:val="20"/>
        </w:rPr>
        <w:t>Koh</w:t>
      </w:r>
      <w:proofErr w:type="spellEnd"/>
      <w:r w:rsidRPr="00990651">
        <w:rPr>
          <w:color w:val="000000" w:themeColor="text1"/>
          <w:szCs w:val="20"/>
        </w:rPr>
        <w:t>, Legal Advisor U.S. Dept. of State, Remarks at Georgetown University Law Center (Oct. 17, 2012).</w:t>
      </w:r>
    </w:p>
  </w:footnote>
  <w:footnote w:id="109">
    <w:p w14:paraId="26EED853" w14:textId="77777777"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U.S. </w:t>
      </w:r>
      <w:r w:rsidRPr="00990651">
        <w:rPr>
          <w:smallCaps/>
          <w:color w:val="000000" w:themeColor="text1"/>
          <w:szCs w:val="20"/>
        </w:rPr>
        <w:t>Dept. of State, Congressional Budget Justification, Volume 1: Dept. of State Operations (2013).</w:t>
      </w:r>
    </w:p>
  </w:footnote>
  <w:footnote w:id="110">
    <w:p w14:paraId="33ED9F3A" w14:textId="50E697DB"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S. 1372, 113</w:t>
      </w:r>
      <w:r w:rsidRPr="00990651">
        <w:rPr>
          <w:color w:val="000000" w:themeColor="text1"/>
          <w:szCs w:val="20"/>
          <w:vertAlign w:val="superscript"/>
        </w:rPr>
        <w:t>th</w:t>
      </w:r>
      <w:r w:rsidRPr="00990651">
        <w:rPr>
          <w:color w:val="000000" w:themeColor="text1"/>
          <w:szCs w:val="20"/>
        </w:rPr>
        <w:t xml:space="preserve"> Cong. § 7083 (2013); </w:t>
      </w:r>
      <w:r w:rsidRPr="00990651">
        <w:rPr>
          <w:i/>
          <w:color w:val="000000" w:themeColor="text1"/>
          <w:szCs w:val="20"/>
        </w:rPr>
        <w:t xml:space="preserve">see also </w:t>
      </w:r>
      <w:r w:rsidRPr="00990651">
        <w:rPr>
          <w:color w:val="000000" w:themeColor="text1"/>
          <w:szCs w:val="20"/>
        </w:rPr>
        <w:t>H.R. 3547, 113</w:t>
      </w:r>
      <w:r w:rsidRPr="00990651">
        <w:rPr>
          <w:color w:val="000000" w:themeColor="text1"/>
          <w:szCs w:val="20"/>
          <w:vertAlign w:val="superscript"/>
        </w:rPr>
        <w:t>th</w:t>
      </w:r>
      <w:r w:rsidRPr="00990651">
        <w:rPr>
          <w:color w:val="000000" w:themeColor="text1"/>
          <w:szCs w:val="20"/>
        </w:rPr>
        <w:t xml:space="preserve"> Cong. (2014). The United States Judicial Conference’s Committee on Rules of Practice and Procedure has proposed amendments to the Federal Rules of Criminal Procedure that would require federal courts to inform foreign nationals of their consular rights at the detainee’s first appearance in court. </w:t>
      </w:r>
      <w:r w:rsidRPr="00990651">
        <w:rPr>
          <w:smallCaps/>
          <w:color w:val="000000" w:themeColor="text1"/>
          <w:szCs w:val="20"/>
        </w:rPr>
        <w:t>Comm. on Rules of Practice and Procedure of the Judicial Conference of the United States, Preliminary Draft of Proposed Amendments to the Federal Rules of Appellate, Bankruptcy, and Criminal Procedure, and the Federal Rules of Evidence</w:t>
      </w:r>
      <w:r w:rsidRPr="00990651">
        <w:rPr>
          <w:color w:val="000000" w:themeColor="text1"/>
          <w:szCs w:val="20"/>
        </w:rPr>
        <w:t xml:space="preserve"> 202-12 (2012). Amendments to this effect have been pending since 2010. If approved, this rule change would apply to foreign nationals appearing in federal court, but it would not apply in state courts.</w:t>
      </w:r>
    </w:p>
  </w:footnote>
  <w:footnote w:id="111">
    <w:p w14:paraId="3E023AF4" w14:textId="1FE618AE"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color w:val="000000" w:themeColor="text1"/>
          <w:szCs w:val="20"/>
        </w:rPr>
        <w:t>Fourth U.S. Report, ¶ 158.</w:t>
      </w:r>
      <w:proofErr w:type="gramEnd"/>
    </w:p>
  </w:footnote>
  <w:footnote w:id="112">
    <w:p w14:paraId="769C7608" w14:textId="4C5B4ACF"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00EB07FA">
        <w:rPr>
          <w:color w:val="000000" w:themeColor="text1"/>
          <w:szCs w:val="20"/>
        </w:rPr>
        <w:t xml:space="preserve">Id. </w:t>
      </w:r>
      <w:r w:rsidRPr="00990651">
        <w:rPr>
          <w:color w:val="000000" w:themeColor="text1"/>
          <w:szCs w:val="20"/>
        </w:rPr>
        <w:t>¶ 159.</w:t>
      </w:r>
      <w:proofErr w:type="gramEnd"/>
    </w:p>
  </w:footnote>
  <w:footnote w:id="113">
    <w:p w14:paraId="6B69177A" w14:textId="6864BDFB" w:rsidR="003D1304" w:rsidRPr="00990651" w:rsidRDefault="003D1304" w:rsidP="002B148B">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See</w:t>
      </w:r>
      <w:r w:rsidRPr="00990651">
        <w:rPr>
          <w:color w:val="000000" w:themeColor="text1"/>
          <w:szCs w:val="20"/>
        </w:rPr>
        <w:t xml:space="preserve"> </w:t>
      </w:r>
      <w:r w:rsidRPr="00990651">
        <w:rPr>
          <w:i/>
          <w:iCs/>
          <w:color w:val="000000" w:themeColor="text1"/>
          <w:szCs w:val="20"/>
        </w:rPr>
        <w:t>Reported Foreign Nationals Under Sentence of Death in the U.S.</w:t>
      </w:r>
      <w:r w:rsidRPr="00990651">
        <w:rPr>
          <w:smallCaps/>
          <w:color w:val="000000" w:themeColor="text1"/>
          <w:szCs w:val="20"/>
        </w:rPr>
        <w:t xml:space="preserve">, Death Penalty Info. </w:t>
      </w:r>
      <w:proofErr w:type="gramStart"/>
      <w:r w:rsidRPr="00990651">
        <w:rPr>
          <w:smallCaps/>
          <w:color w:val="000000" w:themeColor="text1"/>
          <w:szCs w:val="20"/>
        </w:rPr>
        <w:t xml:space="preserve">Center, </w:t>
      </w:r>
      <w:r w:rsidRPr="00990651">
        <w:rPr>
          <w:color w:val="000000" w:themeColor="text1"/>
          <w:szCs w:val="20"/>
        </w:rPr>
        <w:t>http://www.deathpenaltyinfo.org/foreign-nationals-and-death-penalty-us#Reported-DROW (last visited June 25, 2014).</w:t>
      </w:r>
      <w:proofErr w:type="gramEnd"/>
      <w:r w:rsidRPr="00990651">
        <w:rPr>
          <w:color w:val="000000" w:themeColor="text1"/>
          <w:szCs w:val="20"/>
        </w:rPr>
        <w:t xml:space="preserve"> (“[T]he available data indicates that timely consular assistance significantly reduces the likelihood that death sentences will be sought or imposed on foreign nationals facing capital charges.”).</w:t>
      </w:r>
    </w:p>
  </w:footnote>
  <w:footnote w:id="114">
    <w:p w14:paraId="39B685DA" w14:textId="77777777"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color w:val="000000" w:themeColor="text1"/>
          <w:szCs w:val="20"/>
        </w:rPr>
        <w:t>The Penal Code of California, Arts.</w:t>
      </w:r>
      <w:proofErr w:type="gramEnd"/>
      <w:r w:rsidRPr="00990651">
        <w:rPr>
          <w:color w:val="000000" w:themeColor="text1"/>
          <w:szCs w:val="20"/>
        </w:rPr>
        <w:t xml:space="preserve"> </w:t>
      </w:r>
      <w:proofErr w:type="gramStart"/>
      <w:r w:rsidRPr="00990651">
        <w:rPr>
          <w:color w:val="000000" w:themeColor="text1"/>
          <w:szCs w:val="20"/>
        </w:rPr>
        <w:t>834(c), 851.5.</w:t>
      </w:r>
      <w:proofErr w:type="gramEnd"/>
    </w:p>
  </w:footnote>
  <w:footnote w:id="115">
    <w:p w14:paraId="2A39D0A4" w14:textId="77777777"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OR.REV.STAT. </w:t>
      </w:r>
      <w:proofErr w:type="spellStart"/>
      <w:r w:rsidRPr="00990651">
        <w:rPr>
          <w:color w:val="000000" w:themeColor="text1"/>
          <w:szCs w:val="20"/>
        </w:rPr>
        <w:t>ch.</w:t>
      </w:r>
      <w:proofErr w:type="spellEnd"/>
      <w:r w:rsidRPr="00990651">
        <w:rPr>
          <w:color w:val="000000" w:themeColor="text1"/>
          <w:szCs w:val="20"/>
        </w:rPr>
        <w:t xml:space="preserve"> 426.228 (9</w:t>
      </w:r>
      <w:proofErr w:type="gramStart"/>
      <w:r w:rsidRPr="00990651">
        <w:rPr>
          <w:color w:val="000000" w:themeColor="text1"/>
          <w:szCs w:val="20"/>
        </w:rPr>
        <w:t>)(</w:t>
      </w:r>
      <w:proofErr w:type="gramEnd"/>
      <w:r w:rsidRPr="00990651">
        <w:rPr>
          <w:color w:val="000000" w:themeColor="text1"/>
          <w:szCs w:val="20"/>
        </w:rPr>
        <w:t xml:space="preserve">a), </w:t>
      </w:r>
      <w:proofErr w:type="spellStart"/>
      <w:r w:rsidRPr="00990651">
        <w:rPr>
          <w:color w:val="000000" w:themeColor="text1"/>
          <w:szCs w:val="20"/>
        </w:rPr>
        <w:t>ch.</w:t>
      </w:r>
      <w:proofErr w:type="spellEnd"/>
      <w:r w:rsidRPr="00990651">
        <w:rPr>
          <w:color w:val="000000" w:themeColor="text1"/>
          <w:szCs w:val="20"/>
        </w:rPr>
        <w:t xml:space="preserve"> 181.642(2) (2007).</w:t>
      </w:r>
    </w:p>
  </w:footnote>
  <w:footnote w:id="116">
    <w:p w14:paraId="0705F242" w14:textId="77777777" w:rsidR="003D1304" w:rsidRPr="00990651" w:rsidRDefault="003D1304" w:rsidP="00717F13">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Office of the Attorney General of Texas, Magistrate’s Guide to Consular Notification under the Vienna Convention (2000), pp. 7-9.</w:t>
      </w:r>
    </w:p>
  </w:footnote>
  <w:footnote w:id="117">
    <w:p w14:paraId="0A2B76D1" w14:textId="77777777"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color w:val="000000" w:themeColor="text1"/>
          <w:szCs w:val="20"/>
        </w:rPr>
        <w:t xml:space="preserve">FLA.STAT. </w:t>
      </w:r>
      <w:proofErr w:type="spellStart"/>
      <w:r w:rsidRPr="00990651">
        <w:rPr>
          <w:color w:val="000000" w:themeColor="text1"/>
          <w:szCs w:val="20"/>
        </w:rPr>
        <w:t>ch.</w:t>
      </w:r>
      <w:proofErr w:type="spellEnd"/>
      <w:r w:rsidRPr="00990651">
        <w:rPr>
          <w:color w:val="000000" w:themeColor="text1"/>
          <w:szCs w:val="20"/>
        </w:rPr>
        <w:t xml:space="preserve"> 901.26 (2008), Arrest and detention of foreign nationals.</w:t>
      </w:r>
      <w:proofErr w:type="gramEnd"/>
    </w:p>
  </w:footnote>
  <w:footnote w:id="118">
    <w:p w14:paraId="5EF521C9" w14:textId="77777777" w:rsidR="003D1304" w:rsidRPr="00990651" w:rsidRDefault="003D1304" w:rsidP="00CD70EF">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See</w:t>
      </w:r>
      <w:r w:rsidRPr="00990651">
        <w:rPr>
          <w:color w:val="000000" w:themeColor="text1"/>
          <w:szCs w:val="20"/>
        </w:rPr>
        <w:t xml:space="preserve"> </w:t>
      </w:r>
      <w:r w:rsidRPr="00990651">
        <w:rPr>
          <w:i/>
          <w:iCs/>
          <w:color w:val="000000" w:themeColor="text1"/>
          <w:szCs w:val="20"/>
        </w:rPr>
        <w:t>Reported Foreign Nationals Under Sentence of Death in the U.S.</w:t>
      </w:r>
      <w:r w:rsidRPr="00990651">
        <w:rPr>
          <w:smallCaps/>
          <w:color w:val="000000" w:themeColor="text1"/>
          <w:szCs w:val="20"/>
        </w:rPr>
        <w:t xml:space="preserve">, Death Penalty Info. </w:t>
      </w:r>
      <w:proofErr w:type="gramStart"/>
      <w:r w:rsidRPr="00990651">
        <w:rPr>
          <w:smallCaps/>
          <w:color w:val="000000" w:themeColor="text1"/>
          <w:szCs w:val="20"/>
        </w:rPr>
        <w:t xml:space="preserve">Center, </w:t>
      </w:r>
      <w:r w:rsidRPr="00990651">
        <w:rPr>
          <w:color w:val="000000" w:themeColor="text1"/>
          <w:szCs w:val="20"/>
        </w:rPr>
        <w:t>http://www.deathpenaltyinfo.org/foreign-nationals-and-death-penalty-us#Reported-DROW (last visited June 25, 2014).</w:t>
      </w:r>
      <w:proofErr w:type="gramEnd"/>
    </w:p>
    <w:p w14:paraId="4079E32D" w14:textId="1B2CE3CB" w:rsidR="003D1304" w:rsidRPr="00990651" w:rsidRDefault="003D1304" w:rsidP="001A7171">
      <w:pPr>
        <w:pStyle w:val="FootnoteText"/>
        <w:rPr>
          <w:color w:val="000000" w:themeColor="text1"/>
          <w:szCs w:val="20"/>
        </w:rPr>
      </w:pPr>
      <w:r w:rsidRPr="00990651">
        <w:rPr>
          <w:color w:val="000000" w:themeColor="text1"/>
          <w:szCs w:val="20"/>
        </w:rPr>
        <w:t>.</w:t>
      </w:r>
    </w:p>
  </w:footnote>
  <w:footnote w:id="119">
    <w:p w14:paraId="1F0D187B" w14:textId="4268303F"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See</w:t>
      </w:r>
      <w:r w:rsidRPr="00990651">
        <w:rPr>
          <w:color w:val="000000" w:themeColor="text1"/>
          <w:szCs w:val="20"/>
        </w:rPr>
        <w:t xml:space="preserve"> </w:t>
      </w:r>
      <w:r w:rsidRPr="00990651">
        <w:rPr>
          <w:i/>
          <w:color w:val="000000" w:themeColor="text1"/>
          <w:szCs w:val="20"/>
        </w:rPr>
        <w:t xml:space="preserve">Honored in the Breach: The United States’ Failure to Observe Its Legal Obligations </w:t>
      </w:r>
      <w:proofErr w:type="gramStart"/>
      <w:r w:rsidRPr="00990651">
        <w:rPr>
          <w:i/>
          <w:color w:val="000000" w:themeColor="text1"/>
          <w:szCs w:val="20"/>
        </w:rPr>
        <w:t>Under</w:t>
      </w:r>
      <w:proofErr w:type="gramEnd"/>
      <w:r w:rsidRPr="00990651">
        <w:rPr>
          <w:i/>
          <w:color w:val="000000" w:themeColor="text1"/>
          <w:szCs w:val="20"/>
        </w:rPr>
        <w:t xml:space="preserve"> the Vienna Convention on Consular Relations (VCCR) in Capital Cases</w:t>
      </w:r>
      <w:r w:rsidRPr="00990651">
        <w:rPr>
          <w:smallCaps/>
          <w:color w:val="000000" w:themeColor="text1"/>
          <w:szCs w:val="20"/>
        </w:rPr>
        <w:t>, Reprieve 2</w:t>
      </w:r>
      <w:r w:rsidRPr="00990651">
        <w:rPr>
          <w:color w:val="000000" w:themeColor="text1"/>
          <w:szCs w:val="20"/>
        </w:rPr>
        <w:t xml:space="preserve"> (2012), </w:t>
      </w:r>
      <w:r w:rsidRPr="00990651">
        <w:rPr>
          <w:i/>
          <w:color w:val="000000" w:themeColor="text1"/>
          <w:szCs w:val="20"/>
        </w:rPr>
        <w:t>available at</w:t>
      </w:r>
      <w:r w:rsidRPr="00990651">
        <w:rPr>
          <w:color w:val="000000" w:themeColor="text1"/>
          <w:szCs w:val="20"/>
        </w:rPr>
        <w:t xml:space="preserve"> http://www.reprieve.org.uk/static/downloads/2013_02_26_PUB_VCCR_Report_Web.pdf </w:t>
      </w:r>
      <w:proofErr w:type="spellStart"/>
      <w:r w:rsidRPr="00990651">
        <w:rPr>
          <w:color w:val="000000" w:themeColor="text1"/>
          <w:szCs w:val="20"/>
        </w:rPr>
        <w:t>at</w:t>
      </w:r>
      <w:proofErr w:type="spellEnd"/>
      <w:r w:rsidRPr="00990651">
        <w:rPr>
          <w:color w:val="000000" w:themeColor="text1"/>
          <w:szCs w:val="20"/>
        </w:rPr>
        <w:t xml:space="preserve"> 1.</w:t>
      </w:r>
    </w:p>
  </w:footnote>
  <w:footnote w:id="120">
    <w:p w14:paraId="5470E612" w14:textId="77777777"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See</w:t>
      </w:r>
      <w:r w:rsidRPr="00990651">
        <w:rPr>
          <w:color w:val="000000" w:themeColor="text1"/>
          <w:szCs w:val="20"/>
        </w:rPr>
        <w:t xml:space="preserve"> 28 C.F.R. § 50.5 (2012).</w:t>
      </w:r>
    </w:p>
  </w:footnote>
  <w:footnote w:id="121">
    <w:p w14:paraId="0A373402" w14:textId="563CAB4D" w:rsidR="003D1304" w:rsidRPr="00990651" w:rsidRDefault="003D1304" w:rsidP="00A748D0">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Citations omitted, citing various pages from </w:t>
      </w:r>
      <w:r w:rsidRPr="00990651">
        <w:rPr>
          <w:smallCaps/>
          <w:color w:val="000000" w:themeColor="text1"/>
          <w:szCs w:val="20"/>
        </w:rPr>
        <w:t xml:space="preserve">Death Penalty Info. </w:t>
      </w:r>
      <w:proofErr w:type="gramStart"/>
      <w:r w:rsidRPr="00990651">
        <w:rPr>
          <w:smallCaps/>
          <w:color w:val="000000" w:themeColor="text1"/>
          <w:szCs w:val="20"/>
        </w:rPr>
        <w:t>Center.</w:t>
      </w:r>
      <w:proofErr w:type="gramEnd"/>
    </w:p>
  </w:footnote>
  <w:footnote w:id="122">
    <w:p w14:paraId="02D2E0AF" w14:textId="065C9758" w:rsidR="003D1304" w:rsidRPr="00990651" w:rsidRDefault="003D1304" w:rsidP="001A7171">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iCs/>
          <w:color w:val="000000" w:themeColor="text1"/>
          <w:szCs w:val="20"/>
        </w:rPr>
        <w:t>Reported Foreign Nationals Under Sentence of Death in the U.S.</w:t>
      </w:r>
      <w:r w:rsidRPr="00990651">
        <w:rPr>
          <w:smallCaps/>
          <w:color w:val="000000" w:themeColor="text1"/>
          <w:szCs w:val="20"/>
        </w:rPr>
        <w:t>, Death Penalty Info.</w:t>
      </w:r>
      <w:proofErr w:type="gramEnd"/>
      <w:r w:rsidRPr="00990651">
        <w:rPr>
          <w:smallCaps/>
          <w:color w:val="000000" w:themeColor="text1"/>
          <w:szCs w:val="20"/>
        </w:rPr>
        <w:t xml:space="preserve"> </w:t>
      </w:r>
      <w:proofErr w:type="gramStart"/>
      <w:r w:rsidRPr="00990651">
        <w:rPr>
          <w:smallCaps/>
          <w:color w:val="000000" w:themeColor="text1"/>
          <w:szCs w:val="20"/>
        </w:rPr>
        <w:t xml:space="preserve">Center, </w:t>
      </w:r>
      <w:r w:rsidRPr="00990651">
        <w:rPr>
          <w:color w:val="000000" w:themeColor="text1"/>
          <w:szCs w:val="20"/>
        </w:rPr>
        <w:t>http://www.deathpenaltyinfo.org/foreign-nationals-and-death-penalty-us#Reported-DRO</w:t>
      </w:r>
      <w:r w:rsidR="00B07F1C">
        <w:rPr>
          <w:color w:val="000000" w:themeColor="text1"/>
          <w:szCs w:val="20"/>
        </w:rPr>
        <w:t>W (last visited June 25, 2014).</w:t>
      </w:r>
      <w:proofErr w:type="gramEnd"/>
      <w:r w:rsidR="00B07F1C">
        <w:rPr>
          <w:color w:val="000000" w:themeColor="text1"/>
          <w:szCs w:val="20"/>
        </w:rPr>
        <w:t xml:space="preserve"> </w:t>
      </w:r>
      <w:r w:rsidRPr="00990651">
        <w:rPr>
          <w:color w:val="000000" w:themeColor="text1"/>
          <w:szCs w:val="20"/>
        </w:rPr>
        <w:t xml:space="preserve">Of the 10 foreign nationals executed since the </w:t>
      </w:r>
      <w:proofErr w:type="spellStart"/>
      <w:r w:rsidRPr="00990651">
        <w:rPr>
          <w:i/>
          <w:color w:val="000000" w:themeColor="text1"/>
          <w:szCs w:val="20"/>
        </w:rPr>
        <w:t>Avena</w:t>
      </w:r>
      <w:proofErr w:type="spellEnd"/>
      <w:r w:rsidRPr="00990651">
        <w:rPr>
          <w:color w:val="000000" w:themeColor="text1"/>
          <w:szCs w:val="20"/>
        </w:rPr>
        <w:t xml:space="preserve"> decision, five were from Mexico, three were from Cuba, one was from Honduras and one was from Jamaica. In seven of the 10 cases, Texas was the executing state. Two of the other cases were in Florida, and one was in Virginia. Only Angel </w:t>
      </w:r>
      <w:proofErr w:type="spellStart"/>
      <w:r w:rsidRPr="00990651">
        <w:rPr>
          <w:color w:val="000000" w:themeColor="text1"/>
          <w:szCs w:val="20"/>
        </w:rPr>
        <w:t>Maturino</w:t>
      </w:r>
      <w:proofErr w:type="spellEnd"/>
      <w:r w:rsidRPr="00990651">
        <w:rPr>
          <w:color w:val="000000" w:themeColor="text1"/>
          <w:szCs w:val="20"/>
        </w:rPr>
        <w:t xml:space="preserve"> </w:t>
      </w:r>
      <w:proofErr w:type="spellStart"/>
      <w:r w:rsidRPr="00990651">
        <w:rPr>
          <w:color w:val="000000" w:themeColor="text1"/>
          <w:szCs w:val="20"/>
        </w:rPr>
        <w:t>Resendiz</w:t>
      </w:r>
      <w:proofErr w:type="spellEnd"/>
      <w:r w:rsidRPr="00990651">
        <w:rPr>
          <w:color w:val="000000" w:themeColor="text1"/>
          <w:szCs w:val="20"/>
        </w:rPr>
        <w:t>, a Mexican foreign national executed by the State of Texas, reportedly received information regarding consular rights without delay after arrest as required under the VCCR.</w:t>
      </w:r>
    </w:p>
  </w:footnote>
  <w:footnote w:id="123">
    <w:p w14:paraId="6F0256A3" w14:textId="77777777"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The American Bar Association’s Sections of Litigation, Criminal Justice, Individual Rights and Responsibilities, and International Law, Death Penalty Representation Project, and Commission on Immigration have adopted these recommendations in a Report to the House of Delegates, available at http://www.americanbar.org/content/dam/aba/migrated/Vienna_Convention_on_Consular_Relations_Article_36__2.authcheckdam.pdf.</w:t>
      </w:r>
    </w:p>
  </w:footnote>
  <w:footnote w:id="124">
    <w:p w14:paraId="050C7D9F" w14:textId="77777777" w:rsidR="003D1304" w:rsidRPr="00990651" w:rsidRDefault="003D1304" w:rsidP="00CD70EF">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The American Bar Association’s Sections of Litigation, Criminal Justice, Individual Rights and Responsibilities, and International Law, Death Penalty Representation Project, and Commission on Immigration have adopted these recommendations in a Report to the House of Delegates, available at http://www.americanbar.org/content/dam/aba/migrated/Vienna_Convention_on_Consular_Relations_Article_36__2.authcheckdam.pdf.</w:t>
      </w:r>
    </w:p>
    <w:p w14:paraId="47C2ACD8" w14:textId="15AADDE6" w:rsidR="003D1304" w:rsidRPr="00990651" w:rsidRDefault="003D1304" w:rsidP="001A7171">
      <w:pPr>
        <w:pStyle w:val="FootnoteText"/>
        <w:rPr>
          <w:color w:val="000000" w:themeColor="text1"/>
          <w:szCs w:val="20"/>
        </w:rPr>
      </w:pPr>
    </w:p>
  </w:footnote>
  <w:footnote w:id="125">
    <w:p w14:paraId="6AA9E396" w14:textId="77777777" w:rsidR="003D1304" w:rsidRDefault="003D1304" w:rsidP="007910EC">
      <w:pPr>
        <w:pStyle w:val="FootnoteText"/>
      </w:pPr>
      <w:r>
        <w:rPr>
          <w:rStyle w:val="FootnoteReference"/>
        </w:rPr>
        <w:footnoteRef/>
      </w:r>
      <w:r>
        <w:t xml:space="preserve"> Article 5(b).</w:t>
      </w:r>
    </w:p>
  </w:footnote>
  <w:footnote w:id="126">
    <w:p w14:paraId="128CF465" w14:textId="77777777" w:rsidR="003D1304" w:rsidRDefault="003D1304" w:rsidP="007910EC">
      <w:pPr>
        <w:pStyle w:val="FootnoteText"/>
      </w:pPr>
      <w:r>
        <w:rPr>
          <w:rStyle w:val="FootnoteReference"/>
        </w:rPr>
        <w:footnoteRef/>
      </w:r>
      <w:r>
        <w:t xml:space="preserve"> </w:t>
      </w:r>
      <w:r>
        <w:rPr>
          <w:smallCaps/>
          <w:szCs w:val="20"/>
        </w:rPr>
        <w:t xml:space="preserve">U.S. Const. </w:t>
      </w:r>
      <w:proofErr w:type="gramStart"/>
      <w:r>
        <w:t>amend</w:t>
      </w:r>
      <w:proofErr w:type="gramEnd"/>
      <w:r>
        <w:t xml:space="preserve">. </w:t>
      </w:r>
      <w:proofErr w:type="gramStart"/>
      <w:r>
        <w:t>VIII.</w:t>
      </w:r>
      <w:proofErr w:type="gramEnd"/>
    </w:p>
  </w:footnote>
  <w:footnote w:id="127">
    <w:p w14:paraId="448886AE" w14:textId="77777777" w:rsidR="003D1304" w:rsidRPr="00853EE1" w:rsidRDefault="003D1304" w:rsidP="007910EC">
      <w:pPr>
        <w:pStyle w:val="FootnoteText"/>
        <w:rPr>
          <w:szCs w:val="20"/>
        </w:rPr>
      </w:pPr>
      <w:r w:rsidRPr="001A7171">
        <w:rPr>
          <w:rStyle w:val="FootnoteReference"/>
          <w:szCs w:val="20"/>
        </w:rPr>
        <w:footnoteRef/>
      </w:r>
      <w:r w:rsidRPr="001A7171">
        <w:rPr>
          <w:szCs w:val="20"/>
        </w:rPr>
        <w:t xml:space="preserve"> </w:t>
      </w:r>
      <w:proofErr w:type="gramStart"/>
      <w:r>
        <w:rPr>
          <w:i/>
          <w:szCs w:val="20"/>
        </w:rPr>
        <w:t>Methods of Execution</w:t>
      </w:r>
      <w:r>
        <w:rPr>
          <w:szCs w:val="20"/>
        </w:rPr>
        <w:t xml:space="preserve">, </w:t>
      </w:r>
      <w:r w:rsidRPr="00853EE1">
        <w:rPr>
          <w:smallCaps/>
          <w:szCs w:val="20"/>
        </w:rPr>
        <w:t>Death Penalty Information Center</w:t>
      </w:r>
      <w:r>
        <w:rPr>
          <w:szCs w:val="20"/>
        </w:rPr>
        <w:t xml:space="preserve">, </w:t>
      </w:r>
      <w:r w:rsidRPr="00853EE1">
        <w:t>http://deathpenaltyinfo.org/methods-execution</w:t>
      </w:r>
      <w:r>
        <w:rPr>
          <w:szCs w:val="20"/>
        </w:rPr>
        <w:t xml:space="preserve"> (last visited June 25, 2014).</w:t>
      </w:r>
      <w:proofErr w:type="gramEnd"/>
      <w:r>
        <w:rPr>
          <w:szCs w:val="20"/>
        </w:rPr>
        <w:t xml:space="preserve"> </w:t>
      </w:r>
    </w:p>
  </w:footnote>
  <w:footnote w:id="128">
    <w:p w14:paraId="44A39FB2" w14:textId="77777777" w:rsidR="003D1304" w:rsidRPr="001A7171" w:rsidRDefault="003D1304" w:rsidP="007910EC">
      <w:pPr>
        <w:pStyle w:val="FootnoteText"/>
        <w:contextualSpacing/>
        <w:rPr>
          <w:szCs w:val="20"/>
        </w:rPr>
      </w:pPr>
      <w:r w:rsidRPr="001A7171">
        <w:rPr>
          <w:rStyle w:val="FootnoteReference"/>
          <w:szCs w:val="20"/>
        </w:rPr>
        <w:footnoteRef/>
      </w:r>
      <w:r w:rsidRPr="001A7171">
        <w:rPr>
          <w:szCs w:val="20"/>
        </w:rPr>
        <w:t xml:space="preserve"> </w:t>
      </w:r>
      <w:proofErr w:type="spellStart"/>
      <w:proofErr w:type="gramStart"/>
      <w:r w:rsidRPr="00853EE1">
        <w:rPr>
          <w:i/>
          <w:szCs w:val="20"/>
        </w:rPr>
        <w:t>Baze</w:t>
      </w:r>
      <w:proofErr w:type="spellEnd"/>
      <w:r w:rsidRPr="00853EE1">
        <w:rPr>
          <w:i/>
          <w:szCs w:val="20"/>
        </w:rPr>
        <w:t xml:space="preserve"> v. Rees</w:t>
      </w:r>
      <w:r w:rsidRPr="001A7171">
        <w:rPr>
          <w:szCs w:val="20"/>
        </w:rPr>
        <w:t>, 553 U.S. 35, 44 (2008).</w:t>
      </w:r>
      <w:proofErr w:type="gramEnd"/>
    </w:p>
  </w:footnote>
  <w:footnote w:id="129">
    <w:p w14:paraId="54324B60" w14:textId="4FA11EDC" w:rsidR="003D1304" w:rsidRPr="001A7171" w:rsidRDefault="003D1304" w:rsidP="007910EC">
      <w:pPr>
        <w:pStyle w:val="FootnoteText"/>
        <w:contextualSpacing/>
        <w:rPr>
          <w:szCs w:val="20"/>
        </w:rPr>
      </w:pPr>
      <w:r w:rsidRPr="001A7171">
        <w:rPr>
          <w:rStyle w:val="FootnoteReference"/>
          <w:szCs w:val="20"/>
        </w:rPr>
        <w:footnoteRef/>
      </w:r>
      <w:r w:rsidRPr="001A7171">
        <w:rPr>
          <w:szCs w:val="20"/>
        </w:rPr>
        <w:t xml:space="preserve"> </w:t>
      </w:r>
      <w:r w:rsidR="00B07F1C">
        <w:rPr>
          <w:szCs w:val="20"/>
        </w:rPr>
        <w:t>Ibid.</w:t>
      </w:r>
    </w:p>
  </w:footnote>
  <w:footnote w:id="130">
    <w:p w14:paraId="2882884E" w14:textId="77777777" w:rsidR="003D1304" w:rsidRPr="001A7171" w:rsidRDefault="003D1304" w:rsidP="007910EC">
      <w:pPr>
        <w:pStyle w:val="FootnoteText"/>
        <w:rPr>
          <w:szCs w:val="20"/>
        </w:rPr>
      </w:pPr>
      <w:r w:rsidRPr="00813E61">
        <w:rPr>
          <w:szCs w:val="20"/>
          <w:vertAlign w:val="superscript"/>
        </w:rPr>
        <w:footnoteRef/>
      </w:r>
      <w:r w:rsidRPr="001A7171">
        <w:rPr>
          <w:szCs w:val="20"/>
        </w:rPr>
        <w:t xml:space="preserve"> </w:t>
      </w:r>
      <w:proofErr w:type="gramStart"/>
      <w:r w:rsidRPr="001A7171">
        <w:rPr>
          <w:szCs w:val="20"/>
        </w:rPr>
        <w:t xml:space="preserve">Jim </w:t>
      </w:r>
      <w:proofErr w:type="spellStart"/>
      <w:r w:rsidRPr="001A7171">
        <w:rPr>
          <w:szCs w:val="20"/>
        </w:rPr>
        <w:t>Provance</w:t>
      </w:r>
      <w:proofErr w:type="spellEnd"/>
      <w:r w:rsidRPr="001A7171">
        <w:rPr>
          <w:szCs w:val="20"/>
        </w:rPr>
        <w:t xml:space="preserve"> &amp; Christina Hall, </w:t>
      </w:r>
      <w:r w:rsidRPr="001A7171">
        <w:rPr>
          <w:i/>
          <w:szCs w:val="20"/>
        </w:rPr>
        <w:t>Clark Execution Raises Lethal-Injection Issues</w:t>
      </w:r>
      <w:r w:rsidRPr="001A7171">
        <w:rPr>
          <w:szCs w:val="20"/>
        </w:rPr>
        <w:t xml:space="preserve">, </w:t>
      </w:r>
      <w:r w:rsidRPr="001A7171">
        <w:rPr>
          <w:smallCaps/>
          <w:szCs w:val="20"/>
        </w:rPr>
        <w:t>Toledo Blade</w:t>
      </w:r>
      <w:r>
        <w:rPr>
          <w:smallCaps/>
          <w:szCs w:val="20"/>
        </w:rPr>
        <w:t xml:space="preserve"> (</w:t>
      </w:r>
      <w:r>
        <w:rPr>
          <w:szCs w:val="20"/>
        </w:rPr>
        <w:t xml:space="preserve">May 4, 2006) </w:t>
      </w:r>
      <w:r>
        <w:rPr>
          <w:i/>
          <w:szCs w:val="20"/>
        </w:rPr>
        <w:t>available at</w:t>
      </w:r>
      <w:r w:rsidRPr="001A7171">
        <w:rPr>
          <w:szCs w:val="20"/>
        </w:rPr>
        <w:t xml:space="preserve"> http://www.toledoblade.com/local/2006/05/04/Clark-execution-raises-lethal-injection-i</w:t>
      </w:r>
      <w:r>
        <w:rPr>
          <w:szCs w:val="20"/>
        </w:rPr>
        <w:t>ssues.html (last visited June 25, 2014</w:t>
      </w:r>
      <w:r w:rsidRPr="001A7171">
        <w:rPr>
          <w:szCs w:val="20"/>
        </w:rPr>
        <w:t>)</w:t>
      </w:r>
      <w:r>
        <w:rPr>
          <w:szCs w:val="20"/>
        </w:rPr>
        <w:t>.</w:t>
      </w:r>
      <w:proofErr w:type="gramEnd"/>
      <w:r w:rsidRPr="001A7171">
        <w:rPr>
          <w:szCs w:val="20"/>
        </w:rPr>
        <w:t xml:space="preserve"> </w:t>
      </w:r>
    </w:p>
  </w:footnote>
  <w:footnote w:id="131">
    <w:p w14:paraId="32B3D76D" w14:textId="77777777" w:rsidR="003D1304" w:rsidRPr="001A7171" w:rsidRDefault="003D1304" w:rsidP="007910EC">
      <w:pPr>
        <w:pStyle w:val="FootnoteText"/>
        <w:rPr>
          <w:szCs w:val="20"/>
        </w:rPr>
      </w:pPr>
      <w:r w:rsidRPr="00813E61">
        <w:rPr>
          <w:szCs w:val="20"/>
          <w:vertAlign w:val="superscript"/>
        </w:rPr>
        <w:footnoteRef/>
      </w:r>
      <w:r w:rsidRPr="001A7171">
        <w:rPr>
          <w:szCs w:val="20"/>
        </w:rPr>
        <w:t xml:space="preserve"> </w:t>
      </w:r>
      <w:proofErr w:type="gramStart"/>
      <w:r w:rsidRPr="001A7171">
        <w:rPr>
          <w:szCs w:val="20"/>
        </w:rPr>
        <w:t xml:space="preserve">Julie Carr Smyth, </w:t>
      </w:r>
      <w:r w:rsidRPr="001A7171">
        <w:rPr>
          <w:i/>
          <w:szCs w:val="20"/>
        </w:rPr>
        <w:t>Newton Execution Took Two Hours; Vein Couldn’t Be Located</w:t>
      </w:r>
      <w:r w:rsidRPr="001A7171">
        <w:rPr>
          <w:szCs w:val="20"/>
        </w:rPr>
        <w:t xml:space="preserve">, </w:t>
      </w:r>
      <w:r w:rsidRPr="001A7171">
        <w:rPr>
          <w:smallCaps/>
          <w:szCs w:val="20"/>
        </w:rPr>
        <w:t>The Plain-Dealer</w:t>
      </w:r>
      <w:r>
        <w:rPr>
          <w:smallCaps/>
          <w:szCs w:val="20"/>
        </w:rPr>
        <w:t xml:space="preserve"> (</w:t>
      </w:r>
      <w:r>
        <w:rPr>
          <w:szCs w:val="20"/>
        </w:rPr>
        <w:t xml:space="preserve">May 25, 2007) </w:t>
      </w:r>
      <w:r>
        <w:rPr>
          <w:i/>
          <w:szCs w:val="20"/>
        </w:rPr>
        <w:t>available at</w:t>
      </w:r>
      <w:r w:rsidRPr="001A7171">
        <w:rPr>
          <w:szCs w:val="20"/>
        </w:rPr>
        <w:t xml:space="preserve"> http://blog.cleveland.com/pdextra/2008/11/newton_execution_took_two_hour.html</w:t>
      </w:r>
      <w:r>
        <w:rPr>
          <w:szCs w:val="20"/>
        </w:rPr>
        <w:t xml:space="preserve"> (last visited June 25, 2014</w:t>
      </w:r>
      <w:r w:rsidRPr="001A7171">
        <w:rPr>
          <w:szCs w:val="20"/>
        </w:rPr>
        <w:t>)</w:t>
      </w:r>
      <w:r>
        <w:rPr>
          <w:szCs w:val="20"/>
        </w:rPr>
        <w:t>.</w:t>
      </w:r>
      <w:proofErr w:type="gramEnd"/>
    </w:p>
  </w:footnote>
  <w:footnote w:id="132">
    <w:p w14:paraId="385C4831" w14:textId="77777777" w:rsidR="003D1304" w:rsidRPr="001A7171" w:rsidRDefault="003D1304" w:rsidP="007910EC">
      <w:pPr>
        <w:pStyle w:val="FootnoteText"/>
        <w:rPr>
          <w:szCs w:val="20"/>
        </w:rPr>
      </w:pPr>
      <w:r w:rsidRPr="00813E61">
        <w:rPr>
          <w:szCs w:val="20"/>
          <w:vertAlign w:val="superscript"/>
        </w:rPr>
        <w:footnoteRef/>
      </w:r>
      <w:r w:rsidRPr="001A7171">
        <w:rPr>
          <w:szCs w:val="20"/>
        </w:rPr>
        <w:t xml:space="preserve"> Bob </w:t>
      </w:r>
      <w:proofErr w:type="spellStart"/>
      <w:r w:rsidRPr="001A7171">
        <w:rPr>
          <w:szCs w:val="20"/>
        </w:rPr>
        <w:t>Driehaus</w:t>
      </w:r>
      <w:proofErr w:type="spellEnd"/>
      <w:r w:rsidRPr="001A7171">
        <w:rPr>
          <w:szCs w:val="20"/>
        </w:rPr>
        <w:t xml:space="preserve">, </w:t>
      </w:r>
      <w:r w:rsidRPr="001A7171">
        <w:rPr>
          <w:i/>
          <w:szCs w:val="20"/>
        </w:rPr>
        <w:t>Ohio Plans to Try Again as Execution Goes Wrong</w:t>
      </w:r>
      <w:r w:rsidRPr="001A7171">
        <w:rPr>
          <w:szCs w:val="20"/>
        </w:rPr>
        <w:t xml:space="preserve">, </w:t>
      </w:r>
      <w:r w:rsidRPr="001A7171">
        <w:rPr>
          <w:smallCaps/>
          <w:szCs w:val="20"/>
        </w:rPr>
        <w:t>N.Y. Times</w:t>
      </w:r>
      <w:r>
        <w:rPr>
          <w:smallCaps/>
          <w:szCs w:val="20"/>
        </w:rPr>
        <w:t xml:space="preserve"> (</w:t>
      </w:r>
      <w:r>
        <w:rPr>
          <w:szCs w:val="20"/>
        </w:rPr>
        <w:t xml:space="preserve">Sept. 16, 2009) </w:t>
      </w:r>
      <w:r>
        <w:rPr>
          <w:i/>
          <w:szCs w:val="20"/>
        </w:rPr>
        <w:t>available at</w:t>
      </w:r>
      <w:r w:rsidRPr="001A7171">
        <w:rPr>
          <w:szCs w:val="20"/>
        </w:rPr>
        <w:t xml:space="preserve"> www.nytimes.com/2009/09/17/us/17ohio.htm</w:t>
      </w:r>
      <w:r>
        <w:rPr>
          <w:szCs w:val="20"/>
        </w:rPr>
        <w:t>l (last visited June 25, 2014</w:t>
      </w:r>
      <w:r w:rsidRPr="001A7171">
        <w:rPr>
          <w:szCs w:val="20"/>
        </w:rPr>
        <w:t xml:space="preserve">). </w:t>
      </w:r>
    </w:p>
  </w:footnote>
  <w:footnote w:id="133">
    <w:p w14:paraId="474A403D" w14:textId="77777777" w:rsidR="003D1304" w:rsidRPr="001A7171" w:rsidRDefault="003D1304" w:rsidP="007910EC">
      <w:pPr>
        <w:pStyle w:val="FootnoteText"/>
        <w:rPr>
          <w:szCs w:val="20"/>
        </w:rPr>
      </w:pPr>
      <w:r w:rsidRPr="00813E61">
        <w:rPr>
          <w:szCs w:val="20"/>
          <w:vertAlign w:val="superscript"/>
        </w:rPr>
        <w:footnoteRef/>
      </w:r>
      <w:r w:rsidRPr="001A7171">
        <w:rPr>
          <w:szCs w:val="20"/>
        </w:rPr>
        <w:t xml:space="preserve"> Victoria Gill, </w:t>
      </w:r>
      <w:r w:rsidRPr="001A7171">
        <w:rPr>
          <w:i/>
          <w:szCs w:val="20"/>
        </w:rPr>
        <w:t xml:space="preserve">The Search </w:t>
      </w:r>
      <w:proofErr w:type="gramStart"/>
      <w:r w:rsidRPr="001A7171">
        <w:rPr>
          <w:i/>
          <w:szCs w:val="20"/>
        </w:rPr>
        <w:t>For</w:t>
      </w:r>
      <w:proofErr w:type="gramEnd"/>
      <w:r w:rsidRPr="001A7171">
        <w:rPr>
          <w:i/>
          <w:szCs w:val="20"/>
        </w:rPr>
        <w:t xml:space="preserve"> a Humane Way to Kill</w:t>
      </w:r>
      <w:r w:rsidRPr="001A7171">
        <w:rPr>
          <w:szCs w:val="20"/>
        </w:rPr>
        <w:t xml:space="preserve">, </w:t>
      </w:r>
      <w:r w:rsidRPr="001A7171">
        <w:rPr>
          <w:smallCaps/>
          <w:szCs w:val="20"/>
        </w:rPr>
        <w:t>BBC News Magazine</w:t>
      </w:r>
      <w:r>
        <w:rPr>
          <w:smallCaps/>
          <w:szCs w:val="20"/>
        </w:rPr>
        <w:t xml:space="preserve"> (</w:t>
      </w:r>
      <w:r>
        <w:rPr>
          <w:szCs w:val="20"/>
        </w:rPr>
        <w:t xml:space="preserve">Aug. 7, 2012) </w:t>
      </w:r>
      <w:r>
        <w:rPr>
          <w:i/>
          <w:szCs w:val="20"/>
        </w:rPr>
        <w:t>available at</w:t>
      </w:r>
      <w:r w:rsidRPr="001A7171">
        <w:rPr>
          <w:szCs w:val="20"/>
        </w:rPr>
        <w:t xml:space="preserve"> www.bbc.co.uk/news/maga</w:t>
      </w:r>
      <w:r>
        <w:rPr>
          <w:szCs w:val="20"/>
        </w:rPr>
        <w:t>zine-19060961 (last visited June 25, 2014</w:t>
      </w:r>
      <w:r w:rsidRPr="001A7171">
        <w:rPr>
          <w:szCs w:val="20"/>
        </w:rPr>
        <w:t>).</w:t>
      </w:r>
      <w:r>
        <w:rPr>
          <w:szCs w:val="20"/>
        </w:rPr>
        <w:t xml:space="preserve"> </w:t>
      </w:r>
    </w:p>
  </w:footnote>
  <w:footnote w:id="134">
    <w:p w14:paraId="068F4618" w14:textId="77777777" w:rsidR="003D1304" w:rsidRPr="001A7171" w:rsidRDefault="003D1304" w:rsidP="007910EC">
      <w:pPr>
        <w:pStyle w:val="FootnoteText"/>
        <w:contextualSpacing/>
        <w:rPr>
          <w:szCs w:val="20"/>
        </w:rPr>
      </w:pPr>
      <w:r w:rsidRPr="001A7171">
        <w:rPr>
          <w:rStyle w:val="FootnoteReference"/>
          <w:szCs w:val="20"/>
        </w:rPr>
        <w:footnoteRef/>
      </w:r>
      <w:r w:rsidRPr="001A7171">
        <w:rPr>
          <w:szCs w:val="20"/>
        </w:rPr>
        <w:t xml:space="preserve"> </w:t>
      </w:r>
      <w:proofErr w:type="spellStart"/>
      <w:proofErr w:type="gramStart"/>
      <w:r w:rsidRPr="00853EE1">
        <w:rPr>
          <w:i/>
          <w:szCs w:val="20"/>
        </w:rPr>
        <w:t>Baze</w:t>
      </w:r>
      <w:proofErr w:type="spellEnd"/>
      <w:r w:rsidRPr="00853EE1">
        <w:rPr>
          <w:i/>
          <w:szCs w:val="20"/>
        </w:rPr>
        <w:t xml:space="preserve"> v. Rees</w:t>
      </w:r>
      <w:r>
        <w:rPr>
          <w:szCs w:val="20"/>
        </w:rPr>
        <w:t>, 553 U.S. 35 (2008)</w:t>
      </w:r>
      <w:r w:rsidRPr="001A7171">
        <w:rPr>
          <w:szCs w:val="20"/>
        </w:rPr>
        <w:t>.</w:t>
      </w:r>
      <w:proofErr w:type="gramEnd"/>
    </w:p>
  </w:footnote>
  <w:footnote w:id="135">
    <w:p w14:paraId="4180C9B4" w14:textId="5FF23282" w:rsidR="003D1304" w:rsidRPr="001A7171" w:rsidRDefault="003D1304" w:rsidP="007910EC">
      <w:pPr>
        <w:pStyle w:val="FootnoteText"/>
        <w:contextualSpacing/>
        <w:rPr>
          <w:szCs w:val="20"/>
        </w:rPr>
      </w:pPr>
      <w:r w:rsidRPr="001A7171">
        <w:rPr>
          <w:rStyle w:val="FootnoteReference"/>
          <w:szCs w:val="20"/>
        </w:rPr>
        <w:footnoteRef/>
      </w:r>
      <w:r w:rsidRPr="001A7171">
        <w:rPr>
          <w:szCs w:val="20"/>
        </w:rPr>
        <w:t xml:space="preserve"> </w:t>
      </w:r>
      <w:proofErr w:type="gramStart"/>
      <w:r w:rsidR="00B07F1C">
        <w:rPr>
          <w:szCs w:val="20"/>
        </w:rPr>
        <w:t xml:space="preserve">Id. at </w:t>
      </w:r>
      <w:r>
        <w:rPr>
          <w:szCs w:val="20"/>
        </w:rPr>
        <w:t>49</w:t>
      </w:r>
      <w:r w:rsidRPr="001A7171">
        <w:rPr>
          <w:szCs w:val="20"/>
        </w:rPr>
        <w:t>.</w:t>
      </w:r>
      <w:proofErr w:type="gramEnd"/>
    </w:p>
  </w:footnote>
  <w:footnote w:id="136">
    <w:p w14:paraId="04C6E712" w14:textId="7137E8B4" w:rsidR="003D1304" w:rsidRPr="001A7171" w:rsidRDefault="003D1304" w:rsidP="007910EC">
      <w:pPr>
        <w:pStyle w:val="FootnoteText"/>
        <w:contextualSpacing/>
        <w:rPr>
          <w:szCs w:val="20"/>
        </w:rPr>
      </w:pPr>
      <w:r w:rsidRPr="001A7171">
        <w:rPr>
          <w:rStyle w:val="FootnoteReference"/>
          <w:szCs w:val="20"/>
        </w:rPr>
        <w:footnoteRef/>
      </w:r>
      <w:r w:rsidRPr="001A7171">
        <w:rPr>
          <w:szCs w:val="20"/>
        </w:rPr>
        <w:t xml:space="preserve"> </w:t>
      </w:r>
      <w:proofErr w:type="gramStart"/>
      <w:r w:rsidR="00B07F1C">
        <w:rPr>
          <w:szCs w:val="20"/>
        </w:rPr>
        <w:t xml:space="preserve">Id. at </w:t>
      </w:r>
      <w:r>
        <w:rPr>
          <w:szCs w:val="20"/>
        </w:rPr>
        <w:t>50.</w:t>
      </w:r>
      <w:proofErr w:type="gramEnd"/>
    </w:p>
  </w:footnote>
  <w:footnote w:id="137">
    <w:p w14:paraId="5D9B477F" w14:textId="77777777" w:rsidR="003D1304" w:rsidRPr="000C73FC" w:rsidRDefault="003D1304" w:rsidP="007910EC">
      <w:pPr>
        <w:pStyle w:val="FootnoteText"/>
      </w:pPr>
      <w:r>
        <w:rPr>
          <w:rStyle w:val="FootnoteReference"/>
        </w:rPr>
        <w:footnoteRef/>
      </w:r>
      <w:r>
        <w:t xml:space="preserve"> </w:t>
      </w:r>
      <w:proofErr w:type="gramStart"/>
      <w:r w:rsidRPr="0058310C">
        <w:rPr>
          <w:i/>
        </w:rPr>
        <w:t>See</w:t>
      </w:r>
      <w:r>
        <w:t xml:space="preserve"> </w:t>
      </w:r>
      <w:r>
        <w:rPr>
          <w:i/>
        </w:rPr>
        <w:t xml:space="preserve">State-by-State Lethal Injection, </w:t>
      </w:r>
      <w:r w:rsidRPr="00853EE1">
        <w:rPr>
          <w:smallCaps/>
        </w:rPr>
        <w:t>Death Penalty Information Center</w:t>
      </w:r>
      <w:r>
        <w:t xml:space="preserve">, </w:t>
      </w:r>
      <w:r w:rsidRPr="000C73FC">
        <w:t>http://www.deathpenaltyinfo.org/state-lethal-injection</w:t>
      </w:r>
      <w:r>
        <w:t xml:space="preserve"> (last visited June 25, 2014).</w:t>
      </w:r>
      <w:proofErr w:type="gramEnd"/>
    </w:p>
  </w:footnote>
  <w:footnote w:id="138">
    <w:p w14:paraId="2912C88D" w14:textId="77777777" w:rsidR="003D1304" w:rsidRPr="001A7171" w:rsidRDefault="003D1304" w:rsidP="007910EC">
      <w:pPr>
        <w:pStyle w:val="FootnoteText"/>
        <w:rPr>
          <w:szCs w:val="20"/>
        </w:rPr>
      </w:pPr>
      <w:r w:rsidRPr="00813E61">
        <w:rPr>
          <w:szCs w:val="20"/>
          <w:vertAlign w:val="superscript"/>
        </w:rPr>
        <w:footnoteRef/>
      </w:r>
      <w:r w:rsidRPr="001A7171">
        <w:rPr>
          <w:szCs w:val="20"/>
        </w:rPr>
        <w:t xml:space="preserve"> </w:t>
      </w:r>
      <w:proofErr w:type="gramStart"/>
      <w:r w:rsidRPr="001A7171">
        <w:rPr>
          <w:szCs w:val="20"/>
        </w:rPr>
        <w:t xml:space="preserve">Dominic </w:t>
      </w:r>
      <w:proofErr w:type="spellStart"/>
      <w:r w:rsidRPr="001A7171">
        <w:rPr>
          <w:szCs w:val="20"/>
        </w:rPr>
        <w:t>Casciana</w:t>
      </w:r>
      <w:proofErr w:type="spellEnd"/>
      <w:r w:rsidRPr="001A7171">
        <w:rPr>
          <w:szCs w:val="20"/>
        </w:rPr>
        <w:t xml:space="preserve">, </w:t>
      </w:r>
      <w:r w:rsidRPr="001A7171">
        <w:rPr>
          <w:i/>
          <w:szCs w:val="20"/>
        </w:rPr>
        <w:t>US Lethal Injection Drug Faces UK Export Restrictions</w:t>
      </w:r>
      <w:r w:rsidRPr="001A7171">
        <w:rPr>
          <w:szCs w:val="20"/>
        </w:rPr>
        <w:t xml:space="preserve">, </w:t>
      </w:r>
      <w:r w:rsidRPr="001A7171">
        <w:rPr>
          <w:smallCaps/>
          <w:szCs w:val="20"/>
        </w:rPr>
        <w:t>BBC</w:t>
      </w:r>
      <w:r>
        <w:rPr>
          <w:smallCaps/>
          <w:szCs w:val="20"/>
        </w:rPr>
        <w:t xml:space="preserve"> </w:t>
      </w:r>
      <w:r w:rsidRPr="001A7171">
        <w:rPr>
          <w:smallCaps/>
          <w:szCs w:val="20"/>
        </w:rPr>
        <w:t>News</w:t>
      </w:r>
      <w:r w:rsidRPr="001A7171">
        <w:rPr>
          <w:szCs w:val="20"/>
        </w:rPr>
        <w:t>, Nov. 29, 2010, http://www.bbc.co.uk/news/uk-11865881?</w:t>
      </w:r>
      <w:r>
        <w:rPr>
          <w:szCs w:val="20"/>
        </w:rPr>
        <w:t>print=true (last visited June 25, 2014</w:t>
      </w:r>
      <w:r w:rsidRPr="001A7171">
        <w:rPr>
          <w:szCs w:val="20"/>
        </w:rPr>
        <w:t>).</w:t>
      </w:r>
      <w:proofErr w:type="gramEnd"/>
    </w:p>
  </w:footnote>
  <w:footnote w:id="139">
    <w:p w14:paraId="50A494E6" w14:textId="77777777" w:rsidR="003D1304" w:rsidRPr="001A7171" w:rsidRDefault="003D1304" w:rsidP="007910EC">
      <w:pPr>
        <w:pStyle w:val="FootnoteText"/>
        <w:contextualSpacing/>
        <w:rPr>
          <w:szCs w:val="20"/>
        </w:rPr>
      </w:pPr>
      <w:r w:rsidRPr="00813E61">
        <w:rPr>
          <w:szCs w:val="20"/>
          <w:vertAlign w:val="superscript"/>
        </w:rPr>
        <w:footnoteRef/>
      </w:r>
      <w:r w:rsidRPr="001A7171">
        <w:rPr>
          <w:szCs w:val="20"/>
        </w:rPr>
        <w:t xml:space="preserve"> </w:t>
      </w:r>
      <w:proofErr w:type="spellStart"/>
      <w:r w:rsidRPr="001A7171">
        <w:rPr>
          <w:szCs w:val="20"/>
        </w:rPr>
        <w:t>Makkiko</w:t>
      </w:r>
      <w:proofErr w:type="spellEnd"/>
      <w:r w:rsidRPr="001A7171">
        <w:rPr>
          <w:szCs w:val="20"/>
        </w:rPr>
        <w:t xml:space="preserve"> Kitamura &amp; </w:t>
      </w:r>
      <w:proofErr w:type="spellStart"/>
      <w:r w:rsidRPr="001A7171">
        <w:rPr>
          <w:szCs w:val="20"/>
        </w:rPr>
        <w:t>Adi</w:t>
      </w:r>
      <w:proofErr w:type="spellEnd"/>
      <w:r w:rsidRPr="001A7171">
        <w:rPr>
          <w:szCs w:val="20"/>
        </w:rPr>
        <w:t xml:space="preserve"> Narayan, </w:t>
      </w:r>
      <w:r w:rsidRPr="001A7171">
        <w:rPr>
          <w:i/>
          <w:szCs w:val="20"/>
        </w:rPr>
        <w:t>Europe Pushes to Keep Lethal Injection Drugs From U.S. Prisons</w:t>
      </w:r>
      <w:r w:rsidRPr="001A7171">
        <w:rPr>
          <w:szCs w:val="20"/>
        </w:rPr>
        <w:t xml:space="preserve">, </w:t>
      </w:r>
      <w:r w:rsidRPr="001A7171">
        <w:rPr>
          <w:smallCaps/>
          <w:szCs w:val="20"/>
        </w:rPr>
        <w:t xml:space="preserve">Bloomberg </w:t>
      </w:r>
      <w:proofErr w:type="spellStart"/>
      <w:r w:rsidRPr="001A7171">
        <w:rPr>
          <w:smallCaps/>
          <w:szCs w:val="20"/>
        </w:rPr>
        <w:t>Businessweek</w:t>
      </w:r>
      <w:proofErr w:type="spellEnd"/>
      <w:r w:rsidRPr="001A7171">
        <w:rPr>
          <w:szCs w:val="20"/>
        </w:rPr>
        <w:t>, Feb. 7, 2013, http://www.businessweek.com/articles/2013-02-07/europe-pushes-to-keep-lethal-injection-drugs-f</w:t>
      </w:r>
      <w:r>
        <w:rPr>
          <w:szCs w:val="20"/>
        </w:rPr>
        <w:t>rom-u-dot-s-dot-prisons (last visited June 25, 2014</w:t>
      </w:r>
      <w:r w:rsidRPr="001A7171">
        <w:rPr>
          <w:szCs w:val="20"/>
        </w:rPr>
        <w:t>).</w:t>
      </w:r>
    </w:p>
  </w:footnote>
  <w:footnote w:id="140">
    <w:p w14:paraId="54F126ED" w14:textId="26C16486" w:rsidR="003D1304" w:rsidRPr="001A7171" w:rsidRDefault="003D1304" w:rsidP="007910EC">
      <w:pPr>
        <w:pStyle w:val="FootnoteText"/>
        <w:contextualSpacing/>
        <w:rPr>
          <w:szCs w:val="20"/>
        </w:rPr>
      </w:pPr>
      <w:r w:rsidRPr="001A7171">
        <w:rPr>
          <w:rStyle w:val="FootnoteReference"/>
          <w:szCs w:val="20"/>
        </w:rPr>
        <w:footnoteRef/>
      </w:r>
      <w:r w:rsidRPr="001A7171">
        <w:rPr>
          <w:szCs w:val="20"/>
        </w:rPr>
        <w:t xml:space="preserve"> </w:t>
      </w:r>
      <w:r w:rsidR="00B07F1C">
        <w:rPr>
          <w:szCs w:val="20"/>
        </w:rPr>
        <w:t>Ibid.</w:t>
      </w:r>
    </w:p>
  </w:footnote>
  <w:footnote w:id="141">
    <w:p w14:paraId="426F371A" w14:textId="77777777" w:rsidR="003D1304" w:rsidRPr="001A7171" w:rsidRDefault="003D1304" w:rsidP="007910EC">
      <w:pPr>
        <w:pStyle w:val="FootnoteText"/>
        <w:rPr>
          <w:szCs w:val="20"/>
        </w:rPr>
      </w:pPr>
      <w:r w:rsidRPr="00813E61">
        <w:rPr>
          <w:szCs w:val="20"/>
          <w:vertAlign w:val="superscript"/>
        </w:rPr>
        <w:footnoteRef/>
      </w:r>
      <w:r w:rsidRPr="001A7171">
        <w:rPr>
          <w:szCs w:val="20"/>
        </w:rPr>
        <w:t xml:space="preserve"> </w:t>
      </w:r>
      <w:proofErr w:type="gramStart"/>
      <w:r w:rsidRPr="001A7171">
        <w:rPr>
          <w:szCs w:val="20"/>
        </w:rPr>
        <w:t>Ed Pilkington,</w:t>
      </w:r>
      <w:r w:rsidRPr="001A7171">
        <w:rPr>
          <w:i/>
          <w:szCs w:val="20"/>
        </w:rPr>
        <w:t xml:space="preserve"> Europe Moves to Block Trade in Medical Drugs Used in US Executions</w:t>
      </w:r>
      <w:r w:rsidRPr="001A7171">
        <w:rPr>
          <w:szCs w:val="20"/>
        </w:rPr>
        <w:t xml:space="preserve">, </w:t>
      </w:r>
      <w:r w:rsidRPr="001A7171">
        <w:rPr>
          <w:smallCaps/>
          <w:szCs w:val="20"/>
        </w:rPr>
        <w:t>The Guardian</w:t>
      </w:r>
      <w:r>
        <w:rPr>
          <w:szCs w:val="20"/>
        </w:rPr>
        <w:t xml:space="preserve"> (Dec. 20, 2011) </w:t>
      </w:r>
      <w:r>
        <w:rPr>
          <w:i/>
          <w:szCs w:val="20"/>
        </w:rPr>
        <w:t>available at</w:t>
      </w:r>
      <w:r w:rsidRPr="001A7171">
        <w:rPr>
          <w:szCs w:val="20"/>
        </w:rPr>
        <w:t xml:space="preserve"> http://www.guardian.co.uk/world/2011/dec/20/death-penalty-drugs-european-commis</w:t>
      </w:r>
      <w:r>
        <w:rPr>
          <w:szCs w:val="20"/>
        </w:rPr>
        <w:t>sion (last visited June 25, 2014</w:t>
      </w:r>
      <w:r w:rsidRPr="001A7171">
        <w:rPr>
          <w:szCs w:val="20"/>
        </w:rPr>
        <w:t>)</w:t>
      </w:r>
      <w:r>
        <w:rPr>
          <w:szCs w:val="20"/>
        </w:rPr>
        <w:t>.</w:t>
      </w:r>
      <w:proofErr w:type="gramEnd"/>
    </w:p>
  </w:footnote>
  <w:footnote w:id="142">
    <w:p w14:paraId="3FA1B497" w14:textId="77777777" w:rsidR="003D1304" w:rsidRPr="001A7171" w:rsidRDefault="003D1304" w:rsidP="007910EC">
      <w:pPr>
        <w:pStyle w:val="FootnoteText"/>
        <w:contextualSpacing/>
        <w:rPr>
          <w:szCs w:val="20"/>
        </w:rPr>
      </w:pPr>
      <w:r w:rsidRPr="00813E61">
        <w:rPr>
          <w:szCs w:val="20"/>
          <w:vertAlign w:val="superscript"/>
        </w:rPr>
        <w:footnoteRef/>
      </w:r>
      <w:r w:rsidRPr="001A7171">
        <w:rPr>
          <w:szCs w:val="20"/>
        </w:rPr>
        <w:t xml:space="preserve"> </w:t>
      </w:r>
      <w:proofErr w:type="spellStart"/>
      <w:r w:rsidRPr="001A7171">
        <w:rPr>
          <w:szCs w:val="20"/>
        </w:rPr>
        <w:t>Makkiko</w:t>
      </w:r>
      <w:proofErr w:type="spellEnd"/>
      <w:r w:rsidRPr="001A7171">
        <w:rPr>
          <w:szCs w:val="20"/>
        </w:rPr>
        <w:t xml:space="preserve"> Kitamura &amp; </w:t>
      </w:r>
      <w:proofErr w:type="spellStart"/>
      <w:r w:rsidRPr="001A7171">
        <w:rPr>
          <w:szCs w:val="20"/>
        </w:rPr>
        <w:t>Adi</w:t>
      </w:r>
      <w:proofErr w:type="spellEnd"/>
      <w:r w:rsidRPr="001A7171">
        <w:rPr>
          <w:szCs w:val="20"/>
        </w:rPr>
        <w:t xml:space="preserve"> Narayan, </w:t>
      </w:r>
      <w:r w:rsidRPr="001A7171">
        <w:rPr>
          <w:i/>
          <w:szCs w:val="20"/>
        </w:rPr>
        <w:t>Europe Pushes to Keep Lethal Injection Drugs from U.S. Prisons</w:t>
      </w:r>
      <w:r w:rsidRPr="001A7171">
        <w:rPr>
          <w:szCs w:val="20"/>
        </w:rPr>
        <w:t xml:space="preserve">, </w:t>
      </w:r>
      <w:r w:rsidRPr="001A7171">
        <w:rPr>
          <w:smallCaps/>
          <w:szCs w:val="20"/>
        </w:rPr>
        <w:t xml:space="preserve">Bloomberg </w:t>
      </w:r>
      <w:proofErr w:type="spellStart"/>
      <w:r w:rsidRPr="001A7171">
        <w:rPr>
          <w:smallCaps/>
          <w:szCs w:val="20"/>
        </w:rPr>
        <w:t>Businessweek</w:t>
      </w:r>
      <w:proofErr w:type="spellEnd"/>
      <w:r>
        <w:rPr>
          <w:szCs w:val="20"/>
        </w:rPr>
        <w:t xml:space="preserve"> (Feb. 7, 2013)</w:t>
      </w:r>
      <w:r w:rsidRPr="001A7171">
        <w:rPr>
          <w:szCs w:val="20"/>
        </w:rPr>
        <w:t xml:space="preserve"> </w:t>
      </w:r>
      <w:r>
        <w:rPr>
          <w:i/>
          <w:szCs w:val="20"/>
        </w:rPr>
        <w:t xml:space="preserve">available at </w:t>
      </w:r>
      <w:r w:rsidRPr="00705E0D">
        <w:rPr>
          <w:szCs w:val="20"/>
        </w:rPr>
        <w:t>http://www.businessweek.com/articles/2013-02-07/europe-pushes-to-keep-lethal-injection-drugs-from-u-dot-s-dot-prisons</w:t>
      </w:r>
      <w:r>
        <w:rPr>
          <w:szCs w:val="20"/>
        </w:rPr>
        <w:t xml:space="preserve"> (last visited June 25, 2014). </w:t>
      </w:r>
    </w:p>
  </w:footnote>
  <w:footnote w:id="143">
    <w:p w14:paraId="3999DE05" w14:textId="77777777" w:rsidR="003D1304" w:rsidRPr="001A7171" w:rsidRDefault="003D1304" w:rsidP="007910EC">
      <w:pPr>
        <w:pStyle w:val="FootnoteText"/>
        <w:rPr>
          <w:szCs w:val="20"/>
        </w:rPr>
      </w:pPr>
      <w:r w:rsidRPr="00813E61">
        <w:rPr>
          <w:szCs w:val="20"/>
          <w:vertAlign w:val="superscript"/>
        </w:rPr>
        <w:footnoteRef/>
      </w:r>
      <w:r w:rsidRPr="001A7171">
        <w:rPr>
          <w:szCs w:val="20"/>
        </w:rPr>
        <w:t xml:space="preserve"> </w:t>
      </w:r>
      <w:proofErr w:type="gramStart"/>
      <w:r w:rsidRPr="001A7171">
        <w:rPr>
          <w:szCs w:val="20"/>
        </w:rPr>
        <w:t>Ed Pilkington,</w:t>
      </w:r>
      <w:r w:rsidRPr="001A7171">
        <w:rPr>
          <w:i/>
          <w:szCs w:val="20"/>
        </w:rPr>
        <w:t xml:space="preserve"> Europe Moves to Block Trade in Medical Drugs Used in US Executions</w:t>
      </w:r>
      <w:r w:rsidRPr="001A7171">
        <w:rPr>
          <w:szCs w:val="20"/>
        </w:rPr>
        <w:t xml:space="preserve">, </w:t>
      </w:r>
      <w:r w:rsidRPr="001A7171">
        <w:rPr>
          <w:smallCaps/>
          <w:szCs w:val="20"/>
        </w:rPr>
        <w:t>The Guardian</w:t>
      </w:r>
      <w:r>
        <w:rPr>
          <w:szCs w:val="20"/>
        </w:rPr>
        <w:t xml:space="preserve"> (Dec. 20, 2011) </w:t>
      </w:r>
      <w:r>
        <w:rPr>
          <w:i/>
          <w:szCs w:val="20"/>
        </w:rPr>
        <w:t>available at</w:t>
      </w:r>
      <w:r w:rsidRPr="001A7171">
        <w:rPr>
          <w:szCs w:val="20"/>
        </w:rPr>
        <w:t xml:space="preserve"> http://www.guardian.co.uk/world/2011/dec/20/death-penalty-drugs-european-com</w:t>
      </w:r>
      <w:r>
        <w:rPr>
          <w:szCs w:val="20"/>
        </w:rPr>
        <w:t>mission (last visited June 25, 2014</w:t>
      </w:r>
      <w:r w:rsidRPr="001A7171">
        <w:rPr>
          <w:szCs w:val="20"/>
        </w:rPr>
        <w:t>).</w:t>
      </w:r>
      <w:proofErr w:type="gramEnd"/>
    </w:p>
  </w:footnote>
  <w:footnote w:id="144">
    <w:p w14:paraId="5EE74580" w14:textId="292DE477" w:rsidR="003D1304" w:rsidRPr="001A7171" w:rsidRDefault="003D1304" w:rsidP="007910EC">
      <w:pPr>
        <w:pStyle w:val="FootnoteText"/>
        <w:contextualSpacing/>
        <w:rPr>
          <w:i/>
          <w:szCs w:val="20"/>
        </w:rPr>
      </w:pPr>
      <w:r w:rsidRPr="001A7171">
        <w:rPr>
          <w:rStyle w:val="FootnoteReference"/>
          <w:szCs w:val="20"/>
        </w:rPr>
        <w:footnoteRef/>
      </w:r>
      <w:r w:rsidRPr="001A7171">
        <w:rPr>
          <w:szCs w:val="20"/>
        </w:rPr>
        <w:t xml:space="preserve"> </w:t>
      </w:r>
      <w:r w:rsidR="00B07F1C">
        <w:rPr>
          <w:szCs w:val="20"/>
        </w:rPr>
        <w:t>Ibid.</w:t>
      </w:r>
    </w:p>
  </w:footnote>
  <w:footnote w:id="145">
    <w:p w14:paraId="6962179D" w14:textId="77777777" w:rsidR="003D1304" w:rsidRPr="00C74ED2" w:rsidRDefault="003D1304" w:rsidP="007910EC">
      <w:pPr>
        <w:pStyle w:val="FootnoteText"/>
        <w:rPr>
          <w:szCs w:val="20"/>
        </w:rPr>
      </w:pPr>
      <w:r w:rsidRPr="00C74ED2">
        <w:rPr>
          <w:rStyle w:val="FootnoteReference"/>
          <w:szCs w:val="20"/>
        </w:rPr>
        <w:footnoteRef/>
      </w:r>
      <w:r w:rsidRPr="00C74ED2">
        <w:rPr>
          <w:szCs w:val="20"/>
        </w:rPr>
        <w:t xml:space="preserve"> </w:t>
      </w:r>
      <w:proofErr w:type="gramStart"/>
      <w:r w:rsidRPr="00C74ED2">
        <w:rPr>
          <w:szCs w:val="20"/>
        </w:rPr>
        <w:t xml:space="preserve">Manny Fernandez, </w:t>
      </w:r>
      <w:r w:rsidRPr="00C74ED2">
        <w:rPr>
          <w:i/>
          <w:szCs w:val="20"/>
        </w:rPr>
        <w:t>Executions Stall as States Seek Different Drugs</w:t>
      </w:r>
      <w:r>
        <w:rPr>
          <w:szCs w:val="20"/>
        </w:rPr>
        <w:t xml:space="preserve">, </w:t>
      </w:r>
      <w:r>
        <w:rPr>
          <w:smallCaps/>
          <w:szCs w:val="20"/>
        </w:rPr>
        <w:t>N.Y. Times</w:t>
      </w:r>
      <w:r>
        <w:rPr>
          <w:szCs w:val="20"/>
        </w:rPr>
        <w:t xml:space="preserve"> (Nov. 8, 2013) </w:t>
      </w:r>
      <w:r>
        <w:rPr>
          <w:i/>
          <w:szCs w:val="20"/>
        </w:rPr>
        <w:t>available at</w:t>
      </w:r>
      <w:r w:rsidRPr="00C74ED2">
        <w:rPr>
          <w:szCs w:val="20"/>
        </w:rPr>
        <w:t xml:space="preserve"> http://www.nytimes.com/2013/11/09/us/executions-stall-as-s</w:t>
      </w:r>
      <w:r>
        <w:rPr>
          <w:szCs w:val="20"/>
        </w:rPr>
        <w:t>tates-seek-different-drugs.html</w:t>
      </w:r>
      <w:r w:rsidRPr="00C74ED2">
        <w:rPr>
          <w:szCs w:val="20"/>
        </w:rPr>
        <w:t xml:space="preserve"> </w:t>
      </w:r>
      <w:r>
        <w:rPr>
          <w:szCs w:val="20"/>
        </w:rPr>
        <w:t>[hereinafter Fernandez].</w:t>
      </w:r>
      <w:proofErr w:type="gramEnd"/>
    </w:p>
  </w:footnote>
  <w:footnote w:id="146">
    <w:p w14:paraId="6C29FBF5" w14:textId="77777777" w:rsidR="003D1304" w:rsidRPr="00C74ED2" w:rsidRDefault="003D1304" w:rsidP="007910EC">
      <w:pPr>
        <w:pStyle w:val="FootnoteText"/>
        <w:rPr>
          <w:szCs w:val="20"/>
          <w:lang w:val="en-GB"/>
        </w:rPr>
      </w:pPr>
      <w:r w:rsidRPr="00C74ED2">
        <w:rPr>
          <w:rStyle w:val="FootnoteReference"/>
          <w:szCs w:val="20"/>
        </w:rPr>
        <w:footnoteRef/>
      </w:r>
      <w:r>
        <w:rPr>
          <w:i/>
          <w:szCs w:val="20"/>
        </w:rPr>
        <w:t xml:space="preserve"> Florida Murderer Who Raped and Killed Woman is Left Writhing in Agony and Takes Twice as Long to Die as He is Executed Using New Untried Lethal Injection Drug</w:t>
      </w:r>
      <w:r>
        <w:rPr>
          <w:szCs w:val="20"/>
        </w:rPr>
        <w:t xml:space="preserve">, </w:t>
      </w:r>
      <w:r>
        <w:rPr>
          <w:smallCaps/>
          <w:szCs w:val="20"/>
        </w:rPr>
        <w:t xml:space="preserve">Daily Mail </w:t>
      </w:r>
      <w:r>
        <w:rPr>
          <w:szCs w:val="20"/>
        </w:rPr>
        <w:t xml:space="preserve">(Oct. 16, 2013), </w:t>
      </w:r>
      <w:r w:rsidRPr="00C74ED2">
        <w:rPr>
          <w:szCs w:val="20"/>
        </w:rPr>
        <w:t xml:space="preserve"> </w:t>
      </w:r>
      <w:r w:rsidRPr="00705E0D">
        <w:rPr>
          <w:szCs w:val="20"/>
        </w:rPr>
        <w:t>http://www.dailymail.co.uk/news/article-2462115/William-Happ-executed-Florida-executes-murderer-using-untried-lethal-injection-drug.html</w:t>
      </w:r>
      <w:r>
        <w:rPr>
          <w:szCs w:val="20"/>
        </w:rPr>
        <w:t xml:space="preserve"> (last visited June 25, 2014). </w:t>
      </w:r>
    </w:p>
  </w:footnote>
  <w:footnote w:id="147">
    <w:p w14:paraId="21B3E323" w14:textId="77777777" w:rsidR="003D1304" w:rsidRPr="00C74ED2" w:rsidRDefault="003D1304" w:rsidP="007910EC">
      <w:pPr>
        <w:pStyle w:val="FootnoteText"/>
        <w:rPr>
          <w:szCs w:val="20"/>
        </w:rPr>
      </w:pPr>
      <w:r w:rsidRPr="00C74ED2">
        <w:rPr>
          <w:rStyle w:val="FootnoteReference"/>
          <w:szCs w:val="20"/>
        </w:rPr>
        <w:footnoteRef/>
      </w:r>
      <w:r w:rsidRPr="00C74ED2">
        <w:rPr>
          <w:szCs w:val="20"/>
        </w:rPr>
        <w:t xml:space="preserve"> Bill </w:t>
      </w:r>
      <w:proofErr w:type="spellStart"/>
      <w:r w:rsidRPr="00C74ED2">
        <w:rPr>
          <w:szCs w:val="20"/>
        </w:rPr>
        <w:t>Cotterell</w:t>
      </w:r>
      <w:proofErr w:type="spellEnd"/>
      <w:r w:rsidRPr="00C74ED2">
        <w:rPr>
          <w:szCs w:val="20"/>
        </w:rPr>
        <w:t xml:space="preserve">, </w:t>
      </w:r>
      <w:r w:rsidRPr="00C74ED2">
        <w:rPr>
          <w:i/>
          <w:szCs w:val="20"/>
        </w:rPr>
        <w:t>Florida Executes Man with New Lethal Injection Drug</w:t>
      </w:r>
      <w:r w:rsidRPr="00C74ED2">
        <w:rPr>
          <w:szCs w:val="20"/>
        </w:rPr>
        <w:t xml:space="preserve">, Reuters, Oct. 15, 2013, http://www.reuters.com/article/2013/10/16/us-usa-florida-execution-idUSBRE99F00020131016; </w:t>
      </w:r>
      <w:r w:rsidRPr="00C74ED2">
        <w:rPr>
          <w:i/>
          <w:szCs w:val="20"/>
        </w:rPr>
        <w:t>Fla. Executes Man for Illinois Woman’s 1986 Murder</w:t>
      </w:r>
      <w:r w:rsidRPr="00C74ED2">
        <w:rPr>
          <w:szCs w:val="20"/>
        </w:rPr>
        <w:t>, Associated Press, Oct. 15, 2013, http://tbo.com/news/crime/happ-to-be-executed-today-for-1986-citrus-county-murder-20131015/; D</w:t>
      </w:r>
      <w:r>
        <w:rPr>
          <w:szCs w:val="20"/>
        </w:rPr>
        <w:t>eath Penalty Information Center</w:t>
      </w:r>
      <w:r w:rsidRPr="00C74ED2">
        <w:rPr>
          <w:szCs w:val="20"/>
        </w:rPr>
        <w:t xml:space="preserve">, “Execution List 2013,” accessed Feb. 2, 2014, </w:t>
      </w:r>
      <w:r w:rsidRPr="00705E0D">
        <w:rPr>
          <w:szCs w:val="20"/>
        </w:rPr>
        <w:t>http://www.deathpenaltyinfo.org/execution-list-2013</w:t>
      </w:r>
      <w:r>
        <w:rPr>
          <w:szCs w:val="20"/>
        </w:rPr>
        <w:t xml:space="preserve">; </w:t>
      </w:r>
      <w:r w:rsidRPr="00C74ED2">
        <w:rPr>
          <w:szCs w:val="20"/>
        </w:rPr>
        <w:t>D</w:t>
      </w:r>
      <w:r>
        <w:rPr>
          <w:szCs w:val="20"/>
        </w:rPr>
        <w:t>eath Penalty Information Center</w:t>
      </w:r>
      <w:r w:rsidRPr="00C74ED2">
        <w:rPr>
          <w:szCs w:val="20"/>
        </w:rPr>
        <w:t xml:space="preserve">, “Execution List 2014,” accessed Feb. 2, 2014, </w:t>
      </w:r>
      <w:r w:rsidRPr="00705E0D">
        <w:rPr>
          <w:szCs w:val="20"/>
        </w:rPr>
        <w:t>http://www.deathpenaltyinfo.org/execution-list-2014</w:t>
      </w:r>
      <w:r>
        <w:rPr>
          <w:szCs w:val="20"/>
        </w:rPr>
        <w:t>.</w:t>
      </w:r>
    </w:p>
  </w:footnote>
  <w:footnote w:id="148">
    <w:p w14:paraId="52970717" w14:textId="77777777" w:rsidR="003D1304" w:rsidRPr="00990651" w:rsidRDefault="003D1304" w:rsidP="00CF1803">
      <w:pPr>
        <w:pStyle w:val="FootnoteText"/>
        <w:rPr>
          <w:color w:val="000000" w:themeColor="text1"/>
          <w:szCs w:val="20"/>
          <w:lang w:val="en-GB"/>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Ohio Execution Took 25 Minutes with New Drugs</w:t>
      </w:r>
      <w:r w:rsidRPr="00990651">
        <w:rPr>
          <w:color w:val="000000" w:themeColor="text1"/>
          <w:szCs w:val="20"/>
        </w:rPr>
        <w:t xml:space="preserve">, </w:t>
      </w:r>
      <w:r w:rsidRPr="00990651">
        <w:rPr>
          <w:smallCaps/>
          <w:color w:val="000000" w:themeColor="text1"/>
          <w:szCs w:val="20"/>
        </w:rPr>
        <w:t xml:space="preserve">Sky </w:t>
      </w:r>
      <w:r w:rsidRPr="00990651">
        <w:rPr>
          <w:color w:val="000000" w:themeColor="text1"/>
          <w:szCs w:val="20"/>
        </w:rPr>
        <w:t xml:space="preserve">(Jan. 16, 2014) </w:t>
      </w:r>
      <w:r w:rsidRPr="00990651">
        <w:rPr>
          <w:i/>
          <w:color w:val="000000" w:themeColor="text1"/>
          <w:szCs w:val="20"/>
        </w:rPr>
        <w:t xml:space="preserve">available at </w:t>
      </w:r>
      <w:r w:rsidRPr="00990651">
        <w:rPr>
          <w:color w:val="000000" w:themeColor="text1"/>
          <w:szCs w:val="20"/>
        </w:rPr>
        <w:t>http://news.sky.com/story/1196057/ohio-execution-took-25-minutes-with-new-drugs (last visited June 25, 2014).</w:t>
      </w:r>
      <w:proofErr w:type="gramEnd"/>
      <w:r w:rsidRPr="00990651">
        <w:rPr>
          <w:color w:val="000000" w:themeColor="text1"/>
          <w:szCs w:val="20"/>
        </w:rPr>
        <w:t xml:space="preserve"> </w:t>
      </w:r>
    </w:p>
  </w:footnote>
  <w:footnote w:id="149">
    <w:p w14:paraId="4A80DDB9" w14:textId="613E61C0"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Matt Pearce et al., </w:t>
      </w:r>
      <w:r w:rsidRPr="00990651">
        <w:rPr>
          <w:i/>
          <w:color w:val="000000" w:themeColor="text1"/>
          <w:szCs w:val="20"/>
        </w:rPr>
        <w:t>Arizona Killer Takes 2 Hours to Die, Fueling Lethal-Injection Debate</w:t>
      </w:r>
      <w:r w:rsidRPr="00990651">
        <w:rPr>
          <w:color w:val="000000" w:themeColor="text1"/>
          <w:szCs w:val="20"/>
        </w:rPr>
        <w:t xml:space="preserve">, </w:t>
      </w:r>
      <w:r w:rsidRPr="00990651">
        <w:rPr>
          <w:smallCaps/>
          <w:color w:val="000000" w:themeColor="text1"/>
          <w:szCs w:val="20"/>
        </w:rPr>
        <w:t>L.A. Times</w:t>
      </w:r>
      <w:r w:rsidRPr="00990651">
        <w:rPr>
          <w:color w:val="000000" w:themeColor="text1"/>
          <w:szCs w:val="20"/>
        </w:rPr>
        <w:t>, July 23, 2014, http://www.latimes.com/nation/nationnow/la-na-nn-arizona-execution-20140723-story.html.</w:t>
      </w:r>
    </w:p>
  </w:footnote>
  <w:footnote w:id="150">
    <w:p w14:paraId="76B068E1" w14:textId="77777777" w:rsidR="003D1304" w:rsidRPr="00990651" w:rsidRDefault="003D1304" w:rsidP="0014332A">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Michael Kiefer, </w:t>
      </w:r>
      <w:r w:rsidRPr="00990651">
        <w:rPr>
          <w:i/>
          <w:color w:val="000000" w:themeColor="text1"/>
          <w:szCs w:val="20"/>
        </w:rPr>
        <w:t>Reporter Describes Arizona Execution: 2 Hours, 640 Gasps</w:t>
      </w:r>
      <w:r w:rsidRPr="00990651">
        <w:rPr>
          <w:color w:val="000000" w:themeColor="text1"/>
          <w:szCs w:val="20"/>
        </w:rPr>
        <w:t xml:space="preserve">, </w:t>
      </w:r>
      <w:r w:rsidRPr="00990651">
        <w:rPr>
          <w:smallCaps/>
          <w:color w:val="000000" w:themeColor="text1"/>
          <w:szCs w:val="20"/>
        </w:rPr>
        <w:t>Arizona Republic</w:t>
      </w:r>
      <w:r w:rsidRPr="00990651">
        <w:rPr>
          <w:color w:val="000000" w:themeColor="text1"/>
          <w:szCs w:val="20"/>
        </w:rPr>
        <w:t>, July 24, 2014, http://www.azcentral.com/story/news/arizona/politics/2014/07/24/arizona-execution-joseph-wood-eyewitness/13083637/.</w:t>
      </w:r>
    </w:p>
  </w:footnote>
  <w:footnote w:id="151">
    <w:p w14:paraId="68B488A1" w14:textId="53C20FC6" w:rsidR="003D1304" w:rsidRPr="00990651" w:rsidRDefault="003D1304" w:rsidP="0014332A">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00B07F1C">
        <w:rPr>
          <w:color w:val="000000" w:themeColor="text1"/>
          <w:szCs w:val="20"/>
        </w:rPr>
        <w:t>Ibid.</w:t>
      </w:r>
    </w:p>
  </w:footnote>
  <w:footnote w:id="152">
    <w:p w14:paraId="72FF97A6" w14:textId="57C59E62" w:rsidR="003D1304" w:rsidRPr="00990651" w:rsidRDefault="003D1304">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Michael Kiefer, </w:t>
      </w:r>
      <w:r w:rsidRPr="00990651">
        <w:rPr>
          <w:i/>
          <w:color w:val="000000" w:themeColor="text1"/>
          <w:szCs w:val="20"/>
        </w:rPr>
        <w:t>Reporter Describes Arizona Execution: 2 Hours, 640 Gasps</w:t>
      </w:r>
      <w:r w:rsidRPr="00990651">
        <w:rPr>
          <w:color w:val="000000" w:themeColor="text1"/>
          <w:szCs w:val="20"/>
        </w:rPr>
        <w:t xml:space="preserve">, </w:t>
      </w:r>
      <w:r w:rsidRPr="00990651">
        <w:rPr>
          <w:smallCaps/>
          <w:color w:val="000000" w:themeColor="text1"/>
          <w:szCs w:val="20"/>
        </w:rPr>
        <w:t>Arizona Republic</w:t>
      </w:r>
      <w:r w:rsidRPr="00990651">
        <w:rPr>
          <w:color w:val="000000" w:themeColor="text1"/>
          <w:szCs w:val="20"/>
        </w:rPr>
        <w:t>, July 24, 2014, http://www.azcentral.com/story/news/arizona/politics/2014/07/24/arizona-execution-joseph-wood-eyewitness/13083637/.</w:t>
      </w:r>
    </w:p>
  </w:footnote>
  <w:footnote w:id="153">
    <w:p w14:paraId="247BD064" w14:textId="6A7CD854" w:rsidR="003D1304" w:rsidRPr="00990651" w:rsidRDefault="003D1304" w:rsidP="0014332A">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00610353">
        <w:rPr>
          <w:color w:val="000000" w:themeColor="text1"/>
          <w:szCs w:val="20"/>
        </w:rPr>
        <w:t>Ibid.</w:t>
      </w:r>
    </w:p>
  </w:footnote>
  <w:footnote w:id="154">
    <w:p w14:paraId="5095BDE0" w14:textId="2D249250" w:rsidR="003D1304" w:rsidRPr="00990651" w:rsidRDefault="003D1304" w:rsidP="0014332A">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00610353">
        <w:rPr>
          <w:color w:val="000000" w:themeColor="text1"/>
          <w:szCs w:val="20"/>
        </w:rPr>
        <w:t>Ibid.</w:t>
      </w:r>
    </w:p>
  </w:footnote>
  <w:footnote w:id="155">
    <w:p w14:paraId="71B21CA3" w14:textId="010F9FE4" w:rsidR="003D1304" w:rsidRPr="00990651" w:rsidRDefault="003D1304" w:rsidP="0014332A">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00610353">
        <w:rPr>
          <w:color w:val="000000" w:themeColor="text1"/>
          <w:szCs w:val="20"/>
        </w:rPr>
        <w:t>Ibid.</w:t>
      </w:r>
    </w:p>
  </w:footnote>
  <w:footnote w:id="156">
    <w:p w14:paraId="6DC8022B" w14:textId="6A693ABA" w:rsidR="003D1304" w:rsidRPr="00990651" w:rsidRDefault="003D1304" w:rsidP="00CF1803">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Lucas L. Johnson II, </w:t>
      </w:r>
      <w:r w:rsidRPr="00990651">
        <w:rPr>
          <w:i/>
          <w:color w:val="000000" w:themeColor="text1"/>
          <w:szCs w:val="20"/>
        </w:rPr>
        <w:t>Tennessee Revises Protocol for Executions</w:t>
      </w:r>
      <w:r w:rsidRPr="00990651">
        <w:rPr>
          <w:color w:val="000000" w:themeColor="text1"/>
          <w:szCs w:val="20"/>
        </w:rPr>
        <w:t xml:space="preserve">, </w:t>
      </w:r>
      <w:r w:rsidRPr="00990651">
        <w:rPr>
          <w:smallCaps/>
          <w:color w:val="000000" w:themeColor="text1"/>
          <w:szCs w:val="20"/>
        </w:rPr>
        <w:t>Associated Press</w:t>
      </w:r>
      <w:r w:rsidRPr="00990651">
        <w:rPr>
          <w:color w:val="000000" w:themeColor="text1"/>
          <w:szCs w:val="20"/>
        </w:rPr>
        <w:t xml:space="preserve"> (Sept. 30, 2013) </w:t>
      </w:r>
      <w:r w:rsidRPr="00990651">
        <w:rPr>
          <w:i/>
          <w:color w:val="000000" w:themeColor="text1"/>
          <w:szCs w:val="20"/>
        </w:rPr>
        <w:t>available at</w:t>
      </w:r>
      <w:r w:rsidRPr="00990651">
        <w:rPr>
          <w:color w:val="000000" w:themeColor="text1"/>
          <w:szCs w:val="20"/>
        </w:rPr>
        <w:t xml:space="preserve"> http://www.memphisdailynews.com/news/2013/sep/30/tennessee-revises-protocol-for-executions; Anne Blythe, </w:t>
      </w:r>
      <w:r w:rsidRPr="00990651">
        <w:rPr>
          <w:i/>
          <w:color w:val="000000" w:themeColor="text1"/>
          <w:szCs w:val="20"/>
        </w:rPr>
        <w:t>NC Public Safety Secretary Changes Death Row Execution Protocol</w:t>
      </w:r>
      <w:r w:rsidRPr="00990651">
        <w:rPr>
          <w:color w:val="000000" w:themeColor="text1"/>
          <w:szCs w:val="20"/>
        </w:rPr>
        <w:t>,</w:t>
      </w:r>
      <w:r w:rsidRPr="00990651">
        <w:rPr>
          <w:smallCaps/>
          <w:color w:val="000000" w:themeColor="text1"/>
          <w:szCs w:val="20"/>
        </w:rPr>
        <w:t xml:space="preserve"> News and Observer</w:t>
      </w:r>
      <w:r w:rsidRPr="00990651">
        <w:rPr>
          <w:color w:val="000000" w:themeColor="text1"/>
          <w:szCs w:val="20"/>
        </w:rPr>
        <w:t xml:space="preserve">, (Nov. 5, 2013) </w:t>
      </w:r>
      <w:r w:rsidRPr="00990651">
        <w:rPr>
          <w:i/>
          <w:color w:val="000000" w:themeColor="text1"/>
          <w:szCs w:val="20"/>
        </w:rPr>
        <w:t>available at</w:t>
      </w:r>
      <w:r w:rsidRPr="00990651">
        <w:rPr>
          <w:color w:val="000000" w:themeColor="text1"/>
          <w:szCs w:val="20"/>
        </w:rPr>
        <w:t xml:space="preserve"> http://www.newsobserver.com/2013/11/05/3344126/north-carolina-public-safety-secretary.html; </w:t>
      </w:r>
      <w:r w:rsidRPr="00990651">
        <w:rPr>
          <w:i/>
          <w:color w:val="000000" w:themeColor="text1"/>
          <w:szCs w:val="20"/>
        </w:rPr>
        <w:t>Missouri Switches to New Execution Drug</w:t>
      </w:r>
      <w:r w:rsidRPr="00990651">
        <w:rPr>
          <w:color w:val="000000" w:themeColor="text1"/>
          <w:szCs w:val="20"/>
        </w:rPr>
        <w:t xml:space="preserve">, </w:t>
      </w:r>
      <w:r w:rsidRPr="00990651">
        <w:rPr>
          <w:smallCaps/>
          <w:color w:val="000000" w:themeColor="text1"/>
          <w:szCs w:val="20"/>
        </w:rPr>
        <w:t>Associated Press</w:t>
      </w:r>
      <w:r w:rsidRPr="00990651">
        <w:rPr>
          <w:color w:val="000000" w:themeColor="text1"/>
          <w:szCs w:val="20"/>
        </w:rPr>
        <w:t xml:space="preserve"> (Oct. 22, 2013) </w:t>
      </w:r>
      <w:r w:rsidRPr="00990651">
        <w:rPr>
          <w:i/>
          <w:color w:val="000000" w:themeColor="text1"/>
          <w:szCs w:val="20"/>
        </w:rPr>
        <w:t xml:space="preserve">available at </w:t>
      </w:r>
      <w:r w:rsidRPr="00990651">
        <w:rPr>
          <w:color w:val="000000" w:themeColor="text1"/>
          <w:szCs w:val="20"/>
        </w:rPr>
        <w:t xml:space="preserve">http://deathpenaltynews.blogspot.com/2013/10/missouri-switches-to-new-execution-drug.html. </w:t>
      </w:r>
    </w:p>
  </w:footnote>
  <w:footnote w:id="157">
    <w:p w14:paraId="2D0823CF" w14:textId="77777777" w:rsidR="003D1304" w:rsidRPr="00990651" w:rsidRDefault="003D1304" w:rsidP="00CF1803">
      <w:pPr>
        <w:pStyle w:val="FootnoteText"/>
        <w:rPr>
          <w:color w:val="000000" w:themeColor="text1"/>
          <w:szCs w:val="20"/>
          <w:lang w:val="en-GB"/>
        </w:rPr>
      </w:pPr>
      <w:r w:rsidRPr="00990651">
        <w:rPr>
          <w:rStyle w:val="FootnoteReference"/>
          <w:color w:val="000000" w:themeColor="text1"/>
          <w:szCs w:val="20"/>
        </w:rPr>
        <w:footnoteRef/>
      </w:r>
      <w:r w:rsidRPr="00990651">
        <w:rPr>
          <w:color w:val="000000" w:themeColor="text1"/>
          <w:szCs w:val="20"/>
        </w:rPr>
        <w:t xml:space="preserve"> http://www.fda.gov/Drugs/GuidanceComplianceRegulatoryInformation/PharmacyCompounding/ucm339764.htm</w:t>
      </w:r>
    </w:p>
  </w:footnote>
  <w:footnote w:id="158">
    <w:p w14:paraId="217CC3F0" w14:textId="77777777" w:rsidR="003D1304" w:rsidRPr="00C74ED2" w:rsidRDefault="003D1304" w:rsidP="007910EC">
      <w:pPr>
        <w:pStyle w:val="FootnoteText"/>
        <w:rPr>
          <w:szCs w:val="20"/>
          <w:lang w:val="en-GB"/>
        </w:rPr>
      </w:pPr>
      <w:r w:rsidRPr="00C74ED2">
        <w:rPr>
          <w:rStyle w:val="FootnoteReference"/>
          <w:szCs w:val="20"/>
        </w:rPr>
        <w:footnoteRef/>
      </w:r>
      <w:r w:rsidRPr="00C74ED2">
        <w:rPr>
          <w:szCs w:val="20"/>
        </w:rPr>
        <w:t xml:space="preserve"> </w:t>
      </w:r>
      <w:r>
        <w:rPr>
          <w:i/>
          <w:szCs w:val="20"/>
        </w:rPr>
        <w:t>“I Feel My Whole Body Burning:” Last Words of a Man Executed by Lethal Injection in Oklahoma</w:t>
      </w:r>
      <w:r>
        <w:rPr>
          <w:szCs w:val="20"/>
        </w:rPr>
        <w:t xml:space="preserve">, </w:t>
      </w:r>
      <w:r>
        <w:rPr>
          <w:smallCaps/>
          <w:szCs w:val="20"/>
        </w:rPr>
        <w:t>Daily Mail</w:t>
      </w:r>
      <w:r>
        <w:t xml:space="preserve"> (Jan. 10, 2014) </w:t>
      </w:r>
      <w:r>
        <w:rPr>
          <w:i/>
        </w:rPr>
        <w:t xml:space="preserve">available at </w:t>
      </w:r>
      <w:r w:rsidRPr="00C74ED2">
        <w:rPr>
          <w:szCs w:val="20"/>
        </w:rPr>
        <w:t xml:space="preserve">http://www.dailymail.co.uk/news/article-2536976/I-feel-body-burning-Man-executed-lethal-injection-Oklahoma-beating-convenience-store-worker-death-1995.html </w:t>
      </w:r>
      <w:r>
        <w:rPr>
          <w:szCs w:val="20"/>
        </w:rPr>
        <w:t xml:space="preserve">(last visited June 25, 2014). </w:t>
      </w:r>
    </w:p>
  </w:footnote>
  <w:footnote w:id="159">
    <w:p w14:paraId="4A7594D8" w14:textId="77777777" w:rsidR="003D1304" w:rsidRDefault="003D1304" w:rsidP="007910EC">
      <w:pPr>
        <w:pStyle w:val="FootnoteText"/>
      </w:pPr>
      <w:r>
        <w:rPr>
          <w:rStyle w:val="FootnoteReference"/>
        </w:rPr>
        <w:footnoteRef/>
      </w:r>
      <w:r>
        <w:t xml:space="preserve"> </w:t>
      </w:r>
      <w:proofErr w:type="gramStart"/>
      <w:r w:rsidRPr="004A195D">
        <w:rPr>
          <w:i/>
        </w:rPr>
        <w:t>Profile of Kenneth Eugene Hogan’s Execution</w:t>
      </w:r>
      <w:r>
        <w:t xml:space="preserve">, </w:t>
      </w:r>
      <w:r w:rsidRPr="004A195D">
        <w:t>Clark County Prosecutor Database</w:t>
      </w:r>
      <w:r>
        <w:t xml:space="preserve">, </w:t>
      </w:r>
      <w:r>
        <w:rPr>
          <w:i/>
        </w:rPr>
        <w:t xml:space="preserve">available at </w:t>
      </w:r>
      <w:r w:rsidRPr="00705E0D">
        <w:t>http://www.clarkprosecutor.org/html/death/US/hogan1364.htm</w:t>
      </w:r>
      <w:r>
        <w:t xml:space="preserve"> (last visited June 25, 2014).</w:t>
      </w:r>
      <w:proofErr w:type="gramEnd"/>
      <w:r>
        <w:t xml:space="preserve"> </w:t>
      </w:r>
    </w:p>
  </w:footnote>
  <w:footnote w:id="160">
    <w:p w14:paraId="156A480D" w14:textId="77777777" w:rsidR="003D1304" w:rsidRDefault="003D1304" w:rsidP="007910EC">
      <w:pPr>
        <w:pStyle w:val="FootnoteText"/>
      </w:pPr>
      <w:r>
        <w:rPr>
          <w:rStyle w:val="FootnoteReference"/>
        </w:rPr>
        <w:footnoteRef/>
      </w:r>
      <w:r>
        <w:t xml:space="preserve"> </w:t>
      </w:r>
      <w:proofErr w:type="gramStart"/>
      <w:r>
        <w:rPr>
          <w:i/>
        </w:rPr>
        <w:t>State by State Lethal Injection</w:t>
      </w:r>
      <w:r>
        <w:t xml:space="preserve">, </w:t>
      </w:r>
      <w:r>
        <w:rPr>
          <w:smallCaps/>
          <w:szCs w:val="20"/>
        </w:rPr>
        <w:t xml:space="preserve">Death Penalty Information Center, </w:t>
      </w:r>
      <w:r>
        <w:rPr>
          <w:i/>
        </w:rPr>
        <w:t xml:space="preserve">available at </w:t>
      </w:r>
      <w:r w:rsidRPr="00705E0D">
        <w:t>http://www.deathpenaltyinfo.org/state-lethal-injection</w:t>
      </w:r>
      <w:r>
        <w:t xml:space="preserve"> (last visited June 25, 2014).</w:t>
      </w:r>
      <w:proofErr w:type="gramEnd"/>
      <w:r>
        <w:t xml:space="preserve"> </w:t>
      </w:r>
    </w:p>
  </w:footnote>
  <w:footnote w:id="161">
    <w:p w14:paraId="295ADA30" w14:textId="77777777" w:rsidR="003D1304" w:rsidRDefault="003D1304" w:rsidP="007910EC">
      <w:pPr>
        <w:pStyle w:val="FootnoteText"/>
      </w:pPr>
      <w:r>
        <w:rPr>
          <w:rStyle w:val="FootnoteReference"/>
        </w:rPr>
        <w:footnoteRef/>
      </w:r>
      <w:r>
        <w:t xml:space="preserve"> </w:t>
      </w:r>
      <w:proofErr w:type="gramStart"/>
      <w:r>
        <w:rPr>
          <w:i/>
        </w:rPr>
        <w:t>Oklahoma Botches Execution of Clayton Lockett</w:t>
      </w:r>
      <w:r>
        <w:t xml:space="preserve">, </w:t>
      </w:r>
      <w:r>
        <w:rPr>
          <w:smallCaps/>
          <w:szCs w:val="20"/>
        </w:rPr>
        <w:t>Death Penalty Information Center</w:t>
      </w:r>
      <w:r>
        <w:t xml:space="preserve">, </w:t>
      </w:r>
      <w:r>
        <w:rPr>
          <w:i/>
        </w:rPr>
        <w:t>available at</w:t>
      </w:r>
      <w:r>
        <w:t xml:space="preserve"> </w:t>
      </w:r>
      <w:r w:rsidRPr="00705E0D">
        <w:t>http://www.deathpenaltyinfo.org/node/5760</w:t>
      </w:r>
      <w:r>
        <w:t xml:space="preserve"> (last visited June 25, 2014).</w:t>
      </w:r>
      <w:proofErr w:type="gramEnd"/>
      <w:r>
        <w:t xml:space="preserve"> </w:t>
      </w:r>
    </w:p>
  </w:footnote>
  <w:footnote w:id="162">
    <w:p w14:paraId="1D713782" w14:textId="6BFC9E90" w:rsidR="003D1304" w:rsidRDefault="003D1304" w:rsidP="007910EC">
      <w:pPr>
        <w:pStyle w:val="FootnoteText"/>
      </w:pPr>
      <w:r>
        <w:rPr>
          <w:rStyle w:val="FootnoteReference"/>
        </w:rPr>
        <w:footnoteRef/>
      </w:r>
      <w:r>
        <w:t xml:space="preserve"> </w:t>
      </w:r>
      <w:proofErr w:type="gramStart"/>
      <w:r w:rsidR="00610353">
        <w:t>Ibid.</w:t>
      </w:r>
      <w:proofErr w:type="gramEnd"/>
      <w:r>
        <w:t xml:space="preserve"> </w:t>
      </w:r>
    </w:p>
  </w:footnote>
  <w:footnote w:id="163">
    <w:p w14:paraId="6E21AFAD" w14:textId="77777777" w:rsidR="003D1304" w:rsidRDefault="003D1304" w:rsidP="00D413E1">
      <w:pPr>
        <w:pStyle w:val="FootnoteText"/>
      </w:pPr>
      <w:r>
        <w:rPr>
          <w:rStyle w:val="FootnoteReference"/>
        </w:rPr>
        <w:footnoteRef/>
      </w:r>
      <w:r>
        <w:t xml:space="preserve"> </w:t>
      </w:r>
      <w:proofErr w:type="gramStart"/>
      <w:r w:rsidRPr="00C856B2">
        <w:t>The Special Risks of Pharmacy Compounding</w:t>
      </w:r>
      <w:r>
        <w:t xml:space="preserve">, U.S. Food and Drug Administration, </w:t>
      </w:r>
      <w:r w:rsidRPr="00813E61">
        <w:t>http://www.fda.gov/ForConsumers/ConsumerUpdates/ucm107836.htm</w:t>
      </w:r>
      <w:r>
        <w:t xml:space="preserve"> (last visited June 25, 2014).</w:t>
      </w:r>
      <w:proofErr w:type="gramEnd"/>
      <w:r>
        <w:t xml:space="preserve"> </w:t>
      </w:r>
    </w:p>
  </w:footnote>
  <w:footnote w:id="164">
    <w:p w14:paraId="1D5D7D0E" w14:textId="77777777" w:rsidR="003D1304" w:rsidRPr="001A7171" w:rsidRDefault="003D1304" w:rsidP="00D413E1">
      <w:pPr>
        <w:pStyle w:val="FootnoteText"/>
        <w:rPr>
          <w:szCs w:val="20"/>
        </w:rPr>
      </w:pPr>
      <w:r w:rsidRPr="000876F0">
        <w:rPr>
          <w:szCs w:val="20"/>
          <w:vertAlign w:val="superscript"/>
        </w:rPr>
        <w:footnoteRef/>
      </w:r>
      <w:r w:rsidRPr="001A7171">
        <w:rPr>
          <w:szCs w:val="20"/>
        </w:rPr>
        <w:t xml:space="preserve"> </w:t>
      </w:r>
      <w:proofErr w:type="gramStart"/>
      <w:r w:rsidRPr="001A7171">
        <w:rPr>
          <w:szCs w:val="20"/>
        </w:rPr>
        <w:t xml:space="preserve">Andrew </w:t>
      </w:r>
      <w:proofErr w:type="spellStart"/>
      <w:r w:rsidRPr="001A7171">
        <w:rPr>
          <w:szCs w:val="20"/>
        </w:rPr>
        <w:t>Hosken</w:t>
      </w:r>
      <w:proofErr w:type="spellEnd"/>
      <w:r w:rsidRPr="001A7171">
        <w:rPr>
          <w:szCs w:val="20"/>
        </w:rPr>
        <w:t xml:space="preserve">, </w:t>
      </w:r>
      <w:r w:rsidRPr="001A7171">
        <w:rPr>
          <w:i/>
          <w:szCs w:val="20"/>
        </w:rPr>
        <w:t xml:space="preserve">Lethal Injection Drug Sold </w:t>
      </w:r>
      <w:r>
        <w:rPr>
          <w:i/>
          <w:szCs w:val="20"/>
        </w:rPr>
        <w:t>f</w:t>
      </w:r>
      <w:r w:rsidRPr="001A7171">
        <w:rPr>
          <w:i/>
          <w:szCs w:val="20"/>
        </w:rPr>
        <w:t>rom UK Driving School</w:t>
      </w:r>
      <w:r w:rsidRPr="001A7171">
        <w:rPr>
          <w:szCs w:val="20"/>
        </w:rPr>
        <w:t xml:space="preserve">, </w:t>
      </w:r>
      <w:r w:rsidRPr="001A7171">
        <w:rPr>
          <w:smallCaps/>
          <w:szCs w:val="20"/>
        </w:rPr>
        <w:t>BBC News</w:t>
      </w:r>
      <w:r>
        <w:rPr>
          <w:smallCaps/>
          <w:szCs w:val="20"/>
        </w:rPr>
        <w:t xml:space="preserve"> (</w:t>
      </w:r>
      <w:r>
        <w:rPr>
          <w:szCs w:val="20"/>
        </w:rPr>
        <w:t xml:space="preserve">Jan. 6, 2011) </w:t>
      </w:r>
      <w:r>
        <w:rPr>
          <w:i/>
          <w:szCs w:val="20"/>
        </w:rPr>
        <w:t xml:space="preserve">available at </w:t>
      </w:r>
      <w:r w:rsidRPr="001A7171">
        <w:rPr>
          <w:szCs w:val="20"/>
        </w:rPr>
        <w:t>http://news.bbc.co.uk/today/hi/today/newsid_934</w:t>
      </w:r>
      <w:r>
        <w:rPr>
          <w:szCs w:val="20"/>
        </w:rPr>
        <w:t>2000/9342976.stm (last visited June 25, 2014</w:t>
      </w:r>
      <w:r w:rsidRPr="001A7171">
        <w:rPr>
          <w:szCs w:val="20"/>
        </w:rPr>
        <w:t>).</w:t>
      </w:r>
      <w:proofErr w:type="gramEnd"/>
    </w:p>
  </w:footnote>
  <w:footnote w:id="165">
    <w:p w14:paraId="269349A5" w14:textId="77777777" w:rsidR="003D1304" w:rsidRPr="007864F9" w:rsidRDefault="003D1304" w:rsidP="00D413E1">
      <w:pPr>
        <w:pStyle w:val="FootnoteText"/>
      </w:pPr>
      <w:r w:rsidRPr="007864F9">
        <w:rPr>
          <w:rStyle w:val="FootnoteReference"/>
        </w:rPr>
        <w:footnoteRef/>
      </w:r>
      <w:r w:rsidRPr="007864F9">
        <w:t xml:space="preserve"> </w:t>
      </w:r>
      <w:proofErr w:type="spellStart"/>
      <w:r w:rsidRPr="00CA3437">
        <w:rPr>
          <w:i/>
        </w:rPr>
        <w:t>Kayem</w:t>
      </w:r>
      <w:proofErr w:type="spellEnd"/>
      <w:r w:rsidRPr="00CA3437">
        <w:rPr>
          <w:i/>
        </w:rPr>
        <w:t xml:space="preserve"> </w:t>
      </w:r>
      <w:proofErr w:type="spellStart"/>
      <w:r w:rsidRPr="00CA3437">
        <w:rPr>
          <w:i/>
        </w:rPr>
        <w:t>Pharma</w:t>
      </w:r>
      <w:proofErr w:type="spellEnd"/>
      <w:r w:rsidRPr="00CA3437">
        <w:rPr>
          <w:i/>
        </w:rPr>
        <w:t xml:space="preserve"> under fire over supply of lethal injection drug; </w:t>
      </w:r>
      <w:proofErr w:type="spellStart"/>
      <w:r w:rsidRPr="00CA3437">
        <w:rPr>
          <w:i/>
        </w:rPr>
        <w:t>Lundbeck</w:t>
      </w:r>
      <w:proofErr w:type="spellEnd"/>
      <w:r w:rsidRPr="00CA3437">
        <w:rPr>
          <w:i/>
        </w:rPr>
        <w:t xml:space="preserve"> Company of Denmark also caught up in legal tussle</w:t>
      </w:r>
      <w:r>
        <w:t xml:space="preserve"> (June 2, 2011) </w:t>
      </w:r>
      <w:r>
        <w:rPr>
          <w:i/>
        </w:rPr>
        <w:t>available at</w:t>
      </w:r>
      <w:r>
        <w:t xml:space="preserve"> </w:t>
      </w:r>
      <w:r w:rsidRPr="007864F9">
        <w:t>http://deathpenaltynews.blogspot.co.uk/2011/06/kayem-pharma-under-fire-over-supply-of.html</w:t>
      </w:r>
      <w:r>
        <w:t xml:space="preserve"> (last visited June 25, 2014). </w:t>
      </w:r>
    </w:p>
  </w:footnote>
  <w:footnote w:id="166">
    <w:p w14:paraId="7B7D0452" w14:textId="77777777" w:rsidR="003D1304" w:rsidRPr="000876F0" w:rsidRDefault="003D1304" w:rsidP="00D413E1">
      <w:pPr>
        <w:pStyle w:val="FootnoteText"/>
      </w:pPr>
      <w:r>
        <w:rPr>
          <w:rStyle w:val="FootnoteReference"/>
        </w:rPr>
        <w:footnoteRef/>
      </w:r>
      <w:r>
        <w:t xml:space="preserve"> Kathy </w:t>
      </w:r>
      <w:proofErr w:type="spellStart"/>
      <w:r>
        <w:t>Lohr</w:t>
      </w:r>
      <w:proofErr w:type="spellEnd"/>
      <w:r>
        <w:t xml:space="preserve">, </w:t>
      </w:r>
      <w:r w:rsidRPr="000876F0">
        <w:rPr>
          <w:i/>
        </w:rPr>
        <w:t>Where Do Drugs For Lethal Injections Come From? Few Know</w:t>
      </w:r>
      <w:r>
        <w:rPr>
          <w:i/>
        </w:rPr>
        <w:t>,</w:t>
      </w:r>
      <w:r>
        <w:t xml:space="preserve"> NPR (July 30, 2013) </w:t>
      </w:r>
      <w:r>
        <w:rPr>
          <w:i/>
        </w:rPr>
        <w:t xml:space="preserve">available at </w:t>
      </w:r>
      <w:r w:rsidRPr="000876F0">
        <w:t>http://www.npr.org/2013/07/30/207026540/where-do-drugs-for-lethal-injections-come-from-nobody-knows</w:t>
      </w:r>
      <w:r>
        <w:t xml:space="preserve"> (last visited June 25, 2014); Abby </w:t>
      </w:r>
      <w:proofErr w:type="spellStart"/>
      <w:r>
        <w:t>Ohlheiser</w:t>
      </w:r>
      <w:proofErr w:type="spellEnd"/>
      <w:r>
        <w:t xml:space="preserve">, </w:t>
      </w:r>
      <w:r w:rsidRPr="000876F0">
        <w:rPr>
          <w:i/>
        </w:rPr>
        <w:t>Texas Is Running out of Execution Drugs</w:t>
      </w:r>
      <w:r>
        <w:t xml:space="preserve">, </w:t>
      </w:r>
      <w:r w:rsidRPr="000876F0">
        <w:rPr>
          <w:smallCaps/>
        </w:rPr>
        <w:t>The Atlantic Wire</w:t>
      </w:r>
      <w:r>
        <w:t xml:space="preserve"> (Aug. 1, 2013) </w:t>
      </w:r>
      <w:r>
        <w:rPr>
          <w:i/>
        </w:rPr>
        <w:t>available at</w:t>
      </w:r>
      <w:r>
        <w:t xml:space="preserve"> </w:t>
      </w:r>
      <w:r w:rsidRPr="000876F0">
        <w:t>http://www.theatlanticwire.com/national/2013/08/texas-running-out-execution-drugs/67902/</w:t>
      </w:r>
      <w:r>
        <w:t xml:space="preserve"> (last visited June 25, 2014).</w:t>
      </w:r>
    </w:p>
  </w:footnote>
  <w:footnote w:id="167">
    <w:p w14:paraId="061BC5A3" w14:textId="77777777" w:rsidR="003D1304" w:rsidRPr="001A7171" w:rsidRDefault="003D1304" w:rsidP="00D413E1">
      <w:pPr>
        <w:pStyle w:val="FootnoteText"/>
        <w:rPr>
          <w:szCs w:val="20"/>
        </w:rPr>
      </w:pPr>
      <w:r w:rsidRPr="000876F0">
        <w:rPr>
          <w:szCs w:val="20"/>
          <w:vertAlign w:val="superscript"/>
        </w:rPr>
        <w:footnoteRef/>
      </w:r>
      <w:r w:rsidRPr="001A7171">
        <w:rPr>
          <w:szCs w:val="20"/>
        </w:rPr>
        <w:t xml:space="preserve"> Ed Pilkington, </w:t>
      </w:r>
      <w:r w:rsidRPr="001A7171">
        <w:rPr>
          <w:i/>
          <w:szCs w:val="20"/>
        </w:rPr>
        <w:t>Georgia Scrambles For Fresh Supply of Drugs to Execute Death Row Inmate</w:t>
      </w:r>
      <w:r w:rsidRPr="001A7171">
        <w:rPr>
          <w:szCs w:val="20"/>
        </w:rPr>
        <w:t xml:space="preserve">, </w:t>
      </w:r>
      <w:r w:rsidRPr="001A7171">
        <w:rPr>
          <w:smallCaps/>
          <w:szCs w:val="20"/>
        </w:rPr>
        <w:t>The Guardian</w:t>
      </w:r>
      <w:r w:rsidRPr="001A7171">
        <w:rPr>
          <w:szCs w:val="20"/>
        </w:rPr>
        <w:t xml:space="preserve">, </w:t>
      </w:r>
      <w:r>
        <w:rPr>
          <w:szCs w:val="20"/>
        </w:rPr>
        <w:t>(</w:t>
      </w:r>
      <w:r w:rsidRPr="001A7171">
        <w:rPr>
          <w:szCs w:val="20"/>
        </w:rPr>
        <w:t>July 12, 2013</w:t>
      </w:r>
      <w:r>
        <w:rPr>
          <w:szCs w:val="20"/>
        </w:rPr>
        <w:t>)</w:t>
      </w:r>
      <w:r w:rsidRPr="001A7171">
        <w:rPr>
          <w:szCs w:val="20"/>
        </w:rPr>
        <w:t xml:space="preserve"> </w:t>
      </w:r>
      <w:r>
        <w:rPr>
          <w:i/>
          <w:szCs w:val="20"/>
        </w:rPr>
        <w:t xml:space="preserve">available at </w:t>
      </w:r>
      <w:r w:rsidRPr="001A7171">
        <w:rPr>
          <w:szCs w:val="20"/>
        </w:rPr>
        <w:t>http://www.guardian.co.uk/world/2013/jul/12/georgia-drugs-execute-dea</w:t>
      </w:r>
      <w:r>
        <w:rPr>
          <w:szCs w:val="20"/>
        </w:rPr>
        <w:t>th-row-inmate (last visited June 25, 2014</w:t>
      </w:r>
      <w:r w:rsidRPr="001A7171">
        <w:rPr>
          <w:szCs w:val="20"/>
        </w:rPr>
        <w:t>).</w:t>
      </w:r>
    </w:p>
  </w:footnote>
  <w:footnote w:id="168">
    <w:p w14:paraId="7279BDD4" w14:textId="77777777" w:rsidR="003D1304" w:rsidRDefault="003D1304" w:rsidP="00D413E1">
      <w:pPr>
        <w:pStyle w:val="FootnoteText"/>
      </w:pPr>
      <w:r>
        <w:rPr>
          <w:rStyle w:val="FootnoteReference"/>
        </w:rPr>
        <w:footnoteRef/>
      </w:r>
      <w:r>
        <w:t xml:space="preserve"> Abby </w:t>
      </w:r>
      <w:proofErr w:type="spellStart"/>
      <w:r>
        <w:t>Ohlheiser</w:t>
      </w:r>
      <w:proofErr w:type="spellEnd"/>
      <w:r>
        <w:t xml:space="preserve">, </w:t>
      </w:r>
      <w:r w:rsidRPr="000876F0">
        <w:rPr>
          <w:i/>
        </w:rPr>
        <w:t>Texas Is Running out of Execution Drugs</w:t>
      </w:r>
      <w:r>
        <w:t xml:space="preserve">, </w:t>
      </w:r>
      <w:r w:rsidRPr="000876F0">
        <w:rPr>
          <w:smallCaps/>
        </w:rPr>
        <w:t>The Atlantic Wire</w:t>
      </w:r>
      <w:r>
        <w:t xml:space="preserve"> (Aug. 1, 2013) </w:t>
      </w:r>
      <w:r>
        <w:rPr>
          <w:i/>
        </w:rPr>
        <w:t>available at</w:t>
      </w:r>
      <w:r>
        <w:t xml:space="preserve"> </w:t>
      </w:r>
      <w:r w:rsidRPr="000876F0">
        <w:t>http://www.theatlanticwire.com/national/2013/08/texas-running-out-execution-drugs/67902/</w:t>
      </w:r>
      <w:r>
        <w:t xml:space="preserve"> (last visited June 25, 2014). </w:t>
      </w:r>
      <w:r>
        <w:rPr>
          <w:i/>
        </w:rPr>
        <w:t>Tennessee Plans Executions in Secret</w:t>
      </w:r>
      <w:r>
        <w:t xml:space="preserve">, </w:t>
      </w:r>
      <w:r>
        <w:rPr>
          <w:smallCaps/>
        </w:rPr>
        <w:t xml:space="preserve">The Tennessean </w:t>
      </w:r>
      <w:r>
        <w:t xml:space="preserve">(Mar. 23, 2013), </w:t>
      </w:r>
      <w:r>
        <w:rPr>
          <w:i/>
        </w:rPr>
        <w:t>available at</w:t>
      </w:r>
      <w:r w:rsidRPr="00CB6955">
        <w:rPr>
          <w:highlight w:val="yellow"/>
        </w:rPr>
        <w:t xml:space="preserve"> </w:t>
      </w:r>
      <w:r w:rsidRPr="003546EA">
        <w:t>http://www.tennessean.com/story/news/crime/2014/03/23/tennessee-plans-executions-secret/6765403/</w:t>
      </w:r>
      <w:r>
        <w:t xml:space="preserve"> (last visited June 25, 2014); </w:t>
      </w:r>
      <w:r>
        <w:rPr>
          <w:i/>
        </w:rPr>
        <w:t>Secrecy Surrounds Execution Drugs in Most States</w:t>
      </w:r>
      <w:r>
        <w:t xml:space="preserve">, </w:t>
      </w:r>
      <w:r>
        <w:rPr>
          <w:smallCaps/>
        </w:rPr>
        <w:t>The Associated Press</w:t>
      </w:r>
      <w:r w:rsidRPr="003546EA">
        <w:t xml:space="preserve"> </w:t>
      </w:r>
      <w:r>
        <w:t xml:space="preserve">(Apr. 5, 2014) </w:t>
      </w:r>
      <w:r>
        <w:rPr>
          <w:i/>
        </w:rPr>
        <w:t xml:space="preserve">available at </w:t>
      </w:r>
      <w:r w:rsidRPr="00705E0D">
        <w:t>http://bigstory.ap.org/article/secrecy-surrounds-execution-drugs-most-states</w:t>
      </w:r>
      <w:r>
        <w:t xml:space="preserve"> (last visited June 25, 2014). </w:t>
      </w:r>
    </w:p>
  </w:footnote>
  <w:footnote w:id="169">
    <w:p w14:paraId="43745006" w14:textId="77777777" w:rsidR="003D1304" w:rsidRDefault="003D1304" w:rsidP="00D413E1">
      <w:pPr>
        <w:pStyle w:val="FootnoteText"/>
      </w:pPr>
      <w:r>
        <w:rPr>
          <w:rStyle w:val="FootnoteReference"/>
        </w:rPr>
        <w:footnoteRef/>
      </w:r>
      <w:r>
        <w:t xml:space="preserve"> </w:t>
      </w:r>
      <w:proofErr w:type="gramStart"/>
      <w:r w:rsidRPr="003546EA">
        <w:rPr>
          <w:i/>
        </w:rPr>
        <w:t>Execution Secrecy Laws Struck Down in Oklahoma and Texas</w:t>
      </w:r>
      <w:r w:rsidRPr="003546EA">
        <w:t xml:space="preserve">, </w:t>
      </w:r>
      <w:r w:rsidRPr="003546EA">
        <w:rPr>
          <w:smallCaps/>
        </w:rPr>
        <w:t>Equal Justice Initiative</w:t>
      </w:r>
      <w:r w:rsidRPr="003546EA">
        <w:t xml:space="preserve"> (</w:t>
      </w:r>
      <w:r>
        <w:t>Mar. 28, 2014)</w:t>
      </w:r>
      <w:r w:rsidRPr="003546EA">
        <w:t xml:space="preserve"> </w:t>
      </w:r>
      <w:r w:rsidRPr="003546EA">
        <w:rPr>
          <w:i/>
        </w:rPr>
        <w:t>available at</w:t>
      </w:r>
      <w:r>
        <w:rPr>
          <w:i/>
        </w:rPr>
        <w:t xml:space="preserve"> </w:t>
      </w:r>
      <w:r w:rsidRPr="00705E0D">
        <w:t>http://www.eji.org/node/890</w:t>
      </w:r>
      <w:r>
        <w:t xml:space="preserve"> (last visited June 25, 2014).</w:t>
      </w:r>
      <w:proofErr w:type="gramEnd"/>
      <w:r>
        <w:t xml:space="preserve"> </w:t>
      </w:r>
    </w:p>
  </w:footnote>
  <w:footnote w:id="170">
    <w:p w14:paraId="602EC022" w14:textId="41C3AD03" w:rsidR="003D1304" w:rsidRDefault="003D1304" w:rsidP="00D413E1">
      <w:pPr>
        <w:pStyle w:val="FootnoteText"/>
      </w:pPr>
      <w:r>
        <w:rPr>
          <w:rStyle w:val="FootnoteReference"/>
        </w:rPr>
        <w:footnoteRef/>
      </w:r>
      <w:r>
        <w:t xml:space="preserve"> </w:t>
      </w:r>
      <w:proofErr w:type="gramStart"/>
      <w:r w:rsidR="00610353">
        <w:t>Ibid.</w:t>
      </w:r>
      <w:proofErr w:type="gramEnd"/>
      <w:r w:rsidR="00610353">
        <w:t xml:space="preserve"> </w:t>
      </w:r>
    </w:p>
  </w:footnote>
  <w:footnote w:id="171">
    <w:p w14:paraId="7C8DBCE7" w14:textId="77777777" w:rsidR="003D1304" w:rsidRDefault="003D1304" w:rsidP="00D413E1">
      <w:pPr>
        <w:pStyle w:val="FootnoteText"/>
      </w:pPr>
      <w:r>
        <w:rPr>
          <w:rStyle w:val="FootnoteReference"/>
        </w:rPr>
        <w:footnoteRef/>
      </w:r>
      <w:r>
        <w:t xml:space="preserve"> </w:t>
      </w:r>
      <w:r>
        <w:rPr>
          <w:i/>
        </w:rPr>
        <w:t xml:space="preserve">Tennessee Brings Back Electric Chair </w:t>
      </w:r>
      <w:proofErr w:type="gramStart"/>
      <w:r>
        <w:rPr>
          <w:i/>
        </w:rPr>
        <w:t>During</w:t>
      </w:r>
      <w:proofErr w:type="gramEnd"/>
      <w:r>
        <w:rPr>
          <w:i/>
        </w:rPr>
        <w:t xml:space="preserve"> Lethal Injection Drug Scarcity</w:t>
      </w:r>
      <w:r>
        <w:t xml:space="preserve">, </w:t>
      </w:r>
      <w:r>
        <w:rPr>
          <w:smallCaps/>
          <w:szCs w:val="20"/>
        </w:rPr>
        <w:t xml:space="preserve">Fox News </w:t>
      </w:r>
      <w:r>
        <w:t xml:space="preserve">(May 23, 2014) </w:t>
      </w:r>
      <w:r>
        <w:rPr>
          <w:i/>
        </w:rPr>
        <w:t>available at</w:t>
      </w:r>
      <w:r w:rsidRPr="005D0A96">
        <w:t xml:space="preserve"> http://www.foxnews.com/politics/2014/05/23/tenn-brings-back-electric-chair/</w:t>
      </w:r>
      <w:r>
        <w:t xml:space="preserve"> (last visited June 25, 2014). </w:t>
      </w:r>
    </w:p>
  </w:footnote>
  <w:footnote w:id="172">
    <w:p w14:paraId="6494E0FA" w14:textId="77777777" w:rsidR="003D1304" w:rsidRDefault="003D1304" w:rsidP="00D413E1">
      <w:pPr>
        <w:pStyle w:val="FootnoteText"/>
      </w:pPr>
      <w:r>
        <w:rPr>
          <w:rStyle w:val="FootnoteReference"/>
        </w:rPr>
        <w:footnoteRef/>
      </w:r>
      <w:r>
        <w:t xml:space="preserve"> </w:t>
      </w:r>
      <w:proofErr w:type="gramStart"/>
      <w:r>
        <w:t xml:space="preserve">Adam </w:t>
      </w:r>
      <w:proofErr w:type="spellStart"/>
      <w:r>
        <w:t>Liptak</w:t>
      </w:r>
      <w:proofErr w:type="spellEnd"/>
      <w:r>
        <w:t xml:space="preserve">, </w:t>
      </w:r>
      <w:r>
        <w:rPr>
          <w:i/>
        </w:rPr>
        <w:t>Electrocution Is Banned in Last State to Rely on It</w:t>
      </w:r>
      <w:r>
        <w:t xml:space="preserve">, </w:t>
      </w:r>
      <w:r>
        <w:rPr>
          <w:smallCaps/>
          <w:szCs w:val="20"/>
        </w:rPr>
        <w:t>N.Y. Times</w:t>
      </w:r>
      <w:r>
        <w:t xml:space="preserve"> (Feb. 9, 2008) </w:t>
      </w:r>
      <w:r>
        <w:rPr>
          <w:i/>
        </w:rPr>
        <w:t>available at</w:t>
      </w:r>
      <w:r>
        <w:t xml:space="preserve"> </w:t>
      </w:r>
      <w:r w:rsidRPr="00705E0D">
        <w:t>http://www.nytimes.com/2008/02/09/us/09penalty.html?_r=0</w:t>
      </w:r>
      <w:r>
        <w:t xml:space="preserve"> (last visited June 25, 2014).</w:t>
      </w:r>
      <w:proofErr w:type="gramEnd"/>
      <w:r>
        <w:t xml:space="preserve"> </w:t>
      </w:r>
    </w:p>
  </w:footnote>
  <w:footnote w:id="173">
    <w:p w14:paraId="031D98FB" w14:textId="7777777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See Cook et al., v. Food and Drug Administration et al., case number 12-5176, U.S. Court of Appeals for the D.C. Circuit.</w:t>
      </w:r>
    </w:p>
  </w:footnote>
  <w:footnote w:id="174">
    <w:p w14:paraId="2182745B" w14:textId="77777777" w:rsidR="003D1304" w:rsidRPr="00990651" w:rsidRDefault="003D1304" w:rsidP="00F3460E">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21 U.S.C. § 381(a)(1)-(4) states:</w:t>
      </w:r>
    </w:p>
    <w:p w14:paraId="24B6901E" w14:textId="77777777" w:rsidR="003D1304" w:rsidRPr="00990651" w:rsidRDefault="003D1304" w:rsidP="00F3460E">
      <w:pPr>
        <w:pStyle w:val="FootnoteText"/>
        <w:ind w:left="360" w:right="360"/>
        <w:jc w:val="both"/>
        <w:rPr>
          <w:color w:val="000000" w:themeColor="text1"/>
          <w:szCs w:val="20"/>
        </w:rPr>
      </w:pPr>
      <w:r w:rsidRPr="00990651">
        <w:rPr>
          <w:color w:val="000000" w:themeColor="text1"/>
          <w:szCs w:val="20"/>
        </w:rPr>
        <w:t>(1) such article has been manufactured, processed, or packed under insanitary conditions or, in the case of a device, the methods used in, or the facilities or controls used for, the manufacture, packing, storage, or installation of the device do not conform to the requirements of section 360j (f) of this title, or</w:t>
      </w:r>
    </w:p>
    <w:p w14:paraId="0AC39D34" w14:textId="77777777" w:rsidR="003D1304" w:rsidRPr="00990651" w:rsidRDefault="003D1304" w:rsidP="00F3460E">
      <w:pPr>
        <w:pStyle w:val="FootnoteText"/>
        <w:ind w:left="360" w:right="360"/>
        <w:jc w:val="both"/>
        <w:rPr>
          <w:color w:val="000000" w:themeColor="text1"/>
          <w:szCs w:val="20"/>
        </w:rPr>
      </w:pPr>
      <w:r w:rsidRPr="00990651">
        <w:rPr>
          <w:color w:val="000000" w:themeColor="text1"/>
          <w:szCs w:val="20"/>
        </w:rPr>
        <w:t>(2) such article is forbidden or restricted in sale in the country in which it was produced or from which it was exported, or</w:t>
      </w:r>
    </w:p>
    <w:p w14:paraId="0D728040" w14:textId="77777777" w:rsidR="003D1304" w:rsidRPr="00990651" w:rsidRDefault="003D1304" w:rsidP="00F3460E">
      <w:pPr>
        <w:pStyle w:val="FootnoteText"/>
        <w:ind w:left="360" w:right="360"/>
        <w:jc w:val="both"/>
        <w:rPr>
          <w:color w:val="000000" w:themeColor="text1"/>
          <w:szCs w:val="20"/>
        </w:rPr>
      </w:pPr>
      <w:r w:rsidRPr="00990651">
        <w:rPr>
          <w:color w:val="000000" w:themeColor="text1"/>
          <w:szCs w:val="20"/>
        </w:rPr>
        <w:t>(3) such article is adulterated, misbranded, or in violation of section 355 of this title or the importer (as defined in section 384a of this title) is in violation of such section 384a of this title, or prohibited from introduction or delivery for introduction into interstate commerce under section 331 (</w:t>
      </w:r>
      <w:proofErr w:type="spellStart"/>
      <w:r w:rsidRPr="00990651">
        <w:rPr>
          <w:color w:val="000000" w:themeColor="text1"/>
          <w:szCs w:val="20"/>
        </w:rPr>
        <w:t>ll</w:t>
      </w:r>
      <w:proofErr w:type="spellEnd"/>
      <w:r w:rsidRPr="00990651">
        <w:rPr>
          <w:color w:val="000000" w:themeColor="text1"/>
          <w:szCs w:val="20"/>
        </w:rPr>
        <w:t>) of this title, or</w:t>
      </w:r>
    </w:p>
    <w:p w14:paraId="7CAEDF1A" w14:textId="07BCE216" w:rsidR="003D1304" w:rsidRPr="00990651" w:rsidRDefault="003D1304" w:rsidP="00F3460E">
      <w:pPr>
        <w:pStyle w:val="FootnoteText"/>
        <w:ind w:left="360" w:right="360"/>
        <w:jc w:val="both"/>
        <w:rPr>
          <w:color w:val="000000" w:themeColor="text1"/>
          <w:szCs w:val="20"/>
        </w:rPr>
      </w:pPr>
      <w:r w:rsidRPr="00990651">
        <w:rPr>
          <w:color w:val="000000" w:themeColor="text1"/>
          <w:szCs w:val="20"/>
        </w:rPr>
        <w:t xml:space="preserve">(4) the recordkeeping requirements under section 2223 of this title (other than the requirements under subsection (f) of such section) have not been complied with regarding such article, then such article shall be refused admission, except as provided in subsection (b) of this section. With respect to an article of food, if importation of such food is subject to, but not compliant with, the requirement under subsection (q) that such food be accompanied by a certification or other assurance that the food meets applicable requirements of this chapter, then such article shall be refused admission. If such article is subject to a requirement under section 379aa or 379aa–1 of this title and if the Secretary has credible evidence or information indicating that the responsible person (as defined in such section 379aa or 379aa–1 of this title) has not complied with a requirement of such section 379aa or 379aa–1 of this title with respect to any such article, or has not allowed access to records described in such section 379aa or 379aa–1 of this title, then such article shall be refused admission, except as provided in subsection (b) of this section. The Secretary of the Treasury shall cause the destruction of any such article refused admission unless such article is exported, under regulations prescribed by the Secretary of the Treasury, within ninety days of the date of notice of such refusal or within such additional time as may be permitted pursuant to such regulations, except that the Secretary of Health and Human Services may destroy, without the opportunity for export, any drug refused admission under this section, if such drug is valued at an amount that is $2,500 or less (or such higher amount as the Secretary of the Treasury may set by regulation pursuant to section 1498 (a)(1) of title 19) and was not brought into compliance as described under subsection (b).. [1] The Secretary of Health and Human Services shall issue regulations providing for notice and an opportunity to appear before the Secretary of Health and Human Services and introduce testimony, as described in the first sentence of this subsection, on destruction of a drug under the sixth sentence of this subsection. The regulations shall provide that prior to </w:t>
      </w:r>
      <w:proofErr w:type="gramStart"/>
      <w:r w:rsidRPr="00990651">
        <w:rPr>
          <w:color w:val="000000" w:themeColor="text1"/>
          <w:szCs w:val="20"/>
        </w:rPr>
        <w:t>destruction,</w:t>
      </w:r>
      <w:proofErr w:type="gramEnd"/>
      <w:r w:rsidRPr="00990651">
        <w:rPr>
          <w:color w:val="000000" w:themeColor="text1"/>
          <w:szCs w:val="20"/>
        </w:rPr>
        <w:t xml:space="preserve"> appropriate due process is available to the owner or consignee seeking to challenge the decision to destroy the drug. Where the Secretary of Health and Human Services provides notice and an opportunity to appear and introduce testimony on the destruction of a drug, the Secretary of Health and Human Services shall store and, as applicable, dispose of the drug after the issuance of the notice, except that the owner and consignee shall remain liable for costs pursuant to subsection (c). Such process may be combined with the notice and opportunity to appear before the Secretary and introduce testimony, as described in the first sentence of this subsection, as long as appropriate notice is provided to the owner or consignee. Clause (2) of the third sentence of this paragraph [2] shall not be construed to prohibit the admission of narcotic drugs the importation of which is permitted under the Controlled Substances Import and Export Act </w:t>
      </w:r>
      <w:proofErr w:type="gramStart"/>
      <w:r w:rsidRPr="00990651">
        <w:rPr>
          <w:color w:val="000000" w:themeColor="text1"/>
          <w:szCs w:val="20"/>
        </w:rPr>
        <w:t>[21 U.S.C. 951 et seq.]</w:t>
      </w:r>
      <w:proofErr w:type="gramEnd"/>
      <w:r w:rsidRPr="00990651">
        <w:rPr>
          <w:color w:val="000000" w:themeColor="text1"/>
          <w:szCs w:val="20"/>
        </w:rPr>
        <w:t>.</w:t>
      </w:r>
    </w:p>
  </w:footnote>
  <w:footnote w:id="175">
    <w:p w14:paraId="1406ECFA" w14:textId="1DEE5B77"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 xml:space="preserve">See </w:t>
      </w:r>
      <w:r w:rsidRPr="00990651">
        <w:rPr>
          <w:color w:val="000000" w:themeColor="text1"/>
          <w:szCs w:val="20"/>
        </w:rPr>
        <w:t xml:space="preserve">Act of Apr. 26, 1929, No. 42, § 1, 1929 P.R. Laws 232 (“The death penalty is hereby definitively abolished in Porto Rico.”) </w:t>
      </w:r>
      <w:r w:rsidRPr="00990651">
        <w:rPr>
          <w:i/>
          <w:color w:val="000000" w:themeColor="text1"/>
          <w:szCs w:val="20"/>
        </w:rPr>
        <w:t>See also</w:t>
      </w:r>
      <w:r w:rsidRPr="00990651">
        <w:rPr>
          <w:color w:val="000000" w:themeColor="text1"/>
          <w:szCs w:val="20"/>
        </w:rPr>
        <w:t xml:space="preserve"> Elizabeth </w:t>
      </w:r>
      <w:proofErr w:type="spellStart"/>
      <w:r w:rsidRPr="00990651">
        <w:rPr>
          <w:color w:val="000000" w:themeColor="text1"/>
          <w:szCs w:val="20"/>
        </w:rPr>
        <w:t>Vicens</w:t>
      </w:r>
      <w:proofErr w:type="spellEnd"/>
      <w:r w:rsidRPr="00990651">
        <w:rPr>
          <w:color w:val="000000" w:themeColor="text1"/>
          <w:szCs w:val="20"/>
        </w:rPr>
        <w:t xml:space="preserve">, </w:t>
      </w:r>
      <w:r w:rsidRPr="00990651">
        <w:rPr>
          <w:i/>
          <w:color w:val="000000" w:themeColor="text1"/>
          <w:szCs w:val="20"/>
        </w:rPr>
        <w:t>Application of the Federal Death Penalty Act in Puerto Rico: A New test for the Locally Inapplicable Standard</w:t>
      </w:r>
      <w:r w:rsidRPr="00990651">
        <w:rPr>
          <w:color w:val="000000" w:themeColor="text1"/>
          <w:szCs w:val="20"/>
        </w:rPr>
        <w:t xml:space="preserve">, 80 </w:t>
      </w:r>
      <w:r w:rsidRPr="00990651">
        <w:rPr>
          <w:smallCaps/>
          <w:color w:val="000000" w:themeColor="text1"/>
          <w:szCs w:val="20"/>
        </w:rPr>
        <w:t>N.Y.U. L. Rev.</w:t>
      </w:r>
      <w:r w:rsidRPr="00990651">
        <w:rPr>
          <w:color w:val="000000" w:themeColor="text1"/>
          <w:szCs w:val="20"/>
        </w:rPr>
        <w:t xml:space="preserve"> 350 (2005).</w:t>
      </w:r>
    </w:p>
  </w:footnote>
  <w:footnote w:id="176">
    <w:p w14:paraId="68BDE445" w14:textId="77777777"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smallCaps/>
          <w:color w:val="000000" w:themeColor="text1"/>
          <w:szCs w:val="20"/>
        </w:rPr>
        <w:t>P.R. Const.</w:t>
      </w:r>
      <w:r w:rsidRPr="00990651">
        <w:rPr>
          <w:color w:val="000000" w:themeColor="text1"/>
          <w:szCs w:val="20"/>
        </w:rPr>
        <w:t xml:space="preserve"> art.</w:t>
      </w:r>
      <w:proofErr w:type="gramEnd"/>
      <w:r w:rsidRPr="00990651">
        <w:rPr>
          <w:color w:val="000000" w:themeColor="text1"/>
          <w:szCs w:val="20"/>
        </w:rPr>
        <w:t xml:space="preserve"> </w:t>
      </w:r>
      <w:proofErr w:type="gramStart"/>
      <w:r w:rsidRPr="00990651">
        <w:rPr>
          <w:color w:val="000000" w:themeColor="text1"/>
          <w:szCs w:val="20"/>
        </w:rPr>
        <w:t xml:space="preserve">II, </w:t>
      </w:r>
      <w:proofErr w:type="spellStart"/>
      <w:r w:rsidRPr="00990651">
        <w:rPr>
          <w:color w:val="000000" w:themeColor="text1"/>
          <w:szCs w:val="20"/>
        </w:rPr>
        <w:t>ss</w:t>
      </w:r>
      <w:proofErr w:type="spellEnd"/>
      <w:r w:rsidRPr="00990651">
        <w:rPr>
          <w:color w:val="000000" w:themeColor="text1"/>
          <w:szCs w:val="20"/>
        </w:rPr>
        <w:t xml:space="preserve"> 7.</w:t>
      </w:r>
      <w:proofErr w:type="gramEnd"/>
    </w:p>
  </w:footnote>
  <w:footnote w:id="177">
    <w:p w14:paraId="57EB26C6" w14:textId="77777777" w:rsidR="003D1304" w:rsidRPr="00990651" w:rsidRDefault="003D1304" w:rsidP="00AE219D">
      <w:pPr>
        <w:pStyle w:val="FootnoteText"/>
        <w:rPr>
          <w:i/>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smallCaps/>
          <w:color w:val="000000" w:themeColor="text1"/>
          <w:szCs w:val="20"/>
        </w:rPr>
        <w:t>Amnesty International,</w:t>
      </w:r>
      <w:r w:rsidRPr="00990651">
        <w:rPr>
          <w:i/>
          <w:color w:val="000000" w:themeColor="text1"/>
          <w:szCs w:val="20"/>
        </w:rPr>
        <w:t xml:space="preserve"> Constitutional prohibitions of the death penalty </w:t>
      </w:r>
      <w:r w:rsidRPr="00990651">
        <w:rPr>
          <w:color w:val="000000" w:themeColor="text1"/>
          <w:szCs w:val="20"/>
        </w:rPr>
        <w:t xml:space="preserve">(Apr. 2005), AI Index: ACT 50/009/2005, </w:t>
      </w:r>
      <w:r w:rsidRPr="00990651">
        <w:rPr>
          <w:i/>
          <w:color w:val="000000" w:themeColor="text1"/>
          <w:szCs w:val="20"/>
        </w:rPr>
        <w:t xml:space="preserve">available at </w:t>
      </w:r>
      <w:hyperlink r:id="rId1" w:history="1">
        <w:r w:rsidRPr="00990651">
          <w:rPr>
            <w:rStyle w:val="Hyperlink"/>
            <w:color w:val="000000" w:themeColor="text1"/>
            <w:szCs w:val="20"/>
            <w:u w:val="none"/>
          </w:rPr>
          <w:t>http://www.amnesty.org/en/library/asset/ACT50/009/2005/en/ d8cfacd2-d50e-11dd-8a23-d58a49c0d652/act500092005en.pdf</w:t>
        </w:r>
      </w:hyperlink>
      <w:r w:rsidRPr="00990651">
        <w:rPr>
          <w:color w:val="000000" w:themeColor="text1"/>
          <w:szCs w:val="20"/>
        </w:rPr>
        <w:t xml:space="preserve"> </w:t>
      </w:r>
    </w:p>
  </w:footnote>
  <w:footnote w:id="178">
    <w:p w14:paraId="733B4F7F" w14:textId="77777777" w:rsidR="003D1304" w:rsidRPr="00990651" w:rsidRDefault="003D1304" w:rsidP="00AE219D">
      <w:pPr>
        <w:pStyle w:val="FootnoteText"/>
        <w:rPr>
          <w:color w:val="000000" w:themeColor="text1"/>
          <w:szCs w:val="20"/>
          <w:lang w:val="es-ES"/>
        </w:rPr>
      </w:pPr>
      <w:r w:rsidRPr="00990651">
        <w:rPr>
          <w:rStyle w:val="FootnoteReference"/>
          <w:color w:val="000000" w:themeColor="text1"/>
          <w:szCs w:val="20"/>
        </w:rPr>
        <w:footnoteRef/>
      </w:r>
      <w:r w:rsidRPr="00990651">
        <w:rPr>
          <w:i/>
          <w:color w:val="000000" w:themeColor="text1"/>
          <w:szCs w:val="20"/>
          <w:lang w:val="es-ES"/>
        </w:rPr>
        <w:t xml:space="preserve"> Fuerte rechazo a la pena de muerte</w:t>
      </w:r>
      <w:r w:rsidRPr="00990651">
        <w:rPr>
          <w:color w:val="000000" w:themeColor="text1"/>
          <w:szCs w:val="20"/>
          <w:lang w:val="es-ES"/>
        </w:rPr>
        <w:t xml:space="preserve">, </w:t>
      </w:r>
      <w:r w:rsidRPr="00990651">
        <w:rPr>
          <w:smallCaps/>
          <w:color w:val="000000" w:themeColor="text1"/>
          <w:szCs w:val="20"/>
          <w:lang w:val="es-ES"/>
        </w:rPr>
        <w:t>El Nuevo Día</w:t>
      </w:r>
      <w:r w:rsidRPr="00990651">
        <w:rPr>
          <w:color w:val="000000" w:themeColor="text1"/>
          <w:szCs w:val="20"/>
          <w:lang w:val="es-ES"/>
        </w:rPr>
        <w:t xml:space="preserve"> (</w:t>
      </w:r>
      <w:proofErr w:type="spellStart"/>
      <w:r w:rsidRPr="00990651">
        <w:rPr>
          <w:color w:val="000000" w:themeColor="text1"/>
          <w:szCs w:val="20"/>
          <w:lang w:val="es-ES"/>
        </w:rPr>
        <w:t>April</w:t>
      </w:r>
      <w:proofErr w:type="spellEnd"/>
      <w:r w:rsidRPr="00990651">
        <w:rPr>
          <w:color w:val="000000" w:themeColor="text1"/>
          <w:szCs w:val="20"/>
          <w:lang w:val="es-ES"/>
        </w:rPr>
        <w:t xml:space="preserve"> 10, 2013).</w:t>
      </w:r>
    </w:p>
  </w:footnote>
  <w:footnote w:id="179">
    <w:p w14:paraId="4565A59C" w14:textId="77777777"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i/>
          <w:color w:val="000000" w:themeColor="text1"/>
          <w:szCs w:val="20"/>
        </w:rPr>
        <w:t>U.S.</w:t>
      </w:r>
      <w:r w:rsidRPr="00990651">
        <w:rPr>
          <w:color w:val="000000" w:themeColor="text1"/>
          <w:szCs w:val="20"/>
        </w:rPr>
        <w:t xml:space="preserve"> v. </w:t>
      </w:r>
      <w:r w:rsidRPr="00990651">
        <w:rPr>
          <w:i/>
          <w:color w:val="000000" w:themeColor="text1"/>
          <w:szCs w:val="20"/>
        </w:rPr>
        <w:t>Martinez</w:t>
      </w:r>
      <w:r w:rsidRPr="00990651">
        <w:rPr>
          <w:color w:val="000000" w:themeColor="text1"/>
          <w:szCs w:val="20"/>
        </w:rPr>
        <w:t>, 252 F.3d 13 (1st Cir. 2002).</w:t>
      </w:r>
      <w:proofErr w:type="gramEnd"/>
    </w:p>
  </w:footnote>
  <w:footnote w:id="180">
    <w:p w14:paraId="678F2FDB" w14:textId="3E375D4E"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 xml:space="preserve">See </w:t>
      </w:r>
      <w:r w:rsidRPr="00990651">
        <w:rPr>
          <w:color w:val="000000" w:themeColor="text1"/>
          <w:szCs w:val="20"/>
        </w:rPr>
        <w:t>Pub. L. 103-322, Title VI, Sections 60001-26 (Sept. 13, 1994), 108 Stat.</w:t>
      </w:r>
      <w:r w:rsidR="00610353">
        <w:rPr>
          <w:color w:val="000000" w:themeColor="text1"/>
          <w:szCs w:val="20"/>
        </w:rPr>
        <w:t xml:space="preserve"> 1959 (codified at 18 U.S.C. §§ 3591–</w:t>
      </w:r>
      <w:r w:rsidRPr="00990651">
        <w:rPr>
          <w:color w:val="000000" w:themeColor="text1"/>
          <w:szCs w:val="20"/>
        </w:rPr>
        <w:t>3598).</w:t>
      </w:r>
    </w:p>
  </w:footnote>
  <w:footnote w:id="181">
    <w:p w14:paraId="7B2BCAC2" w14:textId="34838C8C"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00610353">
        <w:rPr>
          <w:color w:val="000000" w:themeColor="text1"/>
          <w:szCs w:val="20"/>
        </w:rPr>
        <w:t>Ibid.</w:t>
      </w:r>
    </w:p>
  </w:footnote>
  <w:footnote w:id="182">
    <w:p w14:paraId="5A0E6B63" w14:textId="77777777"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smallCaps/>
          <w:color w:val="000000" w:themeColor="text1"/>
          <w:szCs w:val="20"/>
        </w:rPr>
        <w:t xml:space="preserve"> </w:t>
      </w:r>
      <w:proofErr w:type="gramStart"/>
      <w:r w:rsidRPr="00990651">
        <w:rPr>
          <w:smallCaps/>
          <w:color w:val="000000" w:themeColor="text1"/>
          <w:szCs w:val="20"/>
        </w:rPr>
        <w:t>Federal Death Penalty Resource Counsel,</w:t>
      </w:r>
      <w:r w:rsidRPr="00990651">
        <w:rPr>
          <w:color w:val="000000" w:themeColor="text1"/>
          <w:szCs w:val="20"/>
        </w:rPr>
        <w:t xml:space="preserve"> </w:t>
      </w:r>
      <w:r w:rsidRPr="00990651">
        <w:rPr>
          <w:i/>
          <w:color w:val="000000" w:themeColor="text1"/>
          <w:szCs w:val="20"/>
        </w:rPr>
        <w:t>Federal Death Penalty</w:t>
      </w:r>
      <w:r w:rsidRPr="00990651">
        <w:rPr>
          <w:color w:val="000000" w:themeColor="text1"/>
          <w:szCs w:val="20"/>
        </w:rPr>
        <w:t xml:space="preserve"> (May 14, 2014), </w:t>
      </w:r>
      <w:r w:rsidRPr="00990651">
        <w:rPr>
          <w:i/>
          <w:color w:val="000000" w:themeColor="text1"/>
          <w:szCs w:val="20"/>
        </w:rPr>
        <w:t xml:space="preserve">available at </w:t>
      </w:r>
      <w:hyperlink r:id="rId2" w:history="1">
        <w:r w:rsidRPr="00990651">
          <w:rPr>
            <w:rStyle w:val="Hyperlink"/>
            <w:color w:val="000000" w:themeColor="text1"/>
            <w:szCs w:val="20"/>
            <w:u w:val="none"/>
          </w:rPr>
          <w:t>https://www.capdefnet.org/FDPRC/pubmenu.aspx?menu_id=94&amp;id=2094</w:t>
        </w:r>
      </w:hyperlink>
      <w:r w:rsidRPr="00990651">
        <w:rPr>
          <w:color w:val="000000" w:themeColor="text1"/>
          <w:szCs w:val="20"/>
        </w:rPr>
        <w:t xml:space="preserve"> (last visited July 6, 2014).</w:t>
      </w:r>
      <w:proofErr w:type="gramEnd"/>
    </w:p>
  </w:footnote>
  <w:footnote w:id="183">
    <w:p w14:paraId="763A98FE" w14:textId="457843C6"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00610353">
        <w:rPr>
          <w:color w:val="000000" w:themeColor="text1"/>
          <w:szCs w:val="20"/>
        </w:rPr>
        <w:t>Ibid.</w:t>
      </w:r>
      <w:proofErr w:type="gramEnd"/>
      <w:r w:rsidR="00610353">
        <w:rPr>
          <w:color w:val="000000" w:themeColor="text1"/>
          <w:szCs w:val="20"/>
        </w:rPr>
        <w:t xml:space="preserve"> </w:t>
      </w:r>
    </w:p>
  </w:footnote>
  <w:footnote w:id="184">
    <w:p w14:paraId="410C34EB" w14:textId="20C6AB50"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The estimated population of the United States is approximately 316 million, while the population of Puerto Rico is 3.7 million. </w:t>
      </w:r>
      <w:r w:rsidRPr="00990651">
        <w:rPr>
          <w:smallCaps/>
          <w:color w:val="000000" w:themeColor="text1"/>
          <w:szCs w:val="20"/>
        </w:rPr>
        <w:t>United States Census Bureau</w:t>
      </w:r>
      <w:r w:rsidRPr="00990651">
        <w:rPr>
          <w:color w:val="000000" w:themeColor="text1"/>
          <w:szCs w:val="20"/>
        </w:rPr>
        <w:t xml:space="preserve">, </w:t>
      </w:r>
      <w:r w:rsidRPr="00990651">
        <w:rPr>
          <w:i/>
          <w:color w:val="000000" w:themeColor="text1"/>
          <w:szCs w:val="20"/>
        </w:rPr>
        <w:t>Annual Estimates of the Resident Population: April 1, 2010 to July 1, 2013 – 2013 Population Estimates</w:t>
      </w:r>
      <w:r w:rsidRPr="00990651">
        <w:rPr>
          <w:color w:val="000000" w:themeColor="text1"/>
          <w:szCs w:val="20"/>
        </w:rPr>
        <w:t xml:space="preserve">, </w:t>
      </w:r>
      <w:r w:rsidRPr="00990651">
        <w:rPr>
          <w:i/>
          <w:color w:val="000000" w:themeColor="text1"/>
          <w:szCs w:val="20"/>
        </w:rPr>
        <w:t xml:space="preserve">available at </w:t>
      </w:r>
      <w:hyperlink r:id="rId3" w:history="1">
        <w:r w:rsidRPr="00990651">
          <w:rPr>
            <w:rStyle w:val="Hyperlink"/>
            <w:color w:val="000000" w:themeColor="text1"/>
            <w:szCs w:val="20"/>
            <w:u w:val="none"/>
          </w:rPr>
          <w:t xml:space="preserve">http://factfinder2.census.gov/faces/tableservices/jsf/pages/ </w:t>
        </w:r>
        <w:proofErr w:type="spellStart"/>
        <w:r w:rsidRPr="00990651">
          <w:rPr>
            <w:rStyle w:val="Hyperlink"/>
            <w:color w:val="000000" w:themeColor="text1"/>
            <w:szCs w:val="20"/>
            <w:u w:val="none"/>
          </w:rPr>
          <w:t>productview.xhtml?src</w:t>
        </w:r>
        <w:proofErr w:type="spellEnd"/>
        <w:r w:rsidRPr="00990651">
          <w:rPr>
            <w:rStyle w:val="Hyperlink"/>
            <w:color w:val="000000" w:themeColor="text1"/>
            <w:szCs w:val="20"/>
            <w:u w:val="none"/>
          </w:rPr>
          <w:t>=</w:t>
        </w:r>
        <w:proofErr w:type="spellStart"/>
        <w:r w:rsidRPr="00990651">
          <w:rPr>
            <w:rStyle w:val="Hyperlink"/>
            <w:color w:val="000000" w:themeColor="text1"/>
            <w:szCs w:val="20"/>
            <w:u w:val="none"/>
          </w:rPr>
          <w:t>bkmk</w:t>
        </w:r>
        <w:proofErr w:type="spellEnd"/>
      </w:hyperlink>
      <w:r w:rsidRPr="00990651">
        <w:rPr>
          <w:color w:val="000000" w:themeColor="text1"/>
          <w:szCs w:val="20"/>
        </w:rPr>
        <w:t xml:space="preserve"> (last visited July 6, 2014).</w:t>
      </w:r>
    </w:p>
  </w:footnote>
  <w:footnote w:id="185">
    <w:p w14:paraId="0C5703E6" w14:textId="77777777" w:rsidR="003D1304" w:rsidRPr="00990651" w:rsidRDefault="003D1304" w:rsidP="00AE219D">
      <w:pPr>
        <w:pStyle w:val="FootnoteText"/>
        <w:rPr>
          <w:color w:val="000000" w:themeColor="text1"/>
          <w:szCs w:val="20"/>
          <w:lang w:val="es-ES"/>
        </w:rPr>
      </w:pPr>
      <w:r w:rsidRPr="00990651">
        <w:rPr>
          <w:rStyle w:val="FootnoteReference"/>
          <w:color w:val="000000" w:themeColor="text1"/>
          <w:szCs w:val="20"/>
        </w:rPr>
        <w:footnoteRef/>
      </w:r>
      <w:r w:rsidRPr="00990651">
        <w:rPr>
          <w:color w:val="000000" w:themeColor="text1"/>
          <w:szCs w:val="20"/>
          <w:lang w:val="es-ES"/>
        </w:rPr>
        <w:t xml:space="preserve"> </w:t>
      </w:r>
      <w:r w:rsidRPr="00990651">
        <w:rPr>
          <w:smallCaps/>
          <w:color w:val="000000" w:themeColor="text1"/>
          <w:szCs w:val="20"/>
          <w:lang w:val="es-ES"/>
        </w:rPr>
        <w:t xml:space="preserve">Edgardo </w:t>
      </w:r>
      <w:proofErr w:type="spellStart"/>
      <w:r w:rsidRPr="00990651">
        <w:rPr>
          <w:smallCaps/>
          <w:color w:val="000000" w:themeColor="text1"/>
          <w:szCs w:val="20"/>
          <w:lang w:val="es-ES"/>
        </w:rPr>
        <w:t>Roman</w:t>
      </w:r>
      <w:proofErr w:type="spellEnd"/>
      <w:r w:rsidRPr="00990651">
        <w:rPr>
          <w:color w:val="000000" w:themeColor="text1"/>
          <w:szCs w:val="20"/>
          <w:lang w:val="es-ES"/>
        </w:rPr>
        <w:t xml:space="preserve">, Puerto </w:t>
      </w:r>
      <w:proofErr w:type="spellStart"/>
      <w:r w:rsidRPr="00990651">
        <w:rPr>
          <w:color w:val="000000" w:themeColor="text1"/>
          <w:szCs w:val="20"/>
          <w:lang w:val="es-ES"/>
        </w:rPr>
        <w:t>Rican</w:t>
      </w:r>
      <w:proofErr w:type="spellEnd"/>
      <w:r w:rsidRPr="00990651">
        <w:rPr>
          <w:color w:val="000000" w:themeColor="text1"/>
          <w:szCs w:val="20"/>
          <w:lang w:val="es-ES"/>
        </w:rPr>
        <w:t xml:space="preserve"> </w:t>
      </w:r>
      <w:proofErr w:type="spellStart"/>
      <w:r w:rsidRPr="00990651">
        <w:rPr>
          <w:color w:val="000000" w:themeColor="text1"/>
          <w:szCs w:val="20"/>
          <w:lang w:val="es-ES"/>
        </w:rPr>
        <w:t>Coalition</w:t>
      </w:r>
      <w:proofErr w:type="spellEnd"/>
      <w:r w:rsidRPr="00990651">
        <w:rPr>
          <w:color w:val="000000" w:themeColor="text1"/>
          <w:szCs w:val="20"/>
          <w:lang w:val="es-ES"/>
        </w:rPr>
        <w:t xml:space="preserve"> </w:t>
      </w:r>
      <w:proofErr w:type="spellStart"/>
      <w:r w:rsidRPr="00990651">
        <w:rPr>
          <w:color w:val="000000" w:themeColor="text1"/>
          <w:szCs w:val="20"/>
          <w:lang w:val="es-ES"/>
        </w:rPr>
        <w:t>Against</w:t>
      </w:r>
      <w:proofErr w:type="spellEnd"/>
      <w:r w:rsidRPr="00990651">
        <w:rPr>
          <w:color w:val="000000" w:themeColor="text1"/>
          <w:szCs w:val="20"/>
          <w:lang w:val="es-ES"/>
        </w:rPr>
        <w:t xml:space="preserve"> </w:t>
      </w:r>
      <w:proofErr w:type="spellStart"/>
      <w:r w:rsidRPr="00990651">
        <w:rPr>
          <w:color w:val="000000" w:themeColor="text1"/>
          <w:szCs w:val="20"/>
          <w:lang w:val="es-ES"/>
        </w:rPr>
        <w:t>the</w:t>
      </w:r>
      <w:proofErr w:type="spellEnd"/>
      <w:r w:rsidRPr="00990651">
        <w:rPr>
          <w:color w:val="000000" w:themeColor="text1"/>
          <w:szCs w:val="20"/>
          <w:lang w:val="es-ES"/>
        </w:rPr>
        <w:t xml:space="preserve"> </w:t>
      </w:r>
      <w:proofErr w:type="spellStart"/>
      <w:r w:rsidRPr="00990651">
        <w:rPr>
          <w:color w:val="000000" w:themeColor="text1"/>
          <w:szCs w:val="20"/>
          <w:lang w:val="es-ES"/>
        </w:rPr>
        <w:t>Death</w:t>
      </w:r>
      <w:proofErr w:type="spellEnd"/>
      <w:r w:rsidRPr="00990651">
        <w:rPr>
          <w:color w:val="000000" w:themeColor="text1"/>
          <w:szCs w:val="20"/>
          <w:lang w:val="es-ES"/>
        </w:rPr>
        <w:t xml:space="preserve"> </w:t>
      </w:r>
      <w:proofErr w:type="spellStart"/>
      <w:r w:rsidRPr="00990651">
        <w:rPr>
          <w:color w:val="000000" w:themeColor="text1"/>
          <w:szCs w:val="20"/>
          <w:lang w:val="es-ES"/>
        </w:rPr>
        <w:t>Penalty</w:t>
      </w:r>
      <w:proofErr w:type="spellEnd"/>
      <w:r w:rsidRPr="00990651">
        <w:rPr>
          <w:color w:val="000000" w:themeColor="text1"/>
          <w:szCs w:val="20"/>
          <w:lang w:val="es-ES"/>
        </w:rPr>
        <w:t xml:space="preserve">, </w:t>
      </w:r>
      <w:r w:rsidRPr="00990651">
        <w:rPr>
          <w:i/>
          <w:color w:val="000000" w:themeColor="text1"/>
          <w:szCs w:val="20"/>
          <w:lang w:val="es-ES"/>
        </w:rPr>
        <w:t>Mensaje de saludo de la Coalición Puertorriqueña contra la Pena de Muerte a la Asamblea de la Coalición Mundial</w:t>
      </w:r>
      <w:r w:rsidRPr="00990651">
        <w:rPr>
          <w:color w:val="000000" w:themeColor="text1"/>
          <w:szCs w:val="20"/>
          <w:lang w:val="es-ES"/>
        </w:rPr>
        <w:t xml:space="preserve"> (June 20, 2014). </w:t>
      </w:r>
    </w:p>
  </w:footnote>
  <w:footnote w:id="186">
    <w:p w14:paraId="013D50F2" w14:textId="1BC27D4B"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 xml:space="preserve">See generally </w:t>
      </w:r>
      <w:r w:rsidRPr="00990651">
        <w:rPr>
          <w:smallCaps/>
          <w:color w:val="000000" w:themeColor="text1"/>
          <w:szCs w:val="20"/>
        </w:rPr>
        <w:t>Federal Death Penalty Resource Counsel</w:t>
      </w:r>
      <w:r w:rsidRPr="00990651">
        <w:rPr>
          <w:color w:val="000000" w:themeColor="text1"/>
          <w:szCs w:val="20"/>
        </w:rPr>
        <w:t xml:space="preserve">, </w:t>
      </w:r>
      <w:r w:rsidRPr="00990651">
        <w:rPr>
          <w:i/>
          <w:color w:val="000000" w:themeColor="text1"/>
          <w:szCs w:val="20"/>
        </w:rPr>
        <w:t xml:space="preserve">available at </w:t>
      </w:r>
      <w:hyperlink r:id="rId4" w:history="1">
        <w:r w:rsidRPr="00990651">
          <w:rPr>
            <w:rStyle w:val="Hyperlink"/>
            <w:color w:val="000000" w:themeColor="text1"/>
            <w:szCs w:val="20"/>
            <w:u w:val="none"/>
          </w:rPr>
          <w:t>https://www.capdefnet.org/ FDPRC/</w:t>
        </w:r>
        <w:proofErr w:type="spellStart"/>
        <w:r w:rsidRPr="00990651">
          <w:rPr>
            <w:rStyle w:val="Hyperlink"/>
            <w:color w:val="000000" w:themeColor="text1"/>
            <w:szCs w:val="20"/>
            <w:u w:val="none"/>
          </w:rPr>
          <w:t>pubmenu.aspx?menu_id</w:t>
        </w:r>
        <w:proofErr w:type="spellEnd"/>
        <w:r w:rsidRPr="00990651">
          <w:rPr>
            <w:rStyle w:val="Hyperlink"/>
            <w:color w:val="000000" w:themeColor="text1"/>
            <w:szCs w:val="20"/>
            <w:u w:val="none"/>
          </w:rPr>
          <w:t>=94&amp;id=1902</w:t>
        </w:r>
      </w:hyperlink>
      <w:r w:rsidR="00610353">
        <w:rPr>
          <w:color w:val="000000" w:themeColor="text1"/>
          <w:szCs w:val="20"/>
        </w:rPr>
        <w:t xml:space="preserve"> (last visited July 6, 2014)</w:t>
      </w:r>
      <w:r w:rsidRPr="00990651">
        <w:rPr>
          <w:color w:val="000000" w:themeColor="text1"/>
          <w:szCs w:val="20"/>
        </w:rPr>
        <w:t xml:space="preserve">. </w:t>
      </w:r>
    </w:p>
  </w:footnote>
  <w:footnote w:id="187">
    <w:p w14:paraId="285704D8" w14:textId="596E8181"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See generally</w:t>
      </w:r>
      <w:r w:rsidR="00610353">
        <w:rPr>
          <w:i/>
          <w:color w:val="000000" w:themeColor="text1"/>
          <w:szCs w:val="20"/>
        </w:rPr>
        <w:t xml:space="preserve"> </w:t>
      </w:r>
      <w:r w:rsidR="00610353">
        <w:rPr>
          <w:color w:val="000000" w:themeColor="text1"/>
          <w:szCs w:val="20"/>
        </w:rPr>
        <w:t>ibid.</w:t>
      </w:r>
      <w:r w:rsidRPr="00990651">
        <w:rPr>
          <w:color w:val="000000" w:themeColor="text1"/>
          <w:szCs w:val="20"/>
        </w:rPr>
        <w:t xml:space="preserve"> </w:t>
      </w:r>
    </w:p>
  </w:footnote>
  <w:footnote w:id="188">
    <w:p w14:paraId="2D619D66" w14:textId="4FF94F37"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See generally</w:t>
      </w:r>
      <w:r w:rsidRPr="00990651">
        <w:rPr>
          <w:color w:val="000000" w:themeColor="text1"/>
          <w:szCs w:val="20"/>
        </w:rPr>
        <w:t xml:space="preserve"> </w:t>
      </w:r>
      <w:r w:rsidRPr="00990651">
        <w:rPr>
          <w:smallCaps/>
          <w:color w:val="000000" w:themeColor="text1"/>
          <w:szCs w:val="20"/>
        </w:rPr>
        <w:t>United States Census Bureau</w:t>
      </w:r>
      <w:r w:rsidRPr="00990651">
        <w:rPr>
          <w:color w:val="000000" w:themeColor="text1"/>
          <w:szCs w:val="20"/>
        </w:rPr>
        <w:t xml:space="preserve">, </w:t>
      </w:r>
      <w:r w:rsidRPr="00990651">
        <w:rPr>
          <w:i/>
          <w:color w:val="000000" w:themeColor="text1"/>
          <w:szCs w:val="20"/>
        </w:rPr>
        <w:t xml:space="preserve">Texas </w:t>
      </w:r>
      <w:proofErr w:type="spellStart"/>
      <w:r w:rsidRPr="00990651">
        <w:rPr>
          <w:i/>
          <w:color w:val="000000" w:themeColor="text1"/>
          <w:szCs w:val="20"/>
        </w:rPr>
        <w:t>QuickFacts</w:t>
      </w:r>
      <w:proofErr w:type="spellEnd"/>
      <w:r w:rsidRPr="00990651">
        <w:rPr>
          <w:color w:val="000000" w:themeColor="text1"/>
          <w:szCs w:val="20"/>
        </w:rPr>
        <w:t xml:space="preserve">, </w:t>
      </w:r>
      <w:r w:rsidRPr="00990651">
        <w:rPr>
          <w:i/>
          <w:color w:val="000000" w:themeColor="text1"/>
          <w:szCs w:val="20"/>
        </w:rPr>
        <w:t xml:space="preserve">available at </w:t>
      </w:r>
      <w:hyperlink w:history="1">
        <w:r w:rsidRPr="00990651">
          <w:rPr>
            <w:rStyle w:val="Hyperlink"/>
            <w:color w:val="000000" w:themeColor="text1"/>
            <w:szCs w:val="20"/>
            <w:u w:val="none"/>
          </w:rPr>
          <w:t xml:space="preserve">http://quickfacts. </w:t>
        </w:r>
        <w:proofErr w:type="gramStart"/>
        <w:r w:rsidRPr="00990651">
          <w:rPr>
            <w:rStyle w:val="Hyperlink"/>
            <w:color w:val="000000" w:themeColor="text1"/>
            <w:szCs w:val="20"/>
            <w:u w:val="none"/>
          </w:rPr>
          <w:t>census.gov/</w:t>
        </w:r>
        <w:proofErr w:type="spellStart"/>
        <w:r w:rsidRPr="00990651">
          <w:rPr>
            <w:rStyle w:val="Hyperlink"/>
            <w:color w:val="000000" w:themeColor="text1"/>
            <w:szCs w:val="20"/>
            <w:u w:val="none"/>
          </w:rPr>
          <w:t>qfd</w:t>
        </w:r>
        <w:proofErr w:type="spellEnd"/>
        <w:r w:rsidRPr="00990651">
          <w:rPr>
            <w:rStyle w:val="Hyperlink"/>
            <w:color w:val="000000" w:themeColor="text1"/>
            <w:szCs w:val="20"/>
            <w:u w:val="none"/>
          </w:rPr>
          <w:t>/states/48000.html</w:t>
        </w:r>
      </w:hyperlink>
      <w:r w:rsidRPr="00990651">
        <w:rPr>
          <w:color w:val="000000" w:themeColor="text1"/>
          <w:szCs w:val="20"/>
        </w:rPr>
        <w:t xml:space="preserve"> (last visited July 6, 2014).</w:t>
      </w:r>
      <w:proofErr w:type="gramEnd"/>
    </w:p>
  </w:footnote>
  <w:footnote w:id="189">
    <w:p w14:paraId="14E0299D" w14:textId="77777777"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990651">
        <w:rPr>
          <w:smallCaps/>
          <w:color w:val="000000" w:themeColor="text1"/>
          <w:szCs w:val="20"/>
        </w:rPr>
        <w:t>United States Census Bureau</w:t>
      </w:r>
      <w:r w:rsidRPr="00990651">
        <w:rPr>
          <w:color w:val="000000" w:themeColor="text1"/>
          <w:szCs w:val="20"/>
        </w:rPr>
        <w:t xml:space="preserve">, </w:t>
      </w:r>
      <w:r w:rsidRPr="00990651">
        <w:rPr>
          <w:i/>
          <w:color w:val="000000" w:themeColor="text1"/>
          <w:szCs w:val="20"/>
        </w:rPr>
        <w:t>Minnesota Quick Facts</w:t>
      </w:r>
      <w:r w:rsidRPr="00990651">
        <w:rPr>
          <w:color w:val="000000" w:themeColor="text1"/>
          <w:szCs w:val="20"/>
        </w:rPr>
        <w:t xml:space="preserve"> (July 8, 2014), available at </w:t>
      </w:r>
      <w:hyperlink r:id="rId5" w:history="1">
        <w:r w:rsidRPr="00990651">
          <w:rPr>
            <w:rStyle w:val="Hyperlink"/>
            <w:color w:val="000000" w:themeColor="text1"/>
            <w:szCs w:val="20"/>
            <w:u w:val="none"/>
          </w:rPr>
          <w:t xml:space="preserve">http://quickfacts.census.gov/ </w:t>
        </w:r>
        <w:proofErr w:type="spellStart"/>
        <w:r w:rsidRPr="00990651">
          <w:rPr>
            <w:rStyle w:val="Hyperlink"/>
            <w:color w:val="000000" w:themeColor="text1"/>
            <w:szCs w:val="20"/>
            <w:u w:val="none"/>
          </w:rPr>
          <w:t>qfd</w:t>
        </w:r>
        <w:proofErr w:type="spellEnd"/>
        <w:r w:rsidRPr="00990651">
          <w:rPr>
            <w:rStyle w:val="Hyperlink"/>
            <w:color w:val="000000" w:themeColor="text1"/>
            <w:szCs w:val="20"/>
            <w:u w:val="none"/>
          </w:rPr>
          <w:t>/states/27000.html</w:t>
        </w:r>
      </w:hyperlink>
      <w:r w:rsidRPr="00990651">
        <w:rPr>
          <w:color w:val="000000" w:themeColor="text1"/>
          <w:szCs w:val="20"/>
        </w:rPr>
        <w:t xml:space="preserve"> (last visited July 10, 2014).</w:t>
      </w:r>
      <w:proofErr w:type="gramEnd"/>
    </w:p>
  </w:footnote>
  <w:footnote w:id="190">
    <w:p w14:paraId="76A915CE" w14:textId="77777777"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smallCaps/>
          <w:color w:val="000000" w:themeColor="text1"/>
          <w:szCs w:val="20"/>
        </w:rPr>
        <w:t>United States Department of Justice</w:t>
      </w:r>
      <w:r w:rsidRPr="00990651">
        <w:rPr>
          <w:color w:val="000000" w:themeColor="text1"/>
          <w:szCs w:val="20"/>
        </w:rPr>
        <w:t xml:space="preserve">, </w:t>
      </w:r>
      <w:r w:rsidRPr="00990651">
        <w:rPr>
          <w:i/>
          <w:color w:val="000000" w:themeColor="text1"/>
          <w:szCs w:val="20"/>
        </w:rPr>
        <w:t>The Federal Death Penalty System: A Statistical Survey (1988-2000),</w:t>
      </w:r>
      <w:r w:rsidRPr="00990651">
        <w:rPr>
          <w:color w:val="000000" w:themeColor="text1"/>
          <w:szCs w:val="20"/>
        </w:rPr>
        <w:t xml:space="preserve"> at T-14 (Sept. 12, 2000), </w:t>
      </w:r>
      <w:r w:rsidRPr="00990651">
        <w:rPr>
          <w:i/>
          <w:color w:val="000000" w:themeColor="text1"/>
          <w:szCs w:val="20"/>
        </w:rPr>
        <w:t xml:space="preserve">available at </w:t>
      </w:r>
      <w:hyperlink r:id="rId6" w:history="1">
        <w:r w:rsidRPr="00990651">
          <w:rPr>
            <w:rStyle w:val="Hyperlink"/>
            <w:color w:val="000000" w:themeColor="text1"/>
            <w:szCs w:val="20"/>
            <w:u w:val="none"/>
          </w:rPr>
          <w:t>https://www.capdefnet.org/FDPRC/WorkArea/DownloadAsset.aspx?id=2354</w:t>
        </w:r>
      </w:hyperlink>
      <w:r w:rsidRPr="00990651">
        <w:rPr>
          <w:color w:val="000000" w:themeColor="text1"/>
          <w:szCs w:val="20"/>
        </w:rPr>
        <w:t xml:space="preserve"> (last visited July 10, 2014).</w:t>
      </w:r>
    </w:p>
  </w:footnote>
  <w:footnote w:id="191">
    <w:p w14:paraId="4FB67702" w14:textId="5E884981" w:rsidR="003D1304" w:rsidRPr="00990651" w:rsidRDefault="003D1304" w:rsidP="00AE219D">
      <w:pPr>
        <w:pStyle w:val="FootnoteText"/>
        <w:rPr>
          <w:color w:val="000000" w:themeColor="text1"/>
          <w:szCs w:val="20"/>
          <w:lang w:val="es-ES"/>
        </w:rPr>
      </w:pPr>
      <w:r w:rsidRPr="00990651">
        <w:rPr>
          <w:rStyle w:val="FootnoteReference"/>
          <w:color w:val="000000" w:themeColor="text1"/>
          <w:szCs w:val="20"/>
        </w:rPr>
        <w:footnoteRef/>
      </w:r>
      <w:r w:rsidRPr="00990651">
        <w:rPr>
          <w:color w:val="000000" w:themeColor="text1"/>
          <w:szCs w:val="20"/>
          <w:lang w:val="es-ES"/>
        </w:rPr>
        <w:t xml:space="preserve"> </w:t>
      </w:r>
      <w:r w:rsidRPr="00610353">
        <w:rPr>
          <w:color w:val="000000" w:themeColor="text1"/>
          <w:szCs w:val="20"/>
          <w:lang w:val="es-ES"/>
        </w:rPr>
        <w:t>Carmelo Campos Cruz</w:t>
      </w:r>
      <w:r w:rsidRPr="00990651">
        <w:rPr>
          <w:color w:val="000000" w:themeColor="text1"/>
          <w:szCs w:val="20"/>
          <w:lang w:val="es-ES"/>
        </w:rPr>
        <w:t xml:space="preserve">, </w:t>
      </w:r>
      <w:r w:rsidRPr="00990651">
        <w:rPr>
          <w:i/>
          <w:color w:val="000000" w:themeColor="text1"/>
          <w:szCs w:val="20"/>
          <w:lang w:val="es-ES"/>
        </w:rPr>
        <w:t>Puerto Rico: la dimensión desconocida de la pena de muerte</w:t>
      </w:r>
      <w:r w:rsidRPr="00990651">
        <w:rPr>
          <w:color w:val="000000" w:themeColor="text1"/>
          <w:szCs w:val="20"/>
          <w:lang w:val="es-ES"/>
        </w:rPr>
        <w:t xml:space="preserve"> (June 2013). </w:t>
      </w:r>
    </w:p>
  </w:footnote>
  <w:footnote w:id="192">
    <w:p w14:paraId="26007101" w14:textId="0A45358F"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Seventy-four percent of capital defendants are ethnic minorities. </w:t>
      </w:r>
      <w:r w:rsidRPr="00990651">
        <w:rPr>
          <w:smallCaps/>
          <w:color w:val="000000" w:themeColor="text1"/>
          <w:szCs w:val="20"/>
        </w:rPr>
        <w:t xml:space="preserve">Federal Death Penalty Resource Counsel, </w:t>
      </w:r>
      <w:r w:rsidRPr="00990651">
        <w:rPr>
          <w:i/>
          <w:color w:val="000000" w:themeColor="text1"/>
          <w:szCs w:val="20"/>
        </w:rPr>
        <w:t>Current Stats re. Use of Federal DP</w:t>
      </w:r>
      <w:r w:rsidRPr="00990651">
        <w:rPr>
          <w:color w:val="000000" w:themeColor="text1"/>
          <w:szCs w:val="20"/>
        </w:rPr>
        <w:t xml:space="preserve"> (May 14, 2014), </w:t>
      </w:r>
      <w:r w:rsidRPr="00990651">
        <w:rPr>
          <w:i/>
          <w:color w:val="000000" w:themeColor="text1"/>
          <w:szCs w:val="20"/>
        </w:rPr>
        <w:t xml:space="preserve">available at </w:t>
      </w:r>
      <w:hyperlink r:id="rId7" w:history="1">
        <w:r w:rsidRPr="00990651">
          <w:rPr>
            <w:rStyle w:val="Hyperlink"/>
            <w:color w:val="000000" w:themeColor="text1"/>
            <w:szCs w:val="20"/>
            <w:u w:val="none"/>
          </w:rPr>
          <w:t>https://www.capdefnet.org/ FDPRC/</w:t>
        </w:r>
        <w:proofErr w:type="spellStart"/>
        <w:r w:rsidRPr="00990651">
          <w:rPr>
            <w:rStyle w:val="Hyperlink"/>
            <w:color w:val="000000" w:themeColor="text1"/>
            <w:szCs w:val="20"/>
            <w:u w:val="none"/>
          </w:rPr>
          <w:t>pubmenu.aspx?menu_id</w:t>
        </w:r>
        <w:proofErr w:type="spellEnd"/>
        <w:r w:rsidRPr="00990651">
          <w:rPr>
            <w:rStyle w:val="Hyperlink"/>
            <w:color w:val="000000" w:themeColor="text1"/>
            <w:szCs w:val="20"/>
            <w:u w:val="none"/>
          </w:rPr>
          <w:t>=94&amp;id=2094</w:t>
        </w:r>
      </w:hyperlink>
      <w:r w:rsidRPr="00990651">
        <w:rPr>
          <w:color w:val="000000" w:themeColor="text1"/>
          <w:szCs w:val="20"/>
        </w:rPr>
        <w:t xml:space="preserve"> (last visited July 10, 2014).</w:t>
      </w:r>
    </w:p>
  </w:footnote>
  <w:footnote w:id="193">
    <w:p w14:paraId="79FBEEB4" w14:textId="48482E97"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00610353">
        <w:rPr>
          <w:color w:val="000000" w:themeColor="text1"/>
          <w:szCs w:val="20"/>
        </w:rPr>
        <w:t>Ibid.</w:t>
      </w:r>
    </w:p>
  </w:footnote>
  <w:footnote w:id="194">
    <w:p w14:paraId="51016A33" w14:textId="1658FEE4"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proofErr w:type="gramStart"/>
      <w:r w:rsidR="00610353" w:rsidRPr="00610353">
        <w:rPr>
          <w:color w:val="000000" w:themeColor="text1"/>
          <w:szCs w:val="20"/>
        </w:rPr>
        <w:t>Ibid.</w:t>
      </w:r>
      <w:proofErr w:type="gramEnd"/>
      <w:r w:rsidR="00610353">
        <w:rPr>
          <w:smallCaps/>
          <w:color w:val="000000" w:themeColor="text1"/>
          <w:szCs w:val="20"/>
        </w:rPr>
        <w:t xml:space="preserve"> </w:t>
      </w:r>
    </w:p>
  </w:footnote>
  <w:footnote w:id="195">
    <w:p w14:paraId="0175D375" w14:textId="77CF8EBC" w:rsidR="003D1304" w:rsidRPr="00990651" w:rsidRDefault="003D1304" w:rsidP="00AE219D">
      <w:pPr>
        <w:pStyle w:val="FootnoteText"/>
        <w:rPr>
          <w:i/>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00610353">
        <w:rPr>
          <w:color w:val="000000" w:themeColor="text1"/>
          <w:szCs w:val="20"/>
        </w:rPr>
        <w:t>28 U.S.C. § </w:t>
      </w:r>
      <w:r w:rsidRPr="00610353">
        <w:rPr>
          <w:color w:val="000000" w:themeColor="text1"/>
          <w:szCs w:val="20"/>
        </w:rPr>
        <w:t xml:space="preserve">1865(b) (2006); Act of June 25, 1906, Pub. </w:t>
      </w:r>
      <w:proofErr w:type="gramStart"/>
      <w:r w:rsidRPr="00610353">
        <w:rPr>
          <w:color w:val="000000" w:themeColor="text1"/>
          <w:szCs w:val="20"/>
        </w:rPr>
        <w:t xml:space="preserve">L. No. 294, </w:t>
      </w:r>
      <w:proofErr w:type="spellStart"/>
      <w:r w:rsidRPr="00610353">
        <w:rPr>
          <w:color w:val="000000" w:themeColor="text1"/>
          <w:szCs w:val="20"/>
        </w:rPr>
        <w:t>ch.</w:t>
      </w:r>
      <w:proofErr w:type="spellEnd"/>
      <w:r w:rsidRPr="00610353">
        <w:rPr>
          <w:color w:val="000000" w:themeColor="text1"/>
          <w:szCs w:val="20"/>
        </w:rPr>
        <w:t xml:space="preserve"> 3542, 34 Stat. 466 (defining the qualifications of jurors in the United States District Court for the District of Puerto Rico).</w:t>
      </w:r>
      <w:proofErr w:type="gramEnd"/>
    </w:p>
  </w:footnote>
  <w:footnote w:id="196">
    <w:p w14:paraId="203DE348" w14:textId="0D1A2BF9" w:rsidR="003D1304" w:rsidRPr="00990651" w:rsidRDefault="003D1304" w:rsidP="00AE219D">
      <w:pPr>
        <w:pStyle w:val="FootnoteText"/>
        <w:rPr>
          <w:i/>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iCs/>
          <w:color w:val="000000" w:themeColor="text1"/>
          <w:szCs w:val="20"/>
        </w:rPr>
        <w:t>See generally</w:t>
      </w:r>
      <w:r w:rsidRPr="00990651">
        <w:rPr>
          <w:i/>
          <w:color w:val="000000" w:themeColor="text1"/>
          <w:szCs w:val="20"/>
        </w:rPr>
        <w:t xml:space="preserve"> </w:t>
      </w:r>
      <w:r w:rsidR="00610353">
        <w:rPr>
          <w:color w:val="000000" w:themeColor="text1"/>
          <w:szCs w:val="20"/>
        </w:rPr>
        <w:t xml:space="preserve">Jasmine B. </w:t>
      </w:r>
      <w:r w:rsidRPr="00610353">
        <w:rPr>
          <w:color w:val="000000" w:themeColor="text1"/>
          <w:szCs w:val="20"/>
        </w:rPr>
        <w:t xml:space="preserve">Gonzales Rose, </w:t>
      </w:r>
      <w:r w:rsidRPr="00610353">
        <w:rPr>
          <w:i/>
          <w:color w:val="000000" w:themeColor="text1"/>
          <w:szCs w:val="20"/>
        </w:rPr>
        <w:t>The Exclusion of Non-English-Speaking Jurors: Remedying a Century of Denial of the Sixth Amendment in the Federal Courts of Puerto Rico</w:t>
      </w:r>
      <w:r w:rsidRPr="00990651">
        <w:rPr>
          <w:color w:val="000000" w:themeColor="text1"/>
          <w:szCs w:val="20"/>
        </w:rPr>
        <w:t xml:space="preserve">, 46 </w:t>
      </w:r>
      <w:proofErr w:type="spellStart"/>
      <w:r w:rsidRPr="00610353">
        <w:rPr>
          <w:smallCaps/>
          <w:color w:val="000000" w:themeColor="text1"/>
          <w:szCs w:val="20"/>
        </w:rPr>
        <w:t>Harv</w:t>
      </w:r>
      <w:proofErr w:type="spellEnd"/>
      <w:r w:rsidRPr="00610353">
        <w:rPr>
          <w:smallCaps/>
          <w:color w:val="000000" w:themeColor="text1"/>
          <w:szCs w:val="20"/>
        </w:rPr>
        <w:t>. C.R.-C.L. L. Rev.</w:t>
      </w:r>
      <w:r w:rsidR="00610353">
        <w:rPr>
          <w:color w:val="000000" w:themeColor="text1"/>
          <w:szCs w:val="20"/>
        </w:rPr>
        <w:t xml:space="preserve"> 497; </w:t>
      </w:r>
      <w:r w:rsidR="00610353" w:rsidRPr="00610353">
        <w:rPr>
          <w:i/>
          <w:color w:val="000000" w:themeColor="text1"/>
          <w:szCs w:val="20"/>
        </w:rPr>
        <w:t>s</w:t>
      </w:r>
      <w:r w:rsidRPr="00990651">
        <w:rPr>
          <w:i/>
          <w:iCs/>
          <w:color w:val="000000" w:themeColor="text1"/>
          <w:szCs w:val="20"/>
        </w:rPr>
        <w:t>ee also</w:t>
      </w:r>
      <w:r w:rsidRPr="00990651">
        <w:rPr>
          <w:iCs/>
          <w:color w:val="000000" w:themeColor="text1"/>
          <w:szCs w:val="20"/>
        </w:rPr>
        <w:t xml:space="preserve"> </w:t>
      </w:r>
      <w:r w:rsidRPr="00990651">
        <w:rPr>
          <w:color w:val="000000" w:themeColor="text1"/>
          <w:szCs w:val="20"/>
        </w:rPr>
        <w:t>U</w:t>
      </w:r>
      <w:r w:rsidRPr="00990651">
        <w:rPr>
          <w:i/>
          <w:color w:val="000000" w:themeColor="text1"/>
          <w:szCs w:val="20"/>
        </w:rPr>
        <w:t>.S. Census Bureau.</w:t>
      </w:r>
      <w:r w:rsidRPr="00990651">
        <w:rPr>
          <w:i/>
          <w:iCs/>
          <w:color w:val="000000" w:themeColor="text1"/>
          <w:szCs w:val="20"/>
        </w:rPr>
        <w:t xml:space="preserve"> Detailed Languages Spoken at Home and Ability to Speak English for the Population 5 Years and Over for Puerto Rico: 2006-2008</w:t>
      </w:r>
      <w:r w:rsidR="00610353">
        <w:rPr>
          <w:i/>
          <w:iCs/>
          <w:color w:val="000000" w:themeColor="text1"/>
          <w:szCs w:val="20"/>
        </w:rPr>
        <w:t xml:space="preserve"> </w:t>
      </w:r>
      <w:r w:rsidR="00610353">
        <w:rPr>
          <w:iCs/>
          <w:color w:val="000000" w:themeColor="text1"/>
          <w:szCs w:val="20"/>
        </w:rPr>
        <w:t>(</w:t>
      </w:r>
      <w:r w:rsidR="00610353">
        <w:rPr>
          <w:color w:val="000000" w:themeColor="text1"/>
          <w:szCs w:val="20"/>
        </w:rPr>
        <w:t>April 2010),</w:t>
      </w:r>
      <w:r w:rsidRPr="00990651">
        <w:rPr>
          <w:color w:val="000000" w:themeColor="text1"/>
          <w:szCs w:val="20"/>
        </w:rPr>
        <w:t xml:space="preserve"> </w:t>
      </w:r>
      <w:r w:rsidR="00610353">
        <w:rPr>
          <w:i/>
          <w:color w:val="000000" w:themeColor="text1"/>
          <w:szCs w:val="20"/>
        </w:rPr>
        <w:t>a</w:t>
      </w:r>
      <w:r w:rsidRPr="00990651">
        <w:rPr>
          <w:i/>
          <w:color w:val="000000" w:themeColor="text1"/>
          <w:szCs w:val="20"/>
        </w:rPr>
        <w:t>vailable at</w:t>
      </w:r>
      <w:r w:rsidRPr="00990651">
        <w:rPr>
          <w:color w:val="000000" w:themeColor="text1"/>
          <w:szCs w:val="20"/>
        </w:rPr>
        <w:t xml:space="preserve"> </w:t>
      </w:r>
      <w:hyperlink r:id="rId8" w:history="1">
        <w:r w:rsidRPr="00990651">
          <w:rPr>
            <w:rStyle w:val="Hyperlink"/>
            <w:color w:val="000000" w:themeColor="text1"/>
            <w:szCs w:val="20"/>
            <w:u w:val="none"/>
          </w:rPr>
          <w:t>https://www.census.gov/hhes/socdemo/language/</w:t>
        </w:r>
      </w:hyperlink>
      <w:r w:rsidRPr="00990651">
        <w:rPr>
          <w:color w:val="000000" w:themeColor="text1"/>
          <w:szCs w:val="20"/>
        </w:rPr>
        <w:t xml:space="preserve"> (last visited July 17, 2014).</w:t>
      </w:r>
    </w:p>
  </w:footnote>
  <w:footnote w:id="197">
    <w:p w14:paraId="01450858" w14:textId="6DDDA1D6"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smallCaps/>
          <w:color w:val="000000" w:themeColor="text1"/>
          <w:szCs w:val="20"/>
        </w:rPr>
        <w:t xml:space="preserve"> </w:t>
      </w:r>
      <w:proofErr w:type="gramStart"/>
      <w:r w:rsidRPr="00990651">
        <w:rPr>
          <w:smallCaps/>
          <w:color w:val="000000" w:themeColor="text1"/>
          <w:szCs w:val="20"/>
        </w:rPr>
        <w:t>P. R. Const.</w:t>
      </w:r>
      <w:r w:rsidR="00610353">
        <w:rPr>
          <w:color w:val="000000" w:themeColor="text1"/>
          <w:szCs w:val="20"/>
        </w:rPr>
        <w:t xml:space="preserve"> art.</w:t>
      </w:r>
      <w:proofErr w:type="gramEnd"/>
      <w:r w:rsidR="00610353">
        <w:rPr>
          <w:color w:val="000000" w:themeColor="text1"/>
          <w:szCs w:val="20"/>
        </w:rPr>
        <w:t xml:space="preserve"> </w:t>
      </w:r>
      <w:proofErr w:type="gramStart"/>
      <w:r w:rsidR="00610353">
        <w:rPr>
          <w:color w:val="000000" w:themeColor="text1"/>
          <w:szCs w:val="20"/>
        </w:rPr>
        <w:t>II, § </w:t>
      </w:r>
      <w:r w:rsidRPr="00990651">
        <w:rPr>
          <w:color w:val="000000" w:themeColor="text1"/>
          <w:szCs w:val="20"/>
        </w:rPr>
        <w:t>7.</w:t>
      </w:r>
      <w:proofErr w:type="gramEnd"/>
    </w:p>
  </w:footnote>
  <w:footnote w:id="198">
    <w:p w14:paraId="505DC603" w14:textId="5A812F4E" w:rsidR="003D1304" w:rsidRPr="00990651" w:rsidRDefault="003D1304" w:rsidP="00AE219D">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Puerto Rico jury rejects death penalty in drug dealer case</w:t>
      </w:r>
      <w:r w:rsidRPr="00990651">
        <w:rPr>
          <w:color w:val="000000" w:themeColor="text1"/>
          <w:szCs w:val="20"/>
        </w:rPr>
        <w:t xml:space="preserve">, </w:t>
      </w:r>
      <w:r w:rsidR="00610353">
        <w:rPr>
          <w:smallCaps/>
          <w:color w:val="000000" w:themeColor="text1"/>
          <w:szCs w:val="20"/>
        </w:rPr>
        <w:t>Chi.</w:t>
      </w:r>
      <w:r w:rsidRPr="00990651">
        <w:rPr>
          <w:smallCaps/>
          <w:color w:val="000000" w:themeColor="text1"/>
          <w:szCs w:val="20"/>
        </w:rPr>
        <w:t xml:space="preserve"> Tribune </w:t>
      </w:r>
      <w:r w:rsidRPr="00990651">
        <w:rPr>
          <w:color w:val="000000" w:themeColor="text1"/>
          <w:szCs w:val="20"/>
        </w:rPr>
        <w:t xml:space="preserve">(Sept. 27, 2012), available at </w:t>
      </w:r>
      <w:hyperlink r:id="rId9" w:history="1">
        <w:r w:rsidRPr="00990651">
          <w:rPr>
            <w:rStyle w:val="Hyperlink"/>
            <w:color w:val="000000" w:themeColor="text1"/>
            <w:szCs w:val="20"/>
            <w:u w:val="none"/>
          </w:rPr>
          <w:t>http://articles.chicagotribune.com/2012-09-27/news/sns-rt-us-puertorico-deathpenaltybre88q1uu-20120927_1_capital-punishment-death-penalty-puerto-rico</w:t>
        </w:r>
      </w:hyperlink>
      <w:r w:rsidR="00610353">
        <w:rPr>
          <w:rStyle w:val="Hyperlink"/>
          <w:color w:val="000000" w:themeColor="text1"/>
          <w:szCs w:val="20"/>
          <w:u w:val="none"/>
        </w:rPr>
        <w:t>.</w:t>
      </w:r>
      <w:r w:rsidRPr="00990651">
        <w:rPr>
          <w:color w:val="000000" w:themeColor="text1"/>
          <w:szCs w:val="20"/>
        </w:rPr>
        <w:t xml:space="preserve"> </w:t>
      </w:r>
    </w:p>
  </w:footnote>
  <w:footnote w:id="199">
    <w:p w14:paraId="38823F77" w14:textId="343A3EF2" w:rsidR="003D1304" w:rsidRPr="00610353" w:rsidRDefault="003D1304" w:rsidP="00AE219D">
      <w:pPr>
        <w:pStyle w:val="FootnoteText"/>
        <w:rPr>
          <w:color w:val="000000" w:themeColor="text1"/>
          <w:szCs w:val="20"/>
          <w:lang w:val="es-ES"/>
        </w:rPr>
      </w:pPr>
      <w:r w:rsidRPr="00990651">
        <w:rPr>
          <w:rStyle w:val="FootnoteReference"/>
          <w:color w:val="000000" w:themeColor="text1"/>
          <w:szCs w:val="20"/>
        </w:rPr>
        <w:footnoteRef/>
      </w:r>
      <w:r w:rsidRPr="00990651">
        <w:rPr>
          <w:color w:val="000000" w:themeColor="text1"/>
          <w:szCs w:val="20"/>
          <w:lang w:val="es-ES"/>
        </w:rPr>
        <w:t xml:space="preserve"> </w:t>
      </w:r>
      <w:r w:rsidRPr="00610353">
        <w:rPr>
          <w:color w:val="000000" w:themeColor="text1"/>
          <w:szCs w:val="20"/>
          <w:lang w:val="es-ES"/>
        </w:rPr>
        <w:t>Carmelo Campos Cruz</w:t>
      </w:r>
      <w:r w:rsidRPr="00990651">
        <w:rPr>
          <w:smallCaps/>
          <w:color w:val="000000" w:themeColor="text1"/>
          <w:szCs w:val="20"/>
          <w:lang w:val="es-ES"/>
        </w:rPr>
        <w:t xml:space="preserve">, </w:t>
      </w:r>
      <w:r w:rsidR="00610353">
        <w:rPr>
          <w:i/>
          <w:color w:val="000000" w:themeColor="text1"/>
          <w:szCs w:val="20"/>
          <w:lang w:val="es-ES"/>
        </w:rPr>
        <w:t xml:space="preserve">supra </w:t>
      </w:r>
      <w:r w:rsidR="00610353">
        <w:rPr>
          <w:color w:val="000000" w:themeColor="text1"/>
          <w:szCs w:val="20"/>
          <w:lang w:val="es-ES"/>
        </w:rPr>
        <w:t xml:space="preserve">note </w:t>
      </w:r>
      <w:r w:rsidR="00610353">
        <w:rPr>
          <w:color w:val="000000" w:themeColor="text1"/>
          <w:szCs w:val="20"/>
          <w:lang w:val="es-ES"/>
        </w:rPr>
        <w:fldChar w:fldCharType="begin"/>
      </w:r>
      <w:r w:rsidR="00610353">
        <w:rPr>
          <w:color w:val="000000" w:themeColor="text1"/>
          <w:szCs w:val="20"/>
          <w:lang w:val="es-ES"/>
        </w:rPr>
        <w:instrText xml:space="preserve"> NOTEREF _Ref394062310 \h </w:instrText>
      </w:r>
      <w:r w:rsidR="00610353">
        <w:rPr>
          <w:color w:val="000000" w:themeColor="text1"/>
          <w:szCs w:val="20"/>
          <w:lang w:val="es-ES"/>
        </w:rPr>
      </w:r>
      <w:r w:rsidR="00610353">
        <w:rPr>
          <w:color w:val="000000" w:themeColor="text1"/>
          <w:szCs w:val="20"/>
          <w:lang w:val="es-ES"/>
        </w:rPr>
        <w:fldChar w:fldCharType="separate"/>
      </w:r>
      <w:r w:rsidR="0099179D">
        <w:rPr>
          <w:color w:val="000000" w:themeColor="text1"/>
          <w:szCs w:val="20"/>
          <w:lang w:val="es-ES"/>
        </w:rPr>
        <w:t>190</w:t>
      </w:r>
      <w:r w:rsidR="00610353">
        <w:rPr>
          <w:color w:val="000000" w:themeColor="text1"/>
          <w:szCs w:val="20"/>
          <w:lang w:val="es-ES"/>
        </w:rPr>
        <w:fldChar w:fldCharType="end"/>
      </w:r>
      <w:r w:rsidR="00610353">
        <w:rPr>
          <w:color w:val="000000" w:themeColor="text1"/>
          <w:szCs w:val="20"/>
          <w:lang w:val="es-ES"/>
        </w:rPr>
        <w:t>.</w:t>
      </w:r>
    </w:p>
  </w:footnote>
  <w:footnote w:id="200">
    <w:p w14:paraId="3A15A48E" w14:textId="77777777" w:rsidR="003D1304" w:rsidRPr="00990651" w:rsidRDefault="003D1304" w:rsidP="000A01B3">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610353">
        <w:rPr>
          <w:color w:val="000000" w:themeColor="text1"/>
          <w:szCs w:val="20"/>
        </w:rPr>
        <w:t xml:space="preserve">Puerto Rican Coalition </w:t>
      </w:r>
      <w:proofErr w:type="gramStart"/>
      <w:r w:rsidRPr="00610353">
        <w:rPr>
          <w:color w:val="000000" w:themeColor="text1"/>
          <w:szCs w:val="20"/>
        </w:rPr>
        <w:t>Against</w:t>
      </w:r>
      <w:proofErr w:type="gramEnd"/>
      <w:r w:rsidRPr="00610353">
        <w:rPr>
          <w:color w:val="000000" w:themeColor="text1"/>
          <w:szCs w:val="20"/>
        </w:rPr>
        <w:t xml:space="preserve"> the Death Penalty</w:t>
      </w:r>
      <w:r w:rsidRPr="00990651">
        <w:rPr>
          <w:color w:val="000000" w:themeColor="text1"/>
          <w:szCs w:val="20"/>
        </w:rPr>
        <w:t xml:space="preserve">, </w:t>
      </w:r>
      <w:r w:rsidRPr="00610353">
        <w:rPr>
          <w:color w:val="000000" w:themeColor="text1"/>
          <w:szCs w:val="20"/>
        </w:rPr>
        <w:t>Annual Report 2012</w:t>
      </w:r>
      <w:r w:rsidRPr="00990651">
        <w:rPr>
          <w:color w:val="000000" w:themeColor="text1"/>
          <w:szCs w:val="20"/>
        </w:rPr>
        <w:t xml:space="preserve">, </w:t>
      </w:r>
      <w:r w:rsidRPr="00990651">
        <w:rPr>
          <w:i/>
          <w:color w:val="000000" w:themeColor="text1"/>
          <w:szCs w:val="20"/>
        </w:rPr>
        <w:t>available at</w:t>
      </w:r>
      <w:r w:rsidRPr="00990651">
        <w:rPr>
          <w:color w:val="000000" w:themeColor="text1"/>
          <w:szCs w:val="20"/>
        </w:rPr>
        <w:t xml:space="preserve"> </w:t>
      </w:r>
      <w:hyperlink r:id="rId10" w:history="1">
        <w:r w:rsidRPr="00990651">
          <w:rPr>
            <w:rStyle w:val="Hyperlink"/>
            <w:color w:val="000000" w:themeColor="text1"/>
            <w:szCs w:val="20"/>
            <w:u w:val="none"/>
          </w:rPr>
          <w:t>http://www.worldcoalition.org/media/resourcecenter/PRCADP-AnnualReport2012-EN.pdf</w:t>
        </w:r>
      </w:hyperlink>
      <w:r w:rsidRPr="00990651">
        <w:rPr>
          <w:color w:val="000000" w:themeColor="text1"/>
          <w:szCs w:val="20"/>
        </w:rPr>
        <w:t xml:space="preserve"> (last visited July 10, 2014).</w:t>
      </w:r>
    </w:p>
  </w:footnote>
  <w:footnote w:id="201">
    <w:p w14:paraId="6B56A47D" w14:textId="117D04C5" w:rsidR="003D1304" w:rsidRPr="00990651" w:rsidRDefault="003D1304" w:rsidP="000A01B3">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610353">
        <w:rPr>
          <w:color w:val="000000" w:themeColor="text1"/>
          <w:szCs w:val="20"/>
        </w:rPr>
        <w:t xml:space="preserve">Sharon Ennis, </w:t>
      </w:r>
      <w:proofErr w:type="spellStart"/>
      <w:r w:rsidRPr="00610353">
        <w:rPr>
          <w:color w:val="000000" w:themeColor="text1"/>
          <w:szCs w:val="20"/>
        </w:rPr>
        <w:t>Merarys</w:t>
      </w:r>
      <w:proofErr w:type="spellEnd"/>
      <w:r w:rsidRPr="00610353">
        <w:rPr>
          <w:color w:val="000000" w:themeColor="text1"/>
          <w:szCs w:val="20"/>
        </w:rPr>
        <w:t xml:space="preserve"> Ríos-Vargas and Nora G. Albert</w:t>
      </w:r>
      <w:r w:rsidRPr="00990651">
        <w:rPr>
          <w:smallCaps/>
          <w:color w:val="000000" w:themeColor="text1"/>
          <w:szCs w:val="20"/>
        </w:rPr>
        <w:t>,</w:t>
      </w:r>
      <w:r w:rsidRPr="00990651">
        <w:rPr>
          <w:color w:val="000000" w:themeColor="text1"/>
          <w:szCs w:val="20"/>
        </w:rPr>
        <w:t xml:space="preserve"> </w:t>
      </w:r>
      <w:r w:rsidRPr="00990651">
        <w:rPr>
          <w:i/>
          <w:color w:val="000000" w:themeColor="text1"/>
          <w:szCs w:val="20"/>
        </w:rPr>
        <w:t>The Hispanic Population: 2010</w:t>
      </w:r>
      <w:r w:rsidR="00610353">
        <w:rPr>
          <w:color w:val="000000" w:themeColor="text1"/>
          <w:szCs w:val="20"/>
        </w:rPr>
        <w:t xml:space="preserve">, </w:t>
      </w:r>
      <w:r w:rsidRPr="00990651">
        <w:rPr>
          <w:color w:val="000000" w:themeColor="text1"/>
          <w:szCs w:val="20"/>
        </w:rPr>
        <w:t xml:space="preserve">US Census Bureau (May 2011), </w:t>
      </w:r>
      <w:r w:rsidRPr="00990651">
        <w:rPr>
          <w:i/>
          <w:color w:val="000000" w:themeColor="text1"/>
          <w:szCs w:val="20"/>
        </w:rPr>
        <w:t>available at</w:t>
      </w:r>
      <w:r w:rsidRPr="00990651">
        <w:rPr>
          <w:color w:val="000000" w:themeColor="text1"/>
          <w:szCs w:val="20"/>
        </w:rPr>
        <w:t xml:space="preserve"> </w:t>
      </w:r>
      <w:hyperlink r:id="rId11" w:history="1">
        <w:r w:rsidRPr="00990651">
          <w:rPr>
            <w:color w:val="000000" w:themeColor="text1"/>
            <w:szCs w:val="20"/>
          </w:rPr>
          <w:t>http://www.census.gov/prod/cen2010/briefs/c2010br-04.pdf</w:t>
        </w:r>
      </w:hyperlink>
      <w:r w:rsidRPr="00990651">
        <w:rPr>
          <w:color w:val="000000" w:themeColor="text1"/>
          <w:szCs w:val="20"/>
        </w:rPr>
        <w:t xml:space="preserve"> (last visited July 21, 2014).</w:t>
      </w:r>
    </w:p>
  </w:footnote>
  <w:footnote w:id="202">
    <w:p w14:paraId="75F1457F" w14:textId="77777777" w:rsidR="003D1304" w:rsidRPr="00990651" w:rsidRDefault="003D1304" w:rsidP="000A01B3">
      <w:pPr>
        <w:pStyle w:val="FootnoteText"/>
        <w:rPr>
          <w:color w:val="000000" w:themeColor="text1"/>
          <w:szCs w:val="20"/>
          <w:lang w:val="es-ES"/>
        </w:rPr>
      </w:pPr>
      <w:r w:rsidRPr="00990651">
        <w:rPr>
          <w:rStyle w:val="FootnoteReference"/>
          <w:color w:val="000000" w:themeColor="text1"/>
          <w:szCs w:val="20"/>
        </w:rPr>
        <w:footnoteRef/>
      </w:r>
      <w:r w:rsidRPr="00990651">
        <w:rPr>
          <w:color w:val="000000" w:themeColor="text1"/>
          <w:szCs w:val="20"/>
          <w:lang w:val="es-ES"/>
        </w:rPr>
        <w:t xml:space="preserve"> </w:t>
      </w:r>
      <w:r w:rsidRPr="00610353">
        <w:rPr>
          <w:color w:val="000000" w:themeColor="text1"/>
          <w:szCs w:val="20"/>
          <w:lang w:val="es-ES"/>
        </w:rPr>
        <w:t xml:space="preserve">Instituto de </w:t>
      </w:r>
      <w:proofErr w:type="spellStart"/>
      <w:r w:rsidRPr="00610353">
        <w:rPr>
          <w:color w:val="000000" w:themeColor="text1"/>
          <w:szCs w:val="20"/>
          <w:lang w:val="es-ES"/>
        </w:rPr>
        <w:t>Investigacion</w:t>
      </w:r>
      <w:proofErr w:type="spellEnd"/>
      <w:r w:rsidRPr="00610353">
        <w:rPr>
          <w:color w:val="000000" w:themeColor="text1"/>
          <w:szCs w:val="20"/>
          <w:lang w:val="es-ES"/>
        </w:rPr>
        <w:t xml:space="preserve"> y </w:t>
      </w:r>
      <w:proofErr w:type="spellStart"/>
      <w:r w:rsidRPr="00610353">
        <w:rPr>
          <w:color w:val="000000" w:themeColor="text1"/>
          <w:szCs w:val="20"/>
          <w:lang w:val="es-ES"/>
        </w:rPr>
        <w:t>Promocion</w:t>
      </w:r>
      <w:proofErr w:type="spellEnd"/>
      <w:r w:rsidRPr="00610353">
        <w:rPr>
          <w:color w:val="000000" w:themeColor="text1"/>
          <w:szCs w:val="20"/>
          <w:lang w:val="es-ES"/>
        </w:rPr>
        <w:t xml:space="preserve"> de los Derechos Humanos</w:t>
      </w:r>
      <w:r w:rsidRPr="00990651">
        <w:rPr>
          <w:color w:val="000000" w:themeColor="text1"/>
          <w:szCs w:val="20"/>
          <w:lang w:val="es-ES"/>
        </w:rPr>
        <w:t xml:space="preserve">, </w:t>
      </w:r>
      <w:r w:rsidRPr="00990651">
        <w:rPr>
          <w:i/>
          <w:color w:val="000000" w:themeColor="text1"/>
          <w:szCs w:val="20"/>
          <w:lang w:val="es-ES"/>
        </w:rPr>
        <w:t>Puertorriqueños y Descendientes de Puertorriqueños en Espera de Ejecución en los Estados Unidos</w:t>
      </w:r>
      <w:r w:rsidRPr="00990651">
        <w:rPr>
          <w:color w:val="000000" w:themeColor="text1"/>
          <w:szCs w:val="20"/>
          <w:lang w:val="es-ES"/>
        </w:rPr>
        <w:t xml:space="preserve"> (</w:t>
      </w:r>
      <w:proofErr w:type="spellStart"/>
      <w:r w:rsidRPr="00990651">
        <w:rPr>
          <w:color w:val="000000" w:themeColor="text1"/>
          <w:szCs w:val="20"/>
          <w:lang w:val="es-ES"/>
        </w:rPr>
        <w:t>March</w:t>
      </w:r>
      <w:proofErr w:type="spellEnd"/>
      <w:r w:rsidRPr="00990651">
        <w:rPr>
          <w:color w:val="000000" w:themeColor="text1"/>
          <w:szCs w:val="20"/>
          <w:lang w:val="es-ES"/>
        </w:rPr>
        <w:t xml:space="preserve"> 12, 2011).</w:t>
      </w:r>
    </w:p>
  </w:footnote>
  <w:footnote w:id="203">
    <w:p w14:paraId="4403FD2B" w14:textId="689AF64F" w:rsidR="003D1304" w:rsidRPr="00990651" w:rsidRDefault="003D1304" w:rsidP="000A01B3">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proofErr w:type="gramStart"/>
      <w:r w:rsidRPr="000D3119">
        <w:rPr>
          <w:color w:val="000000" w:themeColor="text1"/>
          <w:szCs w:val="20"/>
        </w:rPr>
        <w:t>Criminal Justice Project of the NAACP Legal Defense and Educational Fund, Inc.</w:t>
      </w:r>
      <w:r w:rsidRPr="00990651">
        <w:rPr>
          <w:color w:val="000000" w:themeColor="text1"/>
          <w:szCs w:val="20"/>
        </w:rPr>
        <w:t xml:space="preserve">, </w:t>
      </w:r>
      <w:r w:rsidRPr="000D3119">
        <w:rPr>
          <w:color w:val="000000" w:themeColor="text1"/>
          <w:szCs w:val="20"/>
        </w:rPr>
        <w:t>Death Row U.S.A.,</w:t>
      </w:r>
      <w:r w:rsidR="000D3119">
        <w:rPr>
          <w:color w:val="000000" w:themeColor="text1"/>
          <w:szCs w:val="20"/>
        </w:rPr>
        <w:t xml:space="preserve"> </w:t>
      </w:r>
      <w:r w:rsidR="000D3119" w:rsidRPr="000D3119">
        <w:rPr>
          <w:color w:val="000000" w:themeColor="text1"/>
          <w:szCs w:val="20"/>
        </w:rPr>
        <w:t>(</w:t>
      </w:r>
      <w:r w:rsidRPr="000D3119">
        <w:rPr>
          <w:color w:val="000000" w:themeColor="text1"/>
          <w:szCs w:val="20"/>
        </w:rPr>
        <w:t>Winter 2011</w:t>
      </w:r>
      <w:r w:rsidR="000D3119">
        <w:rPr>
          <w:color w:val="000000" w:themeColor="text1"/>
          <w:szCs w:val="20"/>
        </w:rPr>
        <w:t>)</w:t>
      </w:r>
      <w:r w:rsidRPr="000D3119">
        <w:rPr>
          <w:color w:val="000000" w:themeColor="text1"/>
          <w:szCs w:val="20"/>
        </w:rPr>
        <w:t>,</w:t>
      </w:r>
      <w:r w:rsidRPr="00990651">
        <w:rPr>
          <w:color w:val="000000" w:themeColor="text1"/>
          <w:szCs w:val="20"/>
        </w:rPr>
        <w:t xml:space="preserve"> available at </w:t>
      </w:r>
      <w:hyperlink r:id="rId12" w:history="1">
        <w:r w:rsidRPr="00990651">
          <w:rPr>
            <w:rStyle w:val="Hyperlink"/>
            <w:color w:val="000000" w:themeColor="text1"/>
            <w:szCs w:val="20"/>
            <w:u w:val="none"/>
          </w:rPr>
          <w:t>http://www.naacpldf.org/files/publications/DRUSA_Winter_2011.pdf</w:t>
        </w:r>
      </w:hyperlink>
      <w:r w:rsidRPr="00990651">
        <w:rPr>
          <w:color w:val="000000" w:themeColor="text1"/>
          <w:szCs w:val="20"/>
        </w:rPr>
        <w:t xml:space="preserve"> (last visited July 21, 2014).</w:t>
      </w:r>
      <w:proofErr w:type="gramEnd"/>
    </w:p>
  </w:footnote>
  <w:footnote w:id="204">
    <w:p w14:paraId="681420FA" w14:textId="77777777" w:rsidR="003D1304" w:rsidRPr="00990651" w:rsidRDefault="003D1304" w:rsidP="000A01B3">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0D3119">
        <w:rPr>
          <w:color w:val="000000" w:themeColor="text1"/>
          <w:szCs w:val="20"/>
        </w:rPr>
        <w:t>Death Penalty Information Center</w:t>
      </w:r>
      <w:r w:rsidRPr="00990651">
        <w:rPr>
          <w:smallCaps/>
          <w:color w:val="000000" w:themeColor="text1"/>
          <w:szCs w:val="20"/>
        </w:rPr>
        <w:t xml:space="preserve">, </w:t>
      </w:r>
      <w:r w:rsidRPr="000D3119">
        <w:rPr>
          <w:color w:val="000000" w:themeColor="text1"/>
          <w:szCs w:val="20"/>
        </w:rPr>
        <w:t>Innocence: List of Those Freed from Death Row</w:t>
      </w:r>
      <w:r w:rsidRPr="00990651">
        <w:rPr>
          <w:color w:val="000000" w:themeColor="text1"/>
          <w:szCs w:val="20"/>
        </w:rPr>
        <w:t xml:space="preserve">, </w:t>
      </w:r>
      <w:hyperlink r:id="rId13" w:history="1">
        <w:r w:rsidRPr="00990651">
          <w:rPr>
            <w:rStyle w:val="Hyperlink"/>
            <w:color w:val="000000" w:themeColor="text1"/>
            <w:szCs w:val="20"/>
            <w:u w:val="none"/>
          </w:rPr>
          <w:t>http://www.deathpenaltyinfo.org/innocence-list-those-freed-death-row?scid=6&amp;did=110</w:t>
        </w:r>
      </w:hyperlink>
      <w:r w:rsidRPr="00990651">
        <w:rPr>
          <w:color w:val="000000" w:themeColor="text1"/>
          <w:szCs w:val="20"/>
        </w:rPr>
        <w:t xml:space="preserve"> (last visited July 10, 2014). Since 1973, 144 individuals have been exonerated from death row. </w:t>
      </w:r>
      <w:r w:rsidRPr="00990651">
        <w:rPr>
          <w:i/>
          <w:color w:val="000000" w:themeColor="text1"/>
          <w:szCs w:val="20"/>
        </w:rPr>
        <w:t>Id.</w:t>
      </w:r>
      <w:r w:rsidRPr="00990651">
        <w:rPr>
          <w:color w:val="000000" w:themeColor="text1"/>
          <w:szCs w:val="20"/>
        </w:rPr>
        <w:t xml:space="preserve"> </w:t>
      </w:r>
    </w:p>
  </w:footnote>
  <w:footnote w:id="205">
    <w:p w14:paraId="67420629" w14:textId="770EC986" w:rsidR="003D1304" w:rsidRPr="000D3119" w:rsidRDefault="003D1304" w:rsidP="000A01B3">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000D3119">
        <w:rPr>
          <w:color w:val="000000" w:themeColor="text1"/>
          <w:szCs w:val="20"/>
        </w:rPr>
        <w:t>S. Gross</w:t>
      </w:r>
      <w:r w:rsidRPr="000D3119">
        <w:rPr>
          <w:color w:val="000000" w:themeColor="text1"/>
          <w:szCs w:val="20"/>
        </w:rPr>
        <w:t xml:space="preserve"> et al.</w:t>
      </w:r>
      <w:r w:rsidRPr="00990651">
        <w:rPr>
          <w:color w:val="000000" w:themeColor="text1"/>
          <w:szCs w:val="20"/>
        </w:rPr>
        <w:t xml:space="preserve">, </w:t>
      </w:r>
      <w:hyperlink r:id="rId14" w:history="1">
        <w:proofErr w:type="gramStart"/>
        <w:r w:rsidRPr="000D3119">
          <w:rPr>
            <w:rStyle w:val="Hyperlink"/>
            <w:i/>
            <w:color w:val="000000" w:themeColor="text1"/>
            <w:szCs w:val="20"/>
            <w:u w:val="none"/>
          </w:rPr>
          <w:t>The</w:t>
        </w:r>
        <w:proofErr w:type="gramEnd"/>
        <w:r w:rsidRPr="000D3119">
          <w:rPr>
            <w:rStyle w:val="Hyperlink"/>
            <w:i/>
            <w:color w:val="000000" w:themeColor="text1"/>
            <w:szCs w:val="20"/>
            <w:u w:val="none"/>
          </w:rPr>
          <w:t xml:space="preserve"> Rate of False Conviction of Criminal Defendants Who are Sentenced to Death</w:t>
        </w:r>
      </w:hyperlink>
      <w:r w:rsidR="000D3119">
        <w:rPr>
          <w:color w:val="000000" w:themeColor="text1"/>
          <w:szCs w:val="20"/>
        </w:rPr>
        <w:t>,</w:t>
      </w:r>
      <w:r w:rsidRPr="00990651">
        <w:rPr>
          <w:color w:val="000000" w:themeColor="text1"/>
          <w:szCs w:val="20"/>
        </w:rPr>
        <w:t xml:space="preserve"> </w:t>
      </w:r>
      <w:r w:rsidRPr="000D3119">
        <w:rPr>
          <w:smallCaps/>
          <w:color w:val="000000" w:themeColor="text1"/>
          <w:szCs w:val="20"/>
        </w:rPr>
        <w:t>Proceedings of the National Academy of Sciences</w:t>
      </w:r>
      <w:r w:rsidRPr="00990651">
        <w:rPr>
          <w:color w:val="000000" w:themeColor="text1"/>
          <w:szCs w:val="20"/>
        </w:rPr>
        <w:t xml:space="preserve">, April 28, 2014. This statistic represents the estimated prevalence from 1973 to 2004. </w:t>
      </w:r>
      <w:r w:rsidR="000D3119">
        <w:rPr>
          <w:color w:val="000000" w:themeColor="text1"/>
          <w:szCs w:val="20"/>
        </w:rPr>
        <w:t>Ibid.</w:t>
      </w:r>
    </w:p>
  </w:footnote>
  <w:footnote w:id="206">
    <w:p w14:paraId="6AF34FF3" w14:textId="318B9DDC" w:rsidR="003D1304" w:rsidRPr="000D3119" w:rsidRDefault="003D1304" w:rsidP="000A01B3">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0D3119">
        <w:rPr>
          <w:color w:val="000000" w:themeColor="text1"/>
          <w:szCs w:val="20"/>
        </w:rPr>
        <w:t>Death Penalty Information Center</w:t>
      </w:r>
      <w:r w:rsidRPr="00990651">
        <w:rPr>
          <w:smallCaps/>
          <w:color w:val="000000" w:themeColor="text1"/>
          <w:szCs w:val="20"/>
        </w:rPr>
        <w:t xml:space="preserve">, </w:t>
      </w:r>
      <w:r w:rsidR="000D3119">
        <w:rPr>
          <w:i/>
          <w:color w:val="000000" w:themeColor="text1"/>
          <w:szCs w:val="20"/>
        </w:rPr>
        <w:t>supra</w:t>
      </w:r>
      <w:r w:rsidR="000D3119">
        <w:rPr>
          <w:color w:val="000000" w:themeColor="text1"/>
          <w:szCs w:val="20"/>
        </w:rPr>
        <w:t xml:space="preserve"> note </w:t>
      </w:r>
      <w:r w:rsidR="000D3119">
        <w:rPr>
          <w:color w:val="000000" w:themeColor="text1"/>
          <w:szCs w:val="20"/>
        </w:rPr>
        <w:fldChar w:fldCharType="begin"/>
      </w:r>
      <w:r w:rsidR="000D3119">
        <w:rPr>
          <w:color w:val="000000" w:themeColor="text1"/>
          <w:szCs w:val="20"/>
        </w:rPr>
        <w:instrText xml:space="preserve"> NOTEREF _Ref394062495 \h </w:instrText>
      </w:r>
      <w:r w:rsidR="000D3119">
        <w:rPr>
          <w:color w:val="000000" w:themeColor="text1"/>
          <w:szCs w:val="20"/>
        </w:rPr>
      </w:r>
      <w:r w:rsidR="000D3119">
        <w:rPr>
          <w:color w:val="000000" w:themeColor="text1"/>
          <w:szCs w:val="20"/>
        </w:rPr>
        <w:fldChar w:fldCharType="separate"/>
      </w:r>
      <w:r w:rsidR="0099179D">
        <w:rPr>
          <w:color w:val="000000" w:themeColor="text1"/>
          <w:szCs w:val="20"/>
        </w:rPr>
        <w:t>203</w:t>
      </w:r>
      <w:r w:rsidR="000D3119">
        <w:rPr>
          <w:color w:val="000000" w:themeColor="text1"/>
          <w:szCs w:val="20"/>
        </w:rPr>
        <w:fldChar w:fldCharType="end"/>
      </w:r>
      <w:r w:rsidR="000D3119">
        <w:rPr>
          <w:color w:val="000000" w:themeColor="text1"/>
          <w:szCs w:val="20"/>
        </w:rPr>
        <w:t>.</w:t>
      </w:r>
    </w:p>
  </w:footnote>
  <w:footnote w:id="207">
    <w:p w14:paraId="134EFD30" w14:textId="77777777" w:rsidR="003D1304" w:rsidRPr="00990651" w:rsidRDefault="003D1304" w:rsidP="000A01B3">
      <w:pPr>
        <w:pStyle w:val="FootnoteText"/>
        <w:rPr>
          <w:color w:val="000000" w:themeColor="text1"/>
          <w:szCs w:val="20"/>
        </w:rPr>
      </w:pPr>
      <w:r w:rsidRPr="00990651">
        <w:rPr>
          <w:rStyle w:val="FootnoteReference"/>
          <w:color w:val="000000" w:themeColor="text1"/>
          <w:szCs w:val="20"/>
        </w:rPr>
        <w:footnoteRef/>
      </w:r>
      <w:r w:rsidRPr="00990651">
        <w:rPr>
          <w:color w:val="000000" w:themeColor="text1"/>
          <w:szCs w:val="20"/>
        </w:rPr>
        <w:t xml:space="preserve"> </w:t>
      </w:r>
      <w:r w:rsidRPr="00990651">
        <w:rPr>
          <w:i/>
          <w:color w:val="000000" w:themeColor="text1"/>
          <w:szCs w:val="20"/>
        </w:rPr>
        <w:t>See, e.g.</w:t>
      </w:r>
      <w:r w:rsidRPr="00990651">
        <w:rPr>
          <w:color w:val="000000" w:themeColor="text1"/>
          <w:szCs w:val="20"/>
        </w:rPr>
        <w:t xml:space="preserve">, </w:t>
      </w:r>
      <w:r w:rsidRPr="00990651">
        <w:rPr>
          <w:i/>
          <w:color w:val="000000" w:themeColor="text1"/>
          <w:szCs w:val="20"/>
        </w:rPr>
        <w:t>Protect the Innocent: Florida’s Governor Must Veto the ‘Timely Justice Act</w:t>
      </w:r>
      <w:r w:rsidRPr="00990651">
        <w:rPr>
          <w:color w:val="000000" w:themeColor="text1"/>
          <w:szCs w:val="20"/>
        </w:rPr>
        <w:t xml:space="preserve">,’ </w:t>
      </w:r>
      <w:r w:rsidRPr="00990651">
        <w:rPr>
          <w:smallCaps/>
          <w:color w:val="000000" w:themeColor="text1"/>
          <w:szCs w:val="20"/>
        </w:rPr>
        <w:t>Huffington Post</w:t>
      </w:r>
      <w:r w:rsidRPr="00990651">
        <w:rPr>
          <w:color w:val="000000" w:themeColor="text1"/>
          <w:szCs w:val="20"/>
        </w:rPr>
        <w:t xml:space="preserve">, </w:t>
      </w:r>
      <w:hyperlink r:id="rId15" w:history="1">
        <w:r w:rsidRPr="00990651">
          <w:rPr>
            <w:rStyle w:val="Hyperlink"/>
            <w:color w:val="000000" w:themeColor="text1"/>
            <w:szCs w:val="20"/>
            <w:u w:val="none"/>
          </w:rPr>
          <w:t>http://www.huffingtonpost.com/juan-melendez/florida-timely-justice-act_b_3285154.html</w:t>
        </w:r>
      </w:hyperlink>
      <w:r w:rsidRPr="00990651">
        <w:rPr>
          <w:color w:val="000000" w:themeColor="text1"/>
          <w:szCs w:val="20"/>
        </w:rPr>
        <w:t xml:space="preserve"> (last visited July 10,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FEEAF9C"/>
    <w:lvl w:ilvl="0">
      <w:start w:val="1"/>
      <w:numFmt w:val="decimal"/>
      <w:pStyle w:val="ListNumber5"/>
      <w:lvlText w:val="%1."/>
      <w:lvlJc w:val="left"/>
      <w:pPr>
        <w:tabs>
          <w:tab w:val="num" w:pos="2160"/>
        </w:tabs>
        <w:ind w:left="0" w:firstLine="1440"/>
      </w:pPr>
      <w:rPr>
        <w:rFonts w:hint="default"/>
        <w:u w:val="none"/>
      </w:rPr>
    </w:lvl>
  </w:abstractNum>
  <w:abstractNum w:abstractNumId="1">
    <w:nsid w:val="FFFFFF80"/>
    <w:multiLevelType w:val="singleLevel"/>
    <w:tmpl w:val="719E2234"/>
    <w:lvl w:ilvl="0">
      <w:start w:val="1"/>
      <w:numFmt w:val="bullet"/>
      <w:pStyle w:val="ListBullet5"/>
      <w:lvlText w:val=""/>
      <w:lvlJc w:val="left"/>
      <w:pPr>
        <w:tabs>
          <w:tab w:val="num" w:pos="3600"/>
        </w:tabs>
        <w:ind w:left="3600" w:hanging="720"/>
      </w:pPr>
      <w:rPr>
        <w:rFonts w:ascii="Symbol" w:hAnsi="Symbol" w:hint="default"/>
        <w:sz w:val="22"/>
      </w:rPr>
    </w:lvl>
  </w:abstractNum>
  <w:abstractNum w:abstractNumId="2">
    <w:nsid w:val="FFFFFF81"/>
    <w:multiLevelType w:val="singleLevel"/>
    <w:tmpl w:val="5248FF32"/>
    <w:lvl w:ilvl="0">
      <w:start w:val="1"/>
      <w:numFmt w:val="bullet"/>
      <w:pStyle w:val="ListBullet4"/>
      <w:lvlText w:val=""/>
      <w:lvlJc w:val="left"/>
      <w:pPr>
        <w:tabs>
          <w:tab w:val="num" w:pos="2880"/>
        </w:tabs>
        <w:ind w:left="2880" w:hanging="720"/>
      </w:pPr>
      <w:rPr>
        <w:rFonts w:ascii="Symbol" w:hAnsi="Symbol" w:hint="default"/>
        <w:sz w:val="22"/>
      </w:rPr>
    </w:lvl>
  </w:abstractNum>
  <w:abstractNum w:abstractNumId="3">
    <w:nsid w:val="FFFFFF82"/>
    <w:multiLevelType w:val="singleLevel"/>
    <w:tmpl w:val="9268392A"/>
    <w:lvl w:ilvl="0">
      <w:start w:val="1"/>
      <w:numFmt w:val="bullet"/>
      <w:pStyle w:val="ListBullet3"/>
      <w:lvlText w:val=""/>
      <w:lvlJc w:val="left"/>
      <w:pPr>
        <w:tabs>
          <w:tab w:val="num" w:pos="2160"/>
        </w:tabs>
        <w:ind w:left="2160" w:hanging="720"/>
      </w:pPr>
      <w:rPr>
        <w:rFonts w:ascii="Symbol" w:hAnsi="Symbol" w:hint="default"/>
        <w:sz w:val="22"/>
      </w:rPr>
    </w:lvl>
  </w:abstractNum>
  <w:abstractNum w:abstractNumId="4">
    <w:nsid w:val="FFFFFF83"/>
    <w:multiLevelType w:val="singleLevel"/>
    <w:tmpl w:val="154A165A"/>
    <w:lvl w:ilvl="0">
      <w:start w:val="1"/>
      <w:numFmt w:val="bullet"/>
      <w:pStyle w:val="ListBullet2"/>
      <w:lvlText w:val=""/>
      <w:lvlJc w:val="left"/>
      <w:pPr>
        <w:tabs>
          <w:tab w:val="num" w:pos="1440"/>
        </w:tabs>
        <w:ind w:left="1440" w:hanging="720"/>
      </w:pPr>
      <w:rPr>
        <w:rFonts w:ascii="Symbol" w:hAnsi="Symbol" w:hint="default"/>
        <w:sz w:val="22"/>
      </w:rPr>
    </w:lvl>
  </w:abstractNum>
  <w:abstractNum w:abstractNumId="5">
    <w:nsid w:val="159B1590"/>
    <w:multiLevelType w:val="singleLevel"/>
    <w:tmpl w:val="D24A1414"/>
    <w:lvl w:ilvl="0">
      <w:start w:val="1"/>
      <w:numFmt w:val="decimal"/>
      <w:pStyle w:val="ListNumber4"/>
      <w:lvlText w:val="%1."/>
      <w:lvlJc w:val="left"/>
      <w:pPr>
        <w:tabs>
          <w:tab w:val="num" w:pos="1440"/>
        </w:tabs>
        <w:ind w:left="0" w:firstLine="720"/>
      </w:pPr>
      <w:rPr>
        <w:rFonts w:hint="default"/>
        <w:u w:val="none"/>
      </w:rPr>
    </w:lvl>
  </w:abstractNum>
  <w:abstractNum w:abstractNumId="6">
    <w:nsid w:val="1C675E84"/>
    <w:multiLevelType w:val="singleLevel"/>
    <w:tmpl w:val="478E6684"/>
    <w:lvl w:ilvl="0">
      <w:start w:val="1"/>
      <w:numFmt w:val="upperLetter"/>
      <w:pStyle w:val="ListNumberA"/>
      <w:lvlText w:val="%1."/>
      <w:lvlJc w:val="left"/>
      <w:pPr>
        <w:ind w:left="0" w:firstLine="720"/>
      </w:pPr>
      <w:rPr>
        <w:rFonts w:hint="default"/>
        <w:u w:val="none"/>
      </w:rPr>
    </w:lvl>
  </w:abstractNum>
  <w:abstractNum w:abstractNumId="7">
    <w:nsid w:val="1E097334"/>
    <w:multiLevelType w:val="multilevel"/>
    <w:tmpl w:val="04090023"/>
    <w:styleLink w:val="ArticleSection"/>
    <w:lvl w:ilvl="0">
      <w:start w:val="1"/>
      <w:numFmt w:val="upperRoman"/>
      <w:lvlText w:val="Article %1."/>
      <w:lvlJc w:val="left"/>
      <w:pPr>
        <w:ind w:left="0" w:firstLine="0"/>
      </w:pPr>
      <w:rPr>
        <w:sz w:val="24"/>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8">
    <w:nsid w:val="1F6654AB"/>
    <w:multiLevelType w:val="hybridMultilevel"/>
    <w:tmpl w:val="C622A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C40EE1"/>
    <w:multiLevelType w:val="hybridMultilevel"/>
    <w:tmpl w:val="2326B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673786"/>
    <w:multiLevelType w:val="hybridMultilevel"/>
    <w:tmpl w:val="89D0518C"/>
    <w:lvl w:ilvl="0" w:tplc="0409000F">
      <w:start w:val="1"/>
      <w:numFmt w:val="decimal"/>
      <w:lvlText w:val="%1."/>
      <w:lvlJc w:val="left"/>
      <w:pPr>
        <w:ind w:left="360" w:hanging="360"/>
      </w:pPr>
      <w:rPr>
        <w:rFonts w:hint="default"/>
      </w:rPr>
    </w:lvl>
    <w:lvl w:ilvl="1" w:tplc="04090003">
      <w:start w:val="1"/>
      <w:numFmt w:val="bullet"/>
      <w:lvlText w:val="o"/>
      <w:lvlJc w:val="left"/>
      <w:pPr>
        <w:ind w:left="117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7B1CE3"/>
    <w:multiLevelType w:val="multilevel"/>
    <w:tmpl w:val="0409001F"/>
    <w:styleLink w:val="111111"/>
    <w:lvl w:ilvl="0">
      <w:start w:val="1"/>
      <w:numFmt w:val="decimal"/>
      <w:lvlText w:val="%1."/>
      <w:lvlJc w:val="left"/>
      <w:pPr>
        <w:ind w:left="360" w:hanging="360"/>
      </w:pPr>
      <w:rPr>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7513B4A"/>
    <w:multiLevelType w:val="hybridMultilevel"/>
    <w:tmpl w:val="65DC10F4"/>
    <w:lvl w:ilvl="0" w:tplc="3ED4BB50">
      <w:start w:val="1"/>
      <w:numFmt w:val="decimal"/>
      <w:pStyle w:val="CellNumber"/>
      <w:suff w:val="nothing"/>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891EDF"/>
    <w:multiLevelType w:val="hybridMultilevel"/>
    <w:tmpl w:val="344A419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4">
    <w:nsid w:val="4A247B4D"/>
    <w:multiLevelType w:val="singleLevel"/>
    <w:tmpl w:val="1EB8CD66"/>
    <w:lvl w:ilvl="0">
      <w:start w:val="1"/>
      <w:numFmt w:val="decimal"/>
      <w:pStyle w:val="ListNumber2"/>
      <w:lvlText w:val="%1."/>
      <w:lvlJc w:val="left"/>
      <w:pPr>
        <w:tabs>
          <w:tab w:val="num" w:pos="1440"/>
        </w:tabs>
        <w:ind w:left="1440" w:hanging="720"/>
      </w:pPr>
      <w:rPr>
        <w:u w:val="none"/>
      </w:rPr>
    </w:lvl>
  </w:abstractNum>
  <w:abstractNum w:abstractNumId="15">
    <w:nsid w:val="5414490D"/>
    <w:multiLevelType w:val="singleLevel"/>
    <w:tmpl w:val="587AC2A2"/>
    <w:lvl w:ilvl="0">
      <w:start w:val="1"/>
      <w:numFmt w:val="bullet"/>
      <w:pStyle w:val="ListBullet"/>
      <w:lvlText w:val=""/>
      <w:lvlJc w:val="left"/>
      <w:pPr>
        <w:tabs>
          <w:tab w:val="num" w:pos="720"/>
        </w:tabs>
        <w:ind w:left="720" w:hanging="720"/>
      </w:pPr>
      <w:rPr>
        <w:rFonts w:ascii="Symbol" w:hAnsi="Symbol" w:hint="default"/>
        <w:sz w:val="22"/>
        <w:szCs w:val="22"/>
      </w:rPr>
    </w:lvl>
  </w:abstractNum>
  <w:abstractNum w:abstractNumId="16">
    <w:nsid w:val="56611E53"/>
    <w:multiLevelType w:val="multilevel"/>
    <w:tmpl w:val="0409001D"/>
    <w:styleLink w:val="1ai"/>
    <w:lvl w:ilvl="0">
      <w:start w:val="1"/>
      <w:numFmt w:val="decimal"/>
      <w:lvlText w:val="%1)"/>
      <w:lvlJc w:val="left"/>
      <w:pPr>
        <w:ind w:left="360" w:hanging="360"/>
      </w:pPr>
      <w:rPr>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5B230A05"/>
    <w:multiLevelType w:val="hybridMultilevel"/>
    <w:tmpl w:val="0A7226FE"/>
    <w:lvl w:ilvl="0" w:tplc="2FD42DB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E235D7"/>
    <w:multiLevelType w:val="hybridMultilevel"/>
    <w:tmpl w:val="92C4F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001D88"/>
    <w:multiLevelType w:val="multilevel"/>
    <w:tmpl w:val="3C8C3750"/>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bullet"/>
      <w:lvlText w:val=""/>
      <w:lvlJc w:val="left"/>
      <w:pPr>
        <w:ind w:left="2160" w:hanging="360"/>
      </w:pPr>
      <w:rPr>
        <w:rFonts w:ascii="Symbol" w:hAnsi="Symbol"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Wingdings" w:hAnsi="Wingdings" w:hint="default"/>
      </w:rPr>
    </w:lvl>
  </w:abstractNum>
  <w:abstractNum w:abstractNumId="20">
    <w:nsid w:val="61A657E8"/>
    <w:multiLevelType w:val="multilevel"/>
    <w:tmpl w:val="428C5452"/>
    <w:lvl w:ilvl="0">
      <w:start w:val="1"/>
      <w:numFmt w:val="decimal"/>
      <w:pStyle w:val="Heading1"/>
      <w:lvlText w:val="%1."/>
      <w:lvlJc w:val="left"/>
      <w:pPr>
        <w:ind w:left="0" w:firstLine="720"/>
      </w:pPr>
      <w:rPr>
        <w:rFonts w:hint="default"/>
        <w:u w:val="none"/>
      </w:rPr>
    </w:lvl>
    <w:lvl w:ilvl="1">
      <w:start w:val="1"/>
      <w:numFmt w:val="lowerLetter"/>
      <w:pStyle w:val="Heading2"/>
      <w:lvlText w:val="%2."/>
      <w:lvlJc w:val="left"/>
      <w:pPr>
        <w:ind w:left="720" w:firstLine="720"/>
      </w:pPr>
      <w:rPr>
        <w:rFonts w:hint="default"/>
        <w:u w:val="none"/>
      </w:rPr>
    </w:lvl>
    <w:lvl w:ilvl="2">
      <w:start w:val="1"/>
      <w:numFmt w:val="lowerRoman"/>
      <w:pStyle w:val="Heading3"/>
      <w:lvlText w:val="%3."/>
      <w:lvlJc w:val="left"/>
      <w:pPr>
        <w:ind w:left="1440" w:firstLine="720"/>
      </w:pPr>
      <w:rPr>
        <w:rFonts w:hint="default"/>
        <w:u w:val="none"/>
      </w:rPr>
    </w:lvl>
    <w:lvl w:ilvl="3">
      <w:start w:val="1"/>
      <w:numFmt w:val="decimal"/>
      <w:pStyle w:val="Heading4"/>
      <w:lvlText w:val="(%4)"/>
      <w:lvlJc w:val="left"/>
      <w:pPr>
        <w:ind w:left="2160" w:firstLine="720"/>
      </w:pPr>
      <w:rPr>
        <w:rFonts w:hint="default"/>
        <w:u w:val="none"/>
      </w:rPr>
    </w:lvl>
    <w:lvl w:ilvl="4">
      <w:start w:val="1"/>
      <w:numFmt w:val="lowerLetter"/>
      <w:pStyle w:val="Heading5"/>
      <w:lvlText w:val="(%5)"/>
      <w:lvlJc w:val="left"/>
      <w:pPr>
        <w:ind w:left="2880" w:firstLine="720"/>
      </w:pPr>
      <w:rPr>
        <w:rFonts w:hint="default"/>
        <w:u w:val="none"/>
      </w:rPr>
    </w:lvl>
    <w:lvl w:ilvl="5">
      <w:start w:val="1"/>
      <w:numFmt w:val="lowerRoman"/>
      <w:lvlRestart w:val="0"/>
      <w:pStyle w:val="Heading6"/>
      <w:lvlText w:val="(%6)"/>
      <w:lvlJc w:val="left"/>
      <w:pPr>
        <w:ind w:left="3600" w:firstLine="720"/>
      </w:pPr>
      <w:rPr>
        <w:rFonts w:hint="default"/>
        <w:u w:val="none"/>
      </w:rPr>
    </w:lvl>
    <w:lvl w:ilvl="6">
      <w:start w:val="1"/>
      <w:numFmt w:val="decimal"/>
      <w:pStyle w:val="Heading7"/>
      <w:lvlText w:val="%7)"/>
      <w:lvlJc w:val="left"/>
      <w:pPr>
        <w:ind w:left="4320" w:firstLine="720"/>
      </w:pPr>
      <w:rPr>
        <w:rFonts w:hint="default"/>
        <w:u w:val="none"/>
      </w:rPr>
    </w:lvl>
    <w:lvl w:ilvl="7">
      <w:start w:val="1"/>
      <w:numFmt w:val="lowerLetter"/>
      <w:pStyle w:val="Heading8"/>
      <w:lvlText w:val="%8)"/>
      <w:lvlJc w:val="left"/>
      <w:pPr>
        <w:ind w:left="5040" w:firstLine="720"/>
      </w:pPr>
      <w:rPr>
        <w:rFonts w:hint="default"/>
        <w:u w:val="none"/>
      </w:rPr>
    </w:lvl>
    <w:lvl w:ilvl="8">
      <w:start w:val="1"/>
      <w:numFmt w:val="upperLetter"/>
      <w:pStyle w:val="Heading9"/>
      <w:suff w:val="nothing"/>
      <w:lvlText w:val="Exhibit %9"/>
      <w:lvlJc w:val="left"/>
      <w:pPr>
        <w:ind w:left="0" w:firstLine="0"/>
      </w:pPr>
      <w:rPr>
        <w:rFonts w:hint="default"/>
        <w:u w:val="none"/>
      </w:rPr>
    </w:lvl>
  </w:abstractNum>
  <w:abstractNum w:abstractNumId="21">
    <w:nsid w:val="629B1C11"/>
    <w:multiLevelType w:val="multilevel"/>
    <w:tmpl w:val="DC02EB96"/>
    <w:lvl w:ilvl="0">
      <w:start w:val="1"/>
      <w:numFmt w:val="upperRoman"/>
      <w:pStyle w:val="Level1"/>
      <w:lvlText w:val="%1."/>
      <w:lvlJc w:val="left"/>
      <w:pPr>
        <w:ind w:left="720" w:hanging="720"/>
      </w:pPr>
      <w:rPr>
        <w:rFonts w:hint="default"/>
      </w:rPr>
    </w:lvl>
    <w:lvl w:ilvl="1">
      <w:start w:val="1"/>
      <w:numFmt w:val="upperLetter"/>
      <w:pStyle w:val="Level2"/>
      <w:lvlText w:val="%2."/>
      <w:lvlJc w:val="left"/>
      <w:pPr>
        <w:ind w:left="1440" w:hanging="720"/>
      </w:pPr>
      <w:rPr>
        <w:rFonts w:hint="default"/>
      </w:rPr>
    </w:lvl>
    <w:lvl w:ilvl="2">
      <w:start w:val="1"/>
      <w:numFmt w:val="decimal"/>
      <w:pStyle w:val="Level3"/>
      <w:lvlText w:val="%3."/>
      <w:lvlJc w:val="left"/>
      <w:pPr>
        <w:ind w:left="2160" w:hanging="720"/>
      </w:pPr>
      <w:rPr>
        <w:rFonts w:hint="default"/>
      </w:rPr>
    </w:lvl>
    <w:lvl w:ilvl="3">
      <w:start w:val="1"/>
      <w:numFmt w:val="lowerLetter"/>
      <w:pStyle w:val="Level4"/>
      <w:lvlText w:val="%4."/>
      <w:lvlJc w:val="left"/>
      <w:pPr>
        <w:ind w:left="2880" w:hanging="720"/>
      </w:pPr>
      <w:rPr>
        <w:rFonts w:hint="default"/>
      </w:rPr>
    </w:lvl>
    <w:lvl w:ilvl="4">
      <w:start w:val="1"/>
      <w:numFmt w:val="lowerRoman"/>
      <w:pStyle w:val="Level5"/>
      <w:lvlText w:val="%5."/>
      <w:lvlJc w:val="left"/>
      <w:pPr>
        <w:ind w:left="3600" w:hanging="720"/>
      </w:pPr>
      <w:rPr>
        <w:rFonts w:hint="default"/>
      </w:rPr>
    </w:lvl>
    <w:lvl w:ilvl="5">
      <w:start w:val="1"/>
      <w:numFmt w:val="decimal"/>
      <w:pStyle w:val="Level6"/>
      <w:lvlText w:val="%6)"/>
      <w:lvlJc w:val="left"/>
      <w:pPr>
        <w:ind w:left="4320" w:hanging="720"/>
      </w:pPr>
      <w:rPr>
        <w:rFonts w:hint="default"/>
      </w:rPr>
    </w:lvl>
    <w:lvl w:ilvl="6">
      <w:start w:val="1"/>
      <w:numFmt w:val="lowerLetter"/>
      <w:pStyle w:val="Level7"/>
      <w:lvlText w:val="%7)"/>
      <w:lvlJc w:val="left"/>
      <w:pPr>
        <w:ind w:left="5040" w:hanging="720"/>
      </w:pPr>
      <w:rPr>
        <w:rFonts w:hint="default"/>
      </w:rPr>
    </w:lvl>
    <w:lvl w:ilvl="7">
      <w:start w:val="1"/>
      <w:numFmt w:val="lowerRoman"/>
      <w:pStyle w:val="Level8"/>
      <w:lvlText w:val="%8)"/>
      <w:lvlJc w:val="left"/>
      <w:pPr>
        <w:ind w:left="5760" w:hanging="720"/>
      </w:pPr>
      <w:rPr>
        <w:rFonts w:hint="default"/>
      </w:rPr>
    </w:lvl>
    <w:lvl w:ilvl="8">
      <w:start w:val="1"/>
      <w:numFmt w:val="lowerRoman"/>
      <w:pStyle w:val="Level9"/>
      <w:lvlText w:val="%9)"/>
      <w:lvlJc w:val="left"/>
      <w:pPr>
        <w:ind w:left="6480" w:hanging="720"/>
      </w:pPr>
      <w:rPr>
        <w:rFonts w:hint="default"/>
      </w:rPr>
    </w:lvl>
  </w:abstractNum>
  <w:abstractNum w:abstractNumId="22">
    <w:nsid w:val="62BC0D28"/>
    <w:multiLevelType w:val="hybridMultilevel"/>
    <w:tmpl w:val="39BA0722"/>
    <w:lvl w:ilvl="0" w:tplc="0409000F">
      <w:start w:val="1"/>
      <w:numFmt w:val="decimal"/>
      <w:lvlText w:val="%1."/>
      <w:lvlJc w:val="left"/>
      <w:pPr>
        <w:ind w:left="360" w:hanging="360"/>
      </w:pPr>
      <w:rPr>
        <w:rFonts w:hint="default"/>
      </w:rPr>
    </w:lvl>
    <w:lvl w:ilvl="1" w:tplc="04090001">
      <w:start w:val="1"/>
      <w:numFmt w:val="bullet"/>
      <w:lvlText w:val=""/>
      <w:lvlJc w:val="left"/>
      <w:pPr>
        <w:ind w:left="117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F321976"/>
    <w:multiLevelType w:val="singleLevel"/>
    <w:tmpl w:val="57F6E0B0"/>
    <w:lvl w:ilvl="0">
      <w:start w:val="1"/>
      <w:numFmt w:val="decimal"/>
      <w:pStyle w:val="ListNumber"/>
      <w:lvlText w:val="%1."/>
      <w:lvlJc w:val="left"/>
      <w:pPr>
        <w:tabs>
          <w:tab w:val="num" w:pos="720"/>
        </w:tabs>
        <w:ind w:left="720" w:hanging="720"/>
      </w:pPr>
      <w:rPr>
        <w:u w:val="none"/>
      </w:rPr>
    </w:lvl>
  </w:abstractNum>
  <w:abstractNum w:abstractNumId="24">
    <w:nsid w:val="79A61658"/>
    <w:multiLevelType w:val="hybridMultilevel"/>
    <w:tmpl w:val="AFF28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5B6AB0"/>
    <w:multiLevelType w:val="hybridMultilevel"/>
    <w:tmpl w:val="6DD64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D601FF9"/>
    <w:multiLevelType w:val="singleLevel"/>
    <w:tmpl w:val="ED3EE2A0"/>
    <w:lvl w:ilvl="0">
      <w:start w:val="1"/>
      <w:numFmt w:val="decimal"/>
      <w:pStyle w:val="ListNumber3"/>
      <w:lvlText w:val="%1."/>
      <w:lvlJc w:val="left"/>
      <w:pPr>
        <w:tabs>
          <w:tab w:val="num" w:pos="2160"/>
        </w:tabs>
        <w:ind w:left="2160" w:hanging="720"/>
      </w:pPr>
      <w:rPr>
        <w:u w:val="none"/>
      </w:rPr>
    </w:lvl>
  </w:abstractNum>
  <w:num w:numId="1">
    <w:abstractNumId w:val="11"/>
  </w:num>
  <w:num w:numId="2">
    <w:abstractNumId w:val="16"/>
  </w:num>
  <w:num w:numId="3">
    <w:abstractNumId w:val="7"/>
  </w:num>
  <w:num w:numId="4">
    <w:abstractNumId w:val="20"/>
  </w:num>
  <w:num w:numId="5">
    <w:abstractNumId w:val="15"/>
  </w:num>
  <w:num w:numId="6">
    <w:abstractNumId w:val="23"/>
  </w:num>
  <w:num w:numId="7">
    <w:abstractNumId w:val="4"/>
  </w:num>
  <w:num w:numId="8">
    <w:abstractNumId w:val="3"/>
  </w:num>
  <w:num w:numId="9">
    <w:abstractNumId w:val="2"/>
  </w:num>
  <w:num w:numId="10">
    <w:abstractNumId w:val="1"/>
  </w:num>
  <w:num w:numId="11">
    <w:abstractNumId w:val="14"/>
  </w:num>
  <w:num w:numId="12">
    <w:abstractNumId w:val="26"/>
  </w:num>
  <w:num w:numId="13">
    <w:abstractNumId w:val="5"/>
  </w:num>
  <w:num w:numId="14">
    <w:abstractNumId w:val="0"/>
  </w:num>
  <w:num w:numId="15">
    <w:abstractNumId w:val="21"/>
  </w:num>
  <w:num w:numId="16">
    <w:abstractNumId w:val="6"/>
  </w:num>
  <w:num w:numId="17">
    <w:abstractNumId w:val="12"/>
  </w:num>
  <w:num w:numId="18">
    <w:abstractNumId w:val="22"/>
  </w:num>
  <w:num w:numId="19">
    <w:abstractNumId w:val="17"/>
  </w:num>
  <w:num w:numId="20">
    <w:abstractNumId w:val="19"/>
  </w:num>
  <w:num w:numId="21">
    <w:abstractNumId w:val="25"/>
  </w:num>
  <w:num w:numId="22">
    <w:abstractNumId w:val="24"/>
  </w:num>
  <w:num w:numId="23">
    <w:abstractNumId w:val="10"/>
  </w:num>
  <w:num w:numId="24">
    <w:abstractNumId w:val="8"/>
  </w:num>
  <w:num w:numId="25">
    <w:abstractNumId w:val="9"/>
  </w:num>
  <w:num w:numId="26">
    <w:abstractNumId w:val="18"/>
  </w:num>
  <w:num w:numId="27">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attachedTemplate r:id="rId1"/>
  <w:stylePaneFormatFilter w:val="3704" w:allStyles="0" w:customStyles="0" w:latentStyles="1" w:stylesInUse="0" w:headingStyles="0" w:numberingStyles="0" w:tableStyles="0" w:directFormattingOnRuns="1" w:directFormattingOnParagraphs="1" w:directFormattingOnNumbering="1"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960"/>
    <w:rsid w:val="00000AE0"/>
    <w:rsid w:val="000017F8"/>
    <w:rsid w:val="00001C84"/>
    <w:rsid w:val="00007A0A"/>
    <w:rsid w:val="000102C8"/>
    <w:rsid w:val="000132B8"/>
    <w:rsid w:val="00014B9A"/>
    <w:rsid w:val="000152C4"/>
    <w:rsid w:val="00015C6D"/>
    <w:rsid w:val="00020E88"/>
    <w:rsid w:val="00022765"/>
    <w:rsid w:val="0002349C"/>
    <w:rsid w:val="00023D76"/>
    <w:rsid w:val="00024D5E"/>
    <w:rsid w:val="00025D02"/>
    <w:rsid w:val="00027A0F"/>
    <w:rsid w:val="000313EC"/>
    <w:rsid w:val="00031F3F"/>
    <w:rsid w:val="00033C60"/>
    <w:rsid w:val="00034010"/>
    <w:rsid w:val="00035F66"/>
    <w:rsid w:val="000427C4"/>
    <w:rsid w:val="00042D7E"/>
    <w:rsid w:val="0004626A"/>
    <w:rsid w:val="00047D80"/>
    <w:rsid w:val="00047FBC"/>
    <w:rsid w:val="0005530A"/>
    <w:rsid w:val="00055B4C"/>
    <w:rsid w:val="00055E0A"/>
    <w:rsid w:val="000564B7"/>
    <w:rsid w:val="0006378A"/>
    <w:rsid w:val="0006428E"/>
    <w:rsid w:val="000659F9"/>
    <w:rsid w:val="000720F8"/>
    <w:rsid w:val="000724B6"/>
    <w:rsid w:val="00072DC0"/>
    <w:rsid w:val="00073789"/>
    <w:rsid w:val="000742D1"/>
    <w:rsid w:val="00077AD6"/>
    <w:rsid w:val="0008270A"/>
    <w:rsid w:val="00084798"/>
    <w:rsid w:val="00086564"/>
    <w:rsid w:val="00087852"/>
    <w:rsid w:val="000918CF"/>
    <w:rsid w:val="0009241B"/>
    <w:rsid w:val="00093EFE"/>
    <w:rsid w:val="000A01B3"/>
    <w:rsid w:val="000A1595"/>
    <w:rsid w:val="000A3C75"/>
    <w:rsid w:val="000A57FE"/>
    <w:rsid w:val="000A62CA"/>
    <w:rsid w:val="000B2764"/>
    <w:rsid w:val="000B3356"/>
    <w:rsid w:val="000B3594"/>
    <w:rsid w:val="000B3FF9"/>
    <w:rsid w:val="000B5719"/>
    <w:rsid w:val="000B5876"/>
    <w:rsid w:val="000B5AC0"/>
    <w:rsid w:val="000B66F9"/>
    <w:rsid w:val="000C0B91"/>
    <w:rsid w:val="000C184D"/>
    <w:rsid w:val="000C25AB"/>
    <w:rsid w:val="000C378E"/>
    <w:rsid w:val="000C59AD"/>
    <w:rsid w:val="000C6A0A"/>
    <w:rsid w:val="000C72C8"/>
    <w:rsid w:val="000D0E9B"/>
    <w:rsid w:val="000D3119"/>
    <w:rsid w:val="000D7924"/>
    <w:rsid w:val="000E1CB3"/>
    <w:rsid w:val="000E2E88"/>
    <w:rsid w:val="000F099F"/>
    <w:rsid w:val="000F0B14"/>
    <w:rsid w:val="000F12A1"/>
    <w:rsid w:val="000F475B"/>
    <w:rsid w:val="000F49FA"/>
    <w:rsid w:val="000F6173"/>
    <w:rsid w:val="000F7ADD"/>
    <w:rsid w:val="00102122"/>
    <w:rsid w:val="001036BA"/>
    <w:rsid w:val="00113514"/>
    <w:rsid w:val="00114C1C"/>
    <w:rsid w:val="001159C0"/>
    <w:rsid w:val="001164FF"/>
    <w:rsid w:val="00120078"/>
    <w:rsid w:val="0012085A"/>
    <w:rsid w:val="00122A4B"/>
    <w:rsid w:val="00124E16"/>
    <w:rsid w:val="00133F65"/>
    <w:rsid w:val="00137F29"/>
    <w:rsid w:val="00141742"/>
    <w:rsid w:val="00141D80"/>
    <w:rsid w:val="001427AD"/>
    <w:rsid w:val="0014289E"/>
    <w:rsid w:val="0014332A"/>
    <w:rsid w:val="00143A5B"/>
    <w:rsid w:val="00143AAF"/>
    <w:rsid w:val="00146411"/>
    <w:rsid w:val="00146EF9"/>
    <w:rsid w:val="001504AD"/>
    <w:rsid w:val="001522B7"/>
    <w:rsid w:val="00152752"/>
    <w:rsid w:val="00156525"/>
    <w:rsid w:val="001571CC"/>
    <w:rsid w:val="0016388A"/>
    <w:rsid w:val="00164A6F"/>
    <w:rsid w:val="00165B26"/>
    <w:rsid w:val="00165E8B"/>
    <w:rsid w:val="00167BE8"/>
    <w:rsid w:val="00172AB7"/>
    <w:rsid w:val="00172F5D"/>
    <w:rsid w:val="00173581"/>
    <w:rsid w:val="00180DA1"/>
    <w:rsid w:val="00180E24"/>
    <w:rsid w:val="00181386"/>
    <w:rsid w:val="00182B8C"/>
    <w:rsid w:val="0018402E"/>
    <w:rsid w:val="00187F4C"/>
    <w:rsid w:val="00190600"/>
    <w:rsid w:val="001908AD"/>
    <w:rsid w:val="00192378"/>
    <w:rsid w:val="00192B08"/>
    <w:rsid w:val="0019323C"/>
    <w:rsid w:val="00195D49"/>
    <w:rsid w:val="00195DAA"/>
    <w:rsid w:val="00196805"/>
    <w:rsid w:val="00196A70"/>
    <w:rsid w:val="001975B3"/>
    <w:rsid w:val="001A1E67"/>
    <w:rsid w:val="001A4B6D"/>
    <w:rsid w:val="001A4EC3"/>
    <w:rsid w:val="001A61FC"/>
    <w:rsid w:val="001A664B"/>
    <w:rsid w:val="001A7171"/>
    <w:rsid w:val="001B0E0B"/>
    <w:rsid w:val="001B1C73"/>
    <w:rsid w:val="001B3766"/>
    <w:rsid w:val="001B395B"/>
    <w:rsid w:val="001B4DB3"/>
    <w:rsid w:val="001B550A"/>
    <w:rsid w:val="001B6C92"/>
    <w:rsid w:val="001C2BEF"/>
    <w:rsid w:val="001C3D67"/>
    <w:rsid w:val="001C4DFE"/>
    <w:rsid w:val="001C60DE"/>
    <w:rsid w:val="001C7592"/>
    <w:rsid w:val="001D1AF8"/>
    <w:rsid w:val="001D299D"/>
    <w:rsid w:val="001D2D26"/>
    <w:rsid w:val="001E1B15"/>
    <w:rsid w:val="001E1E09"/>
    <w:rsid w:val="001E252B"/>
    <w:rsid w:val="001E3793"/>
    <w:rsid w:val="001E5AE5"/>
    <w:rsid w:val="001F0E50"/>
    <w:rsid w:val="001F1756"/>
    <w:rsid w:val="001F239B"/>
    <w:rsid w:val="001F2875"/>
    <w:rsid w:val="001F5FD8"/>
    <w:rsid w:val="00201714"/>
    <w:rsid w:val="0020269D"/>
    <w:rsid w:val="00202F3A"/>
    <w:rsid w:val="00203E59"/>
    <w:rsid w:val="002047FA"/>
    <w:rsid w:val="00204E6F"/>
    <w:rsid w:val="0020540E"/>
    <w:rsid w:val="002059AA"/>
    <w:rsid w:val="0020613B"/>
    <w:rsid w:val="0020617D"/>
    <w:rsid w:val="00207344"/>
    <w:rsid w:val="0020774E"/>
    <w:rsid w:val="002116FB"/>
    <w:rsid w:val="0021172F"/>
    <w:rsid w:val="00211858"/>
    <w:rsid w:val="00212169"/>
    <w:rsid w:val="002150CC"/>
    <w:rsid w:val="00215125"/>
    <w:rsid w:val="002154EF"/>
    <w:rsid w:val="00216BD3"/>
    <w:rsid w:val="00216DAC"/>
    <w:rsid w:val="00217D4A"/>
    <w:rsid w:val="00217FD4"/>
    <w:rsid w:val="00221B8E"/>
    <w:rsid w:val="00223778"/>
    <w:rsid w:val="00223F90"/>
    <w:rsid w:val="002241CC"/>
    <w:rsid w:val="00224D74"/>
    <w:rsid w:val="0022545E"/>
    <w:rsid w:val="00225D04"/>
    <w:rsid w:val="00230448"/>
    <w:rsid w:val="002304C2"/>
    <w:rsid w:val="002307C8"/>
    <w:rsid w:val="002309E3"/>
    <w:rsid w:val="00240AEF"/>
    <w:rsid w:val="002426D5"/>
    <w:rsid w:val="00244B27"/>
    <w:rsid w:val="00246B37"/>
    <w:rsid w:val="00247B7C"/>
    <w:rsid w:val="00250DCF"/>
    <w:rsid w:val="0025191F"/>
    <w:rsid w:val="00254032"/>
    <w:rsid w:val="002554F9"/>
    <w:rsid w:val="00256342"/>
    <w:rsid w:val="0025677F"/>
    <w:rsid w:val="0025781D"/>
    <w:rsid w:val="00260887"/>
    <w:rsid w:val="002618FE"/>
    <w:rsid w:val="00262090"/>
    <w:rsid w:val="002628ED"/>
    <w:rsid w:val="00267CF7"/>
    <w:rsid w:val="00270CC2"/>
    <w:rsid w:val="00274F78"/>
    <w:rsid w:val="00276D45"/>
    <w:rsid w:val="002771A8"/>
    <w:rsid w:val="00280004"/>
    <w:rsid w:val="002811A2"/>
    <w:rsid w:val="00282E0E"/>
    <w:rsid w:val="00284BF5"/>
    <w:rsid w:val="00287D33"/>
    <w:rsid w:val="00287FD7"/>
    <w:rsid w:val="00297846"/>
    <w:rsid w:val="002A0960"/>
    <w:rsid w:val="002A0E63"/>
    <w:rsid w:val="002A0FE5"/>
    <w:rsid w:val="002A15E1"/>
    <w:rsid w:val="002A189E"/>
    <w:rsid w:val="002A5975"/>
    <w:rsid w:val="002A6A5B"/>
    <w:rsid w:val="002B0AB9"/>
    <w:rsid w:val="002B0CF1"/>
    <w:rsid w:val="002B148B"/>
    <w:rsid w:val="002B1930"/>
    <w:rsid w:val="002B2594"/>
    <w:rsid w:val="002C0689"/>
    <w:rsid w:val="002C3956"/>
    <w:rsid w:val="002C40BB"/>
    <w:rsid w:val="002C6A39"/>
    <w:rsid w:val="002D0376"/>
    <w:rsid w:val="002D03C5"/>
    <w:rsid w:val="002D09B5"/>
    <w:rsid w:val="002D1459"/>
    <w:rsid w:val="002D1592"/>
    <w:rsid w:val="002D3928"/>
    <w:rsid w:val="002D610B"/>
    <w:rsid w:val="002E0027"/>
    <w:rsid w:val="002E0098"/>
    <w:rsid w:val="002E0109"/>
    <w:rsid w:val="002E21F1"/>
    <w:rsid w:val="002E4ABF"/>
    <w:rsid w:val="002E5B84"/>
    <w:rsid w:val="002E64C6"/>
    <w:rsid w:val="002E7BE9"/>
    <w:rsid w:val="002F0E09"/>
    <w:rsid w:val="002F27D2"/>
    <w:rsid w:val="002F3390"/>
    <w:rsid w:val="002F3C6B"/>
    <w:rsid w:val="00304044"/>
    <w:rsid w:val="00304278"/>
    <w:rsid w:val="0030568F"/>
    <w:rsid w:val="003057BD"/>
    <w:rsid w:val="0030594F"/>
    <w:rsid w:val="00306659"/>
    <w:rsid w:val="00310BD0"/>
    <w:rsid w:val="003110B8"/>
    <w:rsid w:val="00315D44"/>
    <w:rsid w:val="00315DB1"/>
    <w:rsid w:val="0031784B"/>
    <w:rsid w:val="00324E5C"/>
    <w:rsid w:val="0033110B"/>
    <w:rsid w:val="00333E2E"/>
    <w:rsid w:val="00334DDD"/>
    <w:rsid w:val="003358DD"/>
    <w:rsid w:val="00337F7E"/>
    <w:rsid w:val="00343192"/>
    <w:rsid w:val="00343F9C"/>
    <w:rsid w:val="00344651"/>
    <w:rsid w:val="003464F6"/>
    <w:rsid w:val="003469AC"/>
    <w:rsid w:val="00347C30"/>
    <w:rsid w:val="00350C4D"/>
    <w:rsid w:val="00350EF8"/>
    <w:rsid w:val="00353340"/>
    <w:rsid w:val="003546EA"/>
    <w:rsid w:val="0035632F"/>
    <w:rsid w:val="00357FD6"/>
    <w:rsid w:val="003607B8"/>
    <w:rsid w:val="00364863"/>
    <w:rsid w:val="00364919"/>
    <w:rsid w:val="00367387"/>
    <w:rsid w:val="00372741"/>
    <w:rsid w:val="003744D2"/>
    <w:rsid w:val="00375E80"/>
    <w:rsid w:val="003815DA"/>
    <w:rsid w:val="003938F3"/>
    <w:rsid w:val="0039417C"/>
    <w:rsid w:val="003959A3"/>
    <w:rsid w:val="00396469"/>
    <w:rsid w:val="00396C36"/>
    <w:rsid w:val="003974DA"/>
    <w:rsid w:val="00397EF7"/>
    <w:rsid w:val="003A5902"/>
    <w:rsid w:val="003A620C"/>
    <w:rsid w:val="003A72C4"/>
    <w:rsid w:val="003B02B9"/>
    <w:rsid w:val="003B0A82"/>
    <w:rsid w:val="003B0C79"/>
    <w:rsid w:val="003B2D40"/>
    <w:rsid w:val="003B388D"/>
    <w:rsid w:val="003B4ABE"/>
    <w:rsid w:val="003B4C8C"/>
    <w:rsid w:val="003B5687"/>
    <w:rsid w:val="003B6096"/>
    <w:rsid w:val="003B6169"/>
    <w:rsid w:val="003B6ED7"/>
    <w:rsid w:val="003C22B2"/>
    <w:rsid w:val="003C408B"/>
    <w:rsid w:val="003C43AD"/>
    <w:rsid w:val="003D01BE"/>
    <w:rsid w:val="003D1304"/>
    <w:rsid w:val="003D1F7E"/>
    <w:rsid w:val="003D5DC8"/>
    <w:rsid w:val="003E00E2"/>
    <w:rsid w:val="003E192E"/>
    <w:rsid w:val="003E2AA1"/>
    <w:rsid w:val="003E2F8A"/>
    <w:rsid w:val="003E313D"/>
    <w:rsid w:val="003E34DA"/>
    <w:rsid w:val="003E5F68"/>
    <w:rsid w:val="003F1C51"/>
    <w:rsid w:val="00400BA5"/>
    <w:rsid w:val="00401653"/>
    <w:rsid w:val="00403727"/>
    <w:rsid w:val="0041230D"/>
    <w:rsid w:val="00414D4D"/>
    <w:rsid w:val="00417D32"/>
    <w:rsid w:val="00422494"/>
    <w:rsid w:val="004259DA"/>
    <w:rsid w:val="00426D2E"/>
    <w:rsid w:val="00431319"/>
    <w:rsid w:val="0043344F"/>
    <w:rsid w:val="004348C3"/>
    <w:rsid w:val="00436E01"/>
    <w:rsid w:val="004413CA"/>
    <w:rsid w:val="00441EE3"/>
    <w:rsid w:val="00442515"/>
    <w:rsid w:val="004449DF"/>
    <w:rsid w:val="0044739C"/>
    <w:rsid w:val="004518D2"/>
    <w:rsid w:val="00453994"/>
    <w:rsid w:val="004544B2"/>
    <w:rsid w:val="004565A2"/>
    <w:rsid w:val="00456CD1"/>
    <w:rsid w:val="004600EE"/>
    <w:rsid w:val="004640CB"/>
    <w:rsid w:val="0046617F"/>
    <w:rsid w:val="00466835"/>
    <w:rsid w:val="00470E77"/>
    <w:rsid w:val="004730FA"/>
    <w:rsid w:val="00473BDB"/>
    <w:rsid w:val="00474F8B"/>
    <w:rsid w:val="00481CAB"/>
    <w:rsid w:val="004826A3"/>
    <w:rsid w:val="00482AB9"/>
    <w:rsid w:val="00490D3A"/>
    <w:rsid w:val="00491E70"/>
    <w:rsid w:val="0049258C"/>
    <w:rsid w:val="0049288C"/>
    <w:rsid w:val="0049345F"/>
    <w:rsid w:val="004948EE"/>
    <w:rsid w:val="00495BBC"/>
    <w:rsid w:val="00496CA3"/>
    <w:rsid w:val="004A195D"/>
    <w:rsid w:val="004A1C91"/>
    <w:rsid w:val="004A278D"/>
    <w:rsid w:val="004A2CA5"/>
    <w:rsid w:val="004A4079"/>
    <w:rsid w:val="004A629F"/>
    <w:rsid w:val="004A723B"/>
    <w:rsid w:val="004B1AC3"/>
    <w:rsid w:val="004B2CF4"/>
    <w:rsid w:val="004B2E2B"/>
    <w:rsid w:val="004B40CC"/>
    <w:rsid w:val="004B4D50"/>
    <w:rsid w:val="004C037E"/>
    <w:rsid w:val="004C3EA4"/>
    <w:rsid w:val="004C5CB7"/>
    <w:rsid w:val="004C6E94"/>
    <w:rsid w:val="004C70A0"/>
    <w:rsid w:val="004C7CA2"/>
    <w:rsid w:val="004D15AC"/>
    <w:rsid w:val="004D1810"/>
    <w:rsid w:val="004D56E2"/>
    <w:rsid w:val="004D70A7"/>
    <w:rsid w:val="004D744D"/>
    <w:rsid w:val="004E0865"/>
    <w:rsid w:val="004E3982"/>
    <w:rsid w:val="004E3D00"/>
    <w:rsid w:val="004E5F5C"/>
    <w:rsid w:val="004F1A0B"/>
    <w:rsid w:val="004F22E9"/>
    <w:rsid w:val="004F2561"/>
    <w:rsid w:val="004F385C"/>
    <w:rsid w:val="004F3E62"/>
    <w:rsid w:val="004F4EF3"/>
    <w:rsid w:val="004F673A"/>
    <w:rsid w:val="00502227"/>
    <w:rsid w:val="00502AF7"/>
    <w:rsid w:val="005052E0"/>
    <w:rsid w:val="00512481"/>
    <w:rsid w:val="00516A9C"/>
    <w:rsid w:val="005170DA"/>
    <w:rsid w:val="005172B7"/>
    <w:rsid w:val="0052001B"/>
    <w:rsid w:val="005237A6"/>
    <w:rsid w:val="005249FE"/>
    <w:rsid w:val="00524B2D"/>
    <w:rsid w:val="005267F8"/>
    <w:rsid w:val="00527912"/>
    <w:rsid w:val="00527CD3"/>
    <w:rsid w:val="00530B47"/>
    <w:rsid w:val="0053457D"/>
    <w:rsid w:val="0053457E"/>
    <w:rsid w:val="00535FF8"/>
    <w:rsid w:val="005370F3"/>
    <w:rsid w:val="005371D4"/>
    <w:rsid w:val="00540680"/>
    <w:rsid w:val="0054101B"/>
    <w:rsid w:val="0054160D"/>
    <w:rsid w:val="00544426"/>
    <w:rsid w:val="0054450F"/>
    <w:rsid w:val="005462D7"/>
    <w:rsid w:val="00547976"/>
    <w:rsid w:val="00550C06"/>
    <w:rsid w:val="0055125F"/>
    <w:rsid w:val="00553B9A"/>
    <w:rsid w:val="005544C4"/>
    <w:rsid w:val="0055497D"/>
    <w:rsid w:val="00554C0B"/>
    <w:rsid w:val="005640CF"/>
    <w:rsid w:val="00565171"/>
    <w:rsid w:val="00566F31"/>
    <w:rsid w:val="00566F52"/>
    <w:rsid w:val="00567896"/>
    <w:rsid w:val="00570D7F"/>
    <w:rsid w:val="00571DF9"/>
    <w:rsid w:val="0057224B"/>
    <w:rsid w:val="005726BC"/>
    <w:rsid w:val="005726E3"/>
    <w:rsid w:val="00572D06"/>
    <w:rsid w:val="0057457B"/>
    <w:rsid w:val="00575C2D"/>
    <w:rsid w:val="005761F6"/>
    <w:rsid w:val="005777CC"/>
    <w:rsid w:val="005806DA"/>
    <w:rsid w:val="00581BF1"/>
    <w:rsid w:val="0058310C"/>
    <w:rsid w:val="005837EB"/>
    <w:rsid w:val="00583A46"/>
    <w:rsid w:val="00583CCA"/>
    <w:rsid w:val="00584B25"/>
    <w:rsid w:val="00591E68"/>
    <w:rsid w:val="00594CA4"/>
    <w:rsid w:val="005A212F"/>
    <w:rsid w:val="005B0A2D"/>
    <w:rsid w:val="005B33F2"/>
    <w:rsid w:val="005B3B83"/>
    <w:rsid w:val="005B5444"/>
    <w:rsid w:val="005B58D9"/>
    <w:rsid w:val="005B5B2E"/>
    <w:rsid w:val="005C1E46"/>
    <w:rsid w:val="005C2F24"/>
    <w:rsid w:val="005C51D2"/>
    <w:rsid w:val="005C6C51"/>
    <w:rsid w:val="005D0A96"/>
    <w:rsid w:val="005D126B"/>
    <w:rsid w:val="005D2287"/>
    <w:rsid w:val="005D2917"/>
    <w:rsid w:val="005D3DB0"/>
    <w:rsid w:val="005D443B"/>
    <w:rsid w:val="005D6865"/>
    <w:rsid w:val="005D6D16"/>
    <w:rsid w:val="005E282B"/>
    <w:rsid w:val="005E51F0"/>
    <w:rsid w:val="005E6705"/>
    <w:rsid w:val="005E7F82"/>
    <w:rsid w:val="005F6CA1"/>
    <w:rsid w:val="006037A7"/>
    <w:rsid w:val="00606280"/>
    <w:rsid w:val="00610353"/>
    <w:rsid w:val="0061244E"/>
    <w:rsid w:val="006164AE"/>
    <w:rsid w:val="006165DB"/>
    <w:rsid w:val="00617C9E"/>
    <w:rsid w:val="00620490"/>
    <w:rsid w:val="00623694"/>
    <w:rsid w:val="00624F41"/>
    <w:rsid w:val="006254ED"/>
    <w:rsid w:val="006306BF"/>
    <w:rsid w:val="00630B15"/>
    <w:rsid w:val="006357D2"/>
    <w:rsid w:val="00635908"/>
    <w:rsid w:val="00637182"/>
    <w:rsid w:val="00640928"/>
    <w:rsid w:val="006410E6"/>
    <w:rsid w:val="006442C5"/>
    <w:rsid w:val="006447AF"/>
    <w:rsid w:val="00654C74"/>
    <w:rsid w:val="00654F8A"/>
    <w:rsid w:val="00656477"/>
    <w:rsid w:val="00657377"/>
    <w:rsid w:val="00657914"/>
    <w:rsid w:val="00657DBF"/>
    <w:rsid w:val="00664746"/>
    <w:rsid w:val="00664EB6"/>
    <w:rsid w:val="00665471"/>
    <w:rsid w:val="00667222"/>
    <w:rsid w:val="00667A19"/>
    <w:rsid w:val="0067230D"/>
    <w:rsid w:val="00672CAD"/>
    <w:rsid w:val="006746C2"/>
    <w:rsid w:val="0068229B"/>
    <w:rsid w:val="00683323"/>
    <w:rsid w:val="0068352B"/>
    <w:rsid w:val="0068530A"/>
    <w:rsid w:val="006879CE"/>
    <w:rsid w:val="00690A61"/>
    <w:rsid w:val="00691115"/>
    <w:rsid w:val="00692D2D"/>
    <w:rsid w:val="00693BF6"/>
    <w:rsid w:val="0069465C"/>
    <w:rsid w:val="00695F69"/>
    <w:rsid w:val="006A1D5F"/>
    <w:rsid w:val="006A2AE6"/>
    <w:rsid w:val="006A2DE3"/>
    <w:rsid w:val="006A3C8A"/>
    <w:rsid w:val="006A751D"/>
    <w:rsid w:val="006B0F1D"/>
    <w:rsid w:val="006B3D59"/>
    <w:rsid w:val="006B4E86"/>
    <w:rsid w:val="006C1893"/>
    <w:rsid w:val="006C2187"/>
    <w:rsid w:val="006C5B27"/>
    <w:rsid w:val="006C6133"/>
    <w:rsid w:val="006D1019"/>
    <w:rsid w:val="006D66E5"/>
    <w:rsid w:val="006E1E5C"/>
    <w:rsid w:val="006E3B65"/>
    <w:rsid w:val="006E41AC"/>
    <w:rsid w:val="006E6DF3"/>
    <w:rsid w:val="006F1007"/>
    <w:rsid w:val="006F144F"/>
    <w:rsid w:val="006F2BE2"/>
    <w:rsid w:val="006F6ADC"/>
    <w:rsid w:val="006F6DCF"/>
    <w:rsid w:val="006F6DEB"/>
    <w:rsid w:val="0070003F"/>
    <w:rsid w:val="007002D0"/>
    <w:rsid w:val="00700CB6"/>
    <w:rsid w:val="00702386"/>
    <w:rsid w:val="00705B61"/>
    <w:rsid w:val="007067EF"/>
    <w:rsid w:val="00711C6D"/>
    <w:rsid w:val="00717F13"/>
    <w:rsid w:val="00720D16"/>
    <w:rsid w:val="00723E1F"/>
    <w:rsid w:val="00724157"/>
    <w:rsid w:val="007249BB"/>
    <w:rsid w:val="0072574A"/>
    <w:rsid w:val="00726CB2"/>
    <w:rsid w:val="00727510"/>
    <w:rsid w:val="00732012"/>
    <w:rsid w:val="00732238"/>
    <w:rsid w:val="00733085"/>
    <w:rsid w:val="007364F9"/>
    <w:rsid w:val="00736D0B"/>
    <w:rsid w:val="007378F7"/>
    <w:rsid w:val="007402C8"/>
    <w:rsid w:val="0074159D"/>
    <w:rsid w:val="00741749"/>
    <w:rsid w:val="00742C51"/>
    <w:rsid w:val="00743DB6"/>
    <w:rsid w:val="00745E77"/>
    <w:rsid w:val="007460BD"/>
    <w:rsid w:val="007544D7"/>
    <w:rsid w:val="007546E5"/>
    <w:rsid w:val="00754FE5"/>
    <w:rsid w:val="00760157"/>
    <w:rsid w:val="00760EDD"/>
    <w:rsid w:val="00764476"/>
    <w:rsid w:val="00764816"/>
    <w:rsid w:val="007664ED"/>
    <w:rsid w:val="00772BCD"/>
    <w:rsid w:val="00780094"/>
    <w:rsid w:val="00780CD3"/>
    <w:rsid w:val="0078512A"/>
    <w:rsid w:val="007864F9"/>
    <w:rsid w:val="00787261"/>
    <w:rsid w:val="007910EC"/>
    <w:rsid w:val="00791722"/>
    <w:rsid w:val="0079238C"/>
    <w:rsid w:val="00794620"/>
    <w:rsid w:val="00796AFE"/>
    <w:rsid w:val="007A0F16"/>
    <w:rsid w:val="007A48E0"/>
    <w:rsid w:val="007A584A"/>
    <w:rsid w:val="007A678A"/>
    <w:rsid w:val="007A70AE"/>
    <w:rsid w:val="007B0973"/>
    <w:rsid w:val="007B10C7"/>
    <w:rsid w:val="007B17BF"/>
    <w:rsid w:val="007B245F"/>
    <w:rsid w:val="007B269A"/>
    <w:rsid w:val="007B3A5C"/>
    <w:rsid w:val="007B53FF"/>
    <w:rsid w:val="007B77F9"/>
    <w:rsid w:val="007C09C5"/>
    <w:rsid w:val="007C3AC2"/>
    <w:rsid w:val="007C3BEF"/>
    <w:rsid w:val="007C4B58"/>
    <w:rsid w:val="007C5CA4"/>
    <w:rsid w:val="007C7AFB"/>
    <w:rsid w:val="007D022A"/>
    <w:rsid w:val="007D57AE"/>
    <w:rsid w:val="007E0058"/>
    <w:rsid w:val="007E0397"/>
    <w:rsid w:val="007E03DA"/>
    <w:rsid w:val="007E3485"/>
    <w:rsid w:val="007E3889"/>
    <w:rsid w:val="007E5BE5"/>
    <w:rsid w:val="007E5D28"/>
    <w:rsid w:val="007E662F"/>
    <w:rsid w:val="007E6A51"/>
    <w:rsid w:val="007F0A35"/>
    <w:rsid w:val="007F20F5"/>
    <w:rsid w:val="007F3465"/>
    <w:rsid w:val="007F477D"/>
    <w:rsid w:val="007F734E"/>
    <w:rsid w:val="007F7B33"/>
    <w:rsid w:val="008005E4"/>
    <w:rsid w:val="00802089"/>
    <w:rsid w:val="00804856"/>
    <w:rsid w:val="00805E94"/>
    <w:rsid w:val="008069A6"/>
    <w:rsid w:val="00810042"/>
    <w:rsid w:val="0081248A"/>
    <w:rsid w:val="00813E61"/>
    <w:rsid w:val="00816A9D"/>
    <w:rsid w:val="00820FC7"/>
    <w:rsid w:val="0082216A"/>
    <w:rsid w:val="00822431"/>
    <w:rsid w:val="00823AB2"/>
    <w:rsid w:val="00825102"/>
    <w:rsid w:val="00826AA6"/>
    <w:rsid w:val="00831A8A"/>
    <w:rsid w:val="00834A5E"/>
    <w:rsid w:val="00836443"/>
    <w:rsid w:val="00836834"/>
    <w:rsid w:val="008374C7"/>
    <w:rsid w:val="008375C2"/>
    <w:rsid w:val="00837B58"/>
    <w:rsid w:val="00837FF5"/>
    <w:rsid w:val="00842492"/>
    <w:rsid w:val="00842D54"/>
    <w:rsid w:val="00843AD9"/>
    <w:rsid w:val="00847AC9"/>
    <w:rsid w:val="00850439"/>
    <w:rsid w:val="008513FA"/>
    <w:rsid w:val="00852F91"/>
    <w:rsid w:val="008535D4"/>
    <w:rsid w:val="00853EE1"/>
    <w:rsid w:val="008555F4"/>
    <w:rsid w:val="0085602C"/>
    <w:rsid w:val="008604B3"/>
    <w:rsid w:val="0086155F"/>
    <w:rsid w:val="00861714"/>
    <w:rsid w:val="0086275F"/>
    <w:rsid w:val="00862B0B"/>
    <w:rsid w:val="00864EBD"/>
    <w:rsid w:val="00867E21"/>
    <w:rsid w:val="008708DC"/>
    <w:rsid w:val="00872FE3"/>
    <w:rsid w:val="008767A0"/>
    <w:rsid w:val="00882143"/>
    <w:rsid w:val="00883CC5"/>
    <w:rsid w:val="00883DAC"/>
    <w:rsid w:val="00883F52"/>
    <w:rsid w:val="0088436E"/>
    <w:rsid w:val="00884802"/>
    <w:rsid w:val="00885586"/>
    <w:rsid w:val="00885699"/>
    <w:rsid w:val="008858A5"/>
    <w:rsid w:val="008860CE"/>
    <w:rsid w:val="00890568"/>
    <w:rsid w:val="00897C80"/>
    <w:rsid w:val="008A1554"/>
    <w:rsid w:val="008A1623"/>
    <w:rsid w:val="008A1C66"/>
    <w:rsid w:val="008A21F6"/>
    <w:rsid w:val="008A5ADF"/>
    <w:rsid w:val="008A70F1"/>
    <w:rsid w:val="008B11AE"/>
    <w:rsid w:val="008B2C8B"/>
    <w:rsid w:val="008B4DA5"/>
    <w:rsid w:val="008C2A41"/>
    <w:rsid w:val="008C7D4D"/>
    <w:rsid w:val="008D0870"/>
    <w:rsid w:val="008D1D5B"/>
    <w:rsid w:val="008D233A"/>
    <w:rsid w:val="008D27F8"/>
    <w:rsid w:val="008D29F4"/>
    <w:rsid w:val="008D2D0D"/>
    <w:rsid w:val="008D3826"/>
    <w:rsid w:val="008D4CA4"/>
    <w:rsid w:val="008D7E3D"/>
    <w:rsid w:val="008E2D5A"/>
    <w:rsid w:val="008E70A9"/>
    <w:rsid w:val="008F11F8"/>
    <w:rsid w:val="008F443A"/>
    <w:rsid w:val="008F57CB"/>
    <w:rsid w:val="008F70FD"/>
    <w:rsid w:val="008F7AD5"/>
    <w:rsid w:val="008F7E3D"/>
    <w:rsid w:val="00900496"/>
    <w:rsid w:val="00901C36"/>
    <w:rsid w:val="00903CF9"/>
    <w:rsid w:val="00903F07"/>
    <w:rsid w:val="0090453D"/>
    <w:rsid w:val="00905330"/>
    <w:rsid w:val="0090665A"/>
    <w:rsid w:val="0090720F"/>
    <w:rsid w:val="009121FE"/>
    <w:rsid w:val="00914228"/>
    <w:rsid w:val="00914591"/>
    <w:rsid w:val="00917833"/>
    <w:rsid w:val="00920D30"/>
    <w:rsid w:val="00923E2E"/>
    <w:rsid w:val="009244D9"/>
    <w:rsid w:val="009255AF"/>
    <w:rsid w:val="00926E7E"/>
    <w:rsid w:val="00927196"/>
    <w:rsid w:val="00931247"/>
    <w:rsid w:val="00931CAC"/>
    <w:rsid w:val="009323BC"/>
    <w:rsid w:val="009335C4"/>
    <w:rsid w:val="00936A6A"/>
    <w:rsid w:val="00936C09"/>
    <w:rsid w:val="00937BC4"/>
    <w:rsid w:val="00941902"/>
    <w:rsid w:val="009449F1"/>
    <w:rsid w:val="009503EF"/>
    <w:rsid w:val="009507C8"/>
    <w:rsid w:val="009509A5"/>
    <w:rsid w:val="00951D6D"/>
    <w:rsid w:val="009548B4"/>
    <w:rsid w:val="00955110"/>
    <w:rsid w:val="0095513F"/>
    <w:rsid w:val="0095649D"/>
    <w:rsid w:val="00962F6E"/>
    <w:rsid w:val="00967BFD"/>
    <w:rsid w:val="00970C1F"/>
    <w:rsid w:val="009726AA"/>
    <w:rsid w:val="00974769"/>
    <w:rsid w:val="009818A9"/>
    <w:rsid w:val="00982741"/>
    <w:rsid w:val="00982787"/>
    <w:rsid w:val="00985938"/>
    <w:rsid w:val="00987793"/>
    <w:rsid w:val="00987B60"/>
    <w:rsid w:val="00990651"/>
    <w:rsid w:val="0099179D"/>
    <w:rsid w:val="009941FF"/>
    <w:rsid w:val="009965FD"/>
    <w:rsid w:val="00997462"/>
    <w:rsid w:val="009A10DC"/>
    <w:rsid w:val="009A1F05"/>
    <w:rsid w:val="009A3543"/>
    <w:rsid w:val="009A360E"/>
    <w:rsid w:val="009A461C"/>
    <w:rsid w:val="009A5608"/>
    <w:rsid w:val="009B11FF"/>
    <w:rsid w:val="009B26A5"/>
    <w:rsid w:val="009B3763"/>
    <w:rsid w:val="009B56AA"/>
    <w:rsid w:val="009B5894"/>
    <w:rsid w:val="009B6A39"/>
    <w:rsid w:val="009B797A"/>
    <w:rsid w:val="009B7C9B"/>
    <w:rsid w:val="009C3AD0"/>
    <w:rsid w:val="009C3BEC"/>
    <w:rsid w:val="009C6D17"/>
    <w:rsid w:val="009D157F"/>
    <w:rsid w:val="009D4FC9"/>
    <w:rsid w:val="009D5E73"/>
    <w:rsid w:val="009D6A98"/>
    <w:rsid w:val="009E0EEA"/>
    <w:rsid w:val="009E10A9"/>
    <w:rsid w:val="009E2040"/>
    <w:rsid w:val="009E2959"/>
    <w:rsid w:val="009E700D"/>
    <w:rsid w:val="009F1CB7"/>
    <w:rsid w:val="009F37BE"/>
    <w:rsid w:val="009F42CE"/>
    <w:rsid w:val="009F5FAC"/>
    <w:rsid w:val="009F7206"/>
    <w:rsid w:val="00A0051E"/>
    <w:rsid w:val="00A01E85"/>
    <w:rsid w:val="00A056BE"/>
    <w:rsid w:val="00A0581D"/>
    <w:rsid w:val="00A07423"/>
    <w:rsid w:val="00A136AC"/>
    <w:rsid w:val="00A14642"/>
    <w:rsid w:val="00A14B7F"/>
    <w:rsid w:val="00A162B0"/>
    <w:rsid w:val="00A174B6"/>
    <w:rsid w:val="00A20693"/>
    <w:rsid w:val="00A21B04"/>
    <w:rsid w:val="00A22AB1"/>
    <w:rsid w:val="00A23E66"/>
    <w:rsid w:val="00A3053A"/>
    <w:rsid w:val="00A30C64"/>
    <w:rsid w:val="00A4095B"/>
    <w:rsid w:val="00A43EA3"/>
    <w:rsid w:val="00A445D9"/>
    <w:rsid w:val="00A46802"/>
    <w:rsid w:val="00A46EAA"/>
    <w:rsid w:val="00A47336"/>
    <w:rsid w:val="00A51045"/>
    <w:rsid w:val="00A55A28"/>
    <w:rsid w:val="00A572AC"/>
    <w:rsid w:val="00A57D58"/>
    <w:rsid w:val="00A6176D"/>
    <w:rsid w:val="00A63503"/>
    <w:rsid w:val="00A6365D"/>
    <w:rsid w:val="00A63DFA"/>
    <w:rsid w:val="00A64241"/>
    <w:rsid w:val="00A64E74"/>
    <w:rsid w:val="00A70CD2"/>
    <w:rsid w:val="00A70FF5"/>
    <w:rsid w:val="00A742BE"/>
    <w:rsid w:val="00A748D0"/>
    <w:rsid w:val="00A7621A"/>
    <w:rsid w:val="00A84654"/>
    <w:rsid w:val="00A87106"/>
    <w:rsid w:val="00A95830"/>
    <w:rsid w:val="00A96190"/>
    <w:rsid w:val="00AA2C60"/>
    <w:rsid w:val="00AA7F9F"/>
    <w:rsid w:val="00AB022D"/>
    <w:rsid w:val="00AB4714"/>
    <w:rsid w:val="00AB6138"/>
    <w:rsid w:val="00AC5DC2"/>
    <w:rsid w:val="00AC75A2"/>
    <w:rsid w:val="00AC7925"/>
    <w:rsid w:val="00AC7FE5"/>
    <w:rsid w:val="00AD1BFC"/>
    <w:rsid w:val="00AD3B4A"/>
    <w:rsid w:val="00AD45BD"/>
    <w:rsid w:val="00AD4ED6"/>
    <w:rsid w:val="00AD4F4D"/>
    <w:rsid w:val="00AD51F4"/>
    <w:rsid w:val="00AD6040"/>
    <w:rsid w:val="00AD74B9"/>
    <w:rsid w:val="00AE219D"/>
    <w:rsid w:val="00AE355C"/>
    <w:rsid w:val="00AE4692"/>
    <w:rsid w:val="00AE50D6"/>
    <w:rsid w:val="00AE7FBE"/>
    <w:rsid w:val="00AF0693"/>
    <w:rsid w:val="00AF0BAC"/>
    <w:rsid w:val="00AF29F7"/>
    <w:rsid w:val="00AF69D3"/>
    <w:rsid w:val="00AF6E75"/>
    <w:rsid w:val="00AF6F2C"/>
    <w:rsid w:val="00AF764C"/>
    <w:rsid w:val="00B00581"/>
    <w:rsid w:val="00B009EB"/>
    <w:rsid w:val="00B02744"/>
    <w:rsid w:val="00B05415"/>
    <w:rsid w:val="00B05D01"/>
    <w:rsid w:val="00B0675F"/>
    <w:rsid w:val="00B070C8"/>
    <w:rsid w:val="00B07F1C"/>
    <w:rsid w:val="00B14366"/>
    <w:rsid w:val="00B14E75"/>
    <w:rsid w:val="00B15988"/>
    <w:rsid w:val="00B168E8"/>
    <w:rsid w:val="00B178C7"/>
    <w:rsid w:val="00B20E3D"/>
    <w:rsid w:val="00B2221C"/>
    <w:rsid w:val="00B22B85"/>
    <w:rsid w:val="00B30700"/>
    <w:rsid w:val="00B316E7"/>
    <w:rsid w:val="00B36AC5"/>
    <w:rsid w:val="00B36C7E"/>
    <w:rsid w:val="00B42491"/>
    <w:rsid w:val="00B45321"/>
    <w:rsid w:val="00B4653C"/>
    <w:rsid w:val="00B50E5A"/>
    <w:rsid w:val="00B62464"/>
    <w:rsid w:val="00B65674"/>
    <w:rsid w:val="00B657C1"/>
    <w:rsid w:val="00B70AB5"/>
    <w:rsid w:val="00B71687"/>
    <w:rsid w:val="00B72224"/>
    <w:rsid w:val="00B725F9"/>
    <w:rsid w:val="00B72E9F"/>
    <w:rsid w:val="00B80C31"/>
    <w:rsid w:val="00B84BE7"/>
    <w:rsid w:val="00B90B6A"/>
    <w:rsid w:val="00B90C61"/>
    <w:rsid w:val="00B90D60"/>
    <w:rsid w:val="00B9171A"/>
    <w:rsid w:val="00B93049"/>
    <w:rsid w:val="00B931A0"/>
    <w:rsid w:val="00B9372C"/>
    <w:rsid w:val="00B95674"/>
    <w:rsid w:val="00B96BDD"/>
    <w:rsid w:val="00B978FD"/>
    <w:rsid w:val="00BA0F92"/>
    <w:rsid w:val="00BA2918"/>
    <w:rsid w:val="00BA2DE0"/>
    <w:rsid w:val="00BA2E9C"/>
    <w:rsid w:val="00BA4C34"/>
    <w:rsid w:val="00BA5E2F"/>
    <w:rsid w:val="00BB0DF6"/>
    <w:rsid w:val="00BB16EC"/>
    <w:rsid w:val="00BB1CF9"/>
    <w:rsid w:val="00BB5E71"/>
    <w:rsid w:val="00BB69D2"/>
    <w:rsid w:val="00BB7B17"/>
    <w:rsid w:val="00BC12A6"/>
    <w:rsid w:val="00BC4BDA"/>
    <w:rsid w:val="00BC6246"/>
    <w:rsid w:val="00BD072F"/>
    <w:rsid w:val="00BD42FB"/>
    <w:rsid w:val="00BD509B"/>
    <w:rsid w:val="00BD6A29"/>
    <w:rsid w:val="00BD6FCF"/>
    <w:rsid w:val="00BE0BB1"/>
    <w:rsid w:val="00BE19D5"/>
    <w:rsid w:val="00BE1AC4"/>
    <w:rsid w:val="00BE556A"/>
    <w:rsid w:val="00BE64AC"/>
    <w:rsid w:val="00BF2E67"/>
    <w:rsid w:val="00BF423D"/>
    <w:rsid w:val="00BF5E8A"/>
    <w:rsid w:val="00BF6915"/>
    <w:rsid w:val="00BF71A2"/>
    <w:rsid w:val="00C0096A"/>
    <w:rsid w:val="00C01D02"/>
    <w:rsid w:val="00C01EB2"/>
    <w:rsid w:val="00C03245"/>
    <w:rsid w:val="00C037CA"/>
    <w:rsid w:val="00C048D5"/>
    <w:rsid w:val="00C0521F"/>
    <w:rsid w:val="00C066AE"/>
    <w:rsid w:val="00C07097"/>
    <w:rsid w:val="00C1022C"/>
    <w:rsid w:val="00C11B3A"/>
    <w:rsid w:val="00C11BF4"/>
    <w:rsid w:val="00C129D5"/>
    <w:rsid w:val="00C147C6"/>
    <w:rsid w:val="00C17DB6"/>
    <w:rsid w:val="00C21A99"/>
    <w:rsid w:val="00C21B3A"/>
    <w:rsid w:val="00C22D26"/>
    <w:rsid w:val="00C248A7"/>
    <w:rsid w:val="00C2680E"/>
    <w:rsid w:val="00C31DE2"/>
    <w:rsid w:val="00C35930"/>
    <w:rsid w:val="00C36629"/>
    <w:rsid w:val="00C371D4"/>
    <w:rsid w:val="00C4052B"/>
    <w:rsid w:val="00C4175A"/>
    <w:rsid w:val="00C41A0E"/>
    <w:rsid w:val="00C451E3"/>
    <w:rsid w:val="00C4596D"/>
    <w:rsid w:val="00C45F9C"/>
    <w:rsid w:val="00C46C21"/>
    <w:rsid w:val="00C46E5D"/>
    <w:rsid w:val="00C47C4D"/>
    <w:rsid w:val="00C51E75"/>
    <w:rsid w:val="00C5288D"/>
    <w:rsid w:val="00C57D45"/>
    <w:rsid w:val="00C64FBE"/>
    <w:rsid w:val="00C670A6"/>
    <w:rsid w:val="00C703BE"/>
    <w:rsid w:val="00C707ED"/>
    <w:rsid w:val="00C71D88"/>
    <w:rsid w:val="00C73B7B"/>
    <w:rsid w:val="00C76E31"/>
    <w:rsid w:val="00C77B7C"/>
    <w:rsid w:val="00C77CD4"/>
    <w:rsid w:val="00C80B3C"/>
    <w:rsid w:val="00C84E42"/>
    <w:rsid w:val="00C856B2"/>
    <w:rsid w:val="00C85C10"/>
    <w:rsid w:val="00C8635F"/>
    <w:rsid w:val="00C90EC7"/>
    <w:rsid w:val="00CA1224"/>
    <w:rsid w:val="00CA3437"/>
    <w:rsid w:val="00CA4124"/>
    <w:rsid w:val="00CA4381"/>
    <w:rsid w:val="00CB05D2"/>
    <w:rsid w:val="00CB0F46"/>
    <w:rsid w:val="00CB2FA9"/>
    <w:rsid w:val="00CB31EC"/>
    <w:rsid w:val="00CB4C35"/>
    <w:rsid w:val="00CB53C6"/>
    <w:rsid w:val="00CB5EE5"/>
    <w:rsid w:val="00CB6955"/>
    <w:rsid w:val="00CB7E4C"/>
    <w:rsid w:val="00CC13F4"/>
    <w:rsid w:val="00CC2C70"/>
    <w:rsid w:val="00CC3C23"/>
    <w:rsid w:val="00CC5461"/>
    <w:rsid w:val="00CC5803"/>
    <w:rsid w:val="00CC5AC9"/>
    <w:rsid w:val="00CD01F2"/>
    <w:rsid w:val="00CD0C5D"/>
    <w:rsid w:val="00CD42E6"/>
    <w:rsid w:val="00CD443D"/>
    <w:rsid w:val="00CD52D4"/>
    <w:rsid w:val="00CD5865"/>
    <w:rsid w:val="00CD58E1"/>
    <w:rsid w:val="00CD70EF"/>
    <w:rsid w:val="00CE7F3A"/>
    <w:rsid w:val="00CF1790"/>
    <w:rsid w:val="00CF1803"/>
    <w:rsid w:val="00CF28D3"/>
    <w:rsid w:val="00CF370C"/>
    <w:rsid w:val="00CF693E"/>
    <w:rsid w:val="00CF7910"/>
    <w:rsid w:val="00D0029C"/>
    <w:rsid w:val="00D00379"/>
    <w:rsid w:val="00D07D8C"/>
    <w:rsid w:val="00D1231C"/>
    <w:rsid w:val="00D12A78"/>
    <w:rsid w:val="00D13651"/>
    <w:rsid w:val="00D13E17"/>
    <w:rsid w:val="00D14127"/>
    <w:rsid w:val="00D14699"/>
    <w:rsid w:val="00D1500D"/>
    <w:rsid w:val="00D16DE7"/>
    <w:rsid w:val="00D20F66"/>
    <w:rsid w:val="00D23937"/>
    <w:rsid w:val="00D30A91"/>
    <w:rsid w:val="00D321A2"/>
    <w:rsid w:val="00D32DF3"/>
    <w:rsid w:val="00D371A4"/>
    <w:rsid w:val="00D413E1"/>
    <w:rsid w:val="00D439C3"/>
    <w:rsid w:val="00D444F0"/>
    <w:rsid w:val="00D452FF"/>
    <w:rsid w:val="00D45422"/>
    <w:rsid w:val="00D5422B"/>
    <w:rsid w:val="00D56C62"/>
    <w:rsid w:val="00D57178"/>
    <w:rsid w:val="00D57F59"/>
    <w:rsid w:val="00D61E04"/>
    <w:rsid w:val="00D62AEC"/>
    <w:rsid w:val="00D64712"/>
    <w:rsid w:val="00D64AED"/>
    <w:rsid w:val="00D6545B"/>
    <w:rsid w:val="00D658F3"/>
    <w:rsid w:val="00D666DC"/>
    <w:rsid w:val="00D71807"/>
    <w:rsid w:val="00D731D7"/>
    <w:rsid w:val="00D7371D"/>
    <w:rsid w:val="00D74593"/>
    <w:rsid w:val="00D74F95"/>
    <w:rsid w:val="00D76E48"/>
    <w:rsid w:val="00D81DDB"/>
    <w:rsid w:val="00D85337"/>
    <w:rsid w:val="00D862ED"/>
    <w:rsid w:val="00D87FCE"/>
    <w:rsid w:val="00D90DF0"/>
    <w:rsid w:val="00D914FD"/>
    <w:rsid w:val="00D9274B"/>
    <w:rsid w:val="00D9431D"/>
    <w:rsid w:val="00D9454A"/>
    <w:rsid w:val="00D94667"/>
    <w:rsid w:val="00D97788"/>
    <w:rsid w:val="00DA12BD"/>
    <w:rsid w:val="00DA3BA9"/>
    <w:rsid w:val="00DA64C0"/>
    <w:rsid w:val="00DB0F43"/>
    <w:rsid w:val="00DB469E"/>
    <w:rsid w:val="00DB791A"/>
    <w:rsid w:val="00DC3E5E"/>
    <w:rsid w:val="00DC420B"/>
    <w:rsid w:val="00DC4611"/>
    <w:rsid w:val="00DC59F2"/>
    <w:rsid w:val="00DC6504"/>
    <w:rsid w:val="00DC65ED"/>
    <w:rsid w:val="00DC71DB"/>
    <w:rsid w:val="00DC77DE"/>
    <w:rsid w:val="00DC7D92"/>
    <w:rsid w:val="00DD194E"/>
    <w:rsid w:val="00DD2F93"/>
    <w:rsid w:val="00DD5CE5"/>
    <w:rsid w:val="00DD6C09"/>
    <w:rsid w:val="00DD6F20"/>
    <w:rsid w:val="00DE0713"/>
    <w:rsid w:val="00DE142E"/>
    <w:rsid w:val="00DE348B"/>
    <w:rsid w:val="00DE3CC7"/>
    <w:rsid w:val="00DE41B0"/>
    <w:rsid w:val="00DE6D2C"/>
    <w:rsid w:val="00DE727A"/>
    <w:rsid w:val="00DF47FC"/>
    <w:rsid w:val="00E030EC"/>
    <w:rsid w:val="00E04AEB"/>
    <w:rsid w:val="00E05AE4"/>
    <w:rsid w:val="00E06DCC"/>
    <w:rsid w:val="00E07A7D"/>
    <w:rsid w:val="00E07F07"/>
    <w:rsid w:val="00E1202C"/>
    <w:rsid w:val="00E1223C"/>
    <w:rsid w:val="00E154AB"/>
    <w:rsid w:val="00E15582"/>
    <w:rsid w:val="00E17EBB"/>
    <w:rsid w:val="00E20A3F"/>
    <w:rsid w:val="00E212E3"/>
    <w:rsid w:val="00E21E95"/>
    <w:rsid w:val="00E22D32"/>
    <w:rsid w:val="00E2448C"/>
    <w:rsid w:val="00E24594"/>
    <w:rsid w:val="00E33A7B"/>
    <w:rsid w:val="00E35196"/>
    <w:rsid w:val="00E357AE"/>
    <w:rsid w:val="00E42D7C"/>
    <w:rsid w:val="00E43F5B"/>
    <w:rsid w:val="00E4572B"/>
    <w:rsid w:val="00E464AD"/>
    <w:rsid w:val="00E51722"/>
    <w:rsid w:val="00E51E1B"/>
    <w:rsid w:val="00E521A8"/>
    <w:rsid w:val="00E53CCF"/>
    <w:rsid w:val="00E56770"/>
    <w:rsid w:val="00E608C7"/>
    <w:rsid w:val="00E641DD"/>
    <w:rsid w:val="00E64E40"/>
    <w:rsid w:val="00E64FA6"/>
    <w:rsid w:val="00E72139"/>
    <w:rsid w:val="00E74208"/>
    <w:rsid w:val="00E801F5"/>
    <w:rsid w:val="00E81D86"/>
    <w:rsid w:val="00E8228D"/>
    <w:rsid w:val="00E905A7"/>
    <w:rsid w:val="00E90FFE"/>
    <w:rsid w:val="00E921CF"/>
    <w:rsid w:val="00E97308"/>
    <w:rsid w:val="00EA1219"/>
    <w:rsid w:val="00EA21C3"/>
    <w:rsid w:val="00EA22BE"/>
    <w:rsid w:val="00EA66D8"/>
    <w:rsid w:val="00EA78AF"/>
    <w:rsid w:val="00EB07FA"/>
    <w:rsid w:val="00EB2200"/>
    <w:rsid w:val="00EC2885"/>
    <w:rsid w:val="00EC4A75"/>
    <w:rsid w:val="00EC7459"/>
    <w:rsid w:val="00ED1B95"/>
    <w:rsid w:val="00ED1C8B"/>
    <w:rsid w:val="00ED66AC"/>
    <w:rsid w:val="00EE0180"/>
    <w:rsid w:val="00EE17FF"/>
    <w:rsid w:val="00EE3A63"/>
    <w:rsid w:val="00EE541B"/>
    <w:rsid w:val="00EE58CB"/>
    <w:rsid w:val="00EF2BA7"/>
    <w:rsid w:val="00EF4674"/>
    <w:rsid w:val="00F022AD"/>
    <w:rsid w:val="00F02E4F"/>
    <w:rsid w:val="00F0443B"/>
    <w:rsid w:val="00F05E5E"/>
    <w:rsid w:val="00F06DF3"/>
    <w:rsid w:val="00F06E09"/>
    <w:rsid w:val="00F070E9"/>
    <w:rsid w:val="00F07798"/>
    <w:rsid w:val="00F11C78"/>
    <w:rsid w:val="00F13F75"/>
    <w:rsid w:val="00F17ACF"/>
    <w:rsid w:val="00F17EF7"/>
    <w:rsid w:val="00F200B8"/>
    <w:rsid w:val="00F209F7"/>
    <w:rsid w:val="00F2572F"/>
    <w:rsid w:val="00F270A8"/>
    <w:rsid w:val="00F3460E"/>
    <w:rsid w:val="00F41017"/>
    <w:rsid w:val="00F466BC"/>
    <w:rsid w:val="00F46F38"/>
    <w:rsid w:val="00F51353"/>
    <w:rsid w:val="00F51EAD"/>
    <w:rsid w:val="00F5216D"/>
    <w:rsid w:val="00F57E6E"/>
    <w:rsid w:val="00F607DB"/>
    <w:rsid w:val="00F61650"/>
    <w:rsid w:val="00F64C31"/>
    <w:rsid w:val="00F65661"/>
    <w:rsid w:val="00F712AA"/>
    <w:rsid w:val="00F71E39"/>
    <w:rsid w:val="00F775AE"/>
    <w:rsid w:val="00F81270"/>
    <w:rsid w:val="00F81D7A"/>
    <w:rsid w:val="00F8340B"/>
    <w:rsid w:val="00F83DDE"/>
    <w:rsid w:val="00F877C8"/>
    <w:rsid w:val="00F905A1"/>
    <w:rsid w:val="00F90F6A"/>
    <w:rsid w:val="00F911F0"/>
    <w:rsid w:val="00F9154F"/>
    <w:rsid w:val="00F91DD7"/>
    <w:rsid w:val="00F91F2E"/>
    <w:rsid w:val="00F93B07"/>
    <w:rsid w:val="00F94B16"/>
    <w:rsid w:val="00FA148B"/>
    <w:rsid w:val="00FA45C5"/>
    <w:rsid w:val="00FA6C41"/>
    <w:rsid w:val="00FA726D"/>
    <w:rsid w:val="00FB080F"/>
    <w:rsid w:val="00FB0B48"/>
    <w:rsid w:val="00FB6EFA"/>
    <w:rsid w:val="00FC3331"/>
    <w:rsid w:val="00FC3C54"/>
    <w:rsid w:val="00FC5A8B"/>
    <w:rsid w:val="00FC6E11"/>
    <w:rsid w:val="00FC7D56"/>
    <w:rsid w:val="00FD1518"/>
    <w:rsid w:val="00FD220E"/>
    <w:rsid w:val="00FD28EE"/>
    <w:rsid w:val="00FD3F04"/>
    <w:rsid w:val="00FD5245"/>
    <w:rsid w:val="00FD5A11"/>
    <w:rsid w:val="00FE00C9"/>
    <w:rsid w:val="00FE04B5"/>
    <w:rsid w:val="00FE2810"/>
    <w:rsid w:val="00FE2CD5"/>
    <w:rsid w:val="00FE3838"/>
    <w:rsid w:val="00FE7C12"/>
    <w:rsid w:val="00FF3039"/>
    <w:rsid w:val="00FF316D"/>
    <w:rsid w:val="00FF471F"/>
    <w:rsid w:val="00FF5EF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oNotEmbedSmartTags/>
  <w:decimalSymbol w:val="."/>
  <w:listSeparator w:val=","/>
  <w14:docId w14:val="24617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footnote text" w:qFormat="1"/>
    <w:lsdException w:name="annotation text" w:qFormat="1"/>
    <w:lsdException w:name="header" w:qFormat="1"/>
    <w:lsdException w:name="footer" w:qFormat="1"/>
    <w:lsdException w:name="index heading" w:qFormat="1"/>
    <w:lsdException w:name="caption" w:qFormat="1"/>
    <w:lsdException w:name="table of figures" w:qFormat="1"/>
    <w:lsdException w:name="footnote reference" w:uiPriority="99" w:qFormat="1"/>
    <w:lsdException w:name="page number" w:qFormat="1"/>
    <w:lsdException w:name="endnote reference" w:qFormat="1"/>
    <w:lsdException w:name="endnote text" w:qFormat="1"/>
    <w:lsdException w:name="table of authorities" w:qFormat="1"/>
    <w:lsdException w:name="toa heading" w:qFormat="1"/>
    <w:lsdException w:name="List" w:qFormat="1"/>
    <w:lsdException w:name="List Bullet" w:qFormat="1"/>
    <w:lsdException w:name="List Number" w:uiPriority="99"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Subtitle" w:qFormat="1"/>
    <w:lsdException w:name="Salutation"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uiPriority="6" w:qFormat="1"/>
  </w:latentStyles>
  <w:style w:type="paragraph" w:default="1" w:styleId="Normal">
    <w:name w:val="Normal"/>
    <w:qFormat/>
    <w:rsid w:val="002A0960"/>
    <w:rPr>
      <w:sz w:val="24"/>
    </w:rPr>
  </w:style>
  <w:style w:type="paragraph" w:styleId="Heading1">
    <w:name w:val="heading 1"/>
    <w:basedOn w:val="Normal"/>
    <w:uiPriority w:val="1"/>
    <w:qFormat/>
    <w:rsid w:val="00F8340B"/>
    <w:pPr>
      <w:numPr>
        <w:numId w:val="4"/>
      </w:numPr>
      <w:spacing w:after="240"/>
      <w:outlineLvl w:val="0"/>
    </w:pPr>
  </w:style>
  <w:style w:type="paragraph" w:styleId="Heading2">
    <w:name w:val="heading 2"/>
    <w:basedOn w:val="Normal"/>
    <w:uiPriority w:val="1"/>
    <w:qFormat/>
    <w:rsid w:val="00F8340B"/>
    <w:pPr>
      <w:numPr>
        <w:ilvl w:val="1"/>
        <w:numId w:val="4"/>
      </w:numPr>
      <w:spacing w:after="240"/>
      <w:outlineLvl w:val="1"/>
    </w:pPr>
  </w:style>
  <w:style w:type="paragraph" w:styleId="Heading3">
    <w:name w:val="heading 3"/>
    <w:basedOn w:val="Normal"/>
    <w:uiPriority w:val="1"/>
    <w:qFormat/>
    <w:rsid w:val="00F8340B"/>
    <w:pPr>
      <w:numPr>
        <w:ilvl w:val="2"/>
        <w:numId w:val="4"/>
      </w:numPr>
      <w:spacing w:after="240"/>
      <w:outlineLvl w:val="2"/>
    </w:pPr>
  </w:style>
  <w:style w:type="paragraph" w:styleId="Heading4">
    <w:name w:val="heading 4"/>
    <w:basedOn w:val="Normal"/>
    <w:uiPriority w:val="1"/>
    <w:qFormat/>
    <w:rsid w:val="00F8340B"/>
    <w:pPr>
      <w:numPr>
        <w:ilvl w:val="3"/>
        <w:numId w:val="4"/>
      </w:numPr>
      <w:spacing w:after="240"/>
      <w:outlineLvl w:val="3"/>
    </w:pPr>
  </w:style>
  <w:style w:type="paragraph" w:styleId="Heading5">
    <w:name w:val="heading 5"/>
    <w:basedOn w:val="Normal"/>
    <w:uiPriority w:val="1"/>
    <w:qFormat/>
    <w:rsid w:val="00F8340B"/>
    <w:pPr>
      <w:numPr>
        <w:ilvl w:val="4"/>
        <w:numId w:val="4"/>
      </w:numPr>
      <w:spacing w:after="240"/>
      <w:outlineLvl w:val="4"/>
    </w:pPr>
  </w:style>
  <w:style w:type="paragraph" w:styleId="Heading6">
    <w:name w:val="heading 6"/>
    <w:basedOn w:val="Normal"/>
    <w:uiPriority w:val="1"/>
    <w:qFormat/>
    <w:rsid w:val="00F8340B"/>
    <w:pPr>
      <w:numPr>
        <w:ilvl w:val="5"/>
        <w:numId w:val="4"/>
      </w:numPr>
      <w:spacing w:after="240"/>
      <w:outlineLvl w:val="5"/>
    </w:pPr>
  </w:style>
  <w:style w:type="paragraph" w:styleId="Heading7">
    <w:name w:val="heading 7"/>
    <w:basedOn w:val="Normal"/>
    <w:uiPriority w:val="1"/>
    <w:qFormat/>
    <w:rsid w:val="00F8340B"/>
    <w:pPr>
      <w:numPr>
        <w:ilvl w:val="6"/>
        <w:numId w:val="4"/>
      </w:numPr>
      <w:spacing w:after="240"/>
      <w:outlineLvl w:val="6"/>
    </w:pPr>
  </w:style>
  <w:style w:type="paragraph" w:styleId="Heading8">
    <w:name w:val="heading 8"/>
    <w:basedOn w:val="Normal"/>
    <w:uiPriority w:val="1"/>
    <w:qFormat/>
    <w:rsid w:val="00F8340B"/>
    <w:pPr>
      <w:numPr>
        <w:ilvl w:val="7"/>
        <w:numId w:val="4"/>
      </w:numPr>
      <w:spacing w:after="240"/>
      <w:outlineLvl w:val="7"/>
    </w:pPr>
  </w:style>
  <w:style w:type="paragraph" w:styleId="Heading9">
    <w:name w:val="heading 9"/>
    <w:basedOn w:val="Normal"/>
    <w:next w:val="Normal"/>
    <w:uiPriority w:val="1"/>
    <w:qFormat/>
    <w:rsid w:val="00F8340B"/>
    <w:pPr>
      <w:keepNext/>
      <w:numPr>
        <w:ilvl w:val="8"/>
        <w:numId w:val="4"/>
      </w:numPr>
      <w:spacing w:after="240"/>
      <w:jc w:val="center"/>
      <w:outlineLvl w:val="8"/>
    </w:pPr>
    <w:rPr>
      <w:b/>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2">
    <w:name w:val="Para2"/>
    <w:basedOn w:val="Normal"/>
    <w:uiPriority w:val="1"/>
    <w:qFormat/>
    <w:rsid w:val="00F8340B"/>
    <w:pPr>
      <w:spacing w:after="240"/>
      <w:ind w:left="720" w:firstLine="1440"/>
    </w:pPr>
  </w:style>
  <w:style w:type="paragraph" w:customStyle="1" w:styleId="Para1">
    <w:name w:val="Para1"/>
    <w:basedOn w:val="Normal"/>
    <w:uiPriority w:val="1"/>
    <w:qFormat/>
    <w:rsid w:val="00F8340B"/>
    <w:pPr>
      <w:spacing w:after="240"/>
      <w:ind w:firstLine="1440"/>
    </w:pPr>
  </w:style>
  <w:style w:type="paragraph" w:styleId="BlockText">
    <w:name w:val="Block Text"/>
    <w:basedOn w:val="Normal"/>
    <w:qFormat/>
    <w:rsid w:val="00F8340B"/>
    <w:pPr>
      <w:spacing w:after="240"/>
      <w:ind w:left="1440" w:right="1440"/>
    </w:pPr>
  </w:style>
  <w:style w:type="paragraph" w:customStyle="1" w:styleId="BlockText2">
    <w:name w:val="Block Text 2"/>
    <w:basedOn w:val="Normal"/>
    <w:semiHidden/>
    <w:unhideWhenUsed/>
    <w:qFormat/>
    <w:rsid w:val="00F8340B"/>
    <w:pPr>
      <w:spacing w:line="480" w:lineRule="auto"/>
      <w:ind w:left="1440" w:right="1440"/>
    </w:pPr>
  </w:style>
  <w:style w:type="paragraph" w:styleId="FootnoteText">
    <w:name w:val="footnote text"/>
    <w:basedOn w:val="Normal"/>
    <w:link w:val="FootnoteTextChar"/>
    <w:unhideWhenUsed/>
    <w:qFormat/>
    <w:rsid w:val="00DD5CE5"/>
    <w:rPr>
      <w:sz w:val="20"/>
      <w:szCs w:val="24"/>
    </w:rPr>
  </w:style>
  <w:style w:type="paragraph" w:styleId="PlainText">
    <w:name w:val="Plain Text"/>
    <w:basedOn w:val="Normal"/>
    <w:semiHidden/>
    <w:unhideWhenUsed/>
    <w:rsid w:val="00F8340B"/>
  </w:style>
  <w:style w:type="paragraph" w:styleId="Footer">
    <w:name w:val="footer"/>
    <w:basedOn w:val="Normal"/>
    <w:qFormat/>
    <w:rsid w:val="005249FE"/>
    <w:pPr>
      <w:tabs>
        <w:tab w:val="center" w:pos="4320"/>
        <w:tab w:val="right" w:pos="8640"/>
      </w:tabs>
    </w:pPr>
  </w:style>
  <w:style w:type="character" w:styleId="PageNumber">
    <w:name w:val="page number"/>
    <w:basedOn w:val="DefaultParagraphFont"/>
    <w:semiHidden/>
    <w:qFormat/>
    <w:rsid w:val="00F8340B"/>
  </w:style>
  <w:style w:type="paragraph" w:customStyle="1" w:styleId="BlockText3">
    <w:name w:val="Block Text 3"/>
    <w:basedOn w:val="Normal"/>
    <w:semiHidden/>
    <w:qFormat/>
    <w:rsid w:val="00F8340B"/>
    <w:pPr>
      <w:spacing w:after="240"/>
      <w:ind w:left="1440" w:right="1440" w:firstLine="720"/>
    </w:pPr>
  </w:style>
  <w:style w:type="paragraph" w:customStyle="1" w:styleId="BlockText4">
    <w:name w:val="Block Text 4"/>
    <w:basedOn w:val="Normal"/>
    <w:semiHidden/>
    <w:qFormat/>
    <w:rsid w:val="00F8340B"/>
    <w:pPr>
      <w:spacing w:line="480" w:lineRule="auto"/>
      <w:ind w:left="1440" w:right="1440" w:firstLine="720"/>
    </w:pPr>
  </w:style>
  <w:style w:type="paragraph" w:styleId="BodyText">
    <w:name w:val="Body Text"/>
    <w:basedOn w:val="Normal"/>
    <w:qFormat/>
    <w:rsid w:val="00F07798"/>
    <w:pPr>
      <w:spacing w:after="240"/>
    </w:pPr>
  </w:style>
  <w:style w:type="paragraph" w:styleId="BodyText2">
    <w:name w:val="Body Text 2"/>
    <w:basedOn w:val="Normal"/>
    <w:qFormat/>
    <w:rsid w:val="00F07798"/>
    <w:pPr>
      <w:spacing w:line="480" w:lineRule="auto"/>
    </w:pPr>
  </w:style>
  <w:style w:type="paragraph" w:styleId="BodyText3">
    <w:name w:val="Body Text 3"/>
    <w:basedOn w:val="Normal"/>
    <w:semiHidden/>
    <w:unhideWhenUsed/>
    <w:qFormat/>
    <w:rsid w:val="00F8340B"/>
    <w:pPr>
      <w:spacing w:after="240"/>
    </w:pPr>
  </w:style>
  <w:style w:type="paragraph" w:styleId="BodyTextFirstIndent">
    <w:name w:val="Body Text First Indent"/>
    <w:basedOn w:val="Normal"/>
    <w:qFormat/>
    <w:rsid w:val="007F7B33"/>
    <w:pPr>
      <w:spacing w:after="240"/>
      <w:ind w:firstLine="1440"/>
    </w:pPr>
  </w:style>
  <w:style w:type="paragraph" w:styleId="BodyTextIndent">
    <w:name w:val="Body Text Indent"/>
    <w:basedOn w:val="Normal"/>
    <w:qFormat/>
    <w:rsid w:val="00F07798"/>
    <w:pPr>
      <w:suppressAutoHyphens/>
      <w:spacing w:after="240"/>
      <w:ind w:left="720" w:right="720"/>
    </w:pPr>
  </w:style>
  <w:style w:type="paragraph" w:styleId="BodyTextFirstIndent2">
    <w:name w:val="Body Text First Indent 2"/>
    <w:basedOn w:val="Normal"/>
    <w:qFormat/>
    <w:rsid w:val="007F7B33"/>
    <w:pPr>
      <w:spacing w:line="480" w:lineRule="auto"/>
      <w:ind w:firstLine="1440"/>
    </w:pPr>
  </w:style>
  <w:style w:type="paragraph" w:customStyle="1" w:styleId="BodyTextFirstIndent3">
    <w:name w:val="Body Text First Indent 3"/>
    <w:basedOn w:val="Normal"/>
    <w:semiHidden/>
    <w:unhideWhenUsed/>
    <w:qFormat/>
    <w:rsid w:val="00F8340B"/>
    <w:pPr>
      <w:spacing w:after="240" w:line="360" w:lineRule="auto"/>
      <w:ind w:firstLine="720"/>
    </w:pPr>
  </w:style>
  <w:style w:type="paragraph" w:styleId="Signature">
    <w:name w:val="Signature"/>
    <w:basedOn w:val="Normal"/>
    <w:qFormat/>
    <w:rsid w:val="00F8340B"/>
    <w:pPr>
      <w:keepLines/>
      <w:ind w:left="4680"/>
    </w:pPr>
  </w:style>
  <w:style w:type="paragraph" w:styleId="TOAHeading">
    <w:name w:val="toa heading"/>
    <w:basedOn w:val="Normal"/>
    <w:next w:val="Normal"/>
    <w:semiHidden/>
    <w:unhideWhenUsed/>
    <w:qFormat/>
    <w:rsid w:val="00F8340B"/>
    <w:pPr>
      <w:spacing w:after="240"/>
      <w:jc w:val="center"/>
    </w:pPr>
    <w:rPr>
      <w:b/>
    </w:rPr>
  </w:style>
  <w:style w:type="paragraph" w:styleId="TOC1">
    <w:name w:val="toc 1"/>
    <w:basedOn w:val="TOCBase"/>
    <w:next w:val="Normal"/>
    <w:uiPriority w:val="6"/>
    <w:unhideWhenUsed/>
    <w:qFormat/>
    <w:rsid w:val="00F8340B"/>
    <w:pPr>
      <w:keepNext/>
      <w:spacing w:before="240"/>
    </w:pPr>
    <w:rPr>
      <w:noProof/>
    </w:rPr>
  </w:style>
  <w:style w:type="paragraph" w:customStyle="1" w:styleId="TOCBase">
    <w:name w:val="TOC Base"/>
    <w:basedOn w:val="Normal"/>
    <w:uiPriority w:val="6"/>
    <w:semiHidden/>
    <w:qFormat/>
    <w:rsid w:val="00F8340B"/>
    <w:pPr>
      <w:ind w:left="720" w:right="720" w:hanging="720"/>
    </w:pPr>
  </w:style>
  <w:style w:type="paragraph" w:styleId="TOC2">
    <w:name w:val="toc 2"/>
    <w:basedOn w:val="TOCBase"/>
    <w:next w:val="Normal"/>
    <w:uiPriority w:val="6"/>
    <w:unhideWhenUsed/>
    <w:qFormat/>
    <w:rsid w:val="00F8340B"/>
    <w:pPr>
      <w:ind w:left="1440"/>
    </w:pPr>
    <w:rPr>
      <w:noProof/>
    </w:rPr>
  </w:style>
  <w:style w:type="paragraph" w:styleId="TOC3">
    <w:name w:val="toc 3"/>
    <w:basedOn w:val="TOCBase"/>
    <w:next w:val="Normal"/>
    <w:uiPriority w:val="6"/>
    <w:unhideWhenUsed/>
    <w:qFormat/>
    <w:rsid w:val="00F8340B"/>
    <w:pPr>
      <w:ind w:left="2160"/>
    </w:pPr>
  </w:style>
  <w:style w:type="paragraph" w:styleId="TOC4">
    <w:name w:val="toc 4"/>
    <w:basedOn w:val="TOCBase"/>
    <w:next w:val="Normal"/>
    <w:uiPriority w:val="6"/>
    <w:unhideWhenUsed/>
    <w:qFormat/>
    <w:rsid w:val="00F8340B"/>
    <w:pPr>
      <w:ind w:left="2880"/>
    </w:pPr>
  </w:style>
  <w:style w:type="paragraph" w:styleId="TOC5">
    <w:name w:val="toc 5"/>
    <w:basedOn w:val="TOCBase"/>
    <w:next w:val="Normal"/>
    <w:uiPriority w:val="6"/>
    <w:unhideWhenUsed/>
    <w:qFormat/>
    <w:rsid w:val="00F8340B"/>
    <w:pPr>
      <w:ind w:left="3600"/>
    </w:pPr>
  </w:style>
  <w:style w:type="paragraph" w:styleId="TOC6">
    <w:name w:val="toc 6"/>
    <w:basedOn w:val="TOCBase"/>
    <w:next w:val="Normal"/>
    <w:uiPriority w:val="6"/>
    <w:unhideWhenUsed/>
    <w:qFormat/>
    <w:rsid w:val="00F8340B"/>
    <w:pPr>
      <w:ind w:left="4320"/>
    </w:pPr>
  </w:style>
  <w:style w:type="paragraph" w:styleId="TOC7">
    <w:name w:val="toc 7"/>
    <w:basedOn w:val="TOCBase"/>
    <w:next w:val="Normal"/>
    <w:uiPriority w:val="6"/>
    <w:unhideWhenUsed/>
    <w:qFormat/>
    <w:rsid w:val="00F8340B"/>
    <w:pPr>
      <w:ind w:left="5040"/>
    </w:pPr>
  </w:style>
  <w:style w:type="paragraph" w:styleId="TOC8">
    <w:name w:val="toc 8"/>
    <w:basedOn w:val="TOCBase"/>
    <w:next w:val="Normal"/>
    <w:uiPriority w:val="6"/>
    <w:unhideWhenUsed/>
    <w:qFormat/>
    <w:rsid w:val="00F8340B"/>
    <w:pPr>
      <w:ind w:left="5760"/>
    </w:pPr>
  </w:style>
  <w:style w:type="paragraph" w:styleId="TOCHeading">
    <w:name w:val="TOC Heading"/>
    <w:basedOn w:val="Normal"/>
    <w:uiPriority w:val="6"/>
    <w:qFormat/>
    <w:rsid w:val="00624F41"/>
    <w:pPr>
      <w:suppressAutoHyphens/>
      <w:spacing w:after="240"/>
      <w:jc w:val="center"/>
    </w:pPr>
    <w:rPr>
      <w:b/>
      <w:caps/>
    </w:rPr>
  </w:style>
  <w:style w:type="paragraph" w:styleId="BodyTextIndent2">
    <w:name w:val="Body Text Indent 2"/>
    <w:basedOn w:val="Normal"/>
    <w:unhideWhenUsed/>
    <w:qFormat/>
    <w:rsid w:val="0030568F"/>
    <w:pPr>
      <w:suppressAutoHyphens/>
      <w:spacing w:line="480" w:lineRule="auto"/>
      <w:ind w:left="720" w:right="720"/>
    </w:pPr>
  </w:style>
  <w:style w:type="paragraph" w:styleId="TableofAuthorities">
    <w:name w:val="table of authorities"/>
    <w:basedOn w:val="Normal"/>
    <w:next w:val="Normal"/>
    <w:semiHidden/>
    <w:unhideWhenUsed/>
    <w:qFormat/>
    <w:rsid w:val="00F8340B"/>
    <w:pPr>
      <w:ind w:left="720" w:hanging="720"/>
    </w:pPr>
  </w:style>
  <w:style w:type="paragraph" w:styleId="Subtitle">
    <w:name w:val="Subtitle"/>
    <w:basedOn w:val="Normal"/>
    <w:next w:val="BodyTextFirst5"/>
    <w:link w:val="SubtitleChar"/>
    <w:qFormat/>
    <w:rsid w:val="0016388A"/>
    <w:pPr>
      <w:keepNext/>
      <w:suppressAutoHyphens/>
      <w:spacing w:after="240"/>
      <w:jc w:val="center"/>
    </w:pPr>
    <w:rPr>
      <w:rFonts w:eastAsiaTheme="majorEastAsia" w:cstheme="majorBidi"/>
      <w:b/>
    </w:rPr>
  </w:style>
  <w:style w:type="paragraph" w:styleId="Title">
    <w:name w:val="Title"/>
    <w:basedOn w:val="Normal"/>
    <w:next w:val="BodyTextFirst5"/>
    <w:uiPriority w:val="4"/>
    <w:qFormat/>
    <w:rsid w:val="000C184D"/>
    <w:pPr>
      <w:keepNext/>
      <w:spacing w:after="240"/>
      <w:jc w:val="center"/>
      <w:outlineLvl w:val="0"/>
    </w:pPr>
    <w:rPr>
      <w:b/>
      <w:caps/>
    </w:rPr>
  </w:style>
  <w:style w:type="paragraph" w:styleId="BodyTextIndent3">
    <w:name w:val="Body Text Indent 3"/>
    <w:basedOn w:val="Normal"/>
    <w:unhideWhenUsed/>
    <w:qFormat/>
    <w:rsid w:val="00F07798"/>
    <w:pPr>
      <w:spacing w:after="240"/>
      <w:ind w:left="720" w:firstLine="720"/>
    </w:pPr>
  </w:style>
  <w:style w:type="paragraph" w:customStyle="1" w:styleId="BodyTextIndent4">
    <w:name w:val="Body Text Indent 4"/>
    <w:basedOn w:val="Normal"/>
    <w:semiHidden/>
    <w:unhideWhenUsed/>
    <w:rsid w:val="00F07798"/>
    <w:pPr>
      <w:spacing w:line="480" w:lineRule="auto"/>
      <w:ind w:left="720" w:right="720"/>
    </w:pPr>
    <w:rPr>
      <w:szCs w:val="24"/>
    </w:rPr>
  </w:style>
  <w:style w:type="paragraph" w:styleId="Caption">
    <w:name w:val="caption"/>
    <w:basedOn w:val="Normal"/>
    <w:next w:val="BodyText"/>
    <w:semiHidden/>
    <w:unhideWhenUsed/>
    <w:qFormat/>
    <w:rsid w:val="009F7206"/>
    <w:pPr>
      <w:spacing w:after="240"/>
    </w:pPr>
  </w:style>
  <w:style w:type="paragraph" w:customStyle="1" w:styleId="Single">
    <w:name w:val="Single"/>
    <w:basedOn w:val="Normal"/>
    <w:semiHidden/>
    <w:unhideWhenUsed/>
    <w:rsid w:val="00F8340B"/>
    <w:pPr>
      <w:spacing w:after="240"/>
      <w:ind w:firstLine="720"/>
    </w:pPr>
  </w:style>
  <w:style w:type="character" w:styleId="CommentReference">
    <w:name w:val="annotation reference"/>
    <w:basedOn w:val="DefaultParagraphFont"/>
    <w:semiHidden/>
    <w:rsid w:val="00F8340B"/>
    <w:rPr>
      <w:sz w:val="24"/>
    </w:rPr>
  </w:style>
  <w:style w:type="paragraph" w:styleId="CommentText">
    <w:name w:val="annotation text"/>
    <w:basedOn w:val="Normal"/>
    <w:link w:val="CommentTextChar"/>
    <w:semiHidden/>
    <w:qFormat/>
    <w:rsid w:val="00F8340B"/>
  </w:style>
  <w:style w:type="paragraph" w:customStyle="1" w:styleId="Double">
    <w:name w:val="Double"/>
    <w:basedOn w:val="Normal"/>
    <w:semiHidden/>
    <w:unhideWhenUsed/>
    <w:rsid w:val="00F8340B"/>
    <w:pPr>
      <w:spacing w:line="480" w:lineRule="auto"/>
      <w:ind w:firstLine="720"/>
    </w:pPr>
  </w:style>
  <w:style w:type="paragraph" w:styleId="ListBullet">
    <w:name w:val="List Bullet"/>
    <w:basedOn w:val="Normal"/>
    <w:uiPriority w:val="3"/>
    <w:qFormat/>
    <w:rsid w:val="00F8340B"/>
    <w:pPr>
      <w:numPr>
        <w:numId w:val="5"/>
      </w:numPr>
      <w:spacing w:after="240"/>
    </w:pPr>
  </w:style>
  <w:style w:type="paragraph" w:styleId="ListBullet2">
    <w:name w:val="List Bullet 2"/>
    <w:basedOn w:val="Normal"/>
    <w:uiPriority w:val="3"/>
    <w:qFormat/>
    <w:rsid w:val="00F8340B"/>
    <w:pPr>
      <w:numPr>
        <w:numId w:val="7"/>
      </w:numPr>
      <w:spacing w:after="240"/>
    </w:pPr>
  </w:style>
  <w:style w:type="paragraph" w:styleId="ListBullet3">
    <w:name w:val="List Bullet 3"/>
    <w:basedOn w:val="Normal"/>
    <w:uiPriority w:val="3"/>
    <w:qFormat/>
    <w:rsid w:val="00F8340B"/>
    <w:pPr>
      <w:numPr>
        <w:numId w:val="8"/>
      </w:numPr>
      <w:spacing w:after="240"/>
    </w:pPr>
  </w:style>
  <w:style w:type="paragraph" w:styleId="ListBullet4">
    <w:name w:val="List Bullet 4"/>
    <w:basedOn w:val="Normal"/>
    <w:uiPriority w:val="3"/>
    <w:qFormat/>
    <w:rsid w:val="00F8340B"/>
    <w:pPr>
      <w:numPr>
        <w:numId w:val="9"/>
      </w:numPr>
      <w:spacing w:after="240"/>
    </w:pPr>
  </w:style>
  <w:style w:type="paragraph" w:styleId="ListBullet5">
    <w:name w:val="List Bullet 5"/>
    <w:basedOn w:val="Normal"/>
    <w:uiPriority w:val="3"/>
    <w:qFormat/>
    <w:rsid w:val="00F8340B"/>
    <w:pPr>
      <w:numPr>
        <w:numId w:val="10"/>
      </w:numPr>
      <w:spacing w:after="240"/>
    </w:pPr>
  </w:style>
  <w:style w:type="paragraph" w:styleId="Header">
    <w:name w:val="header"/>
    <w:basedOn w:val="Normal"/>
    <w:unhideWhenUsed/>
    <w:qFormat/>
    <w:rsid w:val="002554F9"/>
    <w:pPr>
      <w:tabs>
        <w:tab w:val="center" w:pos="4320"/>
        <w:tab w:val="right" w:pos="8640"/>
      </w:tabs>
    </w:pPr>
  </w:style>
  <w:style w:type="paragraph" w:customStyle="1" w:styleId="Para3">
    <w:name w:val="Para3"/>
    <w:basedOn w:val="Normal"/>
    <w:uiPriority w:val="1"/>
    <w:qFormat/>
    <w:rsid w:val="00F8340B"/>
    <w:pPr>
      <w:spacing w:after="240"/>
      <w:ind w:left="1440" w:firstLine="1440"/>
    </w:pPr>
  </w:style>
  <w:style w:type="paragraph" w:customStyle="1" w:styleId="Para4">
    <w:name w:val="Para4"/>
    <w:basedOn w:val="Normal"/>
    <w:uiPriority w:val="1"/>
    <w:qFormat/>
    <w:rsid w:val="00F8340B"/>
    <w:pPr>
      <w:spacing w:after="240"/>
      <w:ind w:left="2160" w:firstLine="1440"/>
    </w:pPr>
  </w:style>
  <w:style w:type="paragraph" w:customStyle="1" w:styleId="Exhibit">
    <w:name w:val="Exhibit"/>
    <w:basedOn w:val="Title"/>
    <w:next w:val="Normal"/>
    <w:uiPriority w:val="5"/>
    <w:qFormat/>
    <w:rsid w:val="00F8340B"/>
  </w:style>
  <w:style w:type="paragraph" w:customStyle="1" w:styleId="Para5">
    <w:name w:val="Para5"/>
    <w:basedOn w:val="Normal"/>
    <w:uiPriority w:val="1"/>
    <w:qFormat/>
    <w:rsid w:val="00F8340B"/>
    <w:pPr>
      <w:spacing w:after="240"/>
      <w:ind w:left="2880" w:firstLine="1440"/>
    </w:pPr>
  </w:style>
  <w:style w:type="paragraph" w:customStyle="1" w:styleId="Para6">
    <w:name w:val="Para6"/>
    <w:basedOn w:val="Normal"/>
    <w:uiPriority w:val="1"/>
    <w:qFormat/>
    <w:rsid w:val="00F8340B"/>
    <w:pPr>
      <w:spacing w:after="240"/>
      <w:ind w:left="3600" w:firstLine="1440"/>
    </w:pPr>
  </w:style>
  <w:style w:type="paragraph" w:customStyle="1" w:styleId="Para7">
    <w:name w:val="Para7"/>
    <w:basedOn w:val="Normal"/>
    <w:uiPriority w:val="1"/>
    <w:qFormat/>
    <w:rsid w:val="00F8340B"/>
    <w:pPr>
      <w:spacing w:after="240"/>
      <w:ind w:left="4320" w:firstLine="1440"/>
    </w:pPr>
  </w:style>
  <w:style w:type="paragraph" w:customStyle="1" w:styleId="Para8">
    <w:name w:val="Para8"/>
    <w:basedOn w:val="Normal"/>
    <w:uiPriority w:val="1"/>
    <w:qFormat/>
    <w:rsid w:val="00F8340B"/>
    <w:pPr>
      <w:spacing w:after="240"/>
      <w:ind w:left="5040" w:firstLine="1440"/>
    </w:pPr>
  </w:style>
  <w:style w:type="paragraph" w:styleId="EndnoteText">
    <w:name w:val="endnote text"/>
    <w:basedOn w:val="Normal"/>
    <w:semiHidden/>
    <w:unhideWhenUsed/>
    <w:qFormat/>
    <w:rsid w:val="00F8340B"/>
  </w:style>
  <w:style w:type="paragraph" w:styleId="EnvelopeReturn">
    <w:name w:val="envelope return"/>
    <w:basedOn w:val="Normal"/>
    <w:semiHidden/>
    <w:unhideWhenUsed/>
    <w:rsid w:val="00F8340B"/>
  </w:style>
  <w:style w:type="paragraph" w:styleId="EnvelopeAddress">
    <w:name w:val="envelope address"/>
    <w:basedOn w:val="Normal"/>
    <w:semiHidden/>
    <w:unhideWhenUsed/>
    <w:rsid w:val="00F8340B"/>
    <w:pPr>
      <w:framePr w:w="7920" w:h="1980" w:hRule="exact" w:hSpace="180" w:wrap="auto" w:hAnchor="page" w:xAlign="center" w:yAlign="bottom"/>
      <w:ind w:left="2880"/>
    </w:pPr>
  </w:style>
  <w:style w:type="paragraph" w:styleId="ListNumber">
    <w:name w:val="List Number"/>
    <w:basedOn w:val="Normal"/>
    <w:uiPriority w:val="99"/>
    <w:qFormat/>
    <w:rsid w:val="00F8340B"/>
    <w:pPr>
      <w:numPr>
        <w:numId w:val="6"/>
      </w:numPr>
      <w:spacing w:after="240"/>
    </w:pPr>
  </w:style>
  <w:style w:type="paragraph" w:styleId="ListNumber2">
    <w:name w:val="List Number 2"/>
    <w:basedOn w:val="Normal"/>
    <w:uiPriority w:val="3"/>
    <w:qFormat/>
    <w:rsid w:val="00F8340B"/>
    <w:pPr>
      <w:numPr>
        <w:numId w:val="11"/>
      </w:numPr>
      <w:spacing w:after="240"/>
    </w:pPr>
  </w:style>
  <w:style w:type="paragraph" w:styleId="ListNumber3">
    <w:name w:val="List Number 3"/>
    <w:basedOn w:val="Normal"/>
    <w:uiPriority w:val="3"/>
    <w:qFormat/>
    <w:rsid w:val="00F8340B"/>
    <w:pPr>
      <w:numPr>
        <w:numId w:val="12"/>
      </w:numPr>
      <w:spacing w:after="240"/>
    </w:pPr>
  </w:style>
  <w:style w:type="paragraph" w:styleId="ListNumber4">
    <w:name w:val="List Number 4"/>
    <w:basedOn w:val="Normal"/>
    <w:uiPriority w:val="3"/>
    <w:qFormat/>
    <w:rsid w:val="00F8340B"/>
    <w:pPr>
      <w:numPr>
        <w:numId w:val="13"/>
      </w:numPr>
      <w:spacing w:after="240"/>
    </w:pPr>
  </w:style>
  <w:style w:type="paragraph" w:styleId="ListNumber5">
    <w:name w:val="List Number 5"/>
    <w:basedOn w:val="Normal"/>
    <w:uiPriority w:val="3"/>
    <w:qFormat/>
    <w:rsid w:val="00F8340B"/>
    <w:pPr>
      <w:numPr>
        <w:numId w:val="14"/>
      </w:numPr>
      <w:spacing w:after="240"/>
    </w:pPr>
  </w:style>
  <w:style w:type="paragraph" w:styleId="TOC9">
    <w:name w:val="toc 9"/>
    <w:basedOn w:val="TOCBase"/>
    <w:next w:val="Normal"/>
    <w:uiPriority w:val="6"/>
    <w:unhideWhenUsed/>
    <w:qFormat/>
    <w:rsid w:val="00F8340B"/>
  </w:style>
  <w:style w:type="character" w:styleId="LineNumber">
    <w:name w:val="line number"/>
    <w:basedOn w:val="DefaultParagraphFont"/>
    <w:semiHidden/>
    <w:unhideWhenUsed/>
    <w:rsid w:val="00F8340B"/>
  </w:style>
  <w:style w:type="paragraph" w:customStyle="1" w:styleId="Hanging">
    <w:name w:val="Hanging"/>
    <w:basedOn w:val="Normal"/>
    <w:qFormat/>
    <w:rsid w:val="00F8340B"/>
    <w:pPr>
      <w:spacing w:after="240"/>
      <w:ind w:left="2160" w:hanging="2160"/>
    </w:pPr>
  </w:style>
  <w:style w:type="paragraph" w:customStyle="1" w:styleId="Level1">
    <w:name w:val="Level 1"/>
    <w:basedOn w:val="Normal"/>
    <w:uiPriority w:val="2"/>
    <w:qFormat/>
    <w:rsid w:val="00F8340B"/>
    <w:pPr>
      <w:numPr>
        <w:numId w:val="15"/>
      </w:numPr>
      <w:spacing w:after="240"/>
    </w:pPr>
  </w:style>
  <w:style w:type="paragraph" w:customStyle="1" w:styleId="Level2">
    <w:name w:val="Level 2"/>
    <w:basedOn w:val="Normal"/>
    <w:uiPriority w:val="2"/>
    <w:qFormat/>
    <w:rsid w:val="00F8340B"/>
    <w:pPr>
      <w:numPr>
        <w:ilvl w:val="1"/>
        <w:numId w:val="15"/>
      </w:numPr>
      <w:spacing w:after="240"/>
    </w:pPr>
  </w:style>
  <w:style w:type="paragraph" w:customStyle="1" w:styleId="Level3">
    <w:name w:val="Level 3"/>
    <w:basedOn w:val="Normal"/>
    <w:uiPriority w:val="2"/>
    <w:qFormat/>
    <w:rsid w:val="00F8340B"/>
    <w:pPr>
      <w:numPr>
        <w:ilvl w:val="2"/>
        <w:numId w:val="15"/>
      </w:numPr>
      <w:spacing w:after="240"/>
    </w:pPr>
  </w:style>
  <w:style w:type="paragraph" w:customStyle="1" w:styleId="Level4">
    <w:name w:val="Level 4"/>
    <w:basedOn w:val="Normal"/>
    <w:uiPriority w:val="2"/>
    <w:qFormat/>
    <w:rsid w:val="00F8340B"/>
    <w:pPr>
      <w:numPr>
        <w:ilvl w:val="3"/>
        <w:numId w:val="15"/>
      </w:numPr>
      <w:spacing w:after="240"/>
    </w:pPr>
  </w:style>
  <w:style w:type="paragraph" w:customStyle="1" w:styleId="Level5">
    <w:name w:val="Level 5"/>
    <w:basedOn w:val="Normal"/>
    <w:uiPriority w:val="2"/>
    <w:qFormat/>
    <w:rsid w:val="00F8340B"/>
    <w:pPr>
      <w:numPr>
        <w:ilvl w:val="4"/>
        <w:numId w:val="15"/>
      </w:numPr>
      <w:spacing w:after="240"/>
    </w:pPr>
  </w:style>
  <w:style w:type="paragraph" w:customStyle="1" w:styleId="Level6">
    <w:name w:val="Level 6"/>
    <w:basedOn w:val="Normal"/>
    <w:uiPriority w:val="2"/>
    <w:qFormat/>
    <w:rsid w:val="00F8340B"/>
    <w:pPr>
      <w:numPr>
        <w:ilvl w:val="5"/>
        <w:numId w:val="15"/>
      </w:numPr>
      <w:spacing w:after="240"/>
    </w:pPr>
  </w:style>
  <w:style w:type="paragraph" w:customStyle="1" w:styleId="Level7">
    <w:name w:val="Level 7"/>
    <w:basedOn w:val="Normal"/>
    <w:uiPriority w:val="2"/>
    <w:qFormat/>
    <w:rsid w:val="00F8340B"/>
    <w:pPr>
      <w:numPr>
        <w:ilvl w:val="6"/>
        <w:numId w:val="15"/>
      </w:numPr>
      <w:spacing w:after="240"/>
    </w:pPr>
  </w:style>
  <w:style w:type="paragraph" w:customStyle="1" w:styleId="Level8">
    <w:name w:val="Level 8"/>
    <w:basedOn w:val="Normal"/>
    <w:uiPriority w:val="2"/>
    <w:qFormat/>
    <w:rsid w:val="00F8340B"/>
    <w:pPr>
      <w:numPr>
        <w:ilvl w:val="7"/>
        <w:numId w:val="15"/>
      </w:numPr>
      <w:spacing w:after="240"/>
    </w:pPr>
  </w:style>
  <w:style w:type="paragraph" w:customStyle="1" w:styleId="Level9">
    <w:name w:val="Level 9"/>
    <w:basedOn w:val="Normal"/>
    <w:uiPriority w:val="2"/>
    <w:qFormat/>
    <w:rsid w:val="00F8340B"/>
    <w:pPr>
      <w:numPr>
        <w:ilvl w:val="8"/>
        <w:numId w:val="15"/>
      </w:numPr>
      <w:spacing w:after="240"/>
    </w:pPr>
    <w:rPr>
      <w:szCs w:val="24"/>
    </w:rPr>
  </w:style>
  <w:style w:type="paragraph" w:styleId="ListContinue">
    <w:name w:val="List Continue"/>
    <w:basedOn w:val="Normal"/>
    <w:uiPriority w:val="3"/>
    <w:qFormat/>
    <w:rsid w:val="00F8340B"/>
    <w:pPr>
      <w:spacing w:after="240"/>
      <w:ind w:left="720"/>
    </w:pPr>
  </w:style>
  <w:style w:type="paragraph" w:customStyle="1" w:styleId="HIDDEN">
    <w:name w:val="HIDDEN"/>
    <w:basedOn w:val="Normal"/>
    <w:next w:val="Normal"/>
    <w:semiHidden/>
    <w:unhideWhenUsed/>
    <w:qFormat/>
    <w:rsid w:val="00F8340B"/>
    <w:pPr>
      <w:widowControl w:val="0"/>
    </w:pPr>
    <w:rPr>
      <w:snapToGrid w:val="0"/>
      <w:vanish/>
      <w:effect w:val="antsBlack"/>
    </w:rPr>
  </w:style>
  <w:style w:type="paragraph" w:customStyle="1" w:styleId="BodyText4">
    <w:name w:val="Body Text 4"/>
    <w:basedOn w:val="Normal"/>
    <w:semiHidden/>
    <w:unhideWhenUsed/>
    <w:qFormat/>
    <w:rsid w:val="00F8340B"/>
    <w:pPr>
      <w:spacing w:line="480" w:lineRule="auto"/>
    </w:pPr>
  </w:style>
  <w:style w:type="character" w:customStyle="1" w:styleId="AllCaps">
    <w:name w:val="AllCaps"/>
    <w:basedOn w:val="DefaultParagraphFont"/>
    <w:semiHidden/>
    <w:unhideWhenUsed/>
    <w:rsid w:val="00F8340B"/>
    <w:rPr>
      <w:caps/>
      <w:u w:val="single"/>
    </w:rPr>
  </w:style>
  <w:style w:type="paragraph" w:styleId="ListContinue2">
    <w:name w:val="List Continue 2"/>
    <w:basedOn w:val="Normal"/>
    <w:uiPriority w:val="3"/>
    <w:qFormat/>
    <w:rsid w:val="00F8340B"/>
    <w:pPr>
      <w:spacing w:after="240"/>
      <w:ind w:left="1440"/>
    </w:pPr>
  </w:style>
  <w:style w:type="paragraph" w:styleId="ListContinue3">
    <w:name w:val="List Continue 3"/>
    <w:basedOn w:val="Normal"/>
    <w:uiPriority w:val="3"/>
    <w:qFormat/>
    <w:rsid w:val="00F8340B"/>
    <w:pPr>
      <w:spacing w:after="240"/>
      <w:ind w:left="2160"/>
    </w:pPr>
  </w:style>
  <w:style w:type="paragraph" w:styleId="ListContinue4">
    <w:name w:val="List Continue 4"/>
    <w:basedOn w:val="Normal"/>
    <w:uiPriority w:val="3"/>
    <w:qFormat/>
    <w:rsid w:val="00F8340B"/>
    <w:pPr>
      <w:spacing w:after="240"/>
      <w:ind w:firstLine="1440"/>
    </w:pPr>
  </w:style>
  <w:style w:type="paragraph" w:styleId="ListContinue5">
    <w:name w:val="List Continue 5"/>
    <w:basedOn w:val="Normal"/>
    <w:uiPriority w:val="3"/>
    <w:qFormat/>
    <w:rsid w:val="00F8340B"/>
    <w:pPr>
      <w:spacing w:after="240"/>
      <w:ind w:firstLine="2160"/>
    </w:pPr>
  </w:style>
  <w:style w:type="paragraph" w:styleId="List">
    <w:name w:val="List"/>
    <w:basedOn w:val="Normal"/>
    <w:uiPriority w:val="3"/>
    <w:qFormat/>
    <w:rsid w:val="00F8340B"/>
    <w:pPr>
      <w:spacing w:after="240"/>
      <w:ind w:left="720"/>
    </w:pPr>
  </w:style>
  <w:style w:type="paragraph" w:styleId="List2">
    <w:name w:val="List 2"/>
    <w:basedOn w:val="Normal"/>
    <w:uiPriority w:val="3"/>
    <w:qFormat/>
    <w:rsid w:val="00F8340B"/>
    <w:pPr>
      <w:spacing w:after="240"/>
      <w:ind w:left="1440"/>
    </w:pPr>
  </w:style>
  <w:style w:type="paragraph" w:styleId="List3">
    <w:name w:val="List 3"/>
    <w:basedOn w:val="Normal"/>
    <w:uiPriority w:val="3"/>
    <w:qFormat/>
    <w:rsid w:val="00F8340B"/>
    <w:pPr>
      <w:spacing w:after="240"/>
      <w:ind w:left="2160"/>
    </w:pPr>
  </w:style>
  <w:style w:type="paragraph" w:styleId="List4">
    <w:name w:val="List 4"/>
    <w:basedOn w:val="Normal"/>
    <w:uiPriority w:val="3"/>
    <w:qFormat/>
    <w:rsid w:val="00F8340B"/>
    <w:pPr>
      <w:spacing w:after="240"/>
      <w:ind w:left="2880"/>
    </w:pPr>
  </w:style>
  <w:style w:type="paragraph" w:styleId="List5">
    <w:name w:val="List 5"/>
    <w:basedOn w:val="Normal"/>
    <w:uiPriority w:val="3"/>
    <w:qFormat/>
    <w:rsid w:val="00F8340B"/>
    <w:pPr>
      <w:spacing w:after="240"/>
      <w:ind w:left="3600"/>
    </w:pPr>
  </w:style>
  <w:style w:type="paragraph" w:styleId="Salutation">
    <w:name w:val="Salutation"/>
    <w:basedOn w:val="Normal"/>
    <w:next w:val="Normal"/>
    <w:semiHidden/>
    <w:qFormat/>
    <w:rsid w:val="00F8340B"/>
    <w:pPr>
      <w:spacing w:after="240"/>
    </w:pPr>
  </w:style>
  <w:style w:type="character" w:styleId="FootnoteReference">
    <w:name w:val="footnote reference"/>
    <w:basedOn w:val="DefaultParagraphFont"/>
    <w:uiPriority w:val="99"/>
    <w:unhideWhenUsed/>
    <w:qFormat/>
    <w:rsid w:val="00F8340B"/>
    <w:rPr>
      <w:vertAlign w:val="superscript"/>
    </w:rPr>
  </w:style>
  <w:style w:type="paragraph" w:customStyle="1" w:styleId="ListNumberA">
    <w:name w:val="List Number A"/>
    <w:basedOn w:val="Normal"/>
    <w:uiPriority w:val="3"/>
    <w:qFormat/>
    <w:rsid w:val="00F8340B"/>
    <w:pPr>
      <w:numPr>
        <w:numId w:val="16"/>
      </w:numPr>
      <w:spacing w:after="240"/>
    </w:pPr>
  </w:style>
  <w:style w:type="paragraph" w:customStyle="1" w:styleId="SubtitleUnderline">
    <w:name w:val="Subtitle Underline"/>
    <w:basedOn w:val="Subtitle"/>
    <w:next w:val="BodyTextFirst5"/>
    <w:uiPriority w:val="4"/>
    <w:qFormat/>
    <w:rsid w:val="00F8340B"/>
    <w:rPr>
      <w:u w:val="single"/>
    </w:rPr>
  </w:style>
  <w:style w:type="paragraph" w:customStyle="1" w:styleId="TitleUnderline">
    <w:name w:val="Title Underline"/>
    <w:basedOn w:val="Title"/>
    <w:next w:val="BodyTextFirst5"/>
    <w:uiPriority w:val="4"/>
    <w:qFormat/>
    <w:rsid w:val="00F8340B"/>
    <w:rPr>
      <w:u w:val="single"/>
    </w:rPr>
  </w:style>
  <w:style w:type="paragraph" w:styleId="Index1">
    <w:name w:val="index 1"/>
    <w:basedOn w:val="Normal"/>
    <w:next w:val="Normal"/>
    <w:autoRedefine/>
    <w:semiHidden/>
    <w:unhideWhenUsed/>
    <w:qFormat/>
    <w:rsid w:val="00F8340B"/>
    <w:pPr>
      <w:ind w:left="240" w:hanging="240"/>
    </w:pPr>
  </w:style>
  <w:style w:type="paragraph" w:styleId="IndexHeading">
    <w:name w:val="index heading"/>
    <w:basedOn w:val="Normal"/>
    <w:next w:val="Index1"/>
    <w:semiHidden/>
    <w:unhideWhenUsed/>
    <w:qFormat/>
    <w:rsid w:val="00F8340B"/>
    <w:rPr>
      <w:b/>
    </w:rPr>
  </w:style>
  <w:style w:type="paragraph" w:styleId="Closing">
    <w:name w:val="Closing"/>
    <w:basedOn w:val="Normal"/>
    <w:semiHidden/>
    <w:unhideWhenUsed/>
    <w:qFormat/>
    <w:rsid w:val="00F8340B"/>
    <w:pPr>
      <w:ind w:left="4320"/>
    </w:pPr>
  </w:style>
  <w:style w:type="paragraph" w:styleId="Date">
    <w:name w:val="Date"/>
    <w:basedOn w:val="Normal"/>
    <w:next w:val="Normal"/>
    <w:qFormat/>
    <w:rsid w:val="00F8340B"/>
  </w:style>
  <w:style w:type="paragraph" w:styleId="TableofFigures">
    <w:name w:val="table of figures"/>
    <w:basedOn w:val="Normal"/>
    <w:next w:val="Normal"/>
    <w:semiHidden/>
    <w:qFormat/>
    <w:rsid w:val="00F8340B"/>
    <w:pPr>
      <w:ind w:left="480" w:hanging="480"/>
    </w:pPr>
  </w:style>
  <w:style w:type="paragraph" w:customStyle="1" w:styleId="Schedule">
    <w:name w:val="Schedule"/>
    <w:basedOn w:val="Title"/>
    <w:next w:val="Normal"/>
    <w:uiPriority w:val="5"/>
    <w:qFormat/>
    <w:rsid w:val="00F8340B"/>
  </w:style>
  <w:style w:type="paragraph" w:customStyle="1" w:styleId="ScheduleHeading">
    <w:name w:val="Schedule Heading"/>
    <w:basedOn w:val="Normal"/>
    <w:next w:val="Normal"/>
    <w:uiPriority w:val="5"/>
    <w:semiHidden/>
    <w:qFormat/>
    <w:rsid w:val="00F8340B"/>
    <w:pPr>
      <w:spacing w:after="240"/>
    </w:pPr>
    <w:rPr>
      <w:u w:val="single"/>
    </w:rPr>
  </w:style>
  <w:style w:type="paragraph" w:customStyle="1" w:styleId="Addendum">
    <w:name w:val="Addendum"/>
    <w:basedOn w:val="Title"/>
    <w:next w:val="Normal"/>
    <w:uiPriority w:val="5"/>
    <w:qFormat/>
    <w:rsid w:val="00F8340B"/>
  </w:style>
  <w:style w:type="paragraph" w:customStyle="1" w:styleId="AddendumHeading">
    <w:name w:val="Addendum Heading"/>
    <w:basedOn w:val="Normal"/>
    <w:next w:val="Normal"/>
    <w:uiPriority w:val="5"/>
    <w:qFormat/>
    <w:rsid w:val="00F8340B"/>
    <w:pPr>
      <w:spacing w:after="240"/>
    </w:pPr>
    <w:rPr>
      <w:u w:val="single"/>
    </w:rPr>
  </w:style>
  <w:style w:type="paragraph" w:customStyle="1" w:styleId="SubtitleLeft">
    <w:name w:val="SubtitleLeft"/>
    <w:basedOn w:val="Normal"/>
    <w:next w:val="BodyTextFirst5"/>
    <w:uiPriority w:val="4"/>
    <w:qFormat/>
    <w:rsid w:val="00F8340B"/>
    <w:pPr>
      <w:keepNext/>
      <w:spacing w:after="240"/>
    </w:pPr>
    <w:rPr>
      <w:b/>
      <w:szCs w:val="24"/>
      <w:u w:val="single"/>
    </w:rPr>
  </w:style>
  <w:style w:type="paragraph" w:customStyle="1" w:styleId="Rider">
    <w:name w:val="Rider"/>
    <w:basedOn w:val="Title"/>
    <w:next w:val="Normal"/>
    <w:uiPriority w:val="5"/>
    <w:qFormat/>
    <w:rsid w:val="00F8340B"/>
  </w:style>
  <w:style w:type="paragraph" w:customStyle="1" w:styleId="RiderHeading">
    <w:name w:val="Rider Heading"/>
    <w:basedOn w:val="Normal"/>
    <w:next w:val="Normal"/>
    <w:uiPriority w:val="5"/>
    <w:qFormat/>
    <w:rsid w:val="00F8340B"/>
    <w:pPr>
      <w:spacing w:after="240"/>
    </w:pPr>
    <w:rPr>
      <w:u w:val="single"/>
    </w:rPr>
  </w:style>
  <w:style w:type="numbering" w:styleId="111111">
    <w:name w:val="Outline List 2"/>
    <w:basedOn w:val="NoList"/>
    <w:rsid w:val="00AD51F4"/>
    <w:pPr>
      <w:numPr>
        <w:numId w:val="1"/>
      </w:numPr>
    </w:pPr>
  </w:style>
  <w:style w:type="numbering" w:styleId="1ai">
    <w:name w:val="Outline List 1"/>
    <w:basedOn w:val="NoList"/>
    <w:rsid w:val="00AD51F4"/>
    <w:pPr>
      <w:numPr>
        <w:numId w:val="2"/>
      </w:numPr>
    </w:pPr>
  </w:style>
  <w:style w:type="numbering" w:styleId="ArticleSection">
    <w:name w:val="Outline List 3"/>
    <w:basedOn w:val="NoList"/>
    <w:rsid w:val="00AD51F4"/>
    <w:pPr>
      <w:numPr>
        <w:numId w:val="3"/>
      </w:numPr>
    </w:pPr>
  </w:style>
  <w:style w:type="paragraph" w:styleId="BalloonText">
    <w:name w:val="Balloon Text"/>
    <w:basedOn w:val="Normal"/>
    <w:link w:val="BalloonTextChar"/>
    <w:semiHidden/>
    <w:rsid w:val="00AD51F4"/>
    <w:rPr>
      <w:szCs w:val="16"/>
    </w:rPr>
  </w:style>
  <w:style w:type="character" w:customStyle="1" w:styleId="BalloonTextChar">
    <w:name w:val="Balloon Text Char"/>
    <w:basedOn w:val="DefaultParagraphFont"/>
    <w:link w:val="BalloonText"/>
    <w:semiHidden/>
    <w:rsid w:val="006E6DF3"/>
    <w:rPr>
      <w:sz w:val="25"/>
      <w:szCs w:val="16"/>
    </w:rPr>
  </w:style>
  <w:style w:type="paragraph" w:styleId="Bibliography">
    <w:name w:val="Bibliography"/>
    <w:basedOn w:val="Normal"/>
    <w:next w:val="Normal"/>
    <w:uiPriority w:val="37"/>
    <w:semiHidden/>
    <w:unhideWhenUsed/>
    <w:rsid w:val="00F8340B"/>
  </w:style>
  <w:style w:type="paragraph" w:customStyle="1" w:styleId="TitleLeft">
    <w:name w:val="TitleLeft"/>
    <w:basedOn w:val="Normal"/>
    <w:next w:val="BodyTextFirst5"/>
    <w:uiPriority w:val="4"/>
    <w:qFormat/>
    <w:rsid w:val="00F8340B"/>
    <w:pPr>
      <w:keepNext/>
      <w:spacing w:after="240"/>
    </w:pPr>
    <w:rPr>
      <w:b/>
      <w:caps/>
      <w:szCs w:val="24"/>
      <w:u w:val="single"/>
    </w:rPr>
  </w:style>
  <w:style w:type="table" w:customStyle="1" w:styleId="ColorfulGrid1">
    <w:name w:val="Colorful Grid1"/>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ColorfulList1">
    <w:name w:val="Colorful List1"/>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Shading1">
    <w:name w:val="Colorful Shading1"/>
    <w:basedOn w:val="TableNormal"/>
    <w:uiPriority w:val="71"/>
    <w:rsid w:val="00AD51F4"/>
    <w:rPr>
      <w:color w:val="000000" w:themeColor="text1"/>
      <w:sz w:val="24"/>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AD51F4"/>
    <w:rPr>
      <w:color w:val="000000" w:themeColor="text1"/>
      <w:sz w:val="24"/>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AD51F4"/>
    <w:rPr>
      <w:color w:val="000000" w:themeColor="text1"/>
      <w:sz w:val="24"/>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AD51F4"/>
    <w:rPr>
      <w:color w:val="000000" w:themeColor="text1"/>
      <w:sz w:val="24"/>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AD51F4"/>
    <w:rPr>
      <w:color w:val="000000" w:themeColor="text1"/>
      <w:sz w:val="24"/>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AD51F4"/>
    <w:rPr>
      <w:color w:val="000000" w:themeColor="text1"/>
      <w:sz w:val="24"/>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AD51F4"/>
    <w:rPr>
      <w:color w:val="000000" w:themeColor="text1"/>
      <w:sz w:val="24"/>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semiHidden/>
    <w:unhideWhenUsed/>
    <w:rsid w:val="00F8340B"/>
    <w:rPr>
      <w:b/>
      <w:bCs/>
    </w:rPr>
  </w:style>
  <w:style w:type="character" w:customStyle="1" w:styleId="CommentTextChar">
    <w:name w:val="Comment Text Char"/>
    <w:basedOn w:val="DefaultParagraphFont"/>
    <w:link w:val="CommentText"/>
    <w:semiHidden/>
    <w:rsid w:val="00F8340B"/>
    <w:rPr>
      <w:sz w:val="25"/>
    </w:rPr>
  </w:style>
  <w:style w:type="character" w:customStyle="1" w:styleId="CommentSubjectChar">
    <w:name w:val="Comment Subject Char"/>
    <w:basedOn w:val="CommentTextChar"/>
    <w:link w:val="CommentSubject"/>
    <w:semiHidden/>
    <w:rsid w:val="00E06DCC"/>
    <w:rPr>
      <w:b/>
      <w:bCs/>
      <w:sz w:val="25"/>
    </w:rPr>
  </w:style>
  <w:style w:type="table" w:customStyle="1" w:styleId="DarkList1">
    <w:name w:val="Dark List1"/>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ocumentMap">
    <w:name w:val="Document Map"/>
    <w:basedOn w:val="Normal"/>
    <w:link w:val="DocumentMapChar"/>
    <w:semiHidden/>
    <w:rsid w:val="00F8340B"/>
    <w:rPr>
      <w:szCs w:val="16"/>
    </w:rPr>
  </w:style>
  <w:style w:type="character" w:customStyle="1" w:styleId="DocumentMapChar">
    <w:name w:val="Document Map Char"/>
    <w:basedOn w:val="DefaultParagraphFont"/>
    <w:link w:val="DocumentMap"/>
    <w:semiHidden/>
    <w:rsid w:val="00667A19"/>
    <w:rPr>
      <w:sz w:val="25"/>
      <w:szCs w:val="16"/>
    </w:rPr>
  </w:style>
  <w:style w:type="paragraph" w:styleId="E-mailSignature">
    <w:name w:val="E-mail Signature"/>
    <w:basedOn w:val="Normal"/>
    <w:link w:val="E-mailSignatureChar"/>
    <w:semiHidden/>
    <w:unhideWhenUsed/>
    <w:rsid w:val="00F8340B"/>
  </w:style>
  <w:style w:type="character" w:customStyle="1" w:styleId="E-mailSignatureChar">
    <w:name w:val="E-mail Signature Char"/>
    <w:basedOn w:val="DefaultParagraphFont"/>
    <w:link w:val="E-mailSignature"/>
    <w:semiHidden/>
    <w:rsid w:val="00E06DCC"/>
    <w:rPr>
      <w:sz w:val="24"/>
    </w:rPr>
  </w:style>
  <w:style w:type="character" w:styleId="Emphasis">
    <w:name w:val="Emphasis"/>
    <w:basedOn w:val="DefaultParagraphFont"/>
    <w:uiPriority w:val="20"/>
    <w:qFormat/>
    <w:rsid w:val="00AD51F4"/>
    <w:rPr>
      <w:i/>
      <w:iCs/>
    </w:rPr>
  </w:style>
  <w:style w:type="character" w:styleId="EndnoteReference">
    <w:name w:val="endnote reference"/>
    <w:basedOn w:val="DefaultParagraphFont"/>
    <w:semiHidden/>
    <w:unhideWhenUsed/>
    <w:qFormat/>
    <w:rsid w:val="00F8340B"/>
    <w:rPr>
      <w:vertAlign w:val="superscript"/>
    </w:rPr>
  </w:style>
  <w:style w:type="character" w:styleId="FollowedHyperlink">
    <w:name w:val="FollowedHyperlink"/>
    <w:basedOn w:val="DefaultParagraphFont"/>
    <w:semiHidden/>
    <w:unhideWhenUsed/>
    <w:rsid w:val="00F8340B"/>
    <w:rPr>
      <w:color w:val="800080" w:themeColor="followedHyperlink"/>
      <w:u w:val="single"/>
    </w:rPr>
  </w:style>
  <w:style w:type="character" w:styleId="HTMLAcronym">
    <w:name w:val="HTML Acronym"/>
    <w:basedOn w:val="DefaultParagraphFont"/>
    <w:semiHidden/>
    <w:rsid w:val="00AD51F4"/>
  </w:style>
  <w:style w:type="paragraph" w:styleId="HTMLAddress">
    <w:name w:val="HTML Address"/>
    <w:basedOn w:val="Normal"/>
    <w:link w:val="HTMLAddressChar"/>
    <w:semiHidden/>
    <w:rsid w:val="00AD51F4"/>
    <w:rPr>
      <w:i/>
      <w:iCs/>
    </w:rPr>
  </w:style>
  <w:style w:type="character" w:customStyle="1" w:styleId="HTMLAddressChar">
    <w:name w:val="HTML Address Char"/>
    <w:basedOn w:val="DefaultParagraphFont"/>
    <w:link w:val="HTMLAddress"/>
    <w:semiHidden/>
    <w:rsid w:val="009941FF"/>
    <w:rPr>
      <w:i/>
      <w:iCs/>
      <w:sz w:val="24"/>
    </w:rPr>
  </w:style>
  <w:style w:type="character" w:styleId="HTMLCite">
    <w:name w:val="HTML Cite"/>
    <w:basedOn w:val="DefaultParagraphFont"/>
    <w:semiHidden/>
    <w:rsid w:val="00AD51F4"/>
    <w:rPr>
      <w:i/>
      <w:iCs/>
    </w:rPr>
  </w:style>
  <w:style w:type="character" w:styleId="HTMLCode">
    <w:name w:val="HTML Code"/>
    <w:basedOn w:val="DefaultParagraphFont"/>
    <w:semiHidden/>
    <w:rsid w:val="00AD51F4"/>
    <w:rPr>
      <w:rFonts w:ascii="Times New Roman" w:hAnsi="Times New Roman" w:cs="Times New Roman"/>
      <w:sz w:val="24"/>
      <w:szCs w:val="20"/>
    </w:rPr>
  </w:style>
  <w:style w:type="character" w:styleId="HTMLDefinition">
    <w:name w:val="HTML Definition"/>
    <w:basedOn w:val="DefaultParagraphFont"/>
    <w:semiHidden/>
    <w:rsid w:val="00AD51F4"/>
    <w:rPr>
      <w:i/>
      <w:iCs/>
    </w:rPr>
  </w:style>
  <w:style w:type="character" w:styleId="HTMLKeyboard">
    <w:name w:val="HTML Keyboard"/>
    <w:basedOn w:val="DefaultParagraphFont"/>
    <w:semiHidden/>
    <w:rsid w:val="00AD51F4"/>
    <w:rPr>
      <w:rFonts w:ascii="Times New Roman" w:hAnsi="Times New Roman" w:cs="Times New Roman"/>
      <w:sz w:val="24"/>
      <w:szCs w:val="20"/>
    </w:rPr>
  </w:style>
  <w:style w:type="paragraph" w:styleId="HTMLPreformatted">
    <w:name w:val="HTML Preformatted"/>
    <w:basedOn w:val="Normal"/>
    <w:link w:val="HTMLPreformattedChar"/>
    <w:semiHidden/>
    <w:rsid w:val="00F8340B"/>
  </w:style>
  <w:style w:type="character" w:customStyle="1" w:styleId="HTMLPreformattedChar">
    <w:name w:val="HTML Preformatted Char"/>
    <w:basedOn w:val="DefaultParagraphFont"/>
    <w:link w:val="HTMLPreformatted"/>
    <w:semiHidden/>
    <w:rsid w:val="00F8340B"/>
    <w:rPr>
      <w:sz w:val="25"/>
    </w:rPr>
  </w:style>
  <w:style w:type="character" w:styleId="HTMLSample">
    <w:name w:val="HTML Sample"/>
    <w:basedOn w:val="DefaultParagraphFont"/>
    <w:semiHidden/>
    <w:rsid w:val="00AD51F4"/>
    <w:rPr>
      <w:rFonts w:ascii="Times New Roman" w:hAnsi="Times New Roman" w:cs="Times New Roman"/>
      <w:sz w:val="24"/>
      <w:szCs w:val="24"/>
    </w:rPr>
  </w:style>
  <w:style w:type="character" w:styleId="HTMLTypewriter">
    <w:name w:val="HTML Typewriter"/>
    <w:basedOn w:val="DefaultParagraphFont"/>
    <w:semiHidden/>
    <w:rsid w:val="00AD51F4"/>
    <w:rPr>
      <w:rFonts w:ascii="Times New Roman" w:hAnsi="Times New Roman" w:cs="Times New Roman"/>
      <w:sz w:val="24"/>
      <w:szCs w:val="20"/>
    </w:rPr>
  </w:style>
  <w:style w:type="character" w:styleId="HTMLVariable">
    <w:name w:val="HTML Variable"/>
    <w:basedOn w:val="DefaultParagraphFont"/>
    <w:semiHidden/>
    <w:rsid w:val="00AD51F4"/>
    <w:rPr>
      <w:i/>
      <w:iCs/>
    </w:rPr>
  </w:style>
  <w:style w:type="character" w:styleId="Hyperlink">
    <w:name w:val="Hyperlink"/>
    <w:basedOn w:val="DefaultParagraphFont"/>
    <w:uiPriority w:val="99"/>
    <w:unhideWhenUsed/>
    <w:rsid w:val="00F8340B"/>
    <w:rPr>
      <w:color w:val="0000FF" w:themeColor="hyperlink"/>
      <w:u w:val="single"/>
    </w:rPr>
  </w:style>
  <w:style w:type="paragraph" w:styleId="Index2">
    <w:name w:val="index 2"/>
    <w:basedOn w:val="Normal"/>
    <w:next w:val="Normal"/>
    <w:autoRedefine/>
    <w:semiHidden/>
    <w:unhideWhenUsed/>
    <w:qFormat/>
    <w:rsid w:val="00F8340B"/>
    <w:pPr>
      <w:ind w:left="480" w:hanging="240"/>
    </w:pPr>
  </w:style>
  <w:style w:type="paragraph" w:styleId="Index3">
    <w:name w:val="index 3"/>
    <w:basedOn w:val="Normal"/>
    <w:next w:val="Normal"/>
    <w:autoRedefine/>
    <w:semiHidden/>
    <w:unhideWhenUsed/>
    <w:qFormat/>
    <w:rsid w:val="00F8340B"/>
    <w:pPr>
      <w:ind w:left="720" w:hanging="240"/>
    </w:pPr>
  </w:style>
  <w:style w:type="paragraph" w:styleId="Index4">
    <w:name w:val="index 4"/>
    <w:basedOn w:val="Normal"/>
    <w:next w:val="Normal"/>
    <w:autoRedefine/>
    <w:semiHidden/>
    <w:unhideWhenUsed/>
    <w:qFormat/>
    <w:rsid w:val="00F8340B"/>
    <w:pPr>
      <w:ind w:left="960" w:hanging="240"/>
    </w:pPr>
  </w:style>
  <w:style w:type="paragraph" w:styleId="Index5">
    <w:name w:val="index 5"/>
    <w:basedOn w:val="Normal"/>
    <w:next w:val="Normal"/>
    <w:autoRedefine/>
    <w:semiHidden/>
    <w:unhideWhenUsed/>
    <w:qFormat/>
    <w:rsid w:val="00F8340B"/>
    <w:pPr>
      <w:ind w:left="1200" w:hanging="240"/>
    </w:pPr>
  </w:style>
  <w:style w:type="paragraph" w:styleId="Index6">
    <w:name w:val="index 6"/>
    <w:basedOn w:val="Normal"/>
    <w:next w:val="Normal"/>
    <w:autoRedefine/>
    <w:semiHidden/>
    <w:unhideWhenUsed/>
    <w:qFormat/>
    <w:rsid w:val="00F8340B"/>
    <w:pPr>
      <w:ind w:left="1440" w:hanging="240"/>
    </w:pPr>
  </w:style>
  <w:style w:type="paragraph" w:styleId="Index7">
    <w:name w:val="index 7"/>
    <w:basedOn w:val="Normal"/>
    <w:next w:val="Normal"/>
    <w:autoRedefine/>
    <w:semiHidden/>
    <w:unhideWhenUsed/>
    <w:qFormat/>
    <w:rsid w:val="00F8340B"/>
    <w:pPr>
      <w:ind w:left="1680" w:hanging="240"/>
    </w:pPr>
  </w:style>
  <w:style w:type="paragraph" w:styleId="Index8">
    <w:name w:val="index 8"/>
    <w:basedOn w:val="Normal"/>
    <w:next w:val="Normal"/>
    <w:autoRedefine/>
    <w:semiHidden/>
    <w:unhideWhenUsed/>
    <w:qFormat/>
    <w:rsid w:val="00F8340B"/>
    <w:pPr>
      <w:ind w:left="1920" w:hanging="240"/>
    </w:pPr>
  </w:style>
  <w:style w:type="paragraph" w:styleId="Index9">
    <w:name w:val="index 9"/>
    <w:basedOn w:val="Normal"/>
    <w:next w:val="Normal"/>
    <w:autoRedefine/>
    <w:semiHidden/>
    <w:unhideWhenUsed/>
    <w:qFormat/>
    <w:rsid w:val="00F8340B"/>
    <w:pPr>
      <w:ind w:left="2160" w:hanging="240"/>
    </w:pPr>
  </w:style>
  <w:style w:type="table" w:customStyle="1" w:styleId="LightGrid1">
    <w:name w:val="Light Grid1"/>
    <w:basedOn w:val="TableNormal"/>
    <w:uiPriority w:val="62"/>
    <w:rsid w:val="00AD51F4"/>
    <w:rPr>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AD51F4"/>
    <w:rPr>
      <w:sz w:val="24"/>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AD51F4"/>
    <w:rPr>
      <w:sz w:val="24"/>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AD51F4"/>
    <w:rPr>
      <w:sz w:val="24"/>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AD51F4"/>
    <w:rPr>
      <w:sz w:val="24"/>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AD51F4"/>
    <w:rPr>
      <w:sz w:val="24"/>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AD51F4"/>
    <w:rPr>
      <w:sz w:val="24"/>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LightList1">
    <w:name w:val="Light List1"/>
    <w:basedOn w:val="TableNormal"/>
    <w:uiPriority w:val="61"/>
    <w:rsid w:val="00AD51F4"/>
    <w:rPr>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AD51F4"/>
    <w:rPr>
      <w:sz w:val="24"/>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AD51F4"/>
    <w:rPr>
      <w:sz w:val="24"/>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AD51F4"/>
    <w:rPr>
      <w:sz w:val="24"/>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AD51F4"/>
    <w:rPr>
      <w:sz w:val="24"/>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AD51F4"/>
    <w:rPr>
      <w:sz w:val="24"/>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AD51F4"/>
    <w:rPr>
      <w:sz w:val="24"/>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Shading1">
    <w:name w:val="Light Shading1"/>
    <w:basedOn w:val="TableNormal"/>
    <w:uiPriority w:val="60"/>
    <w:rsid w:val="00AD51F4"/>
    <w:rPr>
      <w:color w:val="000000" w:themeColor="text1" w:themeShade="BF"/>
      <w:sz w:val="24"/>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AD51F4"/>
    <w:rPr>
      <w:color w:val="365F91" w:themeColor="accent1" w:themeShade="BF"/>
      <w:sz w:val="24"/>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AD51F4"/>
    <w:rPr>
      <w:color w:val="943634" w:themeColor="accent2" w:themeShade="BF"/>
      <w:sz w:val="24"/>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AD51F4"/>
    <w:rPr>
      <w:color w:val="76923C" w:themeColor="accent3" w:themeShade="BF"/>
      <w:sz w:val="24"/>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AD51F4"/>
    <w:rPr>
      <w:color w:val="5F497A" w:themeColor="accent4" w:themeShade="BF"/>
      <w:sz w:val="24"/>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AD51F4"/>
    <w:rPr>
      <w:color w:val="31849B" w:themeColor="accent5" w:themeShade="BF"/>
      <w:sz w:val="24"/>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AD51F4"/>
    <w:rPr>
      <w:color w:val="E36C0A" w:themeColor="accent6" w:themeShade="BF"/>
      <w:sz w:val="24"/>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ListParagraph">
    <w:name w:val="List Paragraph"/>
    <w:basedOn w:val="Normal"/>
    <w:uiPriority w:val="34"/>
    <w:qFormat/>
    <w:rsid w:val="00F8340B"/>
    <w:pPr>
      <w:ind w:left="720"/>
      <w:contextualSpacing/>
    </w:pPr>
  </w:style>
  <w:style w:type="paragraph" w:styleId="MacroText">
    <w:name w:val="macro"/>
    <w:link w:val="MacroTextChar"/>
    <w:semiHidden/>
    <w:rsid w:val="00F8340B"/>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croTextChar">
    <w:name w:val="Macro Text Char"/>
    <w:basedOn w:val="DefaultParagraphFont"/>
    <w:link w:val="MacroText"/>
    <w:semiHidden/>
    <w:rsid w:val="00F8340B"/>
    <w:rPr>
      <w:rFonts w:ascii="Consolas" w:hAnsi="Consolas"/>
    </w:rPr>
  </w:style>
  <w:style w:type="table" w:customStyle="1" w:styleId="MediumGrid11">
    <w:name w:val="Medium Grid 11"/>
    <w:basedOn w:val="TableNormal"/>
    <w:uiPriority w:val="67"/>
    <w:rsid w:val="00AD51F4"/>
    <w:rPr>
      <w:sz w:val="24"/>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AD51F4"/>
    <w:rPr>
      <w:sz w:val="24"/>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AD51F4"/>
    <w:rPr>
      <w:sz w:val="24"/>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AD51F4"/>
    <w:rPr>
      <w:sz w:val="24"/>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AD51F4"/>
    <w:rPr>
      <w:sz w:val="24"/>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AD51F4"/>
    <w:rPr>
      <w:sz w:val="24"/>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AD51F4"/>
    <w:rPr>
      <w:sz w:val="24"/>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1">
    <w:name w:val="Medium Grid 21"/>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MediumList11">
    <w:name w:val="Medium List 11"/>
    <w:basedOn w:val="TableNormal"/>
    <w:uiPriority w:val="65"/>
    <w:rsid w:val="00AD51F4"/>
    <w:rPr>
      <w:color w:val="000000" w:themeColor="text1"/>
      <w:sz w:val="24"/>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AD51F4"/>
    <w:rPr>
      <w:color w:val="000000" w:themeColor="text1"/>
      <w:sz w:val="24"/>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AD51F4"/>
    <w:rPr>
      <w:color w:val="000000" w:themeColor="text1"/>
      <w:sz w:val="24"/>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AD51F4"/>
    <w:rPr>
      <w:color w:val="000000" w:themeColor="text1"/>
      <w:sz w:val="24"/>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AD51F4"/>
    <w:rPr>
      <w:color w:val="000000" w:themeColor="text1"/>
      <w:sz w:val="24"/>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AD51F4"/>
    <w:rPr>
      <w:color w:val="000000" w:themeColor="text1"/>
      <w:sz w:val="24"/>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AD51F4"/>
    <w:rPr>
      <w:color w:val="000000" w:themeColor="text1"/>
      <w:sz w:val="24"/>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1">
    <w:name w:val="Medium List 21"/>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1">
    <w:name w:val="Medium Shading 11"/>
    <w:basedOn w:val="TableNormal"/>
    <w:uiPriority w:val="63"/>
    <w:rsid w:val="00AD51F4"/>
    <w:rPr>
      <w:sz w:val="24"/>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AD51F4"/>
    <w:rPr>
      <w:sz w:val="24"/>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AD51F4"/>
    <w:rPr>
      <w:sz w:val="24"/>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AD51F4"/>
    <w:rPr>
      <w:sz w:val="24"/>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AD51F4"/>
    <w:rPr>
      <w:sz w:val="24"/>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AD51F4"/>
    <w:rPr>
      <w:sz w:val="24"/>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AD51F4"/>
    <w:rPr>
      <w:sz w:val="24"/>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semiHidden/>
    <w:rsid w:val="00F8340B"/>
    <w:pPr>
      <w:pBdr>
        <w:top w:val="single" w:sz="6" w:space="1" w:color="auto"/>
        <w:left w:val="single" w:sz="6" w:space="1" w:color="auto"/>
        <w:bottom w:val="single" w:sz="6" w:space="1" w:color="auto"/>
        <w:right w:val="single" w:sz="6" w:space="1" w:color="auto"/>
      </w:pBdr>
      <w:shd w:val="pct20" w:color="auto" w:fill="auto"/>
      <w:ind w:left="1080" w:hanging="1080"/>
    </w:pPr>
    <w:rPr>
      <w:rFonts w:eastAsiaTheme="majorEastAsia"/>
      <w:szCs w:val="24"/>
    </w:rPr>
  </w:style>
  <w:style w:type="character" w:customStyle="1" w:styleId="MessageHeaderChar">
    <w:name w:val="Message Header Char"/>
    <w:basedOn w:val="DefaultParagraphFont"/>
    <w:link w:val="MessageHeader"/>
    <w:semiHidden/>
    <w:rsid w:val="00F8340B"/>
    <w:rPr>
      <w:rFonts w:eastAsiaTheme="majorEastAsia"/>
      <w:sz w:val="25"/>
      <w:szCs w:val="24"/>
      <w:shd w:val="pct20" w:color="auto" w:fill="auto"/>
    </w:rPr>
  </w:style>
  <w:style w:type="paragraph" w:styleId="NoSpacing">
    <w:name w:val="No Spacing"/>
    <w:link w:val="NoSpacingChar"/>
    <w:uiPriority w:val="1"/>
    <w:unhideWhenUsed/>
    <w:qFormat/>
    <w:rsid w:val="00F8340B"/>
    <w:rPr>
      <w:sz w:val="24"/>
    </w:rPr>
  </w:style>
  <w:style w:type="paragraph" w:styleId="NormalWeb">
    <w:name w:val="Normal (Web)"/>
    <w:basedOn w:val="Normal"/>
    <w:uiPriority w:val="99"/>
    <w:unhideWhenUsed/>
    <w:rsid w:val="00F8340B"/>
    <w:rPr>
      <w:szCs w:val="24"/>
    </w:rPr>
  </w:style>
  <w:style w:type="paragraph" w:styleId="NormalIndent">
    <w:name w:val="Normal Indent"/>
    <w:basedOn w:val="Normal"/>
    <w:semiHidden/>
    <w:unhideWhenUsed/>
    <w:rsid w:val="00F8340B"/>
    <w:pPr>
      <w:ind w:left="720"/>
    </w:pPr>
  </w:style>
  <w:style w:type="paragraph" w:styleId="NoteHeading">
    <w:name w:val="Note Heading"/>
    <w:basedOn w:val="Normal"/>
    <w:next w:val="Normal"/>
    <w:link w:val="NoteHeadingChar"/>
    <w:semiHidden/>
    <w:unhideWhenUsed/>
    <w:rsid w:val="00F8340B"/>
  </w:style>
  <w:style w:type="character" w:customStyle="1" w:styleId="NoteHeadingChar">
    <w:name w:val="Note Heading Char"/>
    <w:basedOn w:val="DefaultParagraphFont"/>
    <w:link w:val="NoteHeading"/>
    <w:semiHidden/>
    <w:rsid w:val="00E06DCC"/>
    <w:rPr>
      <w:sz w:val="24"/>
    </w:rPr>
  </w:style>
  <w:style w:type="character" w:styleId="PlaceholderText">
    <w:name w:val="Placeholder Text"/>
    <w:basedOn w:val="DefaultParagraphFont"/>
    <w:uiPriority w:val="99"/>
    <w:semiHidden/>
    <w:rsid w:val="00F8340B"/>
    <w:rPr>
      <w:color w:val="808080"/>
    </w:rPr>
  </w:style>
  <w:style w:type="character" w:styleId="Strong">
    <w:name w:val="Strong"/>
    <w:basedOn w:val="DefaultParagraphFont"/>
    <w:semiHidden/>
    <w:unhideWhenUsed/>
    <w:rsid w:val="00F8340B"/>
    <w:rPr>
      <w:b/>
      <w:bCs/>
    </w:rPr>
  </w:style>
  <w:style w:type="table" w:styleId="Table3Deffects1">
    <w:name w:val="Table 3D effects 1"/>
    <w:basedOn w:val="TableNormal"/>
    <w:rsid w:val="00AD51F4"/>
    <w:rPr>
      <w:sz w:val="24"/>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D51F4"/>
    <w:rPr>
      <w:sz w:val="24"/>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D51F4"/>
    <w:rPr>
      <w:sz w:val="24"/>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D51F4"/>
    <w:rPr>
      <w:sz w:val="24"/>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D51F4"/>
    <w:rPr>
      <w:sz w:val="24"/>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D51F4"/>
    <w:rPr>
      <w:color w:val="000080"/>
      <w:sz w:val="24"/>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D51F4"/>
    <w:rPr>
      <w:sz w:val="24"/>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D51F4"/>
    <w:rPr>
      <w:color w:val="FFFFFF"/>
      <w:sz w:val="24"/>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D51F4"/>
    <w:rPr>
      <w:sz w:val="24"/>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D51F4"/>
    <w:rPr>
      <w:sz w:val="24"/>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D51F4"/>
    <w:rPr>
      <w:b/>
      <w:bCs/>
      <w:sz w:val="24"/>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D51F4"/>
    <w:rPr>
      <w:b/>
      <w:bCs/>
      <w:sz w:val="24"/>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D51F4"/>
    <w:rPr>
      <w:b/>
      <w:bCs/>
      <w:sz w:val="24"/>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D51F4"/>
    <w:rPr>
      <w:sz w:val="24"/>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D51F4"/>
    <w:rPr>
      <w:sz w:val="24"/>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D51F4"/>
    <w:rPr>
      <w:sz w:val="24"/>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D51F4"/>
    <w:rPr>
      <w:sz w:val="24"/>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D51F4"/>
    <w:rPr>
      <w:sz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leGrid1">
    <w:name w:val="Table Grid 1"/>
    <w:basedOn w:val="TableNormal"/>
    <w:rsid w:val="00AD51F4"/>
    <w:rPr>
      <w:sz w:val="24"/>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D51F4"/>
    <w:rPr>
      <w:sz w:val="24"/>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D51F4"/>
    <w:rPr>
      <w:sz w:val="24"/>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D51F4"/>
    <w:rPr>
      <w:sz w:val="24"/>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D51F4"/>
    <w:rPr>
      <w:sz w:val="24"/>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D51F4"/>
    <w:rPr>
      <w:sz w:val="24"/>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D51F4"/>
    <w:rPr>
      <w:b/>
      <w:bCs/>
      <w:sz w:val="24"/>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D51F4"/>
    <w:rPr>
      <w:sz w:val="24"/>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D51F4"/>
    <w:rPr>
      <w:sz w:val="24"/>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D51F4"/>
    <w:rPr>
      <w:sz w:val="24"/>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D51F4"/>
    <w:rPr>
      <w:sz w:val="24"/>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D51F4"/>
    <w:rPr>
      <w:sz w:val="24"/>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D51F4"/>
    <w:rPr>
      <w:sz w:val="24"/>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D51F4"/>
    <w:rPr>
      <w:sz w:val="24"/>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D51F4"/>
    <w:rPr>
      <w:sz w:val="24"/>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D51F4"/>
    <w:rPr>
      <w:sz w:val="24"/>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AD51F4"/>
    <w:rPr>
      <w:sz w:val="24"/>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D51F4"/>
    <w:rPr>
      <w:sz w:val="24"/>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D51F4"/>
    <w:rPr>
      <w:sz w:val="24"/>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D51F4"/>
    <w:rPr>
      <w:sz w:val="24"/>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D51F4"/>
    <w:rPr>
      <w:sz w:val="24"/>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D51F4"/>
    <w:rPr>
      <w:sz w:val="24"/>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D51F4"/>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AD51F4"/>
    <w:rPr>
      <w:sz w:val="24"/>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D51F4"/>
    <w:rPr>
      <w:sz w:val="24"/>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D51F4"/>
    <w:rPr>
      <w:sz w:val="24"/>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ra9">
    <w:name w:val="Para9"/>
    <w:basedOn w:val="Normal"/>
    <w:next w:val="BodyText"/>
    <w:uiPriority w:val="1"/>
    <w:qFormat/>
    <w:rsid w:val="005D443B"/>
    <w:pPr>
      <w:spacing w:after="240"/>
      <w:ind w:firstLine="720"/>
    </w:pPr>
  </w:style>
  <w:style w:type="character" w:styleId="BookTitle">
    <w:name w:val="Book Title"/>
    <w:basedOn w:val="DefaultParagraphFont"/>
    <w:uiPriority w:val="33"/>
    <w:semiHidden/>
    <w:rsid w:val="001E5AE5"/>
    <w:rPr>
      <w:b/>
      <w:bCs/>
      <w:smallCaps/>
      <w:spacing w:val="5"/>
    </w:rPr>
  </w:style>
  <w:style w:type="table" w:styleId="ColorfulGrid">
    <w:name w:val="Colorful Grid"/>
    <w:basedOn w:val="TableNormal"/>
    <w:uiPriority w:val="73"/>
    <w:rsid w:val="001E5AE5"/>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List">
    <w:name w:val="Colorful List"/>
    <w:basedOn w:val="TableNormal"/>
    <w:uiPriority w:val="72"/>
    <w:rsid w:val="001E5AE5"/>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Shading">
    <w:name w:val="Colorful Shading"/>
    <w:basedOn w:val="TableNormal"/>
    <w:uiPriority w:val="71"/>
    <w:rsid w:val="001E5AE5"/>
    <w:rPr>
      <w:color w:val="000000" w:themeColor="text1"/>
      <w:sz w:val="24"/>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rsid w:val="001E5AE5"/>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character" w:styleId="IntenseEmphasis">
    <w:name w:val="Intense Emphasis"/>
    <w:basedOn w:val="DefaultParagraphFont"/>
    <w:uiPriority w:val="21"/>
    <w:semiHidden/>
    <w:rsid w:val="001E5AE5"/>
    <w:rPr>
      <w:b/>
      <w:bCs/>
      <w:i/>
      <w:iCs/>
      <w:color w:val="4F81BD" w:themeColor="accent1"/>
    </w:rPr>
  </w:style>
  <w:style w:type="paragraph" w:styleId="IntenseQuote">
    <w:name w:val="Intense Quote"/>
    <w:basedOn w:val="Normal"/>
    <w:next w:val="Normal"/>
    <w:link w:val="IntenseQuoteChar"/>
    <w:uiPriority w:val="30"/>
    <w:semiHidden/>
    <w:rsid w:val="001E5AE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semiHidden/>
    <w:rsid w:val="001E5AE5"/>
    <w:rPr>
      <w:b/>
      <w:bCs/>
      <w:i/>
      <w:iCs/>
      <w:color w:val="4F81BD" w:themeColor="accent1"/>
      <w:sz w:val="25"/>
    </w:rPr>
  </w:style>
  <w:style w:type="character" w:styleId="IntenseReference">
    <w:name w:val="Intense Reference"/>
    <w:basedOn w:val="DefaultParagraphFont"/>
    <w:uiPriority w:val="32"/>
    <w:semiHidden/>
    <w:rsid w:val="001E5AE5"/>
    <w:rPr>
      <w:b/>
      <w:bCs/>
      <w:smallCaps/>
      <w:color w:val="C0504D" w:themeColor="accent2"/>
      <w:spacing w:val="5"/>
      <w:u w:val="single"/>
    </w:rPr>
  </w:style>
  <w:style w:type="table" w:styleId="LightGrid">
    <w:name w:val="Light Grid"/>
    <w:basedOn w:val="TableNormal"/>
    <w:uiPriority w:val="62"/>
    <w:rsid w:val="001E5AE5"/>
    <w:rPr>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1E5AE5"/>
    <w:rPr>
      <w:sz w:val="24"/>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
    <w:name w:val="Light List"/>
    <w:basedOn w:val="TableNormal"/>
    <w:uiPriority w:val="61"/>
    <w:rsid w:val="001E5AE5"/>
    <w:rPr>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1E5AE5"/>
    <w:rPr>
      <w:sz w:val="24"/>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
    <w:name w:val="Light Shading"/>
    <w:basedOn w:val="TableNormal"/>
    <w:uiPriority w:val="60"/>
    <w:rsid w:val="001E5AE5"/>
    <w:rPr>
      <w:color w:val="000000" w:themeColor="text1" w:themeShade="BF"/>
      <w:sz w:val="24"/>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1E5AE5"/>
    <w:rPr>
      <w:color w:val="365F91" w:themeColor="accent1" w:themeShade="BF"/>
      <w:sz w:val="24"/>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
    <w:name w:val="Medium Grid 1"/>
    <w:basedOn w:val="TableNormal"/>
    <w:uiPriority w:val="67"/>
    <w:rsid w:val="001E5AE5"/>
    <w:rPr>
      <w:sz w:val="24"/>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2">
    <w:name w:val="Medium Grid 2"/>
    <w:basedOn w:val="TableNormal"/>
    <w:uiPriority w:val="68"/>
    <w:rsid w:val="001E5AE5"/>
    <w:rPr>
      <w:rFonts w:eastAsiaTheme="majorEastAsia"/>
      <w:color w:val="000000" w:themeColor="text1"/>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3">
    <w:name w:val="Medium Grid 3"/>
    <w:basedOn w:val="TableNormal"/>
    <w:uiPriority w:val="69"/>
    <w:rsid w:val="001E5AE5"/>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List1">
    <w:name w:val="Medium List 1"/>
    <w:basedOn w:val="TableNormal"/>
    <w:uiPriority w:val="65"/>
    <w:rsid w:val="001E5AE5"/>
    <w:rPr>
      <w:color w:val="000000" w:themeColor="text1"/>
      <w:sz w:val="24"/>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1E5AE5"/>
    <w:rPr>
      <w:color w:val="000000" w:themeColor="text1"/>
      <w:sz w:val="24"/>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2">
    <w:name w:val="Medium List 2"/>
    <w:basedOn w:val="TableNormal"/>
    <w:uiPriority w:val="66"/>
    <w:rsid w:val="001E5AE5"/>
    <w:rPr>
      <w:rFonts w:eastAsiaTheme="majorEastAsia"/>
      <w:color w:val="000000" w:themeColor="text1"/>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1E5AE5"/>
    <w:rPr>
      <w:sz w:val="24"/>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E5AE5"/>
    <w:rPr>
      <w:sz w:val="24"/>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1E5AE5"/>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1E5AE5"/>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Quote">
    <w:name w:val="Quote"/>
    <w:basedOn w:val="Normal"/>
    <w:next w:val="Normal"/>
    <w:link w:val="QuoteChar"/>
    <w:uiPriority w:val="29"/>
    <w:semiHidden/>
    <w:rsid w:val="001E5AE5"/>
    <w:rPr>
      <w:i/>
      <w:iCs/>
      <w:color w:val="000000" w:themeColor="text1"/>
    </w:rPr>
  </w:style>
  <w:style w:type="character" w:customStyle="1" w:styleId="QuoteChar">
    <w:name w:val="Quote Char"/>
    <w:basedOn w:val="DefaultParagraphFont"/>
    <w:link w:val="Quote"/>
    <w:uiPriority w:val="29"/>
    <w:semiHidden/>
    <w:rsid w:val="001E5AE5"/>
    <w:rPr>
      <w:i/>
      <w:iCs/>
      <w:color w:val="000000" w:themeColor="text1"/>
      <w:sz w:val="25"/>
    </w:rPr>
  </w:style>
  <w:style w:type="character" w:styleId="SubtleEmphasis">
    <w:name w:val="Subtle Emphasis"/>
    <w:basedOn w:val="DefaultParagraphFont"/>
    <w:uiPriority w:val="19"/>
    <w:semiHidden/>
    <w:rsid w:val="001E5AE5"/>
    <w:rPr>
      <w:i/>
      <w:iCs/>
      <w:color w:val="808080" w:themeColor="text1" w:themeTint="7F"/>
    </w:rPr>
  </w:style>
  <w:style w:type="character" w:styleId="SubtleReference">
    <w:name w:val="Subtle Reference"/>
    <w:basedOn w:val="DefaultParagraphFont"/>
    <w:uiPriority w:val="31"/>
    <w:semiHidden/>
    <w:rsid w:val="001E5AE5"/>
    <w:rPr>
      <w:smallCaps/>
      <w:color w:val="C0504D" w:themeColor="accent2"/>
      <w:u w:val="single"/>
    </w:rPr>
  </w:style>
  <w:style w:type="paragraph" w:customStyle="1" w:styleId="BodyTextFirst5">
    <w:name w:val="Body Text First .5"/>
    <w:basedOn w:val="Normal"/>
    <w:qFormat/>
    <w:rsid w:val="00F07798"/>
    <w:pPr>
      <w:spacing w:after="240"/>
      <w:ind w:firstLine="720"/>
    </w:pPr>
  </w:style>
  <w:style w:type="paragraph" w:customStyle="1" w:styleId="BodyTextFirst5D">
    <w:name w:val="Body Text First .5D"/>
    <w:basedOn w:val="Normal"/>
    <w:qFormat/>
    <w:rsid w:val="004A278D"/>
    <w:pPr>
      <w:spacing w:line="480" w:lineRule="auto"/>
      <w:ind w:firstLine="720"/>
    </w:pPr>
  </w:style>
  <w:style w:type="paragraph" w:customStyle="1" w:styleId="Subtitle2">
    <w:name w:val="Subtitle2"/>
    <w:basedOn w:val="Normal"/>
    <w:next w:val="BodyTextFirst5"/>
    <w:uiPriority w:val="4"/>
    <w:qFormat/>
    <w:rsid w:val="00E35196"/>
    <w:pPr>
      <w:keepNext/>
      <w:spacing w:after="240"/>
    </w:pPr>
    <w:rPr>
      <w:i/>
    </w:rPr>
  </w:style>
  <w:style w:type="paragraph" w:customStyle="1" w:styleId="Title2">
    <w:name w:val="Title2"/>
    <w:basedOn w:val="Normal"/>
    <w:next w:val="BodyTextFirst5"/>
    <w:uiPriority w:val="4"/>
    <w:qFormat/>
    <w:rsid w:val="00E35196"/>
    <w:pPr>
      <w:keepNext/>
      <w:spacing w:after="240"/>
      <w:jc w:val="center"/>
    </w:pPr>
  </w:style>
  <w:style w:type="paragraph" w:customStyle="1" w:styleId="CellNumber">
    <w:name w:val="Cell Number"/>
    <w:basedOn w:val="Normal"/>
    <w:qFormat/>
    <w:rsid w:val="002E0109"/>
    <w:pPr>
      <w:numPr>
        <w:numId w:val="17"/>
      </w:numPr>
    </w:pPr>
  </w:style>
  <w:style w:type="paragraph" w:customStyle="1" w:styleId="Level1Continue">
    <w:name w:val="Level 1 Continue"/>
    <w:basedOn w:val="Normal"/>
    <w:uiPriority w:val="2"/>
    <w:qFormat/>
    <w:rsid w:val="00A30C64"/>
    <w:pPr>
      <w:spacing w:after="240"/>
      <w:ind w:left="720"/>
    </w:pPr>
  </w:style>
  <w:style w:type="paragraph" w:customStyle="1" w:styleId="Level2Continue">
    <w:name w:val="Level 2 Continue"/>
    <w:basedOn w:val="Normal"/>
    <w:uiPriority w:val="2"/>
    <w:qFormat/>
    <w:rsid w:val="009121FE"/>
    <w:pPr>
      <w:suppressAutoHyphens/>
      <w:spacing w:after="240"/>
      <w:ind w:left="1440"/>
    </w:pPr>
  </w:style>
  <w:style w:type="paragraph" w:customStyle="1" w:styleId="Level3Continue">
    <w:name w:val="Level 3 Continue"/>
    <w:basedOn w:val="Normal"/>
    <w:uiPriority w:val="2"/>
    <w:qFormat/>
    <w:rsid w:val="009121FE"/>
    <w:pPr>
      <w:suppressAutoHyphens/>
      <w:spacing w:after="240"/>
      <w:ind w:left="2160"/>
    </w:pPr>
  </w:style>
  <w:style w:type="paragraph" w:customStyle="1" w:styleId="Level4Continue">
    <w:name w:val="Level 4 Continue"/>
    <w:basedOn w:val="Normal"/>
    <w:uiPriority w:val="2"/>
    <w:qFormat/>
    <w:rsid w:val="009121FE"/>
    <w:pPr>
      <w:suppressAutoHyphens/>
      <w:spacing w:after="240"/>
      <w:ind w:left="2880"/>
    </w:pPr>
  </w:style>
  <w:style w:type="paragraph" w:customStyle="1" w:styleId="Level5Continue">
    <w:name w:val="Level 5 Continue"/>
    <w:basedOn w:val="Normal"/>
    <w:uiPriority w:val="2"/>
    <w:qFormat/>
    <w:rsid w:val="009121FE"/>
    <w:pPr>
      <w:suppressAutoHyphens/>
      <w:spacing w:after="240"/>
      <w:ind w:left="3600"/>
    </w:pPr>
  </w:style>
  <w:style w:type="paragraph" w:customStyle="1" w:styleId="Level6Continue">
    <w:name w:val="Level 6 Continue"/>
    <w:basedOn w:val="Normal"/>
    <w:uiPriority w:val="2"/>
    <w:qFormat/>
    <w:rsid w:val="009121FE"/>
    <w:pPr>
      <w:suppressAutoHyphens/>
      <w:spacing w:after="240"/>
      <w:ind w:left="4320"/>
    </w:pPr>
  </w:style>
  <w:style w:type="paragraph" w:customStyle="1" w:styleId="Level7Continue">
    <w:name w:val="Level 7 Continue"/>
    <w:basedOn w:val="Normal"/>
    <w:uiPriority w:val="2"/>
    <w:qFormat/>
    <w:rsid w:val="009121FE"/>
    <w:pPr>
      <w:suppressAutoHyphens/>
      <w:spacing w:after="240"/>
      <w:ind w:left="5040"/>
    </w:pPr>
  </w:style>
  <w:style w:type="paragraph" w:customStyle="1" w:styleId="Level8Continue">
    <w:name w:val="Level 8 Continue"/>
    <w:basedOn w:val="Normal"/>
    <w:uiPriority w:val="2"/>
    <w:qFormat/>
    <w:rsid w:val="009121FE"/>
    <w:pPr>
      <w:spacing w:after="240"/>
      <w:ind w:left="5760"/>
    </w:pPr>
  </w:style>
  <w:style w:type="paragraph" w:customStyle="1" w:styleId="Level9Continue">
    <w:name w:val="Level 9 Continue"/>
    <w:basedOn w:val="Normal"/>
    <w:uiPriority w:val="2"/>
    <w:qFormat/>
    <w:rsid w:val="00982787"/>
    <w:pPr>
      <w:suppressAutoHyphens/>
      <w:spacing w:after="240"/>
      <w:ind w:left="6480"/>
    </w:pPr>
  </w:style>
  <w:style w:type="character" w:customStyle="1" w:styleId="SubtitleChar">
    <w:name w:val="Subtitle Char"/>
    <w:basedOn w:val="DefaultParagraphFont"/>
    <w:link w:val="Subtitle"/>
    <w:rsid w:val="0016388A"/>
    <w:rPr>
      <w:rFonts w:eastAsiaTheme="majorEastAsia" w:cstheme="majorBidi"/>
      <w:b/>
      <w:sz w:val="24"/>
    </w:rPr>
  </w:style>
  <w:style w:type="paragraph" w:customStyle="1" w:styleId="DocID">
    <w:name w:val="DocID"/>
    <w:basedOn w:val="Normal"/>
    <w:rsid w:val="00FD3F04"/>
    <w:rPr>
      <w:sz w:val="18"/>
    </w:rPr>
  </w:style>
  <w:style w:type="paragraph" w:customStyle="1" w:styleId="TitleCover">
    <w:name w:val="Title Cover"/>
    <w:basedOn w:val="Normal"/>
    <w:qFormat/>
    <w:rsid w:val="00AC75A2"/>
    <w:pPr>
      <w:jc w:val="center"/>
    </w:pPr>
    <w:rPr>
      <w:b/>
    </w:rPr>
  </w:style>
  <w:style w:type="character" w:customStyle="1" w:styleId="FootnoteTextChar">
    <w:name w:val="Footnote Text Char"/>
    <w:basedOn w:val="DefaultParagraphFont"/>
    <w:link w:val="FootnoteText"/>
    <w:rsid w:val="00DD5CE5"/>
    <w:rPr>
      <w:szCs w:val="24"/>
    </w:rPr>
  </w:style>
  <w:style w:type="character" w:customStyle="1" w:styleId="NoSpacingChar">
    <w:name w:val="No Spacing Char"/>
    <w:basedOn w:val="DefaultParagraphFont"/>
    <w:link w:val="NoSpacing"/>
    <w:uiPriority w:val="1"/>
    <w:rsid w:val="00EC4A75"/>
    <w:rPr>
      <w:sz w:val="24"/>
    </w:rPr>
  </w:style>
  <w:style w:type="paragraph" w:customStyle="1" w:styleId="Default">
    <w:name w:val="Default"/>
    <w:rsid w:val="005640CF"/>
    <w:pPr>
      <w:autoSpaceDE w:val="0"/>
      <w:autoSpaceDN w:val="0"/>
      <w:adjustRightInd w:val="0"/>
    </w:pPr>
    <w:rPr>
      <w:color w:val="000000"/>
      <w:sz w:val="24"/>
      <w:szCs w:val="24"/>
    </w:rPr>
  </w:style>
  <w:style w:type="character" w:customStyle="1" w:styleId="apple-style-span">
    <w:name w:val="apple-style-span"/>
    <w:basedOn w:val="DefaultParagraphFont"/>
    <w:rsid w:val="00D862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footnote text" w:qFormat="1"/>
    <w:lsdException w:name="annotation text" w:qFormat="1"/>
    <w:lsdException w:name="header" w:qFormat="1"/>
    <w:lsdException w:name="footer" w:qFormat="1"/>
    <w:lsdException w:name="index heading" w:qFormat="1"/>
    <w:lsdException w:name="caption" w:qFormat="1"/>
    <w:lsdException w:name="table of figures" w:qFormat="1"/>
    <w:lsdException w:name="footnote reference" w:uiPriority="99" w:qFormat="1"/>
    <w:lsdException w:name="page number" w:qFormat="1"/>
    <w:lsdException w:name="endnote reference" w:qFormat="1"/>
    <w:lsdException w:name="endnote text" w:qFormat="1"/>
    <w:lsdException w:name="table of authorities" w:qFormat="1"/>
    <w:lsdException w:name="toa heading" w:qFormat="1"/>
    <w:lsdException w:name="List" w:qFormat="1"/>
    <w:lsdException w:name="List Bullet" w:qFormat="1"/>
    <w:lsdException w:name="List Number" w:uiPriority="99"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Subtitle" w:qFormat="1"/>
    <w:lsdException w:name="Salutation"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uiPriority="6" w:qFormat="1"/>
  </w:latentStyles>
  <w:style w:type="paragraph" w:default="1" w:styleId="Normal">
    <w:name w:val="Normal"/>
    <w:qFormat/>
    <w:rsid w:val="002A0960"/>
    <w:rPr>
      <w:sz w:val="24"/>
    </w:rPr>
  </w:style>
  <w:style w:type="paragraph" w:styleId="Heading1">
    <w:name w:val="heading 1"/>
    <w:basedOn w:val="Normal"/>
    <w:uiPriority w:val="1"/>
    <w:qFormat/>
    <w:rsid w:val="00F8340B"/>
    <w:pPr>
      <w:numPr>
        <w:numId w:val="4"/>
      </w:numPr>
      <w:spacing w:after="240"/>
      <w:outlineLvl w:val="0"/>
    </w:pPr>
  </w:style>
  <w:style w:type="paragraph" w:styleId="Heading2">
    <w:name w:val="heading 2"/>
    <w:basedOn w:val="Normal"/>
    <w:uiPriority w:val="1"/>
    <w:qFormat/>
    <w:rsid w:val="00F8340B"/>
    <w:pPr>
      <w:numPr>
        <w:ilvl w:val="1"/>
        <w:numId w:val="4"/>
      </w:numPr>
      <w:spacing w:after="240"/>
      <w:outlineLvl w:val="1"/>
    </w:pPr>
  </w:style>
  <w:style w:type="paragraph" w:styleId="Heading3">
    <w:name w:val="heading 3"/>
    <w:basedOn w:val="Normal"/>
    <w:uiPriority w:val="1"/>
    <w:qFormat/>
    <w:rsid w:val="00F8340B"/>
    <w:pPr>
      <w:numPr>
        <w:ilvl w:val="2"/>
        <w:numId w:val="4"/>
      </w:numPr>
      <w:spacing w:after="240"/>
      <w:outlineLvl w:val="2"/>
    </w:pPr>
  </w:style>
  <w:style w:type="paragraph" w:styleId="Heading4">
    <w:name w:val="heading 4"/>
    <w:basedOn w:val="Normal"/>
    <w:uiPriority w:val="1"/>
    <w:qFormat/>
    <w:rsid w:val="00F8340B"/>
    <w:pPr>
      <w:numPr>
        <w:ilvl w:val="3"/>
        <w:numId w:val="4"/>
      </w:numPr>
      <w:spacing w:after="240"/>
      <w:outlineLvl w:val="3"/>
    </w:pPr>
  </w:style>
  <w:style w:type="paragraph" w:styleId="Heading5">
    <w:name w:val="heading 5"/>
    <w:basedOn w:val="Normal"/>
    <w:uiPriority w:val="1"/>
    <w:qFormat/>
    <w:rsid w:val="00F8340B"/>
    <w:pPr>
      <w:numPr>
        <w:ilvl w:val="4"/>
        <w:numId w:val="4"/>
      </w:numPr>
      <w:spacing w:after="240"/>
      <w:outlineLvl w:val="4"/>
    </w:pPr>
  </w:style>
  <w:style w:type="paragraph" w:styleId="Heading6">
    <w:name w:val="heading 6"/>
    <w:basedOn w:val="Normal"/>
    <w:uiPriority w:val="1"/>
    <w:qFormat/>
    <w:rsid w:val="00F8340B"/>
    <w:pPr>
      <w:numPr>
        <w:ilvl w:val="5"/>
        <w:numId w:val="4"/>
      </w:numPr>
      <w:spacing w:after="240"/>
      <w:outlineLvl w:val="5"/>
    </w:pPr>
  </w:style>
  <w:style w:type="paragraph" w:styleId="Heading7">
    <w:name w:val="heading 7"/>
    <w:basedOn w:val="Normal"/>
    <w:uiPriority w:val="1"/>
    <w:qFormat/>
    <w:rsid w:val="00F8340B"/>
    <w:pPr>
      <w:numPr>
        <w:ilvl w:val="6"/>
        <w:numId w:val="4"/>
      </w:numPr>
      <w:spacing w:after="240"/>
      <w:outlineLvl w:val="6"/>
    </w:pPr>
  </w:style>
  <w:style w:type="paragraph" w:styleId="Heading8">
    <w:name w:val="heading 8"/>
    <w:basedOn w:val="Normal"/>
    <w:uiPriority w:val="1"/>
    <w:qFormat/>
    <w:rsid w:val="00F8340B"/>
    <w:pPr>
      <w:numPr>
        <w:ilvl w:val="7"/>
        <w:numId w:val="4"/>
      </w:numPr>
      <w:spacing w:after="240"/>
      <w:outlineLvl w:val="7"/>
    </w:pPr>
  </w:style>
  <w:style w:type="paragraph" w:styleId="Heading9">
    <w:name w:val="heading 9"/>
    <w:basedOn w:val="Normal"/>
    <w:next w:val="Normal"/>
    <w:uiPriority w:val="1"/>
    <w:qFormat/>
    <w:rsid w:val="00F8340B"/>
    <w:pPr>
      <w:keepNext/>
      <w:numPr>
        <w:ilvl w:val="8"/>
        <w:numId w:val="4"/>
      </w:numPr>
      <w:spacing w:after="240"/>
      <w:jc w:val="center"/>
      <w:outlineLvl w:val="8"/>
    </w:pPr>
    <w:rPr>
      <w:b/>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2">
    <w:name w:val="Para2"/>
    <w:basedOn w:val="Normal"/>
    <w:uiPriority w:val="1"/>
    <w:qFormat/>
    <w:rsid w:val="00F8340B"/>
    <w:pPr>
      <w:spacing w:after="240"/>
      <w:ind w:left="720" w:firstLine="1440"/>
    </w:pPr>
  </w:style>
  <w:style w:type="paragraph" w:customStyle="1" w:styleId="Para1">
    <w:name w:val="Para1"/>
    <w:basedOn w:val="Normal"/>
    <w:uiPriority w:val="1"/>
    <w:qFormat/>
    <w:rsid w:val="00F8340B"/>
    <w:pPr>
      <w:spacing w:after="240"/>
      <w:ind w:firstLine="1440"/>
    </w:pPr>
  </w:style>
  <w:style w:type="paragraph" w:styleId="BlockText">
    <w:name w:val="Block Text"/>
    <w:basedOn w:val="Normal"/>
    <w:qFormat/>
    <w:rsid w:val="00F8340B"/>
    <w:pPr>
      <w:spacing w:after="240"/>
      <w:ind w:left="1440" w:right="1440"/>
    </w:pPr>
  </w:style>
  <w:style w:type="paragraph" w:customStyle="1" w:styleId="BlockText2">
    <w:name w:val="Block Text 2"/>
    <w:basedOn w:val="Normal"/>
    <w:semiHidden/>
    <w:unhideWhenUsed/>
    <w:qFormat/>
    <w:rsid w:val="00F8340B"/>
    <w:pPr>
      <w:spacing w:line="480" w:lineRule="auto"/>
      <w:ind w:left="1440" w:right="1440"/>
    </w:pPr>
  </w:style>
  <w:style w:type="paragraph" w:styleId="FootnoteText">
    <w:name w:val="footnote text"/>
    <w:basedOn w:val="Normal"/>
    <w:link w:val="FootnoteTextChar"/>
    <w:unhideWhenUsed/>
    <w:qFormat/>
    <w:rsid w:val="00DD5CE5"/>
    <w:rPr>
      <w:sz w:val="20"/>
      <w:szCs w:val="24"/>
    </w:rPr>
  </w:style>
  <w:style w:type="paragraph" w:styleId="PlainText">
    <w:name w:val="Plain Text"/>
    <w:basedOn w:val="Normal"/>
    <w:semiHidden/>
    <w:unhideWhenUsed/>
    <w:rsid w:val="00F8340B"/>
  </w:style>
  <w:style w:type="paragraph" w:styleId="Footer">
    <w:name w:val="footer"/>
    <w:basedOn w:val="Normal"/>
    <w:qFormat/>
    <w:rsid w:val="005249FE"/>
    <w:pPr>
      <w:tabs>
        <w:tab w:val="center" w:pos="4320"/>
        <w:tab w:val="right" w:pos="8640"/>
      </w:tabs>
    </w:pPr>
  </w:style>
  <w:style w:type="character" w:styleId="PageNumber">
    <w:name w:val="page number"/>
    <w:basedOn w:val="DefaultParagraphFont"/>
    <w:semiHidden/>
    <w:qFormat/>
    <w:rsid w:val="00F8340B"/>
  </w:style>
  <w:style w:type="paragraph" w:customStyle="1" w:styleId="BlockText3">
    <w:name w:val="Block Text 3"/>
    <w:basedOn w:val="Normal"/>
    <w:semiHidden/>
    <w:qFormat/>
    <w:rsid w:val="00F8340B"/>
    <w:pPr>
      <w:spacing w:after="240"/>
      <w:ind w:left="1440" w:right="1440" w:firstLine="720"/>
    </w:pPr>
  </w:style>
  <w:style w:type="paragraph" w:customStyle="1" w:styleId="BlockText4">
    <w:name w:val="Block Text 4"/>
    <w:basedOn w:val="Normal"/>
    <w:semiHidden/>
    <w:qFormat/>
    <w:rsid w:val="00F8340B"/>
    <w:pPr>
      <w:spacing w:line="480" w:lineRule="auto"/>
      <w:ind w:left="1440" w:right="1440" w:firstLine="720"/>
    </w:pPr>
  </w:style>
  <w:style w:type="paragraph" w:styleId="BodyText">
    <w:name w:val="Body Text"/>
    <w:basedOn w:val="Normal"/>
    <w:qFormat/>
    <w:rsid w:val="00F07798"/>
    <w:pPr>
      <w:spacing w:after="240"/>
    </w:pPr>
  </w:style>
  <w:style w:type="paragraph" w:styleId="BodyText2">
    <w:name w:val="Body Text 2"/>
    <w:basedOn w:val="Normal"/>
    <w:qFormat/>
    <w:rsid w:val="00F07798"/>
    <w:pPr>
      <w:spacing w:line="480" w:lineRule="auto"/>
    </w:pPr>
  </w:style>
  <w:style w:type="paragraph" w:styleId="BodyText3">
    <w:name w:val="Body Text 3"/>
    <w:basedOn w:val="Normal"/>
    <w:semiHidden/>
    <w:unhideWhenUsed/>
    <w:qFormat/>
    <w:rsid w:val="00F8340B"/>
    <w:pPr>
      <w:spacing w:after="240"/>
    </w:pPr>
  </w:style>
  <w:style w:type="paragraph" w:styleId="BodyTextFirstIndent">
    <w:name w:val="Body Text First Indent"/>
    <w:basedOn w:val="Normal"/>
    <w:qFormat/>
    <w:rsid w:val="007F7B33"/>
    <w:pPr>
      <w:spacing w:after="240"/>
      <w:ind w:firstLine="1440"/>
    </w:pPr>
  </w:style>
  <w:style w:type="paragraph" w:styleId="BodyTextIndent">
    <w:name w:val="Body Text Indent"/>
    <w:basedOn w:val="Normal"/>
    <w:qFormat/>
    <w:rsid w:val="00F07798"/>
    <w:pPr>
      <w:suppressAutoHyphens/>
      <w:spacing w:after="240"/>
      <w:ind w:left="720" w:right="720"/>
    </w:pPr>
  </w:style>
  <w:style w:type="paragraph" w:styleId="BodyTextFirstIndent2">
    <w:name w:val="Body Text First Indent 2"/>
    <w:basedOn w:val="Normal"/>
    <w:qFormat/>
    <w:rsid w:val="007F7B33"/>
    <w:pPr>
      <w:spacing w:line="480" w:lineRule="auto"/>
      <w:ind w:firstLine="1440"/>
    </w:pPr>
  </w:style>
  <w:style w:type="paragraph" w:customStyle="1" w:styleId="BodyTextFirstIndent3">
    <w:name w:val="Body Text First Indent 3"/>
    <w:basedOn w:val="Normal"/>
    <w:semiHidden/>
    <w:unhideWhenUsed/>
    <w:qFormat/>
    <w:rsid w:val="00F8340B"/>
    <w:pPr>
      <w:spacing w:after="240" w:line="360" w:lineRule="auto"/>
      <w:ind w:firstLine="720"/>
    </w:pPr>
  </w:style>
  <w:style w:type="paragraph" w:styleId="Signature">
    <w:name w:val="Signature"/>
    <w:basedOn w:val="Normal"/>
    <w:qFormat/>
    <w:rsid w:val="00F8340B"/>
    <w:pPr>
      <w:keepLines/>
      <w:ind w:left="4680"/>
    </w:pPr>
  </w:style>
  <w:style w:type="paragraph" w:styleId="TOAHeading">
    <w:name w:val="toa heading"/>
    <w:basedOn w:val="Normal"/>
    <w:next w:val="Normal"/>
    <w:semiHidden/>
    <w:unhideWhenUsed/>
    <w:qFormat/>
    <w:rsid w:val="00F8340B"/>
    <w:pPr>
      <w:spacing w:after="240"/>
      <w:jc w:val="center"/>
    </w:pPr>
    <w:rPr>
      <w:b/>
    </w:rPr>
  </w:style>
  <w:style w:type="paragraph" w:styleId="TOC1">
    <w:name w:val="toc 1"/>
    <w:basedOn w:val="TOCBase"/>
    <w:next w:val="Normal"/>
    <w:uiPriority w:val="6"/>
    <w:unhideWhenUsed/>
    <w:qFormat/>
    <w:rsid w:val="00F8340B"/>
    <w:pPr>
      <w:keepNext/>
      <w:spacing w:before="240"/>
    </w:pPr>
    <w:rPr>
      <w:noProof/>
    </w:rPr>
  </w:style>
  <w:style w:type="paragraph" w:customStyle="1" w:styleId="TOCBase">
    <w:name w:val="TOC Base"/>
    <w:basedOn w:val="Normal"/>
    <w:uiPriority w:val="6"/>
    <w:semiHidden/>
    <w:qFormat/>
    <w:rsid w:val="00F8340B"/>
    <w:pPr>
      <w:ind w:left="720" w:right="720" w:hanging="720"/>
    </w:pPr>
  </w:style>
  <w:style w:type="paragraph" w:styleId="TOC2">
    <w:name w:val="toc 2"/>
    <w:basedOn w:val="TOCBase"/>
    <w:next w:val="Normal"/>
    <w:uiPriority w:val="6"/>
    <w:unhideWhenUsed/>
    <w:qFormat/>
    <w:rsid w:val="00F8340B"/>
    <w:pPr>
      <w:ind w:left="1440"/>
    </w:pPr>
    <w:rPr>
      <w:noProof/>
    </w:rPr>
  </w:style>
  <w:style w:type="paragraph" w:styleId="TOC3">
    <w:name w:val="toc 3"/>
    <w:basedOn w:val="TOCBase"/>
    <w:next w:val="Normal"/>
    <w:uiPriority w:val="6"/>
    <w:unhideWhenUsed/>
    <w:qFormat/>
    <w:rsid w:val="00F8340B"/>
    <w:pPr>
      <w:ind w:left="2160"/>
    </w:pPr>
  </w:style>
  <w:style w:type="paragraph" w:styleId="TOC4">
    <w:name w:val="toc 4"/>
    <w:basedOn w:val="TOCBase"/>
    <w:next w:val="Normal"/>
    <w:uiPriority w:val="6"/>
    <w:unhideWhenUsed/>
    <w:qFormat/>
    <w:rsid w:val="00F8340B"/>
    <w:pPr>
      <w:ind w:left="2880"/>
    </w:pPr>
  </w:style>
  <w:style w:type="paragraph" w:styleId="TOC5">
    <w:name w:val="toc 5"/>
    <w:basedOn w:val="TOCBase"/>
    <w:next w:val="Normal"/>
    <w:uiPriority w:val="6"/>
    <w:unhideWhenUsed/>
    <w:qFormat/>
    <w:rsid w:val="00F8340B"/>
    <w:pPr>
      <w:ind w:left="3600"/>
    </w:pPr>
  </w:style>
  <w:style w:type="paragraph" w:styleId="TOC6">
    <w:name w:val="toc 6"/>
    <w:basedOn w:val="TOCBase"/>
    <w:next w:val="Normal"/>
    <w:uiPriority w:val="6"/>
    <w:unhideWhenUsed/>
    <w:qFormat/>
    <w:rsid w:val="00F8340B"/>
    <w:pPr>
      <w:ind w:left="4320"/>
    </w:pPr>
  </w:style>
  <w:style w:type="paragraph" w:styleId="TOC7">
    <w:name w:val="toc 7"/>
    <w:basedOn w:val="TOCBase"/>
    <w:next w:val="Normal"/>
    <w:uiPriority w:val="6"/>
    <w:unhideWhenUsed/>
    <w:qFormat/>
    <w:rsid w:val="00F8340B"/>
    <w:pPr>
      <w:ind w:left="5040"/>
    </w:pPr>
  </w:style>
  <w:style w:type="paragraph" w:styleId="TOC8">
    <w:name w:val="toc 8"/>
    <w:basedOn w:val="TOCBase"/>
    <w:next w:val="Normal"/>
    <w:uiPriority w:val="6"/>
    <w:unhideWhenUsed/>
    <w:qFormat/>
    <w:rsid w:val="00F8340B"/>
    <w:pPr>
      <w:ind w:left="5760"/>
    </w:pPr>
  </w:style>
  <w:style w:type="paragraph" w:styleId="TOCHeading">
    <w:name w:val="TOC Heading"/>
    <w:basedOn w:val="Normal"/>
    <w:uiPriority w:val="6"/>
    <w:qFormat/>
    <w:rsid w:val="00624F41"/>
    <w:pPr>
      <w:suppressAutoHyphens/>
      <w:spacing w:after="240"/>
      <w:jc w:val="center"/>
    </w:pPr>
    <w:rPr>
      <w:b/>
      <w:caps/>
    </w:rPr>
  </w:style>
  <w:style w:type="paragraph" w:styleId="BodyTextIndent2">
    <w:name w:val="Body Text Indent 2"/>
    <w:basedOn w:val="Normal"/>
    <w:unhideWhenUsed/>
    <w:qFormat/>
    <w:rsid w:val="0030568F"/>
    <w:pPr>
      <w:suppressAutoHyphens/>
      <w:spacing w:line="480" w:lineRule="auto"/>
      <w:ind w:left="720" w:right="720"/>
    </w:pPr>
  </w:style>
  <w:style w:type="paragraph" w:styleId="TableofAuthorities">
    <w:name w:val="table of authorities"/>
    <w:basedOn w:val="Normal"/>
    <w:next w:val="Normal"/>
    <w:semiHidden/>
    <w:unhideWhenUsed/>
    <w:qFormat/>
    <w:rsid w:val="00F8340B"/>
    <w:pPr>
      <w:ind w:left="720" w:hanging="720"/>
    </w:pPr>
  </w:style>
  <w:style w:type="paragraph" w:styleId="Subtitle">
    <w:name w:val="Subtitle"/>
    <w:basedOn w:val="Normal"/>
    <w:next w:val="BodyTextFirst5"/>
    <w:link w:val="SubtitleChar"/>
    <w:qFormat/>
    <w:rsid w:val="0016388A"/>
    <w:pPr>
      <w:keepNext/>
      <w:suppressAutoHyphens/>
      <w:spacing w:after="240"/>
      <w:jc w:val="center"/>
    </w:pPr>
    <w:rPr>
      <w:rFonts w:eastAsiaTheme="majorEastAsia" w:cstheme="majorBidi"/>
      <w:b/>
    </w:rPr>
  </w:style>
  <w:style w:type="paragraph" w:styleId="Title">
    <w:name w:val="Title"/>
    <w:basedOn w:val="Normal"/>
    <w:next w:val="BodyTextFirst5"/>
    <w:uiPriority w:val="4"/>
    <w:qFormat/>
    <w:rsid w:val="000C184D"/>
    <w:pPr>
      <w:keepNext/>
      <w:spacing w:after="240"/>
      <w:jc w:val="center"/>
      <w:outlineLvl w:val="0"/>
    </w:pPr>
    <w:rPr>
      <w:b/>
      <w:caps/>
    </w:rPr>
  </w:style>
  <w:style w:type="paragraph" w:styleId="BodyTextIndent3">
    <w:name w:val="Body Text Indent 3"/>
    <w:basedOn w:val="Normal"/>
    <w:unhideWhenUsed/>
    <w:qFormat/>
    <w:rsid w:val="00F07798"/>
    <w:pPr>
      <w:spacing w:after="240"/>
      <w:ind w:left="720" w:firstLine="720"/>
    </w:pPr>
  </w:style>
  <w:style w:type="paragraph" w:customStyle="1" w:styleId="BodyTextIndent4">
    <w:name w:val="Body Text Indent 4"/>
    <w:basedOn w:val="Normal"/>
    <w:semiHidden/>
    <w:unhideWhenUsed/>
    <w:rsid w:val="00F07798"/>
    <w:pPr>
      <w:spacing w:line="480" w:lineRule="auto"/>
      <w:ind w:left="720" w:right="720"/>
    </w:pPr>
    <w:rPr>
      <w:szCs w:val="24"/>
    </w:rPr>
  </w:style>
  <w:style w:type="paragraph" w:styleId="Caption">
    <w:name w:val="caption"/>
    <w:basedOn w:val="Normal"/>
    <w:next w:val="BodyText"/>
    <w:semiHidden/>
    <w:unhideWhenUsed/>
    <w:qFormat/>
    <w:rsid w:val="009F7206"/>
    <w:pPr>
      <w:spacing w:after="240"/>
    </w:pPr>
  </w:style>
  <w:style w:type="paragraph" w:customStyle="1" w:styleId="Single">
    <w:name w:val="Single"/>
    <w:basedOn w:val="Normal"/>
    <w:semiHidden/>
    <w:unhideWhenUsed/>
    <w:rsid w:val="00F8340B"/>
    <w:pPr>
      <w:spacing w:after="240"/>
      <w:ind w:firstLine="720"/>
    </w:pPr>
  </w:style>
  <w:style w:type="character" w:styleId="CommentReference">
    <w:name w:val="annotation reference"/>
    <w:basedOn w:val="DefaultParagraphFont"/>
    <w:semiHidden/>
    <w:rsid w:val="00F8340B"/>
    <w:rPr>
      <w:sz w:val="24"/>
    </w:rPr>
  </w:style>
  <w:style w:type="paragraph" w:styleId="CommentText">
    <w:name w:val="annotation text"/>
    <w:basedOn w:val="Normal"/>
    <w:link w:val="CommentTextChar"/>
    <w:semiHidden/>
    <w:qFormat/>
    <w:rsid w:val="00F8340B"/>
  </w:style>
  <w:style w:type="paragraph" w:customStyle="1" w:styleId="Double">
    <w:name w:val="Double"/>
    <w:basedOn w:val="Normal"/>
    <w:semiHidden/>
    <w:unhideWhenUsed/>
    <w:rsid w:val="00F8340B"/>
    <w:pPr>
      <w:spacing w:line="480" w:lineRule="auto"/>
      <w:ind w:firstLine="720"/>
    </w:pPr>
  </w:style>
  <w:style w:type="paragraph" w:styleId="ListBullet">
    <w:name w:val="List Bullet"/>
    <w:basedOn w:val="Normal"/>
    <w:uiPriority w:val="3"/>
    <w:qFormat/>
    <w:rsid w:val="00F8340B"/>
    <w:pPr>
      <w:numPr>
        <w:numId w:val="5"/>
      </w:numPr>
      <w:spacing w:after="240"/>
    </w:pPr>
  </w:style>
  <w:style w:type="paragraph" w:styleId="ListBullet2">
    <w:name w:val="List Bullet 2"/>
    <w:basedOn w:val="Normal"/>
    <w:uiPriority w:val="3"/>
    <w:qFormat/>
    <w:rsid w:val="00F8340B"/>
    <w:pPr>
      <w:numPr>
        <w:numId w:val="7"/>
      </w:numPr>
      <w:spacing w:after="240"/>
    </w:pPr>
  </w:style>
  <w:style w:type="paragraph" w:styleId="ListBullet3">
    <w:name w:val="List Bullet 3"/>
    <w:basedOn w:val="Normal"/>
    <w:uiPriority w:val="3"/>
    <w:qFormat/>
    <w:rsid w:val="00F8340B"/>
    <w:pPr>
      <w:numPr>
        <w:numId w:val="8"/>
      </w:numPr>
      <w:spacing w:after="240"/>
    </w:pPr>
  </w:style>
  <w:style w:type="paragraph" w:styleId="ListBullet4">
    <w:name w:val="List Bullet 4"/>
    <w:basedOn w:val="Normal"/>
    <w:uiPriority w:val="3"/>
    <w:qFormat/>
    <w:rsid w:val="00F8340B"/>
    <w:pPr>
      <w:numPr>
        <w:numId w:val="9"/>
      </w:numPr>
      <w:spacing w:after="240"/>
    </w:pPr>
  </w:style>
  <w:style w:type="paragraph" w:styleId="ListBullet5">
    <w:name w:val="List Bullet 5"/>
    <w:basedOn w:val="Normal"/>
    <w:uiPriority w:val="3"/>
    <w:qFormat/>
    <w:rsid w:val="00F8340B"/>
    <w:pPr>
      <w:numPr>
        <w:numId w:val="10"/>
      </w:numPr>
      <w:spacing w:after="240"/>
    </w:pPr>
  </w:style>
  <w:style w:type="paragraph" w:styleId="Header">
    <w:name w:val="header"/>
    <w:basedOn w:val="Normal"/>
    <w:unhideWhenUsed/>
    <w:qFormat/>
    <w:rsid w:val="002554F9"/>
    <w:pPr>
      <w:tabs>
        <w:tab w:val="center" w:pos="4320"/>
        <w:tab w:val="right" w:pos="8640"/>
      </w:tabs>
    </w:pPr>
  </w:style>
  <w:style w:type="paragraph" w:customStyle="1" w:styleId="Para3">
    <w:name w:val="Para3"/>
    <w:basedOn w:val="Normal"/>
    <w:uiPriority w:val="1"/>
    <w:qFormat/>
    <w:rsid w:val="00F8340B"/>
    <w:pPr>
      <w:spacing w:after="240"/>
      <w:ind w:left="1440" w:firstLine="1440"/>
    </w:pPr>
  </w:style>
  <w:style w:type="paragraph" w:customStyle="1" w:styleId="Para4">
    <w:name w:val="Para4"/>
    <w:basedOn w:val="Normal"/>
    <w:uiPriority w:val="1"/>
    <w:qFormat/>
    <w:rsid w:val="00F8340B"/>
    <w:pPr>
      <w:spacing w:after="240"/>
      <w:ind w:left="2160" w:firstLine="1440"/>
    </w:pPr>
  </w:style>
  <w:style w:type="paragraph" w:customStyle="1" w:styleId="Exhibit">
    <w:name w:val="Exhibit"/>
    <w:basedOn w:val="Title"/>
    <w:next w:val="Normal"/>
    <w:uiPriority w:val="5"/>
    <w:qFormat/>
    <w:rsid w:val="00F8340B"/>
  </w:style>
  <w:style w:type="paragraph" w:customStyle="1" w:styleId="Para5">
    <w:name w:val="Para5"/>
    <w:basedOn w:val="Normal"/>
    <w:uiPriority w:val="1"/>
    <w:qFormat/>
    <w:rsid w:val="00F8340B"/>
    <w:pPr>
      <w:spacing w:after="240"/>
      <w:ind w:left="2880" w:firstLine="1440"/>
    </w:pPr>
  </w:style>
  <w:style w:type="paragraph" w:customStyle="1" w:styleId="Para6">
    <w:name w:val="Para6"/>
    <w:basedOn w:val="Normal"/>
    <w:uiPriority w:val="1"/>
    <w:qFormat/>
    <w:rsid w:val="00F8340B"/>
    <w:pPr>
      <w:spacing w:after="240"/>
      <w:ind w:left="3600" w:firstLine="1440"/>
    </w:pPr>
  </w:style>
  <w:style w:type="paragraph" w:customStyle="1" w:styleId="Para7">
    <w:name w:val="Para7"/>
    <w:basedOn w:val="Normal"/>
    <w:uiPriority w:val="1"/>
    <w:qFormat/>
    <w:rsid w:val="00F8340B"/>
    <w:pPr>
      <w:spacing w:after="240"/>
      <w:ind w:left="4320" w:firstLine="1440"/>
    </w:pPr>
  </w:style>
  <w:style w:type="paragraph" w:customStyle="1" w:styleId="Para8">
    <w:name w:val="Para8"/>
    <w:basedOn w:val="Normal"/>
    <w:uiPriority w:val="1"/>
    <w:qFormat/>
    <w:rsid w:val="00F8340B"/>
    <w:pPr>
      <w:spacing w:after="240"/>
      <w:ind w:left="5040" w:firstLine="1440"/>
    </w:pPr>
  </w:style>
  <w:style w:type="paragraph" w:styleId="EndnoteText">
    <w:name w:val="endnote text"/>
    <w:basedOn w:val="Normal"/>
    <w:semiHidden/>
    <w:unhideWhenUsed/>
    <w:qFormat/>
    <w:rsid w:val="00F8340B"/>
  </w:style>
  <w:style w:type="paragraph" w:styleId="EnvelopeReturn">
    <w:name w:val="envelope return"/>
    <w:basedOn w:val="Normal"/>
    <w:semiHidden/>
    <w:unhideWhenUsed/>
    <w:rsid w:val="00F8340B"/>
  </w:style>
  <w:style w:type="paragraph" w:styleId="EnvelopeAddress">
    <w:name w:val="envelope address"/>
    <w:basedOn w:val="Normal"/>
    <w:semiHidden/>
    <w:unhideWhenUsed/>
    <w:rsid w:val="00F8340B"/>
    <w:pPr>
      <w:framePr w:w="7920" w:h="1980" w:hRule="exact" w:hSpace="180" w:wrap="auto" w:hAnchor="page" w:xAlign="center" w:yAlign="bottom"/>
      <w:ind w:left="2880"/>
    </w:pPr>
  </w:style>
  <w:style w:type="paragraph" w:styleId="ListNumber">
    <w:name w:val="List Number"/>
    <w:basedOn w:val="Normal"/>
    <w:uiPriority w:val="99"/>
    <w:qFormat/>
    <w:rsid w:val="00F8340B"/>
    <w:pPr>
      <w:numPr>
        <w:numId w:val="6"/>
      </w:numPr>
      <w:spacing w:after="240"/>
    </w:pPr>
  </w:style>
  <w:style w:type="paragraph" w:styleId="ListNumber2">
    <w:name w:val="List Number 2"/>
    <w:basedOn w:val="Normal"/>
    <w:uiPriority w:val="3"/>
    <w:qFormat/>
    <w:rsid w:val="00F8340B"/>
    <w:pPr>
      <w:numPr>
        <w:numId w:val="11"/>
      </w:numPr>
      <w:spacing w:after="240"/>
    </w:pPr>
  </w:style>
  <w:style w:type="paragraph" w:styleId="ListNumber3">
    <w:name w:val="List Number 3"/>
    <w:basedOn w:val="Normal"/>
    <w:uiPriority w:val="3"/>
    <w:qFormat/>
    <w:rsid w:val="00F8340B"/>
    <w:pPr>
      <w:numPr>
        <w:numId w:val="12"/>
      </w:numPr>
      <w:spacing w:after="240"/>
    </w:pPr>
  </w:style>
  <w:style w:type="paragraph" w:styleId="ListNumber4">
    <w:name w:val="List Number 4"/>
    <w:basedOn w:val="Normal"/>
    <w:uiPriority w:val="3"/>
    <w:qFormat/>
    <w:rsid w:val="00F8340B"/>
    <w:pPr>
      <w:numPr>
        <w:numId w:val="13"/>
      </w:numPr>
      <w:spacing w:after="240"/>
    </w:pPr>
  </w:style>
  <w:style w:type="paragraph" w:styleId="ListNumber5">
    <w:name w:val="List Number 5"/>
    <w:basedOn w:val="Normal"/>
    <w:uiPriority w:val="3"/>
    <w:qFormat/>
    <w:rsid w:val="00F8340B"/>
    <w:pPr>
      <w:numPr>
        <w:numId w:val="14"/>
      </w:numPr>
      <w:spacing w:after="240"/>
    </w:pPr>
  </w:style>
  <w:style w:type="paragraph" w:styleId="TOC9">
    <w:name w:val="toc 9"/>
    <w:basedOn w:val="TOCBase"/>
    <w:next w:val="Normal"/>
    <w:uiPriority w:val="6"/>
    <w:unhideWhenUsed/>
    <w:qFormat/>
    <w:rsid w:val="00F8340B"/>
  </w:style>
  <w:style w:type="character" w:styleId="LineNumber">
    <w:name w:val="line number"/>
    <w:basedOn w:val="DefaultParagraphFont"/>
    <w:semiHidden/>
    <w:unhideWhenUsed/>
    <w:rsid w:val="00F8340B"/>
  </w:style>
  <w:style w:type="paragraph" w:customStyle="1" w:styleId="Hanging">
    <w:name w:val="Hanging"/>
    <w:basedOn w:val="Normal"/>
    <w:qFormat/>
    <w:rsid w:val="00F8340B"/>
    <w:pPr>
      <w:spacing w:after="240"/>
      <w:ind w:left="2160" w:hanging="2160"/>
    </w:pPr>
  </w:style>
  <w:style w:type="paragraph" w:customStyle="1" w:styleId="Level1">
    <w:name w:val="Level 1"/>
    <w:basedOn w:val="Normal"/>
    <w:uiPriority w:val="2"/>
    <w:qFormat/>
    <w:rsid w:val="00F8340B"/>
    <w:pPr>
      <w:numPr>
        <w:numId w:val="15"/>
      </w:numPr>
      <w:spacing w:after="240"/>
    </w:pPr>
  </w:style>
  <w:style w:type="paragraph" w:customStyle="1" w:styleId="Level2">
    <w:name w:val="Level 2"/>
    <w:basedOn w:val="Normal"/>
    <w:uiPriority w:val="2"/>
    <w:qFormat/>
    <w:rsid w:val="00F8340B"/>
    <w:pPr>
      <w:numPr>
        <w:ilvl w:val="1"/>
        <w:numId w:val="15"/>
      </w:numPr>
      <w:spacing w:after="240"/>
    </w:pPr>
  </w:style>
  <w:style w:type="paragraph" w:customStyle="1" w:styleId="Level3">
    <w:name w:val="Level 3"/>
    <w:basedOn w:val="Normal"/>
    <w:uiPriority w:val="2"/>
    <w:qFormat/>
    <w:rsid w:val="00F8340B"/>
    <w:pPr>
      <w:numPr>
        <w:ilvl w:val="2"/>
        <w:numId w:val="15"/>
      </w:numPr>
      <w:spacing w:after="240"/>
    </w:pPr>
  </w:style>
  <w:style w:type="paragraph" w:customStyle="1" w:styleId="Level4">
    <w:name w:val="Level 4"/>
    <w:basedOn w:val="Normal"/>
    <w:uiPriority w:val="2"/>
    <w:qFormat/>
    <w:rsid w:val="00F8340B"/>
    <w:pPr>
      <w:numPr>
        <w:ilvl w:val="3"/>
        <w:numId w:val="15"/>
      </w:numPr>
      <w:spacing w:after="240"/>
    </w:pPr>
  </w:style>
  <w:style w:type="paragraph" w:customStyle="1" w:styleId="Level5">
    <w:name w:val="Level 5"/>
    <w:basedOn w:val="Normal"/>
    <w:uiPriority w:val="2"/>
    <w:qFormat/>
    <w:rsid w:val="00F8340B"/>
    <w:pPr>
      <w:numPr>
        <w:ilvl w:val="4"/>
        <w:numId w:val="15"/>
      </w:numPr>
      <w:spacing w:after="240"/>
    </w:pPr>
  </w:style>
  <w:style w:type="paragraph" w:customStyle="1" w:styleId="Level6">
    <w:name w:val="Level 6"/>
    <w:basedOn w:val="Normal"/>
    <w:uiPriority w:val="2"/>
    <w:qFormat/>
    <w:rsid w:val="00F8340B"/>
    <w:pPr>
      <w:numPr>
        <w:ilvl w:val="5"/>
        <w:numId w:val="15"/>
      </w:numPr>
      <w:spacing w:after="240"/>
    </w:pPr>
  </w:style>
  <w:style w:type="paragraph" w:customStyle="1" w:styleId="Level7">
    <w:name w:val="Level 7"/>
    <w:basedOn w:val="Normal"/>
    <w:uiPriority w:val="2"/>
    <w:qFormat/>
    <w:rsid w:val="00F8340B"/>
    <w:pPr>
      <w:numPr>
        <w:ilvl w:val="6"/>
        <w:numId w:val="15"/>
      </w:numPr>
      <w:spacing w:after="240"/>
    </w:pPr>
  </w:style>
  <w:style w:type="paragraph" w:customStyle="1" w:styleId="Level8">
    <w:name w:val="Level 8"/>
    <w:basedOn w:val="Normal"/>
    <w:uiPriority w:val="2"/>
    <w:qFormat/>
    <w:rsid w:val="00F8340B"/>
    <w:pPr>
      <w:numPr>
        <w:ilvl w:val="7"/>
        <w:numId w:val="15"/>
      </w:numPr>
      <w:spacing w:after="240"/>
    </w:pPr>
  </w:style>
  <w:style w:type="paragraph" w:customStyle="1" w:styleId="Level9">
    <w:name w:val="Level 9"/>
    <w:basedOn w:val="Normal"/>
    <w:uiPriority w:val="2"/>
    <w:qFormat/>
    <w:rsid w:val="00F8340B"/>
    <w:pPr>
      <w:numPr>
        <w:ilvl w:val="8"/>
        <w:numId w:val="15"/>
      </w:numPr>
      <w:spacing w:after="240"/>
    </w:pPr>
    <w:rPr>
      <w:szCs w:val="24"/>
    </w:rPr>
  </w:style>
  <w:style w:type="paragraph" w:styleId="ListContinue">
    <w:name w:val="List Continue"/>
    <w:basedOn w:val="Normal"/>
    <w:uiPriority w:val="3"/>
    <w:qFormat/>
    <w:rsid w:val="00F8340B"/>
    <w:pPr>
      <w:spacing w:after="240"/>
      <w:ind w:left="720"/>
    </w:pPr>
  </w:style>
  <w:style w:type="paragraph" w:customStyle="1" w:styleId="HIDDEN">
    <w:name w:val="HIDDEN"/>
    <w:basedOn w:val="Normal"/>
    <w:next w:val="Normal"/>
    <w:semiHidden/>
    <w:unhideWhenUsed/>
    <w:qFormat/>
    <w:rsid w:val="00F8340B"/>
    <w:pPr>
      <w:widowControl w:val="0"/>
    </w:pPr>
    <w:rPr>
      <w:snapToGrid w:val="0"/>
      <w:vanish/>
      <w:effect w:val="antsBlack"/>
    </w:rPr>
  </w:style>
  <w:style w:type="paragraph" w:customStyle="1" w:styleId="BodyText4">
    <w:name w:val="Body Text 4"/>
    <w:basedOn w:val="Normal"/>
    <w:semiHidden/>
    <w:unhideWhenUsed/>
    <w:qFormat/>
    <w:rsid w:val="00F8340B"/>
    <w:pPr>
      <w:spacing w:line="480" w:lineRule="auto"/>
    </w:pPr>
  </w:style>
  <w:style w:type="character" w:customStyle="1" w:styleId="AllCaps">
    <w:name w:val="AllCaps"/>
    <w:basedOn w:val="DefaultParagraphFont"/>
    <w:semiHidden/>
    <w:unhideWhenUsed/>
    <w:rsid w:val="00F8340B"/>
    <w:rPr>
      <w:caps/>
      <w:u w:val="single"/>
    </w:rPr>
  </w:style>
  <w:style w:type="paragraph" w:styleId="ListContinue2">
    <w:name w:val="List Continue 2"/>
    <w:basedOn w:val="Normal"/>
    <w:uiPriority w:val="3"/>
    <w:qFormat/>
    <w:rsid w:val="00F8340B"/>
    <w:pPr>
      <w:spacing w:after="240"/>
      <w:ind w:left="1440"/>
    </w:pPr>
  </w:style>
  <w:style w:type="paragraph" w:styleId="ListContinue3">
    <w:name w:val="List Continue 3"/>
    <w:basedOn w:val="Normal"/>
    <w:uiPriority w:val="3"/>
    <w:qFormat/>
    <w:rsid w:val="00F8340B"/>
    <w:pPr>
      <w:spacing w:after="240"/>
      <w:ind w:left="2160"/>
    </w:pPr>
  </w:style>
  <w:style w:type="paragraph" w:styleId="ListContinue4">
    <w:name w:val="List Continue 4"/>
    <w:basedOn w:val="Normal"/>
    <w:uiPriority w:val="3"/>
    <w:qFormat/>
    <w:rsid w:val="00F8340B"/>
    <w:pPr>
      <w:spacing w:after="240"/>
      <w:ind w:firstLine="1440"/>
    </w:pPr>
  </w:style>
  <w:style w:type="paragraph" w:styleId="ListContinue5">
    <w:name w:val="List Continue 5"/>
    <w:basedOn w:val="Normal"/>
    <w:uiPriority w:val="3"/>
    <w:qFormat/>
    <w:rsid w:val="00F8340B"/>
    <w:pPr>
      <w:spacing w:after="240"/>
      <w:ind w:firstLine="2160"/>
    </w:pPr>
  </w:style>
  <w:style w:type="paragraph" w:styleId="List">
    <w:name w:val="List"/>
    <w:basedOn w:val="Normal"/>
    <w:uiPriority w:val="3"/>
    <w:qFormat/>
    <w:rsid w:val="00F8340B"/>
    <w:pPr>
      <w:spacing w:after="240"/>
      <w:ind w:left="720"/>
    </w:pPr>
  </w:style>
  <w:style w:type="paragraph" w:styleId="List2">
    <w:name w:val="List 2"/>
    <w:basedOn w:val="Normal"/>
    <w:uiPriority w:val="3"/>
    <w:qFormat/>
    <w:rsid w:val="00F8340B"/>
    <w:pPr>
      <w:spacing w:after="240"/>
      <w:ind w:left="1440"/>
    </w:pPr>
  </w:style>
  <w:style w:type="paragraph" w:styleId="List3">
    <w:name w:val="List 3"/>
    <w:basedOn w:val="Normal"/>
    <w:uiPriority w:val="3"/>
    <w:qFormat/>
    <w:rsid w:val="00F8340B"/>
    <w:pPr>
      <w:spacing w:after="240"/>
      <w:ind w:left="2160"/>
    </w:pPr>
  </w:style>
  <w:style w:type="paragraph" w:styleId="List4">
    <w:name w:val="List 4"/>
    <w:basedOn w:val="Normal"/>
    <w:uiPriority w:val="3"/>
    <w:qFormat/>
    <w:rsid w:val="00F8340B"/>
    <w:pPr>
      <w:spacing w:after="240"/>
      <w:ind w:left="2880"/>
    </w:pPr>
  </w:style>
  <w:style w:type="paragraph" w:styleId="List5">
    <w:name w:val="List 5"/>
    <w:basedOn w:val="Normal"/>
    <w:uiPriority w:val="3"/>
    <w:qFormat/>
    <w:rsid w:val="00F8340B"/>
    <w:pPr>
      <w:spacing w:after="240"/>
      <w:ind w:left="3600"/>
    </w:pPr>
  </w:style>
  <w:style w:type="paragraph" w:styleId="Salutation">
    <w:name w:val="Salutation"/>
    <w:basedOn w:val="Normal"/>
    <w:next w:val="Normal"/>
    <w:semiHidden/>
    <w:qFormat/>
    <w:rsid w:val="00F8340B"/>
    <w:pPr>
      <w:spacing w:after="240"/>
    </w:pPr>
  </w:style>
  <w:style w:type="character" w:styleId="FootnoteReference">
    <w:name w:val="footnote reference"/>
    <w:basedOn w:val="DefaultParagraphFont"/>
    <w:uiPriority w:val="99"/>
    <w:unhideWhenUsed/>
    <w:qFormat/>
    <w:rsid w:val="00F8340B"/>
    <w:rPr>
      <w:vertAlign w:val="superscript"/>
    </w:rPr>
  </w:style>
  <w:style w:type="paragraph" w:customStyle="1" w:styleId="ListNumberA">
    <w:name w:val="List Number A"/>
    <w:basedOn w:val="Normal"/>
    <w:uiPriority w:val="3"/>
    <w:qFormat/>
    <w:rsid w:val="00F8340B"/>
    <w:pPr>
      <w:numPr>
        <w:numId w:val="16"/>
      </w:numPr>
      <w:spacing w:after="240"/>
    </w:pPr>
  </w:style>
  <w:style w:type="paragraph" w:customStyle="1" w:styleId="SubtitleUnderline">
    <w:name w:val="Subtitle Underline"/>
    <w:basedOn w:val="Subtitle"/>
    <w:next w:val="BodyTextFirst5"/>
    <w:uiPriority w:val="4"/>
    <w:qFormat/>
    <w:rsid w:val="00F8340B"/>
    <w:rPr>
      <w:u w:val="single"/>
    </w:rPr>
  </w:style>
  <w:style w:type="paragraph" w:customStyle="1" w:styleId="TitleUnderline">
    <w:name w:val="Title Underline"/>
    <w:basedOn w:val="Title"/>
    <w:next w:val="BodyTextFirst5"/>
    <w:uiPriority w:val="4"/>
    <w:qFormat/>
    <w:rsid w:val="00F8340B"/>
    <w:rPr>
      <w:u w:val="single"/>
    </w:rPr>
  </w:style>
  <w:style w:type="paragraph" w:styleId="Index1">
    <w:name w:val="index 1"/>
    <w:basedOn w:val="Normal"/>
    <w:next w:val="Normal"/>
    <w:autoRedefine/>
    <w:semiHidden/>
    <w:unhideWhenUsed/>
    <w:qFormat/>
    <w:rsid w:val="00F8340B"/>
    <w:pPr>
      <w:ind w:left="240" w:hanging="240"/>
    </w:pPr>
  </w:style>
  <w:style w:type="paragraph" w:styleId="IndexHeading">
    <w:name w:val="index heading"/>
    <w:basedOn w:val="Normal"/>
    <w:next w:val="Index1"/>
    <w:semiHidden/>
    <w:unhideWhenUsed/>
    <w:qFormat/>
    <w:rsid w:val="00F8340B"/>
    <w:rPr>
      <w:b/>
    </w:rPr>
  </w:style>
  <w:style w:type="paragraph" w:styleId="Closing">
    <w:name w:val="Closing"/>
    <w:basedOn w:val="Normal"/>
    <w:semiHidden/>
    <w:unhideWhenUsed/>
    <w:qFormat/>
    <w:rsid w:val="00F8340B"/>
    <w:pPr>
      <w:ind w:left="4320"/>
    </w:pPr>
  </w:style>
  <w:style w:type="paragraph" w:styleId="Date">
    <w:name w:val="Date"/>
    <w:basedOn w:val="Normal"/>
    <w:next w:val="Normal"/>
    <w:qFormat/>
    <w:rsid w:val="00F8340B"/>
  </w:style>
  <w:style w:type="paragraph" w:styleId="TableofFigures">
    <w:name w:val="table of figures"/>
    <w:basedOn w:val="Normal"/>
    <w:next w:val="Normal"/>
    <w:semiHidden/>
    <w:qFormat/>
    <w:rsid w:val="00F8340B"/>
    <w:pPr>
      <w:ind w:left="480" w:hanging="480"/>
    </w:pPr>
  </w:style>
  <w:style w:type="paragraph" w:customStyle="1" w:styleId="Schedule">
    <w:name w:val="Schedule"/>
    <w:basedOn w:val="Title"/>
    <w:next w:val="Normal"/>
    <w:uiPriority w:val="5"/>
    <w:qFormat/>
    <w:rsid w:val="00F8340B"/>
  </w:style>
  <w:style w:type="paragraph" w:customStyle="1" w:styleId="ScheduleHeading">
    <w:name w:val="Schedule Heading"/>
    <w:basedOn w:val="Normal"/>
    <w:next w:val="Normal"/>
    <w:uiPriority w:val="5"/>
    <w:semiHidden/>
    <w:qFormat/>
    <w:rsid w:val="00F8340B"/>
    <w:pPr>
      <w:spacing w:after="240"/>
    </w:pPr>
    <w:rPr>
      <w:u w:val="single"/>
    </w:rPr>
  </w:style>
  <w:style w:type="paragraph" w:customStyle="1" w:styleId="Addendum">
    <w:name w:val="Addendum"/>
    <w:basedOn w:val="Title"/>
    <w:next w:val="Normal"/>
    <w:uiPriority w:val="5"/>
    <w:qFormat/>
    <w:rsid w:val="00F8340B"/>
  </w:style>
  <w:style w:type="paragraph" w:customStyle="1" w:styleId="AddendumHeading">
    <w:name w:val="Addendum Heading"/>
    <w:basedOn w:val="Normal"/>
    <w:next w:val="Normal"/>
    <w:uiPriority w:val="5"/>
    <w:qFormat/>
    <w:rsid w:val="00F8340B"/>
    <w:pPr>
      <w:spacing w:after="240"/>
    </w:pPr>
    <w:rPr>
      <w:u w:val="single"/>
    </w:rPr>
  </w:style>
  <w:style w:type="paragraph" w:customStyle="1" w:styleId="SubtitleLeft">
    <w:name w:val="SubtitleLeft"/>
    <w:basedOn w:val="Normal"/>
    <w:next w:val="BodyTextFirst5"/>
    <w:uiPriority w:val="4"/>
    <w:qFormat/>
    <w:rsid w:val="00F8340B"/>
    <w:pPr>
      <w:keepNext/>
      <w:spacing w:after="240"/>
    </w:pPr>
    <w:rPr>
      <w:b/>
      <w:szCs w:val="24"/>
      <w:u w:val="single"/>
    </w:rPr>
  </w:style>
  <w:style w:type="paragraph" w:customStyle="1" w:styleId="Rider">
    <w:name w:val="Rider"/>
    <w:basedOn w:val="Title"/>
    <w:next w:val="Normal"/>
    <w:uiPriority w:val="5"/>
    <w:qFormat/>
    <w:rsid w:val="00F8340B"/>
  </w:style>
  <w:style w:type="paragraph" w:customStyle="1" w:styleId="RiderHeading">
    <w:name w:val="Rider Heading"/>
    <w:basedOn w:val="Normal"/>
    <w:next w:val="Normal"/>
    <w:uiPriority w:val="5"/>
    <w:qFormat/>
    <w:rsid w:val="00F8340B"/>
    <w:pPr>
      <w:spacing w:after="240"/>
    </w:pPr>
    <w:rPr>
      <w:u w:val="single"/>
    </w:rPr>
  </w:style>
  <w:style w:type="numbering" w:styleId="111111">
    <w:name w:val="Outline List 2"/>
    <w:basedOn w:val="NoList"/>
    <w:rsid w:val="00AD51F4"/>
    <w:pPr>
      <w:numPr>
        <w:numId w:val="1"/>
      </w:numPr>
    </w:pPr>
  </w:style>
  <w:style w:type="numbering" w:styleId="1ai">
    <w:name w:val="Outline List 1"/>
    <w:basedOn w:val="NoList"/>
    <w:rsid w:val="00AD51F4"/>
    <w:pPr>
      <w:numPr>
        <w:numId w:val="2"/>
      </w:numPr>
    </w:pPr>
  </w:style>
  <w:style w:type="numbering" w:styleId="ArticleSection">
    <w:name w:val="Outline List 3"/>
    <w:basedOn w:val="NoList"/>
    <w:rsid w:val="00AD51F4"/>
    <w:pPr>
      <w:numPr>
        <w:numId w:val="3"/>
      </w:numPr>
    </w:pPr>
  </w:style>
  <w:style w:type="paragraph" w:styleId="BalloonText">
    <w:name w:val="Balloon Text"/>
    <w:basedOn w:val="Normal"/>
    <w:link w:val="BalloonTextChar"/>
    <w:semiHidden/>
    <w:rsid w:val="00AD51F4"/>
    <w:rPr>
      <w:szCs w:val="16"/>
    </w:rPr>
  </w:style>
  <w:style w:type="character" w:customStyle="1" w:styleId="BalloonTextChar">
    <w:name w:val="Balloon Text Char"/>
    <w:basedOn w:val="DefaultParagraphFont"/>
    <w:link w:val="BalloonText"/>
    <w:semiHidden/>
    <w:rsid w:val="006E6DF3"/>
    <w:rPr>
      <w:sz w:val="25"/>
      <w:szCs w:val="16"/>
    </w:rPr>
  </w:style>
  <w:style w:type="paragraph" w:styleId="Bibliography">
    <w:name w:val="Bibliography"/>
    <w:basedOn w:val="Normal"/>
    <w:next w:val="Normal"/>
    <w:uiPriority w:val="37"/>
    <w:semiHidden/>
    <w:unhideWhenUsed/>
    <w:rsid w:val="00F8340B"/>
  </w:style>
  <w:style w:type="paragraph" w:customStyle="1" w:styleId="TitleLeft">
    <w:name w:val="TitleLeft"/>
    <w:basedOn w:val="Normal"/>
    <w:next w:val="BodyTextFirst5"/>
    <w:uiPriority w:val="4"/>
    <w:qFormat/>
    <w:rsid w:val="00F8340B"/>
    <w:pPr>
      <w:keepNext/>
      <w:spacing w:after="240"/>
    </w:pPr>
    <w:rPr>
      <w:b/>
      <w:caps/>
      <w:szCs w:val="24"/>
      <w:u w:val="single"/>
    </w:rPr>
  </w:style>
  <w:style w:type="table" w:customStyle="1" w:styleId="ColorfulGrid1">
    <w:name w:val="Colorful Grid1"/>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AD51F4"/>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ColorfulList1">
    <w:name w:val="Colorful List1"/>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AD51F4"/>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Shading1">
    <w:name w:val="Colorful Shading1"/>
    <w:basedOn w:val="TableNormal"/>
    <w:uiPriority w:val="71"/>
    <w:rsid w:val="00AD51F4"/>
    <w:rPr>
      <w:color w:val="000000" w:themeColor="text1"/>
      <w:sz w:val="24"/>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AD51F4"/>
    <w:rPr>
      <w:color w:val="000000" w:themeColor="text1"/>
      <w:sz w:val="24"/>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AD51F4"/>
    <w:rPr>
      <w:color w:val="000000" w:themeColor="text1"/>
      <w:sz w:val="24"/>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AD51F4"/>
    <w:rPr>
      <w:color w:val="000000" w:themeColor="text1"/>
      <w:sz w:val="24"/>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AD51F4"/>
    <w:rPr>
      <w:color w:val="000000" w:themeColor="text1"/>
      <w:sz w:val="24"/>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AD51F4"/>
    <w:rPr>
      <w:color w:val="000000" w:themeColor="text1"/>
      <w:sz w:val="24"/>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AD51F4"/>
    <w:rPr>
      <w:color w:val="000000" w:themeColor="text1"/>
      <w:sz w:val="24"/>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semiHidden/>
    <w:unhideWhenUsed/>
    <w:rsid w:val="00F8340B"/>
    <w:rPr>
      <w:b/>
      <w:bCs/>
    </w:rPr>
  </w:style>
  <w:style w:type="character" w:customStyle="1" w:styleId="CommentTextChar">
    <w:name w:val="Comment Text Char"/>
    <w:basedOn w:val="DefaultParagraphFont"/>
    <w:link w:val="CommentText"/>
    <w:semiHidden/>
    <w:rsid w:val="00F8340B"/>
    <w:rPr>
      <w:sz w:val="25"/>
    </w:rPr>
  </w:style>
  <w:style w:type="character" w:customStyle="1" w:styleId="CommentSubjectChar">
    <w:name w:val="Comment Subject Char"/>
    <w:basedOn w:val="CommentTextChar"/>
    <w:link w:val="CommentSubject"/>
    <w:semiHidden/>
    <w:rsid w:val="00E06DCC"/>
    <w:rPr>
      <w:b/>
      <w:bCs/>
      <w:sz w:val="25"/>
    </w:rPr>
  </w:style>
  <w:style w:type="table" w:customStyle="1" w:styleId="DarkList1">
    <w:name w:val="Dark List1"/>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AD51F4"/>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ocumentMap">
    <w:name w:val="Document Map"/>
    <w:basedOn w:val="Normal"/>
    <w:link w:val="DocumentMapChar"/>
    <w:semiHidden/>
    <w:rsid w:val="00F8340B"/>
    <w:rPr>
      <w:szCs w:val="16"/>
    </w:rPr>
  </w:style>
  <w:style w:type="character" w:customStyle="1" w:styleId="DocumentMapChar">
    <w:name w:val="Document Map Char"/>
    <w:basedOn w:val="DefaultParagraphFont"/>
    <w:link w:val="DocumentMap"/>
    <w:semiHidden/>
    <w:rsid w:val="00667A19"/>
    <w:rPr>
      <w:sz w:val="25"/>
      <w:szCs w:val="16"/>
    </w:rPr>
  </w:style>
  <w:style w:type="paragraph" w:styleId="E-mailSignature">
    <w:name w:val="E-mail Signature"/>
    <w:basedOn w:val="Normal"/>
    <w:link w:val="E-mailSignatureChar"/>
    <w:semiHidden/>
    <w:unhideWhenUsed/>
    <w:rsid w:val="00F8340B"/>
  </w:style>
  <w:style w:type="character" w:customStyle="1" w:styleId="E-mailSignatureChar">
    <w:name w:val="E-mail Signature Char"/>
    <w:basedOn w:val="DefaultParagraphFont"/>
    <w:link w:val="E-mailSignature"/>
    <w:semiHidden/>
    <w:rsid w:val="00E06DCC"/>
    <w:rPr>
      <w:sz w:val="24"/>
    </w:rPr>
  </w:style>
  <w:style w:type="character" w:styleId="Emphasis">
    <w:name w:val="Emphasis"/>
    <w:basedOn w:val="DefaultParagraphFont"/>
    <w:uiPriority w:val="20"/>
    <w:qFormat/>
    <w:rsid w:val="00AD51F4"/>
    <w:rPr>
      <w:i/>
      <w:iCs/>
    </w:rPr>
  </w:style>
  <w:style w:type="character" w:styleId="EndnoteReference">
    <w:name w:val="endnote reference"/>
    <w:basedOn w:val="DefaultParagraphFont"/>
    <w:semiHidden/>
    <w:unhideWhenUsed/>
    <w:qFormat/>
    <w:rsid w:val="00F8340B"/>
    <w:rPr>
      <w:vertAlign w:val="superscript"/>
    </w:rPr>
  </w:style>
  <w:style w:type="character" w:styleId="FollowedHyperlink">
    <w:name w:val="FollowedHyperlink"/>
    <w:basedOn w:val="DefaultParagraphFont"/>
    <w:semiHidden/>
    <w:unhideWhenUsed/>
    <w:rsid w:val="00F8340B"/>
    <w:rPr>
      <w:color w:val="800080" w:themeColor="followedHyperlink"/>
      <w:u w:val="single"/>
    </w:rPr>
  </w:style>
  <w:style w:type="character" w:styleId="HTMLAcronym">
    <w:name w:val="HTML Acronym"/>
    <w:basedOn w:val="DefaultParagraphFont"/>
    <w:semiHidden/>
    <w:rsid w:val="00AD51F4"/>
  </w:style>
  <w:style w:type="paragraph" w:styleId="HTMLAddress">
    <w:name w:val="HTML Address"/>
    <w:basedOn w:val="Normal"/>
    <w:link w:val="HTMLAddressChar"/>
    <w:semiHidden/>
    <w:rsid w:val="00AD51F4"/>
    <w:rPr>
      <w:i/>
      <w:iCs/>
    </w:rPr>
  </w:style>
  <w:style w:type="character" w:customStyle="1" w:styleId="HTMLAddressChar">
    <w:name w:val="HTML Address Char"/>
    <w:basedOn w:val="DefaultParagraphFont"/>
    <w:link w:val="HTMLAddress"/>
    <w:semiHidden/>
    <w:rsid w:val="009941FF"/>
    <w:rPr>
      <w:i/>
      <w:iCs/>
      <w:sz w:val="24"/>
    </w:rPr>
  </w:style>
  <w:style w:type="character" w:styleId="HTMLCite">
    <w:name w:val="HTML Cite"/>
    <w:basedOn w:val="DefaultParagraphFont"/>
    <w:semiHidden/>
    <w:rsid w:val="00AD51F4"/>
    <w:rPr>
      <w:i/>
      <w:iCs/>
    </w:rPr>
  </w:style>
  <w:style w:type="character" w:styleId="HTMLCode">
    <w:name w:val="HTML Code"/>
    <w:basedOn w:val="DefaultParagraphFont"/>
    <w:semiHidden/>
    <w:rsid w:val="00AD51F4"/>
    <w:rPr>
      <w:rFonts w:ascii="Times New Roman" w:hAnsi="Times New Roman" w:cs="Times New Roman"/>
      <w:sz w:val="24"/>
      <w:szCs w:val="20"/>
    </w:rPr>
  </w:style>
  <w:style w:type="character" w:styleId="HTMLDefinition">
    <w:name w:val="HTML Definition"/>
    <w:basedOn w:val="DefaultParagraphFont"/>
    <w:semiHidden/>
    <w:rsid w:val="00AD51F4"/>
    <w:rPr>
      <w:i/>
      <w:iCs/>
    </w:rPr>
  </w:style>
  <w:style w:type="character" w:styleId="HTMLKeyboard">
    <w:name w:val="HTML Keyboard"/>
    <w:basedOn w:val="DefaultParagraphFont"/>
    <w:semiHidden/>
    <w:rsid w:val="00AD51F4"/>
    <w:rPr>
      <w:rFonts w:ascii="Times New Roman" w:hAnsi="Times New Roman" w:cs="Times New Roman"/>
      <w:sz w:val="24"/>
      <w:szCs w:val="20"/>
    </w:rPr>
  </w:style>
  <w:style w:type="paragraph" w:styleId="HTMLPreformatted">
    <w:name w:val="HTML Preformatted"/>
    <w:basedOn w:val="Normal"/>
    <w:link w:val="HTMLPreformattedChar"/>
    <w:semiHidden/>
    <w:rsid w:val="00F8340B"/>
  </w:style>
  <w:style w:type="character" w:customStyle="1" w:styleId="HTMLPreformattedChar">
    <w:name w:val="HTML Preformatted Char"/>
    <w:basedOn w:val="DefaultParagraphFont"/>
    <w:link w:val="HTMLPreformatted"/>
    <w:semiHidden/>
    <w:rsid w:val="00F8340B"/>
    <w:rPr>
      <w:sz w:val="25"/>
    </w:rPr>
  </w:style>
  <w:style w:type="character" w:styleId="HTMLSample">
    <w:name w:val="HTML Sample"/>
    <w:basedOn w:val="DefaultParagraphFont"/>
    <w:semiHidden/>
    <w:rsid w:val="00AD51F4"/>
    <w:rPr>
      <w:rFonts w:ascii="Times New Roman" w:hAnsi="Times New Roman" w:cs="Times New Roman"/>
      <w:sz w:val="24"/>
      <w:szCs w:val="24"/>
    </w:rPr>
  </w:style>
  <w:style w:type="character" w:styleId="HTMLTypewriter">
    <w:name w:val="HTML Typewriter"/>
    <w:basedOn w:val="DefaultParagraphFont"/>
    <w:semiHidden/>
    <w:rsid w:val="00AD51F4"/>
    <w:rPr>
      <w:rFonts w:ascii="Times New Roman" w:hAnsi="Times New Roman" w:cs="Times New Roman"/>
      <w:sz w:val="24"/>
      <w:szCs w:val="20"/>
    </w:rPr>
  </w:style>
  <w:style w:type="character" w:styleId="HTMLVariable">
    <w:name w:val="HTML Variable"/>
    <w:basedOn w:val="DefaultParagraphFont"/>
    <w:semiHidden/>
    <w:rsid w:val="00AD51F4"/>
    <w:rPr>
      <w:i/>
      <w:iCs/>
    </w:rPr>
  </w:style>
  <w:style w:type="character" w:styleId="Hyperlink">
    <w:name w:val="Hyperlink"/>
    <w:basedOn w:val="DefaultParagraphFont"/>
    <w:uiPriority w:val="99"/>
    <w:unhideWhenUsed/>
    <w:rsid w:val="00F8340B"/>
    <w:rPr>
      <w:color w:val="0000FF" w:themeColor="hyperlink"/>
      <w:u w:val="single"/>
    </w:rPr>
  </w:style>
  <w:style w:type="paragraph" w:styleId="Index2">
    <w:name w:val="index 2"/>
    <w:basedOn w:val="Normal"/>
    <w:next w:val="Normal"/>
    <w:autoRedefine/>
    <w:semiHidden/>
    <w:unhideWhenUsed/>
    <w:qFormat/>
    <w:rsid w:val="00F8340B"/>
    <w:pPr>
      <w:ind w:left="480" w:hanging="240"/>
    </w:pPr>
  </w:style>
  <w:style w:type="paragraph" w:styleId="Index3">
    <w:name w:val="index 3"/>
    <w:basedOn w:val="Normal"/>
    <w:next w:val="Normal"/>
    <w:autoRedefine/>
    <w:semiHidden/>
    <w:unhideWhenUsed/>
    <w:qFormat/>
    <w:rsid w:val="00F8340B"/>
    <w:pPr>
      <w:ind w:left="720" w:hanging="240"/>
    </w:pPr>
  </w:style>
  <w:style w:type="paragraph" w:styleId="Index4">
    <w:name w:val="index 4"/>
    <w:basedOn w:val="Normal"/>
    <w:next w:val="Normal"/>
    <w:autoRedefine/>
    <w:semiHidden/>
    <w:unhideWhenUsed/>
    <w:qFormat/>
    <w:rsid w:val="00F8340B"/>
    <w:pPr>
      <w:ind w:left="960" w:hanging="240"/>
    </w:pPr>
  </w:style>
  <w:style w:type="paragraph" w:styleId="Index5">
    <w:name w:val="index 5"/>
    <w:basedOn w:val="Normal"/>
    <w:next w:val="Normal"/>
    <w:autoRedefine/>
    <w:semiHidden/>
    <w:unhideWhenUsed/>
    <w:qFormat/>
    <w:rsid w:val="00F8340B"/>
    <w:pPr>
      <w:ind w:left="1200" w:hanging="240"/>
    </w:pPr>
  </w:style>
  <w:style w:type="paragraph" w:styleId="Index6">
    <w:name w:val="index 6"/>
    <w:basedOn w:val="Normal"/>
    <w:next w:val="Normal"/>
    <w:autoRedefine/>
    <w:semiHidden/>
    <w:unhideWhenUsed/>
    <w:qFormat/>
    <w:rsid w:val="00F8340B"/>
    <w:pPr>
      <w:ind w:left="1440" w:hanging="240"/>
    </w:pPr>
  </w:style>
  <w:style w:type="paragraph" w:styleId="Index7">
    <w:name w:val="index 7"/>
    <w:basedOn w:val="Normal"/>
    <w:next w:val="Normal"/>
    <w:autoRedefine/>
    <w:semiHidden/>
    <w:unhideWhenUsed/>
    <w:qFormat/>
    <w:rsid w:val="00F8340B"/>
    <w:pPr>
      <w:ind w:left="1680" w:hanging="240"/>
    </w:pPr>
  </w:style>
  <w:style w:type="paragraph" w:styleId="Index8">
    <w:name w:val="index 8"/>
    <w:basedOn w:val="Normal"/>
    <w:next w:val="Normal"/>
    <w:autoRedefine/>
    <w:semiHidden/>
    <w:unhideWhenUsed/>
    <w:qFormat/>
    <w:rsid w:val="00F8340B"/>
    <w:pPr>
      <w:ind w:left="1920" w:hanging="240"/>
    </w:pPr>
  </w:style>
  <w:style w:type="paragraph" w:styleId="Index9">
    <w:name w:val="index 9"/>
    <w:basedOn w:val="Normal"/>
    <w:next w:val="Normal"/>
    <w:autoRedefine/>
    <w:semiHidden/>
    <w:unhideWhenUsed/>
    <w:qFormat/>
    <w:rsid w:val="00F8340B"/>
    <w:pPr>
      <w:ind w:left="2160" w:hanging="240"/>
    </w:pPr>
  </w:style>
  <w:style w:type="table" w:customStyle="1" w:styleId="LightGrid1">
    <w:name w:val="Light Grid1"/>
    <w:basedOn w:val="TableNormal"/>
    <w:uiPriority w:val="62"/>
    <w:rsid w:val="00AD51F4"/>
    <w:rPr>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AD51F4"/>
    <w:rPr>
      <w:sz w:val="24"/>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AD51F4"/>
    <w:rPr>
      <w:sz w:val="24"/>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AD51F4"/>
    <w:rPr>
      <w:sz w:val="24"/>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AD51F4"/>
    <w:rPr>
      <w:sz w:val="24"/>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AD51F4"/>
    <w:rPr>
      <w:sz w:val="24"/>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AD51F4"/>
    <w:rPr>
      <w:sz w:val="24"/>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LightList1">
    <w:name w:val="Light List1"/>
    <w:basedOn w:val="TableNormal"/>
    <w:uiPriority w:val="61"/>
    <w:rsid w:val="00AD51F4"/>
    <w:rPr>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AD51F4"/>
    <w:rPr>
      <w:sz w:val="24"/>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AD51F4"/>
    <w:rPr>
      <w:sz w:val="24"/>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AD51F4"/>
    <w:rPr>
      <w:sz w:val="24"/>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AD51F4"/>
    <w:rPr>
      <w:sz w:val="24"/>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AD51F4"/>
    <w:rPr>
      <w:sz w:val="24"/>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AD51F4"/>
    <w:rPr>
      <w:sz w:val="24"/>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Shading1">
    <w:name w:val="Light Shading1"/>
    <w:basedOn w:val="TableNormal"/>
    <w:uiPriority w:val="60"/>
    <w:rsid w:val="00AD51F4"/>
    <w:rPr>
      <w:color w:val="000000" w:themeColor="text1" w:themeShade="BF"/>
      <w:sz w:val="24"/>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AD51F4"/>
    <w:rPr>
      <w:color w:val="365F91" w:themeColor="accent1" w:themeShade="BF"/>
      <w:sz w:val="24"/>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AD51F4"/>
    <w:rPr>
      <w:color w:val="943634" w:themeColor="accent2" w:themeShade="BF"/>
      <w:sz w:val="24"/>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AD51F4"/>
    <w:rPr>
      <w:color w:val="76923C" w:themeColor="accent3" w:themeShade="BF"/>
      <w:sz w:val="24"/>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AD51F4"/>
    <w:rPr>
      <w:color w:val="5F497A" w:themeColor="accent4" w:themeShade="BF"/>
      <w:sz w:val="24"/>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AD51F4"/>
    <w:rPr>
      <w:color w:val="31849B" w:themeColor="accent5" w:themeShade="BF"/>
      <w:sz w:val="24"/>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AD51F4"/>
    <w:rPr>
      <w:color w:val="E36C0A" w:themeColor="accent6" w:themeShade="BF"/>
      <w:sz w:val="24"/>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ListParagraph">
    <w:name w:val="List Paragraph"/>
    <w:basedOn w:val="Normal"/>
    <w:uiPriority w:val="34"/>
    <w:qFormat/>
    <w:rsid w:val="00F8340B"/>
    <w:pPr>
      <w:ind w:left="720"/>
      <w:contextualSpacing/>
    </w:pPr>
  </w:style>
  <w:style w:type="paragraph" w:styleId="MacroText">
    <w:name w:val="macro"/>
    <w:link w:val="MacroTextChar"/>
    <w:semiHidden/>
    <w:rsid w:val="00F8340B"/>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croTextChar">
    <w:name w:val="Macro Text Char"/>
    <w:basedOn w:val="DefaultParagraphFont"/>
    <w:link w:val="MacroText"/>
    <w:semiHidden/>
    <w:rsid w:val="00F8340B"/>
    <w:rPr>
      <w:rFonts w:ascii="Consolas" w:hAnsi="Consolas"/>
    </w:rPr>
  </w:style>
  <w:style w:type="table" w:customStyle="1" w:styleId="MediumGrid11">
    <w:name w:val="Medium Grid 11"/>
    <w:basedOn w:val="TableNormal"/>
    <w:uiPriority w:val="67"/>
    <w:rsid w:val="00AD51F4"/>
    <w:rPr>
      <w:sz w:val="24"/>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AD51F4"/>
    <w:rPr>
      <w:sz w:val="24"/>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AD51F4"/>
    <w:rPr>
      <w:sz w:val="24"/>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AD51F4"/>
    <w:rPr>
      <w:sz w:val="24"/>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AD51F4"/>
    <w:rPr>
      <w:sz w:val="24"/>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AD51F4"/>
    <w:rPr>
      <w:sz w:val="24"/>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AD51F4"/>
    <w:rPr>
      <w:sz w:val="24"/>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1">
    <w:name w:val="Medium Grid 21"/>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AD51F4"/>
    <w:rPr>
      <w:rFonts w:eastAsiaTheme="majorEastAsia"/>
      <w:color w:val="000000" w:themeColor="text1"/>
      <w:sz w:val="24"/>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AD51F4"/>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MediumList11">
    <w:name w:val="Medium List 11"/>
    <w:basedOn w:val="TableNormal"/>
    <w:uiPriority w:val="65"/>
    <w:rsid w:val="00AD51F4"/>
    <w:rPr>
      <w:color w:val="000000" w:themeColor="text1"/>
      <w:sz w:val="24"/>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AD51F4"/>
    <w:rPr>
      <w:color w:val="000000" w:themeColor="text1"/>
      <w:sz w:val="24"/>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AD51F4"/>
    <w:rPr>
      <w:color w:val="000000" w:themeColor="text1"/>
      <w:sz w:val="24"/>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AD51F4"/>
    <w:rPr>
      <w:color w:val="000000" w:themeColor="text1"/>
      <w:sz w:val="24"/>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AD51F4"/>
    <w:rPr>
      <w:color w:val="000000" w:themeColor="text1"/>
      <w:sz w:val="24"/>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AD51F4"/>
    <w:rPr>
      <w:color w:val="000000" w:themeColor="text1"/>
      <w:sz w:val="24"/>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AD51F4"/>
    <w:rPr>
      <w:color w:val="000000" w:themeColor="text1"/>
      <w:sz w:val="24"/>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1">
    <w:name w:val="Medium List 21"/>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AD51F4"/>
    <w:rPr>
      <w:rFonts w:eastAsiaTheme="majorEastAsia"/>
      <w:color w:val="000000" w:themeColor="text1"/>
      <w:sz w:val="24"/>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1">
    <w:name w:val="Medium Shading 11"/>
    <w:basedOn w:val="TableNormal"/>
    <w:uiPriority w:val="63"/>
    <w:rsid w:val="00AD51F4"/>
    <w:rPr>
      <w:sz w:val="24"/>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AD51F4"/>
    <w:rPr>
      <w:sz w:val="24"/>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AD51F4"/>
    <w:rPr>
      <w:sz w:val="24"/>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AD51F4"/>
    <w:rPr>
      <w:sz w:val="24"/>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AD51F4"/>
    <w:rPr>
      <w:sz w:val="24"/>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AD51F4"/>
    <w:rPr>
      <w:sz w:val="24"/>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AD51F4"/>
    <w:rPr>
      <w:sz w:val="24"/>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AD51F4"/>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semiHidden/>
    <w:rsid w:val="00F8340B"/>
    <w:pPr>
      <w:pBdr>
        <w:top w:val="single" w:sz="6" w:space="1" w:color="auto"/>
        <w:left w:val="single" w:sz="6" w:space="1" w:color="auto"/>
        <w:bottom w:val="single" w:sz="6" w:space="1" w:color="auto"/>
        <w:right w:val="single" w:sz="6" w:space="1" w:color="auto"/>
      </w:pBdr>
      <w:shd w:val="pct20" w:color="auto" w:fill="auto"/>
      <w:ind w:left="1080" w:hanging="1080"/>
    </w:pPr>
    <w:rPr>
      <w:rFonts w:eastAsiaTheme="majorEastAsia"/>
      <w:szCs w:val="24"/>
    </w:rPr>
  </w:style>
  <w:style w:type="character" w:customStyle="1" w:styleId="MessageHeaderChar">
    <w:name w:val="Message Header Char"/>
    <w:basedOn w:val="DefaultParagraphFont"/>
    <w:link w:val="MessageHeader"/>
    <w:semiHidden/>
    <w:rsid w:val="00F8340B"/>
    <w:rPr>
      <w:rFonts w:eastAsiaTheme="majorEastAsia"/>
      <w:sz w:val="25"/>
      <w:szCs w:val="24"/>
      <w:shd w:val="pct20" w:color="auto" w:fill="auto"/>
    </w:rPr>
  </w:style>
  <w:style w:type="paragraph" w:styleId="NoSpacing">
    <w:name w:val="No Spacing"/>
    <w:link w:val="NoSpacingChar"/>
    <w:uiPriority w:val="1"/>
    <w:unhideWhenUsed/>
    <w:qFormat/>
    <w:rsid w:val="00F8340B"/>
    <w:rPr>
      <w:sz w:val="24"/>
    </w:rPr>
  </w:style>
  <w:style w:type="paragraph" w:styleId="NormalWeb">
    <w:name w:val="Normal (Web)"/>
    <w:basedOn w:val="Normal"/>
    <w:uiPriority w:val="99"/>
    <w:unhideWhenUsed/>
    <w:rsid w:val="00F8340B"/>
    <w:rPr>
      <w:szCs w:val="24"/>
    </w:rPr>
  </w:style>
  <w:style w:type="paragraph" w:styleId="NormalIndent">
    <w:name w:val="Normal Indent"/>
    <w:basedOn w:val="Normal"/>
    <w:semiHidden/>
    <w:unhideWhenUsed/>
    <w:rsid w:val="00F8340B"/>
    <w:pPr>
      <w:ind w:left="720"/>
    </w:pPr>
  </w:style>
  <w:style w:type="paragraph" w:styleId="NoteHeading">
    <w:name w:val="Note Heading"/>
    <w:basedOn w:val="Normal"/>
    <w:next w:val="Normal"/>
    <w:link w:val="NoteHeadingChar"/>
    <w:semiHidden/>
    <w:unhideWhenUsed/>
    <w:rsid w:val="00F8340B"/>
  </w:style>
  <w:style w:type="character" w:customStyle="1" w:styleId="NoteHeadingChar">
    <w:name w:val="Note Heading Char"/>
    <w:basedOn w:val="DefaultParagraphFont"/>
    <w:link w:val="NoteHeading"/>
    <w:semiHidden/>
    <w:rsid w:val="00E06DCC"/>
    <w:rPr>
      <w:sz w:val="24"/>
    </w:rPr>
  </w:style>
  <w:style w:type="character" w:styleId="PlaceholderText">
    <w:name w:val="Placeholder Text"/>
    <w:basedOn w:val="DefaultParagraphFont"/>
    <w:uiPriority w:val="99"/>
    <w:semiHidden/>
    <w:rsid w:val="00F8340B"/>
    <w:rPr>
      <w:color w:val="808080"/>
    </w:rPr>
  </w:style>
  <w:style w:type="character" w:styleId="Strong">
    <w:name w:val="Strong"/>
    <w:basedOn w:val="DefaultParagraphFont"/>
    <w:semiHidden/>
    <w:unhideWhenUsed/>
    <w:rsid w:val="00F8340B"/>
    <w:rPr>
      <w:b/>
      <w:bCs/>
    </w:rPr>
  </w:style>
  <w:style w:type="table" w:styleId="Table3Deffects1">
    <w:name w:val="Table 3D effects 1"/>
    <w:basedOn w:val="TableNormal"/>
    <w:rsid w:val="00AD51F4"/>
    <w:rPr>
      <w:sz w:val="24"/>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D51F4"/>
    <w:rPr>
      <w:sz w:val="24"/>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D51F4"/>
    <w:rPr>
      <w:sz w:val="24"/>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D51F4"/>
    <w:rPr>
      <w:sz w:val="24"/>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D51F4"/>
    <w:rPr>
      <w:sz w:val="24"/>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D51F4"/>
    <w:rPr>
      <w:color w:val="000080"/>
      <w:sz w:val="24"/>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D51F4"/>
    <w:rPr>
      <w:sz w:val="24"/>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D51F4"/>
    <w:rPr>
      <w:color w:val="FFFFFF"/>
      <w:sz w:val="24"/>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D51F4"/>
    <w:rPr>
      <w:sz w:val="24"/>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D51F4"/>
    <w:rPr>
      <w:sz w:val="24"/>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D51F4"/>
    <w:rPr>
      <w:b/>
      <w:bCs/>
      <w:sz w:val="24"/>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D51F4"/>
    <w:rPr>
      <w:b/>
      <w:bCs/>
      <w:sz w:val="24"/>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D51F4"/>
    <w:rPr>
      <w:b/>
      <w:bCs/>
      <w:sz w:val="24"/>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D51F4"/>
    <w:rPr>
      <w:sz w:val="24"/>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D51F4"/>
    <w:rPr>
      <w:sz w:val="24"/>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D51F4"/>
    <w:rPr>
      <w:sz w:val="24"/>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D51F4"/>
    <w:rPr>
      <w:sz w:val="24"/>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D51F4"/>
    <w:rPr>
      <w:sz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leGrid1">
    <w:name w:val="Table Grid 1"/>
    <w:basedOn w:val="TableNormal"/>
    <w:rsid w:val="00AD51F4"/>
    <w:rPr>
      <w:sz w:val="24"/>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D51F4"/>
    <w:rPr>
      <w:sz w:val="24"/>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D51F4"/>
    <w:rPr>
      <w:sz w:val="24"/>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D51F4"/>
    <w:rPr>
      <w:sz w:val="24"/>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D51F4"/>
    <w:rPr>
      <w:sz w:val="24"/>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D51F4"/>
    <w:rPr>
      <w:sz w:val="24"/>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D51F4"/>
    <w:rPr>
      <w:b/>
      <w:bCs/>
      <w:sz w:val="24"/>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D51F4"/>
    <w:rPr>
      <w:sz w:val="24"/>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D51F4"/>
    <w:rPr>
      <w:sz w:val="24"/>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D51F4"/>
    <w:rPr>
      <w:sz w:val="24"/>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D51F4"/>
    <w:rPr>
      <w:sz w:val="24"/>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D51F4"/>
    <w:rPr>
      <w:sz w:val="24"/>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D51F4"/>
    <w:rPr>
      <w:sz w:val="24"/>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D51F4"/>
    <w:rPr>
      <w:sz w:val="24"/>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D51F4"/>
    <w:rPr>
      <w:sz w:val="24"/>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D51F4"/>
    <w:rPr>
      <w:sz w:val="24"/>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AD51F4"/>
    <w:rPr>
      <w:sz w:val="24"/>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D51F4"/>
    <w:rPr>
      <w:sz w:val="24"/>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D51F4"/>
    <w:rPr>
      <w:sz w:val="24"/>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D51F4"/>
    <w:rPr>
      <w:sz w:val="24"/>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D51F4"/>
    <w:rPr>
      <w:sz w:val="24"/>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D51F4"/>
    <w:rPr>
      <w:sz w:val="24"/>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D51F4"/>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AD51F4"/>
    <w:rPr>
      <w:sz w:val="24"/>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D51F4"/>
    <w:rPr>
      <w:sz w:val="24"/>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D51F4"/>
    <w:rPr>
      <w:sz w:val="24"/>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ra9">
    <w:name w:val="Para9"/>
    <w:basedOn w:val="Normal"/>
    <w:next w:val="BodyText"/>
    <w:uiPriority w:val="1"/>
    <w:qFormat/>
    <w:rsid w:val="005D443B"/>
    <w:pPr>
      <w:spacing w:after="240"/>
      <w:ind w:firstLine="720"/>
    </w:pPr>
  </w:style>
  <w:style w:type="character" w:styleId="BookTitle">
    <w:name w:val="Book Title"/>
    <w:basedOn w:val="DefaultParagraphFont"/>
    <w:uiPriority w:val="33"/>
    <w:semiHidden/>
    <w:rsid w:val="001E5AE5"/>
    <w:rPr>
      <w:b/>
      <w:bCs/>
      <w:smallCaps/>
      <w:spacing w:val="5"/>
    </w:rPr>
  </w:style>
  <w:style w:type="table" w:styleId="ColorfulGrid">
    <w:name w:val="Colorful Grid"/>
    <w:basedOn w:val="TableNormal"/>
    <w:uiPriority w:val="73"/>
    <w:rsid w:val="001E5AE5"/>
    <w:rPr>
      <w:color w:val="000000" w:themeColor="text1"/>
      <w:sz w:val="24"/>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List">
    <w:name w:val="Colorful List"/>
    <w:basedOn w:val="TableNormal"/>
    <w:uiPriority w:val="72"/>
    <w:rsid w:val="001E5AE5"/>
    <w:rPr>
      <w:color w:val="000000" w:themeColor="text1"/>
      <w:sz w:val="24"/>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Shading">
    <w:name w:val="Colorful Shading"/>
    <w:basedOn w:val="TableNormal"/>
    <w:uiPriority w:val="71"/>
    <w:rsid w:val="001E5AE5"/>
    <w:rPr>
      <w:color w:val="000000" w:themeColor="text1"/>
      <w:sz w:val="24"/>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rsid w:val="001E5AE5"/>
    <w:rPr>
      <w:color w:val="FFFFFF" w:themeColor="background1"/>
      <w:sz w:val="24"/>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character" w:styleId="IntenseEmphasis">
    <w:name w:val="Intense Emphasis"/>
    <w:basedOn w:val="DefaultParagraphFont"/>
    <w:uiPriority w:val="21"/>
    <w:semiHidden/>
    <w:rsid w:val="001E5AE5"/>
    <w:rPr>
      <w:b/>
      <w:bCs/>
      <w:i/>
      <w:iCs/>
      <w:color w:val="4F81BD" w:themeColor="accent1"/>
    </w:rPr>
  </w:style>
  <w:style w:type="paragraph" w:styleId="IntenseQuote">
    <w:name w:val="Intense Quote"/>
    <w:basedOn w:val="Normal"/>
    <w:next w:val="Normal"/>
    <w:link w:val="IntenseQuoteChar"/>
    <w:uiPriority w:val="30"/>
    <w:semiHidden/>
    <w:rsid w:val="001E5AE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semiHidden/>
    <w:rsid w:val="001E5AE5"/>
    <w:rPr>
      <w:b/>
      <w:bCs/>
      <w:i/>
      <w:iCs/>
      <w:color w:val="4F81BD" w:themeColor="accent1"/>
      <w:sz w:val="25"/>
    </w:rPr>
  </w:style>
  <w:style w:type="character" w:styleId="IntenseReference">
    <w:name w:val="Intense Reference"/>
    <w:basedOn w:val="DefaultParagraphFont"/>
    <w:uiPriority w:val="32"/>
    <w:semiHidden/>
    <w:rsid w:val="001E5AE5"/>
    <w:rPr>
      <w:b/>
      <w:bCs/>
      <w:smallCaps/>
      <w:color w:val="C0504D" w:themeColor="accent2"/>
      <w:spacing w:val="5"/>
      <w:u w:val="single"/>
    </w:rPr>
  </w:style>
  <w:style w:type="table" w:styleId="LightGrid">
    <w:name w:val="Light Grid"/>
    <w:basedOn w:val="TableNormal"/>
    <w:uiPriority w:val="62"/>
    <w:rsid w:val="001E5AE5"/>
    <w:rPr>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1E5AE5"/>
    <w:rPr>
      <w:sz w:val="24"/>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
    <w:name w:val="Light List"/>
    <w:basedOn w:val="TableNormal"/>
    <w:uiPriority w:val="61"/>
    <w:rsid w:val="001E5AE5"/>
    <w:rPr>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1E5AE5"/>
    <w:rPr>
      <w:sz w:val="24"/>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
    <w:name w:val="Light Shading"/>
    <w:basedOn w:val="TableNormal"/>
    <w:uiPriority w:val="60"/>
    <w:rsid w:val="001E5AE5"/>
    <w:rPr>
      <w:color w:val="000000" w:themeColor="text1" w:themeShade="BF"/>
      <w:sz w:val="24"/>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1E5AE5"/>
    <w:rPr>
      <w:color w:val="365F91" w:themeColor="accent1" w:themeShade="BF"/>
      <w:sz w:val="24"/>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
    <w:name w:val="Medium Grid 1"/>
    <w:basedOn w:val="TableNormal"/>
    <w:uiPriority w:val="67"/>
    <w:rsid w:val="001E5AE5"/>
    <w:rPr>
      <w:sz w:val="24"/>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2">
    <w:name w:val="Medium Grid 2"/>
    <w:basedOn w:val="TableNormal"/>
    <w:uiPriority w:val="68"/>
    <w:rsid w:val="001E5AE5"/>
    <w:rPr>
      <w:rFonts w:eastAsiaTheme="majorEastAsia"/>
      <w:color w:val="000000" w:themeColor="text1"/>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3">
    <w:name w:val="Medium Grid 3"/>
    <w:basedOn w:val="TableNormal"/>
    <w:uiPriority w:val="69"/>
    <w:rsid w:val="001E5AE5"/>
    <w:rPr>
      <w:sz w:val="24"/>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List1">
    <w:name w:val="Medium List 1"/>
    <w:basedOn w:val="TableNormal"/>
    <w:uiPriority w:val="65"/>
    <w:rsid w:val="001E5AE5"/>
    <w:rPr>
      <w:color w:val="000000" w:themeColor="text1"/>
      <w:sz w:val="24"/>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1E5AE5"/>
    <w:rPr>
      <w:color w:val="000000" w:themeColor="text1"/>
      <w:sz w:val="24"/>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2">
    <w:name w:val="Medium List 2"/>
    <w:basedOn w:val="TableNormal"/>
    <w:uiPriority w:val="66"/>
    <w:rsid w:val="001E5AE5"/>
    <w:rPr>
      <w:rFonts w:eastAsiaTheme="majorEastAsia"/>
      <w:color w:val="000000" w:themeColor="text1"/>
      <w:sz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1E5AE5"/>
    <w:rPr>
      <w:sz w:val="24"/>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E5AE5"/>
    <w:rPr>
      <w:sz w:val="24"/>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1E5AE5"/>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1E5AE5"/>
    <w:rPr>
      <w:sz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Quote">
    <w:name w:val="Quote"/>
    <w:basedOn w:val="Normal"/>
    <w:next w:val="Normal"/>
    <w:link w:val="QuoteChar"/>
    <w:uiPriority w:val="29"/>
    <w:semiHidden/>
    <w:rsid w:val="001E5AE5"/>
    <w:rPr>
      <w:i/>
      <w:iCs/>
      <w:color w:val="000000" w:themeColor="text1"/>
    </w:rPr>
  </w:style>
  <w:style w:type="character" w:customStyle="1" w:styleId="QuoteChar">
    <w:name w:val="Quote Char"/>
    <w:basedOn w:val="DefaultParagraphFont"/>
    <w:link w:val="Quote"/>
    <w:uiPriority w:val="29"/>
    <w:semiHidden/>
    <w:rsid w:val="001E5AE5"/>
    <w:rPr>
      <w:i/>
      <w:iCs/>
      <w:color w:val="000000" w:themeColor="text1"/>
      <w:sz w:val="25"/>
    </w:rPr>
  </w:style>
  <w:style w:type="character" w:styleId="SubtleEmphasis">
    <w:name w:val="Subtle Emphasis"/>
    <w:basedOn w:val="DefaultParagraphFont"/>
    <w:uiPriority w:val="19"/>
    <w:semiHidden/>
    <w:rsid w:val="001E5AE5"/>
    <w:rPr>
      <w:i/>
      <w:iCs/>
      <w:color w:val="808080" w:themeColor="text1" w:themeTint="7F"/>
    </w:rPr>
  </w:style>
  <w:style w:type="character" w:styleId="SubtleReference">
    <w:name w:val="Subtle Reference"/>
    <w:basedOn w:val="DefaultParagraphFont"/>
    <w:uiPriority w:val="31"/>
    <w:semiHidden/>
    <w:rsid w:val="001E5AE5"/>
    <w:rPr>
      <w:smallCaps/>
      <w:color w:val="C0504D" w:themeColor="accent2"/>
      <w:u w:val="single"/>
    </w:rPr>
  </w:style>
  <w:style w:type="paragraph" w:customStyle="1" w:styleId="BodyTextFirst5">
    <w:name w:val="Body Text First .5"/>
    <w:basedOn w:val="Normal"/>
    <w:qFormat/>
    <w:rsid w:val="00F07798"/>
    <w:pPr>
      <w:spacing w:after="240"/>
      <w:ind w:firstLine="720"/>
    </w:pPr>
  </w:style>
  <w:style w:type="paragraph" w:customStyle="1" w:styleId="BodyTextFirst5D">
    <w:name w:val="Body Text First .5D"/>
    <w:basedOn w:val="Normal"/>
    <w:qFormat/>
    <w:rsid w:val="004A278D"/>
    <w:pPr>
      <w:spacing w:line="480" w:lineRule="auto"/>
      <w:ind w:firstLine="720"/>
    </w:pPr>
  </w:style>
  <w:style w:type="paragraph" w:customStyle="1" w:styleId="Subtitle2">
    <w:name w:val="Subtitle2"/>
    <w:basedOn w:val="Normal"/>
    <w:next w:val="BodyTextFirst5"/>
    <w:uiPriority w:val="4"/>
    <w:qFormat/>
    <w:rsid w:val="00E35196"/>
    <w:pPr>
      <w:keepNext/>
      <w:spacing w:after="240"/>
    </w:pPr>
    <w:rPr>
      <w:i/>
    </w:rPr>
  </w:style>
  <w:style w:type="paragraph" w:customStyle="1" w:styleId="Title2">
    <w:name w:val="Title2"/>
    <w:basedOn w:val="Normal"/>
    <w:next w:val="BodyTextFirst5"/>
    <w:uiPriority w:val="4"/>
    <w:qFormat/>
    <w:rsid w:val="00E35196"/>
    <w:pPr>
      <w:keepNext/>
      <w:spacing w:after="240"/>
      <w:jc w:val="center"/>
    </w:pPr>
  </w:style>
  <w:style w:type="paragraph" w:customStyle="1" w:styleId="CellNumber">
    <w:name w:val="Cell Number"/>
    <w:basedOn w:val="Normal"/>
    <w:qFormat/>
    <w:rsid w:val="002E0109"/>
    <w:pPr>
      <w:numPr>
        <w:numId w:val="17"/>
      </w:numPr>
    </w:pPr>
  </w:style>
  <w:style w:type="paragraph" w:customStyle="1" w:styleId="Level1Continue">
    <w:name w:val="Level 1 Continue"/>
    <w:basedOn w:val="Normal"/>
    <w:uiPriority w:val="2"/>
    <w:qFormat/>
    <w:rsid w:val="00A30C64"/>
    <w:pPr>
      <w:spacing w:after="240"/>
      <w:ind w:left="720"/>
    </w:pPr>
  </w:style>
  <w:style w:type="paragraph" w:customStyle="1" w:styleId="Level2Continue">
    <w:name w:val="Level 2 Continue"/>
    <w:basedOn w:val="Normal"/>
    <w:uiPriority w:val="2"/>
    <w:qFormat/>
    <w:rsid w:val="009121FE"/>
    <w:pPr>
      <w:suppressAutoHyphens/>
      <w:spacing w:after="240"/>
      <w:ind w:left="1440"/>
    </w:pPr>
  </w:style>
  <w:style w:type="paragraph" w:customStyle="1" w:styleId="Level3Continue">
    <w:name w:val="Level 3 Continue"/>
    <w:basedOn w:val="Normal"/>
    <w:uiPriority w:val="2"/>
    <w:qFormat/>
    <w:rsid w:val="009121FE"/>
    <w:pPr>
      <w:suppressAutoHyphens/>
      <w:spacing w:after="240"/>
      <w:ind w:left="2160"/>
    </w:pPr>
  </w:style>
  <w:style w:type="paragraph" w:customStyle="1" w:styleId="Level4Continue">
    <w:name w:val="Level 4 Continue"/>
    <w:basedOn w:val="Normal"/>
    <w:uiPriority w:val="2"/>
    <w:qFormat/>
    <w:rsid w:val="009121FE"/>
    <w:pPr>
      <w:suppressAutoHyphens/>
      <w:spacing w:after="240"/>
      <w:ind w:left="2880"/>
    </w:pPr>
  </w:style>
  <w:style w:type="paragraph" w:customStyle="1" w:styleId="Level5Continue">
    <w:name w:val="Level 5 Continue"/>
    <w:basedOn w:val="Normal"/>
    <w:uiPriority w:val="2"/>
    <w:qFormat/>
    <w:rsid w:val="009121FE"/>
    <w:pPr>
      <w:suppressAutoHyphens/>
      <w:spacing w:after="240"/>
      <w:ind w:left="3600"/>
    </w:pPr>
  </w:style>
  <w:style w:type="paragraph" w:customStyle="1" w:styleId="Level6Continue">
    <w:name w:val="Level 6 Continue"/>
    <w:basedOn w:val="Normal"/>
    <w:uiPriority w:val="2"/>
    <w:qFormat/>
    <w:rsid w:val="009121FE"/>
    <w:pPr>
      <w:suppressAutoHyphens/>
      <w:spacing w:after="240"/>
      <w:ind w:left="4320"/>
    </w:pPr>
  </w:style>
  <w:style w:type="paragraph" w:customStyle="1" w:styleId="Level7Continue">
    <w:name w:val="Level 7 Continue"/>
    <w:basedOn w:val="Normal"/>
    <w:uiPriority w:val="2"/>
    <w:qFormat/>
    <w:rsid w:val="009121FE"/>
    <w:pPr>
      <w:suppressAutoHyphens/>
      <w:spacing w:after="240"/>
      <w:ind w:left="5040"/>
    </w:pPr>
  </w:style>
  <w:style w:type="paragraph" w:customStyle="1" w:styleId="Level8Continue">
    <w:name w:val="Level 8 Continue"/>
    <w:basedOn w:val="Normal"/>
    <w:uiPriority w:val="2"/>
    <w:qFormat/>
    <w:rsid w:val="009121FE"/>
    <w:pPr>
      <w:spacing w:after="240"/>
      <w:ind w:left="5760"/>
    </w:pPr>
  </w:style>
  <w:style w:type="paragraph" w:customStyle="1" w:styleId="Level9Continue">
    <w:name w:val="Level 9 Continue"/>
    <w:basedOn w:val="Normal"/>
    <w:uiPriority w:val="2"/>
    <w:qFormat/>
    <w:rsid w:val="00982787"/>
    <w:pPr>
      <w:suppressAutoHyphens/>
      <w:spacing w:after="240"/>
      <w:ind w:left="6480"/>
    </w:pPr>
  </w:style>
  <w:style w:type="character" w:customStyle="1" w:styleId="SubtitleChar">
    <w:name w:val="Subtitle Char"/>
    <w:basedOn w:val="DefaultParagraphFont"/>
    <w:link w:val="Subtitle"/>
    <w:rsid w:val="0016388A"/>
    <w:rPr>
      <w:rFonts w:eastAsiaTheme="majorEastAsia" w:cstheme="majorBidi"/>
      <w:b/>
      <w:sz w:val="24"/>
    </w:rPr>
  </w:style>
  <w:style w:type="paragraph" w:customStyle="1" w:styleId="DocID">
    <w:name w:val="DocID"/>
    <w:basedOn w:val="Normal"/>
    <w:rsid w:val="00FD3F04"/>
    <w:rPr>
      <w:sz w:val="18"/>
    </w:rPr>
  </w:style>
  <w:style w:type="paragraph" w:customStyle="1" w:styleId="TitleCover">
    <w:name w:val="Title Cover"/>
    <w:basedOn w:val="Normal"/>
    <w:qFormat/>
    <w:rsid w:val="00AC75A2"/>
    <w:pPr>
      <w:jc w:val="center"/>
    </w:pPr>
    <w:rPr>
      <w:b/>
    </w:rPr>
  </w:style>
  <w:style w:type="character" w:customStyle="1" w:styleId="FootnoteTextChar">
    <w:name w:val="Footnote Text Char"/>
    <w:basedOn w:val="DefaultParagraphFont"/>
    <w:link w:val="FootnoteText"/>
    <w:rsid w:val="00DD5CE5"/>
    <w:rPr>
      <w:szCs w:val="24"/>
    </w:rPr>
  </w:style>
  <w:style w:type="character" w:customStyle="1" w:styleId="NoSpacingChar">
    <w:name w:val="No Spacing Char"/>
    <w:basedOn w:val="DefaultParagraphFont"/>
    <w:link w:val="NoSpacing"/>
    <w:uiPriority w:val="1"/>
    <w:rsid w:val="00EC4A75"/>
    <w:rPr>
      <w:sz w:val="24"/>
    </w:rPr>
  </w:style>
  <w:style w:type="paragraph" w:customStyle="1" w:styleId="Default">
    <w:name w:val="Default"/>
    <w:rsid w:val="005640CF"/>
    <w:pPr>
      <w:autoSpaceDE w:val="0"/>
      <w:autoSpaceDN w:val="0"/>
      <w:adjustRightInd w:val="0"/>
    </w:pPr>
    <w:rPr>
      <w:color w:val="000000"/>
      <w:sz w:val="24"/>
      <w:szCs w:val="24"/>
    </w:rPr>
  </w:style>
  <w:style w:type="character" w:customStyle="1" w:styleId="apple-style-span">
    <w:name w:val="apple-style-span"/>
    <w:basedOn w:val="DefaultParagraphFont"/>
    <w:rsid w:val="00D86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355336">
      <w:bodyDiv w:val="1"/>
      <w:marLeft w:val="0"/>
      <w:marRight w:val="0"/>
      <w:marTop w:val="0"/>
      <w:marBottom w:val="0"/>
      <w:divBdr>
        <w:top w:val="none" w:sz="0" w:space="0" w:color="auto"/>
        <w:left w:val="none" w:sz="0" w:space="0" w:color="auto"/>
        <w:bottom w:val="none" w:sz="0" w:space="0" w:color="auto"/>
        <w:right w:val="none" w:sz="0" w:space="0" w:color="auto"/>
      </w:divBdr>
    </w:div>
    <w:div w:id="528375136">
      <w:bodyDiv w:val="1"/>
      <w:marLeft w:val="0"/>
      <w:marRight w:val="0"/>
      <w:marTop w:val="0"/>
      <w:marBottom w:val="0"/>
      <w:divBdr>
        <w:top w:val="none" w:sz="0" w:space="0" w:color="auto"/>
        <w:left w:val="none" w:sz="0" w:space="0" w:color="auto"/>
        <w:bottom w:val="none" w:sz="0" w:space="0" w:color="auto"/>
        <w:right w:val="none" w:sz="0" w:space="0" w:color="auto"/>
      </w:divBdr>
      <w:divsChild>
        <w:div w:id="217476898">
          <w:marLeft w:val="0"/>
          <w:marRight w:val="0"/>
          <w:marTop w:val="0"/>
          <w:marBottom w:val="0"/>
          <w:divBdr>
            <w:top w:val="none" w:sz="0" w:space="0" w:color="auto"/>
            <w:left w:val="none" w:sz="0" w:space="0" w:color="auto"/>
            <w:bottom w:val="none" w:sz="0" w:space="0" w:color="auto"/>
            <w:right w:val="none" w:sz="0" w:space="0" w:color="auto"/>
          </w:divBdr>
          <w:divsChild>
            <w:div w:id="116551573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989553757">
      <w:bodyDiv w:val="1"/>
      <w:marLeft w:val="0"/>
      <w:marRight w:val="0"/>
      <w:marTop w:val="0"/>
      <w:marBottom w:val="0"/>
      <w:divBdr>
        <w:top w:val="none" w:sz="0" w:space="0" w:color="auto"/>
        <w:left w:val="none" w:sz="0" w:space="0" w:color="auto"/>
        <w:bottom w:val="none" w:sz="0" w:space="0" w:color="auto"/>
        <w:right w:val="none" w:sz="0" w:space="0" w:color="auto"/>
      </w:divBdr>
      <w:divsChild>
        <w:div w:id="1898710391">
          <w:marLeft w:val="0"/>
          <w:marRight w:val="0"/>
          <w:marTop w:val="0"/>
          <w:marBottom w:val="0"/>
          <w:divBdr>
            <w:top w:val="none" w:sz="0" w:space="0" w:color="auto"/>
            <w:left w:val="none" w:sz="0" w:space="0" w:color="auto"/>
            <w:bottom w:val="none" w:sz="0" w:space="0" w:color="auto"/>
            <w:right w:val="none" w:sz="0" w:space="0" w:color="auto"/>
          </w:divBdr>
          <w:divsChild>
            <w:div w:id="2118329376">
              <w:marLeft w:val="0"/>
              <w:marRight w:val="0"/>
              <w:marTop w:val="0"/>
              <w:marBottom w:val="375"/>
              <w:divBdr>
                <w:top w:val="none" w:sz="0" w:space="0" w:color="auto"/>
                <w:left w:val="none" w:sz="0" w:space="0" w:color="auto"/>
                <w:bottom w:val="none" w:sz="0" w:space="0" w:color="auto"/>
                <w:right w:val="none" w:sz="0" w:space="0" w:color="auto"/>
              </w:divBdr>
              <w:divsChild>
                <w:div w:id="525098557">
                  <w:marLeft w:val="0"/>
                  <w:marRight w:val="0"/>
                  <w:marTop w:val="0"/>
                  <w:marBottom w:val="0"/>
                  <w:divBdr>
                    <w:top w:val="none" w:sz="0" w:space="0" w:color="auto"/>
                    <w:left w:val="none" w:sz="0" w:space="0" w:color="auto"/>
                    <w:bottom w:val="none" w:sz="0" w:space="0" w:color="auto"/>
                    <w:right w:val="none" w:sz="0" w:space="0" w:color="auto"/>
                  </w:divBdr>
                  <w:divsChild>
                    <w:div w:id="21096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102529">
      <w:bodyDiv w:val="1"/>
      <w:marLeft w:val="0"/>
      <w:marRight w:val="0"/>
      <w:marTop w:val="0"/>
      <w:marBottom w:val="0"/>
      <w:divBdr>
        <w:top w:val="none" w:sz="0" w:space="0" w:color="auto"/>
        <w:left w:val="none" w:sz="0" w:space="0" w:color="auto"/>
        <w:bottom w:val="none" w:sz="0" w:space="0" w:color="auto"/>
        <w:right w:val="none" w:sz="0" w:space="0" w:color="auto"/>
      </w:divBdr>
    </w:div>
    <w:div w:id="1349595850">
      <w:bodyDiv w:val="1"/>
      <w:marLeft w:val="0"/>
      <w:marRight w:val="0"/>
      <w:marTop w:val="0"/>
      <w:marBottom w:val="0"/>
      <w:divBdr>
        <w:top w:val="none" w:sz="0" w:space="0" w:color="auto"/>
        <w:left w:val="none" w:sz="0" w:space="0" w:color="auto"/>
        <w:bottom w:val="none" w:sz="0" w:space="0" w:color="auto"/>
        <w:right w:val="none" w:sz="0" w:space="0" w:color="auto"/>
      </w:divBdr>
    </w:div>
    <w:div w:id="1382290954">
      <w:bodyDiv w:val="1"/>
      <w:marLeft w:val="0"/>
      <w:marRight w:val="0"/>
      <w:marTop w:val="0"/>
      <w:marBottom w:val="0"/>
      <w:divBdr>
        <w:top w:val="none" w:sz="0" w:space="0" w:color="auto"/>
        <w:left w:val="none" w:sz="0" w:space="0" w:color="auto"/>
        <w:bottom w:val="none" w:sz="0" w:space="0" w:color="auto"/>
        <w:right w:val="none" w:sz="0" w:space="0" w:color="auto"/>
      </w:divBdr>
      <w:divsChild>
        <w:div w:id="1212113153">
          <w:marLeft w:val="300"/>
          <w:marRight w:val="0"/>
          <w:marTop w:val="0"/>
          <w:marBottom w:val="0"/>
          <w:divBdr>
            <w:top w:val="none" w:sz="0" w:space="0" w:color="auto"/>
            <w:left w:val="none" w:sz="0" w:space="0" w:color="auto"/>
            <w:bottom w:val="none" w:sz="0" w:space="0" w:color="auto"/>
            <w:right w:val="none" w:sz="0" w:space="0" w:color="auto"/>
          </w:divBdr>
        </w:div>
        <w:div w:id="279188998">
          <w:marLeft w:val="300"/>
          <w:marRight w:val="0"/>
          <w:marTop w:val="0"/>
          <w:marBottom w:val="0"/>
          <w:divBdr>
            <w:top w:val="none" w:sz="0" w:space="0" w:color="auto"/>
            <w:left w:val="none" w:sz="0" w:space="0" w:color="auto"/>
            <w:bottom w:val="none" w:sz="0" w:space="0" w:color="auto"/>
            <w:right w:val="none" w:sz="0" w:space="0" w:color="auto"/>
          </w:divBdr>
        </w:div>
        <w:div w:id="2016224257">
          <w:marLeft w:val="300"/>
          <w:marRight w:val="0"/>
          <w:marTop w:val="0"/>
          <w:marBottom w:val="0"/>
          <w:divBdr>
            <w:top w:val="none" w:sz="0" w:space="0" w:color="auto"/>
            <w:left w:val="none" w:sz="0" w:space="0" w:color="auto"/>
            <w:bottom w:val="none" w:sz="0" w:space="0" w:color="auto"/>
            <w:right w:val="none" w:sz="0" w:space="0" w:color="auto"/>
          </w:divBdr>
        </w:div>
        <w:div w:id="1422414119">
          <w:marLeft w:val="300"/>
          <w:marRight w:val="0"/>
          <w:marTop w:val="0"/>
          <w:marBottom w:val="0"/>
          <w:divBdr>
            <w:top w:val="none" w:sz="0" w:space="0" w:color="auto"/>
            <w:left w:val="none" w:sz="0" w:space="0" w:color="auto"/>
            <w:bottom w:val="none" w:sz="0" w:space="0" w:color="auto"/>
            <w:right w:val="none" w:sz="0" w:space="0" w:color="auto"/>
          </w:divBdr>
        </w:div>
      </w:divsChild>
    </w:div>
    <w:div w:id="1557008899">
      <w:bodyDiv w:val="1"/>
      <w:marLeft w:val="0"/>
      <w:marRight w:val="0"/>
      <w:marTop w:val="0"/>
      <w:marBottom w:val="0"/>
      <w:divBdr>
        <w:top w:val="none" w:sz="0" w:space="0" w:color="auto"/>
        <w:left w:val="none" w:sz="0" w:space="0" w:color="auto"/>
        <w:bottom w:val="none" w:sz="0" w:space="0" w:color="auto"/>
        <w:right w:val="none" w:sz="0" w:space="0" w:color="auto"/>
      </w:divBdr>
    </w:div>
    <w:div w:id="1633829980">
      <w:bodyDiv w:val="1"/>
      <w:marLeft w:val="0"/>
      <w:marRight w:val="0"/>
      <w:marTop w:val="0"/>
      <w:marBottom w:val="0"/>
      <w:divBdr>
        <w:top w:val="none" w:sz="0" w:space="0" w:color="auto"/>
        <w:left w:val="none" w:sz="0" w:space="0" w:color="auto"/>
        <w:bottom w:val="none" w:sz="0" w:space="0" w:color="auto"/>
        <w:right w:val="none" w:sz="0" w:space="0" w:color="auto"/>
      </w:divBdr>
    </w:div>
    <w:div w:id="1776293581">
      <w:bodyDiv w:val="1"/>
      <w:marLeft w:val="0"/>
      <w:marRight w:val="0"/>
      <w:marTop w:val="0"/>
      <w:marBottom w:val="0"/>
      <w:divBdr>
        <w:top w:val="none" w:sz="0" w:space="0" w:color="auto"/>
        <w:left w:val="none" w:sz="0" w:space="0" w:color="auto"/>
        <w:bottom w:val="none" w:sz="0" w:space="0" w:color="auto"/>
        <w:right w:val="none" w:sz="0" w:space="0" w:color="auto"/>
      </w:divBdr>
      <w:divsChild>
        <w:div w:id="1776559977">
          <w:marLeft w:val="0"/>
          <w:marRight w:val="0"/>
          <w:marTop w:val="0"/>
          <w:marBottom w:val="0"/>
          <w:divBdr>
            <w:top w:val="none" w:sz="0" w:space="0" w:color="auto"/>
            <w:left w:val="none" w:sz="0" w:space="0" w:color="auto"/>
            <w:bottom w:val="none" w:sz="0" w:space="0" w:color="auto"/>
            <w:right w:val="none" w:sz="0" w:space="0" w:color="auto"/>
          </w:divBdr>
          <w:divsChild>
            <w:div w:id="363336104">
              <w:marLeft w:val="0"/>
              <w:marRight w:val="0"/>
              <w:marTop w:val="0"/>
              <w:marBottom w:val="0"/>
              <w:divBdr>
                <w:top w:val="none" w:sz="0" w:space="0" w:color="auto"/>
                <w:left w:val="none" w:sz="0" w:space="0" w:color="auto"/>
                <w:bottom w:val="none" w:sz="0" w:space="0" w:color="auto"/>
                <w:right w:val="none" w:sz="0" w:space="0" w:color="auto"/>
              </w:divBdr>
              <w:divsChild>
                <w:div w:id="1594313810">
                  <w:marLeft w:val="0"/>
                  <w:marRight w:val="0"/>
                  <w:marTop w:val="0"/>
                  <w:marBottom w:val="0"/>
                  <w:divBdr>
                    <w:top w:val="none" w:sz="0" w:space="0" w:color="auto"/>
                    <w:left w:val="none" w:sz="0" w:space="0" w:color="auto"/>
                    <w:bottom w:val="none" w:sz="0" w:space="0" w:color="auto"/>
                    <w:right w:val="none" w:sz="0" w:space="0" w:color="auto"/>
                  </w:divBdr>
                  <w:divsChild>
                    <w:div w:id="1881893261">
                      <w:marLeft w:val="0"/>
                      <w:marRight w:val="0"/>
                      <w:marTop w:val="0"/>
                      <w:marBottom w:val="0"/>
                      <w:divBdr>
                        <w:top w:val="none" w:sz="0" w:space="0" w:color="auto"/>
                        <w:left w:val="none" w:sz="0" w:space="0" w:color="auto"/>
                        <w:bottom w:val="none" w:sz="0" w:space="0" w:color="auto"/>
                        <w:right w:val="none" w:sz="0" w:space="0" w:color="auto"/>
                      </w:divBdr>
                      <w:divsChild>
                        <w:div w:id="1563908162">
                          <w:marLeft w:val="0"/>
                          <w:marRight w:val="0"/>
                          <w:marTop w:val="0"/>
                          <w:marBottom w:val="0"/>
                          <w:divBdr>
                            <w:top w:val="none" w:sz="0" w:space="0" w:color="auto"/>
                            <w:left w:val="none" w:sz="0" w:space="0" w:color="auto"/>
                            <w:bottom w:val="none" w:sz="0" w:space="0" w:color="auto"/>
                            <w:right w:val="none" w:sz="0" w:space="0" w:color="auto"/>
                          </w:divBdr>
                          <w:divsChild>
                            <w:div w:id="50662193">
                              <w:marLeft w:val="0"/>
                              <w:marRight w:val="0"/>
                              <w:marTop w:val="0"/>
                              <w:marBottom w:val="0"/>
                              <w:divBdr>
                                <w:top w:val="none" w:sz="0" w:space="0" w:color="auto"/>
                                <w:left w:val="none" w:sz="0" w:space="0" w:color="auto"/>
                                <w:bottom w:val="none" w:sz="0" w:space="0" w:color="auto"/>
                                <w:right w:val="none" w:sz="0" w:space="0" w:color="auto"/>
                              </w:divBdr>
                              <w:divsChild>
                                <w:div w:id="1970892100">
                                  <w:marLeft w:val="0"/>
                                  <w:marRight w:val="0"/>
                                  <w:marTop w:val="0"/>
                                  <w:marBottom w:val="0"/>
                                  <w:divBdr>
                                    <w:top w:val="none" w:sz="0" w:space="0" w:color="auto"/>
                                    <w:left w:val="none" w:sz="0" w:space="0" w:color="auto"/>
                                    <w:bottom w:val="none" w:sz="0" w:space="0" w:color="auto"/>
                                    <w:right w:val="none" w:sz="0" w:space="0" w:color="auto"/>
                                  </w:divBdr>
                                  <w:divsChild>
                                    <w:div w:id="747574103">
                                      <w:marLeft w:val="0"/>
                                      <w:marRight w:val="0"/>
                                      <w:marTop w:val="0"/>
                                      <w:marBottom w:val="0"/>
                                      <w:divBdr>
                                        <w:top w:val="none" w:sz="0" w:space="0" w:color="auto"/>
                                        <w:left w:val="none" w:sz="0" w:space="0" w:color="auto"/>
                                        <w:bottom w:val="none" w:sz="0" w:space="0" w:color="auto"/>
                                        <w:right w:val="none" w:sz="0" w:space="0" w:color="auto"/>
                                      </w:divBdr>
                                      <w:divsChild>
                                        <w:div w:id="165814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5969935">
      <w:bodyDiv w:val="1"/>
      <w:marLeft w:val="0"/>
      <w:marRight w:val="0"/>
      <w:marTop w:val="0"/>
      <w:marBottom w:val="0"/>
      <w:divBdr>
        <w:top w:val="none" w:sz="0" w:space="0" w:color="auto"/>
        <w:left w:val="none" w:sz="0" w:space="0" w:color="auto"/>
        <w:bottom w:val="none" w:sz="0" w:space="0" w:color="auto"/>
        <w:right w:val="none" w:sz="0" w:space="0" w:color="auto"/>
      </w:divBdr>
    </w:div>
    <w:div w:id="2114277560">
      <w:bodyDiv w:val="1"/>
      <w:marLeft w:val="0"/>
      <w:marRight w:val="0"/>
      <w:marTop w:val="0"/>
      <w:marBottom w:val="0"/>
      <w:divBdr>
        <w:top w:val="none" w:sz="0" w:space="0" w:color="auto"/>
        <w:left w:val="none" w:sz="0" w:space="0" w:color="auto"/>
        <w:bottom w:val="none" w:sz="0" w:space="0" w:color="auto"/>
        <w:right w:val="none" w:sz="0" w:space="0" w:color="auto"/>
      </w:divBdr>
    </w:div>
    <w:div w:id="213150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census.gov/hhes/socdemo/language/" TargetMode="External"/><Relationship Id="rId13" Type="http://schemas.openxmlformats.org/officeDocument/2006/relationships/hyperlink" Target="http://www.deathpenaltyinfo.org/innocence-list-those-freed-death-row?scid=6&amp;did=110" TargetMode="External"/><Relationship Id="rId3" Type="http://schemas.openxmlformats.org/officeDocument/2006/relationships/hyperlink" Target="http://factfinder2.census.gov/faces/tableservices/jsf/pages/%20productview.xhtml?src=bkmk" TargetMode="External"/><Relationship Id="rId7" Type="http://schemas.openxmlformats.org/officeDocument/2006/relationships/hyperlink" Target="https://www.capdefnet.org/%20FDPRC/pubmenu.aspx?menu_id=94&amp;id=2094" TargetMode="External"/><Relationship Id="rId12" Type="http://schemas.openxmlformats.org/officeDocument/2006/relationships/hyperlink" Target="http://www.naacpldf.org/files/publications/DRUSA_Winter_2011.pdf" TargetMode="External"/><Relationship Id="rId2" Type="http://schemas.openxmlformats.org/officeDocument/2006/relationships/hyperlink" Target="https://www.capdefnet.org/FDPRC/pubmenu.aspx?menu_id=94&amp;id=2094" TargetMode="External"/><Relationship Id="rId1" Type="http://schemas.openxmlformats.org/officeDocument/2006/relationships/hyperlink" Target="http://www.amnesty.org/en/library/asset/ACT50/009/2005/en/%20d8cfacd2-d50e-11dd-8a23-d58a49c0d652/act500092005en.pdf" TargetMode="External"/><Relationship Id="rId6" Type="http://schemas.openxmlformats.org/officeDocument/2006/relationships/hyperlink" Target="https://www.capdefnet.org/FDPRC/WorkArea/DownloadAsset.aspx?id=2354" TargetMode="External"/><Relationship Id="rId11" Type="http://schemas.openxmlformats.org/officeDocument/2006/relationships/hyperlink" Target="http://www.census.gov/prod/cen2010/briefs/c2010br-04.pdf" TargetMode="External"/><Relationship Id="rId5" Type="http://schemas.openxmlformats.org/officeDocument/2006/relationships/hyperlink" Target="http://quickfacts.census.gov/%20qfd/states/27000.html" TargetMode="External"/><Relationship Id="rId15" Type="http://schemas.openxmlformats.org/officeDocument/2006/relationships/hyperlink" Target="http://www.huffingtonpost.com/juan-melendez/florida-timely-justice-act_b_3285154.html" TargetMode="External"/><Relationship Id="rId10" Type="http://schemas.openxmlformats.org/officeDocument/2006/relationships/hyperlink" Target="http://www.worldcoalition.org/media/resourcecenter/PRCADP-AnnualReport2012-EN.pdf" TargetMode="External"/><Relationship Id="rId4" Type="http://schemas.openxmlformats.org/officeDocument/2006/relationships/hyperlink" Target="https://www.capdefnet.org/%20FDPRC/pubmenu.aspx?menu_id=94&amp;id=1902" TargetMode="External"/><Relationship Id="rId9" Type="http://schemas.openxmlformats.org/officeDocument/2006/relationships/hyperlink" Target="http://articles.chicagotribune.com/2012-09-27/news/sns-rt-us-puertorico-deathpenaltybre88q1uu-20120927_1_capital-punishment-death-penalty-puerto-rico" TargetMode="External"/><Relationship Id="rId14" Type="http://schemas.openxmlformats.org/officeDocument/2006/relationships/hyperlink" Target="http://www.pnas.org/cgi/doi/10.1073/pnas.13064171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Firm\MSOffice\Firm%20Templates\Templates\01%20General\Blan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FBBA37-2D0F-4E83-9ACD-B9659DC39FE0}"/>
</file>

<file path=customXml/itemProps2.xml><?xml version="1.0" encoding="utf-8"?>
<ds:datastoreItem xmlns:ds="http://schemas.openxmlformats.org/officeDocument/2006/customXml" ds:itemID="{C241AE2A-A2A6-4581-8623-C5F8C2999309}"/>
</file>

<file path=customXml/itemProps3.xml><?xml version="1.0" encoding="utf-8"?>
<ds:datastoreItem xmlns:ds="http://schemas.openxmlformats.org/officeDocument/2006/customXml" ds:itemID="{C01FA8AF-B4AC-4AE5-8C2A-4673889901C1}"/>
</file>

<file path=customXml/itemProps4.xml><?xml version="1.0" encoding="utf-8"?>
<ds:datastoreItem xmlns:ds="http://schemas.openxmlformats.org/officeDocument/2006/customXml" ds:itemID="{2FBCD7C2-3CCE-476B-8F07-12804CFAEEE2}"/>
</file>

<file path=docProps/app.xml><?xml version="1.0" encoding="utf-8"?>
<Properties xmlns="http://schemas.openxmlformats.org/officeDocument/2006/extended-properties" xmlns:vt="http://schemas.openxmlformats.org/officeDocument/2006/docPropsVTypes">
  <Template>Blank.dotm</Template>
  <TotalTime>1</TotalTime>
  <Pages>38</Pages>
  <Words>12171</Words>
  <Characters>69375</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Madeline Lohman</dc:creator>
  <cp:lastModifiedBy>Kalpana Singh</cp:lastModifiedBy>
  <cp:revision>2</cp:revision>
  <cp:lastPrinted>2014-07-25T20:25:00Z</cp:lastPrinted>
  <dcterms:created xsi:type="dcterms:W3CDTF">2014-07-28T10:50:00Z</dcterms:created>
  <dcterms:modified xsi:type="dcterms:W3CDTF">2014-07-28T10:50:00Z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