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04F58" w14:textId="1A916B7D" w:rsidR="00BB2414" w:rsidRDefault="00BB2E0C" w:rsidP="00BB2E0C">
      <w:pPr>
        <w:pBdr>
          <w:bottom w:val="single" w:sz="6" w:space="1" w:color="auto"/>
        </w:pBdr>
        <w:jc w:val="center"/>
        <w:rPr>
          <w:rFonts w:asciiTheme="majorBidi" w:hAnsiTheme="majorBidi" w:cstheme="majorBidi"/>
          <w:b/>
          <w:bCs/>
          <w:color w:val="FF0000"/>
          <w:sz w:val="28"/>
          <w:szCs w:val="28"/>
        </w:rPr>
      </w:pPr>
      <w:r w:rsidRPr="00BB2E0C">
        <w:rPr>
          <w:rFonts w:asciiTheme="majorBidi" w:hAnsiTheme="majorBidi" w:cstheme="majorBidi"/>
          <w:b/>
          <w:bCs/>
          <w:color w:val="44546A" w:themeColor="text2"/>
          <w:sz w:val="28"/>
          <w:szCs w:val="28"/>
        </w:rPr>
        <w:t xml:space="preserve">Maat </w:t>
      </w:r>
      <w:r w:rsidRPr="00BB2E0C">
        <w:rPr>
          <w:rFonts w:asciiTheme="majorBidi" w:hAnsiTheme="majorBidi" w:cstheme="majorBidi"/>
          <w:b/>
          <w:bCs/>
          <w:color w:val="44546A" w:themeColor="text2"/>
          <w:sz w:val="28"/>
          <w:szCs w:val="28"/>
        </w:rPr>
        <w:t xml:space="preserve">for Peace’ </w:t>
      </w:r>
      <w:r w:rsidRPr="00BB2E0C">
        <w:rPr>
          <w:rFonts w:asciiTheme="majorBidi" w:hAnsiTheme="majorBidi" w:cstheme="majorBidi"/>
          <w:b/>
          <w:bCs/>
          <w:color w:val="44546A" w:themeColor="text2"/>
          <w:sz w:val="28"/>
          <w:szCs w:val="28"/>
        </w:rPr>
        <w:t>report submitted to the Committee on the Elimination of Racial Discrimination regarding the State</w:t>
      </w:r>
      <w:r w:rsidRPr="00BB2E0C">
        <w:rPr>
          <w:rFonts w:asciiTheme="majorBidi" w:hAnsiTheme="majorBidi" w:cstheme="majorBidi"/>
          <w:b/>
          <w:bCs/>
          <w:color w:val="44546A" w:themeColor="text2"/>
          <w:sz w:val="28"/>
          <w:szCs w:val="28"/>
        </w:rPr>
        <w:t xml:space="preserve"> </w:t>
      </w:r>
      <w:r w:rsidRPr="00BB2E0C">
        <w:rPr>
          <w:rFonts w:asciiTheme="majorBidi" w:hAnsiTheme="majorBidi" w:cstheme="majorBidi"/>
          <w:b/>
          <w:bCs/>
          <w:color w:val="44546A" w:themeColor="text2"/>
          <w:sz w:val="28"/>
          <w:szCs w:val="28"/>
        </w:rPr>
        <w:t xml:space="preserve">of </w:t>
      </w:r>
      <w:r w:rsidRPr="00BB2E0C">
        <w:rPr>
          <w:rFonts w:asciiTheme="majorBidi" w:hAnsiTheme="majorBidi" w:cstheme="majorBidi"/>
          <w:b/>
          <w:bCs/>
          <w:color w:val="FF0000"/>
          <w:sz w:val="28"/>
          <w:szCs w:val="28"/>
        </w:rPr>
        <w:t>Qatar</w:t>
      </w:r>
    </w:p>
    <w:p w14:paraId="11D7B3B3" w14:textId="0C41C081" w:rsidR="00BB2E0C" w:rsidRPr="00BB2E0C" w:rsidRDefault="00BB2E0C" w:rsidP="00BB2E0C">
      <w:pPr>
        <w:pBdr>
          <w:bottom w:val="single" w:sz="6" w:space="1" w:color="auto"/>
        </w:pBdr>
        <w:jc w:val="center"/>
        <w:rPr>
          <w:rFonts w:asciiTheme="majorBidi" w:hAnsiTheme="majorBidi" w:cstheme="majorBidi"/>
          <w:b/>
          <w:bCs/>
          <w:color w:val="FF0000"/>
          <w:sz w:val="24"/>
          <w:szCs w:val="24"/>
        </w:rPr>
      </w:pPr>
      <w:r w:rsidRPr="00BB2E0C">
        <w:rPr>
          <w:rFonts w:asciiTheme="majorBidi" w:hAnsiTheme="majorBidi" w:cstheme="majorBidi"/>
          <w:b/>
          <w:bCs/>
          <w:color w:val="FF0000"/>
          <w:sz w:val="24"/>
          <w:szCs w:val="24"/>
        </w:rPr>
        <w:t>March 2024</w:t>
      </w:r>
    </w:p>
    <w:p w14:paraId="0E79E6E5" w14:textId="68D39045" w:rsidR="00BB2E0C" w:rsidRPr="00BB2E0C" w:rsidRDefault="00BB2E0C" w:rsidP="00BB2E0C">
      <w:pPr>
        <w:jc w:val="both"/>
        <w:rPr>
          <w:rFonts w:asciiTheme="majorBidi" w:hAnsiTheme="majorBidi" w:cstheme="majorBidi"/>
          <w:sz w:val="28"/>
          <w:szCs w:val="28"/>
        </w:rPr>
      </w:pPr>
      <w:r w:rsidRPr="00BB2E0C">
        <w:rPr>
          <w:rFonts w:asciiTheme="majorBidi" w:hAnsiTheme="majorBidi" w:cstheme="majorBidi"/>
          <w:sz w:val="28"/>
          <w:szCs w:val="28"/>
        </w:rPr>
        <w:t>Maat for Peace, Development and Human Rights submits this report to the Committee on the Elimination of All Forms of Racial Discrimination before reviewing the State of Qatar. The report provides a summary and overview of the measures taken by the State of Qatar to comply with the provisions of the Convention on the Elimination of All Forms of Racial Discrimination</w:t>
      </w:r>
      <w:r>
        <w:rPr>
          <w:rFonts w:asciiTheme="majorBidi" w:hAnsiTheme="majorBidi" w:cstheme="majorBidi"/>
          <w:sz w:val="28"/>
          <w:szCs w:val="28"/>
        </w:rPr>
        <w:t xml:space="preserve"> a</w:t>
      </w:r>
      <w:r w:rsidRPr="00BB2E0C">
        <w:rPr>
          <w:rFonts w:asciiTheme="majorBidi" w:hAnsiTheme="majorBidi" w:cstheme="majorBidi"/>
          <w:sz w:val="28"/>
          <w:szCs w:val="28"/>
        </w:rPr>
        <w:t>nd practices related to racial discrimination that still prevail in practice. Before preparing this report, Maat reviewed the combined report of the twenty-second and twenty-third periodic reports, submitted by the State of Qatar on August 23, 2021, and the list of</w:t>
      </w:r>
      <w:r>
        <w:rPr>
          <w:rFonts w:asciiTheme="majorBidi" w:hAnsiTheme="majorBidi" w:cstheme="majorBidi"/>
          <w:sz w:val="28"/>
          <w:szCs w:val="28"/>
        </w:rPr>
        <w:t xml:space="preserve"> </w:t>
      </w:r>
      <w:r w:rsidRPr="00BB2E0C">
        <w:rPr>
          <w:rFonts w:asciiTheme="majorBidi" w:hAnsiTheme="majorBidi" w:cstheme="majorBidi"/>
          <w:sz w:val="28"/>
          <w:szCs w:val="28"/>
        </w:rPr>
        <w:t>issues related to the combined report referred to previously.</w:t>
      </w:r>
    </w:p>
    <w:p w14:paraId="094AA8FE" w14:textId="759BA219" w:rsidR="00BB2E0C" w:rsidRDefault="00BB2E0C" w:rsidP="00BB2E0C">
      <w:pPr>
        <w:jc w:val="both"/>
        <w:rPr>
          <w:rFonts w:asciiTheme="majorBidi" w:hAnsiTheme="majorBidi" w:cstheme="majorBidi"/>
          <w:sz w:val="28"/>
          <w:szCs w:val="28"/>
        </w:rPr>
      </w:pPr>
      <w:r w:rsidRPr="00BB2E0C">
        <w:rPr>
          <w:rFonts w:asciiTheme="majorBidi" w:hAnsiTheme="majorBidi" w:cstheme="majorBidi"/>
          <w:sz w:val="28"/>
          <w:szCs w:val="28"/>
        </w:rPr>
        <w:t>In particular, the report provides information on Qatar’s implementation of Article 1 of the Convention relating to establishing a definition of racial discrimination consistent with Article 1 of the Convention on the Elimination of Racial Discrimination, in addition to assessing Qatar’s compliance with Articles 2, 3, 4, 6 and 7 of the Convention.</w:t>
      </w:r>
    </w:p>
    <w:p w14:paraId="69C17F8A" w14:textId="77777777" w:rsidR="00BB2E0C" w:rsidRPr="00BB2E0C" w:rsidRDefault="00BB2E0C" w:rsidP="00BB2E0C">
      <w:pPr>
        <w:shd w:val="clear" w:color="auto" w:fill="D9E2F3" w:themeFill="accent5" w:themeFillTint="33"/>
        <w:jc w:val="both"/>
        <w:rPr>
          <w:rFonts w:asciiTheme="majorBidi" w:hAnsiTheme="majorBidi" w:cstheme="majorBidi"/>
          <w:b/>
          <w:bCs/>
          <w:sz w:val="28"/>
          <w:szCs w:val="28"/>
        </w:rPr>
      </w:pPr>
      <w:r w:rsidRPr="00BB2E0C">
        <w:rPr>
          <w:rFonts w:asciiTheme="majorBidi" w:hAnsiTheme="majorBidi" w:cstheme="majorBidi"/>
          <w:b/>
          <w:bCs/>
          <w:sz w:val="28"/>
          <w:szCs w:val="28"/>
        </w:rPr>
        <w:t>Definition of racial discrimination (Article 1)</w:t>
      </w:r>
    </w:p>
    <w:p w14:paraId="55613C58" w14:textId="21424AA3" w:rsidR="00BB2E0C" w:rsidRDefault="00BB2E0C" w:rsidP="00BB2E0C">
      <w:pPr>
        <w:jc w:val="both"/>
        <w:rPr>
          <w:rFonts w:asciiTheme="majorBidi" w:hAnsiTheme="majorBidi" w:cstheme="majorBidi"/>
          <w:sz w:val="28"/>
          <w:szCs w:val="28"/>
        </w:rPr>
      </w:pPr>
      <w:r w:rsidRPr="00BB2E0C">
        <w:rPr>
          <w:rFonts w:asciiTheme="majorBidi" w:hAnsiTheme="majorBidi" w:cstheme="majorBidi"/>
          <w:sz w:val="28"/>
          <w:szCs w:val="28"/>
        </w:rPr>
        <w:t xml:space="preserve">Maat reviewed the measures included in the report of the State of Qatar, which indicate that the legal framework in the State of Qatar includes the principle of equality and non-discrimination in a manner consistent with the definition of racial discrimination contained in the first paragraph of Article 1 of the Convention on the Elimination of All Forms of Racial Discrimination. However, Maat notes </w:t>
      </w:r>
      <w:r w:rsidRPr="00BB2E0C">
        <w:rPr>
          <w:rFonts w:asciiTheme="majorBidi" w:hAnsiTheme="majorBidi" w:cstheme="majorBidi"/>
          <w:sz w:val="28"/>
          <w:szCs w:val="28"/>
        </w:rPr>
        <w:t>the</w:t>
      </w:r>
      <w:r w:rsidRPr="00BB2E0C">
        <w:rPr>
          <w:rFonts w:asciiTheme="majorBidi" w:hAnsiTheme="majorBidi" w:cstheme="majorBidi"/>
          <w:sz w:val="28"/>
          <w:szCs w:val="28"/>
        </w:rPr>
        <w:t xml:space="preserve"> legislative and legal framework in the State of Qatar does not contain a definition of racial discrimination that is consistent with Article 1 of the Convention, as stated in </w:t>
      </w:r>
      <w:r w:rsidRPr="00BB2E0C">
        <w:rPr>
          <w:rFonts w:asciiTheme="majorBidi" w:hAnsiTheme="majorBidi" w:cstheme="majorBidi"/>
          <w:sz w:val="28"/>
          <w:szCs w:val="28"/>
        </w:rPr>
        <w:lastRenderedPageBreak/>
        <w:t>the Committee’s concluding observations on the seventeenth and eighteenth periodic reports of the State of Qatar</w:t>
      </w:r>
      <w:r w:rsidR="004F6EC6">
        <w:rPr>
          <w:rStyle w:val="FootnoteReference"/>
          <w:rFonts w:asciiTheme="majorBidi" w:hAnsiTheme="majorBidi" w:cstheme="majorBidi"/>
          <w:sz w:val="28"/>
          <w:szCs w:val="28"/>
        </w:rPr>
        <w:footnoteReference w:id="1"/>
      </w:r>
      <w:r w:rsidRPr="00BB2E0C">
        <w:rPr>
          <w:rFonts w:asciiTheme="majorBidi" w:hAnsiTheme="majorBidi" w:cstheme="majorBidi"/>
          <w:sz w:val="28"/>
          <w:szCs w:val="28"/>
        </w:rPr>
        <w:t>.</w:t>
      </w:r>
      <w:r>
        <w:rPr>
          <w:rFonts w:asciiTheme="majorBidi" w:hAnsiTheme="majorBidi" w:cstheme="majorBidi"/>
          <w:sz w:val="28"/>
          <w:szCs w:val="28"/>
        </w:rPr>
        <w:t xml:space="preserve"> </w:t>
      </w:r>
    </w:p>
    <w:p w14:paraId="097C0639" w14:textId="1B08A2DD" w:rsidR="00BB2E0C" w:rsidRPr="00BB2E0C" w:rsidRDefault="00BB2E0C" w:rsidP="00BB2E0C">
      <w:pPr>
        <w:shd w:val="clear" w:color="auto" w:fill="D9E2F3" w:themeFill="accent5" w:themeFillTint="33"/>
        <w:rPr>
          <w:rFonts w:asciiTheme="majorBidi" w:hAnsiTheme="majorBidi" w:cstheme="majorBidi"/>
          <w:b/>
          <w:bCs/>
          <w:sz w:val="28"/>
          <w:szCs w:val="28"/>
        </w:rPr>
      </w:pPr>
      <w:r w:rsidRPr="00BB2E0C">
        <w:rPr>
          <w:rFonts w:asciiTheme="majorBidi" w:hAnsiTheme="majorBidi" w:cstheme="majorBidi"/>
          <w:b/>
          <w:bCs/>
          <w:sz w:val="28"/>
          <w:szCs w:val="28"/>
        </w:rPr>
        <w:t xml:space="preserve">Measures to prohibit racial discrimination (Article </w:t>
      </w:r>
      <w:r>
        <w:rPr>
          <w:rFonts w:asciiTheme="majorBidi" w:hAnsiTheme="majorBidi" w:cstheme="majorBidi"/>
          <w:b/>
          <w:bCs/>
          <w:sz w:val="28"/>
          <w:szCs w:val="28"/>
        </w:rPr>
        <w:t>2</w:t>
      </w:r>
      <w:r w:rsidRPr="00BB2E0C">
        <w:rPr>
          <w:rFonts w:asciiTheme="majorBidi" w:hAnsiTheme="majorBidi" w:cstheme="majorBidi"/>
          <w:b/>
          <w:bCs/>
          <w:sz w:val="28"/>
          <w:szCs w:val="28"/>
        </w:rPr>
        <w:t>)</w:t>
      </w:r>
    </w:p>
    <w:p w14:paraId="0EB363EE" w14:textId="559F57C8" w:rsidR="00ED3ED2" w:rsidRDefault="00BB2E0C" w:rsidP="00ED3ED2">
      <w:pPr>
        <w:jc w:val="both"/>
        <w:rPr>
          <w:rFonts w:asciiTheme="majorBidi" w:hAnsiTheme="majorBidi" w:cstheme="majorBidi"/>
          <w:sz w:val="28"/>
          <w:szCs w:val="28"/>
        </w:rPr>
      </w:pPr>
      <w:r w:rsidRPr="00BB2E0C">
        <w:rPr>
          <w:rFonts w:asciiTheme="majorBidi" w:hAnsiTheme="majorBidi" w:cstheme="majorBidi"/>
          <w:sz w:val="28"/>
          <w:szCs w:val="28"/>
        </w:rPr>
        <w:t>Maat reviewed the measures taken by Qatar to implement Article Two of the Convention, especially the issuance of laws aimed at combating discrimination</w:t>
      </w:r>
      <w:r w:rsidR="00ED3ED2">
        <w:rPr>
          <w:rStyle w:val="FootnoteReference"/>
          <w:rFonts w:asciiTheme="majorBidi" w:hAnsiTheme="majorBidi" w:cstheme="majorBidi"/>
          <w:sz w:val="28"/>
          <w:szCs w:val="28"/>
        </w:rPr>
        <w:footnoteReference w:id="2"/>
      </w:r>
      <w:r w:rsidRPr="00BB2E0C">
        <w:rPr>
          <w:rFonts w:asciiTheme="majorBidi" w:hAnsiTheme="majorBidi" w:cstheme="majorBidi"/>
          <w:sz w:val="28"/>
          <w:szCs w:val="28"/>
        </w:rPr>
        <w:t xml:space="preserve">, including Law No. 17 of 2020 regarding setting the minimum wages for workers and domestic employees. In addition to Decree Law No. 18 of 2020 amending some provisions of the Labor Law, Maat noted the continued discrimination in practice against some groups, whether citizens or expatriates, in Qatari society. Although the Qatari Constitution guarantees in Article 34 and Article 35 equality between the sexes, women in Qatar are still exposed to many forms of racial discrimination, especially with regard to the male guardianship system, which imposes many restrictions on Qatari women due to men’s guardianship over them, </w:t>
      </w:r>
      <w:r w:rsidR="00ED3ED2">
        <w:rPr>
          <w:rFonts w:asciiTheme="majorBidi" w:hAnsiTheme="majorBidi" w:cstheme="majorBidi"/>
          <w:sz w:val="28"/>
          <w:szCs w:val="28"/>
        </w:rPr>
        <w:t>as Q</w:t>
      </w:r>
      <w:r w:rsidR="00ED3ED2" w:rsidRPr="00ED3ED2">
        <w:rPr>
          <w:rFonts w:asciiTheme="majorBidi" w:hAnsiTheme="majorBidi" w:cstheme="majorBidi"/>
          <w:sz w:val="28"/>
          <w:szCs w:val="28"/>
        </w:rPr>
        <w:t>atari women cannot exercise many basic rights or activities without the permission of their guardians. They cannot work in some government jobs, complete their studies, buy and rent their own apartments, or travel for single women without reaching the age of 25 without the permission of their guardians</w:t>
      </w:r>
      <w:r w:rsidR="00ED3ED2">
        <w:rPr>
          <w:rStyle w:val="FootnoteReference"/>
          <w:rFonts w:asciiTheme="majorBidi" w:hAnsiTheme="majorBidi" w:cstheme="majorBidi"/>
          <w:sz w:val="28"/>
          <w:szCs w:val="28"/>
        </w:rPr>
        <w:footnoteReference w:id="3"/>
      </w:r>
      <w:r w:rsidR="00ED3ED2" w:rsidRPr="00ED3ED2">
        <w:rPr>
          <w:rFonts w:asciiTheme="majorBidi" w:hAnsiTheme="majorBidi" w:cstheme="majorBidi"/>
          <w:sz w:val="28"/>
          <w:szCs w:val="28"/>
        </w:rPr>
        <w:t xml:space="preserve">. Likewise, </w:t>
      </w:r>
      <w:r w:rsidR="00ED3ED2">
        <w:rPr>
          <w:rFonts w:asciiTheme="majorBidi" w:hAnsiTheme="majorBidi" w:cstheme="majorBidi"/>
          <w:sz w:val="28"/>
          <w:szCs w:val="28"/>
        </w:rPr>
        <w:t xml:space="preserve">A </w:t>
      </w:r>
      <w:r w:rsidR="00ED3ED2" w:rsidRPr="00ED3ED2">
        <w:rPr>
          <w:rFonts w:asciiTheme="majorBidi" w:hAnsiTheme="majorBidi" w:cstheme="majorBidi"/>
          <w:sz w:val="28"/>
          <w:szCs w:val="28"/>
        </w:rPr>
        <w:t>Qatari women cannot also grant citizenship to their husbands or children compared to the same right enjoyed by Qatari men</w:t>
      </w:r>
      <w:r w:rsidR="00ED3ED2">
        <w:rPr>
          <w:rFonts w:asciiTheme="majorBidi" w:hAnsiTheme="majorBidi" w:cstheme="majorBidi"/>
          <w:sz w:val="28"/>
          <w:szCs w:val="28"/>
        </w:rPr>
        <w:t xml:space="preserve">. </w:t>
      </w:r>
      <w:r w:rsidR="00ED3ED2" w:rsidRPr="00ED3ED2">
        <w:rPr>
          <w:rFonts w:asciiTheme="majorBidi" w:hAnsiTheme="majorBidi" w:cstheme="majorBidi"/>
          <w:sz w:val="28"/>
          <w:szCs w:val="28"/>
        </w:rPr>
        <w:t>Qatari women also suffer from societal discrimination against them with regard to political positions, which reduces their chances of assuming executive and legislative positions within Qatar, as Qatari women hold only 3 ministerial portfolios and hold only two seats in the Shura Council based on an Emiri appointment</w:t>
      </w:r>
      <w:r w:rsidR="00ED3ED2">
        <w:rPr>
          <w:rStyle w:val="FootnoteReference"/>
          <w:rFonts w:asciiTheme="majorBidi" w:hAnsiTheme="majorBidi" w:cstheme="majorBidi"/>
          <w:sz w:val="28"/>
          <w:szCs w:val="28"/>
        </w:rPr>
        <w:footnoteReference w:id="4"/>
      </w:r>
      <w:r w:rsidR="00ED3ED2" w:rsidRPr="00ED3ED2">
        <w:rPr>
          <w:rFonts w:asciiTheme="majorBidi" w:hAnsiTheme="majorBidi" w:cstheme="majorBidi"/>
          <w:sz w:val="28"/>
          <w:szCs w:val="28"/>
        </w:rPr>
        <w:t xml:space="preserve">. This contradicts the provisions relating to political </w:t>
      </w:r>
      <w:r w:rsidR="00ED3ED2" w:rsidRPr="00ED3ED2">
        <w:rPr>
          <w:rFonts w:asciiTheme="majorBidi" w:hAnsiTheme="majorBidi" w:cstheme="majorBidi"/>
          <w:sz w:val="28"/>
          <w:szCs w:val="28"/>
        </w:rPr>
        <w:lastRenderedPageBreak/>
        <w:t>participation and participation in public affairs in the International Covenant on Civil and Political Rights, which the State of Qatar has ratified.</w:t>
      </w:r>
    </w:p>
    <w:p w14:paraId="02C97CC1" w14:textId="2BA40BD9" w:rsidR="00BB2E0C" w:rsidRPr="00BB2E0C" w:rsidRDefault="00BB2E0C" w:rsidP="00BB2E0C">
      <w:pPr>
        <w:rPr>
          <w:rFonts w:asciiTheme="majorBidi" w:hAnsiTheme="majorBidi" w:cstheme="majorBidi"/>
          <w:sz w:val="28"/>
          <w:szCs w:val="28"/>
        </w:rPr>
      </w:pPr>
      <w:r w:rsidRPr="00BB2E0C">
        <w:rPr>
          <w:rFonts w:asciiTheme="majorBidi" w:hAnsiTheme="majorBidi" w:cstheme="majorBidi"/>
          <w:sz w:val="28"/>
          <w:szCs w:val="28"/>
        </w:rPr>
        <w:t>Qatari women also faced discrimination with regard to obtaining housing. Among the gaps included in the right to housing in Qatar is that a divorced Qatari woman who does not have children is not allowed to own real estate, while a divorced woman who has children is not entitled to submit an application to own land until after Five years have passed since the divorce</w:t>
      </w:r>
      <w:r w:rsidR="00ED3ED2">
        <w:rPr>
          <w:rStyle w:val="FootnoteReference"/>
          <w:rFonts w:asciiTheme="majorBidi" w:hAnsiTheme="majorBidi" w:cstheme="majorBidi"/>
          <w:sz w:val="28"/>
          <w:szCs w:val="28"/>
        </w:rPr>
        <w:footnoteReference w:id="5"/>
      </w:r>
      <w:r w:rsidRPr="00BB2E0C">
        <w:rPr>
          <w:rFonts w:asciiTheme="majorBidi" w:hAnsiTheme="majorBidi" w:cstheme="majorBidi"/>
          <w:sz w:val="28"/>
          <w:szCs w:val="28"/>
        </w:rPr>
        <w:t>. A Qatari woman married to a holder of temporary cards or a non-Qatari cannot benefit from housing unless it is proven that five consecutive years of her residence in Qatar have passed before submitting an application to benefit from the lands</w:t>
      </w:r>
      <w:r w:rsidR="00FA13E3">
        <w:rPr>
          <w:rStyle w:val="FootnoteReference"/>
          <w:rFonts w:asciiTheme="majorBidi" w:hAnsiTheme="majorBidi" w:cstheme="majorBidi"/>
          <w:sz w:val="28"/>
          <w:szCs w:val="28"/>
        </w:rPr>
        <w:footnoteReference w:id="6"/>
      </w:r>
      <w:r w:rsidRPr="00BB2E0C">
        <w:rPr>
          <w:rFonts w:asciiTheme="majorBidi" w:hAnsiTheme="majorBidi" w:cstheme="majorBidi"/>
          <w:sz w:val="28"/>
          <w:szCs w:val="28"/>
        </w:rPr>
        <w:t>. In a related context, the Qatari housing law deepened the distinction between a citizen of Qatari origins and a naturalized Qatari, as it limited the right to benefit from land and a loan to the original Qatari, and allowed the naturalized to benefit only from the value of the loan, while depriving him of the right to obtain a plot of land unless 15 years had passed since he obtained Qatari citizenship.</w:t>
      </w:r>
    </w:p>
    <w:p w14:paraId="06C3AA65" w14:textId="77BA3630" w:rsidR="00BB2E0C" w:rsidRPr="00BB2E0C" w:rsidRDefault="00BB2E0C" w:rsidP="00BB2E0C">
      <w:pPr>
        <w:rPr>
          <w:rFonts w:asciiTheme="majorBidi" w:hAnsiTheme="majorBidi" w:cstheme="majorBidi"/>
          <w:sz w:val="28"/>
          <w:szCs w:val="28"/>
        </w:rPr>
      </w:pPr>
      <w:r w:rsidRPr="00BB2E0C">
        <w:rPr>
          <w:rFonts w:asciiTheme="majorBidi" w:hAnsiTheme="majorBidi" w:cstheme="majorBidi"/>
          <w:sz w:val="28"/>
          <w:szCs w:val="28"/>
        </w:rPr>
        <w:t>In the context of other discriminatory practices, Maat noted that adult Qatari males must obtain government permission to marry foreigners, which is not granted to Qatari women who are entitled to marry. Males may also apply not only for residence permits but also for citizenship for their foreign wives; At the same time, Qatari women may not apply to obtain citizenship for their husbands and children</w:t>
      </w:r>
      <w:r w:rsidR="00FA13E3">
        <w:rPr>
          <w:rStyle w:val="FootnoteReference"/>
          <w:rFonts w:asciiTheme="majorBidi" w:hAnsiTheme="majorBidi" w:cstheme="majorBidi"/>
          <w:sz w:val="28"/>
          <w:szCs w:val="28"/>
        </w:rPr>
        <w:footnoteReference w:id="7"/>
      </w:r>
      <w:r w:rsidRPr="00BB2E0C">
        <w:rPr>
          <w:rFonts w:asciiTheme="majorBidi" w:hAnsiTheme="majorBidi" w:cstheme="majorBidi"/>
          <w:sz w:val="28"/>
          <w:szCs w:val="28"/>
        </w:rPr>
        <w:t>.</w:t>
      </w:r>
    </w:p>
    <w:p w14:paraId="3E9B278B" w14:textId="3FB76D5F" w:rsidR="00BB2E0C" w:rsidRDefault="00BB2E0C" w:rsidP="00BB2E0C">
      <w:pPr>
        <w:jc w:val="both"/>
        <w:rPr>
          <w:rFonts w:asciiTheme="majorBidi" w:hAnsiTheme="majorBidi" w:cstheme="majorBidi"/>
          <w:sz w:val="28"/>
          <w:szCs w:val="28"/>
        </w:rPr>
      </w:pPr>
      <w:r w:rsidRPr="00BB2E0C">
        <w:rPr>
          <w:rFonts w:asciiTheme="majorBidi" w:hAnsiTheme="majorBidi" w:cstheme="majorBidi"/>
          <w:sz w:val="28"/>
          <w:szCs w:val="28"/>
        </w:rPr>
        <w:t>In the same context, children of Qatari mothers and foreign husbands cannot apply for citizenship unless they meet a set of very complex conditions, including being residents of Qatar for 25 consecutive years</w:t>
      </w:r>
      <w:r w:rsidR="00FA13E3">
        <w:rPr>
          <w:rStyle w:val="FootnoteReference"/>
          <w:rFonts w:asciiTheme="majorBidi" w:hAnsiTheme="majorBidi" w:cstheme="majorBidi"/>
          <w:sz w:val="28"/>
          <w:szCs w:val="28"/>
        </w:rPr>
        <w:footnoteReference w:id="8"/>
      </w:r>
      <w:r w:rsidRPr="00BB2E0C">
        <w:rPr>
          <w:rFonts w:asciiTheme="majorBidi" w:hAnsiTheme="majorBidi" w:cstheme="majorBidi"/>
          <w:sz w:val="28"/>
          <w:szCs w:val="28"/>
        </w:rPr>
        <w:t xml:space="preserve">. Maat also noted that the stateless Bedoon group and members of the Ghufran tribe continue to be exposed to </w:t>
      </w:r>
      <w:r w:rsidRPr="00BB2E0C">
        <w:rPr>
          <w:rFonts w:asciiTheme="majorBidi" w:hAnsiTheme="majorBidi" w:cstheme="majorBidi"/>
          <w:sz w:val="28"/>
          <w:szCs w:val="28"/>
        </w:rPr>
        <w:lastRenderedPageBreak/>
        <w:t>discrimination while obtaining social services such as health, education, and housing. Migrant workers are also still subject to discrimination, as not all workers receive the same salary for the same job, and African workers are subject to working longer hours and more difficult jobs than other migrant workers.</w:t>
      </w:r>
    </w:p>
    <w:p w14:paraId="663FF9B3" w14:textId="5E7EC1EA" w:rsidR="00BB2E0C" w:rsidRPr="00BB2E0C" w:rsidRDefault="00BB2E0C" w:rsidP="00BB2E0C">
      <w:pPr>
        <w:shd w:val="clear" w:color="auto" w:fill="D9E2F3" w:themeFill="accent5" w:themeFillTint="33"/>
        <w:jc w:val="both"/>
        <w:rPr>
          <w:rFonts w:asciiTheme="majorBidi" w:hAnsiTheme="majorBidi" w:cstheme="majorBidi"/>
          <w:b/>
          <w:bCs/>
          <w:sz w:val="28"/>
          <w:szCs w:val="28"/>
        </w:rPr>
      </w:pPr>
      <w:r w:rsidRPr="00BB2E0C">
        <w:rPr>
          <w:rFonts w:asciiTheme="majorBidi" w:hAnsiTheme="majorBidi" w:cstheme="majorBidi"/>
          <w:b/>
          <w:bCs/>
          <w:sz w:val="28"/>
          <w:szCs w:val="28"/>
        </w:rPr>
        <w:t xml:space="preserve">Preventing and prohibiting practices of segregation and racial segregation (Article </w:t>
      </w:r>
      <w:r>
        <w:rPr>
          <w:rFonts w:asciiTheme="majorBidi" w:hAnsiTheme="majorBidi" w:cstheme="majorBidi"/>
          <w:b/>
          <w:bCs/>
          <w:sz w:val="28"/>
          <w:szCs w:val="28"/>
        </w:rPr>
        <w:t>3</w:t>
      </w:r>
      <w:r w:rsidRPr="00BB2E0C">
        <w:rPr>
          <w:rFonts w:asciiTheme="majorBidi" w:hAnsiTheme="majorBidi" w:cstheme="majorBidi"/>
          <w:b/>
          <w:bCs/>
          <w:sz w:val="28"/>
          <w:szCs w:val="28"/>
        </w:rPr>
        <w:t>)</w:t>
      </w:r>
    </w:p>
    <w:p w14:paraId="56CA2D83" w14:textId="47B2622E" w:rsidR="00BB2E0C" w:rsidRDefault="00BB2E0C" w:rsidP="00BB2E0C">
      <w:pPr>
        <w:jc w:val="both"/>
        <w:rPr>
          <w:rFonts w:asciiTheme="majorBidi" w:hAnsiTheme="majorBidi" w:cstheme="majorBidi"/>
          <w:sz w:val="28"/>
          <w:szCs w:val="28"/>
        </w:rPr>
      </w:pPr>
      <w:r w:rsidRPr="00BB2E0C">
        <w:rPr>
          <w:rFonts w:asciiTheme="majorBidi" w:hAnsiTheme="majorBidi" w:cstheme="majorBidi"/>
          <w:sz w:val="28"/>
          <w:szCs w:val="28"/>
        </w:rPr>
        <w:t>Maat reviewed the measures taken by the State of Qatar to implement Article Three of the Convention, including the reference in the report of the State of Qatar that it is not permissible in countries in which there are ethnic, religious or linguistic minorities to deprive persons belonging to the aforementioned minorities of the right to enjoy their own culture or Professing their religion, performing their rituals, or using their language in association with other members of their group, as stipulated in Article 27 of the International Covenant on Civil and Political Rights, which the State of Qatar has ratified</w:t>
      </w:r>
      <w:r w:rsidR="00B37610">
        <w:rPr>
          <w:rStyle w:val="FootnoteReference"/>
          <w:rFonts w:asciiTheme="majorBidi" w:hAnsiTheme="majorBidi" w:cstheme="majorBidi"/>
          <w:sz w:val="28"/>
          <w:szCs w:val="28"/>
        </w:rPr>
        <w:footnoteReference w:id="9"/>
      </w:r>
      <w:r w:rsidRPr="00BB2E0C">
        <w:rPr>
          <w:rFonts w:asciiTheme="majorBidi" w:hAnsiTheme="majorBidi" w:cstheme="majorBidi"/>
          <w:sz w:val="28"/>
          <w:szCs w:val="28"/>
        </w:rPr>
        <w:t>. However, Maat noted discriminatory and racist practices in Qatar, especially against religious minorities in the country. For example, in March 2022, human rights groups said that the discrimination, restrictions, and human rights violations faced by Baha’is in Qatar may push members of this community to leave the country</w:t>
      </w:r>
      <w:r w:rsidR="00B37610">
        <w:rPr>
          <w:rStyle w:val="FootnoteReference"/>
          <w:rFonts w:asciiTheme="majorBidi" w:hAnsiTheme="majorBidi" w:cstheme="majorBidi"/>
          <w:sz w:val="28"/>
          <w:szCs w:val="28"/>
        </w:rPr>
        <w:footnoteReference w:id="10"/>
      </w:r>
      <w:r w:rsidRPr="00BB2E0C">
        <w:rPr>
          <w:rFonts w:asciiTheme="majorBidi" w:hAnsiTheme="majorBidi" w:cstheme="majorBidi"/>
          <w:sz w:val="28"/>
          <w:szCs w:val="28"/>
        </w:rPr>
        <w:t>. In general, Maat noted that people belonging to religious minority communities in Qatar, including Christians</w:t>
      </w:r>
      <w:r w:rsidR="00B35D5B">
        <w:rPr>
          <w:rFonts w:asciiTheme="majorBidi" w:hAnsiTheme="majorBidi" w:cstheme="majorBidi"/>
          <w:sz w:val="28"/>
          <w:szCs w:val="28"/>
        </w:rPr>
        <w:t>,</w:t>
      </w:r>
      <w:r w:rsidRPr="00BB2E0C">
        <w:rPr>
          <w:rFonts w:asciiTheme="majorBidi" w:hAnsiTheme="majorBidi" w:cstheme="majorBidi"/>
          <w:sz w:val="28"/>
          <w:szCs w:val="28"/>
        </w:rPr>
        <w:t xml:space="preserve"> Baha'is, Hindus, and Buddhists are still subjected to multiple types of oppression, persecution, discrimination, and violations of basic human rights, and continue to face multiple violations and challenges that hinder their integration into society, including violations and challenges related to exposure to physical attacks, mental abuse, expulsion, forced deportation, discrimination in employment, and </w:t>
      </w:r>
      <w:r w:rsidR="00B35D5B">
        <w:rPr>
          <w:rFonts w:asciiTheme="majorBidi" w:hAnsiTheme="majorBidi" w:cstheme="majorBidi"/>
          <w:sz w:val="28"/>
          <w:szCs w:val="28"/>
        </w:rPr>
        <w:t>d</w:t>
      </w:r>
      <w:r w:rsidR="00B35D5B" w:rsidRPr="00B35D5B">
        <w:rPr>
          <w:rFonts w:asciiTheme="majorBidi" w:hAnsiTheme="majorBidi" w:cstheme="majorBidi"/>
          <w:sz w:val="28"/>
          <w:szCs w:val="28"/>
        </w:rPr>
        <w:t xml:space="preserve">eprivation of renewing residence permits and holding leadership positions such as university presidency, ministerial portfolios, and jobs that are sensitive to national security, in addition to restrictions imposed on religious expression, building places of worship, </w:t>
      </w:r>
      <w:r w:rsidR="00B35D5B" w:rsidRPr="00B35D5B">
        <w:rPr>
          <w:rFonts w:asciiTheme="majorBidi" w:hAnsiTheme="majorBidi" w:cstheme="majorBidi"/>
          <w:sz w:val="28"/>
          <w:szCs w:val="28"/>
        </w:rPr>
        <w:lastRenderedPageBreak/>
        <w:t>and displaying their religious symbols.</w:t>
      </w:r>
      <w:r w:rsidR="00B35D5B">
        <w:rPr>
          <w:rFonts w:asciiTheme="majorBidi" w:hAnsiTheme="majorBidi" w:cstheme="majorBidi"/>
          <w:sz w:val="28"/>
          <w:szCs w:val="28"/>
        </w:rPr>
        <w:t xml:space="preserve"> </w:t>
      </w:r>
      <w:r w:rsidR="00B35D5B" w:rsidRPr="00B35D5B">
        <w:rPr>
          <w:rFonts w:asciiTheme="majorBidi" w:hAnsiTheme="majorBidi" w:cstheme="majorBidi"/>
          <w:sz w:val="28"/>
          <w:szCs w:val="28"/>
        </w:rPr>
        <w:t>According to reliable statistics, more than 100 systematic attacks and assaults occurred on places of worship, cemeteries, and Christian buildings in Qatar during the year 2021, and the Qatari authorities forced at least two expatriate Christians to leave Qatar on allegations of their involvement in religious proselytization during the period between September 2021 and October 2022</w:t>
      </w:r>
      <w:r w:rsidR="00B37610">
        <w:rPr>
          <w:rStyle w:val="FootnoteReference"/>
          <w:rFonts w:asciiTheme="majorBidi" w:hAnsiTheme="majorBidi" w:cstheme="majorBidi"/>
          <w:sz w:val="28"/>
          <w:szCs w:val="28"/>
        </w:rPr>
        <w:footnoteReference w:id="11"/>
      </w:r>
      <w:r w:rsidR="00B35D5B" w:rsidRPr="00B35D5B">
        <w:rPr>
          <w:rFonts w:asciiTheme="majorBidi" w:hAnsiTheme="majorBidi" w:cstheme="majorBidi"/>
          <w:sz w:val="28"/>
          <w:szCs w:val="28"/>
        </w:rPr>
        <w:t>.</w:t>
      </w:r>
    </w:p>
    <w:p w14:paraId="71957FD0" w14:textId="77777777" w:rsidR="00B35D5B" w:rsidRPr="00B35D5B" w:rsidRDefault="00B35D5B" w:rsidP="00B35D5B">
      <w:pPr>
        <w:shd w:val="clear" w:color="auto" w:fill="D9E2F3" w:themeFill="accent5" w:themeFillTint="33"/>
        <w:rPr>
          <w:rFonts w:asciiTheme="majorBidi" w:hAnsiTheme="majorBidi" w:cstheme="majorBidi"/>
          <w:b/>
          <w:bCs/>
          <w:sz w:val="28"/>
          <w:szCs w:val="28"/>
        </w:rPr>
      </w:pPr>
      <w:r w:rsidRPr="00B35D5B">
        <w:rPr>
          <w:rFonts w:asciiTheme="majorBidi" w:hAnsiTheme="majorBidi" w:cstheme="majorBidi"/>
          <w:b/>
          <w:bCs/>
          <w:sz w:val="28"/>
          <w:szCs w:val="28"/>
        </w:rPr>
        <w:t>Prohibition of propaganda based on racist ideas or theories (Article 4)</w:t>
      </w:r>
    </w:p>
    <w:p w14:paraId="56B2241D" w14:textId="00BE8E89" w:rsidR="00B35D5B" w:rsidRDefault="00B35D5B" w:rsidP="00B35D5B">
      <w:pPr>
        <w:jc w:val="both"/>
        <w:rPr>
          <w:rFonts w:asciiTheme="majorBidi" w:hAnsiTheme="majorBidi" w:cstheme="majorBidi"/>
          <w:sz w:val="28"/>
          <w:szCs w:val="28"/>
        </w:rPr>
      </w:pPr>
      <w:r w:rsidRPr="00B35D5B">
        <w:rPr>
          <w:rFonts w:asciiTheme="majorBidi" w:hAnsiTheme="majorBidi" w:cstheme="majorBidi"/>
          <w:sz w:val="28"/>
          <w:szCs w:val="28"/>
        </w:rPr>
        <w:t>In accordance with Article Four of the Convention, States Parties denounce all propaganda and organizations based on ideas or theories that claim the superiority of any race or any group of one color or ethnic origin, or that attempt to justify or promote any form of racial hatred and racial discrimination</w:t>
      </w:r>
      <w:r w:rsidR="00B37610">
        <w:rPr>
          <w:rStyle w:val="FootnoteReference"/>
          <w:rFonts w:asciiTheme="majorBidi" w:hAnsiTheme="majorBidi" w:cstheme="majorBidi"/>
          <w:sz w:val="28"/>
          <w:szCs w:val="28"/>
        </w:rPr>
        <w:footnoteReference w:id="12"/>
      </w:r>
      <w:r w:rsidRPr="00B35D5B">
        <w:rPr>
          <w:rFonts w:asciiTheme="majorBidi" w:hAnsiTheme="majorBidi" w:cstheme="majorBidi"/>
          <w:sz w:val="28"/>
          <w:szCs w:val="28"/>
        </w:rPr>
        <w:t xml:space="preserve">. Maat noted the existence of a project A law related to media activities in Qatar, which is the draft law approved by the Qatari Council of Ministers in 2018. The draft law is supposed to prohibit racial discrimination in media activities by emphasizing that publication prohibitions must include everything that arouses hatred. Perhaps one of the most important articles of this law is </w:t>
      </w:r>
      <w:r w:rsidRPr="00B35D5B">
        <w:rPr>
          <w:rFonts w:asciiTheme="majorBidi" w:hAnsiTheme="majorBidi" w:cstheme="majorBidi"/>
          <w:sz w:val="28"/>
          <w:szCs w:val="28"/>
        </w:rPr>
        <w:t>the</w:t>
      </w:r>
      <w:r w:rsidRPr="00B35D5B">
        <w:rPr>
          <w:rFonts w:asciiTheme="majorBidi" w:hAnsiTheme="majorBidi" w:cstheme="majorBidi"/>
          <w:sz w:val="28"/>
          <w:szCs w:val="28"/>
        </w:rPr>
        <w:t xml:space="preserve"> draft law does not discriminate between Qatari and non-Qatari journalists in many provisions. The draft law also stresses the need for journalists to commit to rejecting all forms of bias and racial discrimination against any person, especially immigrants and refugees in Qatar</w:t>
      </w:r>
      <w:r w:rsidR="00B37610">
        <w:rPr>
          <w:rStyle w:val="FootnoteReference"/>
          <w:rFonts w:asciiTheme="majorBidi" w:hAnsiTheme="majorBidi" w:cstheme="majorBidi"/>
          <w:sz w:val="28"/>
          <w:szCs w:val="28"/>
        </w:rPr>
        <w:footnoteReference w:id="13"/>
      </w:r>
      <w:r w:rsidRPr="00B35D5B">
        <w:rPr>
          <w:rFonts w:asciiTheme="majorBidi" w:hAnsiTheme="majorBidi" w:cstheme="majorBidi"/>
          <w:sz w:val="28"/>
          <w:szCs w:val="28"/>
        </w:rPr>
        <w:t>. However, the bill has not yet been passed.</w:t>
      </w:r>
    </w:p>
    <w:p w14:paraId="3B18FE63" w14:textId="77777777" w:rsidR="00713444" w:rsidRPr="00713444" w:rsidRDefault="00713444" w:rsidP="00713444">
      <w:pPr>
        <w:shd w:val="clear" w:color="auto" w:fill="D9E2F3" w:themeFill="accent5" w:themeFillTint="33"/>
        <w:jc w:val="both"/>
        <w:rPr>
          <w:rFonts w:asciiTheme="majorBidi" w:hAnsiTheme="majorBidi" w:cstheme="majorBidi"/>
          <w:b/>
          <w:bCs/>
          <w:sz w:val="28"/>
          <w:szCs w:val="28"/>
        </w:rPr>
      </w:pPr>
      <w:r w:rsidRPr="00713444">
        <w:rPr>
          <w:rFonts w:asciiTheme="majorBidi" w:hAnsiTheme="majorBidi" w:cstheme="majorBidi"/>
          <w:b/>
          <w:bCs/>
          <w:sz w:val="28"/>
          <w:szCs w:val="28"/>
        </w:rPr>
        <w:t>Resorting to national courts (Article 6)</w:t>
      </w:r>
    </w:p>
    <w:p w14:paraId="0980E5C6" w14:textId="0B96D821" w:rsidR="00B35D5B" w:rsidRDefault="00713444" w:rsidP="00713444">
      <w:pPr>
        <w:jc w:val="both"/>
        <w:rPr>
          <w:rFonts w:asciiTheme="majorBidi" w:hAnsiTheme="majorBidi" w:cstheme="majorBidi"/>
          <w:sz w:val="28"/>
          <w:szCs w:val="28"/>
        </w:rPr>
      </w:pPr>
      <w:r w:rsidRPr="00713444">
        <w:rPr>
          <w:rFonts w:asciiTheme="majorBidi" w:hAnsiTheme="majorBidi" w:cstheme="majorBidi"/>
          <w:sz w:val="28"/>
          <w:szCs w:val="28"/>
        </w:rPr>
        <w:t xml:space="preserve">Maat noted that the legal framework in the State of Qatar allows every citizen or resident the right to resort to the judiciary, and the judiciary has general jurisdiction in criminal disputes, civil and commercial disputes, family disputes, administrative </w:t>
      </w:r>
      <w:r w:rsidRPr="00713444">
        <w:rPr>
          <w:rFonts w:asciiTheme="majorBidi" w:hAnsiTheme="majorBidi" w:cstheme="majorBidi"/>
          <w:sz w:val="28"/>
          <w:szCs w:val="28"/>
        </w:rPr>
        <w:lastRenderedPageBreak/>
        <w:t>disputes, and all disputes except for acts of sovereignty and nationality. Maat also documented the issuance of some sentences for crimes of deceiving migrant workers. In February 2023, the Criminal Court of First Instance sentenced two Pakistani citizens to 10 years in prison and a fine of approximately 100,000 Qatari riyals ($27,470) for deceiving a Pakistani woman to visit Qatar for tourism and subsequently exploiting her in sex trafficking</w:t>
      </w:r>
      <w:r w:rsidR="00B37610">
        <w:rPr>
          <w:rStyle w:val="FootnoteReference"/>
          <w:rFonts w:asciiTheme="majorBidi" w:hAnsiTheme="majorBidi" w:cstheme="majorBidi"/>
          <w:sz w:val="28"/>
          <w:szCs w:val="28"/>
        </w:rPr>
        <w:footnoteReference w:id="14"/>
      </w:r>
      <w:r w:rsidRPr="00713444">
        <w:rPr>
          <w:rFonts w:asciiTheme="majorBidi" w:hAnsiTheme="majorBidi" w:cstheme="majorBidi"/>
          <w:sz w:val="28"/>
          <w:szCs w:val="28"/>
        </w:rPr>
        <w:t xml:space="preserve">. However, Maat has multiple concerns that the structural obstacles that remain in place in Qatar while migrants attempt to access justice slow down their access to effective remedies, or adequate and prompt reparation for the harm they have suffered, </w:t>
      </w:r>
      <w:r>
        <w:rPr>
          <w:rFonts w:asciiTheme="majorBidi" w:hAnsiTheme="majorBidi" w:cstheme="majorBidi"/>
          <w:sz w:val="28"/>
          <w:szCs w:val="28"/>
        </w:rPr>
        <w:t>a</w:t>
      </w:r>
      <w:r w:rsidRPr="00713444">
        <w:rPr>
          <w:rFonts w:asciiTheme="majorBidi" w:hAnsiTheme="majorBidi" w:cstheme="majorBidi"/>
          <w:sz w:val="28"/>
          <w:szCs w:val="28"/>
        </w:rPr>
        <w:t>s identified by the Special Rapporteur on the human rights of migrants, these obstacles include the failure to investigate complaints submitted by migrant workers regarding their exposure to human rights violations, including complaints of delays in receiving their due wages, complaints regarding the withholding of passports and identity cards, and the threat of forced deportation to their countries of origin. In addition to the long duration of the procedures and the stubbornness in paying compensation, even after obtaining judicial rulings</w:t>
      </w:r>
      <w:r w:rsidR="00B37610">
        <w:rPr>
          <w:rStyle w:val="FootnoteReference"/>
          <w:rFonts w:asciiTheme="majorBidi" w:hAnsiTheme="majorBidi" w:cstheme="majorBidi"/>
          <w:sz w:val="28"/>
          <w:szCs w:val="28"/>
        </w:rPr>
        <w:footnoteReference w:id="15"/>
      </w:r>
      <w:r w:rsidRPr="00713444">
        <w:rPr>
          <w:rFonts w:asciiTheme="majorBidi" w:hAnsiTheme="majorBidi" w:cstheme="majorBidi"/>
          <w:sz w:val="28"/>
          <w:szCs w:val="28"/>
        </w:rPr>
        <w:t>. In a related context, Maat supports what was stated in the list of issues related to the combined report of the twenty-second and twenty-third periodic reports of the State of Qatar, which states that there is a shortage in the number and types of complaints related to racial discrimination submitted to the courts and other national institutions, the results of the investigations that were decided, the penalties that were imposed on the accused, and the compensation that was granted to the victims</w:t>
      </w:r>
      <w:r w:rsidR="00B37610">
        <w:rPr>
          <w:rStyle w:val="FootnoteReference"/>
          <w:rFonts w:asciiTheme="majorBidi" w:hAnsiTheme="majorBidi" w:cstheme="majorBidi"/>
          <w:sz w:val="28"/>
          <w:szCs w:val="28"/>
        </w:rPr>
        <w:footnoteReference w:id="16"/>
      </w:r>
      <w:r w:rsidRPr="00713444">
        <w:rPr>
          <w:rFonts w:asciiTheme="majorBidi" w:hAnsiTheme="majorBidi" w:cstheme="majorBidi"/>
          <w:sz w:val="28"/>
          <w:szCs w:val="28"/>
        </w:rPr>
        <w:t>.</w:t>
      </w:r>
    </w:p>
    <w:p w14:paraId="657D918B" w14:textId="77777777" w:rsidR="00713444" w:rsidRPr="00713444" w:rsidRDefault="00713444" w:rsidP="00713444">
      <w:pPr>
        <w:shd w:val="clear" w:color="auto" w:fill="D9E2F3" w:themeFill="accent5" w:themeFillTint="33"/>
        <w:rPr>
          <w:rFonts w:asciiTheme="majorBidi" w:hAnsiTheme="majorBidi" w:cstheme="majorBidi"/>
          <w:b/>
          <w:bCs/>
          <w:sz w:val="28"/>
          <w:szCs w:val="28"/>
        </w:rPr>
      </w:pPr>
      <w:r w:rsidRPr="00713444">
        <w:rPr>
          <w:rFonts w:asciiTheme="majorBidi" w:hAnsiTheme="majorBidi" w:cstheme="majorBidi"/>
          <w:b/>
          <w:bCs/>
          <w:sz w:val="28"/>
          <w:szCs w:val="28"/>
        </w:rPr>
        <w:t>Eliminate discrimination in education (Article 7)</w:t>
      </w:r>
    </w:p>
    <w:p w14:paraId="1D45666D" w14:textId="4EE57751" w:rsidR="00713444" w:rsidRPr="00713444" w:rsidRDefault="00713444" w:rsidP="00713444">
      <w:pPr>
        <w:rPr>
          <w:rFonts w:asciiTheme="majorBidi" w:hAnsiTheme="majorBidi" w:cstheme="majorBidi"/>
          <w:sz w:val="28"/>
          <w:szCs w:val="28"/>
        </w:rPr>
      </w:pPr>
      <w:r w:rsidRPr="00713444">
        <w:rPr>
          <w:rFonts w:asciiTheme="majorBidi" w:hAnsiTheme="majorBidi" w:cstheme="majorBidi"/>
          <w:sz w:val="28"/>
          <w:szCs w:val="28"/>
        </w:rPr>
        <w:t>Education is a right for every citizen in accordance with Article 49 of the Constitution of the State of Qatar</w:t>
      </w:r>
      <w:r w:rsidR="00B37610">
        <w:rPr>
          <w:rStyle w:val="FootnoteReference"/>
          <w:rFonts w:asciiTheme="majorBidi" w:hAnsiTheme="majorBidi" w:cstheme="majorBidi"/>
          <w:sz w:val="28"/>
          <w:szCs w:val="28"/>
        </w:rPr>
        <w:footnoteReference w:id="17"/>
      </w:r>
      <w:r w:rsidRPr="00713444">
        <w:rPr>
          <w:rFonts w:asciiTheme="majorBidi" w:hAnsiTheme="majorBidi" w:cstheme="majorBidi"/>
          <w:sz w:val="28"/>
          <w:szCs w:val="28"/>
        </w:rPr>
        <w:t xml:space="preserve">, and Law No. 9 of 2017 regarding the </w:t>
      </w:r>
      <w:r w:rsidRPr="00713444">
        <w:rPr>
          <w:rFonts w:asciiTheme="majorBidi" w:hAnsiTheme="majorBidi" w:cstheme="majorBidi"/>
          <w:sz w:val="28"/>
          <w:szCs w:val="28"/>
        </w:rPr>
        <w:lastRenderedPageBreak/>
        <w:t>organization of schools</w:t>
      </w:r>
      <w:r w:rsidR="00B37610">
        <w:rPr>
          <w:rStyle w:val="FootnoteReference"/>
          <w:rFonts w:asciiTheme="majorBidi" w:hAnsiTheme="majorBidi" w:cstheme="majorBidi"/>
          <w:sz w:val="28"/>
          <w:szCs w:val="28"/>
        </w:rPr>
        <w:footnoteReference w:id="18"/>
      </w:r>
      <w:r w:rsidRPr="00713444">
        <w:rPr>
          <w:rFonts w:asciiTheme="majorBidi" w:hAnsiTheme="majorBidi" w:cstheme="majorBidi"/>
          <w:sz w:val="28"/>
          <w:szCs w:val="28"/>
        </w:rPr>
        <w:t>, along with Law No. 25 of 2001 regarding compulsory education, regulates the right to obtain education for all citizen children. In this context, Article 4 of Law No. 9 of 2017 stipulates that education in schools is a right for all citizens, and refers the admission of non-Qatari students to schools to executive decisions issued by the Council of Ministers</w:t>
      </w:r>
      <w:r w:rsidR="00B37610">
        <w:rPr>
          <w:rStyle w:val="FootnoteReference"/>
          <w:rFonts w:asciiTheme="majorBidi" w:hAnsiTheme="majorBidi" w:cstheme="majorBidi"/>
          <w:sz w:val="28"/>
          <w:szCs w:val="28"/>
        </w:rPr>
        <w:footnoteReference w:id="19"/>
      </w:r>
      <w:r w:rsidRPr="00713444">
        <w:rPr>
          <w:rFonts w:asciiTheme="majorBidi" w:hAnsiTheme="majorBidi" w:cstheme="majorBidi"/>
          <w:sz w:val="28"/>
          <w:szCs w:val="28"/>
        </w:rPr>
        <w:t>. It is noted that the law restricts the right to education in this article to children of citizens only. This contradicts the Convention against Discrimination in Education, which prohibits discrimination in education based on any considerations such as national origin or any other considerations</w:t>
      </w:r>
      <w:r w:rsidR="00B37610">
        <w:rPr>
          <w:rStyle w:val="FootnoteReference"/>
          <w:rFonts w:asciiTheme="majorBidi" w:hAnsiTheme="majorBidi" w:cstheme="majorBidi"/>
          <w:sz w:val="28"/>
          <w:szCs w:val="28"/>
        </w:rPr>
        <w:footnoteReference w:id="20"/>
      </w:r>
      <w:r w:rsidRPr="00713444">
        <w:rPr>
          <w:rFonts w:asciiTheme="majorBidi" w:hAnsiTheme="majorBidi" w:cstheme="majorBidi"/>
          <w:sz w:val="28"/>
          <w:szCs w:val="28"/>
        </w:rPr>
        <w:t>.</w:t>
      </w:r>
    </w:p>
    <w:p w14:paraId="74533091" w14:textId="069A395D" w:rsidR="00713444" w:rsidRDefault="00713444" w:rsidP="00713444">
      <w:pPr>
        <w:jc w:val="both"/>
        <w:rPr>
          <w:rFonts w:asciiTheme="majorBidi" w:hAnsiTheme="majorBidi" w:cstheme="majorBidi"/>
          <w:sz w:val="28"/>
          <w:szCs w:val="28"/>
        </w:rPr>
      </w:pPr>
      <w:r w:rsidRPr="00713444">
        <w:rPr>
          <w:rFonts w:asciiTheme="majorBidi" w:hAnsiTheme="majorBidi" w:cstheme="majorBidi"/>
          <w:sz w:val="28"/>
          <w:szCs w:val="28"/>
        </w:rPr>
        <w:t>The Compulsory Education Law amended by Law No. 12 of 2017 stipulates that education is free for all children from the primary stage until the end of the preparatory stage</w:t>
      </w:r>
      <w:r w:rsidR="00B37610">
        <w:rPr>
          <w:rStyle w:val="FootnoteReference"/>
          <w:rFonts w:asciiTheme="majorBidi" w:hAnsiTheme="majorBidi" w:cstheme="majorBidi"/>
          <w:sz w:val="28"/>
          <w:szCs w:val="28"/>
        </w:rPr>
        <w:footnoteReference w:id="21"/>
      </w:r>
      <w:r w:rsidRPr="00713444">
        <w:rPr>
          <w:rFonts w:asciiTheme="majorBidi" w:hAnsiTheme="majorBidi" w:cstheme="majorBidi"/>
          <w:sz w:val="28"/>
          <w:szCs w:val="28"/>
        </w:rPr>
        <w:t>. However, estimates indicate that 61% of the total schools in the State of Qatar are private schools, and most of them are for-profit schools</w:t>
      </w:r>
      <w:r w:rsidR="00B37610">
        <w:rPr>
          <w:rStyle w:val="FootnoteReference"/>
          <w:rFonts w:asciiTheme="majorBidi" w:hAnsiTheme="majorBidi" w:cstheme="majorBidi"/>
          <w:sz w:val="28"/>
          <w:szCs w:val="28"/>
        </w:rPr>
        <w:footnoteReference w:id="22"/>
      </w:r>
      <w:r w:rsidRPr="00713444">
        <w:rPr>
          <w:rFonts w:asciiTheme="majorBidi" w:hAnsiTheme="majorBidi" w:cstheme="majorBidi"/>
          <w:sz w:val="28"/>
          <w:szCs w:val="28"/>
        </w:rPr>
        <w:t>. In a related context, tuition fees have increased, especially in international schools that charge very high fees</w:t>
      </w:r>
      <w:r w:rsidR="00B37610">
        <w:rPr>
          <w:rStyle w:val="FootnoteReference"/>
          <w:rFonts w:asciiTheme="majorBidi" w:hAnsiTheme="majorBidi" w:cstheme="majorBidi"/>
          <w:sz w:val="28"/>
          <w:szCs w:val="28"/>
        </w:rPr>
        <w:footnoteReference w:id="23"/>
      </w:r>
      <w:r w:rsidRPr="00713444">
        <w:rPr>
          <w:rFonts w:asciiTheme="majorBidi" w:hAnsiTheme="majorBidi" w:cstheme="majorBidi"/>
          <w:sz w:val="28"/>
          <w:szCs w:val="28"/>
        </w:rPr>
        <w:t>. In a related context, some expatriates have complained at various times about the costs of tuition fees, especially when receiving their salaries is delayed by the companies in which they work. Book and transportation fees for the Ministry of Education amount to about 2,300 riyals. Sometimes the Ministry of Education grants an exemption to holders of Qatari documents from paying these fees, but the ministerial exemption does not exceed two years, and the fees are re-imposed on them agai</w:t>
      </w:r>
      <w:r>
        <w:rPr>
          <w:rFonts w:asciiTheme="majorBidi" w:hAnsiTheme="majorBidi" w:cstheme="majorBidi"/>
          <w:sz w:val="28"/>
          <w:szCs w:val="28"/>
        </w:rPr>
        <w:t>n, w</w:t>
      </w:r>
      <w:r w:rsidRPr="00713444">
        <w:rPr>
          <w:rFonts w:asciiTheme="majorBidi" w:hAnsiTheme="majorBidi" w:cstheme="majorBidi"/>
          <w:sz w:val="28"/>
          <w:szCs w:val="28"/>
        </w:rPr>
        <w:t>hich imposes burdens on non-Qatari students and their families.</w:t>
      </w:r>
    </w:p>
    <w:p w14:paraId="5EAA1907" w14:textId="2EB15B62" w:rsidR="004F6EC6" w:rsidRDefault="00713444" w:rsidP="004F6EC6">
      <w:pPr>
        <w:rPr>
          <w:rFonts w:asciiTheme="majorBidi" w:hAnsiTheme="majorBidi" w:cstheme="majorBidi"/>
          <w:sz w:val="28"/>
          <w:szCs w:val="28"/>
        </w:rPr>
      </w:pPr>
      <w:r w:rsidRPr="00713444">
        <w:rPr>
          <w:rFonts w:asciiTheme="majorBidi" w:hAnsiTheme="majorBidi" w:cstheme="majorBidi"/>
          <w:sz w:val="28"/>
          <w:szCs w:val="28"/>
        </w:rPr>
        <w:t xml:space="preserve">In this context specifically, children of the stateless group, especially from the Al-Ghufran tribe in the State of Qatar, and some of whom are known as “Bidoon” </w:t>
      </w:r>
      <w:r w:rsidRPr="00713444">
        <w:rPr>
          <w:rFonts w:asciiTheme="majorBidi" w:hAnsiTheme="majorBidi" w:cstheme="majorBidi"/>
          <w:sz w:val="28"/>
          <w:szCs w:val="28"/>
        </w:rPr>
        <w:lastRenderedPageBreak/>
        <w:t xml:space="preserve">document holders, faced the same problems in their children’s access to education, whether basic or university, and </w:t>
      </w:r>
      <w:r w:rsidR="004F6EC6">
        <w:rPr>
          <w:rFonts w:asciiTheme="majorBidi" w:hAnsiTheme="majorBidi" w:cstheme="majorBidi"/>
          <w:sz w:val="28"/>
          <w:szCs w:val="28"/>
        </w:rPr>
        <w:t>r</w:t>
      </w:r>
      <w:r w:rsidR="004F6EC6" w:rsidRPr="004F6EC6">
        <w:rPr>
          <w:rFonts w:asciiTheme="majorBidi" w:hAnsiTheme="majorBidi" w:cstheme="majorBidi"/>
          <w:sz w:val="28"/>
          <w:szCs w:val="28"/>
        </w:rPr>
        <w:t>egistration in public schools, whether free or private and international schools in Qatar, depends on obtaining valid identity documents, in light of the inability of most families to enroll their children in primary education because they are stateless, and in very rare cases some are able to rely on relationships and people who sympathize with them, especially relatives and family</w:t>
      </w:r>
      <w:r w:rsidR="004F6EC6">
        <w:rPr>
          <w:rFonts w:asciiTheme="majorBidi" w:hAnsiTheme="majorBidi" w:cstheme="majorBidi"/>
          <w:sz w:val="28"/>
          <w:szCs w:val="28"/>
        </w:rPr>
        <w:t xml:space="preserve">, </w:t>
      </w:r>
      <w:r w:rsidR="004F6EC6" w:rsidRPr="004F6EC6">
        <w:rPr>
          <w:rFonts w:asciiTheme="majorBidi" w:hAnsiTheme="majorBidi" w:cstheme="majorBidi"/>
          <w:sz w:val="28"/>
          <w:szCs w:val="28"/>
        </w:rPr>
        <w:t>in addition to school principals who understand the plight of this group, to register their children</w:t>
      </w:r>
      <w:r w:rsidR="00B37610">
        <w:rPr>
          <w:rStyle w:val="FootnoteReference"/>
          <w:rFonts w:asciiTheme="majorBidi" w:hAnsiTheme="majorBidi" w:cstheme="majorBidi"/>
          <w:sz w:val="28"/>
          <w:szCs w:val="28"/>
        </w:rPr>
        <w:footnoteReference w:id="24"/>
      </w:r>
      <w:r w:rsidR="004F6EC6">
        <w:rPr>
          <w:rFonts w:asciiTheme="majorBidi" w:hAnsiTheme="majorBidi" w:cstheme="majorBidi"/>
          <w:sz w:val="28"/>
          <w:szCs w:val="28"/>
        </w:rPr>
        <w:t>.</w:t>
      </w:r>
    </w:p>
    <w:p w14:paraId="458FFD86" w14:textId="366FD425" w:rsidR="00713444" w:rsidRDefault="00713444" w:rsidP="004F6EC6">
      <w:pPr>
        <w:rPr>
          <w:rFonts w:asciiTheme="majorBidi" w:hAnsiTheme="majorBidi" w:cstheme="majorBidi"/>
          <w:sz w:val="28"/>
          <w:szCs w:val="28"/>
        </w:rPr>
      </w:pPr>
      <w:r w:rsidRPr="00713444">
        <w:rPr>
          <w:rFonts w:asciiTheme="majorBidi" w:hAnsiTheme="majorBidi" w:cstheme="majorBidi"/>
          <w:sz w:val="28"/>
          <w:szCs w:val="28"/>
        </w:rPr>
        <w:t xml:space="preserve">In a related context, none of those whose citizenship was revoked before they reached eighteen years of age were able to pursue university education, even if their families could pay the prescribed fees for that. Maat reviewed many testimonies of university students whose fathers’ citizenship was revoked, as Qatar State University refused to register </w:t>
      </w:r>
      <w:r w:rsidR="004F6EC6">
        <w:rPr>
          <w:rFonts w:asciiTheme="majorBidi" w:hAnsiTheme="majorBidi" w:cstheme="majorBidi"/>
          <w:sz w:val="28"/>
          <w:szCs w:val="28"/>
        </w:rPr>
        <w:t>these students</w:t>
      </w:r>
      <w:r w:rsidRPr="00713444">
        <w:rPr>
          <w:rFonts w:asciiTheme="majorBidi" w:hAnsiTheme="majorBidi" w:cstheme="majorBidi"/>
          <w:sz w:val="28"/>
          <w:szCs w:val="28"/>
        </w:rPr>
        <w:t xml:space="preserve"> in the final stage. The complex procedures faced by these students whose family citizenship was revoked included the university administration’s request to obtain the approval of the Ministry of Interior. In most cases, the Qatari Ministry of Interior refuses to respond to these requests, which prevents children who have completed secondary education from continuing their university education</w:t>
      </w:r>
      <w:r w:rsidR="00B37610">
        <w:rPr>
          <w:rStyle w:val="FootnoteReference"/>
          <w:rFonts w:asciiTheme="majorBidi" w:hAnsiTheme="majorBidi" w:cstheme="majorBidi"/>
          <w:sz w:val="28"/>
          <w:szCs w:val="28"/>
        </w:rPr>
        <w:footnoteReference w:id="25"/>
      </w:r>
      <w:r w:rsidRPr="00713444">
        <w:rPr>
          <w:rFonts w:asciiTheme="majorBidi" w:hAnsiTheme="majorBidi" w:cstheme="majorBidi"/>
          <w:sz w:val="28"/>
          <w:szCs w:val="28"/>
        </w:rPr>
        <w:t>.</w:t>
      </w:r>
    </w:p>
    <w:p w14:paraId="123C4499" w14:textId="1C4225EA" w:rsidR="004F6EC6" w:rsidRPr="004F6EC6" w:rsidRDefault="004F6EC6" w:rsidP="004F6EC6">
      <w:pPr>
        <w:shd w:val="clear" w:color="auto" w:fill="D9E2F3" w:themeFill="accent5" w:themeFillTint="33"/>
        <w:rPr>
          <w:rFonts w:asciiTheme="majorBidi" w:hAnsiTheme="majorBidi" w:cstheme="majorBidi"/>
          <w:b/>
          <w:bCs/>
          <w:sz w:val="28"/>
          <w:szCs w:val="28"/>
        </w:rPr>
      </w:pPr>
      <w:r w:rsidRPr="004F6EC6">
        <w:rPr>
          <w:rFonts w:asciiTheme="majorBidi" w:hAnsiTheme="majorBidi" w:cstheme="majorBidi"/>
          <w:b/>
          <w:bCs/>
          <w:sz w:val="28"/>
          <w:szCs w:val="28"/>
        </w:rPr>
        <w:t>Maat recommends the following:</w:t>
      </w:r>
    </w:p>
    <w:p w14:paraId="2D206432" w14:textId="77777777" w:rsidR="004F6EC6" w:rsidRPr="004F6EC6" w:rsidRDefault="004F6EC6" w:rsidP="004F6EC6">
      <w:pPr>
        <w:pStyle w:val="ListParagraph"/>
        <w:numPr>
          <w:ilvl w:val="0"/>
          <w:numId w:val="27"/>
        </w:numPr>
        <w:rPr>
          <w:rFonts w:asciiTheme="majorBidi" w:hAnsiTheme="majorBidi" w:cstheme="majorBidi"/>
          <w:sz w:val="28"/>
          <w:szCs w:val="28"/>
        </w:rPr>
      </w:pPr>
      <w:r w:rsidRPr="004F6EC6">
        <w:rPr>
          <w:rFonts w:asciiTheme="majorBidi" w:hAnsiTheme="majorBidi" w:cstheme="majorBidi"/>
          <w:sz w:val="28"/>
          <w:szCs w:val="28"/>
        </w:rPr>
        <w:t>Consider adopting a definition of racial discrimination consistent with the definition contained in Article 1 of the Convention on the Elimination of All Forms of Racial Discrimination;</w:t>
      </w:r>
    </w:p>
    <w:p w14:paraId="4EB097FF" w14:textId="77777777" w:rsidR="004F6EC6" w:rsidRPr="004F6EC6" w:rsidRDefault="004F6EC6" w:rsidP="004F6EC6">
      <w:pPr>
        <w:pStyle w:val="ListParagraph"/>
        <w:numPr>
          <w:ilvl w:val="0"/>
          <w:numId w:val="27"/>
        </w:numPr>
        <w:rPr>
          <w:rFonts w:asciiTheme="majorBidi" w:hAnsiTheme="majorBidi" w:cstheme="majorBidi"/>
          <w:sz w:val="28"/>
          <w:szCs w:val="28"/>
        </w:rPr>
      </w:pPr>
      <w:r w:rsidRPr="004F6EC6">
        <w:rPr>
          <w:rFonts w:asciiTheme="majorBidi" w:hAnsiTheme="majorBidi" w:cstheme="majorBidi"/>
          <w:sz w:val="28"/>
          <w:szCs w:val="28"/>
        </w:rPr>
        <w:t>Consider amending or repealing legislation and laws that perpetuate discrimination against persons belonging to religious minorities.</w:t>
      </w:r>
    </w:p>
    <w:p w14:paraId="67C3F690" w14:textId="1AA7FA44" w:rsidR="004F6EC6" w:rsidRPr="004F6EC6" w:rsidRDefault="004F6EC6" w:rsidP="004F6EC6">
      <w:pPr>
        <w:pStyle w:val="ListParagraph"/>
        <w:numPr>
          <w:ilvl w:val="0"/>
          <w:numId w:val="27"/>
        </w:numPr>
        <w:rPr>
          <w:rFonts w:asciiTheme="majorBidi" w:hAnsiTheme="majorBidi" w:cstheme="majorBidi"/>
          <w:sz w:val="28"/>
          <w:szCs w:val="28"/>
        </w:rPr>
      </w:pPr>
      <w:r w:rsidRPr="004F6EC6">
        <w:rPr>
          <w:rFonts w:asciiTheme="majorBidi" w:hAnsiTheme="majorBidi" w:cstheme="majorBidi"/>
          <w:sz w:val="28"/>
          <w:szCs w:val="28"/>
        </w:rPr>
        <w:t>Work to end the policies of expulsion, forced deportation, and religious purification</w:t>
      </w:r>
      <w:r w:rsidRPr="004F6EC6">
        <w:rPr>
          <w:rFonts w:asciiTheme="majorBidi" w:hAnsiTheme="majorBidi" w:cstheme="majorBidi"/>
          <w:sz w:val="28"/>
          <w:szCs w:val="28"/>
        </w:rPr>
        <w:t xml:space="preserve"> </w:t>
      </w:r>
      <w:r w:rsidRPr="004F6EC6">
        <w:rPr>
          <w:rFonts w:asciiTheme="majorBidi" w:hAnsiTheme="majorBidi" w:cstheme="majorBidi"/>
          <w:sz w:val="28"/>
          <w:szCs w:val="28"/>
        </w:rPr>
        <w:t>against individuals belonging to religious minority communities, especially Baha’is and Christians.</w:t>
      </w:r>
    </w:p>
    <w:p w14:paraId="63D6E5DA" w14:textId="79CD192D" w:rsidR="004F6EC6" w:rsidRPr="004F6EC6" w:rsidRDefault="004F6EC6" w:rsidP="004F6EC6">
      <w:pPr>
        <w:pStyle w:val="ListParagraph"/>
        <w:numPr>
          <w:ilvl w:val="0"/>
          <w:numId w:val="27"/>
        </w:numPr>
        <w:rPr>
          <w:rFonts w:asciiTheme="majorBidi" w:hAnsiTheme="majorBidi" w:cstheme="majorBidi"/>
          <w:sz w:val="28"/>
          <w:szCs w:val="28"/>
        </w:rPr>
      </w:pPr>
      <w:r w:rsidRPr="004F6EC6">
        <w:rPr>
          <w:rFonts w:asciiTheme="majorBidi" w:hAnsiTheme="majorBidi" w:cstheme="majorBidi"/>
          <w:sz w:val="28"/>
          <w:szCs w:val="28"/>
        </w:rPr>
        <w:lastRenderedPageBreak/>
        <w:t>Consider accelerating the adoption of the Media Activities Bill prohibiting anti-immigrant racism in the media</w:t>
      </w:r>
      <w:r>
        <w:rPr>
          <w:rFonts w:asciiTheme="majorBidi" w:hAnsiTheme="majorBidi" w:cstheme="majorBidi"/>
          <w:sz w:val="28"/>
          <w:szCs w:val="28"/>
        </w:rPr>
        <w:t>.</w:t>
      </w:r>
    </w:p>
    <w:p w14:paraId="463CB97B" w14:textId="77777777" w:rsidR="004F6EC6" w:rsidRPr="004F6EC6" w:rsidRDefault="004F6EC6" w:rsidP="004F6EC6">
      <w:pPr>
        <w:pStyle w:val="ListParagraph"/>
        <w:numPr>
          <w:ilvl w:val="0"/>
          <w:numId w:val="27"/>
        </w:numPr>
        <w:rPr>
          <w:rFonts w:asciiTheme="majorBidi" w:hAnsiTheme="majorBidi" w:cstheme="majorBidi"/>
          <w:sz w:val="28"/>
          <w:szCs w:val="28"/>
        </w:rPr>
      </w:pPr>
      <w:r w:rsidRPr="004F6EC6">
        <w:rPr>
          <w:rFonts w:asciiTheme="majorBidi" w:hAnsiTheme="majorBidi" w:cstheme="majorBidi"/>
          <w:sz w:val="28"/>
          <w:szCs w:val="28"/>
        </w:rPr>
        <w:t>Take additional measures to ensure migrant workers' access to justice, improve complaints mechanisms, make legal aid available to all migrant workers, and improve the interpretation and translation service in courts and labor dispute committees;</w:t>
      </w:r>
    </w:p>
    <w:p w14:paraId="213C11A3" w14:textId="22A482FF" w:rsidR="004F6EC6" w:rsidRPr="004F6EC6" w:rsidRDefault="004F6EC6" w:rsidP="004F6EC6">
      <w:pPr>
        <w:pStyle w:val="ListParagraph"/>
        <w:numPr>
          <w:ilvl w:val="0"/>
          <w:numId w:val="27"/>
        </w:numPr>
        <w:rPr>
          <w:rFonts w:asciiTheme="majorBidi" w:hAnsiTheme="majorBidi" w:cstheme="majorBidi"/>
          <w:sz w:val="28"/>
          <w:szCs w:val="28"/>
          <w:rtl/>
        </w:rPr>
      </w:pPr>
      <w:r w:rsidRPr="004F6EC6">
        <w:rPr>
          <w:rFonts w:asciiTheme="majorBidi" w:hAnsiTheme="majorBidi" w:cstheme="majorBidi"/>
          <w:sz w:val="28"/>
          <w:szCs w:val="28"/>
        </w:rPr>
        <w:t>The need to follow non-discriminatory policies regarding access to education for citizens and expatriates in the State of Qatar.</w:t>
      </w:r>
    </w:p>
    <w:sectPr w:rsidR="004F6EC6" w:rsidRPr="004F6EC6" w:rsidSect="001A397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3E353" w14:textId="77777777" w:rsidR="001A3976" w:rsidRDefault="001A3976" w:rsidP="004F6D5A">
      <w:pPr>
        <w:spacing w:after="0" w:line="240" w:lineRule="auto"/>
      </w:pPr>
      <w:r>
        <w:separator/>
      </w:r>
    </w:p>
  </w:endnote>
  <w:endnote w:type="continuationSeparator" w:id="0">
    <w:p w14:paraId="1DDA340E" w14:textId="77777777" w:rsidR="001A3976" w:rsidRDefault="001A3976"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rsidTr="007A601B">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rsidTr="007A601B">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El-Zyrae Road, El Matbaa</w:t>
          </w:r>
          <w:r w:rsidRPr="000F15D5">
            <w:rPr>
              <w:rFonts w:asciiTheme="majorBidi" w:eastAsia="Times New Roman" w:hAnsiTheme="majorBidi" w:cstheme="majorBidi"/>
              <w:color w:val="000000"/>
              <w:sz w:val="18"/>
              <w:szCs w:val="18"/>
              <w:rtl/>
            </w:rPr>
            <w:t xml:space="preserve"> </w:t>
          </w:r>
          <w:r w:rsidRPr="000F15D5">
            <w:rPr>
              <w:rFonts w:asciiTheme="majorBidi" w:eastAsia="Times New Roman" w:hAnsiTheme="majorBidi" w:cstheme="majorBidi"/>
              <w:color w:val="000000"/>
              <w:sz w:val="18"/>
              <w:szCs w:val="18"/>
            </w:rPr>
            <w:t>Sq, Hadayek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rsidTr="007A601B">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380 Corniche El Nil St., Gawharet El Maadi Tower,38th Floor, Tower B, Cairo, Egypt</w:t>
          </w:r>
        </w:p>
      </w:tc>
    </w:tr>
    <w:tr w:rsidR="00646A53" w14:paraId="7F46E2BA" w14:textId="77777777" w:rsidTr="007A601B">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rsidTr="007A601B">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8DD43" w14:textId="77777777" w:rsidR="001A3976" w:rsidRDefault="001A3976" w:rsidP="004F6D5A">
      <w:pPr>
        <w:spacing w:after="0" w:line="240" w:lineRule="auto"/>
      </w:pPr>
      <w:r>
        <w:separator/>
      </w:r>
    </w:p>
  </w:footnote>
  <w:footnote w:type="continuationSeparator" w:id="0">
    <w:p w14:paraId="46252A48" w14:textId="77777777" w:rsidR="001A3976" w:rsidRDefault="001A3976" w:rsidP="004F6D5A">
      <w:pPr>
        <w:spacing w:after="0" w:line="240" w:lineRule="auto"/>
      </w:pPr>
      <w:r>
        <w:continuationSeparator/>
      </w:r>
    </w:p>
  </w:footnote>
  <w:footnote w:id="1">
    <w:p w14:paraId="0736216A" w14:textId="6C7A8836" w:rsidR="004F6EC6" w:rsidRDefault="004F6EC6">
      <w:pPr>
        <w:pStyle w:val="FootnoteText"/>
      </w:pPr>
      <w:r>
        <w:rPr>
          <w:rStyle w:val="FootnoteReference"/>
        </w:rPr>
        <w:footnoteRef/>
      </w:r>
      <w:r>
        <w:t xml:space="preserve"> </w:t>
      </w:r>
      <w:r w:rsidRPr="004F6EC6">
        <w:t xml:space="preserve">Combined twenty-second and twenty-third reports submitted by Qatar under article 9 of the Convention, due in 2021, </w:t>
      </w:r>
      <w:hyperlink r:id="rId1" w:history="1">
        <w:r w:rsidRPr="00BA2D34">
          <w:rPr>
            <w:rStyle w:val="Hyperlink"/>
          </w:rPr>
          <w:t>https://tinyurl.com/bdhzw5he</w:t>
        </w:r>
      </w:hyperlink>
      <w:r>
        <w:t xml:space="preserve"> </w:t>
      </w:r>
    </w:p>
  </w:footnote>
  <w:footnote w:id="2">
    <w:p w14:paraId="5C042F43" w14:textId="35F56F75" w:rsidR="00ED3ED2" w:rsidRDefault="00ED3ED2">
      <w:pPr>
        <w:pStyle w:val="FootnoteText"/>
      </w:pPr>
      <w:r>
        <w:rPr>
          <w:rStyle w:val="FootnoteReference"/>
        </w:rPr>
        <w:footnoteRef/>
      </w:r>
      <w:r>
        <w:t xml:space="preserve"> Ibid</w:t>
      </w:r>
    </w:p>
  </w:footnote>
  <w:footnote w:id="3">
    <w:p w14:paraId="0EF6BEF3" w14:textId="4B4F174E" w:rsidR="00ED3ED2" w:rsidRDefault="00ED3ED2">
      <w:pPr>
        <w:pStyle w:val="FootnoteText"/>
      </w:pPr>
      <w:r>
        <w:rPr>
          <w:rStyle w:val="FootnoteReference"/>
        </w:rPr>
        <w:footnoteRef/>
      </w:r>
      <w:r>
        <w:t xml:space="preserve"> </w:t>
      </w:r>
      <w:r w:rsidRPr="00ED3ED2">
        <w:t xml:space="preserve">In the Circle of Crises: The Situation of Human Rights in the Arab Region 2022, Maat’s annual report on the human rights situation in the Arab world, March 26, 2023, </w:t>
      </w:r>
      <w:hyperlink r:id="rId2" w:history="1">
        <w:r w:rsidRPr="00BA2D34">
          <w:rPr>
            <w:rStyle w:val="Hyperlink"/>
          </w:rPr>
          <w:t>http://tinyurl.com/yctx56ty</w:t>
        </w:r>
      </w:hyperlink>
      <w:r>
        <w:t xml:space="preserve"> </w:t>
      </w:r>
    </w:p>
  </w:footnote>
  <w:footnote w:id="4">
    <w:p w14:paraId="5CF77EF4" w14:textId="436EA6ED" w:rsidR="00ED3ED2" w:rsidRDefault="00ED3ED2">
      <w:pPr>
        <w:pStyle w:val="FootnoteText"/>
      </w:pPr>
      <w:r>
        <w:rPr>
          <w:rStyle w:val="FootnoteReference"/>
        </w:rPr>
        <w:footnoteRef/>
      </w:r>
      <w:r>
        <w:t xml:space="preserve"> </w:t>
      </w:r>
      <w:r w:rsidRPr="00ED3ED2">
        <w:t xml:space="preserve">Members of the Shura Council of Qatar, </w:t>
      </w:r>
      <w:hyperlink r:id="rId3" w:history="1">
        <w:r w:rsidRPr="00BA2D34">
          <w:rPr>
            <w:rStyle w:val="Hyperlink"/>
          </w:rPr>
          <w:t>http://tinyurl.com/my6e8bc</w:t>
        </w:r>
      </w:hyperlink>
      <w:r>
        <w:t xml:space="preserve"> </w:t>
      </w:r>
    </w:p>
  </w:footnote>
  <w:footnote w:id="5">
    <w:p w14:paraId="1B960450" w14:textId="70905FDB" w:rsidR="00ED3ED2" w:rsidRDefault="00ED3ED2">
      <w:pPr>
        <w:pStyle w:val="FootnoteText"/>
      </w:pPr>
      <w:r>
        <w:rPr>
          <w:rStyle w:val="FootnoteReference"/>
        </w:rPr>
        <w:footnoteRef/>
      </w:r>
      <w:r>
        <w:t xml:space="preserve"> </w:t>
      </w:r>
      <w:r w:rsidRPr="00ED3ED2">
        <w:t xml:space="preserve">Cabinet Resolution No. (17) of 2007 regarding priorities and controls for using the housing system, Al-Mizan, at the following link: </w:t>
      </w:r>
      <w:hyperlink r:id="rId4" w:history="1">
        <w:r w:rsidRPr="00BA2D34">
          <w:rPr>
            <w:rStyle w:val="Hyperlink"/>
          </w:rPr>
          <w:t>https://bit.ly/3CzxFHS</w:t>
        </w:r>
      </w:hyperlink>
      <w:r>
        <w:t xml:space="preserve"> </w:t>
      </w:r>
    </w:p>
  </w:footnote>
  <w:footnote w:id="6">
    <w:p w14:paraId="4F67404C" w14:textId="5FA07376" w:rsidR="00FA13E3" w:rsidRDefault="00FA13E3">
      <w:pPr>
        <w:pStyle w:val="FootnoteText"/>
      </w:pPr>
      <w:r>
        <w:rPr>
          <w:rStyle w:val="FootnoteReference"/>
        </w:rPr>
        <w:footnoteRef/>
      </w:r>
      <w:r>
        <w:t xml:space="preserve"> </w:t>
      </w:r>
      <w:r w:rsidRPr="00FA13E3">
        <w:t xml:space="preserve">Cabinet Resolution No. (17) of 2007 regarding priorities and controls for using the housing system, Al-Mizan, Article 4, at the following link: </w:t>
      </w:r>
      <w:hyperlink r:id="rId5" w:history="1">
        <w:r w:rsidRPr="00BA2D34">
          <w:rPr>
            <w:rStyle w:val="Hyperlink"/>
          </w:rPr>
          <w:t>https://bit.ly/3AclIGv</w:t>
        </w:r>
      </w:hyperlink>
      <w:r>
        <w:t xml:space="preserve"> </w:t>
      </w:r>
    </w:p>
  </w:footnote>
  <w:footnote w:id="7">
    <w:p w14:paraId="3DBDBFE8" w14:textId="52C794D9" w:rsidR="00FA13E3" w:rsidRDefault="00FA13E3">
      <w:pPr>
        <w:pStyle w:val="FootnoteText"/>
      </w:pPr>
      <w:r>
        <w:rPr>
          <w:rStyle w:val="FootnoteReference"/>
        </w:rPr>
        <w:footnoteRef/>
      </w:r>
      <w:r>
        <w:t xml:space="preserve"> </w:t>
      </w:r>
      <w:r>
        <w:rPr>
          <w:rFonts w:ascii="Calibri" w:eastAsia="Calibri" w:hAnsi="Calibri" w:cs="Calibri"/>
          <w:color w:val="000000"/>
        </w:rPr>
        <w:t xml:space="preserve">Ibid, </w:t>
      </w:r>
      <w:hyperlink r:id="rId6">
        <w:r>
          <w:rPr>
            <w:rFonts w:ascii="Calibri" w:eastAsia="Calibri" w:hAnsi="Calibri" w:cs="Calibri"/>
            <w:color w:val="0563C1"/>
            <w:u w:val="single"/>
          </w:rPr>
          <w:t>https://tinyurl.com/bdhzw5he</w:t>
        </w:r>
      </w:hyperlink>
    </w:p>
  </w:footnote>
  <w:footnote w:id="8">
    <w:p w14:paraId="2FFA0811" w14:textId="5F832754" w:rsidR="00FA13E3" w:rsidRDefault="00FA13E3">
      <w:pPr>
        <w:pStyle w:val="FootnoteText"/>
      </w:pPr>
      <w:r>
        <w:rPr>
          <w:rStyle w:val="FootnoteReference"/>
        </w:rPr>
        <w:footnoteRef/>
      </w:r>
      <w:r>
        <w:t xml:space="preserve"> </w:t>
      </w:r>
      <w:r>
        <w:rPr>
          <w:rFonts w:ascii="Calibri" w:eastAsia="Calibri" w:hAnsi="Calibri" w:cs="Calibri"/>
          <w:color w:val="000000"/>
        </w:rPr>
        <w:t xml:space="preserve">2022 Country Reports on Human Rights Practices: Qatar, </w:t>
      </w:r>
      <w:hyperlink r:id="rId7">
        <w:r>
          <w:rPr>
            <w:rFonts w:ascii="Calibri" w:eastAsia="Calibri" w:hAnsi="Calibri" w:cs="Calibri"/>
            <w:color w:val="0563C1"/>
            <w:u w:val="single"/>
          </w:rPr>
          <w:t>https://www.state.gov/reports/2022-country-reports-on-human-rights-practices/qatar/</w:t>
        </w:r>
      </w:hyperlink>
    </w:p>
  </w:footnote>
  <w:footnote w:id="9">
    <w:p w14:paraId="1C73CFF8" w14:textId="032E5755" w:rsidR="00B37610" w:rsidRDefault="00B37610">
      <w:pPr>
        <w:pStyle w:val="FootnoteText"/>
      </w:pPr>
      <w:r>
        <w:rPr>
          <w:rStyle w:val="FootnoteReference"/>
        </w:rPr>
        <w:footnoteRef/>
      </w:r>
      <w:r>
        <w:t xml:space="preserve"> Ibid</w:t>
      </w:r>
    </w:p>
  </w:footnote>
  <w:footnote w:id="10">
    <w:p w14:paraId="7E72D8E9" w14:textId="5E6E7DC1" w:rsidR="00B37610" w:rsidRDefault="00B37610">
      <w:pPr>
        <w:pStyle w:val="FootnoteText"/>
      </w:pPr>
      <w:r>
        <w:rPr>
          <w:rStyle w:val="FootnoteReference"/>
        </w:rPr>
        <w:footnoteRef/>
      </w:r>
      <w:r>
        <w:t xml:space="preserve"> </w:t>
      </w:r>
      <w:r w:rsidRPr="00B37610">
        <w:t xml:space="preserve">2022 Report on International Religious Freedom: Qatar, </w:t>
      </w:r>
      <w:hyperlink r:id="rId8" w:history="1">
        <w:r w:rsidRPr="00BA2D34">
          <w:rPr>
            <w:rStyle w:val="Hyperlink"/>
          </w:rPr>
          <w:t>https://www.state.gov/reports/2022-report-on-international-religious-freedom/qatar/</w:t>
        </w:r>
      </w:hyperlink>
      <w:r>
        <w:t xml:space="preserve"> </w:t>
      </w:r>
    </w:p>
  </w:footnote>
  <w:footnote w:id="11">
    <w:p w14:paraId="216D5362" w14:textId="60F9D39E" w:rsidR="00B37610" w:rsidRDefault="00B37610">
      <w:pPr>
        <w:pStyle w:val="FootnoteText"/>
      </w:pPr>
      <w:r>
        <w:rPr>
          <w:rStyle w:val="FootnoteReference"/>
        </w:rPr>
        <w:footnoteRef/>
      </w:r>
      <w:r>
        <w:t xml:space="preserve"> </w:t>
      </w:r>
      <w:r w:rsidRPr="00B37610">
        <w:t xml:space="preserve">In the Spotlight: Minority Rights in Qatar, Maat for Peace, Development and Human Rights, May 8, 2023, link: </w:t>
      </w:r>
      <w:hyperlink r:id="rId9" w:history="1">
        <w:r w:rsidRPr="00BA2D34">
          <w:rPr>
            <w:rStyle w:val="Hyperlink"/>
          </w:rPr>
          <w:t>https://tinyl.io/AEzz</w:t>
        </w:r>
      </w:hyperlink>
      <w:r>
        <w:t xml:space="preserve"> </w:t>
      </w:r>
    </w:p>
  </w:footnote>
  <w:footnote w:id="12">
    <w:p w14:paraId="305008E9" w14:textId="0384DB82" w:rsidR="00B37610" w:rsidRDefault="00B37610">
      <w:pPr>
        <w:pStyle w:val="FootnoteText"/>
      </w:pPr>
      <w:r>
        <w:rPr>
          <w:rStyle w:val="FootnoteReference"/>
        </w:rPr>
        <w:footnoteRef/>
      </w:r>
      <w:r>
        <w:t xml:space="preserve"> </w:t>
      </w:r>
      <w:r w:rsidRPr="00B37610">
        <w:t xml:space="preserve">International Convention on the Elimination of All Forms of Racial Discrimination, </w:t>
      </w:r>
      <w:hyperlink r:id="rId10" w:history="1">
        <w:r w:rsidRPr="00BA2D34">
          <w:rPr>
            <w:rStyle w:val="Hyperlink"/>
          </w:rPr>
          <w:t>https://tinyurl.com/4jn75htu</w:t>
        </w:r>
      </w:hyperlink>
      <w:r>
        <w:t xml:space="preserve"> </w:t>
      </w:r>
    </w:p>
  </w:footnote>
  <w:footnote w:id="13">
    <w:p w14:paraId="296ED345" w14:textId="506CC3C0" w:rsidR="00B37610" w:rsidRDefault="00B37610">
      <w:pPr>
        <w:pStyle w:val="FootnoteText"/>
      </w:pPr>
      <w:r>
        <w:rPr>
          <w:rStyle w:val="FootnoteReference"/>
        </w:rPr>
        <w:footnoteRef/>
      </w:r>
      <w:r>
        <w:t xml:space="preserve"> </w:t>
      </w:r>
      <w:r w:rsidRPr="00B37610">
        <w:t xml:space="preserve">The Council of Ministers approves a draft law regulating publications, publishing, and media activities, Al-Sharq, September 19, 2018, </w:t>
      </w:r>
      <w:hyperlink r:id="rId11" w:history="1">
        <w:r w:rsidRPr="00BA2D34">
          <w:rPr>
            <w:rStyle w:val="Hyperlink"/>
          </w:rPr>
          <w:t>https://tinyurl.com/ye28wmbd</w:t>
        </w:r>
      </w:hyperlink>
      <w:r w:rsidRPr="00B37610">
        <w:t>.</w:t>
      </w:r>
      <w:r>
        <w:t xml:space="preserve"> </w:t>
      </w:r>
    </w:p>
  </w:footnote>
  <w:footnote w:id="14">
    <w:p w14:paraId="3F9A0247" w14:textId="1E52C6B2" w:rsidR="00B37610" w:rsidRDefault="00B37610">
      <w:pPr>
        <w:pStyle w:val="FootnoteText"/>
      </w:pPr>
      <w:r>
        <w:rPr>
          <w:rStyle w:val="FootnoteReference"/>
        </w:rPr>
        <w:footnoteRef/>
      </w:r>
      <w:r>
        <w:t xml:space="preserve"> </w:t>
      </w:r>
      <w:r w:rsidRPr="00B37610">
        <w:t xml:space="preserve">2023 Human Trafficking Report: Qatar, US Embassy in Qatar, </w:t>
      </w:r>
      <w:hyperlink r:id="rId12" w:history="1">
        <w:r w:rsidRPr="00BA2D34">
          <w:rPr>
            <w:rStyle w:val="Hyperlink"/>
          </w:rPr>
          <w:t>http://tinyurl.com/fu5bfumy</w:t>
        </w:r>
      </w:hyperlink>
      <w:r>
        <w:t xml:space="preserve"> </w:t>
      </w:r>
    </w:p>
  </w:footnote>
  <w:footnote w:id="15">
    <w:p w14:paraId="6F57ED72" w14:textId="1BE74566" w:rsidR="00B37610" w:rsidRDefault="00B37610">
      <w:pPr>
        <w:pStyle w:val="FootnoteText"/>
      </w:pPr>
      <w:r>
        <w:rPr>
          <w:rStyle w:val="FootnoteReference"/>
        </w:rPr>
        <w:footnoteRef/>
      </w:r>
      <w:r>
        <w:t xml:space="preserve"> </w:t>
      </w:r>
      <w:r w:rsidRPr="00B37610">
        <w:t xml:space="preserve">Permanent unpaid work: The struggle of foreign workers in Qatar for justice, p. 11, at the following link: </w:t>
      </w:r>
      <w:hyperlink r:id="rId13" w:history="1">
        <w:r w:rsidRPr="00BA2D34">
          <w:rPr>
            <w:rStyle w:val="Hyperlink"/>
          </w:rPr>
          <w:t>https://www.amnesty.org/en/wp-content/uploads/sites/9/2021/05/MDE2207932019ARABIC.pdf</w:t>
        </w:r>
      </w:hyperlink>
      <w:r>
        <w:t xml:space="preserve"> </w:t>
      </w:r>
    </w:p>
  </w:footnote>
  <w:footnote w:id="16">
    <w:p w14:paraId="34EE2F13" w14:textId="06B5C916" w:rsidR="00B37610" w:rsidRDefault="00B37610">
      <w:pPr>
        <w:pStyle w:val="FootnoteText"/>
      </w:pPr>
      <w:r>
        <w:rPr>
          <w:rStyle w:val="FootnoteReference"/>
        </w:rPr>
        <w:footnoteRef/>
      </w:r>
      <w:r>
        <w:t xml:space="preserve"> </w:t>
      </w:r>
      <w:r w:rsidRPr="00B37610">
        <w:t xml:space="preserve">List of themes in relation to the combined twenty-second and twenty-third periodic reports of Qatar, </w:t>
      </w:r>
      <w:hyperlink r:id="rId14" w:history="1">
        <w:r w:rsidRPr="00BA2D34">
          <w:rPr>
            <w:rStyle w:val="Hyperlink"/>
          </w:rPr>
          <w:t>https://tinyurl.com/m9me6s9x</w:t>
        </w:r>
      </w:hyperlink>
      <w:r>
        <w:t xml:space="preserve"> </w:t>
      </w:r>
    </w:p>
  </w:footnote>
  <w:footnote w:id="17">
    <w:p w14:paraId="65750414" w14:textId="625DAB62" w:rsidR="00B37610" w:rsidRDefault="00B37610">
      <w:pPr>
        <w:pStyle w:val="FootnoteText"/>
      </w:pPr>
      <w:r>
        <w:rPr>
          <w:rStyle w:val="FootnoteReference"/>
        </w:rPr>
        <w:footnoteRef/>
      </w:r>
      <w:r>
        <w:t xml:space="preserve"> </w:t>
      </w:r>
      <w:r w:rsidRPr="00B37610">
        <w:t xml:space="preserve">Permanent Constitution of the State of Qatar, Article 49, </w:t>
      </w:r>
      <w:hyperlink r:id="rId15" w:history="1">
        <w:r w:rsidRPr="00BA2D34">
          <w:rPr>
            <w:rStyle w:val="Hyperlink"/>
          </w:rPr>
          <w:t>https://bit.ly/3Zfscki</w:t>
        </w:r>
      </w:hyperlink>
      <w:r>
        <w:t xml:space="preserve"> </w:t>
      </w:r>
    </w:p>
  </w:footnote>
  <w:footnote w:id="18">
    <w:p w14:paraId="7B4AAE79" w14:textId="6ACAD96A" w:rsidR="00B37610" w:rsidRDefault="00B37610">
      <w:pPr>
        <w:pStyle w:val="FootnoteText"/>
      </w:pPr>
      <w:r>
        <w:rPr>
          <w:rStyle w:val="FootnoteReference"/>
        </w:rPr>
        <w:footnoteRef/>
      </w:r>
      <w:r>
        <w:t xml:space="preserve"> </w:t>
      </w:r>
      <w:r w:rsidRPr="00B37610">
        <w:t xml:space="preserve">Law No. (9) of 2017 regarding organizing schools, </w:t>
      </w:r>
      <w:hyperlink r:id="rId16" w:history="1">
        <w:r w:rsidRPr="00BA2D34">
          <w:rPr>
            <w:rStyle w:val="Hyperlink"/>
          </w:rPr>
          <w:t>https://bit.ly/41iZwbZ</w:t>
        </w:r>
      </w:hyperlink>
      <w:r>
        <w:t xml:space="preserve"> </w:t>
      </w:r>
    </w:p>
  </w:footnote>
  <w:footnote w:id="19">
    <w:p w14:paraId="3D6438A1" w14:textId="49585446" w:rsidR="00B37610" w:rsidRDefault="00B37610">
      <w:pPr>
        <w:pStyle w:val="FootnoteText"/>
      </w:pPr>
      <w:r>
        <w:rPr>
          <w:rStyle w:val="FootnoteReference"/>
        </w:rPr>
        <w:footnoteRef/>
      </w:r>
      <w:r>
        <w:t xml:space="preserve"> Ibid</w:t>
      </w:r>
    </w:p>
  </w:footnote>
  <w:footnote w:id="20">
    <w:p w14:paraId="541F4DFE" w14:textId="6F338A17" w:rsidR="00B37610" w:rsidRDefault="00B37610">
      <w:pPr>
        <w:pStyle w:val="FootnoteText"/>
      </w:pPr>
      <w:r>
        <w:rPr>
          <w:rStyle w:val="FootnoteReference"/>
        </w:rPr>
        <w:footnoteRef/>
      </w:r>
      <w:r>
        <w:t xml:space="preserve"> </w:t>
      </w:r>
      <w:r>
        <w:rPr>
          <w:rFonts w:ascii="Calibri" w:eastAsia="Calibri" w:hAnsi="Calibri" w:cs="Calibri"/>
          <w:color w:val="000000"/>
        </w:rPr>
        <w:t xml:space="preserve">Convention against Discrimination in Education, article 1, </w:t>
      </w:r>
      <w:hyperlink r:id="rId17">
        <w:r>
          <w:rPr>
            <w:rFonts w:ascii="Calibri" w:eastAsia="Calibri" w:hAnsi="Calibri" w:cs="Calibri"/>
            <w:color w:val="0563C1"/>
            <w:u w:val="single"/>
          </w:rPr>
          <w:t>https://bit.ly/3KuvHze</w:t>
        </w:r>
      </w:hyperlink>
      <w:r>
        <w:rPr>
          <w:color w:val="0563C1"/>
          <w:u w:val="single"/>
        </w:rPr>
        <w:t xml:space="preserve"> </w:t>
      </w:r>
    </w:p>
  </w:footnote>
  <w:footnote w:id="21">
    <w:p w14:paraId="52BD122F" w14:textId="15051122" w:rsidR="00B37610" w:rsidRDefault="00B37610">
      <w:pPr>
        <w:pStyle w:val="FootnoteText"/>
      </w:pPr>
      <w:r>
        <w:rPr>
          <w:rStyle w:val="FootnoteReference"/>
        </w:rPr>
        <w:footnoteRef/>
      </w:r>
      <w:r>
        <w:t xml:space="preserve"> </w:t>
      </w:r>
      <w:r w:rsidRPr="00B37610">
        <w:t xml:space="preserve">Law No. (12) of 2017 amending some laws related to the Ministry of Education and Higher Education, </w:t>
      </w:r>
      <w:hyperlink r:id="rId18" w:history="1">
        <w:r w:rsidRPr="00BA2D34">
          <w:rPr>
            <w:rStyle w:val="Hyperlink"/>
          </w:rPr>
          <w:t>https://bit.ly/3EtXqMO</w:t>
        </w:r>
      </w:hyperlink>
      <w:r>
        <w:t xml:space="preserve"> </w:t>
      </w:r>
    </w:p>
  </w:footnote>
  <w:footnote w:id="22">
    <w:p w14:paraId="470E72BB" w14:textId="17F3FF6A" w:rsidR="00B37610" w:rsidRDefault="00B37610">
      <w:pPr>
        <w:pStyle w:val="FootnoteText"/>
      </w:pPr>
      <w:r>
        <w:rPr>
          <w:rStyle w:val="FootnoteReference"/>
        </w:rPr>
        <w:footnoteRef/>
      </w:r>
      <w:r>
        <w:t xml:space="preserve"> </w:t>
      </w:r>
      <w:r w:rsidRPr="00B37610">
        <w:t xml:space="preserve">NON-STATE ACTORS IN EDUCATION, UNESCO Qatar, </w:t>
      </w:r>
      <w:hyperlink r:id="rId19" w:history="1">
        <w:r w:rsidRPr="00BA2D34">
          <w:rPr>
            <w:rStyle w:val="Hyperlink"/>
          </w:rPr>
          <w:t>https://bit.ly/3xNuJqt</w:t>
        </w:r>
      </w:hyperlink>
      <w:r>
        <w:t xml:space="preserve"> </w:t>
      </w:r>
    </w:p>
  </w:footnote>
  <w:footnote w:id="23">
    <w:p w14:paraId="65974C92" w14:textId="50C74EE5" w:rsidR="00B37610" w:rsidRDefault="00B37610">
      <w:pPr>
        <w:pStyle w:val="FootnoteText"/>
      </w:pPr>
      <w:r>
        <w:rPr>
          <w:rStyle w:val="FootnoteReference"/>
        </w:rPr>
        <w:footnoteRef/>
      </w:r>
      <w:r>
        <w:t xml:space="preserve"> Ibid</w:t>
      </w:r>
    </w:p>
  </w:footnote>
  <w:footnote w:id="24">
    <w:p w14:paraId="650B8748" w14:textId="443675E6" w:rsidR="00B37610" w:rsidRDefault="00B37610">
      <w:pPr>
        <w:pStyle w:val="FootnoteText"/>
      </w:pPr>
      <w:r>
        <w:rPr>
          <w:rStyle w:val="FootnoteReference"/>
        </w:rPr>
        <w:footnoteRef/>
      </w:r>
      <w:r>
        <w:t xml:space="preserve"> </w:t>
      </w:r>
      <w:r>
        <w:rPr>
          <w:rFonts w:ascii="Calibri" w:eastAsia="Calibri" w:hAnsi="Calibri" w:cs="Calibri"/>
          <w:color w:val="000000"/>
        </w:rPr>
        <w:t xml:space="preserve">Qatar: Families Arbitrarily Stripped of Citizenship, </w:t>
      </w:r>
      <w:hyperlink r:id="rId20">
        <w:r>
          <w:rPr>
            <w:rFonts w:ascii="Calibri" w:eastAsia="Calibri" w:hAnsi="Calibri" w:cs="Calibri"/>
            <w:color w:val="0563C1"/>
            <w:u w:val="single"/>
          </w:rPr>
          <w:t>https://bit.ly/2VwEQiO</w:t>
        </w:r>
      </w:hyperlink>
      <w:r>
        <w:rPr>
          <w:color w:val="0563C1"/>
          <w:u w:val="single"/>
        </w:rPr>
        <w:t xml:space="preserve"> </w:t>
      </w:r>
    </w:p>
  </w:footnote>
  <w:footnote w:id="25">
    <w:p w14:paraId="7B2A65D5" w14:textId="225F8451" w:rsidR="00B37610" w:rsidRDefault="00B37610">
      <w:pPr>
        <w:pStyle w:val="FootnoteText"/>
      </w:pPr>
      <w:r>
        <w:rPr>
          <w:rStyle w:val="FootnoteReference"/>
        </w:rPr>
        <w:footnoteRef/>
      </w:r>
      <w:r>
        <w:t xml:space="preserve"> </w:t>
      </w:r>
      <w:r w:rsidRPr="00B37610">
        <w:t xml:space="preserve">Previous source, at the following link: </w:t>
      </w:r>
      <w:hyperlink r:id="rId21" w:history="1">
        <w:r w:rsidRPr="00BA2D34">
          <w:rPr>
            <w:rStyle w:val="Hyperlink"/>
          </w:rPr>
          <w:t>https://bit.ly/3EtXqMO</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5"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6643794">
    <w:abstractNumId w:val="13"/>
  </w:num>
  <w:num w:numId="2" w16cid:durableId="1872837545">
    <w:abstractNumId w:val="4"/>
  </w:num>
  <w:num w:numId="3" w16cid:durableId="1395853988">
    <w:abstractNumId w:val="1"/>
  </w:num>
  <w:num w:numId="4" w16cid:durableId="1433088168">
    <w:abstractNumId w:val="10"/>
  </w:num>
  <w:num w:numId="5" w16cid:durableId="548880514">
    <w:abstractNumId w:val="3"/>
  </w:num>
  <w:num w:numId="6" w16cid:durableId="1562444441">
    <w:abstractNumId w:val="20"/>
  </w:num>
  <w:num w:numId="7" w16cid:durableId="2106687212">
    <w:abstractNumId w:val="23"/>
  </w:num>
  <w:num w:numId="8" w16cid:durableId="1502812238">
    <w:abstractNumId w:val="25"/>
  </w:num>
  <w:num w:numId="9" w16cid:durableId="1306934831">
    <w:abstractNumId w:val="18"/>
  </w:num>
  <w:num w:numId="10" w16cid:durableId="1127119799">
    <w:abstractNumId w:val="21"/>
  </w:num>
  <w:num w:numId="11" w16cid:durableId="542446060">
    <w:abstractNumId w:val="16"/>
  </w:num>
  <w:num w:numId="12" w16cid:durableId="205873208">
    <w:abstractNumId w:val="24"/>
  </w:num>
  <w:num w:numId="13" w16cid:durableId="867110885">
    <w:abstractNumId w:val="15"/>
  </w:num>
  <w:num w:numId="14" w16cid:durableId="2131976447">
    <w:abstractNumId w:val="6"/>
  </w:num>
  <w:num w:numId="15" w16cid:durableId="1835684291">
    <w:abstractNumId w:val="17"/>
  </w:num>
  <w:num w:numId="16" w16cid:durableId="1857309151">
    <w:abstractNumId w:val="11"/>
  </w:num>
  <w:num w:numId="17" w16cid:durableId="146940342">
    <w:abstractNumId w:val="0"/>
  </w:num>
  <w:num w:numId="18" w16cid:durableId="191113676">
    <w:abstractNumId w:val="14"/>
  </w:num>
  <w:num w:numId="19" w16cid:durableId="2003925715">
    <w:abstractNumId w:val="2"/>
  </w:num>
  <w:num w:numId="20" w16cid:durableId="233589886">
    <w:abstractNumId w:val="8"/>
  </w:num>
  <w:num w:numId="21" w16cid:durableId="1304848174">
    <w:abstractNumId w:val="26"/>
  </w:num>
  <w:num w:numId="22" w16cid:durableId="2011906243">
    <w:abstractNumId w:val="9"/>
  </w:num>
  <w:num w:numId="23" w16cid:durableId="2111581637">
    <w:abstractNumId w:val="12"/>
  </w:num>
  <w:num w:numId="24" w16cid:durableId="994797510">
    <w:abstractNumId w:val="19"/>
  </w:num>
  <w:num w:numId="25" w16cid:durableId="833304255">
    <w:abstractNumId w:val="22"/>
  </w:num>
  <w:num w:numId="26" w16cid:durableId="269318422">
    <w:abstractNumId w:val="7"/>
  </w:num>
  <w:num w:numId="27" w16cid:durableId="9085424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50"/>
    <w:rsid w:val="00015BCC"/>
    <w:rsid w:val="0004495D"/>
    <w:rsid w:val="0004619A"/>
    <w:rsid w:val="00046C49"/>
    <w:rsid w:val="00086352"/>
    <w:rsid w:val="000A0E24"/>
    <w:rsid w:val="000B5D57"/>
    <w:rsid w:val="000C7C14"/>
    <w:rsid w:val="00101544"/>
    <w:rsid w:val="00156C09"/>
    <w:rsid w:val="00196443"/>
    <w:rsid w:val="001A3976"/>
    <w:rsid w:val="001D6213"/>
    <w:rsid w:val="002257CD"/>
    <w:rsid w:val="002305C5"/>
    <w:rsid w:val="00274771"/>
    <w:rsid w:val="002D5B01"/>
    <w:rsid w:val="003319F3"/>
    <w:rsid w:val="003439F7"/>
    <w:rsid w:val="00372B51"/>
    <w:rsid w:val="0038184B"/>
    <w:rsid w:val="003A745E"/>
    <w:rsid w:val="004134D4"/>
    <w:rsid w:val="00414D42"/>
    <w:rsid w:val="00436AE3"/>
    <w:rsid w:val="004650D2"/>
    <w:rsid w:val="00490571"/>
    <w:rsid w:val="004F28E4"/>
    <w:rsid w:val="004F6D5A"/>
    <w:rsid w:val="004F6EC6"/>
    <w:rsid w:val="005025C7"/>
    <w:rsid w:val="00505CB3"/>
    <w:rsid w:val="005132DF"/>
    <w:rsid w:val="00531689"/>
    <w:rsid w:val="00531CED"/>
    <w:rsid w:val="005612DD"/>
    <w:rsid w:val="005801AD"/>
    <w:rsid w:val="0058685C"/>
    <w:rsid w:val="005B3A8D"/>
    <w:rsid w:val="005C3446"/>
    <w:rsid w:val="005E2E96"/>
    <w:rsid w:val="00640577"/>
    <w:rsid w:val="006412F6"/>
    <w:rsid w:val="00646A53"/>
    <w:rsid w:val="006807A3"/>
    <w:rsid w:val="00693967"/>
    <w:rsid w:val="00713444"/>
    <w:rsid w:val="0075015E"/>
    <w:rsid w:val="007A3C77"/>
    <w:rsid w:val="007C3E73"/>
    <w:rsid w:val="007E56C8"/>
    <w:rsid w:val="007F62CB"/>
    <w:rsid w:val="00823F46"/>
    <w:rsid w:val="00826C6D"/>
    <w:rsid w:val="00875304"/>
    <w:rsid w:val="008F2641"/>
    <w:rsid w:val="0091285A"/>
    <w:rsid w:val="009337BF"/>
    <w:rsid w:val="009412A9"/>
    <w:rsid w:val="009850AD"/>
    <w:rsid w:val="009D1F8F"/>
    <w:rsid w:val="009E290C"/>
    <w:rsid w:val="00A3448D"/>
    <w:rsid w:val="00A37636"/>
    <w:rsid w:val="00A537CE"/>
    <w:rsid w:val="00A81650"/>
    <w:rsid w:val="00A83C1E"/>
    <w:rsid w:val="00AF7FD1"/>
    <w:rsid w:val="00B35D5B"/>
    <w:rsid w:val="00B37610"/>
    <w:rsid w:val="00B50DC2"/>
    <w:rsid w:val="00B53978"/>
    <w:rsid w:val="00B66916"/>
    <w:rsid w:val="00BA7411"/>
    <w:rsid w:val="00BB10FB"/>
    <w:rsid w:val="00BB2414"/>
    <w:rsid w:val="00BB2E0C"/>
    <w:rsid w:val="00BC2D2E"/>
    <w:rsid w:val="00C34E13"/>
    <w:rsid w:val="00C47923"/>
    <w:rsid w:val="00CC2F15"/>
    <w:rsid w:val="00CD5381"/>
    <w:rsid w:val="00D01C6A"/>
    <w:rsid w:val="00D11899"/>
    <w:rsid w:val="00DB04A9"/>
    <w:rsid w:val="00DF3596"/>
    <w:rsid w:val="00E3117B"/>
    <w:rsid w:val="00E4520A"/>
    <w:rsid w:val="00E45A93"/>
    <w:rsid w:val="00E55456"/>
    <w:rsid w:val="00EA2C34"/>
    <w:rsid w:val="00EA4670"/>
    <w:rsid w:val="00EB7424"/>
    <w:rsid w:val="00ED3ED2"/>
    <w:rsid w:val="00ED7702"/>
    <w:rsid w:val="00EF597D"/>
    <w:rsid w:val="00F533B4"/>
    <w:rsid w:val="00F56B3D"/>
    <w:rsid w:val="00F94355"/>
    <w:rsid w:val="00FA13E3"/>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58E1D3"/>
  <w15:chartTrackingRefBased/>
  <w15:docId w15:val="{E4AEE0B2-DA05-4C24-9857-515E84AA2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styleId="UnresolvedMention">
    <w:name w:val="Unresolved Mention"/>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2-report-on-international-religious-freedom/qatar/" TargetMode="External"/><Relationship Id="rId13" Type="http://schemas.openxmlformats.org/officeDocument/2006/relationships/hyperlink" Target="https://www.amnesty.org/en/wp-content/uploads/sites/9/2021/05/MDE2207932019ARABIC.pdf" TargetMode="External"/><Relationship Id="rId18" Type="http://schemas.openxmlformats.org/officeDocument/2006/relationships/hyperlink" Target="https://bit.ly/3EtXqMO" TargetMode="External"/><Relationship Id="rId3" Type="http://schemas.openxmlformats.org/officeDocument/2006/relationships/hyperlink" Target="http://tinyurl.com/my6e8bc" TargetMode="External"/><Relationship Id="rId21" Type="http://schemas.openxmlformats.org/officeDocument/2006/relationships/hyperlink" Target="https://bit.ly/3EtXqMO" TargetMode="External"/><Relationship Id="rId7" Type="http://schemas.openxmlformats.org/officeDocument/2006/relationships/hyperlink" Target="https://www.state.gov/reports/2022-country-reports-on-human-rights-practices/qatar/" TargetMode="External"/><Relationship Id="rId12" Type="http://schemas.openxmlformats.org/officeDocument/2006/relationships/hyperlink" Target="http://tinyurl.com/fu5bfumy" TargetMode="External"/><Relationship Id="rId17" Type="http://schemas.openxmlformats.org/officeDocument/2006/relationships/hyperlink" Target="https://bit.ly/3KuvHze" TargetMode="External"/><Relationship Id="rId2" Type="http://schemas.openxmlformats.org/officeDocument/2006/relationships/hyperlink" Target="http://tinyurl.com/yctx56ty" TargetMode="External"/><Relationship Id="rId16" Type="http://schemas.openxmlformats.org/officeDocument/2006/relationships/hyperlink" Target="https://bit.ly/41iZwbZ" TargetMode="External"/><Relationship Id="rId20" Type="http://schemas.openxmlformats.org/officeDocument/2006/relationships/hyperlink" Target="https://bit.ly/2VwEQiO" TargetMode="External"/><Relationship Id="rId1" Type="http://schemas.openxmlformats.org/officeDocument/2006/relationships/hyperlink" Target="https://tinyurl.com/bdhzw5he" TargetMode="External"/><Relationship Id="rId6" Type="http://schemas.openxmlformats.org/officeDocument/2006/relationships/hyperlink" Target="https://tinyurl.com/bdhzw5he" TargetMode="External"/><Relationship Id="rId11" Type="http://schemas.openxmlformats.org/officeDocument/2006/relationships/hyperlink" Target="https://tinyurl.com/ye28wmbd" TargetMode="External"/><Relationship Id="rId5" Type="http://schemas.openxmlformats.org/officeDocument/2006/relationships/hyperlink" Target="https://bit.ly/3AclIGv" TargetMode="External"/><Relationship Id="rId15" Type="http://schemas.openxmlformats.org/officeDocument/2006/relationships/hyperlink" Target="https://bit.ly/3Zfscki" TargetMode="External"/><Relationship Id="rId10" Type="http://schemas.openxmlformats.org/officeDocument/2006/relationships/hyperlink" Target="https://tinyurl.com/4jn75htu" TargetMode="External"/><Relationship Id="rId19" Type="http://schemas.openxmlformats.org/officeDocument/2006/relationships/hyperlink" Target="https://bit.ly/3xNuJqt" TargetMode="External"/><Relationship Id="rId4" Type="http://schemas.openxmlformats.org/officeDocument/2006/relationships/hyperlink" Target="https://bit.ly/3CzxFHS" TargetMode="External"/><Relationship Id="rId9" Type="http://schemas.openxmlformats.org/officeDocument/2006/relationships/hyperlink" Target="https://tinyl.io/AEzz" TargetMode="External"/><Relationship Id="rId14" Type="http://schemas.openxmlformats.org/officeDocument/2006/relationships/hyperlink" Target="https://tinyurl.com/m9me6s9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916C68-DBD0-4ABF-85BB-D221620AF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2332</Words>
  <Characters>13298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 Farash</cp:lastModifiedBy>
  <cp:revision>4</cp:revision>
  <dcterms:created xsi:type="dcterms:W3CDTF">2024-03-23T15:41:00Z</dcterms:created>
  <dcterms:modified xsi:type="dcterms:W3CDTF">2024-03-23T15:48:00Z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