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000002" w14:textId="77777777" w:rsidR="001D331E" w:rsidRPr="00D17241" w:rsidRDefault="005521B7" w:rsidP="00D17241">
      <w:pPr>
        <w:pBdr>
          <w:top w:val="none" w:sz="0" w:space="0" w:color="000000"/>
          <w:left w:val="none" w:sz="0" w:space="0" w:color="000000"/>
          <w:bottom w:val="none" w:sz="0" w:space="0" w:color="000000"/>
          <w:right w:val="none" w:sz="0" w:space="0" w:color="000000"/>
        </w:pBdr>
        <w:spacing w:before="200" w:line="240" w:lineRule="auto"/>
        <w:ind w:firstLine="360"/>
        <w:jc w:val="both"/>
        <w:rPr>
          <w:rFonts w:asciiTheme="minorEastAsia" w:hAnsiTheme="minorEastAsia" w:cstheme="majorHAnsi"/>
          <w:sz w:val="30"/>
          <w:szCs w:val="30"/>
          <w:lang w:val="en-US"/>
        </w:rPr>
      </w:pPr>
      <w:r w:rsidRPr="00D17241">
        <w:rPr>
          <w:rFonts w:asciiTheme="minorEastAsia" w:hAnsiTheme="minorEastAsia" w:cstheme="majorHAnsi"/>
          <w:sz w:val="30"/>
          <w:szCs w:val="30"/>
          <w:lang w:val="en-US"/>
        </w:rPr>
        <w:t>Parallel Report for List of Issues</w:t>
      </w:r>
    </w:p>
    <w:p w14:paraId="00000003" w14:textId="77777777" w:rsidR="001D331E" w:rsidRPr="00D17241" w:rsidRDefault="005521B7" w:rsidP="00D17241">
      <w:pPr>
        <w:pBdr>
          <w:top w:val="none" w:sz="0" w:space="0" w:color="000000"/>
          <w:left w:val="none" w:sz="0" w:space="0" w:color="000000"/>
          <w:bottom w:val="none" w:sz="0" w:space="0" w:color="000000"/>
          <w:right w:val="none" w:sz="0" w:space="0" w:color="000000"/>
        </w:pBdr>
        <w:spacing w:before="200" w:line="240" w:lineRule="auto"/>
        <w:ind w:left="360"/>
        <w:jc w:val="both"/>
        <w:rPr>
          <w:rFonts w:asciiTheme="minorEastAsia" w:hAnsiTheme="minorEastAsia" w:cstheme="majorHAnsi"/>
          <w:b/>
          <w:sz w:val="46"/>
          <w:szCs w:val="46"/>
          <w:lang w:val="en-US"/>
        </w:rPr>
      </w:pPr>
      <w:r w:rsidRPr="00D17241">
        <w:rPr>
          <w:rFonts w:asciiTheme="minorEastAsia" w:hAnsiTheme="minorEastAsia" w:cstheme="majorHAnsi"/>
          <w:b/>
          <w:sz w:val="46"/>
          <w:szCs w:val="46"/>
          <w:lang w:val="en-US"/>
        </w:rPr>
        <w:t xml:space="preserve">Information for the 5th Pre-Sessional Review of the Republic of South Korea by the UN Committee on Economic, Social and Cultural Rights (CESCR) </w:t>
      </w:r>
    </w:p>
    <w:p w14:paraId="00000004" w14:textId="77777777" w:rsidR="001D331E" w:rsidRPr="00D17241" w:rsidRDefault="005521B7" w:rsidP="00D17241">
      <w:pPr>
        <w:numPr>
          <w:ilvl w:val="0"/>
          <w:numId w:val="1"/>
        </w:numPr>
        <w:pBdr>
          <w:top w:val="none" w:sz="0" w:space="0" w:color="000000"/>
          <w:left w:val="none" w:sz="0" w:space="0" w:color="000000"/>
          <w:bottom w:val="none" w:sz="0" w:space="0" w:color="000000"/>
          <w:right w:val="none" w:sz="0" w:space="0" w:color="000000"/>
        </w:pBdr>
        <w:spacing w:before="200" w:line="240" w:lineRule="auto"/>
        <w:jc w:val="both"/>
        <w:rPr>
          <w:rFonts w:asciiTheme="minorEastAsia" w:hAnsiTheme="minorEastAsia" w:cstheme="majorHAnsi"/>
          <w:sz w:val="42"/>
          <w:szCs w:val="42"/>
          <w:lang w:val="en-US"/>
        </w:rPr>
      </w:pPr>
      <w:r w:rsidRPr="00D17241">
        <w:rPr>
          <w:rFonts w:asciiTheme="minorEastAsia" w:hAnsiTheme="minorEastAsia" w:cstheme="majorHAnsi"/>
          <w:sz w:val="42"/>
          <w:szCs w:val="42"/>
          <w:lang w:val="en-US"/>
        </w:rPr>
        <w:t xml:space="preserve">Discrimination against persons with disabilities in the enjoyment of economic, social and cultural rights </w:t>
      </w:r>
    </w:p>
    <w:p w14:paraId="00000005" w14:textId="77777777" w:rsidR="001D331E" w:rsidRPr="00D17241" w:rsidRDefault="001D331E" w:rsidP="00D17241">
      <w:pPr>
        <w:pBdr>
          <w:top w:val="none" w:sz="0" w:space="0" w:color="000000"/>
          <w:left w:val="none" w:sz="0" w:space="0" w:color="000000"/>
          <w:bottom w:val="none" w:sz="0" w:space="0" w:color="000000"/>
          <w:right w:val="none" w:sz="0" w:space="0" w:color="000000"/>
        </w:pBdr>
        <w:spacing w:line="240" w:lineRule="auto"/>
        <w:jc w:val="both"/>
        <w:rPr>
          <w:rFonts w:asciiTheme="minorEastAsia" w:hAnsiTheme="minorEastAsia" w:cstheme="majorHAnsi"/>
          <w:sz w:val="24"/>
          <w:szCs w:val="24"/>
          <w:lang w:val="en-US"/>
        </w:rPr>
      </w:pPr>
    </w:p>
    <w:p w14:paraId="44FEAD9F" w14:textId="77777777" w:rsidR="00D17241" w:rsidRPr="00D17241" w:rsidRDefault="00D17241" w:rsidP="00D17241">
      <w:pPr>
        <w:pBdr>
          <w:top w:val="none" w:sz="0" w:space="0" w:color="000000"/>
          <w:left w:val="none" w:sz="0" w:space="0" w:color="000000"/>
          <w:bottom w:val="none" w:sz="0" w:space="0" w:color="000000"/>
          <w:right w:val="none" w:sz="0" w:space="0" w:color="000000"/>
        </w:pBdr>
        <w:spacing w:line="240" w:lineRule="auto"/>
        <w:jc w:val="both"/>
        <w:rPr>
          <w:rFonts w:asciiTheme="minorEastAsia" w:hAnsiTheme="minorEastAsia" w:cstheme="majorHAnsi"/>
          <w:sz w:val="24"/>
          <w:szCs w:val="24"/>
          <w:lang w:val="en-US"/>
        </w:rPr>
      </w:pPr>
    </w:p>
    <w:p w14:paraId="0000000A" w14:textId="77777777" w:rsidR="001D331E" w:rsidRPr="00D17241" w:rsidRDefault="005521B7" w:rsidP="00D17241">
      <w:pPr>
        <w:pBdr>
          <w:top w:val="none" w:sz="0" w:space="0" w:color="000000"/>
          <w:left w:val="none" w:sz="0" w:space="0" w:color="000000"/>
          <w:bottom w:val="none" w:sz="0" w:space="0" w:color="000000"/>
          <w:right w:val="none" w:sz="0" w:space="0" w:color="000000"/>
        </w:pBdr>
        <w:spacing w:line="240" w:lineRule="auto"/>
        <w:ind w:left="720" w:hanging="360"/>
        <w:jc w:val="center"/>
        <w:rPr>
          <w:rFonts w:asciiTheme="minorEastAsia" w:hAnsiTheme="minorEastAsia" w:cstheme="majorHAnsi"/>
          <w:sz w:val="32"/>
          <w:szCs w:val="32"/>
          <w:lang w:val="en-US"/>
        </w:rPr>
      </w:pPr>
      <w:r w:rsidRPr="00D17241">
        <w:rPr>
          <w:rFonts w:asciiTheme="minorEastAsia" w:hAnsiTheme="minorEastAsia" w:cstheme="majorHAnsi"/>
          <w:sz w:val="32"/>
          <w:szCs w:val="32"/>
          <w:lang w:val="en-US"/>
        </w:rPr>
        <w:t>June 2025</w:t>
      </w:r>
    </w:p>
    <w:p w14:paraId="0000000E" w14:textId="77777777" w:rsidR="001D331E" w:rsidRPr="00D17241" w:rsidRDefault="001D331E" w:rsidP="00D17241">
      <w:pPr>
        <w:pBdr>
          <w:top w:val="none" w:sz="0" w:space="0" w:color="000000"/>
          <w:left w:val="none" w:sz="0" w:space="0" w:color="000000"/>
          <w:bottom w:val="none" w:sz="0" w:space="0" w:color="000000"/>
          <w:right w:val="none" w:sz="0" w:space="0" w:color="000000"/>
        </w:pBdr>
        <w:spacing w:line="240" w:lineRule="auto"/>
        <w:jc w:val="both"/>
        <w:rPr>
          <w:rFonts w:asciiTheme="minorEastAsia" w:hAnsiTheme="minorEastAsia" w:cstheme="majorHAnsi"/>
          <w:sz w:val="32"/>
          <w:szCs w:val="32"/>
          <w:lang w:val="en-US"/>
        </w:rPr>
      </w:pPr>
    </w:p>
    <w:p w14:paraId="0000000F" w14:textId="77777777" w:rsidR="001D331E" w:rsidRPr="00D17241" w:rsidRDefault="001D331E" w:rsidP="00D17241">
      <w:pPr>
        <w:pBdr>
          <w:top w:val="none" w:sz="0" w:space="0" w:color="000000"/>
          <w:left w:val="none" w:sz="0" w:space="0" w:color="000000"/>
          <w:bottom w:val="none" w:sz="0" w:space="0" w:color="000000"/>
          <w:right w:val="none" w:sz="0" w:space="0" w:color="000000"/>
        </w:pBdr>
        <w:spacing w:line="240" w:lineRule="auto"/>
        <w:ind w:left="720" w:hanging="360"/>
        <w:jc w:val="both"/>
        <w:rPr>
          <w:rFonts w:asciiTheme="minorEastAsia" w:hAnsiTheme="minorEastAsia" w:cstheme="majorHAnsi"/>
          <w:sz w:val="32"/>
          <w:szCs w:val="32"/>
          <w:lang w:val="en-US"/>
        </w:rPr>
      </w:pPr>
    </w:p>
    <w:p w14:paraId="00000010" w14:textId="77777777" w:rsidR="001D331E" w:rsidRPr="00D17241" w:rsidRDefault="005521B7" w:rsidP="00D17241">
      <w:pPr>
        <w:pBdr>
          <w:top w:val="none" w:sz="0" w:space="0" w:color="000000"/>
          <w:left w:val="none" w:sz="0" w:space="0" w:color="000000"/>
          <w:bottom w:val="none" w:sz="0" w:space="0" w:color="000000"/>
          <w:right w:val="none" w:sz="0" w:space="0" w:color="000000"/>
        </w:pBdr>
        <w:spacing w:line="240" w:lineRule="auto"/>
        <w:ind w:left="720" w:hanging="360"/>
        <w:jc w:val="both"/>
        <w:rPr>
          <w:rFonts w:asciiTheme="minorEastAsia" w:hAnsiTheme="minorEastAsia" w:cstheme="majorHAnsi"/>
          <w:sz w:val="24"/>
          <w:szCs w:val="24"/>
          <w:lang w:val="en-US"/>
        </w:rPr>
      </w:pPr>
      <w:r w:rsidRPr="00D17241">
        <w:rPr>
          <w:rFonts w:asciiTheme="minorEastAsia" w:hAnsiTheme="minorEastAsia" w:cstheme="majorHAnsi"/>
          <w:b/>
          <w:sz w:val="24"/>
          <w:szCs w:val="24"/>
          <w:lang w:val="en-US"/>
        </w:rPr>
        <w:t>Contact</w:t>
      </w:r>
    </w:p>
    <w:p w14:paraId="00000011" w14:textId="77777777" w:rsidR="001D331E" w:rsidRPr="00D17241" w:rsidRDefault="005521B7" w:rsidP="00D17241">
      <w:pPr>
        <w:pBdr>
          <w:top w:val="none" w:sz="0" w:space="0" w:color="000000"/>
          <w:left w:val="none" w:sz="0" w:space="0" w:color="000000"/>
          <w:bottom w:val="none" w:sz="0" w:space="0" w:color="000000"/>
          <w:right w:val="none" w:sz="0" w:space="0" w:color="000000"/>
        </w:pBdr>
        <w:spacing w:line="240" w:lineRule="auto"/>
        <w:ind w:left="360"/>
        <w:jc w:val="both"/>
        <w:rPr>
          <w:rFonts w:asciiTheme="minorEastAsia" w:hAnsiTheme="minorEastAsia" w:cstheme="majorHAnsi"/>
          <w:sz w:val="24"/>
          <w:szCs w:val="24"/>
          <w:lang w:val="en-US"/>
        </w:rPr>
      </w:pPr>
      <w:r w:rsidRPr="00D17241">
        <w:rPr>
          <w:rFonts w:asciiTheme="minorEastAsia" w:hAnsiTheme="minorEastAsia" w:cstheme="majorHAnsi"/>
          <w:sz w:val="24"/>
          <w:szCs w:val="24"/>
          <w:lang w:val="en-US"/>
        </w:rPr>
        <w:t xml:space="preserve">Hyeran Jeong, Korean Disability Forum </w:t>
      </w:r>
      <w:hyperlink r:id="rId8">
        <w:r w:rsidRPr="00D17241">
          <w:rPr>
            <w:rFonts w:asciiTheme="minorEastAsia" w:hAnsiTheme="minorEastAsia" w:cstheme="majorHAnsi"/>
            <w:sz w:val="24"/>
            <w:szCs w:val="24"/>
            <w:u w:val="single"/>
            <w:lang w:val="en-US"/>
          </w:rPr>
          <w:t>(kdf@thekdf.org)</w:t>
        </w:r>
      </w:hyperlink>
    </w:p>
    <w:p w14:paraId="00000012" w14:textId="77777777" w:rsidR="001D331E" w:rsidRPr="00D17241" w:rsidRDefault="001D331E" w:rsidP="00D17241">
      <w:pPr>
        <w:pBdr>
          <w:top w:val="none" w:sz="0" w:space="0" w:color="000000"/>
          <w:left w:val="none" w:sz="0" w:space="0" w:color="000000"/>
          <w:bottom w:val="none" w:sz="0" w:space="0" w:color="000000"/>
          <w:right w:val="none" w:sz="0" w:space="0" w:color="000000"/>
        </w:pBdr>
        <w:spacing w:line="240" w:lineRule="auto"/>
        <w:ind w:left="360"/>
        <w:jc w:val="both"/>
        <w:rPr>
          <w:rFonts w:asciiTheme="minorEastAsia" w:hAnsiTheme="minorEastAsia" w:cstheme="majorHAnsi"/>
          <w:sz w:val="24"/>
          <w:szCs w:val="24"/>
          <w:lang w:val="en-US"/>
        </w:rPr>
      </w:pPr>
    </w:p>
    <w:p w14:paraId="00000013" w14:textId="77777777" w:rsidR="001D331E" w:rsidRPr="00D17241" w:rsidRDefault="005521B7" w:rsidP="00D17241">
      <w:pPr>
        <w:pBdr>
          <w:top w:val="none" w:sz="0" w:space="0" w:color="000000"/>
          <w:left w:val="none" w:sz="0" w:space="0" w:color="000000"/>
          <w:bottom w:val="none" w:sz="0" w:space="0" w:color="000000"/>
          <w:right w:val="none" w:sz="0" w:space="0" w:color="000000"/>
        </w:pBdr>
        <w:spacing w:line="240" w:lineRule="auto"/>
        <w:ind w:left="720" w:hanging="360"/>
        <w:jc w:val="both"/>
        <w:rPr>
          <w:rFonts w:asciiTheme="minorEastAsia" w:hAnsiTheme="minorEastAsia" w:cstheme="majorHAnsi"/>
          <w:b/>
          <w:sz w:val="24"/>
          <w:szCs w:val="24"/>
          <w:lang w:val="en-US"/>
        </w:rPr>
      </w:pPr>
      <w:r w:rsidRPr="00D17241">
        <w:rPr>
          <w:rFonts w:asciiTheme="minorEastAsia" w:hAnsiTheme="minorEastAsia" w:cstheme="majorHAnsi"/>
          <w:b/>
          <w:sz w:val="24"/>
          <w:szCs w:val="24"/>
          <w:lang w:val="en-US"/>
        </w:rPr>
        <w:t>Submitting organizations (in alphabetical order)</w:t>
      </w:r>
    </w:p>
    <w:p w14:paraId="00000014" w14:textId="77777777" w:rsidR="001D331E" w:rsidRPr="00D17241" w:rsidRDefault="005521B7" w:rsidP="00D17241">
      <w:pPr>
        <w:pBdr>
          <w:top w:val="none" w:sz="0" w:space="0" w:color="000000"/>
          <w:left w:val="none" w:sz="0" w:space="0" w:color="000000"/>
          <w:bottom w:val="none" w:sz="0" w:space="0" w:color="000000"/>
          <w:right w:val="none" w:sz="0" w:space="0" w:color="000000"/>
        </w:pBdr>
        <w:spacing w:line="240" w:lineRule="auto"/>
        <w:ind w:left="425" w:hanging="15"/>
        <w:jc w:val="both"/>
        <w:rPr>
          <w:rFonts w:asciiTheme="minorEastAsia" w:hAnsiTheme="minorEastAsia" w:cstheme="majorHAnsi"/>
          <w:lang w:val="en-US"/>
        </w:rPr>
      </w:pPr>
      <w:r w:rsidRPr="00D17241">
        <w:rPr>
          <w:rFonts w:asciiTheme="minorEastAsia" w:hAnsiTheme="minorEastAsia" w:cstheme="majorHAnsi"/>
          <w:lang w:val="en-US"/>
        </w:rPr>
        <w:t>Duroo - Association for Public Interest Law, Korea Disability Forum, Disability and Human Rights in Action(FootAct), Association of Rights-based Public Jobs for the Disabled(ARPJD), Korean Parents’ Network for People with Disabilities, National Council of Popular School for People with Disability, Solidarity Committee of the Disabled to Obtain the Mobility Right (SDOMOR), Solidarity Against Disability Discrimination, Korea Solidarity for Human Rights of Disability People with Brain Lesion, Korea Association for Rehabilitation of the Disabled(RI KOREA), Korea Mental Disorder Association</w:t>
      </w:r>
    </w:p>
    <w:p w14:paraId="0000001A" w14:textId="37E247AA" w:rsidR="001D331E" w:rsidRPr="00D17241" w:rsidRDefault="005521B7" w:rsidP="00D17241">
      <w:pPr>
        <w:spacing w:line="240" w:lineRule="auto"/>
        <w:jc w:val="both"/>
        <w:rPr>
          <w:rFonts w:asciiTheme="minorEastAsia" w:hAnsiTheme="minorEastAsia" w:cstheme="majorHAnsi" w:hint="eastAsia"/>
          <w:sz w:val="50"/>
          <w:szCs w:val="50"/>
        </w:rPr>
      </w:pPr>
      <w:r w:rsidRPr="00D17241">
        <w:rPr>
          <w:rFonts w:asciiTheme="minorEastAsia" w:hAnsiTheme="minorEastAsia" w:cstheme="majorHAnsi"/>
          <w:sz w:val="50"/>
          <w:szCs w:val="50"/>
        </w:rPr>
        <w:lastRenderedPageBreak/>
        <w:t>Table of Contents</w:t>
      </w:r>
    </w:p>
    <w:sdt>
      <w:sdtPr>
        <w:rPr>
          <w:lang w:val="ko-KR"/>
        </w:rPr>
        <w:id w:val="627206209"/>
        <w:docPartObj>
          <w:docPartGallery w:val="Table of Contents"/>
          <w:docPartUnique/>
        </w:docPartObj>
      </w:sdtPr>
      <w:sdtEndPr>
        <w:rPr>
          <w:rFonts w:ascii="Arial" w:eastAsiaTheme="minorEastAsia" w:hAnsi="Arial" w:cs="Arial"/>
          <w:b/>
          <w:bCs/>
          <w:color w:val="auto"/>
          <w:sz w:val="22"/>
          <w:szCs w:val="22"/>
        </w:rPr>
      </w:sdtEndPr>
      <w:sdtContent>
        <w:p w14:paraId="1A43A909" w14:textId="10BE087D" w:rsidR="00BC6C28" w:rsidRDefault="00BC6C28">
          <w:pPr>
            <w:pStyle w:val="TOC"/>
            <w:rPr>
              <w:rFonts w:hint="eastAsia"/>
            </w:rPr>
          </w:pPr>
        </w:p>
        <w:p w14:paraId="69980F6A" w14:textId="27E64918" w:rsidR="00BC6C28" w:rsidRDefault="00BC6C28">
          <w:pPr>
            <w:pStyle w:val="10"/>
            <w:tabs>
              <w:tab w:val="right" w:leader="dot" w:pos="9016"/>
            </w:tabs>
            <w:rPr>
              <w:rFonts w:asciiTheme="minorHAnsi" w:hAnsiTheme="minorHAnsi" w:cstheme="minorBidi"/>
              <w:noProof/>
              <w:kern w:val="2"/>
              <w:sz w:val="20"/>
              <w:lang w:val="en-US"/>
            </w:rPr>
          </w:pPr>
          <w:r>
            <w:fldChar w:fldCharType="begin"/>
          </w:r>
          <w:r>
            <w:instrText xml:space="preserve"> TOC \o "1-3" \h \z \u </w:instrText>
          </w:r>
          <w:r>
            <w:fldChar w:fldCharType="separate"/>
          </w:r>
          <w:hyperlink w:anchor="_Toc201590808" w:history="1">
            <w:r w:rsidRPr="00453CD4">
              <w:rPr>
                <w:rStyle w:val="a5"/>
                <w:rFonts w:asciiTheme="minorEastAsia" w:hAnsiTheme="minorEastAsia" w:cstheme="majorHAnsi"/>
                <w:b/>
                <w:noProof/>
              </w:rPr>
              <w:t>Preface</w:t>
            </w:r>
            <w:r>
              <w:rPr>
                <w:noProof/>
                <w:webHidden/>
              </w:rPr>
              <w:tab/>
            </w:r>
            <w:r>
              <w:rPr>
                <w:noProof/>
                <w:webHidden/>
              </w:rPr>
              <w:fldChar w:fldCharType="begin"/>
            </w:r>
            <w:r>
              <w:rPr>
                <w:noProof/>
                <w:webHidden/>
              </w:rPr>
              <w:instrText xml:space="preserve"> PAGEREF _Toc201590808 \h </w:instrText>
            </w:r>
            <w:r>
              <w:rPr>
                <w:noProof/>
                <w:webHidden/>
              </w:rPr>
            </w:r>
            <w:r>
              <w:rPr>
                <w:noProof/>
                <w:webHidden/>
              </w:rPr>
              <w:fldChar w:fldCharType="separate"/>
            </w:r>
            <w:r>
              <w:rPr>
                <w:noProof/>
                <w:webHidden/>
              </w:rPr>
              <w:t>3</w:t>
            </w:r>
            <w:r>
              <w:rPr>
                <w:noProof/>
                <w:webHidden/>
              </w:rPr>
              <w:fldChar w:fldCharType="end"/>
            </w:r>
          </w:hyperlink>
        </w:p>
        <w:p w14:paraId="09943FB0" w14:textId="22F72F48" w:rsidR="00BC6C28" w:rsidRDefault="00BC6C28">
          <w:pPr>
            <w:pStyle w:val="10"/>
            <w:tabs>
              <w:tab w:val="right" w:leader="dot" w:pos="9016"/>
            </w:tabs>
            <w:rPr>
              <w:rFonts w:asciiTheme="minorHAnsi" w:hAnsiTheme="minorHAnsi" w:cstheme="minorBidi"/>
              <w:noProof/>
              <w:kern w:val="2"/>
              <w:sz w:val="20"/>
              <w:lang w:val="en-US"/>
            </w:rPr>
          </w:pPr>
          <w:hyperlink w:anchor="_Toc201590809" w:history="1">
            <w:r w:rsidRPr="00453CD4">
              <w:rPr>
                <w:rStyle w:val="a5"/>
                <w:rFonts w:asciiTheme="minorEastAsia" w:hAnsiTheme="minorEastAsia" w:cstheme="majorHAnsi"/>
                <w:noProof/>
                <w:lang w:val="en-US"/>
              </w:rPr>
              <w:t>A. Right to Fair and Favorable Working Conditions (Article 7)</w:t>
            </w:r>
            <w:r>
              <w:rPr>
                <w:noProof/>
                <w:webHidden/>
              </w:rPr>
              <w:tab/>
            </w:r>
            <w:r>
              <w:rPr>
                <w:noProof/>
                <w:webHidden/>
              </w:rPr>
              <w:fldChar w:fldCharType="begin"/>
            </w:r>
            <w:r>
              <w:rPr>
                <w:noProof/>
                <w:webHidden/>
              </w:rPr>
              <w:instrText xml:space="preserve"> PAGEREF _Toc201590809 \h </w:instrText>
            </w:r>
            <w:r>
              <w:rPr>
                <w:noProof/>
                <w:webHidden/>
              </w:rPr>
            </w:r>
            <w:r>
              <w:rPr>
                <w:noProof/>
                <w:webHidden/>
              </w:rPr>
              <w:fldChar w:fldCharType="separate"/>
            </w:r>
            <w:r>
              <w:rPr>
                <w:noProof/>
                <w:webHidden/>
              </w:rPr>
              <w:t>3</w:t>
            </w:r>
            <w:r>
              <w:rPr>
                <w:noProof/>
                <w:webHidden/>
              </w:rPr>
              <w:fldChar w:fldCharType="end"/>
            </w:r>
          </w:hyperlink>
          <w:bookmarkStart w:id="0" w:name="_GoBack"/>
          <w:bookmarkEnd w:id="0"/>
        </w:p>
        <w:p w14:paraId="175BF5D1" w14:textId="389F59E1" w:rsidR="00BC6C28" w:rsidRDefault="00BC6C28">
          <w:pPr>
            <w:pStyle w:val="10"/>
            <w:tabs>
              <w:tab w:val="right" w:leader="dot" w:pos="9016"/>
            </w:tabs>
            <w:rPr>
              <w:rFonts w:asciiTheme="minorHAnsi" w:hAnsiTheme="minorHAnsi" w:cstheme="minorBidi"/>
              <w:noProof/>
              <w:kern w:val="2"/>
              <w:sz w:val="20"/>
              <w:lang w:val="en-US"/>
            </w:rPr>
          </w:pPr>
          <w:hyperlink w:anchor="_Toc201590810" w:history="1">
            <w:r w:rsidRPr="00453CD4">
              <w:rPr>
                <w:rStyle w:val="a5"/>
                <w:rFonts w:asciiTheme="minorEastAsia" w:hAnsiTheme="minorEastAsia" w:cstheme="majorHAnsi"/>
                <w:noProof/>
                <w:lang w:val="en-US"/>
              </w:rPr>
              <w:t>B. Right to an Adequate Standard of Living and Housing (Art. 11)</w:t>
            </w:r>
            <w:r>
              <w:rPr>
                <w:noProof/>
                <w:webHidden/>
              </w:rPr>
              <w:tab/>
            </w:r>
            <w:r>
              <w:rPr>
                <w:noProof/>
                <w:webHidden/>
              </w:rPr>
              <w:fldChar w:fldCharType="begin"/>
            </w:r>
            <w:r>
              <w:rPr>
                <w:noProof/>
                <w:webHidden/>
              </w:rPr>
              <w:instrText xml:space="preserve"> PAGEREF _Toc201590810 \h </w:instrText>
            </w:r>
            <w:r>
              <w:rPr>
                <w:noProof/>
                <w:webHidden/>
              </w:rPr>
            </w:r>
            <w:r>
              <w:rPr>
                <w:noProof/>
                <w:webHidden/>
              </w:rPr>
              <w:fldChar w:fldCharType="separate"/>
            </w:r>
            <w:r>
              <w:rPr>
                <w:noProof/>
                <w:webHidden/>
              </w:rPr>
              <w:t>4</w:t>
            </w:r>
            <w:r>
              <w:rPr>
                <w:noProof/>
                <w:webHidden/>
              </w:rPr>
              <w:fldChar w:fldCharType="end"/>
            </w:r>
          </w:hyperlink>
        </w:p>
        <w:p w14:paraId="3DF21337" w14:textId="3A38E8AC"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11" w:history="1">
            <w:r w:rsidRPr="00453CD4">
              <w:rPr>
                <w:rStyle w:val="a5"/>
                <w:rFonts w:asciiTheme="minorEastAsia" w:hAnsiTheme="minorEastAsia" w:cstheme="majorHAnsi"/>
                <w:noProof/>
                <w:lang w:val="en-US"/>
              </w:rPr>
              <w:t>a. Long-term stay in hospitals and institutions for persons with psychosocial disabilities</w:t>
            </w:r>
            <w:r>
              <w:rPr>
                <w:noProof/>
                <w:webHidden/>
              </w:rPr>
              <w:tab/>
            </w:r>
            <w:r>
              <w:rPr>
                <w:noProof/>
                <w:webHidden/>
              </w:rPr>
              <w:fldChar w:fldCharType="begin"/>
            </w:r>
            <w:r>
              <w:rPr>
                <w:noProof/>
                <w:webHidden/>
              </w:rPr>
              <w:instrText xml:space="preserve"> PAGEREF _Toc201590811 \h </w:instrText>
            </w:r>
            <w:r>
              <w:rPr>
                <w:noProof/>
                <w:webHidden/>
              </w:rPr>
            </w:r>
            <w:r>
              <w:rPr>
                <w:noProof/>
                <w:webHidden/>
              </w:rPr>
              <w:fldChar w:fldCharType="separate"/>
            </w:r>
            <w:r>
              <w:rPr>
                <w:noProof/>
                <w:webHidden/>
              </w:rPr>
              <w:t>4</w:t>
            </w:r>
            <w:r>
              <w:rPr>
                <w:noProof/>
                <w:webHidden/>
              </w:rPr>
              <w:fldChar w:fldCharType="end"/>
            </w:r>
          </w:hyperlink>
        </w:p>
        <w:p w14:paraId="0AD7F8FB" w14:textId="74E2B688"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12" w:history="1">
            <w:r w:rsidRPr="00453CD4">
              <w:rPr>
                <w:rStyle w:val="a5"/>
                <w:rFonts w:asciiTheme="minorEastAsia" w:hAnsiTheme="minorEastAsia" w:cstheme="majorHAnsi"/>
                <w:noProof/>
                <w:lang w:val="en-US"/>
              </w:rPr>
              <w:t>b. Repeated exclusion and isolation of persons with disabilities</w:t>
            </w:r>
            <w:r>
              <w:rPr>
                <w:noProof/>
                <w:webHidden/>
              </w:rPr>
              <w:tab/>
            </w:r>
            <w:r>
              <w:rPr>
                <w:noProof/>
                <w:webHidden/>
              </w:rPr>
              <w:fldChar w:fldCharType="begin"/>
            </w:r>
            <w:r>
              <w:rPr>
                <w:noProof/>
                <w:webHidden/>
              </w:rPr>
              <w:instrText xml:space="preserve"> PAGEREF _Toc201590812 \h </w:instrText>
            </w:r>
            <w:r>
              <w:rPr>
                <w:noProof/>
                <w:webHidden/>
              </w:rPr>
            </w:r>
            <w:r>
              <w:rPr>
                <w:noProof/>
                <w:webHidden/>
              </w:rPr>
              <w:fldChar w:fldCharType="separate"/>
            </w:r>
            <w:r>
              <w:rPr>
                <w:noProof/>
                <w:webHidden/>
              </w:rPr>
              <w:t>5</w:t>
            </w:r>
            <w:r>
              <w:rPr>
                <w:noProof/>
                <w:webHidden/>
              </w:rPr>
              <w:fldChar w:fldCharType="end"/>
            </w:r>
          </w:hyperlink>
        </w:p>
        <w:p w14:paraId="1A775A0D" w14:textId="3242CAE8" w:rsidR="00BC6C28" w:rsidRDefault="00BC6C28">
          <w:pPr>
            <w:pStyle w:val="10"/>
            <w:tabs>
              <w:tab w:val="right" w:leader="dot" w:pos="9016"/>
            </w:tabs>
            <w:rPr>
              <w:rFonts w:asciiTheme="minorHAnsi" w:hAnsiTheme="minorHAnsi" w:cstheme="minorBidi"/>
              <w:noProof/>
              <w:kern w:val="2"/>
              <w:sz w:val="20"/>
              <w:lang w:val="en-US"/>
            </w:rPr>
          </w:pPr>
          <w:hyperlink w:anchor="_Toc201590813" w:history="1">
            <w:r w:rsidRPr="00453CD4">
              <w:rPr>
                <w:rStyle w:val="a5"/>
                <w:rFonts w:asciiTheme="minorEastAsia" w:hAnsiTheme="minorEastAsia" w:cstheme="majorHAnsi"/>
                <w:noProof/>
                <w:lang w:val="en-US"/>
              </w:rPr>
              <w:t>C. Right to Health (Art. 12)</w:t>
            </w:r>
            <w:r>
              <w:rPr>
                <w:noProof/>
                <w:webHidden/>
              </w:rPr>
              <w:tab/>
            </w:r>
            <w:r>
              <w:rPr>
                <w:noProof/>
                <w:webHidden/>
              </w:rPr>
              <w:fldChar w:fldCharType="begin"/>
            </w:r>
            <w:r>
              <w:rPr>
                <w:noProof/>
                <w:webHidden/>
              </w:rPr>
              <w:instrText xml:space="preserve"> PAGEREF _Toc201590813 \h </w:instrText>
            </w:r>
            <w:r>
              <w:rPr>
                <w:noProof/>
                <w:webHidden/>
              </w:rPr>
            </w:r>
            <w:r>
              <w:rPr>
                <w:noProof/>
                <w:webHidden/>
              </w:rPr>
              <w:fldChar w:fldCharType="separate"/>
            </w:r>
            <w:r>
              <w:rPr>
                <w:noProof/>
                <w:webHidden/>
              </w:rPr>
              <w:t>6</w:t>
            </w:r>
            <w:r>
              <w:rPr>
                <w:noProof/>
                <w:webHidden/>
              </w:rPr>
              <w:fldChar w:fldCharType="end"/>
            </w:r>
          </w:hyperlink>
        </w:p>
        <w:p w14:paraId="6FC66648" w14:textId="04FE2A4B"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14" w:history="1">
            <w:r w:rsidRPr="00453CD4">
              <w:rPr>
                <w:rStyle w:val="a5"/>
                <w:rFonts w:asciiTheme="minorEastAsia" w:hAnsiTheme="minorEastAsia" w:cstheme="majorHAnsi"/>
                <w:noProof/>
              </w:rPr>
              <w:t>a. Psychosocial disabilities</w:t>
            </w:r>
            <w:r>
              <w:rPr>
                <w:noProof/>
                <w:webHidden/>
              </w:rPr>
              <w:tab/>
            </w:r>
            <w:r>
              <w:rPr>
                <w:noProof/>
                <w:webHidden/>
              </w:rPr>
              <w:fldChar w:fldCharType="begin"/>
            </w:r>
            <w:r>
              <w:rPr>
                <w:noProof/>
                <w:webHidden/>
              </w:rPr>
              <w:instrText xml:space="preserve"> PAGEREF _Toc201590814 \h </w:instrText>
            </w:r>
            <w:r>
              <w:rPr>
                <w:noProof/>
                <w:webHidden/>
              </w:rPr>
            </w:r>
            <w:r>
              <w:rPr>
                <w:noProof/>
                <w:webHidden/>
              </w:rPr>
              <w:fldChar w:fldCharType="separate"/>
            </w:r>
            <w:r>
              <w:rPr>
                <w:noProof/>
                <w:webHidden/>
              </w:rPr>
              <w:t>6</w:t>
            </w:r>
            <w:r>
              <w:rPr>
                <w:noProof/>
                <w:webHidden/>
              </w:rPr>
              <w:fldChar w:fldCharType="end"/>
            </w:r>
          </w:hyperlink>
        </w:p>
        <w:p w14:paraId="294ED5E3" w14:textId="0882644D"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15" w:history="1">
            <w:r w:rsidRPr="00453CD4">
              <w:rPr>
                <w:rStyle w:val="a5"/>
                <w:rFonts w:asciiTheme="minorEastAsia" w:hAnsiTheme="minorEastAsia" w:cstheme="majorHAnsi"/>
                <w:noProof/>
              </w:rPr>
              <w:t>b. Older Persons with Disabilities</w:t>
            </w:r>
            <w:r>
              <w:rPr>
                <w:noProof/>
                <w:webHidden/>
              </w:rPr>
              <w:tab/>
            </w:r>
            <w:r>
              <w:rPr>
                <w:noProof/>
                <w:webHidden/>
              </w:rPr>
              <w:fldChar w:fldCharType="begin"/>
            </w:r>
            <w:r>
              <w:rPr>
                <w:noProof/>
                <w:webHidden/>
              </w:rPr>
              <w:instrText xml:space="preserve"> PAGEREF _Toc201590815 \h </w:instrText>
            </w:r>
            <w:r>
              <w:rPr>
                <w:noProof/>
                <w:webHidden/>
              </w:rPr>
            </w:r>
            <w:r>
              <w:rPr>
                <w:noProof/>
                <w:webHidden/>
              </w:rPr>
              <w:fldChar w:fldCharType="separate"/>
            </w:r>
            <w:r>
              <w:rPr>
                <w:noProof/>
                <w:webHidden/>
              </w:rPr>
              <w:t>6</w:t>
            </w:r>
            <w:r>
              <w:rPr>
                <w:noProof/>
                <w:webHidden/>
              </w:rPr>
              <w:fldChar w:fldCharType="end"/>
            </w:r>
          </w:hyperlink>
        </w:p>
        <w:p w14:paraId="50703783" w14:textId="4B7D8B2C" w:rsidR="00BC6C28" w:rsidRDefault="00BC6C28">
          <w:pPr>
            <w:pStyle w:val="10"/>
            <w:tabs>
              <w:tab w:val="right" w:leader="dot" w:pos="9016"/>
            </w:tabs>
            <w:rPr>
              <w:rFonts w:asciiTheme="minorHAnsi" w:hAnsiTheme="minorHAnsi" w:cstheme="minorBidi"/>
              <w:noProof/>
              <w:kern w:val="2"/>
              <w:sz w:val="20"/>
              <w:lang w:val="en-US"/>
            </w:rPr>
          </w:pPr>
          <w:hyperlink w:anchor="_Toc201590816" w:history="1">
            <w:r w:rsidRPr="00453CD4">
              <w:rPr>
                <w:rStyle w:val="a5"/>
                <w:rFonts w:asciiTheme="minorEastAsia" w:hAnsiTheme="minorEastAsia" w:cstheme="majorHAnsi"/>
                <w:noProof/>
                <w:lang w:val="en-US"/>
              </w:rPr>
              <w:t>D. Right to Education (Article 13)</w:t>
            </w:r>
            <w:r>
              <w:rPr>
                <w:noProof/>
                <w:webHidden/>
              </w:rPr>
              <w:tab/>
            </w:r>
            <w:r>
              <w:rPr>
                <w:noProof/>
                <w:webHidden/>
              </w:rPr>
              <w:fldChar w:fldCharType="begin"/>
            </w:r>
            <w:r>
              <w:rPr>
                <w:noProof/>
                <w:webHidden/>
              </w:rPr>
              <w:instrText xml:space="preserve"> PAGEREF _Toc201590816 \h </w:instrText>
            </w:r>
            <w:r>
              <w:rPr>
                <w:noProof/>
                <w:webHidden/>
              </w:rPr>
            </w:r>
            <w:r>
              <w:rPr>
                <w:noProof/>
                <w:webHidden/>
              </w:rPr>
              <w:fldChar w:fldCharType="separate"/>
            </w:r>
            <w:r>
              <w:rPr>
                <w:noProof/>
                <w:webHidden/>
              </w:rPr>
              <w:t>8</w:t>
            </w:r>
            <w:r>
              <w:rPr>
                <w:noProof/>
                <w:webHidden/>
              </w:rPr>
              <w:fldChar w:fldCharType="end"/>
            </w:r>
          </w:hyperlink>
        </w:p>
        <w:p w14:paraId="7C0E7274" w14:textId="7BEF0117"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17" w:history="1">
            <w:r w:rsidRPr="00453CD4">
              <w:rPr>
                <w:rStyle w:val="a5"/>
                <w:rFonts w:asciiTheme="minorEastAsia" w:hAnsiTheme="minorEastAsia" w:cstheme="majorHAnsi"/>
                <w:noProof/>
                <w:lang w:val="en-US"/>
              </w:rPr>
              <w:t>a. The right to an equal education</w:t>
            </w:r>
            <w:r>
              <w:rPr>
                <w:noProof/>
                <w:webHidden/>
              </w:rPr>
              <w:tab/>
            </w:r>
            <w:r>
              <w:rPr>
                <w:noProof/>
                <w:webHidden/>
              </w:rPr>
              <w:fldChar w:fldCharType="begin"/>
            </w:r>
            <w:r>
              <w:rPr>
                <w:noProof/>
                <w:webHidden/>
              </w:rPr>
              <w:instrText xml:space="preserve"> PAGEREF _Toc201590817 \h </w:instrText>
            </w:r>
            <w:r>
              <w:rPr>
                <w:noProof/>
                <w:webHidden/>
              </w:rPr>
            </w:r>
            <w:r>
              <w:rPr>
                <w:noProof/>
                <w:webHidden/>
              </w:rPr>
              <w:fldChar w:fldCharType="separate"/>
            </w:r>
            <w:r>
              <w:rPr>
                <w:noProof/>
                <w:webHidden/>
              </w:rPr>
              <w:t>8</w:t>
            </w:r>
            <w:r>
              <w:rPr>
                <w:noProof/>
                <w:webHidden/>
              </w:rPr>
              <w:fldChar w:fldCharType="end"/>
            </w:r>
          </w:hyperlink>
        </w:p>
        <w:p w14:paraId="5149D27C" w14:textId="0F9BAB30"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18" w:history="1">
            <w:r w:rsidRPr="00453CD4">
              <w:rPr>
                <w:rStyle w:val="a5"/>
                <w:rFonts w:asciiTheme="minorEastAsia" w:hAnsiTheme="minorEastAsia" w:cstheme="majorHAnsi"/>
                <w:noProof/>
              </w:rPr>
              <w:t>b. Equal Access to Education</w:t>
            </w:r>
            <w:r>
              <w:rPr>
                <w:noProof/>
                <w:webHidden/>
              </w:rPr>
              <w:tab/>
            </w:r>
            <w:r>
              <w:rPr>
                <w:noProof/>
                <w:webHidden/>
              </w:rPr>
              <w:fldChar w:fldCharType="begin"/>
            </w:r>
            <w:r>
              <w:rPr>
                <w:noProof/>
                <w:webHidden/>
              </w:rPr>
              <w:instrText xml:space="preserve"> PAGEREF _Toc201590818 \h </w:instrText>
            </w:r>
            <w:r>
              <w:rPr>
                <w:noProof/>
                <w:webHidden/>
              </w:rPr>
            </w:r>
            <w:r>
              <w:rPr>
                <w:noProof/>
                <w:webHidden/>
              </w:rPr>
              <w:fldChar w:fldCharType="separate"/>
            </w:r>
            <w:r>
              <w:rPr>
                <w:noProof/>
                <w:webHidden/>
              </w:rPr>
              <w:t>9</w:t>
            </w:r>
            <w:r>
              <w:rPr>
                <w:noProof/>
                <w:webHidden/>
              </w:rPr>
              <w:fldChar w:fldCharType="end"/>
            </w:r>
          </w:hyperlink>
        </w:p>
        <w:p w14:paraId="181CD31D" w14:textId="37DE662C"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19" w:history="1">
            <w:r w:rsidRPr="00453CD4">
              <w:rPr>
                <w:rStyle w:val="a5"/>
                <w:rFonts w:asciiTheme="minorEastAsia" w:hAnsiTheme="minorEastAsia" w:cstheme="majorHAnsi"/>
                <w:noProof/>
                <w:lang w:val="en-US"/>
              </w:rPr>
              <w:t>c. Lifelong Education for Persons with Disabilities</w:t>
            </w:r>
            <w:r>
              <w:rPr>
                <w:noProof/>
                <w:webHidden/>
              </w:rPr>
              <w:tab/>
            </w:r>
            <w:r>
              <w:rPr>
                <w:noProof/>
                <w:webHidden/>
              </w:rPr>
              <w:fldChar w:fldCharType="begin"/>
            </w:r>
            <w:r>
              <w:rPr>
                <w:noProof/>
                <w:webHidden/>
              </w:rPr>
              <w:instrText xml:space="preserve"> PAGEREF _Toc201590819 \h </w:instrText>
            </w:r>
            <w:r>
              <w:rPr>
                <w:noProof/>
                <w:webHidden/>
              </w:rPr>
            </w:r>
            <w:r>
              <w:rPr>
                <w:noProof/>
                <w:webHidden/>
              </w:rPr>
              <w:fldChar w:fldCharType="separate"/>
            </w:r>
            <w:r>
              <w:rPr>
                <w:noProof/>
                <w:webHidden/>
              </w:rPr>
              <w:t>9</w:t>
            </w:r>
            <w:r>
              <w:rPr>
                <w:noProof/>
                <w:webHidden/>
              </w:rPr>
              <w:fldChar w:fldCharType="end"/>
            </w:r>
          </w:hyperlink>
        </w:p>
        <w:p w14:paraId="24DBC0E0" w14:textId="2437E88E" w:rsidR="00BC6C28" w:rsidRDefault="00BC6C28">
          <w:pPr>
            <w:pStyle w:val="10"/>
            <w:tabs>
              <w:tab w:val="right" w:leader="dot" w:pos="9016"/>
            </w:tabs>
            <w:rPr>
              <w:rFonts w:asciiTheme="minorHAnsi" w:hAnsiTheme="minorHAnsi" w:cstheme="minorBidi"/>
              <w:noProof/>
              <w:kern w:val="2"/>
              <w:sz w:val="20"/>
              <w:lang w:val="en-US"/>
            </w:rPr>
          </w:pPr>
          <w:hyperlink w:anchor="_Toc201590820" w:history="1">
            <w:r w:rsidRPr="00453CD4">
              <w:rPr>
                <w:rStyle w:val="a5"/>
                <w:rFonts w:asciiTheme="minorEastAsia" w:hAnsiTheme="minorEastAsia" w:cstheme="majorHAnsi"/>
                <w:noProof/>
                <w:lang w:val="en-US"/>
              </w:rPr>
              <w:t>E. Right to Cultural Life and Social Participation</w:t>
            </w:r>
            <w:r>
              <w:rPr>
                <w:noProof/>
                <w:webHidden/>
              </w:rPr>
              <w:tab/>
            </w:r>
            <w:r>
              <w:rPr>
                <w:noProof/>
                <w:webHidden/>
              </w:rPr>
              <w:fldChar w:fldCharType="begin"/>
            </w:r>
            <w:r>
              <w:rPr>
                <w:noProof/>
                <w:webHidden/>
              </w:rPr>
              <w:instrText xml:space="preserve"> PAGEREF _Toc201590820 \h </w:instrText>
            </w:r>
            <w:r>
              <w:rPr>
                <w:noProof/>
                <w:webHidden/>
              </w:rPr>
            </w:r>
            <w:r>
              <w:rPr>
                <w:noProof/>
                <w:webHidden/>
              </w:rPr>
              <w:fldChar w:fldCharType="separate"/>
            </w:r>
            <w:r>
              <w:rPr>
                <w:noProof/>
                <w:webHidden/>
              </w:rPr>
              <w:t>11</w:t>
            </w:r>
            <w:r>
              <w:rPr>
                <w:noProof/>
                <w:webHidden/>
              </w:rPr>
              <w:fldChar w:fldCharType="end"/>
            </w:r>
          </w:hyperlink>
        </w:p>
        <w:p w14:paraId="1D8313D7" w14:textId="495D5263"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21" w:history="1">
            <w:r w:rsidRPr="00453CD4">
              <w:rPr>
                <w:rStyle w:val="a5"/>
                <w:rFonts w:asciiTheme="minorEastAsia" w:hAnsiTheme="minorEastAsia" w:cstheme="majorHAnsi"/>
                <w:noProof/>
                <w:lang w:val="en-US"/>
              </w:rPr>
              <w:t>a. Accessibility for persons with disabilities</w:t>
            </w:r>
            <w:r>
              <w:rPr>
                <w:noProof/>
                <w:webHidden/>
              </w:rPr>
              <w:tab/>
            </w:r>
            <w:r>
              <w:rPr>
                <w:noProof/>
                <w:webHidden/>
              </w:rPr>
              <w:fldChar w:fldCharType="begin"/>
            </w:r>
            <w:r>
              <w:rPr>
                <w:noProof/>
                <w:webHidden/>
              </w:rPr>
              <w:instrText xml:space="preserve"> PAGEREF _Toc201590821 \h </w:instrText>
            </w:r>
            <w:r>
              <w:rPr>
                <w:noProof/>
                <w:webHidden/>
              </w:rPr>
            </w:r>
            <w:r>
              <w:rPr>
                <w:noProof/>
                <w:webHidden/>
              </w:rPr>
              <w:fldChar w:fldCharType="separate"/>
            </w:r>
            <w:r>
              <w:rPr>
                <w:noProof/>
                <w:webHidden/>
              </w:rPr>
              <w:t>11</w:t>
            </w:r>
            <w:r>
              <w:rPr>
                <w:noProof/>
                <w:webHidden/>
              </w:rPr>
              <w:fldChar w:fldCharType="end"/>
            </w:r>
          </w:hyperlink>
        </w:p>
        <w:p w14:paraId="489CD700" w14:textId="0CE0DEF3"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22" w:history="1">
            <w:r w:rsidRPr="00453CD4">
              <w:rPr>
                <w:rStyle w:val="a5"/>
                <w:rFonts w:asciiTheme="minorEastAsia" w:hAnsiTheme="minorEastAsia" w:cstheme="majorHAnsi"/>
                <w:noProof/>
              </w:rPr>
              <w:t>b. Universal Design</w:t>
            </w:r>
            <w:r>
              <w:rPr>
                <w:noProof/>
                <w:webHidden/>
              </w:rPr>
              <w:tab/>
            </w:r>
            <w:r>
              <w:rPr>
                <w:noProof/>
                <w:webHidden/>
              </w:rPr>
              <w:fldChar w:fldCharType="begin"/>
            </w:r>
            <w:r>
              <w:rPr>
                <w:noProof/>
                <w:webHidden/>
              </w:rPr>
              <w:instrText xml:space="preserve"> PAGEREF _Toc201590822 \h </w:instrText>
            </w:r>
            <w:r>
              <w:rPr>
                <w:noProof/>
                <w:webHidden/>
              </w:rPr>
            </w:r>
            <w:r>
              <w:rPr>
                <w:noProof/>
                <w:webHidden/>
              </w:rPr>
              <w:fldChar w:fldCharType="separate"/>
            </w:r>
            <w:r>
              <w:rPr>
                <w:noProof/>
                <w:webHidden/>
              </w:rPr>
              <w:t>11</w:t>
            </w:r>
            <w:r>
              <w:rPr>
                <w:noProof/>
                <w:webHidden/>
              </w:rPr>
              <w:fldChar w:fldCharType="end"/>
            </w:r>
          </w:hyperlink>
        </w:p>
        <w:p w14:paraId="43F1082C" w14:textId="313E1486"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23" w:history="1">
            <w:r w:rsidRPr="00453CD4">
              <w:rPr>
                <w:rStyle w:val="a5"/>
                <w:rFonts w:asciiTheme="minorEastAsia" w:hAnsiTheme="minorEastAsia" w:cstheme="majorHAnsi"/>
                <w:noProof/>
                <w:lang w:val="en-US"/>
              </w:rPr>
              <w:t>c. Interregional mobility rights of persons with disabilities</w:t>
            </w:r>
            <w:r>
              <w:rPr>
                <w:noProof/>
                <w:webHidden/>
              </w:rPr>
              <w:tab/>
            </w:r>
            <w:r>
              <w:rPr>
                <w:noProof/>
                <w:webHidden/>
              </w:rPr>
              <w:fldChar w:fldCharType="begin"/>
            </w:r>
            <w:r>
              <w:rPr>
                <w:noProof/>
                <w:webHidden/>
              </w:rPr>
              <w:instrText xml:space="preserve"> PAGEREF _Toc201590823 \h </w:instrText>
            </w:r>
            <w:r>
              <w:rPr>
                <w:noProof/>
                <w:webHidden/>
              </w:rPr>
            </w:r>
            <w:r>
              <w:rPr>
                <w:noProof/>
                <w:webHidden/>
              </w:rPr>
              <w:fldChar w:fldCharType="separate"/>
            </w:r>
            <w:r>
              <w:rPr>
                <w:noProof/>
                <w:webHidden/>
              </w:rPr>
              <w:t>12</w:t>
            </w:r>
            <w:r>
              <w:rPr>
                <w:noProof/>
                <w:webHidden/>
              </w:rPr>
              <w:fldChar w:fldCharType="end"/>
            </w:r>
          </w:hyperlink>
        </w:p>
        <w:p w14:paraId="10D34C6A" w14:textId="68BA5DCC" w:rsidR="00BC6C28" w:rsidRDefault="00BC6C28">
          <w:pPr>
            <w:pStyle w:val="20"/>
            <w:tabs>
              <w:tab w:val="right" w:leader="dot" w:pos="9016"/>
            </w:tabs>
            <w:ind w:left="440"/>
            <w:rPr>
              <w:rFonts w:asciiTheme="minorHAnsi" w:hAnsiTheme="minorHAnsi" w:cstheme="minorBidi"/>
              <w:noProof/>
              <w:kern w:val="2"/>
              <w:sz w:val="20"/>
              <w:lang w:val="en-US"/>
            </w:rPr>
          </w:pPr>
          <w:hyperlink w:anchor="_Toc201590824" w:history="1">
            <w:r w:rsidRPr="00453CD4">
              <w:rPr>
                <w:rStyle w:val="a5"/>
                <w:rFonts w:asciiTheme="minorEastAsia" w:hAnsiTheme="minorEastAsia" w:cstheme="majorHAnsi"/>
                <w:noProof/>
                <w:lang w:val="en-US"/>
              </w:rPr>
              <w:t>d. Communication support systems for persons with language disabilities</w:t>
            </w:r>
            <w:r>
              <w:rPr>
                <w:noProof/>
                <w:webHidden/>
              </w:rPr>
              <w:tab/>
            </w:r>
            <w:r>
              <w:rPr>
                <w:noProof/>
                <w:webHidden/>
              </w:rPr>
              <w:fldChar w:fldCharType="begin"/>
            </w:r>
            <w:r>
              <w:rPr>
                <w:noProof/>
                <w:webHidden/>
              </w:rPr>
              <w:instrText xml:space="preserve"> PAGEREF _Toc201590824 \h </w:instrText>
            </w:r>
            <w:r>
              <w:rPr>
                <w:noProof/>
                <w:webHidden/>
              </w:rPr>
            </w:r>
            <w:r>
              <w:rPr>
                <w:noProof/>
                <w:webHidden/>
              </w:rPr>
              <w:fldChar w:fldCharType="separate"/>
            </w:r>
            <w:r>
              <w:rPr>
                <w:noProof/>
                <w:webHidden/>
              </w:rPr>
              <w:t>12</w:t>
            </w:r>
            <w:r>
              <w:rPr>
                <w:noProof/>
                <w:webHidden/>
              </w:rPr>
              <w:fldChar w:fldCharType="end"/>
            </w:r>
          </w:hyperlink>
        </w:p>
        <w:p w14:paraId="30B8744B" w14:textId="023FEDF2" w:rsidR="00BC6C28" w:rsidRDefault="00BC6C28">
          <w:r>
            <w:rPr>
              <w:b/>
              <w:bCs/>
              <w:lang w:val="ko-KR"/>
            </w:rPr>
            <w:fldChar w:fldCharType="end"/>
          </w:r>
        </w:p>
      </w:sdtContent>
    </w:sdt>
    <w:p w14:paraId="0000002C" w14:textId="77777777" w:rsidR="001D331E" w:rsidRPr="00D17241" w:rsidRDefault="001D331E" w:rsidP="00D17241">
      <w:pPr>
        <w:spacing w:line="240" w:lineRule="auto"/>
        <w:jc w:val="both"/>
        <w:rPr>
          <w:rFonts w:asciiTheme="minorEastAsia" w:hAnsiTheme="minorEastAsia" w:cstheme="majorHAnsi"/>
          <w:sz w:val="20"/>
          <w:szCs w:val="20"/>
        </w:rPr>
      </w:pPr>
    </w:p>
    <w:p w14:paraId="0000002D" w14:textId="77777777" w:rsidR="001D331E" w:rsidRPr="00D17241" w:rsidRDefault="005521B7" w:rsidP="00D17241">
      <w:pPr>
        <w:pStyle w:val="1"/>
        <w:spacing w:line="240" w:lineRule="auto"/>
        <w:jc w:val="both"/>
        <w:rPr>
          <w:rFonts w:asciiTheme="minorEastAsia" w:eastAsiaTheme="minorEastAsia" w:hAnsiTheme="minorEastAsia" w:cstheme="majorHAnsi"/>
          <w:b/>
          <w:sz w:val="38"/>
          <w:szCs w:val="38"/>
        </w:rPr>
      </w:pPr>
      <w:bookmarkStart w:id="1" w:name="_vivf4e7l3i42" w:colFirst="0" w:colLast="0"/>
      <w:bookmarkEnd w:id="1"/>
      <w:r w:rsidRPr="00D17241">
        <w:rPr>
          <w:rFonts w:asciiTheme="minorEastAsia" w:eastAsiaTheme="minorEastAsia" w:hAnsiTheme="minorEastAsia" w:cstheme="majorHAnsi"/>
        </w:rPr>
        <w:br w:type="page"/>
      </w:r>
    </w:p>
    <w:p w14:paraId="0000002E" w14:textId="77777777" w:rsidR="001D331E" w:rsidRPr="00D17241" w:rsidRDefault="005521B7" w:rsidP="00D17241">
      <w:pPr>
        <w:pStyle w:val="1"/>
        <w:spacing w:line="240" w:lineRule="auto"/>
        <w:jc w:val="both"/>
        <w:rPr>
          <w:rFonts w:asciiTheme="minorEastAsia" w:eastAsiaTheme="minorEastAsia" w:hAnsiTheme="minorEastAsia" w:cstheme="majorHAnsi"/>
          <w:b/>
          <w:sz w:val="38"/>
          <w:szCs w:val="38"/>
        </w:rPr>
      </w:pPr>
      <w:bookmarkStart w:id="2" w:name="_Toc201590808"/>
      <w:r w:rsidRPr="00D17241">
        <w:rPr>
          <w:rFonts w:asciiTheme="minorEastAsia" w:eastAsiaTheme="minorEastAsia" w:hAnsiTheme="minorEastAsia" w:cstheme="majorHAnsi"/>
          <w:b/>
          <w:sz w:val="38"/>
          <w:szCs w:val="38"/>
        </w:rPr>
        <w:lastRenderedPageBreak/>
        <w:t>Preface</w:t>
      </w:r>
      <w:bookmarkEnd w:id="2"/>
    </w:p>
    <w:p w14:paraId="0000002F" w14:textId="77777777" w:rsidR="001D331E" w:rsidRPr="00D17241" w:rsidRDefault="005521B7"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This report aims to shed light on the ways in which the economic, social, and cultural rights of persons with disabilities are being violated, by analyzing the South Korean government's implementation of the International Covenant on Economic, Social, and Cultural Rights (ICESCR) from a disability perspective. </w:t>
      </w:r>
    </w:p>
    <w:p w14:paraId="00000030" w14:textId="77777777" w:rsidR="001D331E" w:rsidRPr="00D17241" w:rsidRDefault="005521B7"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Persons with disabilities in Korea face institutional exclusion and structural discrimination across all aspects of life—including employment, housing, healthcare, education, and cultural and social participation—which seriously hinder the effective realization of the rights enshrined in the </w:t>
      </w:r>
      <w:proofErr w:type="gramStart"/>
      <w:r w:rsidRPr="00D17241">
        <w:rPr>
          <w:rFonts w:asciiTheme="minorEastAsia" w:hAnsiTheme="minorEastAsia" w:cstheme="majorHAnsi"/>
          <w:sz w:val="20"/>
          <w:szCs w:val="20"/>
          <w:lang w:val="en-US"/>
        </w:rPr>
        <w:t>Covenant..</w:t>
      </w:r>
      <w:proofErr w:type="gramEnd"/>
      <w:r w:rsidRPr="00D17241">
        <w:rPr>
          <w:rFonts w:asciiTheme="minorEastAsia" w:hAnsiTheme="minorEastAsia" w:cstheme="majorHAnsi"/>
          <w:sz w:val="20"/>
          <w:szCs w:val="20"/>
          <w:lang w:val="en-US"/>
        </w:rPr>
        <w:t xml:space="preserve"> Those with psychosocial disabilities, older persons with disabilities, persons with developmental disabilities, and individuals who lack adequate support in communication and language are particularly vulnerable to intersecting and compounded rights violations.</w:t>
      </w:r>
    </w:p>
    <w:p w14:paraId="00000031" w14:textId="77777777" w:rsidR="001D331E" w:rsidRPr="00D17241" w:rsidRDefault="005521B7"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This report focuses on rights under Article 7 (the right to just and favorable conditions of work), Article 11 (the right to an adequate standard of living), Article 12 (the right to health), Article 13 (the right to education), and Article 15 (the right to participate in cultural life and social inclusion). It outlines concrete cases of rights violations experienced by persons with disabilities under each provision, and presents an analysis based on relevant international standards and the State’s obligations.</w:t>
      </w:r>
    </w:p>
    <w:p w14:paraId="00000032" w14:textId="77777777" w:rsidR="001D331E" w:rsidRPr="00D17241" w:rsidRDefault="001D331E" w:rsidP="00D17241">
      <w:pPr>
        <w:spacing w:line="240" w:lineRule="auto"/>
        <w:ind w:firstLine="720"/>
        <w:jc w:val="both"/>
        <w:rPr>
          <w:rFonts w:asciiTheme="minorEastAsia" w:hAnsiTheme="minorEastAsia" w:cstheme="majorHAnsi"/>
          <w:sz w:val="20"/>
          <w:szCs w:val="20"/>
          <w:lang w:val="en-US"/>
        </w:rPr>
      </w:pPr>
    </w:p>
    <w:p w14:paraId="00000033" w14:textId="77777777" w:rsidR="001D331E" w:rsidRPr="00D17241" w:rsidRDefault="005521B7" w:rsidP="00D17241">
      <w:pPr>
        <w:pStyle w:val="1"/>
        <w:spacing w:before="200" w:after="200" w:line="240" w:lineRule="auto"/>
        <w:jc w:val="both"/>
        <w:rPr>
          <w:rFonts w:asciiTheme="minorEastAsia" w:eastAsiaTheme="minorEastAsia" w:hAnsiTheme="minorEastAsia" w:cstheme="majorHAnsi"/>
          <w:lang w:val="en-US"/>
        </w:rPr>
      </w:pPr>
      <w:bookmarkStart w:id="3" w:name="_Toc201590809"/>
      <w:r w:rsidRPr="00D17241">
        <w:rPr>
          <w:rFonts w:asciiTheme="minorEastAsia" w:eastAsiaTheme="minorEastAsia" w:hAnsiTheme="minorEastAsia" w:cstheme="majorHAnsi"/>
          <w:lang w:val="en-US"/>
        </w:rPr>
        <w:t>A. Right to Fair and Favorable Working Conditions (Article 7)</w:t>
      </w:r>
      <w:bookmarkEnd w:id="3"/>
    </w:p>
    <w:p w14:paraId="00000034" w14:textId="25CD943C" w:rsidR="00D17241" w:rsidRPr="00D17241" w:rsidRDefault="005521B7"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Article 7 of South Korea's </w:t>
      </w:r>
      <w:r w:rsidRPr="00D17241">
        <w:rPr>
          <w:rFonts w:asciiTheme="minorEastAsia" w:hAnsiTheme="minorEastAsia" w:cstheme="majorHAnsi"/>
          <w:i/>
          <w:sz w:val="20"/>
          <w:szCs w:val="20"/>
          <w:lang w:val="en-US"/>
        </w:rPr>
        <w:t>Minimum Wage Act</w:t>
      </w:r>
      <w:r w:rsidRPr="00D17241">
        <w:rPr>
          <w:rFonts w:asciiTheme="minorEastAsia" w:hAnsiTheme="minorEastAsia" w:cstheme="majorHAnsi"/>
          <w:sz w:val="20"/>
          <w:szCs w:val="20"/>
          <w:lang w:val="en-US"/>
        </w:rPr>
        <w:t xml:space="preserve"> allows for the exemption of individuals whose work capacity is deemed significantly reduced due to mental or physical disabilities from the application of the minimum wage</w:t>
      </w:r>
      <w:r w:rsidR="00D17241" w:rsidRPr="00D17241">
        <w:rPr>
          <w:rFonts w:asciiTheme="minorEastAsia" w:hAnsiTheme="minorEastAsia" w:cstheme="majorHAnsi"/>
          <w:sz w:val="20"/>
          <w:szCs w:val="20"/>
          <w:vertAlign w:val="superscript"/>
        </w:rPr>
        <w:endnoteReference w:id="1"/>
      </w:r>
      <w:r w:rsidR="00D17241">
        <w:rPr>
          <w:rFonts w:asciiTheme="minorEastAsia" w:hAnsiTheme="minorEastAsia" w:cstheme="majorHAnsi" w:hint="eastAsia"/>
          <w:sz w:val="20"/>
          <w:szCs w:val="20"/>
          <w:lang w:val="en-US"/>
        </w:rPr>
        <w:t>.</w:t>
      </w:r>
      <w:r w:rsidR="00D17241" w:rsidRPr="00D17241">
        <w:rPr>
          <w:rFonts w:asciiTheme="minorEastAsia" w:hAnsiTheme="minorEastAsia" w:cstheme="majorHAnsi"/>
          <w:sz w:val="20"/>
          <w:szCs w:val="20"/>
          <w:lang w:val="en-US"/>
        </w:rPr>
        <w:t xml:space="preserve"> This provision is primarily applied to persons with severe disabilities. As a result, many are employed in segregated settings such as sheltered workshops and receive wages that fall well below even half the statutory minimum wage.</w:t>
      </w:r>
      <w:r w:rsidR="00D17241" w:rsidRPr="00D17241">
        <w:rPr>
          <w:rFonts w:asciiTheme="minorEastAsia" w:hAnsiTheme="minorEastAsia" w:cstheme="majorHAnsi"/>
          <w:sz w:val="20"/>
          <w:szCs w:val="20"/>
          <w:vertAlign w:val="superscript"/>
        </w:rPr>
        <w:endnoteReference w:id="2"/>
      </w:r>
    </w:p>
    <w:p w14:paraId="00000035"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Work is not only a source of income, but also a pathway to developing relationships and fostering a sense of belonging within society. However, persons with disabilities continue to be excluded from the minimum wage protections, face disproportionately high unemployment rates, and have significantly lower rates of labor force participation.</w:t>
      </w:r>
      <w:r w:rsidRPr="00D17241">
        <w:rPr>
          <w:rFonts w:asciiTheme="minorEastAsia" w:hAnsiTheme="minorEastAsia" w:cstheme="majorHAnsi"/>
          <w:sz w:val="20"/>
          <w:szCs w:val="20"/>
          <w:vertAlign w:val="superscript"/>
        </w:rPr>
        <w:endnoteReference w:id="3"/>
      </w:r>
      <w:r w:rsidRPr="00D17241">
        <w:rPr>
          <w:rFonts w:asciiTheme="minorEastAsia" w:hAnsiTheme="minorEastAsia" w:cstheme="majorHAnsi"/>
          <w:sz w:val="20"/>
          <w:szCs w:val="20"/>
          <w:lang w:val="en-US"/>
        </w:rPr>
        <w:t xml:space="preserve"> Although certain policies exist to support the employment of persons with disabilities, individuals who require high levels of support remain largely excluded from the labor market.</w:t>
      </w:r>
    </w:p>
    <w:p w14:paraId="00000036"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In response, some local governments have </w:t>
      </w:r>
      <w:proofErr w:type="gramStart"/>
      <w:r w:rsidRPr="00D17241">
        <w:rPr>
          <w:rFonts w:asciiTheme="minorEastAsia" w:hAnsiTheme="minorEastAsia" w:cstheme="majorHAnsi"/>
          <w:sz w:val="20"/>
          <w:szCs w:val="20"/>
          <w:lang w:val="en-US"/>
        </w:rPr>
        <w:t>introduced  "</w:t>
      </w:r>
      <w:proofErr w:type="gramEnd"/>
      <w:r w:rsidRPr="00D17241">
        <w:rPr>
          <w:rFonts w:asciiTheme="minorEastAsia" w:hAnsiTheme="minorEastAsia" w:cstheme="majorHAnsi"/>
          <w:sz w:val="20"/>
          <w:szCs w:val="20"/>
          <w:lang w:val="en-US"/>
        </w:rPr>
        <w:t>Rights-based public jobs for persons with severe disabilities" whereby persons with high support needs are directly employed by the government to perform roles such as creating art or conducting disability rights campaigns.</w:t>
      </w:r>
      <w:r w:rsidRPr="00D17241">
        <w:rPr>
          <w:rFonts w:asciiTheme="minorEastAsia" w:hAnsiTheme="minorEastAsia" w:cstheme="majorHAnsi"/>
          <w:sz w:val="20"/>
          <w:szCs w:val="20"/>
          <w:vertAlign w:val="superscript"/>
        </w:rPr>
        <w:endnoteReference w:id="4"/>
      </w:r>
      <w:r w:rsidRPr="00D17241">
        <w:rPr>
          <w:rFonts w:asciiTheme="minorEastAsia" w:hAnsiTheme="minorEastAsia" w:cstheme="majorHAnsi"/>
          <w:sz w:val="20"/>
          <w:szCs w:val="20"/>
          <w:lang w:val="en-US"/>
        </w:rPr>
        <w:t xml:space="preserve"> These jobs have been positively evaluated for enhancing the well-being of persons with severe disabilities, promoting their social inclusion, ensuring stable income, and upholding their labor rights. </w:t>
      </w:r>
    </w:p>
    <w:p w14:paraId="00000037"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lastRenderedPageBreak/>
        <w:t>However, in 2024, the Seoul Metropolitan Government abruptly terminated their employment, resulting in the dismissal of approximately 400 workers with severe disabilities.</w:t>
      </w:r>
      <w:r w:rsidRPr="00D17241">
        <w:rPr>
          <w:rFonts w:asciiTheme="minorEastAsia" w:hAnsiTheme="minorEastAsia" w:cstheme="majorHAnsi"/>
          <w:sz w:val="20"/>
          <w:szCs w:val="20"/>
          <w:vertAlign w:val="superscript"/>
        </w:rPr>
        <w:endnoteReference w:id="5"/>
      </w:r>
      <w:r w:rsidRPr="00D17241">
        <w:rPr>
          <w:rFonts w:asciiTheme="minorEastAsia" w:hAnsiTheme="minorEastAsia" w:cstheme="majorHAnsi"/>
          <w:sz w:val="20"/>
          <w:szCs w:val="20"/>
          <w:lang w:val="en-US"/>
        </w:rPr>
        <w:t xml:space="preserve"> . This has posed a serious threat to their right to access “decent work”. While other local governments have continued to operate similar models, the availability and sustainability of these jobs remain uneven due to disparities in local financial capacities. As a result, persons with disabilities in certain regions are unable to access the same opportunities and rights.</w:t>
      </w:r>
    </w:p>
    <w:p w14:paraId="00000038"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 xml:space="preserve">List of issue: </w:t>
      </w:r>
    </w:p>
    <w:p w14:paraId="00000039"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(a) Provide specific information on the measures taken by the State party to ensure the labor rights of all persons with </w:t>
      </w:r>
      <w:proofErr w:type="gramStart"/>
      <w:r w:rsidRPr="00D17241">
        <w:rPr>
          <w:rFonts w:asciiTheme="minorEastAsia" w:hAnsiTheme="minorEastAsia" w:cstheme="majorHAnsi"/>
          <w:sz w:val="20"/>
          <w:szCs w:val="20"/>
          <w:lang w:val="en-US"/>
        </w:rPr>
        <w:t>disabilities,  including</w:t>
      </w:r>
      <w:proofErr w:type="gramEnd"/>
      <w:r w:rsidRPr="00D17241">
        <w:rPr>
          <w:rFonts w:asciiTheme="minorEastAsia" w:hAnsiTheme="minorEastAsia" w:cstheme="majorHAnsi"/>
          <w:sz w:val="20"/>
          <w:szCs w:val="20"/>
          <w:lang w:val="en-US"/>
        </w:rPr>
        <w:t xml:space="preserve"> those with very high support needs, regardless of type or degree of disability.</w:t>
      </w:r>
    </w:p>
    <w:p w14:paraId="0000003A"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(b) What strategies, plans, legislation, or pilot programs are in place or under development to ensure access to “decent work,”, including minimum wage guarantees, integrated employment settings, and appropriate job support?</w:t>
      </w:r>
    </w:p>
    <w:p w14:paraId="0000003B" w14:textId="77777777" w:rsidR="00D17241" w:rsidRPr="00D17241" w:rsidRDefault="00D17241" w:rsidP="00D17241">
      <w:pPr>
        <w:pStyle w:val="1"/>
        <w:spacing w:before="200" w:line="240" w:lineRule="auto"/>
        <w:jc w:val="both"/>
        <w:rPr>
          <w:rFonts w:asciiTheme="minorEastAsia" w:eastAsiaTheme="minorEastAsia" w:hAnsiTheme="minorEastAsia" w:cstheme="majorHAnsi"/>
          <w:sz w:val="20"/>
          <w:szCs w:val="20"/>
          <w:lang w:val="en-US"/>
        </w:rPr>
      </w:pPr>
      <w:bookmarkStart w:id="4" w:name="_Toc201590810"/>
      <w:r w:rsidRPr="00D17241">
        <w:rPr>
          <w:rFonts w:asciiTheme="minorEastAsia" w:eastAsiaTheme="minorEastAsia" w:hAnsiTheme="minorEastAsia" w:cstheme="majorHAnsi"/>
          <w:lang w:val="en-US"/>
        </w:rPr>
        <w:t>B. Right to an Adequate Standard of Living and Housing (Art. 11)</w:t>
      </w:r>
      <w:bookmarkEnd w:id="4"/>
    </w:p>
    <w:p w14:paraId="0000003C" w14:textId="77777777" w:rsidR="00D17241" w:rsidRPr="00D17241" w:rsidRDefault="00D17241" w:rsidP="00D17241">
      <w:pPr>
        <w:pStyle w:val="2"/>
        <w:spacing w:before="200" w:line="240" w:lineRule="auto"/>
        <w:jc w:val="both"/>
        <w:rPr>
          <w:rFonts w:asciiTheme="minorEastAsia" w:hAnsiTheme="minorEastAsia" w:cstheme="majorHAnsi"/>
          <w:lang w:val="en-US"/>
        </w:rPr>
      </w:pPr>
      <w:bookmarkStart w:id="5" w:name="_Toc201590811"/>
      <w:r w:rsidRPr="00D17241">
        <w:rPr>
          <w:rFonts w:asciiTheme="minorEastAsia" w:hAnsiTheme="minorEastAsia" w:cstheme="majorHAnsi"/>
          <w:lang w:val="en-US"/>
        </w:rPr>
        <w:t>a. Long-term stay in hospitals and institutions for persons with psychosocial disabilities</w:t>
      </w:r>
      <w:bookmarkEnd w:id="5"/>
    </w:p>
    <w:p w14:paraId="0000003D"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Persons with mental health conditions are institutionalized for extended periods under State Party’s law in psychiatric hospitals and related institutions. As of 2024, 7,961 people are held in psychiatric care facilities, and among them, 6,318 individuals (79.3%) have been institutionalized for more than five years. In psychiatric hospitals, 788 individuals (1%) have also been institutionalized for over five years(National Center for Mental Health, 2024). An analysis using over 10 years of data from the National Health Insurance and Medical Aid systems shows that the average length of stay for persons diagnosed with severe mental health conditions, including schizophrenia, was 145.4 days, and for schizophrenia specifically, 308.3 days..</w:t>
      </w:r>
      <w:r w:rsidRPr="00D17241">
        <w:rPr>
          <w:rFonts w:asciiTheme="minorEastAsia" w:hAnsiTheme="minorEastAsia" w:cstheme="majorHAnsi"/>
          <w:sz w:val="20"/>
          <w:szCs w:val="20"/>
          <w:vertAlign w:val="superscript"/>
        </w:rPr>
        <w:endnoteReference w:id="6"/>
      </w:r>
    </w:p>
    <w:p w14:paraId="0000003E"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The main reasons for prolonged institutionalization include: "no place to live after discharge (24.1%)," "difficulty in maintaining daily life independently(22.0%)," "family conflict and the family’s refusal to accept the person back(16.2%)," and "lack of community-based support services(8.1%)."</w:t>
      </w:r>
      <w:r w:rsidRPr="00D17241">
        <w:rPr>
          <w:rFonts w:asciiTheme="minorEastAsia" w:hAnsiTheme="minorEastAsia" w:cstheme="majorHAnsi"/>
          <w:sz w:val="20"/>
          <w:szCs w:val="20"/>
          <w:vertAlign w:val="superscript"/>
        </w:rPr>
        <w:endnoteReference w:id="7"/>
      </w:r>
      <w:r w:rsidRPr="00D17241">
        <w:rPr>
          <w:rFonts w:asciiTheme="minorEastAsia" w:hAnsiTheme="minorEastAsia" w:cstheme="majorHAnsi"/>
          <w:sz w:val="20"/>
          <w:szCs w:val="20"/>
          <w:lang w:val="en-US"/>
        </w:rPr>
        <w:t xml:space="preserve"> These findings highlight that long-term institutionalization often results from the lack of adequate housing and support systems in the community.</w:t>
      </w:r>
    </w:p>
    <w:p w14:paraId="0000003F"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 xml:space="preserve">List of issue: </w:t>
      </w:r>
    </w:p>
    <w:p w14:paraId="00000040"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 Does the State party have a policy or action plan to shift away from long-term institutionalization and promote the deinstitutionalization of persons currently held in psychiatric hospitals and similar facilities?</w:t>
      </w:r>
    </w:p>
    <w:p w14:paraId="00000041"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(b) Is the State party considering legislative reforms or the adoption of new policies to prevent community-based exclusion and ensure that rights are not denied through institutional confinement?</w:t>
      </w:r>
    </w:p>
    <w:p w14:paraId="00000042" w14:textId="77777777" w:rsidR="00D17241" w:rsidRPr="00D17241" w:rsidRDefault="00D17241" w:rsidP="00D17241">
      <w:pPr>
        <w:spacing w:line="240" w:lineRule="auto"/>
        <w:jc w:val="both"/>
        <w:rPr>
          <w:rFonts w:asciiTheme="minorEastAsia" w:hAnsiTheme="minorEastAsia" w:cstheme="majorHAnsi"/>
          <w:sz w:val="20"/>
          <w:szCs w:val="20"/>
          <w:lang w:val="en-US"/>
        </w:rPr>
      </w:pPr>
    </w:p>
    <w:p w14:paraId="00000043" w14:textId="77777777" w:rsidR="00D17241" w:rsidRPr="00D17241" w:rsidRDefault="00D17241" w:rsidP="00D17241">
      <w:pPr>
        <w:pStyle w:val="2"/>
        <w:spacing w:line="240" w:lineRule="auto"/>
        <w:jc w:val="both"/>
        <w:rPr>
          <w:rFonts w:asciiTheme="minorEastAsia" w:hAnsiTheme="minorEastAsia" w:cstheme="majorHAnsi"/>
          <w:lang w:val="en-US"/>
        </w:rPr>
      </w:pPr>
      <w:bookmarkStart w:id="6" w:name="_Toc201590812"/>
      <w:r w:rsidRPr="00D17241">
        <w:rPr>
          <w:rFonts w:asciiTheme="minorEastAsia" w:hAnsiTheme="minorEastAsia" w:cstheme="majorHAnsi"/>
          <w:lang w:val="en-US"/>
        </w:rPr>
        <w:t>b. Repeated exclusion and isolation of persons with disabilities</w:t>
      </w:r>
      <w:bookmarkEnd w:id="6"/>
    </w:p>
    <w:p w14:paraId="00000044"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lang w:val="en-US"/>
        </w:rPr>
        <w:t xml:space="preserve">As of 2025, approximately 28,500 persons with disabilities are living in residential institutions in South Korea. </w:t>
      </w:r>
      <w:r w:rsidRPr="00D17241">
        <w:rPr>
          <w:rFonts w:asciiTheme="minorEastAsia" w:hAnsiTheme="minorEastAsia" w:cstheme="majorHAnsi"/>
          <w:sz w:val="20"/>
          <w:szCs w:val="20"/>
        </w:rPr>
        <w:t>The average length of institutional stay is 18.9 years.</w:t>
      </w:r>
      <w:r w:rsidRPr="00D17241">
        <w:rPr>
          <w:rFonts w:asciiTheme="minorEastAsia" w:hAnsiTheme="minorEastAsia" w:cstheme="majorHAnsi"/>
          <w:sz w:val="20"/>
          <w:szCs w:val="20"/>
          <w:vertAlign w:val="superscript"/>
        </w:rPr>
        <w:endnoteReference w:id="8"/>
      </w:r>
      <w:r w:rsidRPr="00D17241">
        <w:rPr>
          <w:rFonts w:asciiTheme="minorEastAsia" w:hAnsiTheme="minorEastAsia" w:cstheme="majorHAnsi"/>
          <w:sz w:val="20"/>
          <w:szCs w:val="20"/>
        </w:rPr>
        <w:t xml:space="preserve"> </w:t>
      </w:r>
    </w:p>
    <w:p w14:paraId="00000045"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One of the main reasons for prolonged institutionalization is the government’s continued prioritization of funding for institution maintenance over investment in social services necessary for independent living. In 2023, the government allocated KRW 634.7 billion to support the operation of residential institutions, which increased to KRW 669.5 billion in 2024.</w:t>
      </w:r>
      <w:r w:rsidRPr="00D17241">
        <w:rPr>
          <w:rFonts w:asciiTheme="minorEastAsia" w:hAnsiTheme="minorEastAsia" w:cstheme="majorHAnsi"/>
          <w:sz w:val="20"/>
          <w:szCs w:val="20"/>
          <w:vertAlign w:val="superscript"/>
        </w:rPr>
        <w:endnoteReference w:id="9"/>
      </w:r>
      <w:r w:rsidRPr="00D17241">
        <w:rPr>
          <w:rFonts w:asciiTheme="minorEastAsia" w:hAnsiTheme="minorEastAsia" w:cstheme="majorHAnsi"/>
          <w:sz w:val="20"/>
          <w:szCs w:val="20"/>
          <w:lang w:val="en-US"/>
        </w:rPr>
        <w:t xml:space="preserve"> For 2025, this figure has risen further to KRW 712.1 billion. In stark contrast, only KRW 6 billion (0.8% of the institutional budget) has been allocated for deinstitutionalization efforts.</w:t>
      </w:r>
      <w:r w:rsidRPr="00D17241">
        <w:rPr>
          <w:rFonts w:asciiTheme="minorEastAsia" w:hAnsiTheme="minorEastAsia" w:cstheme="majorHAnsi"/>
          <w:sz w:val="20"/>
          <w:szCs w:val="20"/>
          <w:vertAlign w:val="superscript"/>
        </w:rPr>
        <w:endnoteReference w:id="10"/>
      </w:r>
    </w:p>
    <w:p w14:paraId="00000046"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Among residents of these institutions, more people responded that they “do not want to live independently” (3,424) than those who expressed a desire to do so (1,937).</w:t>
      </w:r>
      <w:r w:rsidRPr="00D17241">
        <w:rPr>
          <w:rFonts w:asciiTheme="minorEastAsia" w:hAnsiTheme="minorEastAsia" w:cstheme="majorHAnsi"/>
          <w:sz w:val="20"/>
          <w:szCs w:val="20"/>
          <w:vertAlign w:val="superscript"/>
        </w:rPr>
        <w:endnoteReference w:id="11"/>
      </w:r>
      <w:r w:rsidRPr="00D17241">
        <w:rPr>
          <w:rFonts w:asciiTheme="minorEastAsia" w:hAnsiTheme="minorEastAsia" w:cstheme="majorHAnsi"/>
          <w:sz w:val="20"/>
          <w:szCs w:val="20"/>
          <w:lang w:val="en-US"/>
        </w:rPr>
        <w:t xml:space="preserve"> . Of those who do not want to live independently, the reasons given were "I don't know how" (21.9%), "I'm not confident" (14.7%), and "My family does not want me to" (9.7%). These responses reflect a broader reality that makes persons with disabilities feel unable to live independently: that the government has not adequately ensured the housing, income security, personal assistance, and care services necessary to support independent living </w:t>
      </w:r>
    </w:p>
    <w:p w14:paraId="00000047"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General Comment No. 5 of the Committee on Economic, Social and Cultural Rights underscores the obligation of States parties to progressively realize the right of persons with disabilities to full participation in society, to the maximum of available resources.</w:t>
      </w:r>
      <w:r w:rsidRPr="00D17241">
        <w:rPr>
          <w:rFonts w:asciiTheme="minorEastAsia" w:hAnsiTheme="minorEastAsia" w:cstheme="majorHAnsi"/>
          <w:sz w:val="20"/>
          <w:szCs w:val="20"/>
          <w:vertAlign w:val="superscript"/>
        </w:rPr>
        <w:endnoteReference w:id="12"/>
      </w:r>
      <w:r w:rsidRPr="00D17241">
        <w:rPr>
          <w:rFonts w:asciiTheme="minorEastAsia" w:hAnsiTheme="minorEastAsia" w:cstheme="majorHAnsi"/>
          <w:sz w:val="20"/>
          <w:szCs w:val="20"/>
          <w:lang w:val="en-US"/>
        </w:rPr>
        <w:t xml:space="preserve">  This entails that State parties must create the institutional frameworks and enabling environments needed for individuals to recognize their right to deinstitutionalization—and to be able to envision and pursue it.</w:t>
      </w:r>
    </w:p>
    <w:p w14:paraId="00000048"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lang w:val="en-US"/>
        </w:rPr>
      </w:pPr>
      <w:r w:rsidRPr="00D17241">
        <w:rPr>
          <w:rFonts w:asciiTheme="minorEastAsia" w:hAnsiTheme="minorEastAsia" w:cstheme="majorHAnsi"/>
          <w:sz w:val="20"/>
          <w:szCs w:val="20"/>
          <w:lang w:val="en-US"/>
        </w:rPr>
        <w:t>Since 2024, local governments have taken on responsibility for managing the waiting lists for institutional admission. Instead of directing resources and personnel toward community-based alternatives, the State Party has supported institutional placements, thereby infringing on the social rights of persons with disabilities.</w:t>
      </w:r>
    </w:p>
    <w:p w14:paraId="00000049"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 xml:space="preserve">List of issue: </w:t>
      </w:r>
    </w:p>
    <w:p w14:paraId="0000004A"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 Persons with disabilities living in institutions face significant barriers in accessing their rights to work, education, and an adequate standard of living, all of which are essential for meaningful participation in society. Nevertheless, the government continues to spend disproportionately high amounts on institutional care compared to its limited investment in deinstitutionalization.</w:t>
      </w:r>
    </w:p>
    <w:p w14:paraId="0000004B"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(b) Describe the State party’s plans to promote deinstitutionalization and prevent new admissions into institutions, including legislation, budget allocations, timelines, and target numbers of beneficiaries, in order to ensure the social rights of persons with disabilities.</w:t>
      </w:r>
    </w:p>
    <w:p w14:paraId="0000004C" w14:textId="77777777" w:rsidR="00D17241" w:rsidRPr="00D17241" w:rsidRDefault="00D17241" w:rsidP="00D17241">
      <w:pPr>
        <w:pStyle w:val="1"/>
        <w:spacing w:before="200" w:line="240" w:lineRule="auto"/>
        <w:jc w:val="both"/>
        <w:rPr>
          <w:rFonts w:asciiTheme="minorEastAsia" w:eastAsiaTheme="minorEastAsia" w:hAnsiTheme="minorEastAsia" w:cstheme="majorHAnsi"/>
          <w:lang w:val="en-US"/>
        </w:rPr>
      </w:pPr>
      <w:bookmarkStart w:id="7" w:name="_Toc201590813"/>
      <w:r w:rsidRPr="00D17241">
        <w:rPr>
          <w:rFonts w:asciiTheme="minorEastAsia" w:eastAsiaTheme="minorEastAsia" w:hAnsiTheme="minorEastAsia" w:cstheme="majorHAnsi"/>
          <w:lang w:val="en-US"/>
        </w:rPr>
        <w:lastRenderedPageBreak/>
        <w:t>C. Right to Health (Art. 12)</w:t>
      </w:r>
      <w:bookmarkEnd w:id="7"/>
    </w:p>
    <w:p w14:paraId="0000004D" w14:textId="77777777" w:rsidR="00D17241" w:rsidRPr="00D17241" w:rsidRDefault="00D17241" w:rsidP="00D17241">
      <w:pPr>
        <w:pStyle w:val="2"/>
        <w:spacing w:before="200" w:line="240" w:lineRule="auto"/>
        <w:jc w:val="both"/>
        <w:rPr>
          <w:rFonts w:asciiTheme="minorEastAsia" w:hAnsiTheme="minorEastAsia" w:cstheme="majorHAnsi"/>
        </w:rPr>
      </w:pPr>
      <w:bookmarkStart w:id="8" w:name="_Toc201590814"/>
      <w:r w:rsidRPr="00D17241">
        <w:rPr>
          <w:rFonts w:asciiTheme="minorEastAsia" w:hAnsiTheme="minorEastAsia" w:cstheme="majorHAnsi"/>
        </w:rPr>
        <w:t>a. Psychosocial disabilities</w:t>
      </w:r>
      <w:bookmarkEnd w:id="8"/>
    </w:p>
    <w:p w14:paraId="0000004E"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Involuntary hospitalization, forced medication, seclusion, and physical restraint on the basis of psychosocial disabilities continue to be permitted by law in South Korea without the individual's free and informed consent</w:t>
      </w:r>
      <w:proofErr w:type="gramStart"/>
      <w:r w:rsidRPr="00D17241">
        <w:rPr>
          <w:rFonts w:asciiTheme="minorEastAsia" w:hAnsiTheme="minorEastAsia" w:cstheme="majorHAnsi"/>
          <w:sz w:val="20"/>
          <w:szCs w:val="20"/>
          <w:lang w:val="en-US"/>
        </w:rPr>
        <w:t>. .</w:t>
      </w:r>
      <w:proofErr w:type="gramEnd"/>
      <w:r w:rsidRPr="00D17241">
        <w:rPr>
          <w:rFonts w:asciiTheme="minorEastAsia" w:hAnsiTheme="minorEastAsia" w:cstheme="majorHAnsi"/>
          <w:sz w:val="20"/>
          <w:szCs w:val="20"/>
          <w:lang w:val="en-US"/>
        </w:rPr>
        <w:t xml:space="preserve"> As of the most recent data, 20,312 individuals (36.5%) are involuntarily hospitalized without their consent, and an additional 11,713 individuals (21%) are held under “voluntary” hospitalization schemes that legally allow for the extension of stay against the individual's will. In total, 32,025 persons (57.5%) are subject to coercive treatment in contradiction to their own expressed wishes.</w:t>
      </w:r>
      <w:r w:rsidRPr="00D17241">
        <w:rPr>
          <w:rFonts w:asciiTheme="minorEastAsia" w:hAnsiTheme="minorEastAsia" w:cstheme="majorHAnsi"/>
          <w:sz w:val="20"/>
          <w:szCs w:val="20"/>
          <w:vertAlign w:val="superscript"/>
        </w:rPr>
        <w:endnoteReference w:id="13"/>
      </w:r>
      <w:r w:rsidRPr="00D17241">
        <w:rPr>
          <w:rFonts w:asciiTheme="minorEastAsia" w:hAnsiTheme="minorEastAsia" w:cstheme="majorHAnsi"/>
          <w:sz w:val="20"/>
          <w:szCs w:val="20"/>
          <w:lang w:val="en-US"/>
        </w:rPr>
        <w:t xml:space="preserve"> </w:t>
      </w:r>
    </w:p>
    <w:p w14:paraId="0000004F"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According to a fact-finding survey conducted from January to June 2024, of the 183,520 people hospitalized during that six-month period, 23,389 individuals (12.7%) were subjected to seclusion and 12,735 individuals (6.9%) were subjected to physical restraint. Notably, the maximum recorded duration of continuous seclusion was 1,151 hours (47.9 days), and for physical restraint, 245 hours (10.2 days).</w:t>
      </w:r>
      <w:r w:rsidRPr="00D17241">
        <w:rPr>
          <w:rFonts w:asciiTheme="minorEastAsia" w:hAnsiTheme="minorEastAsia" w:cstheme="majorHAnsi"/>
          <w:sz w:val="20"/>
          <w:szCs w:val="20"/>
          <w:vertAlign w:val="superscript"/>
        </w:rPr>
        <w:endnoteReference w:id="14"/>
      </w:r>
    </w:p>
    <w:p w14:paraId="00000050"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 xml:space="preserve">List of issue: </w:t>
      </w:r>
    </w:p>
    <w:p w14:paraId="00000051"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(a) What legal and policy measures does the State party plan </w:t>
      </w:r>
      <w:proofErr w:type="gramStart"/>
      <w:r w:rsidRPr="00D17241">
        <w:rPr>
          <w:rFonts w:asciiTheme="minorEastAsia" w:hAnsiTheme="minorEastAsia" w:cstheme="majorHAnsi"/>
          <w:sz w:val="20"/>
          <w:szCs w:val="20"/>
          <w:lang w:val="en-US"/>
        </w:rPr>
        <w:t>to  adopt</w:t>
      </w:r>
      <w:proofErr w:type="gramEnd"/>
      <w:r w:rsidRPr="00D17241">
        <w:rPr>
          <w:rFonts w:asciiTheme="minorEastAsia" w:hAnsiTheme="minorEastAsia" w:cstheme="majorHAnsi"/>
          <w:sz w:val="20"/>
          <w:szCs w:val="20"/>
          <w:lang w:val="en-US"/>
        </w:rPr>
        <w:t xml:space="preserve"> to  ensure  protection from torture, non-consensual medical treatment and experimentation? </w:t>
      </w:r>
    </w:p>
    <w:p w14:paraId="00000052"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(b) Explain whether the State party has taken steps to eliminate elements of undue deprivation of liberty under the Mental Health and Welfare Act—specifically Articles 42 (Consensual Hospitalization, etc.), Article 43 (Hospitalization by by Legal Guardian, etc.), Article 44 (Hospitalization ordered by the Mayor of a Special Metropolitan City, Governor of a Special Self-Governing Province, Mayor, County Head, or District Head), Article 50 (Emergency Hospitalization), and Article 75 (Prohibition of Restrictions, including seclusion, etc.) and provide information on whether systems have been introduced to ensure the rights of persons with mental health conditions, and what legal measures are in place to prevent non-consensual medical treatment.</w:t>
      </w:r>
    </w:p>
    <w:p w14:paraId="00000053" w14:textId="77777777" w:rsidR="00D17241" w:rsidRPr="00D17241" w:rsidRDefault="00D17241" w:rsidP="00D17241">
      <w:pPr>
        <w:spacing w:line="240" w:lineRule="auto"/>
        <w:jc w:val="both"/>
        <w:rPr>
          <w:rFonts w:asciiTheme="minorEastAsia" w:hAnsiTheme="minorEastAsia" w:cstheme="majorHAnsi"/>
          <w:sz w:val="20"/>
          <w:szCs w:val="20"/>
          <w:lang w:val="en-US"/>
        </w:rPr>
      </w:pPr>
    </w:p>
    <w:p w14:paraId="00000054" w14:textId="77777777" w:rsidR="00D17241" w:rsidRPr="00D17241" w:rsidRDefault="00D17241" w:rsidP="00D17241">
      <w:pPr>
        <w:pStyle w:val="2"/>
        <w:spacing w:line="240" w:lineRule="auto"/>
        <w:jc w:val="both"/>
        <w:rPr>
          <w:rFonts w:asciiTheme="minorEastAsia" w:hAnsiTheme="minorEastAsia" w:cstheme="majorHAnsi"/>
        </w:rPr>
      </w:pPr>
      <w:bookmarkStart w:id="9" w:name="_Toc201590815"/>
      <w:r w:rsidRPr="00D17241">
        <w:rPr>
          <w:rFonts w:asciiTheme="minorEastAsia" w:hAnsiTheme="minorEastAsia" w:cstheme="majorHAnsi"/>
        </w:rPr>
        <w:t>b. Older Persons with Disabilities</w:t>
      </w:r>
      <w:bookmarkEnd w:id="9"/>
    </w:p>
    <w:p w14:paraId="00000055"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The aging of persons with disabilities is becoming a pressing social issue in South Korea. While the national disability prevalence rate stands at approximately 5%, it reaches 18% among the older population—about 3.6 times higher. </w:t>
      </w:r>
      <w:r w:rsidRPr="00D17241">
        <w:rPr>
          <w:rFonts w:asciiTheme="minorEastAsia" w:hAnsiTheme="minorEastAsia" w:cstheme="majorHAnsi"/>
          <w:sz w:val="20"/>
          <w:szCs w:val="20"/>
          <w:vertAlign w:val="superscript"/>
        </w:rPr>
        <w:endnoteReference w:id="15"/>
      </w:r>
      <w:r w:rsidRPr="00D17241">
        <w:rPr>
          <w:rFonts w:asciiTheme="minorEastAsia" w:hAnsiTheme="minorEastAsia" w:cstheme="majorHAnsi"/>
          <w:sz w:val="20"/>
          <w:szCs w:val="20"/>
          <w:lang w:val="en-US"/>
        </w:rPr>
        <w:t xml:space="preserve"> Despite this trend, older persons with disabilities—who are subject to both age- and disability-based marginalization—remain excluded from institutional support across economic, emotional, and social participation domains.</w:t>
      </w:r>
    </w:p>
    <w:p w14:paraId="00000056"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For the general elderly population, various programs are in place to promote social participation, such as the Senior Employment Program, public-interest activities, welfare and community centers, and long-term care and medical facilities. The government is also discussing reforms to the National Pension Scheme to strengthen old-age income security</w:t>
      </w:r>
      <w:r w:rsidRPr="00D17241">
        <w:rPr>
          <w:rFonts w:asciiTheme="minorEastAsia" w:hAnsiTheme="minorEastAsia" w:cstheme="majorHAnsi"/>
          <w:sz w:val="20"/>
          <w:szCs w:val="20"/>
          <w:vertAlign w:val="superscript"/>
        </w:rPr>
        <w:endnoteReference w:id="16"/>
      </w:r>
      <w:r w:rsidRPr="00D17241">
        <w:rPr>
          <w:rFonts w:asciiTheme="minorEastAsia" w:hAnsiTheme="minorEastAsia" w:cstheme="majorHAnsi"/>
          <w:sz w:val="20"/>
          <w:szCs w:val="20"/>
          <w:lang w:val="en-US"/>
        </w:rPr>
        <w:t xml:space="preserve"> </w:t>
      </w:r>
      <w:r w:rsidRPr="00D17241">
        <w:rPr>
          <w:rFonts w:asciiTheme="minorEastAsia" w:hAnsiTheme="minorEastAsia" w:cstheme="majorHAnsi"/>
          <w:sz w:val="20"/>
          <w:szCs w:val="20"/>
          <w:lang w:val="en-US"/>
        </w:rPr>
        <w:lastRenderedPageBreak/>
        <w:t>and has initiated pilot projects for integrated medical and care services to support aging in place.</w:t>
      </w:r>
      <w:r w:rsidRPr="00D17241">
        <w:rPr>
          <w:rFonts w:asciiTheme="minorEastAsia" w:hAnsiTheme="minorEastAsia" w:cstheme="majorHAnsi"/>
          <w:sz w:val="20"/>
          <w:szCs w:val="20"/>
          <w:vertAlign w:val="superscript"/>
        </w:rPr>
        <w:endnoteReference w:id="17"/>
      </w:r>
      <w:r w:rsidRPr="00D17241">
        <w:rPr>
          <w:rFonts w:asciiTheme="minorEastAsia" w:hAnsiTheme="minorEastAsia" w:cstheme="majorHAnsi"/>
          <w:sz w:val="20"/>
          <w:szCs w:val="20"/>
          <w:vertAlign w:val="superscript"/>
          <w:lang w:val="en-US"/>
        </w:rPr>
        <w:t xml:space="preserve"> </w:t>
      </w:r>
    </w:p>
    <w:p w14:paraId="00000057"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However, older persons with disabilities are systematically excluded from both disability- and elderly-related policy areas. This dual exclusion is particularly evident in employment</w:t>
      </w:r>
      <w:r w:rsidRPr="00D17241">
        <w:rPr>
          <w:rFonts w:asciiTheme="minorEastAsia" w:hAnsiTheme="minorEastAsia" w:cstheme="majorHAnsi"/>
          <w:sz w:val="20"/>
          <w:szCs w:val="20"/>
          <w:vertAlign w:val="superscript"/>
        </w:rPr>
        <w:endnoteReference w:id="18"/>
      </w:r>
      <w:r w:rsidRPr="00D17241">
        <w:rPr>
          <w:rFonts w:asciiTheme="minorEastAsia" w:hAnsiTheme="minorEastAsia" w:cstheme="majorHAnsi"/>
          <w:sz w:val="20"/>
          <w:szCs w:val="20"/>
          <w:lang w:val="en-US"/>
        </w:rPr>
        <w:t xml:space="preserve"> , access to public facilities</w:t>
      </w:r>
      <w:r w:rsidRPr="00D17241">
        <w:rPr>
          <w:rFonts w:asciiTheme="minorEastAsia" w:hAnsiTheme="minorEastAsia" w:cstheme="majorHAnsi"/>
          <w:sz w:val="20"/>
          <w:szCs w:val="20"/>
          <w:vertAlign w:val="superscript"/>
        </w:rPr>
        <w:endnoteReference w:id="19"/>
      </w:r>
      <w:r w:rsidRPr="00D17241">
        <w:rPr>
          <w:rFonts w:asciiTheme="minorEastAsia" w:hAnsiTheme="minorEastAsia" w:cstheme="majorHAnsi"/>
          <w:sz w:val="20"/>
          <w:szCs w:val="20"/>
          <w:lang w:val="en-US"/>
        </w:rPr>
        <w:t xml:space="preserve"> , and long-term care services</w:t>
      </w:r>
      <w:r w:rsidRPr="00D17241">
        <w:rPr>
          <w:rFonts w:asciiTheme="minorEastAsia" w:hAnsiTheme="minorEastAsia" w:cstheme="majorHAnsi"/>
          <w:sz w:val="20"/>
          <w:szCs w:val="20"/>
          <w:vertAlign w:val="superscript"/>
        </w:rPr>
        <w:endnoteReference w:id="20"/>
      </w:r>
      <w:r w:rsidRPr="00D17241">
        <w:rPr>
          <w:rFonts w:asciiTheme="minorEastAsia" w:hAnsiTheme="minorEastAsia" w:cstheme="majorHAnsi"/>
          <w:sz w:val="20"/>
          <w:szCs w:val="20"/>
          <w:lang w:val="en-US"/>
        </w:rPr>
        <w:t xml:space="preserve"> . While the State party announced in 2025 that persons with disabilities would be included in the integrated medical and care support pilot projects, even the basic implementation plans have not been publicly released.</w:t>
      </w:r>
    </w:p>
    <w:p w14:paraId="00000058" w14:textId="77777777" w:rsidR="00D17241" w:rsidRPr="00D17241" w:rsidRDefault="00D17241" w:rsidP="00D17241">
      <w:pPr>
        <w:widowControl w:val="0"/>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The average annual medical expenditure per older person with a disability is 8,184,000 KRW, approximately 1.8 times higher than the 4,449,000 KRW spent per non-disabled older person.</w:t>
      </w:r>
      <w:r w:rsidRPr="00D17241">
        <w:rPr>
          <w:rFonts w:asciiTheme="minorEastAsia" w:hAnsiTheme="minorEastAsia" w:cstheme="majorHAnsi"/>
          <w:sz w:val="20"/>
          <w:szCs w:val="20"/>
          <w:vertAlign w:val="superscript"/>
        </w:rPr>
        <w:endnoteReference w:id="21"/>
      </w:r>
      <w:r w:rsidRPr="00D17241">
        <w:rPr>
          <w:rFonts w:asciiTheme="minorEastAsia" w:hAnsiTheme="minorEastAsia" w:cstheme="majorHAnsi"/>
          <w:sz w:val="20"/>
          <w:szCs w:val="20"/>
          <w:lang w:val="en-US"/>
        </w:rPr>
        <w:t xml:space="preserve"> . In addition, persons with disabilities incur an average of 2,040,000 KRW annually in disability-related extra expenses</w:t>
      </w:r>
      <w:r w:rsidRPr="00D17241">
        <w:rPr>
          <w:rFonts w:asciiTheme="minorEastAsia" w:hAnsiTheme="minorEastAsia" w:cstheme="majorHAnsi"/>
          <w:sz w:val="20"/>
          <w:szCs w:val="20"/>
          <w:vertAlign w:val="superscript"/>
        </w:rPr>
        <w:endnoteReference w:id="22"/>
      </w:r>
      <w:r w:rsidRPr="00D17241">
        <w:rPr>
          <w:rFonts w:asciiTheme="minorEastAsia" w:hAnsiTheme="minorEastAsia" w:cstheme="majorHAnsi"/>
          <w:sz w:val="20"/>
          <w:szCs w:val="20"/>
          <w:lang w:val="en-US"/>
        </w:rPr>
        <w:t>. Nonetheless, the average income of older persons with disabilities is only 60% of their non-disabled counterparts,</w:t>
      </w:r>
      <w:r w:rsidRPr="00D17241">
        <w:rPr>
          <w:rFonts w:asciiTheme="minorEastAsia" w:hAnsiTheme="minorEastAsia" w:cstheme="majorHAnsi"/>
          <w:sz w:val="20"/>
          <w:szCs w:val="20"/>
          <w:vertAlign w:val="superscript"/>
        </w:rPr>
        <w:endnoteReference w:id="23"/>
      </w:r>
      <w:r w:rsidRPr="00D17241">
        <w:rPr>
          <w:rFonts w:asciiTheme="minorEastAsia" w:hAnsiTheme="minorEastAsia" w:cstheme="majorHAnsi"/>
          <w:sz w:val="20"/>
          <w:szCs w:val="20"/>
          <w:lang w:val="en-US"/>
        </w:rPr>
        <w:t xml:space="preserve"> , and their economic participation rates are significantly lower.</w:t>
      </w:r>
      <w:r w:rsidRPr="00D17241">
        <w:rPr>
          <w:rFonts w:asciiTheme="minorEastAsia" w:hAnsiTheme="minorEastAsia" w:cstheme="majorHAnsi"/>
          <w:sz w:val="20"/>
          <w:szCs w:val="20"/>
          <w:vertAlign w:val="superscript"/>
        </w:rPr>
        <w:endnoteReference w:id="24"/>
      </w:r>
    </w:p>
    <w:p w14:paraId="00000059" w14:textId="77777777" w:rsidR="00D17241" w:rsidRPr="00D17241" w:rsidRDefault="00D17241" w:rsidP="00D17241">
      <w:pPr>
        <w:widowControl w:val="0"/>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In </w:t>
      </w:r>
      <w:proofErr w:type="gramStart"/>
      <w:r w:rsidRPr="00D17241">
        <w:rPr>
          <w:rFonts w:asciiTheme="minorEastAsia" w:hAnsiTheme="minorEastAsia" w:cstheme="majorHAnsi"/>
          <w:sz w:val="20"/>
          <w:szCs w:val="20"/>
          <w:lang w:val="en-US"/>
        </w:rPr>
        <w:t>particular,the</w:t>
      </w:r>
      <w:proofErr w:type="gramEnd"/>
      <w:r w:rsidRPr="00D17241">
        <w:rPr>
          <w:rFonts w:asciiTheme="minorEastAsia" w:hAnsiTheme="minorEastAsia" w:cstheme="majorHAnsi"/>
          <w:sz w:val="20"/>
          <w:szCs w:val="20"/>
          <w:lang w:val="en-US"/>
        </w:rPr>
        <w:t xml:space="preserve"> National Pension Scheme does not reflect the specific needs or circumstances of older persons with disabilities,</w:t>
      </w:r>
      <w:r w:rsidRPr="00D17241">
        <w:rPr>
          <w:rFonts w:asciiTheme="minorEastAsia" w:hAnsiTheme="minorEastAsia" w:cstheme="majorHAnsi"/>
          <w:sz w:val="20"/>
          <w:szCs w:val="20"/>
          <w:vertAlign w:val="superscript"/>
        </w:rPr>
        <w:endnoteReference w:id="25"/>
      </w:r>
      <w:r w:rsidRPr="00D17241">
        <w:rPr>
          <w:rFonts w:asciiTheme="minorEastAsia" w:hAnsiTheme="minorEastAsia" w:cstheme="majorHAnsi"/>
          <w:sz w:val="20"/>
          <w:szCs w:val="20"/>
          <w:lang w:val="en-US"/>
        </w:rPr>
        <w:t xml:space="preserve"> further deepening their economic vulnerability. </w:t>
      </w:r>
      <w:r w:rsidRPr="00D17241">
        <w:rPr>
          <w:rFonts w:asciiTheme="minorEastAsia" w:hAnsiTheme="minorEastAsia" w:cstheme="majorHAnsi"/>
          <w:sz w:val="20"/>
          <w:szCs w:val="20"/>
          <w:vertAlign w:val="superscript"/>
        </w:rPr>
        <w:endnoteReference w:id="26"/>
      </w:r>
    </w:p>
    <w:p w14:paraId="0000005A"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Despite the clear exclusion of older persons with disabilities from opportunities for economic activity, social engagement, culture, and leisure, there is no comprehensive government strategy to address their situation.  Although the 6th Comprehensive Policy Plans for Persons with Disabilities identifies the aging of the disability population as a key policy shift, the government has only introduced limited measures such as personal assistance services and emergency safety services, without outlining a concrete roadmap for systemic inclusion.</w:t>
      </w:r>
    </w:p>
    <w:p w14:paraId="0000005B"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List of issue:</w:t>
      </w:r>
    </w:p>
    <w:p w14:paraId="0000005C"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 Provide detailed data on participation rates, wages, and other indicators for older persons with disabilities in elderly employment programs and disability employment programs, along with any plans for improvement.</w:t>
      </w:r>
    </w:p>
    <w:p w14:paraId="0000005D"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(b) Provide </w:t>
      </w:r>
      <w:proofErr w:type="gramStart"/>
      <w:r w:rsidRPr="00D17241">
        <w:rPr>
          <w:rFonts w:asciiTheme="minorEastAsia" w:hAnsiTheme="minorEastAsia" w:cstheme="majorHAnsi"/>
          <w:sz w:val="20"/>
          <w:szCs w:val="20"/>
          <w:lang w:val="en-US"/>
        </w:rPr>
        <w:t>statistics  and</w:t>
      </w:r>
      <w:proofErr w:type="gramEnd"/>
      <w:r w:rsidRPr="00D17241">
        <w:rPr>
          <w:rFonts w:asciiTheme="minorEastAsia" w:hAnsiTheme="minorEastAsia" w:cstheme="majorHAnsi"/>
          <w:sz w:val="20"/>
          <w:szCs w:val="20"/>
          <w:lang w:val="en-US"/>
        </w:rPr>
        <w:t xml:space="preserve"> improvement plans on the utilization of facilities (for both elderly and persons with disabilities) and nursing facilities; the development and implementation of programs tailored to this group; and awareness-raising and disability sensitivity training provided to staff.</w:t>
      </w:r>
    </w:p>
    <w:p w14:paraId="0000005E"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(c) Provide detailed statistical data on the expenditures of older persons with disabilities living in poverty, including the proportion of their income spent on housing, medical expenses, and other essential needs. In addition, given the need to ensure a stable transition into old age for older persons with disabilities, The State party is requested to provide information on current policy initiatives in this area, as well as future directions for improvement—such as the option of early access to the National Pension Scheme.</w:t>
      </w:r>
    </w:p>
    <w:p w14:paraId="0000005F"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(d)Provide information on current policies in place to support older persons with severe disabilities who require long-term care, and the government’s position and response to the reported exclusion of older persons with disabilities from integrated long-term care systems.</w:t>
      </w:r>
    </w:p>
    <w:p w14:paraId="00000060"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lastRenderedPageBreak/>
        <w:t>(e) While the government has made policy efforts to improve the quality of life of older persons and persons with disabilities through social services and social protection, it appears to have made insufficient efforts to implement policies specifically targeting older persons with disabilities who are excluded from both elderly and disability sectors. The State party is therefore requested to provide its position and future plans on either fundamentally reviewing elderly policies to include older persons with disabilities, or establishing dedicated policies specifically tailored to their needs.</w:t>
      </w:r>
    </w:p>
    <w:p w14:paraId="00000061" w14:textId="77777777" w:rsidR="00D17241" w:rsidRPr="00D17241" w:rsidRDefault="00D17241" w:rsidP="00D17241">
      <w:pPr>
        <w:spacing w:line="240" w:lineRule="auto"/>
        <w:jc w:val="both"/>
        <w:rPr>
          <w:rFonts w:asciiTheme="minorEastAsia" w:hAnsiTheme="minorEastAsia" w:cstheme="majorHAnsi"/>
          <w:sz w:val="20"/>
          <w:szCs w:val="20"/>
          <w:lang w:val="en-US"/>
        </w:rPr>
      </w:pPr>
    </w:p>
    <w:p w14:paraId="00000063" w14:textId="6540DF4F" w:rsidR="00D17241" w:rsidRPr="00BC6C28" w:rsidRDefault="00D17241" w:rsidP="00BC6C28">
      <w:pPr>
        <w:pStyle w:val="1"/>
        <w:spacing w:line="240" w:lineRule="auto"/>
        <w:jc w:val="both"/>
        <w:rPr>
          <w:rFonts w:asciiTheme="minorEastAsia" w:eastAsiaTheme="minorEastAsia" w:hAnsiTheme="minorEastAsia" w:cstheme="majorHAnsi" w:hint="eastAsia"/>
          <w:lang w:val="en-US"/>
        </w:rPr>
      </w:pPr>
      <w:bookmarkStart w:id="10" w:name="_Toc201590816"/>
      <w:r w:rsidRPr="00D17241">
        <w:rPr>
          <w:rFonts w:asciiTheme="minorEastAsia" w:eastAsiaTheme="minorEastAsia" w:hAnsiTheme="minorEastAsia" w:cstheme="majorHAnsi"/>
          <w:lang w:val="en-US"/>
        </w:rPr>
        <w:t>D. Right to Education (Article 13)</w:t>
      </w:r>
      <w:bookmarkStart w:id="11" w:name="_u7laz799irs1" w:colFirst="0" w:colLast="0"/>
      <w:bookmarkEnd w:id="10"/>
      <w:bookmarkEnd w:id="11"/>
    </w:p>
    <w:p w14:paraId="00000064" w14:textId="77777777" w:rsidR="00D17241" w:rsidRPr="00D17241" w:rsidRDefault="00D17241" w:rsidP="00D17241">
      <w:pPr>
        <w:pStyle w:val="2"/>
        <w:spacing w:line="240" w:lineRule="auto"/>
        <w:jc w:val="both"/>
        <w:rPr>
          <w:rFonts w:asciiTheme="minorEastAsia" w:hAnsiTheme="minorEastAsia" w:cstheme="majorHAnsi"/>
          <w:lang w:val="en-US"/>
        </w:rPr>
      </w:pPr>
      <w:bookmarkStart w:id="12" w:name="_Toc201590817"/>
      <w:r w:rsidRPr="00D17241">
        <w:rPr>
          <w:rFonts w:asciiTheme="minorEastAsia" w:hAnsiTheme="minorEastAsia" w:cstheme="majorHAnsi"/>
          <w:lang w:val="en-US"/>
        </w:rPr>
        <w:t>a. The right to an equal education</w:t>
      </w:r>
      <w:bookmarkEnd w:id="12"/>
    </w:p>
    <w:p w14:paraId="00000065"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In South Korea, tragedies continue to repeat among families with children with developmental disabilities. Faced with the lifelong burden of caregiving, endless anxiety, and deep isolation, some parents are driven to the tragic decision of "killing their child and then killing themselves”. A 2020 survey of 1,174 parents of children with developmental disabilities found that 1 in 5 parents had one parent leave their job to care for their child, and many reported anxiety and fear regarding their child’s future after their own death. It also found that parents of children with disabilities experience high levels of parenting stress, and those raising children with developmental disabilities experience even more severe psychological strain and stress.</w:t>
      </w:r>
    </w:p>
    <w:p w14:paraId="00000066"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A 2022 survey of 4,333 family members of persons with developmental disabilities showed that 58.9% had considered suicide, and 43.5% of parents were identified as being at high risk of suicidal ideation. In response, the National Assembly passed a resolution in 2022 </w:t>
      </w:r>
      <w:proofErr w:type="gramStart"/>
      <w:r w:rsidRPr="00D17241">
        <w:rPr>
          <w:rFonts w:asciiTheme="minorEastAsia" w:hAnsiTheme="minorEastAsia" w:cstheme="majorHAnsi"/>
          <w:sz w:val="20"/>
          <w:szCs w:val="20"/>
          <w:lang w:val="en-US"/>
        </w:rPr>
        <w:t>titled  “</w:t>
      </w:r>
      <w:proofErr w:type="gramEnd"/>
      <w:r w:rsidRPr="00D17241">
        <w:rPr>
          <w:rFonts w:asciiTheme="minorEastAsia" w:hAnsiTheme="minorEastAsia" w:cstheme="majorHAnsi"/>
          <w:sz w:val="20"/>
          <w:szCs w:val="20"/>
          <w:lang w:val="en-US"/>
        </w:rPr>
        <w:t xml:space="preserve">Resolution to Prepare Measures for the Family Tragedies Involving Persons with Developmental Disabilities, acknowledging that such tragedies  are a social disaster due to the lack of welfare services such as national-level care, personal assistance, daytime activities, lifelong education, and housing, and the lack of a support system to relieve the burden of parenting. </w:t>
      </w:r>
    </w:p>
    <w:p w14:paraId="00000067"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However, since then, suicides of families with developmental disabilities have been occurring at a rate of once a month, and in May 2024, a whole family of person with developmental disabilities was found dead in Cheongju. Recently, Taeyeon Rehabilitation Center, a large facility in Ulsan that houses 100 persons with developmental disabilities, was accused of repeatedly abusing its residents. </w:t>
      </w:r>
    </w:p>
    <w:p w14:paraId="00000068"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List of issue:</w:t>
      </w:r>
    </w:p>
    <w:p w14:paraId="00000069"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 Does the State party have a plan to establish a comprehensive and specialized support system for persons with profound and multiple disabilities through integrated care services?</w:t>
      </w:r>
    </w:p>
    <w:p w14:paraId="0000006A"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(b) Despite some progress in service provision, family tragedies continue to occur. This points to the need for an accurate diagnosis of the underlying causes. Selective welfare services based on an application-based approach continue to pose chronic barriers, especially for families with little access to information or resources. Does the State party </w:t>
      </w:r>
      <w:r w:rsidRPr="00D17241">
        <w:rPr>
          <w:rFonts w:asciiTheme="minorEastAsia" w:hAnsiTheme="minorEastAsia" w:cstheme="majorHAnsi"/>
          <w:sz w:val="20"/>
          <w:szCs w:val="20"/>
          <w:lang w:val="en-US"/>
        </w:rPr>
        <w:lastRenderedPageBreak/>
        <w:t>plan to conduct regular, mandatory administrative surveys and establish practical case management and emergency support systems for households at risk?</w:t>
      </w:r>
    </w:p>
    <w:p w14:paraId="0000006B"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(c) Does the State party intend to fundamentally shift its disability policy away from institutionalization toward individualized, needs-based support?</w:t>
      </w:r>
    </w:p>
    <w:p w14:paraId="0000006C" w14:textId="77777777" w:rsidR="00D17241" w:rsidRPr="00D17241" w:rsidRDefault="00D17241" w:rsidP="00D17241">
      <w:pPr>
        <w:spacing w:line="240" w:lineRule="auto"/>
        <w:jc w:val="both"/>
        <w:rPr>
          <w:rFonts w:asciiTheme="minorEastAsia" w:hAnsiTheme="minorEastAsia" w:cstheme="majorHAnsi"/>
          <w:sz w:val="20"/>
          <w:szCs w:val="20"/>
          <w:lang w:val="en-US"/>
        </w:rPr>
      </w:pPr>
    </w:p>
    <w:p w14:paraId="0000006D" w14:textId="77777777" w:rsidR="00D17241" w:rsidRPr="00D17241" w:rsidRDefault="00D17241" w:rsidP="00D17241">
      <w:pPr>
        <w:pStyle w:val="2"/>
        <w:spacing w:line="240" w:lineRule="auto"/>
        <w:jc w:val="both"/>
        <w:rPr>
          <w:rFonts w:asciiTheme="minorEastAsia" w:hAnsiTheme="minorEastAsia" w:cstheme="majorHAnsi"/>
        </w:rPr>
      </w:pPr>
      <w:bookmarkStart w:id="13" w:name="_Toc201590818"/>
      <w:r w:rsidRPr="00D17241">
        <w:rPr>
          <w:rFonts w:asciiTheme="minorEastAsia" w:hAnsiTheme="minorEastAsia" w:cstheme="majorHAnsi"/>
        </w:rPr>
        <w:t>b. Equal Access to Education</w:t>
      </w:r>
      <w:bookmarkEnd w:id="13"/>
      <w:r w:rsidRPr="00D17241">
        <w:rPr>
          <w:rFonts w:asciiTheme="minorEastAsia" w:hAnsiTheme="minorEastAsia" w:cstheme="majorHAnsi"/>
        </w:rPr>
        <w:t xml:space="preserve"> </w:t>
      </w:r>
    </w:p>
    <w:p w14:paraId="0000006E"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According to the 2024 Special Education Statistics, there are 115,610 students with disabilities (students eligible for special education) across the nation. However, the educational environment for these students remains severely inadequate in comparison to the growing number of students requiring support. Since the Ministry of Education began compiling relevant data in 1962, the overall number of students in pre-primary, primary, and secondary education has decreased by 41.6%, whereas the number of students requiring special education has increased by 119.7%. Despite this, the expansion of special education classes has not kept pace with the rising demand. As of January 2024, only 46.4% of schools nationwide have established special classes.</w:t>
      </w:r>
    </w:p>
    <w:p w14:paraId="0000006F"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Moreover, according to 2023 data, 8.2% of students with disabilities enrolled in special schools endure commutes exceeding one hour each way, and 38% have commutes ranging from one to two hours. These conditions violate the core principle of the Special Education for Persons with Disabilities Act, which mandates that students be placed in schools located as close as possible to their homes.</w:t>
      </w:r>
    </w:p>
    <w:p w14:paraId="00000070"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Although the Ministry of Education’s 6th Five-Year Plan for the Development of Special Education (2023–2027) sets the goal of “inclusive education for all,” the failure to meet even the most basic physical requirements—such as the establishment of special education classrooms—undermines its ambition. Additionally, the amendment to the Elementary and Secondary Education Act, passed in February 2025, explicitly legalizes the use of physical restraint and separation of students in cases of emergency during educational activities. This raises significant concern that students with disabilities, as well as other students struggling in school or lacking sufficient educational support, are at heightened risk of violence or repeated exclusion from the classroom.</w:t>
      </w:r>
    </w:p>
    <w:p w14:paraId="00000071"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List of issue:</w:t>
      </w:r>
    </w:p>
    <w:p w14:paraId="00000072"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 Does the State party have concrete plans to ensure the establishment of special education classes in all schools and to assign qualified special education teachers and assistants accordingly? Furthermore, will the State party revise its Special Education Development Plan to include more detailed measures to assess and guarantee each student’s needs in communication, personal assistance, and physical accessibility?</w:t>
      </w:r>
    </w:p>
    <w:p w14:paraId="00000073" w14:textId="77777777" w:rsidR="00D17241" w:rsidRPr="00D17241" w:rsidRDefault="00D17241" w:rsidP="00D17241">
      <w:pPr>
        <w:spacing w:line="240" w:lineRule="auto"/>
        <w:jc w:val="both"/>
        <w:rPr>
          <w:rFonts w:asciiTheme="minorEastAsia" w:hAnsiTheme="minorEastAsia" w:cstheme="majorHAnsi"/>
          <w:sz w:val="20"/>
          <w:szCs w:val="20"/>
          <w:lang w:val="en-US"/>
        </w:rPr>
      </w:pPr>
    </w:p>
    <w:p w14:paraId="00000074" w14:textId="523F6635" w:rsidR="00D17241" w:rsidRPr="00D17241" w:rsidRDefault="00BC6C28" w:rsidP="00D17241">
      <w:pPr>
        <w:pStyle w:val="2"/>
        <w:spacing w:line="240" w:lineRule="auto"/>
        <w:jc w:val="both"/>
        <w:rPr>
          <w:rFonts w:asciiTheme="minorEastAsia" w:hAnsiTheme="minorEastAsia" w:cstheme="majorHAnsi"/>
          <w:lang w:val="en-US"/>
        </w:rPr>
      </w:pPr>
      <w:bookmarkStart w:id="14" w:name="_Toc201590819"/>
      <w:r>
        <w:rPr>
          <w:rFonts w:asciiTheme="minorEastAsia" w:hAnsiTheme="minorEastAsia" w:cstheme="majorHAnsi" w:hint="eastAsia"/>
          <w:lang w:val="en-US"/>
        </w:rPr>
        <w:t>c</w:t>
      </w:r>
      <w:r w:rsidR="00D17241" w:rsidRPr="00D17241">
        <w:rPr>
          <w:rFonts w:asciiTheme="minorEastAsia" w:hAnsiTheme="minorEastAsia" w:cstheme="majorHAnsi"/>
          <w:lang w:val="en-US"/>
        </w:rPr>
        <w:t>. Lifelong Education for Persons with Disabilities</w:t>
      </w:r>
      <w:bookmarkEnd w:id="14"/>
    </w:p>
    <w:p w14:paraId="00000075"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As of 2023, 51.6% of persons with disabilities in Korea have an educational attainment level of middle school graduation or lower.</w:t>
      </w:r>
      <w:r w:rsidRPr="00D17241">
        <w:rPr>
          <w:rFonts w:asciiTheme="minorEastAsia" w:hAnsiTheme="minorEastAsia" w:cstheme="majorHAnsi"/>
          <w:sz w:val="20"/>
          <w:szCs w:val="20"/>
          <w:vertAlign w:val="superscript"/>
        </w:rPr>
        <w:endnoteReference w:id="27"/>
      </w:r>
      <w:r w:rsidRPr="00D17241">
        <w:rPr>
          <w:rFonts w:asciiTheme="minorEastAsia" w:hAnsiTheme="minorEastAsia" w:cstheme="majorHAnsi"/>
          <w:sz w:val="20"/>
          <w:szCs w:val="20"/>
          <w:lang w:val="en-US"/>
        </w:rPr>
        <w:t xml:space="preserve">  However, their participation in lifelong learning </w:t>
      </w:r>
      <w:r w:rsidRPr="00D17241">
        <w:rPr>
          <w:rFonts w:asciiTheme="minorEastAsia" w:hAnsiTheme="minorEastAsia" w:cstheme="majorHAnsi"/>
          <w:sz w:val="20"/>
          <w:szCs w:val="20"/>
          <w:lang w:val="en-US"/>
        </w:rPr>
        <w:lastRenderedPageBreak/>
        <w:t xml:space="preserve">remains extremely limited, with only 2.3% of persons with disabilities participating—less than one-tenth of the national average. </w:t>
      </w:r>
      <w:r w:rsidRPr="00D17241">
        <w:rPr>
          <w:rFonts w:asciiTheme="minorEastAsia" w:hAnsiTheme="minorEastAsia" w:cstheme="majorHAnsi"/>
          <w:sz w:val="20"/>
          <w:szCs w:val="20"/>
          <w:vertAlign w:val="superscript"/>
        </w:rPr>
        <w:endnoteReference w:id="28"/>
      </w:r>
      <w:r w:rsidRPr="00D17241">
        <w:rPr>
          <w:rFonts w:asciiTheme="minorEastAsia" w:hAnsiTheme="minorEastAsia" w:cstheme="majorHAnsi"/>
          <w:sz w:val="20"/>
          <w:szCs w:val="20"/>
          <w:lang w:val="en-US"/>
        </w:rPr>
        <w:t xml:space="preserve"> The number of learners with disabilities in general lifelong learning institutions is only 9% of the total number of learners with disabilities, and the reason for this is that only 24 out of 166 general lifelong learning institutions (14.4%)</w:t>
      </w:r>
      <w:r w:rsidRPr="00D17241">
        <w:rPr>
          <w:rFonts w:asciiTheme="minorEastAsia" w:hAnsiTheme="minorEastAsia" w:cstheme="majorHAnsi"/>
          <w:sz w:val="20"/>
          <w:szCs w:val="20"/>
          <w:vertAlign w:val="superscript"/>
        </w:rPr>
        <w:endnoteReference w:id="29"/>
      </w:r>
      <w:r w:rsidRPr="00D17241">
        <w:rPr>
          <w:rFonts w:asciiTheme="minorEastAsia" w:hAnsiTheme="minorEastAsia" w:cstheme="majorHAnsi"/>
          <w:sz w:val="20"/>
          <w:szCs w:val="20"/>
          <w:lang w:val="en-US"/>
        </w:rPr>
        <w:t xml:space="preserve">  are classified as </w:t>
      </w:r>
      <w:r w:rsidRPr="00D17241">
        <w:rPr>
          <w:rFonts w:asciiTheme="minorEastAsia" w:hAnsiTheme="minorEastAsia" w:cstheme="majorHAnsi"/>
          <w:b/>
          <w:sz w:val="20"/>
          <w:szCs w:val="20"/>
          <w:lang w:val="en-US"/>
        </w:rPr>
        <w:t>welfare facilities for the elderly and children</w:t>
      </w:r>
      <w:r w:rsidRPr="00D17241">
        <w:rPr>
          <w:rFonts w:asciiTheme="minorEastAsia" w:hAnsiTheme="minorEastAsia" w:cstheme="majorHAnsi"/>
          <w:sz w:val="20"/>
          <w:szCs w:val="20"/>
          <w:lang w:val="en-US"/>
        </w:rPr>
        <w:t xml:space="preserve">, and most lifelong learning institutions do not provide accommodations for learners with disabilities. In addition, only one of the city and provincial lifelong learning institutes is registered as a </w:t>
      </w:r>
      <w:r w:rsidRPr="00D17241">
        <w:rPr>
          <w:rFonts w:asciiTheme="minorEastAsia" w:hAnsiTheme="minorEastAsia" w:cstheme="majorHAnsi"/>
          <w:b/>
          <w:sz w:val="20"/>
          <w:szCs w:val="20"/>
          <w:lang w:val="en-US"/>
        </w:rPr>
        <w:t>welfare facility for the elderly and children</w:t>
      </w:r>
      <w:r w:rsidRPr="00D17241">
        <w:rPr>
          <w:rFonts w:asciiTheme="minorEastAsia" w:hAnsiTheme="minorEastAsia" w:cstheme="majorHAnsi"/>
          <w:sz w:val="20"/>
          <w:szCs w:val="20"/>
          <w:lang w:val="en-US"/>
        </w:rPr>
        <w:t>, and only 14 out of 115(12%) lifelong learning centers in the city, county, and district are registered as a welfare</w:t>
      </w:r>
      <w:r w:rsidRPr="00D17241">
        <w:rPr>
          <w:rFonts w:asciiTheme="minorEastAsia" w:hAnsiTheme="minorEastAsia" w:cstheme="majorHAnsi"/>
          <w:b/>
          <w:sz w:val="20"/>
          <w:szCs w:val="20"/>
          <w:lang w:val="en-US"/>
        </w:rPr>
        <w:t xml:space="preserve"> facility for the elderly and children</w:t>
      </w:r>
      <w:r w:rsidRPr="00D17241">
        <w:rPr>
          <w:rFonts w:asciiTheme="minorEastAsia" w:hAnsiTheme="minorEastAsia" w:cstheme="majorHAnsi"/>
          <w:sz w:val="20"/>
          <w:szCs w:val="20"/>
          <w:lang w:val="en-US"/>
        </w:rPr>
        <w:t>. Most of the lifelong education delivery systems exclude persons with disabilities.</w:t>
      </w:r>
    </w:p>
    <w:p w14:paraId="00000076"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Consequently, the vast majority of lifelong education programs for people with disabilities are provided only within specialized institutions such as disability lifelong education centers or welfare </w:t>
      </w:r>
      <w:proofErr w:type="gramStart"/>
      <w:r w:rsidRPr="00D17241">
        <w:rPr>
          <w:rFonts w:asciiTheme="minorEastAsia" w:hAnsiTheme="minorEastAsia" w:cstheme="majorHAnsi"/>
          <w:sz w:val="20"/>
          <w:szCs w:val="20"/>
          <w:lang w:val="en-US"/>
        </w:rPr>
        <w:t>facilities..</w:t>
      </w:r>
      <w:proofErr w:type="gramEnd"/>
      <w:r w:rsidRPr="00D17241">
        <w:rPr>
          <w:rFonts w:asciiTheme="minorEastAsia" w:hAnsiTheme="minorEastAsia" w:cstheme="majorHAnsi"/>
          <w:sz w:val="20"/>
          <w:szCs w:val="20"/>
          <w:lang w:val="en-US"/>
        </w:rPr>
        <w:t xml:space="preserve"> As of 2024, of the total 15,053 disability lifelong education programs, 2,324 were provided in disability lifelong education facilities and 9,437 in welfare facilities for persons with disabilities. In contrast, only 2,211 such programs (14.7%) were offered in general lifelong learning institutions..</w:t>
      </w:r>
      <w:r w:rsidRPr="00D17241">
        <w:rPr>
          <w:rFonts w:asciiTheme="minorEastAsia" w:hAnsiTheme="minorEastAsia" w:cstheme="majorHAnsi"/>
          <w:sz w:val="20"/>
          <w:szCs w:val="20"/>
          <w:vertAlign w:val="superscript"/>
        </w:rPr>
        <w:endnoteReference w:id="30"/>
      </w:r>
      <w:r w:rsidRPr="00D17241">
        <w:rPr>
          <w:rFonts w:asciiTheme="minorEastAsia" w:hAnsiTheme="minorEastAsia" w:cstheme="majorHAnsi"/>
          <w:sz w:val="20"/>
          <w:szCs w:val="20"/>
          <w:lang w:val="en-US"/>
        </w:rPr>
        <w:t xml:space="preserve"> The lack of accessibility and inclusive programming has led to a de facto segregated lifelong education system for people with disabilities.</w:t>
      </w:r>
    </w:p>
    <w:p w14:paraId="00000077"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Data also show that 8.3% of persons with disabilities have never received any formal education, and 27.1% have only completed elementary school. While 79.2% of the general population aged 30 and older have graduated high school or higher, only 48.4% of persons with disabilities have reached the same level, highlighting significant disparities in educational attainment.</w:t>
      </w:r>
      <w:r w:rsidRPr="00D17241">
        <w:rPr>
          <w:rFonts w:asciiTheme="minorEastAsia" w:hAnsiTheme="minorEastAsia" w:cstheme="majorHAnsi"/>
          <w:sz w:val="20"/>
          <w:szCs w:val="20"/>
          <w:vertAlign w:val="superscript"/>
        </w:rPr>
        <w:endnoteReference w:id="31"/>
      </w:r>
    </w:p>
    <w:p w14:paraId="00000078"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Nevertheless, there is no realistic way for adults with disabilities, especially those with developmental disabilities, who have exceeded school age, to obtain an education. It is nearly impossible for adults with developmental disabilities to obtain an education through the general equivalency diploma(GED). Lifelong learning institutions and distance-learning middle/high schools, which lead to recognized qualifications, do not offer specialized curricula for persons with disabilities, and even the “reasonable accommodation” guaranteed under the Act on the Prohibition of Discrimination against Persons with Disabilities is not meaningfully enforced.</w:t>
      </w:r>
      <w:r w:rsidRPr="00D17241">
        <w:rPr>
          <w:rFonts w:asciiTheme="minorEastAsia" w:hAnsiTheme="minorEastAsia" w:cstheme="majorHAnsi"/>
          <w:sz w:val="20"/>
          <w:szCs w:val="20"/>
          <w:vertAlign w:val="superscript"/>
        </w:rPr>
        <w:endnoteReference w:id="32"/>
      </w:r>
      <w:r w:rsidRPr="00D17241">
        <w:rPr>
          <w:rFonts w:asciiTheme="minorEastAsia" w:hAnsiTheme="minorEastAsia" w:cstheme="majorHAnsi"/>
          <w:sz w:val="20"/>
          <w:szCs w:val="20"/>
          <w:lang w:val="en-US"/>
        </w:rPr>
        <w:t xml:space="preserve">  High school literacy courses that lead to recognized qualifications are also not available under the Lifelong Education Act.</w:t>
      </w:r>
    </w:p>
    <w:p w14:paraId="00000079"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List of issue:</w:t>
      </w:r>
    </w:p>
    <w:p w14:paraId="0000007A"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(a) Does the State party have a plan to address the chronic educational exclusion and low academic attainment of adults with disabilities?</w:t>
      </w:r>
    </w:p>
    <w:p w14:paraId="0000007B" w14:textId="77777777" w:rsidR="00D17241"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(b) Are there concrete legislative or policy plans to address the persistently low participation of persons with disabilities in lifelong learning compared to the general population, including amending relevant laws and systems to ensure inclusive and accessible lifelong education for all?</w:t>
      </w:r>
    </w:p>
    <w:p w14:paraId="0000007C" w14:textId="77777777" w:rsidR="00D17241" w:rsidRPr="00D17241" w:rsidRDefault="00D17241" w:rsidP="00D17241">
      <w:pPr>
        <w:pStyle w:val="1"/>
        <w:spacing w:before="200" w:line="240" w:lineRule="auto"/>
        <w:jc w:val="both"/>
        <w:rPr>
          <w:rFonts w:asciiTheme="minorEastAsia" w:eastAsiaTheme="minorEastAsia" w:hAnsiTheme="minorEastAsia" w:cstheme="majorHAnsi"/>
          <w:sz w:val="20"/>
          <w:szCs w:val="20"/>
          <w:lang w:val="en-US"/>
        </w:rPr>
      </w:pPr>
      <w:bookmarkStart w:id="15" w:name="_Toc201590820"/>
      <w:r w:rsidRPr="00D17241">
        <w:rPr>
          <w:rFonts w:asciiTheme="minorEastAsia" w:eastAsiaTheme="minorEastAsia" w:hAnsiTheme="minorEastAsia" w:cstheme="majorHAnsi"/>
          <w:lang w:val="en-US"/>
        </w:rPr>
        <w:lastRenderedPageBreak/>
        <w:t>E. Right to Cultural Life and Social Participation</w:t>
      </w:r>
      <w:bookmarkEnd w:id="15"/>
    </w:p>
    <w:p w14:paraId="0000007D" w14:textId="77777777" w:rsidR="00D17241" w:rsidRPr="00D17241" w:rsidRDefault="00D17241" w:rsidP="00D17241">
      <w:pPr>
        <w:pStyle w:val="2"/>
        <w:spacing w:before="200" w:line="240" w:lineRule="auto"/>
        <w:jc w:val="both"/>
        <w:rPr>
          <w:rFonts w:asciiTheme="minorEastAsia" w:hAnsiTheme="minorEastAsia" w:cstheme="majorHAnsi"/>
          <w:lang w:val="en-US"/>
        </w:rPr>
      </w:pPr>
      <w:bookmarkStart w:id="16" w:name="_Toc201590821"/>
      <w:r w:rsidRPr="00D17241">
        <w:rPr>
          <w:rFonts w:asciiTheme="minorEastAsia" w:hAnsiTheme="minorEastAsia" w:cstheme="majorHAnsi"/>
          <w:lang w:val="en-US"/>
        </w:rPr>
        <w:t xml:space="preserve">a. </w:t>
      </w:r>
      <w:hyperlink w:anchor="_kni2fxz3xngt">
        <w:r w:rsidRPr="00D17241">
          <w:rPr>
            <w:rFonts w:asciiTheme="minorEastAsia" w:hAnsiTheme="minorEastAsia" w:cstheme="majorHAnsi"/>
            <w:lang w:val="en-US"/>
          </w:rPr>
          <w:t>Accessibility for persons with disabilities</w:t>
        </w:r>
        <w:bookmarkEnd w:id="16"/>
      </w:hyperlink>
    </w:p>
    <w:p w14:paraId="0000007E"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Through the enactment of unconstitutional enforcement decrees and implementing rules, the South Korean government has exempted more than 95 percent of all public facilities from the obligation to install accessible facilities</w:t>
      </w:r>
      <w:r w:rsidRPr="00D17241">
        <w:rPr>
          <w:rFonts w:asciiTheme="minorEastAsia" w:hAnsiTheme="minorEastAsia" w:cstheme="majorHAnsi"/>
          <w:sz w:val="20"/>
          <w:szCs w:val="20"/>
          <w:vertAlign w:val="superscript"/>
        </w:rPr>
        <w:endnoteReference w:id="33"/>
      </w:r>
      <w:r w:rsidRPr="00D17241">
        <w:rPr>
          <w:rFonts w:asciiTheme="minorEastAsia" w:hAnsiTheme="minorEastAsia" w:cstheme="majorHAnsi"/>
          <w:sz w:val="20"/>
          <w:szCs w:val="20"/>
          <w:lang w:val="en-US"/>
        </w:rPr>
        <w:t xml:space="preserve"> . As a result, the right of persons with disabilities to participate in society on an equal basis with others is obstructed at the most basic, physical level. </w:t>
      </w:r>
    </w:p>
    <w:p w14:paraId="0000007F"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The </w:t>
      </w:r>
      <w:r w:rsidRPr="00D17241">
        <w:rPr>
          <w:rFonts w:asciiTheme="minorEastAsia" w:hAnsiTheme="minorEastAsia" w:cstheme="majorHAnsi"/>
          <w:i/>
          <w:sz w:val="20"/>
          <w:szCs w:val="20"/>
          <w:lang w:val="en-US"/>
        </w:rPr>
        <w:t>Enforcement Decree of the Act on the Guarantee of Convenience Promotion of Persons with Disabilities, Senior Citizens, and Pregnant Women and Nursing Mothers</w:t>
      </w:r>
      <w:r w:rsidRPr="00D17241">
        <w:rPr>
          <w:rFonts w:asciiTheme="minorEastAsia" w:hAnsiTheme="minorEastAsia" w:cstheme="majorHAnsi"/>
          <w:sz w:val="20"/>
          <w:szCs w:val="20"/>
          <w:lang w:val="en-US"/>
        </w:rPr>
        <w:t xml:space="preserve"> (commonly referred to as the “</w:t>
      </w:r>
      <w:r w:rsidRPr="00D17241">
        <w:rPr>
          <w:rFonts w:asciiTheme="minorEastAsia" w:hAnsiTheme="minorEastAsia" w:cstheme="majorHAnsi"/>
          <w:i/>
          <w:sz w:val="20"/>
          <w:szCs w:val="20"/>
          <w:lang w:val="en-US"/>
        </w:rPr>
        <w:t>Accessibility Act</w:t>
      </w:r>
      <w:r w:rsidRPr="00D17241">
        <w:rPr>
          <w:rFonts w:asciiTheme="minorEastAsia" w:hAnsiTheme="minorEastAsia" w:cstheme="majorHAnsi"/>
          <w:sz w:val="20"/>
          <w:szCs w:val="20"/>
          <w:lang w:val="en-US"/>
        </w:rPr>
        <w:t xml:space="preserve">”) exempts the majority of buildings from accessibility requirements based on building size and date of construction. Consequently, government surveys on the status of accessibility facilities apply to only 2.58% of buildings nationwide, leaving out 97.42% of buildings </w:t>
      </w:r>
      <w:r w:rsidRPr="00D17241">
        <w:rPr>
          <w:rFonts w:asciiTheme="minorEastAsia" w:hAnsiTheme="minorEastAsia" w:cstheme="majorHAnsi"/>
          <w:b/>
          <w:sz w:val="20"/>
          <w:szCs w:val="20"/>
          <w:lang w:val="en-US"/>
        </w:rPr>
        <w:t>from even the most basic data collection on accessibility.</w:t>
      </w:r>
      <w:r w:rsidRPr="00D17241">
        <w:rPr>
          <w:rFonts w:asciiTheme="minorEastAsia" w:hAnsiTheme="minorEastAsia" w:cstheme="majorHAnsi"/>
          <w:sz w:val="20"/>
          <w:szCs w:val="20"/>
          <w:vertAlign w:val="superscript"/>
        </w:rPr>
        <w:endnoteReference w:id="34"/>
      </w:r>
      <w:r w:rsidRPr="00D17241">
        <w:rPr>
          <w:rFonts w:asciiTheme="minorEastAsia" w:hAnsiTheme="minorEastAsia" w:cstheme="majorHAnsi"/>
          <w:sz w:val="20"/>
          <w:szCs w:val="20"/>
          <w:lang w:val="en-US"/>
        </w:rPr>
        <w:t xml:space="preserve"> </w:t>
      </w:r>
    </w:p>
    <w:p w14:paraId="00000080"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List of issue:</w:t>
      </w:r>
    </w:p>
    <w:p w14:paraId="00000081"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(a) Does the government have </w:t>
      </w:r>
      <w:r w:rsidRPr="00D17241">
        <w:rPr>
          <w:rFonts w:asciiTheme="minorEastAsia" w:hAnsiTheme="minorEastAsia" w:cstheme="majorHAnsi"/>
          <w:b/>
          <w:sz w:val="20"/>
          <w:szCs w:val="20"/>
          <w:lang w:val="en-US"/>
        </w:rPr>
        <w:t xml:space="preserve">a national plan with concrete targets and deadlines </w:t>
      </w:r>
      <w:r w:rsidRPr="00D17241">
        <w:rPr>
          <w:rFonts w:asciiTheme="minorEastAsia" w:hAnsiTheme="minorEastAsia" w:cstheme="majorHAnsi"/>
          <w:sz w:val="20"/>
          <w:szCs w:val="20"/>
          <w:lang w:val="en-US"/>
        </w:rPr>
        <w:t>for improving access to public facilities, including expanding the range of facilities that are obligated to install accessibility features, and support measures that take into account the financial burden on small business owners?</w:t>
      </w:r>
    </w:p>
    <w:p w14:paraId="00000082"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p>
    <w:p w14:paraId="00000083" w14:textId="77777777" w:rsidR="00D17241" w:rsidRPr="00D17241" w:rsidRDefault="00D17241" w:rsidP="00D17241">
      <w:pPr>
        <w:pStyle w:val="2"/>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rPr>
      </w:pPr>
      <w:bookmarkStart w:id="17" w:name="_Toc201590822"/>
      <w:r w:rsidRPr="00D17241">
        <w:rPr>
          <w:rFonts w:asciiTheme="minorEastAsia" w:hAnsiTheme="minorEastAsia" w:cstheme="majorHAnsi"/>
        </w:rPr>
        <w:t>b. Universal Design</w:t>
      </w:r>
      <w:bookmarkEnd w:id="17"/>
    </w:p>
    <w:p w14:paraId="00000084"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Despite the fact that this poor accessibility is a grave violation of the right to access and mobility of people with disabilities, the State party continues to operate accessibility policies in an ad hoc manner, with no specific targets, deadlines, or budgetary resources. Accessibility policies are fragmented and governed by individual laws, such as the </w:t>
      </w:r>
      <w:r w:rsidRPr="00D17241">
        <w:rPr>
          <w:rFonts w:asciiTheme="minorEastAsia" w:hAnsiTheme="minorEastAsia" w:cstheme="majorHAnsi"/>
          <w:i/>
          <w:sz w:val="20"/>
          <w:szCs w:val="20"/>
          <w:lang w:val="en-US"/>
        </w:rPr>
        <w:t xml:space="preserve">Accessibility Act </w:t>
      </w:r>
      <w:r w:rsidRPr="00D17241">
        <w:rPr>
          <w:rFonts w:asciiTheme="minorEastAsia" w:hAnsiTheme="minorEastAsia" w:cstheme="majorHAnsi"/>
          <w:sz w:val="20"/>
          <w:szCs w:val="20"/>
          <w:lang w:val="en-US"/>
        </w:rPr>
        <w:t xml:space="preserve">and the </w:t>
      </w:r>
      <w:r w:rsidRPr="00D17241">
        <w:rPr>
          <w:rFonts w:asciiTheme="minorEastAsia" w:hAnsiTheme="minorEastAsia" w:cstheme="majorHAnsi"/>
          <w:i/>
          <w:sz w:val="20"/>
          <w:szCs w:val="20"/>
          <w:lang w:val="en-US"/>
        </w:rPr>
        <w:t>Act on Promotion of Transportation Convenience for the Mobility Disadvantaged</w:t>
      </w:r>
      <w:r w:rsidRPr="00D17241">
        <w:rPr>
          <w:rFonts w:asciiTheme="minorEastAsia" w:hAnsiTheme="minorEastAsia" w:cstheme="majorHAnsi"/>
          <w:sz w:val="20"/>
          <w:szCs w:val="20"/>
          <w:lang w:val="en-US"/>
        </w:rPr>
        <w:t>, and the lack of inter-ministerial cooperation prevents an integrated approach.</w:t>
      </w:r>
      <w:r w:rsidRPr="00D17241">
        <w:rPr>
          <w:rFonts w:asciiTheme="minorEastAsia" w:hAnsiTheme="minorEastAsia" w:cstheme="majorHAnsi"/>
          <w:sz w:val="20"/>
          <w:szCs w:val="20"/>
          <w:vertAlign w:val="superscript"/>
        </w:rPr>
        <w:endnoteReference w:id="35"/>
      </w:r>
      <w:r w:rsidRPr="00D17241">
        <w:rPr>
          <w:rFonts w:asciiTheme="minorEastAsia" w:hAnsiTheme="minorEastAsia" w:cstheme="majorHAnsi"/>
          <w:sz w:val="20"/>
          <w:szCs w:val="20"/>
          <w:lang w:val="en-US"/>
        </w:rPr>
        <w:t xml:space="preserve"> . To address this issue, the "General Act for Universal Design" was proposed in the 21st and 22nd National Assembly to establish a comprehensive accessibility policy at the national level, but there has been </w:t>
      </w:r>
      <w:r w:rsidRPr="00D17241">
        <w:rPr>
          <w:rFonts w:asciiTheme="minorEastAsia" w:hAnsiTheme="minorEastAsia" w:cstheme="majorHAnsi"/>
          <w:b/>
          <w:sz w:val="20"/>
          <w:szCs w:val="20"/>
          <w:lang w:val="en-US"/>
        </w:rPr>
        <w:t>no substantive discussion</w:t>
      </w:r>
      <w:r w:rsidRPr="00D17241">
        <w:rPr>
          <w:rFonts w:asciiTheme="minorEastAsia" w:hAnsiTheme="minorEastAsia" w:cstheme="majorHAnsi"/>
          <w:sz w:val="20"/>
          <w:szCs w:val="20"/>
          <w:lang w:val="en-US"/>
        </w:rPr>
        <w:t xml:space="preserve">. </w:t>
      </w:r>
      <w:r w:rsidRPr="00D17241">
        <w:rPr>
          <w:rFonts w:asciiTheme="minorEastAsia" w:hAnsiTheme="minorEastAsia" w:cstheme="majorHAnsi"/>
          <w:sz w:val="20"/>
          <w:szCs w:val="20"/>
          <w:vertAlign w:val="superscript"/>
        </w:rPr>
        <w:endnoteReference w:id="36"/>
      </w:r>
    </w:p>
    <w:p w14:paraId="00000085"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List of issue:</w:t>
      </w:r>
    </w:p>
    <w:p w14:paraId="00000086"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(a) Does the government </w:t>
      </w:r>
      <w:r w:rsidRPr="00D17241">
        <w:rPr>
          <w:rFonts w:asciiTheme="minorEastAsia" w:hAnsiTheme="minorEastAsia" w:cstheme="majorHAnsi"/>
          <w:b/>
          <w:sz w:val="20"/>
          <w:szCs w:val="20"/>
          <w:lang w:val="en-US"/>
        </w:rPr>
        <w:t>have a mid- to long-term national plan for the promotion of universal design</w:t>
      </w:r>
      <w:r w:rsidRPr="00D17241">
        <w:rPr>
          <w:rFonts w:asciiTheme="minorEastAsia" w:hAnsiTheme="minorEastAsia" w:cstheme="majorHAnsi"/>
          <w:sz w:val="20"/>
          <w:szCs w:val="20"/>
          <w:lang w:val="en-US"/>
        </w:rPr>
        <w:t xml:space="preserve"> across all areas—including access and mobility, information, goods, and services—along with concrete plans for the enactment of a Universal Design Framework Act?</w:t>
      </w:r>
    </w:p>
    <w:p w14:paraId="00000087"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p>
    <w:p w14:paraId="00000088" w14:textId="67C20DA4" w:rsidR="00D17241" w:rsidRPr="00D17241" w:rsidRDefault="00BC6C28" w:rsidP="00D17241">
      <w:pPr>
        <w:pStyle w:val="2"/>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lang w:val="en-US"/>
        </w:rPr>
      </w:pPr>
      <w:bookmarkStart w:id="18" w:name="_Toc201590823"/>
      <w:r>
        <w:rPr>
          <w:rFonts w:asciiTheme="minorEastAsia" w:hAnsiTheme="minorEastAsia" w:cstheme="majorHAnsi" w:hint="eastAsia"/>
          <w:lang w:val="en-US"/>
        </w:rPr>
        <w:lastRenderedPageBreak/>
        <w:t>c</w:t>
      </w:r>
      <w:r w:rsidR="00D17241" w:rsidRPr="00D17241">
        <w:rPr>
          <w:rFonts w:asciiTheme="minorEastAsia" w:hAnsiTheme="minorEastAsia" w:cstheme="majorHAnsi"/>
          <w:lang w:val="en-US"/>
        </w:rPr>
        <w:t xml:space="preserve">. </w:t>
      </w:r>
      <w:hyperlink w:anchor="_hs8wywu29o7l">
        <w:r w:rsidR="00D17241" w:rsidRPr="00D17241">
          <w:rPr>
            <w:rFonts w:asciiTheme="minorEastAsia" w:hAnsiTheme="minorEastAsia" w:cstheme="majorHAnsi"/>
            <w:lang w:val="en-US"/>
          </w:rPr>
          <w:t>Interregional mobility rights of persons with disabilities</w:t>
        </w:r>
        <w:bookmarkEnd w:id="18"/>
      </w:hyperlink>
      <w:r w:rsidR="00D17241" w:rsidRPr="00D17241">
        <w:rPr>
          <w:rFonts w:asciiTheme="minorEastAsia" w:hAnsiTheme="minorEastAsia" w:cstheme="majorHAnsi"/>
          <w:lang w:val="en-US"/>
        </w:rPr>
        <w:t xml:space="preserve"> </w:t>
      </w:r>
    </w:p>
    <w:p w14:paraId="00000089"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Despite long-standing demands from the disability community, as of May 2025, there is not </w:t>
      </w:r>
      <w:r w:rsidRPr="00D17241">
        <w:rPr>
          <w:rFonts w:asciiTheme="minorEastAsia" w:hAnsiTheme="minorEastAsia" w:cstheme="majorHAnsi"/>
          <w:b/>
          <w:sz w:val="20"/>
          <w:szCs w:val="20"/>
          <w:lang w:val="en-US"/>
        </w:rPr>
        <w:t>a single intercity bus accessible to persons with disabilities who use wheelchairs</w:t>
      </w:r>
      <w:r w:rsidRPr="00D17241">
        <w:rPr>
          <w:rFonts w:asciiTheme="minorEastAsia" w:hAnsiTheme="minorEastAsia" w:cstheme="majorHAnsi"/>
          <w:sz w:val="20"/>
          <w:szCs w:val="20"/>
          <w:lang w:val="en-US"/>
        </w:rPr>
        <w:t>.</w:t>
      </w:r>
      <w:r w:rsidRPr="00D17241">
        <w:rPr>
          <w:rFonts w:asciiTheme="minorEastAsia" w:hAnsiTheme="minorEastAsia" w:cstheme="majorHAnsi"/>
          <w:sz w:val="20"/>
          <w:szCs w:val="20"/>
          <w:vertAlign w:val="superscript"/>
        </w:rPr>
        <w:endnoteReference w:id="37"/>
      </w:r>
      <w:r w:rsidRPr="00D17241">
        <w:rPr>
          <w:rFonts w:asciiTheme="minorEastAsia" w:hAnsiTheme="minorEastAsia" w:cstheme="majorHAnsi"/>
          <w:sz w:val="20"/>
          <w:szCs w:val="20"/>
          <w:lang w:val="en-US"/>
        </w:rPr>
        <w:t xml:space="preserve"> Article 14 of the</w:t>
      </w:r>
      <w:r w:rsidRPr="00D17241">
        <w:rPr>
          <w:rFonts w:asciiTheme="minorEastAsia" w:hAnsiTheme="minorEastAsia" w:cstheme="majorHAnsi"/>
          <w:i/>
          <w:sz w:val="20"/>
          <w:szCs w:val="20"/>
          <w:lang w:val="en-US"/>
        </w:rPr>
        <w:t xml:space="preserve"> Act on Promotion of the Transportation Convenience of Mobility Disadvantaged Persons</w:t>
      </w:r>
      <w:r w:rsidRPr="00D17241">
        <w:rPr>
          <w:rFonts w:asciiTheme="minorEastAsia" w:hAnsiTheme="minorEastAsia" w:cstheme="majorHAnsi"/>
          <w:sz w:val="20"/>
          <w:szCs w:val="20"/>
          <w:lang w:val="en-US"/>
        </w:rPr>
        <w:t xml:space="preserve"> and related enforcement regulations impose an obligation on intercity bus operators to install wheelchair boarding equipment, but the implementing rules make it a discretionary provision, rendering it ineffective. </w:t>
      </w:r>
    </w:p>
    <w:p w14:paraId="0000008A"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Both the Ministry of Land, Infrastructure and Transport and transportation companies have consistently cited the operational characteristics of intercity buses as grounds for exclusively using step-entry vehicles. </w:t>
      </w:r>
      <w:r w:rsidRPr="00D17241">
        <w:rPr>
          <w:rFonts w:asciiTheme="minorEastAsia" w:hAnsiTheme="minorEastAsia" w:cstheme="majorHAnsi"/>
          <w:sz w:val="20"/>
          <w:szCs w:val="20"/>
          <w:vertAlign w:val="superscript"/>
        </w:rPr>
        <w:endnoteReference w:id="38"/>
      </w:r>
      <w:r w:rsidRPr="00D17241">
        <w:rPr>
          <w:rFonts w:asciiTheme="minorEastAsia" w:hAnsiTheme="minorEastAsia" w:cstheme="majorHAnsi"/>
          <w:sz w:val="20"/>
          <w:szCs w:val="20"/>
          <w:lang w:val="en-US"/>
        </w:rPr>
        <w:t xml:space="preserve"> As a result, for nearly two decades since the law took effect in 2006, intercity buses have been entirely exempt from any requirement to install wheelchair boarding equipment.</w:t>
      </w:r>
    </w:p>
    <w:p w14:paraId="0000008B" w14:textId="77777777" w:rsidR="00D17241" w:rsidRPr="00D17241" w:rsidRDefault="00D17241" w:rsidP="00D17241">
      <w:pPr>
        <w:widowControl w:val="0"/>
        <w:numPr>
          <w:ilvl w:val="0"/>
          <w:numId w:val="2"/>
        </w:numPr>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Although Korean courts have consistently ruled that transportation operators are obligated to provide wheelchair boarding equipment as a reasonable accommodation under </w:t>
      </w:r>
      <w:r w:rsidRPr="00D17241">
        <w:rPr>
          <w:rFonts w:asciiTheme="minorEastAsia" w:hAnsiTheme="minorEastAsia" w:cstheme="majorHAnsi"/>
          <w:i/>
          <w:sz w:val="20"/>
          <w:szCs w:val="20"/>
          <w:lang w:val="en-US"/>
        </w:rPr>
        <w:t>the Act on the Prohibition of Discrimination Against Persons with Disabilities and Remedy For Infringement of Their Rights(“Disability Discrimination Prohibition Act”)</w:t>
      </w:r>
      <w:r w:rsidRPr="00D17241">
        <w:rPr>
          <w:rFonts w:asciiTheme="minorEastAsia" w:hAnsiTheme="minorEastAsia" w:cstheme="majorHAnsi"/>
          <w:sz w:val="20"/>
          <w:szCs w:val="20"/>
          <w:lang w:val="en-US"/>
        </w:rPr>
        <w:t xml:space="preserve">, the lawsuit has been ongoing for 11 years since it was first filed in 2014, and implementation has not been realized due to the lack of a final judgment. The Ministry of Land, Infrastructure, and Transport claims to budget subsidies for intercity bus operators every year, but with </w:t>
      </w:r>
      <w:r w:rsidRPr="00D17241">
        <w:rPr>
          <w:rFonts w:asciiTheme="minorEastAsia" w:hAnsiTheme="minorEastAsia" w:cstheme="majorHAnsi"/>
          <w:b/>
          <w:sz w:val="20"/>
          <w:szCs w:val="20"/>
          <w:lang w:val="en-US"/>
        </w:rPr>
        <w:t>no legal obligation to install the equipment, operators have little incentive to apply for the subsidies, which are completely unused</w:t>
      </w:r>
      <w:r w:rsidRPr="00D17241">
        <w:rPr>
          <w:rFonts w:asciiTheme="minorEastAsia" w:hAnsiTheme="minorEastAsia" w:cstheme="majorHAnsi"/>
          <w:sz w:val="20"/>
          <w:szCs w:val="20"/>
          <w:lang w:val="en-US"/>
        </w:rPr>
        <w:t>.</w:t>
      </w:r>
      <w:r w:rsidRPr="00D17241">
        <w:rPr>
          <w:rFonts w:asciiTheme="minorEastAsia" w:hAnsiTheme="minorEastAsia" w:cstheme="majorHAnsi"/>
          <w:sz w:val="20"/>
          <w:szCs w:val="20"/>
          <w:vertAlign w:val="superscript"/>
        </w:rPr>
        <w:endnoteReference w:id="39"/>
      </w:r>
    </w:p>
    <w:p w14:paraId="0000008C"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List of issue:</w:t>
      </w:r>
    </w:p>
    <w:p w14:paraId="0000008D"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(a) Does the government have a </w:t>
      </w:r>
      <w:r w:rsidRPr="00D17241">
        <w:rPr>
          <w:rFonts w:asciiTheme="minorEastAsia" w:hAnsiTheme="minorEastAsia" w:cstheme="majorHAnsi"/>
          <w:b/>
          <w:sz w:val="20"/>
          <w:szCs w:val="20"/>
          <w:lang w:val="en-US"/>
        </w:rPr>
        <w:t xml:space="preserve">concrete implementation </w:t>
      </w:r>
      <w:r w:rsidRPr="00D17241">
        <w:rPr>
          <w:rFonts w:asciiTheme="minorEastAsia" w:hAnsiTheme="minorEastAsia" w:cstheme="majorHAnsi"/>
          <w:sz w:val="20"/>
          <w:szCs w:val="20"/>
          <w:lang w:val="en-US"/>
        </w:rPr>
        <w:t xml:space="preserve">plan for </w:t>
      </w:r>
      <w:r w:rsidRPr="00D17241">
        <w:rPr>
          <w:rFonts w:asciiTheme="minorEastAsia" w:hAnsiTheme="minorEastAsia" w:cstheme="majorHAnsi"/>
          <w:b/>
          <w:sz w:val="20"/>
          <w:szCs w:val="20"/>
          <w:lang w:val="en-US"/>
        </w:rPr>
        <w:t xml:space="preserve">gradually extending the obligation to install </w:t>
      </w:r>
      <w:r w:rsidRPr="00D17241">
        <w:rPr>
          <w:rFonts w:asciiTheme="minorEastAsia" w:hAnsiTheme="minorEastAsia" w:cstheme="majorHAnsi"/>
          <w:sz w:val="20"/>
          <w:szCs w:val="20"/>
          <w:lang w:val="en-US"/>
        </w:rPr>
        <w:t>wheelchair accessibility on intercity buses to transportation operators, including the provision of necessary financial support throughout this process?</w:t>
      </w:r>
    </w:p>
    <w:p w14:paraId="0000008E"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theme="majorHAnsi"/>
          <w:sz w:val="20"/>
          <w:szCs w:val="20"/>
          <w:lang w:val="en-US"/>
        </w:rPr>
      </w:pPr>
    </w:p>
    <w:p w14:paraId="0000008F" w14:textId="76C406EA" w:rsidR="00D17241" w:rsidRPr="00D17241" w:rsidRDefault="00BC6C28" w:rsidP="00D17241">
      <w:pPr>
        <w:pStyle w:val="2"/>
        <w:spacing w:line="240" w:lineRule="auto"/>
        <w:jc w:val="both"/>
        <w:rPr>
          <w:rFonts w:asciiTheme="minorEastAsia" w:hAnsiTheme="minorEastAsia" w:cstheme="majorHAnsi"/>
          <w:lang w:val="en-US"/>
        </w:rPr>
      </w:pPr>
      <w:bookmarkStart w:id="19" w:name="_Toc201590824"/>
      <w:r>
        <w:rPr>
          <w:rFonts w:asciiTheme="minorEastAsia" w:hAnsiTheme="minorEastAsia" w:cstheme="majorHAnsi" w:hint="eastAsia"/>
          <w:lang w:val="en-US"/>
        </w:rPr>
        <w:t>d</w:t>
      </w:r>
      <w:r w:rsidR="00D17241" w:rsidRPr="00D17241">
        <w:rPr>
          <w:rFonts w:asciiTheme="minorEastAsia" w:hAnsiTheme="minorEastAsia" w:cstheme="majorHAnsi"/>
          <w:lang w:val="en-US"/>
        </w:rPr>
        <w:t>. Communication support systems for persons with language disabilities</w:t>
      </w:r>
      <w:bookmarkEnd w:id="19"/>
      <w:r w:rsidR="00D17241" w:rsidRPr="00D17241">
        <w:rPr>
          <w:rFonts w:asciiTheme="minorEastAsia" w:hAnsiTheme="minorEastAsia" w:cstheme="majorHAnsi"/>
          <w:lang w:val="en-US"/>
        </w:rPr>
        <w:t xml:space="preserve"> </w:t>
      </w:r>
    </w:p>
    <w:p w14:paraId="00000090"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Despite the existence of the </w:t>
      </w:r>
      <w:r w:rsidRPr="00D17241">
        <w:rPr>
          <w:rFonts w:asciiTheme="minorEastAsia" w:hAnsiTheme="minorEastAsia" w:cstheme="majorHAnsi"/>
          <w:i/>
          <w:sz w:val="20"/>
          <w:szCs w:val="20"/>
          <w:lang w:val="en-US"/>
        </w:rPr>
        <w:t xml:space="preserve">Disability Welfare Act </w:t>
      </w:r>
      <w:r w:rsidRPr="00D17241">
        <w:rPr>
          <w:rFonts w:asciiTheme="minorEastAsia" w:hAnsiTheme="minorEastAsia" w:cstheme="majorHAnsi"/>
          <w:sz w:val="20"/>
          <w:szCs w:val="20"/>
          <w:lang w:val="en-US"/>
        </w:rPr>
        <w:t xml:space="preserve">and </w:t>
      </w:r>
      <w:r w:rsidRPr="00D17241">
        <w:rPr>
          <w:rFonts w:asciiTheme="minorEastAsia" w:hAnsiTheme="minorEastAsia" w:cstheme="majorHAnsi"/>
          <w:i/>
          <w:sz w:val="20"/>
          <w:szCs w:val="20"/>
          <w:lang w:val="en-US"/>
        </w:rPr>
        <w:t>Disability Discrimination Prohibition Act</w:t>
      </w:r>
      <w:r w:rsidRPr="00D17241">
        <w:rPr>
          <w:rFonts w:asciiTheme="minorEastAsia" w:hAnsiTheme="minorEastAsia" w:cstheme="majorHAnsi"/>
          <w:sz w:val="20"/>
          <w:szCs w:val="20"/>
          <w:lang w:val="en-US"/>
        </w:rPr>
        <w:t>, there is a serious lack of systematic and practical communication support systems tailored to the specific needs of persons with language disabilities. Individuals with brain lesions with language disorders</w:t>
      </w:r>
      <w:r w:rsidRPr="00D17241">
        <w:rPr>
          <w:rFonts w:asciiTheme="minorEastAsia" w:hAnsiTheme="minorEastAsia" w:cstheme="majorHAnsi"/>
          <w:sz w:val="20"/>
          <w:szCs w:val="20"/>
          <w:vertAlign w:val="superscript"/>
        </w:rPr>
        <w:endnoteReference w:id="40"/>
      </w:r>
      <w:r w:rsidRPr="00D17241">
        <w:rPr>
          <w:rFonts w:asciiTheme="minorEastAsia" w:hAnsiTheme="minorEastAsia" w:cstheme="majorHAnsi"/>
          <w:sz w:val="20"/>
          <w:szCs w:val="20"/>
          <w:lang w:val="en-US"/>
        </w:rPr>
        <w:t xml:space="preserve"> or those with severe and multiple developmental disabilities require more complex and individualized communication support than other types of disabilities. </w:t>
      </w:r>
    </w:p>
    <w:p w14:paraId="00000091"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For children under the age of 18, support is centered on intervention and treatment, such as developmental rehabilitation services and therapeutic support services for special education students, but for adults with brain lesions over the age of 18, only communication aids are routinely provided to applicants, which is ineffective and far from individualized.</w:t>
      </w:r>
    </w:p>
    <w:p w14:paraId="00000092"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Since the establishment of the </w:t>
      </w:r>
      <w:r w:rsidRPr="00D17241">
        <w:rPr>
          <w:rFonts w:asciiTheme="minorEastAsia" w:hAnsiTheme="minorEastAsia" w:cstheme="majorHAnsi"/>
          <w:i/>
          <w:sz w:val="20"/>
          <w:szCs w:val="20"/>
          <w:lang w:val="en-US"/>
        </w:rPr>
        <w:t>Seoul Communication Rights Promotion Center for Persons with Disabilities</w:t>
      </w:r>
      <w:r w:rsidRPr="00D17241">
        <w:rPr>
          <w:rFonts w:asciiTheme="minorEastAsia" w:hAnsiTheme="minorEastAsia" w:cstheme="majorHAnsi"/>
          <w:sz w:val="20"/>
          <w:szCs w:val="20"/>
          <w:vertAlign w:val="superscript"/>
        </w:rPr>
        <w:endnoteReference w:id="41"/>
      </w:r>
      <w:r w:rsidRPr="00D17241">
        <w:rPr>
          <w:rFonts w:asciiTheme="minorEastAsia" w:hAnsiTheme="minorEastAsia" w:cstheme="majorHAnsi"/>
          <w:sz w:val="20"/>
          <w:szCs w:val="20"/>
          <w:lang w:val="en-US"/>
        </w:rPr>
        <w:t xml:space="preserve"> in 2019, individualized communication services have been provided on a </w:t>
      </w:r>
      <w:r w:rsidRPr="00D17241">
        <w:rPr>
          <w:rFonts w:asciiTheme="minorEastAsia" w:hAnsiTheme="minorEastAsia" w:cstheme="majorHAnsi"/>
          <w:sz w:val="20"/>
          <w:szCs w:val="20"/>
          <w:lang w:val="en-US"/>
        </w:rPr>
        <w:lastRenderedPageBreak/>
        <w:t>limited basis only in Seoul, and similar communication support ordinances have been enacted in some metropolitan and basic local governments, but due to the lack of a central government-level system and delivery system, the service has not been expanded nationwide.</w:t>
      </w:r>
    </w:p>
    <w:p w14:paraId="00000093"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Currently, South Korea faces a severe lack of communication support infrastructure and specialized staff;</w:t>
      </w:r>
      <w:r w:rsidRPr="00D17241">
        <w:rPr>
          <w:rFonts w:asciiTheme="minorEastAsia" w:hAnsiTheme="minorEastAsia" w:cstheme="majorHAnsi"/>
          <w:sz w:val="20"/>
          <w:szCs w:val="20"/>
          <w:vertAlign w:val="superscript"/>
        </w:rPr>
        <w:endnoteReference w:id="42"/>
      </w:r>
      <w:r w:rsidRPr="00D17241">
        <w:rPr>
          <w:rFonts w:asciiTheme="minorEastAsia" w:hAnsiTheme="minorEastAsia" w:cstheme="majorHAnsi"/>
          <w:sz w:val="20"/>
          <w:szCs w:val="20"/>
          <w:lang w:val="en-US"/>
        </w:rPr>
        <w:t xml:space="preserve"> ; significant barriers to accessing public and private services</w:t>
      </w:r>
      <w:r w:rsidRPr="00D17241">
        <w:rPr>
          <w:rFonts w:asciiTheme="minorEastAsia" w:hAnsiTheme="minorEastAsia" w:cstheme="majorHAnsi"/>
          <w:sz w:val="20"/>
          <w:szCs w:val="20"/>
          <w:vertAlign w:val="superscript"/>
        </w:rPr>
        <w:endnoteReference w:id="43"/>
      </w:r>
      <w:r w:rsidRPr="00D17241">
        <w:rPr>
          <w:rFonts w:asciiTheme="minorEastAsia" w:hAnsiTheme="minorEastAsia" w:cstheme="majorHAnsi"/>
          <w:sz w:val="20"/>
          <w:szCs w:val="20"/>
          <w:lang w:val="en-US"/>
        </w:rPr>
        <w:t xml:space="preserve"> ; and the lack of </w:t>
      </w:r>
      <w:r w:rsidRPr="00D17241">
        <w:rPr>
          <w:rFonts w:asciiTheme="minorEastAsia" w:hAnsiTheme="minorEastAsia" w:cstheme="majorHAnsi"/>
          <w:b/>
          <w:sz w:val="20"/>
          <w:szCs w:val="20"/>
          <w:lang w:val="en-US"/>
        </w:rPr>
        <w:t>communication rights in judicial proceedings</w:t>
      </w:r>
      <w:r w:rsidRPr="00D17241">
        <w:rPr>
          <w:rFonts w:asciiTheme="minorEastAsia" w:hAnsiTheme="minorEastAsia" w:cstheme="majorHAnsi"/>
          <w:sz w:val="20"/>
          <w:szCs w:val="20"/>
          <w:lang w:val="en-US"/>
        </w:rPr>
        <w:t>, including the absence of specialized communication support to ensure the full participation of persons with language disabilities during police investigations and court trials, thereby threatening their right to a fair trial.</w:t>
      </w:r>
    </w:p>
    <w:p w14:paraId="00000094"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The lack of communication support also leads to systemic exclusion in education and employment.  Students with language disabilities often struggle to participate due to insufficient communication support, which limits their access to higher education and career pathways. In the workplace, communication difficulties contribute to hiring discrimination and difficulty maintaining employment. Additional issues include the formalistic and restrictive nature of existing AAC systems</w:t>
      </w:r>
      <w:r w:rsidRPr="00D17241">
        <w:rPr>
          <w:rFonts w:asciiTheme="minorEastAsia" w:hAnsiTheme="minorEastAsia" w:cstheme="majorHAnsi"/>
          <w:sz w:val="20"/>
          <w:szCs w:val="20"/>
          <w:vertAlign w:val="superscript"/>
        </w:rPr>
        <w:endnoteReference w:id="44"/>
      </w:r>
      <w:r w:rsidRPr="00D17241">
        <w:rPr>
          <w:rFonts w:asciiTheme="minorEastAsia" w:hAnsiTheme="minorEastAsia" w:cstheme="majorHAnsi"/>
          <w:sz w:val="20"/>
          <w:szCs w:val="20"/>
          <w:lang w:val="en-US"/>
        </w:rPr>
        <w:t>.</w:t>
      </w:r>
    </w:p>
    <w:p w14:paraId="00000095" w14:textId="77777777" w:rsidR="00D17241" w:rsidRPr="00D17241" w:rsidRDefault="00D17241" w:rsidP="00D17241">
      <w:pPr>
        <w:numPr>
          <w:ilvl w:val="0"/>
          <w:numId w:val="2"/>
        </w:numPr>
        <w:spacing w:line="240" w:lineRule="auto"/>
        <w:jc w:val="both"/>
        <w:rPr>
          <w:rFonts w:asciiTheme="minorEastAsia" w:hAnsiTheme="minorEastAsia" w:cstheme="majorHAnsi"/>
          <w:sz w:val="20"/>
          <w:szCs w:val="20"/>
        </w:rPr>
      </w:pPr>
      <w:r w:rsidRPr="00D17241">
        <w:rPr>
          <w:rFonts w:asciiTheme="minorEastAsia" w:hAnsiTheme="minorEastAsia" w:cstheme="majorHAnsi"/>
          <w:sz w:val="20"/>
          <w:szCs w:val="20"/>
        </w:rPr>
        <w:t>List of issue:</w:t>
      </w:r>
    </w:p>
    <w:p w14:paraId="00000096" w14:textId="77777777" w:rsidR="001D331E" w:rsidRPr="00D17241" w:rsidRDefault="00D17241"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 xml:space="preserve">(a) Does the government plan to revise the </w:t>
      </w:r>
      <w:r w:rsidRPr="00D17241">
        <w:rPr>
          <w:rFonts w:asciiTheme="minorEastAsia" w:hAnsiTheme="minorEastAsia" w:cstheme="majorHAnsi"/>
          <w:i/>
          <w:sz w:val="20"/>
          <w:szCs w:val="20"/>
          <w:lang w:val="en-US"/>
        </w:rPr>
        <w:t>Disability Welfare Act</w:t>
      </w:r>
      <w:r w:rsidRPr="00D17241">
        <w:rPr>
          <w:rFonts w:asciiTheme="minorEastAsia" w:hAnsiTheme="minorEastAsia" w:cstheme="majorHAnsi"/>
          <w:sz w:val="20"/>
          <w:szCs w:val="20"/>
          <w:lang w:val="en-US"/>
        </w:rPr>
        <w:t xml:space="preserve"> or introduce new legislation to explicitly recognize the communication rights of persons with language disabilities</w:t>
      </w:r>
      <w:r w:rsidRPr="00D17241">
        <w:rPr>
          <w:rFonts w:asciiTheme="minorEastAsia" w:hAnsiTheme="minorEastAsia" w:cstheme="majorHAnsi"/>
          <w:sz w:val="20"/>
          <w:szCs w:val="20"/>
          <w:vertAlign w:val="superscript"/>
        </w:rPr>
        <w:endnoteReference w:id="45"/>
      </w:r>
      <w:r w:rsidRPr="00D17241">
        <w:rPr>
          <w:rFonts w:asciiTheme="minorEastAsia" w:hAnsiTheme="minorEastAsia" w:cstheme="majorHAnsi"/>
          <w:sz w:val="20"/>
          <w:szCs w:val="20"/>
          <w:lang w:val="en-US"/>
        </w:rPr>
        <w:t>,</w:t>
      </w:r>
      <w:r w:rsidR="005521B7" w:rsidRPr="00D17241">
        <w:rPr>
          <w:rFonts w:asciiTheme="minorEastAsia" w:hAnsiTheme="minorEastAsia" w:cstheme="majorHAnsi"/>
          <w:sz w:val="20"/>
          <w:szCs w:val="20"/>
          <w:lang w:val="en-US"/>
        </w:rPr>
        <w:t xml:space="preserve"> and to specify the obligation of national and local governments to establish communication support systems? </w:t>
      </w:r>
    </w:p>
    <w:p w14:paraId="00000097" w14:textId="77777777" w:rsidR="001D331E" w:rsidRPr="00D17241" w:rsidRDefault="005521B7"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(b) Is there a plan and willingness to secure funding to expand central, regional, and basic-level specialized institutions that oversee AAC counseling, education, lending, research and development, training and dispatch of communication support personnel (AAC specialists, communication aides, etc.), and development of related programs, as in the case of Seoul?</w:t>
      </w:r>
    </w:p>
    <w:p w14:paraId="00000098" w14:textId="77777777" w:rsidR="001D331E" w:rsidRPr="00D17241" w:rsidRDefault="005521B7" w:rsidP="00D17241">
      <w:pPr>
        <w:spacing w:line="240" w:lineRule="auto"/>
        <w:ind w:left="720"/>
        <w:jc w:val="both"/>
        <w:rPr>
          <w:rFonts w:asciiTheme="minorEastAsia" w:hAnsiTheme="minorEastAsia" w:cstheme="majorHAnsi"/>
          <w:sz w:val="20"/>
          <w:szCs w:val="20"/>
          <w:lang w:val="en-US"/>
        </w:rPr>
      </w:pPr>
      <w:r w:rsidRPr="00D17241">
        <w:rPr>
          <w:rFonts w:asciiTheme="minorEastAsia" w:hAnsiTheme="minorEastAsia" w:cstheme="majorHAnsi"/>
          <w:sz w:val="20"/>
          <w:szCs w:val="20"/>
          <w:lang w:val="en-US"/>
        </w:rPr>
        <w:t>(c) Will the government commit to mandate the provision of AAC materials and devices in all public institutions and judicial, medical, and educational institutions; to train service providers in understanding language disorders and AAC; to conduct public awareness campaigns on language disorders and AAC</w:t>
      </w:r>
      <w:r w:rsidRPr="00D17241">
        <w:rPr>
          <w:rFonts w:asciiTheme="minorEastAsia" w:hAnsiTheme="minorEastAsia" w:cstheme="majorHAnsi"/>
          <w:b/>
          <w:sz w:val="20"/>
          <w:szCs w:val="20"/>
          <w:lang w:val="en-US"/>
        </w:rPr>
        <w:t>;</w:t>
      </w:r>
      <w:r w:rsidRPr="00D17241">
        <w:rPr>
          <w:rFonts w:asciiTheme="minorEastAsia" w:hAnsiTheme="minorEastAsia" w:cstheme="majorHAnsi"/>
          <w:sz w:val="20"/>
          <w:szCs w:val="20"/>
          <w:lang w:val="en-US"/>
        </w:rPr>
        <w:t xml:space="preserve"> and to strengthen support for the self-determination and advocacy</w:t>
      </w:r>
      <w:r w:rsidRPr="00D17241">
        <w:rPr>
          <w:rFonts w:asciiTheme="minorEastAsia" w:hAnsiTheme="minorEastAsia" w:cstheme="majorHAnsi"/>
          <w:b/>
          <w:sz w:val="20"/>
          <w:szCs w:val="20"/>
          <w:lang w:val="en-US"/>
        </w:rPr>
        <w:t xml:space="preserve"> </w:t>
      </w:r>
      <w:r w:rsidRPr="00D17241">
        <w:rPr>
          <w:rFonts w:asciiTheme="minorEastAsia" w:hAnsiTheme="minorEastAsia" w:cstheme="majorHAnsi"/>
          <w:sz w:val="20"/>
          <w:szCs w:val="20"/>
          <w:lang w:val="en-US"/>
        </w:rPr>
        <w:t>for persons with language disabilities?</w:t>
      </w:r>
    </w:p>
    <w:sectPr w:rsidR="001D331E" w:rsidRPr="00D17241">
      <w:headerReference w:type="default" r:id="rId9"/>
      <w:endnotePr>
        <w:numFmt w:val="decimal"/>
      </w:endnotePr>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AC2FF" w14:textId="77777777" w:rsidR="00FC5D55" w:rsidRDefault="00FC5D55">
      <w:pPr>
        <w:spacing w:line="240" w:lineRule="auto"/>
      </w:pPr>
      <w:r>
        <w:separator/>
      </w:r>
    </w:p>
  </w:endnote>
  <w:endnote w:type="continuationSeparator" w:id="0">
    <w:p w14:paraId="2E00B018" w14:textId="77777777" w:rsidR="00FC5D55" w:rsidRDefault="00FC5D55">
      <w:pPr>
        <w:spacing w:line="240" w:lineRule="auto"/>
      </w:pPr>
      <w:r>
        <w:continuationSeparator/>
      </w:r>
    </w:p>
  </w:endnote>
  <w:endnote w:id="1">
    <w:p w14:paraId="0000009F"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Minimum Wage Act, Article 7 (Exception of Application of Minimum Wage) </w:t>
      </w:r>
    </w:p>
  </w:endnote>
  <w:endnote w:id="2">
    <w:p w14:paraId="000000A0" w14:textId="77777777" w:rsidR="00D17241" w:rsidRPr="00D17241" w:rsidRDefault="00D17241" w:rsidP="00D17241">
      <w:pPr>
        <w:spacing w:line="240" w:lineRule="auto"/>
        <w:jc w:val="both"/>
        <w:rPr>
          <w:rFonts w:asciiTheme="minorEastAsia" w:hAnsiTheme="minorEastAsia" w:cs="Calibri"/>
          <w:sz w:val="18"/>
          <w:szCs w:val="18"/>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Ablenews (Dec 7, 2023</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“No More Delay: Amend the Minimum Wage Exemption for Persons with Disabilities.” </w:t>
      </w:r>
      <w:hyperlink r:id="rId1">
        <w:r w:rsidRPr="00D17241">
          <w:rPr>
            <w:rFonts w:asciiTheme="minorEastAsia" w:hAnsiTheme="minorEastAsia" w:cs="Calibri"/>
            <w:color w:val="1155CC"/>
            <w:sz w:val="18"/>
            <w:szCs w:val="18"/>
            <w:u w:val="single"/>
          </w:rPr>
          <w:t>https://www.ablenews.co.kr/news/articleView.html?idxno=209165</w:t>
        </w:r>
      </w:hyperlink>
      <w:r w:rsidRPr="00D17241">
        <w:rPr>
          <w:rFonts w:asciiTheme="minorEastAsia" w:hAnsiTheme="minorEastAsia" w:cs="Calibri"/>
          <w:sz w:val="18"/>
          <w:szCs w:val="18"/>
        </w:rPr>
        <w:t xml:space="preserve"> </w:t>
      </w:r>
    </w:p>
  </w:endnote>
  <w:endnote w:id="3">
    <w:p w14:paraId="000000A1"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As of H2 2023, 3.9</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50.4% of persons with disabilities, 2.3% / 71.4% of total population</w:t>
      </w:r>
    </w:p>
  </w:endnote>
  <w:endnote w:id="4">
    <w:p w14:paraId="000000A2" w14:textId="77777777" w:rsidR="00D17241" w:rsidRPr="00D17241" w:rsidRDefault="00D17241" w:rsidP="00D17241">
      <w:pPr>
        <w:spacing w:line="240" w:lineRule="auto"/>
        <w:jc w:val="both"/>
        <w:rPr>
          <w:rFonts w:asciiTheme="minorEastAsia" w:hAnsiTheme="minorEastAsia" w:cs="Calibri"/>
          <w:sz w:val="18"/>
          <w:szCs w:val="18"/>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The Korea Economic Daily (Dec 17, 2024</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“Gyeonggi Provincial Assembly Member Park Jae-yong lays groundwork to support ‘Rights-Based Public Jobs customized for persons with severe disabilities'.” </w:t>
      </w:r>
      <w:hyperlink r:id="rId2">
        <w:r w:rsidRPr="00D17241">
          <w:rPr>
            <w:rFonts w:asciiTheme="minorEastAsia" w:hAnsiTheme="minorEastAsia" w:cs="Calibri"/>
            <w:color w:val="1155CC"/>
            <w:sz w:val="18"/>
            <w:szCs w:val="18"/>
            <w:u w:val="single"/>
          </w:rPr>
          <w:t>http://www.ggeco.co.kr/news/article.html?no=261644</w:t>
        </w:r>
      </w:hyperlink>
      <w:r w:rsidRPr="00D17241">
        <w:rPr>
          <w:rFonts w:asciiTheme="minorEastAsia" w:hAnsiTheme="minorEastAsia" w:cs="Calibri"/>
          <w:sz w:val="18"/>
          <w:szCs w:val="18"/>
        </w:rPr>
        <w:t xml:space="preserve"> </w:t>
      </w:r>
    </w:p>
  </w:endnote>
  <w:endnote w:id="5">
    <w:p w14:paraId="000000A3" w14:textId="77777777" w:rsidR="00D17241" w:rsidRPr="00D17241" w:rsidRDefault="00D17241" w:rsidP="00D17241">
      <w:pPr>
        <w:spacing w:line="240" w:lineRule="auto"/>
        <w:jc w:val="both"/>
        <w:rPr>
          <w:rFonts w:asciiTheme="minorEastAsia" w:hAnsiTheme="minorEastAsia" w:cs="Calibri"/>
          <w:sz w:val="18"/>
          <w:szCs w:val="18"/>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The Korea Times (Jan 27, 2024</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“Seoul's 'selective' disability program...persons with severe disabilities fired from public jobs.” </w:t>
      </w:r>
      <w:hyperlink r:id="rId3">
        <w:r w:rsidRPr="00D17241">
          <w:rPr>
            <w:rFonts w:asciiTheme="minorEastAsia" w:hAnsiTheme="minorEastAsia" w:cs="Calibri"/>
            <w:color w:val="1155CC"/>
            <w:sz w:val="18"/>
            <w:szCs w:val="18"/>
            <w:u w:val="single"/>
          </w:rPr>
          <w:t>https://www.khan.co.kr/article/202401270900021</w:t>
        </w:r>
      </w:hyperlink>
      <w:r w:rsidRPr="00D17241">
        <w:rPr>
          <w:rFonts w:asciiTheme="minorEastAsia" w:hAnsiTheme="minorEastAsia" w:cs="Calibri"/>
          <w:sz w:val="18"/>
          <w:szCs w:val="18"/>
        </w:rPr>
        <w:t xml:space="preserve"> </w:t>
      </w:r>
    </w:p>
  </w:endnote>
  <w:endnote w:id="6">
    <w:p w14:paraId="000000A4"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National Health Insurance Service (2021</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A study on the current status and stage characteristics of healthcare utilization among persons with mental illness. </w:t>
      </w:r>
    </w:p>
  </w:endnote>
  <w:endnote w:id="7">
    <w:p w14:paraId="000000A5"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National Human Rights Commission (2018</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Survey of community residential treatment for persons with psychosocial disabilities.</w:t>
      </w:r>
    </w:p>
  </w:endnote>
  <w:endnote w:id="8">
    <w:p w14:paraId="000000BD"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Ministry of Health and Welfare-Korea Disability Development Institute (2020</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National Survey of Residential Institutions for Persons with Disabilities.</w:t>
      </w:r>
    </w:p>
  </w:endnote>
  <w:endnote w:id="9">
    <w:p w14:paraId="000000BE"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Park, Bo-young (2023</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'Analysis of the 2024 Budget for the Welfare and Health Sector: Disability Welfare', </w:t>
      </w:r>
      <w:r w:rsidRPr="00D17241">
        <w:rPr>
          <w:rFonts w:asciiTheme="minorEastAsia" w:hAnsiTheme="minorEastAsia" w:cs="Calibri"/>
          <w:sz w:val="18"/>
          <w:szCs w:val="18"/>
        </w:rPr>
        <w:t>『</w:t>
      </w:r>
      <w:r w:rsidRPr="00D17241">
        <w:rPr>
          <w:rFonts w:asciiTheme="minorEastAsia" w:hAnsiTheme="minorEastAsia" w:cs="Calibri"/>
          <w:sz w:val="18"/>
          <w:szCs w:val="18"/>
          <w:lang w:val="en-US"/>
        </w:rPr>
        <w:t>Welfare Trends</w:t>
      </w:r>
      <w:r w:rsidRPr="00D17241">
        <w:rPr>
          <w:rFonts w:asciiTheme="minorEastAsia" w:hAnsiTheme="minorEastAsia" w:cs="Calibri"/>
          <w:sz w:val="18"/>
          <w:szCs w:val="18"/>
        </w:rPr>
        <w:t>』</w:t>
      </w:r>
      <w:r w:rsidRPr="00D17241">
        <w:rPr>
          <w:rFonts w:asciiTheme="minorEastAsia" w:hAnsiTheme="minorEastAsia" w:cs="Calibri"/>
          <w:sz w:val="18"/>
          <w:szCs w:val="18"/>
          <w:lang w:val="en-US"/>
        </w:rPr>
        <w:t xml:space="preserve">, No. 11. The maintenance funding for institutions for persons with disabilities includes the operations of the following: shelters for persons with disabilities who are victims of abuse, human rights surveys of residential institutions for persons with disabilities, and human rights protection support centers. </w:t>
      </w:r>
    </w:p>
  </w:endnote>
  <w:endnote w:id="10">
    <w:p w14:paraId="000000BF"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Based on the 2025 budget passed by the plenary session of the National Assembly Health and Welfare Committee.</w:t>
      </w:r>
    </w:p>
  </w:endnote>
  <w:endnote w:id="11">
    <w:p w14:paraId="000000C0"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Ministry of Health and Welfare, Korea’s Disabled People's Development Institute (2020</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National Survey of Residential Institutions for Persons with Disabilities.</w:t>
      </w:r>
    </w:p>
  </w:endnote>
  <w:endnote w:id="12">
    <w:p w14:paraId="000000C1"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Paragraph 9, UN General Comment No. 5 on the ICCPR.</w:t>
      </w:r>
    </w:p>
  </w:endnote>
  <w:endnote w:id="13">
    <w:p w14:paraId="000000A6"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National Center for Mental Health (2024</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National Mental Health Status Report 2023. </w:t>
      </w:r>
    </w:p>
  </w:endnote>
  <w:endnote w:id="14">
    <w:p w14:paraId="000000A7"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Ministry of Health and Welfare (2025</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Research on the Assessment and Improvement Plan for Isolation and Restraint in Mental Health Institutions.</w:t>
      </w:r>
    </w:p>
  </w:endnote>
  <w:endnote w:id="15">
    <w:p w14:paraId="000000A8"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i/>
          <w:sz w:val="18"/>
          <w:szCs w:val="18"/>
          <w:lang w:val="en-US"/>
        </w:rPr>
        <w:t xml:space="preserve"> Disability with Aging (DWA)</w:t>
      </w:r>
      <w:r w:rsidRPr="00D17241">
        <w:rPr>
          <w:rFonts w:asciiTheme="minorEastAsia" w:hAnsiTheme="minorEastAsia" w:cs="Calibri"/>
          <w:sz w:val="18"/>
          <w:szCs w:val="18"/>
          <w:lang w:val="en-US"/>
        </w:rPr>
        <w:t xml:space="preserve">, people who develop disabilities as they age, is on the rise, as is the number of </w:t>
      </w:r>
      <w:r w:rsidRPr="00D17241">
        <w:rPr>
          <w:rFonts w:asciiTheme="minorEastAsia" w:hAnsiTheme="minorEastAsia" w:cs="Calibri"/>
          <w:i/>
          <w:sz w:val="18"/>
          <w:szCs w:val="18"/>
          <w:lang w:val="en-US"/>
        </w:rPr>
        <w:t>Aging with Disabilities (AWD)</w:t>
      </w:r>
      <w:r w:rsidRPr="00D17241">
        <w:rPr>
          <w:rFonts w:asciiTheme="minorEastAsia" w:hAnsiTheme="minorEastAsia" w:cs="Calibri"/>
          <w:sz w:val="18"/>
          <w:szCs w:val="18"/>
          <w:lang w:val="en-US"/>
        </w:rPr>
        <w:t>, people with disabilities who are aging due to advances in medical technology.</w:t>
      </w:r>
    </w:p>
  </w:endnote>
  <w:endnote w:id="16">
    <w:p w14:paraId="000000A9"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Paragraph 69 of the 5th government report to the Committee on Economic, Social and Cultrual Rights.</w:t>
      </w:r>
    </w:p>
  </w:endnote>
  <w:endnote w:id="17">
    <w:p w14:paraId="000000AA"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Paragraph 70 of the 5th government report to the Committee on Economic, Social and Cultrual Rights.</w:t>
      </w:r>
    </w:p>
  </w:endnote>
  <w:endnote w:id="18">
    <w:p w14:paraId="000000AB"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Difficulty participating in senior job programs that do not take into account disabilities, and disability-specific job programs that target all people with disabilities over the age of 18 do not take into account aging and age.</w:t>
      </w:r>
    </w:p>
  </w:endnote>
  <w:endnote w:id="19">
    <w:p w14:paraId="000000AC" w14:textId="40F5D779"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Institutions (shelters) for the older persons with disabilities are being installed by local governments themselves, but the number is notably limited. For example, in Gyeonggi Province, there is a senior center for every 204 senior ctitizens, while in the case of shelters for the older persons with disabilities, there is only one shelter for every 21,458 persons.</w:t>
      </w:r>
    </w:p>
    <w:p w14:paraId="000000AD" w14:textId="77777777" w:rsidR="00D17241" w:rsidRPr="00D17241" w:rsidRDefault="00D17241" w:rsidP="00D17241">
      <w:pPr>
        <w:spacing w:line="240" w:lineRule="auto"/>
        <w:jc w:val="both"/>
        <w:rPr>
          <w:rFonts w:asciiTheme="minorEastAsia" w:hAnsiTheme="minorEastAsia" w:cs="Calibri"/>
          <w:sz w:val="18"/>
          <w:szCs w:val="18"/>
        </w:rPr>
      </w:pPr>
      <w:r w:rsidRPr="00D17241">
        <w:rPr>
          <w:rFonts w:asciiTheme="minorEastAsia" w:hAnsiTheme="minorEastAsia" w:cs="Calibri"/>
          <w:sz w:val="18"/>
          <w:szCs w:val="18"/>
          <w:lang w:val="en-US"/>
        </w:rPr>
        <w:t>Gyeonggi Daily (June 4, 2024</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“‘Where do older persons with disabilities go’...Gyeonggi-do lacks shelters for the older persons with disabilities”. </w:t>
      </w:r>
      <w:hyperlink r:id="rId4">
        <w:r w:rsidRPr="00D17241">
          <w:rPr>
            <w:rFonts w:asciiTheme="minorEastAsia" w:hAnsiTheme="minorEastAsia" w:cs="Calibri"/>
            <w:color w:val="1155CC"/>
            <w:sz w:val="18"/>
            <w:szCs w:val="18"/>
            <w:u w:val="single"/>
          </w:rPr>
          <w:t>https://www.kyeonggi.com/article/20240603580264</w:t>
        </w:r>
      </w:hyperlink>
      <w:r w:rsidRPr="00D17241">
        <w:rPr>
          <w:rFonts w:asciiTheme="minorEastAsia" w:hAnsiTheme="minorEastAsia" w:cs="Calibri"/>
          <w:sz w:val="18"/>
          <w:szCs w:val="18"/>
        </w:rPr>
        <w:t xml:space="preserve"> .</w:t>
      </w:r>
    </w:p>
  </w:endnote>
  <w:endnote w:id="20">
    <w:p w14:paraId="000000AE"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Older people with disabilities are denied admission to senior care facilities because they are disabled, and disabled facilities say they are not allowed because they are older. There is also a lack of understanding of disability in nursing facilities and elderly care in facilities for the disabled.</w:t>
      </w:r>
    </w:p>
    <w:p w14:paraId="000000AF" w14:textId="77777777" w:rsidR="00D17241" w:rsidRPr="00D17241" w:rsidRDefault="00D17241" w:rsidP="00D17241">
      <w:pPr>
        <w:spacing w:line="240" w:lineRule="auto"/>
        <w:jc w:val="both"/>
        <w:rPr>
          <w:rFonts w:asciiTheme="minorEastAsia" w:hAnsiTheme="minorEastAsia" w:cs="Calibri"/>
          <w:sz w:val="18"/>
          <w:szCs w:val="18"/>
        </w:rPr>
      </w:pPr>
      <w:r w:rsidRPr="00D17241">
        <w:rPr>
          <w:rFonts w:asciiTheme="minorEastAsia" w:hAnsiTheme="minorEastAsia" w:cs="Calibri"/>
          <w:sz w:val="18"/>
          <w:szCs w:val="18"/>
          <w:lang w:val="en-US"/>
        </w:rPr>
        <w:t>Women's Economic Daily (Feb 22, 2023</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“Elderly disabled people with nowhere to go---Nursing homes and disabled facilities turn away”. </w:t>
      </w:r>
      <w:hyperlink r:id="rId5">
        <w:r w:rsidRPr="00D17241">
          <w:rPr>
            <w:rFonts w:asciiTheme="minorEastAsia" w:hAnsiTheme="minorEastAsia" w:cs="Calibri"/>
            <w:color w:val="1155CC"/>
            <w:sz w:val="18"/>
            <w:szCs w:val="18"/>
            <w:u w:val="single"/>
          </w:rPr>
          <w:t>http://womaneconomy.co.kr/news/articleView.html?idxno=215632</w:t>
        </w:r>
      </w:hyperlink>
      <w:r w:rsidRPr="00D17241">
        <w:rPr>
          <w:rFonts w:asciiTheme="minorEastAsia" w:hAnsiTheme="minorEastAsia" w:cs="Calibri"/>
          <w:sz w:val="18"/>
          <w:szCs w:val="18"/>
        </w:rPr>
        <w:t xml:space="preserve"> . </w:t>
      </w:r>
    </w:p>
    <w:p w14:paraId="000000B0"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lang w:val="en-US"/>
        </w:rPr>
        <w:t>The Korea Times (Apr 24, 2022</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“Between disability welfare and elderly welfare... Elderly disabled people in the care blind spot”. </w:t>
      </w:r>
      <w:hyperlink r:id="rId6">
        <w:r w:rsidRPr="00D17241">
          <w:rPr>
            <w:rFonts w:asciiTheme="minorEastAsia" w:hAnsiTheme="minorEastAsia" w:cs="Calibri"/>
            <w:color w:val="1155CC"/>
            <w:sz w:val="18"/>
            <w:szCs w:val="18"/>
            <w:u w:val="single"/>
            <w:lang w:val="en-US"/>
          </w:rPr>
          <w:t>https://www.hankookilbo.com/News/Read/A2022042114010001948</w:t>
        </w:r>
      </w:hyperlink>
      <w:r w:rsidRPr="00D17241">
        <w:rPr>
          <w:rFonts w:asciiTheme="minorEastAsia" w:hAnsiTheme="minorEastAsia" w:cs="Calibri"/>
          <w:sz w:val="18"/>
          <w:szCs w:val="18"/>
          <w:lang w:val="en-US"/>
        </w:rPr>
        <w:t xml:space="preserve"> . </w:t>
      </w:r>
    </w:p>
  </w:endnote>
  <w:endnote w:id="21">
    <w:p w14:paraId="000000B1" w14:textId="77777777" w:rsidR="00D17241" w:rsidRPr="00D17241" w:rsidRDefault="00D17241" w:rsidP="00D17241">
      <w:pPr>
        <w:spacing w:line="240" w:lineRule="auto"/>
        <w:jc w:val="both"/>
        <w:rPr>
          <w:rFonts w:asciiTheme="minorEastAsia" w:hAnsiTheme="minorEastAsia" w:cs="Calibri"/>
          <w:sz w:val="18"/>
          <w:szCs w:val="18"/>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Medical News Korea (Mar 13, 2025</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“Medical Expenses for PWD 1.8 billion KRW, 60% of which spent by older PWD”. </w:t>
      </w:r>
      <w:hyperlink r:id="rId7">
        <w:r w:rsidRPr="00D17241">
          <w:rPr>
            <w:rFonts w:asciiTheme="minorEastAsia" w:hAnsiTheme="minorEastAsia" w:cs="Calibri"/>
            <w:color w:val="1155CC"/>
            <w:sz w:val="18"/>
            <w:szCs w:val="18"/>
            <w:u w:val="single"/>
          </w:rPr>
          <w:t>www.bosa.co.kr/news/articleView.html?idxno=2243828</w:t>
        </w:r>
      </w:hyperlink>
      <w:r w:rsidRPr="00D17241">
        <w:rPr>
          <w:rFonts w:asciiTheme="minorEastAsia" w:hAnsiTheme="minorEastAsia" w:cs="Calibri"/>
          <w:sz w:val="18"/>
          <w:szCs w:val="18"/>
        </w:rPr>
        <w:t xml:space="preserve"> </w:t>
      </w:r>
    </w:p>
  </w:endnote>
  <w:endnote w:id="22">
    <w:p w14:paraId="000000B2"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Korea Institute for Health and Social Affairs (2023</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2023 Disability Survey. </w:t>
      </w:r>
    </w:p>
  </w:endnote>
  <w:endnote w:id="23">
    <w:p w14:paraId="000000B3"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Among the persons aged 65 and older, those with limitations in at least one of 7 ADLs(Acitvities of Daily Living) or 10 IADLs(Instrumental Acitvities of Daily Living) had a private labor income of 1.898 million KRW, which is only 32.9% (5.761 million KRW) of those without ADL and IADL limitations. Public transfer income was 5.366 and 5.878 million KRW, respectively, with no significant difference.</w:t>
      </w:r>
    </w:p>
    <w:p w14:paraId="000000B4"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lang w:val="en-US"/>
        </w:rPr>
        <w:t>Korea Institute for Health and Social Affairs (2024</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Elderly Living Conditions Survey. </w:t>
      </w:r>
    </w:p>
  </w:endnote>
  <w:endnote w:id="24">
    <w:p w14:paraId="000000B5"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Of the 1,308,382 older persons with disabilities aged 65 and over, 18.0% (235,546) are economically active, about half the rate of total senior population. In Korea, the economic activity participation rate of persons aged 65 and over is expected to be 37.3% in 2022, about twice that of older persons with disabilities.</w:t>
      </w:r>
      <w:r w:rsidRPr="00D17241">
        <w:rPr>
          <w:rFonts w:asciiTheme="minorEastAsia" w:hAnsiTheme="minorEastAsia" w:cs="Calibri"/>
          <w:sz w:val="18"/>
          <w:szCs w:val="18"/>
          <w:lang w:val="en-US"/>
        </w:rPr>
        <w:br/>
        <w:t>Korea Institute for Health and Social Affairs (2023</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2023 Disability Survey. </w:t>
      </w:r>
    </w:p>
    <w:p w14:paraId="000000B6" w14:textId="77777777" w:rsidR="00D17241" w:rsidRPr="00D17241" w:rsidRDefault="00D17241" w:rsidP="00D17241">
      <w:pPr>
        <w:spacing w:line="240" w:lineRule="auto"/>
        <w:jc w:val="both"/>
        <w:rPr>
          <w:rFonts w:asciiTheme="minorEastAsia" w:hAnsiTheme="minorEastAsia" w:cs="Calibri"/>
          <w:sz w:val="18"/>
          <w:szCs w:val="18"/>
        </w:rPr>
      </w:pPr>
      <w:r w:rsidRPr="00D17241">
        <w:rPr>
          <w:rFonts w:asciiTheme="minorEastAsia" w:hAnsiTheme="minorEastAsia" w:cs="Calibri"/>
          <w:sz w:val="18"/>
          <w:szCs w:val="18"/>
          <w:lang w:val="en-US"/>
        </w:rPr>
        <w:t xml:space="preserve">Kyunghyang Shinmun (Jan 13, 2025). “'Korean elderly' work the most and are the poorest”. </w:t>
      </w:r>
      <w:hyperlink r:id="rId8">
        <w:r w:rsidRPr="00D17241">
          <w:rPr>
            <w:rFonts w:asciiTheme="minorEastAsia" w:hAnsiTheme="minorEastAsia" w:cs="Calibri"/>
            <w:color w:val="1155CC"/>
            <w:sz w:val="18"/>
            <w:szCs w:val="18"/>
            <w:u w:val="single"/>
          </w:rPr>
          <w:t>https://www.khan.co.kr/article/202501130700011</w:t>
        </w:r>
      </w:hyperlink>
      <w:r w:rsidRPr="00D17241">
        <w:rPr>
          <w:rFonts w:asciiTheme="minorEastAsia" w:hAnsiTheme="minorEastAsia" w:cs="Calibri"/>
          <w:sz w:val="18"/>
          <w:szCs w:val="18"/>
        </w:rPr>
        <w:t xml:space="preserve">. </w:t>
      </w:r>
    </w:p>
  </w:endnote>
  <w:endnote w:id="25">
    <w:p w14:paraId="000000B7"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Compared to the average life expectancy of 83.7 years for the general population of ROK, people with disabilities die at an earlier age, with autistic persons at 22.5 years, persons with intellectual disabilities and epilepsy at 57.9 years, persons with liver disorders at 61 years, and persons with psychosocial disabilities at 63.7 years.</w:t>
      </w:r>
      <w:r w:rsidRPr="00D17241">
        <w:rPr>
          <w:rFonts w:asciiTheme="minorEastAsia" w:hAnsiTheme="minorEastAsia" w:cs="Calibri"/>
          <w:sz w:val="18"/>
          <w:szCs w:val="18"/>
          <w:lang w:val="en-US"/>
        </w:rPr>
        <w:br/>
        <w:t>National Rehabilitation Center, Ho, Seung-Hee et al. (2024</w:t>
      </w:r>
      <w:proofErr w:type="gramStart"/>
      <w:r w:rsidRPr="00D17241">
        <w:rPr>
          <w:rFonts w:asciiTheme="minorEastAsia" w:hAnsiTheme="minorEastAsia" w:cs="Calibri"/>
          <w:sz w:val="18"/>
          <w:szCs w:val="18"/>
          <w:lang w:val="en-US"/>
        </w:rPr>
        <w:t>) :</w:t>
      </w:r>
      <w:proofErr w:type="gramEnd"/>
      <w:r w:rsidRPr="00D17241">
        <w:rPr>
          <w:rFonts w:asciiTheme="minorEastAsia" w:hAnsiTheme="minorEastAsia" w:cs="Calibri"/>
          <w:sz w:val="18"/>
          <w:szCs w:val="18"/>
          <w:lang w:val="en-US"/>
        </w:rPr>
        <w:t xml:space="preserve"> Disability Health Statistics 2022. </w:t>
      </w:r>
    </w:p>
  </w:endnote>
  <w:endnote w:id="26">
    <w:p w14:paraId="000000B8" w14:textId="4B52C253"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There are 1,360,568 recipients of the Basic Livelihood Security over the age of 60, of whom 358,295 are disabled.</w:t>
      </w:r>
      <w:r w:rsidRPr="00D17241">
        <w:rPr>
          <w:rFonts w:asciiTheme="minorEastAsia" w:hAnsiTheme="minorEastAsia" w:cs="Calibri"/>
          <w:sz w:val="18"/>
          <w:szCs w:val="18"/>
          <w:lang w:val="en-US"/>
        </w:rPr>
        <w:br/>
        <w:t xml:space="preserve">Bokjiro (a web-based service portal operated by </w:t>
      </w:r>
      <w:r w:rsidRPr="00D17241">
        <w:rPr>
          <w:rFonts w:asciiTheme="minorEastAsia" w:hAnsiTheme="minorEastAsia" w:cs="Calibri"/>
          <w:i/>
          <w:sz w:val="18"/>
          <w:szCs w:val="18"/>
          <w:lang w:val="en-US"/>
        </w:rPr>
        <w:t>Ministry of Health and Welfare</w:t>
      </w:r>
      <w:r w:rsidRPr="00D17241">
        <w:rPr>
          <w:rFonts w:asciiTheme="minorEastAsia" w:hAnsiTheme="minorEastAsia" w:cs="Calibri"/>
          <w:sz w:val="18"/>
          <w:szCs w:val="18"/>
          <w:lang w:val="en-US"/>
        </w:rPr>
        <w:t xml:space="preserve"> and </w:t>
      </w:r>
      <w:r w:rsidRPr="00D17241">
        <w:rPr>
          <w:rFonts w:asciiTheme="minorEastAsia" w:hAnsiTheme="minorEastAsia" w:cs="Calibri"/>
          <w:i/>
          <w:sz w:val="18"/>
          <w:szCs w:val="18"/>
          <w:lang w:val="en-US"/>
        </w:rPr>
        <w:t>Korea Social Security Information Service</w:t>
      </w:r>
      <w:r w:rsidRPr="00D17241">
        <w:rPr>
          <w:rFonts w:asciiTheme="minorEastAsia" w:hAnsiTheme="minorEastAsia" w:cs="Calibri"/>
          <w:sz w:val="18"/>
          <w:szCs w:val="18"/>
          <w:lang w:val="en-US"/>
        </w:rPr>
        <w:t>) (viewed on May 19, 2025) : Welfare statistics of “Number of recipients with disabilities by age group” and “Number of recipients by age group of basic welfare”</w:t>
      </w:r>
      <w:r>
        <w:rPr>
          <w:rFonts w:asciiTheme="minorEastAsia" w:hAnsiTheme="minorEastAsia" w:cs="Calibri" w:hint="eastAsia"/>
          <w:sz w:val="18"/>
          <w:szCs w:val="18"/>
          <w:lang w:val="en-US"/>
        </w:rPr>
        <w:t xml:space="preserve"> </w:t>
      </w:r>
      <w:hyperlink r:id="rId9" w:history="1">
        <w:r w:rsidRPr="003B24F1">
          <w:rPr>
            <w:rStyle w:val="a5"/>
            <w:rFonts w:asciiTheme="minorEastAsia" w:hAnsiTheme="minorEastAsia" w:cs="Calibri"/>
            <w:sz w:val="18"/>
            <w:szCs w:val="18"/>
            <w:lang w:val="en-US"/>
          </w:rPr>
          <w:t>https://www.bokjiro.go.kr/ssis-tbu/twatga/sociGuaStat/SociGuaStatDetailIframe.do?datsNo=5&amp;datsClNo=1012&amp;datsClCrit=WS</w:t>
        </w:r>
      </w:hyperlink>
      <w:r w:rsidRPr="00D17241">
        <w:rPr>
          <w:rFonts w:asciiTheme="minorEastAsia" w:hAnsiTheme="minorEastAsia" w:cs="Calibri"/>
          <w:sz w:val="18"/>
          <w:szCs w:val="18"/>
          <w:lang w:val="en-US"/>
        </w:rPr>
        <w:t xml:space="preserve"> </w:t>
      </w:r>
      <w:r>
        <w:rPr>
          <w:rFonts w:asciiTheme="minorEastAsia" w:hAnsiTheme="minorEastAsia" w:cs="Calibri" w:hint="eastAsia"/>
          <w:sz w:val="18"/>
          <w:szCs w:val="18"/>
          <w:lang w:val="en-US"/>
        </w:rPr>
        <w:t>.</w:t>
      </w:r>
    </w:p>
    <w:p w14:paraId="000000B9" w14:textId="77777777" w:rsidR="00D17241" w:rsidRPr="00D17241" w:rsidRDefault="00D17241" w:rsidP="00D17241">
      <w:pPr>
        <w:spacing w:line="240" w:lineRule="auto"/>
        <w:jc w:val="both"/>
        <w:rPr>
          <w:rFonts w:asciiTheme="minorEastAsia" w:hAnsiTheme="minorEastAsia" w:cs="Calibri"/>
          <w:sz w:val="18"/>
          <w:szCs w:val="18"/>
          <w:lang w:val="en-US"/>
        </w:rPr>
      </w:pPr>
    </w:p>
  </w:endnote>
  <w:endnote w:id="27">
    <w:p w14:paraId="00000099"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Ministry of Health and </w:t>
      </w:r>
      <w:proofErr w:type="gramStart"/>
      <w:r w:rsidRPr="00D17241">
        <w:rPr>
          <w:rFonts w:asciiTheme="minorEastAsia" w:hAnsiTheme="minorEastAsia" w:cs="Calibri"/>
          <w:sz w:val="18"/>
          <w:szCs w:val="18"/>
          <w:lang w:val="en-US"/>
        </w:rPr>
        <w:t>Welfare :</w:t>
      </w:r>
      <w:proofErr w:type="gramEnd"/>
      <w:r w:rsidRPr="00D17241">
        <w:rPr>
          <w:rFonts w:asciiTheme="minorEastAsia" w:hAnsiTheme="minorEastAsia" w:cs="Calibri"/>
          <w:sz w:val="18"/>
          <w:szCs w:val="18"/>
          <w:lang w:val="en-US"/>
        </w:rPr>
        <w:t xml:space="preserve"> 2023 Survey of Persons with Disabilities.</w:t>
      </w:r>
    </w:p>
  </w:endnote>
  <w:endnote w:id="28">
    <w:p w14:paraId="0000009A"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National Institute of Special </w:t>
      </w:r>
      <w:proofErr w:type="gramStart"/>
      <w:r w:rsidRPr="00D17241">
        <w:rPr>
          <w:rFonts w:asciiTheme="minorEastAsia" w:hAnsiTheme="minorEastAsia" w:cs="Calibri"/>
          <w:sz w:val="18"/>
          <w:szCs w:val="18"/>
          <w:lang w:val="en-US"/>
        </w:rPr>
        <w:t>Education :</w:t>
      </w:r>
      <w:proofErr w:type="gramEnd"/>
      <w:r w:rsidRPr="00D17241">
        <w:rPr>
          <w:rFonts w:asciiTheme="minorEastAsia" w:hAnsiTheme="minorEastAsia" w:cs="Calibri"/>
          <w:sz w:val="18"/>
          <w:szCs w:val="18"/>
          <w:lang w:val="en-US"/>
        </w:rPr>
        <w:t xml:space="preserve"> 2024 Survey of Lifelong Education for Persons with Disabilities.</w:t>
      </w:r>
    </w:p>
  </w:endnote>
  <w:endnote w:id="29">
    <w:p w14:paraId="0000009B"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National Institute of Special </w:t>
      </w:r>
      <w:proofErr w:type="gramStart"/>
      <w:r w:rsidRPr="00D17241">
        <w:rPr>
          <w:rFonts w:asciiTheme="minorEastAsia" w:hAnsiTheme="minorEastAsia" w:cs="Calibri"/>
          <w:sz w:val="18"/>
          <w:szCs w:val="18"/>
          <w:lang w:val="en-US"/>
        </w:rPr>
        <w:t>Education :</w:t>
      </w:r>
      <w:proofErr w:type="gramEnd"/>
      <w:r w:rsidRPr="00D17241">
        <w:rPr>
          <w:rFonts w:asciiTheme="minorEastAsia" w:hAnsiTheme="minorEastAsia" w:cs="Calibri"/>
          <w:sz w:val="18"/>
          <w:szCs w:val="18"/>
          <w:lang w:val="en-US"/>
        </w:rPr>
        <w:t xml:space="preserve"> 2021 Survey of Lifelong Education for Persons with Disabilities.</w:t>
      </w:r>
    </w:p>
  </w:endnote>
  <w:endnote w:id="30">
    <w:p w14:paraId="0000009C"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National Institute of Special Education : 2024 Survey of Lifelong Education for Persons with Disabilities.</w:t>
      </w:r>
    </w:p>
  </w:endnote>
  <w:endnote w:id="31">
    <w:p w14:paraId="0000009D"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Ministry of Health and Welfare : 2023 Survey of Persons with Disabilities.</w:t>
      </w:r>
    </w:p>
  </w:endnote>
  <w:endnote w:id="32">
    <w:p w14:paraId="0000009E" w14:textId="28888360"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Yonhap News (May 24, 2024) : "Adults with disabilities who completed elementary and middle school literacy education says ‘Let us go to high school’." </w:t>
      </w:r>
      <w:hyperlink r:id="rId10" w:history="1">
        <w:r w:rsidRPr="003B24F1">
          <w:rPr>
            <w:rStyle w:val="a5"/>
            <w:rFonts w:asciiTheme="minorEastAsia" w:hAnsiTheme="minorEastAsia" w:cs="Calibri"/>
            <w:sz w:val="18"/>
            <w:szCs w:val="18"/>
          </w:rPr>
          <w:t>https://www.yna.co.kr/view/AKR20240524119700053</w:t>
        </w:r>
      </w:hyperlink>
      <w:r w:rsidRPr="00D17241">
        <w:rPr>
          <w:rFonts w:asciiTheme="minorEastAsia" w:hAnsiTheme="minorEastAsia" w:cs="Calibri"/>
          <w:sz w:val="18"/>
          <w:szCs w:val="18"/>
        </w:rPr>
        <w:t xml:space="preserve"> .  </w:t>
      </w:r>
    </w:p>
  </w:endnote>
  <w:endnote w:id="33">
    <w:p w14:paraId="3D6CD347"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rPr>
        <w:t xml:space="preserve"> Court of Korea (Dec 19, 2024) : “Supreme Court Ruling 2022다289051 on the case including appeal for remedy for discrimination.” </w:t>
      </w:r>
    </w:p>
    <w:p w14:paraId="000000C2" w14:textId="7EAE401B" w:rsidR="00D17241" w:rsidRPr="00D17241" w:rsidRDefault="00FC5D55"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rPr>
      </w:pPr>
      <w:hyperlink r:id="rId11" w:history="1">
        <w:r w:rsidR="00D17241" w:rsidRPr="00D17241">
          <w:rPr>
            <w:rStyle w:val="a5"/>
            <w:rFonts w:asciiTheme="minorEastAsia" w:hAnsiTheme="minorEastAsia" w:cs="Calibri"/>
            <w:sz w:val="18"/>
            <w:szCs w:val="18"/>
          </w:rPr>
          <w:t>https://www.scourt.go.kr/portal/news/NewsViewAction.work?pageIndex=1&amp;searchWord=&amp;searchOption=&amp;seqnum=2744&amp;gubun=6</w:t>
        </w:r>
      </w:hyperlink>
      <w:r w:rsidR="00D17241" w:rsidRPr="00D17241">
        <w:rPr>
          <w:rFonts w:asciiTheme="minorEastAsia" w:hAnsiTheme="minorEastAsia" w:cs="Calibri"/>
          <w:sz w:val="18"/>
          <w:szCs w:val="18"/>
        </w:rPr>
        <w:t xml:space="preserve"> </w:t>
      </w:r>
    </w:p>
  </w:endnote>
  <w:endnote w:id="34">
    <w:p w14:paraId="000000C3"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Ablenews (May 2, 2024) :</w:t>
      </w:r>
      <w:hyperlink r:id="rId12">
        <w:r w:rsidRPr="00D17241">
          <w:rPr>
            <w:rFonts w:asciiTheme="minorEastAsia" w:hAnsiTheme="minorEastAsia" w:cs="Calibri"/>
            <w:sz w:val="18"/>
            <w:szCs w:val="18"/>
            <w:lang w:val="en-US"/>
          </w:rPr>
          <w:t xml:space="preserve"> “They say that 89.2% of facilities meet accessibility requirements, but is it true?"</w:t>
        </w:r>
      </w:hyperlink>
      <w:r w:rsidRPr="00D17241">
        <w:rPr>
          <w:rFonts w:asciiTheme="minorEastAsia" w:hAnsiTheme="minorEastAsia" w:cs="Calibri"/>
          <w:sz w:val="18"/>
          <w:szCs w:val="18"/>
          <w:lang w:val="en-US"/>
        </w:rPr>
        <w:t xml:space="preserve"> </w:t>
      </w:r>
      <w:hyperlink r:id="rId13">
        <w:r w:rsidRPr="00D17241">
          <w:rPr>
            <w:rFonts w:asciiTheme="minorEastAsia" w:hAnsiTheme="minorEastAsia" w:cs="Calibri"/>
            <w:color w:val="1155CC"/>
            <w:sz w:val="18"/>
            <w:szCs w:val="18"/>
            <w:u w:val="single"/>
          </w:rPr>
          <w:t>https://www.ablenews.co.kr/news/articleView.html?idxno=212315</w:t>
        </w:r>
      </w:hyperlink>
      <w:r w:rsidRPr="00D17241">
        <w:rPr>
          <w:rFonts w:asciiTheme="minorEastAsia" w:hAnsiTheme="minorEastAsia" w:cs="Calibri"/>
          <w:sz w:val="18"/>
          <w:szCs w:val="18"/>
        </w:rPr>
        <w:t xml:space="preserve"> </w:t>
      </w:r>
    </w:p>
  </w:endnote>
  <w:endnote w:id="35">
    <w:p w14:paraId="000000C7"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The </w:t>
      </w:r>
      <w:r w:rsidRPr="00D17241">
        <w:rPr>
          <w:rFonts w:asciiTheme="minorEastAsia" w:hAnsiTheme="minorEastAsia" w:cs="Calibri"/>
          <w:i/>
          <w:sz w:val="18"/>
          <w:szCs w:val="18"/>
          <w:lang w:val="en-US"/>
        </w:rPr>
        <w:t>Accessibility Act</w:t>
      </w:r>
      <w:r w:rsidRPr="00D17241">
        <w:rPr>
          <w:rFonts w:asciiTheme="minorEastAsia" w:hAnsiTheme="minorEastAsia" w:cs="Calibri"/>
          <w:sz w:val="18"/>
          <w:szCs w:val="18"/>
          <w:lang w:val="en-US"/>
        </w:rPr>
        <w:t xml:space="preserve"> is administered by Minister of Health and Welfare, and the </w:t>
      </w:r>
      <w:r w:rsidRPr="00D17241">
        <w:rPr>
          <w:rFonts w:asciiTheme="minorEastAsia" w:hAnsiTheme="minorEastAsia" w:cs="Calibri"/>
          <w:i/>
          <w:sz w:val="18"/>
          <w:szCs w:val="18"/>
          <w:lang w:val="en-US"/>
        </w:rPr>
        <w:t>Act on Promotion of Transportation Convenience for the Mobility Disadvantaged</w:t>
      </w:r>
      <w:r w:rsidRPr="00D17241">
        <w:rPr>
          <w:rFonts w:asciiTheme="minorEastAsia" w:hAnsiTheme="minorEastAsia" w:cs="Calibri"/>
          <w:sz w:val="18"/>
          <w:szCs w:val="18"/>
          <w:lang w:val="en-US"/>
        </w:rPr>
        <w:t xml:space="preserve"> by the Ministry of Land, Infrastructure, and Transport.</w:t>
      </w:r>
    </w:p>
  </w:endnote>
  <w:endnote w:id="36">
    <w:p w14:paraId="000000C8"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after="160" w:line="240" w:lineRule="auto"/>
        <w:jc w:val="both"/>
        <w:rPr>
          <w:rFonts w:asciiTheme="minorEastAsia" w:hAnsiTheme="minorEastAsia" w:cs="Calibri"/>
          <w:sz w:val="18"/>
          <w:szCs w:val="18"/>
        </w:rPr>
      </w:pPr>
      <w:r w:rsidRPr="00D17241">
        <w:rPr>
          <w:rFonts w:asciiTheme="minorEastAsia" w:hAnsiTheme="minorEastAsia" w:cs="Calibri"/>
          <w:sz w:val="18"/>
          <w:szCs w:val="18"/>
          <w:vertAlign w:val="superscript"/>
        </w:rPr>
        <w:endnoteRef/>
      </w:r>
      <w:hyperlink r:id="rId14">
        <w:r w:rsidRPr="00D17241">
          <w:rPr>
            <w:rFonts w:asciiTheme="minorEastAsia" w:hAnsiTheme="minorEastAsia" w:cs="Calibri"/>
            <w:sz w:val="18"/>
            <w:szCs w:val="18"/>
            <w:lang w:val="en-US"/>
          </w:rPr>
          <w:t xml:space="preserve"> Welfare news (Jan 8, 2025) : “Pushing for the 'General Act for Universal Design’ for a Barrier-Free Society</w:t>
        </w:r>
      </w:hyperlink>
      <w:r w:rsidRPr="00D17241">
        <w:rPr>
          <w:rFonts w:asciiTheme="minorEastAsia" w:hAnsiTheme="minorEastAsia" w:cs="Calibri"/>
          <w:sz w:val="18"/>
          <w:szCs w:val="18"/>
          <w:lang w:val="en-US"/>
        </w:rPr>
        <w:t xml:space="preserve">.” </w:t>
      </w:r>
      <w:hyperlink r:id="rId15">
        <w:r w:rsidRPr="00D17241">
          <w:rPr>
            <w:rFonts w:asciiTheme="minorEastAsia" w:hAnsiTheme="minorEastAsia" w:cs="Calibri"/>
            <w:color w:val="1155CC"/>
            <w:sz w:val="18"/>
            <w:szCs w:val="18"/>
            <w:u w:val="single"/>
          </w:rPr>
          <w:t>http://www.welfarenews.net/news/articleView.html?idxno=107024</w:t>
        </w:r>
      </w:hyperlink>
      <w:r w:rsidRPr="00D17241">
        <w:rPr>
          <w:rFonts w:asciiTheme="minorEastAsia" w:hAnsiTheme="minorEastAsia" w:cs="Calibri"/>
          <w:sz w:val="18"/>
          <w:szCs w:val="18"/>
        </w:rPr>
        <w:t>.</w:t>
      </w:r>
    </w:p>
  </w:endnote>
  <w:endnote w:id="37">
    <w:p w14:paraId="000000C4"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rPr>
      </w:pPr>
      <w:r w:rsidRPr="00D17241">
        <w:rPr>
          <w:rFonts w:asciiTheme="minorEastAsia" w:hAnsiTheme="minorEastAsia" w:cs="Calibri"/>
          <w:sz w:val="18"/>
          <w:szCs w:val="18"/>
          <w:vertAlign w:val="superscript"/>
        </w:rPr>
        <w:endnoteRef/>
      </w:r>
      <w:hyperlink r:id="rId16">
        <w:r w:rsidRPr="00D17241">
          <w:rPr>
            <w:rFonts w:asciiTheme="minorEastAsia" w:hAnsiTheme="minorEastAsia" w:cs="Calibri"/>
            <w:sz w:val="18"/>
            <w:szCs w:val="18"/>
            <w:lang w:val="en-US"/>
          </w:rPr>
          <w:t xml:space="preserve"> Joongdo Daily (Oct 27, 2024) : “6358 intercity and express buses nationwide, 0 seats for wheelchair users, why?</w:t>
        </w:r>
      </w:hyperlink>
      <w:r w:rsidRPr="00D17241">
        <w:rPr>
          <w:rFonts w:asciiTheme="minorEastAsia" w:hAnsiTheme="minorEastAsia" w:cs="Calibri"/>
          <w:sz w:val="18"/>
          <w:szCs w:val="18"/>
          <w:lang w:val="en-US"/>
        </w:rPr>
        <w:t xml:space="preserve">” </w:t>
      </w:r>
      <w:hyperlink r:id="rId17">
        <w:r w:rsidRPr="00D17241">
          <w:rPr>
            <w:rFonts w:asciiTheme="minorEastAsia" w:hAnsiTheme="minorEastAsia" w:cs="Calibri"/>
            <w:color w:val="1155CC"/>
            <w:sz w:val="18"/>
            <w:szCs w:val="18"/>
            <w:u w:val="single"/>
          </w:rPr>
          <w:t>https://m.joongdo.co.kr/view.php?key=20241027010007061</w:t>
        </w:r>
      </w:hyperlink>
      <w:r w:rsidRPr="00D17241">
        <w:rPr>
          <w:rFonts w:asciiTheme="minorEastAsia" w:hAnsiTheme="minorEastAsia" w:cs="Calibri"/>
          <w:sz w:val="18"/>
          <w:szCs w:val="18"/>
        </w:rPr>
        <w:t xml:space="preserve">. </w:t>
      </w:r>
    </w:p>
  </w:endnote>
  <w:endnote w:id="38">
    <w:p w14:paraId="000000C5" w14:textId="7777777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rPr>
        <w:t xml:space="preserve"> Court of Korea (Dec 19, 2024) : “Supreme Court Ruling 2019다217421 on the case of remedy for discrimination.” </w:t>
      </w:r>
      <w:hyperlink r:id="rId18">
        <w:r w:rsidRPr="00D17241">
          <w:rPr>
            <w:rFonts w:asciiTheme="minorEastAsia" w:hAnsiTheme="minorEastAsia" w:cs="Calibri"/>
            <w:color w:val="1155CC"/>
            <w:sz w:val="18"/>
            <w:szCs w:val="18"/>
            <w:u w:val="single"/>
          </w:rPr>
          <w:t>https://www.scourt.go.kr/portal/news/NewsViewAction.work;jsessionid=dHSa8RmvO8qNO13yu5tLMs75kUgyDq3vvW6n8UGUgeWkAsUO7HJiSZY1UOV5Dmpw.BJEUWS05_servlet_SCWWW?pageIndex=1&amp;searchWord=&amp;searchOption=&amp;gubun=6&amp;seqnum=2133#</w:t>
        </w:r>
      </w:hyperlink>
      <w:r w:rsidRPr="00D17241">
        <w:rPr>
          <w:rFonts w:asciiTheme="minorEastAsia" w:hAnsiTheme="minorEastAsia" w:cs="Calibri"/>
          <w:sz w:val="18"/>
          <w:szCs w:val="18"/>
        </w:rPr>
        <w:t xml:space="preserve">. </w:t>
      </w:r>
    </w:p>
  </w:endnote>
  <w:endnote w:id="39">
    <w:p w14:paraId="000000C6" w14:textId="0CBCB4F7" w:rsidR="00D17241" w:rsidRPr="00D17241" w:rsidRDefault="00D17241" w:rsidP="00D17241">
      <w:pPr>
        <w:widowControl w:val="0"/>
        <w:pBdr>
          <w:top w:val="none" w:sz="0" w:space="1" w:color="000000"/>
          <w:left w:val="none" w:sz="0" w:space="4" w:color="000000"/>
          <w:bottom w:val="none" w:sz="0" w:space="1" w:color="000000"/>
          <w:right w:val="none" w:sz="0" w:space="4" w:color="000000"/>
        </w:pBd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Chung Cheong News (Oct 24, 2024) :</w:t>
      </w:r>
      <w:hyperlink r:id="rId19">
        <w:r w:rsidRPr="00D17241">
          <w:rPr>
            <w:rFonts w:asciiTheme="minorEastAsia" w:hAnsiTheme="minorEastAsia" w:cs="Calibri"/>
            <w:sz w:val="18"/>
            <w:szCs w:val="18"/>
            <w:lang w:val="en-US"/>
          </w:rPr>
          <w:t xml:space="preserve"> "None of the budget for wheelchair seats on intercity and express buses for the last four years were used."</w:t>
        </w:r>
      </w:hyperlink>
      <w:r w:rsidRPr="00D17241">
        <w:rPr>
          <w:rFonts w:asciiTheme="minorEastAsia" w:hAnsiTheme="minorEastAsia" w:cs="Calibri"/>
          <w:sz w:val="18"/>
          <w:szCs w:val="18"/>
          <w:lang w:val="en-US"/>
        </w:rPr>
        <w:t xml:space="preserve"> </w:t>
      </w:r>
      <w:hyperlink r:id="rId20" w:history="1">
        <w:r w:rsidRPr="003B24F1">
          <w:rPr>
            <w:rStyle w:val="a5"/>
            <w:rFonts w:asciiTheme="minorEastAsia" w:hAnsiTheme="minorEastAsia" w:cs="Calibri"/>
            <w:sz w:val="18"/>
            <w:szCs w:val="18"/>
          </w:rPr>
          <w:t>http://www.ccnnews.co.kr/news/articleView.html?idxno=350847</w:t>
        </w:r>
      </w:hyperlink>
      <w:r w:rsidRPr="00D17241">
        <w:rPr>
          <w:rFonts w:asciiTheme="minorEastAsia" w:hAnsiTheme="minorEastAsia" w:cs="Calibri"/>
          <w:sz w:val="18"/>
          <w:szCs w:val="18"/>
        </w:rPr>
        <w:t xml:space="preserve">. </w:t>
      </w:r>
    </w:p>
  </w:endnote>
  <w:endnote w:id="40">
    <w:p w14:paraId="000000C9"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Amongst persons with cerebral palsy, traumatic brain injury, stroke, and other types of disabilities caused by underlying lesions in the brain, 37.3% also have language disability.  </w:t>
      </w:r>
    </w:p>
    <w:p w14:paraId="000000CA"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lang w:val="en-US"/>
        </w:rPr>
        <w:t>Ministry of Health and Welfare : 2023 Survey of Persons with Disabilities.</w:t>
      </w:r>
    </w:p>
  </w:endnote>
  <w:endnote w:id="41">
    <w:p w14:paraId="000000CB" w14:textId="77777777" w:rsidR="00D17241" w:rsidRPr="00D17241" w:rsidRDefault="00D17241" w:rsidP="00D17241">
      <w:pPr>
        <w:spacing w:line="240" w:lineRule="auto"/>
        <w:jc w:val="both"/>
        <w:rPr>
          <w:rFonts w:asciiTheme="minorEastAsia" w:hAnsiTheme="minorEastAsia" w:cs="Calibri"/>
          <w:sz w:val="18"/>
          <w:szCs w:val="18"/>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Social Focus (July 2, 2020) : “'Center for Communication Rights of Persons with Disabilities' to open in September.” </w:t>
      </w:r>
      <w:hyperlink r:id="rId21">
        <w:r w:rsidRPr="00D17241">
          <w:rPr>
            <w:rFonts w:asciiTheme="minorEastAsia" w:hAnsiTheme="minorEastAsia" w:cs="Calibri"/>
            <w:color w:val="1155CC"/>
            <w:sz w:val="18"/>
            <w:szCs w:val="18"/>
            <w:u w:val="single"/>
          </w:rPr>
          <w:t>https://www.socialfocus.co.kr/news/articleView.html?idxno=8002</w:t>
        </w:r>
      </w:hyperlink>
      <w:r w:rsidRPr="00D17241">
        <w:rPr>
          <w:rFonts w:asciiTheme="minorEastAsia" w:hAnsiTheme="minorEastAsia" w:cs="Calibri"/>
          <w:sz w:val="18"/>
          <w:szCs w:val="18"/>
        </w:rPr>
        <w:t>.</w:t>
      </w:r>
    </w:p>
  </w:endnote>
  <w:endnote w:id="42">
    <w:p w14:paraId="000000BA"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Compared to sign language interpreting services, there is no system for training and deploying professionals specialized in language disabilities, such as AAC(augmentative and alternative communication) specialists, communication rights advocates, and communication support workers. There are no standards for the provision of AAC tools (e.g., pictograms, alphabet boards, AAC apps/devices) in public institutions and service providers. </w:t>
      </w:r>
    </w:p>
  </w:endnote>
  <w:endnote w:id="43">
    <w:p w14:paraId="000000BB"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Essential social service facilities, such as hospitals, banks, and government offices, are also unable to provide any effective easy-to-understand information or support for communication.</w:t>
      </w:r>
    </w:p>
  </w:endnote>
  <w:endnote w:id="44">
    <w:p w14:paraId="000000BC" w14:textId="77777777" w:rsidR="00D17241" w:rsidRPr="00D17241" w:rsidRDefault="00D17241" w:rsidP="00D17241">
      <w:pPr>
        <w:spacing w:line="240" w:lineRule="auto"/>
        <w:jc w:val="both"/>
        <w:rPr>
          <w:rFonts w:asciiTheme="minorEastAsia" w:hAnsiTheme="minorEastAsia" w:cs="Calibri"/>
          <w:sz w:val="18"/>
          <w:szCs w:val="18"/>
          <w:lang w:val="en-US"/>
        </w:rPr>
      </w:pPr>
      <w:r w:rsidRPr="00D17241">
        <w:rPr>
          <w:rFonts w:asciiTheme="minorEastAsia" w:hAnsiTheme="minorEastAsia" w:cs="Calibri"/>
          <w:sz w:val="18"/>
          <w:szCs w:val="18"/>
          <w:vertAlign w:val="superscript"/>
        </w:rPr>
        <w:endnoteRef/>
      </w:r>
      <w:r w:rsidRPr="00D17241">
        <w:rPr>
          <w:rFonts w:asciiTheme="minorEastAsia" w:hAnsiTheme="minorEastAsia" w:cs="Calibri"/>
          <w:sz w:val="18"/>
          <w:szCs w:val="18"/>
          <w:lang w:val="en-US"/>
        </w:rPr>
        <w:t xml:space="preserve"> There is a lack of financial relief for the purchase of expensive AAC devices and a lack of an integrated support system based on personal needs, such as AAC assessment, device selection process, training, and follow-up management.</w:t>
      </w:r>
    </w:p>
  </w:endnote>
  <w:endnote w:id="45">
    <w:p w14:paraId="000000CC" w14:textId="77777777" w:rsidR="00D17241" w:rsidRPr="00D17241" w:rsidRDefault="00D17241" w:rsidP="00D17241">
      <w:pPr>
        <w:spacing w:line="240" w:lineRule="auto"/>
        <w:jc w:val="both"/>
        <w:rPr>
          <w:rFonts w:asciiTheme="minorEastAsia" w:hAnsiTheme="minorEastAsia"/>
          <w:sz w:val="18"/>
          <w:szCs w:val="18"/>
        </w:rPr>
      </w:pPr>
      <w:r w:rsidRPr="00D17241">
        <w:rPr>
          <w:rFonts w:asciiTheme="minorEastAsia" w:hAnsiTheme="minorEastAsia" w:cs="Calibri"/>
          <w:sz w:val="18"/>
          <w:szCs w:val="18"/>
          <w:vertAlign w:val="superscript"/>
        </w:rPr>
        <w:endnoteRef/>
      </w:r>
      <w:r w:rsidRPr="00D17241">
        <w:rPr>
          <w:rFonts w:asciiTheme="minorEastAsia" w:hAnsiTheme="minorEastAsia" w:cs="Calibri"/>
          <w:color w:val="111111"/>
          <w:sz w:val="18"/>
          <w:szCs w:val="18"/>
          <w:lang w:val="en-US"/>
        </w:rPr>
        <w:t xml:space="preserve"> Health Chosun (Oct 18, 2024) : "To integrate people with disabilities into communities, start with 'communication'." </w:t>
      </w:r>
      <w:hyperlink r:id="rId22">
        <w:r w:rsidRPr="00D17241">
          <w:rPr>
            <w:rFonts w:asciiTheme="minorEastAsia" w:hAnsiTheme="minorEastAsia" w:cs="Calibri"/>
            <w:color w:val="1155CC"/>
            <w:sz w:val="18"/>
            <w:szCs w:val="18"/>
            <w:u w:val="single"/>
          </w:rPr>
          <w:t>https://m.health.chosun.com/svc/news_view.html?contid=2024101802413</w:t>
        </w:r>
      </w:hyperlink>
      <w:r w:rsidRPr="00D17241">
        <w:rPr>
          <w:rFonts w:asciiTheme="minorEastAsia" w:hAnsiTheme="minorEastAsia" w:cs="Calibri"/>
          <w:color w:val="111111"/>
          <w:sz w:val="18"/>
          <w:szCs w:val="18"/>
        </w:rPr>
        <w:t>.</w:t>
      </w:r>
      <w:r w:rsidRPr="00D17241">
        <w:rPr>
          <w:rFonts w:asciiTheme="minorEastAsia" w:hAnsiTheme="minorEastAsia" w:cs="Arimo"/>
          <w:color w:val="111111"/>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mo">
    <w:altName w:val="Calibri"/>
    <w:charset w:val="00"/>
    <w:family w:val="auto"/>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81850" w14:textId="77777777" w:rsidR="00FC5D55" w:rsidRDefault="00FC5D55">
      <w:pPr>
        <w:spacing w:line="240" w:lineRule="auto"/>
      </w:pPr>
      <w:r>
        <w:separator/>
      </w:r>
    </w:p>
  </w:footnote>
  <w:footnote w:type="continuationSeparator" w:id="0">
    <w:p w14:paraId="65941844" w14:textId="77777777" w:rsidR="00FC5D55" w:rsidRDefault="00FC5D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CD" w14:textId="77777777" w:rsidR="001D331E" w:rsidRDefault="001D33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71AA4"/>
    <w:multiLevelType w:val="multilevel"/>
    <w:tmpl w:val="7068D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DA946C3"/>
    <w:multiLevelType w:val="multilevel"/>
    <w:tmpl w:val="EDE405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proofState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31E"/>
    <w:rsid w:val="001D331E"/>
    <w:rsid w:val="0041683A"/>
    <w:rsid w:val="005521B7"/>
    <w:rsid w:val="00BC6C28"/>
    <w:rsid w:val="00CD6373"/>
    <w:rsid w:val="00D17241"/>
    <w:rsid w:val="00FC5D5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04108"/>
  <w15:docId w15:val="{A4668AC2-6CD5-458E-996A-77F689810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Arial"/>
        <w:sz w:val="22"/>
        <w:szCs w:val="22"/>
        <w:lang w:val="ko" w:eastAsia="ko-KR"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line="264" w:lineRule="auto"/>
      <w:outlineLvl w:val="0"/>
    </w:pPr>
    <w:rPr>
      <w:rFonts w:ascii="Arimo" w:eastAsia="Arimo" w:hAnsi="Arimo" w:cs="Arimo"/>
      <w:sz w:val="30"/>
      <w:szCs w:val="30"/>
    </w:rPr>
  </w:style>
  <w:style w:type="paragraph" w:styleId="2">
    <w:name w:val="heading 2"/>
    <w:basedOn w:val="a"/>
    <w:next w:val="a"/>
    <w:uiPriority w:val="9"/>
    <w:unhideWhenUsed/>
    <w:qFormat/>
    <w:pPr>
      <w:keepNext/>
      <w:keepLines/>
      <w:spacing w:line="264" w:lineRule="auto"/>
      <w:outlineLvl w:val="1"/>
    </w:pPr>
    <w:rPr>
      <w:b/>
      <w:sz w:val="26"/>
      <w:szCs w:val="26"/>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 w:type="character" w:styleId="a5">
    <w:name w:val="Hyperlink"/>
    <w:basedOn w:val="a0"/>
    <w:uiPriority w:val="99"/>
    <w:unhideWhenUsed/>
    <w:rsid w:val="00D17241"/>
    <w:rPr>
      <w:color w:val="0000FF" w:themeColor="hyperlink"/>
      <w:u w:val="single"/>
    </w:rPr>
  </w:style>
  <w:style w:type="character" w:styleId="a6">
    <w:name w:val="Unresolved Mention"/>
    <w:basedOn w:val="a0"/>
    <w:uiPriority w:val="99"/>
    <w:semiHidden/>
    <w:unhideWhenUsed/>
    <w:rsid w:val="00D17241"/>
    <w:rPr>
      <w:color w:val="605E5C"/>
      <w:shd w:val="clear" w:color="auto" w:fill="E1DFDD"/>
    </w:rPr>
  </w:style>
  <w:style w:type="paragraph" w:styleId="a7">
    <w:name w:val="endnote text"/>
    <w:basedOn w:val="a"/>
    <w:link w:val="Char"/>
    <w:uiPriority w:val="99"/>
    <w:semiHidden/>
    <w:unhideWhenUsed/>
    <w:rsid w:val="00D17241"/>
    <w:pPr>
      <w:snapToGrid w:val="0"/>
    </w:pPr>
  </w:style>
  <w:style w:type="character" w:customStyle="1" w:styleId="Char">
    <w:name w:val="미주 텍스트 Char"/>
    <w:basedOn w:val="a0"/>
    <w:link w:val="a7"/>
    <w:uiPriority w:val="99"/>
    <w:semiHidden/>
    <w:rsid w:val="00D17241"/>
  </w:style>
  <w:style w:type="paragraph" w:styleId="a8">
    <w:name w:val="footnote text"/>
    <w:basedOn w:val="a"/>
    <w:link w:val="Char0"/>
    <w:uiPriority w:val="99"/>
    <w:semiHidden/>
    <w:unhideWhenUsed/>
    <w:rsid w:val="00D17241"/>
    <w:pPr>
      <w:snapToGrid w:val="0"/>
    </w:pPr>
  </w:style>
  <w:style w:type="character" w:customStyle="1" w:styleId="Char0">
    <w:name w:val="각주 텍스트 Char"/>
    <w:basedOn w:val="a0"/>
    <w:link w:val="a8"/>
    <w:uiPriority w:val="99"/>
    <w:semiHidden/>
    <w:rsid w:val="00D17241"/>
  </w:style>
  <w:style w:type="character" w:styleId="a9">
    <w:name w:val="endnote reference"/>
    <w:basedOn w:val="a0"/>
    <w:uiPriority w:val="99"/>
    <w:semiHidden/>
    <w:unhideWhenUsed/>
    <w:rsid w:val="00D17241"/>
    <w:rPr>
      <w:vertAlign w:val="superscript"/>
    </w:rPr>
  </w:style>
  <w:style w:type="character" w:styleId="aa">
    <w:name w:val="footnote reference"/>
    <w:basedOn w:val="a0"/>
    <w:uiPriority w:val="99"/>
    <w:semiHidden/>
    <w:unhideWhenUsed/>
    <w:rsid w:val="00D17241"/>
    <w:rPr>
      <w:vertAlign w:val="superscript"/>
    </w:rPr>
  </w:style>
  <w:style w:type="paragraph" w:styleId="TOC">
    <w:name w:val="TOC Heading"/>
    <w:basedOn w:val="1"/>
    <w:next w:val="a"/>
    <w:uiPriority w:val="39"/>
    <w:unhideWhenUsed/>
    <w:qFormat/>
    <w:rsid w:val="00BC6C28"/>
    <w:pPr>
      <w:spacing w:before="24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10">
    <w:name w:val="toc 1"/>
    <w:basedOn w:val="a"/>
    <w:next w:val="a"/>
    <w:autoRedefine/>
    <w:uiPriority w:val="39"/>
    <w:unhideWhenUsed/>
    <w:rsid w:val="00BC6C28"/>
  </w:style>
  <w:style w:type="paragraph" w:styleId="20">
    <w:name w:val="toc 2"/>
    <w:basedOn w:val="a"/>
    <w:next w:val="a"/>
    <w:autoRedefine/>
    <w:uiPriority w:val="39"/>
    <w:unhideWhenUsed/>
    <w:rsid w:val="00BC6C28"/>
    <w:pPr>
      <w:ind w:leftChars="200" w:left="42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hbchoi@thekdf.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s://www.khan.co.kr/article/202501130700011" TargetMode="External"/><Relationship Id="rId13" Type="http://schemas.openxmlformats.org/officeDocument/2006/relationships/hyperlink" Target="https://www.ablenews.co.kr/news/articleView.html?idxno=212315" TargetMode="External"/><Relationship Id="rId18" Type="http://schemas.openxmlformats.org/officeDocument/2006/relationships/hyperlink" Target="https://www.scourt.go.kr/portal/news/NewsViewAction.work;jsessionid=dHSa8RmvO8qNO13yu5tLMs75kUgyDq3vvW6n8UGUgeWkAsUO7HJiSZY1UOV5Dmpw.BJEUWS05_servlet_SCWWW?pageIndex=1&amp;searchWord=&amp;searchOption=&amp;gubun=6&amp;seqnum=2133" TargetMode="External"/><Relationship Id="rId3" Type="http://schemas.openxmlformats.org/officeDocument/2006/relationships/hyperlink" Target="https://www.khan.co.kr/article/202401270900021" TargetMode="External"/><Relationship Id="rId21" Type="http://schemas.openxmlformats.org/officeDocument/2006/relationships/hyperlink" Target="https://www.socialfocus.co.kr/news/articleView.html?idxno=8002" TargetMode="External"/><Relationship Id="rId7" Type="http://schemas.openxmlformats.org/officeDocument/2006/relationships/hyperlink" Target="http://www.bosa.co.kr/news/articleView.html?idxno=2243828" TargetMode="External"/><Relationship Id="rId12" Type="http://schemas.openxmlformats.org/officeDocument/2006/relationships/hyperlink" Target="https://www.ablenews.co.kr/news/articleView.html" TargetMode="External"/><Relationship Id="rId17" Type="http://schemas.openxmlformats.org/officeDocument/2006/relationships/hyperlink" Target="https://m.joongdo.co.kr/view.php?key=20241027010007061" TargetMode="External"/><Relationship Id="rId2" Type="http://schemas.openxmlformats.org/officeDocument/2006/relationships/hyperlink" Target="http://www.ggeco.co.kr/news/article.html?no=261644" TargetMode="External"/><Relationship Id="rId16" Type="http://schemas.openxmlformats.org/officeDocument/2006/relationships/hyperlink" Target="https://www.joongdo.co.kr/web/view.php" TargetMode="External"/><Relationship Id="rId20" Type="http://schemas.openxmlformats.org/officeDocument/2006/relationships/hyperlink" Target="http://www.ccnnews.co.kr/news/articleView.html?idxno=350847" TargetMode="External"/><Relationship Id="rId1" Type="http://schemas.openxmlformats.org/officeDocument/2006/relationships/hyperlink" Target="https://www.ablenews.co.kr/news/articleView.html?idxno=209165" TargetMode="External"/><Relationship Id="rId6" Type="http://schemas.openxmlformats.org/officeDocument/2006/relationships/hyperlink" Target="https://www.hankookilbo.com/News/Read/A2022042114010001948" TargetMode="External"/><Relationship Id="rId11" Type="http://schemas.openxmlformats.org/officeDocument/2006/relationships/hyperlink" Target="https://www.scourt.go.kr/portal/news/NewsViewAction.work?pageIndex=1&amp;searchWord=&amp;searchOption=&amp;seqnum=2744&amp;gubun=6" TargetMode="External"/><Relationship Id="rId5" Type="http://schemas.openxmlformats.org/officeDocument/2006/relationships/hyperlink" Target="http://womaneconomy.co.kr/news/articleView.html?idxno=215632" TargetMode="External"/><Relationship Id="rId15" Type="http://schemas.openxmlformats.org/officeDocument/2006/relationships/hyperlink" Target="http://www.welfarenews.net/news/articleView.html?idxno=107024" TargetMode="External"/><Relationship Id="rId10" Type="http://schemas.openxmlformats.org/officeDocument/2006/relationships/hyperlink" Target="https://www.yna.co.kr/view/AKR20240524119700053" TargetMode="External"/><Relationship Id="rId19" Type="http://schemas.openxmlformats.org/officeDocument/2006/relationships/hyperlink" Target="https://www.ccnnews.co.kr/news/articleView.html" TargetMode="External"/><Relationship Id="rId4" Type="http://schemas.openxmlformats.org/officeDocument/2006/relationships/hyperlink" Target="https://www.kyeonggi.com/article/20240603580264" TargetMode="External"/><Relationship Id="rId9" Type="http://schemas.openxmlformats.org/officeDocument/2006/relationships/hyperlink" Target="https://www.bokjiro.go.kr/ssis-tbu/twatga/sociGuaStat/SociGuaStatDetailIframe.do?datsNo=5&amp;datsClNo=1012&amp;datsClCrit=WS" TargetMode="External"/><Relationship Id="rId14" Type="http://schemas.openxmlformats.org/officeDocument/2006/relationships/hyperlink" Target="https://www.welfarenews.net/news/articleView.html" TargetMode="External"/><Relationship Id="rId22" Type="http://schemas.openxmlformats.org/officeDocument/2006/relationships/hyperlink" Target="https://m.health.chosun.com/svc/news_view.html?contid=2024101802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9D73C-FC86-45C5-8EBA-0C49AAF22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5166</Words>
  <Characters>29447</Characters>
  <Application>Microsoft Office Word</Application>
  <DocSecurity>0</DocSecurity>
  <Lines>245</Lines>
  <Paragraphs>69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문미란</dc:creator>
  <cp:lastModifiedBy>문미란</cp:lastModifiedBy>
  <cp:revision>3</cp:revision>
  <dcterms:created xsi:type="dcterms:W3CDTF">2025-06-23T08:00:00Z</dcterms:created>
  <dcterms:modified xsi:type="dcterms:W3CDTF">2025-06-23T08:06:00Z</dcterms:modified>
</cp:coreProperties>
</file>