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2E5A1FCC" w:rsidR="008120D1" w:rsidRDefault="008120D1" w:rsidP="007F7529">
      <w:pPr>
        <w:spacing w:after="120"/>
        <w:rPr>
          <w:rFonts w:asciiTheme="majorHAnsi" w:hAnsiTheme="majorHAnsi" w:cstheme="majorHAnsi"/>
          <w:b/>
          <w:sz w:val="34"/>
          <w:szCs w:val="34"/>
        </w:rPr>
      </w:pPr>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586929">
        <w:rPr>
          <w:rFonts w:asciiTheme="majorHAnsi" w:hAnsiTheme="majorHAnsi" w:cstheme="majorHAnsi"/>
          <w:b/>
          <w:sz w:val="34"/>
          <w:szCs w:val="34"/>
          <w:u w:val="single"/>
        </w:rPr>
        <w:t>China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w:t>
      </w:r>
      <w:r w:rsidR="00586929">
        <w:rPr>
          <w:rFonts w:asciiTheme="majorHAnsi" w:hAnsiTheme="majorHAnsi" w:cstheme="majorHAnsi"/>
          <w:b/>
          <w:sz w:val="34"/>
          <w:szCs w:val="34"/>
        </w:rPr>
        <w:t>3</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586929">
        <w:rPr>
          <w:rFonts w:asciiTheme="majorHAnsi" w:hAnsiTheme="majorHAnsi" w:cstheme="majorHAnsi"/>
          <w:b/>
          <w:sz w:val="34"/>
          <w:szCs w:val="34"/>
        </w:rPr>
        <w:t>March-April 2020</w:t>
      </w:r>
    </w:p>
    <w:p w14:paraId="4508A740" w14:textId="7286B18C"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586929">
        <w:rPr>
          <w:rFonts w:asciiTheme="majorHAnsi" w:hAnsiTheme="majorHAnsi" w:cstheme="majorHAnsi"/>
        </w:rPr>
        <w:t>January 2020</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2810F1">
          <w:rPr>
            <w:rStyle w:val="Hyperlink"/>
            <w:rFonts w:asciiTheme="majorHAnsi" w:hAnsiTheme="majorHAnsi" w:cstheme="majorHAnsi"/>
            <w:color w:val="0096A3"/>
          </w:rPr>
          <w:t>www.endcorporalpunishment.org</w:t>
        </w:r>
        <w:r w:rsidR="00716B5D" w:rsidRPr="002810F1">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935430">
        <w:rPr>
          <w:rFonts w:asciiTheme="majorHAnsi" w:hAnsiTheme="majorHAnsi" w:cstheme="majorHAnsi"/>
          <w:b/>
          <w:sz w:val="26"/>
          <w:szCs w:val="26"/>
        </w:rPr>
        <w:t>S</w:t>
      </w:r>
      <w:r w:rsidRPr="00935430">
        <w:rPr>
          <w:rFonts w:asciiTheme="majorHAnsi" w:hAnsiTheme="majorHAnsi" w:cstheme="majorHAnsi"/>
          <w:b/>
          <w:sz w:val="26"/>
          <w:szCs w:val="26"/>
        </w:rPr>
        <w:t>ummary</w:t>
      </w:r>
    </w:p>
    <w:p w14:paraId="57CD7F46" w14:textId="2C760043"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935430">
        <w:rPr>
          <w:rFonts w:asciiTheme="majorHAnsi" w:hAnsiTheme="majorHAnsi" w:cstheme="majorHAnsi"/>
        </w:rPr>
        <w:t>China</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935430" w:rsidRPr="004866EF">
        <w:rPr>
          <w:rFonts w:asciiTheme="majorHAnsi" w:hAnsiTheme="majorHAnsi" w:cstheme="majorHAnsi"/>
        </w:rPr>
        <w:t xml:space="preserve">in </w:t>
      </w:r>
      <w:r w:rsidR="00935430" w:rsidRPr="00586929">
        <w:rPr>
          <w:rFonts w:asciiTheme="majorHAnsi" w:hAnsiTheme="majorHAnsi" w:cstheme="majorHAnsi"/>
        </w:rPr>
        <w:t>kindergartens and nurseries</w:t>
      </w:r>
      <w:r w:rsidR="00935430">
        <w:rPr>
          <w:rFonts w:asciiTheme="majorHAnsi" w:hAnsiTheme="majorHAnsi" w:cstheme="majorHAnsi"/>
        </w:rPr>
        <w:t xml:space="preserve">, in schools, in penal institutions and as a sentence for a crime but it </w:t>
      </w:r>
      <w:r w:rsidR="00935430" w:rsidRPr="004866EF">
        <w:rPr>
          <w:rFonts w:asciiTheme="majorHAnsi" w:hAnsiTheme="majorHAnsi" w:cstheme="majorHAnsi"/>
        </w:rPr>
        <w:t xml:space="preserve">is </w:t>
      </w:r>
      <w:r w:rsidR="00935430">
        <w:rPr>
          <w:rFonts w:asciiTheme="majorHAnsi" w:hAnsiTheme="majorHAnsi" w:cstheme="majorHAnsi"/>
        </w:rPr>
        <w:t xml:space="preserve">not yet fully prohibited </w:t>
      </w:r>
      <w:r w:rsidR="00935430" w:rsidRPr="004866EF">
        <w:rPr>
          <w:rFonts w:asciiTheme="majorHAnsi" w:hAnsiTheme="majorHAnsi" w:cstheme="majorHAnsi"/>
        </w:rPr>
        <w:t xml:space="preserve">in </w:t>
      </w:r>
      <w:r w:rsidR="00935430">
        <w:rPr>
          <w:rFonts w:asciiTheme="majorHAnsi" w:hAnsiTheme="majorHAnsi" w:cstheme="majorHAnsi"/>
        </w:rPr>
        <w:t>the home, in alternative care and in some day care settings</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6F456D27"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732CBB">
        <w:rPr>
          <w:rFonts w:asciiTheme="majorHAnsi" w:hAnsiTheme="majorHAnsi" w:cstheme="majorHAnsi"/>
          <w:iCs/>
        </w:rPr>
        <w:t>China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4978EF">
        <w:rPr>
          <w:rFonts w:asciiTheme="majorHAnsi" w:hAnsiTheme="majorHAnsi" w:cstheme="majorHAnsi"/>
          <w:b/>
          <w:iCs/>
        </w:rPr>
        <w:t>steps are being taken to ensure that legislation clearly and explicitly prohibit all</w:t>
      </w:r>
      <w:r w:rsidR="00BB1960">
        <w:rPr>
          <w:rFonts w:asciiTheme="majorHAnsi" w:hAnsiTheme="majorHAnsi" w:cstheme="majorHAnsi"/>
          <w:b/>
          <w:iCs/>
        </w:rPr>
        <w:t xml:space="preserve"> </w:t>
      </w:r>
      <w:r w:rsidR="004978EF">
        <w:rPr>
          <w:rFonts w:asciiTheme="majorHAnsi" w:hAnsiTheme="majorHAnsi" w:cstheme="majorHAnsi"/>
          <w:b/>
          <w:iCs/>
        </w:rPr>
        <w:t xml:space="preserve">forms of </w:t>
      </w:r>
      <w:r w:rsidR="00BB1960">
        <w:rPr>
          <w:rFonts w:asciiTheme="majorHAnsi" w:hAnsiTheme="majorHAnsi" w:cstheme="majorHAnsi"/>
          <w:b/>
          <w:iCs/>
        </w:rPr>
        <w:t>corporal punishment o</w:t>
      </w:r>
      <w:r w:rsidR="00D27EAE">
        <w:rPr>
          <w:rFonts w:asciiTheme="majorHAnsi" w:hAnsiTheme="majorHAnsi" w:cstheme="majorHAnsi"/>
          <w:b/>
          <w:iCs/>
        </w:rPr>
        <w:t>f children,</w:t>
      </w:r>
      <w:r w:rsidR="00BB1960">
        <w:rPr>
          <w:rFonts w:asciiTheme="majorHAnsi" w:hAnsiTheme="majorHAnsi" w:cstheme="majorHAnsi"/>
          <w:b/>
          <w:iCs/>
        </w:rPr>
        <w:t xml:space="preserve"> </w:t>
      </w:r>
      <w:r w:rsidR="004978EF">
        <w:rPr>
          <w:rFonts w:asciiTheme="majorHAnsi" w:hAnsiTheme="majorHAnsi" w:cstheme="majorHAnsi"/>
          <w:b/>
          <w:iCs/>
        </w:rPr>
        <w:t>however light, in all settings</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642CD486"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732CBB">
        <w:rPr>
          <w:rFonts w:asciiTheme="majorHAnsi" w:hAnsiTheme="majorHAnsi" w:cstheme="majorHAnsi"/>
          <w:iCs/>
        </w:rPr>
        <w:t>China</w:t>
      </w:r>
      <w:r w:rsidR="007F7529" w:rsidRPr="001119F0">
        <w:rPr>
          <w:rFonts w:asciiTheme="majorHAnsi" w:hAnsiTheme="majorHAnsi" w:cstheme="majorHAnsi"/>
          <w:iCs/>
        </w:rPr>
        <w:t xml:space="preserve">, in the Committee’s concluding observations on the </w:t>
      </w:r>
      <w:r w:rsidR="00732CBB">
        <w:rPr>
          <w:rFonts w:asciiTheme="majorHAnsi" w:hAnsiTheme="majorHAnsi" w:cstheme="majorHAnsi"/>
          <w:iCs/>
        </w:rPr>
        <w:t>second/third</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2810F1">
        <w:rPr>
          <w:rFonts w:asciiTheme="majorHAnsi" w:hAnsiTheme="majorHAnsi" w:cstheme="majorHAnsi"/>
          <w:b/>
          <w:iCs/>
        </w:rPr>
        <w:t xml:space="preserve"> and</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w:t>
      </w:r>
      <w:r w:rsidR="002F528D">
        <w:rPr>
          <w:rFonts w:asciiTheme="majorHAnsi" w:hAnsiTheme="majorHAnsi" w:cstheme="majorHAnsi"/>
          <w:b/>
          <w:iCs/>
        </w:rPr>
        <w:t>including the home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12A44B35"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586929">
        <w:rPr>
          <w:rFonts w:asciiTheme="majorHAnsi" w:hAnsiTheme="majorHAnsi" w:cstheme="majorHAnsi"/>
        </w:rPr>
        <w:t>China’s</w:t>
      </w:r>
      <w:r w:rsidR="001B2F6E" w:rsidRPr="00D27EAE">
        <w:rPr>
          <w:rFonts w:asciiTheme="majorHAnsi" w:hAnsiTheme="majorHAnsi" w:cstheme="majorHAnsi"/>
        </w:rPr>
        <w:t xml:space="preserve"> </w:t>
      </w:r>
      <w:r w:rsidR="00586929">
        <w:rPr>
          <w:rFonts w:asciiTheme="majorHAnsi" w:hAnsiTheme="majorHAnsi" w:cstheme="majorHAnsi"/>
        </w:rPr>
        <w:t>second/third</w:t>
      </w:r>
      <w:r w:rsidR="001B2F6E" w:rsidRPr="00D27EAE">
        <w:rPr>
          <w:rFonts w:asciiTheme="majorHAnsi" w:hAnsiTheme="majorHAnsi" w:cstheme="majorHAnsi"/>
        </w:rPr>
        <w:t xml:space="preserve">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0D27AE16"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586929">
        <w:rPr>
          <w:rFonts w:asciiTheme="majorHAnsi" w:hAnsiTheme="majorHAnsi" w:cstheme="majorHAnsi"/>
          <w:sz w:val="26"/>
          <w:szCs w:val="26"/>
          <w:lang w:val="en-GB"/>
        </w:rPr>
        <w:t>China</w:t>
      </w:r>
    </w:p>
    <w:p w14:paraId="610CF94D" w14:textId="1E38464A"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711079">
        <w:rPr>
          <w:rFonts w:asciiTheme="majorHAnsi" w:hAnsiTheme="majorHAnsi" w:cstheme="majorHAnsi"/>
        </w:rPr>
        <w:t>China</w:t>
      </w:r>
      <w:r w:rsidR="004866EF" w:rsidRPr="004866EF">
        <w:rPr>
          <w:rFonts w:asciiTheme="majorHAnsi" w:hAnsiTheme="majorHAnsi" w:cstheme="majorHAnsi"/>
        </w:rPr>
        <w:t xml:space="preserve">, corporal punishment of children is unlawful in </w:t>
      </w:r>
      <w:r w:rsidR="00711079" w:rsidRPr="00586929">
        <w:rPr>
          <w:rFonts w:asciiTheme="majorHAnsi" w:hAnsiTheme="majorHAnsi" w:cstheme="majorHAnsi"/>
        </w:rPr>
        <w:t>kindergartens and nurseries</w:t>
      </w:r>
      <w:r w:rsidR="00711079">
        <w:rPr>
          <w:rFonts w:asciiTheme="majorHAnsi" w:hAnsiTheme="majorHAnsi" w:cstheme="majorHAnsi"/>
        </w:rPr>
        <w:t xml:space="preserve">, in </w:t>
      </w:r>
      <w:r w:rsidR="004978EF">
        <w:rPr>
          <w:rFonts w:asciiTheme="majorHAnsi" w:hAnsiTheme="majorHAnsi" w:cstheme="majorHAnsi"/>
        </w:rPr>
        <w:t>schools</w:t>
      </w:r>
      <w:r w:rsidR="00711079">
        <w:rPr>
          <w:rFonts w:asciiTheme="majorHAnsi" w:hAnsiTheme="majorHAnsi" w:cstheme="majorHAnsi"/>
        </w:rPr>
        <w:t>, in penal institutions</w:t>
      </w:r>
      <w:r w:rsidR="004978EF">
        <w:rPr>
          <w:rFonts w:asciiTheme="majorHAnsi" w:hAnsiTheme="majorHAnsi" w:cstheme="majorHAnsi"/>
        </w:rPr>
        <w:t xml:space="preserve"> and as a sentence for a crime</w:t>
      </w:r>
      <w:r w:rsidR="00284C98">
        <w:rPr>
          <w:rFonts w:asciiTheme="majorHAnsi" w:hAnsiTheme="majorHAnsi" w:cstheme="majorHAnsi"/>
        </w:rPr>
        <w:t xml:space="preserve"> but it </w:t>
      </w:r>
      <w:r w:rsidR="004866EF" w:rsidRPr="004866EF">
        <w:rPr>
          <w:rFonts w:asciiTheme="majorHAnsi" w:hAnsiTheme="majorHAnsi" w:cstheme="majorHAnsi"/>
        </w:rPr>
        <w:t xml:space="preserve">is still lawful in </w:t>
      </w:r>
      <w:r w:rsidR="00284C98">
        <w:rPr>
          <w:rFonts w:asciiTheme="majorHAnsi" w:hAnsiTheme="majorHAnsi" w:cstheme="majorHAnsi"/>
        </w:rPr>
        <w:t>the home</w:t>
      </w:r>
      <w:r w:rsidR="004978EF">
        <w:rPr>
          <w:rFonts w:asciiTheme="majorHAnsi" w:hAnsiTheme="majorHAnsi" w:cstheme="majorHAnsi"/>
        </w:rPr>
        <w:t xml:space="preserve">, </w:t>
      </w:r>
      <w:r w:rsidR="00711079">
        <w:rPr>
          <w:rFonts w:asciiTheme="majorHAnsi" w:hAnsiTheme="majorHAnsi" w:cstheme="majorHAnsi"/>
        </w:rPr>
        <w:t xml:space="preserve">in </w:t>
      </w:r>
      <w:r w:rsidR="004978EF">
        <w:rPr>
          <w:rFonts w:asciiTheme="majorHAnsi" w:hAnsiTheme="majorHAnsi" w:cstheme="majorHAnsi"/>
        </w:rPr>
        <w:t xml:space="preserve">alternative care and </w:t>
      </w:r>
      <w:r w:rsidR="00711079">
        <w:rPr>
          <w:rFonts w:asciiTheme="majorHAnsi" w:hAnsiTheme="majorHAnsi" w:cstheme="majorHAnsi"/>
        </w:rPr>
        <w:t>in some day care settings</w:t>
      </w:r>
      <w:r w:rsidR="00284C98">
        <w:rPr>
          <w:rFonts w:asciiTheme="majorHAnsi" w:hAnsiTheme="majorHAnsi" w:cstheme="majorHAnsi"/>
        </w:rPr>
        <w:t>.</w:t>
      </w:r>
    </w:p>
    <w:p w14:paraId="2C741534" w14:textId="406C5109" w:rsidR="00586929" w:rsidRPr="00586929" w:rsidRDefault="00620321" w:rsidP="00586929">
      <w:pPr>
        <w:autoSpaceDE w:val="0"/>
        <w:autoSpaceDN w:val="0"/>
        <w:adjustRightInd w:val="0"/>
        <w:spacing w:after="120"/>
        <w:rPr>
          <w:rFonts w:asciiTheme="majorHAnsi" w:hAnsiTheme="majorHAnsi" w:cstheme="majorHAnsi"/>
          <w:iCs/>
          <w:lang w:val="en-US"/>
        </w:rPr>
      </w:pPr>
      <w:r w:rsidRPr="001119F0">
        <w:rPr>
          <w:rFonts w:asciiTheme="majorHAnsi" w:hAnsiTheme="majorHAnsi" w:cstheme="majorHAnsi"/>
        </w:rPr>
        <w:t xml:space="preserve">8. </w:t>
      </w:r>
      <w:r w:rsidRPr="001119F0">
        <w:rPr>
          <w:rFonts w:asciiTheme="majorHAnsi" w:hAnsiTheme="majorHAnsi" w:cstheme="majorHAnsi"/>
          <w:i/>
        </w:rPr>
        <w:t xml:space="preserve">Corporal </w:t>
      </w:r>
      <w:bookmarkStart w:id="0" w:name="OLE_LINK52"/>
      <w:bookmarkStart w:id="1" w:name="OLE_LINK53"/>
      <w:r w:rsidR="00586929">
        <w:rPr>
          <w:rFonts w:asciiTheme="majorHAnsi" w:hAnsiTheme="majorHAnsi" w:cstheme="majorHAnsi"/>
          <w:i/>
        </w:rPr>
        <w:t>punishment is lawful in the home</w:t>
      </w:r>
      <w:r w:rsidR="00586929" w:rsidRPr="00586929">
        <w:rPr>
          <w:rFonts w:asciiTheme="majorHAnsi" w:hAnsiTheme="majorHAnsi" w:cstheme="majorHAnsi"/>
          <w:iCs/>
        </w:rPr>
        <w:t xml:space="preserve">. There is limited protection from corporal punishment by parents in some circumstances: Rules in the Shenzhen Special Economic Zone 1993 pursuant to the </w:t>
      </w:r>
      <w:r w:rsidR="00586929" w:rsidRPr="00586929">
        <w:rPr>
          <w:rFonts w:asciiTheme="majorHAnsi" w:hAnsiTheme="majorHAnsi" w:cstheme="majorHAnsi"/>
          <w:iCs/>
          <w:lang w:val="en-US"/>
        </w:rPr>
        <w:t xml:space="preserve">Law of the People’s Republic of China on the Protection of the Rights and Interests of Women 1992 explicitly prohibit corporal punishment of the female child (art. 23), and under the Law on the Prevention of Juvenile Delinquency 1999, families of children in work-study schools must not impose physical punishment on them (art. 36). But the same Law states that parents or guardians of children who commit serious misbehaviour may be ordered to subject their children to “strict discipline” (arts. 35, 38 and 49). </w:t>
      </w:r>
    </w:p>
    <w:p w14:paraId="7C5E2CB3" w14:textId="504CB798" w:rsidR="00586929" w:rsidRPr="00586929" w:rsidRDefault="00586929" w:rsidP="00586929">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9. </w:t>
      </w:r>
      <w:r w:rsidRPr="00586929">
        <w:rPr>
          <w:rFonts w:asciiTheme="majorHAnsi" w:hAnsiTheme="majorHAnsi" w:cstheme="majorHAnsi"/>
          <w:iCs/>
        </w:rPr>
        <w:t>The Government reported to the Committee on the Rights of the Child in 2013 that China’s laws explicitly prohibit all corporal punishment of children, including in the home.</w:t>
      </w:r>
      <w:r w:rsidRPr="00586929">
        <w:rPr>
          <w:rFonts w:asciiTheme="majorHAnsi" w:hAnsiTheme="majorHAnsi" w:cstheme="majorHAnsi"/>
          <w:iCs/>
          <w:vertAlign w:val="superscript"/>
        </w:rPr>
        <w:footnoteReference w:id="2"/>
      </w:r>
      <w:r w:rsidRPr="00586929">
        <w:rPr>
          <w:rFonts w:asciiTheme="majorHAnsi" w:hAnsiTheme="majorHAnsi" w:cstheme="majorHAnsi"/>
          <w:iCs/>
        </w:rPr>
        <w:t xml:space="preserve"> However, provisions against violence and abuse in the revised Law on the Protection of Minors 2006 (further revised in </w:t>
      </w:r>
      <w:r w:rsidRPr="00586929">
        <w:rPr>
          <w:rFonts w:asciiTheme="majorHAnsi" w:hAnsiTheme="majorHAnsi" w:cstheme="majorHAnsi"/>
          <w:iCs/>
        </w:rPr>
        <w:lastRenderedPageBreak/>
        <w:t>2012), the Criminal Law 1979, the Constitution 1982 and the Marriage Law (amended 2001) do not prohibit all corporal punishment in childrearing. Article 10 of the Law on the Protection of Minors prohibits “domestic violence against minors, abuse, abandonment and infanticide” but does not explicitly prohibit all corporal punishment.</w:t>
      </w:r>
    </w:p>
    <w:p w14:paraId="43E5D3CD" w14:textId="23A3395A" w:rsidR="00586929" w:rsidRPr="00586929" w:rsidRDefault="00586929" w:rsidP="00586929">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10. </w:t>
      </w:r>
      <w:r w:rsidRPr="00586929">
        <w:rPr>
          <w:rFonts w:asciiTheme="majorHAnsi" w:hAnsiTheme="majorHAnsi" w:cstheme="majorHAnsi"/>
          <w:iCs/>
        </w:rPr>
        <w:t>Following a number of high profile cases of the deaths of young children as a result of parental abuse and neglect, new child laws are reportedly being drafted to address implementation of existing child laws and to strengthen protection for very young children.</w:t>
      </w:r>
      <w:r w:rsidRPr="00586929">
        <w:rPr>
          <w:rFonts w:asciiTheme="majorHAnsi" w:hAnsiTheme="majorHAnsi" w:cstheme="majorHAnsi"/>
          <w:iCs/>
          <w:vertAlign w:val="superscript"/>
        </w:rPr>
        <w:footnoteReference w:id="3"/>
      </w:r>
      <w:r w:rsidRPr="00586929">
        <w:rPr>
          <w:rFonts w:asciiTheme="majorHAnsi" w:hAnsiTheme="majorHAnsi" w:cstheme="majorHAnsi"/>
          <w:iCs/>
        </w:rPr>
        <w:t xml:space="preserve"> However, the Anti-Family Violence Law adopted in December 2015 (in force March 2016) does not clearly prohibit all corporal punishment of children. Article 12 of the Law prohibits the use of violence against children by guardians but it does not explicitly prohibit corporal punishment. Family violence is defined in article 2 of the Law as “the physical and psychological and other harms perpetrated against family members in the means of beating, binding, injuring, physical constraints as well as frequent verbal abuse and intimidation” (unofficial translation). Children are legally protected from some but not all forms of corporal punishment under this law.</w:t>
      </w:r>
    </w:p>
    <w:bookmarkEnd w:id="0"/>
    <w:bookmarkEnd w:id="1"/>
    <w:p w14:paraId="7FDDEAF6" w14:textId="03803D62" w:rsidR="00586929" w:rsidRPr="00586929" w:rsidRDefault="000534D3" w:rsidP="00586929">
      <w:pPr>
        <w:autoSpaceDE w:val="0"/>
        <w:autoSpaceDN w:val="0"/>
        <w:adjustRightInd w:val="0"/>
        <w:spacing w:after="120"/>
        <w:rPr>
          <w:rFonts w:asciiTheme="majorHAnsi" w:hAnsiTheme="majorHAnsi" w:cstheme="majorHAnsi"/>
          <w:b/>
          <w:u w:val="single"/>
        </w:rPr>
      </w:pPr>
      <w:r>
        <w:rPr>
          <w:rFonts w:asciiTheme="majorHAnsi" w:hAnsiTheme="majorHAnsi" w:cstheme="majorHAnsi"/>
        </w:rPr>
        <w:t>1</w:t>
      </w:r>
      <w:r w:rsidR="00586929">
        <w:rPr>
          <w:rFonts w:asciiTheme="majorHAnsi" w:hAnsiTheme="majorHAnsi" w:cstheme="majorHAnsi"/>
        </w:rPr>
        <w:t>1</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sidR="00312D2C" w:rsidRPr="005832BA">
        <w:rPr>
          <w:rFonts w:asciiTheme="majorHAnsi" w:hAnsiTheme="majorHAnsi" w:cstheme="majorHAnsi"/>
          <w:i/>
        </w:rPr>
        <w:t>lawful in alternative care settings</w:t>
      </w:r>
      <w:r w:rsidR="00586929">
        <w:rPr>
          <w:rFonts w:asciiTheme="majorHAnsi" w:hAnsiTheme="majorHAnsi" w:cstheme="majorHAnsi"/>
          <w:i/>
        </w:rPr>
        <w:t>.</w:t>
      </w:r>
      <w:r w:rsidR="000F5301" w:rsidRPr="000F5301">
        <w:rPr>
          <w:rFonts w:asciiTheme="majorHAnsi" w:hAnsiTheme="majorHAnsi" w:cstheme="majorHAnsi"/>
        </w:rPr>
        <w:t xml:space="preserve"> </w:t>
      </w:r>
      <w:r w:rsidR="00586929" w:rsidRPr="00586929">
        <w:rPr>
          <w:rFonts w:asciiTheme="majorHAnsi" w:hAnsiTheme="majorHAnsi" w:cstheme="majorHAnsi"/>
        </w:rPr>
        <w:t>There is no explicit prohibition of corporal punishment in alternative care settings (information unconfirmed).</w:t>
      </w:r>
    </w:p>
    <w:p w14:paraId="58F62404" w14:textId="73BDDB36" w:rsidR="00586929" w:rsidRPr="00586929" w:rsidRDefault="00D63AA6" w:rsidP="00586929">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586929">
        <w:rPr>
          <w:rFonts w:asciiTheme="majorHAnsi" w:hAnsiTheme="majorHAnsi" w:cstheme="majorHAnsi"/>
        </w:rPr>
        <w:t>2</w:t>
      </w:r>
      <w:r w:rsidRPr="001119F0">
        <w:rPr>
          <w:rFonts w:asciiTheme="majorHAnsi" w:hAnsiTheme="majorHAnsi" w:cstheme="majorHAnsi"/>
        </w:rPr>
        <w:t xml:space="preserve">. </w:t>
      </w:r>
      <w:r w:rsidRPr="001119F0">
        <w:rPr>
          <w:rFonts w:asciiTheme="majorHAnsi" w:hAnsiTheme="majorHAnsi" w:cstheme="majorHAnsi"/>
          <w:i/>
        </w:rPr>
        <w:t xml:space="preserve">Corporal </w:t>
      </w:r>
      <w:r w:rsidRPr="00B658CA">
        <w:rPr>
          <w:rFonts w:asciiTheme="majorHAnsi" w:hAnsiTheme="majorHAnsi" w:cstheme="majorHAnsi"/>
          <w:i/>
        </w:rPr>
        <w:t xml:space="preserve">punishment </w:t>
      </w:r>
      <w:r w:rsidR="000F5301" w:rsidRPr="00B658CA">
        <w:rPr>
          <w:rFonts w:asciiTheme="majorHAnsi" w:hAnsiTheme="majorHAnsi" w:cstheme="majorHAnsi"/>
          <w:i/>
        </w:rPr>
        <w:t xml:space="preserve">is </w:t>
      </w:r>
      <w:r w:rsidR="00586929" w:rsidRPr="00586929">
        <w:rPr>
          <w:rFonts w:asciiTheme="majorHAnsi" w:hAnsiTheme="majorHAnsi" w:cstheme="majorHAnsi"/>
          <w:i/>
        </w:rPr>
        <w:t xml:space="preserve">prohibited in </w:t>
      </w:r>
      <w:r w:rsidR="00586929">
        <w:rPr>
          <w:rFonts w:asciiTheme="majorHAnsi" w:hAnsiTheme="majorHAnsi" w:cstheme="majorHAnsi"/>
          <w:i/>
        </w:rPr>
        <w:t xml:space="preserve">some day care settings. </w:t>
      </w:r>
      <w:r w:rsidR="00586929" w:rsidRPr="00586929">
        <w:rPr>
          <w:rFonts w:asciiTheme="majorHAnsi" w:hAnsiTheme="majorHAnsi" w:cstheme="majorHAnsi"/>
        </w:rPr>
        <w:t xml:space="preserve">It is unlawful in kindergartens and nurseries </w:t>
      </w:r>
      <w:r w:rsidR="00586929">
        <w:rPr>
          <w:rFonts w:asciiTheme="majorHAnsi" w:hAnsiTheme="majorHAnsi" w:cstheme="majorHAnsi"/>
        </w:rPr>
        <w:t>under</w:t>
      </w:r>
      <w:r w:rsidR="00586929" w:rsidRPr="00586929">
        <w:rPr>
          <w:rFonts w:asciiTheme="majorHAnsi" w:hAnsiTheme="majorHAnsi" w:cstheme="majorHAnsi"/>
        </w:rPr>
        <w:t xml:space="preserve"> the Law on the Protection of Minors 2006 (amended 2012), which states in article 21: “</w:t>
      </w:r>
      <w:r w:rsidR="00586929" w:rsidRPr="00586929">
        <w:rPr>
          <w:rFonts w:asciiTheme="majorHAnsi" w:hAnsiTheme="majorHAnsi" w:cstheme="majorHAnsi"/>
          <w:lang w:val="en-US"/>
        </w:rPr>
        <w:t>Teaching and administrative staff in schools, kindergartens and nurseries and faculty members shall respect the personal dignity of the minors, and may not subject them to corporal punishment or corporal punishment in disguised form, or commit any other act that humiliates the personal dignity of the minors.” Article 63 states: “…Where a teaching or administrative staff member of a school, kindergarten or nursery subjects a minor to corporal punishment or corporal punishment in disguised form, or to any other act that humiliates the personal dignity of the minor, the unit where the staff member works or the department at a higher level shall instruct him to rectify; and if the circumstances are serious, he shall be given a sanction according to law.”</w:t>
      </w:r>
      <w:r w:rsidR="00586929">
        <w:rPr>
          <w:rFonts w:asciiTheme="majorHAnsi" w:hAnsiTheme="majorHAnsi" w:cstheme="majorHAnsi"/>
          <w:lang w:val="en-US"/>
        </w:rPr>
        <w:t xml:space="preserve"> </w:t>
      </w:r>
      <w:r w:rsidR="00586929" w:rsidRPr="00586929">
        <w:rPr>
          <w:rFonts w:asciiTheme="majorHAnsi" w:hAnsiTheme="majorHAnsi" w:cstheme="majorHAnsi"/>
        </w:rPr>
        <w:t>There appears to be no explicit prohibition in other early childhood care (crèches, family centres, etc) or in day care for older children (day centres, after-school childcare, childminding, etc).</w:t>
      </w:r>
    </w:p>
    <w:p w14:paraId="33FBD91A" w14:textId="0C89ECB8" w:rsidR="00586929" w:rsidRPr="00586929" w:rsidRDefault="00D63AA6" w:rsidP="00586929">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586929">
        <w:rPr>
          <w:rFonts w:asciiTheme="majorHAnsi" w:hAnsiTheme="majorHAnsi" w:cstheme="majorHAnsi"/>
        </w:rPr>
        <w:t>3</w:t>
      </w:r>
      <w:r w:rsidRPr="001119F0">
        <w:rPr>
          <w:rFonts w:asciiTheme="majorHAnsi" w:hAnsiTheme="majorHAnsi" w:cstheme="majorHAnsi"/>
        </w:rPr>
        <w:t xml:space="preserve">. </w:t>
      </w:r>
      <w:bookmarkStart w:id="2" w:name="OLE_LINK44"/>
      <w:bookmarkStart w:id="3" w:name="OLE_LINK45"/>
      <w:r w:rsidRPr="001119F0">
        <w:rPr>
          <w:rFonts w:asciiTheme="majorHAnsi" w:hAnsiTheme="majorHAnsi" w:cstheme="majorHAnsi"/>
          <w:i/>
        </w:rPr>
        <w:t xml:space="preserve">Corporal punishment is </w:t>
      </w:r>
      <w:bookmarkEnd w:id="2"/>
      <w:bookmarkEnd w:id="3"/>
      <w:r w:rsidR="000F5301" w:rsidRPr="00B658CA">
        <w:rPr>
          <w:rFonts w:asciiTheme="majorHAnsi" w:hAnsiTheme="majorHAnsi" w:cstheme="majorHAnsi"/>
          <w:i/>
        </w:rPr>
        <w:t>prohibited in schools</w:t>
      </w:r>
      <w:r w:rsidR="00586929" w:rsidRPr="00586929">
        <w:rPr>
          <w:rFonts w:asciiTheme="majorHAnsi" w:hAnsiTheme="majorHAnsi" w:cstheme="majorHAnsi"/>
        </w:rPr>
        <w:t xml:space="preserve">. Article 16 of the Compulsory Education Law 1986 states: “It shall be forbidden to inflict physical punishment on students.” According to article 37 of the Teachers’ Law 1994, teachers “imposing corporal punishment on students and refusing to mend their way after being criticised” are subject to administrative sanctions or dismissal and “if the circumstances are serious enough to constitute a crime, shall be investigated for criminal responsibility according to law”. The Law on the Prevention of Juvenile Delinquency 1999 prohibits corporal punishment in work-study schools for children found to have perpetrated serious misbehaviour (art. 36): “… Families and schools shall show concern for and take good care of the juveniles who study in work-study schools and respect their personality and dignity, and may not impose </w:t>
      </w:r>
      <w:r w:rsidR="00586929" w:rsidRPr="00586929">
        <w:rPr>
          <w:rFonts w:asciiTheme="majorHAnsi" w:hAnsiTheme="majorHAnsi" w:cstheme="majorHAnsi"/>
          <w:bCs/>
        </w:rPr>
        <w:t xml:space="preserve">physical punishment </w:t>
      </w:r>
      <w:r w:rsidR="00586929" w:rsidRPr="00586929">
        <w:rPr>
          <w:rFonts w:asciiTheme="majorHAnsi" w:hAnsiTheme="majorHAnsi" w:cstheme="majorHAnsi"/>
        </w:rPr>
        <w:t>on, maltreat, or discriminate against them….” The prohibition is confirmed in article 21 of the Law on</w:t>
      </w:r>
      <w:r w:rsidR="00586929">
        <w:rPr>
          <w:rFonts w:asciiTheme="majorHAnsi" w:hAnsiTheme="majorHAnsi" w:cstheme="majorHAnsi"/>
        </w:rPr>
        <w:t xml:space="preserve"> the Protection of Minors 2006</w:t>
      </w:r>
      <w:r w:rsidR="00586929" w:rsidRPr="00586929">
        <w:rPr>
          <w:rFonts w:asciiTheme="majorHAnsi" w:hAnsiTheme="majorHAnsi" w:cstheme="majorHAnsi"/>
        </w:rPr>
        <w:t>.</w:t>
      </w:r>
    </w:p>
    <w:p w14:paraId="2B54B814" w14:textId="7D30AA12"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14</w:t>
      </w:r>
      <w:r w:rsidR="00D63AA6"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Pr="00586929">
        <w:rPr>
          <w:rFonts w:asciiTheme="majorHAnsi" w:hAnsiTheme="majorHAnsi" w:cstheme="majorHAnsi"/>
          <w:i/>
        </w:rPr>
        <w:t>explicitly prohibited as a disciplinary measure in penal institutions</w:t>
      </w:r>
      <w:r w:rsidRPr="00586929">
        <w:rPr>
          <w:rFonts w:asciiTheme="majorHAnsi" w:hAnsiTheme="majorHAnsi" w:cstheme="majorHAnsi"/>
        </w:rPr>
        <w:t xml:space="preserve"> in a number of laws. Article 248 of the Criminal Law 1979 states: “Whoever from the supervising or administering persons of a supervising or administering organ such as a prison, bridewell or house of detention subjects prisoners or internees to battery or corporal punishment shall, if the circumstances are serious, be sentenced to fixed-term imprisonment of not more than three years or criminal detention. If the circumstances are especially serious, the offender shall be sentenced </w:t>
      </w:r>
      <w:r w:rsidRPr="00586929">
        <w:rPr>
          <w:rFonts w:asciiTheme="majorHAnsi" w:hAnsiTheme="majorHAnsi" w:cstheme="majorHAnsi"/>
        </w:rPr>
        <w:lastRenderedPageBreak/>
        <w:t xml:space="preserve">to fixed-term imprisonment of not less than three years and not more than ten years. If deformity or death of another person is caused, the offender shall be decided a crime and given a heavier punishment according to the provisions of Article 234 or Article 232 of this Law….” </w:t>
      </w:r>
    </w:p>
    <w:p w14:paraId="6C26AA35" w14:textId="5169303E"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 xml:space="preserve">15. </w:t>
      </w:r>
      <w:r w:rsidRPr="00586929">
        <w:rPr>
          <w:rFonts w:asciiTheme="majorHAnsi" w:hAnsiTheme="majorHAnsi" w:cstheme="majorHAnsi"/>
        </w:rPr>
        <w:t xml:space="preserve">Article 14 of the Prison Law states: “The people's police of a prison shall not commit any of the following acts: … (3) to use torture to coerce a confession, or to use </w:t>
      </w:r>
      <w:r w:rsidRPr="00586929">
        <w:rPr>
          <w:rFonts w:asciiTheme="majorHAnsi" w:hAnsiTheme="majorHAnsi" w:cstheme="majorHAnsi"/>
          <w:bCs/>
        </w:rPr>
        <w:t>corporal punishment</w:t>
      </w:r>
      <w:r w:rsidRPr="00586929">
        <w:rPr>
          <w:rFonts w:asciiTheme="majorHAnsi" w:hAnsiTheme="majorHAnsi" w:cstheme="majorHAnsi"/>
        </w:rPr>
        <w:t xml:space="preserve">, or to maltreat a prisoner; (4) to humiliate the human dignity of a prisoner; (5) to beat or connive at others to beat a prisoner; ….” Article 22 of the People’s Police Law states: “People’s policemen may not commit any of the following acts: … (4) to extort confession by torture or subject criminals to </w:t>
      </w:r>
      <w:r w:rsidRPr="00586929">
        <w:rPr>
          <w:rFonts w:asciiTheme="majorHAnsi" w:hAnsiTheme="majorHAnsi" w:cstheme="majorHAnsi"/>
          <w:bCs/>
        </w:rPr>
        <w:t xml:space="preserve">corporal punishment </w:t>
      </w:r>
      <w:r w:rsidRPr="00586929">
        <w:rPr>
          <w:rFonts w:asciiTheme="majorHAnsi" w:hAnsiTheme="majorHAnsi" w:cstheme="majorHAnsi"/>
        </w:rPr>
        <w:t>or maltreat them; ….” Article 36 of the Law on the Prevention of Juvenile Delinquency 1999 also applies (see under “Home”) and prohibition is included in the Regulations on the Behaviour of People’s Police on Duty in Custody-houses 2001. In 2006, the Ministry of Justice issued “Six Prohibitions on People’s Prison Police” and “Six Prohibitions on People’s Reeducation Through Labor (RTL) Police” which include strict prohibition of beating or subjecting inmates serving a prison or RTL sentence to corporal punishment or instigating others to beat or subject an inmate to corporal punishment, regardless of the seriousness of the consequences of that punishment.</w:t>
      </w:r>
      <w:r w:rsidRPr="00586929">
        <w:rPr>
          <w:rFonts w:asciiTheme="majorHAnsi" w:hAnsiTheme="majorHAnsi" w:cstheme="majorHAnsi"/>
          <w:vertAlign w:val="superscript"/>
        </w:rPr>
        <w:footnoteReference w:id="4"/>
      </w:r>
      <w:r w:rsidRPr="00586929">
        <w:rPr>
          <w:rFonts w:asciiTheme="majorHAnsi" w:hAnsiTheme="majorHAnsi" w:cstheme="majorHAnsi"/>
        </w:rPr>
        <w:t xml:space="preserve"> The Ordinance on Discipline for the People’s Police of the Public Security Organs 2010 punishes the infliction of physical punishment of suspects and persons in custody.</w:t>
      </w:r>
      <w:r w:rsidRPr="00586929">
        <w:rPr>
          <w:rFonts w:asciiTheme="majorHAnsi" w:hAnsiTheme="majorHAnsi" w:cstheme="majorHAnsi"/>
          <w:vertAlign w:val="superscript"/>
        </w:rPr>
        <w:footnoteReference w:id="5"/>
      </w:r>
    </w:p>
    <w:p w14:paraId="225CB661" w14:textId="37905F7F"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 xml:space="preserve">16. </w:t>
      </w:r>
      <w:r w:rsidRPr="00586929">
        <w:rPr>
          <w:rFonts w:asciiTheme="majorHAnsi" w:hAnsiTheme="majorHAnsi" w:cstheme="majorHAnsi"/>
        </w:rPr>
        <w:t>Article 4 of the Regulations on Detention Facilities 1990 states: “Persons in custody in detention houses must be administered according to law in a scientific and civilized way so that their legitimate rights and interests can be guaranteed. Beating, corporal punishment and ill-treatment of persons in custody are strictly prohibited.” There is a similar provision in the Regulations on Detention Houses 2012 (art. 3): “Detention houses should guarantee the personal safety and legitimate rights and interests of persons in custody according to law. They should neither insult, mete out corporal punishment to and ill-treat persons in custody, nor instigate and connive at others’ insult, corporal punishment or ill-treatment of persons in custody.”</w:t>
      </w:r>
    </w:p>
    <w:p w14:paraId="59CD7C48" w14:textId="3088DD07"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 xml:space="preserve">17. </w:t>
      </w:r>
      <w:r w:rsidRPr="00586929">
        <w:rPr>
          <w:rFonts w:asciiTheme="majorHAnsi" w:hAnsiTheme="majorHAnsi" w:cstheme="majorHAnsi"/>
        </w:rPr>
        <w:t>In 2012, the Supreme People’s Court issued its Interpretation concerning the Application of the Criminal Procedure Law, confirming that the use of corporal punishment or disguised corporal punishment on defendants constitutes “illegal means such as coercion of confession by torture” as set out in article 54 of the Criminal Procedure Law.</w:t>
      </w:r>
      <w:r w:rsidRPr="00586929">
        <w:rPr>
          <w:rFonts w:asciiTheme="majorHAnsi" w:hAnsiTheme="majorHAnsi" w:cstheme="majorHAnsi"/>
          <w:vertAlign w:val="superscript"/>
        </w:rPr>
        <w:footnoteReference w:id="6"/>
      </w:r>
    </w:p>
    <w:p w14:paraId="2C3B4D8F" w14:textId="64A2D582"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18</w:t>
      </w:r>
      <w:r w:rsidR="00D63AA6"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312D2C" w:rsidRPr="005832BA">
        <w:rPr>
          <w:rFonts w:asciiTheme="majorHAnsi" w:hAnsiTheme="majorHAnsi" w:cstheme="majorHAnsi"/>
          <w:i/>
        </w:rPr>
        <w:t>unlawful as a sentence for crime</w:t>
      </w:r>
      <w:r w:rsidR="00312D2C" w:rsidRPr="00312D2C">
        <w:rPr>
          <w:rFonts w:asciiTheme="majorHAnsi" w:hAnsiTheme="majorHAnsi" w:cstheme="majorHAnsi"/>
        </w:rPr>
        <w:t xml:space="preserve">. </w:t>
      </w:r>
      <w:r w:rsidRPr="00586929">
        <w:rPr>
          <w:rFonts w:asciiTheme="majorHAnsi" w:hAnsiTheme="majorHAnsi" w:cstheme="majorHAnsi"/>
        </w:rPr>
        <w:t xml:space="preserve">There is no provision for judicial corporal punishment in the Criminal Law 1979. </w:t>
      </w:r>
    </w:p>
    <w:p w14:paraId="64285A7D" w14:textId="046D4A41" w:rsidR="00586929" w:rsidRPr="00586929" w:rsidRDefault="00586929" w:rsidP="00586929">
      <w:pPr>
        <w:autoSpaceDE w:val="0"/>
        <w:autoSpaceDN w:val="0"/>
        <w:adjustRightInd w:val="0"/>
        <w:spacing w:after="120"/>
        <w:rPr>
          <w:rFonts w:asciiTheme="majorHAnsi" w:hAnsiTheme="majorHAnsi" w:cstheme="majorHAnsi"/>
        </w:rPr>
      </w:pPr>
      <w:r>
        <w:rPr>
          <w:rFonts w:asciiTheme="majorHAnsi" w:hAnsiTheme="majorHAnsi" w:cstheme="majorHAnsi"/>
        </w:rPr>
        <w:t xml:space="preserve">19. </w:t>
      </w:r>
      <w:r w:rsidRPr="00586929">
        <w:rPr>
          <w:rFonts w:asciiTheme="majorHAnsi" w:hAnsiTheme="majorHAnsi" w:cstheme="majorHAnsi"/>
          <w:i/>
        </w:rPr>
        <w:t>Corporal punishment is explicitly prohibited in the Regulations on Drug Rehabilitation</w:t>
      </w:r>
      <w:r w:rsidRPr="00586929">
        <w:rPr>
          <w:rFonts w:asciiTheme="majorHAnsi" w:hAnsiTheme="majorHAnsi" w:cstheme="majorHAnsi"/>
        </w:rPr>
        <w:t>, adopted in 2011 (art. 45).</w:t>
      </w:r>
      <w:r w:rsidRPr="00586929">
        <w:rPr>
          <w:rFonts w:asciiTheme="majorHAnsi" w:hAnsiTheme="majorHAnsi" w:cstheme="majorHAnsi"/>
          <w:vertAlign w:val="superscript"/>
        </w:rPr>
        <w:footnoteReference w:id="7"/>
      </w:r>
      <w:r w:rsidRPr="00586929">
        <w:rPr>
          <w:rFonts w:asciiTheme="majorHAnsi" w:hAnsiTheme="majorHAnsi" w:cstheme="majorHAnsi"/>
        </w:rPr>
        <w:t xml:space="preserve"> </w:t>
      </w:r>
    </w:p>
    <w:p w14:paraId="3400B157" w14:textId="1DADB667" w:rsidR="000F5301" w:rsidRPr="000F5301" w:rsidRDefault="000F5301" w:rsidP="000F5301">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2C026049" w14:textId="7295B697" w:rsidR="0003240E" w:rsidRPr="0003240E" w:rsidRDefault="000534D3" w:rsidP="0003240E">
      <w:pPr>
        <w:spacing w:after="240"/>
        <w:rPr>
          <w:rFonts w:asciiTheme="majorHAnsi" w:hAnsiTheme="majorHAnsi" w:cstheme="majorHAnsi"/>
          <w:bCs/>
        </w:rPr>
      </w:pPr>
      <w:r>
        <w:rPr>
          <w:rFonts w:asciiTheme="majorHAnsi" w:hAnsiTheme="majorHAnsi" w:cstheme="majorHAnsi"/>
        </w:rPr>
        <w:t>2</w:t>
      </w:r>
      <w:r w:rsidR="00586929">
        <w:rPr>
          <w:rFonts w:asciiTheme="majorHAnsi" w:hAnsiTheme="majorHAnsi" w:cstheme="majorHAnsi"/>
        </w:rPr>
        <w:t>0</w:t>
      </w:r>
      <w:r w:rsidR="00F67CC5" w:rsidRPr="001119F0">
        <w:rPr>
          <w:rFonts w:asciiTheme="majorHAnsi" w:hAnsiTheme="majorHAnsi" w:cstheme="majorHAnsi"/>
        </w:rPr>
        <w:t xml:space="preserve">. </w:t>
      </w:r>
      <w:r w:rsidR="00586929" w:rsidRPr="00586929">
        <w:rPr>
          <w:rFonts w:asciiTheme="majorHAnsi" w:hAnsiTheme="majorHAnsi" w:cstheme="majorHAnsi"/>
          <w:bCs/>
          <w:iCs/>
        </w:rPr>
        <w:t xml:space="preserve">The </w:t>
      </w:r>
      <w:r w:rsidR="00586929" w:rsidRPr="00586929">
        <w:rPr>
          <w:rFonts w:asciiTheme="majorHAnsi" w:hAnsiTheme="majorHAnsi" w:cstheme="majorHAnsi"/>
          <w:bCs/>
          <w:i/>
          <w:iCs/>
        </w:rPr>
        <w:t>Committee on the Rights of the Child</w:t>
      </w:r>
      <w:r w:rsidR="00586929">
        <w:rPr>
          <w:rFonts w:asciiTheme="majorHAnsi" w:hAnsiTheme="majorHAnsi" w:cstheme="majorHAnsi"/>
          <w:bCs/>
          <w:iCs/>
        </w:rPr>
        <w:t xml:space="preserve"> first recommended to China</w:t>
      </w:r>
      <w:r w:rsidR="00586929" w:rsidRPr="00586929">
        <w:rPr>
          <w:rFonts w:asciiTheme="majorHAnsi" w:hAnsiTheme="majorHAnsi" w:cstheme="majorHAnsi"/>
          <w:bCs/>
          <w:iCs/>
        </w:rPr>
        <w:t xml:space="preserve"> that corporal punishment be prohibited in the home and all other settings throughout the state party in its </w:t>
      </w:r>
      <w:r w:rsidR="00586929" w:rsidRPr="00586929">
        <w:rPr>
          <w:rFonts w:asciiTheme="majorHAnsi" w:hAnsiTheme="majorHAnsi" w:cstheme="majorHAnsi"/>
          <w:bCs/>
          <w:iCs/>
        </w:rPr>
        <w:lastRenderedPageBreak/>
        <w:t>concluding observations on the second state party report in 2005; the Committee reiterated its recommendations following examination of the third/fourth report in 2013.</w:t>
      </w:r>
      <w:r w:rsidR="00586929" w:rsidRPr="00586929">
        <w:rPr>
          <w:rFonts w:asciiTheme="majorHAnsi" w:hAnsiTheme="majorHAnsi" w:cstheme="majorHAnsi"/>
          <w:bCs/>
          <w:iCs/>
          <w:vertAlign w:val="superscript"/>
        </w:rPr>
        <w:footnoteReference w:id="8"/>
      </w:r>
      <w:r w:rsidR="00586929" w:rsidRPr="00586929">
        <w:rPr>
          <w:rFonts w:asciiTheme="majorHAnsi" w:hAnsiTheme="majorHAnsi" w:cstheme="majorHAnsi"/>
          <w:bCs/>
          <w:iCs/>
        </w:rPr>
        <w:t xml:space="preserve"> </w:t>
      </w:r>
    </w:p>
    <w:p w14:paraId="56F83FCC" w14:textId="566E089D" w:rsidR="00586929" w:rsidRPr="00586929" w:rsidRDefault="000534D3" w:rsidP="00586929">
      <w:pPr>
        <w:spacing w:after="240"/>
        <w:rPr>
          <w:rFonts w:asciiTheme="majorHAnsi" w:hAnsiTheme="majorHAnsi" w:cstheme="majorHAnsi"/>
          <w:bCs/>
          <w:iCs/>
        </w:rPr>
      </w:pPr>
      <w:r>
        <w:rPr>
          <w:rFonts w:asciiTheme="majorHAnsi" w:hAnsiTheme="majorHAnsi" w:cstheme="majorHAnsi"/>
          <w:bCs/>
        </w:rPr>
        <w:t>2</w:t>
      </w:r>
      <w:r w:rsidR="00586929">
        <w:rPr>
          <w:rFonts w:asciiTheme="majorHAnsi" w:hAnsiTheme="majorHAnsi" w:cstheme="majorHAnsi"/>
          <w:bCs/>
        </w:rPr>
        <w:t>1</w:t>
      </w:r>
      <w:r w:rsidR="00B8457E">
        <w:rPr>
          <w:rFonts w:asciiTheme="majorHAnsi" w:hAnsiTheme="majorHAnsi" w:cstheme="majorHAnsi"/>
          <w:bCs/>
        </w:rPr>
        <w:t xml:space="preserve">. </w:t>
      </w:r>
      <w:r w:rsidR="00586929">
        <w:rPr>
          <w:rFonts w:asciiTheme="majorHAnsi" w:hAnsiTheme="majorHAnsi" w:cstheme="majorHAnsi"/>
          <w:bCs/>
          <w:iCs/>
        </w:rPr>
        <w:t>China</w:t>
      </w:r>
      <w:r w:rsidR="000F5301" w:rsidRPr="000F5301">
        <w:rPr>
          <w:rFonts w:asciiTheme="majorHAnsi" w:hAnsiTheme="majorHAnsi" w:cstheme="majorHAnsi"/>
          <w:bCs/>
          <w:iCs/>
        </w:rPr>
        <w:t xml:space="preserve"> was examined in the </w:t>
      </w:r>
      <w:r w:rsidR="00586929">
        <w:rPr>
          <w:rFonts w:asciiTheme="majorHAnsi" w:hAnsiTheme="majorHAnsi" w:cstheme="majorHAnsi"/>
          <w:bCs/>
          <w:iCs/>
        </w:rPr>
        <w:t>third</w:t>
      </w:r>
      <w:r w:rsidR="000F5301" w:rsidRPr="000F5301">
        <w:rPr>
          <w:rFonts w:asciiTheme="majorHAnsi" w:hAnsiTheme="majorHAnsi" w:cstheme="majorHAnsi"/>
          <w:bCs/>
          <w:iCs/>
        </w:rPr>
        <w:t xml:space="preserve"> cycle of the </w:t>
      </w:r>
      <w:r w:rsidR="000F5301" w:rsidRPr="000F5301">
        <w:rPr>
          <w:rFonts w:asciiTheme="majorHAnsi" w:hAnsiTheme="majorHAnsi" w:cstheme="majorHAnsi"/>
          <w:bCs/>
          <w:i/>
          <w:iCs/>
        </w:rPr>
        <w:t>Universal Periodic Review</w:t>
      </w:r>
      <w:r w:rsidR="000F5301" w:rsidRPr="000F5301">
        <w:rPr>
          <w:rFonts w:asciiTheme="majorHAnsi" w:hAnsiTheme="majorHAnsi" w:cstheme="majorHAnsi"/>
          <w:bCs/>
          <w:iCs/>
        </w:rPr>
        <w:t xml:space="preserve"> in </w:t>
      </w:r>
      <w:r w:rsidR="00586929">
        <w:rPr>
          <w:rFonts w:asciiTheme="majorHAnsi" w:hAnsiTheme="majorHAnsi" w:cstheme="majorHAnsi"/>
          <w:bCs/>
          <w:iCs/>
        </w:rPr>
        <w:t>2018</w:t>
      </w:r>
      <w:r w:rsidR="000F5301" w:rsidRPr="000F5301">
        <w:rPr>
          <w:rFonts w:asciiTheme="majorHAnsi" w:hAnsiTheme="majorHAnsi" w:cstheme="majorHAnsi"/>
          <w:bCs/>
          <w:iCs/>
        </w:rPr>
        <w:t xml:space="preserve"> and accepted</w:t>
      </w:r>
      <w:r w:rsidR="00586929">
        <w:rPr>
          <w:rFonts w:asciiTheme="majorHAnsi" w:hAnsiTheme="majorHAnsi" w:cstheme="majorHAnsi"/>
          <w:bCs/>
          <w:iCs/>
        </w:rPr>
        <w:t xml:space="preserve"> recommendations to explicitly prohibit all corporal punishment of children in legislation.</w:t>
      </w:r>
      <w:r w:rsidR="00586929" w:rsidRPr="00586929">
        <w:rPr>
          <w:rFonts w:asciiTheme="majorHAnsi" w:hAnsiTheme="majorHAnsi" w:cstheme="majorHAnsi"/>
          <w:bCs/>
          <w:iCs/>
          <w:vertAlign w:val="superscript"/>
        </w:rPr>
        <w:footnoteReference w:id="9"/>
      </w:r>
    </w:p>
    <w:p w14:paraId="7F764872" w14:textId="3F49C8AE" w:rsidR="00127339" w:rsidRDefault="00127339" w:rsidP="007A21C3">
      <w:pPr>
        <w:rPr>
          <w:rFonts w:asciiTheme="majorHAnsi" w:hAnsiTheme="majorHAnsi" w:cstheme="majorHAnsi"/>
          <w:i/>
          <w:iCs/>
        </w:rPr>
      </w:pPr>
      <w:bookmarkStart w:id="4" w:name="_GoBack"/>
      <w:bookmarkEnd w:id="4"/>
    </w:p>
    <w:p w14:paraId="0CA49FEB" w14:textId="77777777" w:rsidR="000F5301" w:rsidRDefault="000F5301"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4479F1" w:rsidP="007A21C3">
      <w:pPr>
        <w:rPr>
          <w:rFonts w:asciiTheme="majorHAnsi" w:hAnsiTheme="majorHAnsi" w:cstheme="majorHAnsi"/>
          <w:i/>
          <w:iCs/>
        </w:rPr>
      </w:pPr>
      <w:hyperlink r:id="rId14" w:history="1">
        <w:r w:rsidR="009C24BF" w:rsidRPr="003E35BE">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3E35BE">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30E6F" w14:textId="77777777" w:rsidR="004479F1" w:rsidRDefault="004479F1">
      <w:r>
        <w:separator/>
      </w:r>
    </w:p>
  </w:endnote>
  <w:endnote w:type="continuationSeparator" w:id="0">
    <w:p w14:paraId="04884F65" w14:textId="77777777" w:rsidR="004479F1" w:rsidRDefault="00447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11496ED5"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C54B90">
      <w:rPr>
        <w:rFonts w:ascii="Calibri" w:hAnsi="Calibri"/>
        <w:noProof/>
      </w:rPr>
      <w:t>5</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F4C2" w14:textId="77777777" w:rsidR="004479F1" w:rsidRDefault="004479F1">
      <w:r>
        <w:separator/>
      </w:r>
    </w:p>
  </w:footnote>
  <w:footnote w:type="continuationSeparator" w:id="0">
    <w:p w14:paraId="2E8E493D" w14:textId="77777777" w:rsidR="004479F1" w:rsidRDefault="004479F1">
      <w:r>
        <w:continuationSeparator/>
      </w:r>
    </w:p>
  </w:footnote>
  <w:footnote w:id="1">
    <w:p w14:paraId="7306DD3C" w14:textId="3EA8A1D4" w:rsidR="007F7529" w:rsidRPr="00586929" w:rsidRDefault="007F7529" w:rsidP="007F75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Pinheiro, P. S. (2006), </w:t>
      </w:r>
      <w:r w:rsidRPr="00586929">
        <w:rPr>
          <w:rFonts w:asciiTheme="majorHAnsi" w:hAnsiTheme="majorHAnsi" w:cstheme="majorHAnsi"/>
          <w:i/>
        </w:rPr>
        <w:t>World Report on Violence against Children</w:t>
      </w:r>
      <w:r w:rsidRPr="00586929">
        <w:rPr>
          <w:rFonts w:asciiTheme="majorHAnsi" w:hAnsiTheme="majorHAnsi" w:cstheme="majorHAnsi"/>
        </w:rPr>
        <w:t>, Geneva: United Nations. See also Krug E. G. et al (eds) (2002),</w:t>
      </w:r>
      <w:r w:rsidRPr="00586929">
        <w:rPr>
          <w:rFonts w:asciiTheme="majorHAnsi" w:hAnsiTheme="majorHAnsi" w:cstheme="majorHAnsi"/>
          <w:i/>
          <w:iCs/>
        </w:rPr>
        <w:t xml:space="preserve"> World Report on Violence and Health, </w:t>
      </w:r>
      <w:r w:rsidRPr="00586929">
        <w:rPr>
          <w:rFonts w:asciiTheme="majorHAnsi" w:hAnsiTheme="majorHAnsi" w:cstheme="majorHAnsi"/>
        </w:rPr>
        <w:t>Geneva: World Health Organisation</w:t>
      </w:r>
    </w:p>
  </w:footnote>
  <w:footnote w:id="2">
    <w:p w14:paraId="62FB3437" w14:textId="77777777" w:rsidR="00586929" w:rsidRPr="00586929" w:rsidRDefault="00586929" w:rsidP="00586929">
      <w:pPr>
        <w:pStyle w:val="FootnoteText"/>
        <w:rPr>
          <w:rFonts w:asciiTheme="majorHAnsi" w:hAnsiTheme="majorHAnsi" w:cstheme="majorHAnsi"/>
          <w:lang w:val="en-US"/>
        </w:rPr>
      </w:pPr>
      <w:r w:rsidRPr="00586929">
        <w:rPr>
          <w:rStyle w:val="FootnoteReference"/>
          <w:rFonts w:asciiTheme="majorHAnsi" w:hAnsiTheme="majorHAnsi" w:cstheme="majorHAnsi"/>
        </w:rPr>
        <w:footnoteRef/>
      </w:r>
      <w:r w:rsidRPr="00586929">
        <w:rPr>
          <w:rFonts w:asciiTheme="majorHAnsi" w:hAnsiTheme="majorHAnsi" w:cstheme="majorHAnsi"/>
        </w:rPr>
        <w:t xml:space="preserve"> [2013], CRC/C/CHN/Q/3-4/Add.1 Unedited Version, Reply to list of issues, Q15 </w:t>
      </w:r>
    </w:p>
  </w:footnote>
  <w:footnote w:id="3">
    <w:p w14:paraId="5A0F0C87" w14:textId="77777777"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Reported in </w:t>
      </w:r>
      <w:r w:rsidRPr="00586929">
        <w:rPr>
          <w:rFonts w:asciiTheme="majorHAnsi" w:hAnsiTheme="majorHAnsi" w:cstheme="majorHAnsi"/>
          <w:i/>
        </w:rPr>
        <w:t>South China Morning Post</w:t>
      </w:r>
      <w:r w:rsidRPr="00586929">
        <w:rPr>
          <w:rFonts w:asciiTheme="majorHAnsi" w:hAnsiTheme="majorHAnsi" w:cstheme="majorHAnsi"/>
        </w:rPr>
        <w:t>, 21 January 2014</w:t>
      </w:r>
    </w:p>
  </w:footnote>
  <w:footnote w:id="4">
    <w:p w14:paraId="3B25B637" w14:textId="77777777"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Congressional-Executive Commission on China, Press release, 26 July 2006</w:t>
      </w:r>
    </w:p>
  </w:footnote>
  <w:footnote w:id="5">
    <w:p w14:paraId="30CC3093" w14:textId="77777777"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3 April 2014, CAT/C/CHN/5, Fifth state party report, para. 42; see also </w:t>
      </w:r>
      <w:hyperlink r:id="rId1" w:history="1">
        <w:r w:rsidRPr="00586929">
          <w:rPr>
            <w:rStyle w:val="Hyperlink"/>
            <w:rFonts w:asciiTheme="majorHAnsi" w:hAnsiTheme="majorHAnsi" w:cstheme="majorHAnsi"/>
          </w:rPr>
          <w:t>http://english.gov.cn/official/2010-09/26/content_1709982_4.htm</w:t>
        </w:r>
      </w:hyperlink>
      <w:r w:rsidRPr="00586929">
        <w:rPr>
          <w:rFonts w:asciiTheme="majorHAnsi" w:hAnsiTheme="majorHAnsi" w:cstheme="majorHAnsi"/>
        </w:rPr>
        <w:t>, accessed 5 August 2014</w:t>
      </w:r>
    </w:p>
  </w:footnote>
  <w:footnote w:id="6">
    <w:p w14:paraId="24705404" w14:textId="77777777"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3 April 2014, CAT/C/CHN/5, Fifth state party report, para. 17</w:t>
      </w:r>
    </w:p>
  </w:footnote>
  <w:footnote w:id="7">
    <w:p w14:paraId="7B2459D4" w14:textId="77777777"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3 April 2014, CAT/C/CHN/5, Fifth state party report, para. 10</w:t>
      </w:r>
    </w:p>
  </w:footnote>
  <w:footnote w:id="8">
    <w:p w14:paraId="4FC2E3FC" w14:textId="77777777" w:rsidR="00586929" w:rsidRPr="00586929" w:rsidRDefault="00586929" w:rsidP="00586929">
      <w:pPr>
        <w:pStyle w:val="FootnoteText"/>
        <w:rPr>
          <w:rFonts w:asciiTheme="majorHAnsi" w:hAnsiTheme="majorHAnsi" w:cstheme="majorHAnsi"/>
          <w:lang w:eastAsia="en-US"/>
        </w:rPr>
      </w:pPr>
      <w:r w:rsidRPr="00586929">
        <w:rPr>
          <w:rStyle w:val="FootnoteReference"/>
          <w:rFonts w:asciiTheme="majorHAnsi" w:hAnsiTheme="majorHAnsi" w:cstheme="majorHAnsi"/>
        </w:rPr>
        <w:footnoteRef/>
      </w:r>
      <w:r w:rsidRPr="00586929">
        <w:rPr>
          <w:rFonts w:asciiTheme="majorHAnsi" w:hAnsiTheme="majorHAnsi" w:cstheme="majorHAnsi"/>
        </w:rPr>
        <w:t xml:space="preserve"> 24 November 2005, Concluding observations on second report on China (including Hong Kong and Macau Special Administrative Regions), CRC/C/CHN/CO/2, paras. 46, 47 and 48; 29 October 2013, CRC/C/CHN/CO/3-4, Concluding observations on third/fourth report, paras. 6 and 7</w:t>
      </w:r>
    </w:p>
  </w:footnote>
  <w:footnote w:id="9">
    <w:p w14:paraId="0CB44FAF" w14:textId="1A3C273C" w:rsidR="00586929" w:rsidRPr="00586929" w:rsidRDefault="00586929" w:rsidP="00586929">
      <w:pPr>
        <w:pStyle w:val="FootnoteText"/>
        <w:rPr>
          <w:rFonts w:asciiTheme="majorHAnsi" w:hAnsiTheme="majorHAnsi" w:cstheme="majorHAnsi"/>
        </w:rPr>
      </w:pPr>
      <w:r w:rsidRPr="00586929">
        <w:rPr>
          <w:rStyle w:val="FootnoteReference"/>
          <w:rFonts w:asciiTheme="majorHAnsi" w:hAnsiTheme="majorHAnsi" w:cstheme="majorHAnsi"/>
        </w:rPr>
        <w:footnoteRef/>
      </w:r>
      <w:r w:rsidRPr="00586929">
        <w:rPr>
          <w:rFonts w:asciiTheme="majorHAnsi" w:hAnsiTheme="majorHAnsi" w:cstheme="majorHAnsi"/>
        </w:rPr>
        <w:t xml:space="preserve"> 26 December 2018, A/HRC/40/6, Report of the Working Group, paras. 28(156) and 28(157)</w:t>
      </w:r>
      <w:r>
        <w:rPr>
          <w:rFonts w:asciiTheme="majorHAnsi" w:hAnsiTheme="majorHAnsi" w:cstheme="majorHAnsi"/>
        </w:rPr>
        <w:t xml:space="preserve">; </w:t>
      </w:r>
      <w:r w:rsidRPr="00586929">
        <w:rPr>
          <w:rFonts w:asciiTheme="majorHAnsi" w:hAnsiTheme="majorHAnsi" w:cstheme="majorHAnsi"/>
        </w:rPr>
        <w:t>15 February 2019, A/HRC/40/6/Add.1 Advance version, Report of the Working Group: Addendum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534D3"/>
    <w:rsid w:val="00075396"/>
    <w:rsid w:val="00077E55"/>
    <w:rsid w:val="000827FD"/>
    <w:rsid w:val="000859C9"/>
    <w:rsid w:val="0008612D"/>
    <w:rsid w:val="000932B3"/>
    <w:rsid w:val="000A3923"/>
    <w:rsid w:val="000D7F80"/>
    <w:rsid w:val="000E558E"/>
    <w:rsid w:val="000F5301"/>
    <w:rsid w:val="00106569"/>
    <w:rsid w:val="001117DC"/>
    <w:rsid w:val="001119F0"/>
    <w:rsid w:val="00126D81"/>
    <w:rsid w:val="00127339"/>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5394"/>
    <w:rsid w:val="001B7D95"/>
    <w:rsid w:val="001C55D9"/>
    <w:rsid w:val="001D1655"/>
    <w:rsid w:val="001D49E4"/>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10F1"/>
    <w:rsid w:val="00284C98"/>
    <w:rsid w:val="00285A47"/>
    <w:rsid w:val="002A01E3"/>
    <w:rsid w:val="002A06FC"/>
    <w:rsid w:val="002A3229"/>
    <w:rsid w:val="002A7206"/>
    <w:rsid w:val="002B20D3"/>
    <w:rsid w:val="002B3F16"/>
    <w:rsid w:val="002C5DAB"/>
    <w:rsid w:val="002D6FD4"/>
    <w:rsid w:val="002E09C9"/>
    <w:rsid w:val="002E2D70"/>
    <w:rsid w:val="002E4E5B"/>
    <w:rsid w:val="002E61CE"/>
    <w:rsid w:val="002F528D"/>
    <w:rsid w:val="00301753"/>
    <w:rsid w:val="00306C1D"/>
    <w:rsid w:val="00307A90"/>
    <w:rsid w:val="00312228"/>
    <w:rsid w:val="00312D2C"/>
    <w:rsid w:val="00315F04"/>
    <w:rsid w:val="00316151"/>
    <w:rsid w:val="00322E14"/>
    <w:rsid w:val="00327C1C"/>
    <w:rsid w:val="00347EAC"/>
    <w:rsid w:val="00353CF1"/>
    <w:rsid w:val="00353EF8"/>
    <w:rsid w:val="00361051"/>
    <w:rsid w:val="003617F3"/>
    <w:rsid w:val="0036194C"/>
    <w:rsid w:val="003653BB"/>
    <w:rsid w:val="00373271"/>
    <w:rsid w:val="003757DE"/>
    <w:rsid w:val="003764A5"/>
    <w:rsid w:val="00382A8F"/>
    <w:rsid w:val="003942F0"/>
    <w:rsid w:val="003A1FDA"/>
    <w:rsid w:val="003A2D7A"/>
    <w:rsid w:val="003B1533"/>
    <w:rsid w:val="003C2A68"/>
    <w:rsid w:val="003D4B76"/>
    <w:rsid w:val="003D6A85"/>
    <w:rsid w:val="003E1F72"/>
    <w:rsid w:val="003E35BE"/>
    <w:rsid w:val="003F1015"/>
    <w:rsid w:val="00414428"/>
    <w:rsid w:val="0041473A"/>
    <w:rsid w:val="0041659A"/>
    <w:rsid w:val="00424AF4"/>
    <w:rsid w:val="00425F3B"/>
    <w:rsid w:val="00435577"/>
    <w:rsid w:val="00437B2C"/>
    <w:rsid w:val="004479F1"/>
    <w:rsid w:val="00457AD2"/>
    <w:rsid w:val="00460F41"/>
    <w:rsid w:val="00463C10"/>
    <w:rsid w:val="004737EE"/>
    <w:rsid w:val="00482BF9"/>
    <w:rsid w:val="00485994"/>
    <w:rsid w:val="004866EF"/>
    <w:rsid w:val="00490379"/>
    <w:rsid w:val="004978EF"/>
    <w:rsid w:val="004B3464"/>
    <w:rsid w:val="004B5EB3"/>
    <w:rsid w:val="004C28F8"/>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33416"/>
    <w:rsid w:val="00543B9A"/>
    <w:rsid w:val="0055414A"/>
    <w:rsid w:val="0057626F"/>
    <w:rsid w:val="00581B3E"/>
    <w:rsid w:val="00581D48"/>
    <w:rsid w:val="005832BA"/>
    <w:rsid w:val="00586929"/>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486A"/>
    <w:rsid w:val="00605D18"/>
    <w:rsid w:val="006101B1"/>
    <w:rsid w:val="0061376B"/>
    <w:rsid w:val="00620321"/>
    <w:rsid w:val="00620FAB"/>
    <w:rsid w:val="00623A0A"/>
    <w:rsid w:val="0062663B"/>
    <w:rsid w:val="00633745"/>
    <w:rsid w:val="00641C6B"/>
    <w:rsid w:val="006460B8"/>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1079"/>
    <w:rsid w:val="00712118"/>
    <w:rsid w:val="00716B5D"/>
    <w:rsid w:val="0072294E"/>
    <w:rsid w:val="00725D25"/>
    <w:rsid w:val="00732CBB"/>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B73D4"/>
    <w:rsid w:val="007C22B7"/>
    <w:rsid w:val="007C397C"/>
    <w:rsid w:val="007C46E2"/>
    <w:rsid w:val="007D2F31"/>
    <w:rsid w:val="007D5227"/>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6C6"/>
    <w:rsid w:val="008F0922"/>
    <w:rsid w:val="008F3F7F"/>
    <w:rsid w:val="008F4926"/>
    <w:rsid w:val="00902C77"/>
    <w:rsid w:val="00911447"/>
    <w:rsid w:val="00913972"/>
    <w:rsid w:val="00917147"/>
    <w:rsid w:val="00921E92"/>
    <w:rsid w:val="00923377"/>
    <w:rsid w:val="009242B2"/>
    <w:rsid w:val="00925C21"/>
    <w:rsid w:val="00935430"/>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5901"/>
    <w:rsid w:val="009F5C73"/>
    <w:rsid w:val="00A1392E"/>
    <w:rsid w:val="00A141B8"/>
    <w:rsid w:val="00A20DE1"/>
    <w:rsid w:val="00A26D5D"/>
    <w:rsid w:val="00A34229"/>
    <w:rsid w:val="00A400C3"/>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2568"/>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658CA"/>
    <w:rsid w:val="00B73008"/>
    <w:rsid w:val="00B7483C"/>
    <w:rsid w:val="00B75C6A"/>
    <w:rsid w:val="00B81094"/>
    <w:rsid w:val="00B84358"/>
    <w:rsid w:val="00B8457E"/>
    <w:rsid w:val="00B84812"/>
    <w:rsid w:val="00B86C92"/>
    <w:rsid w:val="00B87C69"/>
    <w:rsid w:val="00B92BC6"/>
    <w:rsid w:val="00B95040"/>
    <w:rsid w:val="00B9545D"/>
    <w:rsid w:val="00B97015"/>
    <w:rsid w:val="00BA2A8D"/>
    <w:rsid w:val="00BA754F"/>
    <w:rsid w:val="00BB1960"/>
    <w:rsid w:val="00BB5726"/>
    <w:rsid w:val="00BB6C0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53B1C"/>
    <w:rsid w:val="00C54B90"/>
    <w:rsid w:val="00C63547"/>
    <w:rsid w:val="00C64EA1"/>
    <w:rsid w:val="00C82792"/>
    <w:rsid w:val="00C84FBA"/>
    <w:rsid w:val="00C91BB2"/>
    <w:rsid w:val="00C96E68"/>
    <w:rsid w:val="00C973D3"/>
    <w:rsid w:val="00C97A90"/>
    <w:rsid w:val="00C97C42"/>
    <w:rsid w:val="00CB457A"/>
    <w:rsid w:val="00CB7DD5"/>
    <w:rsid w:val="00CC09E1"/>
    <w:rsid w:val="00CC6D48"/>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521E"/>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5B06"/>
    <w:rsid w:val="00E97452"/>
    <w:rsid w:val="00EA05DA"/>
    <w:rsid w:val="00EA123E"/>
    <w:rsid w:val="00EA3676"/>
    <w:rsid w:val="00EB16D4"/>
    <w:rsid w:val="00EC3476"/>
    <w:rsid w:val="00ED3374"/>
    <w:rsid w:val="00EE5770"/>
    <w:rsid w:val="00EF577B"/>
    <w:rsid w:val="00EF6C4C"/>
    <w:rsid w:val="00EF6D99"/>
    <w:rsid w:val="00F03CDA"/>
    <w:rsid w:val="00F238AE"/>
    <w:rsid w:val="00F27919"/>
    <w:rsid w:val="00F325F7"/>
    <w:rsid w:val="00F401E2"/>
    <w:rsid w:val="00F51705"/>
    <w:rsid w:val="00F63112"/>
    <w:rsid w:val="00F67CC5"/>
    <w:rsid w:val="00F7085F"/>
    <w:rsid w:val="00F70EFA"/>
    <w:rsid w:val="00F72865"/>
    <w:rsid w:val="00F80858"/>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1831798">
      <w:bodyDiv w:val="1"/>
      <w:marLeft w:val="0"/>
      <w:marRight w:val="0"/>
      <w:marTop w:val="0"/>
      <w:marBottom w:val="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3573544">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27586476">
      <w:bodyDiv w:val="1"/>
      <w:marLeft w:val="0"/>
      <w:marRight w:val="0"/>
      <w:marTop w:val="0"/>
      <w:marBottom w:val="0"/>
      <w:divBdr>
        <w:top w:val="none" w:sz="0" w:space="0" w:color="auto"/>
        <w:left w:val="none" w:sz="0" w:space="0" w:color="auto"/>
        <w:bottom w:val="none" w:sz="0" w:space="0" w:color="auto"/>
        <w:right w:val="none" w:sz="0" w:space="0" w:color="auto"/>
      </w:divBdr>
    </w:div>
    <w:div w:id="1343505633">
      <w:bodyDiv w:val="1"/>
      <w:marLeft w:val="0"/>
      <w:marRight w:val="0"/>
      <w:marTop w:val="0"/>
      <w:marBottom w:val="0"/>
      <w:divBdr>
        <w:top w:val="none" w:sz="0" w:space="0" w:color="auto"/>
        <w:left w:val="none" w:sz="0" w:space="0" w:color="auto"/>
        <w:bottom w:val="none" w:sz="0" w:space="0" w:color="auto"/>
        <w:right w:val="none" w:sz="0" w:space="0" w:color="auto"/>
      </w:divBdr>
    </w:div>
    <w:div w:id="1409688125">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40381666">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 w:id="21237659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nglish.gov.cn/official/2010-09/26/content_1709982_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ds:schemaRefs>
    <ds:schemaRef ds:uri="http://schemas.microsoft.com/sharepoint/v3/contenttype/forms"/>
  </ds:schemaRefs>
</ds:datastoreItem>
</file>

<file path=customXml/itemProps2.xml><?xml version="1.0" encoding="utf-8"?>
<ds:datastoreItem xmlns:ds="http://schemas.openxmlformats.org/officeDocument/2006/customXml" ds:itemID="{A5DD1F66-F079-4D26-9847-85F6AB2500C8}"/>
</file>

<file path=customXml/itemProps3.xml><?xml version="1.0" encoding="utf-8"?>
<ds:datastoreItem xmlns:ds="http://schemas.openxmlformats.org/officeDocument/2006/customXml" ds:itemID="{101527D1-71F8-455B-B6D9-EFEB835EF6CB}">
  <ds:schemaRefs>
    <ds:schemaRef ds:uri="http://schemas.microsoft.com/office/2006/metadata/longProperties"/>
  </ds:schemaRefs>
</ds:datastoreItem>
</file>

<file path=customXml/itemProps4.xml><?xml version="1.0" encoding="utf-8"?>
<ds:datastoreItem xmlns:ds="http://schemas.openxmlformats.org/officeDocument/2006/customXml" ds:itemID="{CD458E77-4ECF-4667-B6F7-7996F83A047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4D84DC7-D61A-4D25-8E63-1D2FD3FAD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5</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14264</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Eloïse Di Gianni</cp:lastModifiedBy>
  <cp:revision>98</cp:revision>
  <cp:lastPrinted>2005-01-04T10:45:00Z</cp:lastPrinted>
  <dcterms:created xsi:type="dcterms:W3CDTF">2016-03-04T07:13:00Z</dcterms:created>
  <dcterms:modified xsi:type="dcterms:W3CDTF">2020-01-16T16:36:00Z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