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09A78" w14:textId="77777777" w:rsidR="00DE33FD" w:rsidRPr="00FD2B5D" w:rsidRDefault="00DE33FD" w:rsidP="00FD2B5D">
      <w:pPr>
        <w:pStyle w:val="CharCharChar2Char"/>
        <w:rPr>
          <w:rFonts w:ascii="Book Antiqua" w:hAnsi="Book Antiqua"/>
          <w:sz w:val="22"/>
          <w:szCs w:val="22"/>
        </w:rPr>
      </w:pPr>
      <w:bookmarkStart w:id="0" w:name="_GoBack"/>
      <w:bookmarkEnd w:id="0"/>
    </w:p>
    <w:p w14:paraId="5952A2CB" w14:textId="77777777" w:rsidR="00F530CE" w:rsidRPr="00FD2B5D" w:rsidRDefault="00F530CE" w:rsidP="00FD2B5D">
      <w:pPr>
        <w:pStyle w:val="CharCharChar2Char"/>
        <w:rPr>
          <w:rFonts w:ascii="Book Antiqua" w:hAnsi="Book Antiqua"/>
          <w:sz w:val="22"/>
          <w:szCs w:val="22"/>
        </w:rPr>
      </w:pPr>
    </w:p>
    <w:tbl>
      <w:tblPr>
        <w:tblW w:w="0" w:type="auto"/>
        <w:tblInd w:w="1188" w:type="dxa"/>
        <w:tblLook w:val="00A0" w:firstRow="1" w:lastRow="0" w:firstColumn="1" w:lastColumn="0" w:noHBand="0" w:noVBand="0"/>
      </w:tblPr>
      <w:tblGrid>
        <w:gridCol w:w="7200"/>
      </w:tblGrid>
      <w:tr w:rsidR="00F530CE" w:rsidRPr="00A0248D" w14:paraId="6760D17D" w14:textId="77777777">
        <w:tc>
          <w:tcPr>
            <w:tcW w:w="7200" w:type="dxa"/>
          </w:tcPr>
          <w:p w14:paraId="523C1E3C" w14:textId="77777777" w:rsidR="00F530CE" w:rsidRPr="00A0248D" w:rsidRDefault="00F530CE" w:rsidP="00DE33FD">
            <w:pPr>
              <w:jc w:val="center"/>
              <w:rPr>
                <w:rFonts w:ascii="Book Antiqua" w:hAnsi="Book Antiqua"/>
                <w:caps/>
                <w:sz w:val="22"/>
                <w:szCs w:val="22"/>
                <w:lang w:val="sr-Cyrl-CS"/>
              </w:rPr>
            </w:pPr>
          </w:p>
        </w:tc>
      </w:tr>
    </w:tbl>
    <w:p w14:paraId="0851A59E" w14:textId="77777777" w:rsidR="00ED7734" w:rsidRDefault="00ED7734" w:rsidP="00ED7734">
      <w:pPr>
        <w:autoSpaceDE w:val="0"/>
        <w:autoSpaceDN w:val="0"/>
        <w:adjustRightInd w:val="0"/>
        <w:spacing w:before="120" w:after="240"/>
        <w:jc w:val="center"/>
        <w:rPr>
          <w:rFonts w:ascii="Book Antiqua" w:hAnsi="Book Antiqua" w:cs="MyriadPro-Regular"/>
          <w:b/>
          <w:lang w:val="en-US"/>
        </w:rPr>
      </w:pPr>
    </w:p>
    <w:p w14:paraId="3F4B65E1" w14:textId="77777777" w:rsidR="00ED7734" w:rsidRDefault="00ED7734" w:rsidP="00ED7734">
      <w:pPr>
        <w:autoSpaceDE w:val="0"/>
        <w:autoSpaceDN w:val="0"/>
        <w:adjustRightInd w:val="0"/>
        <w:spacing w:before="120" w:after="240"/>
        <w:jc w:val="center"/>
        <w:rPr>
          <w:rFonts w:ascii="Book Antiqua" w:hAnsi="Book Antiqua" w:cs="MyriadPro-Regular"/>
          <w:b/>
          <w:lang w:val="en-US"/>
        </w:rPr>
      </w:pPr>
    </w:p>
    <w:p w14:paraId="4A904D84" w14:textId="77777777" w:rsidR="00ED7734" w:rsidRDefault="00ED7734" w:rsidP="0057225F">
      <w:pPr>
        <w:autoSpaceDE w:val="0"/>
        <w:autoSpaceDN w:val="0"/>
        <w:adjustRightInd w:val="0"/>
        <w:spacing w:before="120" w:after="240"/>
        <w:rPr>
          <w:rFonts w:ascii="Book Antiqua" w:hAnsi="Book Antiqua" w:cs="MyriadPro-Regular"/>
          <w:b/>
          <w:lang w:val="en-US"/>
        </w:rPr>
      </w:pPr>
    </w:p>
    <w:p w14:paraId="1CFAA68F" w14:textId="77777777" w:rsidR="00ED7734" w:rsidRDefault="00ED7734" w:rsidP="00ED7734">
      <w:pPr>
        <w:autoSpaceDE w:val="0"/>
        <w:autoSpaceDN w:val="0"/>
        <w:adjustRightInd w:val="0"/>
        <w:spacing w:before="120" w:after="240"/>
        <w:jc w:val="center"/>
        <w:rPr>
          <w:rFonts w:ascii="Book Antiqua" w:hAnsi="Book Antiqua" w:cs="MyriadPro-Regular"/>
          <w:b/>
          <w:lang w:val="en-US"/>
        </w:rPr>
      </w:pPr>
    </w:p>
    <w:p w14:paraId="4941EE65" w14:textId="355390F3" w:rsidR="00F265D2" w:rsidRPr="00923079" w:rsidRDefault="00ED7734" w:rsidP="00923079">
      <w:pPr>
        <w:autoSpaceDE w:val="0"/>
        <w:autoSpaceDN w:val="0"/>
        <w:adjustRightInd w:val="0"/>
        <w:spacing w:before="120" w:after="240"/>
        <w:jc w:val="center"/>
        <w:rPr>
          <w:rFonts w:ascii="Book Antiqua" w:hAnsi="Book Antiqua" w:cs="MyriadPro-Regular"/>
          <w:b/>
          <w:sz w:val="22"/>
          <w:szCs w:val="22"/>
          <w:lang w:val="sr-Cyrl-RS"/>
        </w:rPr>
      </w:pPr>
      <w:r w:rsidRPr="00923079">
        <w:rPr>
          <w:rFonts w:ascii="Book Antiqua" w:hAnsi="Book Antiqua" w:cs="MyriadPro-Regular"/>
          <w:b/>
          <w:sz w:val="22"/>
          <w:szCs w:val="22"/>
          <w:lang w:val="en-US"/>
        </w:rPr>
        <w:t>THE PROTECTOR OF CITIZENS</w:t>
      </w:r>
      <w:r w:rsidR="0057225F" w:rsidRPr="00923079">
        <w:rPr>
          <w:rFonts w:ascii="Book Antiqua" w:hAnsi="Book Antiqua" w:cs="MyriadPro-Regular"/>
          <w:b/>
          <w:sz w:val="22"/>
          <w:szCs w:val="22"/>
          <w:lang w:val="en-US"/>
        </w:rPr>
        <w:t xml:space="preserve"> (SERBIAN NHRI</w:t>
      </w:r>
      <w:r w:rsidR="0057225F" w:rsidRPr="00923079">
        <w:rPr>
          <w:rFonts w:ascii="Book Antiqua" w:hAnsi="Book Antiqua" w:cs="MyriadPro-Regular"/>
          <w:b/>
          <w:sz w:val="22"/>
          <w:szCs w:val="22"/>
          <w:lang w:val="sr-Cyrl-RS"/>
        </w:rPr>
        <w:t>)</w:t>
      </w:r>
    </w:p>
    <w:p w14:paraId="418AF233" w14:textId="6B0148F6" w:rsidR="00CB2B74" w:rsidRPr="00923079" w:rsidRDefault="004B6A09" w:rsidP="00923079">
      <w:pPr>
        <w:spacing w:before="120"/>
        <w:jc w:val="center"/>
        <w:rPr>
          <w:rFonts w:ascii="Book Antiqua" w:eastAsia="Calibri" w:hAnsi="Book Antiqua"/>
          <w:b/>
          <w:sz w:val="22"/>
          <w:szCs w:val="22"/>
        </w:rPr>
      </w:pPr>
      <w:r w:rsidRPr="00923079">
        <w:rPr>
          <w:rFonts w:ascii="Book Antiqua" w:hAnsi="Book Antiqua" w:cs="MyriadPro-Regular"/>
          <w:b/>
          <w:sz w:val="22"/>
          <w:szCs w:val="22"/>
          <w:lang w:val="en-US"/>
        </w:rPr>
        <w:t xml:space="preserve">INFORMATION ON FOLLOW-UP TO THE COMMITTEE’S RECOMMENDATIONS ON THE DEFINITION OF TORTURE, NATIONAL HUMAN RIGHTS INSTITUTION AND IMPUNITY FOR ACTS OF TORTURE AND ILL-TREATMENT </w:t>
      </w:r>
      <w:r w:rsidR="00CB2B74" w:rsidRPr="00923079">
        <w:rPr>
          <w:rFonts w:ascii="Book Antiqua" w:eastAsia="Calibri" w:hAnsi="Book Antiqua"/>
          <w:b/>
          <w:sz w:val="22"/>
          <w:szCs w:val="22"/>
        </w:rPr>
        <w:t>CONTAINED IN PARAGRAPHS 8, 12 AND 20A OF THE CONCLUDING OBSERVATIONS.</w:t>
      </w:r>
    </w:p>
    <w:p w14:paraId="016371DC" w14:textId="072F83C7" w:rsidR="00F265D2" w:rsidRPr="00CB2B74" w:rsidRDefault="00F265D2" w:rsidP="004B6A09">
      <w:pPr>
        <w:autoSpaceDE w:val="0"/>
        <w:autoSpaceDN w:val="0"/>
        <w:adjustRightInd w:val="0"/>
        <w:spacing w:before="120" w:after="240"/>
        <w:jc w:val="center"/>
        <w:rPr>
          <w:rFonts w:ascii="Book Antiqua" w:hAnsi="Book Antiqua" w:cs="MyriadPro-Regular"/>
          <w:b/>
          <w:lang w:val="en-US"/>
        </w:rPr>
      </w:pPr>
    </w:p>
    <w:p w14:paraId="5F13BE3E" w14:textId="77777777" w:rsidR="00F265D2" w:rsidRDefault="00F265D2" w:rsidP="004B6A09">
      <w:pPr>
        <w:pStyle w:val="CharCharChar2Char"/>
        <w:jc w:val="both"/>
        <w:rPr>
          <w:rFonts w:ascii="Book Antiqua" w:hAnsi="Book Antiqua"/>
          <w:sz w:val="22"/>
          <w:szCs w:val="22"/>
        </w:rPr>
      </w:pPr>
    </w:p>
    <w:p w14:paraId="137628A5" w14:textId="77777777" w:rsidR="002F085A" w:rsidRDefault="002F085A" w:rsidP="004B6A09">
      <w:pPr>
        <w:pStyle w:val="CharCharChar2Char"/>
        <w:jc w:val="both"/>
        <w:rPr>
          <w:rFonts w:ascii="Book Antiqua" w:hAnsi="Book Antiqua"/>
          <w:sz w:val="22"/>
          <w:szCs w:val="22"/>
        </w:rPr>
      </w:pPr>
    </w:p>
    <w:p w14:paraId="3701F1E5" w14:textId="77777777" w:rsidR="002F085A" w:rsidRDefault="002F085A" w:rsidP="004B6A09">
      <w:pPr>
        <w:pStyle w:val="CharCharChar2Char"/>
        <w:jc w:val="both"/>
        <w:rPr>
          <w:rFonts w:ascii="Book Antiqua" w:hAnsi="Book Antiqua"/>
          <w:sz w:val="22"/>
          <w:szCs w:val="22"/>
        </w:rPr>
      </w:pPr>
    </w:p>
    <w:p w14:paraId="60A9C19F" w14:textId="77777777" w:rsidR="002F085A" w:rsidRDefault="002F085A" w:rsidP="00FD2B5D">
      <w:pPr>
        <w:pStyle w:val="CharCharChar2Char"/>
        <w:rPr>
          <w:rFonts w:ascii="Book Antiqua" w:hAnsi="Book Antiqua"/>
          <w:sz w:val="22"/>
          <w:szCs w:val="22"/>
        </w:rPr>
      </w:pPr>
    </w:p>
    <w:p w14:paraId="6B75CC06" w14:textId="77777777" w:rsidR="00F93DCA" w:rsidRDefault="00F93DCA" w:rsidP="00FD2B5D">
      <w:pPr>
        <w:pStyle w:val="CharCharChar2Char"/>
        <w:rPr>
          <w:rFonts w:ascii="Book Antiqua" w:hAnsi="Book Antiqua"/>
          <w:sz w:val="22"/>
          <w:szCs w:val="22"/>
        </w:rPr>
      </w:pPr>
    </w:p>
    <w:p w14:paraId="2120E52A" w14:textId="77777777" w:rsidR="00F93DCA" w:rsidRDefault="00F93DCA" w:rsidP="00FD2B5D">
      <w:pPr>
        <w:pStyle w:val="CharCharChar2Char"/>
        <w:rPr>
          <w:rFonts w:ascii="Book Antiqua" w:hAnsi="Book Antiqua"/>
          <w:sz w:val="22"/>
          <w:szCs w:val="22"/>
        </w:rPr>
      </w:pPr>
    </w:p>
    <w:p w14:paraId="06042DCA" w14:textId="77777777" w:rsidR="00F93DCA" w:rsidRDefault="00F93DCA" w:rsidP="00FD2B5D">
      <w:pPr>
        <w:pStyle w:val="CharCharChar2Char"/>
        <w:rPr>
          <w:rFonts w:ascii="Book Antiqua" w:hAnsi="Book Antiqua"/>
          <w:sz w:val="22"/>
          <w:szCs w:val="22"/>
        </w:rPr>
      </w:pPr>
    </w:p>
    <w:p w14:paraId="695D5454" w14:textId="77777777" w:rsidR="00F93DCA" w:rsidRDefault="00F93DCA" w:rsidP="00FD2B5D">
      <w:pPr>
        <w:pStyle w:val="CharCharChar2Char"/>
        <w:rPr>
          <w:rFonts w:ascii="Book Antiqua" w:hAnsi="Book Antiqua"/>
          <w:sz w:val="22"/>
          <w:szCs w:val="22"/>
        </w:rPr>
      </w:pPr>
    </w:p>
    <w:p w14:paraId="3C791254" w14:textId="77777777" w:rsidR="00F93DCA" w:rsidRDefault="00F93DCA" w:rsidP="00FD2B5D">
      <w:pPr>
        <w:pStyle w:val="CharCharChar2Char"/>
        <w:rPr>
          <w:rFonts w:ascii="Book Antiqua" w:hAnsi="Book Antiqua"/>
          <w:sz w:val="22"/>
          <w:szCs w:val="22"/>
        </w:rPr>
      </w:pPr>
    </w:p>
    <w:p w14:paraId="0BC0E501" w14:textId="77777777" w:rsidR="00F93DCA" w:rsidRDefault="00F93DCA" w:rsidP="00FD2B5D">
      <w:pPr>
        <w:pStyle w:val="CharCharChar2Char"/>
        <w:rPr>
          <w:rFonts w:ascii="Book Antiqua" w:hAnsi="Book Antiqua"/>
          <w:sz w:val="22"/>
          <w:szCs w:val="22"/>
        </w:rPr>
      </w:pPr>
    </w:p>
    <w:p w14:paraId="021E0B98" w14:textId="77777777" w:rsidR="00F93DCA" w:rsidRDefault="00F93DCA" w:rsidP="00FD2B5D">
      <w:pPr>
        <w:pStyle w:val="CharCharChar2Char"/>
        <w:rPr>
          <w:rFonts w:ascii="Book Antiqua" w:hAnsi="Book Antiqua"/>
          <w:sz w:val="22"/>
          <w:szCs w:val="22"/>
        </w:rPr>
      </w:pPr>
    </w:p>
    <w:p w14:paraId="55AF6A7C" w14:textId="77777777" w:rsidR="00F93DCA" w:rsidRDefault="00F93DCA" w:rsidP="00FD2B5D">
      <w:pPr>
        <w:pStyle w:val="CharCharChar2Char"/>
        <w:rPr>
          <w:rFonts w:ascii="Book Antiqua" w:hAnsi="Book Antiqua"/>
          <w:sz w:val="22"/>
          <w:szCs w:val="22"/>
        </w:rPr>
      </w:pPr>
    </w:p>
    <w:p w14:paraId="4594ED97" w14:textId="77777777" w:rsidR="00F93DCA" w:rsidRDefault="00F93DCA" w:rsidP="00FD2B5D">
      <w:pPr>
        <w:pStyle w:val="CharCharChar2Char"/>
        <w:rPr>
          <w:rFonts w:ascii="Book Antiqua" w:hAnsi="Book Antiqua"/>
          <w:sz w:val="22"/>
          <w:szCs w:val="22"/>
        </w:rPr>
      </w:pPr>
    </w:p>
    <w:p w14:paraId="7D6BA2D4" w14:textId="77777777" w:rsidR="00F93DCA" w:rsidRDefault="00F93DCA" w:rsidP="00FD2B5D">
      <w:pPr>
        <w:pStyle w:val="CharCharChar2Char"/>
        <w:rPr>
          <w:rFonts w:ascii="Book Antiqua" w:hAnsi="Book Antiqua"/>
          <w:sz w:val="22"/>
          <w:szCs w:val="22"/>
        </w:rPr>
      </w:pPr>
    </w:p>
    <w:p w14:paraId="25528B37" w14:textId="77777777" w:rsidR="00F93DCA" w:rsidRDefault="00F93DCA" w:rsidP="00FD2B5D">
      <w:pPr>
        <w:pStyle w:val="CharCharChar2Char"/>
        <w:rPr>
          <w:rFonts w:ascii="Book Antiqua" w:hAnsi="Book Antiqua"/>
          <w:sz w:val="22"/>
          <w:szCs w:val="22"/>
        </w:rPr>
      </w:pPr>
    </w:p>
    <w:p w14:paraId="6AB37B8B" w14:textId="77777777" w:rsidR="00BC481A" w:rsidRDefault="00BC481A" w:rsidP="00FD2B5D">
      <w:pPr>
        <w:pStyle w:val="CharCharChar2Char"/>
        <w:rPr>
          <w:rFonts w:ascii="Book Antiqua" w:hAnsi="Book Antiqua"/>
          <w:sz w:val="22"/>
          <w:szCs w:val="22"/>
        </w:rPr>
      </w:pPr>
    </w:p>
    <w:p w14:paraId="0297770A" w14:textId="77777777" w:rsidR="004721D4" w:rsidRDefault="004721D4" w:rsidP="009D09C9">
      <w:pPr>
        <w:pStyle w:val="CharCharChar2Char"/>
        <w:jc w:val="center"/>
        <w:rPr>
          <w:rFonts w:ascii="Book Antiqua" w:hAnsi="Book Antiqua"/>
          <w:sz w:val="22"/>
          <w:szCs w:val="22"/>
        </w:rPr>
      </w:pPr>
    </w:p>
    <w:p w14:paraId="07BE718F" w14:textId="58D8C54C" w:rsidR="00BC481A" w:rsidRDefault="00BC481A" w:rsidP="00FD2B5D">
      <w:pPr>
        <w:pStyle w:val="CharCharChar2Char"/>
        <w:rPr>
          <w:rFonts w:ascii="Book Antiqua" w:hAnsi="Book Antiqua"/>
          <w:sz w:val="22"/>
          <w:szCs w:val="22"/>
        </w:rPr>
      </w:pPr>
    </w:p>
    <w:p w14:paraId="0F15D01A" w14:textId="77777777" w:rsidR="0057225F" w:rsidRDefault="0057225F" w:rsidP="00FD2B5D">
      <w:pPr>
        <w:pStyle w:val="CharCharChar2Char"/>
        <w:rPr>
          <w:rFonts w:ascii="Book Antiqua" w:hAnsi="Book Antiqua"/>
          <w:sz w:val="22"/>
          <w:szCs w:val="22"/>
        </w:rPr>
      </w:pPr>
    </w:p>
    <w:p w14:paraId="301733E6" w14:textId="285CF062" w:rsidR="00ED7734" w:rsidRDefault="00ED7734" w:rsidP="00ED7734">
      <w:pPr>
        <w:jc w:val="center"/>
        <w:rPr>
          <w:rFonts w:ascii="Book Antiqua" w:hAnsi="Book Antiqua"/>
        </w:rPr>
      </w:pPr>
    </w:p>
    <w:p w14:paraId="107EA00B" w14:textId="0F400556" w:rsidR="0057225F" w:rsidRDefault="0057225F" w:rsidP="00ED7734">
      <w:pPr>
        <w:jc w:val="center"/>
        <w:rPr>
          <w:rFonts w:ascii="Book Antiqua" w:hAnsi="Book Antiqua"/>
        </w:rPr>
      </w:pPr>
    </w:p>
    <w:p w14:paraId="533990E1" w14:textId="2DAFA4B4" w:rsidR="004B6A09" w:rsidRDefault="004B6A09" w:rsidP="004B6A09">
      <w:pPr>
        <w:spacing w:after="160" w:line="259" w:lineRule="auto"/>
        <w:rPr>
          <w:rFonts w:ascii="Book Antiqua" w:eastAsia="Calibri" w:hAnsi="Book Antiqua"/>
          <w:sz w:val="22"/>
          <w:szCs w:val="22"/>
          <w:lang w:val="sr-Cyrl-RS"/>
        </w:rPr>
      </w:pPr>
    </w:p>
    <w:p w14:paraId="29477383" w14:textId="77777777" w:rsidR="006C1F25" w:rsidRDefault="006C1F25" w:rsidP="00CB2B74">
      <w:pPr>
        <w:spacing w:after="160" w:line="259" w:lineRule="auto"/>
        <w:jc w:val="center"/>
        <w:rPr>
          <w:rFonts w:ascii="Book Antiqua" w:eastAsia="Calibri" w:hAnsi="Book Antiqua"/>
          <w:sz w:val="22"/>
          <w:szCs w:val="22"/>
          <w:lang w:val="sr-Cyrl-RS"/>
        </w:rPr>
      </w:pPr>
    </w:p>
    <w:p w14:paraId="3E7D68E6" w14:textId="38BC4247" w:rsidR="00CB2B74" w:rsidRPr="0057225F" w:rsidRDefault="00CB2B74" w:rsidP="00CB2B74">
      <w:pPr>
        <w:spacing w:after="160" w:line="259" w:lineRule="auto"/>
        <w:jc w:val="center"/>
        <w:rPr>
          <w:rFonts w:ascii="Book Antiqua" w:eastAsia="Calibri" w:hAnsi="Book Antiqua"/>
          <w:sz w:val="22"/>
          <w:szCs w:val="22"/>
          <w:lang w:val="sr-Cyrl-RS"/>
        </w:rPr>
      </w:pPr>
      <w:r w:rsidRPr="00F91519">
        <w:rPr>
          <w:rFonts w:ascii="Book Antiqua" w:eastAsia="Calibri" w:hAnsi="Book Antiqua"/>
          <w:sz w:val="22"/>
          <w:szCs w:val="22"/>
          <w:lang w:val="sr-Cyrl-RS"/>
        </w:rPr>
        <w:t>INTRODUCTION</w:t>
      </w:r>
    </w:p>
    <w:p w14:paraId="6C2E0529" w14:textId="7690808D" w:rsidR="00CB2B74" w:rsidRPr="006C1F25" w:rsidRDefault="00CB2B74" w:rsidP="006C1F25">
      <w:pPr>
        <w:spacing w:after="120"/>
        <w:jc w:val="both"/>
        <w:rPr>
          <w:rFonts w:ascii="Book Antiqua" w:hAnsi="Book Antiqua"/>
          <w:sz w:val="22"/>
          <w:szCs w:val="22"/>
          <w:lang w:val="en-US"/>
        </w:rPr>
      </w:pPr>
      <w:r w:rsidRPr="006C1F25">
        <w:rPr>
          <w:rFonts w:ascii="Book Antiqua" w:eastAsia="Calibri" w:hAnsi="Book Antiqua"/>
          <w:sz w:val="22"/>
          <w:szCs w:val="22"/>
        </w:rPr>
        <w:t xml:space="preserve">The Protector of Citizens, in the capacity of a National Human Rights Institution and a National Preventive Mechanism, in accordance with the request of the United Nations Committee against Torture and Other Cruel, Inhuman or Degrading Treatment or Punishment (hereinafter: the Committee) from Article 45 of the Concluding Observations of December 2021, is pleased to submit to the Committee information on follow-up to the Committee’s recommendations </w:t>
      </w:r>
      <w:r w:rsidRPr="00BE5561">
        <w:rPr>
          <w:rFonts w:ascii="Book Antiqua" w:eastAsia="Calibri" w:hAnsi="Book Antiqua"/>
          <w:sz w:val="22"/>
          <w:szCs w:val="22"/>
        </w:rPr>
        <w:t>on the definition of torture, national human rights institution and impunity for acts of torture and ill-treatment contained in paragraphs 8, 12 and 20a of the Concluding Observations</w:t>
      </w:r>
      <w:r w:rsidR="006C1F25" w:rsidRPr="00BE5561">
        <w:rPr>
          <w:rFonts w:ascii="Book Antiqua" w:eastAsia="Calibri" w:hAnsi="Book Antiqua"/>
          <w:sz w:val="22"/>
          <w:szCs w:val="22"/>
        </w:rPr>
        <w:t xml:space="preserve"> </w:t>
      </w:r>
      <w:r w:rsidR="006C1F25" w:rsidRPr="00BE5561">
        <w:rPr>
          <w:rFonts w:ascii="Book Antiqua" w:hAnsi="Book Antiqua"/>
          <w:sz w:val="22"/>
          <w:szCs w:val="22"/>
        </w:rPr>
        <w:t>on the third periodic report of Serbia.</w:t>
      </w:r>
    </w:p>
    <w:p w14:paraId="3C88EC48" w14:textId="77777777" w:rsidR="00CB2B74" w:rsidRPr="00893161" w:rsidRDefault="00CB2B74" w:rsidP="006C1F25">
      <w:pPr>
        <w:spacing w:after="120"/>
        <w:jc w:val="both"/>
        <w:rPr>
          <w:rFonts w:ascii="Book Antiqua" w:eastAsia="Calibri" w:hAnsi="Book Antiqua"/>
          <w:sz w:val="22"/>
          <w:szCs w:val="22"/>
        </w:rPr>
      </w:pPr>
      <w:r w:rsidRPr="00893161">
        <w:rPr>
          <w:rFonts w:ascii="Book Antiqua" w:eastAsia="Calibri" w:hAnsi="Book Antiqua"/>
          <w:sz w:val="22"/>
          <w:szCs w:val="22"/>
        </w:rPr>
        <w:t>The Protector of Citizens is the National Human Rights Institution in the Republic of Serbia (NHRI) which was awarded the highest "A" status by the Global Alliance of National Human Rights Institutions (GANHRI) in 2010. At the GANHRI Sub-Committee on Accreditation session held in October 2021, the Protector of Citizens was re-accredited for the second time as a National Human Rights Institution in "A" status.</w:t>
      </w:r>
    </w:p>
    <w:p w14:paraId="6BDD5FB1" w14:textId="77777777" w:rsidR="00CB2B74" w:rsidRPr="00893161" w:rsidRDefault="00CB2B74" w:rsidP="006C1F25">
      <w:pPr>
        <w:spacing w:after="120"/>
        <w:jc w:val="both"/>
        <w:rPr>
          <w:rFonts w:ascii="Book Antiqua" w:hAnsi="Book Antiqua" w:cs="Arial"/>
          <w:sz w:val="22"/>
          <w:szCs w:val="22"/>
        </w:rPr>
      </w:pPr>
      <w:r w:rsidRPr="00893161">
        <w:rPr>
          <w:rFonts w:ascii="Book Antiqua" w:hAnsi="Book Antiqua" w:cs="Arial"/>
          <w:sz w:val="22"/>
          <w:szCs w:val="22"/>
        </w:rPr>
        <w:t>On 28 July 2011, the Republic of Serbia, in accordance with the Optional Protocol to the Convention against Torture and Other Cruel, Inhuman or Degrading Treatment or Punishment, established, that is, designated an independent body at the national level that will regularly visit places where persons are deprived of their liberty. The Law on Ratification of the Optional Protocol stipulates that the Protector of Citizens performs the tasks of the National Preventive Mechanism, as well as that, in performing those tasks, he cooperates with the ombudsmen of the autonomous provinces and associations whose statute stipulates that the goal of association is the promotion and protection of human rights and freedoms.</w:t>
      </w:r>
    </w:p>
    <w:p w14:paraId="26CD0843" w14:textId="3B62F789" w:rsidR="0057225F" w:rsidRDefault="00CB2B74" w:rsidP="006C1F25">
      <w:pPr>
        <w:spacing w:after="120"/>
        <w:jc w:val="both"/>
        <w:rPr>
          <w:rFonts w:ascii="Book Antiqua" w:eastAsia="Calibri" w:hAnsi="Book Antiqua"/>
          <w:sz w:val="22"/>
          <w:szCs w:val="22"/>
          <w:lang w:val="sr-Cyrl-RS"/>
        </w:rPr>
      </w:pPr>
      <w:r w:rsidRPr="00893161">
        <w:rPr>
          <w:rFonts w:ascii="Book Antiqua" w:hAnsi="Book Antiqua" w:cs="Arial"/>
          <w:sz w:val="22"/>
          <w:szCs w:val="22"/>
        </w:rPr>
        <w:t>Since its establishment, the Protector of Citizens has continuously developed and strengthened regional and international cooperation on a bilateral and multilateral level with relevant actors in the field of torture prevention and expresses the belief that this concise report will be a useful source of information for the Committee, especially considering the position of the Protector of Citizens as a National Human Rights Institution and a National Preventive Mechanism</w:t>
      </w:r>
      <w:r w:rsidR="00923079">
        <w:rPr>
          <w:rFonts w:ascii="Book Antiqua" w:hAnsi="Book Antiqua" w:cs="Arial"/>
          <w:sz w:val="22"/>
          <w:szCs w:val="22"/>
        </w:rPr>
        <w:t xml:space="preserve">. </w:t>
      </w:r>
    </w:p>
    <w:p w14:paraId="197D78D8" w14:textId="77777777" w:rsidR="0057225F" w:rsidRDefault="0057225F" w:rsidP="006C1F25">
      <w:pPr>
        <w:spacing w:after="120"/>
        <w:jc w:val="both"/>
        <w:rPr>
          <w:rFonts w:ascii="Book Antiqua" w:eastAsia="Calibri" w:hAnsi="Book Antiqua"/>
          <w:sz w:val="22"/>
          <w:szCs w:val="22"/>
          <w:lang w:val="sr-Cyrl-RS"/>
        </w:rPr>
      </w:pPr>
    </w:p>
    <w:p w14:paraId="778DA82D" w14:textId="77777777" w:rsidR="0057225F" w:rsidRDefault="0057225F" w:rsidP="006C1F25">
      <w:pPr>
        <w:spacing w:after="120"/>
        <w:jc w:val="center"/>
        <w:rPr>
          <w:rFonts w:ascii="Book Antiqua" w:eastAsia="Calibri" w:hAnsi="Book Antiqua"/>
          <w:sz w:val="22"/>
          <w:szCs w:val="22"/>
          <w:lang w:val="sr-Cyrl-RS"/>
        </w:rPr>
      </w:pPr>
    </w:p>
    <w:p w14:paraId="1DDDAF31" w14:textId="77777777" w:rsidR="0057225F" w:rsidRDefault="0057225F" w:rsidP="006C1F25">
      <w:pPr>
        <w:spacing w:after="120"/>
        <w:jc w:val="center"/>
        <w:rPr>
          <w:rFonts w:ascii="Book Antiqua" w:eastAsia="Calibri" w:hAnsi="Book Antiqua"/>
          <w:sz w:val="22"/>
          <w:szCs w:val="22"/>
          <w:lang w:val="sr-Cyrl-RS"/>
        </w:rPr>
      </w:pPr>
    </w:p>
    <w:p w14:paraId="130CC089" w14:textId="77777777" w:rsidR="0057225F" w:rsidRDefault="0057225F" w:rsidP="0057225F">
      <w:pPr>
        <w:spacing w:after="160" w:line="259" w:lineRule="auto"/>
        <w:jc w:val="center"/>
        <w:rPr>
          <w:rFonts w:ascii="Book Antiqua" w:eastAsia="Calibri" w:hAnsi="Book Antiqua"/>
          <w:sz w:val="22"/>
          <w:szCs w:val="22"/>
          <w:lang w:val="sr-Cyrl-RS"/>
        </w:rPr>
      </w:pPr>
    </w:p>
    <w:p w14:paraId="5B624789" w14:textId="77777777" w:rsidR="0057225F" w:rsidRDefault="0057225F" w:rsidP="0057225F">
      <w:pPr>
        <w:spacing w:after="160" w:line="259" w:lineRule="auto"/>
        <w:jc w:val="center"/>
        <w:rPr>
          <w:rFonts w:ascii="Book Antiqua" w:eastAsia="Calibri" w:hAnsi="Book Antiqua"/>
          <w:sz w:val="22"/>
          <w:szCs w:val="22"/>
          <w:lang w:val="sr-Cyrl-RS"/>
        </w:rPr>
      </w:pPr>
    </w:p>
    <w:p w14:paraId="1BA90039" w14:textId="77777777" w:rsidR="0057225F" w:rsidRDefault="0057225F" w:rsidP="0057225F">
      <w:pPr>
        <w:spacing w:after="160" w:line="259" w:lineRule="auto"/>
        <w:jc w:val="center"/>
        <w:rPr>
          <w:rFonts w:ascii="Book Antiqua" w:eastAsia="Calibri" w:hAnsi="Book Antiqua"/>
          <w:sz w:val="22"/>
          <w:szCs w:val="22"/>
          <w:lang w:val="sr-Cyrl-RS"/>
        </w:rPr>
      </w:pPr>
    </w:p>
    <w:p w14:paraId="0035B81D" w14:textId="77777777" w:rsidR="0057225F" w:rsidRDefault="0057225F" w:rsidP="0057225F">
      <w:pPr>
        <w:spacing w:after="160" w:line="259" w:lineRule="auto"/>
        <w:jc w:val="center"/>
        <w:rPr>
          <w:rFonts w:ascii="Book Antiqua" w:eastAsia="Calibri" w:hAnsi="Book Antiqua"/>
          <w:sz w:val="22"/>
          <w:szCs w:val="22"/>
          <w:lang w:val="sr-Cyrl-RS"/>
        </w:rPr>
      </w:pPr>
    </w:p>
    <w:p w14:paraId="3F8A71A9" w14:textId="77777777" w:rsidR="0057225F" w:rsidRDefault="0057225F" w:rsidP="0057225F">
      <w:pPr>
        <w:spacing w:after="160" w:line="259" w:lineRule="auto"/>
        <w:jc w:val="center"/>
        <w:rPr>
          <w:rFonts w:ascii="Book Antiqua" w:eastAsia="Calibri" w:hAnsi="Book Antiqua"/>
          <w:sz w:val="22"/>
          <w:szCs w:val="22"/>
          <w:lang w:val="sr-Cyrl-RS"/>
        </w:rPr>
      </w:pPr>
    </w:p>
    <w:p w14:paraId="256737C2" w14:textId="77777777" w:rsidR="0057225F" w:rsidRDefault="0057225F" w:rsidP="0057225F">
      <w:pPr>
        <w:spacing w:after="160" w:line="259" w:lineRule="auto"/>
        <w:jc w:val="center"/>
        <w:rPr>
          <w:rFonts w:ascii="Book Antiqua" w:eastAsia="Calibri" w:hAnsi="Book Antiqua"/>
          <w:sz w:val="22"/>
          <w:szCs w:val="22"/>
          <w:lang w:val="sr-Cyrl-RS"/>
        </w:rPr>
      </w:pPr>
    </w:p>
    <w:p w14:paraId="59F9FB87" w14:textId="77777777" w:rsidR="0057225F" w:rsidRDefault="0057225F" w:rsidP="0057225F">
      <w:pPr>
        <w:spacing w:after="160" w:line="259" w:lineRule="auto"/>
        <w:jc w:val="center"/>
        <w:rPr>
          <w:rFonts w:ascii="Book Antiqua" w:eastAsia="Calibri" w:hAnsi="Book Antiqua"/>
          <w:sz w:val="22"/>
          <w:szCs w:val="22"/>
          <w:lang w:val="sr-Cyrl-RS"/>
        </w:rPr>
      </w:pPr>
    </w:p>
    <w:p w14:paraId="11341081" w14:textId="77777777" w:rsidR="0057225F" w:rsidRDefault="0057225F" w:rsidP="0057225F">
      <w:pPr>
        <w:spacing w:after="160" w:line="259" w:lineRule="auto"/>
        <w:jc w:val="center"/>
        <w:rPr>
          <w:rFonts w:ascii="Book Antiqua" w:eastAsia="Calibri" w:hAnsi="Book Antiqua"/>
          <w:sz w:val="22"/>
          <w:szCs w:val="22"/>
          <w:lang w:val="sr-Cyrl-RS"/>
        </w:rPr>
      </w:pPr>
    </w:p>
    <w:p w14:paraId="554DC2A2" w14:textId="7964981D" w:rsidR="0057225F" w:rsidRDefault="0057225F" w:rsidP="0057225F">
      <w:pPr>
        <w:spacing w:after="160" w:line="259" w:lineRule="auto"/>
        <w:jc w:val="center"/>
        <w:rPr>
          <w:rFonts w:ascii="Book Antiqua" w:eastAsia="Calibri" w:hAnsi="Book Antiqua"/>
          <w:sz w:val="22"/>
          <w:szCs w:val="22"/>
          <w:lang w:val="sr-Cyrl-RS"/>
        </w:rPr>
      </w:pPr>
    </w:p>
    <w:p w14:paraId="232C886C" w14:textId="77777777" w:rsidR="0057225F" w:rsidRDefault="0057225F" w:rsidP="0057225F">
      <w:pPr>
        <w:spacing w:after="160" w:line="259" w:lineRule="auto"/>
        <w:jc w:val="center"/>
        <w:rPr>
          <w:rFonts w:ascii="Book Antiqua" w:eastAsia="Calibri" w:hAnsi="Book Antiqua"/>
          <w:sz w:val="22"/>
          <w:szCs w:val="22"/>
          <w:lang w:val="sr-Cyrl-RS"/>
        </w:rPr>
      </w:pPr>
    </w:p>
    <w:p w14:paraId="3520F39D" w14:textId="77777777" w:rsidR="00923079" w:rsidRDefault="00923079" w:rsidP="004B6A09">
      <w:pPr>
        <w:spacing w:after="120"/>
        <w:jc w:val="both"/>
        <w:rPr>
          <w:rFonts w:ascii="Book Antiqua" w:eastAsia="Calibri" w:hAnsi="Book Antiqua"/>
          <w:b/>
          <w:sz w:val="22"/>
          <w:szCs w:val="22"/>
          <w:lang w:val="sr-Cyrl-RS"/>
        </w:rPr>
      </w:pPr>
    </w:p>
    <w:p w14:paraId="0AFA7723" w14:textId="77777777" w:rsidR="006C1F25" w:rsidRDefault="006C1F25" w:rsidP="00923079">
      <w:pPr>
        <w:spacing w:after="120"/>
        <w:jc w:val="center"/>
        <w:rPr>
          <w:rFonts w:ascii="Book Antiqua" w:eastAsia="Calibri" w:hAnsi="Book Antiqua"/>
          <w:b/>
          <w:sz w:val="22"/>
          <w:szCs w:val="22"/>
        </w:rPr>
      </w:pPr>
    </w:p>
    <w:p w14:paraId="06ACA462" w14:textId="77777777" w:rsidR="006C1F25" w:rsidRDefault="006C1F25" w:rsidP="00923079">
      <w:pPr>
        <w:spacing w:after="120"/>
        <w:jc w:val="center"/>
        <w:rPr>
          <w:rFonts w:ascii="Book Antiqua" w:eastAsia="Calibri" w:hAnsi="Book Antiqua"/>
          <w:b/>
          <w:sz w:val="22"/>
          <w:szCs w:val="22"/>
        </w:rPr>
      </w:pPr>
    </w:p>
    <w:p w14:paraId="2A6F6434" w14:textId="1129ABB3" w:rsidR="00923079" w:rsidRPr="00923079" w:rsidRDefault="00923079" w:rsidP="00923079">
      <w:pPr>
        <w:spacing w:after="120"/>
        <w:jc w:val="center"/>
        <w:rPr>
          <w:rFonts w:ascii="Book Antiqua" w:eastAsia="Calibri" w:hAnsi="Book Antiqua"/>
          <w:b/>
          <w:sz w:val="22"/>
          <w:szCs w:val="22"/>
          <w:lang w:val="sr-Cyrl-RS"/>
        </w:rPr>
      </w:pPr>
      <w:r w:rsidRPr="00923079">
        <w:rPr>
          <w:rFonts w:ascii="Book Antiqua" w:eastAsia="Calibri" w:hAnsi="Book Antiqua"/>
          <w:b/>
          <w:sz w:val="22"/>
          <w:szCs w:val="22"/>
        </w:rPr>
        <w:t>INFORMATION ON FOLLOW-UP TO THE COMMITTEE’S RECOMMENDATIONS ON THE DEFINITION OF TORTURE, NATIONAL HUMAN RIGHTS INSTITUTION AND IMPUNITY FOR ACTS OF TORTURE AND ILL-TREATMENT CONTAINED IN PARAGRAPHS 8, 12 AND 20A OF THE CONCLUDING OBSERVATIONS</w:t>
      </w:r>
    </w:p>
    <w:p w14:paraId="0FB72269" w14:textId="77777777" w:rsidR="00923079" w:rsidRPr="00923079" w:rsidRDefault="00923079" w:rsidP="004B6A09">
      <w:pPr>
        <w:spacing w:after="120"/>
        <w:jc w:val="both"/>
        <w:rPr>
          <w:rFonts w:ascii="Book Antiqua" w:eastAsia="Calibri" w:hAnsi="Book Antiqua"/>
          <w:b/>
          <w:sz w:val="22"/>
          <w:szCs w:val="22"/>
          <w:lang w:val="sr-Cyrl-RS"/>
        </w:rPr>
      </w:pPr>
    </w:p>
    <w:p w14:paraId="4E279BD6" w14:textId="1BCFD8A6" w:rsidR="004B6A09" w:rsidRPr="00923079" w:rsidRDefault="004B6A09" w:rsidP="00923079">
      <w:pPr>
        <w:spacing w:after="120"/>
        <w:jc w:val="both"/>
        <w:rPr>
          <w:rFonts w:ascii="Book Antiqua" w:hAnsi="Book Antiqua"/>
          <w:b/>
          <w:sz w:val="22"/>
          <w:szCs w:val="22"/>
        </w:rPr>
      </w:pPr>
      <w:r w:rsidRPr="00923079">
        <w:rPr>
          <w:rFonts w:ascii="Book Antiqua" w:hAnsi="Book Antiqua"/>
          <w:b/>
          <w:sz w:val="22"/>
          <w:szCs w:val="22"/>
          <w:lang w:val="sr-Cyrl-RS"/>
        </w:rPr>
        <w:t xml:space="preserve">8. </w:t>
      </w:r>
      <w:r w:rsidRPr="00923079">
        <w:rPr>
          <w:rFonts w:ascii="Book Antiqua" w:hAnsi="Book Antiqua"/>
          <w:b/>
          <w:sz w:val="22"/>
          <w:szCs w:val="22"/>
        </w:rPr>
        <w:t xml:space="preserve">Definition of torture </w:t>
      </w:r>
    </w:p>
    <w:p w14:paraId="58279747" w14:textId="77777777" w:rsidR="00CB2B74" w:rsidRPr="00923079" w:rsidRDefault="00CB2B74" w:rsidP="00923079">
      <w:pPr>
        <w:spacing w:after="120"/>
        <w:jc w:val="both"/>
        <w:rPr>
          <w:rFonts w:ascii="Book Antiqua" w:hAnsi="Book Antiqua"/>
          <w:sz w:val="22"/>
          <w:szCs w:val="22"/>
        </w:rPr>
      </w:pPr>
      <w:r w:rsidRPr="00923079">
        <w:rPr>
          <w:rFonts w:ascii="Book Antiqua" w:hAnsi="Book Antiqua"/>
          <w:b/>
          <w:sz w:val="22"/>
          <w:szCs w:val="22"/>
        </w:rPr>
        <w:t xml:space="preserve">8. </w:t>
      </w:r>
      <w:r w:rsidRPr="00923079">
        <w:rPr>
          <w:rFonts w:ascii="Book Antiqua" w:hAnsi="Book Antiqua"/>
          <w:sz w:val="22"/>
          <w:szCs w:val="22"/>
        </w:rPr>
        <w:t>The current Criminal Code has not yet been amended in the recommended direction,</w:t>
      </w:r>
      <w:r w:rsidRPr="00923079">
        <w:rPr>
          <w:sz w:val="22"/>
          <w:szCs w:val="22"/>
        </w:rPr>
        <w:t xml:space="preserve"> </w:t>
      </w:r>
      <w:r w:rsidRPr="00923079">
        <w:rPr>
          <w:rFonts w:ascii="Book Antiqua" w:hAnsi="Book Antiqua"/>
          <w:sz w:val="22"/>
          <w:szCs w:val="22"/>
        </w:rPr>
        <w:t>despite the fact that the Protector of Citizens has been pointing out the need for this for many years.</w:t>
      </w:r>
    </w:p>
    <w:p w14:paraId="01E36CB8" w14:textId="2008E10F" w:rsidR="00CB2B74" w:rsidRPr="00923079" w:rsidRDefault="00CB2B74" w:rsidP="00923079">
      <w:pPr>
        <w:spacing w:after="120"/>
        <w:jc w:val="both"/>
        <w:rPr>
          <w:rFonts w:ascii="Book Antiqua" w:hAnsi="Book Antiqua"/>
          <w:b/>
          <w:sz w:val="22"/>
          <w:szCs w:val="22"/>
          <w:lang w:val="sr-Latn-RS"/>
        </w:rPr>
      </w:pPr>
      <w:r w:rsidRPr="00923079">
        <w:rPr>
          <w:rFonts w:ascii="Book Antiqua" w:hAnsi="Book Antiqua"/>
          <w:b/>
          <w:sz w:val="22"/>
          <w:szCs w:val="22"/>
          <w:lang w:val="sr-Latn-RS"/>
        </w:rPr>
        <w:t xml:space="preserve">12. </w:t>
      </w:r>
      <w:r w:rsidRPr="00923079">
        <w:rPr>
          <w:rFonts w:ascii="Book Antiqua" w:hAnsi="Book Antiqua"/>
          <w:b/>
          <w:sz w:val="22"/>
          <w:szCs w:val="22"/>
        </w:rPr>
        <w:t xml:space="preserve">National </w:t>
      </w:r>
      <w:r w:rsidRPr="00923079">
        <w:rPr>
          <w:rFonts w:ascii="Book Antiqua" w:hAnsi="Book Antiqua"/>
          <w:b/>
          <w:bCs/>
          <w:sz w:val="22"/>
          <w:szCs w:val="22"/>
        </w:rPr>
        <w:t>human rights institution</w:t>
      </w:r>
    </w:p>
    <w:p w14:paraId="0CCE6DDE" w14:textId="5A8383A7" w:rsidR="00CB2B74" w:rsidRPr="00923079" w:rsidRDefault="00CB2B74" w:rsidP="00923079">
      <w:pPr>
        <w:spacing w:after="120"/>
        <w:jc w:val="both"/>
        <w:rPr>
          <w:rFonts w:ascii="Book Antiqua" w:hAnsi="Book Antiqua"/>
          <w:sz w:val="22"/>
          <w:szCs w:val="22"/>
        </w:rPr>
      </w:pPr>
      <w:r w:rsidRPr="00923079">
        <w:rPr>
          <w:rFonts w:ascii="Book Antiqua" w:hAnsi="Book Antiqua"/>
          <w:sz w:val="22"/>
          <w:szCs w:val="22"/>
        </w:rPr>
        <w:t>In November 2021, the National Assembly of the Republic of Serbia adopted the new Law on the Protector of Citizens, which improves the independence and efficiency of work of this institution. The Protector of Citizens was entrusted with new competences – the tasks of the National Independent Mechanism for monitoring the implementation of the Convention on the Rights of Persons with Disabilities, the tasks of the National Rapporteur on Trafficking in Human Beings and the position of a special body that protects, promotes and improves the rights of the child. The new law also includes a provision that the Protector of Citizens carries out the tasks of the National Preventive Mechanism, which were entrusted to him in 2011 by the Law on the Ratification of the Optional Protocol to the UN Convention against Torture and Other Cruel, Inhuman or Degrading Treatment or Punishment.</w:t>
      </w:r>
    </w:p>
    <w:p w14:paraId="665998C4" w14:textId="77777777" w:rsidR="00CB2B74" w:rsidRPr="00923079" w:rsidRDefault="00CB2B74" w:rsidP="00923079">
      <w:pPr>
        <w:spacing w:after="120"/>
        <w:jc w:val="both"/>
        <w:rPr>
          <w:rFonts w:ascii="Book Antiqua" w:hAnsi="Book Antiqua"/>
          <w:sz w:val="22"/>
          <w:szCs w:val="22"/>
        </w:rPr>
      </w:pPr>
      <w:r w:rsidRPr="00923079">
        <w:rPr>
          <w:rFonts w:ascii="Book Antiqua" w:hAnsi="Book Antiqua"/>
          <w:sz w:val="22"/>
          <w:szCs w:val="22"/>
        </w:rPr>
        <w:t>Also, in November 2021, the Protector of Citizens was re-accredited as a national human rights institution in the highest "A" status by the Global Alliance of National Human Rights Institutions (GANHRI).</w:t>
      </w:r>
    </w:p>
    <w:p w14:paraId="1646941A" w14:textId="77777777" w:rsidR="00CB2B74" w:rsidRPr="00923079" w:rsidRDefault="00CB2B74" w:rsidP="00923079">
      <w:pPr>
        <w:pStyle w:val="Default"/>
        <w:spacing w:after="120"/>
        <w:jc w:val="both"/>
        <w:rPr>
          <w:sz w:val="22"/>
          <w:szCs w:val="22"/>
          <w:lang w:val="en-GB"/>
        </w:rPr>
      </w:pPr>
      <w:r w:rsidRPr="00923079">
        <w:rPr>
          <w:sz w:val="22"/>
          <w:szCs w:val="22"/>
          <w:lang w:val="en-GB"/>
        </w:rPr>
        <w:t>In the period from 1 December 2021 to 30 December 2022, the Protector of Citizens, in performing the tasks of the National Preventive Mechanism, made 88 visits to places where persons are or may be deprived of their liberty, and of the mentioned number, 87 visits were carried out by the NPM during 2022. Also, in the mentioned period, the NPM carried out 6 oversights of the procedure of forced returns of 24 foreigners.</w:t>
      </w:r>
    </w:p>
    <w:p w14:paraId="2CAC6C22" w14:textId="77777777" w:rsidR="00CB2B74" w:rsidRPr="00923079" w:rsidRDefault="00CB2B74" w:rsidP="00923079">
      <w:pPr>
        <w:tabs>
          <w:tab w:val="left" w:pos="6372"/>
        </w:tabs>
        <w:spacing w:after="120"/>
        <w:jc w:val="both"/>
        <w:rPr>
          <w:rFonts w:ascii="Book Antiqua" w:hAnsi="Book Antiqua" w:cs="Arial"/>
          <w:sz w:val="22"/>
          <w:szCs w:val="22"/>
        </w:rPr>
      </w:pPr>
      <w:r w:rsidRPr="00923079">
        <w:rPr>
          <w:rFonts w:ascii="Book Antiqua" w:hAnsi="Book Antiqua"/>
          <w:sz w:val="22"/>
          <w:szCs w:val="22"/>
        </w:rPr>
        <w:t>In order to monitor the conduct of the police towards the apprehended, arrested and detained persons, during 2022, the NPM made 49 visits to police administrations and police stations within their composition. All the visits were unannounced, individual and at night. Treatment of detained persons was also monitored during visits to institutions for the enforcement of penal sanctions, given the practice that in certain police administrations, premises in these institutions are used to detain persons based on the Code of Criminal Procedure. Also, during visits to institutions for the enforcement of penal sanctions, the NPM conducted interviews with pre-trial detainees, with the aim of gathering information about the conduct of police officers towards them during their deprivation of liberty, during detention, as well as during the application of other police powers</w:t>
      </w:r>
      <w:r w:rsidRPr="00923079">
        <w:rPr>
          <w:rFonts w:ascii="Book Antiqua" w:hAnsi="Book Antiqua" w:cs="Arial"/>
          <w:sz w:val="22"/>
          <w:szCs w:val="22"/>
        </w:rPr>
        <w:t>.</w:t>
      </w:r>
    </w:p>
    <w:p w14:paraId="6DBD2127" w14:textId="77777777" w:rsidR="00CB2B74" w:rsidRPr="00923079" w:rsidRDefault="00CB2B74" w:rsidP="00923079">
      <w:pPr>
        <w:pStyle w:val="NormalWeb"/>
        <w:shd w:val="clear" w:color="auto" w:fill="FFFFFF"/>
        <w:spacing w:after="120"/>
        <w:rPr>
          <w:rFonts w:ascii="Book Antiqua" w:hAnsi="Book Antiqua" w:cs="Arial"/>
          <w:sz w:val="22"/>
          <w:szCs w:val="22"/>
          <w:lang w:val="en-GB"/>
        </w:rPr>
      </w:pPr>
      <w:r w:rsidRPr="00923079">
        <w:rPr>
          <w:rFonts w:ascii="Book Antiqua" w:hAnsi="Book Antiqua"/>
          <w:sz w:val="22"/>
          <w:szCs w:val="22"/>
          <w:lang w:val="en-GB"/>
        </w:rPr>
        <w:t>This year, 26 visits were made to institutions for the enforcement of penal sanctions, which, except for one, were also all unannounced. This year, the NPM made the first systematic visit to the Penal-Correctional Institution in Požarevac – Zabela - the Special Department for Serving the Prison Sentence for Organised Crime Offences. During the visit, a systematic control of the situation in the Special Department was carried out in terms of respect for the rights of persons deprived of their liberty who are serving their prison sentences in a special regime. This year as well, thematic visits were made to institutions for the enforcement of penal sanctions in order to monitor the treatment of persons deprived of their liberty who are in solitary confinement, i.e. in any form of isolation from other persons deprived of their liberty</w:t>
      </w:r>
      <w:r w:rsidRPr="00923079">
        <w:rPr>
          <w:rFonts w:ascii="Book Antiqua" w:hAnsi="Book Antiqua" w:cs="Arial"/>
          <w:sz w:val="22"/>
          <w:szCs w:val="22"/>
          <w:lang w:val="en-GB"/>
        </w:rPr>
        <w:t>.</w:t>
      </w:r>
    </w:p>
    <w:p w14:paraId="0BADB5FB" w14:textId="77777777" w:rsidR="00CB2B74" w:rsidRPr="00923079" w:rsidRDefault="00CB2B74" w:rsidP="00923079">
      <w:pPr>
        <w:pStyle w:val="Default"/>
        <w:spacing w:after="120"/>
        <w:jc w:val="both"/>
        <w:rPr>
          <w:color w:val="auto"/>
          <w:sz w:val="22"/>
          <w:szCs w:val="22"/>
          <w:lang w:val="en-GB"/>
        </w:rPr>
      </w:pPr>
      <w:r w:rsidRPr="00923079">
        <w:rPr>
          <w:color w:val="auto"/>
          <w:sz w:val="22"/>
          <w:szCs w:val="22"/>
          <w:lang w:val="en-GB"/>
        </w:rPr>
        <w:lastRenderedPageBreak/>
        <w:t>When it comes to visits to psychiatric institutions, since the beginning of the year, 4 visits have been made, of which 3 were announced, due to the fact that they were the first, systematic visits of the NPM to the visited institutions, while one control visit was unannounced.</w:t>
      </w:r>
    </w:p>
    <w:p w14:paraId="222B0560" w14:textId="0CCFD79A" w:rsidR="00CB2B74" w:rsidRPr="00923079" w:rsidRDefault="00CB2B74" w:rsidP="00923079">
      <w:pPr>
        <w:spacing w:after="120"/>
        <w:jc w:val="both"/>
        <w:rPr>
          <w:rFonts w:ascii="Book Antiqua" w:hAnsi="Book Antiqua"/>
          <w:sz w:val="22"/>
          <w:szCs w:val="22"/>
        </w:rPr>
      </w:pPr>
      <w:r w:rsidRPr="00923079">
        <w:rPr>
          <w:rFonts w:ascii="Book Antiqua" w:hAnsi="Book Antiqua"/>
          <w:sz w:val="22"/>
          <w:szCs w:val="22"/>
        </w:rPr>
        <w:t xml:space="preserve">Compared to the previous period, when the NPM team was not allowed to </w:t>
      </w:r>
      <w:r w:rsidR="00BE5561">
        <w:rPr>
          <w:rFonts w:ascii="Book Antiqua" w:hAnsi="Book Antiqua"/>
          <w:sz w:val="22"/>
          <w:szCs w:val="22"/>
        </w:rPr>
        <w:t>fulfil</w:t>
      </w:r>
      <w:r w:rsidRPr="00923079">
        <w:rPr>
          <w:rFonts w:ascii="Book Antiqua" w:hAnsi="Book Antiqua"/>
          <w:sz w:val="22"/>
          <w:szCs w:val="22"/>
        </w:rPr>
        <w:t xml:space="preserve"> its mandate in social welfare homes in several visits, in this period, the NPM fulfilled its mandate without hindrance and since the beginning of the year, made 6 visits to social welfare homes, of which two visits were unannounced. </w:t>
      </w:r>
    </w:p>
    <w:p w14:paraId="6779E746" w14:textId="77777777" w:rsidR="00CB2B74" w:rsidRPr="00923079" w:rsidRDefault="00CB2B74" w:rsidP="00923079">
      <w:pPr>
        <w:spacing w:after="120"/>
        <w:jc w:val="both"/>
        <w:rPr>
          <w:rFonts w:ascii="Book Antiqua" w:hAnsi="Book Antiqua"/>
          <w:sz w:val="22"/>
          <w:szCs w:val="22"/>
        </w:rPr>
      </w:pPr>
      <w:r w:rsidRPr="00923079">
        <w:rPr>
          <w:rFonts w:ascii="Book Antiqua" w:hAnsi="Book Antiqua"/>
          <w:sz w:val="22"/>
          <w:szCs w:val="22"/>
        </w:rPr>
        <w:t>In addition, this year, the NPM paid special attention to the position of children in conflict with the law, and in this regard, made the first systematic visit to the Institution for the Education of Children and Youth in Knjaževac.</w:t>
      </w:r>
    </w:p>
    <w:p w14:paraId="4AAA597F" w14:textId="77777777" w:rsidR="00CB2B74" w:rsidRPr="00923079" w:rsidRDefault="00CB2B74" w:rsidP="00923079">
      <w:pPr>
        <w:pStyle w:val="Default"/>
        <w:spacing w:after="120"/>
        <w:jc w:val="both"/>
        <w:rPr>
          <w:sz w:val="22"/>
          <w:szCs w:val="22"/>
          <w:lang w:val="en-GB"/>
        </w:rPr>
      </w:pPr>
      <w:r w:rsidRPr="00923079">
        <w:rPr>
          <w:sz w:val="22"/>
          <w:szCs w:val="22"/>
          <w:lang w:val="en-GB"/>
        </w:rPr>
        <w:t>In this year, the NPM made the first two-day systematic visit to the newly opened Reception Centre for foreigners in Dimitrovgrad, as well as an extraordinary unannounced visit to the "Nikola Tesla" Airport, because of the information it received about the conditions in which foreigners who have been refused entry to the country reside.</w:t>
      </w:r>
    </w:p>
    <w:p w14:paraId="04383AA7" w14:textId="77777777" w:rsidR="00CB2B74" w:rsidRPr="00923079" w:rsidRDefault="00CB2B74" w:rsidP="00923079">
      <w:pPr>
        <w:pStyle w:val="Default"/>
        <w:spacing w:after="120"/>
        <w:jc w:val="both"/>
        <w:rPr>
          <w:sz w:val="22"/>
          <w:szCs w:val="22"/>
          <w:lang w:val="en-GB"/>
        </w:rPr>
      </w:pPr>
      <w:r w:rsidRPr="00923079">
        <w:rPr>
          <w:bCs/>
          <w:sz w:val="22"/>
          <w:szCs w:val="22"/>
          <w:lang w:val="en-GB"/>
        </w:rPr>
        <w:t>Institutions where persons deprived of their liberty are located, which the NPM visited and issued recommendations to, achieved good cooperation, that enabled the NPM to act in accordance with its mandate established by the Optional Protocol to the UN Convention against Torture (enabling announced and unannounced visits to detention facilities, access to all premises and installations, insight into all data, as well as conducting interviews with all persons deprived of their liberty, employees and any other persons chosen by the NPM).</w:t>
      </w:r>
    </w:p>
    <w:p w14:paraId="7C2EC027" w14:textId="77777777" w:rsidR="00CB2B74" w:rsidRPr="00923079" w:rsidRDefault="00CB2B74" w:rsidP="00923079">
      <w:pPr>
        <w:spacing w:after="120"/>
        <w:jc w:val="both"/>
        <w:rPr>
          <w:rFonts w:ascii="Book Antiqua" w:hAnsi="Book Antiqua"/>
          <w:sz w:val="22"/>
          <w:szCs w:val="22"/>
        </w:rPr>
      </w:pPr>
      <w:r w:rsidRPr="00923079">
        <w:rPr>
          <w:rFonts w:ascii="Book Antiqua" w:hAnsi="Book Antiqua"/>
          <w:sz w:val="22"/>
          <w:szCs w:val="22"/>
        </w:rPr>
        <w:t>In addition to employees from the Protector of Citizens, i.e. the NPM, representatives of the Provincial Ombudsman also participated in the visits and preparation of reports and recommendations, when it comes to visits to institutions located on the territory of AP Vojvodina, as well as representatives of civil society organizations with which the Protector of Citizens has concluded cooperation agreements.</w:t>
      </w:r>
    </w:p>
    <w:p w14:paraId="288E8DCF" w14:textId="77777777" w:rsidR="00CB2B74" w:rsidRPr="00923079" w:rsidRDefault="00CB2B74" w:rsidP="00923079">
      <w:pPr>
        <w:spacing w:after="120"/>
        <w:jc w:val="both"/>
        <w:rPr>
          <w:rFonts w:ascii="Book Antiqua" w:hAnsi="Book Antiqua" w:cs="Arial"/>
          <w:sz w:val="22"/>
          <w:szCs w:val="22"/>
        </w:rPr>
      </w:pPr>
      <w:r w:rsidRPr="00923079">
        <w:rPr>
          <w:rFonts w:ascii="Book Antiqua" w:hAnsi="Book Antiqua"/>
          <w:sz w:val="22"/>
          <w:szCs w:val="22"/>
        </w:rPr>
        <w:t>The Protector of Citizens, after conducting a public call, which was published on 22 July 2022, made a Decision on the selection of associations with which it will continue to cooperate in the future in carrying out the tasks of the NPM, and in accordance with the above, agreements on cooperation were concluded with associations with which the NPM has cooperated so far: the Human Rights Committee Valjevo, Centre for Youth Integration, Victimology Society of Serbia, Helsinki Committee for Human Rights in Serbia, Lawyers’ Committee for Human Rights, as well as with a new association Klikaktiv – Centre for the Development of Social Policies, thereby increasing the number of associations with which the Protector of Citizens cooperates in carrying out the tasks of the NPM to six</w:t>
      </w:r>
      <w:r w:rsidRPr="00923079">
        <w:rPr>
          <w:rFonts w:ascii="Book Antiqua" w:hAnsi="Book Antiqua" w:cs="Arial"/>
          <w:sz w:val="22"/>
          <w:szCs w:val="22"/>
        </w:rPr>
        <w:t xml:space="preserve">. </w:t>
      </w:r>
    </w:p>
    <w:p w14:paraId="7FE2F891" w14:textId="77777777" w:rsidR="00CB2B74" w:rsidRPr="00923079" w:rsidRDefault="00CB2B74" w:rsidP="00923079">
      <w:pPr>
        <w:pStyle w:val="NormalWeb"/>
        <w:shd w:val="clear" w:color="auto" w:fill="FFFFFF"/>
        <w:spacing w:after="120"/>
        <w:rPr>
          <w:rFonts w:ascii="Book Antiqua" w:hAnsi="Book Antiqua" w:cs="Arial"/>
          <w:sz w:val="22"/>
          <w:szCs w:val="22"/>
          <w:lang w:val="en-GB"/>
        </w:rPr>
      </w:pPr>
      <w:r w:rsidRPr="00923079">
        <w:rPr>
          <w:rFonts w:ascii="Book Antiqua" w:hAnsi="Book Antiqua" w:cs="Arial"/>
          <w:sz w:val="22"/>
          <w:szCs w:val="22"/>
          <w:lang w:val="en-GB"/>
        </w:rPr>
        <w:t>This year, as part of the project "Enhancing human rights protection for detained and sentenced persons ", phase II, the Protector of Citizens, in cooperation with the Council of Europe, participated in the trainings of health care workers and employees of social protection institutions related to the treatment of persons placed in psychiatric institutions and social welfare homes. The training participants had the opportunity to learn about the general standards of the Council of Europe regarding the protection of rights of persons in these institutions, the compliance of domestic regulations with the standards of the Council of Europe, the recommendations of the European Committee for the Prevention of Torture and Inhuman or Degrading Treatment or Punishment (CPT) after the visit to the Republic of Serbia in 2021, with the mandate and work methodology of the NPM and the most significant recommendations of the NPM issued to the visited institutions and competent ministries. In addition to the consultants of the Council of Europe, the trainings were also held by the Deputy Protector of Citizens and the head of the NPM and the NPM employees.</w:t>
      </w:r>
    </w:p>
    <w:p w14:paraId="4166BF9F" w14:textId="77777777" w:rsidR="00CB2B74" w:rsidRPr="00923079" w:rsidRDefault="00CB2B74" w:rsidP="00923079">
      <w:pPr>
        <w:tabs>
          <w:tab w:val="left" w:pos="0"/>
        </w:tabs>
        <w:spacing w:after="120"/>
        <w:jc w:val="both"/>
        <w:rPr>
          <w:rFonts w:ascii="Book Antiqua" w:hAnsi="Book Antiqua" w:cs="Arial"/>
          <w:sz w:val="22"/>
          <w:szCs w:val="22"/>
        </w:rPr>
      </w:pPr>
      <w:r w:rsidRPr="00923079">
        <w:rPr>
          <w:rFonts w:ascii="Book Antiqua" w:hAnsi="Book Antiqua" w:cs="Arial"/>
          <w:sz w:val="22"/>
          <w:szCs w:val="22"/>
        </w:rPr>
        <w:t xml:space="preserve">In accordance with the NPM's work methodology, in the reports on visits to institutions where persons are or may be deprived of their liberty, the NPM determines the conditions and </w:t>
      </w:r>
      <w:r w:rsidRPr="00923079">
        <w:rPr>
          <w:rFonts w:ascii="Book Antiqua" w:hAnsi="Book Antiqua" w:cs="Arial"/>
          <w:sz w:val="22"/>
          <w:szCs w:val="22"/>
        </w:rPr>
        <w:lastRenderedPageBreak/>
        <w:t>circumstances that may favour the occurrence of any form of abuse and issues recommendations for eliminating the observed shortcomings. When the NPM determines that certain conditions and circumstances may favour the occurrence of abuse, it issues recommendations to the visited institution so that the institution can improve its actions and bring them into line with applicable regulations and standards. Along with the issued recommendation, the relevant regulations and standards with which the actions should be harmonized are also referenced. The reports are submitted to the visited institution and the competent ministry, which, as a rule, are given a deadline in which to declare themselves on the handling of the recommendations. After that, if necessary, a dialogue is established with the visited institution, i.e. the relevant ministry, with the aim of assessing the situation in the visited institution and the system as a whole, primarily to find the best way to implement the recommendations issued by the NPM after the conducted visit.</w:t>
      </w:r>
    </w:p>
    <w:p w14:paraId="1DD214CD" w14:textId="77777777" w:rsidR="00CB2B74" w:rsidRPr="00923079" w:rsidRDefault="00CB2B74" w:rsidP="00923079">
      <w:pPr>
        <w:spacing w:after="120"/>
        <w:jc w:val="both"/>
        <w:rPr>
          <w:rFonts w:ascii="Book Antiqua" w:hAnsi="Book Antiqua"/>
          <w:sz w:val="22"/>
          <w:szCs w:val="22"/>
        </w:rPr>
      </w:pPr>
      <w:r w:rsidRPr="00923079">
        <w:rPr>
          <w:rFonts w:ascii="Book Antiqua" w:hAnsi="Book Antiqua"/>
          <w:sz w:val="22"/>
          <w:szCs w:val="22"/>
        </w:rPr>
        <w:t>Also, in accordance with the NPM Work Methodology, in order to maintain a balance between confidentiality and transparency in work, the NPM report on the visit to the institution, in which all personal data are anonymized, is published after receiving the response of the visited institutions and the competent ministry on the activities undertaken in order to act on the recommendations from the NPM report. The reports and responses of the authorities are published on the website of the Protector of Citizens and the NPM sub-page. All the reports that were sent to the competent authorities this year are published and publicly available in this way.</w:t>
      </w:r>
    </w:p>
    <w:p w14:paraId="1F74AE61" w14:textId="77777777" w:rsidR="00CB2B74" w:rsidRPr="00923079" w:rsidRDefault="00CB2B74" w:rsidP="00923079">
      <w:pPr>
        <w:spacing w:after="120"/>
        <w:jc w:val="both"/>
        <w:rPr>
          <w:rFonts w:ascii="Book Antiqua" w:hAnsi="Book Antiqua"/>
          <w:sz w:val="22"/>
          <w:szCs w:val="22"/>
        </w:rPr>
      </w:pPr>
      <w:r w:rsidRPr="00923079">
        <w:rPr>
          <w:rFonts w:ascii="Book Antiqua" w:hAnsi="Book Antiqua"/>
          <w:sz w:val="22"/>
          <w:szCs w:val="22"/>
        </w:rPr>
        <w:t>In December last year, the Protector of Citizens marked 10 years of work of the NPM. At the solemn event, which brought together representatives of international organizations, the Provincial Ombudsman, civil sector organizations and state authorities, with whom NPM has achieved successful cooperation over the past decade, a short film was shown and a publication was presented about the NPM's activities in the first 10 years of its work.</w:t>
      </w:r>
      <w:r w:rsidRPr="00923079">
        <w:rPr>
          <w:rFonts w:ascii="Book Antiqua" w:hAnsi="Book Antiqua" w:cs="Arial"/>
          <w:color w:val="444444"/>
          <w:spacing w:val="5"/>
          <w:sz w:val="22"/>
          <w:szCs w:val="22"/>
          <w:shd w:val="clear" w:color="auto" w:fill="FFFFFF"/>
        </w:rPr>
        <w:t xml:space="preserve"> </w:t>
      </w:r>
    </w:p>
    <w:p w14:paraId="27DF69F7" w14:textId="22362759" w:rsidR="00CB2B74" w:rsidRPr="00923079" w:rsidRDefault="00CB2B74" w:rsidP="00923079">
      <w:pPr>
        <w:tabs>
          <w:tab w:val="left" w:pos="0"/>
        </w:tabs>
        <w:spacing w:after="120"/>
        <w:jc w:val="both"/>
        <w:rPr>
          <w:rFonts w:ascii="Book Antiqua" w:hAnsi="Book Antiqua"/>
          <w:sz w:val="22"/>
          <w:szCs w:val="22"/>
        </w:rPr>
      </w:pPr>
      <w:r w:rsidRPr="00923079">
        <w:rPr>
          <w:rFonts w:ascii="Book Antiqua" w:hAnsi="Book Antiqua"/>
          <w:sz w:val="22"/>
          <w:szCs w:val="22"/>
        </w:rPr>
        <w:t>During 2022, the NPM actively participated in a series of meetings within the Dialogue on Migration Management in the Republic of Serbia, in which key actors in this field participated – representatives of relevant institutions and civil society associations, as well as legal representatives. During the meetings, conclusions were drawn up on the most important current issues in the area of forced and voluntary migration.</w:t>
      </w:r>
    </w:p>
    <w:p w14:paraId="40F0EF17" w14:textId="77777777" w:rsidR="00CB2B74" w:rsidRPr="00923079" w:rsidRDefault="00CB2B74" w:rsidP="00923079">
      <w:pPr>
        <w:suppressAutoHyphens/>
        <w:spacing w:after="120"/>
        <w:jc w:val="both"/>
        <w:rPr>
          <w:rFonts w:ascii="Book Antiqua" w:eastAsia="Arial Unicode MS" w:hAnsi="Book Antiqua"/>
          <w:color w:val="000000"/>
          <w:sz w:val="22"/>
          <w:szCs w:val="22"/>
          <w:lang w:eastAsia="sr-Cyrl-CS"/>
        </w:rPr>
      </w:pPr>
      <w:r w:rsidRPr="00923079">
        <w:rPr>
          <w:rFonts w:ascii="Book Antiqua" w:hAnsi="Book Antiqua"/>
          <w:b/>
          <w:sz w:val="22"/>
          <w:szCs w:val="22"/>
        </w:rPr>
        <w:t>20(а).</w:t>
      </w:r>
      <w:r w:rsidRPr="00923079">
        <w:rPr>
          <w:rFonts w:ascii="Book Antiqua" w:hAnsi="Book Antiqua"/>
          <w:sz w:val="22"/>
          <w:szCs w:val="22"/>
        </w:rPr>
        <w:t xml:space="preserve"> </w:t>
      </w:r>
      <w:r w:rsidRPr="00923079">
        <w:rPr>
          <w:rFonts w:ascii="Book Antiqua" w:eastAsia="Arial Unicode MS" w:hAnsi="Book Antiqua"/>
          <w:color w:val="000000"/>
          <w:sz w:val="22"/>
          <w:szCs w:val="22"/>
          <w:lang w:eastAsia="sr-Cyrl-CS"/>
        </w:rPr>
        <w:t>Police officers of the Sector for Internal Control of Police, in cooperation with the Republic Public Prosecutor's Office, developed a "Methodology for conducting investigations in cases of abuse by the police". The Republic Public Prosecutor's Office adopted the methodology in the form of a binding instruction for prosecutors, and in October 2017, the Ministry of Interior adopted an Instruction on the methodology for conducting investigations in cases of abuse by the police.</w:t>
      </w:r>
    </w:p>
    <w:p w14:paraId="76110E55" w14:textId="77777777" w:rsidR="00CB2B74" w:rsidRPr="00923079" w:rsidRDefault="00CB2B74" w:rsidP="00923079">
      <w:pPr>
        <w:pStyle w:val="ListParagraph"/>
        <w:suppressAutoHyphens/>
        <w:spacing w:after="120" w:line="240" w:lineRule="auto"/>
        <w:ind w:left="0"/>
        <w:contextualSpacing w:val="0"/>
        <w:jc w:val="both"/>
        <w:rPr>
          <w:rFonts w:ascii="Book Antiqua" w:eastAsia="Arial Unicode MS" w:hAnsi="Book Antiqua" w:cs="Times New Roman"/>
          <w:color w:val="000000"/>
          <w:lang w:val="en-GB" w:eastAsia="sr-Cyrl-CS"/>
        </w:rPr>
      </w:pPr>
      <w:r w:rsidRPr="00923079">
        <w:rPr>
          <w:rFonts w:ascii="Book Antiqua" w:eastAsia="Arial Unicode MS" w:hAnsi="Book Antiqua" w:cs="Times New Roman"/>
          <w:color w:val="000000"/>
          <w:lang w:val="en-GB" w:eastAsia="sr-Cyrl-CS"/>
        </w:rPr>
        <w:t>In accordance with the Instructions for conducting investigations in cases of abuse by the police, the competent authority for conducting investigations in cases of abuse is the public prosecutor. Exceptionally, the public prosecutor can entrust the enforcement of certain evidentiary actions to the Sector for Internal Control of Police, and in that case, he is obliged to effectively undertake actions he is authorized to take, with the aim of achieving timely and efficient actions by the Sector for Internal Control of Police. The aforementioned Instructions emphasized the need for the investigation to be independent and that the public prosecutor and police officers of the Sector for Internal Control of Police participating in the investigation should be independent and impartial in relation to the persons whose actions are the subject of the investigation.</w:t>
      </w:r>
    </w:p>
    <w:p w14:paraId="075FCFF0" w14:textId="77777777" w:rsidR="00CB2B74" w:rsidRPr="00923079" w:rsidRDefault="00CB2B74" w:rsidP="00923079">
      <w:pPr>
        <w:pStyle w:val="CommentText"/>
        <w:spacing w:after="120"/>
        <w:jc w:val="both"/>
        <w:rPr>
          <w:rFonts w:ascii="Book Antiqua" w:hAnsi="Book Antiqua"/>
          <w:sz w:val="22"/>
          <w:szCs w:val="22"/>
          <w:lang w:val="en-GB"/>
        </w:rPr>
      </w:pPr>
      <w:r w:rsidRPr="00923079">
        <w:rPr>
          <w:rFonts w:ascii="Book Antiqua" w:hAnsi="Book Antiqua"/>
          <w:sz w:val="22"/>
          <w:szCs w:val="22"/>
          <w:lang w:val="en-GB"/>
        </w:rPr>
        <w:t>In his reactive work, the Protector of Citizens issued a recommendation to the Ministry of Interior to organize trainings for police officers in order to ensure that they act in accordance with the applicable regulations and the Methodology for conducting investigations in cases of abuse by the police, as well as trainings for police officers of the Sector for Internal Control of Police on the conduct in cases of investigation of alleged abuse by police officers.</w:t>
      </w:r>
    </w:p>
    <w:p w14:paraId="01B8E3D0" w14:textId="77777777" w:rsidR="00CB2B74" w:rsidRPr="00923079" w:rsidRDefault="00CB2B74" w:rsidP="00923079">
      <w:pPr>
        <w:pStyle w:val="CommentText"/>
        <w:spacing w:after="120"/>
        <w:jc w:val="both"/>
        <w:rPr>
          <w:rFonts w:ascii="Book Antiqua" w:hAnsi="Book Antiqua"/>
          <w:sz w:val="22"/>
          <w:szCs w:val="22"/>
          <w:lang w:val="en-GB"/>
        </w:rPr>
      </w:pPr>
      <w:r w:rsidRPr="00923079">
        <w:rPr>
          <w:rFonts w:ascii="Book Antiqua" w:hAnsi="Book Antiqua"/>
          <w:sz w:val="22"/>
          <w:szCs w:val="22"/>
          <w:lang w:val="en-GB"/>
        </w:rPr>
        <w:t xml:space="preserve">In a large number of cases, the Protector of Citizens, in the control investigations launched on the citizens' complaints about the actions of police officers during public gatherings of citizens in July </w:t>
      </w:r>
      <w:r w:rsidRPr="00923079">
        <w:rPr>
          <w:rFonts w:ascii="Book Antiqua" w:hAnsi="Book Antiqua"/>
          <w:sz w:val="22"/>
          <w:szCs w:val="22"/>
          <w:lang w:val="en-GB"/>
        </w:rPr>
        <w:lastRenderedPageBreak/>
        <w:t>2020, could not fully establish the factual situation on the basis of which he would assess the legality and regularity of actions of the police in specific cases. This is especially due to the fact that the competent authorities, after learning about the events in question, did not immediately take urgent measures and actions that cannot be delayed, that is, the actions whose subsequent performance would be impossible or significantly hindered, and which relate primarily to obtaining videos from surveillance cameras that cover areas where cases of alleged abuse were reported or those areas for which there was information that police officers used coercive means within them, as well as bearing in mind that the reports on the use of coercive measures refer to unknown persons.</w:t>
      </w:r>
    </w:p>
    <w:p w14:paraId="2D0849D4" w14:textId="77777777" w:rsidR="00CB2B74" w:rsidRPr="00923079" w:rsidRDefault="00CB2B74" w:rsidP="00923079">
      <w:pPr>
        <w:pStyle w:val="CommentText"/>
        <w:spacing w:after="120"/>
        <w:jc w:val="both"/>
        <w:rPr>
          <w:rFonts w:ascii="Book Antiqua" w:hAnsi="Book Antiqua"/>
          <w:sz w:val="22"/>
          <w:szCs w:val="22"/>
          <w:lang w:val="en-GB"/>
        </w:rPr>
      </w:pPr>
      <w:r w:rsidRPr="00923079">
        <w:rPr>
          <w:rFonts w:ascii="Book Antiqua" w:hAnsi="Book Antiqua"/>
          <w:sz w:val="22"/>
          <w:szCs w:val="22"/>
          <w:lang w:val="en-GB"/>
        </w:rPr>
        <w:t>Bearing in mind the above, the Protector of Citizens, in the Opinion sent to the Ministry of Interior, among other things, pointed out that it is necessary to improve the method of applying the Methodology for conducting investigations in cases of abuse by the police and to make additional efforts so that for each individual case of abuse, individual responsibility is determined in the procedure prescribed by law, the responsible officials appropriately sanctioned and the victims compensated, so that the Sector for Internal Control of Police and the competent public prosecutions would be able to fulfil their role in the fight against impunity for torture and other forms of abuse.</w:t>
      </w:r>
    </w:p>
    <w:p w14:paraId="5C7BBE38" w14:textId="32050463" w:rsidR="004B6A09" w:rsidRPr="00923079" w:rsidRDefault="00CB2B74" w:rsidP="00923079">
      <w:pPr>
        <w:spacing w:after="120"/>
        <w:jc w:val="both"/>
        <w:rPr>
          <w:rFonts w:ascii="Book Antiqua" w:hAnsi="Book Antiqua"/>
          <w:sz w:val="22"/>
          <w:szCs w:val="22"/>
          <w:lang w:val="sr-Cyrl-RS"/>
        </w:rPr>
      </w:pPr>
      <w:r w:rsidRPr="00923079">
        <w:rPr>
          <w:rFonts w:ascii="Book Antiqua" w:hAnsi="Book Antiqua"/>
          <w:sz w:val="22"/>
          <w:szCs w:val="22"/>
        </w:rPr>
        <w:t>In addition, the usual practice in institutions for the enforcement of penal sanctions is that if, during the first medical examination of a person deprived of liberty upon admission to the institution, the doctors notice injuries that indicate abuse or the person states that he/she was abused, the institutions inform the competent public prosecution about it and deliver it relevant documentation (written statement of the person, official notes, documentation on injuries and others). In some institutions in which the NPM observed, during the visits, that these institutions do not act like this, recommendations were issued to correct this in the future work, and these recommendations were a</w:t>
      </w:r>
    </w:p>
    <w:p w14:paraId="6BD291AF" w14:textId="53882457" w:rsidR="005249E8" w:rsidRPr="00923079" w:rsidRDefault="005249E8" w:rsidP="00923079">
      <w:pPr>
        <w:spacing w:after="120"/>
        <w:jc w:val="both"/>
        <w:rPr>
          <w:rFonts w:ascii="Book Antiqua" w:hAnsi="Book Antiqua"/>
          <w:sz w:val="22"/>
          <w:szCs w:val="22"/>
          <w:lang w:val="sr-Cyrl-RS"/>
        </w:rPr>
      </w:pPr>
    </w:p>
    <w:sectPr w:rsidR="005249E8" w:rsidRPr="00923079" w:rsidSect="00E8471B">
      <w:headerReference w:type="default" r:id="rId8"/>
      <w:footerReference w:type="default" r:id="rId9"/>
      <w:headerReference w:type="first" r:id="rId10"/>
      <w:footerReference w:type="first" r:id="rId11"/>
      <w:pgSz w:w="11909" w:h="16834" w:code="9"/>
      <w:pgMar w:top="1080" w:right="1109" w:bottom="1253" w:left="1109" w:header="533" w:footer="41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187AC" w14:textId="77777777" w:rsidR="00115182" w:rsidRDefault="00115182">
      <w:r>
        <w:separator/>
      </w:r>
    </w:p>
  </w:endnote>
  <w:endnote w:type="continuationSeparator" w:id="0">
    <w:p w14:paraId="23761A6D" w14:textId="77777777" w:rsidR="00115182" w:rsidRDefault="00115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yriadPro-Regular">
    <w:panose1 w:val="00000000000000000000"/>
    <w:charset w:val="80"/>
    <w:family w:val="swiss"/>
    <w:notTrueType/>
    <w:pitch w:val="default"/>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esavska BG Sans">
    <w:altName w:val="Times New Roman"/>
    <w:panose1 w:val="00000000000000000000"/>
    <w:charset w:val="CC"/>
    <w:family w:val="roman"/>
    <w:notTrueType/>
    <w:pitch w:val="default"/>
    <w:sig w:usb0="000000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66BF9" w14:textId="77777777" w:rsidR="00AF79F9" w:rsidRPr="00592A0A" w:rsidRDefault="00AF79F9" w:rsidP="00904B0D">
    <w:pPr>
      <w:pBdr>
        <w:top w:val="single" w:sz="4" w:space="1" w:color="auto"/>
      </w:pBdr>
      <w:jc w:val="center"/>
      <w:rPr>
        <w:rFonts w:ascii="Arial" w:hAnsi="Arial" w:cs="Arial"/>
        <w:color w:val="4D4D4D"/>
        <w:sz w:val="20"/>
        <w:szCs w:val="20"/>
        <w:lang w:val="en-US"/>
      </w:rPr>
    </w:pPr>
    <w:r>
      <w:rPr>
        <w:rFonts w:ascii="Arial" w:hAnsi="Arial" w:cs="Arial"/>
        <w:color w:val="4D4D4D"/>
        <w:sz w:val="20"/>
        <w:szCs w:val="20"/>
        <w:lang w:val="en-US"/>
      </w:rPr>
      <w:t>Address</w:t>
    </w:r>
    <w:r w:rsidRPr="006E1454">
      <w:rPr>
        <w:rFonts w:ascii="Arial" w:hAnsi="Arial" w:cs="Arial"/>
        <w:color w:val="4D4D4D"/>
        <w:sz w:val="20"/>
        <w:szCs w:val="20"/>
        <w:lang w:val="sr-Cyrl-CS"/>
      </w:rPr>
      <w:t xml:space="preserve">: </w:t>
    </w:r>
    <w:r>
      <w:rPr>
        <w:rFonts w:ascii="Arial" w:hAnsi="Arial" w:cs="Arial"/>
        <w:color w:val="4D4D4D"/>
        <w:sz w:val="20"/>
        <w:szCs w:val="20"/>
        <w:lang w:val="en-US"/>
      </w:rPr>
      <w:t>Deligradska</w:t>
    </w:r>
    <w:r w:rsidRPr="006E1454">
      <w:rPr>
        <w:rFonts w:ascii="Arial" w:hAnsi="Arial" w:cs="Arial"/>
        <w:color w:val="4D4D4D"/>
        <w:sz w:val="20"/>
        <w:szCs w:val="20"/>
        <w:lang w:val="sr-Cyrl-CS"/>
      </w:rPr>
      <w:t xml:space="preserve"> 16, 110</w:t>
    </w:r>
    <w:r>
      <w:rPr>
        <w:rFonts w:ascii="Arial" w:hAnsi="Arial" w:cs="Arial"/>
        <w:color w:val="4D4D4D"/>
        <w:sz w:val="20"/>
        <w:szCs w:val="20"/>
        <w:lang w:val="sr-Latn-CS"/>
      </w:rPr>
      <w:t>0</w:t>
    </w:r>
    <w:r w:rsidRPr="006E1454">
      <w:rPr>
        <w:rFonts w:ascii="Arial" w:hAnsi="Arial" w:cs="Arial"/>
        <w:color w:val="4D4D4D"/>
        <w:sz w:val="20"/>
        <w:szCs w:val="20"/>
        <w:lang w:val="sr-Cyrl-CS"/>
      </w:rPr>
      <w:t xml:space="preserve">0  </w:t>
    </w:r>
    <w:r>
      <w:rPr>
        <w:rFonts w:ascii="Arial" w:hAnsi="Arial" w:cs="Arial"/>
        <w:color w:val="4D4D4D"/>
        <w:sz w:val="20"/>
        <w:szCs w:val="20"/>
        <w:lang w:val="en-US"/>
      </w:rPr>
      <w:t>Belgrade</w:t>
    </w:r>
  </w:p>
  <w:p w14:paraId="75590193" w14:textId="77777777" w:rsidR="00AF79F9" w:rsidRPr="00F93DCA" w:rsidRDefault="00AF79F9" w:rsidP="00F93DCA">
    <w:pPr>
      <w:pStyle w:val="Footer"/>
      <w:jc w:val="center"/>
      <w:rPr>
        <w:rFonts w:ascii="Arial" w:hAnsi="Arial" w:cs="Arial"/>
        <w:color w:val="4D4D4D"/>
        <w:lang w:val="sr-Latn-CS"/>
      </w:rPr>
    </w:pPr>
    <w:r>
      <w:rPr>
        <w:rFonts w:ascii="Arial" w:hAnsi="Arial" w:cs="Arial"/>
        <w:color w:val="4D4D4D"/>
        <w:sz w:val="20"/>
        <w:szCs w:val="20"/>
        <w:lang w:val="en-US"/>
      </w:rPr>
      <w:t>Tel</w:t>
    </w:r>
    <w:r w:rsidRPr="006E1454">
      <w:rPr>
        <w:rFonts w:ascii="Arial" w:hAnsi="Arial" w:cs="Arial"/>
        <w:color w:val="4D4D4D"/>
        <w:sz w:val="20"/>
        <w:szCs w:val="20"/>
        <w:lang w:val="sr-Cyrl-CS"/>
      </w:rPr>
      <w:t>: (011) 2</w:t>
    </w:r>
    <w:r>
      <w:rPr>
        <w:rFonts w:ascii="Arial" w:hAnsi="Arial" w:cs="Arial"/>
        <w:color w:val="4D4D4D"/>
        <w:sz w:val="20"/>
        <w:szCs w:val="20"/>
        <w:lang w:val="sr-Latn-CS"/>
      </w:rPr>
      <w:t>068</w:t>
    </w:r>
    <w:r w:rsidRPr="006E1454">
      <w:rPr>
        <w:rFonts w:ascii="Arial" w:hAnsi="Arial" w:cs="Arial"/>
        <w:color w:val="4D4D4D"/>
        <w:sz w:val="20"/>
        <w:szCs w:val="20"/>
        <w:lang w:val="sr-Cyrl-CS"/>
      </w:rPr>
      <w:t xml:space="preserve"> -</w:t>
    </w:r>
    <w:r>
      <w:rPr>
        <w:rFonts w:ascii="Arial" w:hAnsi="Arial" w:cs="Arial"/>
        <w:color w:val="4D4D4D"/>
        <w:sz w:val="20"/>
        <w:szCs w:val="20"/>
        <w:lang w:val="sr-Latn-CS"/>
      </w:rPr>
      <w:t>100</w:t>
    </w:r>
    <w:r w:rsidRPr="006E1454">
      <w:rPr>
        <w:rFonts w:ascii="Arial" w:hAnsi="Arial" w:cs="Arial"/>
        <w:color w:val="4D4D4D"/>
        <w:sz w:val="20"/>
        <w:szCs w:val="20"/>
        <w:lang w:val="sr-Cyrl-CS"/>
      </w:rPr>
      <w:t xml:space="preserve"> </w:t>
    </w:r>
    <w:r w:rsidRPr="006E1454">
      <w:rPr>
        <w:rFonts w:ascii="Arial" w:hAnsi="Arial" w:cs="Arial"/>
        <w:color w:val="4D4D4D"/>
        <w:sz w:val="20"/>
        <w:szCs w:val="20"/>
        <w:lang w:val="sr-Latn-CS"/>
      </w:rPr>
      <w:t xml:space="preserve">      www.</w:t>
    </w:r>
    <w:r w:rsidR="00F93DCA">
      <w:rPr>
        <w:rFonts w:ascii="Arial" w:hAnsi="Arial" w:cs="Arial"/>
        <w:color w:val="4D4D4D"/>
        <w:sz w:val="20"/>
        <w:szCs w:val="20"/>
        <w:lang w:val="sr-Latn-CS"/>
      </w:rPr>
      <w:t>ombudsman</w:t>
    </w:r>
    <w:r w:rsidRPr="006E1454">
      <w:rPr>
        <w:rFonts w:ascii="Arial" w:hAnsi="Arial" w:cs="Arial"/>
        <w:color w:val="4D4D4D"/>
        <w:sz w:val="20"/>
        <w:szCs w:val="20"/>
        <w:lang w:val="sr-Latn-CS"/>
      </w:rPr>
      <w:t>.rs</w:t>
    </w:r>
    <w:r w:rsidRPr="006E1454">
      <w:rPr>
        <w:rFonts w:ascii="Arial" w:hAnsi="Arial" w:cs="Arial"/>
        <w:color w:val="4D4D4D"/>
        <w:sz w:val="20"/>
        <w:szCs w:val="20"/>
        <w:lang w:val="sr-Cyrl-CS"/>
      </w:rPr>
      <w:t xml:space="preserve"> </w:t>
    </w:r>
    <w:r w:rsidRPr="006E1454">
      <w:rPr>
        <w:rFonts w:ascii="Arial" w:hAnsi="Arial" w:cs="Arial"/>
        <w:color w:val="4D4D4D"/>
        <w:sz w:val="20"/>
        <w:szCs w:val="20"/>
        <w:lang w:val="sr-Latn-CS"/>
      </w:rPr>
      <w:t xml:space="preserve">       </w:t>
    </w:r>
    <w:r w:rsidRPr="006E1454">
      <w:rPr>
        <w:rFonts w:ascii="Arial" w:hAnsi="Arial" w:cs="Arial"/>
        <w:color w:val="4D4D4D"/>
        <w:sz w:val="20"/>
        <w:szCs w:val="20"/>
        <w:lang w:val="sr-Cyrl-CS"/>
      </w:rPr>
      <w:t xml:space="preserve">e-mail: </w:t>
    </w:r>
    <w:r>
      <w:rPr>
        <w:rFonts w:ascii="Arial" w:hAnsi="Arial" w:cs="Arial"/>
        <w:color w:val="4D4D4D"/>
        <w:sz w:val="20"/>
        <w:szCs w:val="20"/>
        <w:lang w:val="en-US"/>
      </w:rPr>
      <w:t>zastitnik</w:t>
    </w:r>
    <w:r w:rsidRPr="006E1454">
      <w:rPr>
        <w:rFonts w:ascii="Arial" w:hAnsi="Arial" w:cs="Arial"/>
        <w:color w:val="4D4D4D"/>
        <w:sz w:val="20"/>
        <w:szCs w:val="20"/>
        <w:lang w:val="sr-Cyrl-CS"/>
      </w:rPr>
      <w:t>@</w:t>
    </w:r>
    <w:r w:rsidR="00F93DCA">
      <w:rPr>
        <w:rFonts w:ascii="Arial" w:hAnsi="Arial" w:cs="Arial"/>
        <w:color w:val="4D4D4D"/>
        <w:sz w:val="20"/>
        <w:szCs w:val="20"/>
        <w:lang w:val="en-US"/>
      </w:rPr>
      <w:t>ombudsman</w:t>
    </w:r>
    <w:r w:rsidRPr="006E1454">
      <w:rPr>
        <w:rFonts w:ascii="Arial" w:hAnsi="Arial" w:cs="Arial"/>
        <w:color w:val="4D4D4D"/>
        <w:sz w:val="20"/>
        <w:szCs w:val="20"/>
        <w:lang w:val="sr-Cyrl-CS"/>
      </w:rPr>
      <w:t xml:space="preserve">.rs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CC49A" w14:textId="77777777" w:rsidR="00AF79F9" w:rsidRPr="00592A0A" w:rsidRDefault="00AF79F9" w:rsidP="00B6789D">
    <w:pPr>
      <w:pBdr>
        <w:top w:val="single" w:sz="4" w:space="1" w:color="auto"/>
      </w:pBdr>
      <w:jc w:val="center"/>
      <w:rPr>
        <w:rFonts w:ascii="Arial" w:hAnsi="Arial" w:cs="Arial"/>
        <w:color w:val="4D4D4D"/>
        <w:sz w:val="20"/>
        <w:szCs w:val="20"/>
        <w:lang w:val="en-US"/>
      </w:rPr>
    </w:pPr>
    <w:r>
      <w:rPr>
        <w:rFonts w:ascii="Arial" w:hAnsi="Arial" w:cs="Arial"/>
        <w:color w:val="4D4D4D"/>
        <w:sz w:val="20"/>
        <w:szCs w:val="20"/>
        <w:lang w:val="en-US"/>
      </w:rPr>
      <w:t>Address</w:t>
    </w:r>
    <w:r w:rsidRPr="006E1454">
      <w:rPr>
        <w:rFonts w:ascii="Arial" w:hAnsi="Arial" w:cs="Arial"/>
        <w:color w:val="4D4D4D"/>
        <w:sz w:val="20"/>
        <w:szCs w:val="20"/>
        <w:lang w:val="sr-Cyrl-CS"/>
      </w:rPr>
      <w:t xml:space="preserve">: </w:t>
    </w:r>
    <w:r>
      <w:rPr>
        <w:rFonts w:ascii="Arial" w:hAnsi="Arial" w:cs="Arial"/>
        <w:color w:val="4D4D4D"/>
        <w:sz w:val="20"/>
        <w:szCs w:val="20"/>
        <w:lang w:val="en-US"/>
      </w:rPr>
      <w:t>Deligradska</w:t>
    </w:r>
    <w:r w:rsidRPr="006E1454">
      <w:rPr>
        <w:rFonts w:ascii="Arial" w:hAnsi="Arial" w:cs="Arial"/>
        <w:color w:val="4D4D4D"/>
        <w:sz w:val="20"/>
        <w:szCs w:val="20"/>
        <w:lang w:val="sr-Cyrl-CS"/>
      </w:rPr>
      <w:t xml:space="preserve"> 16, 110</w:t>
    </w:r>
    <w:r>
      <w:rPr>
        <w:rFonts w:ascii="Arial" w:hAnsi="Arial" w:cs="Arial"/>
        <w:color w:val="4D4D4D"/>
        <w:sz w:val="20"/>
        <w:szCs w:val="20"/>
        <w:lang w:val="sr-Latn-CS"/>
      </w:rPr>
      <w:t>0</w:t>
    </w:r>
    <w:r w:rsidRPr="006E1454">
      <w:rPr>
        <w:rFonts w:ascii="Arial" w:hAnsi="Arial" w:cs="Arial"/>
        <w:color w:val="4D4D4D"/>
        <w:sz w:val="20"/>
        <w:szCs w:val="20"/>
        <w:lang w:val="sr-Cyrl-CS"/>
      </w:rPr>
      <w:t xml:space="preserve">0  </w:t>
    </w:r>
    <w:r>
      <w:rPr>
        <w:rFonts w:ascii="Arial" w:hAnsi="Arial" w:cs="Arial"/>
        <w:color w:val="4D4D4D"/>
        <w:sz w:val="20"/>
        <w:szCs w:val="20"/>
        <w:lang w:val="en-US"/>
      </w:rPr>
      <w:t>Belgrade</w:t>
    </w:r>
  </w:p>
  <w:p w14:paraId="7E6F06CF" w14:textId="77777777" w:rsidR="00AF79F9" w:rsidRPr="00D62235" w:rsidRDefault="00AF79F9" w:rsidP="00D62235">
    <w:pPr>
      <w:pStyle w:val="Footer"/>
      <w:jc w:val="center"/>
      <w:rPr>
        <w:rFonts w:ascii="Arial" w:hAnsi="Arial" w:cs="Arial"/>
        <w:color w:val="4D4D4D"/>
        <w:lang w:val="sr-Cyrl-CS"/>
      </w:rPr>
    </w:pPr>
    <w:r>
      <w:rPr>
        <w:rFonts w:ascii="Arial" w:hAnsi="Arial" w:cs="Arial"/>
        <w:color w:val="4D4D4D"/>
        <w:sz w:val="20"/>
        <w:szCs w:val="20"/>
        <w:lang w:val="en-US"/>
      </w:rPr>
      <w:t>Tel</w:t>
    </w:r>
    <w:r w:rsidR="00CE042E">
      <w:rPr>
        <w:rFonts w:ascii="Arial" w:hAnsi="Arial" w:cs="Arial"/>
        <w:color w:val="4D4D4D"/>
        <w:sz w:val="20"/>
        <w:szCs w:val="20"/>
        <w:lang w:val="sr-Cyrl-CS"/>
      </w:rPr>
      <w:t>: (+38111)</w:t>
    </w:r>
    <w:r w:rsidRPr="006E1454">
      <w:rPr>
        <w:rFonts w:ascii="Arial" w:hAnsi="Arial" w:cs="Arial"/>
        <w:color w:val="4D4D4D"/>
        <w:sz w:val="20"/>
        <w:szCs w:val="20"/>
        <w:lang w:val="sr-Cyrl-CS"/>
      </w:rPr>
      <w:t xml:space="preserve"> 2</w:t>
    </w:r>
    <w:r>
      <w:rPr>
        <w:rFonts w:ascii="Arial" w:hAnsi="Arial" w:cs="Arial"/>
        <w:color w:val="4D4D4D"/>
        <w:sz w:val="20"/>
        <w:szCs w:val="20"/>
        <w:lang w:val="sr-Latn-CS"/>
      </w:rPr>
      <w:t>068</w:t>
    </w:r>
    <w:r w:rsidRPr="006E1454">
      <w:rPr>
        <w:rFonts w:ascii="Arial" w:hAnsi="Arial" w:cs="Arial"/>
        <w:color w:val="4D4D4D"/>
        <w:sz w:val="20"/>
        <w:szCs w:val="20"/>
        <w:lang w:val="sr-Cyrl-CS"/>
      </w:rPr>
      <w:t xml:space="preserve"> -</w:t>
    </w:r>
    <w:r>
      <w:rPr>
        <w:rFonts w:ascii="Arial" w:hAnsi="Arial" w:cs="Arial"/>
        <w:color w:val="4D4D4D"/>
        <w:sz w:val="20"/>
        <w:szCs w:val="20"/>
        <w:lang w:val="sr-Latn-CS"/>
      </w:rPr>
      <w:t>100</w:t>
    </w:r>
    <w:r w:rsidRPr="006E1454">
      <w:rPr>
        <w:rFonts w:ascii="Arial" w:hAnsi="Arial" w:cs="Arial"/>
        <w:color w:val="4D4D4D"/>
        <w:sz w:val="20"/>
        <w:szCs w:val="20"/>
        <w:lang w:val="sr-Cyrl-CS"/>
      </w:rPr>
      <w:t xml:space="preserve"> </w:t>
    </w:r>
    <w:r w:rsidRPr="006E1454">
      <w:rPr>
        <w:rFonts w:ascii="Arial" w:hAnsi="Arial" w:cs="Arial"/>
        <w:color w:val="4D4D4D"/>
        <w:sz w:val="20"/>
        <w:szCs w:val="20"/>
        <w:lang w:val="sr-Latn-CS"/>
      </w:rPr>
      <w:t xml:space="preserve">      www.</w:t>
    </w:r>
    <w:r w:rsidR="00F93DCA">
      <w:rPr>
        <w:rFonts w:ascii="Arial" w:hAnsi="Arial" w:cs="Arial"/>
        <w:color w:val="4D4D4D"/>
        <w:sz w:val="20"/>
        <w:szCs w:val="20"/>
        <w:lang w:val="sr-Latn-CS"/>
      </w:rPr>
      <w:t>ombudsman</w:t>
    </w:r>
    <w:r w:rsidRPr="006E1454">
      <w:rPr>
        <w:rFonts w:ascii="Arial" w:hAnsi="Arial" w:cs="Arial"/>
        <w:color w:val="4D4D4D"/>
        <w:sz w:val="20"/>
        <w:szCs w:val="20"/>
        <w:lang w:val="sr-Latn-CS"/>
      </w:rPr>
      <w:t>.rs</w:t>
    </w:r>
    <w:r w:rsidRPr="006E1454">
      <w:rPr>
        <w:rFonts w:ascii="Arial" w:hAnsi="Arial" w:cs="Arial"/>
        <w:color w:val="4D4D4D"/>
        <w:sz w:val="20"/>
        <w:szCs w:val="20"/>
        <w:lang w:val="sr-Cyrl-CS"/>
      </w:rPr>
      <w:t xml:space="preserve"> </w:t>
    </w:r>
    <w:r w:rsidRPr="006E1454">
      <w:rPr>
        <w:rFonts w:ascii="Arial" w:hAnsi="Arial" w:cs="Arial"/>
        <w:color w:val="4D4D4D"/>
        <w:sz w:val="20"/>
        <w:szCs w:val="20"/>
        <w:lang w:val="sr-Latn-CS"/>
      </w:rPr>
      <w:t xml:space="preserve">       </w:t>
    </w:r>
    <w:r w:rsidRPr="006E1454">
      <w:rPr>
        <w:rFonts w:ascii="Arial" w:hAnsi="Arial" w:cs="Arial"/>
        <w:color w:val="4D4D4D"/>
        <w:sz w:val="20"/>
        <w:szCs w:val="20"/>
        <w:lang w:val="sr-Cyrl-CS"/>
      </w:rPr>
      <w:t xml:space="preserve">e-mail: </w:t>
    </w:r>
    <w:r>
      <w:rPr>
        <w:rFonts w:ascii="Arial" w:hAnsi="Arial" w:cs="Arial"/>
        <w:color w:val="4D4D4D"/>
        <w:sz w:val="20"/>
        <w:szCs w:val="20"/>
        <w:lang w:val="en-US"/>
      </w:rPr>
      <w:t>zastitnik</w:t>
    </w:r>
    <w:r w:rsidRPr="006E1454">
      <w:rPr>
        <w:rFonts w:ascii="Arial" w:hAnsi="Arial" w:cs="Arial"/>
        <w:color w:val="4D4D4D"/>
        <w:sz w:val="20"/>
        <w:szCs w:val="20"/>
        <w:lang w:val="sr-Cyrl-CS"/>
      </w:rPr>
      <w:t>@</w:t>
    </w:r>
    <w:r w:rsidR="00F93DCA">
      <w:rPr>
        <w:rFonts w:ascii="Arial" w:hAnsi="Arial" w:cs="Arial"/>
        <w:color w:val="4D4D4D"/>
        <w:sz w:val="20"/>
        <w:szCs w:val="20"/>
        <w:lang w:val="en-US"/>
      </w:rPr>
      <w:t>ombudsman</w:t>
    </w:r>
    <w:r w:rsidRPr="006E1454">
      <w:rPr>
        <w:rFonts w:ascii="Arial" w:hAnsi="Arial" w:cs="Arial"/>
        <w:color w:val="4D4D4D"/>
        <w:sz w:val="20"/>
        <w:szCs w:val="20"/>
        <w:lang w:val="sr-Cyrl-CS"/>
      </w:rPr>
      <w:t xml:space="preserve">.rs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02EB6" w14:textId="77777777" w:rsidR="00115182" w:rsidRDefault="00115182">
      <w:r>
        <w:separator/>
      </w:r>
    </w:p>
  </w:footnote>
  <w:footnote w:type="continuationSeparator" w:id="0">
    <w:p w14:paraId="780205AA" w14:textId="77777777" w:rsidR="00115182" w:rsidRDefault="00115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46340" w14:textId="6949E928" w:rsidR="00AF79F9" w:rsidRDefault="00AF79F9" w:rsidP="00E8471B">
    <w:pPr>
      <w:pStyle w:val="Header"/>
      <w:tabs>
        <w:tab w:val="clear" w:pos="8640"/>
        <w:tab w:val="right" w:pos="9720"/>
      </w:tabs>
      <w:rPr>
        <w:rStyle w:val="PageNumber"/>
      </w:rPr>
    </w:pPr>
    <w:r>
      <w:rPr>
        <w:rStyle w:val="PageNumber"/>
      </w:rPr>
      <w:tab/>
    </w:r>
    <w:r>
      <w:rPr>
        <w:rStyle w:val="PageNumber"/>
      </w:rPr>
      <w:tab/>
      <w:t xml:space="preserve"> </w:t>
    </w:r>
    <w:r>
      <w:rPr>
        <w:rStyle w:val="PageNumber"/>
      </w:rPr>
      <w:fldChar w:fldCharType="begin"/>
    </w:r>
    <w:r>
      <w:rPr>
        <w:rStyle w:val="PageNumber"/>
      </w:rPr>
      <w:instrText xml:space="preserve"> PAGE </w:instrText>
    </w:r>
    <w:r>
      <w:rPr>
        <w:rStyle w:val="PageNumber"/>
      </w:rPr>
      <w:fldChar w:fldCharType="separate"/>
    </w:r>
    <w:r w:rsidR="00D02D5F">
      <w:rPr>
        <w:rStyle w:val="PageNumber"/>
        <w:noProof/>
      </w:rPr>
      <w:t>2</w:t>
    </w:r>
    <w:r>
      <w:rPr>
        <w:rStyle w:val="PageNumber"/>
      </w:rPr>
      <w:fldChar w:fldCharType="end"/>
    </w:r>
  </w:p>
  <w:p w14:paraId="3E303AD5" w14:textId="77777777" w:rsidR="00AF79F9" w:rsidRPr="00AA62CD" w:rsidRDefault="00AF79F9">
    <w:pPr>
      <w:pStyle w:val="Header"/>
      <w:rPr>
        <w:lang w:val="en-US"/>
      </w:rPr>
    </w:pPr>
    <w:r>
      <w:rPr>
        <w:lang w:val="en-US"/>
      </w:rPr>
      <w:t>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ook w:val="00A0" w:firstRow="1" w:lastRow="0" w:firstColumn="1" w:lastColumn="0" w:noHBand="0" w:noVBand="0"/>
    </w:tblPr>
    <w:tblGrid>
      <w:gridCol w:w="3600"/>
      <w:gridCol w:w="2520"/>
      <w:gridCol w:w="3240"/>
    </w:tblGrid>
    <w:tr w:rsidR="00AF79F9" w:rsidRPr="00A0248D" w14:paraId="62228867" w14:textId="77777777">
      <w:tc>
        <w:tcPr>
          <w:tcW w:w="3600" w:type="dxa"/>
        </w:tcPr>
        <w:p w14:paraId="41F95AE2" w14:textId="77777777" w:rsidR="00AF79F9" w:rsidRPr="00A0248D" w:rsidRDefault="001F7E07" w:rsidP="00CB2B74">
          <w:pPr>
            <w:pStyle w:val="BodyTextIndent"/>
            <w:tabs>
              <w:tab w:val="left" w:pos="552"/>
              <w:tab w:val="center" w:pos="1368"/>
            </w:tabs>
            <w:ind w:firstLine="0"/>
            <w:rPr>
              <w:rFonts w:ascii="Book Antiqua" w:hAnsi="Book Antiqua"/>
              <w:spacing w:val="6"/>
              <w:sz w:val="22"/>
              <w:szCs w:val="22"/>
            </w:rPr>
          </w:pPr>
          <w:r>
            <w:rPr>
              <w:noProof/>
              <w:lang w:val="en-GB" w:eastAsia="en-GB"/>
            </w:rPr>
            <w:drawing>
              <wp:inline distT="0" distB="0" distL="0" distR="0" wp14:anchorId="421DE346" wp14:editId="0FA4B9BE">
                <wp:extent cx="471170" cy="947420"/>
                <wp:effectExtent l="0" t="0" r="5080" b="5080"/>
                <wp:docPr id="1" name="Picture 1" descr="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170" cy="947420"/>
                        </a:xfrm>
                        <a:prstGeom prst="rect">
                          <a:avLst/>
                        </a:prstGeom>
                        <a:noFill/>
                        <a:ln>
                          <a:noFill/>
                        </a:ln>
                      </pic:spPr>
                    </pic:pic>
                  </a:graphicData>
                </a:graphic>
              </wp:inline>
            </w:drawing>
          </w:r>
        </w:p>
      </w:tc>
      <w:tc>
        <w:tcPr>
          <w:tcW w:w="2520" w:type="dxa"/>
        </w:tcPr>
        <w:p w14:paraId="16206526" w14:textId="77777777" w:rsidR="00AF79F9" w:rsidRPr="00A0248D" w:rsidRDefault="00AF79F9" w:rsidP="00DE33FD">
          <w:pPr>
            <w:pStyle w:val="BodyTextIndent"/>
            <w:ind w:firstLine="0"/>
            <w:jc w:val="left"/>
            <w:rPr>
              <w:rFonts w:ascii="Book Antiqua" w:hAnsi="Book Antiqua"/>
              <w:spacing w:val="6"/>
              <w:sz w:val="22"/>
              <w:szCs w:val="22"/>
            </w:rPr>
          </w:pPr>
        </w:p>
      </w:tc>
      <w:tc>
        <w:tcPr>
          <w:tcW w:w="3240" w:type="dxa"/>
          <w:vMerge w:val="restart"/>
        </w:tcPr>
        <w:p w14:paraId="73D51C7F" w14:textId="77777777" w:rsidR="00841D3E" w:rsidRDefault="00841D3E" w:rsidP="00CA022A">
          <w:pPr>
            <w:pStyle w:val="BodyTextIndent"/>
            <w:ind w:firstLine="0"/>
            <w:jc w:val="center"/>
            <w:rPr>
              <w:rFonts w:ascii="Book Antiqua" w:hAnsi="Book Antiqua"/>
              <w:spacing w:val="6"/>
              <w:sz w:val="22"/>
              <w:szCs w:val="22"/>
              <w:lang w:val="en-US"/>
            </w:rPr>
          </w:pPr>
        </w:p>
        <w:p w14:paraId="51B32F18" w14:textId="77777777" w:rsidR="00AF79F9" w:rsidRPr="00CA022A" w:rsidRDefault="001F7E07" w:rsidP="00CA022A">
          <w:pPr>
            <w:pStyle w:val="BodyTextIndent"/>
            <w:ind w:firstLine="0"/>
            <w:jc w:val="center"/>
            <w:rPr>
              <w:rFonts w:ascii="Book Antiqua" w:hAnsi="Book Antiqua"/>
              <w:spacing w:val="6"/>
              <w:sz w:val="22"/>
              <w:szCs w:val="22"/>
              <w:lang w:val="en-US"/>
            </w:rPr>
          </w:pPr>
          <w:r w:rsidRPr="00841D3E">
            <w:rPr>
              <w:rFonts w:ascii="Book Antiqua" w:hAnsi="Book Antiqua"/>
              <w:noProof/>
              <w:spacing w:val="6"/>
              <w:sz w:val="22"/>
              <w:szCs w:val="22"/>
              <w:lang w:val="en-GB" w:eastAsia="en-GB"/>
            </w:rPr>
            <w:drawing>
              <wp:inline distT="0" distB="0" distL="0" distR="0" wp14:anchorId="3D76622D" wp14:editId="01A11C03">
                <wp:extent cx="1884045" cy="1601470"/>
                <wp:effectExtent l="0" t="0" r="1905" b="0"/>
                <wp:docPr id="2" name="Picture 2" descr="logo ombudsman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mbudsman cop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4045" cy="1601470"/>
                        </a:xfrm>
                        <a:prstGeom prst="rect">
                          <a:avLst/>
                        </a:prstGeom>
                        <a:noFill/>
                        <a:ln>
                          <a:noFill/>
                        </a:ln>
                      </pic:spPr>
                    </pic:pic>
                  </a:graphicData>
                </a:graphic>
              </wp:inline>
            </w:drawing>
          </w:r>
        </w:p>
      </w:tc>
    </w:tr>
    <w:tr w:rsidR="00AF79F9" w:rsidRPr="00A0248D" w14:paraId="158541C6" w14:textId="77777777">
      <w:tc>
        <w:tcPr>
          <w:tcW w:w="3600" w:type="dxa"/>
          <w:tcBorders>
            <w:bottom w:val="single" w:sz="4" w:space="0" w:color="auto"/>
          </w:tcBorders>
        </w:tcPr>
        <w:p w14:paraId="61D7CBB4" w14:textId="77777777" w:rsidR="00AF79F9" w:rsidRPr="00A0248D" w:rsidRDefault="00AF79F9" w:rsidP="00DE33FD">
          <w:pPr>
            <w:pStyle w:val="BodyTextIndent"/>
            <w:ind w:firstLine="0"/>
            <w:jc w:val="center"/>
            <w:rPr>
              <w:rFonts w:ascii="Georgia" w:eastAsia="Arial Unicode MS" w:hAnsi="Georgia" w:cs="Arial Unicode MS"/>
              <w:b/>
              <w:bCs/>
              <w:sz w:val="22"/>
              <w:szCs w:val="22"/>
              <w:lang w:val="sr-Latn-CS"/>
            </w:rPr>
          </w:pPr>
        </w:p>
        <w:p w14:paraId="2EAEB4FF" w14:textId="77777777" w:rsidR="00AF79F9" w:rsidRPr="00F35682" w:rsidRDefault="00AF79F9" w:rsidP="00DE33FD">
          <w:pPr>
            <w:pStyle w:val="BodyTextIndent"/>
            <w:ind w:firstLine="0"/>
            <w:jc w:val="center"/>
            <w:rPr>
              <w:rFonts w:ascii="Georgia" w:eastAsia="Arial Unicode MS" w:hAnsi="Georgia" w:cs="Arial Unicode MS"/>
              <w:b/>
              <w:bCs/>
              <w:sz w:val="22"/>
              <w:szCs w:val="22"/>
              <w:lang w:val="en-US"/>
            </w:rPr>
          </w:pPr>
          <w:smartTag w:uri="urn:schemas-microsoft-com:office:smarttags" w:element="place">
            <w:smartTag w:uri="urn:schemas-microsoft-com:office:smarttags" w:element="PlaceType">
              <w:r>
                <w:rPr>
                  <w:rFonts w:ascii="Georgia" w:eastAsia="Arial Unicode MS" w:hAnsi="Georgia" w:cs="Arial Unicode MS"/>
                  <w:b/>
                  <w:bCs/>
                  <w:sz w:val="22"/>
                  <w:szCs w:val="22"/>
                  <w:lang w:val="en-US"/>
                </w:rPr>
                <w:t>REPUBLIC</w:t>
              </w:r>
            </w:smartTag>
            <w:r>
              <w:rPr>
                <w:rFonts w:ascii="Georgia" w:eastAsia="Arial Unicode MS" w:hAnsi="Georgia" w:cs="Arial Unicode MS"/>
                <w:b/>
                <w:bCs/>
                <w:sz w:val="22"/>
                <w:szCs w:val="22"/>
                <w:lang w:val="en-US"/>
              </w:rPr>
              <w:t xml:space="preserve">  OF </w:t>
            </w:r>
            <w:smartTag w:uri="urn:schemas-microsoft-com:office:smarttags" w:element="PlaceName">
              <w:r>
                <w:rPr>
                  <w:rFonts w:ascii="Georgia" w:eastAsia="Arial Unicode MS" w:hAnsi="Georgia" w:cs="Arial Unicode MS"/>
                  <w:b/>
                  <w:bCs/>
                  <w:sz w:val="22"/>
                  <w:szCs w:val="22"/>
                  <w:lang w:val="en-US"/>
                </w:rPr>
                <w:t>SERBIA</w:t>
              </w:r>
            </w:smartTag>
          </w:smartTag>
        </w:p>
        <w:p w14:paraId="7F627718" w14:textId="77777777" w:rsidR="00AF79F9" w:rsidRPr="00A0248D" w:rsidRDefault="00ED7734" w:rsidP="00DE33FD">
          <w:pPr>
            <w:pStyle w:val="BodyTextIndent"/>
            <w:ind w:firstLine="0"/>
            <w:jc w:val="center"/>
            <w:rPr>
              <w:rFonts w:ascii="Georgia" w:eastAsia="Arial Unicode MS" w:hAnsi="Georgia" w:cs="Arial Unicode MS"/>
              <w:bCs/>
              <w:sz w:val="22"/>
              <w:szCs w:val="22"/>
            </w:rPr>
          </w:pPr>
          <w:r>
            <w:rPr>
              <w:rFonts w:ascii="Georgia" w:eastAsia="Arial Unicode MS" w:hAnsi="Georgia" w:cs="Arial Unicode MS"/>
              <w:bCs/>
              <w:sz w:val="22"/>
              <w:szCs w:val="22"/>
            </w:rPr>
            <w:t>418-28/</w:t>
          </w:r>
          <w:r w:rsidR="00AF79F9" w:rsidRPr="00A0248D">
            <w:rPr>
              <w:rFonts w:ascii="Georgia" w:eastAsia="Arial Unicode MS" w:hAnsi="Georgia" w:cs="Arial Unicode MS"/>
              <w:bCs/>
              <w:sz w:val="22"/>
              <w:szCs w:val="22"/>
            </w:rPr>
            <w:t xml:space="preserve"> </w:t>
          </w:r>
          <w:r>
            <w:rPr>
              <w:rFonts w:ascii="Georgia" w:eastAsia="Arial Unicode MS" w:hAnsi="Georgia" w:cs="Arial Unicode MS"/>
              <w:bCs/>
              <w:sz w:val="22"/>
              <w:szCs w:val="22"/>
              <w:lang w:val="en-US"/>
            </w:rPr>
            <w:t>20</w:t>
          </w:r>
        </w:p>
        <w:p w14:paraId="66C68CE9" w14:textId="26B5107B" w:rsidR="00AF79F9" w:rsidRPr="00996E38" w:rsidRDefault="00AF79F9" w:rsidP="00996E38">
          <w:pPr>
            <w:pStyle w:val="BodyTextIndent"/>
            <w:ind w:firstLine="0"/>
            <w:jc w:val="center"/>
            <w:rPr>
              <w:rFonts w:ascii="Georgia" w:eastAsia="Arial Unicode MS" w:hAnsi="Georgia" w:cs="Arial Unicode MS"/>
              <w:bCs/>
              <w:sz w:val="22"/>
              <w:szCs w:val="22"/>
              <w:lang w:val="en-US"/>
            </w:rPr>
          </w:pPr>
          <w:r>
            <w:rPr>
              <w:rFonts w:ascii="Georgia" w:eastAsia="Arial Unicode MS" w:hAnsi="Georgia" w:cs="Arial Unicode MS"/>
              <w:bCs/>
              <w:sz w:val="22"/>
              <w:szCs w:val="22"/>
              <w:lang w:val="en-US"/>
            </w:rPr>
            <w:t>B e l g r a d e</w:t>
          </w:r>
        </w:p>
      </w:tc>
      <w:tc>
        <w:tcPr>
          <w:tcW w:w="2520" w:type="dxa"/>
          <w:tcBorders>
            <w:bottom w:val="single" w:sz="4" w:space="0" w:color="auto"/>
          </w:tcBorders>
        </w:tcPr>
        <w:p w14:paraId="6A18A906" w14:textId="77777777" w:rsidR="00AF79F9" w:rsidRPr="00A0248D" w:rsidRDefault="00AF79F9" w:rsidP="00DE33FD">
          <w:pPr>
            <w:pStyle w:val="BodyTextIndent"/>
            <w:ind w:firstLine="0"/>
            <w:jc w:val="left"/>
            <w:rPr>
              <w:rFonts w:ascii="Book Antiqua" w:hAnsi="Book Antiqua"/>
              <w:spacing w:val="6"/>
              <w:sz w:val="22"/>
              <w:szCs w:val="22"/>
            </w:rPr>
          </w:pPr>
        </w:p>
      </w:tc>
      <w:tc>
        <w:tcPr>
          <w:tcW w:w="3240" w:type="dxa"/>
          <w:vMerge/>
          <w:tcBorders>
            <w:bottom w:val="single" w:sz="4" w:space="0" w:color="auto"/>
          </w:tcBorders>
        </w:tcPr>
        <w:p w14:paraId="4F1937FA" w14:textId="77777777" w:rsidR="00AF79F9" w:rsidRPr="00A0248D" w:rsidRDefault="00AF79F9" w:rsidP="00DE33FD">
          <w:pPr>
            <w:pStyle w:val="BodyTextIndent"/>
            <w:ind w:firstLine="0"/>
            <w:jc w:val="left"/>
            <w:rPr>
              <w:rFonts w:ascii="Book Antiqua" w:hAnsi="Book Antiqua"/>
              <w:spacing w:val="6"/>
              <w:sz w:val="22"/>
              <w:szCs w:val="22"/>
            </w:rPr>
          </w:pPr>
        </w:p>
      </w:tc>
    </w:tr>
    <w:tr w:rsidR="00AF79F9" w:rsidRPr="00A0248D" w14:paraId="2E769CE3" w14:textId="77777777" w:rsidTr="005249E8">
      <w:trPr>
        <w:trHeight w:val="350"/>
      </w:trPr>
      <w:tc>
        <w:tcPr>
          <w:tcW w:w="3600" w:type="dxa"/>
          <w:tcBorders>
            <w:top w:val="single" w:sz="4" w:space="0" w:color="auto"/>
          </w:tcBorders>
        </w:tcPr>
        <w:p w14:paraId="08212000" w14:textId="6778DE42" w:rsidR="00AF79F9" w:rsidRPr="00CB2B74" w:rsidRDefault="00AF79F9" w:rsidP="00197000">
          <w:pPr>
            <w:spacing w:before="120"/>
            <w:rPr>
              <w:rFonts w:ascii="Georgia" w:hAnsi="Georgia"/>
              <w:sz w:val="20"/>
              <w:szCs w:val="20"/>
              <w:lang w:val="en-US"/>
            </w:rPr>
          </w:pPr>
          <w:r w:rsidRPr="005249E8">
            <w:rPr>
              <w:rFonts w:ascii="Georgia" w:hAnsi="Georgia"/>
              <w:sz w:val="20"/>
              <w:szCs w:val="20"/>
              <w:lang w:val="en-US"/>
            </w:rPr>
            <w:t>Ev</w:t>
          </w:r>
          <w:r w:rsidRPr="005249E8">
            <w:rPr>
              <w:rFonts w:ascii="Georgia" w:hAnsi="Georgia"/>
              <w:sz w:val="20"/>
              <w:szCs w:val="20"/>
            </w:rPr>
            <w:t>.</w:t>
          </w:r>
          <w:r w:rsidRPr="005249E8">
            <w:rPr>
              <w:rFonts w:ascii="Georgia" w:hAnsi="Georgia"/>
              <w:sz w:val="20"/>
              <w:szCs w:val="20"/>
              <w:lang w:val="en-US"/>
            </w:rPr>
            <w:t>No</w:t>
          </w:r>
          <w:r w:rsidR="005249E8" w:rsidRPr="005249E8">
            <w:rPr>
              <w:rFonts w:ascii="Georgia" w:hAnsi="Georgia"/>
              <w:sz w:val="20"/>
              <w:szCs w:val="20"/>
            </w:rPr>
            <w:t>.</w:t>
          </w:r>
          <w:r w:rsidR="00197000">
            <w:rPr>
              <w:rFonts w:ascii="Georgia" w:hAnsi="Georgia"/>
              <w:sz w:val="20"/>
              <w:szCs w:val="20"/>
              <w:lang w:val="en-US"/>
            </w:rPr>
            <w:t>32472</w:t>
          </w:r>
          <w:r w:rsidR="00CB2B74">
            <w:rPr>
              <w:rFonts w:ascii="Georgia" w:hAnsi="Georgia"/>
              <w:sz w:val="20"/>
              <w:szCs w:val="20"/>
              <w:lang w:val="en-US"/>
            </w:rPr>
            <w:t xml:space="preserve"> </w:t>
          </w:r>
          <w:r w:rsidR="005249E8" w:rsidRPr="005249E8">
            <w:rPr>
              <w:rFonts w:ascii="Georgia" w:hAnsi="Georgia"/>
              <w:sz w:val="20"/>
              <w:szCs w:val="20"/>
            </w:rPr>
            <w:t xml:space="preserve"> </w:t>
          </w:r>
          <w:r w:rsidR="005249E8">
            <w:rPr>
              <w:rFonts w:ascii="Georgia" w:hAnsi="Georgia"/>
              <w:sz w:val="20"/>
              <w:szCs w:val="20"/>
              <w:lang w:val="en-US"/>
            </w:rPr>
            <w:t>d</w:t>
          </w:r>
          <w:r w:rsidRPr="005249E8">
            <w:rPr>
              <w:rFonts w:ascii="Georgia" w:hAnsi="Georgia"/>
              <w:sz w:val="20"/>
              <w:szCs w:val="20"/>
              <w:lang w:val="en-US"/>
            </w:rPr>
            <w:t>ate:</w:t>
          </w:r>
          <w:r w:rsidR="005249E8" w:rsidRPr="005249E8">
            <w:rPr>
              <w:rFonts w:ascii="Georgia" w:hAnsi="Georgia"/>
              <w:sz w:val="20"/>
              <w:szCs w:val="20"/>
              <w:lang w:val="en-US"/>
            </w:rPr>
            <w:t xml:space="preserve"> </w:t>
          </w:r>
          <w:r w:rsidR="00197000">
            <w:rPr>
              <w:rFonts w:ascii="Georgia" w:hAnsi="Georgia"/>
              <w:sz w:val="20"/>
              <w:szCs w:val="20"/>
              <w:lang w:val="en-US"/>
            </w:rPr>
            <w:t>30 December  2022</w:t>
          </w:r>
          <w:r w:rsidR="005249E8" w:rsidRPr="005249E8">
            <w:rPr>
              <w:rFonts w:ascii="Georgia" w:hAnsi="Georgia"/>
              <w:sz w:val="20"/>
              <w:szCs w:val="20"/>
              <w:lang w:val="en-US"/>
            </w:rPr>
            <w:t>.</w:t>
          </w:r>
        </w:p>
      </w:tc>
      <w:tc>
        <w:tcPr>
          <w:tcW w:w="2520" w:type="dxa"/>
          <w:tcBorders>
            <w:top w:val="single" w:sz="4" w:space="0" w:color="auto"/>
          </w:tcBorders>
        </w:tcPr>
        <w:p w14:paraId="79D56322" w14:textId="77777777" w:rsidR="00AF79F9" w:rsidRPr="00A0248D" w:rsidRDefault="00AF79F9" w:rsidP="00DE33FD">
          <w:pPr>
            <w:pStyle w:val="BodyTextIndent"/>
            <w:ind w:firstLine="0"/>
            <w:jc w:val="left"/>
            <w:rPr>
              <w:rFonts w:ascii="Book Antiqua" w:hAnsi="Book Antiqua"/>
              <w:spacing w:val="6"/>
              <w:sz w:val="22"/>
              <w:szCs w:val="22"/>
            </w:rPr>
          </w:pPr>
        </w:p>
      </w:tc>
      <w:tc>
        <w:tcPr>
          <w:tcW w:w="3240" w:type="dxa"/>
          <w:tcBorders>
            <w:top w:val="single" w:sz="4" w:space="0" w:color="auto"/>
          </w:tcBorders>
        </w:tcPr>
        <w:p w14:paraId="0A4905F7" w14:textId="77777777" w:rsidR="00AF79F9" w:rsidRPr="00A0248D" w:rsidRDefault="00AF79F9" w:rsidP="00DE33FD">
          <w:pPr>
            <w:pStyle w:val="BodyTextIndent"/>
            <w:ind w:firstLine="0"/>
            <w:jc w:val="left"/>
            <w:rPr>
              <w:rFonts w:ascii="Book Antiqua" w:hAnsi="Book Antiqua"/>
              <w:spacing w:val="6"/>
              <w:sz w:val="22"/>
              <w:szCs w:val="22"/>
            </w:rPr>
          </w:pPr>
        </w:p>
      </w:tc>
    </w:tr>
  </w:tbl>
  <w:p w14:paraId="176D873C" w14:textId="77777777" w:rsidR="00AF79F9" w:rsidRDefault="00AF7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222D2"/>
    <w:multiLevelType w:val="hybridMultilevel"/>
    <w:tmpl w:val="718801D0"/>
    <w:lvl w:ilvl="0" w:tplc="F3827D94">
      <w:start w:val="1"/>
      <w:numFmt w:val="decimal"/>
      <w:lvlText w:val="%1."/>
      <w:lvlJc w:val="left"/>
      <w:pPr>
        <w:ind w:left="1080" w:hanging="360"/>
      </w:pPr>
      <w:rPr>
        <w:rFonts w:cs="MyriadPro-Regular"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E0A00DC"/>
    <w:multiLevelType w:val="hybridMultilevel"/>
    <w:tmpl w:val="C0DC320E"/>
    <w:lvl w:ilvl="0" w:tplc="9B20ABDE">
      <w:start w:val="3"/>
      <w:numFmt w:val="decimal"/>
      <w:lvlText w:val="%1."/>
      <w:lvlJc w:val="left"/>
      <w:pPr>
        <w:ind w:left="2160" w:hanging="360"/>
      </w:pPr>
      <w:rPr>
        <w:rFonts w:hint="default"/>
        <w:b w:val="0"/>
      </w:rPr>
    </w:lvl>
    <w:lvl w:ilvl="1" w:tplc="2ED87AE2">
      <w:start w:val="20"/>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8654CA9"/>
    <w:multiLevelType w:val="hybridMultilevel"/>
    <w:tmpl w:val="727098E2"/>
    <w:lvl w:ilvl="0" w:tplc="1FDA53C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B3051A"/>
    <w:multiLevelType w:val="multilevel"/>
    <w:tmpl w:val="0A48AF2A"/>
    <w:styleLink w:val="Rimska"/>
    <w:lvl w:ilvl="0">
      <w:start w:val="1"/>
      <w:numFmt w:val="upperRoman"/>
      <w:pStyle w:val="NasloviRimski"/>
      <w:lvlText w:val="%1"/>
      <w:lvlJc w:val="left"/>
      <w:pPr>
        <w:ind w:left="397" w:hanging="397"/>
      </w:pPr>
      <w:rPr>
        <w:rFonts w:ascii="Book Antiqua" w:hAnsi="Book Antiqua" w:cs="Times New Roman" w:hint="default"/>
      </w:rPr>
    </w:lvl>
    <w:lvl w:ilvl="1">
      <w:start w:val="1"/>
      <w:numFmt w:val="decimal"/>
      <w:pStyle w:val="Podnaslovi"/>
      <w:isLgl/>
      <w:lvlText w:val="%2."/>
      <w:lvlJc w:val="left"/>
      <w:pPr>
        <w:ind w:left="397" w:hanging="397"/>
      </w:pPr>
      <w:rPr>
        <w:rFonts w:cs="Times New Roman" w:hint="default"/>
      </w:rPr>
    </w:lvl>
    <w:lvl w:ilvl="2">
      <w:start w:val="1"/>
      <w:numFmt w:val="decimal"/>
      <w:pStyle w:val="Numeracija1"/>
      <w:isLgl/>
      <w:lvlText w:val="%2.%3."/>
      <w:lvlJc w:val="left"/>
      <w:pPr>
        <w:ind w:left="284" w:hanging="284"/>
      </w:pPr>
      <w:rPr>
        <w:rFonts w:cs="Times New Roman" w:hint="default"/>
      </w:rPr>
    </w:lvl>
    <w:lvl w:ilvl="3">
      <w:start w:val="1"/>
      <w:numFmt w:val="decimal"/>
      <w:pStyle w:val="Numeracija4"/>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4" w15:restartNumberingAfterBreak="0">
    <w:nsid w:val="59BD0144"/>
    <w:multiLevelType w:val="hybridMultilevel"/>
    <w:tmpl w:val="E6C6F98C"/>
    <w:lvl w:ilvl="0" w:tplc="017A0EBE">
      <w:start w:val="27"/>
      <w:numFmt w:val="bullet"/>
      <w:lvlText w:val="-"/>
      <w:lvlJc w:val="left"/>
      <w:pPr>
        <w:tabs>
          <w:tab w:val="num" w:pos="720"/>
        </w:tabs>
        <w:ind w:left="720" w:hanging="360"/>
      </w:pPr>
      <w:rPr>
        <w:rFonts w:ascii="Book Antiqua" w:eastAsia="Times New Roman" w:hAnsi="Book Antiqu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2"/>
  </w:num>
  <w:num w:numId="4">
    <w:abstractNumId w:val="3"/>
    <w:lvlOverride w:ilvl="0">
      <w:lvl w:ilvl="0">
        <w:start w:val="1"/>
        <w:numFmt w:val="upperRoman"/>
        <w:pStyle w:val="NasloviRimski"/>
        <w:lvlText w:val="%1"/>
        <w:lvlJc w:val="left"/>
        <w:pPr>
          <w:ind w:left="397" w:hanging="397"/>
        </w:pPr>
        <w:rPr>
          <w:rFonts w:ascii="Book Antiqua" w:hAnsi="Book Antiqua" w:cs="Times New Roman" w:hint="default"/>
        </w:rPr>
      </w:lvl>
    </w:lvlOverride>
    <w:lvlOverride w:ilvl="1">
      <w:lvl w:ilvl="1">
        <w:start w:val="1"/>
        <w:numFmt w:val="decimal"/>
        <w:pStyle w:val="Podnaslovi"/>
        <w:isLgl/>
        <w:lvlText w:val="%2."/>
        <w:lvlJc w:val="left"/>
        <w:pPr>
          <w:ind w:left="397" w:hanging="397"/>
        </w:pPr>
        <w:rPr>
          <w:rFonts w:cs="Times New Roman" w:hint="default"/>
        </w:rPr>
      </w:lvl>
    </w:lvlOverride>
    <w:lvlOverride w:ilvl="2">
      <w:lvl w:ilvl="2">
        <w:start w:val="1"/>
        <w:numFmt w:val="decimal"/>
        <w:pStyle w:val="Numeracija1"/>
        <w:isLgl/>
        <w:lvlText w:val="%2.%3."/>
        <w:lvlJc w:val="left"/>
        <w:pPr>
          <w:ind w:left="284" w:hanging="284"/>
        </w:pPr>
        <w:rPr>
          <w:rFonts w:cs="Times New Roman" w:hint="default"/>
          <w:b w:val="0"/>
        </w:rPr>
      </w:lvl>
    </w:lvlOverride>
    <w:lvlOverride w:ilvl="3">
      <w:lvl w:ilvl="3">
        <w:start w:val="1"/>
        <w:numFmt w:val="decimal"/>
        <w:pStyle w:val="Numeracija4"/>
        <w:lvlText w:val="(%4)"/>
        <w:lvlJc w:val="left"/>
        <w:pPr>
          <w:ind w:left="2160" w:hanging="360"/>
        </w:pPr>
        <w:rPr>
          <w:rFonts w:cs="Times New Roman" w:hint="default"/>
        </w:rPr>
      </w:lvl>
    </w:lvlOverride>
    <w:lvlOverride w:ilvl="4">
      <w:lvl w:ilvl="4">
        <w:start w:val="1"/>
        <w:numFmt w:val="lowerLetter"/>
        <w:lvlText w:val="(%5)"/>
        <w:lvlJc w:val="left"/>
        <w:pPr>
          <w:ind w:left="2520" w:hanging="360"/>
        </w:pPr>
        <w:rPr>
          <w:rFonts w:cs="Times New Roman" w:hint="default"/>
        </w:rPr>
      </w:lvl>
    </w:lvlOverride>
    <w:lvlOverride w:ilvl="5">
      <w:lvl w:ilvl="5">
        <w:start w:val="1"/>
        <w:numFmt w:val="lowerRoman"/>
        <w:lvlText w:val="(%6)"/>
        <w:lvlJc w:val="left"/>
        <w:pPr>
          <w:ind w:left="2880" w:hanging="360"/>
        </w:pPr>
        <w:rPr>
          <w:rFonts w:cs="Times New Roman" w:hint="default"/>
        </w:rPr>
      </w:lvl>
    </w:lvlOverride>
    <w:lvlOverride w:ilvl="6">
      <w:lvl w:ilvl="6">
        <w:start w:val="1"/>
        <w:numFmt w:val="decimal"/>
        <w:lvlText w:val="%7."/>
        <w:lvlJc w:val="left"/>
        <w:pPr>
          <w:ind w:left="3240" w:hanging="360"/>
        </w:pPr>
        <w:rPr>
          <w:rFonts w:cs="Times New Roman" w:hint="default"/>
        </w:rPr>
      </w:lvl>
    </w:lvlOverride>
    <w:lvlOverride w:ilvl="7">
      <w:lvl w:ilvl="7">
        <w:start w:val="1"/>
        <w:numFmt w:val="lowerLetter"/>
        <w:lvlText w:val="%8."/>
        <w:lvlJc w:val="left"/>
        <w:pPr>
          <w:ind w:left="3600" w:hanging="360"/>
        </w:pPr>
        <w:rPr>
          <w:rFonts w:cs="Times New Roman" w:hint="default"/>
        </w:rPr>
      </w:lvl>
    </w:lvlOverride>
    <w:lvlOverride w:ilvl="8">
      <w:lvl w:ilvl="8">
        <w:start w:val="1"/>
        <w:numFmt w:val="lowerRoman"/>
        <w:lvlText w:val="%9."/>
        <w:lvlJc w:val="left"/>
        <w:pPr>
          <w:ind w:left="3960" w:hanging="360"/>
        </w:pPr>
        <w:rPr>
          <w:rFonts w:cs="Times New Roman" w:hint="default"/>
        </w:rPr>
      </w:lvl>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5AC"/>
    <w:rsid w:val="00024FC9"/>
    <w:rsid w:val="00040F08"/>
    <w:rsid w:val="000421A9"/>
    <w:rsid w:val="00051967"/>
    <w:rsid w:val="00053A61"/>
    <w:rsid w:val="00053BC7"/>
    <w:rsid w:val="000814F2"/>
    <w:rsid w:val="00090121"/>
    <w:rsid w:val="000A18C1"/>
    <w:rsid w:val="000E061C"/>
    <w:rsid w:val="00104E27"/>
    <w:rsid w:val="00115182"/>
    <w:rsid w:val="001434A0"/>
    <w:rsid w:val="001946C2"/>
    <w:rsid w:val="0019614A"/>
    <w:rsid w:val="00197000"/>
    <w:rsid w:val="001B0192"/>
    <w:rsid w:val="001B5561"/>
    <w:rsid w:val="001C4334"/>
    <w:rsid w:val="001F7E07"/>
    <w:rsid w:val="00200CA8"/>
    <w:rsid w:val="00214AD8"/>
    <w:rsid w:val="00221D98"/>
    <w:rsid w:val="00226B8E"/>
    <w:rsid w:val="00240668"/>
    <w:rsid w:val="002A20C9"/>
    <w:rsid w:val="002A3D05"/>
    <w:rsid w:val="002B53A4"/>
    <w:rsid w:val="002B6AC5"/>
    <w:rsid w:val="002E3628"/>
    <w:rsid w:val="002F085A"/>
    <w:rsid w:val="002F4825"/>
    <w:rsid w:val="00316E97"/>
    <w:rsid w:val="0031722D"/>
    <w:rsid w:val="0034179D"/>
    <w:rsid w:val="00342E9E"/>
    <w:rsid w:val="003436DE"/>
    <w:rsid w:val="003B5D9A"/>
    <w:rsid w:val="003D532A"/>
    <w:rsid w:val="003E6C26"/>
    <w:rsid w:val="003F0C0F"/>
    <w:rsid w:val="00431684"/>
    <w:rsid w:val="00444B65"/>
    <w:rsid w:val="004721D4"/>
    <w:rsid w:val="00497BE8"/>
    <w:rsid w:val="004B6A09"/>
    <w:rsid w:val="004F286F"/>
    <w:rsid w:val="00504A7E"/>
    <w:rsid w:val="005249E8"/>
    <w:rsid w:val="0057225F"/>
    <w:rsid w:val="00592A0A"/>
    <w:rsid w:val="005A0FF6"/>
    <w:rsid w:val="005B0699"/>
    <w:rsid w:val="005B27EC"/>
    <w:rsid w:val="005B292F"/>
    <w:rsid w:val="00601D3A"/>
    <w:rsid w:val="006076D9"/>
    <w:rsid w:val="00616C66"/>
    <w:rsid w:val="00617748"/>
    <w:rsid w:val="00630B01"/>
    <w:rsid w:val="00636C9B"/>
    <w:rsid w:val="0064751F"/>
    <w:rsid w:val="0066090D"/>
    <w:rsid w:val="00662B56"/>
    <w:rsid w:val="006A25F1"/>
    <w:rsid w:val="006A6712"/>
    <w:rsid w:val="006C1F25"/>
    <w:rsid w:val="007128F7"/>
    <w:rsid w:val="007A3A43"/>
    <w:rsid w:val="007B5FDD"/>
    <w:rsid w:val="007E737D"/>
    <w:rsid w:val="007F7426"/>
    <w:rsid w:val="00804873"/>
    <w:rsid w:val="00812831"/>
    <w:rsid w:val="00841D3E"/>
    <w:rsid w:val="008756F1"/>
    <w:rsid w:val="00882874"/>
    <w:rsid w:val="008862A2"/>
    <w:rsid w:val="008E1118"/>
    <w:rsid w:val="00901471"/>
    <w:rsid w:val="00904B0D"/>
    <w:rsid w:val="00905230"/>
    <w:rsid w:val="00923079"/>
    <w:rsid w:val="00931FF8"/>
    <w:rsid w:val="009515BF"/>
    <w:rsid w:val="009564C4"/>
    <w:rsid w:val="00960A0A"/>
    <w:rsid w:val="00962C71"/>
    <w:rsid w:val="00970364"/>
    <w:rsid w:val="00996E38"/>
    <w:rsid w:val="009B3903"/>
    <w:rsid w:val="009C4F6C"/>
    <w:rsid w:val="009D09C9"/>
    <w:rsid w:val="009E485A"/>
    <w:rsid w:val="00A16F33"/>
    <w:rsid w:val="00A439B8"/>
    <w:rsid w:val="00A97A0F"/>
    <w:rsid w:val="00AA62CD"/>
    <w:rsid w:val="00AC7B52"/>
    <w:rsid w:val="00AF79F9"/>
    <w:rsid w:val="00B55C79"/>
    <w:rsid w:val="00B6789D"/>
    <w:rsid w:val="00B7034C"/>
    <w:rsid w:val="00BC0096"/>
    <w:rsid w:val="00BC481A"/>
    <w:rsid w:val="00BD54E6"/>
    <w:rsid w:val="00BE5561"/>
    <w:rsid w:val="00C0298D"/>
    <w:rsid w:val="00C26F82"/>
    <w:rsid w:val="00C5780E"/>
    <w:rsid w:val="00C5791E"/>
    <w:rsid w:val="00C76F0F"/>
    <w:rsid w:val="00C9582D"/>
    <w:rsid w:val="00CA022A"/>
    <w:rsid w:val="00CA4A8F"/>
    <w:rsid w:val="00CB2B74"/>
    <w:rsid w:val="00CC5E97"/>
    <w:rsid w:val="00CE042E"/>
    <w:rsid w:val="00CE388F"/>
    <w:rsid w:val="00CE465D"/>
    <w:rsid w:val="00CF72E2"/>
    <w:rsid w:val="00D0181F"/>
    <w:rsid w:val="00D02D5F"/>
    <w:rsid w:val="00D0563C"/>
    <w:rsid w:val="00D11FC3"/>
    <w:rsid w:val="00D135AC"/>
    <w:rsid w:val="00D54AA3"/>
    <w:rsid w:val="00D62235"/>
    <w:rsid w:val="00D960FA"/>
    <w:rsid w:val="00DD2DBD"/>
    <w:rsid w:val="00DE07AC"/>
    <w:rsid w:val="00DE33FD"/>
    <w:rsid w:val="00E23303"/>
    <w:rsid w:val="00E57EE0"/>
    <w:rsid w:val="00E8471B"/>
    <w:rsid w:val="00E924A9"/>
    <w:rsid w:val="00EB6423"/>
    <w:rsid w:val="00ED7734"/>
    <w:rsid w:val="00EE1F41"/>
    <w:rsid w:val="00EF24C2"/>
    <w:rsid w:val="00F265D2"/>
    <w:rsid w:val="00F35682"/>
    <w:rsid w:val="00F530CE"/>
    <w:rsid w:val="00F75C08"/>
    <w:rsid w:val="00F93DCA"/>
    <w:rsid w:val="00F95FE5"/>
    <w:rsid w:val="00FB11E3"/>
    <w:rsid w:val="00FD2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4097"/>
    <o:shapelayout v:ext="edit">
      <o:idmap v:ext="edit" data="1"/>
    </o:shapelayout>
  </w:shapeDefaults>
  <w:decimalSymbol w:val="."/>
  <w:listSeparator w:val=","/>
  <w14:docId w14:val="6A7EB334"/>
  <w15:chartTrackingRefBased/>
  <w15:docId w15:val="{21C4A861-3AC2-4B95-A188-561824C69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0CE"/>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1471"/>
    <w:pPr>
      <w:tabs>
        <w:tab w:val="center" w:pos="4320"/>
        <w:tab w:val="right" w:pos="8640"/>
      </w:tabs>
    </w:pPr>
  </w:style>
  <w:style w:type="paragraph" w:styleId="Footer">
    <w:name w:val="footer"/>
    <w:basedOn w:val="Normal"/>
    <w:rsid w:val="00901471"/>
    <w:pPr>
      <w:tabs>
        <w:tab w:val="center" w:pos="4320"/>
        <w:tab w:val="right" w:pos="8640"/>
      </w:tabs>
    </w:pPr>
  </w:style>
  <w:style w:type="paragraph" w:styleId="BodyTextIndent">
    <w:name w:val="Body Text Indent"/>
    <w:basedOn w:val="Normal"/>
    <w:rsid w:val="00901471"/>
    <w:pPr>
      <w:ind w:firstLine="720"/>
      <w:jc w:val="both"/>
    </w:pPr>
    <w:rPr>
      <w:rFonts w:ascii="Verdana" w:hAnsi="Verdana"/>
      <w:lang w:val="sr-Cyrl-CS"/>
    </w:rPr>
  </w:style>
  <w:style w:type="character" w:styleId="PageNumber">
    <w:name w:val="page number"/>
    <w:basedOn w:val="DefaultParagraphFont"/>
    <w:rsid w:val="00F530CE"/>
  </w:style>
  <w:style w:type="paragraph" w:customStyle="1" w:styleId="NormalBookAntiqua">
    <w:name w:val="Normal + Book Antiqua"/>
    <w:aliases w:val="11 pt,Right,Right:  0.05&quot;"/>
    <w:basedOn w:val="Normal"/>
    <w:rsid w:val="00CA4A8F"/>
  </w:style>
  <w:style w:type="paragraph" w:customStyle="1" w:styleId="CharCharChar2Char">
    <w:name w:val="Char Char Char2 Char"/>
    <w:basedOn w:val="NormalBookAntiqua"/>
    <w:rsid w:val="00FD2B5D"/>
  </w:style>
  <w:style w:type="paragraph" w:styleId="BalloonText">
    <w:name w:val="Balloon Text"/>
    <w:basedOn w:val="Normal"/>
    <w:semiHidden/>
    <w:rsid w:val="00D62235"/>
    <w:rPr>
      <w:rFonts w:ascii="Tahoma" w:hAnsi="Tahoma" w:cs="Tahoma"/>
      <w:sz w:val="16"/>
      <w:szCs w:val="16"/>
    </w:rPr>
  </w:style>
  <w:style w:type="paragraph" w:customStyle="1" w:styleId="CharCharChar2Char0">
    <w:name w:val="Char Char Char2 Char"/>
    <w:basedOn w:val="Normal"/>
    <w:rsid w:val="00BD54E6"/>
    <w:pPr>
      <w:spacing w:after="160" w:line="240" w:lineRule="exact"/>
    </w:pPr>
    <w:rPr>
      <w:rFonts w:ascii="Tahoma" w:hAnsi="Tahoma"/>
      <w:sz w:val="20"/>
      <w:szCs w:val="20"/>
      <w:lang w:val="en-US"/>
    </w:rPr>
  </w:style>
  <w:style w:type="paragraph" w:styleId="FootnoteText">
    <w:name w:val="footnote text"/>
    <w:aliases w:val="Footnote Text Char Char Char,Footnote Text Char Char,Footnote Text Char1,single space Char,ft Char,single space,ft,Footnote Text Char Char Char Char Char Char Char Char,Footnote Text Char Char Char Char1 Char,fn,Fußnote,ft Char Char Char,f"/>
    <w:basedOn w:val="Normal"/>
    <w:link w:val="FootnoteTextChar"/>
    <w:uiPriority w:val="99"/>
    <w:qFormat/>
    <w:rsid w:val="00200CA8"/>
    <w:rPr>
      <w:sz w:val="20"/>
      <w:szCs w:val="20"/>
    </w:rPr>
  </w:style>
  <w:style w:type="character" w:customStyle="1" w:styleId="FootnoteTextChar">
    <w:name w:val="Footnote Text Char"/>
    <w:aliases w:val="Footnote Text Char Char Char Char,Footnote Text Char Char Char1,Footnote Text Char1 Char,single space Char Char,ft Char Char,single space Char1,ft Char1,Footnote Text Char Char Char Char Char Char Char Char Char,fn Char,Fußnote Char"/>
    <w:basedOn w:val="DefaultParagraphFont"/>
    <w:link w:val="FootnoteText"/>
    <w:uiPriority w:val="99"/>
    <w:rsid w:val="00200CA8"/>
    <w:rPr>
      <w:lang w:val="en-GB"/>
    </w:rPr>
  </w:style>
  <w:style w:type="character" w:styleId="FootnoteReference">
    <w:name w:val="footnote reference"/>
    <w:aliases w:val="ftref,4_G,BVI fnr,callout,Footnotes refss,ftref Char1 Char,4_G Char Char,BVI fnr Char1 Char,ftref Char Char Char Char,BVI fnr Char Char Char Char,BVI fnr Car Car Char Char Char Char, BVI fnr Char Char Char Char,16 Point,ftref Char,F"/>
    <w:basedOn w:val="DefaultParagraphFont"/>
    <w:link w:val="ftrefChar1"/>
    <w:qFormat/>
    <w:rsid w:val="00200CA8"/>
    <w:rPr>
      <w:vertAlign w:val="superscript"/>
    </w:rPr>
  </w:style>
  <w:style w:type="paragraph" w:styleId="ListParagraph">
    <w:name w:val="List Paragraph"/>
    <w:aliases w:val="List Paragraph1"/>
    <w:basedOn w:val="Normal"/>
    <w:link w:val="ListParagraphChar"/>
    <w:uiPriority w:val="99"/>
    <w:qFormat/>
    <w:rsid w:val="00200CA8"/>
    <w:pPr>
      <w:spacing w:after="200" w:line="276" w:lineRule="auto"/>
      <w:ind w:left="720"/>
      <w:contextualSpacing/>
    </w:pPr>
    <w:rPr>
      <w:rFonts w:asciiTheme="minorHAnsi" w:eastAsiaTheme="minorHAnsi" w:hAnsiTheme="minorHAnsi" w:cstheme="minorBidi"/>
      <w:sz w:val="22"/>
      <w:szCs w:val="22"/>
      <w:lang w:val="en-US"/>
    </w:rPr>
  </w:style>
  <w:style w:type="character" w:styleId="CommentReference">
    <w:name w:val="annotation reference"/>
    <w:basedOn w:val="DefaultParagraphFont"/>
    <w:uiPriority w:val="99"/>
    <w:unhideWhenUsed/>
    <w:rsid w:val="00200CA8"/>
    <w:rPr>
      <w:sz w:val="16"/>
      <w:szCs w:val="16"/>
    </w:rPr>
  </w:style>
  <w:style w:type="character" w:customStyle="1" w:styleId="ListParagraphChar">
    <w:name w:val="List Paragraph Char"/>
    <w:aliases w:val="List Paragraph1 Char"/>
    <w:link w:val="ListParagraph"/>
    <w:uiPriority w:val="34"/>
    <w:locked/>
    <w:rsid w:val="00200CA8"/>
    <w:rPr>
      <w:rFonts w:asciiTheme="minorHAnsi" w:eastAsiaTheme="minorHAnsi" w:hAnsiTheme="minorHAnsi" w:cstheme="minorBidi"/>
      <w:sz w:val="22"/>
      <w:szCs w:val="22"/>
    </w:rPr>
  </w:style>
  <w:style w:type="paragraph" w:styleId="CommentText">
    <w:name w:val="annotation text"/>
    <w:basedOn w:val="Normal"/>
    <w:link w:val="CommentTextChar"/>
    <w:uiPriority w:val="99"/>
    <w:unhideWhenUsed/>
    <w:qFormat/>
    <w:rsid w:val="00200CA8"/>
    <w:pPr>
      <w:spacing w:after="200" w:line="276" w:lineRule="auto"/>
    </w:pPr>
    <w:rPr>
      <w:rFonts w:ascii="Calibri" w:eastAsia="Calibri" w:hAnsi="Calibri"/>
      <w:sz w:val="20"/>
      <w:szCs w:val="20"/>
      <w:lang w:val="en-US"/>
    </w:rPr>
  </w:style>
  <w:style w:type="character" w:customStyle="1" w:styleId="CommentTextChar">
    <w:name w:val="Comment Text Char"/>
    <w:basedOn w:val="DefaultParagraphFont"/>
    <w:link w:val="CommentText"/>
    <w:uiPriority w:val="99"/>
    <w:qFormat/>
    <w:rsid w:val="00200CA8"/>
    <w:rPr>
      <w:rFonts w:ascii="Calibri" w:eastAsia="Calibri" w:hAnsi="Calibri"/>
    </w:rPr>
  </w:style>
  <w:style w:type="paragraph" w:styleId="CommentSubject">
    <w:name w:val="annotation subject"/>
    <w:basedOn w:val="CommentText"/>
    <w:next w:val="CommentText"/>
    <w:link w:val="CommentSubjectChar"/>
    <w:rsid w:val="00200CA8"/>
    <w:pPr>
      <w:spacing w:after="0" w:line="240" w:lineRule="auto"/>
    </w:pPr>
    <w:rPr>
      <w:rFonts w:ascii="Times New Roman" w:eastAsia="Times New Roman" w:hAnsi="Times New Roman"/>
      <w:b/>
      <w:bCs/>
      <w:lang w:val="en-GB"/>
    </w:rPr>
  </w:style>
  <w:style w:type="character" w:customStyle="1" w:styleId="CommentSubjectChar">
    <w:name w:val="Comment Subject Char"/>
    <w:basedOn w:val="CommentTextChar"/>
    <w:link w:val="CommentSubject"/>
    <w:rsid w:val="00200CA8"/>
    <w:rPr>
      <w:rFonts w:ascii="Calibri" w:eastAsia="Calibri" w:hAnsi="Calibri"/>
      <w:b/>
      <w:bCs/>
      <w:lang w:val="en-GB"/>
    </w:rPr>
  </w:style>
  <w:style w:type="paragraph" w:customStyle="1" w:styleId="ftrefChar1">
    <w:name w:val="ftref Char1"/>
    <w:aliases w:val="4_G Char,BVI fnr Char1,ftref Char Char Char,BVI fnr Char Char Char,BVI fnr Car Car Char Char Char,BVI fnr Car Char Char Char,BVI fnr Car Car Car Car Char Char Char, BVI fnr Char Char Char, BVI fnr Car Car Char Char Char,ftref Char Char"/>
    <w:basedOn w:val="Normal"/>
    <w:link w:val="FootnoteReference"/>
    <w:rsid w:val="00221D98"/>
    <w:pPr>
      <w:spacing w:after="160" w:line="240" w:lineRule="exact"/>
    </w:pPr>
    <w:rPr>
      <w:sz w:val="20"/>
      <w:szCs w:val="20"/>
      <w:vertAlign w:val="superscript"/>
      <w:lang w:val="en-US"/>
    </w:rPr>
  </w:style>
  <w:style w:type="paragraph" w:customStyle="1" w:styleId="-BA11Just">
    <w:name w:val="- BA 11  Just"/>
    <w:basedOn w:val="Normal"/>
    <w:link w:val="-BA11JustChar"/>
    <w:autoRedefine/>
    <w:rsid w:val="00221D98"/>
    <w:pPr>
      <w:tabs>
        <w:tab w:val="left" w:pos="1834"/>
      </w:tabs>
      <w:jc w:val="both"/>
    </w:pPr>
    <w:rPr>
      <w:rFonts w:ascii="Book Antiqua" w:hAnsi="Book Antiqua"/>
      <w:sz w:val="22"/>
      <w:szCs w:val="20"/>
      <w:lang w:val="en-US"/>
    </w:rPr>
  </w:style>
  <w:style w:type="character" w:customStyle="1" w:styleId="-BA11JustChar">
    <w:name w:val="- BA 11  Just Char"/>
    <w:link w:val="-BA11Just"/>
    <w:locked/>
    <w:rsid w:val="00221D98"/>
    <w:rPr>
      <w:rFonts w:ascii="Book Antiqua" w:hAnsi="Book Antiqua"/>
      <w:sz w:val="22"/>
    </w:rPr>
  </w:style>
  <w:style w:type="character" w:styleId="Hyperlink">
    <w:name w:val="Hyperlink"/>
    <w:uiPriority w:val="99"/>
    <w:rsid w:val="00221D98"/>
    <w:rPr>
      <w:color w:val="0000FF"/>
      <w:u w:val="single"/>
    </w:rPr>
  </w:style>
  <w:style w:type="paragraph" w:customStyle="1" w:styleId="Default">
    <w:name w:val="Default"/>
    <w:rsid w:val="00812831"/>
    <w:pPr>
      <w:autoSpaceDE w:val="0"/>
      <w:autoSpaceDN w:val="0"/>
      <w:adjustRightInd w:val="0"/>
    </w:pPr>
    <w:rPr>
      <w:rFonts w:ascii="Book Antiqua" w:hAnsi="Book Antiqua" w:cs="Book Antiqua"/>
      <w:color w:val="000000"/>
      <w:sz w:val="24"/>
      <w:szCs w:val="24"/>
    </w:rPr>
  </w:style>
  <w:style w:type="paragraph" w:customStyle="1" w:styleId="NasloviRimski">
    <w:name w:val="Naslovi Rimski"/>
    <w:basedOn w:val="Normal"/>
    <w:uiPriority w:val="99"/>
    <w:rsid w:val="00342E9E"/>
    <w:pPr>
      <w:numPr>
        <w:numId w:val="4"/>
      </w:numPr>
      <w:spacing w:before="160" w:after="160" w:line="259" w:lineRule="auto"/>
      <w:jc w:val="center"/>
    </w:pPr>
    <w:rPr>
      <w:rFonts w:ascii="Book Antiqua" w:eastAsia="Calibri" w:hAnsi="Book Antiqua"/>
      <w:b/>
      <w:sz w:val="22"/>
      <w:szCs w:val="22"/>
    </w:rPr>
  </w:style>
  <w:style w:type="paragraph" w:customStyle="1" w:styleId="Podnaslovi">
    <w:name w:val="Podnaslovi"/>
    <w:basedOn w:val="Normal"/>
    <w:uiPriority w:val="99"/>
    <w:rsid w:val="00342E9E"/>
    <w:pPr>
      <w:numPr>
        <w:ilvl w:val="1"/>
        <w:numId w:val="4"/>
      </w:numPr>
      <w:spacing w:before="120" w:after="120" w:line="259" w:lineRule="auto"/>
      <w:jc w:val="center"/>
    </w:pPr>
    <w:rPr>
      <w:rFonts w:ascii="Book Antiqua" w:eastAsia="Calibri" w:hAnsi="Book Antiqua"/>
      <w:b/>
      <w:sz w:val="22"/>
      <w:szCs w:val="22"/>
      <w:lang w:val="en-US"/>
    </w:rPr>
  </w:style>
  <w:style w:type="paragraph" w:customStyle="1" w:styleId="Numeracija1">
    <w:name w:val="Numeracija 1"/>
    <w:basedOn w:val="Normal"/>
    <w:uiPriority w:val="99"/>
    <w:qFormat/>
    <w:rsid w:val="00342E9E"/>
    <w:pPr>
      <w:numPr>
        <w:ilvl w:val="2"/>
        <w:numId w:val="4"/>
      </w:numPr>
      <w:spacing w:after="120" w:line="259" w:lineRule="auto"/>
      <w:ind w:left="0" w:firstLine="0"/>
      <w:jc w:val="both"/>
    </w:pPr>
    <w:rPr>
      <w:rFonts w:ascii="Book Antiqua" w:eastAsia="Calibri" w:hAnsi="Book Antiqua"/>
      <w:sz w:val="22"/>
      <w:szCs w:val="22"/>
      <w:lang w:val="sr-Cyrl-CS"/>
    </w:rPr>
  </w:style>
  <w:style w:type="paragraph" w:customStyle="1" w:styleId="Numeracija4">
    <w:name w:val="Numeracija 4"/>
    <w:basedOn w:val="Numeracija1"/>
    <w:uiPriority w:val="99"/>
    <w:rsid w:val="00342E9E"/>
    <w:pPr>
      <w:numPr>
        <w:ilvl w:val="3"/>
      </w:numPr>
      <w:ind w:firstLine="567"/>
    </w:pPr>
  </w:style>
  <w:style w:type="numbering" w:customStyle="1" w:styleId="Rimska">
    <w:name w:val="Rimska"/>
    <w:rsid w:val="00342E9E"/>
    <w:pPr>
      <w:numPr>
        <w:numId w:val="5"/>
      </w:numPr>
    </w:pPr>
  </w:style>
  <w:style w:type="paragraph" w:styleId="NormalWeb">
    <w:name w:val="Normal (Web)"/>
    <w:basedOn w:val="Normal"/>
    <w:uiPriority w:val="99"/>
    <w:unhideWhenUsed/>
    <w:rsid w:val="00342E9E"/>
    <w:pPr>
      <w:spacing w:after="150"/>
      <w:jc w:val="both"/>
    </w:pPr>
    <w:rPr>
      <w:spacing w:val="5"/>
      <w:lang w:val="en-US"/>
    </w:rPr>
  </w:style>
  <w:style w:type="paragraph" w:customStyle="1" w:styleId="Normal1">
    <w:name w:val="Normal1"/>
    <w:basedOn w:val="Normal"/>
    <w:rsid w:val="00051967"/>
    <w:pPr>
      <w:spacing w:before="100" w:beforeAutospacing="1" w:after="100" w:afterAutospacing="1"/>
    </w:pPr>
    <w:rPr>
      <w:rFonts w:ascii="Arial" w:hAnsi="Arial" w:cs="Arial"/>
      <w:sz w:val="22"/>
      <w:szCs w:val="22"/>
      <w:lang w:val="en-US"/>
    </w:rPr>
  </w:style>
  <w:style w:type="paragraph" w:styleId="EndnoteText">
    <w:name w:val="endnote text"/>
    <w:basedOn w:val="Normal"/>
    <w:link w:val="EndnoteTextChar"/>
    <w:rsid w:val="00CF72E2"/>
    <w:rPr>
      <w:sz w:val="20"/>
      <w:szCs w:val="20"/>
    </w:rPr>
  </w:style>
  <w:style w:type="character" w:customStyle="1" w:styleId="EndnoteTextChar">
    <w:name w:val="Endnote Text Char"/>
    <w:basedOn w:val="DefaultParagraphFont"/>
    <w:link w:val="EndnoteText"/>
    <w:rsid w:val="00CF72E2"/>
    <w:rPr>
      <w:lang w:val="en-GB"/>
    </w:rPr>
  </w:style>
  <w:style w:type="character" w:styleId="EndnoteReference">
    <w:name w:val="endnote reference"/>
    <w:basedOn w:val="DefaultParagraphFont"/>
    <w:rsid w:val="00CF72E2"/>
    <w:rPr>
      <w:vertAlign w:val="superscript"/>
    </w:rPr>
  </w:style>
  <w:style w:type="paragraph" w:customStyle="1" w:styleId="Pa39">
    <w:name w:val="Pa39"/>
    <w:basedOn w:val="Default"/>
    <w:next w:val="Default"/>
    <w:uiPriority w:val="99"/>
    <w:rsid w:val="0019614A"/>
    <w:pPr>
      <w:spacing w:line="221" w:lineRule="atLeast"/>
    </w:pPr>
    <w:rPr>
      <w:rFonts w:ascii="Resavska BG Sans" w:hAnsi="Resavska BG Sans" w:cs="Times New Roman"/>
      <w:color w:val="auto"/>
    </w:rPr>
  </w:style>
  <w:style w:type="character" w:customStyle="1" w:styleId="A0">
    <w:name w:val="A0"/>
    <w:uiPriority w:val="99"/>
    <w:rsid w:val="0019614A"/>
    <w:rPr>
      <w:rFonts w:cs="Resavska BG San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74717">
      <w:bodyDiv w:val="1"/>
      <w:marLeft w:val="0"/>
      <w:marRight w:val="0"/>
      <w:marTop w:val="0"/>
      <w:marBottom w:val="0"/>
      <w:divBdr>
        <w:top w:val="none" w:sz="0" w:space="0" w:color="auto"/>
        <w:left w:val="none" w:sz="0" w:space="0" w:color="auto"/>
        <w:bottom w:val="none" w:sz="0" w:space="0" w:color="auto"/>
        <w:right w:val="none" w:sz="0" w:space="0" w:color="auto"/>
      </w:divBdr>
    </w:div>
    <w:div w:id="181822058">
      <w:bodyDiv w:val="1"/>
      <w:marLeft w:val="0"/>
      <w:marRight w:val="0"/>
      <w:marTop w:val="0"/>
      <w:marBottom w:val="0"/>
      <w:divBdr>
        <w:top w:val="none" w:sz="0" w:space="0" w:color="auto"/>
        <w:left w:val="none" w:sz="0" w:space="0" w:color="auto"/>
        <w:bottom w:val="none" w:sz="0" w:space="0" w:color="auto"/>
        <w:right w:val="none" w:sz="0" w:space="0" w:color="auto"/>
      </w:divBdr>
    </w:div>
    <w:div w:id="397869591">
      <w:bodyDiv w:val="1"/>
      <w:marLeft w:val="0"/>
      <w:marRight w:val="0"/>
      <w:marTop w:val="0"/>
      <w:marBottom w:val="0"/>
      <w:divBdr>
        <w:top w:val="none" w:sz="0" w:space="0" w:color="auto"/>
        <w:left w:val="none" w:sz="0" w:space="0" w:color="auto"/>
        <w:bottom w:val="none" w:sz="0" w:space="0" w:color="auto"/>
        <w:right w:val="none" w:sz="0" w:space="0" w:color="auto"/>
      </w:divBdr>
    </w:div>
    <w:div w:id="639381236">
      <w:bodyDiv w:val="1"/>
      <w:marLeft w:val="0"/>
      <w:marRight w:val="0"/>
      <w:marTop w:val="0"/>
      <w:marBottom w:val="0"/>
      <w:divBdr>
        <w:top w:val="none" w:sz="0" w:space="0" w:color="auto"/>
        <w:left w:val="none" w:sz="0" w:space="0" w:color="auto"/>
        <w:bottom w:val="none" w:sz="0" w:space="0" w:color="auto"/>
        <w:right w:val="none" w:sz="0" w:space="0" w:color="auto"/>
      </w:divBdr>
    </w:div>
    <w:div w:id="704913315">
      <w:bodyDiv w:val="1"/>
      <w:marLeft w:val="0"/>
      <w:marRight w:val="0"/>
      <w:marTop w:val="0"/>
      <w:marBottom w:val="0"/>
      <w:divBdr>
        <w:top w:val="none" w:sz="0" w:space="0" w:color="auto"/>
        <w:left w:val="none" w:sz="0" w:space="0" w:color="auto"/>
        <w:bottom w:val="none" w:sz="0" w:space="0" w:color="auto"/>
        <w:right w:val="none" w:sz="0" w:space="0" w:color="auto"/>
      </w:divBdr>
    </w:div>
    <w:div w:id="962225367">
      <w:bodyDiv w:val="1"/>
      <w:marLeft w:val="0"/>
      <w:marRight w:val="0"/>
      <w:marTop w:val="0"/>
      <w:marBottom w:val="0"/>
      <w:divBdr>
        <w:top w:val="none" w:sz="0" w:space="0" w:color="auto"/>
        <w:left w:val="none" w:sz="0" w:space="0" w:color="auto"/>
        <w:bottom w:val="none" w:sz="0" w:space="0" w:color="auto"/>
        <w:right w:val="none" w:sz="0" w:space="0" w:color="auto"/>
      </w:divBdr>
    </w:div>
    <w:div w:id="970210968">
      <w:bodyDiv w:val="1"/>
      <w:marLeft w:val="0"/>
      <w:marRight w:val="0"/>
      <w:marTop w:val="0"/>
      <w:marBottom w:val="0"/>
      <w:divBdr>
        <w:top w:val="none" w:sz="0" w:space="0" w:color="auto"/>
        <w:left w:val="none" w:sz="0" w:space="0" w:color="auto"/>
        <w:bottom w:val="none" w:sz="0" w:space="0" w:color="auto"/>
        <w:right w:val="none" w:sz="0" w:space="0" w:color="auto"/>
      </w:divBdr>
    </w:div>
    <w:div w:id="1224218837">
      <w:bodyDiv w:val="1"/>
      <w:marLeft w:val="0"/>
      <w:marRight w:val="0"/>
      <w:marTop w:val="0"/>
      <w:marBottom w:val="0"/>
      <w:divBdr>
        <w:top w:val="none" w:sz="0" w:space="0" w:color="auto"/>
        <w:left w:val="none" w:sz="0" w:space="0" w:color="auto"/>
        <w:bottom w:val="none" w:sz="0" w:space="0" w:color="auto"/>
        <w:right w:val="none" w:sz="0" w:space="0" w:color="auto"/>
      </w:divBdr>
    </w:div>
    <w:div w:id="1451391875">
      <w:bodyDiv w:val="1"/>
      <w:marLeft w:val="0"/>
      <w:marRight w:val="0"/>
      <w:marTop w:val="0"/>
      <w:marBottom w:val="0"/>
      <w:divBdr>
        <w:top w:val="none" w:sz="0" w:space="0" w:color="auto"/>
        <w:left w:val="none" w:sz="0" w:space="0" w:color="auto"/>
        <w:bottom w:val="none" w:sz="0" w:space="0" w:color="auto"/>
        <w:right w:val="none" w:sz="0" w:space="0" w:color="auto"/>
      </w:divBdr>
    </w:div>
    <w:div w:id="166358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ksandar\Documents\Custom%20Office%20Templates\&#1041;&#1045;&#1054;&#1043;&#1056;&#1040;&#1044;%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CD169-F271-45F0-A177-BD75392BB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БЕОГРАД 1.dotx</Template>
  <TotalTime>1</TotalTime>
  <Pages>6</Pages>
  <Words>2709</Words>
  <Characters>14673</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БЕОГРАД</vt:lpstr>
    </vt:vector>
  </TitlesOfParts>
  <Company>UZZPRO/ERC</Company>
  <LinksUpToDate>false</LinksUpToDate>
  <CharactersWithSpaces>17348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БЕОГРАД</dc:title>
  <dc:subject/>
  <dc:creator>Aleksandar Tasić</dc:creator>
  <cp:keywords/>
  <cp:lastModifiedBy>Javier Leoz Invernon</cp:lastModifiedBy>
  <cp:revision>2</cp:revision>
  <cp:lastPrinted>2010-06-15T10:26:00Z</cp:lastPrinted>
  <dcterms:created xsi:type="dcterms:W3CDTF">2023-01-05T10:30:00Z</dcterms:created>
  <dcterms:modified xsi:type="dcterms:W3CDTF">2023-01-05T10:30:00Z</dcterms:modified>
</cp:coreProperties>
</file>