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0CFF79" w14:textId="77777777" w:rsidR="005C18B3" w:rsidRDefault="00CD673A" w:rsidP="00EE2059">
      <w:pPr>
        <w:jc w:val="center"/>
        <w:rPr>
          <w:rFonts w:ascii="Arial" w:hAnsi="Arial" w:cs="Arial"/>
          <w:b/>
          <w:sz w:val="24"/>
          <w:szCs w:val="24"/>
        </w:rPr>
      </w:pPr>
      <w:bookmarkStart w:id="0" w:name="_GoBack"/>
      <w:bookmarkEnd w:id="0"/>
      <w:r w:rsidRPr="00EE2059">
        <w:rPr>
          <w:rFonts w:ascii="Arial" w:hAnsi="Arial" w:cs="Arial"/>
          <w:b/>
          <w:sz w:val="24"/>
          <w:szCs w:val="24"/>
        </w:rPr>
        <w:t>Seguimiento al párrafo 70 de las Observaciones finales del Comité de Derechos de las Personas con Discapacidad al Pri</w:t>
      </w:r>
      <w:r w:rsidR="00EE2059">
        <w:rPr>
          <w:rFonts w:ascii="Arial" w:hAnsi="Arial" w:cs="Arial"/>
          <w:b/>
          <w:sz w:val="24"/>
          <w:szCs w:val="24"/>
        </w:rPr>
        <w:t>mer Informe Nacional de Uruguay</w:t>
      </w:r>
    </w:p>
    <w:p w14:paraId="300CFF7A" w14:textId="77777777" w:rsidR="00EE2059" w:rsidRDefault="00EE2059" w:rsidP="00EE2059">
      <w:pPr>
        <w:jc w:val="center"/>
        <w:rPr>
          <w:rFonts w:ascii="Arial" w:hAnsi="Arial" w:cs="Arial"/>
          <w:b/>
          <w:sz w:val="24"/>
          <w:szCs w:val="24"/>
        </w:rPr>
      </w:pPr>
    </w:p>
    <w:p w14:paraId="300CFF7B" w14:textId="77777777" w:rsidR="00EE2059" w:rsidRPr="00EE2059" w:rsidRDefault="00EE2059" w:rsidP="00EE2059">
      <w:pPr>
        <w:jc w:val="center"/>
        <w:rPr>
          <w:rFonts w:ascii="Arial" w:hAnsi="Arial" w:cs="Arial"/>
          <w:b/>
          <w:sz w:val="24"/>
          <w:szCs w:val="24"/>
        </w:rPr>
      </w:pPr>
    </w:p>
    <w:p w14:paraId="300CFF7C" w14:textId="77777777" w:rsidR="005C18B3" w:rsidRPr="00EE2059" w:rsidRDefault="005C18B3" w:rsidP="00EE2059">
      <w:pPr>
        <w:jc w:val="center"/>
        <w:rPr>
          <w:rFonts w:ascii="Arial" w:hAnsi="Arial" w:cs="Arial"/>
          <w:b/>
          <w:sz w:val="24"/>
          <w:szCs w:val="24"/>
        </w:rPr>
      </w:pPr>
    </w:p>
    <w:p w14:paraId="300CFF7D" w14:textId="77777777" w:rsidR="00CD673A" w:rsidRPr="00CD673A" w:rsidRDefault="005C18B3" w:rsidP="00CD673A">
      <w:pPr>
        <w:pStyle w:val="ListParagraph"/>
        <w:numPr>
          <w:ilvl w:val="0"/>
          <w:numId w:val="3"/>
        </w:numPr>
        <w:tabs>
          <w:tab w:val="left" w:pos="1701"/>
          <w:tab w:val="left" w:pos="2410"/>
        </w:tabs>
        <w:suppressAutoHyphens/>
        <w:spacing w:after="120"/>
        <w:ind w:right="1134"/>
        <w:jc w:val="both"/>
        <w:rPr>
          <w:rFonts w:ascii="Arial" w:eastAsia="Malgun Gothic" w:hAnsi="Arial" w:cs="Arial"/>
          <w:sz w:val="24"/>
          <w:szCs w:val="24"/>
          <w:lang w:eastAsia="ko-KR"/>
        </w:rPr>
      </w:pPr>
      <w:r w:rsidRPr="003E25FE">
        <w:rPr>
          <w:rFonts w:ascii="Arial" w:eastAsia="Malgun Gothic" w:hAnsi="Arial" w:cs="Arial"/>
          <w:b/>
          <w:sz w:val="24"/>
          <w:szCs w:val="24"/>
          <w:lang w:eastAsia="ko-KR"/>
        </w:rPr>
        <w:t xml:space="preserve">El Comité recomienda al Estado parte que adopte medidas para designar un mecanismo de supervisión que se ajuste plenamente a los Principios de París.  </w:t>
      </w:r>
    </w:p>
    <w:p w14:paraId="300CFF7E" w14:textId="77777777" w:rsidR="00CD673A" w:rsidRPr="00CD673A" w:rsidRDefault="00CD673A" w:rsidP="00CD673A">
      <w:pPr>
        <w:pStyle w:val="ListParagraph"/>
        <w:tabs>
          <w:tab w:val="left" w:pos="1701"/>
          <w:tab w:val="left" w:pos="2410"/>
        </w:tabs>
        <w:suppressAutoHyphens/>
        <w:spacing w:after="120"/>
        <w:ind w:right="1134"/>
        <w:jc w:val="both"/>
        <w:rPr>
          <w:rFonts w:ascii="Arial" w:eastAsia="Malgun Gothic" w:hAnsi="Arial" w:cs="Arial"/>
          <w:sz w:val="24"/>
          <w:szCs w:val="24"/>
          <w:lang w:eastAsia="ko-KR"/>
        </w:rPr>
      </w:pPr>
    </w:p>
    <w:p w14:paraId="300CFF7F" w14:textId="77777777" w:rsidR="00CD673A" w:rsidRPr="00CD673A" w:rsidRDefault="00CD673A" w:rsidP="00CD673A">
      <w:pPr>
        <w:pStyle w:val="ListParagraph"/>
        <w:numPr>
          <w:ilvl w:val="0"/>
          <w:numId w:val="7"/>
        </w:numPr>
        <w:tabs>
          <w:tab w:val="left" w:pos="1701"/>
          <w:tab w:val="left" w:pos="2410"/>
        </w:tabs>
        <w:suppressAutoHyphens/>
        <w:spacing w:after="120"/>
        <w:ind w:right="1134"/>
        <w:jc w:val="both"/>
        <w:rPr>
          <w:rFonts w:ascii="Arial" w:eastAsia="Malgun Gothic" w:hAnsi="Arial" w:cs="Arial"/>
          <w:b/>
          <w:sz w:val="24"/>
          <w:szCs w:val="24"/>
          <w:lang w:eastAsia="ko-KR"/>
        </w:rPr>
      </w:pPr>
      <w:r w:rsidRPr="00CD673A">
        <w:rPr>
          <w:rFonts w:ascii="Arial" w:eastAsia="Malgun Gothic" w:hAnsi="Arial" w:cs="Arial"/>
          <w:b/>
          <w:sz w:val="24"/>
          <w:szCs w:val="24"/>
          <w:lang w:eastAsia="ko-KR"/>
        </w:rPr>
        <w:t>El Comité pide al Estado parte que, en el plazo de 12 meses y de conformidad con elartículo 35, párrafo 2, de la Convención, informe de las medidas adoptadas para aplicar la recomendación del Comité que figura en el párrafo 68 supra.</w:t>
      </w:r>
    </w:p>
    <w:p w14:paraId="300CFF80" w14:textId="77777777" w:rsidR="0063208C" w:rsidRDefault="0063208C" w:rsidP="003E25FE">
      <w:pPr>
        <w:jc w:val="both"/>
        <w:rPr>
          <w:rFonts w:ascii="Arial" w:hAnsi="Arial" w:cs="Arial"/>
          <w:sz w:val="24"/>
          <w:szCs w:val="24"/>
        </w:rPr>
      </w:pPr>
    </w:p>
    <w:p w14:paraId="300CFF81" w14:textId="77777777" w:rsidR="00EE2059" w:rsidRDefault="00EE2059" w:rsidP="003E25FE">
      <w:pPr>
        <w:jc w:val="both"/>
        <w:rPr>
          <w:rFonts w:ascii="Arial" w:hAnsi="Arial" w:cs="Arial"/>
          <w:sz w:val="24"/>
          <w:szCs w:val="24"/>
        </w:rPr>
      </w:pPr>
    </w:p>
    <w:p w14:paraId="300CFF82" w14:textId="77777777" w:rsidR="00EE2059" w:rsidRPr="003E25FE" w:rsidRDefault="00EE2059" w:rsidP="003E25FE">
      <w:pPr>
        <w:jc w:val="both"/>
        <w:rPr>
          <w:rFonts w:ascii="Arial" w:hAnsi="Arial" w:cs="Arial"/>
          <w:sz w:val="24"/>
          <w:szCs w:val="24"/>
        </w:rPr>
      </w:pPr>
    </w:p>
    <w:p w14:paraId="300CFF83" w14:textId="77777777" w:rsidR="005C18B3" w:rsidRPr="003E25FE" w:rsidRDefault="005C18B3" w:rsidP="00CD673A">
      <w:pPr>
        <w:ind w:firstLine="360"/>
        <w:jc w:val="both"/>
        <w:rPr>
          <w:rFonts w:ascii="Arial" w:hAnsi="Arial" w:cs="Arial"/>
          <w:sz w:val="24"/>
          <w:szCs w:val="24"/>
        </w:rPr>
      </w:pPr>
      <w:r w:rsidRPr="003E25FE">
        <w:rPr>
          <w:rFonts w:ascii="Arial" w:hAnsi="Arial" w:cs="Arial"/>
          <w:sz w:val="24"/>
          <w:szCs w:val="24"/>
        </w:rPr>
        <w:t xml:space="preserve">En cumplimiento </w:t>
      </w:r>
      <w:r w:rsidR="00CD673A">
        <w:rPr>
          <w:rFonts w:ascii="Arial" w:hAnsi="Arial" w:cs="Arial"/>
          <w:sz w:val="24"/>
          <w:szCs w:val="24"/>
        </w:rPr>
        <w:t xml:space="preserve">de </w:t>
      </w:r>
      <w:r w:rsidRPr="003E25FE">
        <w:rPr>
          <w:rFonts w:ascii="Arial" w:hAnsi="Arial" w:cs="Arial"/>
          <w:sz w:val="24"/>
          <w:szCs w:val="24"/>
        </w:rPr>
        <w:t>lo solicitado por el Comité de Derechos de Personas con Discapacidad</w:t>
      </w:r>
      <w:r w:rsidR="00CD673A">
        <w:rPr>
          <w:rFonts w:ascii="Arial" w:hAnsi="Arial" w:cs="Arial"/>
          <w:sz w:val="24"/>
          <w:szCs w:val="24"/>
        </w:rPr>
        <w:t xml:space="preserve"> (CDPD)</w:t>
      </w:r>
      <w:r w:rsidRPr="003E25FE">
        <w:rPr>
          <w:rFonts w:ascii="Arial" w:hAnsi="Arial" w:cs="Arial"/>
          <w:sz w:val="24"/>
          <w:szCs w:val="24"/>
        </w:rPr>
        <w:t xml:space="preserve">, </w:t>
      </w:r>
      <w:r w:rsidR="00CD673A">
        <w:rPr>
          <w:rFonts w:ascii="Arial" w:hAnsi="Arial" w:cs="Arial"/>
          <w:sz w:val="24"/>
          <w:szCs w:val="24"/>
        </w:rPr>
        <w:t>Uruguay</w:t>
      </w:r>
      <w:r w:rsidRPr="003E25FE">
        <w:rPr>
          <w:rFonts w:ascii="Arial" w:hAnsi="Arial" w:cs="Arial"/>
          <w:sz w:val="24"/>
          <w:szCs w:val="24"/>
        </w:rPr>
        <w:t xml:space="preserve"> tiene el agrado de informar las medidas adoptadas a efectos de avanzar en la recomendación del párrafo 68 de las Observaciones finales al </w:t>
      </w:r>
      <w:r w:rsidR="00CD673A">
        <w:rPr>
          <w:rFonts w:ascii="Arial" w:hAnsi="Arial" w:cs="Arial"/>
          <w:sz w:val="24"/>
          <w:szCs w:val="24"/>
        </w:rPr>
        <w:t>P</w:t>
      </w:r>
      <w:r w:rsidRPr="003E25FE">
        <w:rPr>
          <w:rFonts w:ascii="Arial" w:hAnsi="Arial" w:cs="Arial"/>
          <w:sz w:val="24"/>
          <w:szCs w:val="24"/>
        </w:rPr>
        <w:t xml:space="preserve">rimer Informe </w:t>
      </w:r>
      <w:r w:rsidR="00CD673A">
        <w:rPr>
          <w:rFonts w:ascii="Arial" w:hAnsi="Arial" w:cs="Arial"/>
          <w:sz w:val="24"/>
          <w:szCs w:val="24"/>
        </w:rPr>
        <w:t xml:space="preserve">Nacional </w:t>
      </w:r>
      <w:r w:rsidRPr="003E25FE">
        <w:rPr>
          <w:rFonts w:ascii="Arial" w:hAnsi="Arial" w:cs="Arial"/>
          <w:sz w:val="24"/>
          <w:szCs w:val="24"/>
        </w:rPr>
        <w:t>de Uruguay, presentado los días 15 y 16 de agosto de 2016.</w:t>
      </w:r>
    </w:p>
    <w:p w14:paraId="300CFF84" w14:textId="77777777" w:rsidR="005C18B3" w:rsidRPr="003E25FE" w:rsidRDefault="005C18B3" w:rsidP="003E25FE">
      <w:pPr>
        <w:jc w:val="both"/>
        <w:rPr>
          <w:rFonts w:ascii="Arial" w:hAnsi="Arial" w:cs="Arial"/>
          <w:sz w:val="24"/>
          <w:szCs w:val="24"/>
        </w:rPr>
      </w:pPr>
    </w:p>
    <w:p w14:paraId="300CFF85" w14:textId="77777777" w:rsidR="005C18B3" w:rsidRPr="003E25FE" w:rsidRDefault="005C18B3" w:rsidP="00CD673A">
      <w:pPr>
        <w:ind w:firstLine="360"/>
        <w:jc w:val="both"/>
        <w:rPr>
          <w:rFonts w:ascii="Arial" w:hAnsi="Arial" w:cs="Arial"/>
          <w:sz w:val="24"/>
          <w:szCs w:val="24"/>
        </w:rPr>
      </w:pPr>
      <w:r w:rsidRPr="003E25FE">
        <w:rPr>
          <w:rFonts w:ascii="Arial" w:hAnsi="Arial" w:cs="Arial"/>
          <w:sz w:val="24"/>
          <w:szCs w:val="24"/>
        </w:rPr>
        <w:t>Como fuera adelantado en la presentación oral, durante 2016 Uruguay estableció un Mecanismo Nacional de Monitoreo de Recomendaciones, compuesto por una Red Interinstitucional de Representantes de instituciones del Estado que, a través de Mesas Temáticas, identifican, informan y monitorean las medidas asumidas por sus organismos para la implementación de las recomendaciones y observaciones que Uruguay ha recibido del sistema universal de protección de derechos humanos (órganos creados por los tratados, EPU y mecanismos especiales).</w:t>
      </w:r>
    </w:p>
    <w:p w14:paraId="300CFF86" w14:textId="77777777" w:rsidR="005C18B3" w:rsidRPr="003E25FE" w:rsidRDefault="005C18B3" w:rsidP="003E25FE">
      <w:pPr>
        <w:jc w:val="both"/>
        <w:rPr>
          <w:rFonts w:ascii="Arial" w:hAnsi="Arial" w:cs="Arial"/>
          <w:sz w:val="24"/>
          <w:szCs w:val="24"/>
        </w:rPr>
      </w:pPr>
    </w:p>
    <w:p w14:paraId="300CFF87" w14:textId="77777777" w:rsidR="005C18B3" w:rsidRPr="003E25FE" w:rsidRDefault="005C18B3" w:rsidP="00CD673A">
      <w:pPr>
        <w:ind w:firstLine="360"/>
        <w:jc w:val="both"/>
        <w:rPr>
          <w:rFonts w:ascii="Arial" w:hAnsi="Arial" w:cs="Arial"/>
          <w:sz w:val="24"/>
          <w:szCs w:val="24"/>
        </w:rPr>
      </w:pPr>
      <w:r w:rsidRPr="003E25FE">
        <w:rPr>
          <w:rFonts w:ascii="Arial" w:hAnsi="Arial" w:cs="Arial"/>
          <w:sz w:val="24"/>
          <w:szCs w:val="24"/>
        </w:rPr>
        <w:t>En</w:t>
      </w:r>
      <w:r w:rsidR="004439A0" w:rsidRPr="003E25FE">
        <w:rPr>
          <w:rFonts w:ascii="Arial" w:hAnsi="Arial" w:cs="Arial"/>
          <w:sz w:val="24"/>
          <w:szCs w:val="24"/>
        </w:rPr>
        <w:t xml:space="preserve"> el marco de lo anterior, el 22 de marzo de 2017 tuvo lugar la primera Mesa Temática sobre Discapacidad,</w:t>
      </w:r>
      <w:r w:rsidR="00C35257" w:rsidRPr="003E25FE">
        <w:rPr>
          <w:rFonts w:ascii="Arial" w:hAnsi="Arial" w:cs="Arial"/>
          <w:sz w:val="24"/>
          <w:szCs w:val="24"/>
        </w:rPr>
        <w:t xml:space="preserve"> cuya nota conceptual se adjunta, reuniendo en torno a la misma a instituciones del Estado, sociedad civil organizada en la Alianza de Organizaciones </w:t>
      </w:r>
      <w:r w:rsidR="00CD673A">
        <w:rPr>
          <w:rFonts w:ascii="Arial" w:hAnsi="Arial" w:cs="Arial"/>
          <w:sz w:val="24"/>
          <w:szCs w:val="24"/>
        </w:rPr>
        <w:t>por los</w:t>
      </w:r>
      <w:r w:rsidR="00C35257" w:rsidRPr="003E25FE">
        <w:rPr>
          <w:rFonts w:ascii="Arial" w:hAnsi="Arial" w:cs="Arial"/>
          <w:sz w:val="24"/>
          <w:szCs w:val="24"/>
        </w:rPr>
        <w:t xml:space="preserve"> Derechos de las Personas con Discapacidad</w:t>
      </w:r>
      <w:r w:rsidR="00CF32BE" w:rsidRPr="003E25FE">
        <w:rPr>
          <w:rFonts w:ascii="Arial" w:hAnsi="Arial" w:cs="Arial"/>
          <w:sz w:val="24"/>
          <w:szCs w:val="24"/>
        </w:rPr>
        <w:t xml:space="preserve"> (la Alianza)</w:t>
      </w:r>
      <w:r w:rsidR="00C35257" w:rsidRPr="003E25FE">
        <w:rPr>
          <w:rFonts w:ascii="Arial" w:hAnsi="Arial" w:cs="Arial"/>
          <w:sz w:val="24"/>
          <w:szCs w:val="24"/>
        </w:rPr>
        <w:t xml:space="preserve">, el Sistema de Naciones Unidas </w:t>
      </w:r>
      <w:r w:rsidR="00CD673A">
        <w:rPr>
          <w:rFonts w:ascii="Arial" w:hAnsi="Arial" w:cs="Arial"/>
          <w:sz w:val="24"/>
          <w:szCs w:val="24"/>
        </w:rPr>
        <w:t>en Uruguay (UN</w:t>
      </w:r>
      <w:r w:rsidR="00C35257" w:rsidRPr="003E25FE">
        <w:rPr>
          <w:rFonts w:ascii="Arial" w:hAnsi="Arial" w:cs="Arial"/>
          <w:sz w:val="24"/>
          <w:szCs w:val="24"/>
        </w:rPr>
        <w:t>F</w:t>
      </w:r>
      <w:r w:rsidR="00CD673A">
        <w:rPr>
          <w:rFonts w:ascii="Arial" w:hAnsi="Arial" w:cs="Arial"/>
          <w:sz w:val="24"/>
          <w:szCs w:val="24"/>
        </w:rPr>
        <w:t>P</w:t>
      </w:r>
      <w:r w:rsidR="00C35257" w:rsidRPr="003E25FE">
        <w:rPr>
          <w:rFonts w:ascii="Arial" w:hAnsi="Arial" w:cs="Arial"/>
          <w:sz w:val="24"/>
          <w:szCs w:val="24"/>
        </w:rPr>
        <w:t xml:space="preserve">A) y </w:t>
      </w:r>
      <w:r w:rsidR="00CD673A">
        <w:rPr>
          <w:rFonts w:ascii="Arial" w:hAnsi="Arial" w:cs="Arial"/>
          <w:sz w:val="24"/>
          <w:szCs w:val="24"/>
        </w:rPr>
        <w:t xml:space="preserve">la Oficina Regional del </w:t>
      </w:r>
      <w:r w:rsidR="00C35257" w:rsidRPr="003E25FE">
        <w:rPr>
          <w:rFonts w:ascii="Arial" w:hAnsi="Arial" w:cs="Arial"/>
          <w:sz w:val="24"/>
          <w:szCs w:val="24"/>
        </w:rPr>
        <w:t>Alto Comisionado de Naciones Unidas para los Derechos Humanos.</w:t>
      </w:r>
    </w:p>
    <w:p w14:paraId="300CFF88" w14:textId="77777777" w:rsidR="00C35257" w:rsidRPr="003E25FE" w:rsidRDefault="00C35257" w:rsidP="003E25FE">
      <w:pPr>
        <w:jc w:val="both"/>
        <w:rPr>
          <w:rFonts w:ascii="Arial" w:hAnsi="Arial" w:cs="Arial"/>
          <w:sz w:val="24"/>
          <w:szCs w:val="24"/>
        </w:rPr>
      </w:pPr>
    </w:p>
    <w:p w14:paraId="300CFF89" w14:textId="77777777" w:rsidR="00CF32BE" w:rsidRPr="003E25FE" w:rsidRDefault="00CF32BE" w:rsidP="00CD673A">
      <w:pPr>
        <w:ind w:firstLine="360"/>
        <w:jc w:val="both"/>
        <w:rPr>
          <w:rFonts w:ascii="Arial" w:hAnsi="Arial" w:cs="Arial"/>
          <w:color w:val="000000"/>
          <w:sz w:val="24"/>
          <w:szCs w:val="24"/>
          <w:lang w:val="es-UY" w:eastAsia="es-UY"/>
        </w:rPr>
      </w:pPr>
      <w:r w:rsidRPr="003E25FE">
        <w:rPr>
          <w:rFonts w:ascii="Arial" w:hAnsi="Arial" w:cs="Arial"/>
          <w:sz w:val="24"/>
          <w:szCs w:val="24"/>
        </w:rPr>
        <w:t>En relación concreta a la presente respuesta,</w:t>
      </w:r>
      <w:r w:rsidRPr="003E25FE">
        <w:rPr>
          <w:rFonts w:ascii="Arial" w:hAnsi="Arial" w:cs="Arial"/>
          <w:color w:val="000000"/>
          <w:sz w:val="24"/>
          <w:szCs w:val="24"/>
          <w:lang w:val="es-UY" w:eastAsia="es-UY"/>
        </w:rPr>
        <w:t xml:space="preserve"> el trabajo en la Mesa permitió establecer una estrategia orientada a que la Alianza solicitara la activación del Sistema de Diálogo y Consulta del Ministerio de Relaciones Exteriores</w:t>
      </w:r>
      <w:r w:rsidR="00CD673A">
        <w:rPr>
          <w:rFonts w:ascii="Arial" w:hAnsi="Arial" w:cs="Arial"/>
          <w:color w:val="000000"/>
          <w:sz w:val="24"/>
          <w:szCs w:val="24"/>
          <w:lang w:val="es-UY" w:eastAsia="es-UY"/>
        </w:rPr>
        <w:t xml:space="preserve"> (Decreto Nº25/2014 </w:t>
      </w:r>
      <w:hyperlink r:id="rId12" w:history="1">
        <w:r w:rsidR="00CD673A" w:rsidRPr="00F7541B">
          <w:rPr>
            <w:rStyle w:val="Hyperlink"/>
            <w:rFonts w:ascii="Arial" w:hAnsi="Arial" w:cs="Arial"/>
            <w:sz w:val="24"/>
            <w:szCs w:val="24"/>
            <w:lang w:val="es-UY" w:eastAsia="es-UY"/>
          </w:rPr>
          <w:t>https://www.impo.com.uy/bases/decretos/25-2014</w:t>
        </w:r>
      </w:hyperlink>
      <w:r w:rsidR="00CD673A">
        <w:rPr>
          <w:rFonts w:ascii="Arial" w:hAnsi="Arial" w:cs="Arial"/>
          <w:color w:val="000000"/>
          <w:sz w:val="24"/>
          <w:szCs w:val="24"/>
          <w:lang w:val="es-UY" w:eastAsia="es-UY"/>
        </w:rPr>
        <w:t xml:space="preserve">) </w:t>
      </w:r>
      <w:r w:rsidRPr="003E25FE">
        <w:rPr>
          <w:rFonts w:ascii="Arial" w:hAnsi="Arial" w:cs="Arial"/>
          <w:color w:val="000000"/>
          <w:sz w:val="24"/>
          <w:szCs w:val="24"/>
          <w:lang w:val="es-UY" w:eastAsia="es-UY"/>
        </w:rPr>
        <w:t>a efectos de discutir y acordar los lineamientos que permitirían avanzar hacia la creación del mecanismo de supervisión.</w:t>
      </w:r>
    </w:p>
    <w:p w14:paraId="300CFF8A" w14:textId="77777777" w:rsidR="00CF32BE" w:rsidRPr="003E25FE" w:rsidRDefault="00CF32BE" w:rsidP="003E25FE">
      <w:pPr>
        <w:jc w:val="both"/>
        <w:rPr>
          <w:rFonts w:ascii="Arial" w:hAnsi="Arial" w:cs="Arial"/>
          <w:color w:val="000000"/>
          <w:sz w:val="24"/>
          <w:szCs w:val="24"/>
          <w:lang w:val="es-UY" w:eastAsia="es-UY"/>
        </w:rPr>
      </w:pPr>
    </w:p>
    <w:p w14:paraId="300CFF8B" w14:textId="77777777" w:rsidR="00CF32BE" w:rsidRPr="003E25FE" w:rsidRDefault="00661DA9" w:rsidP="00661DA9">
      <w:pPr>
        <w:spacing w:after="160" w:line="259" w:lineRule="auto"/>
        <w:ind w:firstLine="360"/>
        <w:jc w:val="both"/>
        <w:rPr>
          <w:rFonts w:ascii="Arial" w:hAnsi="Arial" w:cs="Arial"/>
          <w:sz w:val="24"/>
          <w:szCs w:val="24"/>
          <w:lang w:val="es-UY"/>
        </w:rPr>
      </w:pPr>
      <w:r>
        <w:rPr>
          <w:rFonts w:ascii="Arial" w:hAnsi="Arial" w:cs="Arial"/>
          <w:sz w:val="24"/>
          <w:szCs w:val="24"/>
          <w:lang w:val="es-UY"/>
        </w:rPr>
        <w:t xml:space="preserve">La </w:t>
      </w:r>
      <w:r w:rsidR="00CF32BE" w:rsidRPr="003E25FE">
        <w:rPr>
          <w:rFonts w:ascii="Arial" w:hAnsi="Arial" w:cs="Arial"/>
          <w:sz w:val="24"/>
          <w:szCs w:val="24"/>
          <w:lang w:val="es-UY"/>
        </w:rPr>
        <w:t xml:space="preserve">sesión del SDC </w:t>
      </w:r>
      <w:r>
        <w:rPr>
          <w:rFonts w:ascii="Arial" w:hAnsi="Arial" w:cs="Arial"/>
          <w:sz w:val="24"/>
          <w:szCs w:val="24"/>
          <w:lang w:val="es-UY"/>
        </w:rPr>
        <w:t>tuvo lugar el</w:t>
      </w:r>
      <w:r w:rsidR="00CF32BE" w:rsidRPr="003E25FE">
        <w:rPr>
          <w:rFonts w:ascii="Arial" w:hAnsi="Arial" w:cs="Arial"/>
          <w:sz w:val="24"/>
          <w:szCs w:val="24"/>
          <w:lang w:val="es-UY"/>
        </w:rPr>
        <w:t xml:space="preserve"> 29 de junio de 2017, donde participaron la Dirección de Derechos Humanos del Ministerio de Relaciones Exteriores, el Programa Nacional de Discapacidad (PRONADIS) del Ministerio de Desarrollo Social, la Asesora en Derechos Humanos de la Coordinadora Residente de Naciones Unidas en Uruguay</w:t>
      </w:r>
      <w:r w:rsidR="008B1A33" w:rsidRPr="003E25FE">
        <w:rPr>
          <w:rFonts w:ascii="Arial" w:hAnsi="Arial" w:cs="Arial"/>
          <w:sz w:val="24"/>
          <w:szCs w:val="24"/>
          <w:lang w:val="es-UY"/>
        </w:rPr>
        <w:t xml:space="preserve">, la </w:t>
      </w:r>
      <w:r w:rsidR="008B1A33" w:rsidRPr="003E25FE">
        <w:rPr>
          <w:rFonts w:ascii="Arial" w:hAnsi="Arial" w:cs="Arial"/>
          <w:sz w:val="24"/>
          <w:szCs w:val="24"/>
          <w:lang w:val="es-UY"/>
        </w:rPr>
        <w:lastRenderedPageBreak/>
        <w:t xml:space="preserve">Alianza y la </w:t>
      </w:r>
      <w:r w:rsidR="00CF32BE" w:rsidRPr="003E25FE">
        <w:rPr>
          <w:rFonts w:ascii="Arial" w:hAnsi="Arial" w:cs="Arial"/>
          <w:sz w:val="24"/>
          <w:szCs w:val="24"/>
          <w:lang w:val="es-UY"/>
        </w:rPr>
        <w:t>Institución Nacio</w:t>
      </w:r>
      <w:r w:rsidR="008B1A33" w:rsidRPr="003E25FE">
        <w:rPr>
          <w:rFonts w:ascii="Arial" w:hAnsi="Arial" w:cs="Arial"/>
          <w:sz w:val="24"/>
          <w:szCs w:val="24"/>
          <w:lang w:val="es-UY"/>
        </w:rPr>
        <w:t>nal de Derechos Humanos y Defensoría del Pueblo</w:t>
      </w:r>
      <w:r w:rsidR="00C83480" w:rsidRPr="003E25FE">
        <w:rPr>
          <w:rFonts w:ascii="Arial" w:hAnsi="Arial" w:cs="Arial"/>
          <w:sz w:val="24"/>
          <w:szCs w:val="24"/>
          <w:lang w:val="es-UY"/>
        </w:rPr>
        <w:t xml:space="preserve"> (INDDHH)</w:t>
      </w:r>
      <w:r w:rsidR="008B1A33" w:rsidRPr="003E25FE">
        <w:rPr>
          <w:rFonts w:ascii="Arial" w:hAnsi="Arial" w:cs="Arial"/>
          <w:sz w:val="24"/>
          <w:szCs w:val="24"/>
          <w:lang w:val="es-UY"/>
        </w:rPr>
        <w:t>.</w:t>
      </w:r>
    </w:p>
    <w:p w14:paraId="300CFF8C" w14:textId="77777777" w:rsidR="00983EE7" w:rsidRPr="003E25FE" w:rsidRDefault="008B1A33" w:rsidP="00661DA9">
      <w:pPr>
        <w:ind w:firstLine="360"/>
        <w:jc w:val="both"/>
        <w:rPr>
          <w:rFonts w:ascii="Arial" w:hAnsi="Arial" w:cs="Arial"/>
          <w:sz w:val="24"/>
          <w:szCs w:val="24"/>
          <w:lang w:val="es-UY"/>
        </w:rPr>
      </w:pPr>
      <w:r w:rsidRPr="003E25FE">
        <w:rPr>
          <w:rFonts w:ascii="Arial" w:hAnsi="Arial" w:cs="Arial"/>
          <w:sz w:val="24"/>
          <w:szCs w:val="24"/>
          <w:lang w:val="es-UY"/>
        </w:rPr>
        <w:t>Planteada la necesidad de establecer un mecanismo de supervisión que se ajuste plenamente a los Principios de Paris, el representante del Consejo Directivo de la INDDHH indicó que</w:t>
      </w:r>
      <w:r w:rsidR="00FE7A0D" w:rsidRPr="003E25FE">
        <w:rPr>
          <w:rFonts w:ascii="Arial" w:hAnsi="Arial" w:cs="Arial"/>
          <w:sz w:val="24"/>
          <w:szCs w:val="24"/>
          <w:lang w:val="es-UY"/>
        </w:rPr>
        <w:t>,</w:t>
      </w:r>
      <w:r w:rsidRPr="003E25FE">
        <w:rPr>
          <w:rFonts w:ascii="Arial" w:hAnsi="Arial" w:cs="Arial"/>
          <w:sz w:val="24"/>
          <w:szCs w:val="24"/>
          <w:lang w:val="es-UY"/>
        </w:rPr>
        <w:t xml:space="preserve"> por mandato, la INDDHH tiene facultades para realizar la supervisión de la implementación de la Convención de los Derechos de las Personas con Discapacidad</w:t>
      </w:r>
      <w:r w:rsidR="00FE7A0D" w:rsidRPr="003E25FE">
        <w:rPr>
          <w:rFonts w:ascii="Arial" w:hAnsi="Arial" w:cs="Arial"/>
          <w:sz w:val="24"/>
          <w:szCs w:val="24"/>
          <w:lang w:val="es-UY"/>
        </w:rPr>
        <w:t>.</w:t>
      </w:r>
    </w:p>
    <w:p w14:paraId="300CFF8D" w14:textId="77777777" w:rsidR="00983EE7" w:rsidRPr="003E25FE" w:rsidRDefault="00983EE7" w:rsidP="003E25FE">
      <w:pPr>
        <w:jc w:val="both"/>
        <w:rPr>
          <w:rFonts w:ascii="Arial" w:hAnsi="Arial" w:cs="Arial"/>
          <w:sz w:val="24"/>
          <w:szCs w:val="24"/>
          <w:lang w:val="es-UY"/>
        </w:rPr>
      </w:pPr>
    </w:p>
    <w:p w14:paraId="300CFF8E" w14:textId="77777777" w:rsidR="00983EE7" w:rsidRPr="003E25FE" w:rsidRDefault="003E25FE" w:rsidP="00661DA9">
      <w:pPr>
        <w:ind w:firstLine="360"/>
        <w:jc w:val="both"/>
        <w:rPr>
          <w:rFonts w:ascii="Arial" w:hAnsi="Arial" w:cs="Arial"/>
          <w:sz w:val="24"/>
          <w:szCs w:val="24"/>
          <w:lang w:val="es-UY"/>
        </w:rPr>
      </w:pPr>
      <w:r w:rsidRPr="003E25FE">
        <w:rPr>
          <w:rFonts w:ascii="Arial" w:hAnsi="Arial" w:cs="Arial"/>
          <w:sz w:val="24"/>
          <w:szCs w:val="24"/>
          <w:lang w:val="es-UY"/>
        </w:rPr>
        <w:t>Efectivamente, c</w:t>
      </w:r>
      <w:r w:rsidR="00983EE7" w:rsidRPr="003E25FE">
        <w:rPr>
          <w:rFonts w:ascii="Arial" w:hAnsi="Arial" w:cs="Arial"/>
          <w:sz w:val="24"/>
          <w:szCs w:val="24"/>
          <w:lang w:val="es-UY"/>
        </w:rPr>
        <w:t>on fec</w:t>
      </w:r>
      <w:r w:rsidR="00C83480" w:rsidRPr="003E25FE">
        <w:rPr>
          <w:rFonts w:ascii="Arial" w:hAnsi="Arial" w:cs="Arial"/>
          <w:sz w:val="24"/>
          <w:szCs w:val="24"/>
          <w:lang w:val="es-UY"/>
        </w:rPr>
        <w:t>ha 5 de julio, la INDDHH trans</w:t>
      </w:r>
      <w:r w:rsidR="00983EE7" w:rsidRPr="003E25FE">
        <w:rPr>
          <w:rFonts w:ascii="Arial" w:hAnsi="Arial" w:cs="Arial"/>
          <w:sz w:val="24"/>
          <w:szCs w:val="24"/>
          <w:lang w:val="es-UY"/>
        </w:rPr>
        <w:t>mitió la aprobación de parte del Consejo Directivo de lo expresado por su representante durante la sesión del Sistema de Diálogo y Consulta, señalando:</w:t>
      </w:r>
    </w:p>
    <w:p w14:paraId="300CFF8F" w14:textId="77777777" w:rsidR="00983EE7" w:rsidRPr="003E25FE" w:rsidRDefault="00983EE7" w:rsidP="003E25FE">
      <w:pPr>
        <w:jc w:val="both"/>
        <w:rPr>
          <w:rFonts w:ascii="Arial" w:hAnsi="Arial" w:cs="Arial"/>
          <w:sz w:val="24"/>
          <w:szCs w:val="24"/>
          <w:lang w:val="es-UY"/>
        </w:rPr>
      </w:pPr>
    </w:p>
    <w:p w14:paraId="300CFF90" w14:textId="77777777" w:rsidR="00983EE7" w:rsidRPr="00661DA9" w:rsidRDefault="00983EE7" w:rsidP="00661DA9">
      <w:pPr>
        <w:ind w:firstLine="360"/>
        <w:jc w:val="both"/>
        <w:rPr>
          <w:rFonts w:ascii="Arial" w:hAnsi="Arial" w:cs="Arial"/>
          <w:i/>
          <w:sz w:val="24"/>
          <w:szCs w:val="24"/>
          <w:lang w:val="es-UY"/>
        </w:rPr>
      </w:pPr>
      <w:r w:rsidRPr="00661DA9">
        <w:rPr>
          <w:rFonts w:ascii="Arial" w:hAnsi="Arial" w:cs="Arial"/>
          <w:i/>
          <w:sz w:val="24"/>
          <w:szCs w:val="24"/>
          <w:lang w:val="es-UY"/>
        </w:rPr>
        <w:t>“El Artículo 1 de la Ley Nº18.446 establece como ámbito de competencia de la INDDHH, la defensa, pro</w:t>
      </w:r>
      <w:r w:rsidR="00C83480" w:rsidRPr="00661DA9">
        <w:rPr>
          <w:rFonts w:ascii="Arial" w:hAnsi="Arial" w:cs="Arial"/>
          <w:i/>
          <w:sz w:val="24"/>
          <w:szCs w:val="24"/>
          <w:lang w:val="es-UY"/>
        </w:rPr>
        <w:t>moción</w:t>
      </w:r>
      <w:r w:rsidRPr="00661DA9">
        <w:rPr>
          <w:rFonts w:ascii="Arial" w:hAnsi="Arial" w:cs="Arial"/>
          <w:i/>
          <w:sz w:val="24"/>
          <w:szCs w:val="24"/>
          <w:lang w:val="es-UY"/>
        </w:rPr>
        <w:t xml:space="preserve"> y protección de los derechos humanos “en toda su extensión reconocidos por la Constitución de la República y el Derecho Internacional”. Por su parte, el Artículo 2 de la misma ley dispone que “la </w:t>
      </w:r>
      <w:r w:rsidR="00C83480" w:rsidRPr="00661DA9">
        <w:rPr>
          <w:rFonts w:ascii="Arial" w:hAnsi="Arial" w:cs="Arial"/>
          <w:i/>
          <w:sz w:val="24"/>
          <w:szCs w:val="24"/>
          <w:lang w:val="es-UY"/>
        </w:rPr>
        <w:t>INDDHH no estará sujet</w:t>
      </w:r>
      <w:r w:rsidRPr="00661DA9">
        <w:rPr>
          <w:rFonts w:ascii="Arial" w:hAnsi="Arial" w:cs="Arial"/>
          <w:i/>
          <w:sz w:val="24"/>
          <w:szCs w:val="24"/>
          <w:lang w:val="es-UY"/>
        </w:rPr>
        <w:t xml:space="preserve">a a jerarquía y tendrá un funcionamiento autónomo, no pudiendo recibir instrucciones ni órdenes de ninguna autoridad”. </w:t>
      </w:r>
    </w:p>
    <w:p w14:paraId="300CFF91" w14:textId="77777777" w:rsidR="00983EE7" w:rsidRPr="00661DA9" w:rsidRDefault="00983EE7" w:rsidP="003E25FE">
      <w:pPr>
        <w:jc w:val="both"/>
        <w:rPr>
          <w:rFonts w:ascii="Arial" w:hAnsi="Arial" w:cs="Arial"/>
          <w:i/>
          <w:sz w:val="24"/>
          <w:szCs w:val="24"/>
          <w:lang w:val="es-UY"/>
        </w:rPr>
      </w:pPr>
    </w:p>
    <w:p w14:paraId="300CFF92" w14:textId="77777777" w:rsidR="00983EE7" w:rsidRPr="00661DA9" w:rsidRDefault="00983EE7" w:rsidP="00661DA9">
      <w:pPr>
        <w:ind w:firstLine="360"/>
        <w:jc w:val="both"/>
        <w:rPr>
          <w:rFonts w:ascii="Arial" w:hAnsi="Arial" w:cs="Arial"/>
          <w:i/>
          <w:sz w:val="24"/>
          <w:szCs w:val="24"/>
          <w:lang w:val="es-UY"/>
        </w:rPr>
      </w:pPr>
      <w:r w:rsidRPr="00661DA9">
        <w:rPr>
          <w:rFonts w:ascii="Arial" w:hAnsi="Arial" w:cs="Arial"/>
          <w:i/>
          <w:sz w:val="24"/>
          <w:szCs w:val="24"/>
          <w:lang w:val="es-UY"/>
        </w:rPr>
        <w:t>Este marco normativo asigna a la INDDHH competencias genéricas como organis</w:t>
      </w:r>
      <w:r w:rsidR="00C83480" w:rsidRPr="00661DA9">
        <w:rPr>
          <w:rFonts w:ascii="Arial" w:hAnsi="Arial" w:cs="Arial"/>
          <w:i/>
          <w:sz w:val="24"/>
          <w:szCs w:val="24"/>
          <w:lang w:val="es-UY"/>
        </w:rPr>
        <w:t>mo de supervisión de los compro</w:t>
      </w:r>
      <w:r w:rsidRPr="00661DA9">
        <w:rPr>
          <w:rFonts w:ascii="Arial" w:hAnsi="Arial" w:cs="Arial"/>
          <w:i/>
          <w:sz w:val="24"/>
          <w:szCs w:val="24"/>
          <w:lang w:val="es-UY"/>
        </w:rPr>
        <w:t>miso</w:t>
      </w:r>
      <w:r w:rsidR="00C83480" w:rsidRPr="00661DA9">
        <w:rPr>
          <w:rFonts w:ascii="Arial" w:hAnsi="Arial" w:cs="Arial"/>
          <w:i/>
          <w:sz w:val="24"/>
          <w:szCs w:val="24"/>
          <w:lang w:val="es-UY"/>
        </w:rPr>
        <w:t>s asumidos por Uruguay en el ma</w:t>
      </w:r>
      <w:r w:rsidRPr="00661DA9">
        <w:rPr>
          <w:rFonts w:ascii="Arial" w:hAnsi="Arial" w:cs="Arial"/>
          <w:i/>
          <w:sz w:val="24"/>
          <w:szCs w:val="24"/>
          <w:lang w:val="es-UY"/>
        </w:rPr>
        <w:t>rco del Derecho Internacional de los Derechos Humanos, entre los que se encuentra la Convención Internacional sobre los Derechos de las Personas con Discapacidad.</w:t>
      </w:r>
    </w:p>
    <w:p w14:paraId="300CFF93" w14:textId="77777777" w:rsidR="00983EE7" w:rsidRPr="00661DA9" w:rsidRDefault="00983EE7" w:rsidP="003E25FE">
      <w:pPr>
        <w:jc w:val="both"/>
        <w:rPr>
          <w:rFonts w:ascii="Arial" w:hAnsi="Arial" w:cs="Arial"/>
          <w:i/>
          <w:sz w:val="24"/>
          <w:szCs w:val="24"/>
          <w:lang w:val="es-UY"/>
        </w:rPr>
      </w:pPr>
    </w:p>
    <w:p w14:paraId="300CFF94" w14:textId="77777777" w:rsidR="00C83480" w:rsidRPr="00661DA9" w:rsidRDefault="00983EE7" w:rsidP="00661DA9">
      <w:pPr>
        <w:ind w:firstLine="360"/>
        <w:jc w:val="both"/>
        <w:rPr>
          <w:rFonts w:ascii="Arial" w:hAnsi="Arial" w:cs="Arial"/>
          <w:i/>
          <w:color w:val="000000"/>
          <w:sz w:val="24"/>
          <w:szCs w:val="24"/>
        </w:rPr>
      </w:pPr>
      <w:r w:rsidRPr="00661DA9">
        <w:rPr>
          <w:rFonts w:ascii="Arial" w:hAnsi="Arial" w:cs="Arial"/>
          <w:i/>
          <w:sz w:val="24"/>
          <w:szCs w:val="24"/>
          <w:lang w:val="es-UY"/>
        </w:rPr>
        <w:t>Sin perjuicio de ello, además de esta competencia genérica e</w:t>
      </w:r>
      <w:r w:rsidR="00C83480" w:rsidRPr="00661DA9">
        <w:rPr>
          <w:rFonts w:ascii="Arial" w:hAnsi="Arial" w:cs="Arial"/>
          <w:i/>
          <w:sz w:val="24"/>
          <w:szCs w:val="24"/>
          <w:lang w:val="es-UY"/>
        </w:rPr>
        <w:t>n materia de defensa, promoción</w:t>
      </w:r>
      <w:r w:rsidRPr="00661DA9">
        <w:rPr>
          <w:rFonts w:ascii="Arial" w:hAnsi="Arial" w:cs="Arial"/>
          <w:i/>
          <w:sz w:val="24"/>
          <w:szCs w:val="24"/>
          <w:lang w:val="es-UY"/>
        </w:rPr>
        <w:t xml:space="preserve"> y protección de los derechos humanos (entre las que, a título de ejemplo, se encuentran las establecidas por el Art. 14, literal C de la citada Ley Nº18.466: “</w:t>
      </w:r>
      <w:r w:rsidR="00C83480" w:rsidRPr="00661DA9">
        <w:rPr>
          <w:rFonts w:ascii="Arial" w:hAnsi="Arial" w:cs="Arial"/>
          <w:i/>
          <w:sz w:val="24"/>
          <w:szCs w:val="24"/>
          <w:lang w:val="es-UY"/>
        </w:rPr>
        <w:t>p</w:t>
      </w:r>
      <w:r w:rsidRPr="00661DA9">
        <w:rPr>
          <w:rFonts w:ascii="Arial" w:hAnsi="Arial" w:cs="Arial"/>
          <w:i/>
          <w:color w:val="000000"/>
          <w:sz w:val="24"/>
          <w:szCs w:val="24"/>
        </w:rPr>
        <w:t>romover la adopción de las medidas que considere adecuadas para que el ordenamiento jurídico y las prácticas administrativas e institucionales se armonicen con los instrumentos internacionales relacionados con derechos humanos en los que el Estado sea parte”), el Art. 66 literal B faculta a la INDDHH a designar Expertos Independientes o Grupos de Trabajo integrados por miembros de la INDDHH que los presidi</w:t>
      </w:r>
      <w:r w:rsidR="00C83480" w:rsidRPr="00661DA9">
        <w:rPr>
          <w:rFonts w:ascii="Arial" w:hAnsi="Arial" w:cs="Arial"/>
          <w:i/>
          <w:color w:val="000000"/>
          <w:sz w:val="24"/>
          <w:szCs w:val="24"/>
        </w:rPr>
        <w:t>rán,</w:t>
      </w:r>
      <w:r w:rsidRPr="00661DA9">
        <w:rPr>
          <w:rFonts w:ascii="Arial" w:hAnsi="Arial" w:cs="Arial"/>
          <w:i/>
          <w:color w:val="000000"/>
          <w:sz w:val="24"/>
          <w:szCs w:val="24"/>
        </w:rPr>
        <w:t xml:space="preserve"> representantes de organizaciones sociales, de organismos o instituciones estatales o de objeto del contralor de la INDDHH</w:t>
      </w:r>
      <w:r w:rsidR="00C83480" w:rsidRPr="00661DA9">
        <w:rPr>
          <w:rFonts w:ascii="Arial" w:hAnsi="Arial" w:cs="Arial"/>
          <w:i/>
          <w:color w:val="000000"/>
          <w:sz w:val="24"/>
          <w:szCs w:val="24"/>
        </w:rPr>
        <w:t>”, a los efectos de preparar “proyectos de informes, relatorías, propuestas, recomendaciones y otros trabajos que estime pertinentes”.</w:t>
      </w:r>
    </w:p>
    <w:p w14:paraId="300CFF95" w14:textId="77777777" w:rsidR="00C83480" w:rsidRPr="00661DA9" w:rsidRDefault="00C83480" w:rsidP="003E25FE">
      <w:pPr>
        <w:jc w:val="both"/>
        <w:rPr>
          <w:rFonts w:ascii="Arial" w:hAnsi="Arial" w:cs="Arial"/>
          <w:i/>
          <w:color w:val="000000"/>
          <w:sz w:val="24"/>
          <w:szCs w:val="24"/>
        </w:rPr>
      </w:pPr>
    </w:p>
    <w:p w14:paraId="300CFF96" w14:textId="77777777" w:rsidR="00983EE7" w:rsidRPr="003E25FE" w:rsidRDefault="00C83480" w:rsidP="00661DA9">
      <w:pPr>
        <w:ind w:firstLine="360"/>
        <w:jc w:val="both"/>
        <w:rPr>
          <w:rFonts w:ascii="Arial" w:hAnsi="Arial" w:cs="Arial"/>
          <w:noProof/>
          <w:sz w:val="24"/>
          <w:szCs w:val="24"/>
          <w:lang w:val="es-UY"/>
        </w:rPr>
      </w:pPr>
      <w:r w:rsidRPr="00661DA9">
        <w:rPr>
          <w:rFonts w:ascii="Arial" w:hAnsi="Arial" w:cs="Arial"/>
          <w:i/>
          <w:color w:val="000000"/>
          <w:sz w:val="24"/>
          <w:szCs w:val="24"/>
        </w:rPr>
        <w:t>En el marco de este Art. 66 literal B, el Consejo Directivo convocará a las organizaciones sociales y organismos e instituciones estatales competentes a los efectos de conformar un Grupo de Trabajo que tendrá, entre otros objetivos, elaborar una propuesta de funcionamiento e integración del mecanismo de supervisión conforme a los lineamientos del Artículo 33 párrafo 2 de la CDPD.</w:t>
      </w:r>
      <w:r w:rsidR="008118D3" w:rsidRPr="00661DA9">
        <w:rPr>
          <w:rFonts w:ascii="Arial" w:hAnsi="Arial" w:cs="Arial"/>
          <w:i/>
          <w:noProof/>
          <w:sz w:val="24"/>
          <w:szCs w:val="24"/>
          <w:lang w:val="es-UY"/>
        </w:rPr>
        <w:t>”</w:t>
      </w:r>
    </w:p>
    <w:p w14:paraId="300CFF97" w14:textId="77777777" w:rsidR="00983EE7" w:rsidRPr="003E25FE" w:rsidRDefault="00983EE7" w:rsidP="003E25FE">
      <w:pPr>
        <w:jc w:val="both"/>
        <w:rPr>
          <w:rFonts w:ascii="Arial" w:hAnsi="Arial" w:cs="Arial"/>
          <w:noProof/>
          <w:sz w:val="24"/>
          <w:szCs w:val="24"/>
          <w:lang w:val="es-UY"/>
        </w:rPr>
      </w:pPr>
    </w:p>
    <w:p w14:paraId="300CFF98" w14:textId="77777777" w:rsidR="00661DA9" w:rsidRDefault="00661DA9" w:rsidP="00661DA9">
      <w:pPr>
        <w:ind w:firstLine="360"/>
        <w:jc w:val="both"/>
        <w:rPr>
          <w:rFonts w:ascii="Arial" w:hAnsi="Arial" w:cs="Arial"/>
          <w:noProof/>
          <w:sz w:val="24"/>
          <w:szCs w:val="24"/>
          <w:lang w:val="es-UY"/>
        </w:rPr>
      </w:pPr>
    </w:p>
    <w:p w14:paraId="300CFF99" w14:textId="77777777" w:rsidR="003E25FE" w:rsidRPr="003E25FE" w:rsidRDefault="008118D3" w:rsidP="00661DA9">
      <w:pPr>
        <w:ind w:firstLine="360"/>
        <w:jc w:val="both"/>
        <w:rPr>
          <w:rFonts w:ascii="Arial" w:hAnsi="Arial" w:cs="Arial"/>
          <w:noProof/>
          <w:sz w:val="24"/>
          <w:szCs w:val="24"/>
          <w:lang w:val="es-UY"/>
        </w:rPr>
      </w:pPr>
      <w:r w:rsidRPr="003E25FE">
        <w:rPr>
          <w:rFonts w:ascii="Arial" w:hAnsi="Arial" w:cs="Arial"/>
          <w:noProof/>
          <w:sz w:val="24"/>
          <w:szCs w:val="24"/>
          <w:lang w:val="es-UY"/>
        </w:rPr>
        <w:t>En consecuencia,</w:t>
      </w:r>
      <w:r w:rsidR="003E25FE" w:rsidRPr="003E25FE">
        <w:rPr>
          <w:rFonts w:ascii="Arial" w:hAnsi="Arial" w:cs="Arial"/>
          <w:noProof/>
          <w:sz w:val="24"/>
          <w:szCs w:val="24"/>
          <w:lang w:val="es-UY"/>
        </w:rPr>
        <w:t xml:space="preserve"> a un año de </w:t>
      </w:r>
      <w:r w:rsidR="00113E3A">
        <w:rPr>
          <w:rFonts w:ascii="Arial" w:hAnsi="Arial" w:cs="Arial"/>
          <w:noProof/>
          <w:sz w:val="24"/>
          <w:szCs w:val="24"/>
          <w:lang w:val="es-UY"/>
        </w:rPr>
        <w:t xml:space="preserve">la presentación oral del </w:t>
      </w:r>
      <w:r w:rsidR="003E25FE" w:rsidRPr="003E25FE">
        <w:rPr>
          <w:rFonts w:ascii="Arial" w:hAnsi="Arial" w:cs="Arial"/>
          <w:noProof/>
          <w:sz w:val="24"/>
          <w:szCs w:val="24"/>
          <w:lang w:val="es-UY"/>
        </w:rPr>
        <w:t>Primer Informe al CDPD,</w:t>
      </w:r>
      <w:r w:rsidR="00113E3A">
        <w:rPr>
          <w:rFonts w:ascii="Arial" w:hAnsi="Arial" w:cs="Arial"/>
          <w:noProof/>
          <w:sz w:val="24"/>
          <w:szCs w:val="24"/>
          <w:lang w:val="es-UY"/>
        </w:rPr>
        <w:t xml:space="preserve"> y tal como solicitado, </w:t>
      </w:r>
      <w:r w:rsidR="003E25FE" w:rsidRPr="003E25FE">
        <w:rPr>
          <w:rFonts w:ascii="Arial" w:hAnsi="Arial" w:cs="Arial"/>
          <w:noProof/>
          <w:sz w:val="24"/>
          <w:szCs w:val="24"/>
          <w:lang w:val="es-UY"/>
        </w:rPr>
        <w:t>Urugua</w:t>
      </w:r>
      <w:r w:rsidR="007E7E5C">
        <w:rPr>
          <w:rFonts w:ascii="Arial" w:hAnsi="Arial" w:cs="Arial"/>
          <w:noProof/>
          <w:sz w:val="24"/>
          <w:szCs w:val="24"/>
          <w:lang w:val="es-UY"/>
        </w:rPr>
        <w:t xml:space="preserve">y se permite informar </w:t>
      </w:r>
      <w:r w:rsidR="003E25FE" w:rsidRPr="003E25FE">
        <w:rPr>
          <w:rFonts w:ascii="Arial" w:hAnsi="Arial" w:cs="Arial"/>
          <w:noProof/>
          <w:sz w:val="24"/>
          <w:szCs w:val="24"/>
          <w:lang w:val="es-UY"/>
        </w:rPr>
        <w:t>que:</w:t>
      </w:r>
    </w:p>
    <w:p w14:paraId="300CFF9A" w14:textId="77777777" w:rsidR="003E25FE" w:rsidRPr="003E25FE" w:rsidRDefault="003E25FE" w:rsidP="003E25FE">
      <w:pPr>
        <w:jc w:val="both"/>
        <w:rPr>
          <w:rFonts w:ascii="Arial" w:hAnsi="Arial" w:cs="Arial"/>
          <w:noProof/>
          <w:sz w:val="24"/>
          <w:szCs w:val="24"/>
          <w:lang w:val="es-UY"/>
        </w:rPr>
      </w:pPr>
    </w:p>
    <w:p w14:paraId="300CFF9B" w14:textId="77777777" w:rsidR="003E25FE" w:rsidRDefault="003E25FE" w:rsidP="003E25FE">
      <w:pPr>
        <w:pStyle w:val="ListParagraph"/>
        <w:numPr>
          <w:ilvl w:val="0"/>
          <w:numId w:val="5"/>
        </w:numPr>
        <w:jc w:val="both"/>
        <w:rPr>
          <w:rFonts w:ascii="Arial" w:hAnsi="Arial" w:cs="Arial"/>
          <w:noProof/>
          <w:sz w:val="24"/>
          <w:szCs w:val="24"/>
          <w:lang w:val="es-UY"/>
        </w:rPr>
      </w:pPr>
      <w:r w:rsidRPr="003E25FE">
        <w:rPr>
          <w:rFonts w:ascii="Arial" w:hAnsi="Arial" w:cs="Arial"/>
          <w:noProof/>
          <w:sz w:val="24"/>
          <w:szCs w:val="24"/>
          <w:lang w:val="es-UY"/>
        </w:rPr>
        <w:t xml:space="preserve">Se ha puesto en funcionamiento la Mesa Temática sobre Derechos de las Personas con Discapacidad en el marco del Mecanismo Nacional de </w:t>
      </w:r>
      <w:r w:rsidR="007E7E5C">
        <w:rPr>
          <w:rFonts w:ascii="Arial" w:hAnsi="Arial" w:cs="Arial"/>
          <w:noProof/>
          <w:sz w:val="24"/>
          <w:szCs w:val="24"/>
          <w:lang w:val="es-UY"/>
        </w:rPr>
        <w:t>Monitoreo</w:t>
      </w:r>
      <w:r w:rsidRPr="003E25FE">
        <w:rPr>
          <w:rFonts w:ascii="Arial" w:hAnsi="Arial" w:cs="Arial"/>
          <w:noProof/>
          <w:sz w:val="24"/>
          <w:szCs w:val="24"/>
          <w:lang w:val="es-UY"/>
        </w:rPr>
        <w:t xml:space="preserve"> de Recomendaciones integrad</w:t>
      </w:r>
      <w:r w:rsidR="007E7E5C">
        <w:rPr>
          <w:rFonts w:ascii="Arial" w:hAnsi="Arial" w:cs="Arial"/>
          <w:noProof/>
          <w:sz w:val="24"/>
          <w:szCs w:val="24"/>
          <w:lang w:val="es-UY"/>
        </w:rPr>
        <w:t>a</w:t>
      </w:r>
      <w:r w:rsidRPr="003E25FE">
        <w:rPr>
          <w:rFonts w:ascii="Arial" w:hAnsi="Arial" w:cs="Arial"/>
          <w:noProof/>
          <w:sz w:val="24"/>
          <w:szCs w:val="24"/>
          <w:lang w:val="es-UY"/>
        </w:rPr>
        <w:t xml:space="preserve"> por Estado, sociedad civil organizada y sistema universal de protección de derechos humanos, que dará seguimi</w:t>
      </w:r>
      <w:r w:rsidR="00113E3A">
        <w:rPr>
          <w:rFonts w:ascii="Arial" w:hAnsi="Arial" w:cs="Arial"/>
          <w:noProof/>
          <w:sz w:val="24"/>
          <w:szCs w:val="24"/>
          <w:lang w:val="es-UY"/>
        </w:rPr>
        <w:t>e</w:t>
      </w:r>
      <w:r w:rsidRPr="003E25FE">
        <w:rPr>
          <w:rFonts w:ascii="Arial" w:hAnsi="Arial" w:cs="Arial"/>
          <w:noProof/>
          <w:sz w:val="24"/>
          <w:szCs w:val="24"/>
          <w:lang w:val="es-UY"/>
        </w:rPr>
        <w:t xml:space="preserve">nto a través de su Red Interinstitucional del avance en la implementación de las recomendaciones </w:t>
      </w:r>
      <w:r w:rsidR="00113E3A">
        <w:rPr>
          <w:rFonts w:ascii="Arial" w:hAnsi="Arial" w:cs="Arial"/>
          <w:noProof/>
          <w:sz w:val="24"/>
          <w:szCs w:val="24"/>
          <w:lang w:val="es-UY"/>
        </w:rPr>
        <w:t>con vista</w:t>
      </w:r>
      <w:r w:rsidRPr="003E25FE">
        <w:rPr>
          <w:rFonts w:ascii="Arial" w:hAnsi="Arial" w:cs="Arial"/>
          <w:noProof/>
          <w:sz w:val="24"/>
          <w:szCs w:val="24"/>
          <w:lang w:val="es-UY"/>
        </w:rPr>
        <w:t xml:space="preserve"> al 2º Informe Nacional a presentarse en 2023.</w:t>
      </w:r>
    </w:p>
    <w:p w14:paraId="300CFF9C" w14:textId="77777777" w:rsidR="00113E3A" w:rsidRDefault="00113E3A" w:rsidP="00113E3A">
      <w:pPr>
        <w:pStyle w:val="ListParagraph"/>
        <w:jc w:val="both"/>
        <w:rPr>
          <w:rFonts w:ascii="Arial" w:hAnsi="Arial" w:cs="Arial"/>
          <w:noProof/>
          <w:sz w:val="24"/>
          <w:szCs w:val="24"/>
          <w:lang w:val="es-UY"/>
        </w:rPr>
      </w:pPr>
    </w:p>
    <w:p w14:paraId="300CFF9D" w14:textId="77777777" w:rsidR="00983EE7" w:rsidRPr="003E25FE" w:rsidRDefault="003E25FE" w:rsidP="003E25FE">
      <w:pPr>
        <w:pStyle w:val="ListParagraph"/>
        <w:numPr>
          <w:ilvl w:val="0"/>
          <w:numId w:val="5"/>
        </w:numPr>
        <w:jc w:val="both"/>
        <w:rPr>
          <w:rFonts w:ascii="Arial" w:hAnsi="Arial" w:cs="Arial"/>
          <w:noProof/>
          <w:sz w:val="24"/>
          <w:szCs w:val="24"/>
          <w:lang w:val="es-UY"/>
        </w:rPr>
      </w:pPr>
      <w:r w:rsidRPr="003E25FE">
        <w:rPr>
          <w:rFonts w:ascii="Arial" w:hAnsi="Arial" w:cs="Arial"/>
          <w:noProof/>
          <w:sz w:val="24"/>
          <w:szCs w:val="24"/>
          <w:lang w:val="es-UY"/>
        </w:rPr>
        <w:t>Se pondrá en marcha un Grupo de Trabajo convocado por la INDDHH, a efectos de alcanzar la creación de un mecanismo de supervisión de la CDPD, tal como establecido en su artículo 33, párrafo 2.</w:t>
      </w:r>
    </w:p>
    <w:p w14:paraId="300CFF9E" w14:textId="77777777" w:rsidR="003E25FE" w:rsidRPr="003E25FE" w:rsidRDefault="003E25FE" w:rsidP="003E25FE">
      <w:pPr>
        <w:jc w:val="both"/>
        <w:rPr>
          <w:rFonts w:ascii="Arial" w:hAnsi="Arial" w:cs="Arial"/>
          <w:noProof/>
          <w:sz w:val="24"/>
          <w:szCs w:val="24"/>
          <w:lang w:val="es-UY"/>
        </w:rPr>
      </w:pPr>
    </w:p>
    <w:p w14:paraId="300CFF9F" w14:textId="77777777" w:rsidR="008B1A33" w:rsidRDefault="008B1A33" w:rsidP="003E25FE">
      <w:pPr>
        <w:spacing w:after="160" w:line="259" w:lineRule="auto"/>
        <w:jc w:val="both"/>
        <w:rPr>
          <w:rFonts w:ascii="Arial" w:hAnsi="Arial" w:cs="Arial"/>
          <w:sz w:val="24"/>
          <w:szCs w:val="24"/>
          <w:lang w:val="es-UY"/>
        </w:rPr>
      </w:pPr>
    </w:p>
    <w:p w14:paraId="300CFFA0" w14:textId="77777777" w:rsidR="00E461BB" w:rsidRPr="00E461BB" w:rsidRDefault="00E461BB" w:rsidP="00E461BB">
      <w:pPr>
        <w:ind w:firstLine="360"/>
        <w:jc w:val="both"/>
        <w:rPr>
          <w:rFonts w:ascii="Arial" w:hAnsi="Arial" w:cs="Arial"/>
          <w:noProof/>
          <w:sz w:val="24"/>
          <w:szCs w:val="24"/>
          <w:lang w:val="es-UY"/>
        </w:rPr>
      </w:pPr>
      <w:r w:rsidRPr="00E461BB">
        <w:rPr>
          <w:rFonts w:ascii="Arial" w:hAnsi="Arial" w:cs="Arial"/>
          <w:sz w:val="24"/>
          <w:szCs w:val="24"/>
          <w:lang w:val="es-UY"/>
        </w:rPr>
        <w:t xml:space="preserve">Finalmente, </w:t>
      </w:r>
      <w:r>
        <w:rPr>
          <w:rFonts w:ascii="Arial" w:hAnsi="Arial" w:cs="Arial"/>
          <w:sz w:val="24"/>
          <w:szCs w:val="24"/>
          <w:lang w:val="es-UY"/>
        </w:rPr>
        <w:t>Uruguay desea resaltar especialmente que, durante</w:t>
      </w:r>
      <w:r w:rsidRPr="00E461BB">
        <w:rPr>
          <w:rFonts w:ascii="Arial" w:hAnsi="Arial" w:cs="Arial"/>
          <w:noProof/>
          <w:sz w:val="24"/>
          <w:szCs w:val="24"/>
          <w:lang w:val="es-UY"/>
        </w:rPr>
        <w:t xml:space="preserve"> la 2º sesión de la </w:t>
      </w:r>
      <w:r w:rsidRPr="003E25FE">
        <w:rPr>
          <w:rFonts w:ascii="Arial" w:hAnsi="Arial" w:cs="Arial"/>
          <w:noProof/>
          <w:sz w:val="24"/>
          <w:szCs w:val="24"/>
          <w:lang w:val="es-UY"/>
        </w:rPr>
        <w:t>Mesa Temática sobre Derechos de las Personas con Discapacidad</w:t>
      </w:r>
      <w:r w:rsidRPr="00E461BB">
        <w:rPr>
          <w:rFonts w:ascii="Arial" w:hAnsi="Arial" w:cs="Arial"/>
          <w:noProof/>
          <w:sz w:val="24"/>
          <w:szCs w:val="24"/>
          <w:lang w:val="es-UY"/>
        </w:rPr>
        <w:t xml:space="preserve"> que tuvo lugar el pasado 21 de julio, el presente informe fue consensuado y aprobado</w:t>
      </w:r>
      <w:r>
        <w:rPr>
          <w:rFonts w:ascii="Arial" w:hAnsi="Arial" w:cs="Arial"/>
          <w:noProof/>
          <w:sz w:val="24"/>
          <w:szCs w:val="24"/>
          <w:lang w:val="es-UY"/>
        </w:rPr>
        <w:t>, siendo</w:t>
      </w:r>
      <w:r w:rsidR="00BE1C8D">
        <w:rPr>
          <w:rFonts w:ascii="Arial" w:hAnsi="Arial" w:cs="Arial"/>
          <w:noProof/>
          <w:sz w:val="24"/>
          <w:szCs w:val="24"/>
          <w:lang w:val="es-UY"/>
        </w:rPr>
        <w:t xml:space="preserve"> </w:t>
      </w:r>
      <w:r w:rsidRPr="00E461BB">
        <w:rPr>
          <w:rFonts w:ascii="Arial" w:hAnsi="Arial" w:cs="Arial"/>
          <w:noProof/>
          <w:sz w:val="24"/>
          <w:szCs w:val="24"/>
          <w:u w:val="single"/>
          <w:lang w:val="es-UY"/>
        </w:rPr>
        <w:t>el primer reporte oficial que surge del Mecanismo Nacional de Monitoreo de Recomendaciones desde su creación en 2016</w:t>
      </w:r>
      <w:r w:rsidRPr="00E461BB">
        <w:rPr>
          <w:rFonts w:ascii="Arial" w:hAnsi="Arial" w:cs="Arial"/>
          <w:noProof/>
          <w:sz w:val="24"/>
          <w:szCs w:val="24"/>
          <w:lang w:val="es-UY"/>
        </w:rPr>
        <w:t>, y que es remitido a un órgano de tratados del sistema universal de promoción y protección de derechos humanos.</w:t>
      </w:r>
    </w:p>
    <w:p w14:paraId="300CFFA1" w14:textId="77777777" w:rsidR="00E461BB" w:rsidRPr="00AF1FA9" w:rsidRDefault="00E461BB" w:rsidP="00E461BB">
      <w:pPr>
        <w:ind w:left="360"/>
        <w:jc w:val="both"/>
        <w:rPr>
          <w:rFonts w:ascii="Arial" w:hAnsi="Arial" w:cs="Arial"/>
          <w:noProof/>
          <w:sz w:val="24"/>
          <w:szCs w:val="24"/>
          <w:lang w:val="es-UY"/>
        </w:rPr>
      </w:pPr>
    </w:p>
    <w:p w14:paraId="300CFFA2" w14:textId="77777777" w:rsidR="00E461BB" w:rsidRPr="003E25FE" w:rsidRDefault="00E461BB" w:rsidP="003E25FE">
      <w:pPr>
        <w:spacing w:after="160" w:line="259" w:lineRule="auto"/>
        <w:jc w:val="both"/>
        <w:rPr>
          <w:rFonts w:ascii="Arial" w:hAnsi="Arial" w:cs="Arial"/>
          <w:sz w:val="24"/>
          <w:szCs w:val="24"/>
          <w:lang w:val="es-UY"/>
        </w:rPr>
      </w:pPr>
    </w:p>
    <w:sectPr w:rsidR="00E461BB" w:rsidRPr="003E25FE" w:rsidSect="00835ED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CFFA5" w14:textId="77777777" w:rsidR="00773E91" w:rsidRDefault="00773E91" w:rsidP="00CF32BE">
      <w:pPr>
        <w:spacing w:line="240" w:lineRule="auto"/>
      </w:pPr>
      <w:r>
        <w:separator/>
      </w:r>
    </w:p>
  </w:endnote>
  <w:endnote w:type="continuationSeparator" w:id="0">
    <w:p w14:paraId="300CFFA6" w14:textId="77777777" w:rsidR="00773E91" w:rsidRDefault="00773E91" w:rsidP="00CF32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CFFA3" w14:textId="77777777" w:rsidR="00773E91" w:rsidRDefault="00773E91" w:rsidP="00CF32BE">
      <w:pPr>
        <w:spacing w:line="240" w:lineRule="auto"/>
      </w:pPr>
      <w:r>
        <w:separator/>
      </w:r>
    </w:p>
  </w:footnote>
  <w:footnote w:type="continuationSeparator" w:id="0">
    <w:p w14:paraId="300CFFA4" w14:textId="77777777" w:rsidR="00773E91" w:rsidRDefault="00773E91" w:rsidP="00CF32B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77F4A"/>
    <w:multiLevelType w:val="hybridMultilevel"/>
    <w:tmpl w:val="906C13A8"/>
    <w:lvl w:ilvl="0" w:tplc="EB164B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5F119A"/>
    <w:multiLevelType w:val="hybridMultilevel"/>
    <w:tmpl w:val="DF9E38E6"/>
    <w:lvl w:ilvl="0" w:tplc="F424CB04">
      <w:start w:val="70"/>
      <w:numFmt w:val="decimal"/>
      <w:lvlText w:val="%1."/>
      <w:lvlJc w:val="left"/>
      <w:pPr>
        <w:ind w:left="1080" w:hanging="360"/>
      </w:pPr>
      <w:rPr>
        <w:rFonts w:ascii="Times New Roman" w:hAnsi="Times New Roman" w:cs="Times New Roman" w:hint="default"/>
        <w:b/>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AB76C01"/>
    <w:multiLevelType w:val="hybridMultilevel"/>
    <w:tmpl w:val="A7145232"/>
    <w:lvl w:ilvl="0" w:tplc="0409000F">
      <w:start w:val="7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FA192F"/>
    <w:multiLevelType w:val="hybridMultilevel"/>
    <w:tmpl w:val="25663A74"/>
    <w:lvl w:ilvl="0" w:tplc="75884D70">
      <w:numFmt w:val="bullet"/>
      <w:lvlText w:val="-"/>
      <w:lvlJc w:val="left"/>
      <w:pPr>
        <w:ind w:left="720" w:hanging="360"/>
      </w:pPr>
      <w:rPr>
        <w:rFonts w:ascii="Calibri" w:eastAsiaTheme="minorHAnsi" w:hAnsi="Calibri" w:cs="Calibri"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4">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5">
    <w:nsid w:val="6CA96A2A"/>
    <w:multiLevelType w:val="hybridMultilevel"/>
    <w:tmpl w:val="E0D01218"/>
    <w:lvl w:ilvl="0" w:tplc="DE8E8878">
      <w:start w:val="6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D63EA2"/>
    <w:multiLevelType w:val="hybridMultilevel"/>
    <w:tmpl w:val="F788A0EC"/>
    <w:lvl w:ilvl="0" w:tplc="913E64F8">
      <w:start w:val="6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6"/>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B3"/>
    <w:rsid w:val="00113E3A"/>
    <w:rsid w:val="0031799B"/>
    <w:rsid w:val="0035059D"/>
    <w:rsid w:val="003E25FE"/>
    <w:rsid w:val="004439A0"/>
    <w:rsid w:val="005C18B3"/>
    <w:rsid w:val="0063208C"/>
    <w:rsid w:val="00661DA9"/>
    <w:rsid w:val="00773E91"/>
    <w:rsid w:val="007E7E5C"/>
    <w:rsid w:val="008118D3"/>
    <w:rsid w:val="008302C9"/>
    <w:rsid w:val="00835EDC"/>
    <w:rsid w:val="008B1A33"/>
    <w:rsid w:val="008F7CD6"/>
    <w:rsid w:val="00983EE7"/>
    <w:rsid w:val="00AF1FA9"/>
    <w:rsid w:val="00B650F8"/>
    <w:rsid w:val="00BE1C8D"/>
    <w:rsid w:val="00C35257"/>
    <w:rsid w:val="00C83480"/>
    <w:rsid w:val="00CD673A"/>
    <w:rsid w:val="00CF32BE"/>
    <w:rsid w:val="00E461BB"/>
    <w:rsid w:val="00ED0F8A"/>
    <w:rsid w:val="00EE2059"/>
    <w:rsid w:val="00FC7DF2"/>
    <w:rsid w:val="00FE7A0D"/>
  </w:rsids>
  <m:mathPr>
    <m:mathFont m:val="Cambria Math"/>
    <m:brkBin m:val="before"/>
    <m:brkBinSub m:val="--"/>
    <m:smallFrac/>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8B3"/>
    <w:pPr>
      <w:spacing w:after="0" w:line="240" w:lineRule="atLeast"/>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B3"/>
    <w:pPr>
      <w:ind w:left="720"/>
      <w:contextualSpacing/>
    </w:pPr>
  </w:style>
  <w:style w:type="paragraph" w:styleId="FootnoteText">
    <w:name w:val="footnote text"/>
    <w:basedOn w:val="Normal"/>
    <w:link w:val="TextonotapieCar"/>
    <w:uiPriority w:val="99"/>
    <w:semiHidden/>
    <w:unhideWhenUsed/>
    <w:rsid w:val="00CF32BE"/>
    <w:pPr>
      <w:spacing w:line="240" w:lineRule="auto"/>
    </w:pPr>
    <w:rPr>
      <w:rFonts w:asciiTheme="minorHAnsi" w:eastAsiaTheme="minorEastAsia" w:hAnsiTheme="minorHAnsi" w:cstheme="minorBidi"/>
      <w:sz w:val="24"/>
      <w:szCs w:val="24"/>
      <w:lang w:val="es-ES_tradnl"/>
    </w:rPr>
  </w:style>
  <w:style w:type="character" w:customStyle="1" w:styleId="TextonotapieCar">
    <w:name w:val="Texto nota pie Car"/>
    <w:basedOn w:val="DefaultParagraphFont"/>
    <w:link w:val="FootnoteText"/>
    <w:uiPriority w:val="99"/>
    <w:semiHidden/>
    <w:rsid w:val="00CF32BE"/>
    <w:rPr>
      <w:rFonts w:eastAsiaTheme="minorEastAsia"/>
      <w:sz w:val="24"/>
      <w:szCs w:val="24"/>
      <w:lang w:val="es-ES_tradnl" w:eastAsia="es-ES"/>
    </w:rPr>
  </w:style>
  <w:style w:type="character" w:styleId="FootnoteReference">
    <w:name w:val="footnote reference"/>
    <w:basedOn w:val="DefaultParagraphFont"/>
    <w:uiPriority w:val="99"/>
    <w:semiHidden/>
    <w:unhideWhenUsed/>
    <w:rsid w:val="00CF32BE"/>
    <w:rPr>
      <w:vertAlign w:val="superscript"/>
    </w:rPr>
  </w:style>
  <w:style w:type="character" w:styleId="Hyperlink">
    <w:name w:val="Hyperlink"/>
    <w:basedOn w:val="DefaultParagraphFont"/>
    <w:uiPriority w:val="99"/>
    <w:unhideWhenUsed/>
    <w:rsid w:val="00CD673A"/>
    <w:rPr>
      <w:color w:val="0563C1" w:themeColor="hyperlink"/>
      <w:u w:val="single"/>
    </w:rPr>
  </w:style>
  <w:style w:type="character" w:customStyle="1" w:styleId="UnresolvedMention1">
    <w:name w:val="Unresolved Mention1"/>
    <w:basedOn w:val="DefaultParagraphFont"/>
    <w:uiPriority w:val="99"/>
    <w:semiHidden/>
    <w:unhideWhenUsed/>
    <w:rsid w:val="00CD673A"/>
    <w:rPr>
      <w:color w:val="808080"/>
      <w:shd w:val="clear" w:color="auto" w:fill="E6E6E6"/>
    </w:rPr>
  </w:style>
  <w:style w:type="paragraph" w:styleId="Header">
    <w:name w:val="header"/>
    <w:basedOn w:val="Normal"/>
    <w:link w:val="EncabezadoCar"/>
    <w:uiPriority w:val="99"/>
    <w:unhideWhenUsed/>
    <w:rsid w:val="008F7CD6"/>
    <w:pPr>
      <w:tabs>
        <w:tab w:val="center" w:pos="4680"/>
        <w:tab w:val="right" w:pos="9360"/>
      </w:tabs>
      <w:spacing w:line="240" w:lineRule="auto"/>
    </w:pPr>
  </w:style>
  <w:style w:type="character" w:customStyle="1" w:styleId="EncabezadoCar">
    <w:name w:val="Encabezado Car"/>
    <w:basedOn w:val="DefaultParagraphFont"/>
    <w:link w:val="Header"/>
    <w:uiPriority w:val="99"/>
    <w:rsid w:val="008F7CD6"/>
    <w:rPr>
      <w:rFonts w:ascii="Times New Roman" w:eastAsia="Times New Roman" w:hAnsi="Times New Roman" w:cs="Times New Roman"/>
      <w:sz w:val="20"/>
      <w:szCs w:val="20"/>
      <w:lang w:val="es-ES" w:eastAsia="es-ES"/>
    </w:rPr>
  </w:style>
  <w:style w:type="paragraph" w:styleId="Footer">
    <w:name w:val="footer"/>
    <w:basedOn w:val="Normal"/>
    <w:link w:val="PiedepginaCar"/>
    <w:uiPriority w:val="99"/>
    <w:unhideWhenUsed/>
    <w:rsid w:val="008F7CD6"/>
    <w:pPr>
      <w:tabs>
        <w:tab w:val="center" w:pos="4680"/>
        <w:tab w:val="right" w:pos="9360"/>
      </w:tabs>
      <w:spacing w:line="240" w:lineRule="auto"/>
    </w:pPr>
  </w:style>
  <w:style w:type="character" w:customStyle="1" w:styleId="PiedepginaCar">
    <w:name w:val="Pie de página Car"/>
    <w:basedOn w:val="DefaultParagraphFont"/>
    <w:link w:val="Footer"/>
    <w:uiPriority w:val="99"/>
    <w:rsid w:val="008F7CD6"/>
    <w:rPr>
      <w:rFonts w:ascii="Times New Roman" w:eastAsia="Times New Roman" w:hAnsi="Times New Roman" w:cs="Times New Roman"/>
      <w:sz w:val="20"/>
      <w:szCs w:val="20"/>
      <w:lang w:val="es-ES" w:eastAsia="es-ES"/>
    </w:rPr>
  </w:style>
  <w:style w:type="paragraph" w:styleId="NoSpacing">
    <w:name w:val="No Spacing"/>
    <w:uiPriority w:val="1"/>
    <w:qFormat/>
    <w:rsid w:val="00113E3A"/>
    <w:pPr>
      <w:spacing w:after="0" w:line="240" w:lineRule="auto"/>
    </w:pPr>
    <w:rPr>
      <w:rFonts w:ascii="Times New Roman" w:eastAsia="Times New Roman"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8B3"/>
    <w:pPr>
      <w:spacing w:after="0" w:line="240" w:lineRule="atLeast"/>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B3"/>
    <w:pPr>
      <w:ind w:left="720"/>
      <w:contextualSpacing/>
    </w:pPr>
  </w:style>
  <w:style w:type="paragraph" w:styleId="FootnoteText">
    <w:name w:val="footnote text"/>
    <w:basedOn w:val="Normal"/>
    <w:link w:val="TextonotapieCar"/>
    <w:uiPriority w:val="99"/>
    <w:semiHidden/>
    <w:unhideWhenUsed/>
    <w:rsid w:val="00CF32BE"/>
    <w:pPr>
      <w:spacing w:line="240" w:lineRule="auto"/>
    </w:pPr>
    <w:rPr>
      <w:rFonts w:asciiTheme="minorHAnsi" w:eastAsiaTheme="minorEastAsia" w:hAnsiTheme="minorHAnsi" w:cstheme="minorBidi"/>
      <w:sz w:val="24"/>
      <w:szCs w:val="24"/>
      <w:lang w:val="es-ES_tradnl"/>
    </w:rPr>
  </w:style>
  <w:style w:type="character" w:customStyle="1" w:styleId="TextonotapieCar">
    <w:name w:val="Texto nota pie Car"/>
    <w:basedOn w:val="DefaultParagraphFont"/>
    <w:link w:val="FootnoteText"/>
    <w:uiPriority w:val="99"/>
    <w:semiHidden/>
    <w:rsid w:val="00CF32BE"/>
    <w:rPr>
      <w:rFonts w:eastAsiaTheme="minorEastAsia"/>
      <w:sz w:val="24"/>
      <w:szCs w:val="24"/>
      <w:lang w:val="es-ES_tradnl" w:eastAsia="es-ES"/>
    </w:rPr>
  </w:style>
  <w:style w:type="character" w:styleId="FootnoteReference">
    <w:name w:val="footnote reference"/>
    <w:basedOn w:val="DefaultParagraphFont"/>
    <w:uiPriority w:val="99"/>
    <w:semiHidden/>
    <w:unhideWhenUsed/>
    <w:rsid w:val="00CF32BE"/>
    <w:rPr>
      <w:vertAlign w:val="superscript"/>
    </w:rPr>
  </w:style>
  <w:style w:type="character" w:styleId="Hyperlink">
    <w:name w:val="Hyperlink"/>
    <w:basedOn w:val="DefaultParagraphFont"/>
    <w:uiPriority w:val="99"/>
    <w:unhideWhenUsed/>
    <w:rsid w:val="00CD673A"/>
    <w:rPr>
      <w:color w:val="0563C1" w:themeColor="hyperlink"/>
      <w:u w:val="single"/>
    </w:rPr>
  </w:style>
  <w:style w:type="character" w:customStyle="1" w:styleId="UnresolvedMention1">
    <w:name w:val="Unresolved Mention1"/>
    <w:basedOn w:val="DefaultParagraphFont"/>
    <w:uiPriority w:val="99"/>
    <w:semiHidden/>
    <w:unhideWhenUsed/>
    <w:rsid w:val="00CD673A"/>
    <w:rPr>
      <w:color w:val="808080"/>
      <w:shd w:val="clear" w:color="auto" w:fill="E6E6E6"/>
    </w:rPr>
  </w:style>
  <w:style w:type="paragraph" w:styleId="Header">
    <w:name w:val="header"/>
    <w:basedOn w:val="Normal"/>
    <w:link w:val="EncabezadoCar"/>
    <w:uiPriority w:val="99"/>
    <w:unhideWhenUsed/>
    <w:rsid w:val="008F7CD6"/>
    <w:pPr>
      <w:tabs>
        <w:tab w:val="center" w:pos="4680"/>
        <w:tab w:val="right" w:pos="9360"/>
      </w:tabs>
      <w:spacing w:line="240" w:lineRule="auto"/>
    </w:pPr>
  </w:style>
  <w:style w:type="character" w:customStyle="1" w:styleId="EncabezadoCar">
    <w:name w:val="Encabezado Car"/>
    <w:basedOn w:val="DefaultParagraphFont"/>
    <w:link w:val="Header"/>
    <w:uiPriority w:val="99"/>
    <w:rsid w:val="008F7CD6"/>
    <w:rPr>
      <w:rFonts w:ascii="Times New Roman" w:eastAsia="Times New Roman" w:hAnsi="Times New Roman" w:cs="Times New Roman"/>
      <w:sz w:val="20"/>
      <w:szCs w:val="20"/>
      <w:lang w:val="es-ES" w:eastAsia="es-ES"/>
    </w:rPr>
  </w:style>
  <w:style w:type="paragraph" w:styleId="Footer">
    <w:name w:val="footer"/>
    <w:basedOn w:val="Normal"/>
    <w:link w:val="PiedepginaCar"/>
    <w:uiPriority w:val="99"/>
    <w:unhideWhenUsed/>
    <w:rsid w:val="008F7CD6"/>
    <w:pPr>
      <w:tabs>
        <w:tab w:val="center" w:pos="4680"/>
        <w:tab w:val="right" w:pos="9360"/>
      </w:tabs>
      <w:spacing w:line="240" w:lineRule="auto"/>
    </w:pPr>
  </w:style>
  <w:style w:type="character" w:customStyle="1" w:styleId="PiedepginaCar">
    <w:name w:val="Pie de página Car"/>
    <w:basedOn w:val="DefaultParagraphFont"/>
    <w:link w:val="Footer"/>
    <w:uiPriority w:val="99"/>
    <w:rsid w:val="008F7CD6"/>
    <w:rPr>
      <w:rFonts w:ascii="Times New Roman" w:eastAsia="Times New Roman" w:hAnsi="Times New Roman" w:cs="Times New Roman"/>
      <w:sz w:val="20"/>
      <w:szCs w:val="20"/>
      <w:lang w:val="es-ES" w:eastAsia="es-ES"/>
    </w:rPr>
  </w:style>
  <w:style w:type="paragraph" w:styleId="NoSpacing">
    <w:name w:val="No Spacing"/>
    <w:uiPriority w:val="1"/>
    <w:qFormat/>
    <w:rsid w:val="00113E3A"/>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80119">
      <w:bodyDiv w:val="1"/>
      <w:marLeft w:val="0"/>
      <w:marRight w:val="0"/>
      <w:marTop w:val="0"/>
      <w:marBottom w:val="0"/>
      <w:divBdr>
        <w:top w:val="none" w:sz="0" w:space="0" w:color="auto"/>
        <w:left w:val="none" w:sz="0" w:space="0" w:color="auto"/>
        <w:bottom w:val="none" w:sz="0" w:space="0" w:color="auto"/>
        <w:right w:val="none" w:sz="0" w:space="0" w:color="auto"/>
      </w:divBdr>
    </w:div>
    <w:div w:id="769472315">
      <w:bodyDiv w:val="1"/>
      <w:marLeft w:val="0"/>
      <w:marRight w:val="0"/>
      <w:marTop w:val="0"/>
      <w:marBottom w:val="0"/>
      <w:divBdr>
        <w:top w:val="none" w:sz="0" w:space="0" w:color="auto"/>
        <w:left w:val="none" w:sz="0" w:space="0" w:color="auto"/>
        <w:bottom w:val="none" w:sz="0" w:space="0" w:color="auto"/>
        <w:right w:val="none" w:sz="0" w:space="0" w:color="auto"/>
      </w:divBdr>
    </w:div>
    <w:div w:id="112553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impo.com.uy/bases/decretos/25-201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34B62A-B647-4604-A129-FBA51A0113EC}"/>
</file>

<file path=customXml/itemProps2.xml><?xml version="1.0" encoding="utf-8"?>
<ds:datastoreItem xmlns:ds="http://schemas.openxmlformats.org/officeDocument/2006/customXml" ds:itemID="{563DC9B9-B7CA-4DB2-918F-577308E2293D}"/>
</file>

<file path=customXml/itemProps3.xml><?xml version="1.0" encoding="utf-8"?>
<ds:datastoreItem xmlns:ds="http://schemas.openxmlformats.org/officeDocument/2006/customXml" ds:itemID="{6DB89C72-7C43-4678-B1A0-0373BF00B6E3}"/>
</file>

<file path=customXml/itemProps4.xml><?xml version="1.0" encoding="utf-8"?>
<ds:datastoreItem xmlns:ds="http://schemas.openxmlformats.org/officeDocument/2006/customXml" ds:itemID="{80E20161-1205-4B24-8B46-494256A29D88}"/>
</file>

<file path=docProps/app.xml><?xml version="1.0" encoding="utf-8"?>
<Properties xmlns="http://schemas.openxmlformats.org/officeDocument/2006/extended-properties" xmlns:vt="http://schemas.openxmlformats.org/officeDocument/2006/docPropsVTypes">
  <Template>Normal.dotm</Template>
  <TotalTime>1</TotalTime>
  <Pages>3</Pages>
  <Words>984</Words>
  <Characters>5613</Characters>
  <Application>Microsoft Office Word</Application>
  <DocSecurity>0</DocSecurity>
  <Lines>46</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Joselo</dc:creator>
  <cp:lastModifiedBy>Jorge ARAYA</cp:lastModifiedBy>
  <cp:revision>2</cp:revision>
  <dcterms:created xsi:type="dcterms:W3CDTF">2017-07-26T08:19:00Z</dcterms:created>
  <dcterms:modified xsi:type="dcterms:W3CDTF">2017-07-26T08:19:00Z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