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2AEA491" w14:textId="77777777" w:rsidR="004B52B9" w:rsidRDefault="0075329E">
      <w:pPr>
        <w:pStyle w:val="Heading1"/>
        <w:spacing w:after="200"/>
        <w:jc w:val="center"/>
      </w:pPr>
      <w:bookmarkStart w:id="0" w:name="_z0i3i1rmbs2f" w:colFirst="0" w:colLast="0"/>
      <w:bookmarkEnd w:id="0"/>
      <w:r>
        <w:rPr>
          <w:noProof/>
        </w:rPr>
        <w:drawing>
          <wp:inline distT="114300" distB="114300" distL="114300" distR="114300" wp14:anchorId="342BA540" wp14:editId="096F6AB6">
            <wp:extent cx="4995863" cy="197489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95863" cy="1974899"/>
                    </a:xfrm>
                    <a:prstGeom prst="rect">
                      <a:avLst/>
                    </a:prstGeom>
                    <a:ln/>
                  </pic:spPr>
                </pic:pic>
              </a:graphicData>
            </a:graphic>
          </wp:inline>
        </w:drawing>
      </w:r>
    </w:p>
    <w:p w14:paraId="00EBFE2F" w14:textId="77777777" w:rsidR="004B52B9" w:rsidRDefault="0075329E">
      <w:pPr>
        <w:pStyle w:val="Heading1"/>
        <w:spacing w:after="200"/>
        <w:jc w:val="center"/>
        <w:rPr>
          <w:b/>
        </w:rPr>
      </w:pPr>
      <w:bookmarkStart w:id="1" w:name="_que5goi8rkxh" w:colFirst="0" w:colLast="0"/>
      <w:bookmarkEnd w:id="1"/>
      <w:r>
        <w:rPr>
          <w:b/>
        </w:rPr>
        <w:t>Submission to the CEDAW 86</w:t>
      </w:r>
      <w:r>
        <w:rPr>
          <w:b/>
          <w:vertAlign w:val="superscript"/>
        </w:rPr>
        <w:t>th</w:t>
      </w:r>
      <w:r>
        <w:rPr>
          <w:b/>
        </w:rPr>
        <w:t xml:space="preserve"> Session – Philippines (Shadow Report)</w:t>
      </w:r>
    </w:p>
    <w:p w14:paraId="78830AB1" w14:textId="77777777" w:rsidR="004B52B9" w:rsidRDefault="0075329E">
      <w:pPr>
        <w:spacing w:after="200"/>
        <w:jc w:val="center"/>
        <w:rPr>
          <w:b/>
          <w:sz w:val="24"/>
          <w:szCs w:val="24"/>
        </w:rPr>
      </w:pPr>
      <w:r>
        <w:rPr>
          <w:b/>
          <w:sz w:val="24"/>
          <w:szCs w:val="24"/>
        </w:rPr>
        <w:t>By LILAK (Purple Action for Indigenous Women’s Rights)</w:t>
      </w:r>
    </w:p>
    <w:p w14:paraId="563E3349" w14:textId="77777777" w:rsidR="004B52B9" w:rsidRDefault="004B52B9">
      <w:pPr>
        <w:spacing w:after="200"/>
        <w:rPr>
          <w:sz w:val="24"/>
          <w:szCs w:val="24"/>
        </w:rPr>
      </w:pPr>
    </w:p>
    <w:p w14:paraId="2B426272" w14:textId="77777777" w:rsidR="004B52B9" w:rsidRDefault="0075329E">
      <w:pPr>
        <w:spacing w:after="200"/>
        <w:rPr>
          <w:sz w:val="24"/>
          <w:szCs w:val="24"/>
        </w:rPr>
      </w:pPr>
      <w:r>
        <w:rPr>
          <w:sz w:val="24"/>
          <w:szCs w:val="24"/>
        </w:rPr>
        <w:t>LILAK is a collective of women human rights activists and feminists working closely with and supporting the struggles of indigenous women for the realization of their rights.</w:t>
      </w:r>
    </w:p>
    <w:p w14:paraId="2CC76A9C" w14:textId="77777777" w:rsidR="004B52B9" w:rsidRDefault="0075329E">
      <w:pPr>
        <w:spacing w:after="200"/>
        <w:rPr>
          <w:sz w:val="24"/>
          <w:szCs w:val="24"/>
        </w:rPr>
      </w:pPr>
      <w:r>
        <w:rPr>
          <w:sz w:val="24"/>
          <w:szCs w:val="24"/>
        </w:rPr>
        <w:t>This submission of LILAK highlights the different forms of attacks and discrimina</w:t>
      </w:r>
      <w:r>
        <w:rPr>
          <w:sz w:val="24"/>
          <w:szCs w:val="24"/>
        </w:rPr>
        <w:t xml:space="preserve">tion against indigenous women human rights defenders as they assert and defend their rights to land, food, against gender-based violence and for meaningful participation in political processes. </w:t>
      </w:r>
    </w:p>
    <w:p w14:paraId="7951A92D" w14:textId="77777777" w:rsidR="004B52B9" w:rsidRDefault="0075329E">
      <w:pPr>
        <w:spacing w:after="200"/>
        <w:rPr>
          <w:sz w:val="24"/>
          <w:szCs w:val="24"/>
        </w:rPr>
      </w:pPr>
      <w:r>
        <w:rPr>
          <w:sz w:val="24"/>
          <w:szCs w:val="24"/>
        </w:rPr>
        <w:t xml:space="preserve">The main sources of information are cases documented by </w:t>
      </w:r>
      <w:proofErr w:type="gramStart"/>
      <w:r>
        <w:rPr>
          <w:sz w:val="24"/>
          <w:szCs w:val="24"/>
        </w:rPr>
        <w:t>LILAK</w:t>
      </w:r>
      <w:r>
        <w:rPr>
          <w:sz w:val="24"/>
          <w:szCs w:val="24"/>
        </w:rPr>
        <w:t>;</w:t>
      </w:r>
      <w:proofErr w:type="gramEnd"/>
      <w:r>
        <w:rPr>
          <w:sz w:val="24"/>
          <w:szCs w:val="24"/>
        </w:rPr>
        <w:t xml:space="preserve"> interviews with indigenous women partners. Secondary information are news clippings and statements by other human rights organizations. </w:t>
      </w:r>
    </w:p>
    <w:p w14:paraId="4CD420A1" w14:textId="77777777" w:rsidR="004B52B9" w:rsidRDefault="0075329E">
      <w:pPr>
        <w:spacing w:after="200"/>
        <w:rPr>
          <w:sz w:val="24"/>
          <w:szCs w:val="24"/>
        </w:rPr>
      </w:pPr>
      <w:r>
        <w:rPr>
          <w:sz w:val="24"/>
          <w:szCs w:val="24"/>
        </w:rPr>
        <w:t xml:space="preserve">The Committee may post this report on the CEDAW website.  </w:t>
      </w:r>
    </w:p>
    <w:p w14:paraId="00F48EF1" w14:textId="77777777" w:rsidR="004B52B9" w:rsidRDefault="0075329E">
      <w:pPr>
        <w:pStyle w:val="Heading2"/>
        <w:pageBreakBefore/>
        <w:spacing w:after="200"/>
        <w:jc w:val="center"/>
      </w:pPr>
      <w:bookmarkStart w:id="2" w:name="_jk80u3j24bfs" w:colFirst="0" w:colLast="0"/>
      <w:bookmarkEnd w:id="2"/>
      <w:r>
        <w:lastRenderedPageBreak/>
        <w:t xml:space="preserve">ACRONYMS </w:t>
      </w:r>
    </w:p>
    <w:p w14:paraId="411C6DD8" w14:textId="77777777" w:rsidR="004B52B9" w:rsidRDefault="0075329E">
      <w:pPr>
        <w:numPr>
          <w:ilvl w:val="0"/>
          <w:numId w:val="1"/>
        </w:numPr>
        <w:rPr>
          <w:color w:val="000000"/>
          <w:sz w:val="24"/>
          <w:szCs w:val="24"/>
        </w:rPr>
      </w:pPr>
      <w:r>
        <w:rPr>
          <w:sz w:val="24"/>
          <w:szCs w:val="24"/>
        </w:rPr>
        <w:t>AD - Ancestral Domain</w:t>
      </w:r>
    </w:p>
    <w:p w14:paraId="7AAEDD72" w14:textId="77777777" w:rsidR="004B52B9" w:rsidRDefault="0075329E">
      <w:pPr>
        <w:numPr>
          <w:ilvl w:val="0"/>
          <w:numId w:val="1"/>
        </w:numPr>
        <w:rPr>
          <w:color w:val="000000"/>
          <w:sz w:val="24"/>
          <w:szCs w:val="24"/>
        </w:rPr>
      </w:pPr>
      <w:r>
        <w:rPr>
          <w:sz w:val="24"/>
          <w:szCs w:val="24"/>
        </w:rPr>
        <w:t>ATC - Anti-Terrorism Counc</w:t>
      </w:r>
      <w:r>
        <w:rPr>
          <w:sz w:val="24"/>
          <w:szCs w:val="24"/>
        </w:rPr>
        <w:t>il</w:t>
      </w:r>
    </w:p>
    <w:p w14:paraId="21724BE3" w14:textId="77777777" w:rsidR="004B52B9" w:rsidRDefault="0075329E">
      <w:pPr>
        <w:numPr>
          <w:ilvl w:val="0"/>
          <w:numId w:val="1"/>
        </w:numPr>
        <w:rPr>
          <w:color w:val="000000"/>
          <w:sz w:val="24"/>
          <w:szCs w:val="24"/>
        </w:rPr>
      </w:pPr>
      <w:r>
        <w:rPr>
          <w:sz w:val="24"/>
          <w:szCs w:val="24"/>
        </w:rPr>
        <w:t>ATL (RA No. 11479) - The Anti-Terrorism Act of 2020</w:t>
      </w:r>
    </w:p>
    <w:p w14:paraId="38D6057A" w14:textId="77777777" w:rsidR="004B52B9" w:rsidRDefault="0075329E">
      <w:pPr>
        <w:numPr>
          <w:ilvl w:val="0"/>
          <w:numId w:val="1"/>
        </w:numPr>
        <w:rPr>
          <w:color w:val="000000"/>
          <w:sz w:val="24"/>
          <w:szCs w:val="24"/>
        </w:rPr>
      </w:pPr>
      <w:r>
        <w:rPr>
          <w:sz w:val="24"/>
          <w:szCs w:val="24"/>
        </w:rPr>
        <w:t>BARMM - Bangsamoro Autonomous Region in Muslim Mindanao</w:t>
      </w:r>
    </w:p>
    <w:p w14:paraId="059CF423" w14:textId="77777777" w:rsidR="004B52B9" w:rsidRDefault="0075329E">
      <w:pPr>
        <w:numPr>
          <w:ilvl w:val="0"/>
          <w:numId w:val="1"/>
        </w:numPr>
        <w:rPr>
          <w:color w:val="000000"/>
          <w:sz w:val="24"/>
          <w:szCs w:val="24"/>
        </w:rPr>
      </w:pPr>
      <w:r>
        <w:rPr>
          <w:sz w:val="24"/>
          <w:szCs w:val="24"/>
        </w:rPr>
        <w:t>CADT - Certificate of Ancestral Domain Title</w:t>
      </w:r>
    </w:p>
    <w:p w14:paraId="714E9BE2" w14:textId="77777777" w:rsidR="004B52B9" w:rsidRDefault="0075329E">
      <w:pPr>
        <w:numPr>
          <w:ilvl w:val="0"/>
          <w:numId w:val="1"/>
        </w:numPr>
        <w:rPr>
          <w:color w:val="000000"/>
          <w:sz w:val="24"/>
          <w:szCs w:val="24"/>
        </w:rPr>
      </w:pPr>
      <w:r>
        <w:rPr>
          <w:sz w:val="24"/>
          <w:szCs w:val="24"/>
        </w:rPr>
        <w:t xml:space="preserve">DENR - Department of Environment and Natural Resources </w:t>
      </w:r>
    </w:p>
    <w:p w14:paraId="6FBF1DA4" w14:textId="77777777" w:rsidR="004B52B9" w:rsidRDefault="0075329E">
      <w:pPr>
        <w:numPr>
          <w:ilvl w:val="0"/>
          <w:numId w:val="1"/>
        </w:numPr>
        <w:rPr>
          <w:color w:val="000000"/>
          <w:sz w:val="24"/>
          <w:szCs w:val="24"/>
        </w:rPr>
      </w:pPr>
      <w:r>
        <w:rPr>
          <w:sz w:val="24"/>
          <w:szCs w:val="24"/>
        </w:rPr>
        <w:t>EO - Executive Order</w:t>
      </w:r>
    </w:p>
    <w:p w14:paraId="11E11631" w14:textId="77777777" w:rsidR="004B52B9" w:rsidRDefault="0075329E">
      <w:pPr>
        <w:numPr>
          <w:ilvl w:val="0"/>
          <w:numId w:val="1"/>
        </w:numPr>
        <w:rPr>
          <w:sz w:val="24"/>
          <w:szCs w:val="24"/>
        </w:rPr>
      </w:pPr>
      <w:r>
        <w:rPr>
          <w:sz w:val="24"/>
          <w:szCs w:val="24"/>
        </w:rPr>
        <w:t>HRD - Human Rights Defe</w:t>
      </w:r>
      <w:r>
        <w:rPr>
          <w:sz w:val="24"/>
          <w:szCs w:val="24"/>
        </w:rPr>
        <w:t>nders</w:t>
      </w:r>
    </w:p>
    <w:p w14:paraId="031D01CA" w14:textId="77777777" w:rsidR="004B52B9" w:rsidRDefault="0075329E">
      <w:pPr>
        <w:numPr>
          <w:ilvl w:val="0"/>
          <w:numId w:val="1"/>
        </w:numPr>
        <w:rPr>
          <w:color w:val="000000"/>
          <w:sz w:val="24"/>
          <w:szCs w:val="24"/>
        </w:rPr>
      </w:pPr>
      <w:r>
        <w:rPr>
          <w:sz w:val="24"/>
          <w:szCs w:val="24"/>
        </w:rPr>
        <w:t>IP - Indigenous Peoples</w:t>
      </w:r>
    </w:p>
    <w:p w14:paraId="0ADA4767" w14:textId="77777777" w:rsidR="004B52B9" w:rsidRDefault="0075329E">
      <w:pPr>
        <w:numPr>
          <w:ilvl w:val="0"/>
          <w:numId w:val="1"/>
        </w:numPr>
        <w:rPr>
          <w:sz w:val="24"/>
          <w:szCs w:val="24"/>
        </w:rPr>
      </w:pPr>
      <w:r>
        <w:rPr>
          <w:sz w:val="24"/>
          <w:szCs w:val="24"/>
        </w:rPr>
        <w:t>IPRA - Indigenous Peoples Rights Act</w:t>
      </w:r>
    </w:p>
    <w:p w14:paraId="72F1E38E" w14:textId="77777777" w:rsidR="004B52B9" w:rsidRDefault="0075329E">
      <w:pPr>
        <w:numPr>
          <w:ilvl w:val="0"/>
          <w:numId w:val="1"/>
        </w:numPr>
        <w:rPr>
          <w:color w:val="000000"/>
          <w:sz w:val="24"/>
          <w:szCs w:val="24"/>
        </w:rPr>
      </w:pPr>
      <w:r>
        <w:rPr>
          <w:sz w:val="24"/>
          <w:szCs w:val="24"/>
        </w:rPr>
        <w:t>IPS - Indigenous Political Structure</w:t>
      </w:r>
    </w:p>
    <w:p w14:paraId="44B3A4B4" w14:textId="77777777" w:rsidR="004B52B9" w:rsidRDefault="0075329E">
      <w:pPr>
        <w:numPr>
          <w:ilvl w:val="0"/>
          <w:numId w:val="1"/>
        </w:numPr>
        <w:rPr>
          <w:color w:val="000000"/>
          <w:sz w:val="24"/>
          <w:szCs w:val="24"/>
        </w:rPr>
      </w:pPr>
      <w:r>
        <w:rPr>
          <w:sz w:val="24"/>
          <w:szCs w:val="24"/>
        </w:rPr>
        <w:t>IW - Indigenous Women</w:t>
      </w:r>
    </w:p>
    <w:p w14:paraId="3AC26E20" w14:textId="77777777" w:rsidR="004B52B9" w:rsidRDefault="0075329E">
      <w:pPr>
        <w:numPr>
          <w:ilvl w:val="0"/>
          <w:numId w:val="1"/>
        </w:numPr>
        <w:rPr>
          <w:color w:val="000000"/>
          <w:sz w:val="24"/>
          <w:szCs w:val="24"/>
        </w:rPr>
      </w:pPr>
      <w:r>
        <w:rPr>
          <w:sz w:val="24"/>
          <w:szCs w:val="24"/>
        </w:rPr>
        <w:t>IWHRD - Indigenous Women Human Rights Defender</w:t>
      </w:r>
    </w:p>
    <w:p w14:paraId="50078835" w14:textId="77777777" w:rsidR="004B52B9" w:rsidRDefault="0075329E">
      <w:pPr>
        <w:numPr>
          <w:ilvl w:val="0"/>
          <w:numId w:val="1"/>
        </w:numPr>
        <w:rPr>
          <w:color w:val="000000"/>
          <w:sz w:val="24"/>
          <w:szCs w:val="24"/>
        </w:rPr>
      </w:pPr>
      <w:r>
        <w:rPr>
          <w:sz w:val="24"/>
          <w:szCs w:val="24"/>
        </w:rPr>
        <w:t>MCW - Magna Carta for Women</w:t>
      </w:r>
    </w:p>
    <w:p w14:paraId="4C013723" w14:textId="77777777" w:rsidR="004B52B9" w:rsidRDefault="0075329E">
      <w:pPr>
        <w:numPr>
          <w:ilvl w:val="0"/>
          <w:numId w:val="1"/>
        </w:numPr>
        <w:rPr>
          <w:color w:val="000000"/>
          <w:sz w:val="24"/>
          <w:szCs w:val="24"/>
        </w:rPr>
      </w:pPr>
      <w:r>
        <w:rPr>
          <w:sz w:val="24"/>
          <w:szCs w:val="24"/>
        </w:rPr>
        <w:t>NCIP - National Commission on Indigenous Peoples</w:t>
      </w:r>
    </w:p>
    <w:p w14:paraId="65AD2A68" w14:textId="77777777" w:rsidR="004B52B9" w:rsidRDefault="0075329E">
      <w:pPr>
        <w:numPr>
          <w:ilvl w:val="0"/>
          <w:numId w:val="1"/>
        </w:numPr>
        <w:rPr>
          <w:color w:val="000000"/>
          <w:sz w:val="24"/>
          <w:szCs w:val="24"/>
        </w:rPr>
      </w:pPr>
      <w:r>
        <w:rPr>
          <w:sz w:val="24"/>
          <w:szCs w:val="24"/>
        </w:rPr>
        <w:t>NTF-EL</w:t>
      </w:r>
      <w:r>
        <w:rPr>
          <w:sz w:val="24"/>
          <w:szCs w:val="24"/>
        </w:rPr>
        <w:t>CAC - National Task Force to End Local Communist Armed Conflict</w:t>
      </w:r>
    </w:p>
    <w:p w14:paraId="3F40B8D0" w14:textId="77777777" w:rsidR="004B52B9" w:rsidRDefault="0075329E">
      <w:pPr>
        <w:numPr>
          <w:ilvl w:val="0"/>
          <w:numId w:val="1"/>
        </w:numPr>
        <w:rPr>
          <w:sz w:val="24"/>
          <w:szCs w:val="24"/>
        </w:rPr>
      </w:pPr>
      <w:r>
        <w:rPr>
          <w:sz w:val="24"/>
          <w:szCs w:val="24"/>
        </w:rPr>
        <w:t>OHCHR - Office of the High Commission on Human Rights</w:t>
      </w:r>
    </w:p>
    <w:p w14:paraId="30FEE605" w14:textId="77777777" w:rsidR="004B52B9" w:rsidRDefault="0075329E">
      <w:pPr>
        <w:numPr>
          <w:ilvl w:val="0"/>
          <w:numId w:val="1"/>
        </w:numPr>
        <w:rPr>
          <w:color w:val="000000"/>
          <w:sz w:val="24"/>
          <w:szCs w:val="24"/>
        </w:rPr>
      </w:pPr>
      <w:r>
        <w:rPr>
          <w:sz w:val="24"/>
          <w:szCs w:val="24"/>
        </w:rPr>
        <w:t>OGPI - OceanaGold Philippines Inc.</w:t>
      </w:r>
    </w:p>
    <w:p w14:paraId="3DCB1B38" w14:textId="77777777" w:rsidR="004B52B9" w:rsidRDefault="0075329E">
      <w:pPr>
        <w:numPr>
          <w:ilvl w:val="0"/>
          <w:numId w:val="1"/>
        </w:numPr>
        <w:rPr>
          <w:sz w:val="24"/>
          <w:szCs w:val="24"/>
        </w:rPr>
      </w:pPr>
      <w:r>
        <w:rPr>
          <w:sz w:val="24"/>
          <w:szCs w:val="24"/>
        </w:rPr>
        <w:t>PCW - Philippine Commission on Women</w:t>
      </w:r>
    </w:p>
    <w:p w14:paraId="33DFFF2C" w14:textId="77777777" w:rsidR="004B52B9" w:rsidRDefault="0075329E">
      <w:pPr>
        <w:numPr>
          <w:ilvl w:val="0"/>
          <w:numId w:val="1"/>
        </w:numPr>
        <w:rPr>
          <w:color w:val="000000"/>
          <w:sz w:val="24"/>
          <w:szCs w:val="24"/>
        </w:rPr>
      </w:pPr>
      <w:r>
        <w:rPr>
          <w:sz w:val="24"/>
          <w:szCs w:val="24"/>
        </w:rPr>
        <w:t>RA - Republic Act</w:t>
      </w:r>
    </w:p>
    <w:p w14:paraId="334D0DEE" w14:textId="77777777" w:rsidR="004B52B9" w:rsidRDefault="0075329E">
      <w:pPr>
        <w:numPr>
          <w:ilvl w:val="0"/>
          <w:numId w:val="1"/>
        </w:numPr>
        <w:rPr>
          <w:color w:val="000000"/>
          <w:sz w:val="24"/>
          <w:szCs w:val="24"/>
        </w:rPr>
      </w:pPr>
      <w:r>
        <w:rPr>
          <w:sz w:val="24"/>
          <w:szCs w:val="24"/>
        </w:rPr>
        <w:t>RA No. 8353 - The Anti-Rape Law of 1997</w:t>
      </w:r>
    </w:p>
    <w:p w14:paraId="2E1C4039" w14:textId="77777777" w:rsidR="004B52B9" w:rsidRDefault="0075329E">
      <w:pPr>
        <w:numPr>
          <w:ilvl w:val="0"/>
          <w:numId w:val="1"/>
        </w:numPr>
        <w:rPr>
          <w:sz w:val="24"/>
          <w:szCs w:val="24"/>
        </w:rPr>
      </w:pPr>
      <w:r>
        <w:rPr>
          <w:sz w:val="24"/>
          <w:szCs w:val="24"/>
        </w:rPr>
        <w:t>RPC - Revised Penal Code</w:t>
      </w:r>
    </w:p>
    <w:p w14:paraId="0CD89F9B" w14:textId="77777777" w:rsidR="004B52B9" w:rsidRDefault="0075329E">
      <w:pPr>
        <w:numPr>
          <w:ilvl w:val="0"/>
          <w:numId w:val="1"/>
        </w:numPr>
        <w:spacing w:after="200"/>
        <w:rPr>
          <w:color w:val="000000"/>
          <w:sz w:val="24"/>
          <w:szCs w:val="24"/>
        </w:rPr>
      </w:pPr>
      <w:r>
        <w:rPr>
          <w:sz w:val="24"/>
          <w:szCs w:val="24"/>
        </w:rPr>
        <w:t>WHRD - Women Human Rights Defender</w:t>
      </w:r>
    </w:p>
    <w:p w14:paraId="6D6FA910" w14:textId="77777777" w:rsidR="004B52B9" w:rsidRDefault="004B52B9">
      <w:pPr>
        <w:rPr>
          <w:sz w:val="24"/>
          <w:szCs w:val="24"/>
        </w:rPr>
      </w:pPr>
    </w:p>
    <w:p w14:paraId="6FB5CE02" w14:textId="77777777" w:rsidR="004B52B9" w:rsidRDefault="0075329E">
      <w:pPr>
        <w:pStyle w:val="Heading2"/>
        <w:pageBreakBefore/>
        <w:spacing w:after="200"/>
        <w:rPr>
          <w:b/>
          <w:sz w:val="24"/>
          <w:szCs w:val="24"/>
        </w:rPr>
      </w:pPr>
      <w:bookmarkStart w:id="3" w:name="_8c4adwauylcz" w:colFirst="0" w:colLast="0"/>
      <w:bookmarkEnd w:id="3"/>
      <w:r>
        <w:rPr>
          <w:b/>
        </w:rPr>
        <w:lastRenderedPageBreak/>
        <w:t xml:space="preserve">CONTEXT: Indigenous Women Human Rights Defenders and the State of Violence, </w:t>
      </w:r>
      <w:proofErr w:type="gramStart"/>
      <w:r>
        <w:rPr>
          <w:b/>
        </w:rPr>
        <w:t>Misogyny</w:t>
      </w:r>
      <w:proofErr w:type="gramEnd"/>
      <w:r>
        <w:rPr>
          <w:b/>
        </w:rPr>
        <w:t xml:space="preserve"> and Impunity</w:t>
      </w:r>
    </w:p>
    <w:p w14:paraId="2CAD2507" w14:textId="77777777" w:rsidR="004B52B9" w:rsidRDefault="004B52B9">
      <w:pPr>
        <w:spacing w:before="200" w:after="200"/>
        <w:rPr>
          <w:sz w:val="24"/>
          <w:szCs w:val="24"/>
        </w:rPr>
      </w:pPr>
    </w:p>
    <w:p w14:paraId="09725297" w14:textId="77777777" w:rsidR="004B52B9" w:rsidRDefault="0075329E">
      <w:pPr>
        <w:spacing w:before="200" w:after="200"/>
        <w:rPr>
          <w:sz w:val="24"/>
          <w:szCs w:val="24"/>
          <w:highlight w:val="yellow"/>
        </w:rPr>
      </w:pPr>
      <w:r>
        <w:rPr>
          <w:sz w:val="24"/>
          <w:szCs w:val="24"/>
        </w:rPr>
        <w:t>The Philippines under the Duterte administration (2016-2022) suffered from intensified multiple crises – human rights, economic, environment and public health.  The change of government has not offered hope towards overcoming these challenges.</w:t>
      </w:r>
      <w:r>
        <w:rPr>
          <w:sz w:val="24"/>
          <w:szCs w:val="24"/>
          <w:highlight w:val="yellow"/>
        </w:rPr>
        <w:t xml:space="preserve"> </w:t>
      </w:r>
    </w:p>
    <w:p w14:paraId="01D7248E" w14:textId="77777777" w:rsidR="004B52B9" w:rsidRDefault="0075329E">
      <w:pPr>
        <w:spacing w:after="200"/>
        <w:rPr>
          <w:sz w:val="24"/>
          <w:szCs w:val="24"/>
        </w:rPr>
      </w:pPr>
      <w:r>
        <w:rPr>
          <w:sz w:val="24"/>
          <w:szCs w:val="24"/>
        </w:rPr>
        <w:t xml:space="preserve">Governance </w:t>
      </w:r>
      <w:r>
        <w:rPr>
          <w:sz w:val="24"/>
          <w:szCs w:val="24"/>
        </w:rPr>
        <w:t>under Duterte was characterized by violence, misogyny, and lack of civic participation. Indigenous communities experienced the cruel, militarist, and corrupt response of the Duterte government to the global pandemic and to calamities such as typhoons. Thro</w:t>
      </w:r>
      <w:r>
        <w:rPr>
          <w:sz w:val="24"/>
          <w:szCs w:val="24"/>
        </w:rPr>
        <w:t xml:space="preserve">ughout the six years of the Duterte administration, there was a systematic attempt to silence critics and opposition; and those who seek state accountability. </w:t>
      </w:r>
    </w:p>
    <w:p w14:paraId="35A209D1" w14:textId="77777777" w:rsidR="004B52B9" w:rsidRDefault="0075329E">
      <w:pPr>
        <w:spacing w:after="200"/>
        <w:rPr>
          <w:sz w:val="24"/>
          <w:szCs w:val="24"/>
        </w:rPr>
      </w:pPr>
      <w:r>
        <w:rPr>
          <w:sz w:val="24"/>
          <w:szCs w:val="24"/>
        </w:rPr>
        <w:t xml:space="preserve">On July 1, 2016, a day after Rodrigo Duterte took oath as President of the Philippines, </w:t>
      </w:r>
      <w:hyperlink r:id="rId8">
        <w:r>
          <w:rPr>
            <w:color w:val="1155CC"/>
            <w:sz w:val="24"/>
            <w:szCs w:val="24"/>
            <w:u w:val="single"/>
          </w:rPr>
          <w:t>Gloria Capitan was shot dead</w:t>
        </w:r>
      </w:hyperlink>
      <w:r>
        <w:rPr>
          <w:sz w:val="24"/>
          <w:szCs w:val="24"/>
        </w:rPr>
        <w:t xml:space="preserve"> by unknown gunmen. Gloria was part of the community-based organization opposing the expansion of coa</w:t>
      </w:r>
      <w:r>
        <w:rPr>
          <w:sz w:val="24"/>
          <w:szCs w:val="24"/>
        </w:rPr>
        <w:t xml:space="preserve">l plants and open-storage facilities in Bataan. She was the first of the long list of WHRDs to be killed under the Duterte government.  </w:t>
      </w:r>
    </w:p>
    <w:p w14:paraId="245F738B" w14:textId="77777777" w:rsidR="004B52B9" w:rsidRDefault="0075329E">
      <w:pPr>
        <w:spacing w:after="200"/>
        <w:rPr>
          <w:sz w:val="24"/>
          <w:szCs w:val="24"/>
        </w:rPr>
      </w:pPr>
      <w:r>
        <w:rPr>
          <w:sz w:val="24"/>
          <w:szCs w:val="24"/>
        </w:rPr>
        <w:t xml:space="preserve">In 2018, the </w:t>
      </w:r>
      <w:hyperlink r:id="rId9">
        <w:r>
          <w:rPr>
            <w:color w:val="1155CC"/>
            <w:sz w:val="24"/>
            <w:szCs w:val="24"/>
            <w:u w:val="single"/>
          </w:rPr>
          <w:t>Department of Justice released a list of 600 names who were alleged to be terrorists</w:t>
        </w:r>
      </w:hyperlink>
      <w:r>
        <w:rPr>
          <w:sz w:val="24"/>
          <w:szCs w:val="24"/>
        </w:rPr>
        <w:t>. Of these names were indigenous women leaders who are known at the community and international level, including then UN Specia</w:t>
      </w:r>
      <w:r>
        <w:rPr>
          <w:sz w:val="24"/>
          <w:szCs w:val="24"/>
        </w:rPr>
        <w:t xml:space="preserve">l Rapporteur on Indigenous Peoples Vicky </w:t>
      </w:r>
      <w:proofErr w:type="spellStart"/>
      <w:r>
        <w:rPr>
          <w:sz w:val="24"/>
          <w:szCs w:val="24"/>
        </w:rPr>
        <w:t>Tauli-Corpuz</w:t>
      </w:r>
      <w:proofErr w:type="spellEnd"/>
      <w:r>
        <w:rPr>
          <w:sz w:val="24"/>
          <w:szCs w:val="24"/>
        </w:rPr>
        <w:t xml:space="preserve">. </w:t>
      </w:r>
    </w:p>
    <w:p w14:paraId="7CE05317" w14:textId="77777777" w:rsidR="004B52B9" w:rsidRDefault="0075329E">
      <w:pPr>
        <w:spacing w:after="200"/>
        <w:rPr>
          <w:sz w:val="24"/>
          <w:szCs w:val="24"/>
        </w:rPr>
      </w:pPr>
      <w:r>
        <w:rPr>
          <w:sz w:val="24"/>
          <w:szCs w:val="24"/>
        </w:rPr>
        <w:t xml:space="preserve">IPs have never been more red-tagged and criminalized by the state than under the Duterte government. </w:t>
      </w:r>
      <w:proofErr w:type="gramStart"/>
      <w:r>
        <w:rPr>
          <w:sz w:val="24"/>
          <w:szCs w:val="24"/>
        </w:rPr>
        <w:t>Red-tagging</w:t>
      </w:r>
      <w:proofErr w:type="gramEnd"/>
      <w:r>
        <w:rPr>
          <w:sz w:val="24"/>
          <w:szCs w:val="24"/>
        </w:rPr>
        <w:t xml:space="preserve"> is the act of labelling and naming a person or organization as part of subversive, arme</w:t>
      </w:r>
      <w:r>
        <w:rPr>
          <w:sz w:val="24"/>
          <w:szCs w:val="24"/>
        </w:rPr>
        <w:t>d, terrorist organizations.  Red-tagging has proven to be a serious threat to the security and life of individuals, as there have been</w:t>
      </w:r>
      <w:hyperlink r:id="rId10">
        <w:r>
          <w:rPr>
            <w:color w:val="1155CC"/>
            <w:sz w:val="24"/>
            <w:szCs w:val="24"/>
            <w:u w:val="single"/>
          </w:rPr>
          <w:t xml:space="preserve"> activists killed after being red-tagge</w:t>
        </w:r>
        <w:r>
          <w:rPr>
            <w:color w:val="1155CC"/>
            <w:sz w:val="24"/>
            <w:szCs w:val="24"/>
            <w:u w:val="single"/>
          </w:rPr>
          <w:t>d</w:t>
        </w:r>
      </w:hyperlink>
      <w:r>
        <w:rPr>
          <w:sz w:val="24"/>
          <w:szCs w:val="24"/>
        </w:rPr>
        <w:t xml:space="preserve"> by the government.</w:t>
      </w:r>
    </w:p>
    <w:p w14:paraId="44E09104" w14:textId="77777777" w:rsidR="004B52B9" w:rsidRDefault="0075329E">
      <w:pPr>
        <w:spacing w:after="200"/>
        <w:rPr>
          <w:color w:val="00FF00"/>
          <w:sz w:val="24"/>
          <w:szCs w:val="24"/>
        </w:rPr>
      </w:pPr>
      <w:r>
        <w:rPr>
          <w:sz w:val="24"/>
          <w:szCs w:val="24"/>
        </w:rPr>
        <w:t>In 2018, Pres. Duterte issued EO 70, institutionalizing the Whole-of-Nation Approach in attaining inclusive and sustainable peace, creating the NTF-ELCAC, and directing the adoption of a national pea</w:t>
      </w:r>
      <w:r>
        <w:rPr>
          <w:sz w:val="24"/>
          <w:szCs w:val="24"/>
        </w:rPr>
        <w:t xml:space="preserve">ce framework. NCIP Chair Allen </w:t>
      </w:r>
      <w:proofErr w:type="spellStart"/>
      <w:r>
        <w:rPr>
          <w:sz w:val="24"/>
          <w:szCs w:val="24"/>
        </w:rPr>
        <w:t>Capuyan</w:t>
      </w:r>
      <w:proofErr w:type="spellEnd"/>
      <w:r>
        <w:rPr>
          <w:sz w:val="24"/>
          <w:szCs w:val="24"/>
        </w:rPr>
        <w:t xml:space="preserve"> simultaneously served as Executive Director of the NTF-ELCAC from 2018-2023. The NTF-ELCAC served as the major platform for red-tagging human rights defenders, activists and even ordinary people expressing their disco</w:t>
      </w:r>
      <w:r>
        <w:rPr>
          <w:sz w:val="24"/>
          <w:szCs w:val="24"/>
        </w:rPr>
        <w:t xml:space="preserve">ntent and critical views, especially on the government’s inadequate and militarist response to COVID-19. It is through these agencies that Indigenous communities have been identified as a </w:t>
      </w:r>
      <w:hyperlink r:id="rId11">
        <w:r>
          <w:rPr>
            <w:color w:val="1155CC"/>
            <w:sz w:val="24"/>
            <w:szCs w:val="24"/>
            <w:u w:val="single"/>
          </w:rPr>
          <w:t xml:space="preserve">“haven for </w:t>
        </w:r>
        <w:r>
          <w:rPr>
            <w:color w:val="1155CC"/>
            <w:sz w:val="24"/>
            <w:szCs w:val="24"/>
            <w:u w:val="single"/>
          </w:rPr>
          <w:t>the communities terrorist groups”</w:t>
        </w:r>
      </w:hyperlink>
      <w:r>
        <w:rPr>
          <w:sz w:val="24"/>
          <w:szCs w:val="24"/>
        </w:rPr>
        <w:t xml:space="preserve">. </w:t>
      </w:r>
      <w:r>
        <w:rPr>
          <w:color w:val="00FF00"/>
          <w:sz w:val="24"/>
          <w:szCs w:val="24"/>
        </w:rPr>
        <w:t xml:space="preserve"> </w:t>
      </w:r>
    </w:p>
    <w:p w14:paraId="76282370" w14:textId="77777777" w:rsidR="004B52B9" w:rsidRDefault="0075329E">
      <w:pPr>
        <w:spacing w:after="200"/>
        <w:rPr>
          <w:sz w:val="24"/>
          <w:szCs w:val="24"/>
        </w:rPr>
      </w:pPr>
      <w:r>
        <w:rPr>
          <w:sz w:val="24"/>
          <w:szCs w:val="24"/>
        </w:rPr>
        <w:lastRenderedPageBreak/>
        <w:t xml:space="preserve">On December 30, 2020, </w:t>
      </w:r>
      <w:hyperlink r:id="rId12">
        <w:r>
          <w:rPr>
            <w:color w:val="1155CC"/>
            <w:sz w:val="24"/>
            <w:szCs w:val="24"/>
            <w:u w:val="single"/>
          </w:rPr>
          <w:t xml:space="preserve">nine indigenous </w:t>
        </w:r>
        <w:proofErr w:type="spellStart"/>
        <w:r>
          <w:rPr>
            <w:color w:val="1155CC"/>
            <w:sz w:val="24"/>
            <w:szCs w:val="24"/>
            <w:u w:val="single"/>
          </w:rPr>
          <w:t>Tumandok</w:t>
        </w:r>
        <w:proofErr w:type="spellEnd"/>
        <w:r>
          <w:rPr>
            <w:color w:val="1155CC"/>
            <w:sz w:val="24"/>
            <w:szCs w:val="24"/>
            <w:u w:val="single"/>
          </w:rPr>
          <w:t xml:space="preserve"> were killed in Panay</w:t>
        </w:r>
      </w:hyperlink>
      <w:r>
        <w:rPr>
          <w:sz w:val="24"/>
          <w:szCs w:val="24"/>
        </w:rPr>
        <w:t xml:space="preserve"> during a joint military and police operation, and 16 were arrested, six of whom were IW. They were reported to be armed rebels. However, they were community leaders who were opposing the construction of </w:t>
      </w:r>
      <w:proofErr w:type="spellStart"/>
      <w:r>
        <w:rPr>
          <w:sz w:val="24"/>
          <w:szCs w:val="24"/>
        </w:rPr>
        <w:t>Jalaur</w:t>
      </w:r>
      <w:proofErr w:type="spellEnd"/>
      <w:r>
        <w:rPr>
          <w:sz w:val="24"/>
          <w:szCs w:val="24"/>
        </w:rPr>
        <w:t xml:space="preserve"> Mega Dam 2 since 2016. </w:t>
      </w:r>
    </w:p>
    <w:p w14:paraId="7CE4697C" w14:textId="77777777" w:rsidR="004B52B9" w:rsidRDefault="0075329E">
      <w:pPr>
        <w:spacing w:after="200"/>
        <w:rPr>
          <w:sz w:val="24"/>
          <w:szCs w:val="24"/>
        </w:rPr>
      </w:pPr>
      <w:r>
        <w:rPr>
          <w:sz w:val="24"/>
          <w:szCs w:val="24"/>
        </w:rPr>
        <w:t>The ATL wa</w:t>
      </w:r>
      <w:r>
        <w:rPr>
          <w:sz w:val="24"/>
          <w:szCs w:val="24"/>
        </w:rPr>
        <w:t>s passed in 2020, despite widespread protests among different sectors of society. In 2021, 37 petitions were filed with the Supreme Court questioning the constitutionality of the law. One of the petitions was filed by IPs, mostly women, including LILAK. Th</w:t>
      </w:r>
      <w:r>
        <w:rPr>
          <w:sz w:val="24"/>
          <w:szCs w:val="24"/>
        </w:rPr>
        <w:t xml:space="preserve">e ATL was used for the first time against two Aeta indigenous men from Zambales - Japer Gurung and Junior Ramos. Their </w:t>
      </w:r>
      <w:hyperlink r:id="rId13">
        <w:r>
          <w:rPr>
            <w:color w:val="1155CC"/>
            <w:sz w:val="24"/>
            <w:szCs w:val="24"/>
            <w:u w:val="single"/>
          </w:rPr>
          <w:t>cases were later dismissed</w:t>
        </w:r>
      </w:hyperlink>
      <w:r>
        <w:rPr>
          <w:sz w:val="24"/>
          <w:szCs w:val="24"/>
        </w:rPr>
        <w:t xml:space="preserve"> for lack of merit, a year after being detained and allegedly tortured.</w:t>
      </w:r>
    </w:p>
    <w:p w14:paraId="61AFA62B" w14:textId="77777777" w:rsidR="004B52B9" w:rsidRDefault="0075329E">
      <w:pPr>
        <w:spacing w:after="200"/>
        <w:rPr>
          <w:sz w:val="24"/>
          <w:szCs w:val="24"/>
        </w:rPr>
      </w:pPr>
      <w:r>
        <w:rPr>
          <w:sz w:val="24"/>
          <w:szCs w:val="24"/>
        </w:rPr>
        <w:t xml:space="preserve">March 7, 2021, was dubbed as the </w:t>
      </w:r>
      <w:hyperlink r:id="rId14">
        <w:r>
          <w:rPr>
            <w:color w:val="0000FF"/>
            <w:sz w:val="24"/>
            <w:szCs w:val="24"/>
            <w:u w:val="single"/>
          </w:rPr>
          <w:t>“Bloody Sunday”</w:t>
        </w:r>
      </w:hyperlink>
      <w:r>
        <w:rPr>
          <w:sz w:val="24"/>
          <w:szCs w:val="24"/>
        </w:rPr>
        <w:t xml:space="preserve"> of the Philippines. Nine leaders and activists were killed in a series of raids </w:t>
      </w:r>
      <w:r>
        <w:rPr>
          <w:sz w:val="24"/>
          <w:szCs w:val="24"/>
        </w:rPr>
        <w:t xml:space="preserve">and arrests in the Calabarzon region. Two of those killed were </w:t>
      </w:r>
      <w:proofErr w:type="spellStart"/>
      <w:r>
        <w:rPr>
          <w:sz w:val="24"/>
          <w:szCs w:val="24"/>
        </w:rPr>
        <w:t>Dumagat</w:t>
      </w:r>
      <w:proofErr w:type="spellEnd"/>
      <w:r>
        <w:rPr>
          <w:sz w:val="24"/>
          <w:szCs w:val="24"/>
        </w:rPr>
        <w:t xml:space="preserve"> IP, known to oppose the construction of the </w:t>
      </w:r>
      <w:proofErr w:type="spellStart"/>
      <w:r>
        <w:rPr>
          <w:sz w:val="24"/>
          <w:szCs w:val="24"/>
        </w:rPr>
        <w:t>Kaliwa</w:t>
      </w:r>
      <w:proofErr w:type="spellEnd"/>
      <w:r>
        <w:rPr>
          <w:sz w:val="24"/>
          <w:szCs w:val="24"/>
        </w:rPr>
        <w:t xml:space="preserve"> Dam within their AD. </w:t>
      </w:r>
    </w:p>
    <w:p w14:paraId="2A869DA8" w14:textId="77777777" w:rsidR="004B52B9" w:rsidRDefault="0075329E">
      <w:pPr>
        <w:spacing w:line="240" w:lineRule="auto"/>
        <w:rPr>
          <w:sz w:val="24"/>
          <w:szCs w:val="24"/>
        </w:rPr>
      </w:pPr>
      <w:r>
        <w:rPr>
          <w:sz w:val="24"/>
          <w:szCs w:val="24"/>
        </w:rPr>
        <w:t xml:space="preserve">Global Witness, in its 2018 report, </w:t>
      </w:r>
      <w:hyperlink r:id="rId15">
        <w:r>
          <w:rPr>
            <w:color w:val="0000FF"/>
            <w:sz w:val="24"/>
            <w:szCs w:val="24"/>
            <w:u w:val="single"/>
          </w:rPr>
          <w:t>Defending the Philippines</w:t>
        </w:r>
      </w:hyperlink>
      <w:r>
        <w:rPr>
          <w:sz w:val="24"/>
          <w:szCs w:val="24"/>
        </w:rPr>
        <w:t xml:space="preserve"> revealed that the Philippines had the most killings of land and environmental defenders in the world. Its 2022 report states that a disproportionate number of attac</w:t>
      </w:r>
      <w:r>
        <w:rPr>
          <w:sz w:val="24"/>
          <w:szCs w:val="24"/>
        </w:rPr>
        <w:t>ks against IPs globally continued, with over 40% of all fatal attacks targeting IPs. These cases of attacks were documented predominantly in 5 countries, including the Philippines. In the Philippines, 19 environmentalists were killed, making it the 4</w:t>
      </w:r>
      <w:r>
        <w:rPr>
          <w:sz w:val="24"/>
          <w:szCs w:val="24"/>
          <w:vertAlign w:val="superscript"/>
        </w:rPr>
        <w:t>th</w:t>
      </w:r>
      <w:r>
        <w:rPr>
          <w:sz w:val="24"/>
          <w:szCs w:val="24"/>
        </w:rPr>
        <w:t xml:space="preserve"> dea</w:t>
      </w:r>
      <w:r>
        <w:rPr>
          <w:sz w:val="24"/>
          <w:szCs w:val="24"/>
        </w:rPr>
        <w:t>dliest country in the world. In its overall report, Global Witness said that 1 out of 10 killed were women, and most of them were indigenous. In the Philippines, however, there is no disaggregated data on all the defenders killed in terms of indigenous ide</w:t>
      </w:r>
      <w:r>
        <w:rPr>
          <w:sz w:val="24"/>
          <w:szCs w:val="24"/>
        </w:rPr>
        <w:t xml:space="preserve">ntity as well as gender. </w:t>
      </w:r>
    </w:p>
    <w:p w14:paraId="095B0E4D" w14:textId="77777777" w:rsidR="004B52B9" w:rsidRDefault="004B52B9">
      <w:pPr>
        <w:spacing w:line="240" w:lineRule="auto"/>
        <w:rPr>
          <w:sz w:val="24"/>
          <w:szCs w:val="24"/>
        </w:rPr>
      </w:pPr>
    </w:p>
    <w:p w14:paraId="05405267" w14:textId="77777777" w:rsidR="004B52B9" w:rsidRDefault="0075329E">
      <w:pPr>
        <w:spacing w:line="240" w:lineRule="auto"/>
        <w:rPr>
          <w:sz w:val="24"/>
          <w:szCs w:val="24"/>
        </w:rPr>
      </w:pPr>
      <w:r>
        <w:rPr>
          <w:sz w:val="24"/>
          <w:szCs w:val="24"/>
        </w:rPr>
        <w:t xml:space="preserve">SANDUGO, a movement of Moro and IPs, released its data on human rights violations against IPs from 2016 to early 2021 – 92 extrajudicial killings, 160 frustrated killings, 6 enforced disappearances, 227 illegal arrests, </w:t>
      </w:r>
      <w:proofErr w:type="gramStart"/>
      <w:r>
        <w:rPr>
          <w:sz w:val="24"/>
          <w:szCs w:val="24"/>
        </w:rPr>
        <w:t>detention</w:t>
      </w:r>
      <w:proofErr w:type="gramEnd"/>
      <w:r>
        <w:rPr>
          <w:sz w:val="24"/>
          <w:szCs w:val="24"/>
        </w:rPr>
        <w:t xml:space="preserve"> and abduction, with 27 cases of torture. There is, however, no gender disaggregation of the data. On November 17, 2017, </w:t>
      </w:r>
      <w:proofErr w:type="spellStart"/>
      <w:r>
        <w:rPr>
          <w:sz w:val="24"/>
          <w:szCs w:val="24"/>
        </w:rPr>
        <w:t>Tanggol</w:t>
      </w:r>
      <w:proofErr w:type="spellEnd"/>
      <w:r>
        <w:rPr>
          <w:sz w:val="24"/>
          <w:szCs w:val="24"/>
        </w:rPr>
        <w:t xml:space="preserve"> Bayi, a group of women human rights defenders, released their report saying that until then, there were </w:t>
      </w:r>
      <w:hyperlink r:id="rId16">
        <w:r>
          <w:rPr>
            <w:color w:val="0000FF"/>
            <w:sz w:val="24"/>
            <w:szCs w:val="24"/>
            <w:u w:val="single"/>
          </w:rPr>
          <w:t>17 women rights defenders killed under Duterte</w:t>
        </w:r>
      </w:hyperlink>
      <w:r>
        <w:rPr>
          <w:sz w:val="24"/>
          <w:szCs w:val="24"/>
        </w:rPr>
        <w:t xml:space="preserve">. </w:t>
      </w:r>
    </w:p>
    <w:p w14:paraId="0FA5F643" w14:textId="77777777" w:rsidR="004B52B9" w:rsidRDefault="004B52B9">
      <w:pPr>
        <w:spacing w:line="240" w:lineRule="auto"/>
        <w:rPr>
          <w:sz w:val="24"/>
          <w:szCs w:val="24"/>
        </w:rPr>
      </w:pPr>
    </w:p>
    <w:p w14:paraId="6CE52EB2" w14:textId="77777777" w:rsidR="004B52B9" w:rsidRDefault="0075329E">
      <w:pPr>
        <w:spacing w:line="240" w:lineRule="auto"/>
        <w:rPr>
          <w:sz w:val="24"/>
          <w:szCs w:val="24"/>
        </w:rPr>
      </w:pPr>
      <w:r>
        <w:rPr>
          <w:sz w:val="24"/>
          <w:szCs w:val="24"/>
        </w:rPr>
        <w:t>Duterte has been tagged as misogynist and macho-fascist. In 2018, Duterte gave orders to shoot fema</w:t>
      </w:r>
      <w:r>
        <w:rPr>
          <w:sz w:val="24"/>
          <w:szCs w:val="24"/>
        </w:rPr>
        <w:t>le rebels “</w:t>
      </w:r>
      <w:hyperlink r:id="rId17">
        <w:r>
          <w:rPr>
            <w:color w:val="0000FF"/>
            <w:sz w:val="24"/>
            <w:szCs w:val="24"/>
            <w:u w:val="single"/>
          </w:rPr>
          <w:t>in the vagina</w:t>
        </w:r>
      </w:hyperlink>
      <w:r>
        <w:rPr>
          <w:sz w:val="24"/>
          <w:szCs w:val="24"/>
        </w:rPr>
        <w:t xml:space="preserve">”. Months after the order, </w:t>
      </w:r>
      <w:hyperlink r:id="rId18">
        <w:r>
          <w:rPr>
            <w:color w:val="0000FF"/>
            <w:sz w:val="24"/>
            <w:szCs w:val="24"/>
            <w:u w:val="single"/>
          </w:rPr>
          <w:t>Gabriela Women’s Party reported</w:t>
        </w:r>
      </w:hyperlink>
      <w:r>
        <w:rPr>
          <w:sz w:val="24"/>
          <w:szCs w:val="24"/>
        </w:rPr>
        <w:t xml:space="preserve"> that an alleged rebel, Cindy Tirado, one of the victims of the military operations, was tortured, and </w:t>
      </w:r>
      <w:r>
        <w:rPr>
          <w:sz w:val="24"/>
          <w:szCs w:val="24"/>
        </w:rPr>
        <w:t xml:space="preserve">killed with a bullet in her vagina. On June 15, 2021, in </w:t>
      </w:r>
      <w:hyperlink r:id="rId19">
        <w:proofErr w:type="spellStart"/>
        <w:r>
          <w:rPr>
            <w:color w:val="0000FF"/>
            <w:sz w:val="24"/>
            <w:szCs w:val="24"/>
            <w:u w:val="single"/>
          </w:rPr>
          <w:t>Lianga</w:t>
        </w:r>
        <w:proofErr w:type="spellEnd"/>
        <w:r>
          <w:rPr>
            <w:color w:val="0000FF"/>
            <w:sz w:val="24"/>
            <w:szCs w:val="24"/>
            <w:u w:val="single"/>
          </w:rPr>
          <w:t>, Surigao del Sur</w:t>
        </w:r>
      </w:hyperlink>
      <w:r>
        <w:rPr>
          <w:sz w:val="24"/>
          <w:szCs w:val="24"/>
        </w:rPr>
        <w:t>, two indigenous farmers Wi</w:t>
      </w:r>
      <w:r>
        <w:rPr>
          <w:sz w:val="24"/>
          <w:szCs w:val="24"/>
        </w:rPr>
        <w:t xml:space="preserve">llie Rodriguez and Lenie Rivas, along with 12-year-old girl Angel Rivas, were killed by the military, alleging that the three were armed rebels. Lenie and Angel were found with bodies and faces smashed, with their vaginas “shattered”. </w:t>
      </w:r>
    </w:p>
    <w:p w14:paraId="2F3D5202" w14:textId="77777777" w:rsidR="004B52B9" w:rsidRDefault="004B52B9">
      <w:pPr>
        <w:spacing w:line="240" w:lineRule="auto"/>
        <w:rPr>
          <w:sz w:val="24"/>
          <w:szCs w:val="24"/>
        </w:rPr>
      </w:pPr>
    </w:p>
    <w:p w14:paraId="5E7FED91" w14:textId="77777777" w:rsidR="004B52B9" w:rsidRDefault="0075329E">
      <w:pPr>
        <w:spacing w:line="240" w:lineRule="auto"/>
        <w:rPr>
          <w:sz w:val="24"/>
          <w:szCs w:val="24"/>
        </w:rPr>
      </w:pPr>
      <w:r>
        <w:rPr>
          <w:sz w:val="24"/>
          <w:szCs w:val="24"/>
        </w:rPr>
        <w:t xml:space="preserve">The OHCHR, in June </w:t>
      </w:r>
      <w:r>
        <w:rPr>
          <w:sz w:val="24"/>
          <w:szCs w:val="24"/>
        </w:rPr>
        <w:t xml:space="preserve">2020, released a </w:t>
      </w:r>
      <w:hyperlink r:id="rId20">
        <w:r>
          <w:rPr>
            <w:color w:val="1155CC"/>
            <w:sz w:val="24"/>
            <w:szCs w:val="24"/>
            <w:u w:val="single"/>
          </w:rPr>
          <w:t xml:space="preserve">report </w:t>
        </w:r>
      </w:hyperlink>
      <w:r>
        <w:rPr>
          <w:sz w:val="24"/>
          <w:szCs w:val="24"/>
        </w:rPr>
        <w:t>on the Philippines, providing details of “widespread human rights violations and persiste</w:t>
      </w:r>
      <w:r>
        <w:rPr>
          <w:sz w:val="24"/>
          <w:szCs w:val="24"/>
        </w:rPr>
        <w:t xml:space="preserve">nt impunity”. OHCHR verified the </w:t>
      </w:r>
      <w:r>
        <w:rPr>
          <w:sz w:val="24"/>
          <w:szCs w:val="24"/>
        </w:rPr>
        <w:lastRenderedPageBreak/>
        <w:t xml:space="preserve">killings of 208 HRDs, journalists and trade unionists, including 30 women, between January 2015 and December 2019. The report further stated that land, </w:t>
      </w:r>
      <w:proofErr w:type="gramStart"/>
      <w:r>
        <w:rPr>
          <w:sz w:val="24"/>
          <w:szCs w:val="24"/>
        </w:rPr>
        <w:t>farmers</w:t>
      </w:r>
      <w:proofErr w:type="gramEnd"/>
      <w:r>
        <w:rPr>
          <w:sz w:val="24"/>
          <w:szCs w:val="24"/>
        </w:rPr>
        <w:t xml:space="preserve"> and IPs feature prominently in the documented killings of HRDs.</w:t>
      </w:r>
      <w:r>
        <w:rPr>
          <w:sz w:val="24"/>
          <w:szCs w:val="24"/>
        </w:rPr>
        <w:t xml:space="preserve"> </w:t>
      </w:r>
    </w:p>
    <w:p w14:paraId="6CC9C185" w14:textId="77777777" w:rsidR="004B52B9" w:rsidRDefault="004B52B9">
      <w:pPr>
        <w:spacing w:line="240" w:lineRule="auto"/>
        <w:rPr>
          <w:sz w:val="24"/>
          <w:szCs w:val="24"/>
        </w:rPr>
      </w:pPr>
    </w:p>
    <w:p w14:paraId="1311F019" w14:textId="77777777" w:rsidR="004B52B9" w:rsidRDefault="0075329E">
      <w:pPr>
        <w:spacing w:line="240" w:lineRule="auto"/>
        <w:rPr>
          <w:sz w:val="24"/>
          <w:szCs w:val="24"/>
        </w:rPr>
      </w:pPr>
      <w:r>
        <w:rPr>
          <w:sz w:val="24"/>
          <w:szCs w:val="24"/>
        </w:rPr>
        <w:t xml:space="preserve">In November 2022, with the Universal Periodic Review of the Philippines (4th cycle), a significant number of States made </w:t>
      </w:r>
      <w:hyperlink r:id="rId21">
        <w:r>
          <w:rPr>
            <w:color w:val="1155CC"/>
            <w:sz w:val="24"/>
            <w:szCs w:val="24"/>
            <w:u w:val="single"/>
          </w:rPr>
          <w:t>recommendations</w:t>
        </w:r>
      </w:hyperlink>
      <w:r>
        <w:rPr>
          <w:sz w:val="24"/>
          <w:szCs w:val="24"/>
        </w:rPr>
        <w:t xml:space="preserve"> for the government to end red-tagging, ensure a safe and enabling environment for HRDs and protect them from killings, harassment and threats.  </w:t>
      </w:r>
    </w:p>
    <w:p w14:paraId="3234AE66" w14:textId="77777777" w:rsidR="004B52B9" w:rsidRDefault="004B52B9">
      <w:pPr>
        <w:spacing w:line="240" w:lineRule="auto"/>
        <w:rPr>
          <w:sz w:val="24"/>
          <w:szCs w:val="24"/>
        </w:rPr>
      </w:pPr>
    </w:p>
    <w:p w14:paraId="2A134530" w14:textId="77777777" w:rsidR="004B52B9" w:rsidRDefault="0075329E">
      <w:pPr>
        <w:spacing w:after="200"/>
        <w:rPr>
          <w:color w:val="00FF00"/>
          <w:sz w:val="24"/>
          <w:szCs w:val="24"/>
        </w:rPr>
      </w:pPr>
      <w:r>
        <w:rPr>
          <w:sz w:val="24"/>
          <w:szCs w:val="24"/>
        </w:rPr>
        <w:t>The infrastructure of red-tagging and undermining the work of HRDs are sti</w:t>
      </w:r>
      <w:r>
        <w:rPr>
          <w:sz w:val="24"/>
          <w:szCs w:val="24"/>
        </w:rPr>
        <w:t xml:space="preserve">ll very much intact with the new government. With Vice President Sara Duterte as the </w:t>
      </w:r>
      <w:hyperlink r:id="rId22">
        <w:r>
          <w:rPr>
            <w:color w:val="1155CC"/>
            <w:sz w:val="24"/>
            <w:szCs w:val="24"/>
            <w:u w:val="single"/>
          </w:rPr>
          <w:t>Secretary of Education</w:t>
        </w:r>
      </w:hyperlink>
      <w:r>
        <w:rPr>
          <w:sz w:val="24"/>
          <w:szCs w:val="24"/>
        </w:rPr>
        <w:t>,</w:t>
      </w:r>
      <w:r>
        <w:rPr>
          <w:sz w:val="24"/>
          <w:szCs w:val="24"/>
        </w:rPr>
        <w:t xml:space="preserve"> another platform is being used to red-tag student and teacher activists; and continue the attacks against tribal schools in indigenous communities, alleging that these are being used for the “indoctrination of the students”.  </w:t>
      </w:r>
    </w:p>
    <w:p w14:paraId="40521CE0" w14:textId="77777777" w:rsidR="004B52B9" w:rsidRDefault="0075329E">
      <w:pPr>
        <w:spacing w:after="200"/>
        <w:rPr>
          <w:sz w:val="24"/>
          <w:szCs w:val="24"/>
        </w:rPr>
      </w:pPr>
      <w:r>
        <w:rPr>
          <w:sz w:val="24"/>
          <w:szCs w:val="24"/>
        </w:rPr>
        <w:t>In July of this year, the AT</w:t>
      </w:r>
      <w:r>
        <w:rPr>
          <w:sz w:val="24"/>
          <w:szCs w:val="24"/>
        </w:rPr>
        <w:t xml:space="preserve">C designated two IW leaders, Sarah </w:t>
      </w:r>
      <w:proofErr w:type="spellStart"/>
      <w:r>
        <w:rPr>
          <w:sz w:val="24"/>
          <w:szCs w:val="24"/>
        </w:rPr>
        <w:t>Alikes</w:t>
      </w:r>
      <w:proofErr w:type="spellEnd"/>
      <w:r>
        <w:rPr>
          <w:sz w:val="24"/>
          <w:szCs w:val="24"/>
        </w:rPr>
        <w:t xml:space="preserve"> and Jennifer </w:t>
      </w:r>
      <w:proofErr w:type="spellStart"/>
      <w:r>
        <w:rPr>
          <w:sz w:val="24"/>
          <w:szCs w:val="24"/>
        </w:rPr>
        <w:t>Awingan</w:t>
      </w:r>
      <w:proofErr w:type="spellEnd"/>
      <w:r>
        <w:rPr>
          <w:sz w:val="24"/>
          <w:szCs w:val="24"/>
        </w:rPr>
        <w:t xml:space="preserve">, along with two others as terrorists. All are members of the IP regional organization Cordillera Peoples Alliance. </w:t>
      </w:r>
    </w:p>
    <w:p w14:paraId="292AA06F" w14:textId="77777777" w:rsidR="004B52B9" w:rsidRDefault="0075329E">
      <w:pPr>
        <w:spacing w:after="200"/>
        <w:rPr>
          <w:sz w:val="24"/>
          <w:szCs w:val="24"/>
        </w:rPr>
      </w:pPr>
      <w:r>
        <w:rPr>
          <w:sz w:val="24"/>
          <w:szCs w:val="24"/>
        </w:rPr>
        <w:t xml:space="preserve">This is the political backdrop that IWHRDs are operating in as they find the </w:t>
      </w:r>
      <w:r>
        <w:rPr>
          <w:sz w:val="24"/>
          <w:szCs w:val="24"/>
        </w:rPr>
        <w:t>strength and the courage to assert their rights. With the food crisis intensifying, IW work their lands tirelessly even as they are being battered by typhoons, in the face of large-scale corporate-led development projects. Living in geographically isolated</w:t>
      </w:r>
      <w:r>
        <w:rPr>
          <w:sz w:val="24"/>
          <w:szCs w:val="24"/>
        </w:rPr>
        <w:t xml:space="preserve"> disadvantaged areas, they know that the lack of timely and accurate information during the pandemic and other calamities spelled life and death. </w:t>
      </w:r>
      <w:proofErr w:type="gramStart"/>
      <w:r>
        <w:rPr>
          <w:sz w:val="24"/>
          <w:szCs w:val="24"/>
        </w:rPr>
        <w:t>So</w:t>
      </w:r>
      <w:proofErr w:type="gramEnd"/>
      <w:r>
        <w:rPr>
          <w:sz w:val="24"/>
          <w:szCs w:val="24"/>
        </w:rPr>
        <w:t xml:space="preserve"> they stepped up and were the first responders that they have always been, even as their leadership are seen</w:t>
      </w:r>
      <w:r>
        <w:rPr>
          <w:sz w:val="24"/>
          <w:szCs w:val="24"/>
        </w:rPr>
        <w:t xml:space="preserve"> as threats to the traditional, male-led IPS, and traditional politics of the official legal structures.  </w:t>
      </w:r>
    </w:p>
    <w:p w14:paraId="63597ABE" w14:textId="77777777" w:rsidR="004B52B9" w:rsidRDefault="0075329E">
      <w:pPr>
        <w:spacing w:after="200"/>
        <w:rPr>
          <w:b/>
          <w:i/>
          <w:sz w:val="24"/>
          <w:szCs w:val="24"/>
        </w:rPr>
      </w:pPr>
      <w:r>
        <w:rPr>
          <w:sz w:val="24"/>
          <w:szCs w:val="24"/>
        </w:rPr>
        <w:t xml:space="preserve">LILAK lauds the passage of </w:t>
      </w:r>
      <w:r>
        <w:rPr>
          <w:b/>
          <w:sz w:val="24"/>
          <w:szCs w:val="24"/>
        </w:rPr>
        <w:t>General Recommendation 39</w:t>
      </w:r>
      <w:r>
        <w:rPr>
          <w:sz w:val="24"/>
          <w:szCs w:val="24"/>
        </w:rPr>
        <w:t xml:space="preserve"> as it acknowledges the critical work that IWHRDs do, as well as the threats they face, </w:t>
      </w:r>
      <w:r>
        <w:rPr>
          <w:b/>
          <w:i/>
          <w:sz w:val="24"/>
          <w:szCs w:val="24"/>
        </w:rPr>
        <w:t>“enjoinin</w:t>
      </w:r>
      <w:r>
        <w:rPr>
          <w:b/>
          <w:i/>
          <w:sz w:val="24"/>
          <w:szCs w:val="24"/>
        </w:rPr>
        <w:t>g the State to adopt immediately gender-responsive measures to publicly recognize, support and protect the life, liberty, security and self-determination of Indigenous women and girl human rights defenders, and to ensure safe conditions and an enabling env</w:t>
      </w:r>
      <w:r>
        <w:rPr>
          <w:b/>
          <w:i/>
          <w:sz w:val="24"/>
          <w:szCs w:val="24"/>
        </w:rPr>
        <w:t>ironment for their advocacy work, free from discrimination, racism, killings, harassment and violence.”</w:t>
      </w:r>
    </w:p>
    <w:p w14:paraId="7AC6C29B" w14:textId="77777777" w:rsidR="004B52B9" w:rsidRDefault="0075329E">
      <w:pPr>
        <w:spacing w:after="200"/>
        <w:rPr>
          <w:sz w:val="24"/>
          <w:szCs w:val="24"/>
        </w:rPr>
      </w:pPr>
      <w:r>
        <w:rPr>
          <w:sz w:val="24"/>
          <w:szCs w:val="24"/>
        </w:rPr>
        <w:t>The GR 39 draws attention to the plight of IW, and the urgent actions the States need to take for the IW to enjoy their basic human rights. In the Phili</w:t>
      </w:r>
      <w:r>
        <w:rPr>
          <w:sz w:val="24"/>
          <w:szCs w:val="24"/>
        </w:rPr>
        <w:t>ppines, the MCW has yet to be truly mainstreamed within the government’s consciousness. The first time that the MCW was used was in 2016 when women’s organizations, including LILAK, filed a complaint with the Gender Ombud against then presidential candidat</w:t>
      </w:r>
      <w:r>
        <w:rPr>
          <w:sz w:val="24"/>
          <w:szCs w:val="24"/>
        </w:rPr>
        <w:t xml:space="preserve">e Duterte for the “rape jokes” he repeated during his campaign. While the Gender Ombud released its findings that Duterte was found to be violating the MCW, the Office of the Ombudsman, </w:t>
      </w:r>
      <w:r>
        <w:rPr>
          <w:sz w:val="24"/>
          <w:szCs w:val="24"/>
        </w:rPr>
        <w:lastRenderedPageBreak/>
        <w:t xml:space="preserve">in May 2023, dismissed the case saying that at the time the complaint </w:t>
      </w:r>
      <w:r>
        <w:rPr>
          <w:sz w:val="24"/>
          <w:szCs w:val="24"/>
        </w:rPr>
        <w:t xml:space="preserve">had reached their office, Duterte was already the sitting president, therefore enjoyed immunity. </w:t>
      </w:r>
    </w:p>
    <w:p w14:paraId="3624B09E" w14:textId="77777777" w:rsidR="004B52B9" w:rsidRDefault="004B52B9">
      <w:pPr>
        <w:pStyle w:val="Heading2"/>
        <w:spacing w:before="240" w:after="240"/>
      </w:pPr>
      <w:bookmarkStart w:id="4" w:name="_4r1wuxq2ji1t" w:colFirst="0" w:colLast="0"/>
      <w:bookmarkEnd w:id="4"/>
    </w:p>
    <w:p w14:paraId="38985E10" w14:textId="77777777" w:rsidR="004B52B9" w:rsidRDefault="004B52B9">
      <w:pPr>
        <w:pStyle w:val="Heading2"/>
        <w:spacing w:before="240" w:after="240"/>
        <w:rPr>
          <w:b/>
        </w:rPr>
      </w:pPr>
      <w:bookmarkStart w:id="5" w:name="_kpwfgityvrua" w:colFirst="0" w:colLast="0"/>
      <w:bookmarkEnd w:id="5"/>
    </w:p>
    <w:p w14:paraId="485D5C49" w14:textId="77777777" w:rsidR="004B52B9" w:rsidRDefault="0075329E">
      <w:pPr>
        <w:pStyle w:val="Heading2"/>
        <w:spacing w:before="240" w:after="240"/>
        <w:rPr>
          <w:b/>
        </w:rPr>
      </w:pPr>
      <w:bookmarkStart w:id="6" w:name="_imcmy3ulvxjd" w:colFirst="0" w:colLast="0"/>
      <w:bookmarkEnd w:id="6"/>
      <w:r>
        <w:rPr>
          <w:b/>
        </w:rPr>
        <w:t>Asserting Right to Food in the time of Pandemic and Disasters</w:t>
      </w:r>
    </w:p>
    <w:p w14:paraId="40AA3981" w14:textId="77777777" w:rsidR="004B52B9" w:rsidRDefault="004B52B9">
      <w:pPr>
        <w:spacing w:before="240" w:after="240"/>
        <w:rPr>
          <w:sz w:val="24"/>
          <w:szCs w:val="24"/>
        </w:rPr>
      </w:pPr>
    </w:p>
    <w:p w14:paraId="5D6CF3A9" w14:textId="77777777" w:rsidR="004B52B9" w:rsidRDefault="0075329E">
      <w:pPr>
        <w:spacing w:before="240" w:after="240"/>
        <w:rPr>
          <w:sz w:val="24"/>
          <w:szCs w:val="24"/>
        </w:rPr>
      </w:pPr>
      <w:r>
        <w:rPr>
          <w:sz w:val="24"/>
          <w:szCs w:val="24"/>
        </w:rPr>
        <w:t>IW play a key role in ensuring food for the families and the communities. Food has constantly</w:t>
      </w:r>
      <w:r>
        <w:rPr>
          <w:sz w:val="24"/>
          <w:szCs w:val="24"/>
        </w:rPr>
        <w:t xml:space="preserve"> been a difficult resource to access among indigenous communities as they face corporate-led development programs such as mining, </w:t>
      </w:r>
      <w:proofErr w:type="gramStart"/>
      <w:r>
        <w:rPr>
          <w:sz w:val="24"/>
          <w:szCs w:val="24"/>
        </w:rPr>
        <w:t>tourism</w:t>
      </w:r>
      <w:proofErr w:type="gramEnd"/>
      <w:r>
        <w:rPr>
          <w:sz w:val="24"/>
          <w:szCs w:val="24"/>
        </w:rPr>
        <w:t xml:space="preserve"> and plantations, affecting vital sources such as land, forests and waters.</w:t>
      </w:r>
    </w:p>
    <w:p w14:paraId="37CC8684" w14:textId="77777777" w:rsidR="004B52B9" w:rsidRDefault="0075329E">
      <w:pPr>
        <w:spacing w:before="240" w:after="240"/>
        <w:rPr>
          <w:sz w:val="24"/>
          <w:szCs w:val="24"/>
        </w:rPr>
      </w:pPr>
      <w:r>
        <w:rPr>
          <w:sz w:val="24"/>
          <w:szCs w:val="24"/>
        </w:rPr>
        <w:t>The pandemic has exacerbated food insecurit</w:t>
      </w:r>
      <w:r>
        <w:rPr>
          <w:sz w:val="24"/>
          <w:szCs w:val="24"/>
        </w:rPr>
        <w:t xml:space="preserve">y among indigenous communities. With the implementation of COVID-19 lockdown, IW had less access to their farms and forests. In the case of the </w:t>
      </w:r>
      <w:proofErr w:type="spellStart"/>
      <w:r>
        <w:rPr>
          <w:sz w:val="24"/>
          <w:szCs w:val="24"/>
        </w:rPr>
        <w:t>T’boli</w:t>
      </w:r>
      <w:proofErr w:type="spellEnd"/>
      <w:r>
        <w:rPr>
          <w:sz w:val="24"/>
          <w:szCs w:val="24"/>
        </w:rPr>
        <w:t xml:space="preserve"> Manobo women in Lake Sebu, South Cotabato, the DENR issued an Integrated Forest Management Agreement to a</w:t>
      </w:r>
      <w:r>
        <w:rPr>
          <w:sz w:val="24"/>
          <w:szCs w:val="24"/>
        </w:rPr>
        <w:t xml:space="preserve"> coffee plantation company over their AD. During the lockdown, the private guards barred the IW from planting and harvesting their farms. This is the same community where its </w:t>
      </w:r>
      <w:hyperlink r:id="rId23">
        <w:r>
          <w:rPr>
            <w:color w:val="1155CC"/>
            <w:sz w:val="24"/>
            <w:szCs w:val="24"/>
            <w:u w:val="single"/>
          </w:rPr>
          <w:t>tribal chieftain, along with 7 other indigenous men were killed in 2017 by the military</w:t>
        </w:r>
      </w:hyperlink>
      <w:r>
        <w:rPr>
          <w:sz w:val="24"/>
          <w:szCs w:val="24"/>
        </w:rPr>
        <w:t>, alleging that the 8 farmers were armed rebels.</w:t>
      </w:r>
    </w:p>
    <w:p w14:paraId="3C5153EA" w14:textId="77777777" w:rsidR="004B52B9" w:rsidRDefault="0075329E">
      <w:pPr>
        <w:spacing w:before="240" w:after="240"/>
        <w:rPr>
          <w:sz w:val="24"/>
          <w:szCs w:val="24"/>
        </w:rPr>
      </w:pPr>
      <w:r>
        <w:rPr>
          <w:sz w:val="24"/>
          <w:szCs w:val="24"/>
        </w:rPr>
        <w:t>In another far-flung indigenous vi</w:t>
      </w:r>
      <w:r>
        <w:rPr>
          <w:sz w:val="24"/>
          <w:szCs w:val="24"/>
        </w:rPr>
        <w:t xml:space="preserve">llage in </w:t>
      </w:r>
      <w:proofErr w:type="spellStart"/>
      <w:r>
        <w:rPr>
          <w:sz w:val="24"/>
          <w:szCs w:val="24"/>
        </w:rPr>
        <w:t>Agusan</w:t>
      </w:r>
      <w:proofErr w:type="spellEnd"/>
      <w:r>
        <w:rPr>
          <w:sz w:val="24"/>
          <w:szCs w:val="24"/>
        </w:rPr>
        <w:t xml:space="preserve"> del Norte province, a </w:t>
      </w:r>
      <w:proofErr w:type="spellStart"/>
      <w:r>
        <w:rPr>
          <w:sz w:val="24"/>
          <w:szCs w:val="24"/>
        </w:rPr>
        <w:t>Mamanwa</w:t>
      </w:r>
      <w:proofErr w:type="spellEnd"/>
      <w:r>
        <w:rPr>
          <w:sz w:val="24"/>
          <w:szCs w:val="24"/>
        </w:rPr>
        <w:t xml:space="preserve"> IW leader braved COVID-19, as well as the military-led lockdown, and distributed relief packs to indigenous </w:t>
      </w:r>
      <w:proofErr w:type="gramStart"/>
      <w:r>
        <w:rPr>
          <w:sz w:val="24"/>
          <w:szCs w:val="24"/>
        </w:rPr>
        <w:t>families[</w:t>
      </w:r>
      <w:proofErr w:type="gramEnd"/>
      <w:r>
        <w:rPr>
          <w:sz w:val="24"/>
          <w:szCs w:val="24"/>
        </w:rPr>
        <w:t>1]. Days after, she was accused by the military of distributing “supplies” to rebels in the m</w:t>
      </w:r>
      <w:r>
        <w:rPr>
          <w:sz w:val="24"/>
          <w:szCs w:val="24"/>
        </w:rPr>
        <w:t xml:space="preserve">ountains. She found out that her name was included in the military watch list and since then, she has been under constant </w:t>
      </w:r>
      <w:proofErr w:type="gramStart"/>
      <w:r>
        <w:rPr>
          <w:sz w:val="24"/>
          <w:szCs w:val="24"/>
        </w:rPr>
        <w:t>surveillance[</w:t>
      </w:r>
      <w:proofErr w:type="gramEnd"/>
      <w:r>
        <w:rPr>
          <w:sz w:val="24"/>
          <w:szCs w:val="24"/>
        </w:rPr>
        <w:t xml:space="preserve">2]. </w:t>
      </w:r>
    </w:p>
    <w:p w14:paraId="170D094F" w14:textId="77777777" w:rsidR="004B52B9" w:rsidRDefault="0075329E">
      <w:pPr>
        <w:spacing w:before="240" w:after="240"/>
        <w:rPr>
          <w:sz w:val="24"/>
          <w:szCs w:val="24"/>
        </w:rPr>
      </w:pPr>
      <w:r>
        <w:rPr>
          <w:sz w:val="24"/>
          <w:szCs w:val="24"/>
        </w:rPr>
        <w:t xml:space="preserve">This has been a common experience among IW during the lockdown. An </w:t>
      </w:r>
      <w:proofErr w:type="spellStart"/>
      <w:r>
        <w:rPr>
          <w:sz w:val="24"/>
          <w:szCs w:val="24"/>
        </w:rPr>
        <w:t>Ilongot</w:t>
      </w:r>
      <w:proofErr w:type="spellEnd"/>
      <w:r>
        <w:rPr>
          <w:sz w:val="24"/>
          <w:szCs w:val="24"/>
        </w:rPr>
        <w:t xml:space="preserve"> indigenous woman leader in Aurora provinc</w:t>
      </w:r>
      <w:r>
        <w:rPr>
          <w:sz w:val="24"/>
          <w:szCs w:val="24"/>
        </w:rPr>
        <w:t xml:space="preserve">e was visited by the military after a relief distribution, with the same accusation – that of providing supplies to rebels. She then refused to take on more relief, afraid of the military </w:t>
      </w:r>
      <w:proofErr w:type="gramStart"/>
      <w:r>
        <w:rPr>
          <w:sz w:val="24"/>
          <w:szCs w:val="24"/>
        </w:rPr>
        <w:t>attention[</w:t>
      </w:r>
      <w:proofErr w:type="gramEnd"/>
      <w:r>
        <w:rPr>
          <w:sz w:val="24"/>
          <w:szCs w:val="24"/>
        </w:rPr>
        <w:t>3].</w:t>
      </w:r>
    </w:p>
    <w:p w14:paraId="6A2AD23F" w14:textId="77777777" w:rsidR="004B52B9" w:rsidRDefault="0075329E">
      <w:pPr>
        <w:spacing w:before="240" w:after="240"/>
        <w:rPr>
          <w:sz w:val="24"/>
          <w:szCs w:val="24"/>
        </w:rPr>
      </w:pPr>
      <w:r>
        <w:rPr>
          <w:sz w:val="24"/>
          <w:szCs w:val="24"/>
        </w:rPr>
        <w:t xml:space="preserve">During typhoons, indigenous communities are made more </w:t>
      </w:r>
      <w:r>
        <w:rPr>
          <w:sz w:val="24"/>
          <w:szCs w:val="24"/>
        </w:rPr>
        <w:t xml:space="preserve">vulnerable especially those who are living in areas with devastated resources. The </w:t>
      </w:r>
      <w:hyperlink r:id="rId24">
        <w:proofErr w:type="spellStart"/>
        <w:r>
          <w:rPr>
            <w:color w:val="1155CC"/>
            <w:sz w:val="24"/>
            <w:szCs w:val="24"/>
            <w:u w:val="single"/>
          </w:rPr>
          <w:t>Teduray</w:t>
        </w:r>
        <w:proofErr w:type="spellEnd"/>
        <w:r>
          <w:rPr>
            <w:color w:val="1155CC"/>
            <w:sz w:val="24"/>
            <w:szCs w:val="24"/>
            <w:u w:val="single"/>
          </w:rPr>
          <w:t xml:space="preserve"> community</w:t>
        </w:r>
      </w:hyperlink>
      <w:r>
        <w:rPr>
          <w:sz w:val="24"/>
          <w:szCs w:val="24"/>
        </w:rPr>
        <w:t xml:space="preserve"> living in the coastal area was forced to relocate to the mountainside in 2020 because of a resort </w:t>
      </w:r>
      <w:r>
        <w:rPr>
          <w:sz w:val="24"/>
          <w:szCs w:val="24"/>
        </w:rPr>
        <w:lastRenderedPageBreak/>
        <w:t xml:space="preserve">development project by a local politician. In October 2022, they suffered heavily during Typhoon </w:t>
      </w:r>
      <w:proofErr w:type="spellStart"/>
      <w:r>
        <w:rPr>
          <w:sz w:val="24"/>
          <w:szCs w:val="24"/>
        </w:rPr>
        <w:t>Nalgae</w:t>
      </w:r>
      <w:proofErr w:type="spellEnd"/>
      <w:r>
        <w:rPr>
          <w:sz w:val="24"/>
          <w:szCs w:val="24"/>
        </w:rPr>
        <w:t>. More than a dozen died in the flash f</w:t>
      </w:r>
      <w:r>
        <w:rPr>
          <w:sz w:val="24"/>
          <w:szCs w:val="24"/>
        </w:rPr>
        <w:t xml:space="preserve">lood, and hundreds of houses were destroyed. A </w:t>
      </w:r>
      <w:proofErr w:type="spellStart"/>
      <w:r>
        <w:rPr>
          <w:sz w:val="24"/>
          <w:szCs w:val="24"/>
        </w:rPr>
        <w:t>Teduray</w:t>
      </w:r>
      <w:proofErr w:type="spellEnd"/>
      <w:r>
        <w:rPr>
          <w:sz w:val="24"/>
          <w:szCs w:val="24"/>
        </w:rPr>
        <w:t xml:space="preserve"> woman leader, whose relatives were among those who died, spoke out against the forced relocation to the flash flood-prone area, and the lack of response of the NCIP when they submitted a petition in 20</w:t>
      </w:r>
      <w:r>
        <w:rPr>
          <w:sz w:val="24"/>
          <w:szCs w:val="24"/>
        </w:rPr>
        <w:t xml:space="preserve">20 to stop the relocation. She was also among the few voices who spoke about the inadequate medical attention given to the </w:t>
      </w:r>
      <w:proofErr w:type="spellStart"/>
      <w:r>
        <w:rPr>
          <w:sz w:val="24"/>
          <w:szCs w:val="24"/>
        </w:rPr>
        <w:t>Tedurays</w:t>
      </w:r>
      <w:proofErr w:type="spellEnd"/>
      <w:r>
        <w:rPr>
          <w:sz w:val="24"/>
          <w:szCs w:val="24"/>
        </w:rPr>
        <w:t>, and the lack of relief and relocation support by the local government to the affected families. This led to harassment thro</w:t>
      </w:r>
      <w:r>
        <w:rPr>
          <w:sz w:val="24"/>
          <w:szCs w:val="24"/>
        </w:rPr>
        <w:t>ugh text messages, surveillance, and direct threats on Facebook posts, against her.</w:t>
      </w:r>
    </w:p>
    <w:p w14:paraId="07D09DB9" w14:textId="77777777" w:rsidR="004B52B9" w:rsidRDefault="0075329E">
      <w:pPr>
        <w:spacing w:before="240" w:after="240"/>
        <w:rPr>
          <w:sz w:val="24"/>
          <w:szCs w:val="24"/>
        </w:rPr>
      </w:pPr>
      <w:r>
        <w:rPr>
          <w:sz w:val="24"/>
          <w:szCs w:val="24"/>
        </w:rPr>
        <w:t>The geographical isolation of the indigenous communities has made them invisible and marginalized, isolating them even from the support programs of the government. The lack</w:t>
      </w:r>
      <w:r>
        <w:rPr>
          <w:sz w:val="24"/>
          <w:szCs w:val="24"/>
        </w:rPr>
        <w:t xml:space="preserve"> of state presence in and assistance to the communities, especially in the time of pandemic and disasters, is a clear reneging of State obligations as stipulated in Article 12 of CEDAW.</w:t>
      </w:r>
    </w:p>
    <w:p w14:paraId="693F65B9" w14:textId="77777777" w:rsidR="004B52B9" w:rsidRDefault="0075329E">
      <w:pPr>
        <w:spacing w:before="240" w:after="240"/>
        <w:rPr>
          <w:sz w:val="24"/>
          <w:szCs w:val="24"/>
        </w:rPr>
      </w:pPr>
      <w:r>
        <w:rPr>
          <w:sz w:val="24"/>
          <w:szCs w:val="24"/>
        </w:rPr>
        <w:t>The assertion of IWHRDs to break this isolation and invisibility and s</w:t>
      </w:r>
      <w:r>
        <w:rPr>
          <w:sz w:val="24"/>
          <w:szCs w:val="24"/>
        </w:rPr>
        <w:t>eek state accountability led to direct attacks and harassment against them.</w:t>
      </w:r>
    </w:p>
    <w:p w14:paraId="402E47CB" w14:textId="77777777" w:rsidR="004B52B9" w:rsidRDefault="004B52B9"/>
    <w:p w14:paraId="4A850B91" w14:textId="77777777" w:rsidR="004B52B9" w:rsidRDefault="004B52B9"/>
    <w:p w14:paraId="6D1984D4" w14:textId="77777777" w:rsidR="004B52B9" w:rsidRDefault="004B52B9"/>
    <w:p w14:paraId="070999FA" w14:textId="77777777" w:rsidR="004B52B9" w:rsidRDefault="004B52B9"/>
    <w:p w14:paraId="1664C119" w14:textId="77777777" w:rsidR="004B52B9" w:rsidRDefault="0075329E">
      <w:pPr>
        <w:rPr>
          <w:sz w:val="24"/>
          <w:szCs w:val="24"/>
        </w:rPr>
      </w:pPr>
      <w:r>
        <w:pict w14:anchorId="125D6F28">
          <v:rect id="_x0000_i1025" style="width:0;height:1.5pt" o:hralign="center" o:hrstd="t" o:hr="t" fillcolor="#a0a0a0" stroked="f"/>
        </w:pict>
      </w:r>
    </w:p>
    <w:p w14:paraId="3250952E" w14:textId="77777777" w:rsidR="004B52B9" w:rsidRDefault="0075329E">
      <w:pPr>
        <w:spacing w:before="240" w:after="240"/>
        <w:rPr>
          <w:sz w:val="20"/>
          <w:szCs w:val="20"/>
        </w:rPr>
      </w:pPr>
      <w:r>
        <w:rPr>
          <w:rFonts w:ascii="Calibri" w:eastAsia="Calibri" w:hAnsi="Calibri" w:cs="Calibri"/>
          <w:sz w:val="20"/>
          <w:szCs w:val="20"/>
        </w:rPr>
        <w:t>[1]</w:t>
      </w:r>
      <w:r>
        <w:rPr>
          <w:sz w:val="20"/>
          <w:szCs w:val="20"/>
        </w:rPr>
        <w:t xml:space="preserve"> Relief distribution is part of LILAK’s </w:t>
      </w:r>
      <w:proofErr w:type="spellStart"/>
      <w:proofErr w:type="gramStart"/>
      <w:r>
        <w:rPr>
          <w:sz w:val="20"/>
          <w:szCs w:val="20"/>
        </w:rPr>
        <w:t>BABAYEnihan</w:t>
      </w:r>
      <w:proofErr w:type="spellEnd"/>
      <w:r>
        <w:rPr>
          <w:sz w:val="20"/>
          <w:szCs w:val="20"/>
        </w:rPr>
        <w:t xml:space="preserve">  program</w:t>
      </w:r>
      <w:proofErr w:type="gramEnd"/>
      <w:r>
        <w:rPr>
          <w:sz w:val="20"/>
          <w:szCs w:val="20"/>
        </w:rPr>
        <w:t xml:space="preserve"> which started during the COVID-19 lockdown, fundraising for immediate support for indigenous women and their families, and tapping into the community women leaders for distribution.</w:t>
      </w:r>
    </w:p>
    <w:p w14:paraId="5877C8EC" w14:textId="77777777" w:rsidR="004B52B9" w:rsidRDefault="0075329E">
      <w:pPr>
        <w:spacing w:before="240" w:after="240"/>
        <w:rPr>
          <w:sz w:val="20"/>
          <w:szCs w:val="20"/>
        </w:rPr>
      </w:pPr>
      <w:r>
        <w:rPr>
          <w:rFonts w:ascii="Calibri" w:eastAsia="Calibri" w:hAnsi="Calibri" w:cs="Calibri"/>
          <w:sz w:val="20"/>
          <w:szCs w:val="20"/>
        </w:rPr>
        <w:t>[2]</w:t>
      </w:r>
      <w:r>
        <w:rPr>
          <w:sz w:val="20"/>
          <w:szCs w:val="20"/>
        </w:rPr>
        <w:t xml:space="preserve"> Interview</w:t>
      </w:r>
      <w:r>
        <w:rPr>
          <w:sz w:val="20"/>
          <w:szCs w:val="20"/>
        </w:rPr>
        <w:t xml:space="preserve"> with </w:t>
      </w:r>
      <w:proofErr w:type="spellStart"/>
      <w:r>
        <w:rPr>
          <w:sz w:val="20"/>
          <w:szCs w:val="20"/>
        </w:rPr>
        <w:t>Mamanwa</w:t>
      </w:r>
      <w:proofErr w:type="spellEnd"/>
      <w:r>
        <w:rPr>
          <w:sz w:val="20"/>
          <w:szCs w:val="20"/>
        </w:rPr>
        <w:t xml:space="preserve"> woman leader by </w:t>
      </w:r>
      <w:proofErr w:type="spellStart"/>
      <w:r>
        <w:rPr>
          <w:sz w:val="20"/>
          <w:szCs w:val="20"/>
        </w:rPr>
        <w:t>judy</w:t>
      </w:r>
      <w:proofErr w:type="spellEnd"/>
      <w:r>
        <w:rPr>
          <w:sz w:val="20"/>
          <w:szCs w:val="20"/>
        </w:rPr>
        <w:t xml:space="preserve"> a. </w:t>
      </w:r>
      <w:proofErr w:type="spellStart"/>
      <w:r>
        <w:rPr>
          <w:sz w:val="20"/>
          <w:szCs w:val="20"/>
        </w:rPr>
        <w:t>pasimio</w:t>
      </w:r>
      <w:proofErr w:type="spellEnd"/>
      <w:r>
        <w:rPr>
          <w:sz w:val="20"/>
          <w:szCs w:val="20"/>
        </w:rPr>
        <w:t>, LILAK / March 2020.</w:t>
      </w:r>
    </w:p>
    <w:p w14:paraId="0663DCF4" w14:textId="77777777" w:rsidR="004B52B9" w:rsidRDefault="0075329E">
      <w:pPr>
        <w:spacing w:before="240" w:after="240"/>
        <w:rPr>
          <w:sz w:val="20"/>
          <w:szCs w:val="20"/>
        </w:rPr>
      </w:pPr>
      <w:r>
        <w:rPr>
          <w:rFonts w:ascii="Calibri" w:eastAsia="Calibri" w:hAnsi="Calibri" w:cs="Calibri"/>
          <w:sz w:val="20"/>
          <w:szCs w:val="20"/>
        </w:rPr>
        <w:t>[3]</w:t>
      </w:r>
      <w:r>
        <w:rPr>
          <w:sz w:val="20"/>
          <w:szCs w:val="20"/>
        </w:rPr>
        <w:t xml:space="preserve"> Interview with an </w:t>
      </w:r>
      <w:proofErr w:type="spellStart"/>
      <w:r>
        <w:rPr>
          <w:sz w:val="20"/>
          <w:szCs w:val="20"/>
        </w:rPr>
        <w:t>Ilongot</w:t>
      </w:r>
      <w:proofErr w:type="spellEnd"/>
      <w:r>
        <w:rPr>
          <w:sz w:val="20"/>
          <w:szCs w:val="20"/>
        </w:rPr>
        <w:t xml:space="preserve"> woman leader by Abby </w:t>
      </w:r>
      <w:proofErr w:type="spellStart"/>
      <w:r>
        <w:rPr>
          <w:sz w:val="20"/>
          <w:szCs w:val="20"/>
        </w:rPr>
        <w:t>Dupale</w:t>
      </w:r>
      <w:proofErr w:type="spellEnd"/>
      <w:r>
        <w:rPr>
          <w:sz w:val="20"/>
          <w:szCs w:val="20"/>
        </w:rPr>
        <w:t>, LILAK / April 2020.</w:t>
      </w:r>
    </w:p>
    <w:p w14:paraId="4020409A" w14:textId="77777777" w:rsidR="004B52B9" w:rsidRDefault="004B52B9">
      <w:pPr>
        <w:spacing w:before="240" w:after="240"/>
      </w:pPr>
    </w:p>
    <w:p w14:paraId="305B241F" w14:textId="77777777" w:rsidR="004B52B9" w:rsidRDefault="004B52B9">
      <w:pPr>
        <w:spacing w:before="240" w:after="240"/>
      </w:pPr>
    </w:p>
    <w:p w14:paraId="33857A60" w14:textId="77777777" w:rsidR="004B52B9" w:rsidRDefault="004B52B9">
      <w:pPr>
        <w:pStyle w:val="Heading2"/>
        <w:spacing w:before="240" w:after="240"/>
        <w:rPr>
          <w:b/>
        </w:rPr>
        <w:sectPr w:rsidR="004B52B9">
          <w:footerReference w:type="default" r:id="rId25"/>
          <w:pgSz w:w="12240" w:h="15840"/>
          <w:pgMar w:top="1440" w:right="1440" w:bottom="1440" w:left="1440" w:header="720" w:footer="720" w:gutter="0"/>
          <w:pgNumType w:start="1"/>
          <w:cols w:space="720"/>
        </w:sectPr>
      </w:pPr>
      <w:bookmarkStart w:id="7" w:name="_fgzozudiseli" w:colFirst="0" w:colLast="0"/>
      <w:bookmarkEnd w:id="7"/>
    </w:p>
    <w:p w14:paraId="22B488CC" w14:textId="77777777" w:rsidR="004B52B9" w:rsidRDefault="0075329E">
      <w:pPr>
        <w:pStyle w:val="Heading2"/>
        <w:spacing w:before="240" w:after="240"/>
        <w:rPr>
          <w:b/>
        </w:rPr>
      </w:pPr>
      <w:bookmarkStart w:id="8" w:name="_p7b6fd92dqyx" w:colFirst="0" w:colLast="0"/>
      <w:bookmarkEnd w:id="8"/>
      <w:r>
        <w:rPr>
          <w:b/>
        </w:rPr>
        <w:lastRenderedPageBreak/>
        <w:t>The Fight for the Right to Land</w:t>
      </w:r>
    </w:p>
    <w:p w14:paraId="02F0BE60" w14:textId="77777777" w:rsidR="004B52B9" w:rsidRDefault="004B52B9">
      <w:pPr>
        <w:spacing w:before="240" w:after="240"/>
        <w:rPr>
          <w:sz w:val="24"/>
          <w:szCs w:val="24"/>
        </w:rPr>
      </w:pPr>
    </w:p>
    <w:p w14:paraId="68C40831" w14:textId="77777777" w:rsidR="004B52B9" w:rsidRDefault="0075329E">
      <w:pPr>
        <w:spacing w:before="240" w:after="240"/>
        <w:rPr>
          <w:color w:val="FF0000"/>
          <w:sz w:val="24"/>
          <w:szCs w:val="24"/>
        </w:rPr>
      </w:pPr>
      <w:r>
        <w:rPr>
          <w:sz w:val="24"/>
          <w:szCs w:val="24"/>
        </w:rPr>
        <w:t xml:space="preserve">The right of the Indigenous Peoples to their ancestral domains is enshrined in the Philippine Constitution, and RA No. 8371 provides for the State obligation to recognize, </w:t>
      </w:r>
      <w:proofErr w:type="gramStart"/>
      <w:r>
        <w:rPr>
          <w:sz w:val="24"/>
          <w:szCs w:val="24"/>
        </w:rPr>
        <w:t>delineate</w:t>
      </w:r>
      <w:proofErr w:type="gramEnd"/>
      <w:r>
        <w:rPr>
          <w:sz w:val="24"/>
          <w:szCs w:val="24"/>
        </w:rPr>
        <w:t xml:space="preserve"> and ensure the security of the title. However, with the resource conflicts</w:t>
      </w:r>
      <w:r>
        <w:rPr>
          <w:sz w:val="24"/>
          <w:szCs w:val="24"/>
        </w:rPr>
        <w:t xml:space="preserve"> intensifying, the State has been consistently favoring corporate interests over those of the IPs. Mining permits over ADs have been issued and renewed while cases of non-issuance of CADTs are covered up with bureaucratic processes. For IW, whose livelihoo</w:t>
      </w:r>
      <w:r>
        <w:rPr>
          <w:sz w:val="24"/>
          <w:szCs w:val="24"/>
        </w:rPr>
        <w:t xml:space="preserve">d, </w:t>
      </w:r>
      <w:proofErr w:type="gramStart"/>
      <w:r>
        <w:rPr>
          <w:sz w:val="24"/>
          <w:szCs w:val="24"/>
        </w:rPr>
        <w:t>identity</w:t>
      </w:r>
      <w:proofErr w:type="gramEnd"/>
      <w:r>
        <w:rPr>
          <w:sz w:val="24"/>
          <w:szCs w:val="24"/>
        </w:rPr>
        <w:t xml:space="preserve"> and spirituality are based on land, the fight for land has been a struggle for survival. </w:t>
      </w:r>
    </w:p>
    <w:p w14:paraId="437B3D29" w14:textId="77777777" w:rsidR="004B52B9" w:rsidRDefault="0075329E">
      <w:pPr>
        <w:spacing w:before="240" w:after="240"/>
        <w:rPr>
          <w:sz w:val="24"/>
          <w:szCs w:val="24"/>
        </w:rPr>
      </w:pPr>
      <w:r>
        <w:rPr>
          <w:sz w:val="24"/>
          <w:szCs w:val="24"/>
        </w:rPr>
        <w:t xml:space="preserve">In </w:t>
      </w:r>
      <w:proofErr w:type="spellStart"/>
      <w:r>
        <w:rPr>
          <w:sz w:val="24"/>
          <w:szCs w:val="24"/>
        </w:rPr>
        <w:t>Brgy</w:t>
      </w:r>
      <w:proofErr w:type="spellEnd"/>
      <w:r>
        <w:rPr>
          <w:sz w:val="24"/>
          <w:szCs w:val="24"/>
        </w:rPr>
        <w:t xml:space="preserve">. Didipio, </w:t>
      </w:r>
      <w:proofErr w:type="spellStart"/>
      <w:r>
        <w:rPr>
          <w:sz w:val="24"/>
          <w:szCs w:val="24"/>
        </w:rPr>
        <w:t>Kasibu</w:t>
      </w:r>
      <w:proofErr w:type="spellEnd"/>
      <w:r>
        <w:rPr>
          <w:sz w:val="24"/>
          <w:szCs w:val="24"/>
        </w:rPr>
        <w:t>, Nueva Vizcaya, the 25-year mining permit of OGPI already expired in 2019. However, it continued its illegal operations prompting</w:t>
      </w:r>
      <w:r>
        <w:rPr>
          <w:sz w:val="24"/>
          <w:szCs w:val="24"/>
        </w:rPr>
        <w:t xml:space="preserve"> the </w:t>
      </w:r>
      <w:hyperlink r:id="rId26">
        <w:r>
          <w:rPr>
            <w:color w:val="1155CC"/>
            <w:sz w:val="24"/>
            <w:szCs w:val="24"/>
            <w:u w:val="single"/>
          </w:rPr>
          <w:t>Ifugao-</w:t>
        </w:r>
        <w:proofErr w:type="spellStart"/>
        <w:r>
          <w:rPr>
            <w:color w:val="1155CC"/>
            <w:sz w:val="24"/>
            <w:szCs w:val="24"/>
            <w:u w:val="single"/>
          </w:rPr>
          <w:t>Tuwali</w:t>
        </w:r>
        <w:proofErr w:type="spellEnd"/>
        <w:r>
          <w:rPr>
            <w:color w:val="1155CC"/>
            <w:sz w:val="24"/>
            <w:szCs w:val="24"/>
            <w:u w:val="single"/>
          </w:rPr>
          <w:t xml:space="preserve"> IP to put up barricades</w:t>
        </w:r>
      </w:hyperlink>
      <w:r>
        <w:rPr>
          <w:sz w:val="24"/>
          <w:szCs w:val="24"/>
        </w:rPr>
        <w:t xml:space="preserve"> to prevent the entry of OGPI machinery. Several mont</w:t>
      </w:r>
      <w:r>
        <w:rPr>
          <w:sz w:val="24"/>
          <w:szCs w:val="24"/>
        </w:rPr>
        <w:t xml:space="preserve">hs later, at the height of the COVID-19 lockdown, OGPI diesel tankers, escorted by a </w:t>
      </w:r>
      <w:proofErr w:type="gramStart"/>
      <w:r>
        <w:rPr>
          <w:sz w:val="24"/>
          <w:szCs w:val="24"/>
        </w:rPr>
        <w:t>hundred armed</w:t>
      </w:r>
      <w:proofErr w:type="gramEnd"/>
      <w:r>
        <w:rPr>
          <w:sz w:val="24"/>
          <w:szCs w:val="24"/>
        </w:rPr>
        <w:t xml:space="preserve"> policemen, broke through the barricade. This caused serious injuries and trauma to the dozens of IW who were guarding the barricades, and led to the</w:t>
      </w:r>
      <w:hyperlink r:id="rId27">
        <w:r>
          <w:rPr>
            <w:sz w:val="24"/>
            <w:szCs w:val="24"/>
          </w:rPr>
          <w:t xml:space="preserve"> </w:t>
        </w:r>
      </w:hyperlink>
      <w:hyperlink r:id="rId28">
        <w:r>
          <w:rPr>
            <w:color w:val="1155CC"/>
            <w:sz w:val="24"/>
            <w:szCs w:val="24"/>
            <w:u w:val="single"/>
          </w:rPr>
          <w:t>arrests an</w:t>
        </w:r>
        <w:r>
          <w:rPr>
            <w:color w:val="1155CC"/>
            <w:sz w:val="24"/>
            <w:szCs w:val="24"/>
            <w:u w:val="single"/>
          </w:rPr>
          <w:t>d charges</w:t>
        </w:r>
      </w:hyperlink>
      <w:r>
        <w:rPr>
          <w:sz w:val="24"/>
          <w:szCs w:val="24"/>
        </w:rPr>
        <w:t xml:space="preserve"> filed against the village head and 13 IW. Even the </w:t>
      </w:r>
      <w:hyperlink r:id="rId29">
        <w:r>
          <w:rPr>
            <w:color w:val="1155CC"/>
            <w:sz w:val="24"/>
            <w:szCs w:val="24"/>
            <w:u w:val="single"/>
          </w:rPr>
          <w:t>OHCHR expressed serious concern</w:t>
        </w:r>
      </w:hyperlink>
      <w:r>
        <w:rPr>
          <w:sz w:val="24"/>
          <w:szCs w:val="24"/>
        </w:rPr>
        <w:t xml:space="preserve"> over the incident, urging the Philippine government “not to discriminate against indigenous peoples in </w:t>
      </w:r>
      <w:proofErr w:type="spellStart"/>
      <w:r>
        <w:rPr>
          <w:sz w:val="24"/>
          <w:szCs w:val="24"/>
        </w:rPr>
        <w:t>favour</w:t>
      </w:r>
      <w:proofErr w:type="spellEnd"/>
      <w:r>
        <w:rPr>
          <w:sz w:val="24"/>
          <w:szCs w:val="24"/>
        </w:rPr>
        <w:t xml:space="preserve"> of business interests.”</w:t>
      </w:r>
    </w:p>
    <w:p w14:paraId="69E613F3" w14:textId="77777777" w:rsidR="004B52B9" w:rsidRDefault="0075329E">
      <w:pPr>
        <w:spacing w:before="240" w:after="240"/>
        <w:rPr>
          <w:b/>
        </w:rPr>
        <w:sectPr w:rsidR="004B52B9">
          <w:pgSz w:w="12240" w:h="15840"/>
          <w:pgMar w:top="1440" w:right="1440" w:bottom="1440" w:left="1440" w:header="720" w:footer="720" w:gutter="0"/>
          <w:cols w:space="720"/>
        </w:sectPr>
      </w:pPr>
      <w:r>
        <w:rPr>
          <w:sz w:val="24"/>
          <w:szCs w:val="24"/>
        </w:rPr>
        <w:t xml:space="preserve">The </w:t>
      </w:r>
      <w:proofErr w:type="spellStart"/>
      <w:r>
        <w:rPr>
          <w:sz w:val="24"/>
          <w:szCs w:val="24"/>
        </w:rPr>
        <w:t>Teduray</w:t>
      </w:r>
      <w:proofErr w:type="spellEnd"/>
      <w:r>
        <w:rPr>
          <w:sz w:val="24"/>
          <w:szCs w:val="24"/>
        </w:rPr>
        <w:t xml:space="preserve"> and </w:t>
      </w:r>
      <w:proofErr w:type="spellStart"/>
      <w:r>
        <w:rPr>
          <w:sz w:val="24"/>
          <w:szCs w:val="24"/>
        </w:rPr>
        <w:t>Lambangian</w:t>
      </w:r>
      <w:proofErr w:type="spellEnd"/>
      <w:r>
        <w:rPr>
          <w:sz w:val="24"/>
          <w:szCs w:val="24"/>
        </w:rPr>
        <w:t xml:space="preserve"> communities, despite more t</w:t>
      </w:r>
      <w:r>
        <w:rPr>
          <w:sz w:val="24"/>
          <w:szCs w:val="24"/>
        </w:rPr>
        <w:t>han a decade of application, had not yet been issued with CADT. Their AD had subsequently been included in the BARMM territory. The current</w:t>
      </w:r>
      <w:hyperlink r:id="rId30">
        <w:r>
          <w:rPr>
            <w:sz w:val="24"/>
            <w:szCs w:val="24"/>
          </w:rPr>
          <w:t xml:space="preserve"> </w:t>
        </w:r>
      </w:hyperlink>
      <w:hyperlink r:id="rId31">
        <w:r>
          <w:rPr>
            <w:color w:val="1155CC"/>
            <w:sz w:val="24"/>
            <w:szCs w:val="24"/>
            <w:u w:val="single"/>
          </w:rPr>
          <w:t>BARMM government puts up obstacles</w:t>
        </w:r>
      </w:hyperlink>
      <w:r>
        <w:rPr>
          <w:sz w:val="24"/>
          <w:szCs w:val="24"/>
        </w:rPr>
        <w:t xml:space="preserve"> for the </w:t>
      </w:r>
      <w:r>
        <w:rPr>
          <w:sz w:val="24"/>
          <w:szCs w:val="24"/>
        </w:rPr>
        <w:t xml:space="preserve">legal process to proceed; while the NCIP lacks the political will to follow through on its obligation. Meanwhile, there is the proliferation of speculators for mining investments, </w:t>
      </w:r>
      <w:proofErr w:type="gramStart"/>
      <w:r>
        <w:rPr>
          <w:sz w:val="24"/>
          <w:szCs w:val="24"/>
        </w:rPr>
        <w:t>plantations</w:t>
      </w:r>
      <w:proofErr w:type="gramEnd"/>
      <w:r>
        <w:rPr>
          <w:sz w:val="24"/>
          <w:szCs w:val="24"/>
        </w:rPr>
        <w:t xml:space="preserve"> and other development projects. IP communities are driven away f</w:t>
      </w:r>
      <w:r>
        <w:rPr>
          <w:sz w:val="24"/>
          <w:szCs w:val="24"/>
        </w:rPr>
        <w:t>rom their lands. During the height of the COVID-19 lockdown, IPs were displaced and were forced to stay in makeshift shelters, away from their farms, with their livestock stolen, and limited access to water and food. The resource conflict has caused the li</w:t>
      </w:r>
      <w:r>
        <w:rPr>
          <w:sz w:val="24"/>
          <w:szCs w:val="24"/>
        </w:rPr>
        <w:t>ves of IPs.</w:t>
      </w:r>
      <w:hyperlink r:id="rId32" w:anchor="ixzz8BePFmLYU">
        <w:r>
          <w:rPr>
            <w:sz w:val="24"/>
            <w:szCs w:val="24"/>
          </w:rPr>
          <w:t xml:space="preserve"> </w:t>
        </w:r>
      </w:hyperlink>
      <w:hyperlink r:id="rId33" w:anchor="ixzz8BePFmLYU">
        <w:r>
          <w:rPr>
            <w:color w:val="1155CC"/>
            <w:sz w:val="24"/>
            <w:szCs w:val="24"/>
            <w:u w:val="single"/>
          </w:rPr>
          <w:t xml:space="preserve">Jocelyn Samar </w:t>
        </w:r>
        <w:proofErr w:type="spellStart"/>
        <w:r>
          <w:rPr>
            <w:color w:val="1155CC"/>
            <w:sz w:val="24"/>
            <w:szCs w:val="24"/>
            <w:u w:val="single"/>
          </w:rPr>
          <w:t>Palao</w:t>
        </w:r>
        <w:proofErr w:type="spellEnd"/>
      </w:hyperlink>
      <w:r>
        <w:rPr>
          <w:sz w:val="24"/>
          <w:szCs w:val="24"/>
        </w:rPr>
        <w:t xml:space="preserve">, a </w:t>
      </w:r>
      <w:proofErr w:type="spellStart"/>
      <w:r>
        <w:rPr>
          <w:sz w:val="24"/>
          <w:szCs w:val="24"/>
        </w:rPr>
        <w:t>Teduray</w:t>
      </w:r>
      <w:proofErr w:type="spellEnd"/>
      <w:r>
        <w:rPr>
          <w:sz w:val="24"/>
          <w:szCs w:val="24"/>
        </w:rPr>
        <w:t xml:space="preserve"> woman leader, was shot dead in December 2022. She served as the head of the AD division of the Ministry of Indigenous Peoples Affairs. </w:t>
      </w:r>
      <w:proofErr w:type="spellStart"/>
      <w:r>
        <w:rPr>
          <w:sz w:val="24"/>
          <w:szCs w:val="24"/>
        </w:rPr>
        <w:t>Inged</w:t>
      </w:r>
      <w:proofErr w:type="spellEnd"/>
      <w:r>
        <w:rPr>
          <w:sz w:val="24"/>
          <w:szCs w:val="24"/>
        </w:rPr>
        <w:t xml:space="preserve"> </w:t>
      </w:r>
      <w:proofErr w:type="spellStart"/>
      <w:r>
        <w:rPr>
          <w:sz w:val="24"/>
          <w:szCs w:val="24"/>
        </w:rPr>
        <w:t>Fintay</w:t>
      </w:r>
      <w:r>
        <w:rPr>
          <w:sz w:val="24"/>
          <w:szCs w:val="24"/>
        </w:rPr>
        <w:t>lan</w:t>
      </w:r>
      <w:proofErr w:type="spellEnd"/>
      <w:r>
        <w:rPr>
          <w:sz w:val="24"/>
          <w:szCs w:val="24"/>
        </w:rPr>
        <w:t xml:space="preserve">, a group of IW, serves as </w:t>
      </w:r>
      <w:proofErr w:type="spellStart"/>
      <w:r>
        <w:rPr>
          <w:sz w:val="24"/>
          <w:szCs w:val="24"/>
        </w:rPr>
        <w:t>documentors</w:t>
      </w:r>
      <w:proofErr w:type="spellEnd"/>
      <w:r>
        <w:rPr>
          <w:sz w:val="24"/>
          <w:szCs w:val="24"/>
        </w:rPr>
        <w:t xml:space="preserve"> of killings and women human rights violations within their communities, during militarization and displacements. They submit these documents to different government agencies and human </w:t>
      </w:r>
      <w:proofErr w:type="gramStart"/>
      <w:r>
        <w:rPr>
          <w:sz w:val="24"/>
          <w:szCs w:val="24"/>
        </w:rPr>
        <w:t>rights organizations, and</w:t>
      </w:r>
      <w:proofErr w:type="gramEnd"/>
      <w:r>
        <w:rPr>
          <w:sz w:val="24"/>
          <w:szCs w:val="24"/>
        </w:rPr>
        <w:t xml:space="preserve"> faci</w:t>
      </w:r>
      <w:r>
        <w:rPr>
          <w:sz w:val="24"/>
          <w:szCs w:val="24"/>
        </w:rPr>
        <w:t>litate the seeking of justice. Because of this, they themselves are targets of threats and harassment. One of the IW leaders had to seek refuge, leaving behind her family, because of the increasing threats and surveillance.</w:t>
      </w:r>
    </w:p>
    <w:p w14:paraId="3A984B1D" w14:textId="77777777" w:rsidR="004B52B9" w:rsidRDefault="0075329E">
      <w:pPr>
        <w:pStyle w:val="Heading2"/>
        <w:spacing w:before="240" w:after="240"/>
        <w:rPr>
          <w:b/>
        </w:rPr>
      </w:pPr>
      <w:bookmarkStart w:id="9" w:name="_qmvjhvvz67t3" w:colFirst="0" w:colLast="0"/>
      <w:bookmarkEnd w:id="9"/>
      <w:r>
        <w:rPr>
          <w:b/>
        </w:rPr>
        <w:lastRenderedPageBreak/>
        <w:t>Defending the Right to Justice o</w:t>
      </w:r>
      <w:r>
        <w:rPr>
          <w:b/>
        </w:rPr>
        <w:t xml:space="preserve">f GBV Victim-Survivors </w:t>
      </w:r>
    </w:p>
    <w:p w14:paraId="7F865858" w14:textId="77777777" w:rsidR="004B52B9" w:rsidRDefault="004B52B9">
      <w:pPr>
        <w:spacing w:before="240" w:after="240"/>
      </w:pPr>
    </w:p>
    <w:p w14:paraId="5FF82CBD" w14:textId="77777777" w:rsidR="004B52B9" w:rsidRDefault="0075329E">
      <w:pPr>
        <w:spacing w:before="240" w:after="240"/>
      </w:pPr>
      <w:r>
        <w:t>Indigenous women, while vulnerable to GBV themselves, lead the arduous process of seeking reparations and justice for women victim-survivors of sexual assault, sexual harassment, and rape. Not only do they struggle against a flawed</w:t>
      </w:r>
      <w:r>
        <w:t xml:space="preserve"> criminal justice system, but they do so against a backdrop of a deeply rooted culture of patriarchy and misogyny that penetrates even the microcosms that are the indigenous communities in the Philippines.</w:t>
      </w:r>
    </w:p>
    <w:p w14:paraId="4ED949C4" w14:textId="77777777" w:rsidR="004B52B9" w:rsidRDefault="0075329E">
      <w:pPr>
        <w:spacing w:before="240" w:after="240"/>
      </w:pPr>
      <w:r>
        <w:t>Women victim-survivors of GBV face multiple econom</w:t>
      </w:r>
      <w:r>
        <w:t>ic, cultural, and political barriers to accessing justice. Indigenous women who are often already struggling with economic challenges are less likely to undergo a prolonged and costly legal process of seeking justice. Within their IPS, rape, sexual harassm</w:t>
      </w:r>
      <w:r>
        <w:t xml:space="preserve">ent, and sexual assault cases are either dismissed as marital disputes, end in monetary settlements, or with the perpetrator marrying the victim as allowed by Article 266-C of the RPC as amended by RA No. 8353. In cases of domestic abuse, the same article </w:t>
      </w:r>
      <w:r>
        <w:t>extinguishes criminal action upon subsequent forgiveness of the perpetrator granted by the victim.</w:t>
      </w:r>
    </w:p>
    <w:p w14:paraId="00EFCEC1" w14:textId="77777777" w:rsidR="004B52B9" w:rsidRDefault="0075329E">
      <w:pPr>
        <w:spacing w:before="240" w:after="240"/>
      </w:pPr>
      <w:r>
        <w:t xml:space="preserve">Reporting GBV, the first step in accessing justice, is characterized by shame and confusion. Patriarchy and misogyny are embedded in Filipino and indigenous </w:t>
      </w:r>
      <w:r>
        <w:t>cultures and result in impunity. Not only are indigenous women victim-survivors not equipped with critical information on laws and legal processes, but they are informed neither of their right to seek justice nor of their other rights as women which leaves</w:t>
      </w:r>
      <w:r>
        <w:t xml:space="preserve"> them even more vulnerable to GBV.</w:t>
      </w:r>
    </w:p>
    <w:p w14:paraId="0ADB80D5" w14:textId="77777777" w:rsidR="004B52B9" w:rsidRDefault="0075329E">
      <w:pPr>
        <w:spacing w:before="240" w:after="240"/>
      </w:pPr>
      <w:r>
        <w:t xml:space="preserve">IWHRDs who assist victim-survivors in accessing justice face multiple threats, often gendered and violent. In the </w:t>
      </w:r>
      <w:proofErr w:type="gramStart"/>
      <w:r>
        <w:t>case</w:t>
      </w:r>
      <w:r>
        <w:rPr>
          <w:rFonts w:ascii="Calibri" w:eastAsia="Calibri" w:hAnsi="Calibri" w:cs="Calibri"/>
        </w:rPr>
        <w:t>[</w:t>
      </w:r>
      <w:proofErr w:type="gramEnd"/>
      <w:r>
        <w:rPr>
          <w:rFonts w:ascii="Calibri" w:eastAsia="Calibri" w:hAnsi="Calibri" w:cs="Calibri"/>
        </w:rPr>
        <w:t>4]</w:t>
      </w:r>
      <w:r>
        <w:t xml:space="preserve"> of a grassroots indigenous youth organization in Bukidnon, leaders of the organization who are youn</w:t>
      </w:r>
      <w:r>
        <w:t>g IW, face violent and gendered threats in the process of assisting three indigenous girls who are victim-survivors of incest rape and sexual assault. The IP leaders wanted to settle the cases within the community processes, purportedly to avoid bringing d</w:t>
      </w:r>
      <w:r>
        <w:t xml:space="preserve">isgrace to the families and the entire community. The defiance of the young IWHRDs to the demands of the male community </w:t>
      </w:r>
      <w:proofErr w:type="gramStart"/>
      <w:r>
        <w:t>leaders, and</w:t>
      </w:r>
      <w:proofErr w:type="gramEnd"/>
      <w:r>
        <w:t xml:space="preserve"> keeping the victim-survivors safe away from their families were considered deep offenses against the male-led leadership st</w:t>
      </w:r>
      <w:r>
        <w:t>ructure of the indigenous community. The perpetrators, together with the leaders of their community have threatened and harmed the IWHRDs resulting in their displacement and severe trauma.</w:t>
      </w:r>
    </w:p>
    <w:p w14:paraId="21EA2022" w14:textId="77777777" w:rsidR="004B52B9" w:rsidRDefault="004B52B9">
      <w:pPr>
        <w:spacing w:before="240" w:after="240"/>
      </w:pPr>
    </w:p>
    <w:p w14:paraId="2DDF7289" w14:textId="77777777" w:rsidR="004B52B9" w:rsidRDefault="0075329E">
      <w:pPr>
        <w:spacing w:before="240" w:after="240"/>
      </w:pPr>
      <w:r>
        <w:t xml:space="preserve"> </w:t>
      </w:r>
    </w:p>
    <w:p w14:paraId="7039BA1C" w14:textId="77777777" w:rsidR="004B52B9" w:rsidRDefault="004B52B9"/>
    <w:p w14:paraId="71A5BF8A" w14:textId="77777777" w:rsidR="004B52B9" w:rsidRDefault="0075329E">
      <w:r>
        <w:pict w14:anchorId="257E1D5C">
          <v:rect id="_x0000_i1026" style="width:0;height:1.5pt" o:hralign="center" o:hrstd="t" o:hr="t" fillcolor="#a0a0a0" stroked="f"/>
        </w:pict>
      </w:r>
    </w:p>
    <w:p w14:paraId="7EB200FF" w14:textId="77777777" w:rsidR="004B52B9" w:rsidRDefault="0075329E">
      <w:pPr>
        <w:spacing w:before="240" w:after="240"/>
        <w:rPr>
          <w:sz w:val="20"/>
          <w:szCs w:val="20"/>
        </w:rPr>
      </w:pPr>
      <w:r>
        <w:rPr>
          <w:rFonts w:ascii="Calibri" w:eastAsia="Calibri" w:hAnsi="Calibri" w:cs="Calibri"/>
          <w:sz w:val="20"/>
          <w:szCs w:val="20"/>
        </w:rPr>
        <w:t>[4]</w:t>
      </w:r>
      <w:r>
        <w:rPr>
          <w:sz w:val="20"/>
          <w:szCs w:val="20"/>
        </w:rPr>
        <w:t xml:space="preserve"> Case documented by the </w:t>
      </w:r>
      <w:proofErr w:type="spellStart"/>
      <w:r>
        <w:rPr>
          <w:i/>
          <w:sz w:val="20"/>
          <w:szCs w:val="20"/>
        </w:rPr>
        <w:t>Tanggol</w:t>
      </w:r>
      <w:proofErr w:type="spellEnd"/>
      <w:r>
        <w:rPr>
          <w:i/>
          <w:sz w:val="20"/>
          <w:szCs w:val="20"/>
        </w:rPr>
        <w:t xml:space="preserve"> Karapatan ng </w:t>
      </w:r>
      <w:proofErr w:type="spellStart"/>
      <w:r>
        <w:rPr>
          <w:i/>
          <w:sz w:val="20"/>
          <w:szCs w:val="20"/>
        </w:rPr>
        <w:t>Katutubong</w:t>
      </w:r>
      <w:proofErr w:type="spellEnd"/>
      <w:r>
        <w:rPr>
          <w:i/>
          <w:sz w:val="20"/>
          <w:szCs w:val="20"/>
        </w:rPr>
        <w:t xml:space="preserve"> </w:t>
      </w:r>
      <w:proofErr w:type="spellStart"/>
      <w:r>
        <w:rPr>
          <w:i/>
          <w:sz w:val="20"/>
          <w:szCs w:val="20"/>
        </w:rPr>
        <w:t>Kababaihan</w:t>
      </w:r>
      <w:proofErr w:type="spellEnd"/>
      <w:r>
        <w:rPr>
          <w:sz w:val="20"/>
          <w:szCs w:val="20"/>
        </w:rPr>
        <w:t xml:space="preserve"> (TK3) program of LILAK.</w:t>
      </w:r>
    </w:p>
    <w:p w14:paraId="0DDD3E2F" w14:textId="77777777" w:rsidR="004B52B9" w:rsidRDefault="0075329E">
      <w:pPr>
        <w:pStyle w:val="Heading2"/>
        <w:spacing w:before="240" w:after="240"/>
        <w:rPr>
          <w:b/>
        </w:rPr>
      </w:pPr>
      <w:bookmarkStart w:id="10" w:name="_e8r1t0qftrf2" w:colFirst="0" w:colLast="0"/>
      <w:bookmarkEnd w:id="10"/>
      <w:r>
        <w:rPr>
          <w:b/>
        </w:rPr>
        <w:lastRenderedPageBreak/>
        <w:t>Indigenous Women as Women’s Rights Defenders</w:t>
      </w:r>
    </w:p>
    <w:p w14:paraId="7BA75B2D" w14:textId="77777777" w:rsidR="004B52B9" w:rsidRDefault="004B52B9">
      <w:pPr>
        <w:spacing w:before="240" w:after="240"/>
        <w:rPr>
          <w:sz w:val="24"/>
          <w:szCs w:val="24"/>
        </w:rPr>
      </w:pPr>
    </w:p>
    <w:p w14:paraId="5E61BFD6" w14:textId="77777777" w:rsidR="004B52B9" w:rsidRDefault="0075329E">
      <w:pPr>
        <w:spacing w:before="240" w:after="240"/>
        <w:rPr>
          <w:sz w:val="24"/>
          <w:szCs w:val="24"/>
        </w:rPr>
      </w:pPr>
      <w:r>
        <w:rPr>
          <w:sz w:val="24"/>
          <w:szCs w:val="24"/>
        </w:rPr>
        <w:t xml:space="preserve">Indigenous women are food providers, primary caregivers of the family, especially during sickness as seen during the pandemic, and times of disasters; guardians of the land and ancestral domain; refuge of women and girl-child victim-survivors of violence; </w:t>
      </w:r>
      <w:r>
        <w:rPr>
          <w:sz w:val="24"/>
          <w:szCs w:val="24"/>
        </w:rPr>
        <w:t>and defenders of their rights, bodies, and life. Despite rhetoric of the laws, particularly MCW and IPRA, and programs of relevant agencies such as NCIP and PCW, IW remain insecure, unsafe, and live with uncertainties and fear for their families, their com</w:t>
      </w:r>
      <w:r>
        <w:rPr>
          <w:sz w:val="24"/>
          <w:szCs w:val="24"/>
        </w:rPr>
        <w:t xml:space="preserve">munities, and for themselves. They face gendered forms of violence as they stand up against the different and intersecting forms of discrimination and manifestations of patriarchy within the family, the </w:t>
      </w:r>
      <w:proofErr w:type="gramStart"/>
      <w:r>
        <w:rPr>
          <w:sz w:val="24"/>
          <w:szCs w:val="24"/>
        </w:rPr>
        <w:t>community</w:t>
      </w:r>
      <w:proofErr w:type="gramEnd"/>
      <w:r>
        <w:rPr>
          <w:sz w:val="24"/>
          <w:szCs w:val="24"/>
        </w:rPr>
        <w:t xml:space="preserve"> and the broader society. The perpetrators -</w:t>
      </w:r>
      <w:r>
        <w:rPr>
          <w:sz w:val="24"/>
          <w:szCs w:val="24"/>
        </w:rPr>
        <w:t xml:space="preserve"> oppressive leaders in the communities, large transnational </w:t>
      </w:r>
      <w:proofErr w:type="gramStart"/>
      <w:r>
        <w:rPr>
          <w:sz w:val="24"/>
          <w:szCs w:val="24"/>
        </w:rPr>
        <w:t>corporations</w:t>
      </w:r>
      <w:proofErr w:type="gramEnd"/>
      <w:r>
        <w:rPr>
          <w:sz w:val="24"/>
          <w:szCs w:val="24"/>
        </w:rPr>
        <w:t xml:space="preserve"> and the State - are seldom held accountable. </w:t>
      </w:r>
    </w:p>
    <w:p w14:paraId="6709638F" w14:textId="77777777" w:rsidR="004B52B9" w:rsidRDefault="0075329E">
      <w:pPr>
        <w:spacing w:before="240" w:after="240"/>
        <w:rPr>
          <w:sz w:val="24"/>
          <w:szCs w:val="24"/>
        </w:rPr>
      </w:pPr>
      <w:r>
        <w:rPr>
          <w:sz w:val="24"/>
          <w:szCs w:val="24"/>
        </w:rPr>
        <w:t>The State has failed and continues to do so in fulfilling its obligations to recognize, protect and promote indigenous women’s human righ</w:t>
      </w:r>
      <w:r>
        <w:rPr>
          <w:sz w:val="24"/>
          <w:szCs w:val="24"/>
        </w:rPr>
        <w:t>ts.</w:t>
      </w:r>
    </w:p>
    <w:p w14:paraId="6E3D5796" w14:textId="77777777" w:rsidR="004B52B9" w:rsidRDefault="004B52B9">
      <w:pPr>
        <w:pStyle w:val="Heading2"/>
        <w:spacing w:before="240" w:after="240"/>
      </w:pPr>
      <w:bookmarkStart w:id="11" w:name="_2wflyw2e9zz3" w:colFirst="0" w:colLast="0"/>
      <w:bookmarkEnd w:id="11"/>
    </w:p>
    <w:p w14:paraId="4256123F" w14:textId="77777777" w:rsidR="004B52B9" w:rsidRDefault="0075329E">
      <w:pPr>
        <w:pStyle w:val="Heading2"/>
        <w:spacing w:before="240" w:after="240"/>
        <w:rPr>
          <w:b/>
        </w:rPr>
      </w:pPr>
      <w:bookmarkStart w:id="12" w:name="_xhfmnep7vq8f" w:colFirst="0" w:colLast="0"/>
      <w:bookmarkEnd w:id="12"/>
      <w:r>
        <w:rPr>
          <w:b/>
        </w:rPr>
        <w:t xml:space="preserve">LILAK forwards the following RECOMMENDATIONS for the Philippine </w:t>
      </w:r>
      <w:proofErr w:type="gramStart"/>
      <w:r>
        <w:rPr>
          <w:b/>
        </w:rPr>
        <w:t>government</w:t>
      </w:r>
      <w:proofErr w:type="gramEnd"/>
      <w:r>
        <w:rPr>
          <w:b/>
        </w:rPr>
        <w:t xml:space="preserve">  </w:t>
      </w:r>
    </w:p>
    <w:p w14:paraId="7B06E55B" w14:textId="77777777" w:rsidR="004B52B9" w:rsidRDefault="0075329E">
      <w:pPr>
        <w:numPr>
          <w:ilvl w:val="0"/>
          <w:numId w:val="2"/>
        </w:numPr>
        <w:spacing w:before="240"/>
        <w:rPr>
          <w:sz w:val="24"/>
          <w:szCs w:val="24"/>
        </w:rPr>
      </w:pPr>
      <w:r>
        <w:rPr>
          <w:sz w:val="24"/>
          <w:szCs w:val="24"/>
        </w:rPr>
        <w:t>In October 2022, the CEDAW released General Recommendations No. 39 on the Rights of Indigenous Women and Girls. As a signatory of CEDAW, the Philippine government must meet i</w:t>
      </w:r>
      <w:r>
        <w:rPr>
          <w:sz w:val="24"/>
          <w:szCs w:val="24"/>
        </w:rPr>
        <w:t xml:space="preserve">ts obligations, and take actions on the recommendations, articulated in GR 39. The GR has specific recommendations for States to protect IWHRDs, one of which, that the State </w:t>
      </w:r>
      <w:r>
        <w:rPr>
          <w:b/>
          <w:i/>
          <w:sz w:val="24"/>
          <w:szCs w:val="24"/>
        </w:rPr>
        <w:t>(h) Take proactive and effective steps to recognize, support and protect the life,</w:t>
      </w:r>
      <w:r>
        <w:rPr>
          <w:b/>
          <w:i/>
          <w:sz w:val="24"/>
          <w:szCs w:val="24"/>
        </w:rPr>
        <w:t xml:space="preserve"> </w:t>
      </w:r>
      <w:proofErr w:type="gramStart"/>
      <w:r>
        <w:rPr>
          <w:b/>
          <w:i/>
          <w:sz w:val="24"/>
          <w:szCs w:val="24"/>
        </w:rPr>
        <w:t>integrity</w:t>
      </w:r>
      <w:proofErr w:type="gramEnd"/>
      <w:r>
        <w:rPr>
          <w:b/>
          <w:i/>
          <w:sz w:val="24"/>
          <w:szCs w:val="24"/>
        </w:rPr>
        <w:t xml:space="preserve"> and work of Indigenous women human rights defenders, and ensure that they conduct their activities in safe, enabling and inclusive environments. State measures should include the creation of specialized government mechanisms to protect women hum</w:t>
      </w:r>
      <w:r>
        <w:rPr>
          <w:b/>
          <w:i/>
          <w:sz w:val="24"/>
          <w:szCs w:val="24"/>
        </w:rPr>
        <w:t>an rights defenders with their genuine and meaningful participation and in collaboration with Indigenous Peoples.</w:t>
      </w:r>
    </w:p>
    <w:p w14:paraId="5299D888" w14:textId="77777777" w:rsidR="004B52B9" w:rsidRDefault="0075329E">
      <w:pPr>
        <w:numPr>
          <w:ilvl w:val="0"/>
          <w:numId w:val="2"/>
        </w:numPr>
        <w:rPr>
          <w:sz w:val="24"/>
          <w:szCs w:val="24"/>
        </w:rPr>
      </w:pPr>
      <w:r>
        <w:rPr>
          <w:sz w:val="24"/>
          <w:szCs w:val="24"/>
        </w:rPr>
        <w:t>Fulfill its obligations in ensuring the full realization of indigenous women’s rights as enshrined in IPRA and MCW.</w:t>
      </w:r>
    </w:p>
    <w:p w14:paraId="7314B8A3" w14:textId="77777777" w:rsidR="004B52B9" w:rsidRDefault="0075329E">
      <w:pPr>
        <w:numPr>
          <w:ilvl w:val="0"/>
          <w:numId w:val="2"/>
        </w:numPr>
        <w:rPr>
          <w:sz w:val="24"/>
          <w:szCs w:val="24"/>
        </w:rPr>
      </w:pPr>
      <w:r>
        <w:rPr>
          <w:sz w:val="24"/>
          <w:szCs w:val="24"/>
        </w:rPr>
        <w:t>Ensure the proper implemen</w:t>
      </w:r>
      <w:r>
        <w:rPr>
          <w:sz w:val="24"/>
          <w:szCs w:val="24"/>
        </w:rPr>
        <w:t>tation of the Free, Prior, Informed Consent process and ensure meaningful participation of IW in all stages of development projects within the AD.</w:t>
      </w:r>
    </w:p>
    <w:p w14:paraId="7CFC403E" w14:textId="77777777" w:rsidR="004B52B9" w:rsidRDefault="0075329E">
      <w:pPr>
        <w:numPr>
          <w:ilvl w:val="0"/>
          <w:numId w:val="2"/>
        </w:numPr>
        <w:rPr>
          <w:sz w:val="24"/>
          <w:szCs w:val="24"/>
        </w:rPr>
      </w:pPr>
      <w:r>
        <w:rPr>
          <w:sz w:val="24"/>
          <w:szCs w:val="24"/>
        </w:rPr>
        <w:lastRenderedPageBreak/>
        <w:t xml:space="preserve">Fast-track the issuance of </w:t>
      </w:r>
      <w:proofErr w:type="gramStart"/>
      <w:r>
        <w:rPr>
          <w:sz w:val="24"/>
          <w:szCs w:val="24"/>
        </w:rPr>
        <w:t>CADTs, and</w:t>
      </w:r>
      <w:proofErr w:type="gramEnd"/>
      <w:r>
        <w:rPr>
          <w:sz w:val="24"/>
          <w:szCs w:val="24"/>
        </w:rPr>
        <w:t xml:space="preserve"> protect the right to self-determination of IPs over the management and </w:t>
      </w:r>
      <w:r>
        <w:rPr>
          <w:sz w:val="24"/>
          <w:szCs w:val="24"/>
        </w:rPr>
        <w:t xml:space="preserve">development of their land and natural resources. </w:t>
      </w:r>
    </w:p>
    <w:p w14:paraId="7439949D" w14:textId="77777777" w:rsidR="004B52B9" w:rsidRDefault="0075329E">
      <w:pPr>
        <w:numPr>
          <w:ilvl w:val="0"/>
          <w:numId w:val="2"/>
        </w:numPr>
        <w:rPr>
          <w:sz w:val="24"/>
          <w:szCs w:val="24"/>
        </w:rPr>
      </w:pPr>
      <w:r>
        <w:rPr>
          <w:sz w:val="24"/>
          <w:szCs w:val="24"/>
        </w:rPr>
        <w:t>Ensure proper and inclusive data collection, disaggregated by various factors, such as age, gender, and indigenous identity.</w:t>
      </w:r>
    </w:p>
    <w:p w14:paraId="6007423F" w14:textId="77777777" w:rsidR="004B52B9" w:rsidRDefault="0075329E">
      <w:pPr>
        <w:numPr>
          <w:ilvl w:val="0"/>
          <w:numId w:val="2"/>
        </w:numPr>
        <w:rPr>
          <w:sz w:val="24"/>
          <w:szCs w:val="24"/>
        </w:rPr>
      </w:pPr>
      <w:r>
        <w:rPr>
          <w:sz w:val="24"/>
          <w:szCs w:val="24"/>
        </w:rPr>
        <w:t>Undertake systematic and programmatic research and documentation of GBV against I</w:t>
      </w:r>
      <w:r>
        <w:rPr>
          <w:sz w:val="24"/>
          <w:szCs w:val="24"/>
        </w:rPr>
        <w:t>W, in partnership with IW and their communities and organizations.</w:t>
      </w:r>
    </w:p>
    <w:p w14:paraId="1185446E" w14:textId="77777777" w:rsidR="004B52B9" w:rsidRDefault="0075329E">
      <w:pPr>
        <w:numPr>
          <w:ilvl w:val="0"/>
          <w:numId w:val="2"/>
        </w:numPr>
        <w:rPr>
          <w:sz w:val="24"/>
          <w:szCs w:val="24"/>
        </w:rPr>
      </w:pPr>
      <w:r>
        <w:rPr>
          <w:sz w:val="24"/>
          <w:szCs w:val="24"/>
        </w:rPr>
        <w:t xml:space="preserve">Implement a gender-responsive, culturally </w:t>
      </w:r>
      <w:proofErr w:type="gramStart"/>
      <w:r>
        <w:rPr>
          <w:sz w:val="24"/>
          <w:szCs w:val="24"/>
        </w:rPr>
        <w:t>appropriate</w:t>
      </w:r>
      <w:proofErr w:type="gramEnd"/>
      <w:r>
        <w:rPr>
          <w:sz w:val="24"/>
          <w:szCs w:val="24"/>
        </w:rPr>
        <w:t xml:space="preserve"> and inclusive disaster risk management and response that are based on the specific realities and impacts of climate change that IW expe</w:t>
      </w:r>
      <w:r>
        <w:rPr>
          <w:sz w:val="24"/>
          <w:szCs w:val="24"/>
        </w:rPr>
        <w:t xml:space="preserve">rience. </w:t>
      </w:r>
    </w:p>
    <w:p w14:paraId="409EE5C2" w14:textId="77777777" w:rsidR="004B52B9" w:rsidRDefault="0075329E">
      <w:pPr>
        <w:numPr>
          <w:ilvl w:val="0"/>
          <w:numId w:val="2"/>
        </w:numPr>
        <w:rPr>
          <w:sz w:val="24"/>
          <w:szCs w:val="24"/>
        </w:rPr>
      </w:pPr>
      <w:r>
        <w:rPr>
          <w:sz w:val="24"/>
          <w:szCs w:val="24"/>
        </w:rPr>
        <w:t xml:space="preserve">Implement and fully support programs of awareness-raising and education among IW of their rights, available legal remedies for violations, reporting and follow-through mechanisms.  </w:t>
      </w:r>
    </w:p>
    <w:p w14:paraId="2AE12D5A" w14:textId="77777777" w:rsidR="004B52B9" w:rsidRDefault="0075329E">
      <w:pPr>
        <w:numPr>
          <w:ilvl w:val="0"/>
          <w:numId w:val="2"/>
        </w:numPr>
        <w:rPr>
          <w:sz w:val="24"/>
          <w:szCs w:val="24"/>
        </w:rPr>
      </w:pPr>
      <w:r>
        <w:rPr>
          <w:sz w:val="24"/>
          <w:szCs w:val="24"/>
        </w:rPr>
        <w:t>Ensure that IW have immediate access to non-indigenous and indige</w:t>
      </w:r>
      <w:r>
        <w:rPr>
          <w:sz w:val="24"/>
          <w:szCs w:val="24"/>
        </w:rPr>
        <w:t>nous justice systems and grievance mechanisms that are working, fully funded, efficient and non-discriminatory.</w:t>
      </w:r>
    </w:p>
    <w:p w14:paraId="1B95A26D" w14:textId="77777777" w:rsidR="004B52B9" w:rsidRDefault="0075329E">
      <w:pPr>
        <w:numPr>
          <w:ilvl w:val="0"/>
          <w:numId w:val="2"/>
        </w:numPr>
        <w:rPr>
          <w:sz w:val="24"/>
          <w:szCs w:val="24"/>
        </w:rPr>
      </w:pPr>
      <w:r>
        <w:rPr>
          <w:sz w:val="24"/>
          <w:szCs w:val="24"/>
        </w:rPr>
        <w:t>Provide comprehensive, culturally appropriate, multi-level support to IWHRDs (medical, psychosocial, legal, security and economic) who are under</w:t>
      </w:r>
      <w:r>
        <w:rPr>
          <w:sz w:val="24"/>
          <w:szCs w:val="24"/>
        </w:rPr>
        <w:t xml:space="preserve"> attack, are seeking refuge, and/or whose family members have been killed or made to disappear. </w:t>
      </w:r>
    </w:p>
    <w:p w14:paraId="5684E313" w14:textId="77777777" w:rsidR="004B52B9" w:rsidRDefault="0075329E">
      <w:pPr>
        <w:numPr>
          <w:ilvl w:val="0"/>
          <w:numId w:val="2"/>
        </w:numPr>
        <w:rPr>
          <w:sz w:val="24"/>
          <w:szCs w:val="24"/>
        </w:rPr>
      </w:pPr>
      <w:r>
        <w:rPr>
          <w:sz w:val="24"/>
          <w:szCs w:val="24"/>
        </w:rPr>
        <w:t xml:space="preserve">Enact a law that criminalizes and penalizes the practice of </w:t>
      </w:r>
      <w:proofErr w:type="gramStart"/>
      <w:r>
        <w:rPr>
          <w:sz w:val="24"/>
          <w:szCs w:val="24"/>
        </w:rPr>
        <w:t>red-tagging</w:t>
      </w:r>
      <w:proofErr w:type="gramEnd"/>
      <w:r>
        <w:rPr>
          <w:sz w:val="24"/>
          <w:szCs w:val="24"/>
        </w:rPr>
        <w:t>.</w:t>
      </w:r>
    </w:p>
    <w:p w14:paraId="43082193" w14:textId="77777777" w:rsidR="004B52B9" w:rsidRDefault="0075329E">
      <w:pPr>
        <w:numPr>
          <w:ilvl w:val="0"/>
          <w:numId w:val="2"/>
        </w:numPr>
        <w:rPr>
          <w:sz w:val="24"/>
          <w:szCs w:val="24"/>
        </w:rPr>
      </w:pPr>
      <w:r>
        <w:rPr>
          <w:sz w:val="24"/>
          <w:szCs w:val="24"/>
        </w:rPr>
        <w:t xml:space="preserve">Enact the Human Rights Defenders Protection Law.  </w:t>
      </w:r>
    </w:p>
    <w:p w14:paraId="29FCDDCB" w14:textId="77777777" w:rsidR="004B52B9" w:rsidRDefault="0075329E">
      <w:pPr>
        <w:numPr>
          <w:ilvl w:val="0"/>
          <w:numId w:val="2"/>
        </w:numPr>
        <w:rPr>
          <w:sz w:val="24"/>
          <w:szCs w:val="24"/>
        </w:rPr>
      </w:pPr>
      <w:r>
        <w:rPr>
          <w:sz w:val="24"/>
          <w:szCs w:val="24"/>
        </w:rPr>
        <w:t xml:space="preserve">Repeal Article 266-C of the RPC as </w:t>
      </w:r>
      <w:r>
        <w:rPr>
          <w:sz w:val="24"/>
          <w:szCs w:val="24"/>
        </w:rPr>
        <w:t>amended by RA No. 8353.</w:t>
      </w:r>
    </w:p>
    <w:p w14:paraId="64D582F8" w14:textId="77777777" w:rsidR="004B52B9" w:rsidRDefault="0075329E">
      <w:pPr>
        <w:numPr>
          <w:ilvl w:val="0"/>
          <w:numId w:val="2"/>
        </w:numPr>
        <w:rPr>
          <w:sz w:val="24"/>
          <w:szCs w:val="24"/>
        </w:rPr>
      </w:pPr>
      <w:r>
        <w:rPr>
          <w:sz w:val="24"/>
          <w:szCs w:val="24"/>
        </w:rPr>
        <w:t xml:space="preserve">Revoke EO 70 and abolish NTF-ELCAC. Implement and support IW-led community development projects and address the root causes of insurgency. </w:t>
      </w:r>
    </w:p>
    <w:p w14:paraId="6E0E5635" w14:textId="77777777" w:rsidR="004B52B9" w:rsidRDefault="0075329E">
      <w:pPr>
        <w:numPr>
          <w:ilvl w:val="0"/>
          <w:numId w:val="2"/>
        </w:numPr>
        <w:spacing w:after="240"/>
        <w:rPr>
          <w:sz w:val="24"/>
          <w:szCs w:val="24"/>
        </w:rPr>
      </w:pPr>
      <w:r>
        <w:rPr>
          <w:sz w:val="24"/>
          <w:szCs w:val="24"/>
        </w:rPr>
        <w:t>Invite the UN Special Rapporteur on Human Rights Defenders to make an independent and in-dep</w:t>
      </w:r>
      <w:r>
        <w:rPr>
          <w:sz w:val="24"/>
          <w:szCs w:val="24"/>
        </w:rPr>
        <w:t xml:space="preserve">th assessment of the state of </w:t>
      </w:r>
      <w:proofErr w:type="gramStart"/>
      <w:r>
        <w:rPr>
          <w:sz w:val="24"/>
          <w:szCs w:val="24"/>
        </w:rPr>
        <w:t>IWHRDs, and</w:t>
      </w:r>
      <w:proofErr w:type="gramEnd"/>
      <w:r>
        <w:rPr>
          <w:sz w:val="24"/>
          <w:szCs w:val="24"/>
        </w:rPr>
        <w:t xml:space="preserve"> provide recommendations for the protection and promotion of their rights. </w:t>
      </w:r>
    </w:p>
    <w:p w14:paraId="370E2198" w14:textId="77777777" w:rsidR="004B52B9" w:rsidRDefault="004B52B9">
      <w:pPr>
        <w:spacing w:before="240" w:after="240"/>
      </w:pPr>
    </w:p>
    <w:sectPr w:rsidR="004B52B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D461" w14:textId="77777777" w:rsidR="00000000" w:rsidRDefault="0075329E">
      <w:pPr>
        <w:spacing w:line="240" w:lineRule="auto"/>
      </w:pPr>
      <w:r>
        <w:separator/>
      </w:r>
    </w:p>
  </w:endnote>
  <w:endnote w:type="continuationSeparator" w:id="0">
    <w:p w14:paraId="58873F19" w14:textId="77777777" w:rsidR="00000000" w:rsidRDefault="00753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BBC35" w14:textId="77777777" w:rsidR="004B52B9" w:rsidRDefault="0075329E">
    <w:pPr>
      <w:jc w:val="right"/>
      <w:rPr>
        <w:sz w:val="18"/>
        <w:szCs w:val="18"/>
      </w:rP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9255D" w14:textId="77777777" w:rsidR="00000000" w:rsidRDefault="0075329E">
      <w:pPr>
        <w:spacing w:line="240" w:lineRule="auto"/>
      </w:pPr>
      <w:r>
        <w:separator/>
      </w:r>
    </w:p>
  </w:footnote>
  <w:footnote w:type="continuationSeparator" w:id="0">
    <w:p w14:paraId="6E14B6B0" w14:textId="77777777" w:rsidR="00000000" w:rsidRDefault="007532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7232"/>
    <w:multiLevelType w:val="multilevel"/>
    <w:tmpl w:val="747294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86022C4"/>
    <w:multiLevelType w:val="multilevel"/>
    <w:tmpl w:val="C72ED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5552446">
    <w:abstractNumId w:val="1"/>
  </w:num>
  <w:num w:numId="2" w16cid:durableId="1651205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2B9"/>
    <w:rsid w:val="004B52B9"/>
    <w:rsid w:val="0075329E"/>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A9E6FE7"/>
  <w15:docId w15:val="{051E2E3D-8A93-42D0-ABA2-04F269A9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hilstar.com/headlines/2021/07/19/2113583/court-junks-anti-terrorism-case-vs-2-aeta-farmers-among-first-charged-under-ata" TargetMode="External"/><Relationship Id="rId18" Type="http://schemas.openxmlformats.org/officeDocument/2006/relationships/hyperlink" Target="https://www.facebook.com/GabrielaWomensParty/photos/a.224075477802457/1023065314570132/?type=3" TargetMode="External"/><Relationship Id="rId26" Type="http://schemas.openxmlformats.org/officeDocument/2006/relationships/hyperlink" Target="https://news.mongabay.com/2020/07/philippine-court-rejects-oceanagolds-bid-to-keep-mining-on-expired-permit/" TargetMode="External"/><Relationship Id="rId3" Type="http://schemas.openxmlformats.org/officeDocument/2006/relationships/settings" Target="settings.xml"/><Relationship Id="rId21" Type="http://schemas.openxmlformats.org/officeDocument/2006/relationships/hyperlink" Target="https://docs.google.com/document/d/1Uv_z8Zr_Z8ixVYb8aMXahNRHSIGzOHIU/edit"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rappler.com/nation/tumandok-killed-nabbed-police-panay-island/" TargetMode="External"/><Relationship Id="rId17" Type="http://schemas.openxmlformats.org/officeDocument/2006/relationships/hyperlink" Target="https://www.theguardian.com/world/2018/feb/13/philippines-rodrigo-duterte-orders-soldiers-to-shoot-female-rebels-in-the-vagina" TargetMode="External"/><Relationship Id="rId25" Type="http://schemas.openxmlformats.org/officeDocument/2006/relationships/footer" Target="footer1.xml"/><Relationship Id="rId33" Type="http://schemas.openxmlformats.org/officeDocument/2006/relationships/hyperlink" Target="https://newsinfo.inquirer.net/1707430/barmm-indigenous-exec-gunned-down-in-cotabato-city" TargetMode="External"/><Relationship Id="rId2" Type="http://schemas.openxmlformats.org/officeDocument/2006/relationships/styles" Target="styles.xml"/><Relationship Id="rId16" Type="http://schemas.openxmlformats.org/officeDocument/2006/relationships/hyperlink" Target="https://www.bulatlat.com/2017/11/29/17-women-rights-defenders-killed-duterte/" TargetMode="External"/><Relationship Id="rId20" Type="http://schemas.openxmlformats.org/officeDocument/2006/relationships/hyperlink" Target="https://www.ohchr.org/sites/default/files/Documents/Countries/PH/Philippines-HRC44-AEV.pdf" TargetMode="External"/><Relationship Id="rId29" Type="http://schemas.openxmlformats.org/officeDocument/2006/relationships/hyperlink" Target="https://www.ohchr.org/en/press-releases/2020/04/philippines-mine-standoff-indigenous-and-environmental-rights-must-be?LangID=E&amp;NewsID=258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na.gov.ph/articles/1141754" TargetMode="External"/><Relationship Id="rId24" Type="http://schemas.openxmlformats.org/officeDocument/2006/relationships/hyperlink" Target="https://newsinfo.inquirer.net/1689949/teduray-blames-ncips-inaction-to-tribes-forced-relocation-in-landslide-hit-site" TargetMode="External"/><Relationship Id="rId32" Type="http://schemas.openxmlformats.org/officeDocument/2006/relationships/hyperlink" Target="https://newsinfo.inquirer.net/1707430/barmm-indigenous-exec-gunned-down-in-cotabato-city" TargetMode="External"/><Relationship Id="rId5" Type="http://schemas.openxmlformats.org/officeDocument/2006/relationships/footnotes" Target="footnotes.xml"/><Relationship Id="rId15" Type="http://schemas.openxmlformats.org/officeDocument/2006/relationships/hyperlink" Target="https://www.globalwitness.org/en/campaigns/environmental-activists/defending-philippines/" TargetMode="External"/><Relationship Id="rId23" Type="http://schemas.openxmlformats.org/officeDocument/2006/relationships/hyperlink" Target="https://www.theguardian.com/environment/2018/jul/21/philippines-lives-land-lost-coffee-empire-militarised-politics" TargetMode="External"/><Relationship Id="rId28" Type="http://schemas.openxmlformats.org/officeDocument/2006/relationships/hyperlink" Target="https://www.rappler.com/nation/257275-groups-decry-violent-dispersal-barricade-mining-firm/" TargetMode="External"/><Relationship Id="rId10" Type="http://schemas.openxmlformats.org/officeDocument/2006/relationships/hyperlink" Target="https://hrf.org/red-tagging-in-the-philippines-a-license-to-kill/" TargetMode="External"/><Relationship Id="rId19" Type="http://schemas.openxmlformats.org/officeDocument/2006/relationships/hyperlink" Target="https://www.bulatlat.com/2021/06/17/2-lumad-farmers-1-student-killed-in-another-lianga-massacre/" TargetMode="External"/><Relationship Id="rId31" Type="http://schemas.openxmlformats.org/officeDocument/2006/relationships/hyperlink" Target="https://officialgazette.bangsamoro.gov.ph/2022/05/23/resolution-no-38-delineation-process-for-ancestral-domain/" TargetMode="External"/><Relationship Id="rId4" Type="http://schemas.openxmlformats.org/officeDocument/2006/relationships/webSettings" Target="webSettings.xml"/><Relationship Id="rId9" Type="http://schemas.openxmlformats.org/officeDocument/2006/relationships/hyperlink" Target="https://www.philstar.com/headlines/2018/07/03/1830107/doj-pursuing-terror-tag-600-cpp-npa-leaders" TargetMode="External"/><Relationship Id="rId14" Type="http://schemas.openxmlformats.org/officeDocument/2006/relationships/hyperlink" Target="https://www.rappler.com/newsbreak/iq/names-activists-killed-by-duterte-government-bloody-sunday-march-7-2021/" TargetMode="External"/><Relationship Id="rId22" Type="http://schemas.openxmlformats.org/officeDocument/2006/relationships/hyperlink" Target="https://www.cnnphilippines.com/news/2022/7/31/Sara-Duterte-lumad-schools-tribal-dress-SONA.html" TargetMode="External"/><Relationship Id="rId27" Type="http://schemas.openxmlformats.org/officeDocument/2006/relationships/hyperlink" Target="https://www.rappler.com/nation/257275-groups-decry-violent-dispersal-barricade-mining-firm/" TargetMode="External"/><Relationship Id="rId30" Type="http://schemas.openxmlformats.org/officeDocument/2006/relationships/hyperlink" Target="https://officialgazette.bangsamoro.gov.ph/2022/05/23/resolution-no-38-delineation-process-for-ancestral-domain/" TargetMode="External"/><Relationship Id="rId35" Type="http://schemas.openxmlformats.org/officeDocument/2006/relationships/theme" Target="theme/theme1.xml"/><Relationship Id="rId8" Type="http://schemas.openxmlformats.org/officeDocument/2006/relationships/hyperlink" Target="https://news.mongabay.com/2016/07/anti-coal-activist-murdered-in-the-philipp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4061</Words>
  <Characters>22340</Characters>
  <Application>Microsoft Office Word</Application>
  <DocSecurity>4</DocSecurity>
  <Lines>186</Lines>
  <Paragraphs>52</Paragraphs>
  <ScaleCrop>false</ScaleCrop>
  <Company>OHCHR</Company>
  <LinksUpToDate>false</LinksUpToDate>
  <CharactersWithSpaces>26349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2023-09-15T13:17:00Z</dcterms:created>
  <dcterms:modified xsi:type="dcterms:W3CDTF">2023-09-15T13:17:00Z</dcterms:modified>
</cp:coreProperties>
</file>